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rPr>
          <w:rFonts w:asciiTheme="minorEastAsia" w:hAnsiTheme="minorEastAsia" w:eastAsiaTheme="minorEastAsia"/>
          <w:b/>
          <w:bCs/>
          <w:color w:val="auto"/>
          <w:spacing w:val="-4"/>
          <w:szCs w:val="21"/>
          <w:highlight w:val="none"/>
        </w:rPr>
      </w:pPr>
    </w:p>
    <w:p>
      <w:pPr>
        <w:spacing w:line="360" w:lineRule="auto"/>
        <w:rPr>
          <w:rFonts w:asciiTheme="minorEastAsia" w:hAnsiTheme="minorEastAsia" w:eastAsiaTheme="minorEastAsia"/>
          <w:b/>
          <w:color w:val="auto"/>
          <w:szCs w:val="21"/>
          <w:highlight w:val="none"/>
        </w:rPr>
      </w:pPr>
    </w:p>
    <w:p>
      <w:pPr>
        <w:spacing w:beforeLines="50" w:line="360" w:lineRule="auto"/>
        <w:jc w:val="center"/>
        <w:rPr>
          <w:rFonts w:hint="eastAsia" w:asciiTheme="minorEastAsia" w:hAnsiTheme="minorEastAsia" w:eastAsiaTheme="minorEastAsia"/>
          <w:b/>
          <w:color w:val="auto"/>
          <w:sz w:val="44"/>
          <w:szCs w:val="44"/>
          <w:highlight w:val="none"/>
          <w:lang w:eastAsia="zh"/>
        </w:rPr>
      </w:pPr>
      <w:r>
        <w:rPr>
          <w:rFonts w:hint="eastAsia" w:asciiTheme="minorEastAsia" w:hAnsiTheme="minorEastAsia" w:eastAsiaTheme="minorEastAsia"/>
          <w:b/>
          <w:color w:val="auto"/>
          <w:sz w:val="44"/>
          <w:szCs w:val="44"/>
          <w:highlight w:val="none"/>
          <w:lang w:eastAsia="zh"/>
        </w:rPr>
        <w:t>塘汇街道2024-2025年度绿化养护项目</w:t>
      </w: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 w:val="44"/>
          <w:szCs w:val="44"/>
          <w:highlight w:val="none"/>
        </w:rPr>
      </w:pP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公开招标文件</w:t>
      </w: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pStyle w:val="48"/>
        <w:ind w:firstLine="404"/>
        <w:rPr>
          <w:color w:val="auto"/>
          <w:highlight w:val="none"/>
        </w:rPr>
      </w:pPr>
    </w:p>
    <w:p>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项目编号：</w:t>
      </w:r>
      <w:r>
        <w:rPr>
          <w:rStyle w:val="56"/>
          <w:rFonts w:hint="eastAsia" w:asciiTheme="minorEastAsia" w:hAnsiTheme="minorEastAsia" w:eastAsiaTheme="minorEastAsia"/>
          <w:b/>
          <w:color w:val="auto"/>
          <w:sz w:val="28"/>
          <w:szCs w:val="28"/>
          <w:highlight w:val="none"/>
          <w:u w:val="none"/>
          <w:lang w:eastAsia="zh"/>
        </w:rPr>
        <w:t>银建-JXYJ（2023）78号</w:t>
      </w:r>
      <w:r>
        <w:rPr>
          <w:rStyle w:val="56"/>
          <w:rFonts w:hint="eastAsia" w:asciiTheme="minorEastAsia" w:hAnsiTheme="minorEastAsia" w:eastAsiaTheme="minorEastAsia"/>
          <w:b/>
          <w:color w:val="auto"/>
          <w:sz w:val="28"/>
          <w:szCs w:val="28"/>
          <w:highlight w:val="none"/>
          <w:u w:val="none"/>
        </w:rPr>
        <w:t xml:space="preserve"> </w:t>
      </w:r>
    </w:p>
    <w:p>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lang w:eastAsia="zh"/>
        </w:rPr>
      </w:pPr>
      <w:r>
        <w:rPr>
          <w:rStyle w:val="56"/>
          <w:rFonts w:hint="eastAsia" w:asciiTheme="minorEastAsia" w:hAnsiTheme="minorEastAsia" w:eastAsiaTheme="minorEastAsia"/>
          <w:b/>
          <w:color w:val="auto"/>
          <w:sz w:val="28"/>
          <w:szCs w:val="28"/>
          <w:highlight w:val="none"/>
          <w:u w:val="none"/>
        </w:rPr>
        <w:t>采购单位：</w:t>
      </w:r>
      <w:r>
        <w:rPr>
          <w:rStyle w:val="56"/>
          <w:rFonts w:hint="eastAsia" w:asciiTheme="minorEastAsia" w:hAnsiTheme="minorEastAsia" w:eastAsiaTheme="minorEastAsia"/>
          <w:b/>
          <w:color w:val="auto"/>
          <w:sz w:val="28"/>
          <w:szCs w:val="28"/>
          <w:highlight w:val="none"/>
          <w:u w:val="none"/>
          <w:lang w:eastAsia="zh"/>
        </w:rPr>
        <w:t>嘉兴市秀洲区人民政府塘汇街道办事处</w:t>
      </w:r>
    </w:p>
    <w:p>
      <w:pPr>
        <w:pStyle w:val="30"/>
        <w:spacing w:before="120" w:after="120" w:line="360" w:lineRule="auto"/>
        <w:ind w:firstLine="562" w:firstLineChars="200"/>
        <w:rPr>
          <w:rStyle w:val="56"/>
          <w:rFonts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采购机构：</w:t>
      </w:r>
      <w:r>
        <w:rPr>
          <w:rStyle w:val="56"/>
          <w:rFonts w:hint="eastAsia" w:asciiTheme="minorEastAsia" w:hAnsiTheme="minorEastAsia" w:eastAsiaTheme="minorEastAsia"/>
          <w:b/>
          <w:color w:val="auto"/>
          <w:sz w:val="28"/>
          <w:szCs w:val="28"/>
          <w:highlight w:val="none"/>
          <w:u w:val="none"/>
          <w:lang w:eastAsia="zh-CN"/>
        </w:rPr>
        <w:t>嘉兴市银建工程咨询评估有限公司</w:t>
      </w:r>
    </w:p>
    <w:p>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3</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12</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6</w:t>
      </w:r>
      <w:r>
        <w:rPr>
          <w:rFonts w:asciiTheme="minorEastAsia" w:hAnsiTheme="minorEastAsia" w:eastAsiaTheme="minorEastAsia"/>
          <w:b/>
          <w:bCs/>
          <w:color w:val="auto"/>
          <w:w w:val="95"/>
          <w:sz w:val="28"/>
          <w:szCs w:val="28"/>
          <w:highlight w:val="none"/>
        </w:rPr>
        <w:t>日</w:t>
      </w: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pStyle w:val="37"/>
        <w:tabs>
          <w:tab w:val="right" w:leader="dot" w:pos="8834"/>
        </w:tabs>
        <w:spacing w:line="480" w:lineRule="auto"/>
        <w:outlineLvl w:val="9"/>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TOC \o "1-1" \h \z \u </w:instrText>
      </w:r>
      <w:r>
        <w:rPr>
          <w:rFonts w:asciiTheme="minorEastAsia" w:hAnsiTheme="minorEastAsia" w:eastAsiaTheme="minorEastAsia"/>
          <w:color w:val="auto"/>
          <w:szCs w:val="21"/>
          <w:highlight w:val="none"/>
        </w:rPr>
        <w:fldChar w:fldCharType="separate"/>
      </w:r>
    </w:p>
    <w:sdt>
      <w:sdtPr>
        <w:rPr>
          <w:rFonts w:hint="eastAsia" w:ascii="宋体" w:hAnsi="宋体" w:eastAsia="宋体" w:cs="宋体"/>
          <w:color w:val="auto"/>
          <w:kern w:val="2"/>
          <w:sz w:val="32"/>
          <w:szCs w:val="32"/>
          <w:highlight w:val="none"/>
          <w:lang w:val="en-US" w:eastAsia="zh-CN" w:bidi="ar-SA"/>
        </w:rPr>
        <w:id w:val="147477849"/>
        <w15:color w:val="DBDBDB"/>
        <w:docPartObj>
          <w:docPartGallery w:val="Table of Contents"/>
          <w:docPartUnique/>
        </w:docPartObj>
      </w:sdtPr>
      <w:sdtEndPr>
        <w:rPr>
          <w:rFonts w:hint="eastAsia" w:ascii="Calibri" w:hAnsi="Calibri"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highlight w:val="none"/>
            </w:rPr>
          </w:pPr>
        </w:p>
        <w:p>
          <w:pPr>
            <w:pStyle w:val="372"/>
            <w:tabs>
              <w:tab w:val="right" w:leader="dot" w:pos="882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公开招标采购公告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72"/>
            <w:tabs>
              <w:tab w:val="right" w:leader="dot" w:pos="882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招标需求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72"/>
            <w:tabs>
              <w:tab w:val="right" w:leader="dot" w:pos="882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_Toc3463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_Toc3463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72"/>
            <w:tabs>
              <w:tab w:val="right" w:leader="dot" w:pos="882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评分办法及评分标准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_Toc30563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72"/>
            <w:tabs>
              <w:tab w:val="right" w:leader="dot" w:pos="882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_Toc17937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嘉兴市政府采购合同（指引）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_Toc17937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72"/>
            <w:tabs>
              <w:tab w:val="right" w:leader="dot" w:pos="882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rPr>
              <w:color w:val="auto"/>
              <w:highlight w:val="none"/>
            </w:rPr>
          </w:pPr>
          <w:r>
            <w:rPr>
              <w:rFonts w:hint="eastAsia" w:ascii="宋体" w:hAnsi="宋体" w:eastAsia="宋体" w:cs="宋体"/>
              <w:color w:val="auto"/>
              <w:sz w:val="24"/>
              <w:szCs w:val="24"/>
              <w:highlight w:val="none"/>
            </w:rPr>
            <w:fldChar w:fldCharType="end"/>
          </w:r>
        </w:p>
      </w:sdtContent>
    </w:sdt>
    <w:p>
      <w:pPr>
        <w:pStyle w:val="37"/>
        <w:tabs>
          <w:tab w:val="right" w:leader="dot" w:pos="8834"/>
        </w:tabs>
        <w:spacing w:line="360" w:lineRule="auto"/>
        <w:rPr>
          <w:rFonts w:asciiTheme="minorEastAsia" w:hAnsiTheme="minorEastAsia" w:eastAsiaTheme="minorEastAsia"/>
          <w:color w:val="auto"/>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fldChar w:fldCharType="end"/>
      </w: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pStyle w:val="48"/>
        <w:ind w:firstLine="404"/>
        <w:rPr>
          <w:color w:val="auto"/>
          <w:highlight w:val="none"/>
        </w:rPr>
      </w:pPr>
    </w:p>
    <w:p>
      <w:pPr>
        <w:snapToGrid w:val="0"/>
        <w:spacing w:beforeLines="50" w:afterLines="50" w:line="360" w:lineRule="auto"/>
        <w:ind w:left="238"/>
        <w:jc w:val="center"/>
        <w:outlineLvl w:val="9"/>
        <w:rPr>
          <w:rFonts w:hint="eastAsia" w:asciiTheme="minorEastAsia" w:hAnsiTheme="minorEastAsia" w:eastAsiaTheme="minorEastAsia"/>
          <w:b/>
          <w:color w:val="auto"/>
          <w:sz w:val="28"/>
          <w:szCs w:val="28"/>
          <w:highlight w:val="none"/>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pPr>
        <w:snapToGrid w:val="0"/>
        <w:spacing w:beforeLines="50" w:afterLines="50" w:line="360" w:lineRule="auto"/>
        <w:ind w:left="238"/>
        <w:jc w:val="center"/>
        <w:outlineLvl w:val="0"/>
        <w:rPr>
          <w:rFonts w:asciiTheme="minorEastAsia" w:hAnsiTheme="minorEastAsia" w:eastAsiaTheme="minorEastAsia"/>
          <w:b/>
          <w:color w:val="auto"/>
          <w:sz w:val="28"/>
          <w:szCs w:val="28"/>
          <w:highlight w:val="none"/>
        </w:rPr>
      </w:pPr>
      <w:bookmarkStart w:id="0" w:name="_Toc13774"/>
      <w:r>
        <w:rPr>
          <w:rFonts w:hint="eastAsia" w:asciiTheme="minorEastAsia" w:hAnsiTheme="minorEastAsia" w:eastAsiaTheme="minorEastAsia"/>
          <w:b/>
          <w:color w:val="auto"/>
          <w:sz w:val="28"/>
          <w:szCs w:val="28"/>
          <w:highlight w:val="none"/>
        </w:rPr>
        <w:t>第一章 公开招标采购公告</w:t>
      </w:r>
      <w:bookmarkEnd w:id="0"/>
    </w:p>
    <w:p>
      <w:pPr>
        <w:pStyle w:val="246"/>
        <w:spacing w:afterLines="0" w:line="360" w:lineRule="auto"/>
        <w:ind w:firstLine="42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根据《中华人民共和国政府采购法》、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中华人民共和国政府采购法实施条例</w:t>
      </w:r>
      <w:r>
        <w:rPr>
          <w:rFonts w:hint="eastAsia" w:asciiTheme="minorEastAsia" w:hAnsiTheme="minorEastAsia" w:eastAsiaTheme="minorEastAsia"/>
          <w:color w:val="auto"/>
          <w:sz w:val="18"/>
          <w:szCs w:val="18"/>
          <w:highlight w:val="none"/>
        </w:rPr>
        <w:t>》和</w:t>
      </w:r>
      <w:r>
        <w:rPr>
          <w:rFonts w:asciiTheme="minorEastAsia" w:hAnsiTheme="minorEastAsia" w:eastAsiaTheme="minorEastAsia"/>
          <w:color w:val="auto"/>
          <w:sz w:val="18"/>
          <w:szCs w:val="18"/>
          <w:highlight w:val="none"/>
        </w:rPr>
        <w:t>《政府采购货物和服务招标投标管理办法》</w:t>
      </w:r>
      <w:r>
        <w:rPr>
          <w:rFonts w:hint="eastAsia" w:asciiTheme="minorEastAsia" w:hAnsiTheme="minorEastAsia" w:eastAsiaTheme="minorEastAsia"/>
          <w:color w:val="auto"/>
          <w:sz w:val="18"/>
          <w:szCs w:val="18"/>
          <w:highlight w:val="none"/>
        </w:rPr>
        <w:t>、《浙江省</w:t>
      </w:r>
      <w:r>
        <w:rPr>
          <w:rFonts w:asciiTheme="minorEastAsia" w:hAnsiTheme="minorEastAsia" w:eastAsiaTheme="minorEastAsia"/>
          <w:color w:val="auto"/>
          <w:sz w:val="18"/>
          <w:szCs w:val="18"/>
          <w:highlight w:val="none"/>
        </w:rPr>
        <w:t>政府采购项目电子交易管理暂行办法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等规定</w:t>
      </w:r>
      <w:r>
        <w:rPr>
          <w:rFonts w:hint="eastAsia" w:asciiTheme="minorEastAsia" w:hAnsiTheme="minorEastAsia" w:eastAsiaTheme="minorEastAsia"/>
          <w:color w:val="auto"/>
          <w:sz w:val="18"/>
          <w:szCs w:val="18"/>
          <w:highlight w:val="none"/>
        </w:rPr>
        <w:t>，嘉兴市银建工程咨询评估有限公司受采购人委托，经</w:t>
      </w:r>
      <w:r>
        <w:rPr>
          <w:rFonts w:hint="eastAsia" w:asciiTheme="minorEastAsia" w:hAnsiTheme="minorEastAsia" w:eastAsiaTheme="minorEastAsia"/>
          <w:color w:val="auto"/>
          <w:sz w:val="18"/>
          <w:szCs w:val="18"/>
          <w:highlight w:val="none"/>
          <w:u w:val="single"/>
          <w:lang w:eastAsia="zh-CN"/>
        </w:rPr>
        <w:t>嘉兴市经济开发区财政局临[2023]2659号</w:t>
      </w:r>
      <w:r>
        <w:rPr>
          <w:rFonts w:hint="eastAsia" w:asciiTheme="minorEastAsia" w:hAnsiTheme="minorEastAsia" w:eastAsiaTheme="minorEastAsia"/>
          <w:color w:val="auto"/>
          <w:sz w:val="18"/>
          <w:szCs w:val="18"/>
          <w:highlight w:val="none"/>
        </w:rPr>
        <w:t>确认书批准，现就下列项目</w:t>
      </w:r>
      <w:r>
        <w:rPr>
          <w:rFonts w:asciiTheme="minorEastAsia" w:hAnsiTheme="minorEastAsia" w:eastAsiaTheme="minorEastAsia"/>
          <w:color w:val="auto"/>
          <w:sz w:val="18"/>
          <w:szCs w:val="18"/>
          <w:highlight w:val="none"/>
        </w:rPr>
        <w:t>进行</w:t>
      </w:r>
      <w:r>
        <w:rPr>
          <w:rFonts w:asciiTheme="minorEastAsia" w:hAnsiTheme="minorEastAsia" w:eastAsiaTheme="minorEastAsia"/>
          <w:color w:val="auto"/>
          <w:sz w:val="18"/>
          <w:szCs w:val="18"/>
          <w:highlight w:val="none"/>
          <w:u w:val="single"/>
        </w:rPr>
        <w:t>公开招标</w:t>
      </w:r>
      <w:r>
        <w:rPr>
          <w:rFonts w:asciiTheme="minorEastAsia" w:hAnsiTheme="minorEastAsia" w:eastAsiaTheme="minorEastAsia"/>
          <w:color w:val="auto"/>
          <w:sz w:val="18"/>
          <w:szCs w:val="18"/>
          <w:highlight w:val="none"/>
        </w:rPr>
        <w:t>采购，</w:t>
      </w:r>
      <w:r>
        <w:rPr>
          <w:rFonts w:hint="eastAsia" w:asciiTheme="minorEastAsia" w:hAnsiTheme="minorEastAsia" w:eastAsiaTheme="minorEastAsia"/>
          <w:color w:val="auto"/>
          <w:sz w:val="18"/>
          <w:szCs w:val="18"/>
          <w:highlight w:val="none"/>
        </w:rPr>
        <w:t>欢迎合格供应商前来投标，现将有关事项公告如下：</w:t>
      </w:r>
    </w:p>
    <w:p>
      <w:pPr>
        <w:snapToGrid w:val="0"/>
        <w:spacing w:line="360" w:lineRule="auto"/>
        <w:rPr>
          <w:rFonts w:hint="eastAsia" w:cs="Arial" w:asciiTheme="minorEastAsia" w:hAnsiTheme="minorEastAsia" w:eastAsiaTheme="minorEastAsia"/>
          <w:color w:val="auto"/>
          <w:sz w:val="18"/>
          <w:szCs w:val="18"/>
          <w:highlight w:val="none"/>
          <w:lang w:eastAsia="zh"/>
        </w:rPr>
      </w:pPr>
      <w:r>
        <w:rPr>
          <w:rFonts w:hint="eastAsia" w:cs="Arial" w:asciiTheme="minorEastAsia" w:hAnsiTheme="minorEastAsia" w:eastAsiaTheme="minorEastAsia"/>
          <w:color w:val="auto"/>
          <w:sz w:val="18"/>
          <w:szCs w:val="18"/>
          <w:highlight w:val="none"/>
        </w:rPr>
        <w:t>一、</w:t>
      </w:r>
      <w:r>
        <w:rPr>
          <w:rFonts w:hint="eastAsia" w:cs="Arial" w:asciiTheme="minorEastAsia" w:hAnsiTheme="minorEastAsia" w:eastAsiaTheme="minorEastAsia"/>
          <w:b/>
          <w:bCs/>
          <w:color w:val="auto"/>
          <w:sz w:val="18"/>
          <w:szCs w:val="18"/>
          <w:highlight w:val="none"/>
        </w:rPr>
        <w:t>项目编号：</w:t>
      </w:r>
      <w:r>
        <w:rPr>
          <w:rFonts w:hint="eastAsia" w:cs="Arial" w:asciiTheme="minorEastAsia" w:hAnsiTheme="minorEastAsia" w:eastAsiaTheme="minorEastAsia"/>
          <w:color w:val="auto"/>
          <w:sz w:val="18"/>
          <w:szCs w:val="18"/>
          <w:highlight w:val="none"/>
          <w:lang w:eastAsia="zh"/>
        </w:rPr>
        <w:t>银建-JXYJ（2023）78号</w:t>
      </w:r>
    </w:p>
    <w:p>
      <w:pPr>
        <w:snapToGrid w:val="0"/>
        <w:spacing w:line="360" w:lineRule="auto"/>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color w:val="auto"/>
          <w:sz w:val="18"/>
          <w:szCs w:val="18"/>
          <w:highlight w:val="none"/>
        </w:rPr>
        <w:t>二、</w:t>
      </w:r>
      <w:r>
        <w:rPr>
          <w:rFonts w:hint="eastAsia" w:cs="Arial" w:asciiTheme="minorEastAsia" w:hAnsiTheme="minorEastAsia" w:eastAsiaTheme="minorEastAsia"/>
          <w:b/>
          <w:color w:val="auto"/>
          <w:sz w:val="18"/>
          <w:szCs w:val="18"/>
          <w:highlight w:val="none"/>
        </w:rPr>
        <w:t>采购组织类型：</w:t>
      </w:r>
      <w:r>
        <w:rPr>
          <w:rStyle w:val="52"/>
          <w:rFonts w:hint="eastAsia" w:asciiTheme="minorEastAsia" w:hAnsiTheme="minorEastAsia" w:eastAsiaTheme="minorEastAsia"/>
          <w:b w:val="0"/>
          <w:color w:val="auto"/>
          <w:sz w:val="18"/>
          <w:szCs w:val="18"/>
          <w:highlight w:val="none"/>
        </w:rPr>
        <w:t>分散采购</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rPr>
        <w:t>三、采购方式：</w:t>
      </w:r>
      <w:r>
        <w:rPr>
          <w:rFonts w:hint="eastAsia" w:cs="Arial" w:asciiTheme="minorEastAsia" w:hAnsiTheme="minorEastAsia" w:eastAsiaTheme="minorEastAsia"/>
          <w:color w:val="auto"/>
          <w:sz w:val="18"/>
          <w:szCs w:val="18"/>
          <w:highlight w:val="none"/>
        </w:rPr>
        <w:t>公开招标</w:t>
      </w:r>
    </w:p>
    <w:p>
      <w:pPr>
        <w:snapToGrid w:val="0"/>
        <w:spacing w:line="360" w:lineRule="auto"/>
        <w:rPr>
          <w:rFonts w:hint="eastAsia" w:cs="Arial" w:asciiTheme="minorEastAsia" w:hAnsiTheme="minorEastAsia" w:eastAsiaTheme="minorEastAsia"/>
          <w:color w:val="auto"/>
          <w:sz w:val="18"/>
          <w:szCs w:val="18"/>
          <w:highlight w:val="none"/>
          <w:lang w:eastAsia="zh"/>
        </w:rPr>
      </w:pPr>
      <w:r>
        <w:rPr>
          <w:rFonts w:hint="eastAsia" w:cs="Arial" w:asciiTheme="minorEastAsia" w:hAnsiTheme="minorEastAsia" w:eastAsiaTheme="minorEastAsia"/>
          <w:b/>
          <w:color w:val="auto"/>
          <w:sz w:val="18"/>
          <w:szCs w:val="18"/>
          <w:highlight w:val="none"/>
        </w:rPr>
        <w:t>四、招标项目:</w:t>
      </w:r>
      <w:r>
        <w:rPr>
          <w:rFonts w:hint="eastAsia" w:cs="Arial" w:asciiTheme="minorEastAsia" w:hAnsiTheme="minorEastAsia" w:eastAsiaTheme="minorEastAsia"/>
          <w:color w:val="auto"/>
          <w:sz w:val="18"/>
          <w:szCs w:val="18"/>
          <w:highlight w:val="none"/>
        </w:rPr>
        <w:t xml:space="preserve"> </w:t>
      </w:r>
      <w:r>
        <w:rPr>
          <w:rFonts w:hint="eastAsia" w:cs="Arial" w:asciiTheme="minorEastAsia" w:hAnsiTheme="minorEastAsia" w:eastAsiaTheme="minorEastAsia"/>
          <w:color w:val="auto"/>
          <w:sz w:val="18"/>
          <w:szCs w:val="18"/>
          <w:highlight w:val="none"/>
          <w:lang w:eastAsia="zh"/>
        </w:rPr>
        <w:t>塘汇街道2024-2025年度绿化养护项目</w:t>
      </w:r>
    </w:p>
    <w:p>
      <w:pPr>
        <w:snapToGrid w:val="0"/>
        <w:spacing w:line="360" w:lineRule="auto"/>
        <w:rPr>
          <w:rFonts w:hint="eastAsia" w:cs="Arial" w:asciiTheme="minorEastAsia" w:hAnsiTheme="minorEastAsia" w:eastAsiaTheme="minorEastAsia"/>
          <w:b/>
          <w:color w:val="auto"/>
          <w:sz w:val="18"/>
          <w:szCs w:val="18"/>
          <w:highlight w:val="none"/>
          <w:lang w:val="en-US" w:eastAsia="zh-CN"/>
        </w:rPr>
      </w:pPr>
      <w:r>
        <w:rPr>
          <w:rFonts w:hint="eastAsia" w:cs="Arial" w:asciiTheme="minorEastAsia" w:hAnsiTheme="minorEastAsia" w:eastAsiaTheme="minorEastAsia"/>
          <w:b/>
          <w:color w:val="auto"/>
          <w:sz w:val="18"/>
          <w:szCs w:val="18"/>
          <w:highlight w:val="none"/>
        </w:rPr>
        <w:t>五、采购预算：</w:t>
      </w:r>
      <w:r>
        <w:rPr>
          <w:rFonts w:hint="eastAsia" w:cs="Arial" w:asciiTheme="minorEastAsia" w:hAnsiTheme="minorEastAsia" w:eastAsiaTheme="minorEastAsia"/>
          <w:b w:val="0"/>
          <w:bCs/>
          <w:color w:val="auto"/>
          <w:sz w:val="18"/>
          <w:szCs w:val="18"/>
          <w:highlight w:val="none"/>
          <w:lang w:val="en-US" w:eastAsia="zh-CN"/>
        </w:rPr>
        <w:t>21380000</w:t>
      </w:r>
      <w:r>
        <w:rPr>
          <w:rFonts w:hint="eastAsia" w:cs="Arial" w:asciiTheme="minorEastAsia" w:hAnsiTheme="minorEastAsia" w:eastAsiaTheme="minorEastAsia"/>
          <w:b w:val="0"/>
          <w:bCs/>
          <w:color w:val="auto"/>
          <w:sz w:val="18"/>
          <w:szCs w:val="18"/>
          <w:highlight w:val="none"/>
          <w:lang w:eastAsia="zh-CN"/>
        </w:rPr>
        <w:t>元。</w:t>
      </w:r>
      <w:r>
        <w:rPr>
          <w:rFonts w:hint="eastAsia" w:cs="Arial" w:asciiTheme="minorEastAsia" w:hAnsiTheme="minorEastAsia" w:eastAsiaTheme="minorEastAsia"/>
          <w:b/>
          <w:color w:val="auto"/>
          <w:sz w:val="18"/>
          <w:szCs w:val="18"/>
          <w:highlight w:val="none"/>
          <w:lang w:eastAsia="zh-CN"/>
        </w:rPr>
        <w:t>控制总价为：</w:t>
      </w:r>
      <w:r>
        <w:rPr>
          <w:rFonts w:hint="eastAsia" w:cs="Arial" w:asciiTheme="minorEastAsia" w:hAnsiTheme="minorEastAsia" w:eastAsiaTheme="minorEastAsia"/>
          <w:color w:val="auto"/>
          <w:sz w:val="18"/>
          <w:szCs w:val="18"/>
          <w:highlight w:val="none"/>
          <w:lang w:val="en-US" w:eastAsia="zh-CN"/>
        </w:rPr>
        <w:t>21338869</w:t>
      </w:r>
      <w:r>
        <w:rPr>
          <w:rFonts w:hint="eastAsia" w:cs="Arial" w:asciiTheme="minorEastAsia" w:hAnsiTheme="minorEastAsia" w:eastAsiaTheme="minorEastAsia"/>
          <w:color w:val="auto"/>
          <w:sz w:val="18"/>
          <w:szCs w:val="18"/>
          <w:highlight w:val="none"/>
        </w:rPr>
        <w:t>元</w:t>
      </w:r>
      <w:r>
        <w:rPr>
          <w:rFonts w:hint="eastAsia" w:cs="Arial" w:asciiTheme="minorEastAsia" w:hAnsiTheme="minorEastAsia" w:eastAsiaTheme="minorEastAsia"/>
          <w:color w:val="auto"/>
          <w:sz w:val="18"/>
          <w:szCs w:val="18"/>
          <w:highlight w:val="none"/>
          <w:lang w:eastAsia="zh-CN"/>
        </w:rPr>
        <w:t>，其中标段一（南区）：</w:t>
      </w:r>
      <w:r>
        <w:rPr>
          <w:rFonts w:hint="eastAsia" w:cs="Arial" w:asciiTheme="minorEastAsia" w:hAnsiTheme="minorEastAsia" w:eastAsiaTheme="minorEastAsia"/>
          <w:color w:val="auto"/>
          <w:sz w:val="18"/>
          <w:szCs w:val="18"/>
          <w:highlight w:val="none"/>
          <w:lang w:val="en-US" w:eastAsia="zh-CN"/>
        </w:rPr>
        <w:t>9459569元，标段二（北区）：11879300元</w:t>
      </w:r>
      <w:r>
        <w:rPr>
          <w:rFonts w:hint="eastAsia" w:cs="Arial" w:asciiTheme="minorEastAsia" w:hAnsiTheme="minorEastAsia" w:eastAsiaTheme="minorEastAsia"/>
          <w:color w:val="auto"/>
          <w:sz w:val="18"/>
          <w:szCs w:val="18"/>
          <w:highlight w:val="none"/>
          <w:lang w:eastAsia="zh-CN"/>
        </w:rPr>
        <w:t>。</w:t>
      </w:r>
    </w:p>
    <w:p>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rPr>
        <w:t>六、招标采购内容：</w:t>
      </w:r>
    </w:p>
    <w:tbl>
      <w:tblPr>
        <w:tblStyle w:val="4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468"/>
        <w:gridCol w:w="2261"/>
        <w:gridCol w:w="1789"/>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33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服务期</w:t>
            </w:r>
          </w:p>
        </w:tc>
        <w:tc>
          <w:tcPr>
            <w:tcW w:w="1789" w:type="dxa"/>
            <w:tcBorders>
              <w:top w:val="single" w:color="auto" w:sz="4" w:space="0"/>
              <w:left w:val="single" w:color="auto" w:sz="4" w:space="0"/>
              <w:bottom w:val="single" w:color="auto" w:sz="4" w:space="0"/>
              <w:right w:val="single" w:color="auto" w:sz="4" w:space="0"/>
            </w:tcBorders>
            <w:vAlign w:val="top"/>
          </w:tcPr>
          <w:p>
            <w:pPr>
              <w:snapToGrid w:val="0"/>
              <w:spacing w:line="430" w:lineRule="exact"/>
              <w:jc w:val="center"/>
              <w:rPr>
                <w:rFonts w:hint="eastAsia" w:asciiTheme="minorEastAsia" w:hAnsiTheme="minorEastAsia" w:eastAsiaTheme="minorEastAsia"/>
                <w:b/>
                <w:color w:val="auto"/>
                <w:sz w:val="18"/>
                <w:szCs w:val="18"/>
                <w:highlight w:val="none"/>
                <w:lang w:eastAsia="zh-CN"/>
              </w:rPr>
            </w:pPr>
            <w:r>
              <w:rPr>
                <w:rFonts w:hint="eastAsia" w:ascii="微软雅黑" w:hAnsi="微软雅黑" w:eastAsia="微软雅黑"/>
                <w:b/>
                <w:bCs/>
                <w:color w:val="auto"/>
                <w:sz w:val="18"/>
                <w:szCs w:val="18"/>
                <w:highlight w:val="none"/>
                <w:lang w:eastAsia="zh-CN"/>
              </w:rPr>
              <w:t>控制价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b/>
                <w:color w:val="auto"/>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309" w:type="dxa"/>
            <w:gridSpan w:val="2"/>
            <w:tcBorders>
              <w:top w:val="single" w:color="auto" w:sz="4" w:space="0"/>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
              </w:rPr>
            </w:pPr>
            <w:r>
              <w:rPr>
                <w:rFonts w:hint="eastAsia" w:asciiTheme="minorEastAsia" w:hAnsiTheme="minorEastAsia" w:eastAsiaTheme="minorEastAsia"/>
                <w:color w:val="auto"/>
                <w:sz w:val="18"/>
                <w:szCs w:val="18"/>
                <w:highlight w:val="none"/>
                <w:lang w:eastAsia="zh"/>
              </w:rPr>
              <w:t>塘汇街道2024-2025年度绿化养护项目</w:t>
            </w:r>
          </w:p>
        </w:tc>
        <w:tc>
          <w:tcPr>
            <w:tcW w:w="2261"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eastAsia="zh-CN"/>
              </w:rPr>
              <w:t>2024年1月1日起至2025年12月31日，两年</w:t>
            </w: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21338869</w:t>
            </w:r>
            <w:r>
              <w:rPr>
                <w:rFonts w:hint="eastAsia" w:asciiTheme="minorEastAsia" w:hAnsiTheme="minorEastAsia" w:eastAsiaTheme="minorEastAsia"/>
                <w:color w:val="auto"/>
                <w:sz w:val="18"/>
                <w:szCs w:val="18"/>
                <w:highlight w:val="none"/>
              </w:rPr>
              <w:t>元</w:t>
            </w:r>
          </w:p>
        </w:tc>
        <w:tc>
          <w:tcPr>
            <w:tcW w:w="139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本项目划分两个标段，每个投标人只允许中最多1个标项。</w:t>
            </w:r>
          </w:p>
          <w:p>
            <w:pPr>
              <w:pStyle w:val="5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1" w:type="dxa"/>
            <w:vMerge w:val="restart"/>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其中</w:t>
            </w: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标段一（南区）</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9459569元</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1" w:type="dxa"/>
            <w:vMerge w:val="continue"/>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标段二（北区）</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11879300元</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rPr>
            </w:pPr>
          </w:p>
        </w:tc>
      </w:tr>
    </w:tbl>
    <w:p>
      <w:pPr>
        <w:spacing w:line="360" w:lineRule="auto"/>
        <w:rPr>
          <w:rFonts w:hint="default" w:cs="Arial" w:asciiTheme="minorEastAsia" w:hAnsiTheme="minorEastAsia" w:eastAsiaTheme="minorEastAsia"/>
          <w:b/>
          <w:bCs/>
          <w:color w:val="auto"/>
          <w:sz w:val="18"/>
          <w:szCs w:val="18"/>
          <w:highlight w:val="none"/>
          <w:lang w:val="en-US" w:eastAsia="zh-CN"/>
        </w:rPr>
      </w:pPr>
      <w:r>
        <w:rPr>
          <w:rFonts w:hint="eastAsia" w:cs="Arial" w:asciiTheme="minorEastAsia" w:hAnsiTheme="minorEastAsia" w:eastAsiaTheme="minorEastAsia"/>
          <w:b/>
          <w:bCs/>
          <w:color w:val="auto"/>
          <w:sz w:val="18"/>
          <w:szCs w:val="18"/>
          <w:highlight w:val="none"/>
          <w:lang w:val="en-US" w:eastAsia="zh-CN"/>
        </w:rPr>
        <w:t>注：若某一标段的中标候选人在公示期间因质疑、投诉等原因导致本标段重新招标的，则仅对该标段重新招标，其他标段不再变动或重新招标。</w:t>
      </w:r>
    </w:p>
    <w:p>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rPr>
        <w:t>七、合格供应商的资格要求</w:t>
      </w:r>
    </w:p>
    <w:p>
      <w:pPr>
        <w:wordWrap w:val="0"/>
        <w:spacing w:line="360" w:lineRule="auto"/>
        <w:ind w:firstLine="482"/>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 xml:space="preserve">    2.落实政府采购政策需满足的资格要求：</w:t>
      </w:r>
    </w:p>
    <w:sdt>
      <w:sdtPr>
        <w:rPr>
          <w:rFonts w:hint="eastAsia" w:ascii="宋体" w:hAnsi="宋体" w:eastAsia="宋体" w:cs="宋体"/>
          <w:color w:val="auto"/>
          <w:kern w:val="0"/>
          <w:sz w:val="18"/>
          <w:szCs w:val="18"/>
          <w:highlight w:val="none"/>
        </w:rPr>
        <w:id w:val="-1024704304"/>
      </w:sdtPr>
      <w:sdtEndPr>
        <w:rPr>
          <w:rFonts w:hint="eastAsia" w:ascii="宋体" w:hAnsi="宋体" w:eastAsia="宋体" w:cs="宋体"/>
          <w:color w:val="auto"/>
          <w:kern w:val="0"/>
          <w:sz w:val="18"/>
          <w:szCs w:val="18"/>
          <w:highlight w:val="none"/>
        </w:rPr>
      </w:sdtEndPr>
      <w:sdtContent>
        <w:p>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 xml:space="preserve">无； </w:t>
          </w:r>
        </w:p>
        <w:p>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r>
            <w:rPr>
              <w:rFonts w:hint="eastAsia" w:ascii="宋体" w:hAnsi="宋体" w:eastAsia="宋体" w:cs="宋体"/>
              <w:color w:val="auto"/>
              <w:kern w:val="0"/>
              <w:sz w:val="18"/>
              <w:szCs w:val="18"/>
              <w:highlight w:val="none"/>
            </w:rPr>
            <w:t>专</w:t>
          </w:r>
          <w:r>
            <w:rPr>
              <w:rFonts w:hint="eastAsia" w:ascii="宋体" w:hAnsi="宋体" w:eastAsia="宋体" w:cs="宋体"/>
              <w:color w:val="auto"/>
              <w:sz w:val="18"/>
              <w:szCs w:val="18"/>
              <w:highlight w:val="none"/>
            </w:rPr>
            <w:t>门面向中小企业</w:t>
          </w:r>
        </w:p>
        <w:p>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924730588"/>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货物全部由符合政策要求的中小企业制造，提供中小企业声明函；</w:t>
          </w:r>
        </w:p>
        <w:p>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152604937"/>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货物全部由符合政策要求的小微企业制造，提供中小企业声明函；</w:t>
          </w:r>
        </w:p>
        <w:p>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333685401"/>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服务全部由符合政策要求的中小企业承接，提供中小企业声明函；</w:t>
          </w:r>
        </w:p>
        <w:p>
          <w:pPr>
            <w:spacing w:line="360" w:lineRule="auto"/>
            <w:ind w:firstLine="720" w:firstLineChars="400"/>
            <w:rPr>
              <w:rFonts w:hint="eastAsia" w:ascii="宋体" w:hAnsi="宋体" w:eastAsia="宋体" w:cs="宋体"/>
              <w:b/>
              <w:bCs/>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2141025358"/>
              <w:showingPlcHdr/>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服务全部由符合政策要求的小微企业承接，提供中小企业声明函；</w:t>
          </w:r>
        </w:p>
      </w:sdtContent>
    </w:sdt>
    <w:p>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3.本项目的特定资格要求：</w:t>
      </w:r>
      <w:r>
        <w:rPr>
          <w:rFonts w:hint="eastAsia" w:ascii="宋体" w:hAnsi="宋体" w:eastAsia="宋体" w:cs="宋体"/>
          <w:color w:val="auto"/>
          <w:sz w:val="18"/>
          <w:szCs w:val="18"/>
          <w:highlight w:val="none"/>
          <w:u w:val="single"/>
        </w:rPr>
        <w:t xml:space="preserve"> </w:t>
      </w:r>
      <w:r>
        <w:rPr>
          <w:rFonts w:hint="eastAsia" w:ascii="宋体" w:hAnsi="宋体" w:cs="宋体"/>
          <w:b/>
          <w:bCs/>
          <w:color w:val="auto"/>
          <w:sz w:val="18"/>
          <w:szCs w:val="18"/>
          <w:highlight w:val="none"/>
          <w:u w:val="single"/>
          <w:lang w:val="en-US" w:eastAsia="zh-CN"/>
        </w:rPr>
        <w:t>项目负责人具有园林绿化相关专业工程师及以上职称</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pPr>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4.单位负责人为同一人或者存在直接控股、管理关系的不同供应商，不得参加同一合同项下的政府采购活动；</w:t>
      </w:r>
    </w:p>
    <w:p>
      <w:pPr>
        <w:snapToGrid w:val="0"/>
        <w:spacing w:line="360" w:lineRule="auto"/>
        <w:rPr>
          <w:rFonts w:cs="Arial" w:asciiTheme="minorEastAsia" w:hAnsiTheme="minorEastAsia" w:eastAsiaTheme="minorEastAsia"/>
          <w:color w:val="auto"/>
          <w:sz w:val="18"/>
          <w:szCs w:val="18"/>
          <w:highlight w:val="none"/>
        </w:rPr>
      </w:pPr>
      <w:r>
        <w:rPr>
          <w:rFonts w:hint="eastAsia" w:ascii="宋体" w:hAnsi="宋体" w:eastAsia="宋体" w:cs="宋体"/>
          <w:color w:val="auto"/>
          <w:sz w:val="18"/>
          <w:szCs w:val="18"/>
          <w:highlight w:val="none"/>
        </w:rPr>
        <w:t>5.除单一来源采购项目外，为采购项目提供整体设计、规范编制或者项目管理、监理、检测等服务的供应商，不得再参加该采购项目的其他采购活动</w:t>
      </w:r>
    </w:p>
    <w:p>
      <w:pPr>
        <w:snapToGrid w:val="0"/>
        <w:spacing w:line="360" w:lineRule="auto"/>
        <w:ind w:firstLine="361" w:firstLineChars="200"/>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lang w:val="en-US" w:eastAsia="zh-CN"/>
        </w:rPr>
        <w:t>6.</w:t>
      </w:r>
      <w:r>
        <w:rPr>
          <w:rFonts w:hint="eastAsia" w:cs="Arial" w:asciiTheme="minorEastAsia" w:hAnsiTheme="minorEastAsia" w:eastAsiaTheme="minorEastAsia"/>
          <w:b/>
          <w:color w:val="auto"/>
          <w:sz w:val="18"/>
          <w:szCs w:val="18"/>
          <w:highlight w:val="none"/>
        </w:rPr>
        <w:t>本项目</w:t>
      </w:r>
      <w:r>
        <w:rPr>
          <w:rFonts w:hint="eastAsia" w:cs="Arial" w:asciiTheme="minorEastAsia" w:hAnsiTheme="minorEastAsia" w:eastAsiaTheme="minorEastAsia"/>
          <w:b/>
          <w:color w:val="auto"/>
          <w:sz w:val="18"/>
          <w:szCs w:val="18"/>
          <w:highlight w:val="none"/>
          <w:lang w:eastAsia="zh-CN"/>
        </w:rPr>
        <w:t>不</w:t>
      </w:r>
      <w:r>
        <w:rPr>
          <w:rFonts w:hint="eastAsia" w:cs="Arial" w:asciiTheme="minorEastAsia" w:hAnsiTheme="minorEastAsia" w:eastAsiaTheme="minorEastAsia"/>
          <w:b/>
          <w:color w:val="auto"/>
          <w:sz w:val="18"/>
          <w:szCs w:val="18"/>
          <w:highlight w:val="none"/>
        </w:rPr>
        <w:t>接受联合体投标。</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bCs/>
          <w:color w:val="auto"/>
          <w:sz w:val="18"/>
          <w:szCs w:val="18"/>
          <w:highlight w:val="none"/>
          <w:lang w:eastAsia="zh-CN"/>
        </w:rPr>
        <w:t>八</w:t>
      </w:r>
      <w:r>
        <w:rPr>
          <w:rFonts w:hint="eastAsia" w:cs="Arial" w:asciiTheme="minorEastAsia" w:hAnsiTheme="minorEastAsia" w:eastAsiaTheme="minorEastAsia"/>
          <w:b/>
          <w:bCs/>
          <w:color w:val="auto"/>
          <w:sz w:val="18"/>
          <w:szCs w:val="18"/>
          <w:highlight w:val="none"/>
        </w:rPr>
        <w:t>、投标说明</w:t>
      </w:r>
      <w:r>
        <w:rPr>
          <w:rFonts w:hint="eastAsia" w:cs="Arial" w:asciiTheme="minorEastAsia" w:hAnsiTheme="minorEastAsia" w:eastAsiaTheme="minorEastAsia"/>
          <w:color w:val="auto"/>
          <w:sz w:val="18"/>
          <w:szCs w:val="18"/>
          <w:highlight w:val="none"/>
        </w:rPr>
        <w:t>：</w:t>
      </w:r>
    </w:p>
    <w:p>
      <w:pPr>
        <w:spacing w:line="360" w:lineRule="auto"/>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１、本项目按照《浙江省财政厅关于印发浙江省政府采购项电子交易管理暂行办法的通知》实行电子交易。</w:t>
      </w:r>
    </w:p>
    <w:p>
      <w:pPr>
        <w:spacing w:line="360" w:lineRule="auto"/>
        <w:rPr>
          <w:rFonts w:hint="eastAsia" w:ascii="宋体" w:hAnsi="宋体" w:eastAsia="宋体" w:cs="宋体"/>
          <w:b/>
          <w:color w:val="auto"/>
          <w:szCs w:val="21"/>
          <w:highlight w:val="none"/>
        </w:rPr>
      </w:pPr>
      <w:r>
        <w:rPr>
          <w:rFonts w:cs="宋体" w:asciiTheme="minorEastAsia" w:hAnsiTheme="minorEastAsia" w:eastAsiaTheme="minorEastAsia"/>
          <w:b/>
          <w:color w:val="auto"/>
          <w:kern w:val="0"/>
          <w:sz w:val="18"/>
          <w:szCs w:val="18"/>
          <w:highlight w:val="none"/>
        </w:rPr>
        <w:t>2</w:t>
      </w:r>
      <w:r>
        <w:rPr>
          <w:rFonts w:hint="eastAsia" w:cs="宋体" w:asciiTheme="minorEastAsia" w:hAnsiTheme="minorEastAsia" w:eastAsiaTheme="minorEastAsia"/>
          <w:b/>
          <w:color w:val="auto"/>
          <w:kern w:val="0"/>
          <w:sz w:val="18"/>
          <w:szCs w:val="18"/>
          <w:highlight w:val="none"/>
        </w:rPr>
        <w:t>、</w:t>
      </w:r>
      <w:r>
        <w:rPr>
          <w:rFonts w:hint="eastAsia" w:ascii="宋体" w:hAnsi="宋体" w:eastAsia="宋体" w:cs="宋体"/>
          <w:b/>
          <w:color w:val="auto"/>
          <w:szCs w:val="21"/>
          <w:highlight w:val="none"/>
        </w:rPr>
        <w:t>获取招标文件</w:t>
      </w:r>
    </w:p>
    <w:p>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时间：</w:t>
      </w:r>
      <w:r>
        <w:rPr>
          <w:rFonts w:hint="eastAsia" w:ascii="宋体" w:hAnsi="宋体" w:eastAsia="宋体" w:cs="宋体"/>
          <w:color w:val="auto"/>
          <w:sz w:val="18"/>
          <w:szCs w:val="18"/>
          <w:highlight w:val="none"/>
        </w:rPr>
        <w:t>/至</w:t>
      </w:r>
      <w:r>
        <w:rPr>
          <w:rFonts w:hint="eastAsia" w:ascii="宋体" w:hAnsi="宋体" w:cs="宋体"/>
          <w:color w:val="auto"/>
          <w:sz w:val="18"/>
          <w:szCs w:val="18"/>
          <w:highlight w:val="none"/>
          <w:u w:val="single"/>
          <w:lang w:eastAsia="zh-CN"/>
        </w:rPr>
        <w:t>2023年</w:t>
      </w:r>
      <w:r>
        <w:rPr>
          <w:rFonts w:hint="eastAsia" w:ascii="宋体" w:hAnsi="宋体" w:cs="宋体"/>
          <w:color w:val="auto"/>
          <w:sz w:val="18"/>
          <w:szCs w:val="18"/>
          <w:highlight w:val="none"/>
          <w:u w:val="single"/>
          <w:lang w:val="en-US" w:eastAsia="zh-CN"/>
        </w:rPr>
        <w:t>12</w:t>
      </w:r>
      <w:r>
        <w:rPr>
          <w:rFonts w:hint="eastAsia" w:ascii="宋体" w:hAnsi="宋体" w:cs="宋体"/>
          <w:color w:val="auto"/>
          <w:sz w:val="18"/>
          <w:szCs w:val="18"/>
          <w:highlight w:val="none"/>
          <w:u w:val="single"/>
          <w:lang w:eastAsia="zh-CN"/>
        </w:rPr>
        <w:t>月</w:t>
      </w:r>
      <w:r>
        <w:rPr>
          <w:rFonts w:hint="eastAsia" w:ascii="宋体" w:hAnsi="宋体" w:cs="宋体"/>
          <w:color w:val="auto"/>
          <w:sz w:val="18"/>
          <w:szCs w:val="18"/>
          <w:highlight w:val="none"/>
          <w:u w:val="single"/>
          <w:lang w:val="en-US" w:eastAsia="zh-CN"/>
        </w:rPr>
        <w:t>26</w:t>
      </w:r>
      <w:r>
        <w:rPr>
          <w:rFonts w:hint="eastAsia" w:ascii="宋体" w:hAnsi="宋体" w:cs="宋体"/>
          <w:color w:val="auto"/>
          <w:sz w:val="18"/>
          <w:szCs w:val="18"/>
          <w:highlight w:val="none"/>
          <w:u w:val="single"/>
          <w:lang w:eastAsia="zh-CN"/>
        </w:rPr>
        <w:t>日</w:t>
      </w:r>
      <w:r>
        <w:rPr>
          <w:rFonts w:hint="eastAsia" w:ascii="宋体" w:hAnsi="宋体" w:eastAsia="宋体" w:cs="宋体"/>
          <w:color w:val="auto"/>
          <w:sz w:val="18"/>
          <w:szCs w:val="18"/>
          <w:highlight w:val="none"/>
        </w:rPr>
        <w:t>，每天上午00:00至12:00 ，下午12:00至23:59（北京时间，线上获取法定节假日均可，线下获取文件法定节假日除外）</w:t>
      </w:r>
    </w:p>
    <w:p>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地点（网址）：</w:t>
      </w:r>
      <w:r>
        <w:rPr>
          <w:rFonts w:hint="eastAsia" w:ascii="宋体" w:hAnsi="宋体" w:eastAsia="宋体" w:cs="宋体"/>
          <w:color w:val="auto"/>
          <w:sz w:val="18"/>
          <w:szCs w:val="18"/>
          <w:highlight w:val="none"/>
        </w:rPr>
        <w:t xml:space="preserve">政采云平台（https://www.zcygov.cn/） </w:t>
      </w:r>
    </w:p>
    <w:p>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方式：</w:t>
      </w:r>
      <w:r>
        <w:rPr>
          <w:rFonts w:hint="eastAsia" w:ascii="宋体" w:hAnsi="宋体" w:eastAsia="宋体" w:cs="宋体"/>
          <w:color w:val="auto"/>
          <w:sz w:val="18"/>
          <w:szCs w:val="18"/>
          <w:highlight w:val="none"/>
        </w:rPr>
        <w:t>供应商登录政采云平台https://www.zcygov.cn/在线申请获取采购文件（进入“项目采购”应用，在获取采购文件菜单中选择项目，申请获取采购文件）。</w:t>
      </w:r>
    </w:p>
    <w:p>
      <w:pPr>
        <w:spacing w:line="360" w:lineRule="auto"/>
        <w:jc w:val="left"/>
        <w:rPr>
          <w:rFonts w:asciiTheme="minorEastAsia" w:hAnsiTheme="minorEastAsia" w:eastAsiaTheme="minorEastAsia"/>
          <w:b/>
          <w:color w:val="auto"/>
          <w:sz w:val="18"/>
          <w:szCs w:val="18"/>
          <w:highlight w:val="none"/>
          <w:shd w:val="clear" w:color="auto" w:fill="FFFFFF"/>
        </w:rPr>
      </w:pPr>
      <w:r>
        <w:rPr>
          <w:rFonts w:hint="eastAsia" w:ascii="宋体" w:hAnsi="宋体" w:eastAsia="宋体" w:cs="宋体"/>
          <w:b/>
          <w:color w:val="auto"/>
          <w:sz w:val="18"/>
          <w:szCs w:val="18"/>
          <w:highlight w:val="none"/>
        </w:rPr>
        <w:t>售价（元）：</w:t>
      </w:r>
      <w:r>
        <w:rPr>
          <w:rFonts w:hint="eastAsia" w:ascii="宋体" w:hAnsi="宋体" w:eastAsia="宋体" w:cs="宋体"/>
          <w:color w:val="auto"/>
          <w:sz w:val="18"/>
          <w:szCs w:val="18"/>
          <w:highlight w:val="none"/>
        </w:rPr>
        <w:t xml:space="preserve">0 </w:t>
      </w:r>
    </w:p>
    <w:p>
      <w:pPr>
        <w:pStyle w:val="197"/>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lang w:val="en-US" w:eastAsia="zh-CN"/>
        </w:rPr>
        <w:t>3</w:t>
      </w:r>
      <w:r>
        <w:rPr>
          <w:rFonts w:hint="eastAsia" w:asciiTheme="minorEastAsia" w:hAnsiTheme="minorEastAsia" w:eastAsiaTheme="minorEastAsia"/>
          <w:b/>
          <w:color w:val="auto"/>
          <w:sz w:val="18"/>
          <w:szCs w:val="18"/>
          <w:highlight w:val="none"/>
        </w:rPr>
        <w:t>、投标文件</w:t>
      </w:r>
      <w:r>
        <w:rPr>
          <w:rFonts w:asciiTheme="minorEastAsia" w:hAnsiTheme="minorEastAsia" w:eastAsiaTheme="minorEastAsia"/>
          <w:b/>
          <w:color w:val="auto"/>
          <w:sz w:val="18"/>
          <w:szCs w:val="18"/>
          <w:highlight w:val="none"/>
        </w:rPr>
        <w:t>制作</w:t>
      </w:r>
      <w:r>
        <w:rPr>
          <w:rFonts w:hint="eastAsia" w:asciiTheme="minorEastAsia" w:hAnsiTheme="minorEastAsia" w:eastAsiaTheme="minorEastAsia"/>
          <w:b/>
          <w:color w:val="auto"/>
          <w:sz w:val="18"/>
          <w:szCs w:val="18"/>
          <w:highlight w:val="none"/>
        </w:rPr>
        <w:t>注意事项</w:t>
      </w:r>
    </w:p>
    <w:p>
      <w:pPr>
        <w:spacing w:beforeLines="50" w:afterLines="50" w:line="360" w:lineRule="auto"/>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lang w:val="en-US" w:eastAsia="zh-CN"/>
        </w:rPr>
        <w:t>3</w:t>
      </w:r>
      <w:r>
        <w:rPr>
          <w:rFonts w:hint="eastAsia" w:asciiTheme="minorEastAsia" w:hAnsiTheme="minorEastAsia" w:eastAsiaTheme="minorEastAsia"/>
          <w:color w:val="auto"/>
          <w:sz w:val="18"/>
          <w:szCs w:val="18"/>
          <w:highlight w:val="none"/>
          <w:shd w:val="clear" w:color="auto" w:fill="FFFFFF"/>
        </w:rPr>
        <w:t>.1供应商将政采云电子交易客户端下载、安装完成后，可通过账号密码或CA登录客户端进行投标文件制作。</w:t>
      </w:r>
    </w:p>
    <w:p>
      <w:pPr>
        <w:spacing w:beforeLines="50" w:afterLines="50" w:line="360" w:lineRule="auto"/>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lang w:val="en-US" w:eastAsia="zh-CN"/>
        </w:rPr>
        <w:t>3</w:t>
      </w:r>
      <w:r>
        <w:rPr>
          <w:rFonts w:hint="eastAsia" w:asciiTheme="minorEastAsia" w:hAnsiTheme="minorEastAsia" w:eastAsiaTheme="minorEastAsia"/>
          <w:color w:val="auto"/>
          <w:sz w:val="18"/>
          <w:szCs w:val="18"/>
          <w:highlight w:val="none"/>
          <w:shd w:val="clear" w:color="auto" w:fill="FFFFFF"/>
        </w:rPr>
        <w:t>.2电子交易操作指南：</w:t>
      </w:r>
      <w:r>
        <w:rPr>
          <w:color w:val="auto"/>
          <w:sz w:val="18"/>
          <w:szCs w:val="18"/>
          <w:highlight w:val="none"/>
        </w:rPr>
        <w:fldChar w:fldCharType="begin"/>
      </w:r>
      <w:r>
        <w:rPr>
          <w:color w:val="auto"/>
          <w:sz w:val="18"/>
          <w:szCs w:val="18"/>
          <w:highlight w:val="none"/>
        </w:rPr>
        <w:instrText xml:space="preserve"> HYPERLINK "https://help.zcygov.cn/web/site_2/2018/12-28/2573.html"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https://help.zcygov.cn/web/site_2/2018/12-28/2573.html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《CA申领操作指南》：</w:t>
      </w:r>
      <w:r>
        <w:rPr>
          <w:color w:val="auto"/>
          <w:sz w:val="18"/>
          <w:szCs w:val="18"/>
          <w:highlight w:val="none"/>
        </w:rPr>
        <w:fldChar w:fldCharType="begin"/>
      </w:r>
      <w:r>
        <w:rPr>
          <w:color w:val="auto"/>
          <w:sz w:val="18"/>
          <w:szCs w:val="18"/>
          <w:highlight w:val="none"/>
        </w:rPr>
        <w:instrText xml:space="preserve"> HYPERLINK "https://help.zcygov.cn/web/site_2/2018/11-29/2452.html"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https://help.zcygov.cn/web/site_2/2018/11-29/2452.html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《CA管理操作指南》：</w:t>
      </w:r>
      <w:r>
        <w:rPr>
          <w:color w:val="auto"/>
          <w:sz w:val="18"/>
          <w:szCs w:val="18"/>
          <w:highlight w:val="none"/>
        </w:rPr>
        <w:fldChar w:fldCharType="begin"/>
      </w:r>
      <w:r>
        <w:rPr>
          <w:color w:val="auto"/>
          <w:sz w:val="18"/>
          <w:szCs w:val="18"/>
          <w:highlight w:val="none"/>
        </w:rPr>
        <w:instrText xml:space="preserve"> HYPERLINK "https://help.zcygov.cn/web/site_2/2019/08-20/3405.html"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https://help.zcygov.cn/web/site_2/2019/08-20/3405.html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《CA驱动和申领流程》</w:t>
      </w:r>
      <w:r>
        <w:rPr>
          <w:color w:val="auto"/>
          <w:sz w:val="18"/>
          <w:szCs w:val="18"/>
          <w:highlight w:val="none"/>
        </w:rPr>
        <w:fldChar w:fldCharType="begin"/>
      </w:r>
      <w:r>
        <w:rPr>
          <w:color w:val="auto"/>
          <w:sz w:val="18"/>
          <w:szCs w:val="18"/>
          <w:highlight w:val="none"/>
        </w:rPr>
        <w:instrText xml:space="preserve"> HYPERLINK "http://www.zjzfcg.gov.cn/bidClientTemplate/2019-05-27/12945.html"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http://www.zjzfcg.gov.cn/bidClientTemplate/2019-05-27/12945.html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rPr>
        <w:t>注：</w:t>
      </w:r>
      <w:r>
        <w:rPr>
          <w:rFonts w:hint="eastAsia" w:asciiTheme="minorEastAsia" w:hAnsiTheme="minorEastAsia" w:eastAsiaTheme="minorEastAsia"/>
          <w:color w:val="auto"/>
          <w:sz w:val="18"/>
          <w:szCs w:val="18"/>
          <w:highlight w:val="none"/>
          <w:shd w:val="clear" w:color="auto" w:fill="FFFFFF"/>
        </w:rPr>
        <w:t>ＣＡ证书遗失补办、延期、解锁、质保等业务可以在联连客户端上进行操作；使用政采云投标客户端时，建议使用WIN7及以上操作系统。</w:t>
      </w:r>
    </w:p>
    <w:p>
      <w:pPr>
        <w:snapToGrid w:val="0"/>
        <w:spacing w:line="360" w:lineRule="auto"/>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lang w:eastAsia="zh-CN"/>
        </w:rPr>
        <w:t>九</w:t>
      </w:r>
      <w:r>
        <w:rPr>
          <w:rFonts w:hint="eastAsia" w:cs="Arial" w:asciiTheme="minorEastAsia" w:hAnsiTheme="minorEastAsia" w:eastAsiaTheme="minorEastAsia"/>
          <w:b/>
          <w:color w:val="auto"/>
          <w:sz w:val="18"/>
          <w:szCs w:val="18"/>
          <w:highlight w:val="none"/>
        </w:rPr>
        <w:t>、投标截止时间及提交注意事项</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１、投标截止时间</w:t>
      </w:r>
      <w:r>
        <w:rPr>
          <w:rFonts w:hint="eastAsia" w:cs="Arial"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shd w:val="clear" w:color="auto" w:fill="FFFFFF"/>
          <w:lang w:eastAsia="zh-CN"/>
        </w:rPr>
        <w:t>202</w:t>
      </w:r>
      <w:r>
        <w:rPr>
          <w:rFonts w:hint="eastAsia" w:asciiTheme="minorEastAsia" w:hAnsiTheme="minorEastAsia" w:eastAsiaTheme="minorEastAsia"/>
          <w:b/>
          <w:color w:val="auto"/>
          <w:sz w:val="18"/>
          <w:szCs w:val="18"/>
          <w:highlight w:val="none"/>
          <w:shd w:val="clear" w:color="auto" w:fill="FFFFFF"/>
          <w:lang w:val="en-US" w:eastAsia="zh-CN"/>
        </w:rPr>
        <w:t>3</w:t>
      </w:r>
      <w:r>
        <w:rPr>
          <w:rFonts w:hint="eastAsia" w:asciiTheme="minorEastAsia" w:hAnsiTheme="minorEastAsia" w:eastAsiaTheme="minorEastAsia"/>
          <w:b/>
          <w:color w:val="auto"/>
          <w:sz w:val="18"/>
          <w:szCs w:val="18"/>
          <w:highlight w:val="none"/>
          <w:shd w:val="clear" w:color="auto" w:fill="FFFFFF"/>
          <w:lang w:eastAsia="zh-CN"/>
        </w:rPr>
        <w:t>年</w:t>
      </w:r>
      <w:r>
        <w:rPr>
          <w:rFonts w:hint="eastAsia" w:asciiTheme="minorEastAsia" w:hAnsiTheme="minorEastAsia" w:eastAsiaTheme="minorEastAsia"/>
          <w:b/>
          <w:color w:val="auto"/>
          <w:sz w:val="18"/>
          <w:szCs w:val="18"/>
          <w:highlight w:val="none"/>
          <w:shd w:val="clear" w:color="auto" w:fill="FFFFFF"/>
          <w:lang w:val="en-US" w:eastAsia="zh-CN"/>
        </w:rPr>
        <w:t>12月26日</w:t>
      </w:r>
      <w:r>
        <w:rPr>
          <w:rFonts w:hint="eastAsia" w:cs="宋体" w:asciiTheme="minorEastAsia" w:hAnsiTheme="minorEastAsia" w:eastAsiaTheme="minorEastAsia"/>
          <w:b/>
          <w:bCs/>
          <w:color w:val="auto"/>
          <w:kern w:val="0"/>
          <w:sz w:val="18"/>
          <w:szCs w:val="18"/>
          <w:highlight w:val="none"/>
          <w:lang w:val="en-US" w:eastAsia="zh-CN"/>
        </w:rPr>
        <w:t>9</w:t>
      </w:r>
      <w:r>
        <w:rPr>
          <w:rFonts w:hint="eastAsia" w:cs="宋体" w:asciiTheme="minorEastAsia" w:hAnsiTheme="minorEastAsia" w:eastAsiaTheme="minorEastAsia"/>
          <w:b/>
          <w:bCs/>
          <w:color w:val="auto"/>
          <w:kern w:val="0"/>
          <w:sz w:val="18"/>
          <w:szCs w:val="18"/>
          <w:highlight w:val="none"/>
        </w:rPr>
        <w:t>时</w:t>
      </w:r>
      <w:r>
        <w:rPr>
          <w:rFonts w:hint="eastAsia" w:cs="宋体" w:asciiTheme="minorEastAsia" w:hAnsiTheme="minorEastAsia" w:eastAsiaTheme="minorEastAsia"/>
          <w:b/>
          <w:bCs/>
          <w:color w:val="auto"/>
          <w:kern w:val="0"/>
          <w:sz w:val="18"/>
          <w:szCs w:val="18"/>
          <w:highlight w:val="none"/>
          <w:lang w:val="en-US" w:eastAsia="zh-CN"/>
        </w:rPr>
        <w:t>3</w:t>
      </w:r>
      <w:r>
        <w:rPr>
          <w:rFonts w:hint="eastAsia" w:cs="宋体" w:asciiTheme="minorEastAsia" w:hAnsiTheme="minorEastAsia" w:eastAsiaTheme="minorEastAsia"/>
          <w:b/>
          <w:bCs/>
          <w:color w:val="auto"/>
          <w:kern w:val="0"/>
          <w:sz w:val="18"/>
          <w:szCs w:val="18"/>
          <w:highlight w:val="none"/>
        </w:rPr>
        <w:t>0分整</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２、投标文件提交注意事项</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2.1供应商进行电子投标应安装客户端软件，并按照招标文件和电子交易平台的要求编制并加密投标文件。供应商未按规定加密的投标文件，代理机构应当拒收。</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2.3电子标文件制作，但如遇因应商电子投标文件解密失败等情况造成无效标，后果由供应商自负。</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bCs/>
          <w:color w:val="auto"/>
          <w:sz w:val="18"/>
          <w:szCs w:val="18"/>
          <w:highlight w:val="none"/>
        </w:rPr>
        <w:t>十、开标时间及地点</w:t>
      </w:r>
      <w:r>
        <w:rPr>
          <w:rFonts w:hint="eastAsia" w:cs="Arial" w:asciiTheme="minorEastAsia" w:hAnsiTheme="minorEastAsia" w:eastAsiaTheme="minorEastAsia"/>
          <w:color w:val="auto"/>
          <w:sz w:val="18"/>
          <w:szCs w:val="18"/>
          <w:highlight w:val="none"/>
        </w:rPr>
        <w:t>：</w:t>
      </w:r>
    </w:p>
    <w:p>
      <w:pPr>
        <w:snapToGrid w:val="0"/>
        <w:spacing w:line="360" w:lineRule="auto"/>
        <w:jc w:val="left"/>
        <w:rPr>
          <w:rFonts w:hint="eastAsia"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本次招标将于</w:t>
      </w:r>
      <w:r>
        <w:rPr>
          <w:rFonts w:hint="eastAsia" w:asciiTheme="minorEastAsia" w:hAnsiTheme="minorEastAsia" w:eastAsiaTheme="minorEastAsia"/>
          <w:b/>
          <w:color w:val="auto"/>
          <w:sz w:val="18"/>
          <w:szCs w:val="18"/>
          <w:highlight w:val="none"/>
          <w:shd w:val="clear" w:color="auto" w:fill="FFFFFF"/>
          <w:lang w:eastAsia="zh-CN"/>
        </w:rPr>
        <w:t>202</w:t>
      </w:r>
      <w:r>
        <w:rPr>
          <w:rFonts w:hint="eastAsia" w:asciiTheme="minorEastAsia" w:hAnsiTheme="minorEastAsia" w:eastAsiaTheme="minorEastAsia"/>
          <w:b/>
          <w:color w:val="auto"/>
          <w:sz w:val="18"/>
          <w:szCs w:val="18"/>
          <w:highlight w:val="none"/>
          <w:shd w:val="clear" w:color="auto" w:fill="FFFFFF"/>
          <w:lang w:val="en-US" w:eastAsia="zh-CN"/>
        </w:rPr>
        <w:t>3</w:t>
      </w:r>
      <w:r>
        <w:rPr>
          <w:rFonts w:hint="eastAsia" w:asciiTheme="minorEastAsia" w:hAnsiTheme="minorEastAsia" w:eastAsiaTheme="minorEastAsia"/>
          <w:b/>
          <w:color w:val="auto"/>
          <w:sz w:val="18"/>
          <w:szCs w:val="18"/>
          <w:highlight w:val="none"/>
          <w:shd w:val="clear" w:color="auto" w:fill="FFFFFF"/>
          <w:lang w:eastAsia="zh-CN"/>
        </w:rPr>
        <w:t>年</w:t>
      </w:r>
      <w:r>
        <w:rPr>
          <w:rFonts w:hint="eastAsia" w:asciiTheme="minorEastAsia" w:hAnsiTheme="minorEastAsia" w:eastAsiaTheme="minorEastAsia"/>
          <w:b/>
          <w:color w:val="auto"/>
          <w:sz w:val="18"/>
          <w:szCs w:val="18"/>
          <w:highlight w:val="none"/>
          <w:shd w:val="clear" w:color="auto" w:fill="FFFFFF"/>
          <w:lang w:val="en-US" w:eastAsia="zh-CN"/>
        </w:rPr>
        <w:t>12月26日</w:t>
      </w:r>
      <w:r>
        <w:rPr>
          <w:rFonts w:hint="eastAsia" w:cs="宋体" w:asciiTheme="minorEastAsia" w:hAnsiTheme="minorEastAsia" w:eastAsiaTheme="minorEastAsia"/>
          <w:b/>
          <w:bCs/>
          <w:color w:val="auto"/>
          <w:kern w:val="0"/>
          <w:sz w:val="18"/>
          <w:szCs w:val="18"/>
          <w:highlight w:val="none"/>
          <w:lang w:val="en-US" w:eastAsia="zh-CN"/>
        </w:rPr>
        <w:t>9</w:t>
      </w:r>
      <w:r>
        <w:rPr>
          <w:rFonts w:hint="eastAsia" w:cs="宋体" w:asciiTheme="minorEastAsia" w:hAnsiTheme="minorEastAsia" w:eastAsiaTheme="minorEastAsia"/>
          <w:b/>
          <w:bCs/>
          <w:color w:val="auto"/>
          <w:kern w:val="0"/>
          <w:sz w:val="18"/>
          <w:szCs w:val="18"/>
          <w:highlight w:val="none"/>
        </w:rPr>
        <w:t>时</w:t>
      </w:r>
      <w:r>
        <w:rPr>
          <w:rFonts w:hint="eastAsia" w:cs="宋体" w:asciiTheme="minorEastAsia" w:hAnsiTheme="minorEastAsia" w:eastAsiaTheme="minorEastAsia"/>
          <w:b/>
          <w:bCs/>
          <w:color w:val="auto"/>
          <w:kern w:val="0"/>
          <w:sz w:val="18"/>
          <w:szCs w:val="18"/>
          <w:highlight w:val="none"/>
          <w:lang w:val="en-US" w:eastAsia="zh-CN"/>
        </w:rPr>
        <w:t>3</w:t>
      </w:r>
      <w:r>
        <w:rPr>
          <w:rFonts w:hint="eastAsia" w:cs="宋体" w:asciiTheme="minorEastAsia" w:hAnsiTheme="minorEastAsia" w:eastAsiaTheme="minorEastAsia"/>
          <w:b/>
          <w:bCs/>
          <w:color w:val="auto"/>
          <w:kern w:val="0"/>
          <w:sz w:val="18"/>
          <w:szCs w:val="18"/>
          <w:highlight w:val="none"/>
        </w:rPr>
        <w:t>0分整</w:t>
      </w:r>
      <w:r>
        <w:rPr>
          <w:rFonts w:hint="eastAsia" w:cs="Arial" w:asciiTheme="minorEastAsia" w:hAnsiTheme="minorEastAsia" w:eastAsiaTheme="minorEastAsia"/>
          <w:color w:val="auto"/>
          <w:sz w:val="18"/>
          <w:szCs w:val="18"/>
          <w:highlight w:val="none"/>
        </w:rPr>
        <w:t>在</w:t>
      </w:r>
      <w:r>
        <w:rPr>
          <w:rFonts w:hint="eastAsia" w:ascii="宋体" w:hAnsi="宋体" w:cs="Arial" w:eastAsiaTheme="minorEastAsia"/>
          <w:color w:val="auto"/>
          <w:sz w:val="18"/>
          <w:szCs w:val="18"/>
          <w:highlight w:val="none"/>
        </w:rPr>
        <w:t>嘉兴市银建工程咨询评估有限公司</w:t>
      </w:r>
      <w:r>
        <w:rPr>
          <w:rFonts w:hint="eastAsia" w:ascii="宋体" w:hAnsi="宋体" w:cs="Arial"/>
          <w:color w:val="auto"/>
          <w:sz w:val="18"/>
          <w:szCs w:val="18"/>
          <w:highlight w:val="none"/>
        </w:rPr>
        <w:t>（嘉兴市洪兴路2399号宝地大厦150</w:t>
      </w:r>
      <w:r>
        <w:rPr>
          <w:rFonts w:hint="eastAsia" w:ascii="宋体" w:hAnsi="宋体" w:cs="Arial"/>
          <w:color w:val="auto"/>
          <w:sz w:val="18"/>
          <w:szCs w:val="18"/>
          <w:highlight w:val="none"/>
          <w:lang w:val="en-US" w:eastAsia="zh-CN"/>
        </w:rPr>
        <w:t>6</w:t>
      </w:r>
      <w:r>
        <w:rPr>
          <w:rFonts w:hint="eastAsia" w:ascii="宋体" w:hAnsi="宋体" w:cs="Arial"/>
          <w:color w:val="auto"/>
          <w:sz w:val="18"/>
          <w:szCs w:val="18"/>
          <w:highlight w:val="none"/>
        </w:rPr>
        <w:t>室）</w:t>
      </w:r>
      <w:r>
        <w:rPr>
          <w:rFonts w:hint="eastAsia" w:ascii="宋体" w:hAnsi="宋体" w:cs="Arial"/>
          <w:color w:val="auto"/>
          <w:sz w:val="18"/>
          <w:szCs w:val="18"/>
          <w:highlight w:val="none"/>
          <w:lang w:eastAsia="zh-CN"/>
        </w:rPr>
        <w:t>开标</w:t>
      </w:r>
      <w:r>
        <w:rPr>
          <w:rFonts w:hint="eastAsia" w:cs="Arial"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u w:val="single"/>
        </w:rPr>
        <w:t>供应商无需到开标现场，但须准时在线参加，直至评审结束</w:t>
      </w:r>
      <w:r>
        <w:rPr>
          <w:rFonts w:hint="eastAsia" w:asciiTheme="minorEastAsia" w:hAnsiTheme="minorEastAsia" w:eastAsiaTheme="minorEastAsia"/>
          <w:b/>
          <w:color w:val="auto"/>
          <w:sz w:val="18"/>
          <w:szCs w:val="18"/>
          <w:highlight w:val="none"/>
        </w:rPr>
        <w:t>。</w:t>
      </w:r>
      <w:r>
        <w:rPr>
          <w:rFonts w:hint="eastAsia" w:cs="Arial" w:asciiTheme="minorEastAsia" w:hAnsiTheme="minorEastAsia" w:eastAsiaTheme="minorEastAsia"/>
          <w:color w:val="auto"/>
          <w:sz w:val="18"/>
          <w:szCs w:val="18"/>
          <w:highlight w:val="none"/>
        </w:rPr>
        <w:t>开标时间后半小时内（</w:t>
      </w:r>
      <w:r>
        <w:rPr>
          <w:rFonts w:hint="eastAsia" w:asciiTheme="minorEastAsia" w:hAnsiTheme="minorEastAsia" w:eastAsiaTheme="minorEastAsia"/>
          <w:b/>
          <w:color w:val="auto"/>
          <w:sz w:val="18"/>
          <w:szCs w:val="18"/>
          <w:highlight w:val="none"/>
          <w:shd w:val="clear" w:color="auto" w:fill="FFFFFF"/>
          <w:lang w:eastAsia="zh-CN"/>
        </w:rPr>
        <w:t>202</w:t>
      </w:r>
      <w:r>
        <w:rPr>
          <w:rFonts w:hint="eastAsia" w:asciiTheme="minorEastAsia" w:hAnsiTheme="minorEastAsia" w:eastAsiaTheme="minorEastAsia"/>
          <w:b/>
          <w:color w:val="auto"/>
          <w:sz w:val="18"/>
          <w:szCs w:val="18"/>
          <w:highlight w:val="none"/>
          <w:shd w:val="clear" w:color="auto" w:fill="FFFFFF"/>
          <w:lang w:val="en-US" w:eastAsia="zh-CN"/>
        </w:rPr>
        <w:t>3</w:t>
      </w:r>
      <w:r>
        <w:rPr>
          <w:rFonts w:hint="eastAsia" w:asciiTheme="minorEastAsia" w:hAnsiTheme="minorEastAsia" w:eastAsiaTheme="minorEastAsia"/>
          <w:b/>
          <w:color w:val="auto"/>
          <w:sz w:val="18"/>
          <w:szCs w:val="18"/>
          <w:highlight w:val="none"/>
          <w:shd w:val="clear" w:color="auto" w:fill="FFFFFF"/>
          <w:lang w:eastAsia="zh-CN"/>
        </w:rPr>
        <w:t>年</w:t>
      </w:r>
      <w:r>
        <w:rPr>
          <w:rFonts w:hint="eastAsia" w:asciiTheme="minorEastAsia" w:hAnsiTheme="minorEastAsia" w:eastAsiaTheme="minorEastAsia"/>
          <w:b/>
          <w:color w:val="auto"/>
          <w:sz w:val="18"/>
          <w:szCs w:val="18"/>
          <w:highlight w:val="none"/>
          <w:shd w:val="clear" w:color="auto" w:fill="FFFFFF"/>
          <w:lang w:val="en-US" w:eastAsia="zh-CN"/>
        </w:rPr>
        <w:t>12月26日</w:t>
      </w:r>
      <w:r>
        <w:rPr>
          <w:rFonts w:hint="eastAsia" w:cs="宋体" w:asciiTheme="minorEastAsia" w:hAnsiTheme="minorEastAsia" w:eastAsiaTheme="minorEastAsia"/>
          <w:b/>
          <w:bCs/>
          <w:color w:val="auto"/>
          <w:kern w:val="0"/>
          <w:sz w:val="18"/>
          <w:szCs w:val="18"/>
          <w:highlight w:val="none"/>
        </w:rPr>
        <w:t>1</w:t>
      </w:r>
      <w:r>
        <w:rPr>
          <w:rFonts w:hint="eastAsia" w:cs="宋体" w:asciiTheme="minorEastAsia" w:hAnsiTheme="minorEastAsia" w:eastAsiaTheme="minorEastAsia"/>
          <w:b/>
          <w:bCs/>
          <w:color w:val="auto"/>
          <w:kern w:val="0"/>
          <w:sz w:val="18"/>
          <w:szCs w:val="18"/>
          <w:highlight w:val="none"/>
          <w:lang w:val="en-US" w:eastAsia="zh-CN"/>
        </w:rPr>
        <w:t>0</w:t>
      </w:r>
      <w:r>
        <w:rPr>
          <w:rFonts w:hint="eastAsia" w:cs="宋体" w:asciiTheme="minorEastAsia" w:hAnsiTheme="minorEastAsia" w:eastAsiaTheme="minorEastAsia"/>
          <w:b/>
          <w:bCs/>
          <w:color w:val="auto"/>
          <w:kern w:val="0"/>
          <w:sz w:val="18"/>
          <w:szCs w:val="18"/>
          <w:highlight w:val="none"/>
        </w:rPr>
        <w:t>时</w:t>
      </w:r>
      <w:r>
        <w:rPr>
          <w:rFonts w:hint="eastAsia" w:cs="宋体" w:asciiTheme="minorEastAsia" w:hAnsiTheme="minorEastAsia" w:eastAsiaTheme="minorEastAsia"/>
          <w:b/>
          <w:bCs/>
          <w:color w:val="auto"/>
          <w:kern w:val="0"/>
          <w:sz w:val="18"/>
          <w:szCs w:val="18"/>
          <w:highlight w:val="none"/>
          <w:lang w:val="en-US" w:eastAsia="zh-CN"/>
        </w:rPr>
        <w:t>0</w:t>
      </w:r>
      <w:r>
        <w:rPr>
          <w:rFonts w:hint="eastAsia" w:cs="宋体" w:asciiTheme="minorEastAsia" w:hAnsiTheme="minorEastAsia" w:eastAsiaTheme="minorEastAsia"/>
          <w:b/>
          <w:bCs/>
          <w:color w:val="auto"/>
          <w:kern w:val="0"/>
          <w:sz w:val="18"/>
          <w:szCs w:val="18"/>
          <w:highlight w:val="none"/>
        </w:rPr>
        <w:t>0分</w:t>
      </w:r>
      <w:r>
        <w:rPr>
          <w:rFonts w:hint="eastAsia" w:cs="Arial" w:asciiTheme="minorEastAsia" w:hAnsiTheme="minorEastAsia" w:eastAsiaTheme="minorEastAsia"/>
          <w:b/>
          <w:color w:val="auto"/>
          <w:sz w:val="18"/>
          <w:szCs w:val="18"/>
          <w:highlight w:val="none"/>
        </w:rPr>
        <w:t>前</w:t>
      </w:r>
      <w:r>
        <w:rPr>
          <w:rFonts w:hint="eastAsia" w:cs="Arial" w:asciiTheme="minorEastAsia" w:hAnsiTheme="minorEastAsia" w:eastAsiaTheme="minorEastAsia"/>
          <w:color w:val="auto"/>
          <w:sz w:val="18"/>
          <w:szCs w:val="18"/>
          <w:highlight w:val="none"/>
        </w:rPr>
        <w:t>）</w:t>
      </w:r>
      <w:r>
        <w:rPr>
          <w:rFonts w:cs="Arial" w:asciiTheme="minorEastAsia" w:hAnsiTheme="minorEastAsia" w:eastAsiaTheme="minorEastAsia"/>
          <w:color w:val="auto"/>
          <w:sz w:val="18"/>
          <w:szCs w:val="18"/>
          <w:highlight w:val="none"/>
        </w:rPr>
        <w:t>供应商可以登录“</w:t>
      </w:r>
      <w:r>
        <w:rPr>
          <w:rFonts w:hint="eastAsia" w:cs="Arial" w:asciiTheme="minorEastAsia" w:hAnsiTheme="minorEastAsia" w:eastAsiaTheme="minorEastAsia"/>
          <w:color w:val="auto"/>
          <w:sz w:val="18"/>
          <w:szCs w:val="18"/>
          <w:highlight w:val="none"/>
        </w:rPr>
        <w:t>政采云</w:t>
      </w:r>
      <w:r>
        <w:rPr>
          <w:rFonts w:cs="Arial" w:asciiTheme="minorEastAsia" w:hAnsiTheme="minorEastAsia" w:eastAsiaTheme="minorEastAsia"/>
          <w:color w:val="auto"/>
          <w:sz w:val="18"/>
          <w:szCs w:val="18"/>
          <w:highlight w:val="none"/>
        </w:rPr>
        <w:t>”</w:t>
      </w:r>
      <w:r>
        <w:rPr>
          <w:rFonts w:hint="eastAsia" w:cs="Arial" w:asciiTheme="minorEastAsia" w:hAnsiTheme="minorEastAsia" w:eastAsiaTheme="minorEastAsia"/>
          <w:color w:val="auto"/>
          <w:sz w:val="18"/>
          <w:szCs w:val="18"/>
          <w:highlight w:val="none"/>
        </w:rPr>
        <w:t>平台</w:t>
      </w:r>
      <w:r>
        <w:rPr>
          <w:rFonts w:cs="Arial" w:asciiTheme="minorEastAsia" w:hAnsiTheme="minorEastAsia" w:eastAsiaTheme="minorEastAsia"/>
          <w:color w:val="auto"/>
          <w:sz w:val="18"/>
          <w:szCs w:val="18"/>
          <w:highlight w:val="none"/>
        </w:rPr>
        <w:t>，用“</w:t>
      </w:r>
      <w:r>
        <w:rPr>
          <w:rFonts w:hint="eastAsia" w:cs="Arial" w:asciiTheme="minorEastAsia" w:hAnsiTheme="minorEastAsia" w:eastAsiaTheme="minorEastAsia"/>
          <w:color w:val="auto"/>
          <w:sz w:val="18"/>
          <w:szCs w:val="18"/>
          <w:highlight w:val="none"/>
        </w:rPr>
        <w:t>项目采购-开标评标</w:t>
      </w:r>
      <w:r>
        <w:rPr>
          <w:rFonts w:cs="Arial" w:asciiTheme="minorEastAsia" w:hAnsiTheme="minorEastAsia" w:eastAsiaTheme="minorEastAsia"/>
          <w:color w:val="auto"/>
          <w:sz w:val="18"/>
          <w:szCs w:val="18"/>
          <w:highlight w:val="none"/>
        </w:rPr>
        <w:t>”功能</w:t>
      </w:r>
      <w:r>
        <w:rPr>
          <w:rFonts w:hint="eastAsia" w:cs="Arial" w:asciiTheme="minorEastAsia" w:hAnsiTheme="minorEastAsia" w:eastAsiaTheme="minorEastAsia"/>
          <w:color w:val="auto"/>
          <w:sz w:val="18"/>
          <w:szCs w:val="18"/>
          <w:highlight w:val="none"/>
        </w:rPr>
        <w:t>进行解密投标文件</w:t>
      </w:r>
      <w:r>
        <w:rPr>
          <w:rFonts w:cs="Arial" w:asciiTheme="minorEastAsia" w:hAnsiTheme="minorEastAsia" w:eastAsiaTheme="minorEastAsia"/>
          <w:color w:val="auto"/>
          <w:sz w:val="18"/>
          <w:szCs w:val="18"/>
          <w:highlight w:val="none"/>
        </w:rPr>
        <w:t>。</w:t>
      </w:r>
      <w:r>
        <w:rPr>
          <w:rFonts w:hint="eastAsia" w:cs="Arial" w:asciiTheme="minorEastAsia" w:hAnsiTheme="minorEastAsia" w:eastAsiaTheme="minorEastAsia"/>
          <w:color w:val="auto"/>
          <w:sz w:val="18"/>
          <w:szCs w:val="18"/>
          <w:highlight w:val="none"/>
        </w:rPr>
        <w:t>若供应商在规定时间内（</w:t>
      </w:r>
      <w:r>
        <w:rPr>
          <w:rFonts w:hint="eastAsia" w:asciiTheme="minorEastAsia" w:hAnsiTheme="minorEastAsia" w:eastAsiaTheme="minorEastAsia"/>
          <w:b/>
          <w:color w:val="auto"/>
          <w:sz w:val="18"/>
          <w:szCs w:val="18"/>
          <w:highlight w:val="none"/>
          <w:shd w:val="clear" w:color="auto" w:fill="FFFFFF"/>
          <w:lang w:eastAsia="zh-CN"/>
        </w:rPr>
        <w:t>202</w:t>
      </w:r>
      <w:r>
        <w:rPr>
          <w:rFonts w:hint="eastAsia" w:asciiTheme="minorEastAsia" w:hAnsiTheme="minorEastAsia" w:eastAsiaTheme="minorEastAsia"/>
          <w:b/>
          <w:color w:val="auto"/>
          <w:sz w:val="18"/>
          <w:szCs w:val="18"/>
          <w:highlight w:val="none"/>
          <w:shd w:val="clear" w:color="auto" w:fill="FFFFFF"/>
          <w:lang w:val="en-US" w:eastAsia="zh-CN"/>
        </w:rPr>
        <w:t>3</w:t>
      </w:r>
      <w:r>
        <w:rPr>
          <w:rFonts w:hint="eastAsia" w:asciiTheme="minorEastAsia" w:hAnsiTheme="minorEastAsia" w:eastAsiaTheme="minorEastAsia"/>
          <w:b/>
          <w:color w:val="auto"/>
          <w:sz w:val="18"/>
          <w:szCs w:val="18"/>
          <w:highlight w:val="none"/>
          <w:shd w:val="clear" w:color="auto" w:fill="FFFFFF"/>
          <w:lang w:eastAsia="zh-CN"/>
        </w:rPr>
        <w:t>年</w:t>
      </w:r>
      <w:r>
        <w:rPr>
          <w:rFonts w:hint="eastAsia" w:asciiTheme="minorEastAsia" w:hAnsiTheme="minorEastAsia" w:eastAsiaTheme="minorEastAsia"/>
          <w:b/>
          <w:color w:val="auto"/>
          <w:sz w:val="18"/>
          <w:szCs w:val="18"/>
          <w:highlight w:val="none"/>
          <w:shd w:val="clear" w:color="auto" w:fill="FFFFFF"/>
          <w:lang w:val="en-US" w:eastAsia="zh-CN"/>
        </w:rPr>
        <w:t>12月26日</w:t>
      </w:r>
      <w:r>
        <w:rPr>
          <w:rFonts w:hint="eastAsia" w:cs="宋体" w:asciiTheme="minorEastAsia" w:hAnsiTheme="minorEastAsia" w:eastAsiaTheme="minorEastAsia"/>
          <w:b/>
          <w:bCs/>
          <w:color w:val="auto"/>
          <w:kern w:val="0"/>
          <w:sz w:val="18"/>
          <w:szCs w:val="18"/>
          <w:highlight w:val="none"/>
        </w:rPr>
        <w:t>1</w:t>
      </w:r>
      <w:r>
        <w:rPr>
          <w:rFonts w:hint="eastAsia" w:cs="宋体" w:asciiTheme="minorEastAsia" w:hAnsiTheme="minorEastAsia" w:eastAsiaTheme="minorEastAsia"/>
          <w:b/>
          <w:bCs/>
          <w:color w:val="auto"/>
          <w:kern w:val="0"/>
          <w:sz w:val="18"/>
          <w:szCs w:val="18"/>
          <w:highlight w:val="none"/>
          <w:lang w:val="en-US" w:eastAsia="zh-CN"/>
        </w:rPr>
        <w:t>0</w:t>
      </w:r>
      <w:r>
        <w:rPr>
          <w:rFonts w:hint="eastAsia" w:cs="宋体" w:asciiTheme="minorEastAsia" w:hAnsiTheme="minorEastAsia" w:eastAsiaTheme="minorEastAsia"/>
          <w:b/>
          <w:bCs/>
          <w:color w:val="auto"/>
          <w:kern w:val="0"/>
          <w:sz w:val="18"/>
          <w:szCs w:val="18"/>
          <w:highlight w:val="none"/>
        </w:rPr>
        <w:t>时</w:t>
      </w:r>
      <w:r>
        <w:rPr>
          <w:rFonts w:hint="eastAsia" w:asciiTheme="minorEastAsia" w:hAnsiTheme="minorEastAsia" w:eastAsiaTheme="minorEastAsia"/>
          <w:b/>
          <w:color w:val="auto"/>
          <w:sz w:val="18"/>
          <w:szCs w:val="18"/>
          <w:highlight w:val="none"/>
          <w:shd w:val="clear" w:color="auto" w:fill="FFFFFF"/>
          <w:lang w:val="en-US" w:eastAsia="zh-CN"/>
        </w:rPr>
        <w:t>0</w:t>
      </w:r>
      <w:r>
        <w:rPr>
          <w:rFonts w:hint="eastAsia" w:asciiTheme="minorEastAsia" w:hAnsiTheme="minorEastAsia" w:eastAsiaTheme="minorEastAsia"/>
          <w:b/>
          <w:color w:val="auto"/>
          <w:sz w:val="18"/>
          <w:szCs w:val="18"/>
          <w:highlight w:val="none"/>
          <w:shd w:val="clear" w:color="auto" w:fill="FFFFFF"/>
        </w:rPr>
        <w:t>0分前</w:t>
      </w:r>
      <w:r>
        <w:rPr>
          <w:rFonts w:hint="eastAsia" w:cs="Arial" w:asciiTheme="minorEastAsia" w:hAnsiTheme="minorEastAsia" w:eastAsiaTheme="minorEastAsia"/>
          <w:color w:val="auto"/>
          <w:sz w:val="18"/>
          <w:szCs w:val="18"/>
          <w:highlight w:val="none"/>
        </w:rPr>
        <w:t>）投</w:t>
      </w:r>
      <w:r>
        <w:rPr>
          <w:rFonts w:cs="Arial" w:asciiTheme="minorEastAsia" w:hAnsiTheme="minorEastAsia" w:eastAsiaTheme="minorEastAsia"/>
          <w:color w:val="auto"/>
          <w:sz w:val="18"/>
          <w:szCs w:val="18"/>
          <w:highlight w:val="none"/>
        </w:rPr>
        <w:t>标文件</w:t>
      </w:r>
      <w:r>
        <w:rPr>
          <w:rFonts w:hint="eastAsia" w:cs="Arial" w:asciiTheme="minorEastAsia" w:hAnsiTheme="minorEastAsia" w:eastAsiaTheme="minorEastAsia"/>
          <w:color w:val="auto"/>
          <w:sz w:val="18"/>
          <w:szCs w:val="18"/>
          <w:highlight w:val="none"/>
        </w:rPr>
        <w:t>无法解密或解密失败</w:t>
      </w:r>
      <w:r>
        <w:rPr>
          <w:rFonts w:cs="Arial" w:asciiTheme="minorEastAsia" w:hAnsiTheme="minorEastAsia" w:eastAsiaTheme="minorEastAsia"/>
          <w:color w:val="auto"/>
          <w:sz w:val="18"/>
          <w:szCs w:val="18"/>
          <w:highlight w:val="none"/>
        </w:rPr>
        <w:t>（含未</w:t>
      </w:r>
      <w:r>
        <w:rPr>
          <w:rFonts w:hint="eastAsia" w:cs="Arial" w:asciiTheme="minorEastAsia" w:hAnsiTheme="minorEastAsia" w:eastAsiaTheme="minorEastAsia"/>
          <w:color w:val="auto"/>
          <w:sz w:val="18"/>
          <w:szCs w:val="18"/>
          <w:highlight w:val="none"/>
        </w:rPr>
        <w:t>提交</w:t>
      </w:r>
      <w:r>
        <w:rPr>
          <w:rFonts w:cs="Arial" w:asciiTheme="minorEastAsia" w:hAnsiTheme="minorEastAsia" w:eastAsiaTheme="minorEastAsia"/>
          <w:color w:val="auto"/>
          <w:sz w:val="18"/>
          <w:szCs w:val="18"/>
          <w:highlight w:val="none"/>
        </w:rPr>
        <w:t>），</w:t>
      </w:r>
      <w:r>
        <w:rPr>
          <w:rFonts w:hint="eastAsia" w:cs="Arial" w:asciiTheme="minorEastAsia" w:hAnsiTheme="minorEastAsia" w:eastAsiaTheme="minorEastAsia"/>
          <w:color w:val="auto"/>
          <w:sz w:val="18"/>
          <w:szCs w:val="18"/>
          <w:highlight w:val="none"/>
        </w:rPr>
        <w:t>则投标无效。</w:t>
      </w:r>
    </w:p>
    <w:p>
      <w:pPr>
        <w:spacing w:line="360" w:lineRule="auto"/>
        <w:rPr>
          <w:rFonts w:hint="eastAsia" w:ascii="宋体" w:hAnsi="宋体" w:eastAsia="宋体" w:cs="宋体"/>
          <w:b/>
          <w:color w:val="auto"/>
          <w:sz w:val="18"/>
          <w:szCs w:val="18"/>
          <w:highlight w:val="none"/>
        </w:rPr>
      </w:pPr>
      <w:r>
        <w:rPr>
          <w:rFonts w:hint="eastAsia"/>
          <w:b/>
          <w:bCs/>
          <w:color w:val="auto"/>
          <w:sz w:val="18"/>
          <w:szCs w:val="18"/>
          <w:highlight w:val="none"/>
          <w:lang w:eastAsia="zh-CN"/>
        </w:rPr>
        <w:t>十一、</w:t>
      </w:r>
      <w:r>
        <w:rPr>
          <w:rFonts w:hint="eastAsia" w:ascii="宋体" w:hAnsi="宋体" w:eastAsia="宋体" w:cs="宋体"/>
          <w:b/>
          <w:color w:val="auto"/>
          <w:sz w:val="18"/>
          <w:szCs w:val="18"/>
          <w:highlight w:val="none"/>
        </w:rPr>
        <w:t>其他补充事宜</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4.其他事项：</w:t>
      </w:r>
    </w:p>
    <w:p>
      <w:pPr>
        <w:wordWrap w:val="0"/>
        <w:spacing w:line="360" w:lineRule="auto"/>
        <w:ind w:firstLine="361" w:firstLineChars="200"/>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4.1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4.2需要落实的政府采购政策：包括节约资源、保护环境、支持创新、促进中小企业发展等。详见招标文件的第二部分总则。</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4.3电子招投标的说明：</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①电子招投标：本项目以数据电文形式，依托“政府采购云平台（www.zcygov.cn）”进行招投标活动，不接受纸质投标文件；</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③招标文件的获取：使用账号登录或者使用CA登录政采云平台；进入“项目采购”应用，在获取采购文件菜单中选择项目，获取招标文件；</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④投标文件的制作：在“政采云电子交易客户端”中完成“填写基本信息”、“导入投标文件”、“标书关联”、“标书检查”、“电子签名”、“生成电子标书”等操作；</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⑤采购人、采购机构将依托政采云平台完成本项目的电子交易活动，平台不接受未按上述方式获取招标文件的供应商进行投标活动；</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⑥对未按上述方式获取招标文件的供应商对该文件提出的质疑，采购人或采购代理机构将不予处理；</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⑦不提供招标文件纸质版；</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pStyle w:val="48"/>
        <w:ind w:left="0" w:leftChars="0" w:firstLine="0" w:firstLineChars="0"/>
        <w:rPr>
          <w:rFonts w:hint="eastAsia" w:eastAsiaTheme="minorEastAsia"/>
          <w:b/>
          <w:bCs/>
          <w:color w:val="auto"/>
          <w:sz w:val="18"/>
          <w:szCs w:val="18"/>
          <w:highlight w:val="none"/>
          <w:lang w:eastAsia="zh-CN"/>
        </w:rPr>
      </w:pPr>
      <w:r>
        <w:rPr>
          <w:rFonts w:hint="eastAsia" w:ascii="宋体" w:hAnsi="宋体" w:eastAsia="宋体" w:cs="宋体"/>
          <w:color w:val="auto"/>
          <w:sz w:val="18"/>
          <w:szCs w:val="18"/>
          <w:highlight w:val="none"/>
        </w:rPr>
        <w:t>⑩具体操作指南：详见政采云平台“服务中心-帮助文档-项目采购-操作流程-电子招投标-政府采购项目电子交易管理操作指南-供应商”。</w:t>
      </w:r>
    </w:p>
    <w:p>
      <w:pPr>
        <w:pStyle w:val="48"/>
        <w:ind w:left="0" w:leftChars="0" w:firstLine="0" w:firstLineChars="0"/>
        <w:rPr>
          <w:b/>
          <w:bCs/>
          <w:color w:val="auto"/>
          <w:sz w:val="18"/>
          <w:szCs w:val="18"/>
          <w:highlight w:val="none"/>
        </w:rPr>
      </w:pPr>
      <w:r>
        <w:rPr>
          <w:rFonts w:hint="eastAsia"/>
          <w:b/>
          <w:bCs/>
          <w:color w:val="auto"/>
          <w:sz w:val="18"/>
          <w:szCs w:val="18"/>
          <w:highlight w:val="none"/>
        </w:rPr>
        <w:t>十二、业务咨询：</w:t>
      </w:r>
    </w:p>
    <w:p>
      <w:pPr>
        <w:snapToGrid w:val="0"/>
        <w:spacing w:line="360" w:lineRule="auto"/>
        <w:rPr>
          <w:rFonts w:hint="eastAsia" w:cs="Arial" w:asciiTheme="minorEastAsia" w:hAnsiTheme="minorEastAsia" w:eastAsiaTheme="minorEastAsia"/>
          <w:b w:val="0"/>
          <w:bCs/>
          <w:color w:val="auto"/>
          <w:sz w:val="18"/>
          <w:szCs w:val="18"/>
          <w:highlight w:val="none"/>
          <w:lang w:eastAsia="zh"/>
        </w:rPr>
      </w:pPr>
      <w:r>
        <w:rPr>
          <w:rFonts w:hint="eastAsia" w:cs="Arial" w:asciiTheme="minorEastAsia" w:hAnsiTheme="minorEastAsia" w:eastAsiaTheme="minorEastAsia"/>
          <w:b w:val="0"/>
          <w:bCs/>
          <w:color w:val="auto"/>
          <w:sz w:val="18"/>
          <w:szCs w:val="18"/>
          <w:highlight w:val="none"/>
        </w:rPr>
        <w:t>名    称：</w:t>
      </w:r>
      <w:r>
        <w:rPr>
          <w:rFonts w:hint="eastAsia" w:cs="Arial" w:asciiTheme="minorEastAsia" w:hAnsiTheme="minorEastAsia" w:eastAsiaTheme="minorEastAsia"/>
          <w:b w:val="0"/>
          <w:bCs/>
          <w:color w:val="auto"/>
          <w:sz w:val="18"/>
          <w:szCs w:val="18"/>
          <w:highlight w:val="none"/>
          <w:lang w:eastAsia="zh"/>
        </w:rPr>
        <w:t>嘉兴市秀洲区人民政府塘汇街道办事处</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章先生</w:t>
      </w:r>
    </w:p>
    <w:p>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项目联系方式（询问）：0573-</w:t>
      </w:r>
      <w:r>
        <w:rPr>
          <w:rFonts w:hint="eastAsia" w:cs="Arial" w:asciiTheme="minorEastAsia" w:hAnsiTheme="minorEastAsia" w:eastAsiaTheme="minorEastAsia"/>
          <w:b w:val="0"/>
          <w:bCs/>
          <w:color w:val="auto"/>
          <w:sz w:val="18"/>
          <w:szCs w:val="18"/>
          <w:highlight w:val="none"/>
          <w:lang w:val="en-US" w:eastAsia="zh-CN"/>
        </w:rPr>
        <w:t>83838117</w:t>
      </w:r>
    </w:p>
    <w:p>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质疑联系人：</w:t>
      </w:r>
      <w:r>
        <w:rPr>
          <w:rFonts w:hint="eastAsia" w:cs="Arial" w:asciiTheme="minorEastAsia" w:hAnsiTheme="minorEastAsia" w:eastAsiaTheme="minorEastAsia"/>
          <w:b w:val="0"/>
          <w:bCs/>
          <w:color w:val="auto"/>
          <w:sz w:val="18"/>
          <w:szCs w:val="18"/>
          <w:highlight w:val="none"/>
          <w:lang w:val="en-US" w:eastAsia="zh-CN"/>
        </w:rPr>
        <w:t>章先生</w:t>
      </w:r>
    </w:p>
    <w:p>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质疑联系方式：0573-</w:t>
      </w:r>
      <w:r>
        <w:rPr>
          <w:rFonts w:hint="eastAsia" w:cs="Arial" w:asciiTheme="minorEastAsia" w:hAnsiTheme="minorEastAsia" w:eastAsiaTheme="minorEastAsia"/>
          <w:b w:val="0"/>
          <w:bCs/>
          <w:color w:val="auto"/>
          <w:sz w:val="18"/>
          <w:szCs w:val="18"/>
          <w:highlight w:val="none"/>
          <w:lang w:val="en-US" w:eastAsia="zh-CN"/>
        </w:rPr>
        <w:t>83838117</w:t>
      </w:r>
    </w:p>
    <w:p>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2、采购代理机构信息</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w:t>
      </w:r>
      <w:r>
        <w:rPr>
          <w:rFonts w:hint="eastAsia" w:cs="Arial" w:asciiTheme="minorEastAsia" w:hAnsiTheme="minorEastAsia" w:eastAsiaTheme="minorEastAsia"/>
          <w:b w:val="0"/>
          <w:bCs/>
          <w:color w:val="auto"/>
          <w:sz w:val="18"/>
          <w:szCs w:val="18"/>
          <w:highlight w:val="none"/>
          <w:lang w:eastAsia="zh-CN"/>
        </w:rPr>
        <w:t>嘉兴市银建工程咨询评估有限公司</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地    址： </w:t>
      </w:r>
      <w:r>
        <w:rPr>
          <w:rFonts w:hint="eastAsia" w:cs="Arial" w:asciiTheme="minorEastAsia" w:hAnsiTheme="minorEastAsia" w:eastAsiaTheme="minorEastAsia"/>
          <w:b w:val="0"/>
          <w:bCs/>
          <w:color w:val="auto"/>
          <w:sz w:val="18"/>
          <w:szCs w:val="18"/>
          <w:highlight w:val="none"/>
          <w:lang w:eastAsia="zh-CN"/>
        </w:rPr>
        <w:t>嘉兴市秀洲区洪兴路239</w:t>
      </w:r>
      <w:r>
        <w:rPr>
          <w:rFonts w:hint="eastAsia" w:cs="Arial" w:asciiTheme="minorEastAsia" w:hAnsiTheme="minorEastAsia" w:eastAsiaTheme="minorEastAsia"/>
          <w:b w:val="0"/>
          <w:bCs/>
          <w:color w:val="auto"/>
          <w:sz w:val="18"/>
          <w:szCs w:val="18"/>
          <w:highlight w:val="none"/>
          <w:lang w:val="en-US" w:eastAsia="zh-CN"/>
        </w:rPr>
        <w:t>9</w:t>
      </w:r>
      <w:r>
        <w:rPr>
          <w:rFonts w:hint="eastAsia" w:cs="Arial" w:asciiTheme="minorEastAsia" w:hAnsiTheme="minorEastAsia" w:eastAsiaTheme="minorEastAsia"/>
          <w:b w:val="0"/>
          <w:bCs/>
          <w:color w:val="auto"/>
          <w:sz w:val="18"/>
          <w:szCs w:val="18"/>
          <w:highlight w:val="none"/>
          <w:lang w:eastAsia="zh-CN"/>
        </w:rPr>
        <w:t>号宝地大厦1</w:t>
      </w:r>
      <w:r>
        <w:rPr>
          <w:rFonts w:hint="eastAsia" w:cs="Arial" w:asciiTheme="minorEastAsia" w:hAnsiTheme="minorEastAsia" w:eastAsiaTheme="minorEastAsia"/>
          <w:b w:val="0"/>
          <w:bCs/>
          <w:color w:val="auto"/>
          <w:sz w:val="18"/>
          <w:szCs w:val="18"/>
          <w:highlight w:val="none"/>
          <w:lang w:val="en-US" w:eastAsia="zh-CN"/>
        </w:rPr>
        <w:t>205</w:t>
      </w:r>
      <w:r>
        <w:rPr>
          <w:rFonts w:hint="eastAsia" w:cs="Arial" w:asciiTheme="minorEastAsia" w:hAnsiTheme="minorEastAsia" w:eastAsiaTheme="minorEastAsia"/>
          <w:b w:val="0"/>
          <w:bCs/>
          <w:color w:val="auto"/>
          <w:sz w:val="18"/>
          <w:szCs w:val="18"/>
          <w:highlight w:val="none"/>
          <w:lang w:eastAsia="zh-CN"/>
        </w:rPr>
        <w:t>室</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eastAsia="zh-CN"/>
        </w:rPr>
        <w:t>李祺琛</w:t>
      </w:r>
    </w:p>
    <w:p>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 xml:space="preserve">项目联系方式（询问）： </w:t>
      </w:r>
      <w:r>
        <w:rPr>
          <w:rFonts w:hint="eastAsia" w:cs="Arial" w:asciiTheme="minorEastAsia" w:hAnsiTheme="minorEastAsia" w:eastAsiaTheme="minorEastAsia"/>
          <w:b w:val="0"/>
          <w:bCs/>
          <w:color w:val="auto"/>
          <w:sz w:val="18"/>
          <w:szCs w:val="18"/>
          <w:highlight w:val="none"/>
          <w:lang w:val="en-US" w:eastAsia="zh-CN"/>
        </w:rPr>
        <w:t>18006615280</w:t>
      </w:r>
    </w:p>
    <w:p>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3、同级政府采购监督管理部门</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w:t>
      </w:r>
      <w:r>
        <w:rPr>
          <w:rFonts w:hint="eastAsia" w:cs="Arial" w:asciiTheme="minorEastAsia" w:hAnsiTheme="minorEastAsia" w:eastAsiaTheme="minorEastAsia"/>
          <w:b w:val="0"/>
          <w:bCs/>
          <w:color w:val="auto"/>
          <w:sz w:val="18"/>
          <w:szCs w:val="18"/>
          <w:highlight w:val="none"/>
          <w:lang w:eastAsia="zh-CN"/>
        </w:rPr>
        <w:t>嘉兴市经济开发区财政局</w:t>
      </w:r>
      <w:r>
        <w:rPr>
          <w:rFonts w:hint="eastAsia" w:cs="Arial" w:asciiTheme="minorEastAsia" w:hAnsiTheme="minorEastAsia" w:eastAsiaTheme="minorEastAsia"/>
          <w:b w:val="0"/>
          <w:bCs/>
          <w:color w:val="auto"/>
          <w:sz w:val="18"/>
          <w:szCs w:val="18"/>
          <w:highlight w:val="none"/>
        </w:rPr>
        <w:t xml:space="preserve"> </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监督投诉电话：0573-83689235</w:t>
      </w:r>
    </w:p>
    <w:p>
      <w:pPr>
        <w:snapToGrid w:val="0"/>
        <w:spacing w:line="360" w:lineRule="auto"/>
        <w:jc w:val="right"/>
        <w:rPr>
          <w:rFonts w:hint="eastAsia" w:asciiTheme="minorEastAsia" w:hAnsiTheme="minorEastAsia" w:eastAsiaTheme="minorEastAsia"/>
          <w:color w:val="auto"/>
          <w:sz w:val="18"/>
          <w:szCs w:val="18"/>
          <w:highlight w:val="none"/>
          <w:lang w:eastAsia="zh"/>
        </w:rPr>
      </w:pPr>
      <w:r>
        <w:rPr>
          <w:rFonts w:hint="eastAsia" w:asciiTheme="minorEastAsia" w:hAnsiTheme="minorEastAsia" w:eastAsiaTheme="minorEastAsia"/>
          <w:color w:val="auto"/>
          <w:sz w:val="18"/>
          <w:szCs w:val="18"/>
          <w:highlight w:val="none"/>
        </w:rPr>
        <w:t>采购</w:t>
      </w:r>
      <w:r>
        <w:rPr>
          <w:rFonts w:asciiTheme="minorEastAsia" w:hAnsiTheme="minorEastAsia" w:eastAsiaTheme="minorEastAsia"/>
          <w:color w:val="auto"/>
          <w:sz w:val="18"/>
          <w:szCs w:val="18"/>
          <w:highlight w:val="none"/>
        </w:rPr>
        <w:t>单位：</w:t>
      </w:r>
      <w:r>
        <w:rPr>
          <w:rFonts w:hint="eastAsia" w:asciiTheme="minorEastAsia" w:hAnsiTheme="minorEastAsia" w:eastAsiaTheme="minorEastAsia"/>
          <w:color w:val="auto"/>
          <w:sz w:val="18"/>
          <w:szCs w:val="18"/>
          <w:highlight w:val="none"/>
          <w:lang w:eastAsia="zh"/>
        </w:rPr>
        <w:t>嘉兴市秀洲区人民政府塘汇街道办事处</w:t>
      </w:r>
    </w:p>
    <w:p>
      <w:pPr>
        <w:snapToGrid w:val="0"/>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代理机构：嘉兴市银建工程咨询评估有限公司</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w:t>
      </w:r>
      <w:r>
        <w:rPr>
          <w:rFonts w:asciiTheme="minorEastAsia" w:hAnsiTheme="minorEastAsia" w:eastAsiaTheme="minorEastAsia"/>
          <w:color w:val="auto"/>
          <w:sz w:val="18"/>
          <w:szCs w:val="18"/>
          <w:highlight w:val="none"/>
        </w:rPr>
        <w:t>202</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年</w:t>
      </w:r>
      <w:r>
        <w:rPr>
          <w:rFonts w:hint="eastAsia" w:asciiTheme="minorEastAsia" w:hAnsiTheme="minorEastAsia" w:eastAsiaTheme="minorEastAsia"/>
          <w:color w:val="auto"/>
          <w:sz w:val="18"/>
          <w:szCs w:val="18"/>
          <w:highlight w:val="none"/>
          <w:lang w:val="en-US" w:eastAsia="zh-CN"/>
        </w:rPr>
        <w:t>12</w:t>
      </w:r>
      <w:r>
        <w:rPr>
          <w:rFonts w:asciiTheme="minorEastAsia" w:hAnsiTheme="minorEastAsia" w:eastAsiaTheme="minorEastAsia"/>
          <w:color w:val="auto"/>
          <w:sz w:val="18"/>
          <w:szCs w:val="18"/>
          <w:highlight w:val="none"/>
        </w:rPr>
        <w:t>月</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日</w:t>
      </w:r>
    </w:p>
    <w:p>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pPr>
        <w:numPr>
          <w:ilvl w:val="0"/>
          <w:numId w:val="6"/>
        </w:numPr>
        <w:snapToGrid w:val="0"/>
        <w:spacing w:beforeLines="50" w:afterLines="50" w:line="360" w:lineRule="auto"/>
        <w:ind w:left="238"/>
        <w:jc w:val="center"/>
        <w:outlineLvl w:val="0"/>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 </w:t>
      </w:r>
      <w:bookmarkStart w:id="1" w:name="_Toc19796"/>
      <w:r>
        <w:rPr>
          <w:rFonts w:hint="eastAsia" w:asciiTheme="minorEastAsia" w:hAnsiTheme="minorEastAsia" w:eastAsiaTheme="minorEastAsia"/>
          <w:b/>
          <w:color w:val="auto"/>
          <w:sz w:val="30"/>
          <w:szCs w:val="30"/>
          <w:highlight w:val="none"/>
        </w:rPr>
        <w:t>招标需求</w:t>
      </w:r>
      <w:bookmarkEnd w:id="1"/>
      <w:bookmarkStart w:id="2" w:name="_Toc406402986"/>
    </w:p>
    <w:p>
      <w:pPr>
        <w:pStyle w:val="48"/>
        <w:numPr>
          <w:ilvl w:val="0"/>
          <w:numId w:val="0"/>
        </w:numPr>
        <w:rPr>
          <w:rFonts w:hint="default" w:eastAsiaTheme="minorEastAsia"/>
          <w:color w:val="auto"/>
          <w:sz w:val="18"/>
          <w:szCs w:val="18"/>
          <w:highlight w:val="none"/>
          <w:lang w:val="en-US" w:eastAsia="zh-CN"/>
        </w:rPr>
      </w:pPr>
      <w:r>
        <w:rPr>
          <w:rFonts w:hint="eastAsia"/>
          <w:color w:val="auto"/>
          <w:sz w:val="18"/>
          <w:szCs w:val="18"/>
          <w:highlight w:val="none"/>
          <w:lang w:val="en-US" w:eastAsia="zh-CN"/>
        </w:rPr>
        <w:t>一、项目概况</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塘汇街道部分</w:t>
      </w:r>
      <w:r>
        <w:rPr>
          <w:rFonts w:hint="eastAsia" w:ascii="宋体" w:hAnsi="宋体" w:eastAsia="宋体" w:cs="宋体"/>
          <w:color w:val="auto"/>
          <w:sz w:val="18"/>
          <w:szCs w:val="18"/>
          <w:highlight w:val="none"/>
          <w:lang w:val="en-US" w:eastAsia="zh-CN"/>
        </w:rPr>
        <w:t>区域内的</w:t>
      </w:r>
      <w:r>
        <w:rPr>
          <w:rFonts w:hint="eastAsia" w:ascii="宋体" w:hAnsi="宋体" w:cs="宋体"/>
          <w:color w:val="auto"/>
          <w:sz w:val="18"/>
          <w:szCs w:val="18"/>
          <w:highlight w:val="none"/>
          <w:lang w:val="en-US" w:eastAsia="zh-CN"/>
        </w:rPr>
        <w:t>绿地、</w:t>
      </w:r>
      <w:r>
        <w:rPr>
          <w:rFonts w:hint="eastAsia" w:ascii="宋体" w:hAnsi="宋体" w:eastAsia="宋体" w:cs="宋体"/>
          <w:color w:val="auto"/>
          <w:sz w:val="18"/>
          <w:szCs w:val="18"/>
          <w:highlight w:val="none"/>
          <w:lang w:val="en-US" w:eastAsia="zh-CN"/>
        </w:rPr>
        <w:t>乔灌木、行道树养护，时令草花种植及日常养护</w:t>
      </w:r>
      <w:r>
        <w:rPr>
          <w:rFonts w:hint="eastAsia" w:ascii="宋体" w:hAnsi="宋体" w:cs="宋体"/>
          <w:color w:val="auto"/>
          <w:sz w:val="18"/>
          <w:szCs w:val="18"/>
          <w:highlight w:val="none"/>
          <w:lang w:val="en-US" w:eastAsia="zh-CN"/>
        </w:rPr>
        <w:t>（详见清单）。</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w:t>
      </w:r>
      <w:r>
        <w:rPr>
          <w:rFonts w:hint="eastAsia" w:ascii="宋体" w:hAnsi="宋体" w:eastAsia="宋体" w:cs="宋体"/>
          <w:color w:val="auto"/>
          <w:sz w:val="18"/>
          <w:szCs w:val="18"/>
          <w:highlight w:val="none"/>
          <w:lang w:val="en-US" w:eastAsia="zh-CN"/>
        </w:rPr>
        <w:t>发生量结算。</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结算时单价按投标时全费用单位计，不因任何因素变更。</w:t>
      </w:r>
    </w:p>
    <w:p>
      <w:pPr>
        <w:pStyle w:val="48"/>
        <w:numPr>
          <w:ilvl w:val="0"/>
          <w:numId w:val="0"/>
        </w:numPr>
        <w:ind w:left="388" w:leftChars="0"/>
        <w:rPr>
          <w:rFonts w:hint="eastAsia" w:ascii="宋体" w:hAnsi="宋体" w:eastAsia="宋体" w:cs="宋体"/>
          <w:b/>
          <w:color w:val="auto"/>
          <w:sz w:val="18"/>
          <w:szCs w:val="18"/>
          <w:highlight w:val="none"/>
        </w:rPr>
      </w:pPr>
      <w:r>
        <w:rPr>
          <w:rFonts w:hint="eastAsia" w:hAnsi="宋体" w:eastAsia="宋体" w:cs="宋体"/>
          <w:b/>
          <w:color w:val="auto"/>
          <w:sz w:val="18"/>
          <w:szCs w:val="18"/>
          <w:highlight w:val="none"/>
          <w:lang w:eastAsia="zh-CN"/>
        </w:rPr>
        <w:t>二、技术</w:t>
      </w:r>
      <w:r>
        <w:rPr>
          <w:rFonts w:hint="eastAsia" w:ascii="宋体" w:hAnsi="宋体" w:eastAsia="宋体" w:cs="宋体"/>
          <w:b/>
          <w:color w:val="auto"/>
          <w:sz w:val="18"/>
          <w:szCs w:val="18"/>
          <w:highlight w:val="none"/>
        </w:rPr>
        <w:t>条款</w:t>
      </w:r>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3" w:name="_Toc25899"/>
      <w:r>
        <w:rPr>
          <w:rFonts w:hint="eastAsia" w:hAnsi="宋体" w:cs="宋体"/>
          <w:bCs/>
          <w:color w:val="auto"/>
          <w:sz w:val="18"/>
          <w:szCs w:val="18"/>
          <w:highlight w:val="none"/>
          <w:lang w:val="en-US" w:eastAsia="zh-CN"/>
        </w:rPr>
        <w:t>1</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养护服务清单</w:t>
      </w:r>
      <w:r>
        <w:rPr>
          <w:rFonts w:hint="default" w:ascii="宋体" w:hAnsi="宋体" w:eastAsia="宋体" w:cs="宋体"/>
          <w:bCs/>
          <w:color w:val="auto"/>
          <w:sz w:val="18"/>
          <w:szCs w:val="18"/>
          <w:highlight w:val="none"/>
          <w:lang w:val="en-US" w:eastAsia="zh-CN"/>
        </w:rPr>
        <w:t>中只描述了完成本分项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应有的主要工作内容，但投标人填报的</w:t>
      </w:r>
      <w:r>
        <w:rPr>
          <w:rFonts w:hint="eastAsia" w:hAnsi="宋体" w:cs="宋体"/>
          <w:bCs/>
          <w:color w:val="auto"/>
          <w:sz w:val="18"/>
          <w:szCs w:val="18"/>
          <w:highlight w:val="none"/>
          <w:lang w:val="en-US" w:eastAsia="zh-CN"/>
        </w:rPr>
        <w:t>全费用</w:t>
      </w:r>
      <w:r>
        <w:rPr>
          <w:rFonts w:hint="default" w:ascii="宋体" w:hAnsi="宋体" w:eastAsia="宋体" w:cs="宋体"/>
          <w:bCs/>
          <w:color w:val="auto"/>
          <w:sz w:val="18"/>
          <w:szCs w:val="18"/>
          <w:highlight w:val="none"/>
          <w:lang w:val="en-US" w:eastAsia="zh-CN"/>
        </w:rPr>
        <w:t>综合单价应是包含了分项计量范围内的所有工作内容的价格，无论本分项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有无明确列项或表示，只要是为完成该分项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所需要做的工作和为了满足该分项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的完整性所需要做的工作，均视为该分项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所包含的内容。投标人在填写每一项的</w:t>
      </w:r>
      <w:r>
        <w:rPr>
          <w:rFonts w:hint="eastAsia" w:hAnsi="宋体" w:cs="宋体"/>
          <w:bCs/>
          <w:color w:val="auto"/>
          <w:sz w:val="18"/>
          <w:szCs w:val="18"/>
          <w:highlight w:val="none"/>
          <w:lang w:val="en-US" w:eastAsia="zh-CN"/>
        </w:rPr>
        <w:t>全费用</w:t>
      </w:r>
      <w:r>
        <w:rPr>
          <w:rFonts w:hint="default" w:ascii="宋体" w:hAnsi="宋体" w:eastAsia="宋体" w:cs="宋体"/>
          <w:bCs/>
          <w:color w:val="auto"/>
          <w:sz w:val="18"/>
          <w:szCs w:val="18"/>
          <w:highlight w:val="none"/>
          <w:lang w:val="en-US" w:eastAsia="zh-CN"/>
        </w:rPr>
        <w:t>综合单价和合价时应结合</w:t>
      </w:r>
      <w:r>
        <w:rPr>
          <w:rFonts w:hint="eastAsia" w:hAnsi="宋体" w:cs="宋体"/>
          <w:bCs/>
          <w:color w:val="auto"/>
          <w:sz w:val="18"/>
          <w:szCs w:val="18"/>
          <w:highlight w:val="none"/>
          <w:lang w:val="en-US" w:eastAsia="zh-CN"/>
        </w:rPr>
        <w:t>所有</w:t>
      </w:r>
      <w:r>
        <w:rPr>
          <w:rFonts w:hint="default" w:ascii="宋体" w:hAnsi="宋体" w:eastAsia="宋体" w:cs="宋体"/>
          <w:bCs/>
          <w:color w:val="auto"/>
          <w:sz w:val="18"/>
          <w:szCs w:val="18"/>
          <w:highlight w:val="none"/>
          <w:lang w:val="en-US" w:eastAsia="zh-CN"/>
        </w:rPr>
        <w:t>情况进行报价。</w:t>
      </w:r>
      <w:bookmarkEnd w:id="3"/>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4" w:name="_Toc797"/>
      <w:r>
        <w:rPr>
          <w:rFonts w:hint="eastAsia" w:hAnsi="宋体" w:cs="宋体"/>
          <w:bCs/>
          <w:color w:val="auto"/>
          <w:sz w:val="18"/>
          <w:szCs w:val="18"/>
          <w:highlight w:val="none"/>
          <w:lang w:val="en-US" w:eastAsia="zh-CN"/>
        </w:rPr>
        <w:t>2、</w:t>
      </w:r>
      <w:r>
        <w:rPr>
          <w:rFonts w:hint="default" w:ascii="宋体" w:hAnsi="宋体" w:eastAsia="宋体" w:cs="宋体"/>
          <w:bCs/>
          <w:color w:val="auto"/>
          <w:sz w:val="18"/>
          <w:szCs w:val="18"/>
          <w:highlight w:val="none"/>
          <w:lang w:val="en-US" w:eastAsia="zh-CN"/>
        </w:rPr>
        <w:t>投标人认为必须或可能发生的费用应全部考虑在报价中，未在报价中体现的视作已综合在单价中或已全部优惠。</w:t>
      </w:r>
      <w:bookmarkEnd w:id="4"/>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 w:name="_Toc14036"/>
      <w:r>
        <w:rPr>
          <w:rFonts w:hint="eastAsia" w:hAnsi="宋体" w:cs="宋体"/>
          <w:bCs/>
          <w:color w:val="auto"/>
          <w:sz w:val="18"/>
          <w:szCs w:val="18"/>
          <w:highlight w:val="none"/>
          <w:lang w:val="en-US" w:eastAsia="zh-CN"/>
        </w:rPr>
        <w:t>3</w:t>
      </w:r>
      <w:r>
        <w:rPr>
          <w:rFonts w:hint="default" w:ascii="宋体" w:hAnsi="宋体" w:eastAsia="宋体" w:cs="宋体"/>
          <w:bCs/>
          <w:color w:val="auto"/>
          <w:sz w:val="18"/>
          <w:szCs w:val="18"/>
          <w:highlight w:val="none"/>
          <w:lang w:val="en-US" w:eastAsia="zh-CN"/>
        </w:rPr>
        <w:t>、投标人应按清单中列出的</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项目填报单价和合价。每一项目只允许有一个报价。任何有选择的报价不予接受，投标人未填单价或合价的</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，在实施后，招标人将不予支付，并视作该项费用已包括在其它有价款的单价或合价内。</w:t>
      </w:r>
      <w:bookmarkEnd w:id="5"/>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6" w:name="_Toc31035"/>
      <w:r>
        <w:rPr>
          <w:rFonts w:hint="eastAsia" w:hAnsi="宋体" w:cs="宋体"/>
          <w:bCs/>
          <w:color w:val="auto"/>
          <w:sz w:val="18"/>
          <w:szCs w:val="18"/>
          <w:highlight w:val="none"/>
          <w:lang w:val="en-US" w:eastAsia="zh-CN"/>
        </w:rPr>
        <w:t>4</w:t>
      </w:r>
      <w:r>
        <w:rPr>
          <w:rFonts w:hint="default" w:ascii="宋体" w:hAnsi="宋体" w:eastAsia="宋体" w:cs="宋体"/>
          <w:bCs/>
          <w:color w:val="auto"/>
          <w:sz w:val="18"/>
          <w:szCs w:val="18"/>
          <w:highlight w:val="none"/>
          <w:lang w:val="en-US" w:eastAsia="zh-CN"/>
        </w:rPr>
        <w:t>、本</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用水、用电由</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方自行解决，所需水、电、电讯线路、临时场地、临时设施搭设、临时道路由承包人完成，发包方做好配合及协调工作，所发生的一切费用由</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方自行考虑按市场价计入投标报价中。养护服务期用水、用电涨价风险因素一并考虑计入报价。</w:t>
      </w:r>
      <w:bookmarkEnd w:id="6"/>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7" w:name="_Toc18129"/>
      <w:r>
        <w:rPr>
          <w:rFonts w:hint="eastAsia" w:hAnsi="宋体" w:cs="宋体"/>
          <w:bCs/>
          <w:color w:val="auto"/>
          <w:sz w:val="18"/>
          <w:szCs w:val="18"/>
          <w:highlight w:val="none"/>
          <w:lang w:val="en-US" w:eastAsia="zh-CN"/>
        </w:rPr>
        <w:t>5</w:t>
      </w:r>
      <w:r>
        <w:rPr>
          <w:rFonts w:hint="default" w:ascii="宋体" w:hAnsi="宋体" w:eastAsia="宋体" w:cs="宋体"/>
          <w:bCs/>
          <w:color w:val="auto"/>
          <w:sz w:val="18"/>
          <w:szCs w:val="18"/>
          <w:highlight w:val="none"/>
          <w:lang w:val="en-US" w:eastAsia="zh-CN"/>
        </w:rPr>
        <w:t>、投标人在填报价格及费用时应充分考虑国家现行技术标准、规范等要求</w:t>
      </w:r>
      <w:r>
        <w:rPr>
          <w:rFonts w:hint="eastAsia" w:hAnsi="宋体" w:cs="宋体"/>
          <w:bCs/>
          <w:color w:val="auto"/>
          <w:sz w:val="18"/>
          <w:szCs w:val="18"/>
          <w:highlight w:val="none"/>
          <w:lang w:val="en-US" w:eastAsia="zh-CN"/>
        </w:rPr>
        <w:t>并同时满足业主方要求</w:t>
      </w:r>
      <w:r>
        <w:rPr>
          <w:rFonts w:hint="default" w:ascii="宋体" w:hAnsi="宋体" w:eastAsia="宋体" w:cs="宋体"/>
          <w:bCs/>
          <w:color w:val="auto"/>
          <w:sz w:val="18"/>
          <w:szCs w:val="18"/>
          <w:highlight w:val="none"/>
          <w:lang w:val="en-US" w:eastAsia="zh-CN"/>
        </w:rPr>
        <w:t>，工程质量检测（包括所有原材料、成品、半成品进场复试）等按</w:t>
      </w:r>
      <w:r>
        <w:rPr>
          <w:rFonts w:hint="eastAsia" w:hAnsi="宋体" w:cs="宋体"/>
          <w:bCs/>
          <w:color w:val="auto"/>
          <w:sz w:val="18"/>
          <w:szCs w:val="18"/>
          <w:highlight w:val="none"/>
          <w:lang w:val="en-US" w:eastAsia="zh-CN"/>
        </w:rPr>
        <w:t>发包人</w:t>
      </w:r>
      <w:r>
        <w:rPr>
          <w:rFonts w:hint="default" w:ascii="宋体" w:hAnsi="宋体" w:eastAsia="宋体" w:cs="宋体"/>
          <w:bCs/>
          <w:color w:val="auto"/>
          <w:sz w:val="18"/>
          <w:szCs w:val="18"/>
          <w:highlight w:val="none"/>
          <w:lang w:val="en-US" w:eastAsia="zh-CN"/>
        </w:rPr>
        <w:t>、验收规范要求送检，所需一切费用计入投标报价内。</w:t>
      </w:r>
      <w:bookmarkEnd w:id="7"/>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8" w:name="_Toc22367"/>
      <w:r>
        <w:rPr>
          <w:rFonts w:hint="eastAsia" w:hAnsi="宋体" w:cs="宋体"/>
          <w:bCs/>
          <w:color w:val="auto"/>
          <w:sz w:val="18"/>
          <w:szCs w:val="18"/>
          <w:highlight w:val="none"/>
          <w:lang w:val="en-US" w:eastAsia="zh-CN"/>
        </w:rPr>
        <w:t>6</w:t>
      </w:r>
      <w:r>
        <w:rPr>
          <w:rFonts w:hint="default" w:ascii="宋体" w:hAnsi="宋体" w:eastAsia="宋体" w:cs="宋体"/>
          <w:bCs/>
          <w:color w:val="auto"/>
          <w:sz w:val="18"/>
          <w:szCs w:val="18"/>
          <w:highlight w:val="none"/>
          <w:lang w:val="en-US" w:eastAsia="zh-CN"/>
        </w:rPr>
        <w:t>、养护单位必须确保养护区域内路面、</w:t>
      </w:r>
      <w:r>
        <w:rPr>
          <w:rFonts w:hint="eastAsia" w:hAnsi="宋体" w:cs="宋体"/>
          <w:bCs/>
          <w:color w:val="auto"/>
          <w:sz w:val="18"/>
          <w:szCs w:val="18"/>
          <w:highlight w:val="none"/>
          <w:lang w:val="en-US" w:eastAsia="zh-CN"/>
        </w:rPr>
        <w:t>绿地、</w:t>
      </w:r>
      <w:r>
        <w:rPr>
          <w:rFonts w:hint="default" w:ascii="宋体" w:hAnsi="宋体" w:eastAsia="宋体" w:cs="宋体"/>
          <w:bCs/>
          <w:color w:val="auto"/>
          <w:sz w:val="18"/>
          <w:szCs w:val="18"/>
          <w:highlight w:val="none"/>
          <w:lang w:val="en-US" w:eastAsia="zh-CN"/>
        </w:rPr>
        <w:t>行道树穴清洁、干净，做到无果皮纸屑、</w:t>
      </w:r>
      <w:r>
        <w:rPr>
          <w:rFonts w:hint="eastAsia" w:hAnsi="宋体" w:cs="宋体"/>
          <w:bCs/>
          <w:color w:val="auto"/>
          <w:sz w:val="18"/>
          <w:szCs w:val="18"/>
          <w:highlight w:val="none"/>
          <w:lang w:val="en-US" w:eastAsia="zh-CN"/>
        </w:rPr>
        <w:t>无枯枝落叶、</w:t>
      </w:r>
      <w:r>
        <w:rPr>
          <w:rFonts w:hint="default" w:ascii="宋体" w:hAnsi="宋体" w:eastAsia="宋体" w:cs="宋体"/>
          <w:bCs/>
          <w:color w:val="auto"/>
          <w:sz w:val="18"/>
          <w:szCs w:val="18"/>
          <w:highlight w:val="none"/>
          <w:lang w:val="en-US" w:eastAsia="zh-CN"/>
        </w:rPr>
        <w:t>无积水积泥、无堆积杂物；对于养护期内所有苗木绿化缺损、坏死均由养护单位负责及时补种；养护区域公园、绿地内大乔木养护按照业主方要求每年至少修剪1次；行道树按要求修剪，并做到不遮挡交通信号灯、指示牌和路灯等；养护范围内小乔及花灌木养护按照业主方养护要求</w:t>
      </w:r>
      <w:r>
        <w:rPr>
          <w:rFonts w:hint="eastAsia" w:hAnsi="宋体" w:cs="宋体"/>
          <w:bCs/>
          <w:color w:val="auto"/>
          <w:sz w:val="18"/>
          <w:szCs w:val="18"/>
          <w:highlight w:val="none"/>
          <w:lang w:val="en-US" w:eastAsia="zh-CN"/>
        </w:rPr>
        <w:t>定时</w:t>
      </w:r>
      <w:r>
        <w:rPr>
          <w:rFonts w:hint="default" w:ascii="宋体" w:hAnsi="宋体" w:eastAsia="宋体" w:cs="宋体"/>
          <w:bCs/>
          <w:color w:val="auto"/>
          <w:sz w:val="18"/>
          <w:szCs w:val="18"/>
          <w:highlight w:val="none"/>
          <w:lang w:val="en-US" w:eastAsia="zh-CN"/>
        </w:rPr>
        <w:t>修剪</w:t>
      </w:r>
      <w:r>
        <w:rPr>
          <w:rFonts w:hint="eastAsia" w:hAnsi="宋体" w:cs="宋体"/>
          <w:bCs/>
          <w:color w:val="auto"/>
          <w:sz w:val="18"/>
          <w:szCs w:val="18"/>
          <w:highlight w:val="none"/>
          <w:lang w:val="en-US" w:eastAsia="zh-CN"/>
        </w:rPr>
        <w:t>，保持修剪平整度一致</w:t>
      </w:r>
      <w:r>
        <w:rPr>
          <w:rFonts w:hint="default" w:ascii="宋体" w:hAnsi="宋体" w:eastAsia="宋体" w:cs="宋体"/>
          <w:bCs/>
          <w:color w:val="auto"/>
          <w:sz w:val="18"/>
          <w:szCs w:val="18"/>
          <w:highlight w:val="none"/>
          <w:lang w:val="en-US" w:eastAsia="zh-CN"/>
        </w:rPr>
        <w:t>；养护区域内若出现违章搭建及无证占绿、乱种植等现象，养护单位必须当场予以制止，并清理干净、恢复原样，相关一切工作均由养护单位负责处理。投标单位须将以上涉及的一切费用等综合考虑，并计入报价。</w:t>
      </w:r>
      <w:bookmarkEnd w:id="8"/>
      <w:r>
        <w:rPr>
          <w:rFonts w:hint="eastAsia" w:hAnsi="宋体" w:cs="宋体"/>
          <w:bCs/>
          <w:color w:val="auto"/>
          <w:sz w:val="18"/>
          <w:szCs w:val="18"/>
          <w:highlight w:val="none"/>
          <w:lang w:val="en-US" w:eastAsia="zh-CN"/>
        </w:rPr>
        <w:t xml:space="preserve"> </w:t>
      </w:r>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9" w:name="_Toc21171"/>
      <w:r>
        <w:rPr>
          <w:rFonts w:hint="eastAsia" w:hAnsi="宋体" w:cs="宋体"/>
          <w:bCs/>
          <w:color w:val="auto"/>
          <w:sz w:val="18"/>
          <w:szCs w:val="18"/>
          <w:highlight w:val="none"/>
          <w:lang w:val="en-US" w:eastAsia="zh-CN"/>
        </w:rPr>
        <w:t>7</w:t>
      </w:r>
      <w:r>
        <w:rPr>
          <w:rFonts w:hint="default" w:ascii="宋体" w:hAnsi="宋体" w:eastAsia="宋体" w:cs="宋体"/>
          <w:bCs/>
          <w:color w:val="auto"/>
          <w:sz w:val="18"/>
          <w:szCs w:val="18"/>
          <w:highlight w:val="none"/>
          <w:lang w:val="en-US" w:eastAsia="zh-CN"/>
        </w:rPr>
        <w:t>、若养护服务过程中遇到与其他项目需交叉</w:t>
      </w:r>
      <w:r>
        <w:rPr>
          <w:rFonts w:hint="eastAsia" w:hAnsi="宋体" w:cs="宋体"/>
          <w:bCs/>
          <w:color w:val="auto"/>
          <w:sz w:val="18"/>
          <w:szCs w:val="18"/>
          <w:highlight w:val="none"/>
          <w:lang w:val="en-US" w:eastAsia="zh-CN"/>
        </w:rPr>
        <w:t>实施</w:t>
      </w:r>
      <w:r>
        <w:rPr>
          <w:rFonts w:hint="default" w:ascii="宋体" w:hAnsi="宋体" w:eastAsia="宋体" w:cs="宋体"/>
          <w:bCs/>
          <w:color w:val="auto"/>
          <w:sz w:val="18"/>
          <w:szCs w:val="18"/>
          <w:highlight w:val="none"/>
          <w:lang w:val="en-US" w:eastAsia="zh-CN"/>
        </w:rPr>
        <w:t>的，由承包人自行协调处理，投标报价时综合考虑该因素。</w:t>
      </w:r>
      <w:bookmarkEnd w:id="9"/>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0" w:name="_Toc20211"/>
      <w:r>
        <w:rPr>
          <w:rFonts w:hint="eastAsia" w:hAnsi="宋体" w:cs="宋体"/>
          <w:bCs/>
          <w:color w:val="auto"/>
          <w:sz w:val="18"/>
          <w:szCs w:val="18"/>
          <w:highlight w:val="none"/>
          <w:lang w:val="en-US" w:eastAsia="zh-CN"/>
        </w:rPr>
        <w:t>8</w:t>
      </w:r>
      <w:r>
        <w:rPr>
          <w:rFonts w:hint="default" w:ascii="宋体" w:hAnsi="宋体" w:eastAsia="宋体" w:cs="宋体"/>
          <w:bCs/>
          <w:color w:val="auto"/>
          <w:sz w:val="18"/>
          <w:szCs w:val="18"/>
          <w:highlight w:val="none"/>
          <w:lang w:val="en-US" w:eastAsia="zh-CN"/>
        </w:rPr>
        <w:t>、凡养护服务过程中涉及需要坐标点、水准点定位的，投标单位须在投标报价中综合考虑。</w:t>
      </w:r>
      <w:bookmarkEnd w:id="10"/>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1" w:name="_Toc28650"/>
      <w:r>
        <w:rPr>
          <w:rFonts w:hint="eastAsia" w:hAnsi="宋体" w:cs="宋体"/>
          <w:bCs/>
          <w:color w:val="auto"/>
          <w:sz w:val="18"/>
          <w:szCs w:val="18"/>
          <w:highlight w:val="none"/>
          <w:lang w:val="en-US" w:eastAsia="zh-CN"/>
        </w:rPr>
        <w:t>9</w:t>
      </w:r>
      <w:r>
        <w:rPr>
          <w:rFonts w:hint="default" w:ascii="宋体" w:hAnsi="宋体" w:eastAsia="宋体" w:cs="宋体"/>
          <w:bCs/>
          <w:color w:val="auto"/>
          <w:sz w:val="18"/>
          <w:szCs w:val="18"/>
          <w:highlight w:val="none"/>
          <w:lang w:val="en-US" w:eastAsia="zh-CN"/>
        </w:rPr>
        <w:t>、养护工作必须精细，养护期内所有苗木绿化缺损，坏死均由中标方负责及时补种，涉及的一切费用已包含在投标报价中。</w:t>
      </w:r>
      <w:bookmarkEnd w:id="11"/>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2" w:name="_Toc27278"/>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0</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按省、市现行规范养护标准（包括但不限于以下内容）</w:t>
      </w:r>
      <w:r>
        <w:rPr>
          <w:rFonts w:hint="default" w:ascii="宋体" w:hAnsi="宋体" w:eastAsia="宋体" w:cs="宋体"/>
          <w:bCs/>
          <w:color w:val="auto"/>
          <w:sz w:val="18"/>
          <w:szCs w:val="18"/>
          <w:highlight w:val="none"/>
          <w:lang w:val="en-US" w:eastAsia="zh-CN"/>
        </w:rPr>
        <w:t>所有苗木及花草在保活养护期内：①保证苗木、花草成活率100%，无病株、无死株；②发现病株、死株及时按原标准更换；③绿化区域内无明显杂草，发现杂草及时清除；④做好树木防台、防旱、防寒、防虫、防雪、除雪等工作；⑤保持绿化草坪的纯度，及时修剪并长期保持合理的高度</w:t>
      </w:r>
      <w:r>
        <w:rPr>
          <w:rFonts w:hint="eastAsia" w:hAnsi="宋体" w:cs="宋体"/>
          <w:bCs/>
          <w:color w:val="auto"/>
          <w:sz w:val="18"/>
          <w:szCs w:val="18"/>
          <w:highlight w:val="none"/>
          <w:lang w:val="en-US" w:eastAsia="zh-CN"/>
        </w:rPr>
        <w:t>；⑥对养护区域内的柳絮和杨絮进行治理（按嘉兴市园林市政管理服务中心《关于对杨柳树飘絮开展治理工作的函》执行</w:t>
      </w:r>
      <w:r>
        <w:rPr>
          <w:rFonts w:hint="default" w:ascii="宋体" w:hAnsi="宋体" w:eastAsia="宋体" w:cs="宋体"/>
          <w:bCs/>
          <w:color w:val="auto"/>
          <w:sz w:val="18"/>
          <w:szCs w:val="18"/>
          <w:highlight w:val="none"/>
          <w:lang w:val="en-US" w:eastAsia="zh-CN"/>
        </w:rPr>
        <w:t>。</w:t>
      </w:r>
      <w:bookmarkEnd w:id="12"/>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3" w:name="_Toc17915"/>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1</w:t>
      </w:r>
      <w:r>
        <w:rPr>
          <w:rFonts w:hint="default" w:ascii="宋体" w:hAnsi="宋体" w:eastAsia="宋体" w:cs="宋体"/>
          <w:bCs/>
          <w:color w:val="auto"/>
          <w:sz w:val="18"/>
          <w:szCs w:val="18"/>
          <w:highlight w:val="none"/>
          <w:lang w:val="en-US" w:eastAsia="zh-CN"/>
        </w:rPr>
        <w:t>、养护服务期间，应确保</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人员和通行人员的安全，道路养护服务范围要求作安全隔离处理，现场养护服务作业人员要求穿带反光安全工作服，设置必要的道路通行疏导指挥人员、必要的通行导示、导向牌等，安排专人清理道路上的抛洒物，费用包含在投标报价内。</w:t>
      </w:r>
      <w:bookmarkEnd w:id="13"/>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4" w:name="_Toc29477"/>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2</w:t>
      </w:r>
      <w:r>
        <w:rPr>
          <w:rFonts w:hint="default" w:ascii="宋体" w:hAnsi="宋体" w:eastAsia="宋体" w:cs="宋体"/>
          <w:bCs/>
          <w:color w:val="auto"/>
          <w:sz w:val="18"/>
          <w:szCs w:val="18"/>
          <w:highlight w:val="none"/>
          <w:lang w:val="en-US" w:eastAsia="zh-CN"/>
        </w:rPr>
        <w:t>、本养护服务所有材料、设备、配件均由承包人采购，其质量必须符合</w:t>
      </w:r>
      <w:r>
        <w:rPr>
          <w:rFonts w:hint="eastAsia" w:hAnsi="宋体" w:cs="宋体"/>
          <w:bCs/>
          <w:color w:val="auto"/>
          <w:sz w:val="18"/>
          <w:szCs w:val="18"/>
          <w:highlight w:val="none"/>
          <w:lang w:val="en-US" w:eastAsia="zh-CN"/>
        </w:rPr>
        <w:t>发包人和验收</w:t>
      </w:r>
      <w:r>
        <w:rPr>
          <w:rFonts w:hint="default" w:ascii="宋体" w:hAnsi="宋体" w:eastAsia="宋体" w:cs="宋体"/>
          <w:bCs/>
          <w:color w:val="auto"/>
          <w:sz w:val="18"/>
          <w:szCs w:val="18"/>
          <w:highlight w:val="none"/>
          <w:lang w:val="en-US" w:eastAsia="zh-CN"/>
        </w:rPr>
        <w:t>规范要求，进场前必须报发包人审批，未经批准的材料不得进场</w:t>
      </w:r>
      <w:r>
        <w:rPr>
          <w:rFonts w:hint="eastAsia" w:hAnsi="宋体" w:cs="宋体"/>
          <w:bCs/>
          <w:color w:val="auto"/>
          <w:sz w:val="18"/>
          <w:szCs w:val="18"/>
          <w:highlight w:val="none"/>
          <w:lang w:val="en-US" w:eastAsia="zh-CN"/>
        </w:rPr>
        <w:t>实施</w:t>
      </w:r>
      <w:r>
        <w:rPr>
          <w:rFonts w:hint="default" w:ascii="宋体" w:hAnsi="宋体" w:eastAsia="宋体" w:cs="宋体"/>
          <w:bCs/>
          <w:color w:val="auto"/>
          <w:sz w:val="18"/>
          <w:szCs w:val="18"/>
          <w:highlight w:val="none"/>
          <w:lang w:val="en-US" w:eastAsia="zh-CN"/>
        </w:rPr>
        <w:t>，否则一切损失由承包人负责。</w:t>
      </w:r>
      <w:bookmarkEnd w:id="14"/>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5" w:name="_Toc14890"/>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3</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范围内的道路、绿化修复、移植复原、除草、场地平整、部分区块垃圾清运出场及土方造坡整理所发生的费用由承包方承担，所需费用计入报价内。承包方</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中应做好绿地周边与已建道路、绿道内园建设施的保护，因</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造成损坏的，均要求无条件原样恢复。</w:t>
      </w:r>
      <w:bookmarkEnd w:id="15"/>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6" w:name="_Toc14204"/>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4</w:t>
      </w:r>
      <w:r>
        <w:rPr>
          <w:rFonts w:hint="default" w:ascii="宋体" w:hAnsi="宋体" w:eastAsia="宋体" w:cs="宋体"/>
          <w:bCs/>
          <w:color w:val="auto"/>
          <w:sz w:val="18"/>
          <w:szCs w:val="18"/>
          <w:highlight w:val="none"/>
          <w:lang w:val="en-US" w:eastAsia="zh-CN"/>
        </w:rPr>
        <w:t>、养护范围内的生长良好的暖季型草坪入冬尚未枯黄前，追播寿命短的冷季型草种子，使冷、暖两类植物的绿色期在同一块草坪地块内先后衔接，基本实现草坪的周年常绿。</w:t>
      </w:r>
      <w:bookmarkEnd w:id="16"/>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7" w:name="_Toc11159"/>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5</w:t>
      </w:r>
      <w:r>
        <w:rPr>
          <w:rFonts w:hint="default" w:ascii="宋体" w:hAnsi="宋体" w:eastAsia="宋体" w:cs="宋体"/>
          <w:bCs/>
          <w:color w:val="auto"/>
          <w:sz w:val="18"/>
          <w:szCs w:val="18"/>
          <w:highlight w:val="none"/>
          <w:lang w:val="en-US" w:eastAsia="zh-CN"/>
        </w:rPr>
        <w:t>、投标人应充分考虑养护服务进出场、大型机械进出场的费用和安全防护费用，包括市政、市容、环保、交通、治安等，计入</w:t>
      </w:r>
      <w:r>
        <w:rPr>
          <w:rFonts w:hint="eastAsia" w:hAnsi="宋体" w:cs="宋体"/>
          <w:bCs/>
          <w:color w:val="auto"/>
          <w:sz w:val="18"/>
          <w:szCs w:val="18"/>
          <w:highlight w:val="none"/>
          <w:lang w:val="en-US" w:eastAsia="zh-CN"/>
        </w:rPr>
        <w:t>投标</w:t>
      </w:r>
      <w:r>
        <w:rPr>
          <w:rFonts w:hint="default" w:ascii="宋体" w:hAnsi="宋体" w:eastAsia="宋体" w:cs="宋体"/>
          <w:bCs/>
          <w:color w:val="auto"/>
          <w:sz w:val="18"/>
          <w:szCs w:val="18"/>
          <w:highlight w:val="none"/>
          <w:lang w:val="en-US" w:eastAsia="zh-CN"/>
        </w:rPr>
        <w:t>费用中，今后一概不作调整。</w:t>
      </w:r>
      <w:bookmarkEnd w:id="17"/>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8" w:name="_Toc396891429"/>
      <w:bookmarkStart w:id="19" w:name="_Toc8575"/>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6</w:t>
      </w:r>
      <w:r>
        <w:rPr>
          <w:rFonts w:hint="default" w:ascii="宋体" w:hAnsi="宋体" w:eastAsia="宋体" w:cs="宋体"/>
          <w:bCs/>
          <w:color w:val="auto"/>
          <w:sz w:val="18"/>
          <w:szCs w:val="18"/>
          <w:highlight w:val="none"/>
          <w:lang w:val="en-US" w:eastAsia="zh-CN"/>
        </w:rPr>
        <w:t>、</w:t>
      </w:r>
      <w:bookmarkEnd w:id="18"/>
      <w:r>
        <w:rPr>
          <w:rFonts w:hint="default" w:ascii="宋体" w:hAnsi="宋体" w:eastAsia="宋体" w:cs="宋体"/>
          <w:bCs/>
          <w:color w:val="auto"/>
          <w:sz w:val="18"/>
          <w:szCs w:val="18"/>
          <w:highlight w:val="none"/>
          <w:lang w:val="en-US" w:eastAsia="zh-CN"/>
        </w:rPr>
        <w:t>招标范围内的道路、绿化带等全覆盖区域，按时按点做好清洁、巡查等工作。</w:t>
      </w:r>
      <w:bookmarkEnd w:id="19"/>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0" w:name="_Toc17872"/>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7</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期间引起的扰民（包括：行车、噪音、污染、损坏居民物品等影响民众生活的因素）由此产生的费用由各单位在投标报价时综合考虑后计入报价内。</w:t>
      </w:r>
      <w:bookmarkEnd w:id="20"/>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1" w:name="_Toc4271"/>
      <w:r>
        <w:rPr>
          <w:rFonts w:hint="eastAsia" w:hAnsi="宋体" w:cs="宋体"/>
          <w:bCs/>
          <w:color w:val="auto"/>
          <w:sz w:val="18"/>
          <w:szCs w:val="18"/>
          <w:highlight w:val="none"/>
          <w:lang w:val="en-US" w:eastAsia="zh-CN"/>
        </w:rPr>
        <w:t>18</w:t>
      </w:r>
      <w:r>
        <w:rPr>
          <w:rFonts w:hint="default" w:ascii="宋体" w:hAnsi="宋体" w:eastAsia="宋体" w:cs="宋体"/>
          <w:bCs/>
          <w:color w:val="auto"/>
          <w:sz w:val="18"/>
          <w:szCs w:val="18"/>
          <w:highlight w:val="none"/>
          <w:lang w:val="en-US" w:eastAsia="zh-CN"/>
        </w:rPr>
        <w:t>、承包人在</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中应注意对</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区域内原有设施及各类公用管线、井盖的保护保护，今后因承包人</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原因造成损坏的，承包人应及时修复并承担一切费用；如不及时修复的，招标人将请专业单位进行修复,费用从承包人</w:t>
      </w:r>
      <w:r>
        <w:rPr>
          <w:rFonts w:hint="eastAsia" w:hAnsi="宋体" w:cs="宋体"/>
          <w:bCs/>
          <w:color w:val="auto"/>
          <w:sz w:val="18"/>
          <w:szCs w:val="18"/>
          <w:highlight w:val="none"/>
          <w:lang w:val="en-US" w:eastAsia="zh-CN"/>
        </w:rPr>
        <w:t>合同</w:t>
      </w:r>
      <w:r>
        <w:rPr>
          <w:rFonts w:hint="default" w:ascii="宋体" w:hAnsi="宋体" w:eastAsia="宋体" w:cs="宋体"/>
          <w:bCs/>
          <w:color w:val="auto"/>
          <w:sz w:val="18"/>
          <w:szCs w:val="18"/>
          <w:highlight w:val="none"/>
          <w:lang w:val="en-US" w:eastAsia="zh-CN"/>
        </w:rPr>
        <w:t>款中直接扣除。</w:t>
      </w:r>
      <w:bookmarkEnd w:id="21"/>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2" w:name="_Toc27339"/>
      <w:r>
        <w:rPr>
          <w:rFonts w:hint="eastAsia" w:hAnsi="宋体" w:cs="宋体"/>
          <w:bCs/>
          <w:color w:val="auto"/>
          <w:sz w:val="18"/>
          <w:szCs w:val="18"/>
          <w:highlight w:val="none"/>
          <w:lang w:val="en-US" w:eastAsia="zh-CN"/>
        </w:rPr>
        <w:t>19</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区域内绿化等修补及现有苗木（含行道树）迁移等工作由投标人承担，所需费用由投标人应充分考虑后计入报价内。</w:t>
      </w:r>
      <w:bookmarkEnd w:id="22"/>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3" w:name="_Toc17857"/>
      <w:r>
        <w:rPr>
          <w:rFonts w:hint="default"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0</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车辆必须按项目所在地综合行政执法部门的规定办理通行证，缴纳相关保证金，并在规定时间规定线路内通行，投标单位在报价中考虑相关的费用。</w:t>
      </w:r>
      <w:bookmarkEnd w:id="23"/>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4" w:name="_Toc27826"/>
      <w:r>
        <w:rPr>
          <w:rFonts w:hint="default"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1</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若实施期间发生大型传染性疾病的，</w:t>
      </w:r>
      <w:r>
        <w:rPr>
          <w:rFonts w:hint="default" w:ascii="宋体" w:hAnsi="宋体" w:eastAsia="宋体" w:cs="宋体"/>
          <w:bCs/>
          <w:color w:val="auto"/>
          <w:sz w:val="18"/>
          <w:szCs w:val="18"/>
          <w:highlight w:val="none"/>
          <w:lang w:val="en-US" w:eastAsia="zh-CN"/>
        </w:rPr>
        <w:t>承包人</w:t>
      </w:r>
      <w:r>
        <w:rPr>
          <w:rFonts w:hint="eastAsia" w:hAnsi="宋体" w:cs="宋体"/>
          <w:bCs/>
          <w:color w:val="auto"/>
          <w:sz w:val="18"/>
          <w:szCs w:val="18"/>
          <w:highlight w:val="none"/>
          <w:lang w:val="en-US" w:eastAsia="zh-CN"/>
        </w:rPr>
        <w:t>须按</w:t>
      </w:r>
      <w:r>
        <w:rPr>
          <w:rFonts w:hint="default" w:ascii="宋体" w:hAnsi="宋体" w:eastAsia="宋体" w:cs="宋体"/>
          <w:bCs/>
          <w:color w:val="auto"/>
          <w:sz w:val="18"/>
          <w:szCs w:val="18"/>
          <w:highlight w:val="none"/>
          <w:lang w:val="en-US" w:eastAsia="zh-CN"/>
        </w:rPr>
        <w:t>相关文件实施</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，该部分费用已包含在投标报价中，不再另行支付。</w:t>
      </w:r>
      <w:bookmarkEnd w:id="24"/>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lang w:val="en-US" w:eastAsia="zh-CN"/>
        </w:rPr>
      </w:pPr>
      <w:bookmarkStart w:id="25" w:name="_Toc13386"/>
      <w:r>
        <w:rPr>
          <w:rFonts w:hint="eastAsia" w:hAnsi="宋体" w:cs="宋体"/>
          <w:bCs/>
          <w:color w:val="auto"/>
          <w:sz w:val="18"/>
          <w:szCs w:val="18"/>
          <w:highlight w:val="none"/>
          <w:lang w:val="en-US" w:eastAsia="zh-CN"/>
        </w:rPr>
        <w:t>22</w:t>
      </w:r>
      <w:r>
        <w:rPr>
          <w:rFonts w:hint="eastAsia" w:ascii="宋体" w:hAnsi="宋体" w:eastAsia="宋体" w:cs="宋体"/>
          <w:bCs/>
          <w:color w:val="auto"/>
          <w:sz w:val="18"/>
          <w:szCs w:val="18"/>
          <w:highlight w:val="none"/>
          <w:lang w:val="en-US" w:eastAsia="zh-CN"/>
        </w:rPr>
        <w:t>、养护单位须按月足额发放人员工资，不得存在苛扣、漏发情况，否则按考核办法扣分罚款。</w:t>
      </w:r>
      <w:bookmarkEnd w:id="25"/>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3</w:t>
      </w:r>
      <w:r>
        <w:rPr>
          <w:rFonts w:hint="eastAsia" w:ascii="宋体" w:hAnsi="宋体" w:eastAsia="宋体" w:cs="宋体"/>
          <w:bCs/>
          <w:color w:val="auto"/>
          <w:sz w:val="18"/>
          <w:szCs w:val="18"/>
          <w:highlight w:val="none"/>
          <w:lang w:val="en-US" w:eastAsia="zh-CN"/>
        </w:rPr>
        <w:t>、与本项目养护相关的器械自行配备，费用包含在投标总价中。</w:t>
      </w:r>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24、养护单位须有应急处理相关设施设备的仓库，常备应急设备、车辆及防倒伏的支架（数量应满足应急突发所需）</w:t>
      </w:r>
    </w:p>
    <w:p>
      <w:pPr>
        <w:pStyle w:val="30"/>
        <w:snapToGrid w:val="0"/>
        <w:spacing w:before="0" w:beforeLines="0" w:after="0" w:afterLines="0" w:line="500" w:lineRule="exact"/>
        <w:ind w:firstLine="361" w:firstLineChars="200"/>
        <w:outlineLvl w:val="0"/>
        <w:rPr>
          <w:rFonts w:hint="eastAsia" w:ascii="宋体" w:hAnsi="宋体" w:eastAsia="宋体" w:cs="宋体"/>
          <w:b/>
          <w:color w:val="auto"/>
          <w:sz w:val="18"/>
          <w:szCs w:val="18"/>
          <w:highlight w:val="none"/>
        </w:rPr>
      </w:pPr>
      <w:bookmarkStart w:id="26" w:name="_Toc14666"/>
      <w:bookmarkStart w:id="27" w:name="_Toc3313"/>
      <w:bookmarkStart w:id="28" w:name="_Toc23319"/>
      <w:r>
        <w:rPr>
          <w:rFonts w:hint="eastAsia" w:hAnsi="宋体" w:cs="宋体"/>
          <w:b/>
          <w:color w:val="auto"/>
          <w:sz w:val="18"/>
          <w:szCs w:val="18"/>
          <w:highlight w:val="none"/>
          <w:lang w:val="en-US" w:eastAsia="zh-CN"/>
        </w:rPr>
        <w:t>四</w:t>
      </w:r>
      <w:r>
        <w:rPr>
          <w:rFonts w:hint="eastAsia" w:ascii="宋体" w:hAnsi="宋体" w:eastAsia="宋体" w:cs="宋体"/>
          <w:b/>
          <w:color w:val="auto"/>
          <w:sz w:val="18"/>
          <w:szCs w:val="18"/>
          <w:highlight w:val="none"/>
          <w:lang w:val="en-US" w:eastAsia="zh-CN"/>
        </w:rPr>
        <w:t>、</w:t>
      </w:r>
      <w:r>
        <w:rPr>
          <w:rFonts w:hint="eastAsia" w:ascii="宋体" w:hAnsi="宋体" w:eastAsia="宋体" w:cs="宋体"/>
          <w:b/>
          <w:color w:val="auto"/>
          <w:sz w:val="18"/>
          <w:szCs w:val="18"/>
          <w:highlight w:val="none"/>
        </w:rPr>
        <w:t>商务条款</w:t>
      </w:r>
      <w:bookmarkEnd w:id="26"/>
      <w:bookmarkEnd w:id="27"/>
      <w:bookmarkEnd w:id="28"/>
    </w:p>
    <w:p>
      <w:pPr>
        <w:pStyle w:val="30"/>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29" w:name="_Toc1259"/>
      <w:bookmarkStart w:id="30" w:name="_Toc16197"/>
      <w:bookmarkStart w:id="31" w:name="_Toc17563"/>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一</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服务期</w:t>
      </w:r>
      <w:r>
        <w:rPr>
          <w:rFonts w:hint="eastAsia" w:ascii="宋体" w:hAnsi="宋体" w:eastAsia="宋体" w:cs="宋体"/>
          <w:bCs/>
          <w:color w:val="auto"/>
          <w:sz w:val="18"/>
          <w:szCs w:val="18"/>
          <w:highlight w:val="none"/>
          <w:lang w:eastAsia="zh-CN"/>
        </w:rPr>
        <w:t>限：</w:t>
      </w:r>
      <w:r>
        <w:rPr>
          <w:rFonts w:hint="eastAsia" w:asciiTheme="minorEastAsia" w:hAnsiTheme="minorEastAsia" w:eastAsiaTheme="minorEastAsia"/>
          <w:color w:val="auto"/>
          <w:sz w:val="18"/>
          <w:szCs w:val="18"/>
          <w:highlight w:val="none"/>
          <w:lang w:eastAsia="zh-CN"/>
        </w:rPr>
        <w:t>2024年1月1日起至2025年12月31日，两年</w:t>
      </w:r>
      <w:r>
        <w:rPr>
          <w:rFonts w:hint="eastAsia" w:hAnsi="宋体" w:cs="宋体"/>
          <w:b w:val="0"/>
          <w:bCs/>
          <w:color w:val="auto"/>
          <w:sz w:val="18"/>
          <w:szCs w:val="18"/>
          <w:highlight w:val="none"/>
          <w:lang w:eastAsia="zh-CN"/>
        </w:rPr>
        <w:t>。</w:t>
      </w:r>
      <w:bookmarkEnd w:id="29"/>
      <w:bookmarkEnd w:id="30"/>
      <w:bookmarkEnd w:id="31"/>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32" w:name="_Toc17593"/>
      <w:bookmarkStart w:id="33" w:name="_Toc3853"/>
      <w:bookmarkStart w:id="34" w:name="_Toc24147"/>
      <w:r>
        <w:rPr>
          <w:rFonts w:hint="eastAsia" w:ascii="宋体" w:hAnsi="宋体" w:eastAsia="宋体" w:cs="宋体"/>
          <w:bCs/>
          <w:color w:val="auto"/>
          <w:sz w:val="18"/>
          <w:szCs w:val="18"/>
          <w:highlight w:val="none"/>
          <w:lang w:eastAsia="zh-CN"/>
        </w:rPr>
        <w:t>（二）履约保证金：</w:t>
      </w:r>
      <w:r>
        <w:rPr>
          <w:rFonts w:hint="eastAsia" w:cs="宋体" w:asciiTheme="minorEastAsia" w:hAnsiTheme="minorEastAsia" w:eastAsiaTheme="minorEastAsia"/>
          <w:color w:val="auto"/>
          <w:sz w:val="18"/>
          <w:szCs w:val="18"/>
          <w:highlight w:val="none"/>
          <w:lang w:eastAsia="zh-CN"/>
        </w:rPr>
        <w:t>签订合同价的</w:t>
      </w:r>
      <w:r>
        <w:rPr>
          <w:rFonts w:hint="eastAsia" w:cs="宋体" w:asciiTheme="minorEastAsia" w:hAnsiTheme="minorEastAsia" w:eastAsiaTheme="minorEastAsia"/>
          <w:color w:val="auto"/>
          <w:sz w:val="18"/>
          <w:szCs w:val="18"/>
          <w:highlight w:val="none"/>
          <w:lang w:val="en-US" w:eastAsia="zh-CN"/>
        </w:rPr>
        <w:t>1%</w:t>
      </w:r>
      <w:r>
        <w:rPr>
          <w:rFonts w:hint="eastAsia" w:ascii="宋体" w:hAnsi="宋体" w:eastAsia="宋体" w:cs="宋体"/>
          <w:bCs/>
          <w:color w:val="auto"/>
          <w:sz w:val="18"/>
          <w:szCs w:val="18"/>
          <w:highlight w:val="none"/>
          <w:lang w:eastAsia="zh-CN"/>
        </w:rPr>
        <w:t>。</w:t>
      </w:r>
      <w:bookmarkEnd w:id="32"/>
      <w:bookmarkEnd w:id="33"/>
      <w:bookmarkEnd w:id="34"/>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rPr>
      </w:pPr>
      <w:bookmarkStart w:id="35" w:name="_Toc31903"/>
      <w:bookmarkStart w:id="36" w:name="_Toc9234"/>
      <w:bookmarkStart w:id="37" w:name="_Toc24157"/>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三</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付款方式：</w:t>
      </w:r>
      <w:bookmarkEnd w:id="35"/>
      <w:bookmarkEnd w:id="36"/>
      <w:bookmarkEnd w:id="37"/>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38" w:name="_Toc13838"/>
      <w:r>
        <w:rPr>
          <w:rFonts w:hint="eastAsia" w:ascii="宋体" w:hAnsi="宋体" w:eastAsia="宋体" w:cs="宋体"/>
          <w:bCs/>
          <w:color w:val="auto"/>
          <w:sz w:val="18"/>
          <w:szCs w:val="18"/>
          <w:highlight w:val="none"/>
        </w:rPr>
        <w:t>1、政策性条款：</w:t>
      </w:r>
      <w:bookmarkEnd w:id="38"/>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39" w:name="_Toc6457"/>
      <w:r>
        <w:rPr>
          <w:rFonts w:hint="eastAsia" w:ascii="宋体" w:hAnsi="宋体" w:eastAsia="宋体" w:cs="宋体"/>
          <w:bCs/>
          <w:color w:val="auto"/>
          <w:sz w:val="18"/>
          <w:szCs w:val="18"/>
          <w:highlight w:val="none"/>
        </w:rPr>
        <w:t>根据[浙财采监〔2020〕3号]规定：</w:t>
      </w:r>
      <w:bookmarkEnd w:id="39"/>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40" w:name="_Toc7151"/>
      <w:r>
        <w:rPr>
          <w:rFonts w:hint="eastAsia" w:ascii="宋体" w:hAnsi="宋体" w:eastAsia="宋体" w:cs="宋体"/>
          <w:bCs/>
          <w:color w:val="auto"/>
          <w:sz w:val="18"/>
          <w:szCs w:val="18"/>
          <w:highlight w:val="none"/>
        </w:rPr>
        <w:t>（1）、各采购单位应当在政府采购合同中约定预付款，预付款比例原则上不低于合同金额的40％；项目分年安排预算的，每年预付款比例不低于项目年度计划支付资金额的40％。采购项目实施以人工投入为主的，可适当降低预付款比例，但不得低于10%。</w:t>
      </w:r>
      <w:bookmarkEnd w:id="40"/>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41" w:name="_Toc3675"/>
      <w:r>
        <w:rPr>
          <w:rFonts w:hint="eastAsia" w:ascii="宋体" w:hAnsi="宋体" w:eastAsia="宋体" w:cs="宋体"/>
          <w:bCs/>
          <w:color w:val="auto"/>
          <w:sz w:val="18"/>
          <w:szCs w:val="18"/>
          <w:highlight w:val="none"/>
        </w:rPr>
        <w:t>（2）、政府采购预付款应在合同生效以及具备实施条件后15日内支付。项目分年安排预算的，第二年预付时间为次年相对应月份，以此类推；当年度预付款尚未扣回的，次年不重复安排。</w:t>
      </w:r>
      <w:bookmarkEnd w:id="41"/>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42" w:name="_Toc2527"/>
      <w:r>
        <w:rPr>
          <w:rFonts w:hint="eastAsia" w:ascii="宋体" w:hAnsi="宋体" w:eastAsia="宋体" w:cs="宋体"/>
          <w:bCs/>
          <w:color w:val="auto"/>
          <w:sz w:val="18"/>
          <w:szCs w:val="18"/>
          <w:highlight w:val="none"/>
        </w:rPr>
        <w:t>（3）、各采购单位可根据项目特点、供应商信用等情况，决定是否要求供应商提交银行、保险公司等金融机构出具的预付款保函或其他担保措施。</w:t>
      </w:r>
      <w:bookmarkEnd w:id="42"/>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43" w:name="_Toc6062"/>
      <w:bookmarkStart w:id="44" w:name="_Toc26078"/>
      <w:bookmarkStart w:id="45" w:name="_Toc10611"/>
      <w:r>
        <w:rPr>
          <w:rFonts w:hint="eastAsia" w:ascii="宋体" w:hAnsi="宋体" w:eastAsia="宋体" w:cs="宋体"/>
          <w:bCs/>
          <w:color w:val="auto"/>
          <w:sz w:val="18"/>
          <w:szCs w:val="18"/>
          <w:highlight w:val="none"/>
          <w:lang w:val="en-US" w:eastAsia="zh-CN"/>
        </w:rPr>
        <w:t>2、合同签订生效后支付合同金额（扣除绿化有机更新费用后）*10%作为预付款，剩余价款（扣除绿化有机更新费用后）每季度</w:t>
      </w:r>
      <w:r>
        <w:rPr>
          <w:rFonts w:hint="eastAsia" w:hAnsi="宋体" w:cs="宋体"/>
          <w:bCs/>
          <w:color w:val="auto"/>
          <w:sz w:val="18"/>
          <w:szCs w:val="18"/>
          <w:highlight w:val="none"/>
          <w:lang w:val="en-US" w:eastAsia="zh-CN"/>
        </w:rPr>
        <w:t>根据考核结果</w:t>
      </w:r>
      <w:r>
        <w:rPr>
          <w:rFonts w:hint="eastAsia" w:ascii="宋体" w:hAnsi="宋体" w:eastAsia="宋体" w:cs="宋体"/>
          <w:bCs/>
          <w:color w:val="auto"/>
          <w:sz w:val="18"/>
          <w:szCs w:val="18"/>
          <w:highlight w:val="none"/>
          <w:lang w:val="en-US" w:eastAsia="zh-CN"/>
        </w:rPr>
        <w:t>结算一次，按照实际考核结果扣款后在次季度支付费用；绿化有机更新费用合同到期后，审计完成后按实结算</w:t>
      </w:r>
      <w:r>
        <w:rPr>
          <w:rFonts w:hint="eastAsia" w:hAnsi="宋体" w:cs="宋体"/>
          <w:bCs/>
          <w:color w:val="auto"/>
          <w:sz w:val="18"/>
          <w:szCs w:val="18"/>
          <w:highlight w:val="none"/>
          <w:lang w:val="en-US" w:eastAsia="zh-CN"/>
        </w:rPr>
        <w:t>。</w:t>
      </w:r>
      <w:r>
        <w:rPr>
          <w:rFonts w:hint="eastAsia" w:hAnsi="宋体" w:cs="宋体"/>
          <w:bCs/>
          <w:color w:val="auto"/>
          <w:sz w:val="18"/>
          <w:szCs w:val="18"/>
          <w:highlight w:val="none"/>
          <w:lang w:eastAsia="zh-CN"/>
        </w:rPr>
        <w:t>考核办法详见“</w:t>
      </w:r>
      <w:r>
        <w:rPr>
          <w:rFonts w:hint="eastAsia" w:hAnsi="宋体" w:cs="宋体"/>
          <w:bCs/>
          <w:color w:val="auto"/>
          <w:sz w:val="18"/>
          <w:szCs w:val="18"/>
          <w:highlight w:val="none"/>
          <w:lang w:val="en-US" w:eastAsia="zh-CN"/>
        </w:rPr>
        <w:t>塘汇街道园林绿化城市精细化管理考核办法（试行）</w:t>
      </w:r>
      <w:r>
        <w:rPr>
          <w:rFonts w:hint="eastAsia" w:hAnsi="宋体" w:cs="宋体"/>
          <w:bCs/>
          <w:color w:val="auto"/>
          <w:sz w:val="18"/>
          <w:szCs w:val="18"/>
          <w:highlight w:val="none"/>
          <w:lang w:eastAsia="zh-CN"/>
        </w:rPr>
        <w:t>”</w:t>
      </w:r>
      <w:r>
        <w:rPr>
          <w:rFonts w:hint="eastAsia" w:ascii="宋体" w:hAnsi="宋体" w:eastAsia="宋体" w:cs="宋体"/>
          <w:bCs/>
          <w:color w:val="auto"/>
          <w:sz w:val="18"/>
          <w:szCs w:val="18"/>
          <w:highlight w:val="none"/>
        </w:rPr>
        <w:t>。</w:t>
      </w:r>
      <w:bookmarkEnd w:id="43"/>
      <w:bookmarkEnd w:id="44"/>
      <w:bookmarkEnd w:id="45"/>
    </w:p>
    <w:p>
      <w:pPr>
        <w:pStyle w:val="30"/>
        <w:snapToGrid w:val="0"/>
        <w:spacing w:before="0" w:beforeLines="0" w:after="0" w:afterLines="0" w:line="500" w:lineRule="exact"/>
        <w:ind w:firstLine="361" w:firstLineChars="200"/>
        <w:outlineLvl w:val="0"/>
        <w:rPr>
          <w:rFonts w:hint="eastAsia" w:ascii="宋体" w:hAnsi="宋体" w:eastAsia="宋体" w:cs="宋体"/>
          <w:b/>
          <w:bCs w:val="0"/>
          <w:color w:val="auto"/>
          <w:sz w:val="18"/>
          <w:szCs w:val="18"/>
          <w:highlight w:val="none"/>
          <w:lang w:eastAsia="zh-CN"/>
        </w:rPr>
      </w:pPr>
      <w:r>
        <w:rPr>
          <w:rFonts w:hint="eastAsia" w:ascii="宋体" w:hAnsi="宋体" w:eastAsia="宋体" w:cs="宋体"/>
          <w:b/>
          <w:bCs w:val="0"/>
          <w:color w:val="auto"/>
          <w:sz w:val="18"/>
          <w:szCs w:val="18"/>
          <w:highlight w:val="none"/>
          <w:lang w:eastAsia="zh-CN"/>
        </w:rPr>
        <w:t>（四）其他说明</w:t>
      </w:r>
    </w:p>
    <w:p>
      <w:pPr>
        <w:pStyle w:val="30"/>
        <w:snapToGrid w:val="0"/>
        <w:spacing w:before="0" w:beforeLines="0" w:after="0" w:afterLines="0" w:line="500" w:lineRule="exact"/>
        <w:ind w:firstLine="361" w:firstLineChars="200"/>
        <w:outlineLvl w:val="0"/>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（1）由于特殊原因，若甲方需提前终止合同，甲方将提前</w:t>
      </w:r>
      <w:r>
        <w:rPr>
          <w:rFonts w:hint="eastAsia" w:hAnsi="宋体" w:cs="宋体"/>
          <w:b/>
          <w:bCs w:val="0"/>
          <w:color w:val="auto"/>
          <w:sz w:val="18"/>
          <w:szCs w:val="18"/>
          <w:highlight w:val="none"/>
          <w:lang w:val="en-US" w:eastAsia="zh-CN"/>
        </w:rPr>
        <w:t>12</w:t>
      </w:r>
      <w:r>
        <w:rPr>
          <w:rFonts w:hint="eastAsia" w:ascii="宋体" w:hAnsi="宋体" w:eastAsia="宋体" w:cs="宋体"/>
          <w:b/>
          <w:bCs w:val="0"/>
          <w:color w:val="auto"/>
          <w:sz w:val="18"/>
          <w:szCs w:val="18"/>
          <w:highlight w:val="none"/>
          <w:lang w:val="en-US" w:eastAsia="zh-CN"/>
        </w:rPr>
        <w:t>个月经书面通知乙方终止项目实施，乙方默认无条件同意，甲方无需承担响应责任，甲方无需赔偿乙方因此引起的损失赔偿。</w:t>
      </w:r>
    </w:p>
    <w:p>
      <w:pPr>
        <w:pStyle w:val="30"/>
        <w:snapToGrid w:val="0"/>
        <w:spacing w:before="0" w:beforeLines="0" w:after="0" w:afterLines="0" w:line="500" w:lineRule="exact"/>
        <w:ind w:firstLine="361" w:firstLineChars="200"/>
        <w:outlineLvl w:val="0"/>
        <w:rPr>
          <w:rFonts w:hint="default"/>
          <w:color w:val="auto"/>
          <w:highlight w:val="none"/>
          <w:lang w:val="en-US" w:eastAsia="zh-CN"/>
        </w:rPr>
      </w:pPr>
      <w:r>
        <w:rPr>
          <w:rFonts w:hint="eastAsia" w:ascii="宋体" w:hAnsi="宋体" w:eastAsia="宋体" w:cs="宋体"/>
          <w:b/>
          <w:bCs w:val="0"/>
          <w:color w:val="auto"/>
          <w:sz w:val="18"/>
          <w:szCs w:val="18"/>
          <w:highlight w:val="none"/>
          <w:lang w:val="en-US" w:eastAsia="zh-CN"/>
        </w:rPr>
        <w:t>（2）本项目南区标段一为长纤塘南岸以南的辖区全部绿化养护工作，本项目北区二标段为长纤塘北岸以北的辖区全部绿化养护工作，中标单位需全力配合甲方落实日常养护工作</w:t>
      </w:r>
      <w:r>
        <w:rPr>
          <w:rFonts w:hint="eastAsia"/>
          <w:color w:val="auto"/>
          <w:highlight w:val="none"/>
          <w:lang w:val="en-US" w:eastAsia="zh-CN"/>
        </w:rPr>
        <w:t>。</w:t>
      </w:r>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46" w:name="_Toc17445"/>
      <w:bookmarkStart w:id="47" w:name="_Toc13835"/>
      <w:bookmarkStart w:id="48" w:name="_Toc17179"/>
      <w:r>
        <w:rPr>
          <w:rFonts w:hint="eastAsia" w:ascii="宋体" w:hAnsi="宋体" w:eastAsia="宋体" w:cs="宋体"/>
          <w:bCs/>
          <w:color w:val="auto"/>
          <w:sz w:val="18"/>
          <w:szCs w:val="18"/>
          <w:highlight w:val="none"/>
          <w:lang w:val="en-US" w:eastAsia="zh-CN"/>
        </w:rPr>
        <w:t>十</w:t>
      </w:r>
      <w:r>
        <w:rPr>
          <w:rFonts w:hint="eastAsia" w:ascii="宋体" w:hAnsi="宋体" w:eastAsia="宋体" w:cs="宋体"/>
          <w:bCs/>
          <w:color w:val="auto"/>
          <w:sz w:val="18"/>
          <w:szCs w:val="18"/>
          <w:highlight w:val="none"/>
        </w:rPr>
        <w:t>、考核</w:t>
      </w:r>
      <w:bookmarkEnd w:id="46"/>
      <w:bookmarkEnd w:id="47"/>
      <w:bookmarkEnd w:id="48"/>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49" w:name="_Toc119"/>
      <w:bookmarkStart w:id="50" w:name="_Toc13502"/>
      <w:bookmarkStart w:id="51" w:name="_Toc15351"/>
      <w:r>
        <w:rPr>
          <w:rFonts w:hint="eastAsia" w:ascii="宋体" w:hAnsi="宋体" w:eastAsia="宋体" w:cs="宋体"/>
          <w:bCs/>
          <w:color w:val="auto"/>
          <w:sz w:val="18"/>
          <w:szCs w:val="18"/>
          <w:highlight w:val="none"/>
        </w:rPr>
        <w:t>按招标内容及要求及考核办法执行。</w:t>
      </w:r>
      <w:bookmarkEnd w:id="49"/>
      <w:bookmarkEnd w:id="50"/>
      <w:bookmarkEnd w:id="51"/>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52" w:name="_Toc14410"/>
      <w:bookmarkStart w:id="53" w:name="_Toc7508"/>
      <w:bookmarkStart w:id="54" w:name="_Toc3820"/>
      <w:r>
        <w:rPr>
          <w:rFonts w:hint="eastAsia" w:ascii="宋体" w:hAnsi="宋体" w:eastAsia="宋体" w:cs="宋体"/>
          <w:bCs/>
          <w:color w:val="auto"/>
          <w:sz w:val="18"/>
          <w:szCs w:val="18"/>
          <w:highlight w:val="none"/>
          <w:lang w:val="en-US" w:eastAsia="zh-CN"/>
        </w:rPr>
        <w:t>十一</w:t>
      </w:r>
      <w:r>
        <w:rPr>
          <w:rFonts w:hint="eastAsia" w:ascii="宋体" w:hAnsi="宋体" w:eastAsia="宋体" w:cs="宋体"/>
          <w:bCs/>
          <w:color w:val="auto"/>
          <w:sz w:val="18"/>
          <w:szCs w:val="18"/>
          <w:highlight w:val="none"/>
        </w:rPr>
        <w:t>、其他说明</w:t>
      </w:r>
      <w:bookmarkEnd w:id="52"/>
      <w:bookmarkEnd w:id="53"/>
      <w:bookmarkEnd w:id="54"/>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55" w:name="_Toc16293"/>
      <w:bookmarkStart w:id="56" w:name="_Toc24158"/>
      <w:bookmarkStart w:id="57" w:name="_Toc9593"/>
      <w:r>
        <w:rPr>
          <w:rFonts w:hint="eastAsia" w:ascii="宋体" w:hAnsi="宋体" w:eastAsia="宋体" w:cs="宋体"/>
          <w:bCs/>
          <w:color w:val="auto"/>
          <w:sz w:val="18"/>
          <w:szCs w:val="18"/>
          <w:highlight w:val="none"/>
        </w:rPr>
        <w:t>1、在中标通知书发出后</w:t>
      </w:r>
      <w:r>
        <w:rPr>
          <w:rFonts w:hint="eastAsia" w:ascii="宋体" w:hAnsi="宋体" w:eastAsia="宋体" w:cs="宋体"/>
          <w:bCs/>
          <w:color w:val="auto"/>
          <w:sz w:val="18"/>
          <w:szCs w:val="18"/>
          <w:highlight w:val="none"/>
          <w:lang w:val="en-US" w:eastAsia="zh-CN"/>
        </w:rPr>
        <w:t>30天内</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eastAsia="zh-CN"/>
        </w:rPr>
        <w:t>中标单位</w:t>
      </w:r>
      <w:r>
        <w:rPr>
          <w:rFonts w:hint="eastAsia" w:hAnsi="宋体" w:cs="宋体"/>
          <w:bCs/>
          <w:color w:val="auto"/>
          <w:sz w:val="18"/>
          <w:szCs w:val="18"/>
          <w:highlight w:val="none"/>
          <w:lang w:val="en-US" w:eastAsia="zh-CN"/>
        </w:rPr>
        <w:t>提供</w:t>
      </w:r>
      <w:r>
        <w:rPr>
          <w:rFonts w:hint="eastAsia" w:ascii="宋体" w:hAnsi="宋体" w:eastAsia="宋体" w:cs="宋体"/>
          <w:bCs/>
          <w:color w:val="auto"/>
          <w:sz w:val="18"/>
          <w:szCs w:val="18"/>
          <w:highlight w:val="none"/>
        </w:rPr>
        <w:t>到位</w:t>
      </w:r>
      <w:r>
        <w:rPr>
          <w:rFonts w:hint="eastAsia" w:ascii="宋体" w:hAnsi="宋体" w:eastAsia="宋体" w:cs="宋体"/>
          <w:bCs/>
          <w:color w:val="auto"/>
          <w:sz w:val="18"/>
          <w:szCs w:val="18"/>
          <w:highlight w:val="none"/>
          <w:lang w:eastAsia="zh-CN"/>
        </w:rPr>
        <w:t>的</w:t>
      </w:r>
      <w:r>
        <w:rPr>
          <w:rFonts w:hint="eastAsia" w:ascii="宋体" w:hAnsi="宋体" w:eastAsia="宋体" w:cs="宋体"/>
          <w:bCs/>
          <w:color w:val="auto"/>
          <w:sz w:val="18"/>
          <w:szCs w:val="18"/>
          <w:highlight w:val="none"/>
          <w:lang w:val="en-US" w:eastAsia="zh-CN"/>
        </w:rPr>
        <w:t>人员名单和</w:t>
      </w:r>
      <w:r>
        <w:rPr>
          <w:rFonts w:hint="eastAsia" w:ascii="宋体" w:hAnsi="宋体" w:eastAsia="宋体" w:cs="宋体"/>
          <w:bCs/>
          <w:color w:val="auto"/>
          <w:sz w:val="18"/>
          <w:szCs w:val="18"/>
          <w:highlight w:val="none"/>
          <w:lang w:eastAsia="zh-CN"/>
        </w:rPr>
        <w:t>机械设备（</w:t>
      </w:r>
      <w:r>
        <w:rPr>
          <w:rFonts w:hint="eastAsia" w:ascii="宋体" w:hAnsi="宋体" w:eastAsia="宋体" w:cs="宋体"/>
          <w:bCs/>
          <w:color w:val="auto"/>
          <w:sz w:val="18"/>
          <w:szCs w:val="18"/>
          <w:highlight w:val="none"/>
          <w:lang w:val="en-US" w:eastAsia="zh-CN"/>
        </w:rPr>
        <w:t>附自有或租赁相关证明文件</w:t>
      </w:r>
      <w:r>
        <w:rPr>
          <w:rFonts w:hint="eastAsia" w:ascii="宋体" w:hAnsi="宋体" w:eastAsia="宋体" w:cs="宋体"/>
          <w:bCs/>
          <w:color w:val="auto"/>
          <w:sz w:val="18"/>
          <w:szCs w:val="18"/>
          <w:highlight w:val="none"/>
          <w:lang w:eastAsia="zh-CN"/>
        </w:rPr>
        <w:t>）清单与</w:t>
      </w:r>
      <w:r>
        <w:rPr>
          <w:rFonts w:hint="eastAsia" w:ascii="宋体" w:hAnsi="宋体" w:eastAsia="宋体" w:cs="宋体"/>
          <w:bCs/>
          <w:color w:val="auto"/>
          <w:sz w:val="18"/>
          <w:szCs w:val="18"/>
          <w:highlight w:val="none"/>
        </w:rPr>
        <w:t>采购人签订合同，</w:t>
      </w:r>
      <w:r>
        <w:rPr>
          <w:rFonts w:hint="eastAsia" w:ascii="宋体" w:hAnsi="宋体" w:eastAsia="宋体" w:cs="宋体"/>
          <w:bCs/>
          <w:color w:val="auto"/>
          <w:sz w:val="18"/>
          <w:szCs w:val="18"/>
          <w:highlight w:val="none"/>
          <w:lang w:eastAsia="zh-CN"/>
        </w:rPr>
        <w:t>如在规定时间内未提供或提供不全或拒不签合同的，</w:t>
      </w:r>
      <w:r>
        <w:rPr>
          <w:rFonts w:hint="eastAsia" w:ascii="宋体" w:hAnsi="宋体" w:eastAsia="宋体" w:cs="宋体"/>
          <w:bCs/>
          <w:color w:val="auto"/>
          <w:sz w:val="18"/>
          <w:szCs w:val="18"/>
          <w:highlight w:val="none"/>
        </w:rPr>
        <w:t>采购人有权取消</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的中标资格，报财政部门备案后推荐排序居次的中标候选人为</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，或重新招标。</w:t>
      </w:r>
      <w:bookmarkEnd w:id="55"/>
      <w:bookmarkEnd w:id="56"/>
      <w:bookmarkEnd w:id="57"/>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8" w:name="_Toc27921"/>
      <w:bookmarkStart w:id="59" w:name="_Toc21031"/>
      <w:bookmarkStart w:id="60" w:name="_Toc18979"/>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招用工作人员必须按《劳动法》有关规定执行，为工人办理社会保险、职工意外伤害保险等，保障休息休假权利。</w:t>
      </w:r>
      <w:bookmarkEnd w:id="58"/>
      <w:bookmarkEnd w:id="59"/>
      <w:bookmarkStart w:id="61" w:name="_Toc24411"/>
      <w:bookmarkStart w:id="62" w:name="_Toc17657"/>
      <w:r>
        <w:rPr>
          <w:rFonts w:hint="eastAsia" w:hAnsi="宋体" w:cs="宋体"/>
          <w:bCs/>
          <w:color w:val="auto"/>
          <w:sz w:val="18"/>
          <w:szCs w:val="18"/>
          <w:highlight w:val="none"/>
          <w:lang w:val="en-US" w:eastAsia="zh-CN"/>
        </w:rPr>
        <w:t>保障农民工工资不拖欠，发放要求以经开区农民工工资保障文件执行。</w:t>
      </w:r>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应将保洁人员的分工情况、作息时间、排班计划等告知采购单位。</w:t>
      </w:r>
      <w:bookmarkEnd w:id="60"/>
      <w:bookmarkEnd w:id="61"/>
      <w:bookmarkEnd w:id="62"/>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r>
        <w:rPr>
          <w:rFonts w:hint="default" w:hAnsi="宋体" w:cs="宋体"/>
          <w:bCs/>
          <w:color w:val="auto"/>
          <w:sz w:val="18"/>
          <w:szCs w:val="18"/>
          <w:highlight w:val="none"/>
          <w:lang w:val="en-US" w:eastAsia="zh-CN"/>
        </w:rPr>
        <w:t>4</w:t>
      </w:r>
      <w:r>
        <w:rPr>
          <w:rFonts w:hint="eastAsia" w:hAnsi="宋体" w:cs="宋体"/>
          <w:bCs/>
          <w:color w:val="auto"/>
          <w:sz w:val="18"/>
          <w:szCs w:val="18"/>
          <w:highlight w:val="none"/>
          <w:lang w:val="en-US" w:eastAsia="zh-CN"/>
        </w:rPr>
        <w:t>、各标段中标单位在合同签订后应与管理方或管理方委托的第三方对各自区域内的草花、行道树等其他养护内容进行分路段进行明确、清楚的测量，后期实施时将依据上述资料进行养护实施。</w:t>
      </w:r>
      <w:r>
        <w:rPr>
          <w:rFonts w:hint="eastAsia" w:ascii="宋体" w:hAnsi="宋体" w:eastAsia="宋体" w:cs="宋体"/>
          <w:bCs/>
          <w:color w:val="auto"/>
          <w:sz w:val="18"/>
          <w:szCs w:val="18"/>
          <w:highlight w:val="none"/>
        </w:rPr>
        <w:t xml:space="preserve">  </w:t>
      </w:r>
    </w:p>
    <w:p>
      <w:pPr>
        <w:rPr>
          <w:rFonts w:hint="eastAsia" w:ascii="宋体" w:hAnsi="宋体" w:eastAsia="宋体" w:cs="宋体"/>
          <w:b/>
          <w:bCs/>
          <w:color w:val="auto"/>
          <w:sz w:val="28"/>
          <w:szCs w:val="28"/>
          <w:highlight w:val="none"/>
          <w:lang w:eastAsia="zh-CN"/>
        </w:rPr>
        <w:sectPr>
          <w:headerReference r:id="rId5" w:type="default"/>
          <w:footerReference r:id="rId6" w:type="default"/>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bookmarkStart w:id="63" w:name="_Toc476"/>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养护清单</w:t>
      </w:r>
    </w:p>
    <w:tbl>
      <w:tblPr>
        <w:tblStyle w:val="49"/>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479"/>
        <w:gridCol w:w="825"/>
        <w:gridCol w:w="1575"/>
        <w:gridCol w:w="1585"/>
        <w:gridCol w:w="933"/>
        <w:gridCol w:w="1281"/>
        <w:gridCol w:w="1131"/>
        <w:gridCol w:w="1536"/>
        <w:gridCol w:w="1416"/>
        <w:gridCol w:w="1075"/>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528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i w:val="0"/>
                <w:color w:val="auto"/>
                <w:kern w:val="0"/>
                <w:sz w:val="36"/>
                <w:szCs w:val="36"/>
                <w:highlight w:val="none"/>
                <w:u w:val="none"/>
                <w:lang w:val="en-US" w:eastAsia="zh-CN" w:bidi="ar"/>
              </w:rPr>
              <w:t>2024-2025塘汇绿化养护南区标项一招标清单汇总表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养护等级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2024年工程量</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2025年工程量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招标限制单价（元/平方米/棵/年）</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投标单价（元/平方米/棵/年）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2024年费用合计（元）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2025年费用合计（元）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两年合计总价（元）</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92217.3150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109235.5800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92217.3150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109235.5800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121445.9200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123831.5900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50416.9900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56738.1300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171862.9100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180569.7200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13825.2100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13825.2100 </w:t>
            </w:r>
          </w:p>
        </w:tc>
        <w:tc>
          <w:tcPr>
            <w:tcW w:w="933"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25514.8800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25514.8800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39340.0900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39340.0900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防护片林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245939.8300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245939.8300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独立行道树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棵</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九水公园计划2025年1月移交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草花种植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有机更新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按实结算，苗木更新附后，单独报价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8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4673" w:type="dxa"/>
            <w:gridSpan w:val="11"/>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投标总价： 人民币（大写） </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元整，（小写）</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5285" w:type="dxa"/>
            <w:gridSpan w:val="1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1.2024年费用合计=2024年工程量*投标单价；2025年费用合计=2025年工程量*投标单价；投标总价=2024年费用合计+2025年费用合计.       2.“序号9合计”一行中须分别填写2024年费用总合计、2025年费用总合计及两年投标总价。3.“序号8”有机更新的投标总价须与“附件3：2024-2025塘汇绿化养护南区标项一绿化更新报价清单表”中投标总价一致。4.投标总价包含了设备、劳务、管理、配合庆典、安全文明、措施费、风险费、保险、利润、规费、税金、工伤保险费、政策性文件规定及合同包含的所有风险责任等一切有关项目实施费用，今后一律不得调整，请投标单位综合考虑自身实力以及市场材料、人工费等一切风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序号6花镜”及“序号7草花种植”部分根据绿化单位进场后，与养护单位现场核实面积后双方书面确定草花面积及花镜面积后，按照实际面积进行后期考核支付费用；后期如果甲方要求增加草花面积需签订委派单，合同到期后，增加部分草花面积与绿化有机更新费用一起审计完成后支付费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6.除“序号6花镜”及“序号7草花种植”</w:t>
            </w:r>
            <w:r>
              <w:rPr>
                <w:rFonts w:hint="eastAsia" w:ascii="宋体" w:hAnsi="宋体" w:cs="宋体"/>
                <w:i w:val="0"/>
                <w:iCs w:val="0"/>
                <w:color w:val="auto"/>
                <w:kern w:val="0"/>
                <w:sz w:val="18"/>
                <w:szCs w:val="18"/>
                <w:highlight w:val="none"/>
                <w:u w:val="none"/>
                <w:lang w:val="en-US" w:eastAsia="zh-CN" w:bidi="ar"/>
              </w:rPr>
              <w:t>外</w:t>
            </w:r>
            <w:r>
              <w:rPr>
                <w:rFonts w:hint="eastAsia" w:ascii="宋体" w:hAnsi="宋体" w:eastAsia="宋体" w:cs="宋体"/>
                <w:i w:val="0"/>
                <w:iCs w:val="0"/>
                <w:color w:val="auto"/>
                <w:kern w:val="0"/>
                <w:sz w:val="18"/>
                <w:szCs w:val="18"/>
                <w:highlight w:val="none"/>
                <w:u w:val="none"/>
                <w:lang w:val="en-US" w:eastAsia="zh-CN" w:bidi="ar"/>
              </w:rPr>
              <w:t>所有工程量按实际发生量核算。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7.多标段投标的仅须提供该标段的工程量清单报价表。</w:t>
            </w:r>
          </w:p>
        </w:tc>
      </w:tr>
    </w:tbl>
    <w:p>
      <w:pPr>
        <w:rPr>
          <w:rFonts w:hint="eastAsia" w:ascii="宋体" w:hAnsi="宋体" w:eastAsia="宋体" w:cs="宋体"/>
          <w:b/>
          <w:bCs/>
          <w:color w:val="auto"/>
          <w:sz w:val="28"/>
          <w:szCs w:val="28"/>
          <w:highlight w:val="none"/>
          <w:lang w:eastAsia="zh-CN"/>
        </w:rPr>
      </w:pPr>
    </w:p>
    <w:p>
      <w:pPr>
        <w:pStyle w:val="2"/>
        <w:rPr>
          <w:rFonts w:hint="eastAsia"/>
          <w:color w:val="auto"/>
          <w:highlight w:val="none"/>
          <w:lang w:eastAsia="zh-CN"/>
        </w:rPr>
      </w:pPr>
    </w:p>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p>
    <w:tbl>
      <w:tblPr>
        <w:tblStyle w:val="49"/>
        <w:tblW w:w="9485"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938"/>
        <w:gridCol w:w="1349"/>
        <w:gridCol w:w="1686"/>
        <w:gridCol w:w="1177"/>
        <w:gridCol w:w="1247"/>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85"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1</w:t>
            </w:r>
            <w:r>
              <w:rPr>
                <w:rFonts w:hint="eastAsia" w:ascii="宋体" w:hAnsi="宋体" w:eastAsia="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1"/>
                <w:szCs w:val="21"/>
                <w:highlight w:val="none"/>
                <w:u w:val="none"/>
                <w:lang w:val="en-US" w:eastAsia="zh-CN" w:bidi="ar"/>
              </w:rPr>
              <w:t>2024-2025塘汇绿化养护南区标项一绿化明细表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养护等级</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类型</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养护名称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养护范围</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2024养护面积（公顷）</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2025养护面积（公顷）</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一级绿地</w:t>
            </w:r>
          </w:p>
        </w:tc>
        <w:tc>
          <w:tcPr>
            <w:tcW w:w="9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w:t>
            </w: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长纤塘公园(一期、三期)</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6.935975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6.935975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长纤塘文化馆路对面绿地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0.263669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0.263669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永汇府邸西侧茶园港沿河绿地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0.656555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0.656555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长纤塘社区西侧绿地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0.642571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0.642571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九水连心公园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祥瑞花园北侧公园绿地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0.000000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0.978865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计划2025年1月移交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章氏古茶园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1.445923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1.445923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1公顷面积</w:t>
            </w:r>
            <w:r>
              <w:rPr>
                <w:rFonts w:hint="eastAsia" w:ascii="宋体" w:hAnsi="宋体" w:eastAsia="宋体" w:cs="宋体"/>
                <w:i w:val="0"/>
                <w:color w:val="auto"/>
                <w:kern w:val="0"/>
                <w:sz w:val="18"/>
                <w:szCs w:val="18"/>
                <w:highlight w:val="none"/>
                <w:u w:val="none"/>
                <w:lang w:val="en-US" w:eastAsia="zh-CN" w:bidi="ar"/>
              </w:rPr>
              <w:t>计划2024年6月移交</w:t>
            </w:r>
            <w:r>
              <w:rPr>
                <w:rFonts w:hint="eastAsia" w:ascii="宋体" w:hAnsi="宋体" w:cs="宋体"/>
                <w:i w:val="0"/>
                <w:color w:val="auto"/>
                <w:kern w:val="0"/>
                <w:sz w:val="18"/>
                <w:szCs w:val="18"/>
                <w:highlight w:val="none"/>
                <w:u w:val="none"/>
                <w:lang w:val="en-US" w:eastAsia="zh-CN" w:bidi="ar"/>
              </w:rPr>
              <w:t>。剩余古树名木面积约为4500平方米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22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一级绿地小计：</w:t>
            </w:r>
          </w:p>
        </w:tc>
        <w:tc>
          <w:tcPr>
            <w:tcW w:w="168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177"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9.944693 </w:t>
            </w:r>
          </w:p>
        </w:tc>
        <w:tc>
          <w:tcPr>
            <w:tcW w:w="1247"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10.923558 </w:t>
            </w:r>
          </w:p>
        </w:tc>
        <w:tc>
          <w:tcPr>
            <w:tcW w:w="2211" w:type="dxa"/>
            <w:tcBorders>
              <w:top w:val="nil"/>
              <w:left w:val="nil"/>
              <w:bottom w:val="nil"/>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77"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二级绿地</w:t>
            </w:r>
          </w:p>
        </w:tc>
        <w:tc>
          <w:tcPr>
            <w:tcW w:w="938" w:type="dxa"/>
            <w:vMerge w:val="restart"/>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w:t>
            </w:r>
          </w:p>
        </w:tc>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嘉城集团新建公园绿地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康瑞花苑北侧公园绿地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0.451219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0.451219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计划2024年1月移交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融汇雅苑北侧绿地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0.443712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0.443712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计划2024年1月移交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育龙湾公园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1.661883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1.661883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茶园公园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1.822596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1.822596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计划2024年6月移交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城东公园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4.092626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4.092626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快速路破坏约1.2万平方米未计入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茶园小学北侧绿地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1.302865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1.302865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泊翠里西侧公园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0.518271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0.518271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计划2025年6月移交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颜马浜路东侧绿地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颜马浜路章园路东北角绿地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0.000000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0.238567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计划2025年6月移交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茶香坊西区篮球场周边绿地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0.377099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0.377099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周安路加油站旁街心绿地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公园绿地（含兴汇大厦及其屋顶绿化）</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1.474321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1.474321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道路</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周安路（中环北路—320）</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中间隔离带、人行道边至围墙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1.400000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1.400000 </w:t>
            </w:r>
          </w:p>
        </w:tc>
        <w:tc>
          <w:tcPr>
            <w:tcW w:w="221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长纤塘路（中环北路—城东路）</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0.734167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0.734167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百丈路</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0.030559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0.030559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章园路</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0.178558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0.178558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颜马浜路</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0.000000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0.152390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计划2025年6月移交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茶园路（茶园大桥南侧）</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中间隔离带、人行道边至围墙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0.630698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0.630698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鸣羊路（茶园大桥南侧）</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中间隔离带、人行道边至围墙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0.000000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0.479724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计划2025年6月移交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华玉路（320——消防站）</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中间隔离带、人行道边至围墙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0.800000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0.800000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御茶路</w:t>
            </w:r>
          </w:p>
        </w:tc>
        <w:tc>
          <w:tcPr>
            <w:tcW w:w="16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0.653177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0.653177 </w:t>
            </w:r>
          </w:p>
        </w:tc>
        <w:tc>
          <w:tcPr>
            <w:tcW w:w="2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周安路中安市场B、C、D区北侧绿地</w:t>
            </w:r>
          </w:p>
        </w:tc>
        <w:tc>
          <w:tcPr>
            <w:tcW w:w="1686"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0.614540 </w:t>
            </w:r>
          </w:p>
        </w:tc>
        <w:tc>
          <w:tcPr>
            <w:tcW w:w="124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0.614540 </w:t>
            </w:r>
          </w:p>
        </w:tc>
        <w:tc>
          <w:tcPr>
            <w:tcW w:w="2211"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2287"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二级绿地小计：</w:t>
            </w:r>
          </w:p>
        </w:tc>
        <w:tc>
          <w:tcPr>
            <w:tcW w:w="1686"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17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17.186291</w:t>
            </w:r>
          </w:p>
        </w:tc>
        <w:tc>
          <w:tcPr>
            <w:tcW w:w="124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18.056972</w:t>
            </w:r>
          </w:p>
        </w:tc>
        <w:tc>
          <w:tcPr>
            <w:tcW w:w="2211"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77"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三级绿地</w:t>
            </w:r>
          </w:p>
        </w:tc>
        <w:tc>
          <w:tcPr>
            <w:tcW w:w="938" w:type="dxa"/>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中安市场E区东侧河边绿地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0.749530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0.749530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7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华玉佳苑围墙外沿河绿地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0.632991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0.632991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道路</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华玉路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中间隔离带、人行道边至围墙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1.746294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1.746294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周安路（320—铁水港）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中间隔离带、人行道边至围墙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0.653030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0.653030 </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怀安路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人行道边至围墙</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0.15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0.152164</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7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2287"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三级绿地小计：</w:t>
            </w:r>
          </w:p>
        </w:tc>
        <w:tc>
          <w:tcPr>
            <w:tcW w:w="16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3.934009</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3.934009</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9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麦德龙东侧大草坪</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1.697912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1.697912 </w:t>
            </w:r>
          </w:p>
        </w:tc>
        <w:tc>
          <w:tcPr>
            <w:tcW w:w="221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嘉兴金伦建设设备有限公司南侧片林</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1.906424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1.906424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家具建材装饰市场南侧片林</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0.481256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0.481256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城东路两侧小区围墙外</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3.545487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3.545487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城东路入城口绿地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城东路入城口互通公园养护面积114837㎡（其中含乔灌木2744株及地被），水生植物2025㎡</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11.686200 </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11.686200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349"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07省道两侧绿化</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5.276704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5.276704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228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防护片林小计：</w:t>
            </w:r>
          </w:p>
        </w:tc>
        <w:tc>
          <w:tcPr>
            <w:tcW w:w="168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11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24.593983 </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24.593983 </w:t>
            </w:r>
          </w:p>
        </w:tc>
        <w:tc>
          <w:tcPr>
            <w:tcW w:w="2211"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i w:val="0"/>
                <w:color w:val="auto"/>
                <w:sz w:val="18"/>
                <w:szCs w:val="18"/>
                <w:highlight w:val="none"/>
                <w:u w:val="none"/>
              </w:rPr>
            </w:pPr>
          </w:p>
        </w:tc>
      </w:tr>
    </w:tbl>
    <w:p>
      <w:pP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br w:type="page"/>
      </w:r>
    </w:p>
    <w:p>
      <w:pPr>
        <w:pStyle w:val="2"/>
        <w:rPr>
          <w:rFonts w:hint="eastAsia"/>
          <w:color w:val="auto"/>
          <w:highlight w:val="none"/>
          <w:lang w:val="en-US" w:eastAsia="zh-CN"/>
        </w:rPr>
      </w:pPr>
    </w:p>
    <w:tbl>
      <w:tblPr>
        <w:tblStyle w:val="49"/>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155"/>
        <w:gridCol w:w="1695"/>
        <w:gridCol w:w="1815"/>
        <w:gridCol w:w="159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5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2</w:t>
            </w:r>
            <w:r>
              <w:rPr>
                <w:rFonts w:hint="eastAsia" w:ascii="宋体" w:hAnsi="宋体" w:eastAsia="宋体" w:cs="宋体"/>
                <w:b/>
                <w:i w:val="0"/>
                <w:color w:val="auto"/>
                <w:kern w:val="0"/>
                <w:sz w:val="24"/>
                <w:szCs w:val="24"/>
                <w:highlight w:val="none"/>
                <w:u w:val="none"/>
                <w:lang w:val="en-US" w:eastAsia="zh-CN" w:bidi="ar"/>
              </w:rPr>
              <w:t>：2024-2025塘汇绿化养护南区标项一苗木移植报价清单表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15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限价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6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全费用综合单价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乔木</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胸径：3以内</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胸径：3.1-5</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19.08</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胸径：5.1-7</w:t>
            </w:r>
          </w:p>
        </w:tc>
        <w:tc>
          <w:tcPr>
            <w:tcW w:w="18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48.90</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胸径：7.1-9</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112.73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胸径：9.1-11</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190.49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胸径：11.1-14</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280.52</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胸径：14.1-17</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429.21</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胸径：17.1-20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539.14</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胸径：20.1-30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1588.19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胸径：30.1-35</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2096.39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胸径：35.1-40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2902.61</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胸径：40.1-45</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3668.53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胸径：45以上</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4769.09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1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灌木</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蓬径：P15以内</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蓬径：P15.1-30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蓬径：P30.1-60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蓬径：P60.1-90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蓬径：P90.1-120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蓬径：P120.1-150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蓬径：P150.1-180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32.36</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蓬径：P180.1-210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56.98</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蓬径：P210..1-240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87.05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蓬径：P240.1-300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141.45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蓬径：P300.1-360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207.07</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蓬径：P360.1-420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283.13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蓬径：P420.1-540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447.00</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1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次</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5" w:type="dxa"/>
            <w:gridSpan w:val="6"/>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18"/>
                <w:szCs w:val="18"/>
                <w:highlight w:val="none"/>
                <w:u w:val="single"/>
                <w:lang w:val="en-US" w:eastAsia="zh-CN" w:bidi="ar"/>
              </w:rPr>
            </w:pPr>
            <w:r>
              <w:rPr>
                <w:rFonts w:hint="eastAsia" w:ascii="宋体" w:hAnsi="宋体" w:eastAsia="宋体" w:cs="宋体"/>
                <w:b/>
                <w:i w:val="0"/>
                <w:color w:val="auto"/>
                <w:kern w:val="0"/>
                <w:sz w:val="18"/>
                <w:szCs w:val="18"/>
                <w:highlight w:val="none"/>
                <w:u w:val="single"/>
                <w:lang w:val="en-US" w:eastAsia="zh-CN" w:bidi="ar"/>
              </w:rPr>
              <w:t>注：1、今后结算时，上述投标全费用单价固定，工程量以采购人派发的任务单为准并按实结算。上述投标全费用单价包含设备、劳务、管理、配合庆典、安全文明、措施费、风险费、保险、利润、规费、</w:t>
            </w:r>
            <w:r>
              <w:rPr>
                <w:rFonts w:hint="eastAsia" w:ascii="宋体" w:hAnsi="宋体" w:cs="宋体"/>
                <w:b/>
                <w:i w:val="0"/>
                <w:color w:val="auto"/>
                <w:kern w:val="0"/>
                <w:sz w:val="18"/>
                <w:szCs w:val="18"/>
                <w:highlight w:val="none"/>
                <w:u w:val="single"/>
                <w:lang w:val="en-US" w:eastAsia="zh-CN" w:bidi="ar"/>
              </w:rPr>
              <w:t>税金、</w:t>
            </w:r>
            <w:r>
              <w:rPr>
                <w:rFonts w:hint="eastAsia" w:ascii="宋体" w:hAnsi="宋体" w:eastAsia="宋体" w:cs="宋体"/>
                <w:b/>
                <w:i w:val="0"/>
                <w:color w:val="auto"/>
                <w:kern w:val="0"/>
                <w:sz w:val="18"/>
                <w:szCs w:val="18"/>
                <w:highlight w:val="none"/>
                <w:u w:val="single"/>
                <w:lang w:val="en-US" w:eastAsia="zh-CN" w:bidi="ar"/>
              </w:rPr>
              <w:t>工伤保险费、政策性文件规定及合同包含的所有风险责任等所有费用。以上投标单价不得超过各项单价的上限价，否则做无效标处理。</w:t>
            </w:r>
          </w:p>
          <w:p>
            <w:pPr>
              <w:pStyle w:val="2"/>
              <w:numPr>
                <w:ilvl w:val="0"/>
                <w:numId w:val="7"/>
              </w:numPr>
              <w:rPr>
                <w:rFonts w:hint="eastAsia" w:ascii="宋体" w:hAnsi="宋体" w:cs="宋体"/>
                <w:b/>
                <w:i w:val="0"/>
                <w:color w:val="auto"/>
                <w:kern w:val="0"/>
                <w:sz w:val="18"/>
                <w:szCs w:val="18"/>
                <w:highlight w:val="none"/>
                <w:u w:val="single"/>
                <w:lang w:val="en-US" w:eastAsia="zh-CN" w:bidi="ar"/>
              </w:rPr>
            </w:pPr>
            <w:r>
              <w:rPr>
                <w:rFonts w:hint="eastAsia" w:ascii="宋体" w:hAnsi="宋体" w:cs="宋体"/>
                <w:b/>
                <w:i w:val="0"/>
                <w:color w:val="auto"/>
                <w:kern w:val="0"/>
                <w:sz w:val="18"/>
                <w:szCs w:val="18"/>
                <w:highlight w:val="none"/>
                <w:u w:val="single"/>
                <w:lang w:val="en-US" w:eastAsia="zh-CN" w:bidi="ar"/>
              </w:rPr>
              <w:t>今后结算时，需提供现场勘查确认单，上述工程量清单内已含内容按相应中标单价进行结算，如若实际发生内容未包含上述工程量清单内，需在现场勘查确认单中明确实际补植内容及价格。如因中标人移植原因引起的苗木退化、缺失、死株等由中标人自行承担相关补植费用。</w:t>
            </w:r>
          </w:p>
          <w:p>
            <w:pPr>
              <w:keepNext w:val="0"/>
              <w:keepLines w:val="0"/>
              <w:widowControl/>
              <w:suppressLineNumbers w:val="0"/>
              <w:jc w:val="left"/>
              <w:textAlignment w:val="center"/>
              <w:rPr>
                <w:rFonts w:hint="eastAsia" w:ascii="宋体" w:hAnsi="宋体" w:eastAsia="宋体" w:cs="宋体"/>
                <w:b/>
                <w:i w:val="0"/>
                <w:color w:val="auto"/>
                <w:sz w:val="18"/>
                <w:szCs w:val="18"/>
                <w:highlight w:val="none"/>
                <w:u w:val="single"/>
              </w:rPr>
            </w:pPr>
            <w:r>
              <w:rPr>
                <w:rFonts w:hint="eastAsia" w:ascii="宋体" w:hAnsi="宋体" w:cs="宋体"/>
                <w:b/>
                <w:i w:val="0"/>
                <w:color w:val="auto"/>
                <w:kern w:val="0"/>
                <w:sz w:val="18"/>
                <w:szCs w:val="18"/>
                <w:highlight w:val="none"/>
                <w:u w:val="single"/>
                <w:lang w:val="en-US" w:eastAsia="zh-CN" w:bidi="ar"/>
              </w:rPr>
              <w:t>3、以上报价不列入本项目的投标总价中，只作为结算使用。服务期内，若 产生以上工作内容，结算时固定单价不变，工程量按实结算。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18"/>
                <w:szCs w:val="1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21"/>
                <w:szCs w:val="21"/>
                <w:highlight w:val="none"/>
                <w:u w:val="single"/>
              </w:rPr>
            </w:pPr>
          </w:p>
        </w:tc>
      </w:tr>
    </w:tbl>
    <w:p>
      <w:pPr>
        <w:rPr>
          <w:rFonts w:hint="eastAsia"/>
          <w:color w:val="auto"/>
          <w:highlight w:val="none"/>
          <w:lang w:eastAsia="zh-CN"/>
        </w:rPr>
      </w:pPr>
      <w:r>
        <w:rPr>
          <w:rFonts w:hint="eastAsia"/>
          <w:color w:val="auto"/>
          <w:highlight w:val="none"/>
          <w:lang w:eastAsia="zh-CN"/>
        </w:rPr>
        <w:br w:type="page"/>
      </w:r>
    </w:p>
    <w:tbl>
      <w:tblPr>
        <w:tblStyle w:val="4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080"/>
        <w:gridCol w:w="1746"/>
        <w:gridCol w:w="802"/>
        <w:gridCol w:w="1080"/>
        <w:gridCol w:w="1080"/>
        <w:gridCol w:w="108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7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附件3：2024-2025塘汇绿化养护南区标项一绿化更新报价清单表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项目名称</w:t>
            </w:r>
          </w:p>
        </w:tc>
        <w:tc>
          <w:tcPr>
            <w:tcW w:w="133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项目特征要求</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单位</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工程量</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限价</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全费用</w:t>
            </w:r>
          </w:p>
        </w:tc>
        <w:tc>
          <w:tcPr>
            <w:tcW w:w="11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综合单价（元）</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整理绿化用地</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1、整理地形、翻地、松土30cm并根据设计要求处理地形，除去直径5cm以上的石块、垃圾。平整后的种植区地形不应有低洼积水，成型后线条饱满流畅。</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2000</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7.15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种植土回（换）填</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1、回填土质要求：满足规范要求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2、取土运距：自行考虑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3、回填厚度：30cm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4、弃土运距：自行考虑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1、草皮种类：百慕大混播黑麦草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1、草皮种类：马尼拉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1、苗木、花卉种类：书带草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2、单位面积株数：56丛/平米，7-9芽／丛</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1、草皮种类：白三叶</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2、铺种方式：籽播15g/㎡</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1、苗木、花卉种类：鸢尾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59.42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2、株高或蓬径：H21-25cm，P15-20cm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3、单位面积株数：64株/㎡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1、苗木、花卉种类：扶芳藤</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2、株高或蓬径：H20-30cm，P20-30cm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1、苗木、花卉种类：花叶蔓</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45.41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2、株高或蓬径：藤长40cm以上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123.53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2、株高或蓬径：H40-45cm，P30-35cm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1、苗木、花卉种类：红花继木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1、苗木、花卉种类：春鹃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1、苗木、花卉种类：大叶栀子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1、苗木、花卉种类：金叶女贞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1、苗木、花卉种类：瓜子黄杨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60.82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1、苗木、花卉种类：海桐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58.17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1、苗木、花卉种类：小叶女贞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82.08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2、株高或蓬径：H30-35cm,P25-30cm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3、单位面积株数：49株/㎡，小毛球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67.73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1、苗木、花卉种类：含笑</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1、苗木、花卉种类：龟甲冬青</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2、株高或蓬径：H25-30cm，P20-25cm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1、苗木、花卉种类：云南黄馨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2、株高或蓬径：L50-60cm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3、单位面积株数：25株/㎡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1、苗木、花卉种类：珊瑚木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68.95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2.株高或蓬径：H40-45cm 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1、种类：红叶石楠球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1、种类：金森女贞球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236.94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1、种类：金边黄杨球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235.81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1、种类：红花继木球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268.83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263.14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1、种类：海桐球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302.99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园路</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316.87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2.路面厚度、宽度、材料种类：30mm花岗岩</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沥青混凝土</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137.43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2.路面厚度、宽度、材料种类：40mm细粒式沥青混凝土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32</w:t>
            </w: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彩色沥青</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287.27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混凝土</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2.路面厚度、宽度、材料种类：40mm彩色细粒式沥青混凝土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透层、粘层</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沥青黏层</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1、苗木、花卉种类：金边黄杨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1、苗木、花卉种类：夹竹桃绿篱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1、种类：无刺枸骨球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1、种类：龟甲冬青球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1、苗木、花卉种类：火焰南天竹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1、苗木、花卉种类：茶梅</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紫色芦苇草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粉黛乱子草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地肤草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P15-20   H10-20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喜林草（粉蝶花）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64株/㎡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蓝羊茅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墨西哥羽毛草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兔尾草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52.8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小盼草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坡地毛冠草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紫叶狼尾草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矮蒲苇</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玉带草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二月兰</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87.5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郁金香</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158.4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大金鸡菊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大滨菊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波斯菊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大吴风草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兰花三七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花叶美人蕉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P35-40   H60-70  16丛/㎡,每丛5-6芽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36.63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紫娇花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H15-25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金叶石菖蒲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68.31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黄菖蒲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81.11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玉簪</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H15-20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75.91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金边阔叶麦冬</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常绿萱草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H10-20  49丛/㎡,每丛5-6芽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115.11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黄金菊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P16-25，49株/㎡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马鞭草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56.31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五色梅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百日草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萼距花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60.98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亮晶女贞</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绣线菊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金丝桃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H40-50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大花六道木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H35-40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月季</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P35-40   H45-50  25株/㎡，毛球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92.11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茶梅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70.78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八角金盘</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H50-60   30株/㎡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98.12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1、种类：罗汉松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23224.2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2、根盘直径：d18-20cm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1、种类：实生银杏特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12810.46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2、胸径或干径：Φ30-31cm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3、株高、冠径：H900-950cm P450-500cm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5、全冠，树形优美,分枝点高度2.3-2.5m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1、种类：香樟C</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196.52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1、种类：丛生朴树A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10588.75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2、胸径或干径：每枝Φ8cm以上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3、株高、冠径：H850cm P500cm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4、养护期：两5、精品树，五分枝以上，合并Φ70cm以上，全冠，树形优美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1、种类：丛生朴树B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8063.75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2、胸径或干径：每枝Φ6cm以上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4、精品树，五分枝以上，合并Φ50cm以上，全冠，树形优美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391.05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4、精品树，全冠，树形优美,分枝点高度2.0m以上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1、种类：乌桕B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2615.03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3、株高、冠径：H600-700cm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4、精品树，全冠，树形优美,分枝点高度2.0m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1、种类：无患子A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2899.85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3、株高、冠径：H700-800cm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4、全冠，树形优美,分枝点高度1.8-2.5m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1、种类：无患子B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1972.12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2、胸径或干径：Φ15-16cm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3、株高、冠径：H550-600cm P350-400cm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4、全冠，树形优美,分枝点高度1.8-2.2m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1、种类：黄山栾树A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742.49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3、株高、冠径：H250-300cm 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1、种类：香泡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393.49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1662.6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2.胸径或干径：D13-14cm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4.备注：要求三级分支以上,分支点&lt;0.6m,主枝不少于三叉,冠型丰满,不偏冠。</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1729.34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2.地径：13.1-14cm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5.要求：分枝点1米以上，树形饱满，色彩艳丽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1204.34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5.要求：分枝点1.2米以上，树形饱满，色彩艳丽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1、种类：日本早樱特选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1476.44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4、蓬径：P380cm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1、种类：独杆紫薇A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585.15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4、蓬径：P180-200cm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1、种类：特选独杆紫薇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1688.96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2、根盘直径：d15cm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4、蓬径：350cm以上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1、种类：大特选金桂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2850.34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2、根盘直径：d16-18cm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3、灌丛高：450cm以上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2259.62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100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2154.62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3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合计：每年不超过50万元</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970" w:type="dxa"/>
            <w:gridSpan w:val="8"/>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18"/>
                <w:szCs w:val="18"/>
                <w:highlight w:val="none"/>
                <w:u w:val="single"/>
              </w:rPr>
            </w:pPr>
            <w:r>
              <w:rPr>
                <w:rFonts w:hint="eastAsia" w:asciiTheme="minorEastAsia" w:hAnsiTheme="minorEastAsia" w:eastAsiaTheme="minorEastAsia" w:cstheme="minorEastAsia"/>
                <w:b/>
                <w:bCs/>
                <w:i w:val="0"/>
                <w:iCs w:val="0"/>
                <w:color w:val="auto"/>
                <w:kern w:val="0"/>
                <w:sz w:val="18"/>
                <w:szCs w:val="18"/>
                <w:highlight w:val="none"/>
                <w:u w:val="single"/>
                <w:lang w:val="en-US" w:eastAsia="zh-CN" w:bidi="ar"/>
              </w:rPr>
              <w:t>注：1、今后结算时，上述投标全费用单价固定，工程量以采购人派发的任务单为准并按实结算。上述投标全费用单价包含设备、劳务、管理、配合庆典、安全文明、措施费、风险费、保险、利润、规费、税金、工伤保险费、政策性文件规定及合同包含的所有风险责任等所有费用。投标总价不得超过合计价格且投标单价不得超过各项单价的上限价，否则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70" w:type="dxa"/>
            <w:gridSpan w:val="8"/>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18"/>
                <w:szCs w:val="1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0" w:type="dxa"/>
            <w:gridSpan w:val="8"/>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18"/>
                <w:szCs w:val="18"/>
                <w:highlight w:val="none"/>
                <w:u w:val="single"/>
              </w:rPr>
            </w:pPr>
          </w:p>
        </w:tc>
      </w:tr>
    </w:tbl>
    <w:p>
      <w:pPr>
        <w:pStyle w:val="2"/>
        <w:rPr>
          <w:rFonts w:hint="eastAsia"/>
          <w:color w:val="auto"/>
          <w:highlight w:val="none"/>
          <w:lang w:eastAsia="zh-CN"/>
        </w:rPr>
      </w:pPr>
    </w:p>
    <w:p>
      <w:pPr>
        <w:rPr>
          <w:rFonts w:hint="default"/>
          <w:color w:val="auto"/>
          <w:highlight w:val="none"/>
          <w:lang w:val="en-US" w:eastAsia="zh-CN"/>
        </w:rPr>
      </w:pPr>
      <w:r>
        <w:rPr>
          <w:rFonts w:hint="default"/>
          <w:color w:val="auto"/>
          <w:highlight w:val="none"/>
          <w:lang w:val="en-US" w:eastAsia="zh-CN"/>
        </w:rPr>
        <w:br w:type="page"/>
      </w:r>
    </w:p>
    <w:p>
      <w:pPr>
        <w:rPr>
          <w:rFonts w:hint="default"/>
          <w:color w:val="auto"/>
          <w:highlight w:val="none"/>
          <w:lang w:val="en-US" w:eastAsia="zh-CN"/>
        </w:rPr>
      </w:pPr>
    </w:p>
    <w:tbl>
      <w:tblPr>
        <w:tblStyle w:val="49"/>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657"/>
        <w:gridCol w:w="2587"/>
        <w:gridCol w:w="2392"/>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3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4</w:t>
            </w:r>
            <w:r>
              <w:rPr>
                <w:rFonts w:hint="eastAsia" w:ascii="宋体" w:hAnsi="宋体" w:eastAsia="宋体" w:cs="宋体"/>
                <w:b/>
                <w:i w:val="0"/>
                <w:color w:val="auto"/>
                <w:kern w:val="0"/>
                <w:sz w:val="24"/>
                <w:szCs w:val="24"/>
                <w:highlight w:val="none"/>
                <w:u w:val="none"/>
                <w:lang w:val="en-US" w:eastAsia="zh-CN" w:bidi="ar"/>
              </w:rPr>
              <w:t>：2024-2025塘汇绿化养护南区标项一独立行道树明细清单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道路名称</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区块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行道树</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周安路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百丈路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章园路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华玉路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茶园路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42.29</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40.08</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24.55</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16.49</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35.82</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37.13</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29.01</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29.87</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45.52</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45.73</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18.24</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18.92</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51.67</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34.27</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颜马浜路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鸣羊路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御茶路</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2"/>
                <w:szCs w:val="22"/>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2"/>
                <w:szCs w:val="22"/>
                <w:highlight w:val="none"/>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2"/>
                <w:szCs w:val="22"/>
                <w:highlight w:val="none"/>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2"/>
                <w:szCs w:val="22"/>
                <w:highlight w:val="none"/>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4"/>
                <w:szCs w:val="24"/>
                <w:highlight w:val="none"/>
                <w:u w:val="none"/>
              </w:rPr>
            </w:pPr>
          </w:p>
        </w:tc>
      </w:tr>
    </w:tbl>
    <w:p>
      <w:pPr>
        <w:pStyle w:val="2"/>
        <w:rPr>
          <w:rFonts w:hint="default"/>
          <w:color w:val="auto"/>
          <w:highlight w:val="none"/>
          <w:lang w:val="en-US"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tbl>
      <w:tblPr>
        <w:tblStyle w:val="49"/>
        <w:tblW w:w="15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406"/>
        <w:gridCol w:w="830"/>
        <w:gridCol w:w="1350"/>
        <w:gridCol w:w="1382"/>
        <w:gridCol w:w="632"/>
        <w:gridCol w:w="1125"/>
        <w:gridCol w:w="1447"/>
        <w:gridCol w:w="1360"/>
        <w:gridCol w:w="1340"/>
        <w:gridCol w:w="1360"/>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2024-2025塘汇绿化养护北区标项</w:t>
            </w:r>
            <w:r>
              <w:rPr>
                <w:rFonts w:hint="eastAsia" w:ascii="宋体" w:hAnsi="宋体" w:cs="宋体"/>
                <w:b/>
                <w:bCs/>
                <w:i w:val="0"/>
                <w:iCs w:val="0"/>
                <w:color w:val="auto"/>
                <w:kern w:val="0"/>
                <w:sz w:val="36"/>
                <w:szCs w:val="36"/>
                <w:highlight w:val="none"/>
                <w:u w:val="none"/>
                <w:lang w:val="en-US" w:eastAsia="zh-CN" w:bidi="ar"/>
              </w:rPr>
              <w:t>二</w:t>
            </w:r>
            <w:r>
              <w:rPr>
                <w:rFonts w:hint="eastAsia" w:ascii="宋体" w:hAnsi="宋体" w:eastAsia="宋体" w:cs="宋体"/>
                <w:b/>
                <w:bCs/>
                <w:i w:val="0"/>
                <w:iCs w:val="0"/>
                <w:color w:val="auto"/>
                <w:kern w:val="0"/>
                <w:sz w:val="36"/>
                <w:szCs w:val="36"/>
                <w:highlight w:val="none"/>
                <w:u w:val="none"/>
                <w:lang w:val="en-US" w:eastAsia="zh-CN" w:bidi="ar"/>
              </w:rPr>
              <w:t>招标清单汇总表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养护等级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2024年工程量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2025年工程量</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招标限制单价（元/平方米/棵/年）</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投标单价（元/平方米/棵/年）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2024年费用合计（元）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2025年费用合计（元）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投标总价（元）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58892.7600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58892.7600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54195.8700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54195.8700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113088.6300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113088.6300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56991.7500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56991.7500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88855.9600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88855.9600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145847.7100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145847.7100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72937.1100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72937.1100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136696.7200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136696.7200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209633.8300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209633.8300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防护片林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253433.3700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253433.3700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独立行道树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2097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草花种植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有机更新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按实结算，苗木更新附后，单独报价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17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7"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4097" w:type="dxa"/>
            <w:gridSpan w:val="11"/>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投标总价： 人民币（大写） </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元整，（小写）</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1.2024年费用合计=2024年工程量*投标单价；2025年费用合计=2025年工程量*投标单价；投标总价=2024年费用合计+2025年费用合计.       2.“序号9合计”一行中须分别填写2024年费用总合计、2025年费用总合计及两年投标总价。3.“序号8”有机更新的投标总价须与“附件3：2024-2025塘汇绿化养护南区标项一绿化更新报价清单表”中投标总价一致。4.投标总价包含了设备、劳务、管理、配合庆典、安全文明、措施费、风险费、保险、利润、规费、税金、工伤保险费、政策性文件规定及合同包含的所有风险责任等一切有关项目实施费用，今后一律不得调整，请投标单位综合考虑自身实力以及市场材料、人工费等一切风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序号6花镜”及“序号7草花种植”部分根据绿化单位进场后，与养护单位现场核实面积后双方书面确定草花面积及花镜面积后，按照实际面积进行后期考核支付费用；后期如果甲方要求增加草花面积需签订委派单，合同到期后，增加部分草花面积与绿化有机更新费用一起审计完成后支付费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6.除“序号6花镜”及“序号7草花种植”</w:t>
            </w:r>
            <w:r>
              <w:rPr>
                <w:rFonts w:hint="eastAsia" w:ascii="宋体" w:hAnsi="宋体" w:cs="宋体"/>
                <w:i w:val="0"/>
                <w:iCs w:val="0"/>
                <w:color w:val="auto"/>
                <w:kern w:val="0"/>
                <w:sz w:val="18"/>
                <w:szCs w:val="18"/>
                <w:highlight w:val="none"/>
                <w:u w:val="none"/>
                <w:lang w:val="en-US" w:eastAsia="zh-CN" w:bidi="ar"/>
              </w:rPr>
              <w:t>外</w:t>
            </w:r>
            <w:r>
              <w:rPr>
                <w:rFonts w:hint="eastAsia" w:ascii="宋体" w:hAnsi="宋体" w:eastAsia="宋体" w:cs="宋体"/>
                <w:i w:val="0"/>
                <w:iCs w:val="0"/>
                <w:color w:val="auto"/>
                <w:kern w:val="0"/>
                <w:sz w:val="18"/>
                <w:szCs w:val="18"/>
                <w:highlight w:val="none"/>
                <w:u w:val="none"/>
                <w:lang w:val="en-US" w:eastAsia="zh-CN" w:bidi="ar"/>
              </w:rPr>
              <w:t>所有工程量按实际发生量核算。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7.多标段投标的仅须提供该标段的工程量清单报价表。</w:t>
            </w:r>
          </w:p>
        </w:tc>
      </w:tr>
    </w:tbl>
    <w:p>
      <w:pPr>
        <w:pStyle w:val="2"/>
        <w:rPr>
          <w:rFonts w:hint="eastAsia"/>
          <w:color w:val="auto"/>
          <w:highlight w:val="none"/>
          <w:lang w:eastAsia="zh-CN"/>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p>
    <w:tbl>
      <w:tblPr>
        <w:tblStyle w:val="49"/>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176"/>
        <w:gridCol w:w="1175"/>
        <w:gridCol w:w="1686"/>
        <w:gridCol w:w="1428"/>
        <w:gridCol w:w="1296"/>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auto"/>
                <w:sz w:val="21"/>
                <w:szCs w:val="21"/>
                <w:highlight w:val="none"/>
                <w:u w:val="none"/>
              </w:rPr>
            </w:pPr>
            <w:r>
              <w:rPr>
                <w:rFonts w:hint="eastAsia" w:ascii="宋体" w:hAnsi="宋体" w:cs="宋体"/>
                <w:b/>
                <w:i w:val="0"/>
                <w:color w:val="auto"/>
                <w:kern w:val="0"/>
                <w:sz w:val="21"/>
                <w:szCs w:val="21"/>
                <w:highlight w:val="none"/>
                <w:u w:val="none"/>
                <w:lang w:val="en-US" w:eastAsia="zh-CN" w:bidi="ar"/>
              </w:rPr>
              <w:t>附件1：</w:t>
            </w:r>
            <w:r>
              <w:rPr>
                <w:rFonts w:hint="eastAsia" w:ascii="宋体" w:hAnsi="宋体" w:eastAsia="宋体" w:cs="宋体"/>
                <w:b/>
                <w:i w:val="0"/>
                <w:color w:val="auto"/>
                <w:kern w:val="0"/>
                <w:sz w:val="21"/>
                <w:szCs w:val="21"/>
                <w:highlight w:val="none"/>
                <w:u w:val="none"/>
                <w:lang w:val="en-US" w:eastAsia="zh-CN" w:bidi="ar"/>
              </w:rPr>
              <w:t>2024-2025塘汇绿化养护北区标项二绿化明细表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养护等级</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类型</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养护名称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养护范围</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2024养护面积（公顷）</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2025养护面积（公顷）</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一级绿地</w:t>
            </w: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新禾家苑未来社区街心绿地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0.793877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0.793877 </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计划2024年1月移交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浅水湾西侧沿河绿地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0.158867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0.158867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绿城改建永政公园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1.411097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1.411097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长纤塘公园二期</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3.525435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3.525435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道路</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鸣羊路（圆通大桥—昌盛北路）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中央隔离带、连续树池、人行道至围墙边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1.289226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1.289226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塘汇路（鸣羊路—东方路）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中央隔离带、连续树池、人行道至围墙边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4.130361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4.130361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235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一级绿地小计：</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11.308863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11.308863</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二级绿地</w:t>
            </w: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圆通大桥东北角沿河绿地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0.546401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0.546401 </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街道办事处</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办事处红线内</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1.0465</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1.0465</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平安家园南侧永政公园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1.654406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1.654406 </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古之韵公园</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2.451868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2.451868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道路</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东方路（长纤塘—官荡大桥）</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中央隔离带、连续树池、人行道至围墙边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2.040428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2.040428 </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正原路（中北北路—吉祥大桥）</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中央隔离带、连续树池、人行道至围墙边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1.060995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1.060995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茶园路（茶园路大桥—岗山路）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中央隔离带、连续树池、人行道至围墙边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2.327537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2.327537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和风路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1.710058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1.710058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东方路1488弄</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0.662640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0.662640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锦绣路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0.068257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0.068257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养正路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0.113318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0.113318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东方路与三环北路交叉口（320匝道口厂区围墙外绿地）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0.100000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0.100000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三环北路与曙光路交叉路口</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0.802363</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0.802363</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235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二级绿地小计：</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14.584771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14.584771</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三级绿地</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东方路与三环北路交叉口（官荡大桥下绿地）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1.000000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1.000000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樱花公园一期</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岗山路厂区北侧，茶园路东侧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0.800000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0.800000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樱花公园二期</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岗山路厂区北侧，茶园路东侧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1.779300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1.779300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建校南侧绿地</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长纤塘公园北岸建校围墙外绿化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2.794411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2.794411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六里长泾两侧绿化</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公园绿地</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0.920000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0.920000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道路</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平南路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连续树池、人行道至围墙边</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2.743008</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2.743008</w:t>
            </w: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平安路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0.019474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0.019474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金家浜街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0.283594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0.283594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曙光路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连续树池、人行道至围墙边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1.944379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1.944379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旭日路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0.629940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0.629940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周家角路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0.100797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0.100797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九里亭路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0.100805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0.100805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平东路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连续树池、人行道至围墙边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0.105697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0.105697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岗山路</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连续树池、人行道至围墙边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2.180673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2.180673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昌盛路绿化（苏州塘-320）</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中央隔离带、连续树池、人行道至围墙边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5.340609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5.340609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浙江嘉兴翔阳金属材料厂区东侧沿河</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绿地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0.220696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0.220696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235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三级绿地小计：</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20.963383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20.963383</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城市防洪工程嘉兴市区三店塘枢纽管理所北侧河边</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3.538737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3.538737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北郊河片林</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北郊河北侧片林</w:t>
            </w:r>
          </w:p>
        </w:tc>
        <w:tc>
          <w:tcPr>
            <w:tcW w:w="14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1.734000 </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1.734000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中元混凝土围墙外320国道沿线片林</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320国道东、中元混凝土西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1.800000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1.800000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320国道沿线南侧、西侧片林（苏州塘-长纤塘）</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320国道南侧沿线防护片林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18.270600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18.270600 </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c>
          <w:tcPr>
            <w:tcW w:w="235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防护片林小计：</w:t>
            </w:r>
          </w:p>
        </w:tc>
        <w:tc>
          <w:tcPr>
            <w:tcW w:w="1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25.343337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25.343337</w:t>
            </w:r>
          </w:p>
        </w:tc>
        <w:tc>
          <w:tcPr>
            <w:tcW w:w="16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bl>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br w:type="page"/>
      </w:r>
    </w:p>
    <w:tbl>
      <w:tblPr>
        <w:tblStyle w:val="49"/>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440"/>
        <w:gridCol w:w="1725"/>
        <w:gridCol w:w="172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89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2</w:t>
            </w:r>
            <w:r>
              <w:rPr>
                <w:rFonts w:hint="eastAsia" w:ascii="宋体" w:hAnsi="宋体" w:eastAsia="宋体" w:cs="宋体"/>
                <w:b/>
                <w:i w:val="0"/>
                <w:color w:val="auto"/>
                <w:kern w:val="0"/>
                <w:sz w:val="24"/>
                <w:szCs w:val="24"/>
                <w:highlight w:val="none"/>
                <w:u w:val="none"/>
                <w:lang w:val="en-US" w:eastAsia="zh-CN" w:bidi="ar"/>
              </w:rPr>
              <w:t>：2024-2025塘汇绿化养护北区标项二苗木移植报价清单表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4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限价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全费用综合单价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乔木</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胸径：3以内</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6.59</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胸径：3.1-5</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19.08</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胸径：5.1-7</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48.90</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胸径：7.1-9</w:t>
            </w:r>
          </w:p>
        </w:tc>
        <w:tc>
          <w:tcPr>
            <w:tcW w:w="17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112.73</w:t>
            </w:r>
          </w:p>
        </w:tc>
        <w:tc>
          <w:tcPr>
            <w:tcW w:w="184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胸径：9.1-11</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190.49</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胸径：11.1-14</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280.52</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胸径：14.1-17</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429.21</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胸径：17.1-20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539.14</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胸径：20.1-30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1588.19</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胸径：30.1-35</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2096.39</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胸径：35.1-40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2902.61</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胸径：40.1-45</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3668.53</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胸径：45以上</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4769.09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灌木</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蓬径：P15以内</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蓬径：P15.1-30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蓬径：P30.1-60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蓬径：P60.1-90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蓬径：P90.1-120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蓬径：P120.1-150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蓬径：P150.1-180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32.36</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蓬径：P180.1-210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56.98</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蓬径：P210..1-240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87.05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蓬径：P240.1-300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141.45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蓬径：P300.1-360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207.07</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蓬径：P360.1-420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283.13</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蓬径：P420.1-540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447.00</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次</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95" w:type="dxa"/>
            <w:gridSpan w:val="6"/>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18"/>
                <w:szCs w:val="18"/>
                <w:highlight w:val="none"/>
                <w:u w:val="single"/>
                <w:lang w:val="en-US" w:eastAsia="zh-CN" w:bidi="ar"/>
              </w:rPr>
            </w:pPr>
            <w:r>
              <w:rPr>
                <w:rFonts w:hint="eastAsia" w:ascii="宋体" w:hAnsi="宋体" w:eastAsia="宋体" w:cs="宋体"/>
                <w:b/>
                <w:i w:val="0"/>
                <w:color w:val="auto"/>
                <w:kern w:val="0"/>
                <w:sz w:val="18"/>
                <w:szCs w:val="18"/>
                <w:highlight w:val="none"/>
                <w:u w:val="single"/>
                <w:lang w:val="en-US" w:eastAsia="zh-CN" w:bidi="ar"/>
              </w:rPr>
              <w:t>注：1、今后结算时，上述投标全费用单价固定，工程量以采购人派发的任务单为准并按实结算。上述投标全费用单价包含设备、劳务、管理、配合庆典、安全文明、措施费、风险费、保险、利润、规费、</w:t>
            </w:r>
            <w:r>
              <w:rPr>
                <w:rFonts w:hint="eastAsia" w:ascii="宋体" w:hAnsi="宋体" w:cs="宋体"/>
                <w:b/>
                <w:i w:val="0"/>
                <w:color w:val="auto"/>
                <w:kern w:val="0"/>
                <w:sz w:val="18"/>
                <w:szCs w:val="18"/>
                <w:highlight w:val="none"/>
                <w:u w:val="single"/>
                <w:lang w:val="en-US" w:eastAsia="zh-CN" w:bidi="ar"/>
              </w:rPr>
              <w:t>税金、</w:t>
            </w:r>
            <w:r>
              <w:rPr>
                <w:rFonts w:hint="eastAsia" w:ascii="宋体" w:hAnsi="宋体" w:eastAsia="宋体" w:cs="宋体"/>
                <w:b/>
                <w:i w:val="0"/>
                <w:color w:val="auto"/>
                <w:kern w:val="0"/>
                <w:sz w:val="18"/>
                <w:szCs w:val="18"/>
                <w:highlight w:val="none"/>
                <w:u w:val="single"/>
                <w:lang w:val="en-US" w:eastAsia="zh-CN" w:bidi="ar"/>
              </w:rPr>
              <w:t>工伤保险费、政策性文件规定及合同包含的所有风险责任等所有费用。以上投标单价不得超过各项单价的上限价，否则做无效标处理。</w:t>
            </w:r>
          </w:p>
          <w:p>
            <w:pPr>
              <w:pStyle w:val="2"/>
              <w:numPr>
                <w:ilvl w:val="0"/>
                <w:numId w:val="7"/>
              </w:numPr>
              <w:rPr>
                <w:rFonts w:hint="eastAsia" w:ascii="宋体" w:hAnsi="宋体" w:cs="宋体"/>
                <w:b/>
                <w:i w:val="0"/>
                <w:color w:val="auto"/>
                <w:kern w:val="0"/>
                <w:sz w:val="18"/>
                <w:szCs w:val="18"/>
                <w:highlight w:val="none"/>
                <w:u w:val="single"/>
                <w:lang w:val="en-US" w:eastAsia="zh-CN" w:bidi="ar"/>
              </w:rPr>
            </w:pPr>
            <w:r>
              <w:rPr>
                <w:rFonts w:hint="eastAsia" w:ascii="宋体" w:hAnsi="宋体" w:cs="宋体"/>
                <w:b/>
                <w:i w:val="0"/>
                <w:color w:val="auto"/>
                <w:kern w:val="0"/>
                <w:sz w:val="18"/>
                <w:szCs w:val="18"/>
                <w:highlight w:val="none"/>
                <w:u w:val="single"/>
                <w:lang w:val="en-US" w:eastAsia="zh-CN" w:bidi="ar"/>
              </w:rPr>
              <w:t>今后结算时，需提供现场勘查确认单，上述工程量清单内已含内容按相应中标单价进行结算，如若实际发生内容未包含上述工程量清单内，需在现场勘查确认单中明确实际补植内容及价格。如因中标人移植原因引起的苗木退化、缺失、死株等由中标人自行承担相关补植费用。</w:t>
            </w:r>
          </w:p>
          <w:p>
            <w:pPr>
              <w:pStyle w:val="2"/>
              <w:numPr>
                <w:ilvl w:val="0"/>
                <w:numId w:val="0"/>
              </w:numPr>
              <w:rPr>
                <w:rFonts w:hint="default" w:ascii="宋体" w:hAnsi="宋体" w:cs="宋体"/>
                <w:b/>
                <w:i w:val="0"/>
                <w:color w:val="auto"/>
                <w:kern w:val="0"/>
                <w:sz w:val="18"/>
                <w:szCs w:val="18"/>
                <w:highlight w:val="none"/>
                <w:u w:val="single"/>
                <w:lang w:val="en-US" w:eastAsia="zh-CN" w:bidi="ar"/>
              </w:rPr>
            </w:pPr>
            <w:r>
              <w:rPr>
                <w:rFonts w:hint="eastAsia" w:ascii="宋体" w:hAnsi="宋体" w:cs="宋体"/>
                <w:b/>
                <w:i w:val="0"/>
                <w:color w:val="auto"/>
                <w:kern w:val="0"/>
                <w:sz w:val="18"/>
                <w:szCs w:val="18"/>
                <w:highlight w:val="none"/>
                <w:u w:val="single"/>
                <w:lang w:val="en-US" w:eastAsia="zh-CN" w:bidi="ar"/>
              </w:rPr>
              <w:t>3、以上报价不列入本项目的投标总价中，只作为结算使用。服务期内，若 产生以上工作内容，结算时固定单价不变，工程量按实结算。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9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21"/>
                <w:szCs w:val="21"/>
                <w:highlight w:val="none"/>
                <w:u w:val="single"/>
              </w:rPr>
            </w:pPr>
          </w:p>
        </w:tc>
      </w:tr>
    </w:tbl>
    <w:p>
      <w:pPr>
        <w:rPr>
          <w:rFonts w:hint="eastAsia"/>
          <w:color w:val="auto"/>
          <w:highlight w:val="none"/>
          <w:lang w:eastAsia="zh-CN"/>
        </w:rPr>
      </w:pPr>
      <w:r>
        <w:rPr>
          <w:rFonts w:hint="eastAsia"/>
          <w:color w:val="auto"/>
          <w:highlight w:val="none"/>
          <w:lang w:eastAsia="zh-CN"/>
        </w:rPr>
        <w:br w:type="page"/>
      </w:r>
    </w:p>
    <w:tbl>
      <w:tblPr>
        <w:tblStyle w:val="4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080"/>
        <w:gridCol w:w="1746"/>
        <w:gridCol w:w="802"/>
        <w:gridCol w:w="1080"/>
        <w:gridCol w:w="1080"/>
        <w:gridCol w:w="108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7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附件3：2024-2025塘汇绿化养护</w:t>
            </w:r>
            <w:r>
              <w:rPr>
                <w:rFonts w:hint="eastAsia" w:ascii="宋体" w:hAnsi="宋体" w:cs="宋体"/>
                <w:b/>
                <w:bCs/>
                <w:i w:val="0"/>
                <w:iCs w:val="0"/>
                <w:color w:val="auto"/>
                <w:kern w:val="0"/>
                <w:sz w:val="24"/>
                <w:szCs w:val="24"/>
                <w:highlight w:val="none"/>
                <w:u w:val="none"/>
                <w:lang w:val="en-US" w:eastAsia="zh-CN" w:bidi="ar"/>
              </w:rPr>
              <w:t>北</w:t>
            </w:r>
            <w:r>
              <w:rPr>
                <w:rFonts w:hint="eastAsia" w:ascii="宋体" w:hAnsi="宋体" w:eastAsia="宋体" w:cs="宋体"/>
                <w:b/>
                <w:bCs/>
                <w:i w:val="0"/>
                <w:iCs w:val="0"/>
                <w:color w:val="auto"/>
                <w:kern w:val="0"/>
                <w:sz w:val="24"/>
                <w:szCs w:val="24"/>
                <w:highlight w:val="none"/>
                <w:u w:val="none"/>
                <w:lang w:val="en-US" w:eastAsia="zh-CN" w:bidi="ar"/>
              </w:rPr>
              <w:t>区标项一绿化更新报价清单表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133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项目特征要求</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限价</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全费用</w:t>
            </w:r>
          </w:p>
        </w:tc>
        <w:tc>
          <w:tcPr>
            <w:tcW w:w="11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综合单价（元）</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整理绿化用地</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1、整理地形、翻地、松土30cm并根据设计要求处理地形，除去直径5cm以上的石块、垃圾。平整后的种植区地形不应有低洼积水，成型后线条饱满流畅。</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种植土回（换）填</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1、回填土质要求：满足规范要求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2、取土运距：自行考虑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3、回填厚度：30cm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4、弃土运距：自行考虑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1、草皮种类：百慕大混播黑麦草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1、草皮种类：马尼拉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1、苗木、花卉种类：书带草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2、单位面积株数：56丛/平米，7-9芽／丛</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1、草皮种类：白三叶</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2、铺种方式：籽播15g/㎡</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1、苗木、花卉种类：鸢尾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2、株高或蓬径：H21-25cm，P15-20cm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3、单位面积株数：64株/㎡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1、苗木、花卉种类：扶芳藤</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2、株高或蓬径：H20-30cm，P20-30cm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1、苗木、花卉种类：花叶蔓</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45.41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2、株高或蓬径：藤长40cm以上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123.53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2、株高或蓬径：H40-45cm，P30-35cm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1、苗木、花卉种类：红花继木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1、苗木、花卉种类：春鹃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1、苗木、花卉种类：大叶栀子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1、苗木、花卉种类：金叶女贞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1、苗木、花卉种类：瓜子黄杨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1、苗木、花卉种类：海桐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58.17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1、苗木、花卉种类：小叶女贞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2、株高或蓬径：H30-35cm,P25-30cm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3、单位面积株数：49株/㎡，小毛球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67.73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1、苗木、花卉种类：含笑</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1、苗木、花卉种类：龟甲冬青</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2、株高或蓬径：H25-30cm，P20-25cm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1、苗木、花卉种类：云南黄馨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2、株高或蓬径：L50-60cm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3、单位面积株数：25株/㎡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1、苗木、花卉种类：珊瑚木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68.95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2.株高或蓬径：H40-45cm 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1、种类：红叶石楠球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1、种类：金森女贞球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236.94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1、种类：金边黄杨球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235.81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1、种类：红花继木球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268.83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1、种类：海桐球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302.99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园路</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2.路面厚度、宽度、材料种类：30mm花岗岩</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137.43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2.路面厚度、宽度、材料种类：40mm细粒式沥青混凝土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彩色沥青</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287.27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2.路面厚度、宽度、材料种类：40mm彩色细粒式沥青混凝土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沥青黏层</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1、苗木、花卉种类：金边黄杨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1、苗木、花卉种类：夹竹桃绿篱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1、种类：无刺枸骨球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1、种类：龟甲冬青球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1、苗木、花卉种类：火焰南天竹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1、苗木、花卉种类：茶梅</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紫色芦苇草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粉黛乱子草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地肤草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P15-20   H10-20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喜林草（粉蝶花）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64株/㎡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蓝羊茅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墨西哥羽毛草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兔尾草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小盼草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坡地毛冠草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紫叶狼尾草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矮蒲苇</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玉带草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二月兰</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郁金香</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大金鸡菊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大滨菊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波斯菊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大吴风草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兰花三七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花叶美人蕉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P35-40   H60-70  16丛/㎡,每丛5-6芽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紫娇花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H15-25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金叶石菖蒲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玉簪</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H15-20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75.91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金边阔叶麦冬</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常绿萱草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H10-20  49丛/㎡,每丛5-6芽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黄金菊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P16-25，49株/㎡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马鞭草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五色梅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百日草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萼距花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亮晶女贞</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绣线菊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金丝桃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H40-50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大花六道木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H35-40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月季</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P35-40   H45-50  25株/㎡，毛球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70.78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八角金盘</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H50-60   30株/㎡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1、种类：罗汉松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23224.2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2、根盘直径：d18-20cm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1、种类：实生银杏特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12810.46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2、胸径或干径：Φ30-31cm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3、株高、冠径：H900-950cm P450-500cm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5、全冠，树形优美,分枝点高度2.3-2.5m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1、种类：香樟C</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196.52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1、种类：丛生朴树A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10588.75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2、胸径或干径：每枝Φ8cm以上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3、株高、冠径：H850cm P500cm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4、养护期：两5、精品树，五分枝以上，合并Φ70cm以上，全冠，树形优美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1、种类：丛生朴树B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8063.75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2、胸径或干径：每枝Φ6cm以上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4、精品树，五分枝以上，合并Φ50cm以上，全冠，树形优美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391.05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4、精品树，全冠，树形优美,分枝点高度2.0m以上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1、种类：乌桕B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2615.03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3、株高、冠径：H600-700cm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4、精品树，全冠，树形优美,分枝点高度2.0m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1、种类：无患子A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2899.85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3、株高、冠径：H700-800cm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4、全冠，树形优美,分枝点高度1.8-2.5m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1、种类：无患子B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2、胸径或干径：Φ15-16cm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3、株高、冠径：H550-600cm P350-400cm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4、全冠，树形优美,分枝点高度1.8-2.2m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1、种类：黄山栾树A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742.49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3、株高、冠径：H250-300cm 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1、种类：香泡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1662.6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2.胸径或干径：D13-14cm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4.备注：要求三级分支以上,分支点&lt;0.6m,主枝不少于三叉,冠型丰满,不偏冠。</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1729.34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2.地径：13.1-14cm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5.要求：分枝点1米以上，树形饱满，色彩艳丽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1204.34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5.要求：分枝点1.2米以上，树形饱满，色彩艳丽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1、种类：日本早樱特选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1476.44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4、蓬径：P380cm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1、种类：独杆紫薇A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585.15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4、蓬径：P180-200cm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1、种类：特选独杆紫薇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1688.96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2、根盘直径：d15cm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4、蓬径：350cm以上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1、种类：大特选金桂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2850.34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2、根盘直径：d16-18cm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3、灌丛高：450cm以上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2259.62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2154.62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3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合计：每年不超过</w:t>
            </w:r>
            <w:r>
              <w:rPr>
                <w:rFonts w:hint="eastAsia" w:ascii="宋体" w:hAnsi="宋体" w:cs="宋体"/>
                <w:b/>
                <w:bCs/>
                <w:i w:val="0"/>
                <w:iCs w:val="0"/>
                <w:color w:val="auto"/>
                <w:kern w:val="0"/>
                <w:sz w:val="18"/>
                <w:szCs w:val="18"/>
                <w:highlight w:val="none"/>
                <w:u w:val="none"/>
                <w:lang w:val="en-US" w:eastAsia="zh-CN" w:bidi="ar"/>
              </w:rPr>
              <w:t>38</w:t>
            </w:r>
            <w:r>
              <w:rPr>
                <w:rFonts w:hint="eastAsia" w:ascii="宋体" w:hAnsi="宋体" w:eastAsia="宋体" w:cs="宋体"/>
                <w:b/>
                <w:bCs/>
                <w:i w:val="0"/>
                <w:iCs w:val="0"/>
                <w:color w:val="auto"/>
                <w:kern w:val="0"/>
                <w:sz w:val="18"/>
                <w:szCs w:val="18"/>
                <w:highlight w:val="none"/>
                <w:u w:val="none"/>
                <w:lang w:val="en-US" w:eastAsia="zh-CN" w:bidi="ar"/>
              </w:rPr>
              <w:t>万元</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970" w:type="dxa"/>
            <w:gridSpan w:val="8"/>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single"/>
              </w:rPr>
            </w:pPr>
            <w:r>
              <w:rPr>
                <w:rStyle w:val="376"/>
                <w:rFonts w:hint="eastAsia" w:ascii="宋体" w:hAnsi="宋体" w:eastAsia="宋体" w:cs="宋体"/>
                <w:color w:val="auto"/>
                <w:sz w:val="18"/>
                <w:szCs w:val="18"/>
                <w:highlight w:val="none"/>
                <w:lang w:val="en-US" w:eastAsia="zh-CN" w:bidi="ar"/>
              </w:rPr>
              <w:t>注：1、今后结算时，上述投标全费用单价固定，工程量以采购人派发的任务单为准并按实结算。上述投标全费用单价包含设备、劳务、管理、配合庆典、安全文明、措施费、风险费、保险、利润、规费、税金、工伤保险费、政策性文件规定及合同包含的所有风险责任等所有费用。投标总价不得超过合计价格且投标单价不得超过各项单价的上限价，否则做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70" w:type="dxa"/>
            <w:gridSpan w:val="8"/>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18"/>
                <w:szCs w:val="1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0" w:type="dxa"/>
            <w:gridSpan w:val="8"/>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auto"/>
                <w:sz w:val="18"/>
                <w:szCs w:val="18"/>
                <w:highlight w:val="none"/>
                <w:u w:val="single"/>
              </w:rPr>
            </w:pPr>
          </w:p>
        </w:tc>
      </w:tr>
    </w:tbl>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tbl>
      <w:tblPr>
        <w:tblStyle w:val="49"/>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2033"/>
        <w:gridCol w:w="2550"/>
        <w:gridCol w:w="2166"/>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40"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4</w:t>
            </w:r>
            <w:r>
              <w:rPr>
                <w:rFonts w:hint="eastAsia" w:ascii="宋体" w:hAnsi="宋体" w:eastAsia="宋体" w:cs="宋体"/>
                <w:b/>
                <w:i w:val="0"/>
                <w:color w:val="auto"/>
                <w:kern w:val="0"/>
                <w:sz w:val="24"/>
                <w:szCs w:val="24"/>
                <w:highlight w:val="none"/>
                <w:u w:val="none"/>
                <w:lang w:val="en-US" w:eastAsia="zh-CN" w:bidi="ar"/>
              </w:rPr>
              <w:t>：2024-2025塘汇绿化养护北区标项二独立行道树明细清单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道路名称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区块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行道树</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东方路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76棵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121棵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平安路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正原路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锦绣路</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岗山路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76棵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昌盛东路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87棵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和风路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塘汇路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养正路</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路南</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23棵</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highlight w:val="none"/>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highlight w:val="none"/>
                <w:u w:val="none"/>
              </w:rPr>
            </w:pPr>
          </w:p>
        </w:tc>
      </w:tr>
    </w:tbl>
    <w:p>
      <w:pPr>
        <w:pStyle w:val="2"/>
        <w:rPr>
          <w:rFonts w:hint="eastAsia"/>
          <w:color w:val="auto"/>
          <w:highlight w:val="none"/>
          <w:lang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p>
      <w:pPr>
        <w:pStyle w:val="2"/>
        <w:rPr>
          <w:rFonts w:hint="eastAsia"/>
          <w:color w:val="auto"/>
          <w:highlight w:val="none"/>
          <w:lang w:eastAsia="zh-CN"/>
        </w:rPr>
      </w:pPr>
    </w:p>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p>
    <w:p>
      <w:pPr>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养护标准</w:t>
      </w:r>
    </w:p>
    <w:p>
      <w:pPr>
        <w:spacing w:line="418" w:lineRule="exact"/>
        <w:ind w:firstLine="181" w:firstLineChars="1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（一）绿地养护标准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根据国家和省、市有关法律、法规，在结合嘉兴经济技术开发区、嘉兴国际商务区绿地分级养护实际要求的基础上，充分参照《嘉兴市区城市绿地养护标准》，拟定以下绿地养护标准：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1.1总体标准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绿化养护技术措施完善，建有工种齐全和固定的养护队伍，科学实施养护养资料档案管理科学有序。养护要随着植物生长的各个阶段，不断进行调整与充实；根据设计意图，使植物群落结构合理，层次丰富，季相分明；植物生长旺盛，黄土不露天；保持植株清洁，绿地总体景观好。具体内容包括园林植物养护、设施维护、土肥标准、病虫害防治标准、卫生标准及管理标准。</w:t>
      </w:r>
    </w:p>
    <w:p>
      <w:pPr>
        <w:spacing w:line="418" w:lineRule="exact"/>
        <w:ind w:firstLine="360"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1.2 </w:t>
      </w:r>
      <w:r>
        <w:rPr>
          <w:rFonts w:hint="eastAsia" w:asciiTheme="minorEastAsia" w:hAnsiTheme="minorEastAsia" w:eastAsiaTheme="minorEastAsia" w:cstheme="minorEastAsia"/>
          <w:b/>
          <w:bCs/>
          <w:color w:val="auto"/>
          <w:sz w:val="18"/>
          <w:szCs w:val="18"/>
          <w:highlight w:val="none"/>
        </w:rPr>
        <w:t>一级绿地养护标准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 园林植物养护标准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1.2.1.1 植物生长健壮，长势良好，乔灌木成活率98%以上，乔灌木保存率100%，无缺、死株。</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1.2.1.2 按乔灌木生长习性、绿化修剪标准进行科学修剪，不影响行人交通安全，</w:t>
      </w:r>
      <w:r>
        <w:rPr>
          <w:rFonts w:hint="eastAsia" w:asciiTheme="minorEastAsia" w:hAnsiTheme="minorEastAsia" w:eastAsiaTheme="minorEastAsia" w:cstheme="minorEastAsia"/>
          <w:b/>
          <w:color w:val="auto"/>
          <w:sz w:val="18"/>
          <w:szCs w:val="18"/>
          <w:highlight w:val="none"/>
        </w:rPr>
        <w:t>每年造型修剪不少于2次</w:t>
      </w:r>
      <w:r>
        <w:rPr>
          <w:rFonts w:hint="eastAsia" w:asciiTheme="minorEastAsia" w:hAnsiTheme="minorEastAsia" w:eastAsiaTheme="minorEastAsia" w:cstheme="minorEastAsia"/>
          <w:color w:val="auto"/>
          <w:sz w:val="18"/>
          <w:szCs w:val="18"/>
          <w:highlight w:val="none"/>
        </w:rPr>
        <w:t>。乔木分枝点合适，主侧枝分布匀称，内膛不乱，通风透光；修剪有型、疏密适度，剪口平滑。乔灌木无歪斜，无倒伏现象；无枯枝死杈，无徒长枝、病虫枝、过密枝、枯枝、伤损枝；</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叶片大小、颜色正常。花灌木开花应适时，株形丰满，修剪及时、准确。</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1.2.1.3 色块、绿篱等枝叶茂密，整齐一致，完好率98%以上；适期修剪，曲线润畅，轮廓明显，球类修剪圆整；绿篱及色块无死亡、空缺，无脱脚现象；新生枝不得超过10cm。</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1.2.1.4 宿根植物及时翻种、断根、间苗、补植。</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1.2.1.5 </w:t>
      </w:r>
      <w:r>
        <w:rPr>
          <w:rFonts w:hint="eastAsia" w:asciiTheme="minorEastAsia" w:hAnsiTheme="minorEastAsia" w:eastAsiaTheme="minorEastAsia" w:cstheme="minorEastAsia"/>
          <w:b/>
          <w:color w:val="auto"/>
          <w:sz w:val="18"/>
          <w:szCs w:val="18"/>
          <w:highlight w:val="none"/>
        </w:rPr>
        <w:t>草坪及地被植物整齐一致，边缘线清晰（及时切边）</w:t>
      </w:r>
      <w:r>
        <w:rPr>
          <w:rFonts w:hint="eastAsia" w:asciiTheme="minorEastAsia" w:hAnsiTheme="minorEastAsia" w:eastAsiaTheme="minorEastAsia" w:cstheme="minorEastAsia"/>
          <w:color w:val="auto"/>
          <w:sz w:val="18"/>
          <w:szCs w:val="18"/>
          <w:highlight w:val="none"/>
        </w:rPr>
        <w:t>，生长茂盛且覆盖率98 %以上，草坪适时修剪，高度保持在10cm之内。草坪无黄化现象，无杂草、无斑秃、无裸露地面。草坪绿色期：四季常绿，若养护期间无法达到四季常绿或存在草坪退化现象，中标单位需及时处理，必要时重新铺设常绿草坪，确保良好的公园形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1.2.1.6 时花按设计精心养护，花期整齐，花量饱满，轮廓清晰、整齐美观。花坛、花带株行距适宜，无倒伏、无残缺。</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1.2.1.7 棚架、假山、墙面、围栏（墙）、桥体上的藤蔓植物及垂直绿化生长茂盛，并根据不同植物的攀缘特点，及时采取相应的技术措施，及时清除枯枝，疏删老弱藤蔓。</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1.2.1.8 水湿生植物生长控制得当，无枯叶、病虫叶，进入休眠期后及时收割。</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1.2.1.9 绿地内无大型和缠绕性、攀缘性杂草，零星区域的杂草控制在5％以下，且无15cm以上杂草。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1.2.2 设施维护标准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1.2.2.1 绿地附属设施完好、分布合理、放置整齐、保持清洁。</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1.2.2.2 亭廊阁、景观桥梁、栏杆、櫈椅、果皮箱、路灯、井盖等园林建（构）筑物、附属设施、游乐设施安全可靠，定期维护修缮，保持完好率98%以上；园林设施无明显锈斑、油漆剥落现象，</w:t>
      </w:r>
      <w:r>
        <w:rPr>
          <w:rFonts w:hint="eastAsia" w:asciiTheme="minorEastAsia" w:hAnsiTheme="minorEastAsia" w:eastAsiaTheme="minorEastAsia" w:cstheme="minorEastAsia"/>
          <w:b/>
          <w:color w:val="auto"/>
          <w:sz w:val="18"/>
          <w:szCs w:val="18"/>
          <w:highlight w:val="none"/>
        </w:rPr>
        <w:t>每一年粉刷油漆不少于两次</w:t>
      </w:r>
      <w:r>
        <w:rPr>
          <w:rFonts w:hint="eastAsia" w:asciiTheme="minorEastAsia" w:hAnsiTheme="minorEastAsia" w:eastAsiaTheme="minorEastAsia" w:cstheme="minorEastAsia"/>
          <w:color w:val="auto"/>
          <w:sz w:val="18"/>
          <w:szCs w:val="18"/>
          <w:highlight w:val="none"/>
        </w:rPr>
        <w:t>。</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1.2.2.3 园路、铺装、侧石、花坛完好、美观，无大面积破损，完好率98%以上；园路、铺装表面无积水、无淤泥。</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1.2.2.4 各类标识牌、宣传牌设置合理，醒目、规范，定期清洗，破损后应及时维修，绿道标线要保持清晰，及时更新。</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1.2.2.5 供水、供电、排水、喷灌等管网设施维护良好；照明设施已纳入城市照明管理体系进行统一管理，主动配合，协同做好景观灯的清洁工作；照明设施未纳入城市照明管理体系进行统一管理，需及时更换破损灯具，定期检查电路情况，修复电路故障，保证照明，完好率95%以上；保持绿地内管理设施及地下管线和窨井盖的完整，对损坏的要及时进行修复。</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2.2.2.6 树木支撑规范有效，统一，无断桩，坏桩。悬挂容器必须安全、完好、整洁、美观。</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1.2.3 土肥标准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1.2.3.1 土壤疏松，根据植物生长特性及时施肥，充分利用有机肥，也可施复合肥，增强土壤肥力（要求一年施肥二次以上）。</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1.2.3.2 土壤理化性状应符合下列要求：pH值为6.0—7.0之间；石砾粒径≤5cm（高架挂箱石砾粒径≤2cm），含量≤8%；有机质含量≥25g/kg。</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1.2.3.3 高架挂箱基质每年松土一次施肥二次。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1.2.3.4 根据天气情况和植物特性，适时浇水，及时抗旱排涝，无缺水枯死植株，无积水。</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1.2.4 病虫害防治标准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1.2.4.1 提倡生物防治和综合防治，以防为主。病虫害控制及时，对园林景观无影响。枝叶受害率应小于8%；树干受害率</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应小于3%。</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3.2.4.2 无加拿大一枝黄花等有害植物及影响生长的附着物。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1.2.5 卫生标准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1.2.5.1 绿地整洁，地面卫生，无垃圾杂物，墙面无涂刻、无张贴，建（构）筑物上无蛛网。</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1.2.5.2 绿地内水体整洁卫生，无异味、无漂浮杂物、无植物残体、无杂生水生植物。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1.2.5.3 植草浅沟、拦污雨水口、LID生态排水沟、简易格栅井（或拦污渗漏井）应定期清理垃圾，清理垃圾间隔时间不得大于1个月。</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3.2.5.4 垃圾日产日清，保洁及时，无焚烧垃圾、树叶现象。无卫生死角，厕所无积垢，无明显异味。</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1.2.6 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1.2.6.1 绿地管理制度全面落实，台账档案资料完整、详尽；巡查人员、养护人员到岗到位，实行日常巡查；工作人员统一着装，执牌上岗；按实际情况，配置必要的秩序管理员。</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1.2.6.2 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1.2.6.3 生态绿道桥梁养护管理包括新建桥梁、部分改造利用桥梁，按照《城市桥梁养护技术规范CJJ99－2003》Ⅴ类城市桥梁养护管理标准进行养护。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1.2.6.4 生态绿道沿线服务系统设施维护（服务中心、驿站运营、餐饮零售等）按照属地原则由责任单位负责，实行市场化运作，做到规范服务管理，禁止私自设摊。</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1.2.6.5 各类绿地基本完整，无违章侵占绿、破坏绿化现象；无明显堆物、堆料、搭棚；无违法建设、无违规设摊项目。管理秩序良好，无停放车辆、进入车辆现象；无乱堆乱放、晾晒衣物现象。</w:t>
      </w:r>
    </w:p>
    <w:p>
      <w:pPr>
        <w:spacing w:line="418" w:lineRule="exact"/>
        <w:ind w:firstLine="360"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1.3 </w:t>
      </w:r>
      <w:r>
        <w:rPr>
          <w:rFonts w:hint="eastAsia" w:asciiTheme="minorEastAsia" w:hAnsiTheme="minorEastAsia" w:eastAsiaTheme="minorEastAsia" w:cstheme="minorEastAsia"/>
          <w:b/>
          <w:bCs/>
          <w:color w:val="auto"/>
          <w:sz w:val="18"/>
          <w:szCs w:val="18"/>
          <w:highlight w:val="none"/>
        </w:rPr>
        <w:t>二级绿地养护标准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 园林植物养护标准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1.3.1.1 植物生长良好，乔灌木成活率98%以上，乔灌木保存率99%，无死株，缺株。</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1.3.1.2按乔灌木生长习性、绿化修剪标准进行科学修剪，不影响行人交通安全，每年造型修剪不少于2次。乔木分枝点合适，主侧枝分布匀称，内膛不乱，通风透光；修剪有型、疏密适度，剪口平滑。乔灌木无歪斜，无倒伏现象；无枯枝死杈，无徒长枝、病虫枝、过密枝、枯枝、伤损枝；叶片大小、颜色正常。花灌木开花应适时，株形丰满，修剪及时、准确。</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1.3.1.3 色块、绿篱等枝叶茂密，整齐一致，完好率95%以上；适期修剪，曲线润畅，轮廓明显，球类修剪圆整；绿篱及色块无死亡、空缺，无脱脚现象；新生枝不得超过10cm。</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1.3.1.4 宿根植物及时翻种、断根、间苗。</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1.3.1.5 草坪及地被植物整齐一致，边缘线清晰（及时切边），生长茂盛且覆盖率95%以上，草坪适时修剪，高度保持在10cm之内。草坪无黄化现象，无杂草、无斑秃、无裸露地面。草坪绿色期：冷季型草坪不得少于300天，暖季型草坪不得少于200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1.3.1.6 时花按设计精心养护，花期整齐，花量饱满，轮廓清晰、整齐美观。花坛、花带株行距适宜，无倒伏、无残缺。</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1.3.1.7 棚架、假山、墙面、围栏（墙）、桥体上的藤蔓植物及垂直绿化生长茂盛，并根据不同植物的攀缘特点，及时采取相应的技术措施，及时清除枯枝，疏删老弱藤蔓。</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1.3.1.8 水湿生植物生长控制得当，无枯叶、病虫叶，进入休眠期后及时收割。</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1.3.1.9 绿地内无大型和缠绕性、攀缘性杂草，零星区域的杂草控制在10％以下，且无15cm以上杂草。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 设施维护标准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1.3.2.1 绿地附属设施完好、分布合理、放置整齐、保持清洁。</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1.3.2.2 亭廊阁、景观桥梁、栏杆、櫈椅、果皮箱、路灯、井盖和牌示等园林建（构）筑物、附属设施、游乐设施安全可靠，定期维护修缮，保持完好率95%以上；园林设施无明显锈斑、油漆剥落现象，</w:t>
      </w:r>
      <w:r>
        <w:rPr>
          <w:rFonts w:hint="eastAsia" w:asciiTheme="minorEastAsia" w:hAnsiTheme="minorEastAsia" w:eastAsiaTheme="minorEastAsia" w:cstheme="minorEastAsia"/>
          <w:b/>
          <w:color w:val="auto"/>
          <w:sz w:val="18"/>
          <w:szCs w:val="18"/>
          <w:highlight w:val="none"/>
        </w:rPr>
        <w:t>每一年粉刷油漆一次</w:t>
      </w:r>
      <w:r>
        <w:rPr>
          <w:rFonts w:hint="eastAsia" w:asciiTheme="minorEastAsia" w:hAnsiTheme="minorEastAsia" w:eastAsiaTheme="minorEastAsia" w:cstheme="minorEastAsia"/>
          <w:color w:val="auto"/>
          <w:sz w:val="18"/>
          <w:szCs w:val="18"/>
          <w:highlight w:val="none"/>
        </w:rPr>
        <w:t>。</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1.3.2.3 园路、铺装、侧石、花坛完好、美观，无大面积破损，完好率95%以上；园路、铺装表面无积水、无淤泥。</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1.3.2.4 各类标识牌、宣传牌设置合理，醒目、规范，定期清洗，破损后应及时维修，绿道标线要保持清晰，及时更新。</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1.3.2.5 供水、供电、排水、喷灌等管网设施维护良好；照明设施已纳入城市照明管理体系进行统一管理，主动配合，协同做好景观灯的清洁工作；照明设施未纳入城市照明管理体系进行统一管理，需及时更换破损灯具，定期检查电路情况，修复电路故障，保证照明，完好率90%以上；保持绿地内管理设施及地下管线和窨井盖的完整，对损坏的要及时进行修复。</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1.3.2.6 树木支撑规范有效，统一，无断桩，坏桩。悬挂容器必须安全、完好、整洁、美观。</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1.3.3 土肥标准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1.3.3.1 土壤疏松，根据植物生长特性及时施肥，充分利用有机肥，也可施复合肥，增强土壤肥力（要求一年施肥二次以上）。</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1.3.3.2 土壤理化性状应符合下列要求：pH值为6.0—7.0之间；石砾粒径≤5cm（高架挂箱石砾粒径≤2cm），含量≤8%；有机质含量≥25g/kg。</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1.3.3.3 高架挂箱基质每年松土一次施肥二次。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1.3.3.4 根据天气情况和植物特性，适时浇水，及时抗旱排涝，无缺水枯死植株，无积水。</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1.3.4 病虫害防治标准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1.3.4.1 提倡生物防治和综合防治，以防为主。病虫害控制及时，对园林景观无影响。枝叶受害率应小于10%；树干受害率应小于5%。</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1.3.4.2 无加拿大一枝黄花等有害植物及影响生长的附着物。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1.3.5 卫生标准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1.3.5.1 绿地整洁，地面卫生，无垃圾杂物，墙面无涂刻、无张贴，建（构）筑物上无蛛网。</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1.3.5.2 绿地内水体整洁卫生，无异味、无漂浮杂物、无植物残体、无杂生水生植物。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1.3.5.3 植草浅沟、拦污雨水口、LID生态排水沟、简易格栅井（或拦污渗漏井）应定期清理垃圾，清理垃圾间隔时间不得大于1个月。</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1.3.5.4 垃圾日产日清，保洁及时；无焚烧垃圾、树叶现象；无卫生死角，厕所无积垢，无明显异味。</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1.3.6 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1.3.6.1 绿地管理制度全面落实，台账档案资料完整、详尽；巡查人员、养护人员到岗到位，实行日常巡查；工作人员统一着装，执牌上岗；按实际情况，配置必要的秩序管理员。</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1.3.6.2 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1.3.6.3 生态绿道桥梁养护管理包括新建桥梁、部分改造利用桥梁，按照《城市桥梁养护技术规范CJJ99－2003》Ⅴ类城市桥梁养护管理标准进行养护。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1.3.6.4 生态绿道沿线服务系统设施维护，实行市场化运作，做到规范服务管理，禁止私自设摊。</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1.3.6.5 各类绿地基本完整，无违章侵占绿、破坏绿化现象；无明显堆物、堆料、搭棚；无违法建设、无违规设摊项目。管理秩序良好，无停放车辆、进入车辆现象；无乱堆乱放、晾晒衣物现象。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1.4 </w:t>
      </w:r>
      <w:r>
        <w:rPr>
          <w:rFonts w:hint="eastAsia" w:asciiTheme="minorEastAsia" w:hAnsiTheme="minorEastAsia" w:eastAsiaTheme="minorEastAsia" w:cstheme="minorEastAsia"/>
          <w:b/>
          <w:bCs/>
          <w:color w:val="auto"/>
          <w:sz w:val="18"/>
          <w:szCs w:val="18"/>
          <w:highlight w:val="none"/>
        </w:rPr>
        <w:t>三级绿地养护标准（含防护片林）</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 园林植物养护标准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1.4.1.1 植物生长良好，无死株，乔灌木成活率95%以上，乔灌木保存率98%。</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1.4.1.2按乔灌木生长习性、绿化修剪标准进行科学修剪，不影响行人交通安全，每年造型修剪不少于2次。乔木分枝点合适，主侧枝分布匀称，内膛不乱，通风透光；修剪有型、疏密适度，剪口平滑。乔灌木无歪斜，无倒伏现象；无枯枝死杈，无徒长枝、病虫枝、过密枝、枯枝、伤损枝；叶片大小、颜色正常。花灌木开花应适时，株形丰满，修剪及时、准确。</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1.4.1.3 色块、绿篱等枝叶茂密，整齐一致，完好率90%以上；适期修剪保持形态，曲线润畅，轮廓明显，球类修剪圆整；绿篱及色块无死亡、空缺，无脱脚现象；新生枝不得超过10cm。</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1.4.1.4 宿根植物及时翻种、断根、间苗。</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1.4.1.5 草坪及地被植物整齐一致，边缘线清晰（及时切边），生长茂盛且覆盖率90 %以上，草坪适时修剪，高度保持在10cm之内。草坪无黄化现象，无杂草、无斑秃、无裸露地面。草坪绿色期：冷季型草坪不得少于270天，暖季型草坪不得少于180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1.4.1.6 时花按设计精心养护，花期整齐，花量饱满，轮廓清晰、整齐美观。花坛、花带株行距适宜，无倒伏、无残缺。</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1.4.1.7 棚架、假山、墙面、围栏（墙）、桥体上的藤蔓植物及垂直绿化生长茂盛，并根据不同植物的攀缘特点，及时采取相应的技术措施，及时清除枯枝，疏删老弱藤蔓。</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1.4.1.8 水湿生植物生长控制得当，无枯叶、病虫叶，进入休眠期后及时收割。</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1.4.1.9 绿地内无大型和缠绕性、攀缘性杂草，零星区域的杂草控制在15％以下，且无15cm以上杂草。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 设施维护标准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1.4.2.1 绿地附属设施完好、分布合理、放置整齐、保持清洁。</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1.4.2.2 亭廊阁、景观桥梁、栏杆、櫈椅、果皮箱、路灯、井盖和牌示等园林建（构）筑物、附属设施、游乐设施安全可靠，定期维护修缮，保持完好率90%以上；园林设施无明显锈斑、油漆剥落现象，</w:t>
      </w:r>
      <w:r>
        <w:rPr>
          <w:rFonts w:hint="eastAsia" w:asciiTheme="minorEastAsia" w:hAnsiTheme="minorEastAsia" w:eastAsiaTheme="minorEastAsia" w:cstheme="minorEastAsia"/>
          <w:b/>
          <w:color w:val="auto"/>
          <w:sz w:val="18"/>
          <w:szCs w:val="18"/>
          <w:highlight w:val="none"/>
        </w:rPr>
        <w:t>每一年粉刷油漆一次</w:t>
      </w:r>
      <w:r>
        <w:rPr>
          <w:rFonts w:hint="eastAsia" w:asciiTheme="minorEastAsia" w:hAnsiTheme="minorEastAsia" w:eastAsiaTheme="minorEastAsia" w:cstheme="minorEastAsia"/>
          <w:color w:val="auto"/>
          <w:sz w:val="18"/>
          <w:szCs w:val="18"/>
          <w:highlight w:val="none"/>
        </w:rPr>
        <w:t>。</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1.4.2.3 园路、铺装、侧石、花坛完好、美观，无大面积破损，完好率90%以上；园路、铺装表面无积水、无淤泥。</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1.4.2.4 各类标识牌、宣传牌设置合理，醒目、规范，定期清洗，破损后应及时维修，绿道标线要保持清晰，及时更新。</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1.4.2.5 供水、供电、排水、喷灌等管网设施维护良好；照明设施已纳入城市照明管理体系进行统一管理，主动配合，协同做好景观灯的清洁工作；照明设施未纳入城市照明管理体系进行统一管理，需及时更换破损灯具，定期检查电路情况，修复电路故障，保证照明，完好率90%以上；保持绿地内管理设施及地下管线和窨井盖的完整，对损坏的要及时进行修复。</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1.4.2.6 树木支撑规范有效，统一，无断桩，坏桩。悬挂容器必须安全、完好、整洁、美观。</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1.4.3 土肥标准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1.4.3.1 土壤疏松，根据植物生长特性及时施肥，充分利用有机肥，也可施复合肥，增强土壤肥力（要求一年施肥二次以上）。</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1.4.3.2 土壤理化性状应符合下列要求：pH值为6.0—7.0</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之间；石砾粒径≤5cm（高架挂箱石砾粒径≤2cm），含量≤8%；有机质含量≥25g/kg。</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1.4.3.3 高架挂箱基质每年松土一次施肥二次。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1.4.3.4 根据天气情况和植物特性，适时浇水，及时抗旱排涝，无缺水枯死植株，无积水。</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1.4.4 病虫害防治标准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1.4.4.1 提倡生物防治和综合防治，以防为主。病虫害控制及时，对园林景观无影响。枝叶受害率应小于15%；树干受害率应小于10%。</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1.4.4.2 无加拿大一枝黄花等有害植物及影响生长的附着物。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1.4.5 卫生标准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1.4.5.1 绿地整洁，地面卫生，无垃圾杂物，墙面无涂刻、无张贴，建（构）筑物上无蛛网。</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1.4.5.2 绿地内水体整洁卫生，无异味、无漂浮杂物、无植物残体、无杂生水生植物。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1.4.5.3 植草浅沟、拦污雨水口、LID生态排水沟、简易格栅井（或拦污渗漏井）应定期清理垃圾，清理垃圾间隔时间不得大于1个月。</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1.4.5.4 垃圾日产日清，保洁及时；无焚烧垃圾、树叶现象；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无卫生死角，厕所无积垢，无明显异味。</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1.4.6 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1.4.6.1 绿地管理制度全面落实，台账档案资料完整、详尽；巡查人员、养护人员到岗到位，实行日常巡查；工作人员统一着装，执牌上岗；按实际情况，配置必要的秩序管理员。</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1.4.6.2 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1.4.6.3 生态绿道桥梁养护管理包括新建桥梁、部分改造利用桥梁，按照《城市桥梁养护技术规范CJJ99－2003》Ⅴ类城市桥梁养护管理标准进行养护。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1.4.6.4 生态绿道沿线服务系统设施维护，实行市场化运作，做到规范服务管理，禁止私自设摊。</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1.4.6.5 各类绿地基本完整，无违章侵占绿、破坏绿化现象；无明显堆物、堆料、搭棚；无违法建设、无违规设摊项目。管理秩序良好，无停放车辆、进入车辆现象；无乱堆乱放、晾晒衣物现象。</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2.行道树（含隔离带乔木）养护标准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 总体标准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行道树养护的整体质量，内容包括植株生长、树木存活率、设施维护、土肥标准、病虫害防治标准及管理标准等。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 养护质量</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2.1.1.1 按行道树生长习性定期、科学修剪，乔木分枝点合适，主侧枝分布匀称，内膛不乱，通风透光；修剪有型、疏密适度，剪口平滑。</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2.1.1.2 树干挺直，无歪斜，无倒伏现象，对倾斜树木要控制倾斜度，及时纠偏，逐渐扶正。</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2.1.1.3 叶片健康，在正常条件下不黄叶，不焦叶，不卷叶； 植株无徒长枝、病虫枝、过密枝、并生枝、交叉枝、下垂枝、枯枝、伤损枝、碰线枝；及时抹芽刷白。</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2.1.1.4 行道树具有一定的遮荫观赏效果。选用的品种、规格相对统一，并突出乡土树种。枯死树木及时清除，补植树木品种、规格（树高一致，胸径误差≤20%）与原有树种应保持一致，并全冠种植。</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2.1.1.5 有防强风措施，对危树及时采取修枝、加固或申报更换等措施。</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2.1.1.6 遇灾害性天气应根据气象部门灾害预警及时响应启动《灾害性天气应急抢险预案》组织抢险工作。</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2.1.2 树木存活率</w:t>
      </w:r>
    </w:p>
    <w:p>
      <w:pPr>
        <w:spacing w:line="418" w:lineRule="exact"/>
        <w:ind w:firstLine="361"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行道树存活率99%以上，行道树保存率100%。无死株、无缺株。</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2.1.3 设施维护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2.1.3.1 树穴、侧石安全、平整、美观、完好，发现破损及时修复。</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2.1.3.2 树木支撑规范、统一，无断桩、坏桩，扎缚规范有效，有一定的防强风措施。</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2.1.4 土肥标准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2.1.4.1 种植土低于容器（或侧石）上沿3cm；土壤应具有一定的透水、透气、保肥能力；每年冬季施有机肥一次；石砾含量中，其粒径≤3cm，含量≤5%；pH值为6.0—7.0之间；有效土层(长、宽、深)≥100cm；有机质含量≥25g/kg。</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2.1.4.2 根据天气情况和植物特性，适时浇水，及时抗旱排涝，无缺水枯死植株，无积水。</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2.1.5 病虫害防治标准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2.1.5.1 提倡生物防治和综合防治，以防为主。病虫害控制及时，对道路景观无影响。枝叶受害率应小于8%；树干受害率应小于5%。</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2.1.5.2 无加拿大一枝黄花等有害植物及影响生长的附着物。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2.1.6 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2.1.6.1 </w:t>
      </w:r>
      <w:r>
        <w:rPr>
          <w:rFonts w:hint="eastAsia" w:asciiTheme="minorEastAsia" w:hAnsiTheme="minorEastAsia" w:eastAsiaTheme="minorEastAsia" w:cstheme="minorEastAsia"/>
          <w:b/>
          <w:color w:val="auto"/>
          <w:sz w:val="18"/>
          <w:szCs w:val="18"/>
          <w:highlight w:val="none"/>
        </w:rPr>
        <w:t>树穴有平整盖板、铺设鹅卵石或种植地被植物，土壤不裸露</w:t>
      </w:r>
      <w:r>
        <w:rPr>
          <w:rFonts w:hint="eastAsia" w:asciiTheme="minorEastAsia" w:hAnsiTheme="minorEastAsia" w:eastAsiaTheme="minorEastAsia" w:cstheme="minorEastAsia"/>
          <w:color w:val="auto"/>
          <w:sz w:val="18"/>
          <w:szCs w:val="18"/>
          <w:highlight w:val="none"/>
        </w:rPr>
        <w:t>。无杂草、建筑垃圾和其它杂物，树干无钉子、铁丝等破坏树木生长的东西。</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2.1.6.2 管理制度全面落实，档案资料完整、详尽，对行道树的基础资料、变更情况及时记录入档；工作人员统一着装，养护作业时必须穿着有反光条的工作服，做到安全文明作业，尽量减少对行车的干扰。</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3.草花时花及花镜养护标准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3.1 布置效果</w:t>
      </w:r>
    </w:p>
    <w:p>
      <w:pPr>
        <w:spacing w:line="418" w:lineRule="exact"/>
        <w:ind w:firstLine="360"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3.1.1 </w:t>
      </w:r>
      <w:r>
        <w:rPr>
          <w:rFonts w:hint="eastAsia" w:asciiTheme="minorEastAsia" w:hAnsiTheme="minorEastAsia" w:eastAsiaTheme="minorEastAsia" w:cstheme="minorEastAsia"/>
          <w:b/>
          <w:color w:val="auto"/>
          <w:sz w:val="18"/>
          <w:szCs w:val="18"/>
          <w:highlight w:val="none"/>
        </w:rPr>
        <w:t>按设计精心养护，有全年用花计划，做到四季有花，全年观赏期应不少于340天。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3.1.2 株型、花期整齐，花色艳丽，花量饱满，轮廓清晰，整齐美观，布置效果良好。草花覆盖率达98%以上；草花株行距适宜，无明显黄土裸露现象。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 草花质量</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3.2.1 时花要求80%以上采用以f1代种子繁育的优质花苗。同一批草花应统一规格，同一品种株高、花色、冠径、花期等无明显差异。</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3.2.2 花卉生长健壮，抗病力强，无明显病虫害，无枯黄叶，根系完好，无严重损伤。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3.2.3 开花及时，盛花期符合观赏要求。禁用无花苗和已过盛花期的花苗。</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3.2.4 无倒伏、无残缺，无枯枝残花，无杂草垃圾。</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3.3 设施维护标准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花坛、花钵等园林设施应保持清洁完好。</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3.4 土肥标准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3.4.1 更换草花时，必须深耕细耙，要去除土层20cm内的石块、草屑、残茎和落叶等杂物，苗床高度不得高于侧石或花钵边缘，并施足基肥。严禁肥料污染花、叶，公园、景点、重要路段的绿地禁用有异味的肥料。</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3.4.2 根据天气情况和草花生长习性，及时抗旱浇水、抗涝排水，无干黄、死亡现象。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3.5病虫害防治标准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做好病虫害的防治工作，经常检查、及时防治，无明显病虫害，不影响时花观赏效果。</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3.6卫生标准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应及时清除杂草，及时清除残花败叶。无垃圾、杂物、建筑废弃物，无卫生死角。垃圾日产日清，保洁及时；无焚烧垃圾、树叶现象。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3.7 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3.7.1 草花管理制度全面落实，台账档案资料完整、详尽；巡查人员、养护人员到岗到位，实行日常巡查；工作人员统一着装，执牌上岗。</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3.7.2 绿地基本完整，无违章侵占、破坏现象；无明显堆物、堆料、搭棚；无违法建设、无违规设摊项目。</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3.7.3 秩序良好，无停放车辆、进入车辆现象；无乱堆乱放、晾晒衣物现象。</w:t>
      </w:r>
    </w:p>
    <w:p>
      <w:pPr>
        <w:spacing w:line="418" w:lineRule="exact"/>
        <w:ind w:firstLine="360" w:firstLineChars="200"/>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3.7.4 所有草花要求一年不少于五换。</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4.古树名木（保护树木）养护标准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4.1总体标准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古树名木（保护树木）应有档案和养护技术措施并按计划实施养护，效果良好。具体内容有养护质量、设施维护、土肥标准、病虫害防治标准及管理标准。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4.1.1养护质量</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4.1.1.1 植株树冠较为丰满、完整、茂盛，具有较好的遮荫及观赏效果。叶片正常，在正常条件下不黄叶，不焦叶，不卷叶。</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4.1.1.2 植株无病虫枝、下垂枝、枯枝、伤损枝、碰线枝；对倾斜树木要控制倾斜度，并逐渐扶正。</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4.1.1.3 严禁在树体上钉钉子、绕铁丝、挂杂物或作为施工的支撑点。严禁攀折、刮蹭和刻划树皮等伤害古树的行为。</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4.1.1.4 有防强风措施，对有倾倒、劈裂或折断的危树及时采取修枝、支撑、加固等措施，遇灾害性天气及时组织进行抢扶。</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4.1.2设施维护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4.1.2.1 树木有保护标牌，因地制宜地设置围栏保护古树。</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4.1.2.2 树池有硬质边埂，边埂应平整、美观。</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4.1.2.3 支撑不稳或倾斜的古树名木须使用木料、钢材或砌筑假山石等方法支撑，支撑部位要垫胶垫或棕丝保护树干表皮。</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4.1.3 土肥标准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4.1.3.1 栽培基质应具有一定的透水、透气、保肥能力，通过测定土壤和古树名木枝叶的养分含量，对缺少养分的古树有针对性的施肥，切忌盲目使用化肥和施浓肥。施肥时可在树冠垂直投影的外侧挖开放射沟施肥，或在树冠投影下的根系分布区内用穴施法施肥。</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4.1.3.2 树木生长环境处地下水位高，应设渗水井或铺设排水设施。雨季及时排除树木根系区的积水。</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4.1.4 病虫害防治标准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要求古树名木植物整体无病虫害危害迹象，定期刷白，做好防蛀防腐处理。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4.1.5 管理标准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4.1.5.1 保持古树及周围环境的清洁，严禁在古树根系分布范围内，严禁厨房或厕所等有污染气体、液体的设施和排放污水的渗沟，严禁在树下设置临时设施、堆放污染古树根系、土壤的物品，树池内无杂草、垃圾和其它杂物，树干无钉子、铁丝、挂杂物等破坏树木生长的物质。</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4.1.5.2 需修剪的古树名木应制定修剪方案，报主管部门批准。古树树体上的伤疤或空洞应及时填充修补防腐。</w:t>
      </w:r>
    </w:p>
    <w:p>
      <w:pPr>
        <w:spacing w:line="418" w:lineRule="exact"/>
        <w:ind w:firstLine="360"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4.1.5.3 </w:t>
      </w:r>
      <w:r>
        <w:rPr>
          <w:rFonts w:hint="eastAsia" w:asciiTheme="minorEastAsia" w:hAnsiTheme="minorEastAsia" w:eastAsiaTheme="minorEastAsia" w:cstheme="minorEastAsia"/>
          <w:b/>
          <w:color w:val="auto"/>
          <w:sz w:val="18"/>
          <w:szCs w:val="18"/>
          <w:highlight w:val="none"/>
        </w:rPr>
        <w:t>古树复壮事先应制定严格的方案，报请主管部门审查，经批准后方可实施。</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4.1.5.4 古树移植工程必须事先制定施工技术方案，组织专家评审，报请主管部门审查，经批准后由符合相关要求的企业承担，并在园林监查部门监督下实施。移后要落实养护管理责任制，及时制定养护方案，并进行跟踪管理，确保质量。</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4.1.5.5 管理制度全面落实，电子和纸质档案资料完整、详尽，对古树名木的基础资料、变更情况及时记录入档。</w:t>
      </w:r>
    </w:p>
    <w:p>
      <w:pPr>
        <w:spacing w:line="418" w:lineRule="exact"/>
        <w:ind w:firstLine="361" w:firstLineChars="200"/>
        <w:rPr>
          <w:rFonts w:hint="eastAsia" w:asciiTheme="minorEastAsia" w:hAnsiTheme="minorEastAsia" w:eastAsiaTheme="minorEastAsia" w:cstheme="minorEastAsia"/>
          <w:b/>
          <w:color w:val="auto"/>
          <w:kern w:val="0"/>
          <w:sz w:val="18"/>
          <w:szCs w:val="18"/>
          <w:highlight w:val="none"/>
        </w:rPr>
      </w:pPr>
      <w:r>
        <w:rPr>
          <w:rFonts w:hint="eastAsia" w:asciiTheme="minorEastAsia" w:hAnsiTheme="minorEastAsia" w:eastAsiaTheme="minorEastAsia" w:cstheme="minorEastAsia"/>
          <w:b/>
          <w:color w:val="auto"/>
          <w:kern w:val="0"/>
          <w:sz w:val="18"/>
          <w:szCs w:val="18"/>
          <w:highlight w:val="none"/>
        </w:rPr>
        <w:t xml:space="preserve">（三）其他重点要求： </w:t>
      </w:r>
    </w:p>
    <w:p>
      <w:pPr>
        <w:spacing w:line="418" w:lineRule="exact"/>
        <w:ind w:firstLine="361"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1、机构设置及人员配置</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▲（1）供应商应按业主要求配置相应的管理、技术人员和操作人员，及时向业主报送人员花名册。</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①项目负责人：园林相关专业中级及以上技术职称；</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②绿化技术负责人：园林相关专业中级及以上技术职称；</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③项目管理人员：具有市政或园林工程师及以上职称；</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④绿地养护班组人员：班组长要求具有绿化工证书；</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（2）管理、技术人员须具备相应的学历要求、执业资格和技术职称，操作人员须持证上岗。</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r>
        <w:rPr>
          <w:rFonts w:hint="eastAsia" w:asciiTheme="minorEastAsia" w:hAnsiTheme="minorEastAsia" w:eastAsiaTheme="minorEastAsia" w:cstheme="minorEastAsia"/>
          <w:b/>
          <w:color w:val="auto"/>
          <w:sz w:val="18"/>
          <w:szCs w:val="18"/>
          <w:highlight w:val="none"/>
        </w:rPr>
        <w:t>项目管理人员须常驻现场，</w:t>
      </w:r>
      <w:r>
        <w:rPr>
          <w:rFonts w:hint="eastAsia" w:asciiTheme="minorEastAsia" w:hAnsiTheme="minorEastAsia" w:eastAsiaTheme="minorEastAsia" w:cstheme="minorEastAsia"/>
          <w:color w:val="auto"/>
          <w:sz w:val="18"/>
          <w:szCs w:val="18"/>
          <w:highlight w:val="none"/>
        </w:rPr>
        <w:t>合同期内原则上不得调换、如需调整应向业主书面申请。</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（4）业主可以要求供应商调整、调换人员，供应商必须响应。</w:t>
      </w:r>
      <w:r>
        <w:rPr>
          <w:rFonts w:hint="eastAsia" w:asciiTheme="minorEastAsia" w:hAnsiTheme="minorEastAsia" w:eastAsiaTheme="minorEastAsia" w:cstheme="minorEastAsia"/>
          <w:color w:val="auto"/>
          <w:sz w:val="18"/>
          <w:szCs w:val="18"/>
          <w:highlight w:val="none"/>
        </w:rPr>
        <w:tab/>
      </w:r>
    </w:p>
    <w:p>
      <w:pPr>
        <w:pStyle w:val="2"/>
        <w:rPr>
          <w:rFonts w:hint="eastAsia" w:asciiTheme="minorEastAsia" w:hAnsiTheme="minorEastAsia" w:eastAsiaTheme="minorEastAsia" w:cstheme="minorEastAsia"/>
          <w:color w:val="auto"/>
          <w:sz w:val="18"/>
          <w:szCs w:val="18"/>
          <w:highlight w:val="none"/>
        </w:rPr>
      </w:pPr>
    </w:p>
    <w:p>
      <w:pPr>
        <w:pStyle w:val="2"/>
        <w:rPr>
          <w:rFonts w:hint="eastAsia" w:asciiTheme="minorEastAsia" w:hAnsiTheme="minorEastAsia" w:eastAsiaTheme="minorEastAsia" w:cstheme="minorEastAsia"/>
          <w:color w:val="auto"/>
          <w:sz w:val="18"/>
          <w:szCs w:val="18"/>
          <w:highlight w:val="none"/>
        </w:rPr>
      </w:pPr>
    </w:p>
    <w:p>
      <w:pPr>
        <w:pStyle w:val="2"/>
        <w:rPr>
          <w:rFonts w:hint="eastAsia" w:asciiTheme="minorEastAsia" w:hAnsiTheme="minorEastAsia" w:eastAsiaTheme="minorEastAsia" w:cstheme="minorEastAsia"/>
          <w:color w:val="auto"/>
          <w:sz w:val="18"/>
          <w:szCs w:val="18"/>
          <w:highlight w:val="none"/>
        </w:rPr>
      </w:pPr>
    </w:p>
    <w:p>
      <w:pPr>
        <w:pStyle w:val="2"/>
        <w:rPr>
          <w:rFonts w:hint="eastAsia" w:asciiTheme="minorEastAsia" w:hAnsiTheme="minorEastAsia" w:eastAsiaTheme="minorEastAsia" w:cstheme="minorEastAsia"/>
          <w:color w:val="auto"/>
          <w:sz w:val="18"/>
          <w:szCs w:val="18"/>
          <w:highlight w:val="none"/>
        </w:rPr>
      </w:pPr>
    </w:p>
    <w:p>
      <w:pPr>
        <w:pStyle w:val="2"/>
        <w:rPr>
          <w:rFonts w:hint="eastAsia" w:asciiTheme="minorEastAsia" w:hAnsiTheme="minorEastAsia" w:eastAsiaTheme="minorEastAsia" w:cstheme="minorEastAsia"/>
          <w:color w:val="auto"/>
          <w:sz w:val="18"/>
          <w:szCs w:val="18"/>
          <w:highlight w:val="none"/>
        </w:rPr>
      </w:pPr>
    </w:p>
    <w:p>
      <w:pPr>
        <w:pStyle w:val="2"/>
        <w:rPr>
          <w:rFonts w:hint="eastAsia" w:asciiTheme="minorEastAsia" w:hAnsiTheme="minorEastAsia" w:eastAsiaTheme="minorEastAsia" w:cstheme="minorEastAsia"/>
          <w:color w:val="auto"/>
          <w:sz w:val="18"/>
          <w:szCs w:val="18"/>
          <w:highlight w:val="none"/>
        </w:rPr>
      </w:pPr>
    </w:p>
    <w:p>
      <w:pPr>
        <w:pStyle w:val="2"/>
        <w:rPr>
          <w:rFonts w:hint="eastAsia" w:asciiTheme="minorEastAsia" w:hAnsiTheme="minorEastAsia" w:eastAsiaTheme="minorEastAsia" w:cstheme="minorEastAsia"/>
          <w:color w:val="auto"/>
          <w:sz w:val="18"/>
          <w:szCs w:val="18"/>
          <w:highlight w:val="none"/>
        </w:rPr>
      </w:pPr>
    </w:p>
    <w:p>
      <w:pPr>
        <w:spacing w:line="418" w:lineRule="exact"/>
        <w:ind w:firstLine="361"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1.1、人员配备要求</w:t>
      </w:r>
    </w:p>
    <w:tbl>
      <w:tblPr>
        <w:tblStyle w:val="49"/>
        <w:tblW w:w="9738" w:type="dxa"/>
        <w:jc w:val="center"/>
        <w:tblLayout w:type="fixed"/>
        <w:tblCellMar>
          <w:top w:w="0" w:type="dxa"/>
          <w:left w:w="108" w:type="dxa"/>
          <w:bottom w:w="0" w:type="dxa"/>
          <w:right w:w="108" w:type="dxa"/>
        </w:tblCellMar>
      </w:tblPr>
      <w:tblGrid>
        <w:gridCol w:w="630"/>
        <w:gridCol w:w="1121"/>
        <w:gridCol w:w="1985"/>
        <w:gridCol w:w="1559"/>
        <w:gridCol w:w="1608"/>
        <w:gridCol w:w="2835"/>
      </w:tblGrid>
      <w:tr>
        <w:tblPrEx>
          <w:tblCellMar>
            <w:top w:w="0" w:type="dxa"/>
            <w:left w:w="108" w:type="dxa"/>
            <w:bottom w:w="0" w:type="dxa"/>
            <w:right w:w="108" w:type="dxa"/>
          </w:tblCellMar>
        </w:tblPrEx>
        <w:trPr>
          <w:trHeight w:val="439" w:hRule="atLeast"/>
          <w:tblHeader/>
          <w:jc w:val="center"/>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序号</w:t>
            </w:r>
          </w:p>
        </w:tc>
        <w:tc>
          <w:tcPr>
            <w:tcW w:w="3106"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类别</w:t>
            </w:r>
          </w:p>
        </w:tc>
        <w:tc>
          <w:tcPr>
            <w:tcW w:w="316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投入人数（不少于）</w:t>
            </w:r>
          </w:p>
        </w:tc>
        <w:tc>
          <w:tcPr>
            <w:tcW w:w="2835" w:type="dxa"/>
            <w:vMerge w:val="restart"/>
            <w:tcBorders>
              <w:top w:val="single" w:color="auto" w:sz="4" w:space="0"/>
              <w:left w:val="nil"/>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备注</w:t>
            </w:r>
          </w:p>
        </w:tc>
      </w:tr>
      <w:tr>
        <w:tblPrEx>
          <w:tblCellMar>
            <w:top w:w="0" w:type="dxa"/>
            <w:left w:w="108" w:type="dxa"/>
            <w:bottom w:w="0" w:type="dxa"/>
            <w:right w:w="108" w:type="dxa"/>
          </w:tblCellMar>
        </w:tblPrEx>
        <w:trPr>
          <w:trHeight w:val="403" w:hRule="atLeast"/>
          <w:tblHeader/>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p>
        </w:tc>
        <w:tc>
          <w:tcPr>
            <w:tcW w:w="3106" w:type="dxa"/>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标项一</w:t>
            </w:r>
          </w:p>
        </w:tc>
        <w:tc>
          <w:tcPr>
            <w:tcW w:w="160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标项二</w:t>
            </w:r>
          </w:p>
        </w:tc>
        <w:tc>
          <w:tcPr>
            <w:tcW w:w="2835" w:type="dxa"/>
            <w:vMerge w:val="continue"/>
            <w:tcBorders>
              <w:left w:val="nil"/>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bCs/>
                <w:color w:val="auto"/>
                <w:sz w:val="18"/>
                <w:szCs w:val="18"/>
                <w:highlight w:val="none"/>
              </w:rPr>
            </w:pP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310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项目经理</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1名</w:t>
            </w:r>
          </w:p>
        </w:tc>
        <w:tc>
          <w:tcPr>
            <w:tcW w:w="160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1名</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为本单位员工，以投标文件中提供的202</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年9月1日以来缴纳的社保证明准</w:t>
            </w:r>
          </w:p>
        </w:tc>
      </w:tr>
      <w:tr>
        <w:tblPrEx>
          <w:tblCellMar>
            <w:top w:w="0" w:type="dxa"/>
            <w:left w:w="108" w:type="dxa"/>
            <w:bottom w:w="0" w:type="dxa"/>
            <w:right w:w="108" w:type="dxa"/>
          </w:tblCellMar>
        </w:tblPrEx>
        <w:trPr>
          <w:trHeight w:val="44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p>
        </w:tc>
        <w:tc>
          <w:tcPr>
            <w:tcW w:w="310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项目技术负责人（园林绿化）</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1名</w:t>
            </w:r>
          </w:p>
        </w:tc>
        <w:tc>
          <w:tcPr>
            <w:tcW w:w="160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1名</w:t>
            </w:r>
          </w:p>
        </w:tc>
        <w:tc>
          <w:tcPr>
            <w:tcW w:w="2835" w:type="dxa"/>
            <w:tcBorders>
              <w:top w:val="single" w:color="auto" w:sz="4" w:space="0"/>
              <w:left w:val="nil"/>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为本单位员工，以投标文件中提供的202</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年9月1日以来缴纳的社保证明准</w:t>
            </w:r>
          </w:p>
        </w:tc>
      </w:tr>
      <w:tr>
        <w:tblPrEx>
          <w:tblCellMar>
            <w:top w:w="0" w:type="dxa"/>
            <w:left w:w="108" w:type="dxa"/>
            <w:bottom w:w="0" w:type="dxa"/>
            <w:right w:w="108" w:type="dxa"/>
          </w:tblCellMar>
        </w:tblPrEx>
        <w:trPr>
          <w:trHeight w:val="335" w:hRule="atLeast"/>
          <w:jc w:val="center"/>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p>
        </w:tc>
        <w:tc>
          <w:tcPr>
            <w:tcW w:w="1121" w:type="dxa"/>
            <w:vMerge w:val="restart"/>
            <w:tcBorders>
              <w:top w:val="single" w:color="auto" w:sz="4" w:space="0"/>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绿化养护小组成员</w:t>
            </w:r>
          </w:p>
        </w:tc>
        <w:tc>
          <w:tcPr>
            <w:tcW w:w="1985" w:type="dxa"/>
            <w:vMerge w:val="restart"/>
            <w:tcBorders>
              <w:top w:val="single" w:color="auto" w:sz="4" w:space="0"/>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一级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8</w:t>
            </w:r>
            <w:r>
              <w:rPr>
                <w:rFonts w:hint="eastAsia" w:asciiTheme="minorEastAsia" w:hAnsiTheme="minorEastAsia" w:eastAsiaTheme="minorEastAsia" w:cstheme="minorEastAsia"/>
                <w:color w:val="auto"/>
                <w:sz w:val="18"/>
                <w:szCs w:val="18"/>
                <w:highlight w:val="none"/>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rPr>
              <w:t>名</w:t>
            </w:r>
          </w:p>
        </w:tc>
        <w:tc>
          <w:tcPr>
            <w:tcW w:w="2835" w:type="dxa"/>
            <w:vMerge w:val="restart"/>
            <w:tcBorders>
              <w:top w:val="single" w:color="auto" w:sz="4" w:space="0"/>
              <w:left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7名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9名</w:t>
            </w:r>
          </w:p>
        </w:tc>
        <w:tc>
          <w:tcPr>
            <w:tcW w:w="2835" w:type="dxa"/>
            <w:vMerge w:val="continue"/>
            <w:tcBorders>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restart"/>
            <w:tcBorders>
              <w:top w:val="single" w:color="auto" w:sz="4" w:space="0"/>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二级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9</w:t>
            </w:r>
            <w:r>
              <w:rPr>
                <w:rFonts w:hint="eastAsia" w:asciiTheme="minorEastAsia" w:hAnsiTheme="minorEastAsia" w:eastAsiaTheme="minorEastAsia" w:cstheme="minorEastAsia"/>
                <w:color w:val="auto"/>
                <w:sz w:val="18"/>
                <w:szCs w:val="18"/>
                <w:highlight w:val="none"/>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名</w:t>
            </w:r>
          </w:p>
        </w:tc>
        <w:tc>
          <w:tcPr>
            <w:tcW w:w="2835" w:type="dxa"/>
            <w:vMerge w:val="restart"/>
            <w:tcBorders>
              <w:top w:val="single" w:color="auto" w:sz="4" w:space="0"/>
              <w:left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9名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5名</w:t>
            </w:r>
          </w:p>
        </w:tc>
        <w:tc>
          <w:tcPr>
            <w:tcW w:w="2835" w:type="dxa"/>
            <w:vMerge w:val="continue"/>
            <w:tcBorders>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restart"/>
            <w:tcBorders>
              <w:top w:val="single" w:color="auto" w:sz="4" w:space="0"/>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三级及防护林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7</w:t>
            </w:r>
            <w:r>
              <w:rPr>
                <w:rFonts w:hint="eastAsia" w:asciiTheme="minorEastAsia" w:hAnsiTheme="minorEastAsia" w:eastAsiaTheme="minorEastAsia" w:cstheme="minorEastAsia"/>
                <w:color w:val="auto"/>
                <w:sz w:val="18"/>
                <w:szCs w:val="18"/>
                <w:highlight w:val="none"/>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12</w:t>
            </w:r>
            <w:r>
              <w:rPr>
                <w:rFonts w:hint="eastAsia" w:asciiTheme="minorEastAsia" w:hAnsiTheme="minorEastAsia" w:eastAsiaTheme="minorEastAsia" w:cstheme="minorEastAsia"/>
                <w:color w:val="auto"/>
                <w:sz w:val="18"/>
                <w:szCs w:val="18"/>
                <w:highlight w:val="none"/>
              </w:rPr>
              <w:t>名</w:t>
            </w:r>
          </w:p>
        </w:tc>
        <w:tc>
          <w:tcPr>
            <w:tcW w:w="2835" w:type="dxa"/>
            <w:vMerge w:val="restart"/>
            <w:tcBorders>
              <w:top w:val="single" w:color="auto" w:sz="4" w:space="0"/>
              <w:left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7名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12名</w:t>
            </w:r>
          </w:p>
        </w:tc>
        <w:tc>
          <w:tcPr>
            <w:tcW w:w="2835" w:type="dxa"/>
            <w:vMerge w:val="continue"/>
            <w:tcBorders>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restart"/>
            <w:tcBorders>
              <w:top w:val="single" w:color="auto" w:sz="4" w:space="0"/>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行道树</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名</w:t>
            </w:r>
          </w:p>
        </w:tc>
        <w:tc>
          <w:tcPr>
            <w:tcW w:w="2835" w:type="dxa"/>
            <w:vMerge w:val="restart"/>
            <w:tcBorders>
              <w:top w:val="single" w:color="auto" w:sz="4" w:space="0"/>
              <w:left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90"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2名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2名</w:t>
            </w:r>
          </w:p>
        </w:tc>
        <w:tc>
          <w:tcPr>
            <w:tcW w:w="2835" w:type="dxa"/>
            <w:vMerge w:val="continue"/>
            <w:tcBorders>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restart"/>
            <w:tcBorders>
              <w:top w:val="single" w:color="auto" w:sz="4" w:space="0"/>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lang w:eastAsia="zh-CN"/>
              </w:rPr>
            </w:pPr>
            <w:r>
              <w:rPr>
                <w:rFonts w:hint="eastAsia" w:asciiTheme="minorEastAsia" w:hAnsiTheme="minorEastAsia" w:eastAsiaTheme="minorEastAsia" w:cstheme="minorEastAsia"/>
                <w:b/>
                <w:color w:val="auto"/>
                <w:sz w:val="18"/>
                <w:szCs w:val="18"/>
                <w:highlight w:val="none"/>
              </w:rPr>
              <w:t>其余</w:t>
            </w:r>
            <w:r>
              <w:rPr>
                <w:rFonts w:hint="eastAsia" w:asciiTheme="minorEastAsia" w:hAnsiTheme="minorEastAsia" w:eastAsiaTheme="minorEastAsia" w:cstheme="minorEastAsia"/>
                <w:b/>
                <w:color w:val="auto"/>
                <w:sz w:val="18"/>
                <w:szCs w:val="18"/>
                <w:highlight w:val="none"/>
                <w:lang w:eastAsia="zh-CN"/>
              </w:rPr>
              <w:t>人员</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养护人员</w:t>
            </w:r>
            <w:r>
              <w:rPr>
                <w:rFonts w:hint="eastAsia" w:asciiTheme="minorEastAsia" w:hAnsiTheme="minorEastAsia" w:eastAsiaTheme="minorEastAsia" w:cstheme="minorEastAsia"/>
                <w:color w:val="auto"/>
                <w:sz w:val="18"/>
                <w:szCs w:val="18"/>
                <w:highlight w:val="none"/>
                <w:lang w:val="en-US" w:eastAsia="zh-CN"/>
              </w:rPr>
              <w:t>5</w:t>
            </w:r>
            <w:r>
              <w:rPr>
                <w:rFonts w:hint="eastAsia" w:asciiTheme="minorEastAsia" w:hAnsiTheme="minorEastAsia" w:eastAsiaTheme="minorEastAsia" w:cstheme="minorEastAsia"/>
                <w:color w:val="auto"/>
                <w:sz w:val="18"/>
                <w:szCs w:val="18"/>
                <w:highlight w:val="none"/>
              </w:rPr>
              <w:t>名</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continue"/>
            <w:tcBorders>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5名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保洁人员</w:t>
            </w:r>
            <w:r>
              <w:rPr>
                <w:rFonts w:hint="eastAsia" w:asciiTheme="minorEastAsia" w:hAnsiTheme="minorEastAsia" w:eastAsiaTheme="minorEastAsia" w:cstheme="minorEastAsia"/>
                <w:color w:val="auto"/>
                <w:sz w:val="18"/>
                <w:szCs w:val="18"/>
                <w:highlight w:val="none"/>
                <w:lang w:val="en-US" w:eastAsia="zh-CN"/>
              </w:rPr>
              <w:t>5名</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p>
        </w:tc>
      </w:tr>
      <w:tr>
        <w:tblPrEx>
          <w:tblCellMar>
            <w:top w:w="0" w:type="dxa"/>
            <w:left w:w="108" w:type="dxa"/>
            <w:bottom w:w="0" w:type="dxa"/>
            <w:right w:w="108" w:type="dxa"/>
          </w:tblCellMar>
        </w:tblPrEx>
        <w:trPr>
          <w:trHeight w:val="335"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7"/>
              <w:widowControl/>
              <w:spacing w:before="0" w:beforeLines="0"/>
              <w:ind w:firstLine="0" w:firstLineChars="0"/>
              <w:jc w:val="center"/>
              <w:rPr>
                <w:rFonts w:hint="eastAsia" w:asciiTheme="minorEastAsia" w:hAnsiTheme="minorEastAsia" w:eastAsiaTheme="minorEastAsia" w:cstheme="minorEastAsia"/>
                <w:color w:val="auto"/>
                <w:kern w:val="0"/>
                <w:sz w:val="18"/>
                <w:szCs w:val="18"/>
                <w:highlight w:val="none"/>
              </w:rPr>
            </w:pPr>
          </w:p>
        </w:tc>
        <w:tc>
          <w:tcPr>
            <w:tcW w:w="1121" w:type="dxa"/>
            <w:vMerge w:val="continue"/>
            <w:tcBorders>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98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
                <w:color w:val="auto"/>
                <w:sz w:val="18"/>
                <w:szCs w:val="1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eastAsia="zh-CN"/>
              </w:rPr>
              <w:t>安全及资料管理员</w:t>
            </w:r>
            <w:r>
              <w:rPr>
                <w:rFonts w:hint="eastAsia" w:asciiTheme="minorEastAsia" w:hAnsiTheme="minorEastAsia" w:eastAsiaTheme="minorEastAsia" w:cstheme="minorEastAsia"/>
                <w:color w:val="auto"/>
                <w:sz w:val="18"/>
                <w:szCs w:val="18"/>
                <w:highlight w:val="none"/>
                <w:lang w:val="en-US" w:eastAsia="zh-CN"/>
              </w:rPr>
              <w:t>1名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安全及资料管理员</w:t>
            </w:r>
            <w:r>
              <w:rPr>
                <w:rFonts w:hint="eastAsia" w:asciiTheme="minorEastAsia" w:hAnsiTheme="minorEastAsia" w:eastAsiaTheme="minorEastAsia" w:cstheme="minorEastAsia"/>
                <w:color w:val="auto"/>
                <w:sz w:val="18"/>
                <w:szCs w:val="18"/>
                <w:highlight w:val="none"/>
                <w:lang w:val="en-US" w:eastAsia="zh-CN"/>
              </w:rPr>
              <w:t>1名</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每月按要求配合落实精细化考核、绿化养护台账资料及人员安全管理培训工作</w:t>
            </w:r>
          </w:p>
        </w:tc>
      </w:tr>
      <w:tr>
        <w:tblPrEx>
          <w:tblCellMar>
            <w:top w:w="0" w:type="dxa"/>
            <w:left w:w="108" w:type="dxa"/>
            <w:bottom w:w="0" w:type="dxa"/>
            <w:right w:w="108" w:type="dxa"/>
          </w:tblCellMar>
        </w:tblPrEx>
        <w:trPr>
          <w:trHeight w:val="681" w:hRule="atLeast"/>
          <w:jc w:val="center"/>
        </w:trPr>
        <w:tc>
          <w:tcPr>
            <w:tcW w:w="37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合    计</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总人数不少于65名</w:t>
            </w:r>
          </w:p>
        </w:tc>
        <w:tc>
          <w:tcPr>
            <w:tcW w:w="160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总人数不少于70名</w:t>
            </w:r>
          </w:p>
        </w:tc>
        <w:tc>
          <w:tcPr>
            <w:tcW w:w="2835" w:type="dxa"/>
            <w:tcBorders>
              <w:top w:val="single" w:color="auto" w:sz="4" w:space="0"/>
              <w:left w:val="nil"/>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18"/>
                <w:szCs w:val="18"/>
                <w:highlight w:val="none"/>
              </w:rPr>
            </w:pPr>
          </w:p>
        </w:tc>
      </w:tr>
    </w:tbl>
    <w:p>
      <w:pPr>
        <w:spacing w:line="418" w:lineRule="exact"/>
        <w:ind w:firstLine="361" w:firstLineChars="200"/>
        <w:rPr>
          <w:rFonts w:hint="default" w:asciiTheme="minorEastAsia" w:hAnsiTheme="minorEastAsia" w:eastAsiaTheme="minorEastAsia" w:cstheme="minorEastAsia"/>
          <w:b/>
          <w:color w:val="auto"/>
          <w:sz w:val="18"/>
          <w:szCs w:val="18"/>
          <w:highlight w:val="none"/>
          <w:lang w:val="en-US" w:eastAsia="zh-CN"/>
        </w:rPr>
      </w:pPr>
      <w:r>
        <w:rPr>
          <w:rFonts w:hint="eastAsia" w:asciiTheme="minorEastAsia" w:hAnsiTheme="minorEastAsia" w:eastAsiaTheme="minorEastAsia" w:cstheme="minorEastAsia"/>
          <w:b/>
          <w:color w:val="auto"/>
          <w:sz w:val="18"/>
          <w:szCs w:val="18"/>
          <w:highlight w:val="none"/>
        </w:rPr>
        <w:t>注：1.1.1.养护期内所有标段男性</w:t>
      </w:r>
      <w:r>
        <w:rPr>
          <w:rFonts w:hint="eastAsia" w:asciiTheme="minorEastAsia" w:hAnsiTheme="minorEastAsia" w:eastAsiaTheme="minorEastAsia" w:cstheme="minorEastAsia"/>
          <w:b/>
          <w:color w:val="auto"/>
          <w:sz w:val="18"/>
          <w:szCs w:val="18"/>
          <w:highlight w:val="none"/>
          <w:lang w:eastAsia="zh-CN"/>
        </w:rPr>
        <w:t>人员</w:t>
      </w:r>
      <w:r>
        <w:rPr>
          <w:rFonts w:hint="eastAsia" w:asciiTheme="minorEastAsia" w:hAnsiTheme="minorEastAsia" w:eastAsiaTheme="minorEastAsia" w:cstheme="minorEastAsia"/>
          <w:b/>
          <w:color w:val="auto"/>
          <w:sz w:val="18"/>
          <w:szCs w:val="18"/>
          <w:highlight w:val="none"/>
        </w:rPr>
        <w:t>不得少于</w:t>
      </w:r>
      <w:r>
        <w:rPr>
          <w:rFonts w:hint="eastAsia" w:asciiTheme="minorEastAsia" w:hAnsiTheme="minorEastAsia" w:eastAsiaTheme="minorEastAsia" w:cstheme="minorEastAsia"/>
          <w:b/>
          <w:color w:val="auto"/>
          <w:sz w:val="18"/>
          <w:szCs w:val="18"/>
          <w:highlight w:val="none"/>
          <w:lang w:eastAsia="zh-CN"/>
        </w:rPr>
        <w:t>总数的</w:t>
      </w:r>
      <w:r>
        <w:rPr>
          <w:rFonts w:hint="eastAsia" w:asciiTheme="minorEastAsia" w:hAnsiTheme="minorEastAsia" w:eastAsiaTheme="minorEastAsia" w:cstheme="minorEastAsia"/>
          <w:b/>
          <w:color w:val="auto"/>
          <w:sz w:val="18"/>
          <w:szCs w:val="18"/>
          <w:highlight w:val="none"/>
          <w:lang w:val="en-US" w:eastAsia="zh-CN"/>
        </w:rPr>
        <w:t>50%</w:t>
      </w:r>
      <w:r>
        <w:rPr>
          <w:rFonts w:hint="eastAsia" w:asciiTheme="minorEastAsia" w:hAnsiTheme="minorEastAsia" w:eastAsiaTheme="minorEastAsia" w:cstheme="minorEastAsia"/>
          <w:b/>
          <w:color w:val="auto"/>
          <w:sz w:val="18"/>
          <w:szCs w:val="18"/>
          <w:highlight w:val="none"/>
        </w:rPr>
        <w:t>，所有人员需统一着装穿戴安全警示服，警示服上并印有公司名称；</w:t>
      </w:r>
      <w:r>
        <w:rPr>
          <w:rFonts w:hint="eastAsia" w:asciiTheme="minorEastAsia" w:hAnsiTheme="minorEastAsia" w:eastAsiaTheme="minorEastAsia" w:cstheme="minorEastAsia"/>
          <w:b/>
          <w:color w:val="auto"/>
          <w:sz w:val="18"/>
          <w:szCs w:val="18"/>
          <w:highlight w:val="none"/>
          <w:lang w:eastAsia="zh-CN"/>
        </w:rPr>
        <w:t>所有人员配备GPS定位工牌或者手环，参数要求见附件。所有人员未按要求配备GPS定位工牌或者手环，每少一人扣除当季养护费的</w:t>
      </w:r>
      <w:r>
        <w:rPr>
          <w:rFonts w:hint="eastAsia" w:asciiTheme="minorEastAsia" w:hAnsiTheme="minorEastAsia" w:eastAsiaTheme="minorEastAsia" w:cstheme="minorEastAsia"/>
          <w:b/>
          <w:color w:val="auto"/>
          <w:sz w:val="18"/>
          <w:szCs w:val="18"/>
          <w:highlight w:val="none"/>
          <w:lang w:val="en-US" w:eastAsia="zh-CN"/>
        </w:rPr>
        <w:t>0.15%，本条最高扣除当季养护费的10%。</w:t>
      </w:r>
    </w:p>
    <w:p>
      <w:pPr>
        <w:spacing w:line="418" w:lineRule="exact"/>
        <w:ind w:firstLine="361"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1.1.2.在全国文明城市、国家卫生城市等各类创建、复检及其它重大活动、节日期间，中标人必须无条件服从招标人要求，加大人员投入，积极配合做好招标人要求的养护工作（所需费用已含在合同金额中）。如不配合的，招标人有权无条件单方终止合同。中标人接招标人通知后24小时内必须无条件清退出场，由此造成的损失由中标人承担。</w:t>
      </w:r>
    </w:p>
    <w:p>
      <w:pPr>
        <w:spacing w:line="418" w:lineRule="exact"/>
        <w:ind w:firstLine="361"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color w:val="auto"/>
          <w:sz w:val="18"/>
          <w:szCs w:val="18"/>
          <w:highlight w:val="none"/>
        </w:rPr>
        <w:t>1.1.3.在服务期内，养护人员若在养护工作时间缺岗或人员不足，每发现一次，按照考核办法扣分，同时，每少1名男工每人次扣2000元，每少1名女工的每人次扣1500元，招标人在进度款支付时一并扣除。</w:t>
      </w:r>
      <w:r>
        <w:rPr>
          <w:rFonts w:hint="eastAsia" w:asciiTheme="minorEastAsia" w:hAnsiTheme="minorEastAsia" w:eastAsiaTheme="minorEastAsia" w:cstheme="minorEastAsia"/>
          <w:color w:val="auto"/>
          <w:sz w:val="18"/>
          <w:szCs w:val="18"/>
          <w:highlight w:val="none"/>
        </w:rPr>
        <w:t>绿地养护人员，男工原则上不超过60周岁，视情况适当延长，最多不得超过65周岁；女工原则上不超过55周岁，视情况适当延长，最多不得超过60周岁。年出勤不低于280天.检查时人员不得少于应到数的95%，如发现养护人员配备少于规定数量的70%时，扣除当月养护费；</w:t>
      </w:r>
    </w:p>
    <w:p>
      <w:pPr>
        <w:spacing w:line="418" w:lineRule="exact"/>
        <w:ind w:firstLine="360"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color w:val="auto"/>
          <w:sz w:val="18"/>
          <w:szCs w:val="18"/>
          <w:highlight w:val="none"/>
        </w:rPr>
        <w:t>1.1.4.雨天等不适宜养护作业时，各中标单位必须按安排不少于3名男性养护人员随时处置各类应急事务。平时应建立不少于5人的应急队伍，24小时应对各类突发事件。</w:t>
      </w:r>
      <w:r>
        <w:rPr>
          <w:rFonts w:hint="eastAsia" w:asciiTheme="minorEastAsia" w:hAnsiTheme="minorEastAsia" w:eastAsiaTheme="minorEastAsia" w:cstheme="minorEastAsia"/>
          <w:b/>
          <w:color w:val="auto"/>
          <w:sz w:val="18"/>
          <w:szCs w:val="18"/>
          <w:highlight w:val="none"/>
        </w:rPr>
        <w:t>中标单位在接到业主单位通知后，须在白天（6:00至18:00）30分钟、晚上（18:00至次日6:00）60分钟到达现场并处理突发事件如响应不及时造成不良后果的，扣罚人民币5000元/次。</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1.1.5.中标人必须落实专人每天巡查不少于3次，原则上安排在6:00-9：00、14:00-16:00、18:00-21:00。对巡查中发现的问题，原则上当天处理完毕。巡视中发现区域内有违章搭建及无证占绿、乱种植、车辆乱停放、破绿钓鱼等现象，中标单位必须当场予以制止并及时上报业主单位，必要时报相关职能部门处理；苗木损坏、设施破损等须立即通知甲方管理人员处理。未及时发现或上报所造成的损失由乙方自行承担；如交通事故造成损坏的，根据交警部门处理意见赔偿给中标人，补植后进行常规养护。</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1.1.6.中标单位必须做好绿化养护重点区域内的日常卫生保洁工作，绿化养护重点区域由采购人在养护过程中按实际情况划分。保洁时间6：00-21：00，如出现较多垃圾时必须增派人员突击处理。</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1.1.7.中标单位需合理安排人员，保证法定节假日期间的正常养护工作。</w:t>
      </w:r>
    </w:p>
    <w:p>
      <w:pPr>
        <w:spacing w:line="418" w:lineRule="exact"/>
        <w:ind w:firstLine="361"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1.1.8.在项目实施过程中，做好</w:t>
      </w:r>
      <w:r>
        <w:rPr>
          <w:rFonts w:hint="eastAsia" w:asciiTheme="minorEastAsia" w:hAnsiTheme="minorEastAsia" w:eastAsiaTheme="minorEastAsia" w:cstheme="minorEastAsia"/>
          <w:b/>
          <w:color w:val="auto"/>
          <w:sz w:val="18"/>
          <w:szCs w:val="18"/>
          <w:highlight w:val="none"/>
          <w:lang w:eastAsia="zh-CN"/>
        </w:rPr>
        <w:t>传染性疾病</w:t>
      </w:r>
      <w:r>
        <w:rPr>
          <w:rFonts w:hint="eastAsia" w:asciiTheme="minorEastAsia" w:hAnsiTheme="minorEastAsia" w:eastAsiaTheme="minorEastAsia" w:cstheme="minorEastAsia"/>
          <w:b/>
          <w:color w:val="auto"/>
          <w:sz w:val="18"/>
          <w:szCs w:val="18"/>
          <w:highlight w:val="none"/>
        </w:rPr>
        <w:t>防控工作，如测量体温、定期消杀等。</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1.1.9.在项目实施过程中，如遇有人在公园内垂钓、游泳，中标单位应及时制止。</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1.1.10.中标单位须对所雇佣的工人购买意外保险。</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1.1.11.中标单位须购买绿地公园意外险，养护期间所造成的安全问题由养护单位承担责任。</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1.1.12.绿道内禁止犬只进入，养护单位需树立指示牌，如有发现及时制止。</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1.1.13.中标单位可根据业主对绿地养护要求及项目实际情况，适当进行人员调配。当突发事件发生时，中标单位须无条件服从采购人对人员增调的要求。</w:t>
      </w:r>
    </w:p>
    <w:p>
      <w:pPr>
        <w:spacing w:line="418"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1.1.14.中标单位负责对重点公园绿地养护设置公示牌（工程绿地名称、养护范围及面积、养护时限、养护等级、养护单位名称、项目主管联系人及电话、监督电话等），对养护范围内行道树进行树木铭牌安装，固定材料使用弹性材质，不得影响树木生长，建立数字化台账资料，上报业主单位。</w:t>
      </w:r>
    </w:p>
    <w:p>
      <w:pPr>
        <w:spacing w:line="360" w:lineRule="auto"/>
        <w:ind w:firstLine="360" w:firstLineChars="200"/>
        <w:rPr>
          <w:rFonts w:hint="eastAsia" w:asciiTheme="minorEastAsia" w:hAnsiTheme="minorEastAsia" w:eastAsiaTheme="minorEastAsia" w:cstheme="minorEastAsia"/>
          <w:b/>
          <w:color w:val="auto"/>
          <w:kern w:val="0"/>
          <w:sz w:val="18"/>
          <w:szCs w:val="18"/>
          <w:highlight w:val="none"/>
        </w:rPr>
      </w:pPr>
      <w:r>
        <w:rPr>
          <w:rFonts w:hint="eastAsia" w:asciiTheme="minorEastAsia" w:hAnsiTheme="minorEastAsia" w:eastAsiaTheme="minorEastAsia" w:cstheme="minorEastAsia"/>
          <w:color w:val="auto"/>
          <w:sz w:val="18"/>
          <w:szCs w:val="18"/>
          <w:highlight w:val="none"/>
        </w:rPr>
        <w:t>1.1.15.</w:t>
      </w:r>
      <w:r>
        <w:rPr>
          <w:rFonts w:hint="eastAsia" w:asciiTheme="minorEastAsia" w:hAnsiTheme="minorEastAsia" w:eastAsiaTheme="minorEastAsia" w:cstheme="minorEastAsia"/>
          <w:b/>
          <w:color w:val="auto"/>
          <w:kern w:val="0"/>
          <w:sz w:val="18"/>
          <w:szCs w:val="18"/>
          <w:highlight w:val="none"/>
        </w:rPr>
        <w:t>保洁要求</w:t>
      </w:r>
    </w:p>
    <w:p>
      <w:pPr>
        <w:spacing w:line="360" w:lineRule="auto"/>
        <w:ind w:firstLine="394" w:firstLineChars="218"/>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color w:val="auto"/>
          <w:sz w:val="18"/>
          <w:szCs w:val="18"/>
          <w:highlight w:val="none"/>
        </w:rPr>
        <w:t>1、公园保洁要求。应全天保持动态保洁，</w:t>
      </w:r>
      <w:r>
        <w:rPr>
          <w:rFonts w:hint="eastAsia" w:asciiTheme="minorEastAsia" w:hAnsiTheme="minorEastAsia" w:eastAsiaTheme="minorEastAsia" w:cstheme="minorEastAsia"/>
          <w:b/>
          <w:bCs/>
          <w:color w:val="auto"/>
          <w:kern w:val="0"/>
          <w:sz w:val="18"/>
          <w:szCs w:val="18"/>
          <w:highlight w:val="none"/>
        </w:rPr>
        <w:t>按规定时间内完成每天第一遍统扫，1月、2月、12月每日上午7：00前完成普扫，其他月份每日上午6：30前完成普扫；第二遍统扫以下午上班时间的半小时前普扫完毕；结束后做好巡回保洁工作；文明城市、卫生城市等重点工作迎检期间，要求全时段作业，做好安全施工作业，承包人须无条件配合。</w:t>
      </w:r>
      <w:r>
        <w:rPr>
          <w:rFonts w:hint="eastAsia" w:asciiTheme="minorEastAsia" w:hAnsiTheme="minorEastAsia" w:eastAsiaTheme="minorEastAsia" w:cstheme="minorEastAsia"/>
          <w:color w:val="auto"/>
          <w:sz w:val="18"/>
          <w:szCs w:val="18"/>
          <w:highlight w:val="none"/>
        </w:rPr>
        <w:t>若采购单位需要在重要区域延长保洁时间或遇特殊情况（如台风、洪涝、冰雪等灾害天气、市级应急机制联动或其他重大活动），投标人须做好相应人员（加班）、设备安排及相关处置工作，报价时综合考虑，含在报价中，采购方不另行支付费用。</w:t>
      </w:r>
    </w:p>
    <w:p>
      <w:pPr>
        <w:spacing w:line="360" w:lineRule="auto"/>
        <w:ind w:firstLine="394" w:firstLineChars="218"/>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2、果壳箱清理保洁要求</w:t>
      </w:r>
    </w:p>
    <w:p>
      <w:pPr>
        <w:spacing w:line="360" w:lineRule="auto"/>
        <w:ind w:firstLine="392" w:firstLineChars="218"/>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2.1、根据需要按发包方要求对</w:t>
      </w:r>
      <w:r>
        <w:rPr>
          <w:rFonts w:hint="eastAsia" w:asciiTheme="minorEastAsia" w:hAnsiTheme="minorEastAsia" w:eastAsiaTheme="minorEastAsia" w:cstheme="minorEastAsia"/>
          <w:b/>
          <w:bCs/>
          <w:color w:val="auto"/>
          <w:sz w:val="18"/>
          <w:szCs w:val="18"/>
          <w:highlight w:val="none"/>
        </w:rPr>
        <w:t>果壳箱进行日常保洁，发现破损的道路果壳箱须及时维修更换等，果壳箱维修更换所产生的费用包含在报价中，今后结算时不另增加费用</w:t>
      </w:r>
      <w:r>
        <w:rPr>
          <w:rFonts w:hint="eastAsia" w:asciiTheme="minorEastAsia" w:hAnsiTheme="minorEastAsia" w:eastAsiaTheme="minorEastAsia" w:cstheme="minorEastAsia"/>
          <w:color w:val="auto"/>
          <w:sz w:val="18"/>
          <w:szCs w:val="18"/>
          <w:highlight w:val="none"/>
        </w:rPr>
        <w:t>。</w:t>
      </w:r>
    </w:p>
    <w:p>
      <w:pPr>
        <w:spacing w:line="360" w:lineRule="auto"/>
        <w:ind w:firstLine="392" w:firstLineChars="218"/>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2.2、果壳箱、垃圾桶定时清运、清洗、消毒，清运每天日产日清，无满溢；箱（桶）体清洗每天一次，消杀4至11月份：每天一次。进行消毒时，不得使用伪劣消杀药物，禁止野蛮操作。</w:t>
      </w:r>
    </w:p>
    <w:p>
      <w:pPr>
        <w:spacing w:line="360" w:lineRule="auto"/>
        <w:ind w:firstLine="354" w:firstLineChars="196"/>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3、清理乱张贴要求</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清理保洁内容：清理养护范围所有地面、附属公共设施和树干上乱张贴、刻画、乱涂写广告、宣传品、电话号码等城市“牛皮癣”。</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清理保洁服务的标准：</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①、日常保洁要求，实行定街、定段、定人、责任到人管理。</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清理质量要求，外墙、地面、栏杆等清理保洁做到“日有日清”，原则上应在每日上午9点以前清除完毕。同一地方的乱张贴或乱涂写存续时间主次干道（桥梁）不能超过2小时，特殊情况不得超过1小时；其它地方不能超过3小时，特殊情况不能超过2小时；</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③、外墙、地面、栏杆、灯箱清理乱张贴或乱涂写保洁基本上做到“同色覆盖”。清除乱张贴、乱涂写的涂料要用与墙体、地面、栏杆相同或相接近的颜色进行有规则（正方形、长方形等）的覆盖，对花岗岩、大理石等墙面、地面应通过清洗方式进行保洁；</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④、清除乱张贴乱涂写时注意不得污损周围墙体、地面等，保持整洁；</w:t>
      </w:r>
    </w:p>
    <w:p>
      <w:pPr>
        <w:spacing w:line="360" w:lineRule="auto"/>
        <w:ind w:firstLine="463"/>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⑤、中标单位需安排专人对辖区乱账贴情况进行巡查，及时发现并处理，如发现乱张贴可疑人员及时上报。</w:t>
      </w:r>
    </w:p>
    <w:p>
      <w:pPr>
        <w:spacing w:line="418" w:lineRule="exact"/>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val="en-US" w:eastAsia="zh-CN"/>
        </w:rPr>
        <w:t>4、</w:t>
      </w:r>
      <w:r>
        <w:rPr>
          <w:rFonts w:hint="eastAsia" w:ascii="宋体" w:hAnsi="宋体" w:eastAsia="宋体" w:cs="宋体"/>
          <w:b/>
          <w:color w:val="auto"/>
          <w:sz w:val="18"/>
          <w:szCs w:val="18"/>
          <w:highlight w:val="none"/>
        </w:rPr>
        <w:t>设备配备要求</w:t>
      </w:r>
    </w:p>
    <w:tbl>
      <w:tblPr>
        <w:tblStyle w:val="4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28"/>
        <w:gridCol w:w="351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97" w:type="dxa"/>
            <w:noWrap w:val="0"/>
            <w:vAlign w:val="center"/>
          </w:tcPr>
          <w:p>
            <w:pPr>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序号</w:t>
            </w:r>
          </w:p>
        </w:tc>
        <w:tc>
          <w:tcPr>
            <w:tcW w:w="2228" w:type="dxa"/>
            <w:noWrap w:val="0"/>
            <w:vAlign w:val="center"/>
          </w:tcPr>
          <w:p>
            <w:pPr>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类别</w:t>
            </w:r>
          </w:p>
        </w:tc>
        <w:tc>
          <w:tcPr>
            <w:tcW w:w="3513" w:type="dxa"/>
            <w:noWrap w:val="0"/>
            <w:vAlign w:val="center"/>
          </w:tcPr>
          <w:p>
            <w:pPr>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名称</w:t>
            </w:r>
          </w:p>
        </w:tc>
        <w:tc>
          <w:tcPr>
            <w:tcW w:w="2212" w:type="dxa"/>
            <w:noWrap w:val="0"/>
            <w:vAlign w:val="center"/>
          </w:tcPr>
          <w:p>
            <w:pPr>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投入设备（不少于）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1</w:t>
            </w:r>
          </w:p>
        </w:tc>
        <w:tc>
          <w:tcPr>
            <w:tcW w:w="2228" w:type="dxa"/>
            <w:vMerge w:val="restart"/>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绿化长效养护</w:t>
            </w:r>
          </w:p>
        </w:tc>
        <w:tc>
          <w:tcPr>
            <w:tcW w:w="351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绿化鼓风机</w:t>
            </w:r>
          </w:p>
        </w:tc>
        <w:tc>
          <w:tcPr>
            <w:tcW w:w="2212"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2</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草坪打孔机</w:t>
            </w:r>
          </w:p>
        </w:tc>
        <w:tc>
          <w:tcPr>
            <w:tcW w:w="2212"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3</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打药机</w:t>
            </w:r>
          </w:p>
        </w:tc>
        <w:tc>
          <w:tcPr>
            <w:tcW w:w="2212"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4</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草坪修剪机</w:t>
            </w:r>
          </w:p>
        </w:tc>
        <w:tc>
          <w:tcPr>
            <w:tcW w:w="2212"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5</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小型冲洗车</w:t>
            </w:r>
          </w:p>
        </w:tc>
        <w:tc>
          <w:tcPr>
            <w:tcW w:w="2212"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6</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洒水车（载重≥10T/台）</w:t>
            </w:r>
          </w:p>
        </w:tc>
        <w:tc>
          <w:tcPr>
            <w:tcW w:w="2212" w:type="dxa"/>
            <w:noWrap w:val="0"/>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7</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登高车</w:t>
            </w:r>
          </w:p>
        </w:tc>
        <w:tc>
          <w:tcPr>
            <w:tcW w:w="2212" w:type="dxa"/>
            <w:noWrap w:val="0"/>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9</w:t>
            </w:r>
          </w:p>
        </w:tc>
        <w:tc>
          <w:tcPr>
            <w:tcW w:w="2228" w:type="dxa"/>
            <w:vMerge w:val="continue"/>
            <w:noWrap w:val="0"/>
            <w:vAlign w:val="center"/>
          </w:tcPr>
          <w:p>
            <w:pPr>
              <w:jc w:val="center"/>
              <w:rPr>
                <w:rFonts w:hint="eastAsia" w:ascii="宋体" w:hAnsi="宋体" w:eastAsia="宋体" w:cs="宋体"/>
                <w:color w:val="auto"/>
                <w:sz w:val="18"/>
                <w:szCs w:val="18"/>
                <w:highlight w:val="none"/>
              </w:rPr>
            </w:pPr>
          </w:p>
        </w:tc>
        <w:tc>
          <w:tcPr>
            <w:tcW w:w="3513" w:type="dxa"/>
            <w:noWrap w:val="0"/>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垃圾清运车（载重≥1.5T/台）</w:t>
            </w:r>
          </w:p>
        </w:tc>
        <w:tc>
          <w:tcPr>
            <w:tcW w:w="2212" w:type="dxa"/>
            <w:noWrap w:val="0"/>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 w:type="dxa"/>
            <w:noWrap w:val="0"/>
            <w:vAlign w:val="center"/>
          </w:tcPr>
          <w:p>
            <w:pPr>
              <w:pStyle w:val="267"/>
              <w:widowControl/>
              <w:spacing w:before="0" w:beforeLines="0"/>
              <w:ind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10</w:t>
            </w:r>
          </w:p>
        </w:tc>
        <w:tc>
          <w:tcPr>
            <w:tcW w:w="2228"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应急设备</w:t>
            </w:r>
          </w:p>
        </w:tc>
        <w:tc>
          <w:tcPr>
            <w:tcW w:w="3513"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应急支撑钢管</w:t>
            </w:r>
          </w:p>
        </w:tc>
        <w:tc>
          <w:tcPr>
            <w:tcW w:w="2212"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100套</w:t>
            </w:r>
          </w:p>
        </w:tc>
      </w:tr>
    </w:tbl>
    <w:p>
      <w:pPr>
        <w:spacing w:line="360" w:lineRule="auto"/>
        <w:ind w:firstLine="463"/>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u w:val="double"/>
        </w:rPr>
        <w:t>注：以上配置为每个标段设备配备最低要求，实际配置须满足养护工作的需求，业主有权要求供应商增加配置以满足养护工作的需求，供应商须无条件满足。</w:t>
      </w:r>
      <w:r>
        <w:rPr>
          <w:rFonts w:hint="eastAsia" w:ascii="宋体" w:hAnsi="宋体" w:eastAsia="宋体" w:cs="宋体"/>
          <w:b/>
          <w:color w:val="auto"/>
          <w:sz w:val="18"/>
          <w:szCs w:val="18"/>
          <w:highlight w:val="none"/>
          <w:u w:val="double"/>
        </w:rPr>
        <w:tab/>
      </w:r>
    </w:p>
    <w:p>
      <w:pPr>
        <w:spacing w:line="418" w:lineRule="exact"/>
        <w:ind w:firstLine="361" w:firstLineChars="200"/>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lang w:val="en-US" w:eastAsia="zh-CN"/>
        </w:rPr>
        <w:t>5</w:t>
      </w:r>
      <w:r>
        <w:rPr>
          <w:rFonts w:hint="eastAsia" w:asciiTheme="minorEastAsia" w:hAnsiTheme="minorEastAsia" w:eastAsiaTheme="minorEastAsia" w:cstheme="minorEastAsia"/>
          <w:b/>
          <w:color w:val="auto"/>
          <w:sz w:val="18"/>
          <w:szCs w:val="18"/>
          <w:highlight w:val="none"/>
        </w:rPr>
        <w:t>、其他要求</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中标单位需对公园区内所有的凉亭、连廊、栏杆进行一年一遍的翻新维护（一级养护绿地要求每年不得少于两次），按照凉亭、连廊、栏杆原有的颜色进行翻新油漆粉刷，对凉亭、连廊、栏杆破损部分进行更换、修补、维护。</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.2.中标单位需对公园区内所有垃圾桶、果壳箱进行定期检查，对破损垃圾桶、果壳箱及时更换、修补、维护。</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.3.中标单位需对公园内人行走道、凉亭、连廊等铺砖的地砖进行定期检查，对破损的地砖进行整修铺装、更换、修补、维护。</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.4.中标单位需对公园内所有休闲娱乐、櫈椅、路灯、等附属设施进行定期检查，对损坏的设施及时更换、修补、维护，确保附属设施的安全正常运行。</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.5.中标单位需对公园内所有的雨污水、给水井圈井盖进行定期检查，对破损的井圈井盖及时更换、修补、维护，确保无溢水堵塞，无安全事故发生。</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6.各中标单位应在中标后一个月内自行设置若干公示牌，公示牌中内容应包含：工程绿地名称、养护范围及面积、养护时限、养护等级、养护单位名称、项目主管联系人及电话、监督电话等(具体位置、格式以业主单位要求为准)。</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.7.中标单位需每年做好养护区域内绿化苗木的常规修剪，并根据业主单位要求，做好养护范围内苗木大修工作。</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.8.中标单位认真做好台风、水涝、冰冻、雨雪等灾害性天气预防工作，同时根据甲方具体要求及时做好后期应急抢险工作。</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.9.中标单位需合理安排人员，保证法定节假日期间的正常养护工作，养护工人不减少。</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.10.本次养护包括围墙到围墙的绿化带，需要清理干净建筑垃圾等。</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.11.中标单位须对行道树每年至少修剪2次，并在修剪当日及时清除修剪所产生的废料及周边白色垃圾，并对行道树设置铭牌，建立数字化台账资料，各投标单位投标报价时综合考虑，今后结算时不另增加。</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.12.防护片林日常管理由中标单位负责，片林内白色污染、建筑垃圾、乱种菜等由中标单位负责清理。围墙外的垃圾也由中标单位负责清理。</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.13.草花种植要求距离适宜，每平方不少于64棵，不裸露土，一年更换五次。</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.14.中标单位需明确园林垃圾处置方式及去向，不得随意丢弃，同时配合做好小区内园林垃圾处置。</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.15.中标单位需做好公园绿化内各类附属设施（井圈井盖）维修美化工作，对绿地内各类井圈井盖进行美化处理。</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val="en-US" w:eastAsia="zh-CN"/>
        </w:rPr>
        <w:t>5</w:t>
      </w:r>
      <w:r>
        <w:rPr>
          <w:rFonts w:hint="eastAsia" w:asciiTheme="minorEastAsia" w:hAnsiTheme="minorEastAsia" w:eastAsiaTheme="minorEastAsia" w:cstheme="minorEastAsia"/>
          <w:b/>
          <w:bCs/>
          <w:color w:val="auto"/>
          <w:sz w:val="18"/>
          <w:szCs w:val="18"/>
          <w:highlight w:val="none"/>
        </w:rPr>
        <w:t>.16.中标单位需对辖区公园养护范围的水塘内的水生植物按相关养护要求进行养护，及时修剪、除虫、除杂草等，并负责对公园内水塘的清理保洁。</w:t>
      </w:r>
    </w:p>
    <w:p>
      <w:pPr>
        <w:spacing w:line="418" w:lineRule="exact"/>
        <w:ind w:firstLine="361" w:firstLineChars="200"/>
        <w:rPr>
          <w:rFonts w:hint="default"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z w:val="18"/>
          <w:szCs w:val="18"/>
          <w:highlight w:val="none"/>
          <w:lang w:val="en-US" w:eastAsia="zh-CN"/>
        </w:rPr>
        <w:t>5.17所辖标段发生安全事故的，须赔偿相应损失、扣除相应养护费用。其中，事故造成损失未发生人员伤亡的扣除当季养护费用的10%~30%（不含30%）；发生火灾、高空坠落等安全责任事故造成人员伤残的扣除当季养护费用的30%~70%，赔偿相应损失；发生安全责任事故造成人员死亡的扣除当季养护费用的100%，并赔偿相应损失。在服务期内，发生一次人员死亡安全责任事故或两次上述伤残安全责任事故情形的，业主有权与该养护单位解除合同，责任全部由该养护单位承担。</w:t>
      </w:r>
    </w:p>
    <w:p>
      <w:pPr>
        <w:spacing w:line="418" w:lineRule="exact"/>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以上所有工作内容全部包含在投标总价中，请各投标单位投标报价时综合考虑上述费用及特殊情况（如检查、节假日重大活动等要求中标单位增加人员和作业时间的费用含在报价内），中标单位承担因苗木、乔木养护不到位，公园设施维修、湖岸作业安全造成的第三方人身、财产等损失责任，承担一切费用。</w:t>
      </w:r>
    </w:p>
    <w:p>
      <w:pPr>
        <w:pStyle w:val="22"/>
        <w:rPr>
          <w:rFonts w:hint="eastAsia"/>
          <w:color w:val="auto"/>
          <w:highlight w:val="none"/>
          <w:lang w:eastAsia="zh-CN"/>
        </w:rPr>
      </w:pPr>
    </w:p>
    <w:bookmarkEnd w:id="63"/>
    <w:p>
      <w:pPr>
        <w:widowControl/>
        <w:jc w:val="both"/>
        <w:textAlignment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br w:type="page"/>
      </w:r>
    </w:p>
    <w:p>
      <w:pPr>
        <w:jc w:val="center"/>
        <w:rPr>
          <w:rFonts w:hint="eastAsia" w:asciiTheme="minorEastAsia" w:hAnsiTheme="minorEastAsia" w:eastAsiaTheme="minorEastAsia" w:cstheme="minorEastAsia"/>
          <w:b/>
          <w:bCs/>
          <w:color w:val="auto"/>
          <w:sz w:val="18"/>
          <w:szCs w:val="18"/>
          <w:highlight w:val="none"/>
          <w:lang w:val="en-US" w:eastAsia="zh-CN"/>
        </w:rPr>
      </w:pPr>
      <w:r>
        <w:rPr>
          <w:rFonts w:hint="eastAsia" w:asciiTheme="minorEastAsia" w:hAnsiTheme="minorEastAsia" w:eastAsiaTheme="minorEastAsia" w:cstheme="minorEastAsia"/>
          <w:b/>
          <w:bCs/>
          <w:color w:val="auto"/>
          <w:spacing w:val="-6"/>
          <w:sz w:val="18"/>
          <w:szCs w:val="18"/>
          <w:highlight w:val="none"/>
          <w:lang w:val="en-US" w:eastAsia="zh-CN"/>
        </w:rPr>
        <w:t>塘汇街道园林绿化城市精细化管理考核办法（试行）</w:t>
      </w:r>
    </w:p>
    <w:p>
      <w:pPr>
        <w:adjustRightInd w:val="0"/>
        <w:snapToGrid w:val="0"/>
        <w:spacing w:line="560" w:lineRule="exact"/>
        <w:ind w:firstLine="360" w:firstLineChars="200"/>
        <w:rPr>
          <w:rFonts w:hint="eastAsia" w:asciiTheme="minorEastAsia" w:hAnsiTheme="minorEastAsia" w:eastAsiaTheme="minorEastAsia" w:cstheme="minorEastAsia"/>
          <w:color w:val="auto"/>
          <w:spacing w:val="0"/>
          <w:sz w:val="18"/>
          <w:szCs w:val="18"/>
          <w:highlight w:val="none"/>
          <w:lang w:val="en-US" w:eastAsia="zh-CN"/>
        </w:rPr>
      </w:pP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为巩固我街道绿化养护工作实效，进一步提升城市景观风貌，努力营造“整洁、有序、靓丽”的城市环境，全面落实绿化养护精细化、常态化、规范化管理，结合街道辖区公园、道路及绿地绿化养护实际情况，根据《国家卫生城市标准》、《嘉兴市区绿地养护管理考评办法》、《嘉兴市城市精细化管理标准》、文明城市迎检创建规范要求以及2024-2025年“绿化养护”项目招标文件有关规定，特制定本管理考核办法：</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一、考核范围</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街道属地道路绿化、公园、绿地、片林绿化养护管理</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二、考核对象</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街道绿化养护管理单位</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三、考核内容</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绿化保洁养护工作考核分值为100分,由日常工作绩效（30分）、月度专项检查（30分）、城市精细化管理（40分）及月度附加项组成。</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日常工作绩效（30分）。按照街道工作要求，各养护单位应加强队伍管理、对照招标文件完成量化工作任务、落实指令性专项工作及定期完成工作资料报送工作。具体附《塘汇街道绿化养护日常工作绩效考评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2.月度专项检查（30分）。由街道城市管理办公室牵头，组织专项检查组，每月进行专项检查。具体附《塘汇街道绿化养护质量月度评分表》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3.城市精细化管理（40分）。由街道城市管理办公室牵头，对照数字城管系统案件处理及市区各项检查通报进行汇总评分。具体附《塘汇街道绿化养护城市精细化管理考核评分表》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4.月度附加分项。</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嘉兴市城市管理委员会办公室：根据《嘉兴市本级中心城区城市精细化管理考核办法》《“四个一”示范工程赋分考核办法（试行）》组织中心城区城市精细化管理考核检查，公布每月中心城区城市精细化管理考核情况的通知，街道综合排名位于前三名的，每个单位加2分，位于后三名的，每个单位扣一万养护费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经开区建设局：每月对四街道进行绿化养护考核工作排名，街道综合排名位于第一名的，每个单位加2分，位于第二名的，每个单位加1分，位于第三、四名的，每个单位扣1分。街道养护单位考评分低于全区绿化养护单位考评平均分以下（含等于）的，每个单位扣1分，区建交局月度通报内评为红榜的单位加2分，评为黑榜的单位扣2分。</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四、考核结果运用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按照月度检查，季度评价的方式进行考核。考核得分与项目经费拨付挂钩，每季度中三个月的平均得分得出该季度最终分值。即以按投标价的季度承包金额作为季度考核基数，每季度考核经费结果：季度最终款额（元）=季度三个月平均分值×（季度考核基数÷100）</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五、考核说明2</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1.街道可结合绿化养护、绿地保洁、秩序维护等工作新要求或各级颁布的最新标准，适时修改考核检查标准；</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2.合同期内新移交的绿化地块纳入“绿化养护”项目统一管理的，根据相邻或相似绿地签订相应补充合同。考核办法按本办法执行；</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3.合同期内，对招标范围内绿化区域实施更新改造项目的，如施工在月度15日（含15日）之前的，考核期限截止至上月；如施工在月度15日之后的，考核期限截止至本月月底。</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4.本办法由塘汇街道城市管理办公室负责解释。</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5.具体考核办法以“塘汇街道城市管理办2024年绿化养护考核文件”文件。</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附:1.《塘汇街道绿化养护城市精细化管理月度考核分值表》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附2.《塘汇街道绿化养护日常工作绩效考评表》</w:t>
      </w:r>
    </w:p>
    <w:p>
      <w:pPr>
        <w:spacing w:line="418" w:lineRule="exact"/>
        <w:ind w:firstLine="360" w:firstLineChars="200"/>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附3.《塘汇街道绿化养护质量月度评分表》</w:t>
      </w:r>
    </w:p>
    <w:p>
      <w:pPr>
        <w:spacing w:line="418" w:lineRule="exact"/>
        <w:ind w:firstLine="360" w:firstLineChars="200"/>
        <w:rPr>
          <w:rFonts w:hint="eastAsia" w:asciiTheme="minorEastAsia" w:hAnsiTheme="minorEastAsia" w:eastAsiaTheme="minorEastAsia" w:cstheme="minorEastAsia"/>
          <w:b w:val="0"/>
          <w:bCs w:val="0"/>
          <w:color w:val="auto"/>
          <w:spacing w:val="-11"/>
          <w:kern w:val="2"/>
          <w:sz w:val="18"/>
          <w:szCs w:val="18"/>
          <w:highlight w:val="none"/>
          <w:lang w:val="en-US" w:eastAsia="zh-CN" w:bidi="ar-SA"/>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b w:val="0"/>
          <w:bCs w:val="0"/>
          <w:color w:val="auto"/>
          <w:sz w:val="18"/>
          <w:szCs w:val="18"/>
          <w:highlight w:val="none"/>
          <w:lang w:val="en-US" w:eastAsia="zh-CN"/>
        </w:rPr>
        <w:t>附4.《塘汇街道绿化养护城市精细化管理考核评分表》</w:t>
      </w:r>
      <w:r>
        <w:rPr>
          <w:rFonts w:hint="eastAsia" w:asciiTheme="minorEastAsia" w:hAnsiTheme="minorEastAsia" w:eastAsiaTheme="minorEastAsia" w:cstheme="minorEastAsia"/>
          <w:b w:val="0"/>
          <w:bCs w:val="0"/>
          <w:color w:val="auto"/>
          <w:spacing w:val="-11"/>
          <w:kern w:val="2"/>
          <w:sz w:val="18"/>
          <w:szCs w:val="18"/>
          <w:highlight w:val="none"/>
          <w:lang w:val="en-US" w:eastAsia="zh-CN" w:bidi="ar-SA"/>
        </w:rPr>
        <w:br w:type="page"/>
      </w:r>
    </w:p>
    <w:p>
      <w:pPr>
        <w:pStyle w:val="2"/>
        <w:keepNext w:val="0"/>
        <w:keepLines w:val="0"/>
        <w:pageBreakBefore w:val="0"/>
        <w:wordWrap/>
        <w:overflowPunct/>
        <w:topLinePunct w:val="0"/>
        <w:bidi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附1：</w:t>
      </w:r>
    </w:p>
    <w:tbl>
      <w:tblPr>
        <w:tblStyle w:val="49"/>
        <w:tblW w:w="142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2"/>
        <w:gridCol w:w="1522"/>
        <w:gridCol w:w="1522"/>
        <w:gridCol w:w="1525"/>
        <w:gridCol w:w="2839"/>
        <w:gridCol w:w="1786"/>
        <w:gridCol w:w="1786"/>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月份</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日常(</w:t>
            </w:r>
            <w:r>
              <w:rPr>
                <w:rFonts w:hint="eastAsia" w:ascii="宋体" w:hAnsi="宋体" w:cs="宋体"/>
                <w:b/>
                <w:bCs/>
                <w:i w:val="0"/>
                <w:iCs w:val="0"/>
                <w:color w:val="auto"/>
                <w:kern w:val="0"/>
                <w:sz w:val="18"/>
                <w:szCs w:val="18"/>
                <w:highlight w:val="none"/>
                <w:u w:val="none"/>
                <w:lang w:val="en-US" w:eastAsia="zh-CN" w:bidi="ar"/>
              </w:rPr>
              <w:t>3</w:t>
            </w:r>
            <w:r>
              <w:rPr>
                <w:rFonts w:hint="eastAsia" w:ascii="宋体" w:hAnsi="宋体" w:eastAsia="宋体" w:cs="宋体"/>
                <w:b/>
                <w:bCs/>
                <w:i w:val="0"/>
                <w:iCs w:val="0"/>
                <w:color w:val="auto"/>
                <w:kern w:val="0"/>
                <w:sz w:val="18"/>
                <w:szCs w:val="18"/>
                <w:highlight w:val="none"/>
                <w:u w:val="none"/>
                <w:lang w:val="en-US" w:eastAsia="zh-CN" w:bidi="ar"/>
              </w:rPr>
              <w:t>0分）</w:t>
            </w:r>
          </w:p>
        </w:tc>
        <w:tc>
          <w:tcPr>
            <w:tcW w:w="15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专项(30分）</w:t>
            </w:r>
          </w:p>
        </w:tc>
        <w:tc>
          <w:tcPr>
            <w:tcW w:w="28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城市精细化管理（40分）</w:t>
            </w:r>
          </w:p>
        </w:tc>
        <w:tc>
          <w:tcPr>
            <w:tcW w:w="178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月度附加分</w:t>
            </w:r>
          </w:p>
        </w:tc>
        <w:tc>
          <w:tcPr>
            <w:tcW w:w="178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月度得分</w:t>
            </w:r>
          </w:p>
        </w:tc>
        <w:tc>
          <w:tcPr>
            <w:tcW w:w="179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最终得分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15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8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178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178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1790" w:type="dxa"/>
            <w:vMerge w:val="restart"/>
            <w:tcBorders>
              <w:top w:val="single" w:color="000000" w:sz="8" w:space="0"/>
              <w:left w:val="nil"/>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5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28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78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78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790" w:type="dxa"/>
            <w:vMerge w:val="continue"/>
            <w:tcBorders>
              <w:left w:val="nil"/>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5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28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78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78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c>
          <w:tcPr>
            <w:tcW w:w="1790" w:type="dxa"/>
            <w:vMerge w:val="continue"/>
            <w:tcBorders>
              <w:left w:val="nil"/>
              <w:bottom w:val="single" w:color="000000" w:sz="8" w:space="0"/>
              <w:right w:val="single" w:color="000000" w:sz="8"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24"/>
                <w:szCs w:val="24"/>
                <w:highlight w:val="none"/>
                <w:u w:val="none"/>
              </w:rPr>
            </w:pPr>
          </w:p>
        </w:tc>
      </w:tr>
    </w:tbl>
    <w:p>
      <w:pPr>
        <w:rPr>
          <w:rFonts w:hint="eastAsia"/>
          <w:color w:val="auto"/>
          <w:highlight w:val="none"/>
          <w:lang w:val="en-US" w:eastAsia="zh-CN"/>
        </w:rPr>
      </w:pPr>
      <w:r>
        <w:rPr>
          <w:rFonts w:hint="eastAsia"/>
          <w:color w:val="auto"/>
          <w:highlight w:val="none"/>
          <w:lang w:val="en-US" w:eastAsia="zh-CN"/>
        </w:rPr>
        <w:br w:type="page"/>
      </w:r>
    </w:p>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附2：</w:t>
      </w:r>
    </w:p>
    <w:tbl>
      <w:tblPr>
        <w:tblStyle w:val="49"/>
        <w:tblW w:w="144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1668"/>
        <w:gridCol w:w="3783"/>
        <w:gridCol w:w="701"/>
        <w:gridCol w:w="6766"/>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23" w:type="dxa"/>
            <w:gridSpan w:val="6"/>
            <w:vMerge w:val="restart"/>
            <w:tcBorders>
              <w:top w:val="nil"/>
              <w:left w:val="nil"/>
              <w:bottom w:val="nil"/>
              <w:right w:val="nil"/>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塘汇街道绿化养护日常工作绩效考评表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23" w:type="dxa"/>
            <w:gridSpan w:val="6"/>
            <w:vMerge w:val="continue"/>
            <w:tcBorders>
              <w:top w:val="nil"/>
              <w:left w:val="nil"/>
              <w:bottom w:val="nil"/>
              <w:right w:val="nil"/>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内容</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分值</w:t>
            </w:r>
          </w:p>
        </w:tc>
        <w:tc>
          <w:tcPr>
            <w:tcW w:w="6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标准</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队伍管理</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1.工作人员配置：按照招标文件要求，配置足额的工作人员；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2.行为文明规范：养护单位及其工作人员行为文明规范，不出现违反交通安全、城市管理等不文明行为</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1.街道每月至少一次组织进行工作人员到位情况突击核点人数到位情况，核点人数达到规定要求的，不扣分，核点人数与规定人数比少于1—3人的不扣分，3—5人的扣1分，5—10人的扣2分，10人以上的扣5分；                                                          2.被交警、执法等职能部门巡查反馈存在不文明违规违法行为的，每起扣0.2分，情节严重的，每起扣1分。</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量化指标完成</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对照《塘汇街道绿化养护项目招标文件》，完成招标文件中明确的量性工作指标</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根据绿化养护季节性特点及实际养护需要，街道每月对相应量性工作指标进行核定，每少完成一项的扣1分，要求后被及时整改的，加倍扣分。</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指令性专项工作</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严格落实街道下发各项指令性工作任务</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针对各项指令性工作任务，街道组织专项工作验收，超期完成，扣2分；验收中发现问题未全面整改到位的，每处扣1分；防汛抗台过程中出现重大工作失误的扣5分。</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工作资料整理</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按照区、街道相关要求，做好绿化养护工作记录报送，每月5号前上交上一个月的工作资料</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8"/>
              </w:numPr>
              <w:suppressLineNumbers w:val="0"/>
              <w:wordWrap/>
              <w:overflowPunct/>
              <w:topLinePunct w:val="0"/>
              <w:bidi w:val="0"/>
              <w:spacing w:line="36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资料超期报送的，每次扣1分；                                 </w:t>
            </w:r>
          </w:p>
          <w:p>
            <w:pPr>
              <w:keepNext w:val="0"/>
              <w:keepLines w:val="0"/>
              <w:pageBreakBefore w:val="0"/>
              <w:widowControl/>
              <w:numPr>
                <w:ilvl w:val="0"/>
                <w:numId w:val="0"/>
              </w:numPr>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2.对照要求，报送资料内容不全的，每缺1项扣1分。</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bl>
    <w:p>
      <w:pPr>
        <w:pStyle w:val="2"/>
        <w:rPr>
          <w:rFonts w:hint="eastAsia"/>
          <w:color w:val="auto"/>
          <w:highlight w:val="none"/>
          <w:lang w:val="en-US" w:eastAsia="zh-CN"/>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p>
    <w:tbl>
      <w:tblPr>
        <w:tblStyle w:val="49"/>
        <w:tblW w:w="90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891"/>
        <w:gridCol w:w="891"/>
        <w:gridCol w:w="2262"/>
        <w:gridCol w:w="953"/>
        <w:gridCol w:w="2592"/>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160" w:type="dxa"/>
            <w:gridSpan w:val="6"/>
            <w:tcBorders>
              <w:top w:val="nil"/>
              <w:left w:val="nil"/>
              <w:bottom w:val="nil"/>
              <w:right w:val="nil"/>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附3：</w:t>
            </w:r>
          </w:p>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塘汇街道绿化养护质量月度评分表</w:t>
            </w:r>
          </w:p>
        </w:tc>
        <w:tc>
          <w:tcPr>
            <w:tcW w:w="911" w:type="dxa"/>
            <w:tcBorders>
              <w:top w:val="nil"/>
              <w:left w:val="nil"/>
              <w:bottom w:val="nil"/>
              <w:right w:val="nil"/>
            </w:tcBorders>
            <w:noWrap/>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71" w:type="dxa"/>
            <w:gridSpan w:val="7"/>
            <w:tcBorders>
              <w:top w:val="nil"/>
              <w:left w:val="nil"/>
              <w:bottom w:val="nil"/>
              <w:right w:val="nil"/>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40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养护质量标准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标准分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考 核 标 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植物养护质量  </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总体质量</w:t>
            </w:r>
          </w:p>
        </w:tc>
        <w:tc>
          <w:tcPr>
            <w:tcW w:w="22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植物生长健壮，长势良好。                          一级：乔灌木成活率98%以上，乔灌木保存率100%；绿篱、色块完好率98%以上；草坪及地被植物整齐一致，覆盖率98 %以上。                              二级：乔灌木成活率98%以上，乔灌木保存率99%；绿篱、色块完好率95%以上；草坪及地被植物整齐一致，覆盖率95 %以上。                               三级：乔灌木成活率95%以上，乔灌木保存率98%；绿篱、色块完好率90%以上；草坪及地被植物整齐一致，覆盖率90%以上。</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植物长势一般,植物成活率、保存率、完好率、覆盖率未达到养护要求的，每低于1个百分点扣1分；在原有保存率的基础上，每增长1个百分点，加2分</w:t>
            </w:r>
          </w:p>
        </w:tc>
        <w:tc>
          <w:tcPr>
            <w:tcW w:w="9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left"/>
              <w:rPr>
                <w:rFonts w:hint="eastAsia" w:ascii="宋体" w:hAnsi="宋体" w:eastAsia="宋体" w:cs="宋体"/>
                <w:i w:val="0"/>
                <w:iCs w:val="0"/>
                <w:color w:val="auto"/>
                <w:sz w:val="18"/>
                <w:szCs w:val="18"/>
                <w:highlight w:val="none"/>
                <w:u w:val="none"/>
              </w:rPr>
            </w:pPr>
          </w:p>
        </w:tc>
        <w:tc>
          <w:tcPr>
            <w:tcW w:w="91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乔灌木(含行道树、古树名木)</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按树木生长习性进行修剪：修剪整齐、留枝均匀、疏密适度，剪口平滑</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修剪不及时发现一株扣1分；出现因修剪而产生的树皮拉伤现象每处扣1分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行道树、绿地内乔灌木无死树、死株现象；古树名木保护完好，无死株现象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发现有死树、死株未及时清除的每处扣1分；死亡苗木未及时补种的每处扣1分；补种苗木达不到原规格的每处扣1分；古树名木发现死株每处扣10分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植株无歪斜、倒伏现象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歪斜、倒伏植株不及时扶正的每处扣1分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树上无藤蔓、钉子，铁丝、电线等捆绑物及杂物</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发现树上有藤蔓、钉子，铁丝、电线等捆绑物及杂物处扣1分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行道树、古树名木、绿地内乔灌木无断枝、死枝及明显枯枝现象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绿地内发现有断枝、死枝、枯枝每处扣0.5分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每年11月完成树木冬季涂白</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涂白季节不涂白此项不得分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色块、绿篱、球类(含高挂箱)</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花灌木修剪及时、准确；色块、绿篱适期修剪，曲线润畅，轮廓明显，球类修剪圆整</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10%色块面积的枝条超过10cm，每处扣1分；色块灌木高度不一，曲线不流畅的，每次扣1分；观感质量达不到要求每处扣0.5分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球类无缺株，绿篱及色块无死亡、空缺，无脱脚现象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灌木球类有缺株的每处扣1分，绿篱及色块有死亡、空缺的每1㎡扣0.5分，有脱脚现象每处扣0.5分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无杂草、无苗木生长不良现象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色块、绿篱内杂草未拔除，每1m2扣0.5分、苗木明显生长不良每1m2扣0.5分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草坪、地被</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草坪、地被应长势良好，无黄化现象；草坪适时修剪，边缘清晰（切边整齐）</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草坪有黄化现象大于1 m2每1m2扣1分，草坪未及时修剪每处扣1分（草坪高度控制在10cm以内.）</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无杂草</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草坪、地被杂草未拔除，每1m2扣0.5分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草坪、地被无空缺，如有空缺应及时重播或重铺</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草坪、地被空缺面积超0.5m2每处扣1分，超2 m2 每处扣2分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干旱天气及时浇水，无因管理不善引起草坪、地被死亡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干旱天气及时浇水，因管理不善引起草坪、地被死亡的，每1m2扣1分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草花种植</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按照招标文件和养护合同要求进行布置</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面积未达到招标文件要求，每处扣1分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每年整体换花应不少于5次，做到四季有花。全年观赏期应不少于340天。每次换花期绿地表面裸露时间不得超过3天</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时花更换每少1次，扣5分；种植时间延迟的，每延迟1天扣0.1分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时花要求80%以上采用以f1代种子繁育的优质花苗；株型整齐，统一规格，同一品种株高、花色、冠径、花期等无明显差异。</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时花种苗不符合要求，每处扣0.5分；株型、花期有明细差异，每处扣0.5分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时花矮壮，生长健壮，开花及时，花量饱满，轮廓清晰、整齐美观；无倒伏、无残缺</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花卉植株生长不健壮，花色不艳丽，每处扣0.5分；采用无花苗或已过盛花期的花苗，每处扣0.5分；有缺株倒伏、残花，每处扣0.5分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草花覆盖率达98%以上；草花株行距适宜，无明显黄土裸露现象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草花覆盖率不足98%，株行距不适宜，造成黄土裸露，每处扣1分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设施维护</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园林建筑、小品、厕所等屋面、墙面、天花板等无渗漏；门窗、隔离板、灯具、洁具、水阀、电闸、电路等完好有效。</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园林建筑、小品、厕所等屋面、墙面、天花板等有渗漏每处扣0.5分；门窗、隔离板、灯具、洁具、水阀、电闸等有缺损，电路老化每处扣0.5分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公园绿地用电、用水、游乐和消防设施定期检查，确保安全运行</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发现安全隐患，扣2分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公园、绿地内路灯设施完好，正常照明，发现照明问题，及时联系相关部门进行修复</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未及时发现、上报照明问题，扣2分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指示牌、园路、园椅、石凳、花坛、古树名木维护设施等园林设施安全，保持完好率符合绿地养护标准，发现问题及时修复</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园林设施损坏，限期维修，不及时修复的，发现一处扣0.5分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园林建筑、小品等设施无尘土、蛛网、废弃物等</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园林建筑、小品等设施有尘土、蛛网、废弃物等，每处扣0.5分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亭、廊、花架及其它园林建构筑、小品等，每两年粉刷油漆一次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不粉刷油漆此项不得分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土肥管理</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根据植物生长特性及时施肥，充分利用有机肥，也可施复合肥，增强土壤肥力；绿地施肥一年不少于二次，每次施肥前应报园林管理处验收、备案</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绿地施肥期不施肥，此项不得分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根据天气情况和植物特性，适时浇水，及时抗旱、抗涝排水，无缺水枯死植株，无积水。</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未及时抗旱浇水、排涝，导致植物枯死，发生涝害，扣2分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病虫害防治</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提倡生物防治和综合防治；控制及时，无明显病虫害，对园林景观无影响，枝叶、树干受害率符合养护标准要求</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白蚁危害未上报的，每处扣1分；出现蚧壳虫、蚜虫、蛾类、天牛等重点害虫危害症状，每处扣1分；其他明显病害每处扣0.5分，出现100 m2以上病虫害的，每处扣3分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无加拿大一枝黄花等有害植物及影响生长的附着物</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发现加拿大一枝黄花等有害植物扣2分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卫生、保洁</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无焚烧现象，建筑小品设施保持清洁</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有发现焚烧枯枝、残枝、垃圾等现象扣2分。建筑小品等不清洁扣2分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明确园林垃圾处置方式及去向，不得随意丢弃</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有发现一次扣0.5分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每天保洁，及时清理绿地内垃圾、杂物，无建筑垃圾，无卫生死角</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发现有垃圾、杂物、建筑垃圾每处扣0.5分；垃圾拾后乱放每处扣1分；当天未及时清运每处扣1分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树木、色块、草坪修剪后的枝叶不乱丢、不残留，做到日产日清</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整枝修剪后，有枝叶残留的，每处扣0.5分；树枝乱放不及时清运每处扣0.5分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绿地内水池定期清理换水，水体无漂浮物</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水体不清洁，有漂浮物每处扣1分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绿地保护</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有故意被破坏现象及时制止或及时上报</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未及时制止或上报的扣2分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绿地内无停放车辆、进入车辆现象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有在绿地内停放车辆、进入车辆每次扣0.5分，及时向有关执法部门举报的可不扣分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绿地、园路、铺装上无设摊现象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有设摊现象每处扣0.5分，及时向有关执法部门举报的可不扣分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无绿地内违章设置悬挂物、广告现象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有违章设置广告现象每处扣0.5分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无乱堆乱放乱涂乱画乱钉乱刻，晾晒衣服等现象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有无乱堆乱放乱涂乱画乱钉乱刻，晾衣服现象每处扣0.5分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无侵占绿地、破坏绿地等现象</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有侵占绿地、破坏绿地的现象每处扣0.5分，及时向有关执法部门举报的可不扣分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养护人员</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项目主管、巡查人员、养护人员（按要求人数）到位</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项目主管、巡查人员不到位，每少一人次扣1分；养护人员不到位，每少一人次扣0.5分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巡查质量（巡查到位，及时发现问题）</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按照绿地养护标准，未及时发现问题的，每次扣0.5分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穿养护标志服</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不穿标志服， 每人次扣100元</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社会监督</w:t>
            </w: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群众来信、来电、来访举报，属实</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每次扣1分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媒体曝光，属实</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每次扣2分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数字城管交办单处理情况</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未及时处理的，每次扣0.5分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上级部门点名批评或扣分</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每次扣2分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3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相关部门表扬，属实</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i w:val="0"/>
                <w:iCs w:val="0"/>
                <w:color w:val="auto"/>
                <w:sz w:val="18"/>
                <w:szCs w:val="18"/>
                <w:highlight w:val="none"/>
                <w:u w:val="none"/>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加2分</w:t>
            </w:r>
          </w:p>
        </w:tc>
        <w:tc>
          <w:tcPr>
            <w:tcW w:w="9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bl>
    <w:p>
      <w:pPr>
        <w:pStyle w:val="2"/>
        <w:rPr>
          <w:rFonts w:hint="eastAsia"/>
          <w:color w:val="auto"/>
          <w:highlight w:val="none"/>
          <w:lang w:val="en-US" w:eastAsia="zh-CN"/>
        </w:rPr>
      </w:pPr>
    </w:p>
    <w:p>
      <w:pPr>
        <w:pStyle w:val="2"/>
        <w:rPr>
          <w:rFonts w:hint="eastAsia"/>
          <w:color w:val="auto"/>
          <w:highlight w:val="none"/>
          <w:lang w:val="en-US" w:eastAsia="zh-CN"/>
        </w:rPr>
      </w:pPr>
    </w:p>
    <w:p>
      <w:pPr>
        <w:rPr>
          <w:rFonts w:hint="eastAsia"/>
          <w:b/>
          <w:bCs/>
          <w:color w:val="auto"/>
          <w:sz w:val="28"/>
          <w:szCs w:val="28"/>
          <w:highlight w:val="none"/>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r>
        <w:rPr>
          <w:rFonts w:hint="eastAsia"/>
          <w:b/>
          <w:bCs/>
          <w:color w:val="auto"/>
          <w:sz w:val="28"/>
          <w:szCs w:val="28"/>
          <w:highlight w:val="none"/>
        </w:rPr>
        <w:br w:type="page"/>
      </w:r>
    </w:p>
    <w:tbl>
      <w:tblPr>
        <w:tblStyle w:val="49"/>
        <w:tblW w:w="143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1"/>
        <w:gridCol w:w="1792"/>
        <w:gridCol w:w="3473"/>
        <w:gridCol w:w="701"/>
        <w:gridCol w:w="6831"/>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43" w:type="dxa"/>
            <w:gridSpan w:val="6"/>
            <w:vMerge w:val="restart"/>
            <w:tcBorders>
              <w:top w:val="nil"/>
              <w:left w:val="nil"/>
              <w:bottom w:val="nil"/>
              <w:right w:val="nil"/>
            </w:tcBorders>
            <w:noWrap w:val="0"/>
            <w:vAlign w:val="center"/>
          </w:tcPr>
          <w:p>
            <w:pPr>
              <w:keepNext w:val="0"/>
              <w:keepLines w:val="0"/>
              <w:pageBreakBefore w:val="0"/>
              <w:widowControl/>
              <w:suppressLineNumbers w:val="0"/>
              <w:wordWrap/>
              <w:overflowPunct/>
              <w:topLinePunct w:val="0"/>
              <w:bidi w:val="0"/>
              <w:spacing w:line="360" w:lineRule="auto"/>
              <w:jc w:val="both"/>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附4：</w:t>
            </w:r>
          </w:p>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塘汇街道绿化养护城市精细化管理考核评分表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43" w:type="dxa"/>
            <w:gridSpan w:val="6"/>
            <w:vMerge w:val="continue"/>
            <w:tcBorders>
              <w:top w:val="nil"/>
              <w:left w:val="nil"/>
              <w:bottom w:val="nil"/>
              <w:right w:val="nil"/>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内容</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分值</w:t>
            </w:r>
          </w:p>
        </w:tc>
        <w:tc>
          <w:tcPr>
            <w:tcW w:w="6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标准</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1"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数字城管系统</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1、数字城管系统所涉及绿化养护区域案件按时处理；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2、每个单位按业主要求上报自查上传案件。</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1.每月数字城管系统所涉及绿化养护区域的案件需根据具体情况按时处理，处理不及时导致案件超时的每件扣0.5分，回复照片需同角度远景照片，回复照片不满足要求的每件扣0.2分；                                                          2.每个绿化养护单位需在数字城管系统每天上传自查案件，由城管办工作人员不定时登入账号查看，不满足要求导致街道考核扣分的情况下扣2分，出现错误上报案件的每件扣0.2分；</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市级面上查</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市级各类督办单、交办单</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市级每月不定时下发督办单、交办单的，有涉及所属绿化养护单位养护辖区内绿化养护的问题，按时整改完毕，每个扣0.05分，超时整改的，每个扣0.2分。</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市“四个一”专项检查</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市城管办每月组织考核人员进行检查考核</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市级每月对精细化片区进行检查考核，根据“席地可坐”城市客厅精品点、精细化管理样板路、精细化管理样板绿道、精细化管理样板街区各项分值平均值计算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区级巡查</w:t>
            </w:r>
          </w:p>
        </w:tc>
        <w:tc>
          <w:tcPr>
            <w:tcW w:w="3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区城管办每月组织检查人员对塘汇辖区进行巡查</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针对区城管办巡查问题有涉及所属绿化养护单位养护辖区的问题的按时整改，整改不及时的每个扣0.5分。</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i w:val="0"/>
                <w:iCs w:val="0"/>
                <w:color w:val="auto"/>
                <w:sz w:val="18"/>
                <w:szCs w:val="18"/>
                <w:highlight w:val="none"/>
                <w:u w:val="none"/>
              </w:rPr>
            </w:pPr>
          </w:p>
        </w:tc>
      </w:tr>
    </w:tbl>
    <w:p>
      <w:pPr>
        <w:pStyle w:val="2"/>
        <w:rPr>
          <w:rFonts w:hint="eastAsia"/>
          <w:color w:val="auto"/>
          <w:highlight w:val="none"/>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p>
    <w:p>
      <w:pPr>
        <w:pStyle w:val="2"/>
        <w:rPr>
          <w:rFonts w:hint="eastAsia"/>
          <w:color w:val="auto"/>
          <w:highlight w:val="none"/>
        </w:rPr>
      </w:pPr>
    </w:p>
    <w:p>
      <w:pPr>
        <w:jc w:val="center"/>
        <w:rPr>
          <w:rFonts w:hint="eastAsia"/>
          <w:b/>
          <w:bCs/>
          <w:color w:val="auto"/>
          <w:sz w:val="28"/>
          <w:szCs w:val="28"/>
          <w:highlight w:val="none"/>
        </w:rPr>
      </w:pPr>
      <w:r>
        <w:rPr>
          <w:rFonts w:hint="eastAsia"/>
          <w:b/>
          <w:bCs/>
          <w:color w:val="auto"/>
          <w:sz w:val="28"/>
          <w:szCs w:val="28"/>
          <w:highlight w:val="none"/>
        </w:rPr>
        <w:t>业主委派任务单（绿化有机更新）</w:t>
      </w:r>
    </w:p>
    <w:p>
      <w:pPr>
        <w:jc w:val="both"/>
        <w:rPr>
          <w:rFonts w:hint="eastAsia"/>
          <w:color w:val="auto"/>
          <w:highlight w:val="none"/>
          <w:lang w:val="en-US" w:eastAsia="zh-CN"/>
        </w:rPr>
      </w:pPr>
    </w:p>
    <w:p>
      <w:pPr>
        <w:jc w:val="both"/>
        <w:rPr>
          <w:rFonts w:hint="eastAsia"/>
          <w:color w:val="auto"/>
          <w:sz w:val="18"/>
          <w:szCs w:val="18"/>
          <w:highlight w:val="none"/>
          <w:lang w:val="en-US" w:eastAsia="zh-CN"/>
        </w:rPr>
      </w:pPr>
      <w:r>
        <w:rPr>
          <w:rFonts w:hint="eastAsia"/>
          <w:color w:val="auto"/>
          <w:sz w:val="18"/>
          <w:szCs w:val="18"/>
          <w:highlight w:val="none"/>
          <w:lang w:val="en-US" w:eastAsia="zh-CN"/>
        </w:rPr>
        <w:t>项目名称：</w:t>
      </w:r>
    </w:p>
    <w:p>
      <w:pPr>
        <w:jc w:val="both"/>
        <w:rPr>
          <w:rFonts w:hint="eastAsia"/>
          <w:color w:val="auto"/>
          <w:sz w:val="18"/>
          <w:szCs w:val="18"/>
          <w:highlight w:val="none"/>
          <w:lang w:val="en-US" w:eastAsia="zh-CN"/>
        </w:rPr>
      </w:pPr>
    </w:p>
    <w:p>
      <w:pPr>
        <w:jc w:val="both"/>
        <w:rPr>
          <w:rFonts w:hint="eastAsia"/>
          <w:color w:val="auto"/>
          <w:sz w:val="18"/>
          <w:szCs w:val="18"/>
          <w:highlight w:val="none"/>
          <w:lang w:val="en-US" w:eastAsia="zh-CN"/>
        </w:rPr>
      </w:pPr>
      <w:r>
        <w:rPr>
          <w:rFonts w:hint="eastAsia"/>
          <w:color w:val="auto"/>
          <w:sz w:val="18"/>
          <w:szCs w:val="18"/>
          <w:highlight w:val="none"/>
          <w:lang w:val="en-US" w:eastAsia="zh-CN"/>
        </w:rPr>
        <w:t>绿化养护单位：</w:t>
      </w:r>
    </w:p>
    <w:p>
      <w:pPr>
        <w:jc w:val="both"/>
        <w:rPr>
          <w:rFonts w:hint="eastAsia"/>
          <w:color w:val="auto"/>
          <w:sz w:val="18"/>
          <w:szCs w:val="18"/>
          <w:highlight w:val="non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3" w:hRule="atLeast"/>
        </w:trPr>
        <w:tc>
          <w:tcPr>
            <w:tcW w:w="9196" w:type="dxa"/>
            <w:gridSpan w:val="3"/>
            <w:noWrap w:val="0"/>
            <w:vAlign w:val="top"/>
          </w:tcPr>
          <w:p>
            <w:pPr>
              <w:jc w:val="both"/>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绿化有机更新地点：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9196" w:type="dxa"/>
            <w:gridSpan w:val="3"/>
            <w:noWrap w:val="0"/>
            <w:vAlign w:val="top"/>
          </w:tcPr>
          <w:p>
            <w:pPr>
              <w:jc w:val="both"/>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绿化有机更新范围：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9196" w:type="dxa"/>
            <w:gridSpan w:val="3"/>
            <w:noWrap w:val="0"/>
            <w:vAlign w:val="top"/>
          </w:tcPr>
          <w:p>
            <w:pPr>
              <w:jc w:val="both"/>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绿化有机更新内容：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839" w:type="dxa"/>
            <w:noWrap w:val="0"/>
            <w:vAlign w:val="top"/>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经办人：</w:t>
            </w:r>
          </w:p>
          <w:p>
            <w:pPr>
              <w:jc w:val="both"/>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（签字）</w:t>
            </w:r>
          </w:p>
        </w:tc>
        <w:tc>
          <w:tcPr>
            <w:tcW w:w="2840" w:type="dxa"/>
            <w:noWrap w:val="0"/>
            <w:vAlign w:val="top"/>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部门负责人：</w:t>
            </w:r>
          </w:p>
          <w:p>
            <w:pPr>
              <w:jc w:val="both"/>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（签字）</w:t>
            </w:r>
          </w:p>
        </w:tc>
        <w:tc>
          <w:tcPr>
            <w:tcW w:w="3517" w:type="dxa"/>
            <w:noWrap w:val="0"/>
            <w:vAlign w:val="top"/>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街道分管领导意见：</w:t>
            </w:r>
          </w:p>
          <w:p>
            <w:pPr>
              <w:jc w:val="both"/>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（签字）</w:t>
            </w:r>
          </w:p>
        </w:tc>
      </w:tr>
    </w:tbl>
    <w:p>
      <w:pPr>
        <w:rPr>
          <w:rFonts w:hint="default"/>
          <w:color w:val="auto"/>
          <w:highlight w:val="none"/>
          <w:lang w:val="en-US" w:eastAsia="zh-CN"/>
        </w:rPr>
      </w:pPr>
      <w:r>
        <w:rPr>
          <w:rFonts w:hint="default"/>
          <w:color w:val="auto"/>
          <w:highlight w:val="none"/>
          <w:lang w:val="en-US" w:eastAsia="zh-CN"/>
        </w:rPr>
        <w:br w:type="page"/>
      </w:r>
    </w:p>
    <w:p>
      <w:pPr>
        <w:rPr>
          <w:rFonts w:hint="default"/>
          <w:color w:val="auto"/>
          <w:highlight w:val="none"/>
          <w:lang w:val="en-US" w:eastAsia="zh-CN"/>
        </w:rPr>
      </w:pPr>
    </w:p>
    <w:p>
      <w:pPr>
        <w:pStyle w:val="3"/>
        <w:bidi w:val="0"/>
        <w:spacing w:line="360" w:lineRule="auto"/>
        <w:rPr>
          <w:rFonts w:hint="eastAsia" w:ascii="Calibri" w:hAnsi="Calibri" w:eastAsia="宋体" w:cs="Times New Roman"/>
          <w:b/>
          <w:bCs/>
          <w:color w:val="auto"/>
          <w:kern w:val="2"/>
          <w:sz w:val="28"/>
          <w:szCs w:val="28"/>
          <w:highlight w:val="none"/>
          <w:lang w:val="en-US" w:eastAsia="zh-CN" w:bidi="ar-SA"/>
        </w:rPr>
      </w:pPr>
      <w:r>
        <w:rPr>
          <w:rFonts w:hint="eastAsia" w:ascii="Calibri" w:hAnsi="Calibri" w:eastAsia="宋体" w:cs="Times New Roman"/>
          <w:b/>
          <w:bCs/>
          <w:color w:val="auto"/>
          <w:kern w:val="2"/>
          <w:sz w:val="28"/>
          <w:szCs w:val="28"/>
          <w:highlight w:val="none"/>
          <w:lang w:val="en-US" w:eastAsia="zh-CN" w:bidi="ar-SA"/>
        </w:rPr>
        <w:t>智能工牌参数要求</w:t>
      </w:r>
    </w:p>
    <w:tbl>
      <w:tblPr>
        <w:tblStyle w:val="4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13"/>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41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  目</w:t>
            </w:r>
          </w:p>
        </w:tc>
        <w:tc>
          <w:tcPr>
            <w:tcW w:w="537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41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通信频率</w:t>
            </w:r>
          </w:p>
        </w:tc>
        <w:tc>
          <w:tcPr>
            <w:tcW w:w="5372" w:type="dxa"/>
            <w:vAlign w:val="center"/>
          </w:tcPr>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LTE-TDD:B34/B38/B39/B40/B41</w:t>
            </w:r>
          </w:p>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LTE-FDD:B1/B3/B5/B8</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GSM:900/1800MHz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41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运营商</w:t>
            </w:r>
          </w:p>
        </w:tc>
        <w:tc>
          <w:tcPr>
            <w:tcW w:w="5372" w:type="dxa"/>
            <w:vAlign w:val="center"/>
          </w:tcPr>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电信/移动/联通全网通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9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413" w:type="dxa"/>
            <w:vAlign w:val="center"/>
          </w:tcPr>
          <w:p>
            <w:pPr>
              <w:widowControl/>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定位模式</w:t>
            </w:r>
          </w:p>
        </w:tc>
        <w:tc>
          <w:tcPr>
            <w:tcW w:w="5372" w:type="dxa"/>
            <w:vAlign w:val="center"/>
          </w:tcPr>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WIFI+北斗+GPS+基站+蓝牙信标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9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413" w:type="dxa"/>
            <w:vAlign w:val="center"/>
          </w:tcPr>
          <w:p>
            <w:pPr>
              <w:widowControl/>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震动检测</w:t>
            </w:r>
          </w:p>
        </w:tc>
        <w:tc>
          <w:tcPr>
            <w:tcW w:w="5372" w:type="dxa"/>
            <w:vAlign w:val="center"/>
          </w:tcPr>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支持，自适应休眠省电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413" w:type="dxa"/>
            <w:vAlign w:val="center"/>
          </w:tcPr>
          <w:p>
            <w:pPr>
              <w:widowControl/>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SIM卡座</w:t>
            </w:r>
          </w:p>
        </w:tc>
        <w:tc>
          <w:tcPr>
            <w:tcW w:w="5372" w:type="dxa"/>
            <w:vAlign w:val="bottom"/>
          </w:tcPr>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Nano小卡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41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工作温度</w:t>
            </w:r>
          </w:p>
        </w:tc>
        <w:tc>
          <w:tcPr>
            <w:tcW w:w="5372" w:type="dxa"/>
            <w:vAlign w:val="center"/>
          </w:tcPr>
          <w:p>
            <w:pPr>
              <w:widowControl/>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2413"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产品尺寸</w:t>
            </w:r>
          </w:p>
        </w:tc>
        <w:tc>
          <w:tcPr>
            <w:tcW w:w="5372" w:type="dxa"/>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尺寸&lt;</w:t>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65</w:t>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241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按键功能</w:t>
            </w:r>
          </w:p>
        </w:tc>
        <w:tc>
          <w:tcPr>
            <w:tcW w:w="5372" w:type="dxa"/>
            <w:vAlign w:val="center"/>
          </w:tcPr>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支持上下班打卡，支持SOS报警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2413" w:type="dxa"/>
            <w:vAlign w:val="center"/>
          </w:tcPr>
          <w:p>
            <w:pPr>
              <w:pStyle w:val="98"/>
              <w:numPr>
                <w:ilvl w:val="0"/>
                <w:numId w:val="0"/>
              </w:num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w:t>
            </w:r>
            <w:r>
              <w:rPr>
                <w:rFonts w:hint="eastAsia" w:ascii="宋体" w:hAnsi="宋体" w:eastAsia="宋体" w:cs="宋体"/>
                <w:color w:val="auto"/>
                <w:sz w:val="18"/>
                <w:szCs w:val="18"/>
                <w:highlight w:val="none"/>
              </w:rPr>
              <w:t>追踪模式</w:t>
            </w:r>
          </w:p>
        </w:tc>
        <w:tc>
          <w:tcPr>
            <w:tcW w:w="5372" w:type="dxa"/>
            <w:vAlign w:val="center"/>
          </w:tcPr>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带在身上/有震动：支持120秒或更短时间上报位置数据，支持批量定位数据上报；</w:t>
            </w:r>
          </w:p>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放桌面/无震动：每5分钟或更久上报一次静止前的北斗定位位置，且保持网络在线。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41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同行监测</w:t>
            </w:r>
          </w:p>
        </w:tc>
        <w:tc>
          <w:tcPr>
            <w:tcW w:w="5372" w:type="dxa"/>
            <w:vAlign w:val="center"/>
          </w:tcPr>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设备支持感应周边一定范围内同行设备，并上报平台，避免“一人多设备”情况。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241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指令要求</w:t>
            </w:r>
          </w:p>
        </w:tc>
        <w:tc>
          <w:tcPr>
            <w:tcW w:w="5372" w:type="dxa"/>
            <w:vAlign w:val="center"/>
          </w:tcPr>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设置指令可以通过短信、串口以及平台下发方式对设备内参数进行设置。</w:t>
            </w:r>
          </w:p>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修改IP端口：#2014*SET*T:www.xxx.net,8888# 设置设备连接平台的IP及端口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2413"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平台对接</w:t>
            </w:r>
          </w:p>
        </w:tc>
        <w:tc>
          <w:tcPr>
            <w:tcW w:w="5372" w:type="dxa"/>
            <w:vAlign w:val="center"/>
          </w:tcPr>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支持通过网络API与“嘉兴经开区智慧园林管理系统”进行数据和指令交互</w:t>
            </w:r>
          </w:p>
        </w:tc>
      </w:tr>
    </w:tbl>
    <w:p>
      <w:pPr>
        <w:pStyle w:val="2"/>
        <w:rPr>
          <w:rFonts w:hint="default"/>
          <w:color w:val="auto"/>
          <w:highlight w:val="none"/>
          <w:lang w:val="en-US"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tbl>
      <w:tblPr>
        <w:tblStyle w:val="49"/>
        <w:tblW w:w="14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32"/>
                <w:szCs w:val="32"/>
                <w:highlight w:val="none"/>
                <w:u w:val="none"/>
                <w:lang w:val="en-US" w:eastAsia="zh-CN" w:bidi="ar"/>
              </w:rPr>
              <w:t>苗木清单表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4" w:hRule="atLeast"/>
        </w:trPr>
        <w:tc>
          <w:tcPr>
            <w:tcW w:w="14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1、网红苗木</w:t>
            </w:r>
            <w:r>
              <w:rPr>
                <w:rFonts w:hint="eastAsia" w:ascii="宋体" w:hAnsi="宋体" w:eastAsia="宋体" w:cs="宋体"/>
                <w:color w:val="auto"/>
                <w:sz w:val="18"/>
                <w:szCs w:val="18"/>
                <w:highlight w:val="none"/>
                <w:lang w:eastAsia="zh-CN"/>
              </w:rPr>
              <w:t>包括但不限于：粉黛乱子草、蓝羊茅、墨西哥羽毛草、兔尾草、小盼草、坡地毛冠草、紫叶狼尾草、矮蒲苇、玉带草、亮晶女贞等</w:t>
            </w:r>
          </w:p>
          <w:p>
            <w:pPr>
              <w:pStyle w:val="2"/>
              <w:numPr>
                <w:ilvl w:val="0"/>
                <w:numId w:val="0"/>
              </w:num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2、花镜植物包括但不限于：亮晶女贞棒棒糖、狐尾天门冬、绣球、鸡爪槭、一叶兰、黄金枫、金叶石菖蒲、金边风尾兰、墨西哥羽毛草等</w:t>
            </w:r>
          </w:p>
          <w:p>
            <w:pPr>
              <w:pStyle w:val="2"/>
              <w:numPr>
                <w:ilvl w:val="0"/>
                <w:numId w:val="0"/>
              </w:numP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3、草花品种包括但不限于：一叶兰、万寿菊、一品红、雏菊、天竺葵、百日草、超级风仙“桑蓓斯”、大花海棠“比哥”、角堇”珍品”等</w:t>
            </w:r>
          </w:p>
        </w:tc>
      </w:tr>
    </w:tbl>
    <w:p>
      <w:pPr>
        <w:spacing w:line="260" w:lineRule="exact"/>
        <w:ind w:firstLine="360" w:firstLineChars="200"/>
        <w:rPr>
          <w:rFonts w:hint="default" w:ascii="宋体" w:hAnsi="宋体" w:cs="宋体"/>
          <w:color w:val="auto"/>
          <w:sz w:val="18"/>
          <w:szCs w:val="18"/>
          <w:highlight w:val="none"/>
          <w:lang w:val="en-US" w:eastAsia="zh-CN"/>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r>
        <w:rPr>
          <w:rFonts w:hint="eastAsia" w:ascii="宋体" w:hAnsi="宋体" w:cs="宋体"/>
          <w:color w:val="auto"/>
          <w:sz w:val="18"/>
          <w:szCs w:val="18"/>
          <w:highlight w:val="none"/>
          <w:lang w:val="en-US" w:eastAsia="zh-CN"/>
        </w:rPr>
        <w:t>注：具体品种以采购人要求为准。</w:t>
      </w: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第三章 供应商须知</w:t>
      </w: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电子交易注意事项</w:t>
      </w:r>
    </w:p>
    <w:p>
      <w:pPr>
        <w:spacing w:line="360" w:lineRule="auto"/>
        <w:ind w:firstLine="180" w:firstLineChars="100"/>
        <w:jc w:val="left"/>
        <w:rPr>
          <w:rFonts w:cs="宋体" w:asciiTheme="minorEastAsia" w:hAnsiTheme="minorEastAsia" w:eastAsiaTheme="minorEastAsia"/>
          <w:color w:val="auto"/>
          <w:sz w:val="18"/>
          <w:szCs w:val="18"/>
          <w:highlight w:val="none"/>
          <w:shd w:val="clear" w:color="auto" w:fill="FFFFFF"/>
        </w:rPr>
      </w:pPr>
      <w:r>
        <w:rPr>
          <w:rFonts w:hint="eastAsia" w:cs="宋体" w:asciiTheme="minorEastAsia" w:hAnsiTheme="minorEastAsia" w:eastAsiaTheme="minorEastAsia"/>
          <w:color w:val="auto"/>
          <w:sz w:val="18"/>
          <w:szCs w:val="18"/>
          <w:highlight w:val="none"/>
          <w:shd w:val="clear" w:color="auto" w:fill="FFFFFF"/>
        </w:rPr>
        <w:t>　政府采购项目电子交易活动适用《浙江省政府采购项目电子交易管理暂行办法》，现将相关注意事项告知如下：</w:t>
      </w:r>
    </w:p>
    <w:p>
      <w:pPr>
        <w:spacing w:line="360" w:lineRule="auto"/>
        <w:ind w:firstLine="180" w:firstLineChars="100"/>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　1.代理机构按照招标文件规定的时间通过电子交易平台组织开标、开启投标文件，所有供应商均应当准时在线参加，直至评审结束。</w:t>
      </w:r>
    </w:p>
    <w:p>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2.投标文件未按时解密，供应商如提供备份投标文件的，以符合要求的备份投标文件作为依据，否则视为投标文件撤回。投标文件已按时解密的，备份投标文件自动失效。</w:t>
      </w:r>
    </w:p>
    <w:p>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3.采购过程中出现以下情形，导致电子交易平台无法正常运行，或者无法保证电子交易的公平、公正和安全时，代理机构可中止电子交易活动：</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（一）电子交易平台发生故障而无法登录访问的； </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（二）电子交易平台应用或数据库出现错误，不能进行正常操作的；</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（三）电子交易平台发现严重安全漏洞，有潜在泄密危险的；</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（四）病毒发作导致不能进行正常操作的； </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（五）其他无法保证电子交易的公平、公正和安全的情况。</w:t>
      </w:r>
    </w:p>
    <w:p>
      <w:pPr>
        <w:pStyle w:val="45"/>
        <w:spacing w:beforeAutospacing="0" w:afterAutospacing="0" w:line="360" w:lineRule="auto"/>
        <w:ind w:firstLine="48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pPr>
        <w:pStyle w:val="45"/>
        <w:spacing w:beforeAutospacing="0" w:afterAutospacing="0" w:line="360" w:lineRule="auto"/>
        <w:ind w:firstLine="480"/>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30"/>
        <w:snapToGrid w:val="0"/>
        <w:spacing w:before="120" w:after="120" w:line="360" w:lineRule="auto"/>
        <w:ind w:firstLine="361" w:firstLineChars="200"/>
        <w:rPr>
          <w:rFonts w:cs="宋体" w:asciiTheme="minorEastAsia" w:hAnsiTheme="minorEastAsia" w:eastAsiaTheme="minorEastAsia"/>
          <w:b/>
          <w:color w:val="auto"/>
          <w:kern w:val="0"/>
          <w:sz w:val="18"/>
          <w:szCs w:val="18"/>
          <w:highlight w:val="none"/>
          <w:shd w:val="clear" w:color="auto" w:fill="FFFFFF"/>
        </w:rPr>
      </w:pPr>
      <w:r>
        <w:rPr>
          <w:rFonts w:hint="eastAsia" w:cs="宋体" w:asciiTheme="minorEastAsia" w:hAnsiTheme="minorEastAsia" w:eastAsiaTheme="minorEastAsia"/>
          <w:b/>
          <w:color w:val="auto"/>
          <w:kern w:val="0"/>
          <w:sz w:val="18"/>
          <w:szCs w:val="18"/>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18"/>
          <w:szCs w:val="18"/>
          <w:highlight w:val="none"/>
          <w:shd w:val="clear" w:color="auto" w:fill="FFFFFF"/>
        </w:rPr>
        <w:t>。　　　　　</w:t>
      </w:r>
    </w:p>
    <w:p>
      <w:pPr>
        <w:spacing w:line="260" w:lineRule="exact"/>
        <w:ind w:firstLine="361" w:firstLineChars="200"/>
        <w:rPr>
          <w:rFonts w:hint="eastAsia" w:ascii="宋体" w:hAnsi="宋体" w:cs="宋体"/>
          <w:color w:val="auto"/>
          <w:sz w:val="18"/>
          <w:szCs w:val="18"/>
          <w:highlight w:val="none"/>
          <w:lang w:val="en-US"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r>
        <w:rPr>
          <w:rFonts w:hint="eastAsia" w:cs="宋体" w:asciiTheme="minorEastAsia" w:hAnsiTheme="minorEastAsia" w:eastAsiaTheme="minorEastAsia"/>
          <w:b/>
          <w:color w:val="auto"/>
          <w:kern w:val="0"/>
          <w:sz w:val="18"/>
          <w:szCs w:val="18"/>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bookmarkEnd w:id="2"/>
    <w:p>
      <w:pPr>
        <w:snapToGrid w:val="0"/>
        <w:spacing w:beforeLines="50" w:afterLines="50"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Theme="minorEastAsia" w:hAnsiTheme="minorEastAsia" w:eastAsiaTheme="minorEastAsia"/>
                <w:b/>
                <w:color w:val="auto"/>
                <w:sz w:val="18"/>
                <w:szCs w:val="18"/>
                <w:highlight w:val="none"/>
                <w:lang w:eastAsia="zh"/>
              </w:rPr>
            </w:pPr>
            <w:r>
              <w:rPr>
                <w:rFonts w:hint="eastAsia" w:asciiTheme="minorEastAsia" w:hAnsiTheme="minorEastAsia" w:eastAsiaTheme="minorEastAsia"/>
                <w:color w:val="auto"/>
                <w:sz w:val="18"/>
                <w:szCs w:val="18"/>
                <w:highlight w:val="none"/>
              </w:rPr>
              <w:t>项目名称：</w:t>
            </w:r>
            <w:r>
              <w:rPr>
                <w:rFonts w:hint="eastAsia" w:asciiTheme="minorEastAsia" w:hAnsiTheme="minorEastAsia" w:eastAsiaTheme="minorEastAsia"/>
                <w:bCs/>
                <w:color w:val="auto"/>
                <w:sz w:val="18"/>
                <w:szCs w:val="18"/>
                <w:highlight w:val="none"/>
                <w:lang w:eastAsia="zh"/>
              </w:rPr>
              <w:t>塘汇街道2024-2025年度绿化养护项目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采购内容：</w:t>
            </w:r>
            <w:r>
              <w:rPr>
                <w:rFonts w:asciiTheme="minorEastAsia" w:hAnsiTheme="minorEastAsia" w:eastAsiaTheme="minorEastAsia"/>
                <w:bCs/>
                <w:color w:val="auto"/>
                <w:sz w:val="18"/>
                <w:szCs w:val="18"/>
                <w:highlight w:val="none"/>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投标报价及费用：</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、本项目投标应以人民币报价；</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现场踏勘：无</w:t>
            </w:r>
            <w:r>
              <w:rPr>
                <w:rFonts w:asciiTheme="minorEastAsia" w:hAnsiTheme="minorEastAsia" w:eastAsiaTheme="minor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开标时间及地点：</w:t>
            </w:r>
            <w:r>
              <w:rPr>
                <w:rFonts w:hint="eastAsia" w:cs="Arial" w:asciiTheme="minorEastAsia" w:hAnsiTheme="minorEastAsia" w:eastAsiaTheme="minorEastAsia"/>
                <w:b/>
                <w:color w:val="auto"/>
                <w:sz w:val="18"/>
                <w:szCs w:val="18"/>
                <w:highlight w:val="none"/>
                <w:lang w:eastAsia="zh-CN"/>
              </w:rPr>
              <w:t>202</w:t>
            </w:r>
            <w:r>
              <w:rPr>
                <w:rFonts w:hint="eastAsia" w:cs="Arial" w:asciiTheme="minorEastAsia" w:hAnsiTheme="minorEastAsia" w:eastAsiaTheme="minorEastAsia"/>
                <w:b/>
                <w:color w:val="auto"/>
                <w:sz w:val="18"/>
                <w:szCs w:val="18"/>
                <w:highlight w:val="none"/>
                <w:lang w:val="en-US" w:eastAsia="zh-CN"/>
              </w:rPr>
              <w:t>3</w:t>
            </w:r>
            <w:r>
              <w:rPr>
                <w:rFonts w:hint="eastAsia" w:cs="Arial" w:asciiTheme="minorEastAsia" w:hAnsiTheme="minorEastAsia" w:eastAsiaTheme="minorEastAsia"/>
                <w:b/>
                <w:color w:val="auto"/>
                <w:sz w:val="18"/>
                <w:szCs w:val="18"/>
                <w:highlight w:val="none"/>
                <w:lang w:eastAsia="zh-CN"/>
              </w:rPr>
              <w:t>年</w:t>
            </w:r>
            <w:r>
              <w:rPr>
                <w:rFonts w:hint="eastAsia" w:cs="Arial" w:asciiTheme="minorEastAsia" w:hAnsiTheme="minorEastAsia" w:eastAsiaTheme="minorEastAsia"/>
                <w:b/>
                <w:color w:val="auto"/>
                <w:sz w:val="18"/>
                <w:szCs w:val="18"/>
                <w:highlight w:val="none"/>
                <w:lang w:val="en-US" w:eastAsia="zh-CN"/>
              </w:rPr>
              <w:t>12</w:t>
            </w:r>
            <w:r>
              <w:rPr>
                <w:rFonts w:hint="eastAsia" w:cs="Arial" w:asciiTheme="minorEastAsia" w:hAnsiTheme="minorEastAsia" w:eastAsiaTheme="minorEastAsia"/>
                <w:b/>
                <w:color w:val="auto"/>
                <w:sz w:val="18"/>
                <w:szCs w:val="18"/>
                <w:highlight w:val="none"/>
                <w:lang w:eastAsia="zh-CN"/>
              </w:rPr>
              <w:t>月</w:t>
            </w:r>
            <w:r>
              <w:rPr>
                <w:rFonts w:hint="eastAsia" w:cs="Arial" w:asciiTheme="minorEastAsia" w:hAnsiTheme="minorEastAsia" w:eastAsiaTheme="minorEastAsia"/>
                <w:b/>
                <w:color w:val="auto"/>
                <w:sz w:val="18"/>
                <w:szCs w:val="18"/>
                <w:highlight w:val="none"/>
                <w:lang w:val="en-US" w:eastAsia="zh-CN"/>
              </w:rPr>
              <w:t>26</w:t>
            </w:r>
            <w:bookmarkStart w:id="114" w:name="_GoBack"/>
            <w:bookmarkEnd w:id="114"/>
            <w:r>
              <w:rPr>
                <w:rFonts w:hint="eastAsia" w:cs="Arial" w:asciiTheme="minorEastAsia" w:hAnsiTheme="minorEastAsia" w:eastAsiaTheme="minorEastAsia"/>
                <w:b/>
                <w:color w:val="auto"/>
                <w:sz w:val="18"/>
                <w:szCs w:val="18"/>
                <w:highlight w:val="none"/>
                <w:lang w:eastAsia="zh-CN"/>
              </w:rPr>
              <w:t>日</w:t>
            </w:r>
            <w:r>
              <w:rPr>
                <w:rFonts w:hint="eastAsia" w:cs="Arial" w:asciiTheme="minorEastAsia" w:hAnsiTheme="minorEastAsia" w:eastAsiaTheme="minorEastAsia"/>
                <w:b/>
                <w:color w:val="auto"/>
                <w:sz w:val="18"/>
                <w:szCs w:val="18"/>
                <w:highlight w:val="none"/>
                <w:lang w:val="en-US" w:eastAsia="zh-CN"/>
              </w:rPr>
              <w:t>9</w:t>
            </w:r>
            <w:r>
              <w:rPr>
                <w:rFonts w:cs="Arial" w:asciiTheme="minorEastAsia" w:hAnsiTheme="minorEastAsia" w:eastAsiaTheme="minorEastAsia"/>
                <w:b/>
                <w:color w:val="auto"/>
                <w:sz w:val="18"/>
                <w:szCs w:val="18"/>
                <w:highlight w:val="none"/>
              </w:rPr>
              <w:t>时</w:t>
            </w:r>
            <w:r>
              <w:rPr>
                <w:rFonts w:hint="eastAsia" w:cs="Arial" w:asciiTheme="minorEastAsia" w:hAnsiTheme="minorEastAsia" w:eastAsiaTheme="minorEastAsia"/>
                <w:b/>
                <w:color w:val="auto"/>
                <w:sz w:val="18"/>
                <w:szCs w:val="18"/>
                <w:highlight w:val="none"/>
                <w:lang w:val="en-US" w:eastAsia="zh-CN"/>
              </w:rPr>
              <w:t>3</w:t>
            </w:r>
            <w:r>
              <w:rPr>
                <w:rFonts w:hint="eastAsia" w:cs="Arial" w:asciiTheme="minorEastAsia" w:hAnsiTheme="minorEastAsia" w:eastAsiaTheme="minorEastAsia"/>
                <w:b/>
                <w:color w:val="auto"/>
                <w:sz w:val="18"/>
                <w:szCs w:val="18"/>
                <w:highlight w:val="none"/>
              </w:rPr>
              <w:t>0</w:t>
            </w:r>
            <w:r>
              <w:rPr>
                <w:rFonts w:cs="Arial" w:asciiTheme="minorEastAsia" w:hAnsiTheme="minorEastAsia" w:eastAsiaTheme="minorEastAsia"/>
                <w:b/>
                <w:color w:val="auto"/>
                <w:sz w:val="18"/>
                <w:szCs w:val="18"/>
                <w:highlight w:val="none"/>
              </w:rPr>
              <w:t>分</w:t>
            </w:r>
            <w:r>
              <w:rPr>
                <w:rFonts w:hint="eastAsia" w:ascii="宋体" w:hAnsi="宋体" w:cs="Arial" w:eastAsiaTheme="minorEastAsia"/>
                <w:color w:val="auto"/>
                <w:sz w:val="18"/>
                <w:szCs w:val="18"/>
                <w:highlight w:val="none"/>
              </w:rPr>
              <w:t>嘉兴市银建工程咨询评估有限公司</w:t>
            </w:r>
            <w:r>
              <w:rPr>
                <w:rFonts w:hint="eastAsia" w:ascii="宋体" w:hAnsi="宋体" w:cs="Arial"/>
                <w:color w:val="auto"/>
                <w:sz w:val="18"/>
                <w:szCs w:val="18"/>
                <w:highlight w:val="none"/>
              </w:rPr>
              <w:t>（嘉兴市洪兴路2399号宝地大厦1506室）</w:t>
            </w:r>
            <w:r>
              <w:rPr>
                <w:rFonts w:hint="eastAsia" w:cs="Arial" w:asciiTheme="minorEastAsia" w:hAnsiTheme="minorEastAsia" w:eastAsiaTheme="minorEastAsia"/>
                <w:color w:val="auto"/>
                <w:sz w:val="18"/>
                <w:szCs w:val="18"/>
                <w:highlight w:val="none"/>
              </w:rPr>
              <w:t>。</w:t>
            </w:r>
            <w:r>
              <w:rPr>
                <w:rFonts w:hint="eastAsia" w:cs="Arial" w:asciiTheme="minorEastAsia" w:hAnsiTheme="minorEastAsia" w:eastAsiaTheme="minorEastAsia"/>
                <w:b/>
                <w:color w:val="auto"/>
                <w:sz w:val="18"/>
                <w:szCs w:val="18"/>
                <w:highlight w:val="none"/>
                <w:u w:val="single"/>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中标公告及中标通知书：中标公告发布于上述媒体，</w:t>
            </w:r>
            <w:r>
              <w:rPr>
                <w:rFonts w:hint="eastAsia" w:cs="宋体" w:asciiTheme="minorEastAsia" w:hAnsiTheme="minorEastAsia" w:eastAsiaTheme="minorEastAsia"/>
                <w:color w:val="auto"/>
                <w:kern w:val="0"/>
                <w:sz w:val="18"/>
                <w:szCs w:val="18"/>
                <w:highlight w:val="none"/>
              </w:rPr>
              <w:t>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履约保证金:</w:t>
            </w:r>
            <w:r>
              <w:rPr>
                <w:rFonts w:hint="eastAsia" w:cs="宋体" w:asciiTheme="minorEastAsia" w:hAnsiTheme="minorEastAsia" w:eastAsiaTheme="minorEastAsia"/>
                <w:color w:val="auto"/>
                <w:sz w:val="18"/>
                <w:szCs w:val="18"/>
                <w:highlight w:val="none"/>
                <w:lang w:eastAsia="zh-CN"/>
              </w:rPr>
              <w:t>签订合同价的</w:t>
            </w:r>
            <w:r>
              <w:rPr>
                <w:rFonts w:hint="eastAsia" w:cs="宋体" w:asciiTheme="minorEastAsia" w:hAnsiTheme="minorEastAsia" w:eastAsiaTheme="minorEastAsia"/>
                <w:color w:val="auto"/>
                <w:sz w:val="18"/>
                <w:szCs w:val="18"/>
                <w:highlight w:val="none"/>
                <w:lang w:val="en-US" w:eastAsia="zh-CN"/>
              </w:rPr>
              <w:t>1%</w:t>
            </w:r>
            <w:r>
              <w:rPr>
                <w:rFonts w:hint="eastAsia" w:cs="宋体" w:asciiTheme="minorEastAsia" w:hAnsiTheme="minorEastAsia" w:eastAsiaTheme="minor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签订合同时间：中标通知书发出后10日内。</w:t>
            </w:r>
            <w:r>
              <w:rPr>
                <w:rFonts w:hint="eastAsia" w:cs="宋体" w:asciiTheme="minorEastAsia" w:hAnsiTheme="minorEastAsia" w:eastAsiaTheme="minorEastAsia"/>
                <w:color w:val="auto"/>
                <w:kern w:val="0"/>
                <w:sz w:val="18"/>
                <w:szCs w:val="18"/>
                <w:highlight w:val="none"/>
              </w:rPr>
              <w:t>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最高限价：</w:t>
            </w:r>
          </w:p>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lang w:val="en-US" w:eastAsia="zh-CN"/>
              </w:rPr>
            </w:pPr>
            <w:r>
              <w:rPr>
                <w:rFonts w:hint="eastAsia" w:asciiTheme="minorEastAsia" w:hAnsiTheme="minorEastAsia" w:eastAsiaTheme="minorEastAsia"/>
                <w:b/>
                <w:color w:val="auto"/>
                <w:sz w:val="18"/>
                <w:szCs w:val="18"/>
                <w:highlight w:val="none"/>
                <w:lang w:val="en-US" w:eastAsia="zh-CN"/>
              </w:rPr>
              <w:t>标段一：9459569元</w:t>
            </w:r>
          </w:p>
          <w:p>
            <w:pPr>
              <w:autoSpaceDE w:val="0"/>
              <w:autoSpaceDN w:val="0"/>
              <w:snapToGrid w:val="0"/>
              <w:spacing w:line="360" w:lineRule="auto"/>
              <w:textAlignment w:val="bottom"/>
              <w:rPr>
                <w:rFonts w:hint="eastAsia"/>
                <w:color w:val="auto"/>
                <w:highlight w:val="none"/>
              </w:rPr>
            </w:pPr>
            <w:r>
              <w:rPr>
                <w:rFonts w:hint="eastAsia" w:asciiTheme="minorEastAsia" w:hAnsiTheme="minorEastAsia" w:eastAsiaTheme="minorEastAsia"/>
                <w:b/>
                <w:color w:val="auto"/>
                <w:sz w:val="18"/>
                <w:szCs w:val="18"/>
                <w:highlight w:val="none"/>
                <w:lang w:val="en-US" w:eastAsia="zh-CN"/>
              </w:rPr>
              <w:t>标段二：11879300元</w:t>
            </w:r>
          </w:p>
          <w:p>
            <w:pPr>
              <w:autoSpaceDE w:val="0"/>
              <w:autoSpaceDN w:val="0"/>
              <w:snapToGrid w:val="0"/>
              <w:spacing w:line="360" w:lineRule="auto"/>
              <w:textAlignment w:val="bottom"/>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高于最高限价作废标处理。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投标文件有效期：</w:t>
            </w:r>
            <w:r>
              <w:rPr>
                <w:rFonts w:hint="eastAsia" w:cs="Arial" w:asciiTheme="minorEastAsia" w:hAnsiTheme="minorEastAsia" w:eastAsiaTheme="minorEastAsia"/>
                <w:color w:val="auto"/>
                <w:sz w:val="18"/>
                <w:szCs w:val="18"/>
                <w:highlight w:val="none"/>
                <w:u w:val="single"/>
              </w:rPr>
              <w:t>90</w:t>
            </w:r>
            <w:r>
              <w:rPr>
                <w:rFonts w:hint="eastAsia" w:cs="Arial" w:asciiTheme="minorEastAsia" w:hAnsiTheme="minorEastAsia" w:eastAsiaTheme="minorEastAsia"/>
                <w:color w:val="auto"/>
                <w:sz w:val="18"/>
                <w:szCs w:val="18"/>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信用记录：</w:t>
            </w:r>
            <w:r>
              <w:rPr>
                <w:rFonts w:hint="eastAsia" w:cs="Arial" w:asciiTheme="minorEastAsia" w:hAnsiTheme="minorEastAsia" w:eastAsiaTheme="minorEastAsia"/>
                <w:color w:val="auto"/>
                <w:sz w:val="18"/>
                <w:szCs w:val="18"/>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政府采购节能环保产品：无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Theme="minorEastAsia" w:hAnsiTheme="minorEastAsia" w:eastAsiaTheme="minorEastAsia"/>
                <w:color w:val="auto"/>
                <w:sz w:val="18"/>
                <w:szCs w:val="18"/>
                <w:highlight w:val="none"/>
              </w:rPr>
            </w:pPr>
            <w:r>
              <w:rPr>
                <w:rFonts w:hint="eastAsia" w:ascii="宋体" w:hAnsi="宋体" w:eastAsia="宋体" w:cs="宋体"/>
                <w:color w:val="auto"/>
                <w:kern w:val="0"/>
                <w:sz w:val="18"/>
                <w:szCs w:val="18"/>
                <w:highlight w:val="none"/>
              </w:rPr>
              <w:t>标的：</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u w:val="single"/>
                <w:lang w:eastAsia="zh-CN"/>
              </w:rPr>
              <w:t>塘汇街道2024-2025年度绿化养护项目</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，属于</w:t>
            </w:r>
            <w:r>
              <w:rPr>
                <w:rFonts w:hint="eastAsia" w:ascii="宋体" w:hAnsi="宋体" w:eastAsia="宋体" w:cs="宋体"/>
                <w:color w:val="auto"/>
                <w:kern w:val="0"/>
                <w:sz w:val="18"/>
                <w:szCs w:val="18"/>
                <w:highlight w:val="none"/>
                <w:u w:val="single"/>
              </w:rPr>
              <w:t>（十六）其他未列明行业</w:t>
            </w:r>
            <w:r>
              <w:rPr>
                <w:rFonts w:hint="eastAsia" w:ascii="宋体" w:hAnsi="宋体" w:eastAsia="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解释：本招标文件的解释权属于采购单位。</w:t>
            </w:r>
          </w:p>
        </w:tc>
      </w:tr>
    </w:tbl>
    <w:p>
      <w:pPr>
        <w:snapToGrid w:val="0"/>
        <w:spacing w:beforeLines="50" w:afterLines="50" w:line="360" w:lineRule="auto"/>
        <w:ind w:left="238"/>
        <w:jc w:val="center"/>
        <w:outlineLvl w:val="9"/>
        <w:rPr>
          <w:rFonts w:asciiTheme="minorEastAsia" w:hAnsiTheme="minorEastAsia" w:eastAsiaTheme="minorEastAsia"/>
          <w:b/>
          <w:color w:val="auto"/>
          <w:szCs w:val="21"/>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pPr>
        <w:snapToGrid w:val="0"/>
        <w:spacing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asciiTheme="minorEastAsia" w:hAnsiTheme="minorEastAsia" w:eastAsiaTheme="minorEastAsia"/>
          <w:b/>
          <w:color w:val="auto"/>
          <w:sz w:val="18"/>
          <w:szCs w:val="18"/>
          <w:highlight w:val="none"/>
        </w:rPr>
        <w:t xml:space="preserve"> 适用范围</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本招标文件适用于该项目的招标、投标、评标、定标、验收、合同履约、付款等行为（法律、法规另有规定的，从其规定）。</w:t>
      </w:r>
    </w:p>
    <w:p>
      <w:pPr>
        <w:snapToGrid w:val="0"/>
        <w:spacing w:beforeLines="50" w:line="360" w:lineRule="auto"/>
        <w:ind w:firstLine="266" w:firstLineChars="147"/>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（二）定义</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招标采购人系指组织本次招标的</w:t>
      </w:r>
      <w:r>
        <w:rPr>
          <w:rFonts w:hint="eastAsia" w:asciiTheme="minorEastAsia" w:hAnsiTheme="minorEastAsia" w:eastAsiaTheme="minorEastAsia"/>
          <w:color w:val="auto"/>
          <w:sz w:val="18"/>
          <w:szCs w:val="18"/>
          <w:highlight w:val="none"/>
        </w:rPr>
        <w:t>嘉兴市银建工程咨询评估有限公司（“招标人”）</w:t>
      </w:r>
      <w:r>
        <w:rPr>
          <w:rFonts w:asciiTheme="minorEastAsia" w:hAnsiTheme="minorEastAsia" w:eastAsiaTheme="minorEastAsia"/>
          <w:color w:val="auto"/>
          <w:sz w:val="18"/>
          <w:szCs w:val="18"/>
          <w:highlight w:val="none"/>
        </w:rPr>
        <w:t>和采购</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供应商”系指向采购人提交投标文件的单位或个人。</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“产品”系指供方按招标文件规定，须向采购人提供的一切设备、保险、税金、备品备件、工具、手册及其它有关技术资料和材料。</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“服务”系指招标文件规定供应商须承担的安装、调试、技术协助、校准、培训、技术指导以及其他类似的义务。</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“项目”系指供应商按招标文件规定向采购人提供的产品和服务。</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“书面形式”包括信函、传真、电报等。</w:t>
      </w:r>
    </w:p>
    <w:p>
      <w:pPr>
        <w:snapToGrid w:val="0"/>
        <w:spacing w:line="360" w:lineRule="auto"/>
        <w:ind w:left="615" w:leftChars="250" w:hanging="90" w:hangingChars="5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“▲”系指实质性要求条款</w:t>
      </w:r>
      <w:r>
        <w:rPr>
          <w:rFonts w:hint="eastAsia" w:asciiTheme="minorEastAsia" w:hAnsiTheme="minorEastAsia" w:eastAsiaTheme="minorEastAsia"/>
          <w:color w:val="auto"/>
          <w:sz w:val="18"/>
          <w:szCs w:val="18"/>
          <w:highlight w:val="none"/>
        </w:rPr>
        <w:t>，不满足实行性要求条款的投标文件无效。</w:t>
      </w:r>
    </w:p>
    <w:p>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（三）采购方式</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本次招标采用</w:t>
      </w:r>
      <w:r>
        <w:rPr>
          <w:rFonts w:asciiTheme="minorEastAsia" w:hAnsiTheme="minorEastAsia" w:eastAsiaTheme="minorEastAsia"/>
          <w:b/>
          <w:color w:val="auto"/>
          <w:sz w:val="18"/>
          <w:szCs w:val="18"/>
          <w:highlight w:val="none"/>
          <w:u w:val="single"/>
        </w:rPr>
        <w:t>公开</w:t>
      </w:r>
      <w:r>
        <w:rPr>
          <w:rFonts w:hint="eastAsia" w:asciiTheme="minorEastAsia" w:hAnsiTheme="minorEastAsia" w:eastAsiaTheme="minorEastAsia"/>
          <w:b/>
          <w:color w:val="auto"/>
          <w:sz w:val="18"/>
          <w:szCs w:val="18"/>
          <w:highlight w:val="none"/>
          <w:u w:val="single"/>
        </w:rPr>
        <w:t>招标</w:t>
      </w:r>
      <w:r>
        <w:rPr>
          <w:rFonts w:hint="eastAsia" w:asciiTheme="minorEastAsia" w:hAnsiTheme="minorEastAsia" w:eastAsiaTheme="minorEastAsia"/>
          <w:color w:val="auto"/>
          <w:sz w:val="18"/>
          <w:szCs w:val="18"/>
          <w:highlight w:val="none"/>
        </w:rPr>
        <w:t>采购方式</w:t>
      </w:r>
      <w:r>
        <w:rPr>
          <w:rFonts w:asciiTheme="minorEastAsia" w:hAnsiTheme="minorEastAsia" w:eastAsiaTheme="minorEastAsia"/>
          <w:color w:val="auto"/>
          <w:sz w:val="18"/>
          <w:szCs w:val="18"/>
          <w:highlight w:val="none"/>
        </w:rPr>
        <w:t>进行。</w:t>
      </w:r>
    </w:p>
    <w:p>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（四）投标委托</w:t>
      </w:r>
    </w:p>
    <w:p>
      <w:pPr>
        <w:pStyle w:val="24"/>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如供应商代表不是法定代表人，须有法定代表人出具的授权委托书（格式</w:t>
      </w:r>
      <w:r>
        <w:rPr>
          <w:rFonts w:hint="eastAsia" w:asciiTheme="minorEastAsia" w:hAnsiTheme="minorEastAsia" w:eastAsiaTheme="minorEastAsia"/>
          <w:color w:val="auto"/>
          <w:sz w:val="18"/>
          <w:szCs w:val="18"/>
          <w:highlight w:val="none"/>
        </w:rPr>
        <w:t>详</w:t>
      </w:r>
      <w:r>
        <w:rPr>
          <w:rFonts w:asciiTheme="minorEastAsia" w:hAnsiTheme="minorEastAsia" w:eastAsiaTheme="minorEastAsia"/>
          <w:color w:val="auto"/>
          <w:sz w:val="18"/>
          <w:szCs w:val="18"/>
          <w:highlight w:val="none"/>
        </w:rPr>
        <w:t>见第</w:t>
      </w:r>
      <w:r>
        <w:rPr>
          <w:rFonts w:hint="eastAsia" w:asciiTheme="minorEastAsia" w:hAnsiTheme="minorEastAsia" w:eastAsiaTheme="minorEastAsia"/>
          <w:color w:val="auto"/>
          <w:sz w:val="18"/>
          <w:szCs w:val="18"/>
          <w:highlight w:val="none"/>
        </w:rPr>
        <w:t>六章</w:t>
      </w:r>
      <w:r>
        <w:rPr>
          <w:rFonts w:asciiTheme="minorEastAsia" w:hAnsiTheme="minorEastAsia" w:eastAsiaTheme="minorEastAsia"/>
          <w:color w:val="auto"/>
          <w:sz w:val="18"/>
          <w:szCs w:val="18"/>
          <w:highlight w:val="none"/>
        </w:rPr>
        <w:t>）。</w:t>
      </w:r>
    </w:p>
    <w:p>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（五）投标费用</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不论投标结果如何，供应商均应自行承担所有与投标有关的全部费用（招标文件有相反规定除外）。</w:t>
      </w:r>
    </w:p>
    <w:p>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（六）联合体投标</w:t>
      </w:r>
    </w:p>
    <w:p>
      <w:pPr>
        <w:snapToGrid w:val="0"/>
        <w:spacing w:line="360" w:lineRule="auto"/>
        <w:ind w:firstLine="542" w:firstLineChars="300"/>
        <w:jc w:val="left"/>
        <w:rPr>
          <w:rFonts w:cs="Arial" w:asciiTheme="minorEastAsia" w:hAnsiTheme="minorEastAsia" w:eastAsiaTheme="minorEastAsia"/>
          <w:b/>
          <w:color w:val="auto"/>
          <w:sz w:val="18"/>
          <w:szCs w:val="18"/>
          <w:highlight w:val="none"/>
          <w:u w:val="single"/>
        </w:rPr>
      </w:pPr>
      <w:r>
        <w:rPr>
          <w:rFonts w:hint="eastAsia" w:cs="Arial" w:asciiTheme="minorEastAsia" w:hAnsiTheme="minorEastAsia" w:eastAsiaTheme="minorEastAsia"/>
          <w:b/>
          <w:color w:val="auto"/>
          <w:sz w:val="18"/>
          <w:szCs w:val="18"/>
          <w:highlight w:val="none"/>
          <w:u w:val="single"/>
        </w:rPr>
        <w:t>本项目不接受联合体投标。</w:t>
      </w:r>
    </w:p>
    <w:p>
      <w:pPr>
        <w:snapToGrid w:val="0"/>
        <w:spacing w:beforeLines="50" w:line="360" w:lineRule="auto"/>
        <w:ind w:firstLine="354" w:firstLineChars="196"/>
        <w:rPr>
          <w:rFonts w:cs="宋体" w:asciiTheme="minorEastAsia" w:hAnsiTheme="minorEastAsia" w:eastAsiaTheme="minorEastAsia"/>
          <w:b/>
          <w:color w:val="auto"/>
          <w:kern w:val="0"/>
          <w:sz w:val="18"/>
          <w:szCs w:val="18"/>
          <w:highlight w:val="none"/>
        </w:rPr>
      </w:pPr>
      <w:r>
        <w:rPr>
          <w:rFonts w:hint="eastAsia" w:asciiTheme="minorEastAsia" w:hAnsiTheme="minorEastAsia" w:eastAsiaTheme="minorEastAsia"/>
          <w:b/>
          <w:color w:val="auto"/>
          <w:sz w:val="18"/>
          <w:szCs w:val="18"/>
          <w:highlight w:val="none"/>
        </w:rPr>
        <w:t>（七）</w:t>
      </w:r>
      <w:r>
        <w:rPr>
          <w:rFonts w:hint="eastAsia" w:cs="宋体" w:asciiTheme="minorEastAsia" w:hAnsiTheme="minorEastAsia" w:eastAsiaTheme="minorEastAsia"/>
          <w:b/>
          <w:color w:val="auto"/>
          <w:kern w:val="0"/>
          <w:sz w:val="18"/>
          <w:szCs w:val="18"/>
          <w:highlight w:val="none"/>
        </w:rPr>
        <w:t>转包与分包</w:t>
      </w:r>
    </w:p>
    <w:p>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1</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本项目不允许转包。</w:t>
      </w:r>
    </w:p>
    <w:p>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2</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本项目不可以分包</w:t>
      </w:r>
      <w:r>
        <w:rPr>
          <w:rFonts w:hint="eastAsia" w:cs="宋体" w:asciiTheme="minorEastAsia" w:hAnsiTheme="minorEastAsia" w:eastAsiaTheme="minorEastAsia"/>
          <w:color w:val="auto"/>
          <w:kern w:val="0"/>
          <w:sz w:val="18"/>
          <w:szCs w:val="18"/>
          <w:highlight w:val="none"/>
        </w:rPr>
        <w:t>。</w:t>
      </w:r>
    </w:p>
    <w:p>
      <w:pPr>
        <w:snapToGrid w:val="0"/>
        <w:spacing w:beforeLines="50"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（八）是否允许采购进口产品</w:t>
      </w:r>
    </w:p>
    <w:p>
      <w:pPr>
        <w:snapToGrid w:val="0"/>
        <w:spacing w:beforeLines="50" w:line="360" w:lineRule="auto"/>
        <w:ind w:firstLine="352" w:firstLineChars="196"/>
        <w:jc w:val="left"/>
        <w:outlineLvl w:val="1"/>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不</w:t>
      </w:r>
      <w:r>
        <w:rPr>
          <w:rFonts w:cs="宋体" w:asciiTheme="minorEastAsia" w:hAnsiTheme="minorEastAsia" w:eastAsiaTheme="minorEastAsia"/>
          <w:color w:val="auto"/>
          <w:kern w:val="0"/>
          <w:sz w:val="18"/>
          <w:szCs w:val="18"/>
          <w:highlight w:val="none"/>
        </w:rPr>
        <w:t>允许</w:t>
      </w:r>
      <w:r>
        <w:rPr>
          <w:rFonts w:hint="eastAsia" w:cs="宋体" w:asciiTheme="minorEastAsia" w:hAnsiTheme="minorEastAsia" w:eastAsiaTheme="minorEastAsia"/>
          <w:color w:val="auto"/>
          <w:kern w:val="0"/>
          <w:sz w:val="18"/>
          <w:szCs w:val="18"/>
          <w:highlight w:val="none"/>
        </w:rPr>
        <w:t>采购进口产品。</w:t>
      </w:r>
    </w:p>
    <w:p>
      <w:pPr>
        <w:snapToGrid w:val="0"/>
        <w:spacing w:beforeLines="50" w:line="360" w:lineRule="auto"/>
        <w:ind w:firstLine="352" w:firstLineChars="196"/>
        <w:jc w:val="left"/>
        <w:outlineLvl w:val="1"/>
        <w:rPr>
          <w:rFonts w:asciiTheme="minorEastAsia" w:hAnsiTheme="minorEastAsia" w:eastAsiaTheme="minorEastAsia"/>
          <w:b/>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rPr>
        <w:t>（九）特别说明：</w:t>
      </w:r>
    </w:p>
    <w:p>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供应商投标所使用的资格、信誉、荣誉、业绩与企业认证必须为本法人所拥有。供应商投标所使用的采购项目实施人员必须为本法人员工（或必须为本法人或控股公司正式员工）。</w:t>
      </w:r>
    </w:p>
    <w:p>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供应商应仔细阅读招标文件的所有内容，按照招标文件的要求提交投标文件，并对所提供的全部资料的真实性承担法律责任。</w:t>
      </w:r>
    </w:p>
    <w:p>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且民事赔偿并不免除违法供应商的行政与刑事责任。</w:t>
      </w:r>
    </w:p>
    <w:p>
      <w:pPr>
        <w:pStyle w:val="30"/>
        <w:snapToGrid w:val="0"/>
        <w:spacing w:beforeLines="0" w:afterLines="0" w:line="360" w:lineRule="auto"/>
        <w:ind w:firstLine="354" w:firstLineChars="196"/>
        <w:outlineLvl w:val="1"/>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w:t>
      </w:r>
      <w:r>
        <w:rPr>
          <w:rFonts w:hint="eastAsia" w:asciiTheme="minorEastAsia" w:hAnsiTheme="minorEastAsia" w:eastAsiaTheme="minorEastAsia"/>
          <w:b/>
          <w:bCs/>
          <w:color w:val="auto"/>
          <w:sz w:val="18"/>
          <w:szCs w:val="18"/>
          <w:highlight w:val="none"/>
        </w:rPr>
        <w:t>十</w:t>
      </w:r>
      <w:r>
        <w:rPr>
          <w:rFonts w:asciiTheme="minorEastAsia" w:hAnsiTheme="minorEastAsia" w:eastAsiaTheme="minorEastAsia"/>
          <w:b/>
          <w:bCs/>
          <w:color w:val="auto"/>
          <w:sz w:val="18"/>
          <w:szCs w:val="18"/>
          <w:highlight w:val="none"/>
        </w:rPr>
        <w:t>）质疑和投诉</w:t>
      </w:r>
    </w:p>
    <w:p>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 供应商须在法定质疑期内一次性提出针对同一采购程序环节的质疑.</w:t>
      </w:r>
    </w:p>
    <w:p>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 xml:space="preserve"> 供应商认为代理机构在质疑答复程序中启用的调查和复评等程序，在该程序操作过程未明显违反法律禁止性规定时，不得提出疑义。</w:t>
      </w:r>
    </w:p>
    <w:p>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4</w:t>
      </w:r>
      <w:r>
        <w:rPr>
          <w:rFonts w:hint="eastAsia" w:asciiTheme="minorEastAsia" w:hAnsiTheme="minorEastAsia" w:eastAsiaTheme="minorEastAsia"/>
          <w:bCs/>
          <w:color w:val="auto"/>
          <w:sz w:val="18"/>
          <w:szCs w:val="18"/>
          <w:highlight w:val="none"/>
        </w:rPr>
        <w:t>.质疑和投诉应当满足《政府采购质疑和投诉办法》（中华人民共和国财政部令第94号）要求。</w:t>
      </w:r>
    </w:p>
    <w:p>
      <w:pPr>
        <w:pStyle w:val="30"/>
        <w:snapToGrid w:val="0"/>
        <w:spacing w:before="120" w:after="120" w:line="360" w:lineRule="auto"/>
        <w:ind w:firstLine="354" w:firstLineChars="196"/>
        <w:jc w:val="center"/>
        <w:outlineLvl w:val="9"/>
        <w:rPr>
          <w:rFonts w:asciiTheme="minorEastAsia" w:hAnsiTheme="minorEastAsia" w:eastAsiaTheme="minorEastAsia"/>
          <w:b/>
          <w:color w:val="auto"/>
          <w:sz w:val="18"/>
          <w:szCs w:val="18"/>
          <w:highlight w:val="none"/>
        </w:rPr>
      </w:pPr>
      <w:bookmarkStart w:id="64" w:name="_Toc406402987"/>
      <w:bookmarkStart w:id="65" w:name="_Toc406402943"/>
    </w:p>
    <w:p>
      <w:pPr>
        <w:pStyle w:val="30"/>
        <w:snapToGrid w:val="0"/>
        <w:spacing w:before="120" w:after="120" w:line="360" w:lineRule="auto"/>
        <w:ind w:firstLine="354" w:firstLineChars="196"/>
        <w:jc w:val="center"/>
        <w:outlineLvl w:val="0"/>
        <w:rPr>
          <w:rFonts w:asciiTheme="minorEastAsia" w:hAnsiTheme="minorEastAsia" w:eastAsiaTheme="minorEastAsia"/>
          <w:b/>
          <w:color w:val="auto"/>
          <w:sz w:val="18"/>
          <w:szCs w:val="18"/>
          <w:highlight w:val="none"/>
        </w:rPr>
      </w:pPr>
      <w:bookmarkStart w:id="66" w:name="_Toc26804"/>
      <w:r>
        <w:rPr>
          <w:rFonts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招标文件</w:t>
      </w:r>
      <w:bookmarkEnd w:id="64"/>
      <w:bookmarkEnd w:id="65"/>
      <w:bookmarkEnd w:id="66"/>
    </w:p>
    <w:p>
      <w:pPr>
        <w:snapToGrid w:val="0"/>
        <w:spacing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（一）招标文件的构成。本招标文件由以下部份组成：</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招标公告</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招标需求</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供应商须知</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评标办法及标准</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合同主要条款</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投标文件格式</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7.本项目</w:t>
      </w:r>
      <w:r>
        <w:rPr>
          <w:rFonts w:asciiTheme="minorEastAsia" w:hAnsiTheme="minorEastAsia" w:eastAsiaTheme="minorEastAsia"/>
          <w:color w:val="auto"/>
          <w:sz w:val="18"/>
          <w:szCs w:val="18"/>
          <w:highlight w:val="none"/>
        </w:rPr>
        <w:t>招标文件</w:t>
      </w:r>
      <w:r>
        <w:rPr>
          <w:rFonts w:hint="eastAsia" w:asciiTheme="minorEastAsia" w:hAnsiTheme="minorEastAsia" w:eastAsiaTheme="minorEastAsia"/>
          <w:color w:val="auto"/>
          <w:sz w:val="18"/>
          <w:szCs w:val="18"/>
          <w:highlight w:val="none"/>
        </w:rPr>
        <w:t>的</w:t>
      </w:r>
      <w:r>
        <w:rPr>
          <w:rFonts w:asciiTheme="minorEastAsia" w:hAnsiTheme="minorEastAsia" w:eastAsiaTheme="minorEastAsia"/>
          <w:color w:val="auto"/>
          <w:sz w:val="18"/>
          <w:szCs w:val="18"/>
          <w:highlight w:val="none"/>
        </w:rPr>
        <w:t>澄清、答复、修改、补充的内容</w:t>
      </w:r>
    </w:p>
    <w:p>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（二）供应商的风险</w:t>
      </w:r>
    </w:p>
    <w:p>
      <w:pPr>
        <w:pStyle w:val="41"/>
        <w:spacing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供应商没有按照招标文件要求提供全部资料，或者供应商没有对招标文件在各方面作出实质性响应是供应商的风险，并可能导致其投标为无效标。</w:t>
      </w:r>
    </w:p>
    <w:p>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（三）招标文件的澄清与修改</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bCs/>
          <w:color w:val="auto"/>
          <w:sz w:val="18"/>
          <w:szCs w:val="18"/>
          <w:highlight w:val="none"/>
        </w:rPr>
        <w:t>供应商应认真阅读本招标文件，发现其中有误或有不合理要求的，</w:t>
      </w:r>
      <w:r>
        <w:rPr>
          <w:rFonts w:hint="eastAsia" w:asciiTheme="minorEastAsia" w:hAnsiTheme="minorEastAsia" w:eastAsiaTheme="minorEastAsia"/>
          <w:bCs/>
          <w:color w:val="auto"/>
          <w:sz w:val="18"/>
          <w:szCs w:val="18"/>
          <w:highlight w:val="none"/>
        </w:rPr>
        <w:t>可</w:t>
      </w:r>
      <w:r>
        <w:rPr>
          <w:rFonts w:asciiTheme="minorEastAsia" w:hAnsiTheme="minorEastAsia" w:eastAsiaTheme="minorEastAsia"/>
          <w:bCs/>
          <w:color w:val="auto"/>
          <w:sz w:val="18"/>
          <w:szCs w:val="18"/>
          <w:highlight w:val="none"/>
        </w:rPr>
        <w:t>要求招标采购人澄清</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招标采购人</w:t>
      </w:r>
      <w:r>
        <w:rPr>
          <w:rFonts w:asciiTheme="minorEastAsia" w:hAnsiTheme="minorEastAsia" w:eastAsiaTheme="minorEastAsia"/>
          <w:color w:val="auto"/>
          <w:sz w:val="18"/>
          <w:szCs w:val="18"/>
          <w:highlight w:val="none"/>
        </w:rPr>
        <w:t>对已发出的招标文件进行必要澄清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修改的，应当在招标文件要求提交投标文件截止</w:t>
      </w:r>
      <w:r>
        <w:rPr>
          <w:rFonts w:hint="eastAsia" w:asciiTheme="minorEastAsia" w:hAnsiTheme="minorEastAsia" w:eastAsiaTheme="minorEastAsia"/>
          <w:color w:val="auto"/>
          <w:sz w:val="18"/>
          <w:szCs w:val="18"/>
          <w:highlight w:val="none"/>
        </w:rPr>
        <w:t>十</w:t>
      </w:r>
      <w:r>
        <w:rPr>
          <w:rFonts w:asciiTheme="minorEastAsia" w:hAnsiTheme="minorEastAsia" w:eastAsiaTheme="minorEastAsia"/>
          <w:color w:val="auto"/>
          <w:sz w:val="18"/>
          <w:szCs w:val="18"/>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18"/>
          <w:szCs w:val="18"/>
          <w:highlight w:val="none"/>
        </w:rPr>
        <w:t>获取</w:t>
      </w:r>
      <w:r>
        <w:rPr>
          <w:rFonts w:asciiTheme="minorEastAsia" w:hAnsiTheme="minorEastAsia" w:eastAsiaTheme="minorEastAsia"/>
          <w:color w:val="auto"/>
          <w:sz w:val="18"/>
          <w:szCs w:val="18"/>
          <w:highlight w:val="none"/>
        </w:rPr>
        <w:t>人。</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招标文件澄清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修改的内容为招标文件的组成部分。当招标文件与澄清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修改就同一内容的表述不一致时，以最后发出的书面文件为准。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3.对</w:t>
      </w:r>
      <w:r>
        <w:rPr>
          <w:rFonts w:asciiTheme="minorEastAsia" w:hAnsiTheme="minorEastAsia" w:eastAsiaTheme="minorEastAsia"/>
          <w:color w:val="auto"/>
          <w:sz w:val="18"/>
          <w:szCs w:val="18"/>
          <w:highlight w:val="none"/>
        </w:rPr>
        <w:t>招标文件的澄清、答复、修改或补充都应该通过</w:t>
      </w:r>
      <w:r>
        <w:rPr>
          <w:rFonts w:hint="eastAsia" w:asciiTheme="minorEastAsia" w:hAnsiTheme="minorEastAsia" w:eastAsiaTheme="minorEastAsia"/>
          <w:color w:val="auto"/>
          <w:sz w:val="18"/>
          <w:szCs w:val="18"/>
          <w:highlight w:val="none"/>
        </w:rPr>
        <w:t>代理机构</w:t>
      </w:r>
      <w:r>
        <w:rPr>
          <w:rFonts w:asciiTheme="minorEastAsia" w:hAnsiTheme="minorEastAsia" w:eastAsiaTheme="minorEastAsia"/>
          <w:color w:val="auto"/>
          <w:sz w:val="18"/>
          <w:szCs w:val="18"/>
          <w:highlight w:val="none"/>
        </w:rPr>
        <w:t>以法定形式发布，采购人非通过本机构，不得擅自澄清、答复、修改或补充招标文件。</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p>
    <w:p>
      <w:pPr>
        <w:pStyle w:val="30"/>
        <w:snapToGrid w:val="0"/>
        <w:spacing w:before="120" w:after="120" w:line="360" w:lineRule="auto"/>
        <w:ind w:firstLine="354" w:firstLineChars="196"/>
        <w:jc w:val="center"/>
        <w:outlineLvl w:val="1"/>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三、投标文件的编制</w:t>
      </w:r>
    </w:p>
    <w:p>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本项目所涉投标文件格式请详见第六章，未给出的格式请自拟。资信商务及技术文件中不得出现报价，否则投标文件将被视为无效。</w:t>
      </w:r>
    </w:p>
    <w:p>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总体要求</w:t>
      </w:r>
      <w:r>
        <w:rPr>
          <w:rFonts w:asciiTheme="minorEastAsia" w:hAnsiTheme="minorEastAsia" w:eastAsiaTheme="minorEastAsia"/>
          <w:b/>
          <w:color w:val="auto"/>
          <w:sz w:val="18"/>
          <w:szCs w:val="18"/>
          <w:highlight w:val="none"/>
        </w:rPr>
        <w:t>：</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投标文件及供应商与采购有关的来往通知，函件和文件均应使用中文。</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供应商应按本文件中提供的文件格式、内容和要求制作投标文件。</w:t>
      </w:r>
    </w:p>
    <w:p>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67" w:name="_Toc406402988"/>
      <w:bookmarkStart w:id="68" w:name="_Toc406402944"/>
      <w:bookmarkStart w:id="69" w:name="_Toc22673"/>
      <w:r>
        <w:rPr>
          <w:rFonts w:hint="eastAsia" w:asciiTheme="minorEastAsia" w:hAnsiTheme="minorEastAsia" w:eastAsiaTheme="minorEastAsia"/>
          <w:b/>
          <w:color w:val="auto"/>
          <w:sz w:val="18"/>
          <w:szCs w:val="18"/>
          <w:highlight w:val="none"/>
        </w:rPr>
        <w:t>（一）投标文件的组成</w:t>
      </w:r>
      <w:bookmarkEnd w:id="67"/>
      <w:bookmarkEnd w:id="68"/>
      <w:bookmarkEnd w:id="69"/>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电子投标文件和备份投标文件均由资信技术文件、商务报价文件两部份组成。投标文件中所须加盖公章部分均采用CA签章。</w:t>
      </w:r>
    </w:p>
    <w:p>
      <w:pPr>
        <w:snapToGrid w:val="0"/>
        <w:spacing w:beforeLines="50"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1、资信文件：</w:t>
      </w:r>
    </w:p>
    <w:p>
      <w:pPr>
        <w:snapToGrid w:val="0"/>
        <w:spacing w:line="360" w:lineRule="auto"/>
        <w:jc w:val="left"/>
        <w:rPr>
          <w:rFonts w:asciiTheme="minorEastAsia" w:hAnsiTheme="minorEastAsia" w:eastAsiaTheme="minorEastAsia"/>
          <w:color w:val="auto"/>
          <w:sz w:val="18"/>
          <w:szCs w:val="18"/>
          <w:highlight w:val="none"/>
        </w:rPr>
      </w:pPr>
      <w:bookmarkStart w:id="70" w:name="_Toc406402989"/>
      <w:bookmarkStart w:id="71" w:name="_Toc406402945"/>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投标声明书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（附件1）</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）法定代表人授权委托书；</w:t>
      </w:r>
      <w:r>
        <w:rPr>
          <w:rFonts w:hint="eastAsia" w:asciiTheme="minorEastAsia" w:hAnsiTheme="minorEastAsia" w:eastAsiaTheme="minorEastAsia"/>
          <w:color w:val="auto"/>
          <w:sz w:val="18"/>
          <w:szCs w:val="18"/>
          <w:highlight w:val="none"/>
        </w:rPr>
        <w:t>（附件2）</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关于资格的声明函；（附件3）</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）投标人基本情况；</w:t>
      </w:r>
      <w:r>
        <w:rPr>
          <w:rFonts w:hint="eastAsia" w:asciiTheme="minorEastAsia" w:hAnsiTheme="minorEastAsia" w:eastAsiaTheme="minorEastAsia"/>
          <w:color w:val="auto"/>
          <w:sz w:val="18"/>
          <w:szCs w:val="18"/>
          <w:highlight w:val="none"/>
        </w:rPr>
        <w:t>（附件4）</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业绩表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（附件5）</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认证证书情况</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（附件6）</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项目组人员配置表（附件7）</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投入设备清单格式；（附件8）</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（9）投标人符合政府采购法第二十二条资格的相关证明文件；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（10）投标人符合特定条件的相关证明文件；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（12）中小企业声明函、残疾人福利性单位声明函及其他符合政策性加分条件的承诺函或证明材料。（附件9、10）</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（13）未尽事宜请各供应商按评分细则制作技术部份。</w:t>
      </w:r>
    </w:p>
    <w:p>
      <w:pPr>
        <w:snapToGrid w:val="0"/>
        <w:spacing w:line="360" w:lineRule="auto"/>
        <w:jc w:val="left"/>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技术文件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eastAsia="zh-CN"/>
        </w:rPr>
        <w:t>投标方案</w:t>
      </w:r>
      <w:r>
        <w:rPr>
          <w:rFonts w:hint="eastAsia" w:asciiTheme="minorEastAsia" w:hAnsiTheme="minorEastAsia" w:eastAsiaTheme="minorEastAsia"/>
          <w:color w:val="auto"/>
          <w:sz w:val="18"/>
          <w:szCs w:val="18"/>
          <w:highlight w:val="none"/>
        </w:rPr>
        <w:t>；（格式自拟）</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（2）服务承诺及质量保障；（格式自拟）</w:t>
      </w:r>
    </w:p>
    <w:p>
      <w:pPr>
        <w:pStyle w:val="48"/>
        <w:ind w:left="0" w:leftChars="0" w:firstLine="0" w:firstLineChars="0"/>
        <w:rPr>
          <w:color w:val="auto"/>
          <w:sz w:val="18"/>
          <w:szCs w:val="18"/>
          <w:highlight w:val="none"/>
        </w:rPr>
      </w:pP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3</w:t>
      </w: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人员配置</w:t>
      </w:r>
      <w:r>
        <w:rPr>
          <w:rFonts w:hint="eastAsia" w:asciiTheme="minorEastAsia" w:hAnsiTheme="minorEastAsia"/>
          <w:color w:val="auto"/>
          <w:sz w:val="18"/>
          <w:szCs w:val="18"/>
          <w:highlight w:val="none"/>
        </w:rPr>
        <w:t>；（格式自拟）</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合理化建议</w:t>
      </w:r>
      <w:r>
        <w:rPr>
          <w:rFonts w:hint="eastAsia" w:asciiTheme="minorEastAsia" w:hAnsiTheme="minorEastAsia" w:eastAsiaTheme="minorEastAsia"/>
          <w:color w:val="auto"/>
          <w:sz w:val="18"/>
          <w:szCs w:val="18"/>
          <w:highlight w:val="none"/>
        </w:rPr>
        <w:t>；（格式自拟）</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）投标人认为有必要提供的声明及文件资料。</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）未尽事宜请各投标人按评分细则制作。</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（注：复印件应加盖投标人公章）</w:t>
      </w:r>
    </w:p>
    <w:p>
      <w:pPr>
        <w:snapToGrid w:val="0"/>
        <w:spacing w:line="360" w:lineRule="auto"/>
        <w:jc w:val="left"/>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3</w:t>
      </w:r>
      <w:r>
        <w:rPr>
          <w:rFonts w:hint="eastAsia" w:asciiTheme="minorEastAsia" w:hAnsiTheme="minorEastAsia" w:eastAsiaTheme="minorEastAsia"/>
          <w:b/>
          <w:color w:val="auto"/>
          <w:sz w:val="18"/>
          <w:szCs w:val="18"/>
          <w:highlight w:val="none"/>
        </w:rPr>
        <w:t>、商务</w:t>
      </w:r>
      <w:r>
        <w:rPr>
          <w:rFonts w:asciiTheme="minorEastAsia" w:hAnsiTheme="minorEastAsia" w:eastAsiaTheme="minorEastAsia"/>
          <w:b/>
          <w:color w:val="auto"/>
          <w:sz w:val="18"/>
          <w:szCs w:val="18"/>
          <w:highlight w:val="none"/>
        </w:rPr>
        <w:t>报价文件：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（1）投标函；（附件12）</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）开标一览表；</w:t>
      </w:r>
      <w:r>
        <w:rPr>
          <w:rFonts w:hint="eastAsia" w:asciiTheme="minorEastAsia" w:hAnsiTheme="minorEastAsia" w:eastAsiaTheme="minorEastAsia"/>
          <w:color w:val="auto"/>
          <w:sz w:val="18"/>
          <w:szCs w:val="18"/>
          <w:highlight w:val="none"/>
        </w:rPr>
        <w:t>（附件13）</w:t>
      </w:r>
    </w:p>
    <w:p>
      <w:pPr>
        <w:pStyle w:val="48"/>
        <w:spacing w:line="360" w:lineRule="auto"/>
        <w:ind w:left="0" w:leftChars="0" w:firstLine="0" w:firstLineChars="0"/>
        <w:rPr>
          <w:color w:val="auto"/>
          <w:sz w:val="18"/>
          <w:szCs w:val="18"/>
          <w:highlight w:val="none"/>
        </w:rPr>
      </w:pPr>
      <w:r>
        <w:rPr>
          <w:rFonts w:hint="eastAsia"/>
          <w:color w:val="auto"/>
          <w:sz w:val="18"/>
          <w:szCs w:val="18"/>
          <w:highlight w:val="none"/>
        </w:rPr>
        <w:t>（3）明细报价表</w:t>
      </w:r>
      <w:r>
        <w:rPr>
          <w:rFonts w:asciiTheme="minorEastAsia" w:hAnsiTheme="minorEastAsia"/>
          <w:color w:val="auto"/>
          <w:sz w:val="18"/>
          <w:szCs w:val="18"/>
          <w:highlight w:val="none"/>
        </w:rPr>
        <w:t>；</w:t>
      </w:r>
      <w:r>
        <w:rPr>
          <w:rFonts w:hint="eastAsia" w:asciiTheme="minorEastAsia" w:hAnsiTheme="minorEastAsia"/>
          <w:color w:val="auto"/>
          <w:sz w:val="18"/>
          <w:szCs w:val="18"/>
          <w:highlight w:val="none"/>
        </w:rPr>
        <w:t>（附件14）</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投标人</w:t>
      </w:r>
      <w:r>
        <w:rPr>
          <w:rFonts w:hint="eastAsia" w:asciiTheme="minorEastAsia" w:hAnsiTheme="minorEastAsia" w:eastAsiaTheme="minorEastAsia"/>
          <w:color w:val="auto"/>
          <w:sz w:val="18"/>
          <w:szCs w:val="18"/>
          <w:highlight w:val="none"/>
        </w:rPr>
        <w:t>针对报价</w:t>
      </w:r>
      <w:r>
        <w:rPr>
          <w:rFonts w:asciiTheme="minorEastAsia" w:hAnsiTheme="minorEastAsia" w:eastAsiaTheme="minorEastAsia"/>
          <w:color w:val="auto"/>
          <w:sz w:val="18"/>
          <w:szCs w:val="18"/>
          <w:highlight w:val="none"/>
        </w:rPr>
        <w:t>需要说明的其他文件和说明</w:t>
      </w:r>
      <w:r>
        <w:rPr>
          <w:rFonts w:hint="eastAsia" w:asciiTheme="minorEastAsia" w:hAnsiTheme="minorEastAsia" w:eastAsiaTheme="minorEastAsia"/>
          <w:color w:val="auto"/>
          <w:sz w:val="18"/>
          <w:szCs w:val="18"/>
          <w:highlight w:val="none"/>
        </w:rPr>
        <w:t>；</w:t>
      </w:r>
    </w:p>
    <w:bookmarkEnd w:id="70"/>
    <w:bookmarkEnd w:id="71"/>
    <w:p>
      <w:pPr>
        <w:snapToGrid w:val="0"/>
        <w:spacing w:line="360" w:lineRule="auto"/>
        <w:jc w:val="left"/>
        <w:rPr>
          <w:rFonts w:asciiTheme="minorEastAsia" w:hAnsiTheme="minorEastAsia" w:eastAsiaTheme="minorEastAsia"/>
          <w:b/>
          <w:color w:val="auto"/>
          <w:sz w:val="18"/>
          <w:szCs w:val="18"/>
          <w:highlight w:val="none"/>
        </w:rPr>
      </w:pPr>
      <w:bookmarkStart w:id="72" w:name="_Toc406402990"/>
      <w:bookmarkStart w:id="73" w:name="_Toc385854146"/>
      <w:bookmarkStart w:id="74" w:name="_Toc385854100"/>
      <w:bookmarkStart w:id="75" w:name="_Toc402963117"/>
      <w:bookmarkStart w:id="76" w:name="_Toc402963084"/>
      <w:bookmarkStart w:id="77" w:name="_Toc406402946"/>
      <w:r>
        <w:rPr>
          <w:rFonts w:asciiTheme="minorEastAsia" w:hAnsiTheme="minorEastAsia" w:eastAsiaTheme="minorEastAsia"/>
          <w:b/>
          <w:color w:val="auto"/>
          <w:sz w:val="18"/>
          <w:szCs w:val="18"/>
          <w:highlight w:val="none"/>
        </w:rPr>
        <w:t>注：</w:t>
      </w:r>
      <w:r>
        <w:rPr>
          <w:rFonts w:hint="eastAsia" w:asciiTheme="minorEastAsia" w:hAnsiTheme="minorEastAsia" w:eastAsiaTheme="minorEastAsia"/>
          <w:b/>
          <w:color w:val="auto"/>
          <w:sz w:val="18"/>
          <w:szCs w:val="18"/>
          <w:highlight w:val="none"/>
        </w:rPr>
        <w:t>1、投标人可根据评分细则按排版自行编制目录。</w:t>
      </w:r>
    </w:p>
    <w:p>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78" w:name="_Toc20732"/>
      <w:r>
        <w:rPr>
          <w:rFonts w:hint="eastAsia" w:asciiTheme="minorEastAsia" w:hAnsiTheme="minorEastAsia" w:eastAsiaTheme="minorEastAsia"/>
          <w:b/>
          <w:color w:val="auto"/>
          <w:sz w:val="18"/>
          <w:szCs w:val="18"/>
          <w:highlight w:val="none"/>
        </w:rPr>
        <w:t>（二）投标文件的语言及计量</w:t>
      </w:r>
      <w:bookmarkEnd w:id="72"/>
      <w:bookmarkEnd w:id="73"/>
      <w:bookmarkEnd w:id="74"/>
      <w:bookmarkEnd w:id="75"/>
      <w:bookmarkEnd w:id="76"/>
      <w:bookmarkEnd w:id="77"/>
      <w:bookmarkEnd w:id="78"/>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79" w:name="_Toc385854147"/>
      <w:bookmarkStart w:id="80" w:name="_Toc406402991"/>
      <w:bookmarkStart w:id="81" w:name="_Toc406402947"/>
      <w:bookmarkStart w:id="82" w:name="_Toc27435"/>
      <w:bookmarkStart w:id="83" w:name="_Toc402963118"/>
      <w:bookmarkStart w:id="84" w:name="_Toc385854101"/>
      <w:bookmarkStart w:id="85" w:name="_Toc402963085"/>
      <w:r>
        <w:rPr>
          <w:rFonts w:hint="eastAsia" w:asciiTheme="minorEastAsia" w:hAnsiTheme="minorEastAsia" w:eastAsiaTheme="minorEastAsia"/>
          <w:b/>
          <w:color w:val="auto"/>
          <w:sz w:val="18"/>
          <w:szCs w:val="18"/>
          <w:highlight w:val="none"/>
        </w:rPr>
        <w:t>（三）投标报价</w:t>
      </w:r>
      <w:bookmarkEnd w:id="79"/>
      <w:bookmarkEnd w:id="80"/>
      <w:bookmarkEnd w:id="81"/>
      <w:bookmarkEnd w:id="82"/>
      <w:bookmarkEnd w:id="83"/>
      <w:bookmarkEnd w:id="84"/>
      <w:bookmarkEnd w:id="85"/>
    </w:p>
    <w:p>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投标报价应按招标文件中相关附表格式填写。</w:t>
      </w:r>
    </w:p>
    <w:p>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18"/>
          <w:szCs w:val="18"/>
          <w:highlight w:val="none"/>
        </w:rPr>
        <w:t>和前期方案编制</w:t>
      </w:r>
      <w:r>
        <w:rPr>
          <w:rFonts w:asciiTheme="minorEastAsia" w:hAnsiTheme="minorEastAsia" w:eastAsiaTheme="minorEastAsia"/>
          <w:color w:val="auto"/>
          <w:sz w:val="18"/>
          <w:szCs w:val="18"/>
          <w:highlight w:val="none"/>
        </w:rPr>
        <w:t>等一切税金和费用。</w:t>
      </w:r>
    </w:p>
    <w:p>
      <w:pPr>
        <w:tabs>
          <w:tab w:val="left" w:pos="525"/>
        </w:tabs>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投标文件只允许有一个报价，有选择的</w:t>
      </w:r>
      <w:r>
        <w:rPr>
          <w:rFonts w:hint="eastAsia" w:asciiTheme="minorEastAsia" w:hAnsiTheme="minorEastAsia" w:eastAsiaTheme="minorEastAsia"/>
          <w:color w:val="auto"/>
          <w:sz w:val="18"/>
          <w:szCs w:val="18"/>
          <w:highlight w:val="none"/>
        </w:rPr>
        <w:t>或有条件的</w:t>
      </w:r>
      <w:r>
        <w:rPr>
          <w:rFonts w:asciiTheme="minorEastAsia" w:hAnsiTheme="minorEastAsia" w:eastAsiaTheme="minorEastAsia"/>
          <w:color w:val="auto"/>
          <w:sz w:val="18"/>
          <w:szCs w:val="18"/>
          <w:highlight w:val="none"/>
        </w:rPr>
        <w:t>报价将不予接受。</w:t>
      </w:r>
    </w:p>
    <w:p>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（四）投标文件的有效期</w:t>
      </w:r>
    </w:p>
    <w:p>
      <w:pPr>
        <w:pStyle w:val="15"/>
        <w:widowControl w:val="0"/>
        <w:tabs>
          <w:tab w:val="left" w:pos="4500"/>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自投标截止日起</w:t>
      </w:r>
      <w:r>
        <w:rPr>
          <w:rFonts w:hint="eastAsia" w:asciiTheme="minorEastAsia" w:hAnsiTheme="minorEastAsia" w:eastAsiaTheme="minorEastAsia"/>
          <w:color w:val="auto"/>
          <w:sz w:val="18"/>
          <w:szCs w:val="18"/>
          <w:highlight w:val="none"/>
          <w:u w:val="single"/>
        </w:rPr>
        <w:t>90</w:t>
      </w:r>
      <w:r>
        <w:rPr>
          <w:rFonts w:asciiTheme="minorEastAsia" w:hAnsiTheme="minorEastAsia" w:eastAsiaTheme="minorEastAsia"/>
          <w:color w:val="auto"/>
          <w:sz w:val="18"/>
          <w:szCs w:val="18"/>
          <w:highlight w:val="none"/>
        </w:rPr>
        <w:t>天投标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应保持有效。有效期</w:t>
      </w:r>
      <w:r>
        <w:rPr>
          <w:rFonts w:hint="eastAsia" w:asciiTheme="minorEastAsia" w:hAnsiTheme="minorEastAsia" w:eastAsiaTheme="minorEastAsia"/>
          <w:color w:val="auto"/>
          <w:sz w:val="18"/>
          <w:szCs w:val="18"/>
          <w:highlight w:val="none"/>
        </w:rPr>
        <w:t>不足</w:t>
      </w:r>
      <w:r>
        <w:rPr>
          <w:rFonts w:asciiTheme="minorEastAsia" w:hAnsiTheme="minorEastAsia" w:eastAsiaTheme="minorEastAsia"/>
          <w:color w:val="auto"/>
          <w:sz w:val="18"/>
          <w:szCs w:val="18"/>
          <w:highlight w:val="none"/>
        </w:rPr>
        <w:t>的投标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将被拒绝。</w:t>
      </w:r>
    </w:p>
    <w:p>
      <w:pPr>
        <w:pStyle w:val="15"/>
        <w:widowControl w:val="0"/>
        <w:tabs>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在特殊情况下，招标人可与供应商协商延长投标书的有效期，这种要求和答复均以书面形式进行。</w:t>
      </w:r>
    </w:p>
    <w:p>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86" w:name="_Toc406402992"/>
      <w:bookmarkStart w:id="87" w:name="_Toc402963086"/>
      <w:bookmarkStart w:id="88" w:name="_Toc402963119"/>
      <w:bookmarkStart w:id="89" w:name="_Toc406402948"/>
      <w:bookmarkStart w:id="90" w:name="_Toc16383"/>
      <w:bookmarkStart w:id="91" w:name="_Toc385854148"/>
      <w:bookmarkStart w:id="92" w:name="_Toc385854102"/>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供应商可拒绝接受延期要求。同意延长有效期的供应商不能修改投标文件。</w:t>
      </w:r>
      <w:bookmarkEnd w:id="86"/>
      <w:bookmarkEnd w:id="87"/>
      <w:bookmarkEnd w:id="88"/>
      <w:bookmarkEnd w:id="89"/>
      <w:bookmarkEnd w:id="90"/>
      <w:bookmarkEnd w:id="91"/>
      <w:bookmarkEnd w:id="92"/>
    </w:p>
    <w:p>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93" w:name="_Toc385854149"/>
      <w:bookmarkStart w:id="94" w:name="_Toc406402993"/>
      <w:bookmarkStart w:id="95" w:name="_Toc385854103"/>
      <w:bookmarkStart w:id="96" w:name="_Toc406402949"/>
      <w:bookmarkStart w:id="97" w:name="_Toc402963120"/>
      <w:bookmarkStart w:id="98" w:name="_Toc3664"/>
      <w:bookmarkStart w:id="99" w:name="_Toc402963087"/>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中标人的投标文件自开标之日起至合同履行完毕止均应保持有效。</w:t>
      </w:r>
      <w:bookmarkEnd w:id="93"/>
      <w:bookmarkEnd w:id="94"/>
      <w:bookmarkEnd w:id="95"/>
      <w:bookmarkEnd w:id="96"/>
      <w:bookmarkEnd w:id="97"/>
      <w:bookmarkEnd w:id="98"/>
      <w:bookmarkEnd w:id="99"/>
    </w:p>
    <w:p>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100" w:name="_Toc22564"/>
      <w:bookmarkStart w:id="101" w:name="_Toc402963122"/>
      <w:bookmarkStart w:id="102" w:name="_Toc406402995"/>
      <w:bookmarkStart w:id="103" w:name="_Toc385854105"/>
      <w:bookmarkStart w:id="104" w:name="_Toc402963089"/>
      <w:bookmarkStart w:id="105" w:name="_Toc385854151"/>
      <w:bookmarkStart w:id="106" w:name="_Toc406402951"/>
      <w:r>
        <w:rPr>
          <w:rFonts w:hint="eastAsia" w:asciiTheme="minorEastAsia" w:hAnsiTheme="minorEastAsia" w:eastAsiaTheme="minorEastAsia"/>
          <w:b/>
          <w:color w:val="auto"/>
          <w:sz w:val="18"/>
          <w:szCs w:val="18"/>
          <w:highlight w:val="none"/>
        </w:rPr>
        <w:t>（五）投标文件的签署和份数</w:t>
      </w:r>
      <w:bookmarkEnd w:id="100"/>
      <w:bookmarkEnd w:id="101"/>
      <w:bookmarkEnd w:id="102"/>
      <w:bookmarkEnd w:id="103"/>
      <w:bookmarkEnd w:id="104"/>
      <w:bookmarkEnd w:id="105"/>
      <w:bookmarkEnd w:id="106"/>
    </w:p>
    <w:p>
      <w:pPr>
        <w:snapToGrid w:val="0"/>
        <w:spacing w:beforeLines="50" w:line="360" w:lineRule="auto"/>
        <w:ind w:firstLine="352" w:firstLineChars="196"/>
        <w:jc w:val="left"/>
        <w:outlineLvl w:val="0"/>
        <w:rPr>
          <w:rFonts w:asciiTheme="minorEastAsia" w:hAnsiTheme="minorEastAsia" w:eastAsiaTheme="minorEastAsia"/>
          <w:color w:val="auto"/>
          <w:sz w:val="18"/>
          <w:szCs w:val="18"/>
          <w:highlight w:val="none"/>
        </w:rPr>
      </w:pPr>
      <w:bookmarkStart w:id="107" w:name="_Toc19133"/>
      <w:r>
        <w:rPr>
          <w:rFonts w:hint="eastAsia" w:asciiTheme="minorEastAsia" w:hAnsiTheme="minorEastAsia" w:eastAsiaTheme="minorEastAsia"/>
          <w:color w:val="auto"/>
          <w:sz w:val="18"/>
          <w:szCs w:val="18"/>
          <w:highlight w:val="none"/>
        </w:rPr>
        <w:t>电子投标文件按政采云平台供应商电子招投标操作指南（网址：https://help.zcygov.cn/web/site_2/2018/12-28/2573.html）及本招标文件规定的格式和顺序编制电子投标文件并进行关联定位。</w:t>
      </w:r>
      <w:bookmarkEnd w:id="107"/>
    </w:p>
    <w:p>
      <w:pPr>
        <w:snapToGrid w:val="0"/>
        <w:spacing w:line="360" w:lineRule="auto"/>
        <w:ind w:firstLine="354" w:firstLineChars="196"/>
        <w:outlineLvl w:val="2"/>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（六）投标无效的情形</w:t>
      </w:r>
    </w:p>
    <w:p>
      <w:pPr>
        <w:snapToGrid w:val="0"/>
        <w:spacing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实质上没有响应招标文件要求的投标将被视为无效投标。供应商修改、补正投标文件后，不影响评标委员会对其投标文件所作的评价和评分结果。</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电子投标文件解密失败的，且未在规定时间内提交</w:t>
      </w:r>
      <w:r>
        <w:rPr>
          <w:rFonts w:hint="eastAsia" w:asciiTheme="minorEastAsia" w:hAnsiTheme="minorEastAsia" w:eastAsiaTheme="minorEastAsia"/>
          <w:b/>
          <w:color w:val="auto"/>
          <w:sz w:val="18"/>
          <w:szCs w:val="18"/>
          <w:highlight w:val="none"/>
        </w:rPr>
        <w:t>有效</w:t>
      </w:r>
      <w:r>
        <w:rPr>
          <w:rFonts w:asciiTheme="minorEastAsia" w:hAnsiTheme="minorEastAsia" w:eastAsiaTheme="minorEastAsia"/>
          <w:b/>
          <w:color w:val="auto"/>
          <w:sz w:val="18"/>
          <w:szCs w:val="18"/>
          <w:highlight w:val="none"/>
        </w:rPr>
        <w:t>备份投标文件的</w:t>
      </w:r>
      <w:r>
        <w:rPr>
          <w:rFonts w:hint="eastAsia" w:asciiTheme="minorEastAsia" w:hAnsiTheme="minorEastAsia" w:eastAsiaTheme="minorEastAsia"/>
          <w:b/>
          <w:color w:val="auto"/>
          <w:sz w:val="18"/>
          <w:szCs w:val="18"/>
          <w:highlight w:val="none"/>
        </w:rPr>
        <w:t>。</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2.</w:t>
      </w:r>
      <w:r>
        <w:rPr>
          <w:rFonts w:hint="eastAsia" w:asciiTheme="minorEastAsia" w:hAnsiTheme="minorEastAsia" w:eastAsiaTheme="minorEastAsia"/>
          <w:b/>
          <w:color w:val="auto"/>
          <w:sz w:val="18"/>
          <w:szCs w:val="18"/>
          <w:highlight w:val="none"/>
        </w:rPr>
        <w:t>没有通过资格审查的，</w:t>
      </w:r>
      <w:r>
        <w:rPr>
          <w:rFonts w:asciiTheme="minorEastAsia" w:hAnsiTheme="minorEastAsia" w:eastAsiaTheme="minorEastAsia"/>
          <w:b/>
          <w:color w:val="auto"/>
          <w:sz w:val="18"/>
          <w:szCs w:val="18"/>
          <w:highlight w:val="none"/>
        </w:rPr>
        <w:t>投标文件将被视为无效。</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w:t>
      </w:r>
      <w:r>
        <w:rPr>
          <w:rFonts w:asciiTheme="minorEastAsia" w:hAnsiTheme="minorEastAsia" w:eastAsiaTheme="minorEastAsia"/>
          <w:b/>
          <w:color w:val="auto"/>
          <w:sz w:val="18"/>
          <w:szCs w:val="18"/>
          <w:highlight w:val="none"/>
        </w:rPr>
        <w:t>在符合性审查和商务评审时，如发现下列情形之一的，投标文件将被视为无效：</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r>
        <w:rPr>
          <w:rFonts w:asciiTheme="minorEastAsia" w:hAnsiTheme="minorEastAsia" w:eastAsiaTheme="minorEastAsia"/>
          <w:bCs/>
          <w:color w:val="auto"/>
          <w:sz w:val="18"/>
          <w:szCs w:val="18"/>
          <w:highlight w:val="none"/>
        </w:rPr>
        <w:t>）电子投标文件未按规定要求提供电子签章的</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（2）在资信商务技术文件中出现报价的；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资格证明文件不全的，或者不符合招标文件标明的资格要求的</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r>
        <w:rPr>
          <w:rFonts w:asciiTheme="minorEastAsia" w:hAnsiTheme="minorEastAsia" w:eastAsiaTheme="minorEastAsia"/>
          <w:bCs/>
          <w:color w:val="auto"/>
          <w:sz w:val="18"/>
          <w:szCs w:val="18"/>
          <w:highlight w:val="none"/>
        </w:rPr>
        <w:t>）投标文件无法定代表人签字</w:t>
      </w:r>
      <w:r>
        <w:rPr>
          <w:rFonts w:hint="eastAsia" w:asciiTheme="minorEastAsia" w:hAnsiTheme="minorEastAsia" w:eastAsiaTheme="minorEastAsia"/>
          <w:bCs/>
          <w:color w:val="auto"/>
          <w:sz w:val="18"/>
          <w:szCs w:val="18"/>
          <w:highlight w:val="none"/>
        </w:rPr>
        <w:t>（或盖章）</w:t>
      </w:r>
      <w:r>
        <w:rPr>
          <w:rFonts w:asciiTheme="minorEastAsia" w:hAnsiTheme="minorEastAsia" w:eastAsiaTheme="minorEastAsia"/>
          <w:bCs/>
          <w:color w:val="auto"/>
          <w:sz w:val="18"/>
          <w:szCs w:val="18"/>
          <w:highlight w:val="none"/>
        </w:rPr>
        <w:t>,或未</w:t>
      </w:r>
      <w:r>
        <w:rPr>
          <w:rFonts w:hint="eastAsia" w:asciiTheme="minorEastAsia" w:hAnsiTheme="minorEastAsia" w:eastAsiaTheme="minorEastAsia"/>
          <w:bCs/>
          <w:color w:val="auto"/>
          <w:sz w:val="18"/>
          <w:szCs w:val="18"/>
          <w:highlight w:val="none"/>
        </w:rPr>
        <w:t>提供法定代表人授权委托书、投标声明书或者填写项目不齐全的；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5</w:t>
      </w: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投标代表人未能出具身份证明或与法定代表人授权委托人身份不符的；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6</w:t>
      </w:r>
      <w:r>
        <w:rPr>
          <w:rFonts w:asciiTheme="minorEastAsia" w:hAnsiTheme="minorEastAsia" w:eastAsiaTheme="minorEastAsia"/>
          <w:bCs/>
          <w:color w:val="auto"/>
          <w:sz w:val="18"/>
          <w:szCs w:val="18"/>
          <w:highlight w:val="none"/>
        </w:rPr>
        <w:t>）投标文件格式不规范、项目不齐全或者内容虚假的；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7</w:t>
      </w:r>
      <w:r>
        <w:rPr>
          <w:rFonts w:asciiTheme="minorEastAsia" w:hAnsiTheme="minorEastAsia" w:eastAsiaTheme="minorEastAsia"/>
          <w:bCs/>
          <w:color w:val="auto"/>
          <w:sz w:val="18"/>
          <w:szCs w:val="18"/>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 w:val="18"/>
          <w:szCs w:val="18"/>
          <w:highlight w:val="none"/>
        </w:rPr>
        <w:t>并</w:t>
      </w:r>
      <w:r>
        <w:rPr>
          <w:rFonts w:asciiTheme="minorEastAsia" w:hAnsiTheme="minorEastAsia" w:eastAsiaTheme="minorEastAsia"/>
          <w:bCs/>
          <w:color w:val="auto"/>
          <w:sz w:val="18"/>
          <w:szCs w:val="18"/>
          <w:highlight w:val="none"/>
        </w:rPr>
        <w:t>允许其当场更正的笔误除外）</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8</w:t>
      </w:r>
      <w:r>
        <w:rPr>
          <w:rFonts w:asciiTheme="minorEastAsia" w:hAnsiTheme="minorEastAsia" w:eastAsiaTheme="minorEastAsia"/>
          <w:bCs/>
          <w:color w:val="auto"/>
          <w:sz w:val="18"/>
          <w:szCs w:val="18"/>
          <w:highlight w:val="none"/>
        </w:rPr>
        <w:t>）投标有效期、交货时间、质保期等商务条款不能满足招标文件要求的；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（9）未实质性</w:t>
      </w:r>
      <w:r>
        <w:rPr>
          <w:rFonts w:asciiTheme="minorEastAsia" w:hAnsiTheme="minorEastAsia" w:eastAsiaTheme="minorEastAsia"/>
          <w:bCs/>
          <w:color w:val="auto"/>
          <w:sz w:val="18"/>
          <w:szCs w:val="18"/>
          <w:highlight w:val="none"/>
        </w:rPr>
        <w:t>响应招标文件要求或者投标文件有招标方不能接受的附加条件的</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（10）不符合本招标文件中的实质性要求条款。</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w:t>
      </w:r>
      <w:r>
        <w:rPr>
          <w:rFonts w:asciiTheme="minorEastAsia" w:hAnsiTheme="minorEastAsia" w:eastAsiaTheme="minorEastAsia"/>
          <w:b/>
          <w:color w:val="auto"/>
          <w:sz w:val="18"/>
          <w:szCs w:val="18"/>
          <w:highlight w:val="none"/>
        </w:rPr>
        <w:t>在技术评审时，如发现下列情形之一的，投标文件将被视为无效：</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（1）未提供或未如实提供投标货物的技术参数，或者投标文件标明的响应或偏离与事实不符或虚假投标的；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（2）明显不符合招标文件</w:t>
      </w:r>
      <w:r>
        <w:rPr>
          <w:rFonts w:hint="eastAsia" w:asciiTheme="minorEastAsia" w:hAnsiTheme="minorEastAsia" w:eastAsiaTheme="minorEastAsia"/>
          <w:bCs/>
          <w:color w:val="auto"/>
          <w:sz w:val="18"/>
          <w:szCs w:val="18"/>
          <w:highlight w:val="none"/>
        </w:rPr>
        <w:t>要求</w:t>
      </w:r>
      <w:r>
        <w:rPr>
          <w:rFonts w:asciiTheme="minorEastAsia" w:hAnsiTheme="minorEastAsia" w:eastAsiaTheme="minorEastAsia"/>
          <w:bCs/>
          <w:color w:val="auto"/>
          <w:sz w:val="18"/>
          <w:szCs w:val="18"/>
          <w:highlight w:val="none"/>
        </w:rPr>
        <w:t>的规格型号、质量标准，或者</w:t>
      </w:r>
      <w:r>
        <w:rPr>
          <w:rFonts w:hint="eastAsia" w:asciiTheme="minorEastAsia" w:hAnsiTheme="minorEastAsia" w:eastAsiaTheme="minorEastAsia"/>
          <w:bCs/>
          <w:color w:val="auto"/>
          <w:sz w:val="18"/>
          <w:szCs w:val="18"/>
          <w:highlight w:val="none"/>
        </w:rPr>
        <w:t>与</w:t>
      </w:r>
      <w:r>
        <w:rPr>
          <w:rFonts w:asciiTheme="minorEastAsia" w:hAnsiTheme="minorEastAsia" w:eastAsiaTheme="minorEastAsia"/>
          <w:bCs/>
          <w:color w:val="auto"/>
          <w:sz w:val="18"/>
          <w:szCs w:val="18"/>
          <w:highlight w:val="none"/>
        </w:rPr>
        <w:t>招标文件中标“▲”的技术指标、主要功能项目发生实质性偏离的；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）投标技术方案不明确，存在一个或一个以上备选（替代）投标方案的；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（4）与其他参加本次投标供应商的投标文件（技术文件）的文字表述内容相同连续20行以上或者差错相同2处以上的。</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w:t>
      </w:r>
      <w:r>
        <w:rPr>
          <w:rFonts w:asciiTheme="minorEastAsia" w:hAnsiTheme="minorEastAsia" w:eastAsiaTheme="minorEastAsia"/>
          <w:b/>
          <w:color w:val="auto"/>
          <w:sz w:val="18"/>
          <w:szCs w:val="18"/>
          <w:highlight w:val="none"/>
        </w:rPr>
        <w:t>在报价评审时，如发现下列情形之一的，投标文件将被视为无效：</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（1）未采用人民币报价或者未按照招标文件标明的币种报价的；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（2）报价超出最高限价</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 xml:space="preserve">（3）投标报价具有选择性，或者开标价格与投标文件承诺的优惠（折扣）价格不一致的。 </w:t>
      </w:r>
    </w:p>
    <w:p>
      <w:pPr>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bCs/>
          <w:color w:val="auto"/>
          <w:sz w:val="18"/>
          <w:szCs w:val="18"/>
          <w:highlight w:val="none"/>
        </w:rPr>
        <w:t xml:space="preserve">（4） 投标报价明细表总额与开标一览表总价不一致，且高于总价5％的。 </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6.</w:t>
      </w:r>
      <w:r>
        <w:rPr>
          <w:rFonts w:asciiTheme="minorEastAsia" w:hAnsiTheme="minorEastAsia" w:eastAsiaTheme="minorEastAsia"/>
          <w:b/>
          <w:color w:val="auto"/>
          <w:sz w:val="18"/>
          <w:szCs w:val="18"/>
          <w:highlight w:val="none"/>
        </w:rPr>
        <w:t>被拒绝的投标文件为无效。</w:t>
      </w:r>
    </w:p>
    <w:p>
      <w:pPr>
        <w:pStyle w:val="24"/>
        <w:snapToGrid w:val="0"/>
        <w:spacing w:line="360" w:lineRule="auto"/>
        <w:ind w:firstLine="354" w:firstLineChars="196"/>
        <w:rPr>
          <w:rFonts w:asciiTheme="minorEastAsia" w:hAnsiTheme="minorEastAsia" w:eastAsiaTheme="minorEastAsia"/>
          <w:b/>
          <w:snapToGrid w:val="0"/>
          <w:color w:val="auto"/>
          <w:sz w:val="18"/>
          <w:szCs w:val="18"/>
          <w:highlight w:val="none"/>
        </w:rPr>
      </w:pPr>
    </w:p>
    <w:p>
      <w:pPr>
        <w:pStyle w:val="24"/>
        <w:snapToGrid w:val="0"/>
        <w:spacing w:line="360" w:lineRule="auto"/>
        <w:ind w:firstLine="354" w:firstLineChars="196"/>
        <w:jc w:val="center"/>
        <w:outlineLvl w:val="1"/>
        <w:rPr>
          <w:rFonts w:asciiTheme="minorEastAsia" w:hAnsiTheme="minorEastAsia" w:eastAsiaTheme="minorEastAsia"/>
          <w:b/>
          <w:snapToGrid w:val="0"/>
          <w:color w:val="auto"/>
          <w:sz w:val="18"/>
          <w:szCs w:val="18"/>
          <w:highlight w:val="none"/>
        </w:rPr>
      </w:pPr>
      <w:r>
        <w:rPr>
          <w:rFonts w:hint="eastAsia" w:asciiTheme="minorEastAsia" w:hAnsiTheme="minorEastAsia" w:eastAsiaTheme="minorEastAsia"/>
          <w:b/>
          <w:color w:val="auto"/>
          <w:sz w:val="18"/>
          <w:szCs w:val="18"/>
          <w:highlight w:val="none"/>
        </w:rPr>
        <w:t>四、开标</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1、本项目实行电子开评标，供应商无需到开标现场，但须准时在线参加，直至评审结束。</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2、电子开评标及评审程序</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2.1投标截止时间后的半小时内，由各供应商自行对电子投标文件进行解密（请各供应商务必在规定时间内完成电子投标文件的解密工作。 </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2.2.采购人或代理机构对供应商的资格审查文件进行</w:t>
      </w:r>
      <w:r>
        <w:rPr>
          <w:rFonts w:asciiTheme="minorEastAsia" w:hAnsiTheme="minorEastAsia" w:eastAsiaTheme="minorEastAsia"/>
          <w:color w:val="auto"/>
          <w:sz w:val="18"/>
          <w:szCs w:val="18"/>
          <w:highlight w:val="none"/>
        </w:rPr>
        <w:t>审查；</w:t>
      </w:r>
      <w:r>
        <w:rPr>
          <w:rFonts w:hint="eastAsia" w:asciiTheme="minorEastAsia" w:hAnsiTheme="minorEastAsia" w:eastAsiaTheme="minorEastAsia"/>
          <w:color w:val="auto"/>
          <w:sz w:val="18"/>
          <w:szCs w:val="18"/>
          <w:highlight w:val="none"/>
        </w:rPr>
        <w:t>评标委员会对供应商的资信商务及技术响应文件进行评审；</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2.3评标委员会对报价文件进行评审；</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评标委员会</w:t>
      </w:r>
      <w:r>
        <w:rPr>
          <w:rFonts w:asciiTheme="minorEastAsia" w:hAnsiTheme="minorEastAsia" w:eastAsiaTheme="minorEastAsia"/>
          <w:color w:val="auto"/>
          <w:sz w:val="18"/>
          <w:szCs w:val="18"/>
          <w:highlight w:val="none"/>
        </w:rPr>
        <w:t>撰写评审报告，推荐中标候选人。</w:t>
      </w:r>
    </w:p>
    <w:p>
      <w:pPr>
        <w:pStyle w:val="30"/>
        <w:snapToGrid w:val="0"/>
        <w:spacing w:beforeLines="0" w:afterLines="0" w:line="360" w:lineRule="auto"/>
        <w:ind w:left="742" w:leftChars="267" w:hanging="181" w:hangingChars="100"/>
        <w:jc w:val="center"/>
        <w:outlineLvl w:val="9"/>
        <w:rPr>
          <w:rFonts w:asciiTheme="minorEastAsia" w:hAnsiTheme="minorEastAsia" w:eastAsiaTheme="minorEastAsia"/>
          <w:b/>
          <w:color w:val="auto"/>
          <w:sz w:val="18"/>
          <w:szCs w:val="18"/>
          <w:highlight w:val="none"/>
        </w:rPr>
      </w:pPr>
    </w:p>
    <w:p>
      <w:pPr>
        <w:pStyle w:val="30"/>
        <w:snapToGrid w:val="0"/>
        <w:spacing w:beforeLines="0" w:afterLines="0" w:line="360" w:lineRule="auto"/>
        <w:ind w:left="742" w:leftChars="267" w:hanging="181" w:hangingChars="100"/>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五、评标</w:t>
      </w:r>
    </w:p>
    <w:p>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（一）组建评标委员会</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评标委员会由采购人代表和评审专家组成，</w:t>
      </w:r>
      <w:r>
        <w:rPr>
          <w:rFonts w:asciiTheme="minorEastAsia" w:hAnsiTheme="minorEastAsia" w:eastAsiaTheme="minorEastAsia"/>
          <w:color w:val="auto"/>
          <w:sz w:val="18"/>
          <w:szCs w:val="18"/>
          <w:highlight w:val="none"/>
        </w:rPr>
        <w:t>政府采购评审专家</w:t>
      </w:r>
      <w:r>
        <w:rPr>
          <w:rFonts w:hint="eastAsia" w:asciiTheme="minorEastAsia" w:hAnsiTheme="minorEastAsia" w:eastAsiaTheme="minorEastAsia"/>
          <w:color w:val="auto"/>
          <w:sz w:val="18"/>
          <w:szCs w:val="18"/>
          <w:highlight w:val="none"/>
          <w:u w:val="single"/>
          <w:lang w:val="en-US" w:eastAsia="zh-CN"/>
        </w:rPr>
        <w:t>5</w:t>
      </w:r>
      <w:r>
        <w:rPr>
          <w:rFonts w:asciiTheme="minorEastAsia" w:hAnsiTheme="minorEastAsia" w:eastAsiaTheme="minorEastAsia"/>
          <w:color w:val="auto"/>
          <w:sz w:val="18"/>
          <w:szCs w:val="18"/>
          <w:highlight w:val="none"/>
        </w:rPr>
        <w:t>人和采购人代表</w:t>
      </w:r>
      <w:r>
        <w:rPr>
          <w:rFonts w:hint="eastAsia" w:asciiTheme="minorEastAsia" w:hAnsiTheme="minorEastAsia" w:eastAsiaTheme="minorEastAsia"/>
          <w:color w:val="auto"/>
          <w:sz w:val="18"/>
          <w:szCs w:val="18"/>
          <w:highlight w:val="none"/>
          <w:u w:val="single"/>
          <w:lang w:val="en-US" w:eastAsia="zh-CN"/>
        </w:rPr>
        <w:t>2</w:t>
      </w:r>
      <w:r>
        <w:rPr>
          <w:rFonts w:asciiTheme="minorEastAsia" w:hAnsiTheme="minorEastAsia" w:eastAsiaTheme="minorEastAsia"/>
          <w:color w:val="auto"/>
          <w:sz w:val="18"/>
          <w:szCs w:val="18"/>
          <w:highlight w:val="none"/>
        </w:rPr>
        <w:t>人,共</w:t>
      </w:r>
      <w:r>
        <w:rPr>
          <w:rFonts w:hint="eastAsia" w:asciiTheme="minorEastAsia" w:hAnsiTheme="minorEastAsia" w:eastAsiaTheme="minorEastAsia"/>
          <w:color w:val="auto"/>
          <w:sz w:val="18"/>
          <w:szCs w:val="18"/>
          <w:highlight w:val="none"/>
          <w:u w:val="single"/>
          <w:lang w:val="en-US" w:eastAsia="zh-CN"/>
        </w:rPr>
        <w:t>7</w:t>
      </w:r>
      <w:r>
        <w:rPr>
          <w:rFonts w:asciiTheme="minorEastAsia" w:hAnsiTheme="minorEastAsia" w:eastAsiaTheme="minorEastAsia"/>
          <w:color w:val="auto"/>
          <w:sz w:val="18"/>
          <w:szCs w:val="18"/>
          <w:highlight w:val="none"/>
        </w:rPr>
        <w:t>人组成。</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评标委员会负责具体评标事务，并独立履行下列职责：</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1、审查、评价投标文件是否符合招标文件的商务、技术等实质性要求;</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2、要求供应商对投标文件有关事项作出澄清或者说明;</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3、对投标文件进行比较和评价;</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4、确定中标候选人名单，以及根据采购人委托直接确定中标人;</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5、向采购人、代理机构或者有关部门报告评标中发现的违法行为。</w:t>
      </w:r>
    </w:p>
    <w:p>
      <w:pPr>
        <w:widowControl/>
        <w:shd w:val="clear" w:color="auto" w:fill="FFFFFF"/>
        <w:spacing w:line="360" w:lineRule="auto"/>
        <w:ind w:firstLine="361" w:firstLineChars="200"/>
        <w:jc w:val="left"/>
        <w:rPr>
          <w:rFonts w:cs="宋体" w:asciiTheme="minorEastAsia" w:hAnsiTheme="minorEastAsia" w:eastAsiaTheme="minorEastAsia"/>
          <w:b/>
          <w:color w:val="auto"/>
          <w:kern w:val="0"/>
          <w:sz w:val="18"/>
          <w:szCs w:val="18"/>
          <w:highlight w:val="none"/>
          <w:u w:val="single"/>
        </w:rPr>
      </w:pPr>
      <w:r>
        <w:rPr>
          <w:rFonts w:hint="eastAsia" w:cs="宋体" w:asciiTheme="minorEastAsia" w:hAnsiTheme="minorEastAsia" w:eastAsiaTheme="minorEastAsia"/>
          <w:b/>
          <w:color w:val="auto"/>
          <w:kern w:val="0"/>
          <w:sz w:val="18"/>
          <w:szCs w:val="18"/>
          <w:highlight w:val="none"/>
          <w:u w:val="single"/>
        </w:rPr>
        <w:t>除采购人代表、评标现场组织人员外，采购人的其他工作人员以及与评标工作无关的人员不得进入评标现场。</w:t>
      </w:r>
    </w:p>
    <w:p>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（二）评标的方式</w:t>
      </w:r>
    </w:p>
    <w:p>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本项目采用不公开方式评标，评标的依据为招标文件和投标文件。</w:t>
      </w:r>
    </w:p>
    <w:p>
      <w:pPr>
        <w:pStyle w:val="30"/>
        <w:snapToGrid w:val="0"/>
        <w:spacing w:beforeLines="0" w:afterLines="0" w:line="360" w:lineRule="auto"/>
        <w:ind w:left="660" w:leftChars="228" w:hanging="181" w:hangingChars="100"/>
        <w:rPr>
          <w:rFonts w:asciiTheme="minorEastAsia" w:hAnsiTheme="minorEastAsia" w:eastAsiaTheme="minorEastAsia"/>
          <w:b/>
          <w:bCs/>
          <w:color w:val="auto"/>
          <w:sz w:val="18"/>
          <w:szCs w:val="18"/>
          <w:highlight w:val="none"/>
        </w:rPr>
      </w:pPr>
      <w:r>
        <w:rPr>
          <w:rFonts w:asciiTheme="minorEastAsia" w:hAnsiTheme="minorEastAsia" w:eastAsiaTheme="minorEastAsia"/>
          <w:b/>
          <w:color w:val="auto"/>
          <w:sz w:val="18"/>
          <w:szCs w:val="18"/>
          <w:highlight w:val="none"/>
        </w:rPr>
        <w:t>（三）</w:t>
      </w:r>
      <w:r>
        <w:rPr>
          <w:rFonts w:asciiTheme="minorEastAsia" w:hAnsiTheme="minorEastAsia" w:eastAsiaTheme="minorEastAsia"/>
          <w:b/>
          <w:bCs/>
          <w:color w:val="auto"/>
          <w:sz w:val="18"/>
          <w:szCs w:val="18"/>
          <w:highlight w:val="none"/>
        </w:rPr>
        <w:t>评标程序</w:t>
      </w:r>
    </w:p>
    <w:p>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1</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形式审查</w:t>
      </w:r>
    </w:p>
    <w:p>
      <w:pPr>
        <w:snapToGrid w:val="0"/>
        <w:spacing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形式审查</w:t>
      </w:r>
      <w:r>
        <w:rPr>
          <w:rFonts w:hint="eastAsia" w:asciiTheme="minorEastAsia" w:hAnsiTheme="minorEastAsia" w:eastAsiaTheme="minorEastAsia"/>
          <w:bCs/>
          <w:color w:val="auto"/>
          <w:sz w:val="18"/>
          <w:szCs w:val="18"/>
          <w:highlight w:val="none"/>
        </w:rPr>
        <w:t>包括资格审查（除符合性审查以外的关于供应商资格条件等内容）和符合性审查，即对供应商的资格</w:t>
      </w:r>
      <w:r>
        <w:rPr>
          <w:rFonts w:asciiTheme="minorEastAsia" w:hAnsiTheme="minorEastAsia" w:eastAsiaTheme="minorEastAsia"/>
          <w:bCs/>
          <w:color w:val="auto"/>
          <w:sz w:val="18"/>
          <w:szCs w:val="18"/>
          <w:highlight w:val="none"/>
        </w:rPr>
        <w:t>和投标文件的完整性、合法性等进行审查。</w:t>
      </w:r>
      <w:r>
        <w:rPr>
          <w:rFonts w:hint="eastAsia" w:asciiTheme="minorEastAsia" w:hAnsiTheme="minorEastAsia" w:eastAsiaTheme="minorEastAsia"/>
          <w:bCs/>
          <w:color w:val="auto"/>
          <w:sz w:val="18"/>
          <w:szCs w:val="18"/>
          <w:highlight w:val="none"/>
        </w:rPr>
        <w:t>投标文件形式审查未通过的供应商，其投标文件将不再评审。</w:t>
      </w:r>
    </w:p>
    <w:p>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实质审查与比较</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1）评标委员会审查投标文件的实质性内容是否符合招标文件的实质性要求。</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询标</w:t>
      </w:r>
      <w:r>
        <w:rPr>
          <w:rFonts w:hint="eastAsia" w:asciiTheme="minorEastAsia" w:hAnsiTheme="minorEastAsia" w:eastAsiaTheme="minorEastAsia"/>
          <w:color w:val="auto"/>
          <w:sz w:val="18"/>
          <w:szCs w:val="18"/>
          <w:highlight w:val="none"/>
        </w:rPr>
        <w:t>时，供应商代表未到场或者拒绝澄清或者澄清的内容改变了投标文件的实质性内容的，评标委员会有权对该投标文件作出不利于供应商的评判。</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3）各供应商的</w:t>
      </w:r>
      <w:r>
        <w:rPr>
          <w:rFonts w:hint="eastAsia" w:asciiTheme="minorEastAsia" w:hAnsiTheme="minorEastAsia" w:eastAsiaTheme="minorEastAsia"/>
          <w:color w:val="auto"/>
          <w:sz w:val="18"/>
          <w:szCs w:val="18"/>
          <w:highlight w:val="none"/>
        </w:rPr>
        <w:t>资信商务及技术分按照评标委员会成员的独立评分结果汇后的算术平均分计算</w:t>
      </w:r>
      <w:r>
        <w:rPr>
          <w:rFonts w:asciiTheme="minorEastAsia" w:hAnsiTheme="minorEastAsia" w:eastAsiaTheme="minorEastAsia"/>
          <w:color w:val="auto"/>
          <w:sz w:val="18"/>
          <w:szCs w:val="18"/>
          <w:highlight w:val="none"/>
        </w:rPr>
        <w:t>。</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嘉兴市银建工程咨询评估有限公司工作人员协助</w:t>
      </w:r>
      <w:r>
        <w:rPr>
          <w:rFonts w:asciiTheme="minorEastAsia" w:hAnsiTheme="minorEastAsia" w:eastAsiaTheme="minorEastAsia"/>
          <w:color w:val="auto"/>
          <w:sz w:val="18"/>
          <w:szCs w:val="18"/>
          <w:highlight w:val="none"/>
        </w:rPr>
        <w:t>评标委员会根据</w:t>
      </w:r>
      <w:r>
        <w:rPr>
          <w:rFonts w:hint="eastAsia" w:asciiTheme="minorEastAsia" w:hAnsiTheme="minorEastAsia" w:eastAsiaTheme="minorEastAsia"/>
          <w:color w:val="auto"/>
          <w:sz w:val="18"/>
          <w:szCs w:val="18"/>
          <w:highlight w:val="none"/>
        </w:rPr>
        <w:t>本项目的评分标准操作政府采购业务系统，由系统</w:t>
      </w:r>
      <w:r>
        <w:rPr>
          <w:rFonts w:asciiTheme="minorEastAsia" w:hAnsiTheme="minorEastAsia" w:eastAsiaTheme="minorEastAsia"/>
          <w:color w:val="auto"/>
          <w:sz w:val="18"/>
          <w:szCs w:val="18"/>
          <w:highlight w:val="none"/>
        </w:rPr>
        <w:t>计算各供应商的商务报价得分</w:t>
      </w:r>
      <w:r>
        <w:rPr>
          <w:rFonts w:hint="eastAsia" w:asciiTheme="minorEastAsia" w:hAnsiTheme="minorEastAsia" w:eastAsiaTheme="minorEastAsia"/>
          <w:color w:val="auto"/>
          <w:sz w:val="18"/>
          <w:szCs w:val="18"/>
          <w:highlight w:val="none"/>
        </w:rPr>
        <w:t>。</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5）评标委员会完成评标后,评委对各部分得分汇总,</w:t>
      </w:r>
      <w:r>
        <w:rPr>
          <w:rFonts w:hint="eastAsia" w:asciiTheme="minorEastAsia" w:hAnsiTheme="minorEastAsia" w:eastAsiaTheme="minorEastAsia"/>
          <w:color w:val="auto"/>
          <w:sz w:val="18"/>
          <w:szCs w:val="18"/>
          <w:highlight w:val="none"/>
        </w:rPr>
        <w:t>计算</w:t>
      </w:r>
      <w:r>
        <w:rPr>
          <w:rFonts w:asciiTheme="minorEastAsia" w:hAnsiTheme="minorEastAsia" w:eastAsiaTheme="minorEastAsia"/>
          <w:color w:val="auto"/>
          <w:sz w:val="18"/>
          <w:szCs w:val="18"/>
          <w:highlight w:val="none"/>
        </w:rPr>
        <w:t>出本项目</w:t>
      </w:r>
      <w:r>
        <w:rPr>
          <w:rFonts w:hint="eastAsia" w:asciiTheme="minorEastAsia" w:hAnsiTheme="minorEastAsia" w:eastAsiaTheme="minorEastAsia"/>
          <w:color w:val="auto"/>
          <w:sz w:val="18"/>
          <w:szCs w:val="18"/>
          <w:highlight w:val="none"/>
        </w:rPr>
        <w:t>最终得分、性价比、评标价等</w:t>
      </w:r>
      <w:r>
        <w:rPr>
          <w:rFonts w:asciiTheme="minorEastAsia" w:hAnsiTheme="minorEastAsia" w:eastAsiaTheme="minorEastAsia"/>
          <w:color w:val="auto"/>
          <w:sz w:val="18"/>
          <w:szCs w:val="18"/>
          <w:highlight w:val="none"/>
        </w:rPr>
        <w:t>。评标委员会按评标原则推荐中标候选人同时起草评标报告。</w:t>
      </w:r>
    </w:p>
    <w:p>
      <w:pPr>
        <w:snapToGrid w:val="0"/>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（四）澄清问题的形式</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对投标文件中含义不明确、同类问题表述不一致或者有明显文字和计算错误的内容，评标委员会可要求供应商作出必要的澄清、说明或者纠正。</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2、如果供应商代表拒绝或</w:t>
      </w:r>
      <w:r>
        <w:rPr>
          <w:rFonts w:asciiTheme="minorEastAsia" w:hAnsiTheme="minorEastAsia" w:eastAsiaTheme="minorEastAsia"/>
          <w:color w:val="auto"/>
          <w:sz w:val="18"/>
          <w:szCs w:val="18"/>
          <w:highlight w:val="none"/>
        </w:rPr>
        <w:t>未</w:t>
      </w:r>
      <w:r>
        <w:rPr>
          <w:rFonts w:hint="eastAsia" w:asciiTheme="minorEastAsia" w:hAnsiTheme="minorEastAsia" w:eastAsiaTheme="minorEastAsia"/>
          <w:color w:val="auto"/>
          <w:sz w:val="18"/>
          <w:szCs w:val="18"/>
          <w:highlight w:val="none"/>
        </w:rPr>
        <w:t>按评标委员会要求在“政采云”平台作出在线回复且无其他有效回复方式的，评标委员会可以对其作出无效标处理。</w:t>
      </w:r>
    </w:p>
    <w:p>
      <w:pPr>
        <w:snapToGrid w:val="0"/>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（五）错误修正</w:t>
      </w:r>
    </w:p>
    <w:p>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投标文件如果出现计算或表达上的错误，修正错误的原则如下：</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.开标一览表总价与投标报价明细表汇总数不一致的，</w:t>
      </w:r>
      <w:r>
        <w:rPr>
          <w:rFonts w:hint="eastAsia" w:cs="Arial" w:asciiTheme="minorEastAsia" w:hAnsiTheme="minorEastAsia" w:eastAsiaTheme="minorEastAsia"/>
          <w:color w:val="auto"/>
          <w:kern w:val="0"/>
          <w:sz w:val="18"/>
          <w:szCs w:val="18"/>
          <w:highlight w:val="none"/>
        </w:rPr>
        <w:t>以开标一览表为准；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投标文件的大写金额和小写金额不一致的，以大写金额为准；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总价金额与按单价汇总金额不一致的，以单价金额计算结果为准；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对不同文字文本投标文件的解释发生异议的，以中文文本为准。</w:t>
      </w:r>
    </w:p>
    <w:p>
      <w:pPr>
        <w:pStyle w:val="30"/>
        <w:snapToGrid w:val="0"/>
        <w:spacing w:beforeLines="0" w:afterLines="0" w:line="360" w:lineRule="auto"/>
        <w:ind w:firstLine="361" w:firstLineChars="200"/>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按上述修正错误的原则及方法调整或修正投标文件的投标报价，供应商同意</w:t>
      </w:r>
      <w:r>
        <w:rPr>
          <w:rFonts w:hint="eastAsia" w:asciiTheme="minorEastAsia" w:hAnsiTheme="minorEastAsia" w:eastAsiaTheme="minorEastAsia"/>
          <w:b/>
          <w:bCs/>
          <w:color w:val="auto"/>
          <w:sz w:val="18"/>
          <w:szCs w:val="18"/>
          <w:highlight w:val="none"/>
        </w:rPr>
        <w:t>并签字确认</w:t>
      </w:r>
      <w:r>
        <w:rPr>
          <w:rFonts w:asciiTheme="minorEastAsia" w:hAnsiTheme="minorEastAsia" w:eastAsiaTheme="minorEastAsia"/>
          <w:b/>
          <w:bCs/>
          <w:color w:val="auto"/>
          <w:sz w:val="18"/>
          <w:szCs w:val="18"/>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18"/>
          <w:szCs w:val="18"/>
          <w:highlight w:val="none"/>
        </w:rPr>
        <w:t>作为无效投标处理</w:t>
      </w:r>
      <w:r>
        <w:rPr>
          <w:rFonts w:asciiTheme="minorEastAsia" w:hAnsiTheme="minorEastAsia" w:eastAsiaTheme="minorEastAsia"/>
          <w:b/>
          <w:bCs/>
          <w:color w:val="auto"/>
          <w:sz w:val="18"/>
          <w:szCs w:val="18"/>
          <w:highlight w:val="none"/>
        </w:rPr>
        <w:t>。</w:t>
      </w:r>
    </w:p>
    <w:p>
      <w:pPr>
        <w:pStyle w:val="30"/>
        <w:tabs>
          <w:tab w:val="left" w:pos="630"/>
        </w:tabs>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（六）评标原则和评标办法</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评标办法。本项目评标办法是</w:t>
      </w:r>
      <w:r>
        <w:rPr>
          <w:rFonts w:hint="eastAsia" w:asciiTheme="minorEastAsia" w:hAnsiTheme="minorEastAsia" w:eastAsiaTheme="minorEastAsia"/>
          <w:color w:val="auto"/>
          <w:sz w:val="18"/>
          <w:szCs w:val="18"/>
          <w:highlight w:val="none"/>
        </w:rPr>
        <w:t xml:space="preserve"> 综合评标法</w:t>
      </w:r>
      <w:r>
        <w:rPr>
          <w:rFonts w:asciiTheme="minorEastAsia" w:hAnsiTheme="minorEastAsia" w:eastAsiaTheme="minorEastAsia"/>
          <w:color w:val="auto"/>
          <w:sz w:val="18"/>
          <w:szCs w:val="18"/>
          <w:highlight w:val="none"/>
        </w:rPr>
        <w:t xml:space="preserve"> ，具体评标内容及评分标准等详见《第四章：评标办法及评分标准》。</w:t>
      </w:r>
    </w:p>
    <w:p>
      <w:pPr>
        <w:pStyle w:val="30"/>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（七）评标过程的监控</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本项目评标过程实行全程录音、录像监控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供应商在评标过程中所进行的</w:t>
      </w:r>
      <w:r>
        <w:rPr>
          <w:rFonts w:hint="eastAsia" w:asciiTheme="minorEastAsia" w:hAnsiTheme="minorEastAsia" w:eastAsiaTheme="minorEastAsia"/>
          <w:color w:val="auto"/>
          <w:sz w:val="18"/>
          <w:szCs w:val="18"/>
          <w:highlight w:val="none"/>
        </w:rPr>
        <w:t>试</w:t>
      </w:r>
      <w:r>
        <w:rPr>
          <w:rFonts w:asciiTheme="minorEastAsia" w:hAnsiTheme="minorEastAsia" w:eastAsiaTheme="minorEastAsia"/>
          <w:color w:val="auto"/>
          <w:sz w:val="18"/>
          <w:szCs w:val="18"/>
          <w:highlight w:val="none"/>
        </w:rPr>
        <w:t>图影响评标结果的不公正活动，可能导致其投标被拒绝。</w:t>
      </w:r>
    </w:p>
    <w:p>
      <w:pPr>
        <w:pStyle w:val="30"/>
        <w:snapToGrid w:val="0"/>
        <w:spacing w:beforeLines="0" w:afterLines="0" w:line="360" w:lineRule="auto"/>
        <w:outlineLvl w:val="9"/>
        <w:rPr>
          <w:rFonts w:asciiTheme="minorEastAsia" w:hAnsiTheme="minorEastAsia" w:eastAsiaTheme="minorEastAsia"/>
          <w:b/>
          <w:color w:val="auto"/>
          <w:sz w:val="18"/>
          <w:szCs w:val="18"/>
          <w:highlight w:val="none"/>
        </w:rPr>
      </w:pPr>
    </w:p>
    <w:p>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六、定标</w:t>
      </w:r>
    </w:p>
    <w:p>
      <w:pPr>
        <w:pStyle w:val="30"/>
        <w:snapToGrid w:val="0"/>
        <w:spacing w:beforeLines="0" w:afterLines="0"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（一）确定中标人。</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.嘉兴市银建工程咨询评估有限公司</w:t>
      </w:r>
      <w:r>
        <w:rPr>
          <w:rFonts w:asciiTheme="minorEastAsia" w:hAnsiTheme="minorEastAsia" w:eastAsiaTheme="minorEastAsia"/>
          <w:color w:val="auto"/>
          <w:sz w:val="18"/>
          <w:szCs w:val="18"/>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360"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z w:val="18"/>
          <w:szCs w:val="18"/>
          <w:highlight w:val="none"/>
        </w:rPr>
        <w:t>3. 在公告中标结果的同时，代理机构向中标人发出中标通知书。</w:t>
      </w:r>
    </w:p>
    <w:p>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七、合同授予</w:t>
      </w:r>
    </w:p>
    <w:p>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（一）签订合同</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.采购人与</w:t>
      </w:r>
      <w:r>
        <w:rPr>
          <w:rFonts w:asciiTheme="minorEastAsia" w:hAnsiTheme="minorEastAsia" w:eastAsiaTheme="minorEastAsia"/>
          <w:color w:val="auto"/>
          <w:sz w:val="18"/>
          <w:szCs w:val="18"/>
          <w:highlight w:val="none"/>
        </w:rPr>
        <w:t>中标人应</w:t>
      </w:r>
      <w:r>
        <w:rPr>
          <w:rFonts w:hint="eastAsia" w:asciiTheme="minorEastAsia" w:hAnsiTheme="minorEastAsia" w:eastAsiaTheme="minorEastAsia"/>
          <w:color w:val="auto"/>
          <w:sz w:val="18"/>
          <w:szCs w:val="18"/>
          <w:highlight w:val="none"/>
        </w:rPr>
        <w:t>当在《</w:t>
      </w:r>
      <w:r>
        <w:rPr>
          <w:rFonts w:asciiTheme="minorEastAsia" w:hAnsiTheme="minorEastAsia" w:eastAsiaTheme="minorEastAsia"/>
          <w:color w:val="auto"/>
          <w:sz w:val="18"/>
          <w:szCs w:val="18"/>
          <w:highlight w:val="none"/>
        </w:rPr>
        <w:t>中标通知书</w:t>
      </w:r>
      <w:r>
        <w:rPr>
          <w:rFonts w:hint="eastAsia" w:asciiTheme="minorEastAsia" w:hAnsiTheme="minorEastAsia" w:eastAsiaTheme="minorEastAsia"/>
          <w:color w:val="auto"/>
          <w:sz w:val="18"/>
          <w:szCs w:val="18"/>
          <w:highlight w:val="none"/>
        </w:rPr>
        <w:t>》发出之日起30日内签订政府采购合同。同时，代理机构对合同内容进行审查，如发现与采购结果和投标承诺内容不一致的，将予以纠正。</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中标人拖延、拒签合同的,将被取消中标资格</w:t>
      </w:r>
      <w:r>
        <w:rPr>
          <w:rFonts w:hint="eastAsia" w:asciiTheme="minorEastAsia" w:hAnsiTheme="minorEastAsia" w:eastAsiaTheme="minorEastAsia"/>
          <w:color w:val="auto"/>
          <w:sz w:val="18"/>
          <w:szCs w:val="18"/>
          <w:highlight w:val="none"/>
        </w:rPr>
        <w:t>，并报监督管理部门</w:t>
      </w:r>
      <w:r>
        <w:rPr>
          <w:rFonts w:asciiTheme="minorEastAsia" w:hAnsiTheme="minorEastAsia" w:eastAsiaTheme="minorEastAsia"/>
          <w:color w:val="auto"/>
          <w:sz w:val="18"/>
          <w:szCs w:val="18"/>
          <w:highlight w:val="none"/>
        </w:rPr>
        <w:t>。</w:t>
      </w:r>
    </w:p>
    <w:p>
      <w:pPr>
        <w:spacing w:line="360" w:lineRule="auto"/>
        <w:ind w:firstLine="354" w:firstLineChars="19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八、招标代理费</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1.招标代理机构</w:t>
      </w:r>
      <w:r>
        <w:rPr>
          <w:rFonts w:hint="eastAsia" w:asciiTheme="minorEastAsia" w:hAnsiTheme="minorEastAsia" w:eastAsiaTheme="minorEastAsia"/>
          <w:color w:val="auto"/>
          <w:sz w:val="18"/>
          <w:szCs w:val="18"/>
          <w:highlight w:val="none"/>
          <w:lang w:eastAsia="zh-CN"/>
        </w:rPr>
        <w:t>按标段</w:t>
      </w:r>
      <w:r>
        <w:rPr>
          <w:rFonts w:hint="eastAsia" w:asciiTheme="minorEastAsia" w:hAnsiTheme="minorEastAsia" w:eastAsiaTheme="minorEastAsia"/>
          <w:color w:val="auto"/>
          <w:sz w:val="18"/>
          <w:szCs w:val="18"/>
          <w:highlight w:val="none"/>
        </w:rPr>
        <w:t>向中标人收取招标代理服务费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，中标人应在收取《中标通知书》时向采购代理机构交纳招标代理服务费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招标代理</w:t>
      </w:r>
      <w:r>
        <w:rPr>
          <w:rFonts w:hint="eastAsia" w:asciiTheme="minorEastAsia" w:hAnsiTheme="minorEastAsia" w:eastAsiaTheme="minorEastAsia"/>
          <w:color w:val="auto"/>
          <w:sz w:val="18"/>
          <w:szCs w:val="18"/>
          <w:highlight w:val="none"/>
        </w:rPr>
        <w:t>服务费的收费标准按浙价服〔2003〕77号文规定计算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0.8</w:t>
            </w:r>
            <w:r>
              <w:rPr>
                <w:rFonts w:hint="eastAsia" w:asciiTheme="minorEastAsia" w:hAnsiTheme="minorEastAsia" w:eastAsiaTheme="minorEastAsia"/>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45</w:t>
            </w:r>
            <w:r>
              <w:rPr>
                <w:rFonts w:hint="eastAsia" w:asciiTheme="minorEastAsia" w:hAnsiTheme="minorEastAsia" w:eastAsiaTheme="minorEastAsia"/>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5％</w:t>
            </w:r>
          </w:p>
        </w:tc>
      </w:tr>
    </w:tbl>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招标代理服务收费按差额定率累进法计算</w:t>
      </w:r>
      <w:r>
        <w:rPr>
          <w:rFonts w:hint="eastAsia" w:asciiTheme="minorEastAsia" w:hAnsiTheme="minorEastAsia" w:eastAsiaTheme="minorEastAsia"/>
          <w:color w:val="auto"/>
          <w:sz w:val="18"/>
          <w:szCs w:val="18"/>
          <w:highlight w:val="none"/>
        </w:rPr>
        <w:t>。</w:t>
      </w:r>
    </w:p>
    <w:p>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2.本项目以服务类招标收费标准收取招标代理服务费服务费，对于招标代理服务费不足6000元的，按6000元计收。招标控制价编制服务费</w:t>
      </w:r>
      <w:r>
        <w:rPr>
          <w:rFonts w:hint="eastAsia" w:asciiTheme="minorEastAsia" w:hAnsiTheme="minorEastAsia" w:eastAsiaTheme="minorEastAsia"/>
          <w:color w:val="auto"/>
          <w:sz w:val="18"/>
          <w:szCs w:val="18"/>
          <w:highlight w:val="none"/>
          <w:lang w:eastAsia="zh-CN"/>
        </w:rPr>
        <w:t>按</w:t>
      </w:r>
      <w:r>
        <w:rPr>
          <w:rFonts w:hint="eastAsia" w:asciiTheme="minorEastAsia" w:hAnsiTheme="minorEastAsia" w:eastAsiaTheme="minorEastAsia"/>
          <w:color w:val="auto"/>
          <w:sz w:val="18"/>
          <w:szCs w:val="18"/>
          <w:highlight w:val="none"/>
        </w:rPr>
        <w:t>《浙江省建设工程造价咨询服务项目及收费指引》的通知(浙建价协[2021]13号计算的</w:t>
      </w:r>
      <w:r>
        <w:rPr>
          <w:rFonts w:hint="eastAsia" w:asciiTheme="minorEastAsia" w:hAnsiTheme="minorEastAsia" w:eastAsiaTheme="minorEastAsia"/>
          <w:color w:val="auto"/>
          <w:sz w:val="18"/>
          <w:szCs w:val="18"/>
          <w:highlight w:val="none"/>
          <w:lang w:eastAsia="zh-CN"/>
        </w:rPr>
        <w:t>标准收取</w:t>
      </w:r>
      <w:r>
        <w:rPr>
          <w:rFonts w:hint="eastAsia" w:asciiTheme="minorEastAsia" w:hAnsiTheme="minorEastAsia" w:eastAsiaTheme="minorEastAsia"/>
          <w:color w:val="auto"/>
          <w:sz w:val="18"/>
          <w:szCs w:val="18"/>
          <w:highlight w:val="none"/>
        </w:rPr>
        <w:t>，以招标控制价为计算基数</w:t>
      </w:r>
      <w:r>
        <w:rPr>
          <w:rFonts w:hint="eastAsia" w:asciiTheme="minorEastAsia" w:hAnsiTheme="minorEastAsia" w:eastAsiaTheme="minorEastAsia"/>
          <w:color w:val="auto"/>
          <w:sz w:val="18"/>
          <w:szCs w:val="18"/>
          <w:highlight w:val="none"/>
          <w:lang w:eastAsia="zh-CN"/>
        </w:rPr>
        <w:t>。</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支付方式：一次性以银行划账、现金或支票的形式支付。</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4.代理费以银行划账方式按下列要求提交：</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户名：嘉兴市银建工程咨询评估有限公司</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开户银行：建行嘉兴分行营业部</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账号：3300 1638 0470 5000 4370</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支付时间：招标代理服务费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必须在中标人领取《中标通知书》时一次性付清，如果中标人未能按时交纳服务费，采购代理机构/采购人保留追究其责任的权利。</w:t>
      </w:r>
    </w:p>
    <w:p>
      <w:pPr>
        <w:snapToGrid w:val="0"/>
        <w:spacing w:beforeLines="50" w:afterLines="50" w:line="360" w:lineRule="auto"/>
        <w:ind w:left="238" w:firstLine="18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 w:val="18"/>
          <w:szCs w:val="18"/>
          <w:highlight w:val="none"/>
        </w:rPr>
        <w:t>6.招标代理服务费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不在投标报价中单列。</w:t>
      </w:r>
    </w:p>
    <w:p>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108" w:name="_Toc30563"/>
      <w:r>
        <w:rPr>
          <w:rFonts w:hint="eastAsia" w:asciiTheme="minorEastAsia" w:hAnsiTheme="minorEastAsia" w:eastAsiaTheme="minorEastAsia"/>
          <w:b/>
          <w:color w:val="auto"/>
          <w:sz w:val="30"/>
          <w:szCs w:val="30"/>
          <w:highlight w:val="none"/>
        </w:rPr>
        <w:t>第四章 评分办法及评分标准</w:t>
      </w:r>
      <w:bookmarkEnd w:id="108"/>
    </w:p>
    <w:p>
      <w:pPr>
        <w:spacing w:beforeLines="50" w:afterLines="50"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为公正、公平、科学地选择中标人，根据《中华人民共和国政府采购法》等有关法律法规的规定，并结合本项目的实际，制定本办法。</w:t>
      </w:r>
    </w:p>
    <w:p>
      <w:pPr>
        <w:spacing w:beforeLines="50" w:afterLines="50" w:line="360" w:lineRule="auto"/>
        <w:ind w:firstLine="361"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b/>
          <w:color w:val="auto"/>
          <w:sz w:val="18"/>
          <w:szCs w:val="18"/>
          <w:highlight w:val="none"/>
        </w:rPr>
        <w:t>一 、总则</w:t>
      </w:r>
    </w:p>
    <w:p>
      <w:pPr>
        <w:spacing w:beforeLines="50" w:afterLines="50" w:line="360" w:lineRule="auto"/>
        <w:ind w:firstLine="360" w:firstLineChars="200"/>
        <w:rPr>
          <w:rFonts w:asciiTheme="minorEastAsia" w:hAnsiTheme="minorEastAsia" w:eastAsiaTheme="minorEastAsia"/>
          <w:color w:val="auto"/>
          <w:sz w:val="18"/>
          <w:szCs w:val="18"/>
          <w:highlight w:val="none"/>
        </w:rPr>
      </w:pPr>
      <w:bookmarkStart w:id="109" w:name="_Toc406402998"/>
      <w:r>
        <w:rPr>
          <w:rFonts w:hint="eastAsia" w:asciiTheme="minorEastAsia" w:hAnsiTheme="minorEastAsia" w:eastAsiaTheme="minorEastAsia"/>
          <w:color w:val="auto"/>
          <w:sz w:val="18"/>
          <w:szCs w:val="18"/>
          <w:highlight w:val="none"/>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beforeLines="50" w:afterLines="50" w:line="360" w:lineRule="auto"/>
        <w:ind w:firstLine="360" w:firstLineChars="200"/>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投标人评标综合得分=商务报价分+资信技术分</w:t>
      </w:r>
      <w:r>
        <w:rPr>
          <w:rFonts w:hint="eastAsia" w:asciiTheme="minorEastAsia" w:hAnsiTheme="minorEastAsia" w:eastAsiaTheme="minorEastAsia"/>
          <w:color w:val="auto"/>
          <w:sz w:val="18"/>
          <w:szCs w:val="18"/>
          <w:highlight w:val="none"/>
          <w:lang w:eastAsia="zh-CN"/>
        </w:rPr>
        <w:t>，每个标段分别打分。</w:t>
      </w:r>
    </w:p>
    <w:p>
      <w:pPr>
        <w:spacing w:beforeLines="50" w:afterLines="5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二、评标内容及标准</w:t>
      </w:r>
    </w:p>
    <w:p>
      <w:pPr>
        <w:spacing w:beforeLines="50" w:afterLines="50"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rPr>
        <w:t>商务报价</w:t>
      </w:r>
      <w:r>
        <w:rPr>
          <w:rFonts w:asciiTheme="minorEastAsia" w:hAnsiTheme="minorEastAsia" w:eastAsiaTheme="minorEastAsia"/>
          <w:b/>
          <w:color w:val="auto"/>
          <w:sz w:val="18"/>
          <w:szCs w:val="18"/>
          <w:highlight w:val="none"/>
        </w:rPr>
        <w:t>分（</w:t>
      </w:r>
      <w:r>
        <w:rPr>
          <w:rFonts w:hint="eastAsia" w:asciiTheme="minorEastAsia" w:hAnsiTheme="minorEastAsia" w:eastAsiaTheme="minorEastAsia"/>
          <w:b/>
          <w:color w:val="auto"/>
          <w:sz w:val="18"/>
          <w:szCs w:val="18"/>
          <w:highlight w:val="none"/>
        </w:rPr>
        <w:t>10分）</w:t>
      </w:r>
    </w:p>
    <w:p>
      <w:pPr>
        <w:pStyle w:val="24"/>
        <w:spacing w:beforeLines="50" w:afterLines="50" w:line="360" w:lineRule="auto"/>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1.价格分采用低价优先法计算，即满足招标文件要求且投标价格最低的投标报价为评标基准价，其他供应商的价格分按照下列公式计算：</w:t>
      </w:r>
    </w:p>
    <w:p>
      <w:pPr>
        <w:spacing w:beforeLines="50" w:after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价格分=（评标基准价/投标报价）×10%×100</w:t>
      </w:r>
    </w:p>
    <w:p>
      <w:pPr>
        <w:pStyle w:val="24"/>
        <w:spacing w:after="50" w:line="360" w:lineRule="auto"/>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r>
        <w:rPr>
          <w:rFonts w:asciiTheme="minorEastAsia" w:hAnsiTheme="minorEastAsia" w:eastAsiaTheme="minorEastAsia"/>
          <w:bCs/>
          <w:color w:val="auto"/>
          <w:sz w:val="18"/>
          <w:szCs w:val="18"/>
          <w:highlight w:val="none"/>
        </w:rPr>
        <w:t>扶持政策说明：</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w:t>
      </w:r>
      <w:r>
        <w:rPr>
          <w:rFonts w:hint="eastAsia" w:asciiTheme="minorEastAsia" w:hAnsiTheme="minorEastAsia" w:eastAsiaTheme="minorEastAsia"/>
          <w:bCs/>
          <w:color w:val="auto"/>
          <w:sz w:val="18"/>
          <w:szCs w:val="18"/>
          <w:highlight w:val="none"/>
        </w:rPr>
        <w:t>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bCs/>
          <w:color w:val="auto"/>
          <w:sz w:val="18"/>
          <w:szCs w:val="18"/>
          <w:highlight w:val="none"/>
          <w:lang w:val="en-US" w:eastAsia="zh-CN"/>
        </w:rPr>
        <w:t>1</w:t>
      </w:r>
      <w:r>
        <w:rPr>
          <w:rFonts w:hint="eastAsia" w:asciiTheme="minorEastAsia" w:hAnsiTheme="minorEastAsia" w:eastAsiaTheme="minorEastAsia"/>
          <w:bCs/>
          <w:color w:val="auto"/>
          <w:sz w:val="18"/>
          <w:szCs w:val="18"/>
          <w:highlight w:val="none"/>
        </w:rPr>
        <w:t>0%的扣除，用扣除后的价格参与评审。接受大中型企业与小微企业组成联合体或者允许大中型企业向一家或者多家小微企业分包的政府采购货物或服务项目，对于联合协议或者包意向协议约定小微企业的合同份额占到合同总金额30%以上的，对联合体或者大中型企业的报价给予</w:t>
      </w:r>
      <w:r>
        <w:rPr>
          <w:rFonts w:hint="eastAsia" w:asciiTheme="minorEastAsia" w:hAnsiTheme="minorEastAsia" w:eastAsiaTheme="minorEastAsia"/>
          <w:bCs/>
          <w:color w:val="auto"/>
          <w:sz w:val="18"/>
          <w:szCs w:val="18"/>
          <w:highlight w:val="none"/>
          <w:lang w:val="en-US" w:eastAsia="zh-CN"/>
        </w:rPr>
        <w:t>4</w:t>
      </w:r>
      <w:r>
        <w:rPr>
          <w:rFonts w:hint="eastAsia" w:asciiTheme="minorEastAsia" w:hAnsiTheme="minorEastAsia" w:eastAsiaTheme="minorEastAsia"/>
          <w:bCs/>
          <w:color w:val="auto"/>
          <w:sz w:val="18"/>
          <w:szCs w:val="18"/>
          <w:highlight w:val="none"/>
        </w:rPr>
        <w:t>%的扣除，用扣除后的价格参加评审。组成联合体或者接受分包的小微企业与联合体内其他企业、分包企业之间存在直接控股、管理关系的，不享受价格扣除优惠政策</w:t>
      </w:r>
      <w:r>
        <w:rPr>
          <w:rFonts w:asciiTheme="minorEastAsia" w:hAnsiTheme="minorEastAsia" w:eastAsiaTheme="minorEastAsia"/>
          <w:bCs/>
          <w:color w:val="auto"/>
          <w:sz w:val="18"/>
          <w:szCs w:val="18"/>
          <w:highlight w:val="none"/>
        </w:rPr>
        <w:t>。</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 xml:space="preserve">（2）根据《政府采购促进中小企业发展管理办法》（财库 </w:t>
      </w:r>
      <w:r>
        <w:rPr>
          <w:rFonts w:hint="eastAsia" w:asciiTheme="minorEastAsia" w:hAnsiTheme="minorEastAsia" w:eastAsiaTheme="minorEastAsia"/>
          <w:bCs/>
          <w:color w:val="auto"/>
          <w:sz w:val="18"/>
          <w:szCs w:val="18"/>
          <w:highlight w:val="none"/>
        </w:rPr>
        <w:t>【</w:t>
      </w:r>
      <w:r>
        <w:rPr>
          <w:rFonts w:asciiTheme="minorEastAsia" w:hAnsiTheme="minorEastAsia" w:eastAsiaTheme="minorEastAsia"/>
          <w:bCs/>
          <w:color w:val="auto"/>
          <w:sz w:val="18"/>
          <w:szCs w:val="18"/>
          <w:highlight w:val="none"/>
        </w:rPr>
        <w:t>2020</w:t>
      </w:r>
      <w:r>
        <w:rPr>
          <w:rFonts w:hint="eastAsia" w:asciiTheme="minorEastAsia" w:hAnsiTheme="minorEastAsia" w:eastAsiaTheme="minorEastAsia"/>
          <w:bCs/>
          <w:color w:val="auto"/>
          <w:sz w:val="18"/>
          <w:szCs w:val="18"/>
          <w:highlight w:val="none"/>
        </w:rPr>
        <w:t>】</w:t>
      </w:r>
      <w:r>
        <w:rPr>
          <w:rFonts w:asciiTheme="minorEastAsia" w:hAnsiTheme="minorEastAsia" w:eastAsiaTheme="minorEastAsia"/>
          <w:bCs/>
          <w:color w:val="auto"/>
          <w:sz w:val="18"/>
          <w:szCs w:val="18"/>
          <w:highlight w:val="none"/>
        </w:rPr>
        <w:t>46号）的规定</w:t>
      </w:r>
      <w:r>
        <w:rPr>
          <w:rFonts w:hint="eastAsia" w:asciiTheme="minorEastAsia" w:hAnsiTheme="minorEastAsia" w:eastAsiaTheme="minorEastAsia"/>
          <w:bCs/>
          <w:color w:val="auto"/>
          <w:sz w:val="18"/>
          <w:szCs w:val="18"/>
          <w:highlight w:val="none"/>
        </w:rPr>
        <w:t>，小微企业（包括联合体内的小微企业和接受分包的小微企业）参加政府采购活动，应按当出具《中小企业声明函》，否则其报价不予扣除</w:t>
      </w:r>
      <w:r>
        <w:rPr>
          <w:rFonts w:asciiTheme="minorEastAsia" w:hAnsiTheme="minorEastAsia" w:eastAsiaTheme="minorEastAsia"/>
          <w:bCs/>
          <w:color w:val="auto"/>
          <w:sz w:val="18"/>
          <w:szCs w:val="18"/>
          <w:highlight w:val="none"/>
        </w:rPr>
        <w:t>。</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r>
        <w:rPr>
          <w:rFonts w:asciiTheme="minorEastAsia" w:hAnsiTheme="minorEastAsia" w:eastAsiaTheme="minorEastAsia"/>
          <w:bCs/>
          <w:color w:val="auto"/>
          <w:sz w:val="18"/>
          <w:szCs w:val="18"/>
          <w:highlight w:val="none"/>
        </w:rPr>
        <w:t>。</w:t>
      </w:r>
    </w:p>
    <w:p>
      <w:pPr>
        <w:pStyle w:val="24"/>
        <w:spacing w:after="50" w:line="360" w:lineRule="auto"/>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4"/>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（二）资信技术分（90分）</w:t>
      </w:r>
    </w:p>
    <w:bookmarkEnd w:id="109"/>
    <w:tbl>
      <w:tblPr>
        <w:tblStyle w:val="49"/>
        <w:tblW w:w="9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7875"/>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60" w:type="dxa"/>
            <w:tcBorders>
              <w:top w:val="single" w:color="auto" w:sz="12"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eastAsia="zh-CN"/>
              </w:rPr>
              <w:t>序</w:t>
            </w:r>
            <w:r>
              <w:rPr>
                <w:rFonts w:hint="eastAsia" w:ascii="宋体" w:hAnsi="宋体" w:eastAsia="宋体" w:cs="宋体"/>
                <w:color w:val="auto"/>
                <w:kern w:val="2"/>
                <w:sz w:val="18"/>
                <w:szCs w:val="18"/>
                <w:highlight w:val="none"/>
              </w:rPr>
              <w:t>号</w:t>
            </w:r>
          </w:p>
        </w:tc>
        <w:tc>
          <w:tcPr>
            <w:tcW w:w="7875" w:type="dxa"/>
            <w:tcBorders>
              <w:top w:val="single" w:color="auto" w:sz="12"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firstLine="360" w:firstLineChars="20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评分内容和标准</w:t>
            </w:r>
          </w:p>
        </w:tc>
        <w:tc>
          <w:tcPr>
            <w:tcW w:w="1104" w:type="dxa"/>
            <w:tcBorders>
              <w:top w:val="single" w:color="auto" w:sz="12"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最高分值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760"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7875"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根据</w:t>
            </w:r>
            <w:r>
              <w:rPr>
                <w:rFonts w:hint="eastAsia" w:ascii="宋体" w:hAnsi="宋体" w:eastAsia="宋体" w:cs="宋体"/>
                <w:color w:val="auto"/>
                <w:kern w:val="2"/>
                <w:sz w:val="18"/>
                <w:szCs w:val="18"/>
                <w:highlight w:val="none"/>
                <w:lang w:val="en-US" w:eastAsia="zh-CN"/>
              </w:rPr>
              <w:t>道路</w:t>
            </w:r>
            <w:r>
              <w:rPr>
                <w:rFonts w:hint="eastAsia" w:ascii="宋体" w:hAnsi="宋体" w:eastAsia="宋体" w:cs="宋体"/>
                <w:color w:val="auto"/>
                <w:kern w:val="2"/>
                <w:sz w:val="18"/>
                <w:szCs w:val="18"/>
                <w:highlight w:val="none"/>
                <w:lang w:val="zh-CN" w:eastAsia="zh-CN"/>
              </w:rPr>
              <w:t>分布及养护区域等特点分析、工作总体设想、工作重点等情况酌情评分（</w:t>
            </w:r>
            <w:r>
              <w:rPr>
                <w:rFonts w:hint="eastAsia" w:ascii="宋体" w:hAnsi="宋体" w:eastAsia="宋体" w:cs="宋体"/>
                <w:color w:val="auto"/>
                <w:kern w:val="2"/>
                <w:sz w:val="18"/>
                <w:szCs w:val="18"/>
                <w:highlight w:val="none"/>
                <w:lang w:val="en-US" w:eastAsia="zh-CN"/>
              </w:rPr>
              <w:t>4-</w:t>
            </w:r>
            <w:r>
              <w:rPr>
                <w:rFonts w:hint="eastAsia" w:ascii="宋体" w:hAnsi="宋体" w:cs="宋体"/>
                <w:color w:val="auto"/>
                <w:kern w:val="2"/>
                <w:sz w:val="18"/>
                <w:szCs w:val="18"/>
                <w:highlight w:val="none"/>
                <w:lang w:val="en-US" w:eastAsia="zh-CN"/>
              </w:rPr>
              <w:t>7</w:t>
            </w:r>
            <w:r>
              <w:rPr>
                <w:rFonts w:hint="eastAsia" w:ascii="宋体" w:hAnsi="宋体" w:eastAsia="宋体" w:cs="宋体"/>
                <w:color w:val="auto"/>
                <w:kern w:val="2"/>
                <w:sz w:val="18"/>
                <w:szCs w:val="18"/>
                <w:highlight w:val="none"/>
                <w:lang w:val="en-US" w:eastAsia="zh-CN"/>
              </w:rPr>
              <w:t>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760"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w:t>
            </w:r>
          </w:p>
        </w:tc>
        <w:tc>
          <w:tcPr>
            <w:tcW w:w="7875"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default" w:ascii="宋体" w:hAnsi="宋体" w:eastAsia="宋体" w:cs="宋体"/>
                <w:color w:val="auto"/>
                <w:kern w:val="2"/>
                <w:sz w:val="18"/>
                <w:szCs w:val="18"/>
                <w:highlight w:val="none"/>
                <w:lang w:val="en-US" w:eastAsia="zh-CN"/>
              </w:rPr>
            </w:pPr>
            <w:r>
              <w:rPr>
                <w:rFonts w:hint="default" w:ascii="宋体" w:hAnsi="宋体" w:eastAsia="宋体" w:cs="宋体"/>
                <w:color w:val="auto"/>
                <w:kern w:val="2"/>
                <w:sz w:val="18"/>
                <w:szCs w:val="18"/>
                <w:highlight w:val="none"/>
                <w:lang w:val="en-US" w:eastAsia="zh-CN"/>
              </w:rPr>
              <w:t>根据养护日常作业内容，交通工具，养护作业人员详细安排，养护设备配置分配，台帐档案管理，防治病虫害及抗击自然灾害的具体保证措施等酌情评分</w:t>
            </w:r>
            <w:r>
              <w:rPr>
                <w:rFonts w:hint="eastAsia" w:ascii="宋体" w:hAnsi="宋体" w:eastAsia="宋体" w:cs="宋体"/>
                <w:color w:val="auto"/>
                <w:kern w:val="2"/>
                <w:sz w:val="18"/>
                <w:szCs w:val="18"/>
                <w:highlight w:val="none"/>
                <w:lang w:val="zh-CN" w:eastAsia="zh-CN"/>
              </w:rPr>
              <w:t>（</w:t>
            </w:r>
            <w:r>
              <w:rPr>
                <w:rFonts w:hint="eastAsia" w:ascii="宋体" w:hAnsi="宋体" w:eastAsia="宋体" w:cs="宋体"/>
                <w:color w:val="auto"/>
                <w:kern w:val="2"/>
                <w:sz w:val="18"/>
                <w:szCs w:val="18"/>
                <w:highlight w:val="none"/>
                <w:lang w:val="en-US" w:eastAsia="zh-CN"/>
              </w:rPr>
              <w:t>4-8分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760"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3</w:t>
            </w:r>
          </w:p>
        </w:tc>
        <w:tc>
          <w:tcPr>
            <w:tcW w:w="7875"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根据作业质量标准，检查考核办法，作业人员安全教育、劳动保护、安全管理制度，意外事件应急预案等情况酌情评分（4-8分）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4</w:t>
            </w:r>
          </w:p>
        </w:tc>
        <w:tc>
          <w:tcPr>
            <w:tcW w:w="7875"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投标人针对本项目实施的项目进度安排，根据进度安排的科学性（1-3分）、合理性（1-3分）、规范性和可操作性（1-3分），各投标单位比较得分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5</w:t>
            </w:r>
          </w:p>
        </w:tc>
        <w:tc>
          <w:tcPr>
            <w:tcW w:w="7875"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zh-CN" w:eastAsia="zh-CN"/>
              </w:rPr>
              <w:t>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6</w:t>
            </w:r>
          </w:p>
        </w:tc>
        <w:tc>
          <w:tcPr>
            <w:tcW w:w="7875"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zh-CN"/>
              </w:rPr>
              <w:t>投标人对</w:t>
            </w:r>
            <w:r>
              <w:rPr>
                <w:rFonts w:hint="eastAsia" w:ascii="宋体" w:hAnsi="宋体" w:cs="宋体"/>
                <w:color w:val="auto"/>
                <w:kern w:val="2"/>
                <w:sz w:val="18"/>
                <w:szCs w:val="18"/>
                <w:highlight w:val="none"/>
                <w:lang w:val="zh-CN"/>
              </w:rPr>
              <w:t>养护服务</w:t>
            </w:r>
            <w:r>
              <w:rPr>
                <w:rFonts w:hint="eastAsia" w:ascii="宋体" w:hAnsi="宋体" w:eastAsia="宋体" w:cs="宋体"/>
                <w:color w:val="auto"/>
                <w:kern w:val="2"/>
                <w:sz w:val="18"/>
                <w:szCs w:val="18"/>
                <w:highlight w:val="none"/>
                <w:lang w:val="zh-CN"/>
              </w:rPr>
              <w:t>质量控制及服务承诺的可实现程度，由专家综合打分</w:t>
            </w:r>
            <w:r>
              <w:rPr>
                <w:rFonts w:hint="eastAsia" w:ascii="宋体" w:hAnsi="宋体" w:cs="宋体"/>
                <w:color w:val="auto"/>
                <w:kern w:val="2"/>
                <w:sz w:val="18"/>
                <w:szCs w:val="18"/>
                <w:highlight w:val="none"/>
                <w:lang w:val="zh-CN"/>
              </w:rPr>
              <w:t>（</w:t>
            </w:r>
            <w:r>
              <w:rPr>
                <w:rFonts w:hint="eastAsia" w:ascii="宋体" w:hAnsi="宋体" w:cs="宋体"/>
                <w:color w:val="auto"/>
                <w:kern w:val="2"/>
                <w:sz w:val="18"/>
                <w:szCs w:val="18"/>
                <w:highlight w:val="none"/>
                <w:lang w:val="en-US" w:eastAsia="zh-CN"/>
              </w:rPr>
              <w:t>4-8分）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7</w:t>
            </w:r>
          </w:p>
        </w:tc>
        <w:tc>
          <w:tcPr>
            <w:tcW w:w="7875"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rPr>
              <w:t>根据投标单位是否有完善的监督自查体系，以及体系的完整性、科学性、可操作性，综合打分（</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rPr>
              <w:t>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c>
          <w:tcPr>
            <w:tcW w:w="7875"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根据投标人针对本项目特点提出的研究的重点、难点分析综合打分。（4-8分）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9</w:t>
            </w:r>
          </w:p>
        </w:tc>
        <w:tc>
          <w:tcPr>
            <w:tcW w:w="7875"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提出关于本项目的相关合理化建议，突发情况的处理，酌情打分</w:t>
            </w:r>
            <w:r>
              <w:rPr>
                <w:rFonts w:hint="eastAsia" w:ascii="宋体" w:hAnsi="宋体" w:eastAsia="宋体" w:cs="宋体"/>
                <w:color w:val="auto"/>
                <w:kern w:val="2"/>
                <w:sz w:val="18"/>
                <w:szCs w:val="18"/>
                <w:highlight w:val="none"/>
                <w:lang w:val="zh-CN" w:eastAsia="zh-CN"/>
              </w:rPr>
              <w:t>（4-</w:t>
            </w:r>
            <w:r>
              <w:rPr>
                <w:rFonts w:hint="eastAsia" w:ascii="宋体" w:hAnsi="宋体" w:cs="宋体"/>
                <w:color w:val="auto"/>
                <w:kern w:val="2"/>
                <w:sz w:val="18"/>
                <w:szCs w:val="18"/>
                <w:highlight w:val="none"/>
                <w:lang w:val="en-US" w:eastAsia="zh-CN"/>
              </w:rPr>
              <w:t>8）</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760"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10</w:t>
            </w:r>
          </w:p>
        </w:tc>
        <w:tc>
          <w:tcPr>
            <w:tcW w:w="7875"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2020年1月1日以来投标人获得市级及以上荣誉（如南湖杯、钱江杯等）的每个得0.5分，最高得2分。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760"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11</w:t>
            </w:r>
          </w:p>
        </w:tc>
        <w:tc>
          <w:tcPr>
            <w:tcW w:w="7875" w:type="dxa"/>
            <w:tcBorders>
              <w:top w:val="single" w:color="auto" w:sz="6"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投标人自有或租赁登高车（或高空作业平台机械）的有一辆得4分，最高得4分。（投标人自有设备的须提供购买发票</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复印件及车辆照片，租赁的须提供</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租赁协议复印件及车辆照片。登高车须提供车辆行驶证及车辆照片</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扫描件且车牌一致；高空作业平台机械须提供产品合格证及车辆照片</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扫描件，不提供不得分）</w:t>
            </w:r>
          </w:p>
        </w:tc>
        <w:tc>
          <w:tcPr>
            <w:tcW w:w="1104" w:type="dxa"/>
            <w:tcBorders>
              <w:top w:val="single" w:color="auto" w:sz="6"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60"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12</w:t>
            </w:r>
          </w:p>
        </w:tc>
        <w:tc>
          <w:tcPr>
            <w:tcW w:w="7875"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cs="宋体"/>
                <w:strike w:val="0"/>
                <w:dstrike w:val="0"/>
                <w:color w:val="auto"/>
                <w:kern w:val="2"/>
                <w:sz w:val="18"/>
                <w:szCs w:val="18"/>
                <w:highlight w:val="none"/>
                <w:lang w:val="en-US" w:eastAsia="zh-CN"/>
              </w:rPr>
              <w:t>投标人自有或租赁自卸车（或吊车或随车吊）的有一辆得4分，最高得4分。（投标人自有设备的须提供购买发票</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复印件及车辆照片，租赁的须提供</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租赁协议复印件及车辆照片，不提供不得分。）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60"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13</w:t>
            </w:r>
          </w:p>
        </w:tc>
        <w:tc>
          <w:tcPr>
            <w:tcW w:w="7875"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cs="宋体"/>
                <w:strike w:val="0"/>
                <w:dstrike w:val="0"/>
                <w:color w:val="auto"/>
                <w:kern w:val="2"/>
                <w:sz w:val="18"/>
                <w:szCs w:val="18"/>
                <w:highlight w:val="none"/>
                <w:lang w:val="en-US" w:eastAsia="zh-CN"/>
              </w:rPr>
              <w:t>投标人自有或租赁10吨（及以上）洒水车的有一辆得4分，最高得4分。（投标人自有设备的须提供购买发票</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复印件及车辆照片，租赁的须提供</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租赁协议复印件及车辆照片；且需提供洒水车吨量的证明文件，不提供不得分。）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60"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14</w:t>
            </w:r>
          </w:p>
        </w:tc>
        <w:tc>
          <w:tcPr>
            <w:tcW w:w="7875"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zh-CN" w:eastAsia="zh-CN"/>
              </w:rPr>
              <w:t>拟投入本项目项目组成员（除项目负责人外）中每有一人具有园林绿化</w:t>
            </w:r>
            <w:r>
              <w:rPr>
                <w:rFonts w:hint="eastAsia" w:ascii="宋体" w:hAnsi="宋体" w:cs="宋体"/>
                <w:color w:val="auto"/>
                <w:kern w:val="2"/>
                <w:sz w:val="18"/>
                <w:szCs w:val="18"/>
                <w:highlight w:val="none"/>
                <w:lang w:val="en-US" w:eastAsia="zh-CN"/>
              </w:rPr>
              <w:t>相关专业工程师及以上职称的得1分，最高得3分。（提供职称证书复印件及社保缴纳证明原件的复印件或扫描件，不提供不得分）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60"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15</w:t>
            </w:r>
          </w:p>
        </w:tc>
        <w:tc>
          <w:tcPr>
            <w:tcW w:w="7875"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zh-CN" w:eastAsia="zh-CN"/>
              </w:rPr>
              <w:t>投标人自</w:t>
            </w:r>
            <w:r>
              <w:rPr>
                <w:rFonts w:hint="eastAsia" w:ascii="宋体" w:hAnsi="宋体" w:cs="宋体"/>
                <w:color w:val="auto"/>
                <w:kern w:val="2"/>
                <w:sz w:val="18"/>
                <w:szCs w:val="18"/>
                <w:highlight w:val="none"/>
                <w:lang w:val="en-US" w:eastAsia="zh-CN"/>
              </w:rPr>
              <w:t>2020年1月1日以来承担过类似项目业绩的，每个得1分，最高得1分。（提供中标通知书或合同的扫描件，时间以中标通知书签发时间或合同签订时间为准）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w:t>
            </w:r>
          </w:p>
        </w:tc>
      </w:tr>
    </w:tbl>
    <w:p>
      <w:pPr>
        <w:widowControl/>
        <w:numPr>
          <w:ilvl w:val="0"/>
          <w:numId w:val="9"/>
        </w:numPr>
        <w:jc w:val="center"/>
        <w:rPr>
          <w:rFonts w:hint="eastAsia" w:asciiTheme="minorEastAsia" w:hAnsiTheme="minorEastAsia" w:eastAsiaTheme="minorEastAsia"/>
          <w:b/>
          <w:color w:val="auto"/>
          <w:sz w:val="30"/>
          <w:szCs w:val="30"/>
          <w:highlight w:val="none"/>
        </w:rPr>
      </w:pPr>
      <w:bookmarkStart w:id="110" w:name="_Toc17937"/>
      <w:r>
        <w:rPr>
          <w:rFonts w:hint="eastAsia" w:asciiTheme="minorEastAsia" w:hAnsiTheme="minorEastAsia" w:eastAsiaTheme="minorEastAsia"/>
          <w:b/>
          <w:color w:val="auto"/>
          <w:sz w:val="30"/>
          <w:szCs w:val="30"/>
          <w:highlight w:val="none"/>
        </w:rPr>
        <w:t xml:space="preserve"> 嘉兴市政府采购合同（指引）</w:t>
      </w:r>
      <w:bookmarkEnd w:id="110"/>
    </w:p>
    <w:p>
      <w:pPr>
        <w:widowControl/>
        <w:numPr>
          <w:ilvl w:val="0"/>
          <w:numId w:val="0"/>
        </w:numPr>
        <w:jc w:val="both"/>
        <w:rPr>
          <w:rFonts w:hint="eastAsia" w:asciiTheme="minorEastAsia" w:hAnsiTheme="minorEastAsia" w:eastAsiaTheme="minorEastAsia"/>
          <w:b/>
          <w:color w:val="auto"/>
          <w:sz w:val="30"/>
          <w:szCs w:val="30"/>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
        </w:rPr>
      </w:pPr>
      <w:r>
        <w:rPr>
          <w:rFonts w:hint="eastAsia" w:cs="Arial" w:asciiTheme="minorEastAsia" w:hAnsiTheme="minorEastAsia" w:eastAsiaTheme="minorEastAsia"/>
          <w:color w:val="auto"/>
          <w:kern w:val="0"/>
          <w:sz w:val="18"/>
          <w:szCs w:val="18"/>
          <w:highlight w:val="none"/>
        </w:rPr>
        <w:t>招标编号：</w:t>
      </w:r>
      <w:r>
        <w:rPr>
          <w:rFonts w:hint="eastAsia" w:cs="Arial" w:asciiTheme="minorEastAsia" w:hAnsiTheme="minorEastAsia" w:eastAsiaTheme="minorEastAsia"/>
          <w:color w:val="auto"/>
          <w:kern w:val="0"/>
          <w:sz w:val="18"/>
          <w:szCs w:val="18"/>
          <w:highlight w:val="none"/>
          <w:lang w:eastAsia="zh"/>
        </w:rPr>
        <w:t>银建-JXYJ（2023）78号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
        </w:rPr>
      </w:pPr>
      <w:r>
        <w:rPr>
          <w:rFonts w:hint="eastAsia" w:cs="Arial" w:asciiTheme="minorEastAsia" w:hAnsiTheme="minorEastAsia" w:eastAsiaTheme="minorEastAsia"/>
          <w:color w:val="auto"/>
          <w:kern w:val="0"/>
          <w:sz w:val="18"/>
          <w:szCs w:val="18"/>
          <w:highlight w:val="none"/>
        </w:rPr>
        <w:t>合同编号：</w:t>
      </w:r>
      <w:r>
        <w:rPr>
          <w:rFonts w:hint="eastAsia" w:cs="Arial" w:asciiTheme="minorEastAsia" w:hAnsiTheme="minorEastAsia" w:eastAsiaTheme="minorEastAsia"/>
          <w:color w:val="auto"/>
          <w:kern w:val="0"/>
          <w:sz w:val="18"/>
          <w:szCs w:val="18"/>
          <w:highlight w:val="none"/>
          <w:lang w:eastAsia="zh"/>
        </w:rPr>
        <w:t>银建-JXYJ（2023）78号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 w:val="18"/>
          <w:szCs w:val="18"/>
          <w:highlight w:val="none"/>
          <w:u w:val="single"/>
          <w:lang w:val="en-US" w:eastAsia="zh-CN"/>
        </w:rPr>
      </w:pPr>
      <w:r>
        <w:rPr>
          <w:rFonts w:hint="eastAsia" w:cs="Arial" w:asciiTheme="minorEastAsia" w:hAnsiTheme="minorEastAsia" w:eastAsiaTheme="minorEastAsia"/>
          <w:color w:val="auto"/>
          <w:kern w:val="0"/>
          <w:sz w:val="18"/>
          <w:szCs w:val="18"/>
          <w:highlight w:val="none"/>
        </w:rPr>
        <w:t>政府采购计划（预算）确认书号</w:t>
      </w:r>
      <w:r>
        <w:rPr>
          <w:rFonts w:hint="eastAsia" w:eastAsiaTheme="minorEastAsia"/>
          <w:color w:val="auto"/>
          <w:sz w:val="18"/>
          <w:szCs w:val="18"/>
          <w:highlight w:val="none"/>
          <w:u w:val="single"/>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
        </w:rPr>
      </w:pPr>
      <w:r>
        <w:rPr>
          <w:rFonts w:hint="eastAsia" w:cs="Arial" w:asciiTheme="minorEastAsia" w:hAnsiTheme="minorEastAsia" w:eastAsiaTheme="minorEastAsia"/>
          <w:color w:val="auto"/>
          <w:kern w:val="0"/>
          <w:sz w:val="18"/>
          <w:szCs w:val="18"/>
          <w:highlight w:val="none"/>
        </w:rPr>
        <w:t>采购人（以下称甲方）：</w:t>
      </w:r>
      <w:r>
        <w:rPr>
          <w:rFonts w:hint="eastAsia" w:cs="Arial" w:asciiTheme="minorEastAsia" w:hAnsiTheme="minorEastAsia" w:eastAsiaTheme="minorEastAsia"/>
          <w:color w:val="auto"/>
          <w:kern w:val="0"/>
          <w:sz w:val="18"/>
          <w:szCs w:val="18"/>
          <w:highlight w:val="none"/>
          <w:lang w:eastAsia="zh"/>
        </w:rPr>
        <w:t>嘉兴市秀洲区人民政府塘汇街道办事处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代理机构：嘉兴市银建工程咨询评估有限公司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200"/>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根据《中华人民共和国政府采购法》、《民法典》等法律法规的规定，甲乙双方按照</w:t>
      </w:r>
      <w:r>
        <w:rPr>
          <w:rFonts w:hint="eastAsia" w:cs="Arial" w:asciiTheme="minorEastAsia" w:hAnsiTheme="minorEastAsia" w:eastAsiaTheme="minorEastAsia"/>
          <w:color w:val="auto"/>
          <w:sz w:val="18"/>
          <w:szCs w:val="18"/>
          <w:highlight w:val="none"/>
          <w:u w:val="single"/>
          <w:lang w:eastAsia="zh"/>
        </w:rPr>
        <w:t>塘汇街道2024-2025年度绿化养护项目</w:t>
      </w:r>
      <w:r>
        <w:rPr>
          <w:rFonts w:hint="eastAsia" w:cs="Arial" w:asciiTheme="minorEastAsia" w:hAnsiTheme="minorEastAsia" w:eastAsiaTheme="minorEastAsia"/>
          <w:color w:val="auto"/>
          <w:kern w:val="0"/>
          <w:sz w:val="18"/>
          <w:szCs w:val="18"/>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本次采购的是</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预算金额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采购金额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211"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 w:val="18"/>
                <w:szCs w:val="18"/>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合计</w:t>
            </w: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3、本合同付款方式为以下第</w:t>
      </w:r>
      <w:r>
        <w:rPr>
          <w:rFonts w:hint="eastAsia" w:cs="Arial" w:asciiTheme="minorEastAsia" w:hAnsiTheme="minorEastAsia" w:eastAsiaTheme="minorEastAsia"/>
          <w:color w:val="auto"/>
          <w:kern w:val="0"/>
          <w:sz w:val="18"/>
          <w:szCs w:val="18"/>
          <w:highlight w:val="none"/>
          <w:u w:val="single"/>
        </w:rPr>
        <w:t xml:space="preserve">    （2）      </w:t>
      </w:r>
      <w:r>
        <w:rPr>
          <w:rFonts w:hint="eastAsia" w:cs="Arial" w:asciiTheme="minorEastAsia" w:hAnsiTheme="minorEastAsia" w:eastAsiaTheme="minorEastAsia"/>
          <w:color w:val="auto"/>
          <w:kern w:val="0"/>
          <w:sz w:val="18"/>
          <w:szCs w:val="18"/>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（1）本合同项下的采购资金系甲方自行支付，付款程序为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u w:val="single"/>
        </w:rPr>
      </w:pPr>
      <w:r>
        <w:rPr>
          <w:rFonts w:hint="eastAsia" w:cs="Arial" w:asciiTheme="minorEastAsia" w:hAnsiTheme="minorEastAsia" w:eastAsiaTheme="minorEastAsia"/>
          <w:color w:val="auto"/>
          <w:kern w:val="0"/>
          <w:sz w:val="18"/>
          <w:szCs w:val="18"/>
          <w:highlight w:val="none"/>
        </w:rPr>
        <w:t>（2）本合同项下的采购资金须财政直接支付，付款程序为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本合同一式五份，甲乙双方各执二份， 一份送招标代理机构存档。</w:t>
      </w:r>
    </w:p>
    <w:p>
      <w:pPr>
        <w:snapToGrid w:val="0"/>
        <w:spacing w:beforeLines="50" w:afterLines="50" w:line="360" w:lineRule="auto"/>
        <w:jc w:val="center"/>
        <w:outlineLvl w:val="9"/>
        <w:rPr>
          <w:rFonts w:cs="Arial" w:asciiTheme="minorEastAsia" w:hAnsiTheme="minorEastAsia" w:eastAsiaTheme="minorEastAsia"/>
          <w:b/>
          <w:color w:val="auto"/>
          <w:kern w:val="0"/>
          <w:sz w:val="18"/>
          <w:szCs w:val="18"/>
          <w:highlight w:val="none"/>
        </w:rPr>
      </w:pPr>
    </w:p>
    <w:p>
      <w:pPr>
        <w:snapToGrid w:val="0"/>
        <w:spacing w:beforeLines="50" w:afterLines="50" w:line="360" w:lineRule="auto"/>
        <w:jc w:val="center"/>
        <w:outlineLvl w:val="0"/>
        <w:rPr>
          <w:rFonts w:cs="Arial" w:asciiTheme="minorEastAsia" w:hAnsiTheme="minorEastAsia" w:eastAsiaTheme="minorEastAsia"/>
          <w:b/>
          <w:color w:val="auto"/>
          <w:kern w:val="0"/>
          <w:sz w:val="18"/>
          <w:szCs w:val="18"/>
          <w:highlight w:val="none"/>
        </w:rPr>
      </w:pPr>
      <w:bookmarkStart w:id="111" w:name="_Toc30292"/>
      <w:r>
        <w:rPr>
          <w:rFonts w:hint="eastAsia" w:cs="Arial" w:asciiTheme="minorEastAsia" w:hAnsiTheme="minorEastAsia" w:eastAsiaTheme="minorEastAsia"/>
          <w:b/>
          <w:color w:val="auto"/>
          <w:kern w:val="0"/>
          <w:sz w:val="18"/>
          <w:szCs w:val="18"/>
          <w:highlight w:val="none"/>
        </w:rPr>
        <w:t>二、特殊专用条款部分（双方协商拟定）</w:t>
      </w:r>
      <w:bookmarkEnd w:id="111"/>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甲方：乙方：</w:t>
      </w:r>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地址：地址：</w:t>
      </w:r>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法定代表人或被授权人：法定代表人或被授权人：</w:t>
      </w:r>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签订地点：</w:t>
      </w:r>
    </w:p>
    <w:p>
      <w:pPr>
        <w:pStyle w:val="30"/>
        <w:snapToGrid w:val="0"/>
        <w:spacing w:before="120" w:after="120" w:line="360" w:lineRule="auto"/>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签订日期：年月日</w:t>
      </w:r>
    </w:p>
    <w:p>
      <w:p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br w:type="page"/>
      </w:r>
    </w:p>
    <w:p>
      <w:pPr>
        <w:spacing w:line="360" w:lineRule="auto"/>
        <w:ind w:firstLine="482"/>
        <w:jc w:val="center"/>
        <w:outlineLvl w:val="1"/>
        <w:rPr>
          <w:rFonts w:hint="eastAsia"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合同协议条款</w:t>
      </w:r>
    </w:p>
    <w:p>
      <w:pPr>
        <w:numPr>
          <w:ilvl w:val="0"/>
          <w:numId w:val="10"/>
        </w:num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词语定义合同文件</w:t>
      </w:r>
    </w:p>
    <w:p>
      <w:pPr>
        <w:spacing w:line="360" w:lineRule="auto"/>
        <w:ind w:left="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 词语定义</w:t>
      </w:r>
    </w:p>
    <w:p>
      <w:pPr>
        <w:spacing w:line="360" w:lineRule="auto"/>
        <w:ind w:left="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下列词语除补充条款另有约定外，应具有本条所赋予的定义：</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1.1协议条款：是根据法律、行政法规规定及养护要求的需要订立，通用于本项目实施的条款。</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1.2补充条款：是双方根据有关法律、行政法规规定，结合项目实际情况，经协商达成意见的条款，是对协议条款内容的具体化、补充或修改。</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1.3发包人：指在协议书中约定，被发包人接受的具有</w:t>
      </w:r>
      <w:r>
        <w:rPr>
          <w:rFonts w:hint="eastAsia" w:ascii="宋体" w:hAnsi="宋体" w:cs="宋体"/>
          <w:color w:val="auto"/>
          <w:sz w:val="18"/>
          <w:szCs w:val="18"/>
          <w:highlight w:val="none"/>
          <w:lang w:eastAsia="zh-CN"/>
        </w:rPr>
        <w:t>养护</w:t>
      </w:r>
      <w:r>
        <w:rPr>
          <w:rFonts w:hint="eastAsia" w:ascii="宋体" w:hAnsi="宋体" w:eastAsia="宋体" w:cs="宋体"/>
          <w:color w:val="auto"/>
          <w:sz w:val="18"/>
          <w:szCs w:val="18"/>
          <w:highlight w:val="none"/>
        </w:rPr>
        <w:t>主体资格的当事人。</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 承包人：指在协议书中约定，被发包人接受的具有</w:t>
      </w:r>
      <w:r>
        <w:rPr>
          <w:rFonts w:hint="eastAsia" w:ascii="宋体" w:hAnsi="宋体" w:cs="宋体"/>
          <w:color w:val="auto"/>
          <w:sz w:val="18"/>
          <w:szCs w:val="18"/>
          <w:highlight w:val="none"/>
          <w:lang w:eastAsia="zh-CN"/>
        </w:rPr>
        <w:t>养护</w:t>
      </w:r>
      <w:r>
        <w:rPr>
          <w:rFonts w:hint="eastAsia" w:ascii="宋体" w:hAnsi="宋体" w:eastAsia="宋体" w:cs="宋体"/>
          <w:color w:val="auto"/>
          <w:sz w:val="18"/>
          <w:szCs w:val="18"/>
          <w:highlight w:val="none"/>
        </w:rPr>
        <w:t>承包主体资格的当事人。</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1.5项目：</w:t>
      </w:r>
      <w:r>
        <w:rPr>
          <w:rFonts w:hint="eastAsia" w:ascii="宋体" w:hAnsi="宋体" w:cs="宋体"/>
          <w:color w:val="auto"/>
          <w:sz w:val="18"/>
          <w:szCs w:val="18"/>
          <w:highlight w:val="none"/>
          <w:lang w:eastAsia="zh"/>
        </w:rPr>
        <w:t>塘汇街道2024-2025年度绿化养护项目</w:t>
      </w:r>
      <w:r>
        <w:rPr>
          <w:rFonts w:hint="eastAsia" w:ascii="宋体" w:hAnsi="宋体" w:eastAsia="宋体" w:cs="宋体"/>
          <w:color w:val="auto"/>
          <w:sz w:val="18"/>
          <w:szCs w:val="18"/>
          <w:highlight w:val="none"/>
        </w:rPr>
        <w:t>。</w:t>
      </w:r>
    </w:p>
    <w:p>
      <w:pPr>
        <w:spacing w:line="360" w:lineRule="auto"/>
        <w:ind w:left="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1.6月日指日历月日</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 语言文字和适用法律、标准及规范</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2.1语言文字</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本合同文件使用汉语书写和解释、说明。</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2.2适用法律法规</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适用中华人民共和国的法律、法规和嘉兴市的地方法规；</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2.3适用标准、规范</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综合养护质量规范</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二、双方一般权利和义务</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3 甲方代表</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甲方指派</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为甲方代表，全面负责日常养护作业的管理工作。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4 乙方代表</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4.1乙方指派</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为养护项目负责人，具体负责本养护作业工作，并用书面材料报甲方备案。</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4.2项目负责人等有关人员必须按时参加由甲方召开的养护例会和各种必须参加的会议。</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4.3乙方如需更换项目负责人，应至少提前7天以书面形式通知甲方，并征得甲方同意。后任继续行使合同文件的前任的职权，履行前任的义务。</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4.4甲方可以与乙方协商，建议更换其认为不称职的项目负责人。</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5 甲方工作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5.1组织召开养护作业技术交底会。</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5.2协助乙方办理养护所需的有关证件，批件等。</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负责乙方的日常养护作业的管理和检查(定期检查和抽查相结合)。每个月约定月底对乙方作出养护工作计划布置和对养护工作进行考核(全年考核不少于12次)，考核按有关养护工作考核标准并结合甲方养护工作计划要求综合进行年终综合考核考评。</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5.4甲方对乙方的养护质量进行检查并进行每月考核，考核结果作为支付养护经费的依据。</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5.5负责合同期间的行政许可审批及协调工作，如遇突发事件，协调乙方在作业过程中与其他管理部门的关系。</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5.6进行绿化养护工作业务指导。</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5.7甲方应作的其他工作，双方在补充条款内约定。</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 乙方工作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6.1乙方提交养护工作计划经甲方核定后，由乙方承担日常养护作业。</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6.2做好日、周统计报表，并按时做好月、季、年度上报养护工作完成情况表，按甲方要求及时上报。</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6.3应按甲方提出的以周围建筑物和各种管线的要求落实保护措施；</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6.4建立巡视报告制，每天有专人进行对绿化等设施的巡视，并做好每日巡视记录。发现养护范围内绿化缺损，适时补种，并把结果报告甲方；</w:t>
      </w:r>
    </w:p>
    <w:p>
      <w:pPr>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巡视中发现区域内有违章搭建及无证占绿、乱种植等现象，由乙方负责处理，必须当场予以制止，并清理干净，恢复原样。养护区域内的所有附属设施均由乙方负责维修、安装。</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6.5超出常规小修范围的工作，需提前报甲方审批；</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6.6及时解决来信、来访，并根据甲方要求及时处理；</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6.7按时完成甲方交办的其它突击性任务和指令性任务；</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6.8认真做好防台防汛等工作；</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6.9加强法定节假日的正常养护工作；</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6.10清除杂草是一经常性的工作，但除草以春季为一年中的关键，应集中除杂草1-2次。一年中严禁杂草结籽，减少第二年的杂草种原；</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6.11注意病虫害的防治。抓住重点防治时期进行早期预防是其关键。病害以提前预防为主，虫害遵循治早治小的原则，树每年3次以上。药剂种类、浓度根据实际需要确定并报甲方备案，要严格操作规程，使病虫害有明显抑制；树木冬季应刷白，高度为乔木1米，乔状灌木0.5米；</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6.12注意养护区的排灌水。主要是梅雨、台汛和阵雨积水，出现积水时要及时排出，一般积水不得超过4小时，应做好排水沟渠的通畅，灌排设施的完整，结合临时排水等措施进行，避免因积水而造成植物的死亡。灌溉必须根据气候条件的变化灵活掌握。一般来说，春季到初夏，苗木处于旺盛生长期，南方雨水多，只要灌溉三四次即可，初夏如果高温又干旱，必须增加灌水次数，秋季，为了让苗木组织充实和木质化，准备越冬，一般不灌水。冬季，南方不灌水；</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6.13苗木初始补植时需要适当施肥，促进苗木生长，肥料种类、数量由乙方根据实际情况确定并报甲方核准备案，以保持良好生长势；</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因乙方管理不到位而引起的安全事故责任由乙方承担。</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乙方应作的其他工作，双方在补充条款内约定。</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四、养护组织设计</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7 进度计划</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7.1乙方在本合同生效后15天内上报全年养护作业维修计划，并结合季节特点，制定季度、月度养护计划</w:t>
      </w:r>
      <w:r>
        <w:rPr>
          <w:rFonts w:hint="eastAsia" w:ascii="宋体" w:hAnsi="宋体" w:cs="宋体"/>
          <w:color w:val="auto"/>
          <w:sz w:val="18"/>
          <w:szCs w:val="18"/>
          <w:highlight w:val="none"/>
          <w:lang w:eastAsia="zh-CN"/>
        </w:rPr>
        <w:t>（包括但不限于日常的工作量，用工用料以清单形式提供）</w:t>
      </w:r>
      <w:r>
        <w:rPr>
          <w:rFonts w:hint="eastAsia" w:ascii="宋体" w:hAnsi="宋体" w:eastAsia="宋体" w:cs="宋体"/>
          <w:color w:val="auto"/>
          <w:sz w:val="18"/>
          <w:szCs w:val="18"/>
          <w:highlight w:val="none"/>
        </w:rPr>
        <w:t>、材料计划送交甲方。甲方在7天内予以确认。</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乙方必须按甲方确认的进度计划组织养护作业，接受甲方对进度的检查、监督。养护作业实际进度与经确认的进度计划不一致时，乙方应按甲方的要求提出改进措施，经甲方代表确认后执行。因乙方的原因导致实际进度与计划进度不符，乙方无权就改进措施提出追加合同价款。</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五、质量与考核</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8 质量标准</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养护质量标准参照补充条款约定的质量标准。因乙方原因使养护质量达不到约定的质量标准，乙方承担违约责任。</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9 检查和考核</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9.1乙方应认真按照补充条款中约定的质量标准进行养护，随时接受甲方的检查和考核，为检查和考核提供便利条件。</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9.2对于养护质量或</w:t>
      </w:r>
      <w:r>
        <w:rPr>
          <w:rFonts w:hint="eastAsia" w:ascii="宋体" w:hAnsi="宋体" w:cs="宋体"/>
          <w:color w:val="auto"/>
          <w:sz w:val="18"/>
          <w:szCs w:val="18"/>
          <w:highlight w:val="none"/>
          <w:lang w:eastAsia="zh-CN"/>
        </w:rPr>
        <w:t>养护</w:t>
      </w:r>
      <w:r>
        <w:rPr>
          <w:rFonts w:hint="eastAsia" w:ascii="宋体" w:hAnsi="宋体" w:eastAsia="宋体" w:cs="宋体"/>
          <w:color w:val="auto"/>
          <w:sz w:val="18"/>
          <w:szCs w:val="18"/>
          <w:highlight w:val="none"/>
        </w:rPr>
        <w:t>期不符合要求的，甲方先通知限期整改，乙方逾期不整改的或整改效果不符合要求的，由甲方派其他队伍整改，费用在乙方养护费用中扣除。</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9.3甲方按照补充条款中约定的考核办法及奖惩措施进行考核。</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9.4乙方经考核确实不能承担养护作业的，甲方有权无条件单方终止合同。乙方接甲方通知后24小时内必须无条件清退出场，由此造成的损失由乙方承担，原已完成的工作量按实结算。</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9.5甲方结合养护新特点和行业颁布的最新标准，甲方有修改考核标准的权利。</w:t>
      </w:r>
    </w:p>
    <w:p>
      <w:pPr>
        <w:spacing w:line="360" w:lineRule="auto"/>
        <w:ind w:firstLine="482"/>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rPr>
        <w:t>六、安全文明</w:t>
      </w:r>
      <w:r>
        <w:rPr>
          <w:rFonts w:hint="eastAsia" w:ascii="宋体" w:hAnsi="宋体" w:cs="宋体"/>
          <w:b/>
          <w:color w:val="auto"/>
          <w:sz w:val="18"/>
          <w:szCs w:val="18"/>
          <w:highlight w:val="none"/>
          <w:lang w:eastAsia="zh-CN"/>
        </w:rPr>
        <w:t>工作</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 安全文明</w:t>
      </w:r>
      <w:r>
        <w:rPr>
          <w:rFonts w:hint="eastAsia" w:ascii="宋体" w:hAnsi="宋体" w:cs="宋体"/>
          <w:b/>
          <w:color w:val="auto"/>
          <w:sz w:val="18"/>
          <w:szCs w:val="18"/>
          <w:highlight w:val="none"/>
          <w:lang w:eastAsia="zh-CN"/>
        </w:rPr>
        <w:t>工作</w:t>
      </w:r>
      <w:r>
        <w:rPr>
          <w:rFonts w:hint="eastAsia" w:ascii="宋体" w:hAnsi="宋体" w:eastAsia="宋体" w:cs="宋体"/>
          <w:b/>
          <w:color w:val="auto"/>
          <w:sz w:val="18"/>
          <w:szCs w:val="18"/>
          <w:highlight w:val="none"/>
        </w:rPr>
        <w:t>与检查</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10.1乙方应遵循有关规定及行业规范，严格按照操作规程作业，并随时接受甲方或有关部门的监督检查和社会监督，采取必要的安全防护措施，消除事故隐患。</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10.2由于乙方管理不善，引起政府职能部门处罚和限期整改，或安全措施不力造成事故的责任和因此发生的费用，由乙方承担。</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11 安全防护</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11.1养护作业人员应做好各项安全防范措施，必须着装上岗操作。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12 事故处理</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12.1发生重大伤亡及其他安全事故，乙方就有关规定立即上报有关部门并通知甲方代表。</w:t>
      </w:r>
      <w:r>
        <w:rPr>
          <w:rFonts w:hint="eastAsia" w:asciiTheme="minorEastAsia" w:hAnsiTheme="minorEastAsia" w:eastAsiaTheme="minorEastAsia" w:cstheme="minorEastAsia"/>
          <w:b/>
          <w:bCs/>
          <w:color w:val="auto"/>
          <w:sz w:val="18"/>
          <w:szCs w:val="18"/>
          <w:highlight w:val="none"/>
          <w:lang w:val="en-US" w:eastAsia="zh-CN"/>
        </w:rPr>
        <w:t>所辖标段发生安全事故的，须赔偿相应损失、扣除相应养护费用。其中，事故造成损失未发生人员伤亡的扣除当季养护费用的10%~30%（不含30%）；发生火灾、高空坠落等安全事故造成人员伤残的扣除当季养护费用的30%~70%，赔偿相应损失；发生安全事故造成人员死亡的扣除当季养护费用的100%，并赔偿相应损失。在服务期内，发生两次上述事故情形的，业主有权与该养护单位解除合同，责任全部由该养护单位承担。</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七、合同价款与支付</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13 合同价款及调整</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13.1合同价款由甲、乙双方依据中标通知书中的中标价格在协议书内约定。</w:t>
      </w:r>
    </w:p>
    <w:p>
      <w:pPr>
        <w:spacing w:line="360" w:lineRule="auto"/>
        <w:ind w:firstLine="480"/>
        <w:rPr>
          <w:rFonts w:hint="eastAsia" w:ascii="宋体" w:hAnsi="宋体" w:eastAsia="宋体" w:cs="宋体"/>
          <w:b/>
          <w:color w:val="auto"/>
          <w:sz w:val="18"/>
          <w:szCs w:val="18"/>
          <w:highlight w:val="none"/>
          <w:u w:val="single"/>
        </w:rPr>
      </w:pPr>
      <w:r>
        <w:rPr>
          <w:rFonts w:hint="eastAsia" w:ascii="宋体" w:hAnsi="宋体" w:eastAsia="宋体" w:cs="宋体"/>
          <w:color w:val="auto"/>
          <w:sz w:val="18"/>
          <w:szCs w:val="18"/>
          <w:highlight w:val="none"/>
        </w:rPr>
        <w:t>13.2</w:t>
      </w:r>
      <w:r>
        <w:rPr>
          <w:rFonts w:hint="eastAsia" w:ascii="宋体" w:hAnsi="宋体" w:eastAsia="宋体" w:cs="宋体"/>
          <w:b/>
          <w:bCs/>
          <w:color w:val="auto"/>
          <w:sz w:val="18"/>
          <w:szCs w:val="18"/>
          <w:highlight w:val="none"/>
        </w:rPr>
        <w:t>本合同价款采用固定单价合同</w:t>
      </w:r>
      <w:r>
        <w:rPr>
          <w:rFonts w:hint="eastAsia" w:ascii="宋体" w:hAnsi="宋体" w:eastAsia="宋体" w:cs="宋体"/>
          <w:b/>
          <w:color w:val="auto"/>
          <w:sz w:val="18"/>
          <w:szCs w:val="18"/>
          <w:highlight w:val="none"/>
        </w:rPr>
        <w:t>。</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13.3双方约定合同价款的其他调整因素：</w:t>
      </w:r>
    </w:p>
    <w:p>
      <w:pPr>
        <w:spacing w:line="360" w:lineRule="auto"/>
        <w:ind w:firstLine="270" w:firstLineChars="1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(1)合同执行期间如遇政策性调整，以有关管理部门的文件为准。</w:t>
      </w:r>
    </w:p>
    <w:p>
      <w:pPr>
        <w:spacing w:line="360" w:lineRule="auto"/>
        <w:ind w:firstLine="42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(2)双方在补充条款中约定的其他调整因素。</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合同价款的变更由双方以补充合同形式予以确定。</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14 合同价款支付</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bCs w:val="0"/>
          <w:color w:val="auto"/>
          <w:sz w:val="18"/>
          <w:szCs w:val="18"/>
          <w:highlight w:val="none"/>
          <w:lang w:val="en-US" w:eastAsia="zh-CN"/>
        </w:rPr>
        <w:t>合同签订生效后支付合同金额（扣除绿化有机更新费用后）*10%作为预付款，剩余价款（扣除绿化有机更新费用后）每季度结算一次，按照实际考核结果扣款后在次季度支付费用；绿化有机更新费用合同到期后，审计完成后按实结算</w:t>
      </w:r>
      <w:r>
        <w:rPr>
          <w:rFonts w:hint="eastAsia" w:hAnsi="宋体" w:cs="宋体"/>
          <w:b/>
          <w:bCs w:val="0"/>
          <w:color w:val="auto"/>
          <w:sz w:val="18"/>
          <w:szCs w:val="18"/>
          <w:highlight w:val="none"/>
          <w:lang w:val="en-US" w:eastAsia="zh-CN"/>
        </w:rPr>
        <w:t>。</w:t>
      </w:r>
      <w:r>
        <w:rPr>
          <w:rFonts w:hint="eastAsia" w:hAnsi="宋体" w:cs="宋体"/>
          <w:b/>
          <w:bCs w:val="0"/>
          <w:color w:val="auto"/>
          <w:sz w:val="18"/>
          <w:szCs w:val="18"/>
          <w:highlight w:val="none"/>
          <w:lang w:eastAsia="zh-CN"/>
        </w:rPr>
        <w:t>考核办法详见“</w:t>
      </w:r>
      <w:r>
        <w:rPr>
          <w:rFonts w:hint="eastAsia" w:hAnsi="宋体" w:cs="宋体"/>
          <w:b/>
          <w:bCs w:val="0"/>
          <w:color w:val="auto"/>
          <w:sz w:val="18"/>
          <w:szCs w:val="18"/>
          <w:highlight w:val="none"/>
          <w:lang w:val="en-US" w:eastAsia="zh-CN"/>
        </w:rPr>
        <w:t>塘汇街道园林绿化城市精细化管理考核办法（试行）</w:t>
      </w:r>
      <w:r>
        <w:rPr>
          <w:rFonts w:hint="eastAsia" w:hAnsi="宋体" w:cs="宋体"/>
          <w:b/>
          <w:bCs w:val="0"/>
          <w:color w:val="auto"/>
          <w:sz w:val="18"/>
          <w:szCs w:val="18"/>
          <w:highlight w:val="none"/>
          <w:lang w:eastAsia="zh-CN"/>
        </w:rPr>
        <w:t>”</w:t>
      </w:r>
      <w:r>
        <w:rPr>
          <w:rFonts w:hint="eastAsia" w:ascii="宋体" w:hAnsi="宋体" w:eastAsia="宋体" w:cs="宋体"/>
          <w:bCs/>
          <w:color w:val="auto"/>
          <w:sz w:val="18"/>
          <w:szCs w:val="18"/>
          <w:highlight w:val="none"/>
        </w:rPr>
        <w:t>。</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15履约保证金</w:t>
      </w:r>
    </w:p>
    <w:p>
      <w:pPr>
        <w:spacing w:line="460" w:lineRule="exact"/>
        <w:ind w:firstLine="360" w:firstLineChars="200"/>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见投标人须知前附表</w:t>
      </w:r>
      <w:r>
        <w:rPr>
          <w:rFonts w:hint="eastAsia" w:ascii="宋体" w:hAnsi="宋体" w:eastAsia="宋体" w:cs="宋体"/>
          <w:color w:val="auto"/>
          <w:sz w:val="18"/>
          <w:szCs w:val="18"/>
          <w:highlight w:val="none"/>
        </w:rPr>
        <w:t>。</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八、材料设备供应</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16材料设备供应</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16.1养护维修所需的材料、制品、工具、设备等，原则上均由乙方自行解决，如遇特殊情况，按补充条款约定的方式采购或配备。</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九、违约和争议</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17 违约</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17.1甲方代表不能及时给出很必要指令、确认、批准，不能按合同约定履行自己的各项义务、以及发生其它使合同无法履行的行为，应承担违约责任(包括支付违约导致乙方增加经济支出和从应之日起计算的应支付款项的利息)。</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17.2乙方不能达到所承诺的养护、维修质量标准，乙方按协议条款支付违约金，赔偿因违约给甲方造成的损失。</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17.3因一方违约使合同不能履行，另一方欲终止或解除全部合同，应提前10天通知违约方后，方可终止或解除合同，由违约方承担违约责任。</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18 争议</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18.1甲乙双方因合同发生争议，要求调解、仲裁、起诉的，采用以下一种方式解决：</w:t>
      </w:r>
    </w:p>
    <w:p>
      <w:pPr>
        <w:numPr>
          <w:ilvl w:val="0"/>
          <w:numId w:val="11"/>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甲乙双方协商</w:t>
      </w:r>
    </w:p>
    <w:p>
      <w:pPr>
        <w:numPr>
          <w:ilvl w:val="0"/>
          <w:numId w:val="11"/>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向有管辖权的经济合同仲裁机关申请仲裁；</w:t>
      </w:r>
    </w:p>
    <w:p>
      <w:pPr>
        <w:numPr>
          <w:ilvl w:val="0"/>
          <w:numId w:val="11"/>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向有管辖权的人民法院起诉。</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18.2发生争议后，除出现以下情况的，双方都应继续履行合同，保持养护连续性：</w:t>
      </w:r>
    </w:p>
    <w:p>
      <w:pPr>
        <w:numPr>
          <w:ilvl w:val="0"/>
          <w:numId w:val="12"/>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合同确已无法履行；</w:t>
      </w:r>
    </w:p>
    <w:p>
      <w:pPr>
        <w:numPr>
          <w:ilvl w:val="0"/>
          <w:numId w:val="12"/>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双方协议停止养护作业；</w:t>
      </w:r>
    </w:p>
    <w:p>
      <w:pPr>
        <w:numPr>
          <w:ilvl w:val="0"/>
          <w:numId w:val="12"/>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仲裁机关要求停止养护作业；</w:t>
      </w:r>
    </w:p>
    <w:p>
      <w:pPr>
        <w:numPr>
          <w:ilvl w:val="0"/>
          <w:numId w:val="12"/>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法院要求停止养护作业。</w:t>
      </w:r>
    </w:p>
    <w:p>
      <w:pPr>
        <w:spacing w:line="360" w:lineRule="auto"/>
        <w:ind w:left="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十、合同中止</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19.1承包范围内的养护管理项目，乙方不得采取任何形式实施分包和转包，凡违反此规定的，甲方将立即取消乙方的承包资格，中止养护承包合同的履行，由此产生的一切法律责任和经济损失由乙方承担；</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十一、其他</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20.1在本合同执行过程中如遇和国家政策、地方法规的有关规定不符时，按有关政策法规执行。</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20.2如遇自然灾害和不可抗力造成损失的，经双方协商解决。</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20.3本合同如有未尽事宜，双方可通过协商补充协议解决。</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十二、合同生效与终止</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21.1双方在合同协议书中约定合同生效方式。</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21.2双方履行合同全部义务，合同付款支付完毕后，本合同即告终止。</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十三、合同份数</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22.1本合同正本二份，具有同等效力。由甲方、乙方分别保存一份。</w:t>
      </w:r>
    </w:p>
    <w:p>
      <w:pPr>
        <w:ind w:firstLine="360" w:firstLineChars="200"/>
        <w:rPr>
          <w:rFonts w:hint="eastAsia" w:ascii="宋体" w:hAnsi="宋体" w:eastAsia="宋体" w:cs="宋体"/>
          <w:color w:val="auto"/>
          <w:highlight w:val="none"/>
        </w:rPr>
      </w:pPr>
      <w:r>
        <w:rPr>
          <w:rFonts w:hint="eastAsia" w:ascii="宋体" w:hAnsi="宋体" w:eastAsia="宋体" w:cs="宋体"/>
          <w:color w:val="auto"/>
          <w:sz w:val="18"/>
          <w:szCs w:val="18"/>
          <w:highlight w:val="none"/>
        </w:rPr>
        <w:t>22.2本合同副本六份，由甲乙双方分别保存三份。</w:t>
      </w:r>
    </w:p>
    <w:p>
      <w:pPr>
        <w:pStyle w:val="30"/>
        <w:adjustRightInd w:val="0"/>
        <w:spacing w:before="120" w:after="120" w:line="360" w:lineRule="auto"/>
        <w:rPr>
          <w:rFonts w:asciiTheme="minorEastAsia" w:hAnsiTheme="minorEastAsia" w:eastAsiaTheme="minorEastAsia"/>
          <w:bCs/>
          <w:color w:val="auto"/>
          <w:sz w:val="21"/>
          <w:szCs w:val="21"/>
          <w:highlight w:val="none"/>
        </w:rPr>
      </w:pPr>
    </w:p>
    <w:p>
      <w:pPr>
        <w:pStyle w:val="30"/>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0"/>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按照《政府采购委托汇总确认书》</w:t>
      </w:r>
      <w:r>
        <w:rPr>
          <w:rFonts w:hint="eastAsia" w:cs="宋体" w:asciiTheme="minorEastAsia" w:hAnsiTheme="minorEastAsia" w:eastAsiaTheme="minorEastAsia"/>
          <w:color w:val="auto"/>
          <w:kern w:val="0"/>
          <w:sz w:val="18"/>
          <w:szCs w:val="18"/>
          <w:highlight w:val="none"/>
          <w:lang w:eastAsia="zh-CN"/>
        </w:rPr>
        <w:t>嘉兴市经济开发区财政局</w:t>
      </w:r>
      <w:r>
        <w:rPr>
          <w:color w:val="auto"/>
          <w:sz w:val="18"/>
          <w:szCs w:val="18"/>
          <w:highlight w:val="none"/>
        </w:rPr>
        <w:fldChar w:fldCharType="begin"/>
      </w:r>
      <w:r>
        <w:rPr>
          <w:color w:val="auto"/>
          <w:sz w:val="18"/>
          <w:szCs w:val="18"/>
          <w:highlight w:val="none"/>
        </w:rPr>
        <w:instrText xml:space="preserve"> HYPERLINK "https://pay.zcygov.cn/purchaseplan_front/" \l "/plan/list/detail?id=1000000000002254157&amp;encrypt=bc26d93a1eb531475bc98682ad889359" \t "_blank" </w:instrText>
      </w:r>
      <w:r>
        <w:rPr>
          <w:color w:val="auto"/>
          <w:sz w:val="18"/>
          <w:szCs w:val="18"/>
          <w:highlight w:val="none"/>
        </w:rPr>
        <w:fldChar w:fldCharType="separate"/>
      </w:r>
      <w:r>
        <w:rPr>
          <w:color w:val="auto"/>
          <w:sz w:val="18"/>
          <w:szCs w:val="18"/>
          <w:highlight w:val="none"/>
        </w:rPr>
        <w:fldChar w:fldCharType="end"/>
      </w:r>
      <w:r>
        <w:rPr>
          <w:rFonts w:hint="eastAsia"/>
          <w:color w:val="auto"/>
          <w:sz w:val="18"/>
          <w:szCs w:val="18"/>
          <w:highlight w:val="none"/>
          <w:lang w:eastAsia="zh-CN"/>
        </w:rPr>
        <w:t>临[2023]2659号</w:t>
      </w:r>
      <w:r>
        <w:rPr>
          <w:rFonts w:hint="eastAsia" w:cs="宋体" w:asciiTheme="minorEastAsia" w:hAnsiTheme="minorEastAsia" w:eastAsiaTheme="minorEastAsia"/>
          <w:color w:val="auto"/>
          <w:kern w:val="0"/>
          <w:sz w:val="18"/>
          <w:szCs w:val="18"/>
          <w:highlight w:val="none"/>
        </w:rPr>
        <w:t>，采购编号</w:t>
      </w:r>
      <w:r>
        <w:rPr>
          <w:rFonts w:hint="eastAsia" w:cs="宋体" w:asciiTheme="minorEastAsia" w:hAnsiTheme="minorEastAsia" w:eastAsiaTheme="minorEastAsia"/>
          <w:color w:val="auto"/>
          <w:kern w:val="0"/>
          <w:sz w:val="18"/>
          <w:szCs w:val="18"/>
          <w:highlight w:val="none"/>
          <w:lang w:eastAsia="zh"/>
        </w:rPr>
        <w:t>银建-JXYJ（2023）78号</w:t>
      </w:r>
      <w:r>
        <w:rPr>
          <w:rFonts w:hint="eastAsia" w:cs="宋体" w:asciiTheme="minorEastAsia" w:hAnsiTheme="minorEastAsia" w:eastAsiaTheme="minorEastAsia"/>
          <w:color w:val="auto"/>
          <w:kern w:val="0"/>
          <w:sz w:val="18"/>
          <w:szCs w:val="18"/>
          <w:highlight w:val="none"/>
        </w:rPr>
        <w:t>,合同号：</w:t>
      </w:r>
      <w:r>
        <w:rPr>
          <w:rFonts w:hint="eastAsia" w:cs="宋体" w:asciiTheme="minorEastAsia" w:hAnsiTheme="minorEastAsia" w:eastAsiaTheme="minorEastAsia"/>
          <w:color w:val="auto"/>
          <w:kern w:val="0"/>
          <w:sz w:val="18"/>
          <w:szCs w:val="18"/>
          <w:highlight w:val="none"/>
          <w:lang w:eastAsia="zh"/>
        </w:rPr>
        <w:t>银建-JXYJ（2023）78号</w:t>
      </w:r>
      <w:r>
        <w:rPr>
          <w:rFonts w:hint="eastAsia" w:cs="宋体" w:asciiTheme="minorEastAsia" w:hAnsiTheme="minorEastAsia" w:eastAsiaTheme="minorEastAsia"/>
          <w:color w:val="auto"/>
          <w:kern w:val="0"/>
          <w:sz w:val="18"/>
          <w:szCs w:val="18"/>
          <w:highlight w:val="none"/>
        </w:rPr>
        <w:t>以下项目已采购到位并验收合格。</w:t>
      </w: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采购货物（服务，工程）名称</w:t>
            </w:r>
          </w:p>
        </w:tc>
        <w:tc>
          <w:tcPr>
            <w:tcW w:w="484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规格、型号</w:t>
            </w:r>
          </w:p>
        </w:tc>
        <w:tc>
          <w:tcPr>
            <w:tcW w:w="128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数量</w:t>
            </w:r>
          </w:p>
        </w:tc>
        <w:tc>
          <w:tcPr>
            <w:tcW w:w="160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核定总价</w:t>
            </w:r>
          </w:p>
        </w:tc>
        <w:tc>
          <w:tcPr>
            <w:tcW w:w="17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w:t>
            </w:r>
          </w:p>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6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740" w:type="dxa"/>
            <w:tcBorders>
              <w:top w:val="nil"/>
              <w:left w:val="nil"/>
              <w:bottom w:val="single" w:color="auto" w:sz="4" w:space="0"/>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合计总价款（人民币）</w:t>
            </w:r>
          </w:p>
        </w:tc>
        <w:tc>
          <w:tcPr>
            <w:tcW w:w="9460" w:type="dxa"/>
            <w:gridSpan w:val="4"/>
            <w:tcBorders>
              <w:top w:val="nil"/>
              <w:left w:val="nil"/>
              <w:bottom w:val="single" w:color="auto" w:sz="4" w:space="0"/>
              <w:right w:val="single" w:color="000000" w:sz="4" w:space="0"/>
            </w:tcBorders>
            <w:vAlign w:val="center"/>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供货单位（盖章）：                     </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采购人（盖章）:</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经办项目负责人：</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项目验收组组长：</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开户银行：</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项目验收组成员（签名）：</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银行帐号：</w:t>
            </w:r>
          </w:p>
        </w:tc>
        <w:tc>
          <w:tcPr>
            <w:tcW w:w="4840" w:type="dxa"/>
            <w:tcBorders>
              <w:top w:val="nil"/>
              <w:left w:val="nil"/>
              <w:bottom w:val="single" w:color="auto" w:sz="4" w:space="0"/>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620" w:type="dxa"/>
            <w:gridSpan w:val="3"/>
            <w:tcBorders>
              <w:top w:val="nil"/>
              <w:left w:val="nil"/>
              <w:bottom w:val="single" w:color="auto" w:sz="4" w:space="0"/>
              <w:right w:val="single" w:color="000000" w:sz="4" w:space="0"/>
            </w:tcBorders>
            <w:vAlign w:val="center"/>
          </w:tcPr>
          <w:p>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本单一式四联：第一联采购人留存，第二联作为财政支付凭证，第三联供货单位留存，第四联采购办存档备查。</w:t>
            </w:r>
          </w:p>
        </w:tc>
      </w:tr>
    </w:tbl>
    <w:p>
      <w:pPr>
        <w:pStyle w:val="30"/>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112" w:name="_Toc530"/>
      <w:r>
        <w:rPr>
          <w:rFonts w:hint="eastAsia" w:asciiTheme="minorEastAsia" w:hAnsiTheme="minorEastAsia" w:eastAsiaTheme="minorEastAsia"/>
          <w:b/>
          <w:color w:val="auto"/>
          <w:sz w:val="30"/>
          <w:szCs w:val="30"/>
          <w:highlight w:val="none"/>
        </w:rPr>
        <w:t>第六章  投标文件格式</w:t>
      </w:r>
      <w:bookmarkEnd w:id="112"/>
    </w:p>
    <w:p>
      <w:pPr>
        <w:snapToGrid w:val="0"/>
        <w:spacing w:line="360" w:lineRule="auto"/>
        <w:jc w:val="center"/>
        <w:outlineLvl w:val="9"/>
        <w:rPr>
          <w:rFonts w:asciiTheme="minorEastAsia" w:hAnsiTheme="minorEastAsia" w:eastAsiaTheme="minorEastAsia"/>
          <w:b/>
          <w:bCs/>
          <w:color w:val="auto"/>
          <w:szCs w:val="21"/>
          <w:highlight w:val="none"/>
        </w:rPr>
      </w:pPr>
    </w:p>
    <w:p>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1.投标文件封面格式：</w:t>
      </w:r>
    </w:p>
    <w:p>
      <w:pPr>
        <w:snapToGrid w:val="0"/>
        <w:spacing w:line="360" w:lineRule="auto"/>
        <w:rPr>
          <w:rFonts w:asciiTheme="minorEastAsia" w:hAnsiTheme="minorEastAsia" w:eastAsiaTheme="minorEastAsia"/>
          <w:b/>
          <w:bCs/>
          <w:color w:val="auto"/>
          <w:sz w:val="18"/>
          <w:szCs w:val="18"/>
          <w:highlight w:val="none"/>
        </w:rPr>
      </w:pPr>
    </w:p>
    <w:p>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资信技术文件</w:t>
      </w:r>
    </w:p>
    <w:p>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pPr>
        <w:snapToGrid w:val="0"/>
        <w:spacing w:line="360" w:lineRule="auto"/>
        <w:ind w:firstLine="64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年月日</w:t>
      </w:r>
    </w:p>
    <w:p>
      <w:pPr>
        <w:snapToGrid w:val="0"/>
        <w:spacing w:line="360" w:lineRule="auto"/>
        <w:rPr>
          <w:rFonts w:asciiTheme="minorEastAsia" w:hAnsiTheme="minorEastAsia" w:eastAsiaTheme="minorEastAsia"/>
          <w:b/>
          <w:color w:val="auto"/>
          <w:sz w:val="18"/>
          <w:szCs w:val="18"/>
          <w:highlight w:val="none"/>
        </w:rPr>
      </w:pPr>
    </w:p>
    <w:p>
      <w:pPr>
        <w:snapToGrid w:val="0"/>
        <w:spacing w:line="360" w:lineRule="auto"/>
        <w:rPr>
          <w:rFonts w:asciiTheme="minorEastAsia" w:hAnsiTheme="minorEastAsia" w:eastAsiaTheme="minorEastAsia"/>
          <w:b/>
          <w:color w:val="auto"/>
          <w:sz w:val="18"/>
          <w:szCs w:val="18"/>
          <w:highlight w:val="none"/>
        </w:rPr>
      </w:pPr>
    </w:p>
    <w:p>
      <w:pPr>
        <w:snapToGrid w:val="0"/>
        <w:spacing w:line="360" w:lineRule="auto"/>
        <w:rPr>
          <w:rFonts w:asciiTheme="minorEastAsia" w:hAnsiTheme="minorEastAsia" w:eastAsiaTheme="minorEastAsia"/>
          <w:b/>
          <w:color w:val="auto"/>
          <w:sz w:val="18"/>
          <w:szCs w:val="18"/>
          <w:highlight w:val="none"/>
        </w:rPr>
      </w:pPr>
    </w:p>
    <w:p>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商务报价文件</w:t>
      </w:r>
    </w:p>
    <w:p>
      <w:pPr>
        <w:snapToGrid w:val="0"/>
        <w:spacing w:line="360" w:lineRule="auto"/>
        <w:rPr>
          <w:rFonts w:asciiTheme="minorEastAsia" w:hAnsiTheme="minorEastAsia" w:eastAsiaTheme="minorEastAsia"/>
          <w:bCs/>
          <w:color w:val="auto"/>
          <w:sz w:val="18"/>
          <w:szCs w:val="18"/>
          <w:highlight w:val="none"/>
        </w:rPr>
      </w:pPr>
    </w:p>
    <w:p>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pPr>
        <w:snapToGrid w:val="0"/>
        <w:spacing w:line="360" w:lineRule="auto"/>
        <w:ind w:firstLine="900" w:firstLineChars="5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年月日</w:t>
      </w:r>
    </w:p>
    <w:p>
      <w:pPr>
        <w:spacing w:line="360" w:lineRule="auto"/>
        <w:rPr>
          <w:rFonts w:asciiTheme="minorEastAsia" w:hAnsiTheme="minorEastAsia" w:eastAsiaTheme="minorEastAsia"/>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pStyle w:val="48"/>
        <w:ind w:firstLine="404"/>
        <w:rPr>
          <w:color w:val="auto"/>
          <w:highlight w:val="none"/>
        </w:rPr>
      </w:pPr>
    </w:p>
    <w:p>
      <w:pPr>
        <w:pStyle w:val="48"/>
        <w:ind w:firstLine="404"/>
        <w:rPr>
          <w:color w:val="auto"/>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pPr>
        <w:spacing w:line="360" w:lineRule="auto"/>
        <w:rPr>
          <w:rFonts w:hint="eastAsia" w:asciiTheme="minorEastAsia" w:hAnsiTheme="minorEastAsia" w:eastAsiaTheme="minorEastAsia"/>
          <w:color w:val="auto"/>
          <w:sz w:val="18"/>
          <w:szCs w:val="18"/>
          <w:highlight w:val="none"/>
          <w:lang w:eastAsia="zh"/>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
        </w:rPr>
        <w:t>嘉兴市秀洲区人民政府塘汇街道办事处</w:t>
      </w:r>
    </w:p>
    <w:p>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（投标单位名称）系中华人民共和国合法企业，经营地址。</w:t>
      </w:r>
    </w:p>
    <w:p>
      <w:pPr>
        <w:snapToGrid w:val="0"/>
        <w:spacing w:beforeLines="50" w:after="50"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我（姓名）系（投标人名称）的法定代表人，我方愿意参加贵方组织的的投标，为便于贵方公正、择优地确定中标人及其投标产品和服务，我方就本次投标有关事项郑重声明如下：</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我方向贵方提交的所有投标文件、资料都是准确的和真实的。</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我方不是招标单位的附属机构；在获知本项目采购信息后，与招标单位聘请的为此项目提供咨询服务的公司及其附属机构没有任何联系。</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3.我方承诺具有履行合同所必需的设备和专业技术能力； </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4. 我方承诺具有良好的商业信誉和健全的财务会计制度；（附财务报表）（格式自拟） </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5.我方承诺有依法缴纳税收和社会保障资金的良好记录；（附依法缴纳税费或依法免缴税费的证明）（格式自拟） </w:t>
      </w:r>
    </w:p>
    <w:p>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6.我方承诺参加政府采购活动前三年内，在经营活动中没有重大违法记录；（若有，请如实填写；</w:t>
      </w:r>
      <w:r>
        <w:rPr>
          <w:rFonts w:hint="eastAsia" w:asciiTheme="minorEastAsia" w:hAnsiTheme="minorEastAsia" w:eastAsiaTheme="minorEastAsia"/>
          <w:color w:val="auto"/>
          <w:sz w:val="18"/>
          <w:szCs w:val="18"/>
          <w:highlight w:val="none"/>
          <w:u w:val="single"/>
        </w:rPr>
        <w:t>　　　　　　　　　　　　</w:t>
      </w:r>
    </w:p>
    <w:p>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u w:val="single"/>
        </w:rPr>
        <w:t>　　　　　　　　　　　　　　　　　　　　　　　　　　　　　　　　　　　　</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以上事项如有虚假或隐瞒，我方愿意承担一切后果，并不再寻求任何旨在减轻或免除法律责任的辩解。</w:t>
      </w:r>
    </w:p>
    <w:p>
      <w:pPr>
        <w:spacing w:line="360" w:lineRule="auto"/>
        <w:ind w:firstLine="452" w:firstLineChars="250"/>
        <w:jc w:val="center"/>
        <w:rPr>
          <w:rFonts w:asciiTheme="minorEastAsia" w:hAnsiTheme="minorEastAsia" w:eastAsiaTheme="minorEastAsia"/>
          <w:b/>
          <w:color w:val="auto"/>
          <w:sz w:val="18"/>
          <w:szCs w:val="18"/>
          <w:highlight w:val="none"/>
        </w:rPr>
      </w:pPr>
    </w:p>
    <w:p>
      <w:pPr>
        <w:spacing w:beforeLines="50" w:line="360" w:lineRule="auto"/>
        <w:ind w:firstLine="1320" w:firstLineChars="6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pPr>
        <w:pStyle w:val="30"/>
        <w:snapToGrid w:val="0"/>
        <w:spacing w:beforeLines="0" w:afterLines="0" w:line="360" w:lineRule="auto"/>
        <w:rPr>
          <w:rFonts w:asciiTheme="minorEastAsia" w:hAnsiTheme="minorEastAsia" w:eastAsiaTheme="minorEastAsia"/>
          <w:color w:val="auto"/>
          <w:sz w:val="21"/>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pStyle w:val="48"/>
        <w:ind w:firstLine="404"/>
        <w:rPr>
          <w:color w:val="auto"/>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pPr>
        <w:pStyle w:val="48"/>
        <w:spacing w:line="360" w:lineRule="auto"/>
        <w:ind w:firstLine="404"/>
        <w:rPr>
          <w:color w:val="auto"/>
          <w:highlight w:val="none"/>
        </w:rPr>
      </w:pPr>
    </w:p>
    <w:p>
      <w:pPr>
        <w:snapToGrid w:val="0"/>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Cs/>
          <w:color w:val="auto"/>
          <w:sz w:val="18"/>
          <w:szCs w:val="18"/>
          <w:highlight w:val="none"/>
        </w:rPr>
        <w:t>致：</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
        </w:rPr>
        <w:t>嘉兴市秀洲区人民政府塘汇街道办事处</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（招标采购单位名称）：</w:t>
      </w:r>
    </w:p>
    <w:p>
      <w:pPr>
        <w:snapToGrid w:val="0"/>
        <w:spacing w:line="360" w:lineRule="auto"/>
        <w:ind w:firstLine="540" w:firstLineChars="3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我（姓名）系（投标人名称）的法定代表人，现授权委托本单位在职职工（姓名）以我方的名义参加</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
        </w:rPr>
        <w:t>塘汇街道2024-2025年度绿化养护项目</w:t>
      </w:r>
      <w:r>
        <w:rPr>
          <w:rFonts w:hint="eastAsia" w:asciiTheme="minorEastAsia" w:hAnsiTheme="minorEastAsia" w:eastAsiaTheme="minorEastAsia"/>
          <w:color w:val="auto"/>
          <w:sz w:val="18"/>
          <w:szCs w:val="18"/>
          <w:highlight w:val="none"/>
        </w:rPr>
        <w:t>的投标活动，并代表我方全权办理针对上述项目的投标、开标、评标、签约等具体事务和签署相关文件。</w:t>
      </w:r>
    </w:p>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我方对被授权人的签名事项负全部责任。</w:t>
      </w:r>
    </w:p>
    <w:p>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u w:val="single"/>
        </w:rPr>
        <w:t>在撤销授权的书面通知以前，本授权书一直有效。</w:t>
      </w:r>
      <w:r>
        <w:rPr>
          <w:rFonts w:hint="eastAsia" w:asciiTheme="minorEastAsia" w:hAnsiTheme="minorEastAsia" w:eastAsiaTheme="minorEastAsia"/>
          <w:color w:val="auto"/>
          <w:sz w:val="18"/>
          <w:szCs w:val="18"/>
          <w:highlight w:val="none"/>
        </w:rPr>
        <w:t>被授权人在授权书有效期内签署的所有文件不因授权的撤销而失效。</w:t>
      </w:r>
    </w:p>
    <w:p>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被授权人无转委托权，特此委托。</w:t>
      </w:r>
    </w:p>
    <w:p>
      <w:pPr>
        <w:snapToGrid w:val="0"/>
        <w:spacing w:line="360" w:lineRule="auto"/>
        <w:rPr>
          <w:rFonts w:asciiTheme="minorEastAsia" w:hAnsiTheme="minorEastAsia" w:eastAsiaTheme="minorEastAsia"/>
          <w:color w:val="auto"/>
          <w:sz w:val="18"/>
          <w:szCs w:val="18"/>
          <w:highlight w:val="none"/>
        </w:rPr>
      </w:pPr>
    </w:p>
    <w:p>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法定代表人签字：                     被授权人签字：</w:t>
      </w:r>
    </w:p>
    <w:p>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法定代表人身份证号：                  被授权人身份证号：</w:t>
      </w:r>
    </w:p>
    <w:p>
      <w:pPr>
        <w:snapToGrid w:val="0"/>
        <w:spacing w:beforeLines="50" w:after="50" w:line="360" w:lineRule="auto"/>
        <w:rPr>
          <w:rFonts w:asciiTheme="minorEastAsia" w:hAnsiTheme="minorEastAsia" w:eastAsiaTheme="minorEastAsia"/>
          <w:color w:val="auto"/>
          <w:sz w:val="18"/>
          <w:szCs w:val="18"/>
          <w:highlight w:val="none"/>
        </w:rPr>
      </w:pPr>
    </w:p>
    <w:p>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法定代表人身份证（正反面）       被授权人身份证（正反面）</w:t>
      </w:r>
    </w:p>
    <w:p>
      <w:pPr>
        <w:snapToGrid w:val="0"/>
        <w:spacing w:line="360" w:lineRule="auto"/>
        <w:rPr>
          <w:rFonts w:asciiTheme="minorEastAsia" w:hAnsiTheme="minorEastAsia" w:eastAsiaTheme="minorEastAsia"/>
          <w:color w:val="auto"/>
          <w:sz w:val="18"/>
          <w:szCs w:val="18"/>
          <w:highlight w:val="none"/>
        </w:rPr>
      </w:pPr>
    </w:p>
    <w:p>
      <w:pPr>
        <w:snapToGrid w:val="0"/>
        <w:spacing w:line="360" w:lineRule="auto"/>
        <w:ind w:firstLine="200"/>
        <w:jc w:val="right"/>
        <w:rPr>
          <w:rFonts w:asciiTheme="minorEastAsia" w:hAnsiTheme="minorEastAsia" w:eastAsiaTheme="minorEastAsia"/>
          <w:color w:val="auto"/>
          <w:sz w:val="18"/>
          <w:szCs w:val="18"/>
          <w:highlight w:val="none"/>
          <w:u w:val="single"/>
        </w:rPr>
      </w:pPr>
    </w:p>
    <w:p>
      <w:pPr>
        <w:spacing w:beforeLines="50" w:line="360" w:lineRule="auto"/>
        <w:rPr>
          <w:rFonts w:asciiTheme="minorEastAsia" w:hAnsiTheme="minorEastAsia" w:eastAsiaTheme="minorEastAsia"/>
          <w:color w:val="auto"/>
          <w:sz w:val="18"/>
          <w:szCs w:val="18"/>
          <w:highlight w:val="none"/>
        </w:rPr>
      </w:pP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pPr>
        <w:snapToGrid w:val="0"/>
        <w:spacing w:line="360" w:lineRule="auto"/>
        <w:ind w:firstLine="210" w:firstLineChars="100"/>
        <w:jc w:val="righ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pPr>
        <w:spacing w:line="360" w:lineRule="auto"/>
        <w:rPr>
          <w:rFonts w:asciiTheme="minorEastAsia" w:hAnsiTheme="minorEastAsia" w:eastAsiaTheme="minorEastAsia"/>
          <w:color w:val="auto"/>
          <w:szCs w:val="21"/>
          <w:highlight w:val="none"/>
        </w:rPr>
      </w:pPr>
    </w:p>
    <w:p>
      <w:pPr>
        <w:spacing w:line="360" w:lineRule="auto"/>
        <w:rPr>
          <w:rFonts w:hint="eastAsia" w:asciiTheme="minorEastAsia" w:hAnsiTheme="minorEastAsia" w:eastAsiaTheme="minorEastAsia"/>
          <w:color w:val="auto"/>
          <w:sz w:val="18"/>
          <w:szCs w:val="18"/>
          <w:highlight w:val="none"/>
          <w:lang w:eastAsia="zh"/>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u w:val="single"/>
          <w:lang w:eastAsia="zh"/>
        </w:rPr>
        <w:t>嘉兴市秀洲区人民政府塘汇街道办事处</w:t>
      </w:r>
    </w:p>
    <w:p>
      <w:pPr>
        <w:spacing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关于贵方</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
        </w:rPr>
        <w:t>塘汇街道2024-2025年度绿化养护项目</w:t>
      </w:r>
      <w:r>
        <w:rPr>
          <w:rFonts w:asciiTheme="minorEastAsia" w:hAnsiTheme="minorEastAsia" w:eastAsiaTheme="minorEastAsia"/>
          <w:color w:val="auto"/>
          <w:sz w:val="18"/>
          <w:szCs w:val="18"/>
          <w:highlight w:val="none"/>
        </w:rPr>
        <w:t>招标</w:t>
      </w:r>
      <w:r>
        <w:rPr>
          <w:rFonts w:hint="eastAsia" w:asciiTheme="minorEastAsia" w:hAnsiTheme="minorEastAsia" w:eastAsiaTheme="minorEastAsia"/>
          <w:color w:val="auto"/>
          <w:sz w:val="18"/>
          <w:szCs w:val="18"/>
          <w:highlight w:val="none"/>
        </w:rPr>
        <w:t>项目</w:t>
      </w:r>
      <w:r>
        <w:rPr>
          <w:rFonts w:asciiTheme="minorEastAsia" w:hAnsiTheme="minorEastAsia" w:eastAsiaTheme="minorEastAsia"/>
          <w:color w:val="auto"/>
          <w:sz w:val="18"/>
          <w:szCs w:val="18"/>
          <w:highlight w:val="none"/>
        </w:rPr>
        <w:t>，本签字人愿意参加投标，提供</w:t>
      </w:r>
      <w:r>
        <w:rPr>
          <w:rFonts w:hint="eastAsia" w:asciiTheme="minorEastAsia" w:hAnsiTheme="minorEastAsia" w:eastAsiaTheme="minorEastAsia"/>
          <w:color w:val="auto"/>
          <w:sz w:val="18"/>
          <w:szCs w:val="18"/>
          <w:highlight w:val="none"/>
        </w:rPr>
        <w:t>招标文件</w:t>
      </w:r>
      <w:r>
        <w:rPr>
          <w:rFonts w:asciiTheme="minorEastAsia" w:hAnsiTheme="minorEastAsia" w:eastAsiaTheme="minorEastAsia"/>
          <w:color w:val="auto"/>
          <w:sz w:val="18"/>
          <w:szCs w:val="18"/>
          <w:highlight w:val="none"/>
        </w:rPr>
        <w:t>规定的</w:t>
      </w:r>
      <w:r>
        <w:rPr>
          <w:rFonts w:hint="eastAsia" w:asciiTheme="minorEastAsia" w:hAnsiTheme="minorEastAsia" w:eastAsiaTheme="minorEastAsia"/>
          <w:color w:val="auto"/>
          <w:sz w:val="18"/>
          <w:szCs w:val="18"/>
          <w:highlight w:val="none"/>
        </w:rPr>
        <w:t>要求及服务，</w:t>
      </w:r>
      <w:r>
        <w:rPr>
          <w:rFonts w:asciiTheme="minorEastAsia" w:hAnsiTheme="minorEastAsia" w:eastAsiaTheme="minorEastAsia"/>
          <w:color w:val="auto"/>
          <w:sz w:val="18"/>
          <w:szCs w:val="18"/>
          <w:highlight w:val="none"/>
        </w:rPr>
        <w:t>并证实提交的下列文件和说明是准确的和真实的</w:t>
      </w:r>
      <w:r>
        <w:rPr>
          <w:rFonts w:hint="eastAsia" w:asciiTheme="minorEastAsia" w:hAnsiTheme="minorEastAsia" w:eastAsiaTheme="minorEastAsia"/>
          <w:color w:val="auto"/>
          <w:sz w:val="18"/>
          <w:szCs w:val="18"/>
          <w:highlight w:val="none"/>
        </w:rPr>
        <w:t>：</w:t>
      </w:r>
    </w:p>
    <w:p>
      <w:pPr>
        <w:spacing w:line="360" w:lineRule="auto"/>
        <w:ind w:firstLine="270" w:firstLineChars="15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投标人概况。</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2、有效期内的法人营业执照副本复印件（加盖公章）、</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3、招标文件要求的相关资格资质证明文件及附件资料复印件（加盖公章）。</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4、投标人认为有必要提供的声明及文件资料。</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N、</w:t>
      </w:r>
      <w:r>
        <w:rPr>
          <w:rFonts w:asciiTheme="minorEastAsia" w:hAnsiTheme="minorEastAsia" w:eastAsiaTheme="minorEastAsia"/>
          <w:color w:val="auto"/>
          <w:sz w:val="18"/>
          <w:szCs w:val="18"/>
          <w:highlight w:val="none"/>
        </w:rPr>
        <w:t>……</w:t>
      </w:r>
    </w:p>
    <w:p>
      <w:pPr>
        <w:spacing w:beforeLines="50" w:line="360" w:lineRule="auto"/>
        <w:ind w:firstLine="2420" w:firstLineChars="1100"/>
        <w:rPr>
          <w:rFonts w:asciiTheme="minorEastAsia" w:hAnsiTheme="minorEastAsia" w:eastAsiaTheme="minorEastAsia"/>
          <w:color w:val="auto"/>
          <w:spacing w:val="20"/>
          <w:sz w:val="18"/>
          <w:szCs w:val="18"/>
          <w:highlight w:val="none"/>
        </w:rPr>
      </w:pPr>
    </w:p>
    <w:p>
      <w:pPr>
        <w:spacing w:beforeLines="50" w:line="360" w:lineRule="auto"/>
        <w:ind w:firstLine="2420" w:firstLineChars="1100"/>
        <w:rPr>
          <w:rFonts w:asciiTheme="minorEastAsia" w:hAnsiTheme="minorEastAsia" w:eastAsiaTheme="minorEastAsia"/>
          <w:color w:val="auto"/>
          <w:spacing w:val="20"/>
          <w:sz w:val="18"/>
          <w:szCs w:val="18"/>
          <w:highlight w:val="none"/>
        </w:rPr>
      </w:pPr>
    </w:p>
    <w:p>
      <w:pPr>
        <w:spacing w:beforeLines="50" w:line="360" w:lineRule="auto"/>
        <w:ind w:firstLine="2420" w:firstLineChars="11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标</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概</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况</w:t>
            </w: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公司名称</w:t>
            </w:r>
          </w:p>
        </w:tc>
        <w:tc>
          <w:tcPr>
            <w:tcW w:w="6147" w:type="dxa"/>
            <w:gridSpan w:val="3"/>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p>
        </w:tc>
        <w:tc>
          <w:tcPr>
            <w:tcW w:w="6147" w:type="dxa"/>
            <w:gridSpan w:val="3"/>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经营范围</w:t>
            </w:r>
          </w:p>
        </w:tc>
        <w:tc>
          <w:tcPr>
            <w:tcW w:w="6147" w:type="dxa"/>
            <w:gridSpan w:val="3"/>
            <w:vAlign w:val="center"/>
          </w:tcPr>
          <w:p>
            <w:pPr>
              <w:spacing w:line="360" w:lineRule="auto"/>
              <w:ind w:firstLine="360" w:firstLineChars="200"/>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成立时间</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经济性质</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联系电话</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注册资金</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人员数</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资产总额</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净资产</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是否依法纳税</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是否参加社保</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7960" w:type="dxa"/>
            <w:gridSpan w:val="4"/>
          </w:tcPr>
          <w:p>
            <w:pPr>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pPr>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（单位公章）年   月   日</w:t>
            </w:r>
          </w:p>
        </w:tc>
      </w:tr>
    </w:tbl>
    <w:p>
      <w:pPr>
        <w:spacing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xml:space="preserve">   注：附营业执照。</w:t>
      </w:r>
    </w:p>
    <w:p>
      <w:pPr>
        <w:snapToGrid w:val="0"/>
        <w:spacing w:line="360" w:lineRule="auto"/>
        <w:rPr>
          <w:rFonts w:asciiTheme="minorEastAsia" w:hAnsiTheme="minorEastAsia" w:eastAsiaTheme="minorEastAsia"/>
          <w:b/>
          <w:color w:val="auto"/>
          <w:spacing w:val="20"/>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rPr>
              <w:t>项目名称</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项目金额</w:t>
            </w:r>
          </w:p>
          <w:p>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w:t>
            </w:r>
            <w:r>
              <w:rPr>
                <w:rFonts w:hint="eastAsia" w:asciiTheme="minorEastAsia" w:hAnsiTheme="minorEastAsia" w:eastAsiaTheme="minorEastAsia"/>
                <w:color w:val="auto"/>
                <w:sz w:val="18"/>
                <w:szCs w:val="18"/>
                <w:highlight w:val="none"/>
              </w:rPr>
              <w:t>万元）</w:t>
            </w:r>
          </w:p>
        </w:tc>
        <w:tc>
          <w:tcPr>
            <w:tcW w:w="172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合同时间</w:t>
            </w:r>
          </w:p>
        </w:tc>
        <w:tc>
          <w:tcPr>
            <w:tcW w:w="2066"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bl>
    <w:p>
      <w:pPr>
        <w:pStyle w:val="30"/>
        <w:tabs>
          <w:tab w:val="left" w:pos="1200"/>
        </w:tabs>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注：1、以上项目须提供合同复印件加盖单位公章.</w:t>
      </w:r>
    </w:p>
    <w:p>
      <w:pPr>
        <w:pStyle w:val="30"/>
        <w:tabs>
          <w:tab w:val="left" w:pos="1200"/>
        </w:tabs>
        <w:spacing w:before="120" w:after="120" w:line="360" w:lineRule="auto"/>
        <w:ind w:firstLine="36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2、本表可在不改变格式的情况下根据具体需要自行增减。</w:t>
      </w: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pStyle w:val="48"/>
        <w:ind w:firstLine="404"/>
        <w:rPr>
          <w:color w:val="auto"/>
          <w:highlight w:val="none"/>
        </w:rPr>
      </w:pPr>
    </w:p>
    <w:p>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pPr>
        <w:snapToGrid w:val="0"/>
        <w:spacing w:line="360" w:lineRule="auto"/>
        <w:jc w:val="center"/>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认证证书情况（附件6）</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序号</w:t>
            </w:r>
          </w:p>
        </w:tc>
        <w:tc>
          <w:tcPr>
            <w:tcW w:w="2321"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名称</w:t>
            </w:r>
          </w:p>
        </w:tc>
        <w:tc>
          <w:tcPr>
            <w:tcW w:w="1900"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获得时间</w:t>
            </w:r>
          </w:p>
        </w:tc>
        <w:tc>
          <w:tcPr>
            <w:tcW w:w="1477"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认证机构</w:t>
            </w:r>
          </w:p>
        </w:tc>
        <w:tc>
          <w:tcPr>
            <w:tcW w:w="1796"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5</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p>
        </w:tc>
        <w:tc>
          <w:tcPr>
            <w:tcW w:w="2321" w:type="dxa"/>
          </w:tcPr>
          <w:p>
            <w:pPr>
              <w:spacing w:line="360" w:lineRule="auto"/>
              <w:jc w:val="center"/>
              <w:rPr>
                <w:rFonts w:asciiTheme="minorEastAsia" w:hAnsiTheme="minorEastAsia" w:eastAsiaTheme="minorEastAsia"/>
                <w:bCs/>
                <w:color w:val="auto"/>
                <w:sz w:val="18"/>
                <w:szCs w:val="18"/>
                <w:highlight w:val="none"/>
              </w:rPr>
            </w:pPr>
          </w:p>
        </w:tc>
        <w:tc>
          <w:tcPr>
            <w:tcW w:w="1900" w:type="dxa"/>
          </w:tcPr>
          <w:p>
            <w:pPr>
              <w:spacing w:line="360" w:lineRule="auto"/>
              <w:jc w:val="center"/>
              <w:rPr>
                <w:rFonts w:asciiTheme="minorEastAsia" w:hAnsiTheme="minorEastAsia" w:eastAsiaTheme="minorEastAsia"/>
                <w:bCs/>
                <w:color w:val="auto"/>
                <w:sz w:val="18"/>
                <w:szCs w:val="18"/>
                <w:highlight w:val="none"/>
              </w:rPr>
            </w:pPr>
          </w:p>
        </w:tc>
        <w:tc>
          <w:tcPr>
            <w:tcW w:w="1477" w:type="dxa"/>
          </w:tcPr>
          <w:p>
            <w:pPr>
              <w:spacing w:line="360" w:lineRule="auto"/>
              <w:jc w:val="center"/>
              <w:rPr>
                <w:rFonts w:asciiTheme="minorEastAsia" w:hAnsiTheme="minorEastAsia" w:eastAsiaTheme="minorEastAsia"/>
                <w:bCs/>
                <w:color w:val="auto"/>
                <w:sz w:val="18"/>
                <w:szCs w:val="18"/>
                <w:highlight w:val="none"/>
              </w:rPr>
            </w:pPr>
          </w:p>
        </w:tc>
        <w:tc>
          <w:tcPr>
            <w:tcW w:w="1796" w:type="dxa"/>
          </w:tcPr>
          <w:p>
            <w:pPr>
              <w:spacing w:line="360" w:lineRule="auto"/>
              <w:jc w:val="center"/>
              <w:rPr>
                <w:rFonts w:asciiTheme="minorEastAsia" w:hAnsiTheme="minorEastAsia" w:eastAsiaTheme="minorEastAsia"/>
                <w:bCs/>
                <w:color w:val="auto"/>
                <w:sz w:val="18"/>
                <w:szCs w:val="18"/>
                <w:highlight w:val="none"/>
              </w:rPr>
            </w:pPr>
          </w:p>
        </w:tc>
      </w:tr>
    </w:tbl>
    <w:p>
      <w:pPr>
        <w:pStyle w:val="30"/>
        <w:tabs>
          <w:tab w:val="left" w:pos="1200"/>
        </w:tabs>
        <w:spacing w:before="120" w:after="120" w:line="360" w:lineRule="auto"/>
        <w:ind w:left="766" w:leftChars="22" w:hanging="720" w:hangingChars="4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注：1、以上项目须提供证书复印件加盖单位公章。</w:t>
      </w:r>
      <w:bookmarkStart w:id="113" w:name="OLE_LINK7"/>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w:t>
      </w:r>
      <w:bookmarkEnd w:id="113"/>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职称</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b/>
                <w:bCs/>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r>
    </w:tbl>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注：1、上表中行数不够可自加。</w:t>
      </w:r>
    </w:p>
    <w:p>
      <w:pPr>
        <w:adjustRightInd w:val="0"/>
        <w:snapToGrid w:val="0"/>
        <w:spacing w:line="360" w:lineRule="auto"/>
        <w:ind w:firstLine="36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2、注册证书、学历证书、职称证书、社保证明等资料复印件加盖单位公章附后。</w:t>
      </w:r>
    </w:p>
    <w:p>
      <w:pPr>
        <w:snapToGrid w:val="0"/>
        <w:spacing w:line="360" w:lineRule="auto"/>
        <w:ind w:firstLine="200"/>
        <w:jc w:val="right"/>
        <w:rPr>
          <w:rFonts w:asciiTheme="minorEastAsia" w:hAnsiTheme="minorEastAsia" w:eastAsiaTheme="minorEastAsia"/>
          <w:color w:val="auto"/>
          <w:szCs w:val="21"/>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p>
    <w:p>
      <w:pPr>
        <w:pStyle w:val="48"/>
        <w:spacing w:line="360" w:lineRule="auto"/>
        <w:ind w:firstLine="404"/>
        <w:rPr>
          <w:color w:val="auto"/>
          <w:highlight w:val="none"/>
        </w:rPr>
      </w:pPr>
    </w:p>
    <w:p>
      <w:pPr>
        <w:pStyle w:val="48"/>
        <w:spacing w:line="360" w:lineRule="auto"/>
        <w:ind w:firstLine="404"/>
        <w:rPr>
          <w:color w:val="auto"/>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投入设备清单格式（附件8）</w:t>
      </w:r>
    </w:p>
    <w:tbl>
      <w:tblPr>
        <w:tblStyle w:val="49"/>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产地</w:t>
            </w:r>
          </w:p>
        </w:tc>
        <w:tc>
          <w:tcPr>
            <w:tcW w:w="1076" w:type="dxa"/>
            <w:tcBorders>
              <w:top w:val="single" w:color="auto" w:sz="4" w:space="0"/>
              <w:left w:val="single" w:color="auto" w:sz="4" w:space="0"/>
              <w:bottom w:val="single" w:color="auto" w:sz="2" w:space="0"/>
              <w:right w:val="single" w:color="auto" w:sz="4" w:space="0"/>
            </w:tcBorders>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 w:val="18"/>
                <w:szCs w:val="18"/>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pPr>
              <w:snapToGrid w:val="0"/>
              <w:spacing w:line="360" w:lineRule="auto"/>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pPr>
              <w:snapToGrid w:val="0"/>
              <w:spacing w:line="360" w:lineRule="auto"/>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2" w:space="0"/>
              <w:right w:val="single" w:color="auto" w:sz="6" w:space="0"/>
            </w:tcBorders>
          </w:tcPr>
          <w:p>
            <w:pPr>
              <w:snapToGrid w:val="0"/>
              <w:spacing w:line="360" w:lineRule="auto"/>
              <w:rPr>
                <w:rFonts w:ascii="微软雅黑" w:hAnsi="微软雅黑" w:eastAsia="微软雅黑"/>
                <w:color w:val="auto"/>
                <w:sz w:val="18"/>
                <w:szCs w:val="18"/>
                <w:highlight w:val="none"/>
              </w:rPr>
            </w:pPr>
          </w:p>
        </w:tc>
      </w:tr>
    </w:tbl>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br w:type="page"/>
      </w:r>
    </w:p>
    <w:p>
      <w:pPr>
        <w:pStyle w:val="30"/>
        <w:snapToGrid w:val="0"/>
        <w:spacing w:beforeLines="0" w:afterLines="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10、</w:t>
      </w: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270" w:firstLineChars="15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u w:val="single"/>
        </w:rPr>
        <w:t>（标的名称）</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u w:val="single"/>
        </w:rPr>
        <w:t>（采购文件中明确的所属行业）</w:t>
      </w:r>
      <w:r>
        <w:rPr>
          <w:rFonts w:hint="eastAsia" w:ascii="宋体" w:hAnsi="宋体" w:eastAsia="宋体" w:cs="宋体"/>
          <w:color w:val="auto"/>
          <w:sz w:val="18"/>
          <w:szCs w:val="18"/>
          <w:highlight w:val="none"/>
        </w:rPr>
        <w:t xml:space="preserve"> ；承建（承接）企业为 </w:t>
      </w:r>
      <w:r>
        <w:rPr>
          <w:rFonts w:hint="eastAsia" w:ascii="宋体" w:hAnsi="宋体" w:eastAsia="宋体" w:cs="宋体"/>
          <w:color w:val="auto"/>
          <w:sz w:val="18"/>
          <w:szCs w:val="18"/>
          <w:highlight w:val="none"/>
          <w:u w:val="single"/>
        </w:rPr>
        <w:t>（企业名称）</w:t>
      </w:r>
      <w:r>
        <w:rPr>
          <w:rFonts w:hint="eastAsia" w:ascii="宋体" w:hAnsi="宋体" w:eastAsia="宋体" w:cs="宋体"/>
          <w:color w:val="auto"/>
          <w:sz w:val="18"/>
          <w:szCs w:val="18"/>
          <w:highlight w:val="none"/>
        </w:rPr>
        <w:t xml:space="preserve"> ，从业人员人，营业收入为万元，资产总额为万元属于</w:t>
      </w:r>
      <w:r>
        <w:rPr>
          <w:rFonts w:hint="eastAsia" w:ascii="宋体" w:hAnsi="宋体" w:eastAsia="宋体" w:cs="宋体"/>
          <w:color w:val="auto"/>
          <w:sz w:val="18"/>
          <w:szCs w:val="18"/>
          <w:highlight w:val="none"/>
          <w:u w:val="single"/>
        </w:rPr>
        <w:t xml:space="preserve"> （中型企业、小型企业、微型企业） </w:t>
      </w:r>
      <w:r>
        <w:rPr>
          <w:rFonts w:hint="eastAsia" w:ascii="宋体" w:hAnsi="宋体" w:eastAsia="宋体" w:cs="宋体"/>
          <w:color w:val="auto"/>
          <w:sz w:val="18"/>
          <w:szCs w:val="18"/>
          <w:highlight w:val="none"/>
        </w:rPr>
        <w:t>；</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u w:val="single"/>
        </w:rPr>
        <w:t>（标的名称）</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u w:val="single"/>
        </w:rPr>
        <w:t>（采购文件中明确的所属行业）</w:t>
      </w:r>
      <w:r>
        <w:rPr>
          <w:rFonts w:hint="eastAsia" w:ascii="宋体" w:hAnsi="宋体" w:eastAsia="宋体" w:cs="宋体"/>
          <w:color w:val="auto"/>
          <w:sz w:val="18"/>
          <w:szCs w:val="18"/>
          <w:highlight w:val="none"/>
        </w:rPr>
        <w:t xml:space="preserve"> ；承建（承接）企业为 </w:t>
      </w:r>
      <w:r>
        <w:rPr>
          <w:rFonts w:hint="eastAsia" w:ascii="宋体" w:hAnsi="宋体" w:eastAsia="宋体" w:cs="宋体"/>
          <w:color w:val="auto"/>
          <w:sz w:val="18"/>
          <w:szCs w:val="18"/>
          <w:highlight w:val="none"/>
          <w:u w:val="single"/>
        </w:rPr>
        <w:t>（企业名称）</w:t>
      </w:r>
      <w:r>
        <w:rPr>
          <w:rFonts w:hint="eastAsia" w:ascii="宋体" w:hAnsi="宋体" w:eastAsia="宋体" w:cs="宋体"/>
          <w:color w:val="auto"/>
          <w:sz w:val="18"/>
          <w:szCs w:val="18"/>
          <w:highlight w:val="none"/>
        </w:rPr>
        <w:t xml:space="preserve"> ，从业人员人，营业收入为万元，资产总额为万元属于</w:t>
      </w:r>
      <w:r>
        <w:rPr>
          <w:rFonts w:hint="eastAsia" w:ascii="宋体" w:hAnsi="宋体" w:eastAsia="宋体" w:cs="宋体"/>
          <w:color w:val="auto"/>
          <w:sz w:val="18"/>
          <w:szCs w:val="18"/>
          <w:highlight w:val="none"/>
          <w:u w:val="single"/>
        </w:rPr>
        <w:t xml:space="preserve"> （中型企业、小型企业、微型企业） </w:t>
      </w:r>
      <w:r>
        <w:rPr>
          <w:rFonts w:hint="eastAsia" w:ascii="宋体" w:hAnsi="宋体" w:eastAsia="宋体" w:cs="宋体"/>
          <w:color w:val="auto"/>
          <w:sz w:val="18"/>
          <w:szCs w:val="18"/>
          <w:highlight w:val="none"/>
        </w:rPr>
        <w:t>；</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以上企业，不属于大企业的分支机构，不存在控股股东为大企业的情形，也不存在与大企业的负责人为同一人的情形。</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投标人名称（</w:t>
      </w:r>
      <w:r>
        <w:rPr>
          <w:rFonts w:hint="eastAsia" w:ascii="宋体" w:hAnsi="宋体" w:eastAsia="宋体" w:cs="宋体"/>
          <w:color w:val="auto"/>
          <w:sz w:val="18"/>
          <w:szCs w:val="18"/>
          <w:highlight w:val="none"/>
          <w:lang w:eastAsia="zh-CN"/>
        </w:rPr>
        <w:t>盖章</w:t>
      </w:r>
      <w:r>
        <w:rPr>
          <w:rFonts w:hint="eastAsia" w:ascii="宋体" w:hAnsi="宋体" w:eastAsia="宋体" w:cs="宋体"/>
          <w:color w:val="auto"/>
          <w:sz w:val="18"/>
          <w:szCs w:val="18"/>
          <w:highlight w:val="none"/>
        </w:rPr>
        <w:t>）：</w:t>
      </w:r>
    </w:p>
    <w:p>
      <w:pPr>
        <w:spacing w:line="360" w:lineRule="auto"/>
        <w:ind w:right="1120" w:firstLine="5850" w:firstLineChars="3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日期：</w:t>
      </w:r>
    </w:p>
    <w:p>
      <w:pPr>
        <w:pStyle w:val="30"/>
        <w:spacing w:beforeLines="0" w:afterLines="0" w:line="360" w:lineRule="auto"/>
        <w:ind w:firstLine="420"/>
        <w:jc w:val="center"/>
        <w:outlineLvl w:val="3"/>
        <w:rPr>
          <w:rFonts w:hAnsi="宋体"/>
          <w:color w:val="auto"/>
          <w:spacing w:val="20"/>
          <w:sz w:val="18"/>
          <w:szCs w:val="18"/>
          <w:highlight w:val="none"/>
        </w:rPr>
      </w:pPr>
      <w:r>
        <w:rPr>
          <w:rFonts w:hint="eastAsia" w:ascii="宋体" w:hAnsi="宋体" w:eastAsia="宋体" w:cs="宋体"/>
          <w:b/>
          <w:color w:val="auto"/>
          <w:sz w:val="18"/>
          <w:szCs w:val="18"/>
          <w:highlight w:val="none"/>
        </w:rPr>
        <w:t>从业人员、营业收入、资产总额填报上一年度数据，无上一年度数据的新成立企业可不填报。</w:t>
      </w:r>
    </w:p>
    <w:p>
      <w:pPr>
        <w:widowControl/>
        <w:spacing w:line="360" w:lineRule="auto"/>
        <w:jc w:val="left"/>
        <w:rPr>
          <w:rFonts w:asciiTheme="minorEastAsia" w:hAnsiTheme="minorEastAsia" w:eastAsiaTheme="minorEastAsia"/>
          <w:b/>
          <w:color w:val="auto"/>
          <w:sz w:val="18"/>
          <w:szCs w:val="18"/>
          <w:highlight w:val="none"/>
        </w:rPr>
      </w:pPr>
    </w:p>
    <w:p>
      <w:pPr>
        <w:widowControl/>
        <w:spacing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11、</w:t>
      </w:r>
    </w:p>
    <w:p>
      <w:pPr>
        <w:widowControl/>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残疾人福利性单位声明函</w:t>
      </w:r>
      <w:r>
        <w:rPr>
          <w:rFonts w:hint="eastAsia" w:asciiTheme="minorEastAsia" w:hAnsiTheme="minorEastAsia" w:eastAsiaTheme="minorEastAsia"/>
          <w:b/>
          <w:bCs/>
          <w:color w:val="auto"/>
          <w:sz w:val="18"/>
          <w:szCs w:val="18"/>
          <w:highlight w:val="none"/>
        </w:rPr>
        <w:t>（附件10）</w:t>
      </w:r>
    </w:p>
    <w:p>
      <w:pPr>
        <w:widowControl/>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  本单位对上述声明的真实性负责。如有虚假，将依法承担相应责任</w:t>
      </w:r>
    </w:p>
    <w:p>
      <w:pPr>
        <w:spacing w:line="360" w:lineRule="auto"/>
        <w:ind w:firstLine="360" w:firstLineChars="200"/>
        <w:rPr>
          <w:rFonts w:asciiTheme="minorEastAsia" w:hAnsiTheme="minorEastAsia" w:eastAsiaTheme="minorEastAsia"/>
          <w:color w:val="auto"/>
          <w:sz w:val="18"/>
          <w:szCs w:val="18"/>
          <w:highlight w:val="none"/>
        </w:rPr>
      </w:pPr>
    </w:p>
    <w:p>
      <w:pPr>
        <w:spacing w:line="360" w:lineRule="auto"/>
        <w:ind w:firstLine="4950" w:firstLineChars="225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投标人盖章：</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xml:space="preserve">                                                        日        期：</w:t>
      </w:r>
    </w:p>
    <w:p>
      <w:pPr>
        <w:snapToGrid w:val="0"/>
        <w:spacing w:line="360" w:lineRule="auto"/>
        <w:rPr>
          <w:rFonts w:asciiTheme="minorEastAsia" w:hAnsiTheme="minorEastAsia" w:eastAsiaTheme="minorEastAsia"/>
          <w:color w:val="auto"/>
          <w:spacing w:val="20"/>
          <w:szCs w:val="21"/>
          <w:highlight w:val="none"/>
        </w:rPr>
      </w:pPr>
    </w:p>
    <w:p>
      <w:pPr>
        <w:pStyle w:val="48"/>
        <w:spacing w:line="360" w:lineRule="auto"/>
        <w:ind w:left="0" w:leftChars="0" w:firstLine="0" w:firstLineChars="0"/>
        <w:rPr>
          <w:rFonts w:hAnsi="宋体"/>
          <w:b/>
          <w:bCs/>
          <w:color w:val="auto"/>
          <w:szCs w:val="21"/>
          <w:highlight w:val="none"/>
        </w:rPr>
      </w:pPr>
    </w:p>
    <w:p>
      <w:pPr>
        <w:pStyle w:val="48"/>
        <w:spacing w:line="360" w:lineRule="auto"/>
        <w:ind w:left="0" w:leftChars="0" w:firstLine="0" w:firstLineChars="0"/>
        <w:rPr>
          <w:rFonts w:hAnsi="宋体"/>
          <w:b/>
          <w:bCs/>
          <w:color w:val="auto"/>
          <w:szCs w:val="21"/>
          <w:highlight w:val="none"/>
        </w:rPr>
      </w:pPr>
    </w:p>
    <w:p>
      <w:pPr>
        <w:pStyle w:val="48"/>
        <w:spacing w:line="360" w:lineRule="auto"/>
        <w:ind w:left="0" w:leftChars="0" w:firstLine="0" w:firstLineChars="0"/>
        <w:rPr>
          <w:rFonts w:hAnsi="宋体"/>
          <w:b/>
          <w:bCs/>
          <w:color w:val="auto"/>
          <w:szCs w:val="21"/>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（附件11）</w:t>
      </w:r>
    </w:p>
    <w:p>
      <w:pPr>
        <w:adjustRightInd w:val="0"/>
        <w:snapToGrid w:val="0"/>
        <w:spacing w:line="360" w:lineRule="auto"/>
        <w:rPr>
          <w:rFonts w:hint="eastAsia" w:asciiTheme="minorEastAsia" w:hAnsiTheme="minorEastAsia" w:eastAsiaTheme="minorEastAsia"/>
          <w:color w:val="auto"/>
          <w:sz w:val="18"/>
          <w:szCs w:val="18"/>
          <w:highlight w:val="none"/>
          <w:lang w:eastAsia="zh"/>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
        </w:rPr>
        <w:t>嘉兴市秀洲区人民政府塘汇街道办事处</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根据贵方为的</w:t>
      </w:r>
      <w:r>
        <w:rPr>
          <w:rFonts w:hint="eastAsia" w:asciiTheme="minorEastAsia" w:hAnsiTheme="minorEastAsia" w:eastAsiaTheme="minorEastAsia"/>
          <w:color w:val="auto"/>
          <w:sz w:val="18"/>
          <w:szCs w:val="18"/>
          <w:highlight w:val="none"/>
          <w:u w:val="single"/>
          <w:lang w:eastAsia="zh"/>
        </w:rPr>
        <w:t>塘汇街道2024-2025年度绿化养护项目</w:t>
      </w:r>
      <w:r>
        <w:rPr>
          <w:rFonts w:hint="eastAsia" w:asciiTheme="minorEastAsia" w:hAnsiTheme="minorEastAsia" w:eastAsiaTheme="minorEastAsia"/>
          <w:color w:val="auto"/>
          <w:sz w:val="18"/>
          <w:szCs w:val="18"/>
          <w:highlight w:val="none"/>
        </w:rPr>
        <w:t>招</w:t>
      </w:r>
      <w:r>
        <w:rPr>
          <w:rFonts w:asciiTheme="minorEastAsia" w:hAnsiTheme="minorEastAsia" w:eastAsiaTheme="minorEastAsia"/>
          <w:color w:val="auto"/>
          <w:sz w:val="18"/>
          <w:szCs w:val="18"/>
          <w:highlight w:val="none"/>
        </w:rPr>
        <w:t>标</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，签字代表____________________（</w:t>
      </w:r>
      <w:r>
        <w:rPr>
          <w:rFonts w:hint="eastAsia" w:asciiTheme="minorEastAsia" w:hAnsiTheme="minorEastAsia" w:eastAsiaTheme="minorEastAsia"/>
          <w:color w:val="auto"/>
          <w:sz w:val="18"/>
          <w:szCs w:val="18"/>
          <w:highlight w:val="none"/>
        </w:rPr>
        <w:t>法人</w:t>
      </w:r>
      <w:r>
        <w:rPr>
          <w:rFonts w:asciiTheme="minorEastAsia" w:hAnsiTheme="minorEastAsia" w:eastAsiaTheme="minorEastAsia"/>
          <w:color w:val="auto"/>
          <w:sz w:val="18"/>
          <w:szCs w:val="18"/>
          <w:highlight w:val="none"/>
        </w:rPr>
        <w:t>全名）经正式授权</w:t>
      </w:r>
      <w:r>
        <w:rPr>
          <w:rFonts w:hint="eastAsia" w:asciiTheme="minorEastAsia" w:hAnsiTheme="minorEastAsia" w:eastAsiaTheme="minorEastAsia"/>
          <w:color w:val="auto"/>
          <w:sz w:val="18"/>
          <w:szCs w:val="18"/>
          <w:highlight w:val="none"/>
        </w:rPr>
        <w:t>（被授权人）</w:t>
      </w:r>
      <w:r>
        <w:rPr>
          <w:rFonts w:asciiTheme="minorEastAsia" w:hAnsiTheme="minorEastAsia" w:eastAsiaTheme="minorEastAsia"/>
          <w:color w:val="auto"/>
          <w:sz w:val="18"/>
          <w:szCs w:val="18"/>
          <w:highlight w:val="none"/>
        </w:rPr>
        <w:t>并代表投标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________________________________________（投标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名称）提交</w:t>
      </w:r>
      <w:r>
        <w:rPr>
          <w:rFonts w:hint="eastAsia" w:asciiTheme="minorEastAsia" w:hAnsiTheme="minorEastAsia" w:eastAsiaTheme="minorEastAsia"/>
          <w:color w:val="auto"/>
          <w:sz w:val="18"/>
          <w:szCs w:val="18"/>
          <w:highlight w:val="none"/>
        </w:rPr>
        <w:t>投标文件、开标过程中的工作</w:t>
      </w:r>
      <w:r>
        <w:rPr>
          <w:rFonts w:asciiTheme="minorEastAsia" w:hAnsiTheme="minorEastAsia" w:eastAsiaTheme="minorEastAsia"/>
          <w:color w:val="auto"/>
          <w:sz w:val="18"/>
          <w:szCs w:val="18"/>
          <w:highlight w:val="none"/>
        </w:rPr>
        <w:t>。</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据此函，</w:t>
      </w:r>
      <w:r>
        <w:rPr>
          <w:rFonts w:hint="eastAsia" w:asciiTheme="minorEastAsia" w:hAnsiTheme="minorEastAsia" w:eastAsiaTheme="minorEastAsia"/>
          <w:color w:val="auto"/>
          <w:sz w:val="18"/>
          <w:szCs w:val="18"/>
          <w:highlight w:val="none"/>
        </w:rPr>
        <w:t>签字代表宣布同意如下：</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3、本投标有效期自开标日起 90个日历天</w:t>
      </w:r>
      <w:r>
        <w:rPr>
          <w:rFonts w:asciiTheme="minorEastAsia" w:hAnsiTheme="minorEastAsia" w:eastAsiaTheme="minorEastAsia"/>
          <w:color w:val="auto"/>
          <w:sz w:val="18"/>
          <w:szCs w:val="18"/>
          <w:highlight w:val="none"/>
        </w:rPr>
        <w:t>。</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4、如中标，本投标文件至本项目合同履行完毕止均保持有效，本投标人将按“招标文件”及政府采购法律、法规的规定履行合同责任和义务。</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5、投标人同意按照贵方要求提供与投标有关的一切数据或资料，并保证其真实性、合法性。</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6、与本投标有关的一切正式往来信函请寄：</w:t>
      </w: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r>
        <w:rPr>
          <w:rFonts w:asciiTheme="minorEastAsia" w:hAnsiTheme="minorEastAsia" w:eastAsiaTheme="minorEastAsia"/>
          <w:color w:val="auto"/>
          <w:sz w:val="18"/>
          <w:szCs w:val="18"/>
          <w:highlight w:val="none"/>
        </w:rPr>
        <w:t>____________________邮编：__________</w:t>
      </w:r>
      <w:r>
        <w:rPr>
          <w:rFonts w:hint="eastAsia" w:asciiTheme="minorEastAsia" w:hAnsiTheme="minorEastAsia" w:eastAsiaTheme="minorEastAsia"/>
          <w:color w:val="auto"/>
          <w:sz w:val="18"/>
          <w:szCs w:val="18"/>
          <w:highlight w:val="none"/>
        </w:rPr>
        <w:t xml:space="preserve">   电话：</w:t>
      </w:r>
      <w:r>
        <w:rPr>
          <w:rFonts w:asciiTheme="minorEastAsia" w:hAnsiTheme="minorEastAsia" w:eastAsiaTheme="minorEastAsia"/>
          <w:color w:val="auto"/>
          <w:sz w:val="18"/>
          <w:szCs w:val="18"/>
          <w:highlight w:val="none"/>
        </w:rPr>
        <w:t>______________</w:t>
      </w:r>
    </w:p>
    <w:p>
      <w:pPr>
        <w:adjustRightInd w:val="0"/>
        <w:snapToGrid w:val="0"/>
        <w:spacing w:line="360" w:lineRule="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传真：______________</w:t>
      </w:r>
      <w:r>
        <w:rPr>
          <w:rFonts w:hint="eastAsia" w:asciiTheme="minorEastAsia" w:hAnsiTheme="minorEastAsia" w:eastAsiaTheme="minorEastAsia"/>
          <w:color w:val="auto"/>
          <w:sz w:val="18"/>
          <w:szCs w:val="18"/>
          <w:highlight w:val="none"/>
        </w:rPr>
        <w:t>投标人代表姓名</w:t>
      </w:r>
      <w:r>
        <w:rPr>
          <w:rFonts w:asciiTheme="minorEastAsia" w:hAnsiTheme="minorEastAsia" w:eastAsiaTheme="minorEastAsia"/>
          <w:color w:val="auto"/>
          <w:sz w:val="18"/>
          <w:szCs w:val="18"/>
          <w:highlight w:val="none"/>
        </w:rPr>
        <w:t xml:space="preserve"> ___________ 职务：______________</w:t>
      </w:r>
    </w:p>
    <w:p>
      <w:pPr>
        <w:adjustRightInd w:val="0"/>
        <w:snapToGrid w:val="0"/>
        <w:spacing w:line="360" w:lineRule="auto"/>
        <w:rPr>
          <w:rFonts w:asciiTheme="minorEastAsia" w:hAnsiTheme="minorEastAsia" w:eastAsiaTheme="minorEastAsia"/>
          <w:color w:val="auto"/>
          <w:sz w:val="18"/>
          <w:szCs w:val="18"/>
          <w:highlight w:val="none"/>
        </w:rPr>
      </w:pPr>
    </w:p>
    <w:p>
      <w:pPr>
        <w:adjustRightInd w:val="0"/>
        <w:snapToGrid w:val="0"/>
        <w:spacing w:line="360" w:lineRule="auto"/>
        <w:rPr>
          <w:rFonts w:asciiTheme="minorEastAsia" w:hAnsiTheme="minorEastAsia" w:eastAsiaTheme="minorEastAsia"/>
          <w:color w:val="auto"/>
          <w:sz w:val="18"/>
          <w:szCs w:val="18"/>
          <w:highlight w:val="none"/>
        </w:rPr>
      </w:pP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投标人名称</w:t>
      </w:r>
      <w:r>
        <w:rPr>
          <w:rFonts w:asciiTheme="minorEastAsia" w:hAnsiTheme="minorEastAsia" w:eastAsiaTheme="minorEastAsia"/>
          <w:color w:val="auto"/>
          <w:sz w:val="18"/>
          <w:szCs w:val="18"/>
          <w:highlight w:val="none"/>
        </w:rPr>
        <w:t>(盖章):___________________</w:t>
      </w: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开户银行：   </w:t>
      </w: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银行帐号：</w:t>
      </w:r>
    </w:p>
    <w:p>
      <w:pPr>
        <w:spacing w:beforeLines="50" w:line="360" w:lineRule="auto"/>
        <w:ind w:firstLine="1210" w:firstLineChars="550"/>
        <w:rPr>
          <w:rFonts w:asciiTheme="minorEastAsia" w:hAnsiTheme="minorEastAsia" w:eastAsiaTheme="minorEastAsia"/>
          <w:color w:val="auto"/>
          <w:spacing w:val="20"/>
          <w:sz w:val="18"/>
          <w:szCs w:val="18"/>
          <w:highlight w:val="none"/>
        </w:rPr>
      </w:pPr>
    </w:p>
    <w:p>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pPr>
        <w:spacing w:line="360" w:lineRule="auto"/>
        <w:ind w:firstLine="527" w:firstLineChars="250"/>
        <w:jc w:val="center"/>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开标一览表（附件12）</w:t>
      </w:r>
    </w:p>
    <w:p>
      <w:pPr>
        <w:adjustRightInd w:val="0"/>
        <w:spacing w:line="360" w:lineRule="auto"/>
        <w:jc w:val="center"/>
        <w:rPr>
          <w:rFonts w:cs="Arial" w:asciiTheme="minorEastAsia" w:hAnsiTheme="minorEastAsia" w:eastAsiaTheme="minorEastAsia"/>
          <w:color w:val="auto"/>
          <w:szCs w:val="21"/>
          <w:highlight w:val="none"/>
        </w:rPr>
      </w:pPr>
    </w:p>
    <w:tbl>
      <w:tblPr>
        <w:tblStyle w:val="49"/>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222"/>
        <w:gridCol w:w="204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项目名称</w:t>
            </w:r>
          </w:p>
        </w:tc>
        <w:tc>
          <w:tcPr>
            <w:tcW w:w="2222"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投标报价（万元）</w:t>
            </w:r>
          </w:p>
        </w:tc>
        <w:tc>
          <w:tcPr>
            <w:tcW w:w="2046"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项目负责人</w:t>
            </w:r>
          </w:p>
        </w:tc>
        <w:tc>
          <w:tcPr>
            <w:tcW w:w="1807"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pPr>
              <w:adjustRightInd w:val="0"/>
              <w:spacing w:line="360" w:lineRule="auto"/>
              <w:jc w:val="center"/>
              <w:rPr>
                <w:rFonts w:hint="eastAsia" w:cs="Arial" w:asciiTheme="minorEastAsia" w:hAnsiTheme="minorEastAsia" w:eastAsiaTheme="minorEastAsia"/>
                <w:color w:val="auto"/>
                <w:sz w:val="18"/>
                <w:szCs w:val="18"/>
                <w:highlight w:val="none"/>
                <w:lang w:eastAsia="zh"/>
              </w:rPr>
            </w:pPr>
            <w:r>
              <w:rPr>
                <w:rFonts w:hint="eastAsia" w:cs="Arial" w:asciiTheme="minorEastAsia" w:hAnsiTheme="minorEastAsia" w:eastAsiaTheme="minorEastAsia"/>
                <w:color w:val="auto"/>
                <w:sz w:val="18"/>
                <w:szCs w:val="18"/>
                <w:highlight w:val="none"/>
                <w:lang w:eastAsia="zh"/>
              </w:rPr>
              <w:t>塘汇街道2024-2025年度绿化养护项目</w:t>
            </w:r>
          </w:p>
        </w:tc>
        <w:tc>
          <w:tcPr>
            <w:tcW w:w="2222" w:type="dxa"/>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2046" w:type="dxa"/>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1807" w:type="dxa"/>
            <w:vAlign w:val="center"/>
          </w:tcPr>
          <w:p>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bCs/>
                <w:color w:val="auto"/>
                <w:sz w:val="18"/>
                <w:szCs w:val="18"/>
                <w:highlight w:val="none"/>
                <w:lang w:eastAsia="zh-CN"/>
              </w:rPr>
              <w:t>（填标段一或标段二）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90" w:type="dxa"/>
            <w:gridSpan w:val="4"/>
            <w:vAlign w:val="center"/>
          </w:tcPr>
          <w:p>
            <w:pPr>
              <w:adjustRightIn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 xml:space="preserve">人民币大写：                               </w:t>
            </w:r>
          </w:p>
        </w:tc>
      </w:tr>
    </w:tbl>
    <w:p>
      <w:pPr>
        <w:spacing w:line="360" w:lineRule="auto"/>
        <w:rPr>
          <w:rFonts w:asciiTheme="minorEastAsia" w:hAnsiTheme="minorEastAsia" w:eastAsiaTheme="minorEastAsia"/>
          <w:b/>
          <w:color w:val="auto"/>
          <w:sz w:val="18"/>
          <w:szCs w:val="18"/>
          <w:highlight w:val="none"/>
        </w:rPr>
      </w:pPr>
    </w:p>
    <w:p>
      <w:pPr>
        <w:adjustRightInd w:val="0"/>
        <w:spacing w:line="360" w:lineRule="auto"/>
        <w:rPr>
          <w:rFonts w:asciiTheme="minorEastAsia" w:hAnsiTheme="minorEastAsia" w:eastAsiaTheme="minorEastAsia"/>
          <w:color w:val="auto"/>
          <w:sz w:val="18"/>
          <w:szCs w:val="18"/>
          <w:highlight w:val="none"/>
        </w:rPr>
      </w:pPr>
    </w:p>
    <w:p>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pPr>
        <w:rPr>
          <w:rFonts w:hint="eastAsia"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b/>
          <w:color w:val="auto"/>
          <w:szCs w:val="21"/>
          <w:highlight w:val="none"/>
          <w:lang w:eastAsia="zh-CN"/>
        </w:rPr>
        <w:t>注：须附分项报价明细表。仅附所投标标段明细表即可。</w:t>
      </w:r>
      <w:r>
        <w:rPr>
          <w:rFonts w:hint="eastAsia" w:asciiTheme="minorEastAsia" w:hAnsiTheme="minorEastAsia" w:eastAsiaTheme="minorEastAsia"/>
          <w:b/>
          <w:color w:val="auto"/>
          <w:szCs w:val="21"/>
          <w:highlight w:val="none"/>
        </w:rPr>
        <w:br w:type="page"/>
      </w:r>
    </w:p>
    <w:p>
      <w:pPr>
        <w:pStyle w:val="2"/>
        <w:rPr>
          <w:rFonts w:hint="eastAsia"/>
          <w:color w:val="auto"/>
          <w:highlight w:val="none"/>
        </w:rPr>
      </w:pPr>
    </w:p>
    <w:p>
      <w:pPr>
        <w:snapToGrid w:val="0"/>
        <w:spacing w:line="360" w:lineRule="auto"/>
        <w:rPr>
          <w:color w:val="auto"/>
          <w:highlight w:val="none"/>
        </w:rPr>
      </w:pPr>
      <w:r>
        <w:rPr>
          <w:rFonts w:hint="eastAsia" w:asciiTheme="minorEastAsia" w:hAnsiTheme="minorEastAsia" w:eastAsiaTheme="minorEastAsia"/>
          <w:b/>
          <w:color w:val="auto"/>
          <w:szCs w:val="21"/>
          <w:highlight w:val="none"/>
        </w:rPr>
        <w:t>13、</w:t>
      </w:r>
    </w:p>
    <w:p>
      <w:pPr>
        <w:spacing w:line="360" w:lineRule="auto"/>
        <w:jc w:val="center"/>
        <w:rPr>
          <w:rFonts w:hint="eastAsia" w:ascii="宋体" w:hAnsi="宋体"/>
          <w:b/>
          <w:color w:val="auto"/>
          <w:spacing w:val="20"/>
          <w:szCs w:val="21"/>
          <w:highlight w:val="none"/>
        </w:rPr>
      </w:pPr>
      <w:r>
        <w:rPr>
          <w:rFonts w:hint="eastAsia" w:ascii="宋体" w:hAnsi="宋体"/>
          <w:b/>
          <w:color w:val="auto"/>
          <w:spacing w:val="20"/>
          <w:szCs w:val="21"/>
          <w:highlight w:val="none"/>
        </w:rPr>
        <w:t>分项报价明细表</w:t>
      </w:r>
    </w:p>
    <w:tbl>
      <w:tblPr>
        <w:tblStyle w:val="49"/>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479"/>
        <w:gridCol w:w="825"/>
        <w:gridCol w:w="1575"/>
        <w:gridCol w:w="1585"/>
        <w:gridCol w:w="933"/>
        <w:gridCol w:w="1281"/>
        <w:gridCol w:w="1131"/>
        <w:gridCol w:w="1536"/>
        <w:gridCol w:w="1416"/>
        <w:gridCol w:w="1075"/>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528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i w:val="0"/>
                <w:color w:val="auto"/>
                <w:kern w:val="0"/>
                <w:sz w:val="36"/>
                <w:szCs w:val="36"/>
                <w:highlight w:val="none"/>
                <w:u w:val="none"/>
                <w:lang w:val="en-US" w:eastAsia="zh-CN" w:bidi="ar"/>
              </w:rPr>
              <w:t>2024-2025塘汇绿化养护南区标项一招标清单汇总表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养护等级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2024年工程量</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2025年工程量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招标限制单价（元/平方米/棵/年）</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投标单价（元/平方米/棵/年）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2024年费用合计（元）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2025年费用合计（元）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两年合计总价（元）</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92217.3150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109235.5800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92217.3150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109235.5800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121445.9200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123831.5900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50416.9900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56738.1300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171862.9100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180569.7200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13825.2100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13825.2100 </w:t>
            </w:r>
          </w:p>
        </w:tc>
        <w:tc>
          <w:tcPr>
            <w:tcW w:w="933"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25514.8800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25514.8800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39340.0900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39340.0900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防护片林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245939.8300 </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245939.8300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独立行道树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1492</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棵</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九水公园计划2025年1月移交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草花种植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有机更新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按实结算，苗木更新附后，单独报价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8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4673" w:type="dxa"/>
            <w:gridSpan w:val="11"/>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投标总价： 人民币（大写） </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元整，（小写）</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5285" w:type="dxa"/>
            <w:gridSpan w:val="1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1.2024年费用合计=2024年工程量*投标单价；2025年费用合计=2025年工程量*投标单价；投标总价=2024年费用合计+2025年费用合计.       2.“序号9合计”一行中须分别填写2024年费用总合计、2025年费用总合计及两年投标总价。3.“序号8”有机更新的投标总价须与“附件3：2024-2025塘汇绿化养护南区标项一绿化更新报价清单表”中投标总价一致。4.投标总价包含了设备、劳务、管理、配合庆典、安全文明、措施费、风险费、保险、利润、规费、税金、工伤保险费、政策性文件规定及合同包含的所有风险责任等一切有关项目实施费用，今后一律不得调整，请投标单位综合考虑自身实力以及市场材料、人工费等一切风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序号6花镜”及“序号7草花种植”部分根据绿化单位进场后，与养护单位现场核实面积后双方书面确定草花面积及花镜面积后，按照实际面积进行后期考核支付费用；后期如果甲方要求增加草花面积需签订委派单，合同到期后，增加部分草花面积与绿化有机更新费用一起审计完成后支付费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6.除“序号6花镜”及“序号7草花种植”</w:t>
            </w:r>
            <w:r>
              <w:rPr>
                <w:rFonts w:hint="eastAsia" w:ascii="宋体" w:hAnsi="宋体" w:cs="宋体"/>
                <w:i w:val="0"/>
                <w:iCs w:val="0"/>
                <w:color w:val="auto"/>
                <w:kern w:val="0"/>
                <w:sz w:val="18"/>
                <w:szCs w:val="18"/>
                <w:highlight w:val="none"/>
                <w:u w:val="none"/>
                <w:lang w:val="en-US" w:eastAsia="zh-CN" w:bidi="ar"/>
              </w:rPr>
              <w:t>外</w:t>
            </w:r>
            <w:r>
              <w:rPr>
                <w:rFonts w:hint="eastAsia" w:ascii="宋体" w:hAnsi="宋体" w:eastAsia="宋体" w:cs="宋体"/>
                <w:i w:val="0"/>
                <w:iCs w:val="0"/>
                <w:color w:val="auto"/>
                <w:kern w:val="0"/>
                <w:sz w:val="18"/>
                <w:szCs w:val="18"/>
                <w:highlight w:val="none"/>
                <w:u w:val="none"/>
                <w:lang w:val="en-US" w:eastAsia="zh-CN" w:bidi="ar"/>
              </w:rPr>
              <w:t>所有工程量按实际发生量核算。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7.多标段投标的仅须提供该标段的工程量清单报价表。</w:t>
            </w:r>
          </w:p>
        </w:tc>
      </w:tr>
    </w:tbl>
    <w:p>
      <w:pPr>
        <w:rPr>
          <w:rFonts w:hint="eastAsia" w:ascii="宋体" w:hAnsi="宋体" w:eastAsia="宋体" w:cs="宋体"/>
          <w:b/>
          <w:bCs/>
          <w:color w:val="auto"/>
          <w:sz w:val="28"/>
          <w:szCs w:val="28"/>
          <w:highlight w:val="none"/>
          <w:lang w:eastAsia="zh-CN"/>
        </w:rPr>
      </w:pPr>
    </w:p>
    <w:p>
      <w:pPr>
        <w:pStyle w:val="30"/>
        <w:tabs>
          <w:tab w:val="left" w:pos="1200"/>
        </w:tabs>
        <w:spacing w:before="120" w:after="120" w:line="360" w:lineRule="auto"/>
        <w:ind w:firstLine="720" w:firstLineChars="300"/>
        <w:rPr>
          <w:rFonts w:hAnsi="宋体"/>
          <w:color w:val="auto"/>
          <w:szCs w:val="21"/>
          <w:highlight w:val="none"/>
        </w:rPr>
      </w:pPr>
    </w:p>
    <w:p>
      <w:pPr>
        <w:spacing w:line="360" w:lineRule="auto"/>
        <w:ind w:firstLine="7250" w:firstLineChars="2900"/>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p>
    <w:p>
      <w:pPr>
        <w:spacing w:line="360" w:lineRule="auto"/>
        <w:ind w:firstLine="500" w:firstLineChars="200"/>
        <w:rPr>
          <w:rFonts w:ascii="宋体" w:hAnsi="宋体"/>
          <w:color w:val="auto"/>
          <w:spacing w:val="20"/>
          <w:szCs w:val="21"/>
          <w:highlight w:val="none"/>
          <w:u w:val="single"/>
        </w:rPr>
      </w:pPr>
      <w:r>
        <w:rPr>
          <w:rFonts w:hint="eastAsia" w:ascii="宋体" w:hAnsi="宋体"/>
          <w:color w:val="auto"/>
          <w:spacing w:val="20"/>
          <w:szCs w:val="21"/>
          <w:highlight w:val="none"/>
        </w:rPr>
        <w:t xml:space="preserve">                                    </w:t>
      </w:r>
      <w:r>
        <w:rPr>
          <w:rFonts w:hint="eastAsia" w:ascii="宋体" w:hAnsi="宋体"/>
          <w:color w:val="auto"/>
          <w:spacing w:val="20"/>
          <w:szCs w:val="21"/>
          <w:highlight w:val="none"/>
          <w:lang w:val="en-US" w:eastAsia="zh-CN"/>
        </w:rPr>
        <w:t xml:space="preserve">                      </w:t>
      </w:r>
      <w:r>
        <w:rPr>
          <w:rFonts w:hint="eastAsia" w:ascii="宋体" w:hAnsi="宋体"/>
          <w:color w:val="auto"/>
          <w:spacing w:val="20"/>
          <w:szCs w:val="21"/>
          <w:highlight w:val="none"/>
        </w:rPr>
        <w:t>投标单位盖章：</w:t>
      </w:r>
    </w:p>
    <w:p>
      <w:pPr>
        <w:spacing w:line="360" w:lineRule="auto"/>
        <w:ind w:firstLine="525" w:firstLineChars="250"/>
        <w:jc w:val="center"/>
        <w:rPr>
          <w:rFonts w:ascii="宋体" w:hAnsi="宋体"/>
          <w:b/>
          <w:color w:val="auto"/>
          <w:szCs w:val="21"/>
          <w:highlight w:val="none"/>
        </w:rPr>
      </w:pPr>
      <w:r>
        <w:rPr>
          <w:rFonts w:hint="eastAsia" w:ascii="宋体" w:hAnsi="宋体"/>
          <w:color w:val="auto"/>
          <w:szCs w:val="21"/>
          <w:highlight w:val="none"/>
        </w:rPr>
        <w:t xml:space="preserve">                                         日        期：</w:t>
      </w:r>
    </w:p>
    <w:p>
      <w:pPr>
        <w:rPr>
          <w:rFonts w:ascii="宋体" w:hAnsi="宋体"/>
          <w:b/>
          <w:color w:val="auto"/>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rPr>
          <w:rFonts w:ascii="宋体" w:hAnsi="宋体"/>
          <w:b/>
          <w:color w:val="auto"/>
          <w:szCs w:val="21"/>
          <w:highlight w:val="none"/>
        </w:rPr>
      </w:pPr>
    </w:p>
    <w:tbl>
      <w:tblPr>
        <w:tblStyle w:val="49"/>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155"/>
        <w:gridCol w:w="1695"/>
        <w:gridCol w:w="1815"/>
        <w:gridCol w:w="159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5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1</w:t>
            </w:r>
            <w:r>
              <w:rPr>
                <w:rFonts w:hint="eastAsia" w:ascii="宋体" w:hAnsi="宋体" w:eastAsia="宋体" w:cs="宋体"/>
                <w:b/>
                <w:i w:val="0"/>
                <w:color w:val="auto"/>
                <w:kern w:val="0"/>
                <w:sz w:val="24"/>
                <w:szCs w:val="24"/>
                <w:highlight w:val="none"/>
                <w:u w:val="none"/>
                <w:lang w:val="en-US" w:eastAsia="zh-CN" w:bidi="ar"/>
              </w:rPr>
              <w:t>：2024-2025塘汇绿化养护南区标项一苗木移植报价清单表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15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限价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6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全费用综合单价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乔木</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胸径：3以内</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胸径：3.1-5</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19.08</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胸径：5.1-7</w:t>
            </w:r>
          </w:p>
        </w:tc>
        <w:tc>
          <w:tcPr>
            <w:tcW w:w="18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48.90</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胸径：7.1-9</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112.73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胸径：9.1-11</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190.49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胸径：11.1-14</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280.52</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胸径：14.1-17</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429.21</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胸径：17.1-20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539.14</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胸径：20.1-30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1588.19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胸径：30.1-35</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2096.39</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胸径：35.1-40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2902.61</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胸径：40.1-45</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3668.53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胸径：45以上</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4769.09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1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灌木</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蓬径：P15以内</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蓬径：P15.1-30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蓬径：P30.1-60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蓬径：P60.1-90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蓬径：P90.1-120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蓬径：P120.1-150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蓬径：P150.1-180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32.36</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蓬径：P180.1-210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56.98</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蓬径：P210..1-240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87.05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蓬径：P240.1-300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141.45</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蓬径：P300.1-360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207.07</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蓬径：P360.1-420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283.13</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11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蓬径：P420.1-540</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447.00</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1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1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6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次</w:t>
            </w:r>
          </w:p>
        </w:tc>
        <w:tc>
          <w:tcPr>
            <w:tcW w:w="15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2000.00 </w:t>
            </w:r>
          </w:p>
        </w:tc>
        <w:tc>
          <w:tcPr>
            <w:tcW w:w="16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5" w:type="dxa"/>
            <w:gridSpan w:val="6"/>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18"/>
                <w:szCs w:val="18"/>
                <w:highlight w:val="none"/>
                <w:u w:val="single"/>
                <w:lang w:val="en-US" w:eastAsia="zh-CN" w:bidi="ar"/>
              </w:rPr>
            </w:pPr>
            <w:r>
              <w:rPr>
                <w:rFonts w:hint="eastAsia" w:ascii="宋体" w:hAnsi="宋体" w:eastAsia="宋体" w:cs="宋体"/>
                <w:b/>
                <w:i w:val="0"/>
                <w:color w:val="auto"/>
                <w:kern w:val="0"/>
                <w:sz w:val="18"/>
                <w:szCs w:val="18"/>
                <w:highlight w:val="none"/>
                <w:u w:val="single"/>
                <w:lang w:val="en-US" w:eastAsia="zh-CN" w:bidi="ar"/>
              </w:rPr>
              <w:t>注：1、今后结算时，上述投标全费用单价固定，工程量以采购人派发的任务单为准并按实结算。上述投标全费用单价包含设备、劳务、管理、配合庆典、安全文明、措施费、风险费、保险、利润、规费、</w:t>
            </w:r>
            <w:r>
              <w:rPr>
                <w:rFonts w:hint="eastAsia" w:ascii="宋体" w:hAnsi="宋体" w:cs="宋体"/>
                <w:b/>
                <w:i w:val="0"/>
                <w:color w:val="auto"/>
                <w:kern w:val="0"/>
                <w:sz w:val="18"/>
                <w:szCs w:val="18"/>
                <w:highlight w:val="none"/>
                <w:u w:val="single"/>
                <w:lang w:val="en-US" w:eastAsia="zh-CN" w:bidi="ar"/>
              </w:rPr>
              <w:t>税金、</w:t>
            </w:r>
            <w:r>
              <w:rPr>
                <w:rFonts w:hint="eastAsia" w:ascii="宋体" w:hAnsi="宋体" w:eastAsia="宋体" w:cs="宋体"/>
                <w:b/>
                <w:i w:val="0"/>
                <w:color w:val="auto"/>
                <w:kern w:val="0"/>
                <w:sz w:val="18"/>
                <w:szCs w:val="18"/>
                <w:highlight w:val="none"/>
                <w:u w:val="single"/>
                <w:lang w:val="en-US" w:eastAsia="zh-CN" w:bidi="ar"/>
              </w:rPr>
              <w:t>工伤保险费、政策性文件规定及合同包含的所有风险责任等所有费用。以上投标单价不得超过各项单价的上限价，否则做无效标处理。</w:t>
            </w:r>
          </w:p>
          <w:p>
            <w:pPr>
              <w:pStyle w:val="2"/>
              <w:numPr>
                <w:ilvl w:val="0"/>
                <w:numId w:val="7"/>
              </w:numPr>
              <w:rPr>
                <w:rFonts w:hint="eastAsia" w:ascii="宋体" w:hAnsi="宋体" w:cs="宋体"/>
                <w:b/>
                <w:i w:val="0"/>
                <w:color w:val="auto"/>
                <w:kern w:val="0"/>
                <w:sz w:val="18"/>
                <w:szCs w:val="18"/>
                <w:highlight w:val="none"/>
                <w:u w:val="single"/>
                <w:lang w:val="en-US" w:eastAsia="zh-CN" w:bidi="ar"/>
              </w:rPr>
            </w:pPr>
            <w:r>
              <w:rPr>
                <w:rFonts w:hint="eastAsia" w:ascii="宋体" w:hAnsi="宋体" w:cs="宋体"/>
                <w:b/>
                <w:i w:val="0"/>
                <w:color w:val="auto"/>
                <w:kern w:val="0"/>
                <w:sz w:val="18"/>
                <w:szCs w:val="18"/>
                <w:highlight w:val="none"/>
                <w:u w:val="single"/>
                <w:lang w:val="en-US" w:eastAsia="zh-CN" w:bidi="ar"/>
              </w:rPr>
              <w:t>今后结算时，需提供现场勘查确认单，上述工程量清单内已含内容按相应中标单价进行结算，如若实际发生内容未包含上述工程量清单内，需在现场勘查确认单中明确实际补植内容及价格。如因中标人移植原因引起的苗木退化、缺失、死株等由中标人自行承担相关补植费用。</w:t>
            </w:r>
          </w:p>
          <w:p>
            <w:pPr>
              <w:keepNext w:val="0"/>
              <w:keepLines w:val="0"/>
              <w:widowControl/>
              <w:suppressLineNumbers w:val="0"/>
              <w:jc w:val="left"/>
              <w:textAlignment w:val="center"/>
              <w:rPr>
                <w:rFonts w:hint="eastAsia" w:ascii="宋体" w:hAnsi="宋体" w:eastAsia="宋体" w:cs="宋体"/>
                <w:b/>
                <w:i w:val="0"/>
                <w:color w:val="auto"/>
                <w:sz w:val="18"/>
                <w:szCs w:val="18"/>
                <w:highlight w:val="none"/>
                <w:u w:val="single"/>
              </w:rPr>
            </w:pPr>
            <w:r>
              <w:rPr>
                <w:rFonts w:hint="eastAsia" w:ascii="宋体" w:hAnsi="宋体" w:cs="宋体"/>
                <w:b/>
                <w:i w:val="0"/>
                <w:color w:val="auto"/>
                <w:kern w:val="0"/>
                <w:sz w:val="18"/>
                <w:szCs w:val="18"/>
                <w:highlight w:val="none"/>
                <w:u w:val="single"/>
                <w:lang w:val="en-US" w:eastAsia="zh-CN" w:bidi="ar"/>
              </w:rPr>
              <w:t>3、以上报价不列入本项目的投标总价中，只作为结算使用。服务期内，若 产生以上工作内容，结算时固定单价不变，工程量按实结算。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18"/>
                <w:szCs w:val="1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21"/>
                <w:szCs w:val="21"/>
                <w:highlight w:val="none"/>
                <w:u w:val="single"/>
              </w:rPr>
            </w:pPr>
          </w:p>
        </w:tc>
      </w:tr>
    </w:tbl>
    <w:p>
      <w:pPr>
        <w:rPr>
          <w:rFonts w:hint="eastAsia"/>
          <w:color w:val="auto"/>
          <w:highlight w:val="none"/>
          <w:lang w:eastAsia="zh-CN"/>
        </w:rPr>
      </w:pPr>
      <w:r>
        <w:rPr>
          <w:rFonts w:hint="eastAsia"/>
          <w:color w:val="auto"/>
          <w:highlight w:val="none"/>
          <w:lang w:eastAsia="zh-CN"/>
        </w:rPr>
        <w:br w:type="page"/>
      </w:r>
    </w:p>
    <w:tbl>
      <w:tblPr>
        <w:tblStyle w:val="4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080"/>
        <w:gridCol w:w="1746"/>
        <w:gridCol w:w="802"/>
        <w:gridCol w:w="1080"/>
        <w:gridCol w:w="1080"/>
        <w:gridCol w:w="108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7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附件</w:t>
            </w:r>
            <w:r>
              <w:rPr>
                <w:rFonts w:hint="eastAsia" w:ascii="宋体" w:hAnsi="宋体" w:cs="宋体"/>
                <w:b/>
                <w:bCs/>
                <w:i w:val="0"/>
                <w:iCs w:val="0"/>
                <w:color w:val="auto"/>
                <w:kern w:val="0"/>
                <w:sz w:val="24"/>
                <w:szCs w:val="24"/>
                <w:highlight w:val="none"/>
                <w:u w:val="none"/>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：2024-2025塘汇绿化养护南区标项一绿化更新报价清单表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项目名称</w:t>
            </w:r>
          </w:p>
        </w:tc>
        <w:tc>
          <w:tcPr>
            <w:tcW w:w="133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项目特征要求</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单位</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工程量</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限价</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全费用</w:t>
            </w:r>
          </w:p>
        </w:tc>
        <w:tc>
          <w:tcPr>
            <w:tcW w:w="11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综合单价（元）</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整理绿化用地</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1、整理地形、翻地、松土30cm并根据设计要求处理地形，除去直径5cm以上的石块、垃圾。平整后的种植区地形不应有低洼积水，成型后线条饱满流畅。</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2000</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7.15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种植土回（换）填</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1、回填土质要求：满足规范要求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2、取土运距：自行考虑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3、回填厚度：30cm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4、弃土运距：自行考虑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1、草皮种类：百慕大混播黑麦草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1、草皮种类：马尼拉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1、苗木、花卉种类：书带草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2、单位面积株数：56丛/平米，7-9芽／丛</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1、草皮种类：白三叶</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2、铺种方式：籽播15g/㎡</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1、苗木、花卉种类：鸢尾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59.42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2、株高或蓬径：H21-25cm，P15-20cm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3、单位面积株数：64株/㎡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1、苗木、花卉种类：扶芳藤</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2、株高或蓬径：H20-30cm，P20-30cm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1、苗木、花卉种类：花叶蔓</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45.41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2、株高或蓬径：藤长40cm以上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123.53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2、株高或蓬径：H40-45cm，P30-35cm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1、苗木、花卉种类：红花继木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1、苗木、花卉种类：春鹃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1、苗木、花卉种类：大叶栀子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1、苗木、花卉种类：金叶女贞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1、苗木、花卉种类：瓜子黄杨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60.82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1、苗木、花卉种类：海桐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58.17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1、苗木、花卉种类：小叶女贞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82.08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2、株高或蓬径：H30-35cm,P25-30cm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3、单位面积株数：49株/㎡，小毛球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67.73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1、苗木、花卉种类：含笑</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1、苗木、花卉种类：龟甲冬青</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2、株高或蓬径：H25-30cm，P20-25cm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1、苗木、花卉种类：云南黄馨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2、株高或蓬径：L50-60cm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3、单位面积株数：25株/㎡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1、苗木、花卉种类：珊瑚木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68.95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2.株高或蓬径：H40-45cm 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1、种类：红叶石楠球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1、种类：金森女贞球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236.94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1、种类：金边黄杨球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235.81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1、种类：红花继木球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268.83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263.14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1、种类：海桐球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302.99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园路</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316.87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2.路面厚度、宽度、材料种类：30mm花岗岩</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沥青混凝土</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137.43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2.路面厚度、宽度、材料种类：40mm细粒式沥青混凝土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32</w:t>
            </w: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彩色沥青</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287.27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混凝土</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2.路面厚度、宽度、材料种类：40mm彩色细粒式沥青混凝土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透层、粘层</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沥青黏层</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1、苗木、花卉种类：金边黄杨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1、苗木、花卉种类：夹竹桃绿篱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1、种类：无刺枸骨球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1、种类：龟甲冬青球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1、苗木、花卉种类：火焰南天竹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1、苗木、花卉种类：茶梅</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紫色芦苇草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粉黛乱子草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地肤草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P15-20   H10-20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喜林草（粉蝶花）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64株/㎡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蓝羊茅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墨西哥羽毛草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兔尾草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52.8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小盼草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坡地毛冠草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紫叶狼尾草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矮蒲苇</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玉带草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二月兰</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87.5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郁金香</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158.4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大金鸡菊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大滨菊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波斯菊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大吴风草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兰花三七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花叶美人蕉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P35-40   H60-70  16丛/㎡,每丛5-6芽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36.63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紫娇花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H15-25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金叶石菖蒲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68.31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黄菖蒲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81.11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玉簪</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H15-20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75.91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金边阔叶麦冬</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常绿萱草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P15-20  H10-20  49丛/㎡,每丛5-6芽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115.11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黄金菊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P16-25，49株/㎡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马鞭草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56.31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五色梅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百日草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萼距花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60.98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亮晶女贞</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绣线菊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金丝桃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H40-50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大花六道木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H35-40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月季</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P35-40   H45-50  25株/㎡，毛球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92.11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茶梅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70.78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八角金盘</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P15-20  H50-60   30株/㎡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98.12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1、种类：罗汉松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23224.2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2、根盘直径：d18-20cm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1、种类：实生银杏特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12810.46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2、胸径或干径：Φ30-31cm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3、株高、冠径：H900-950cm P450-500cm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5、全冠，树形优美,分枝点高度2.3-2.5m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1、种类：香樟C</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196.52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1、种类：丛生朴树A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10588.75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2、胸径或干径：每枝Φ8cm以上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3、株高、冠径：H850cm P500cm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4、养护期：两5、精品树，五分枝以上，合并Φ70cm以上，全冠，树形优美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1、种类：丛生朴树B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8063.75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2、胸径或干径：每枝Φ6cm以上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4、精品树，五分枝以上，合并Φ50cm以上，全冠，树形优美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391.05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4、精品树，全冠，树形优美,分枝点高度2.0m以上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1、种类：乌桕B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2615.03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3、株高、冠径：H600-700cm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4、精品树，全冠，树形优美,分枝点高度2.0m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1、种类：无患子A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2899.85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3、株高、冠径：H700-800cm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4、全冠，树形优美,分枝点高度1.8-2.5m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1、种类：无患子B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1972.12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2、胸径或干径：Φ15-16cm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3、株高、冠径：H550-600cm P350-400cm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4、全冠，树形优美,分枝点高度1.8-2.2m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1、种类：黄山栾树A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742.49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3、株高、冠径：H250-300cm 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1、种类：香泡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393.49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2、胸径或干径：Φ16cm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1662.6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2.胸径或干径：D13-14cm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4.备注：要求三级分支以上,分支点&lt;0.6m,主枝不少于三叉,冠型丰满,不偏冠。</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1729.34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2.地径：13.1-14cm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5.要求：分枝点1米以上，树形饱满，色彩艳丽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1204.34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5.要求：分枝点1.2米以上，树形饱满，色彩艳丽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1、种类：日本早樱特选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1476.44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4、蓬径：P380cm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1、种类：独杆紫薇A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585.15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4、蓬径：P180-200cm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1、种类：特选独杆紫薇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1688.96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2、根盘直径：d15cm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4、蓬径：350cm以上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1、种类：大特选金桂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2850.34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2、根盘直径：d16-18cm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3、灌丛高：450cm以上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2259.62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100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1、种类：特选鸡爪槭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2154.62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3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合计：每年不超过50万元</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7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18"/>
                <w:szCs w:val="18"/>
                <w:highlight w:val="none"/>
                <w:u w:val="single"/>
              </w:rPr>
            </w:pPr>
            <w:r>
              <w:rPr>
                <w:rFonts w:hint="eastAsia" w:asciiTheme="minorEastAsia" w:hAnsiTheme="minorEastAsia" w:eastAsiaTheme="minorEastAsia" w:cstheme="minorEastAsia"/>
                <w:b/>
                <w:bCs/>
                <w:i w:val="0"/>
                <w:iCs w:val="0"/>
                <w:color w:val="auto"/>
                <w:kern w:val="0"/>
                <w:sz w:val="18"/>
                <w:szCs w:val="18"/>
                <w:highlight w:val="none"/>
                <w:u w:val="single"/>
                <w:lang w:val="en-US" w:eastAsia="zh-CN" w:bidi="ar"/>
              </w:rPr>
              <w:t>注：1、今后结算时，上述投标全费用单价固定，工程量以采购人派发的任务单为准并按实结算。上述投标全费用单价包含设备、劳务、管理、配合庆典、安全文明、措施费、风险费、保险、利润、规费、税金、工伤保险费、政策性文件规定及合同包含的所有风险责任等所有费用。投标总价不得超过合计价格且投标单价不得超过各项单价的上限价，否则做无效标处理。</w:t>
            </w:r>
          </w:p>
        </w:tc>
      </w:tr>
    </w:tbl>
    <w:p>
      <w:pPr>
        <w:rPr>
          <w:rFonts w:ascii="宋体" w:hAnsi="宋体"/>
          <w:b/>
          <w:color w:val="auto"/>
          <w:szCs w:val="21"/>
          <w:highlight w:val="none"/>
        </w:rPr>
      </w:pPr>
    </w:p>
    <w:p>
      <w:pPr>
        <w:pStyle w:val="48"/>
        <w:ind w:left="0" w:leftChars="0" w:firstLine="0" w:firstLineChars="0"/>
        <w:jc w:val="center"/>
        <w:rPr>
          <w:rFonts w:hint="eastAsia" w:cs="Times New Roman" w:asciiTheme="minorEastAsia" w:hAnsiTheme="minorEastAsia"/>
          <w:b/>
          <w:color w:val="auto"/>
          <w:spacing w:val="0"/>
          <w:szCs w:val="21"/>
          <w:highlight w:val="none"/>
          <w:lang w:eastAsia="zh-CN"/>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49"/>
        <w:tblW w:w="15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406"/>
        <w:gridCol w:w="830"/>
        <w:gridCol w:w="1350"/>
        <w:gridCol w:w="1382"/>
        <w:gridCol w:w="632"/>
        <w:gridCol w:w="1125"/>
        <w:gridCol w:w="1447"/>
        <w:gridCol w:w="1360"/>
        <w:gridCol w:w="1340"/>
        <w:gridCol w:w="1360"/>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2024-2025塘汇绿化养护北区标项</w:t>
            </w:r>
            <w:r>
              <w:rPr>
                <w:rFonts w:hint="eastAsia" w:ascii="宋体" w:hAnsi="宋体" w:cs="宋体"/>
                <w:b/>
                <w:bCs/>
                <w:i w:val="0"/>
                <w:iCs w:val="0"/>
                <w:color w:val="auto"/>
                <w:kern w:val="0"/>
                <w:sz w:val="36"/>
                <w:szCs w:val="36"/>
                <w:highlight w:val="none"/>
                <w:u w:val="none"/>
                <w:lang w:val="en-US" w:eastAsia="zh-CN" w:bidi="ar"/>
              </w:rPr>
              <w:t>二</w:t>
            </w:r>
            <w:r>
              <w:rPr>
                <w:rFonts w:hint="eastAsia" w:ascii="宋体" w:hAnsi="宋体" w:eastAsia="宋体" w:cs="宋体"/>
                <w:b/>
                <w:bCs/>
                <w:i w:val="0"/>
                <w:iCs w:val="0"/>
                <w:color w:val="auto"/>
                <w:kern w:val="0"/>
                <w:sz w:val="36"/>
                <w:szCs w:val="36"/>
                <w:highlight w:val="none"/>
                <w:u w:val="none"/>
                <w:lang w:val="en-US" w:eastAsia="zh-CN" w:bidi="ar"/>
              </w:rPr>
              <w:t>招标清单汇总表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养护等级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2024年工程量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2025年工程量</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招标限制单价（元/平方米/棵/年）</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投标单价（元/平方米/棵/年）</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2024年费用合计（元）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2025年费用合计（元）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投标总价（元）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58892.7600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58892.7600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54195.8700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54195.8700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113088.6300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113088.6300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56991.7500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56991.7500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88855.9600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88855.9600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145847.7100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145847.7100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72937.1100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72937.1100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136696.7200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136696.7200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209633.8300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209633.8300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防护片林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253433.3700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253433.3700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独立行道树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2097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2097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草花种植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2400 </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2400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有机更新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按实结算，苗木更新附后，单独报价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17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7"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4097" w:type="dxa"/>
            <w:gridSpan w:val="11"/>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投标总价： 人民币（大写） </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元整，（小写）</w:t>
            </w:r>
            <w:r>
              <w:rPr>
                <w:rFonts w:hint="eastAsia" w:ascii="宋体" w:hAnsi="宋体" w:eastAsia="宋体" w:cs="宋体"/>
                <w:b/>
                <w:bCs/>
                <w:i w:val="0"/>
                <w:iCs w:val="0"/>
                <w:color w:val="auto"/>
                <w:kern w:val="0"/>
                <w:sz w:val="18"/>
                <w:szCs w:val="18"/>
                <w:highlight w:val="none"/>
                <w:u w:val="singl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1.2024年费用合计=2024年工程量*投标单价；2025年费用合计=2025年工程量*投标单价；投标总价=2024年费用合计+2025年费用合计.       2.“序号9合计”一行中须分别填写2024年费用总合计、2025年费用总合计及两年投标总价。3.“序号8”有机更新的投标总价须与“附件3：2024-2025塘汇绿化养护南区标项一绿化更新报价清单表”中投标总价一致。4.投标总价包含了设备、劳务、管理、配合庆典、安全文明、措施费、风险费、保险、利润、规费、税金、工伤保险费、政策性文件规定及合同包含的所有风险责任等一切有关项目实施费用，今后一律不得调整，请投标单位综合考虑自身实力以及市场材料、人工费等一切风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序号6花镜”及“序号7草花种植”部分根据绿化单位进场后，与养护单位现场核实面积后双方书面确定草花面积及花镜面积后，按照实际面积进行后期考核支付费用；后期如果甲方要求增加草花面积需签订委派单，合同到期后，增加部分草花面积与绿化有机更新费用一起审计完成后支付费用。</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6.除“序号6花镜”及“序号7草花种植”</w:t>
            </w:r>
            <w:r>
              <w:rPr>
                <w:rFonts w:hint="eastAsia" w:ascii="宋体" w:hAnsi="宋体" w:cs="宋体"/>
                <w:i w:val="0"/>
                <w:iCs w:val="0"/>
                <w:color w:val="auto"/>
                <w:kern w:val="0"/>
                <w:sz w:val="18"/>
                <w:szCs w:val="18"/>
                <w:highlight w:val="none"/>
                <w:u w:val="none"/>
                <w:lang w:val="en-US" w:eastAsia="zh-CN" w:bidi="ar"/>
              </w:rPr>
              <w:t>外</w:t>
            </w:r>
            <w:r>
              <w:rPr>
                <w:rFonts w:hint="eastAsia" w:ascii="宋体" w:hAnsi="宋体" w:eastAsia="宋体" w:cs="宋体"/>
                <w:i w:val="0"/>
                <w:iCs w:val="0"/>
                <w:color w:val="auto"/>
                <w:kern w:val="0"/>
                <w:sz w:val="18"/>
                <w:szCs w:val="18"/>
                <w:highlight w:val="none"/>
                <w:u w:val="none"/>
                <w:lang w:val="en-US" w:eastAsia="zh-CN" w:bidi="ar"/>
              </w:rPr>
              <w:t>所有工程量按实际发生量核算。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7.多标段投标的仅须提供该标段的工程量清单报价表。</w:t>
            </w:r>
          </w:p>
        </w:tc>
      </w:tr>
    </w:tbl>
    <w:p>
      <w:pPr>
        <w:spacing w:line="360" w:lineRule="auto"/>
        <w:ind w:firstLine="7250" w:firstLineChars="2900"/>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p>
    <w:p>
      <w:pPr>
        <w:spacing w:line="360" w:lineRule="auto"/>
        <w:ind w:firstLine="500" w:firstLineChars="200"/>
        <w:rPr>
          <w:rFonts w:ascii="宋体" w:hAnsi="宋体"/>
          <w:color w:val="auto"/>
          <w:spacing w:val="20"/>
          <w:szCs w:val="21"/>
          <w:highlight w:val="none"/>
          <w:u w:val="single"/>
        </w:rPr>
      </w:pPr>
      <w:r>
        <w:rPr>
          <w:rFonts w:hint="eastAsia" w:ascii="宋体" w:hAnsi="宋体"/>
          <w:color w:val="auto"/>
          <w:spacing w:val="20"/>
          <w:szCs w:val="21"/>
          <w:highlight w:val="none"/>
        </w:rPr>
        <w:t xml:space="preserve">                                    </w:t>
      </w:r>
      <w:r>
        <w:rPr>
          <w:rFonts w:hint="eastAsia" w:ascii="宋体" w:hAnsi="宋体"/>
          <w:color w:val="auto"/>
          <w:spacing w:val="20"/>
          <w:szCs w:val="21"/>
          <w:highlight w:val="none"/>
          <w:lang w:val="en-US" w:eastAsia="zh-CN"/>
        </w:rPr>
        <w:t xml:space="preserve">                      </w:t>
      </w:r>
      <w:r>
        <w:rPr>
          <w:rFonts w:hint="eastAsia" w:ascii="宋体" w:hAnsi="宋体"/>
          <w:color w:val="auto"/>
          <w:spacing w:val="20"/>
          <w:szCs w:val="21"/>
          <w:highlight w:val="none"/>
        </w:rPr>
        <w:t>投标单位盖章：</w:t>
      </w:r>
    </w:p>
    <w:p>
      <w:pPr>
        <w:pStyle w:val="48"/>
        <w:ind w:left="0" w:leftChars="0" w:firstLine="0" w:firstLineChars="0"/>
        <w:jc w:val="center"/>
        <w:rPr>
          <w:rFonts w:hint="eastAsia" w:cs="Times New Roman" w:asciiTheme="minorEastAsia" w:hAnsiTheme="minorEastAsia"/>
          <w:b/>
          <w:color w:val="auto"/>
          <w:spacing w:val="0"/>
          <w:szCs w:val="21"/>
          <w:highlight w:val="none"/>
          <w:lang w:eastAsia="zh-CN"/>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olor w:val="auto"/>
          <w:szCs w:val="21"/>
          <w:highlight w:val="none"/>
        </w:rPr>
        <w:t xml:space="preserve">                                        </w:t>
      </w:r>
      <w:r>
        <w:rPr>
          <w:rFonts w:hint="eastAsia" w:hAnsi="宋体"/>
          <w:color w:val="auto"/>
          <w:szCs w:val="21"/>
          <w:highlight w:val="none"/>
          <w:lang w:val="en-US" w:eastAsia="zh-CN"/>
        </w:rPr>
        <w:t xml:space="preserve">                    </w:t>
      </w:r>
      <w:r>
        <w:rPr>
          <w:rFonts w:hint="eastAsia" w:ascii="宋体" w:hAnsi="宋体"/>
          <w:color w:val="auto"/>
          <w:szCs w:val="21"/>
          <w:highlight w:val="none"/>
        </w:rPr>
        <w:t xml:space="preserve"> 日        期：</w:t>
      </w:r>
    </w:p>
    <w:p>
      <w:pPr>
        <w:rPr>
          <w:rFonts w:hint="eastAsia" w:cs="Times New Roman" w:asciiTheme="minorEastAsia" w:hAnsiTheme="minorEastAsia"/>
          <w:b/>
          <w:color w:val="auto"/>
          <w:spacing w:val="0"/>
          <w:szCs w:val="21"/>
          <w:highlight w:val="none"/>
          <w:lang w:eastAsia="zh-CN"/>
        </w:rPr>
      </w:pPr>
    </w:p>
    <w:tbl>
      <w:tblPr>
        <w:tblStyle w:val="49"/>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440"/>
        <w:gridCol w:w="1725"/>
        <w:gridCol w:w="172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89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附件</w:t>
            </w:r>
            <w:r>
              <w:rPr>
                <w:rFonts w:hint="eastAsia" w:ascii="宋体" w:hAnsi="宋体" w:cs="宋体"/>
                <w:b/>
                <w:i w:val="0"/>
                <w:color w:val="auto"/>
                <w:kern w:val="0"/>
                <w:sz w:val="24"/>
                <w:szCs w:val="24"/>
                <w:highlight w:val="none"/>
                <w:u w:val="none"/>
                <w:lang w:val="en-US" w:eastAsia="zh-CN" w:bidi="ar"/>
              </w:rPr>
              <w:t>1</w:t>
            </w:r>
            <w:r>
              <w:rPr>
                <w:rFonts w:hint="eastAsia" w:ascii="宋体" w:hAnsi="宋体" w:eastAsia="宋体" w:cs="宋体"/>
                <w:b/>
                <w:i w:val="0"/>
                <w:color w:val="auto"/>
                <w:kern w:val="0"/>
                <w:sz w:val="24"/>
                <w:szCs w:val="24"/>
                <w:highlight w:val="none"/>
                <w:u w:val="none"/>
                <w:lang w:val="en-US" w:eastAsia="zh-CN" w:bidi="ar"/>
              </w:rPr>
              <w:t>：2024-2025塘汇绿化养护北区标项二苗木移植报价清单表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4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限价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全费用综合单价</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乔木</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胸径：3以内</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6.59</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胸径：3.1-5</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19.08</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胸径：5.1-7</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48.90</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胸径：7.1-9</w:t>
            </w:r>
          </w:p>
        </w:tc>
        <w:tc>
          <w:tcPr>
            <w:tcW w:w="17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112.73</w:t>
            </w:r>
          </w:p>
        </w:tc>
        <w:tc>
          <w:tcPr>
            <w:tcW w:w="184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胸径：9.1-11</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190.49</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胸径：11.1-14</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280.52</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胸径：14.1-17</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429.21</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胸径：17.1-20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539.14</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胸径：20.1-30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1588.19</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胸径：30.1-35</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2096.39</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胸径：35.1-40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2902.61</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胸径：40.1-45</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3668.53</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胸径：45以上</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4769.09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灌木</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蓬径：P15以内</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蓬径：P15.1-30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蓬径：P30.1-60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蓬径：P60.1-90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蓬径：P90.1-120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蓬径：P120.1-150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蓬径：P150.1-180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32.36</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蓬径：P180.1-210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56.98</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蓬径：P210..1-240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87.05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蓬径：P240.1-300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141.45</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蓬径：P300.1-360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207.07</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蓬径：P360.1-420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283.13</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蓬径：P420.1-540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株</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447.00</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色块移植</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35.00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敲砼</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铺装修补</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侧石修补</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景石吊装</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次</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2000.00 </w:t>
            </w:r>
          </w:p>
        </w:tc>
        <w:tc>
          <w:tcPr>
            <w:tcW w:w="18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95" w:type="dxa"/>
            <w:gridSpan w:val="6"/>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18"/>
                <w:szCs w:val="18"/>
                <w:highlight w:val="none"/>
                <w:u w:val="single"/>
                <w:lang w:val="en-US" w:eastAsia="zh-CN" w:bidi="ar"/>
              </w:rPr>
            </w:pPr>
            <w:r>
              <w:rPr>
                <w:rFonts w:hint="eastAsia" w:ascii="宋体" w:hAnsi="宋体" w:eastAsia="宋体" w:cs="宋体"/>
                <w:b/>
                <w:i w:val="0"/>
                <w:color w:val="auto"/>
                <w:kern w:val="0"/>
                <w:sz w:val="18"/>
                <w:szCs w:val="18"/>
                <w:highlight w:val="none"/>
                <w:u w:val="single"/>
                <w:lang w:val="en-US" w:eastAsia="zh-CN" w:bidi="ar"/>
              </w:rPr>
              <w:t>注：1、今后结算时，上述投标全费用单价固定，工程量以采购人派发的任务单为准并按实结算。上述投标全费用单价包含设备、劳务、管理、配合庆典、安全文明、措施费、风险费、保险、利润、规费、</w:t>
            </w:r>
            <w:r>
              <w:rPr>
                <w:rFonts w:hint="eastAsia" w:ascii="宋体" w:hAnsi="宋体" w:cs="宋体"/>
                <w:b/>
                <w:i w:val="0"/>
                <w:color w:val="auto"/>
                <w:kern w:val="0"/>
                <w:sz w:val="18"/>
                <w:szCs w:val="18"/>
                <w:highlight w:val="none"/>
                <w:u w:val="single"/>
                <w:lang w:val="en-US" w:eastAsia="zh-CN" w:bidi="ar"/>
              </w:rPr>
              <w:t>税金、</w:t>
            </w:r>
            <w:r>
              <w:rPr>
                <w:rFonts w:hint="eastAsia" w:ascii="宋体" w:hAnsi="宋体" w:eastAsia="宋体" w:cs="宋体"/>
                <w:b/>
                <w:i w:val="0"/>
                <w:color w:val="auto"/>
                <w:kern w:val="0"/>
                <w:sz w:val="18"/>
                <w:szCs w:val="18"/>
                <w:highlight w:val="none"/>
                <w:u w:val="single"/>
                <w:lang w:val="en-US" w:eastAsia="zh-CN" w:bidi="ar"/>
              </w:rPr>
              <w:t>工伤保险费、政策性文件规定及合同包含的所有风险责任等所有费用。以上投标单价不得超过各项单价的上限价，否则做无效标处理。</w:t>
            </w:r>
          </w:p>
          <w:p>
            <w:pPr>
              <w:pStyle w:val="2"/>
              <w:numPr>
                <w:ilvl w:val="0"/>
                <w:numId w:val="7"/>
              </w:numPr>
              <w:rPr>
                <w:rFonts w:hint="eastAsia" w:ascii="宋体" w:hAnsi="宋体" w:cs="宋体"/>
                <w:b/>
                <w:i w:val="0"/>
                <w:color w:val="auto"/>
                <w:kern w:val="0"/>
                <w:sz w:val="18"/>
                <w:szCs w:val="18"/>
                <w:highlight w:val="none"/>
                <w:u w:val="single"/>
                <w:lang w:val="en-US" w:eastAsia="zh-CN" w:bidi="ar"/>
              </w:rPr>
            </w:pPr>
            <w:r>
              <w:rPr>
                <w:rFonts w:hint="eastAsia" w:ascii="宋体" w:hAnsi="宋体" w:cs="宋体"/>
                <w:b/>
                <w:i w:val="0"/>
                <w:color w:val="auto"/>
                <w:kern w:val="0"/>
                <w:sz w:val="18"/>
                <w:szCs w:val="18"/>
                <w:highlight w:val="none"/>
                <w:u w:val="single"/>
                <w:lang w:val="en-US" w:eastAsia="zh-CN" w:bidi="ar"/>
              </w:rPr>
              <w:t>今后结算时，需提供现场勘查确认单，上述工程量清单内已含内容按相应中标单价进行结算，如若实际发生内容未包含上述工程量清单内，需在现场勘查确认单中明确实际补植内容及价格。如因中标人移植原因引起的苗木退化、缺失、死株等由中标人自行承担相关补植费用。</w:t>
            </w:r>
          </w:p>
          <w:p>
            <w:pPr>
              <w:pStyle w:val="2"/>
              <w:numPr>
                <w:ilvl w:val="0"/>
                <w:numId w:val="0"/>
              </w:numPr>
              <w:rPr>
                <w:rFonts w:hint="default" w:ascii="宋体" w:hAnsi="宋体" w:cs="宋体"/>
                <w:b/>
                <w:i w:val="0"/>
                <w:color w:val="auto"/>
                <w:kern w:val="0"/>
                <w:sz w:val="18"/>
                <w:szCs w:val="18"/>
                <w:highlight w:val="none"/>
                <w:u w:val="single"/>
                <w:lang w:val="en-US" w:eastAsia="zh-CN" w:bidi="ar"/>
              </w:rPr>
            </w:pPr>
            <w:r>
              <w:rPr>
                <w:rFonts w:hint="eastAsia" w:ascii="宋体" w:hAnsi="宋体" w:cs="宋体"/>
                <w:b/>
                <w:i w:val="0"/>
                <w:color w:val="auto"/>
                <w:kern w:val="0"/>
                <w:sz w:val="18"/>
                <w:szCs w:val="18"/>
                <w:highlight w:val="none"/>
                <w:u w:val="single"/>
                <w:lang w:val="en-US" w:eastAsia="zh-CN" w:bidi="ar"/>
              </w:rPr>
              <w:t>3、以上报价不列入本项目的投标总价中，只作为结算使用。服务期内，若 产生以上工作内容，结算时固定单价不变，工程量按实结算。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9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5" w:type="dxa"/>
            <w:gridSpan w:val="6"/>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b/>
                <w:i w:val="0"/>
                <w:color w:val="auto"/>
                <w:sz w:val="21"/>
                <w:szCs w:val="21"/>
                <w:highlight w:val="none"/>
                <w:u w:val="single"/>
              </w:rPr>
            </w:pPr>
          </w:p>
        </w:tc>
      </w:tr>
    </w:tbl>
    <w:p>
      <w:pPr>
        <w:rPr>
          <w:rFonts w:hint="eastAsia"/>
          <w:color w:val="auto"/>
          <w:highlight w:val="none"/>
          <w:lang w:eastAsia="zh-CN"/>
        </w:rPr>
      </w:pPr>
      <w:r>
        <w:rPr>
          <w:rFonts w:hint="eastAsia"/>
          <w:color w:val="auto"/>
          <w:highlight w:val="none"/>
          <w:lang w:eastAsia="zh-CN"/>
        </w:rPr>
        <w:br w:type="page"/>
      </w:r>
    </w:p>
    <w:tbl>
      <w:tblPr>
        <w:tblStyle w:val="4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080"/>
        <w:gridCol w:w="1746"/>
        <w:gridCol w:w="802"/>
        <w:gridCol w:w="1080"/>
        <w:gridCol w:w="1080"/>
        <w:gridCol w:w="108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7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附件</w:t>
            </w:r>
            <w:r>
              <w:rPr>
                <w:rFonts w:hint="eastAsia" w:ascii="宋体" w:hAnsi="宋体" w:cs="宋体"/>
                <w:b/>
                <w:bCs/>
                <w:i w:val="0"/>
                <w:iCs w:val="0"/>
                <w:color w:val="auto"/>
                <w:kern w:val="0"/>
                <w:sz w:val="24"/>
                <w:szCs w:val="24"/>
                <w:highlight w:val="none"/>
                <w:u w:val="none"/>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：2024-2025塘汇绿化养护</w:t>
            </w:r>
            <w:r>
              <w:rPr>
                <w:rFonts w:hint="eastAsia" w:ascii="宋体" w:hAnsi="宋体" w:cs="宋体"/>
                <w:b/>
                <w:bCs/>
                <w:i w:val="0"/>
                <w:iCs w:val="0"/>
                <w:color w:val="auto"/>
                <w:kern w:val="0"/>
                <w:sz w:val="24"/>
                <w:szCs w:val="24"/>
                <w:highlight w:val="none"/>
                <w:u w:val="none"/>
                <w:lang w:val="en-US" w:eastAsia="zh-CN" w:bidi="ar"/>
              </w:rPr>
              <w:t>北</w:t>
            </w:r>
            <w:r>
              <w:rPr>
                <w:rFonts w:hint="eastAsia" w:ascii="宋体" w:hAnsi="宋体" w:eastAsia="宋体" w:cs="宋体"/>
                <w:b/>
                <w:bCs/>
                <w:i w:val="0"/>
                <w:iCs w:val="0"/>
                <w:color w:val="auto"/>
                <w:kern w:val="0"/>
                <w:sz w:val="24"/>
                <w:szCs w:val="24"/>
                <w:highlight w:val="none"/>
                <w:u w:val="none"/>
                <w:lang w:val="en-US" w:eastAsia="zh-CN" w:bidi="ar"/>
              </w:rPr>
              <w:t>区标项一绿化更新报价清单表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133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项目特征要求</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限价</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全费用</w:t>
            </w:r>
          </w:p>
        </w:tc>
        <w:tc>
          <w:tcPr>
            <w:tcW w:w="11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（元）</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综合单价（元）</w:t>
            </w:r>
          </w:p>
        </w:tc>
        <w:tc>
          <w:tcPr>
            <w:tcW w:w="11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整理绿化用地</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1、整理地形、翻地、松土30cm并根据设计要求处理地形，除去直径5cm以上的石块、垃圾。平整后的种植区地形不应有低洼积水，成型后线条饱满流畅。</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种植土回（换）填</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1、回填土质要求：满足规范要求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2、取土运距：自行考虑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3、回填厚度：30cm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4、弃土运距：自行考虑</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1、草皮种类：百慕大混播黑麦草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1、草皮种类：马尼拉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2、铺种方式：满铺</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1、苗木、花卉种类：书带草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2、单位面积株数：56丛/平米，7-9芽／丛</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铺种草皮</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1、草皮种类：白三叶</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2、铺种方式：籽播15g/㎡</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1、苗木、花卉种类：鸢尾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2、株高或蓬径：H21-25cm，P15-20cm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3、单位面积株数：64株/㎡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1、苗木、花卉种类：扶芳藤</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2、株高或蓬径：H20-30cm，P20-30cm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1、苗木、花卉种类：花叶蔓</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45.41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2、株高或蓬径：藤长40cm以上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123.53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2、株高或蓬径：H40-45cm，P30-35cm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1、苗木、花卉种类：红花继木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1、苗木、花卉种类：春鹃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1、苗木、花卉种类：大叶栀子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2、株高或蓬径：H30-40cm，P20-25cm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1、苗木、花卉种类：金叶女贞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1、苗木、花卉种类：瓜子黄杨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1、苗木、花卉种类：海桐</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58.17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1、苗木、花卉种类：小叶女贞</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2、株高或蓬径：H30-35cm,P25-30cm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3、单位面积株数：49株/㎡，小毛球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67.73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4、其他：密植，不露土，毛球</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1、苗木、花卉种类：含笑</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129.91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2、株高或蓬径：H35-40cm，P25-30cm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1、苗木、花卉种类：龟甲冬青</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2、株高或蓬径：H25-30cm，P20-25cm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1、苗木、花卉种类：云南黄馨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2、株高或蓬径：L50-60cm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3、单位面积株数：25株/㎡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1、苗木、花卉种类：珊瑚木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68.95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1.苗木、花卉种类：红叶石楠</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2.株高或蓬径：H40-45cm P30-35cm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1、种类：红叶石楠球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300.71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1、种类：金森女贞球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236.94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1、种类：金边黄杨球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235.81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1、种类：红花继木球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268.83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1、种类：黄杨球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263.14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1、种类：海桐球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302.99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4、其他：实球，株型圆整，不脱脚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园路</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316.87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2.路面厚度、宽度、材料种类：30mm花岗岩</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137.43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2.路面厚度、宽度、材料种类：40mm细粒式沥青混凝土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彩色沥青</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1.垫层厚度、宽度、材料种类：5mm碎石垫层、10mm素混凝土垫层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287.27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2.路面厚度、宽度、材料种类：40mm彩色细粒式沥青混凝土</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沥青黏层</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1、苗木、花卉种类：金边黄杨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1、苗木、花卉种类：夹竹桃绿篱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2、株高或蓬径：H120-150cm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3、单位面积株数：16株/㎡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1、种类：无刺枸骨球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栽植灌木</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1、种类：龟甲冬青球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2、灌丛高：H100cm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3、蓬径：P120cm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4、球形饱满，姿态优美，不脱脚</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1、苗木、花卉种类：火焰南天竹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1、苗木、花卉种类：八仙花</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栽植色带</w:t>
            </w:r>
          </w:p>
        </w:tc>
        <w:tc>
          <w:tcPr>
            <w:tcW w:w="13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1、苗木、花卉种类：茶梅</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2、株高或蓬径：H35cm，P25cm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3、单位面积株数：49株/㎡</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紫色芦苇草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粉黛乱子草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地肤草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P15-20   H10-20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喜林草（粉蝶花）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64株/㎡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蓝羊茅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墨西哥羽毛草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兔尾草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小盼草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坡地毛冠草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36株/㎡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紫叶狼尾草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矮蒲苇</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玉带草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二月兰</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郁金香</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大金鸡菊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大滨菊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波斯菊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籽播,1斤/100㎡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大吴风草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H10-20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兰花三七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花叶美人蕉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P35-40   H60-70  16丛/㎡,每丛5-6芽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紫娇花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H15-25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金叶石菖蒲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黄菖蒲</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H50-60  64丛/㎡,每丛5-6芽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玉簪</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H15-20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75.91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金边阔叶麦冬</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P20-25  H20-25  49株/㎡,每丛5-6芽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常绿萱草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P15-20  H10-20  49丛/㎡,每丛5-6芽</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黄金菊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P16-25，49株/㎡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马鞭草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56.31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五色梅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百日草</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萼距花</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60.98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亮晶女贞</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绣线菊</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金丝桃</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H40-50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大花六道木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H35-40  49株/㎡，毛球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月季</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P35-40   H45-50  25株/㎡，毛球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92.11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茶梅</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P25-30   H30-40  49株/㎡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70.78</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八角金盘</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P15-20  H50-60   30株/㎡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1、种类：罗汉松</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23224.2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2、根盘直径：d18-20cm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1、种类：实生银杏特</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12810.46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2、胸径或干径：Φ30-31cm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3、株高、冠径：H900-950cm P450-500cm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4、养护期：1年</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5、全冠，树形优美,分枝点高度2.3-2.5m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1、种类：香樟C</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196.52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1、种类：丛生朴树A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10588.75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2、胸径或干径：每枝Φ8cm以上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3、株高、冠径：H850cm P500cm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4、养护期：两5、精品树，五分枝以上，合并Φ70cm以上，全冠，树形优美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1、种类：丛生朴树B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8063.75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2、胸径或干径：每枝Φ6cm以上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4、精品树，五分枝以上，合并Φ50cm以上，全冠，树形优美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1、种类：朴树B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391.05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4、精品树，全冠，树形优美,分枝点高度2.0m以上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1、种类：乌桕B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2615.03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3、株高、冠径：H600-700cm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4、精品树，全冠，树形优美,分枝点高度2.0m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1、种类：无患子A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2899.85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2、胸径或干径：Φ18-20cm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3、株高、冠径：H700-800cm P400-450cm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4、全冠，树形优美,分枝点高度1.8-2.5m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1、种类：无患子B</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2、胸径或干径：Φ15-16cm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3、株高、冠径：H550-600cm P350-400cm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4、全冠，树形优美,分枝点高度1.8-2.2m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1、种类：黄山栾树A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742.49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3、株高、冠径：H250-300cm 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1、种类：香泡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393.49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2、胸径或干径：Φ16cm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3、株高、冠径：H350-400cm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1662.6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2.胸径或干径：D13-14cm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3.株高、冠径：H=300-350cm 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4.备注：要求三级分支以上,分支点&lt;0.6m,主枝不少于三叉,冠型丰满,不偏冠。</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1729.34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2.地径：13.1-14cm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5.要求：分枝点1米以上，树形饱满，色彩艳丽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1204.34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3.灌丛高：H300-350cm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4.蓬径：P200-250cm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5.要求：分枝点1.2米以上，树形饱满，色彩艳丽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1、种类：日本早樱特选</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1476.44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3、灌丛高：H400-450cm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4、蓬径：P380cm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1、种类：独杆紫薇A</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585.15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4、蓬径：P180-200cm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1、种类：特选独杆紫薇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1688.96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4、蓬径：P250-300cm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1421.2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2、根盘直径：d15cm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4、蓬径：350cm以上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98</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1、种类：大特选金桂</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2850.34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2、根盘直径：d16-18cm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3、灌丛高：450cm以上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4、蓬径：400cm以上</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5、精品树，全冠,树形优美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99</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1、种类：特选红枫</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2259.62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栽植乔木</w:t>
            </w: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1、种类：特选鸡爪槭</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2154.62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2、地径：d12cm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3、灌丛高：H400cm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4、蓬径：P350cm</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5、其他：精品树,全冠,树形飘逸,姿态优美</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3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6、含支撑，草绳绕杆等措施</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3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合计：每年不超过</w:t>
            </w:r>
            <w:r>
              <w:rPr>
                <w:rFonts w:hint="eastAsia" w:ascii="宋体" w:hAnsi="宋体" w:cs="宋体"/>
                <w:b/>
                <w:bCs/>
                <w:i w:val="0"/>
                <w:iCs w:val="0"/>
                <w:color w:val="auto"/>
                <w:kern w:val="0"/>
                <w:sz w:val="18"/>
                <w:szCs w:val="18"/>
                <w:highlight w:val="none"/>
                <w:u w:val="none"/>
                <w:lang w:val="en-US" w:eastAsia="zh-CN" w:bidi="ar"/>
              </w:rPr>
              <w:t>38</w:t>
            </w:r>
            <w:r>
              <w:rPr>
                <w:rFonts w:hint="eastAsia" w:ascii="宋体" w:hAnsi="宋体" w:eastAsia="宋体" w:cs="宋体"/>
                <w:b/>
                <w:bCs/>
                <w:i w:val="0"/>
                <w:iCs w:val="0"/>
                <w:color w:val="auto"/>
                <w:kern w:val="0"/>
                <w:sz w:val="18"/>
                <w:szCs w:val="18"/>
                <w:highlight w:val="none"/>
                <w:u w:val="none"/>
                <w:lang w:val="en-US" w:eastAsia="zh-CN" w:bidi="ar"/>
              </w:rPr>
              <w:t>万元</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97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single"/>
              </w:rPr>
            </w:pPr>
            <w:r>
              <w:rPr>
                <w:rStyle w:val="376"/>
                <w:rFonts w:hint="eastAsia" w:ascii="宋体" w:hAnsi="宋体" w:eastAsia="宋体" w:cs="宋体"/>
                <w:color w:val="auto"/>
                <w:sz w:val="18"/>
                <w:szCs w:val="18"/>
                <w:highlight w:val="none"/>
                <w:lang w:val="en-US" w:eastAsia="zh-CN" w:bidi="ar"/>
              </w:rPr>
              <w:t>注：1、今后结算时，上述投标全费用单价固定，工程量以采购人派发的任务单为准并按实结算。上述投标全费用单价包含设备、劳务、管理、配合庆典、安全文明、措施费、风险费、保险、利润、规费、税金、工伤保险费、政策性文件规定及合同包含的所有风险责任等所有费用。投标总价不得超过合计价格且投标单价不得超过各项单价的上限价，否则做无效标处理。</w:t>
            </w:r>
          </w:p>
        </w:tc>
      </w:tr>
    </w:tbl>
    <w:p>
      <w:pPr>
        <w:rPr>
          <w:rFonts w:hint="eastAsia" w:cs="Times New Roman" w:asciiTheme="minorEastAsia" w:hAnsiTheme="minorEastAsia"/>
          <w:b/>
          <w:color w:val="auto"/>
          <w:spacing w:val="0"/>
          <w:szCs w:val="21"/>
          <w:highlight w:val="none"/>
          <w:lang w:eastAsia="zh-CN"/>
        </w:rPr>
      </w:pPr>
    </w:p>
    <w:p>
      <w:pPr>
        <w:rPr>
          <w:rFonts w:hint="eastAsia" w:cs="Times New Roman" w:asciiTheme="minorEastAsia" w:hAnsi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br w:type="page"/>
      </w:r>
    </w:p>
    <w:p>
      <w:pPr>
        <w:pStyle w:val="48"/>
        <w:ind w:left="0" w:leftChars="0" w:firstLine="0" w:firstLineChars="0"/>
        <w:jc w:val="center"/>
        <w:rPr>
          <w:rFonts w:hint="eastAsia" w:cs="Times New Roman" w:asciiTheme="minorEastAsia" w:hAnsiTheme="minorEastAsia" w:eastAsia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t>其他投标人认为需要递交的资料</w:t>
      </w:r>
    </w:p>
    <w:p>
      <w:pPr>
        <w:pStyle w:val="48"/>
        <w:ind w:left="0" w:leftChars="0" w:firstLine="0" w:firstLineChars="0"/>
        <w:jc w:val="center"/>
        <w:rPr>
          <w:color w:val="auto"/>
          <w:highlight w:val="none"/>
        </w:rPr>
      </w:pPr>
      <w:r>
        <w:rPr>
          <w:rFonts w:hint="eastAsia"/>
          <w:color w:val="auto"/>
          <w:highlight w:val="none"/>
        </w:rPr>
        <w:t>（格式自拟）</w:t>
      </w:r>
    </w:p>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Light">
    <w:altName w:val="黑体"/>
    <w:panose1 w:val="020B0502040204020203"/>
    <w:charset w:val="7A"/>
    <w:family w:val="swiss"/>
    <w:pitch w:val="default"/>
    <w:sig w:usb0="00000000" w:usb1="00000000" w:usb2="00000016" w:usb3="00000000" w:csb0="0004001F" w:csb1="00000000"/>
  </w:font>
  <w:font w:name="Songti SC Regular">
    <w:altName w:val="微软雅黑"/>
    <w:panose1 w:val="00000000000000000000"/>
    <w:charset w:val="50"/>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3"/>
      </w:rPr>
    </w:pPr>
    <w:r>
      <w:fldChar w:fldCharType="begin"/>
    </w:r>
    <w:r>
      <w:rPr>
        <w:rStyle w:val="53"/>
      </w:rPr>
      <w:instrText xml:space="preserve">PAGE  </w:instrText>
    </w:r>
    <w:r>
      <w:fldChar w:fldCharType="end"/>
    </w:r>
  </w:p>
  <w:p>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A36C3"/>
    <w:multiLevelType w:val="singleLevel"/>
    <w:tmpl w:val="88AA36C3"/>
    <w:lvl w:ilvl="0" w:tentative="0">
      <w:start w:val="2"/>
      <w:numFmt w:val="decimal"/>
      <w:suff w:val="nothing"/>
      <w:lvlText w:val="%1、"/>
      <w:lvlJc w:val="left"/>
    </w:lvl>
  </w:abstractNum>
  <w:abstractNum w:abstractNumId="1">
    <w:nsid w:val="B2A9415B"/>
    <w:multiLevelType w:val="singleLevel"/>
    <w:tmpl w:val="B2A9415B"/>
    <w:lvl w:ilvl="0" w:tentative="0">
      <w:start w:val="5"/>
      <w:numFmt w:val="chineseCounting"/>
      <w:suff w:val="space"/>
      <w:lvlText w:val="第%1章"/>
      <w:lvlJc w:val="left"/>
      <w:rPr>
        <w:rFonts w:hint="eastAsia"/>
      </w:rPr>
    </w:lvl>
  </w:abstractNum>
  <w:abstractNum w:abstractNumId="2">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3">
    <w:nsid w:val="00000002"/>
    <w:multiLevelType w:val="multilevel"/>
    <w:tmpl w:val="00000002"/>
    <w:lvl w:ilvl="0" w:tentative="0">
      <w:start w:val="1"/>
      <w:numFmt w:val="bullet"/>
      <w:pStyle w:val="32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2"/>
    <w:multiLevelType w:val="singleLevel"/>
    <w:tmpl w:val="00000012"/>
    <w:lvl w:ilvl="0" w:tentative="0">
      <w:start w:val="1"/>
      <w:numFmt w:val="decimal"/>
      <w:pStyle w:val="25"/>
      <w:lvlText w:val="%1."/>
      <w:lvlJc w:val="left"/>
      <w:pPr>
        <w:tabs>
          <w:tab w:val="left" w:pos="1200"/>
        </w:tabs>
        <w:ind w:left="1200" w:hanging="360"/>
      </w:pPr>
    </w:lvl>
  </w:abstractNum>
  <w:abstractNum w:abstractNumId="5">
    <w:nsid w:val="0C827B20"/>
    <w:multiLevelType w:val="multilevel"/>
    <w:tmpl w:val="0C827B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4655ABA"/>
    <w:multiLevelType w:val="singleLevel"/>
    <w:tmpl w:val="14655ABA"/>
    <w:lvl w:ilvl="0" w:tentative="0">
      <w:start w:val="1"/>
      <w:numFmt w:val="decimal"/>
      <w:lvlText w:val="%1."/>
      <w:lvlJc w:val="left"/>
      <w:pPr>
        <w:tabs>
          <w:tab w:val="left" w:pos="312"/>
        </w:tabs>
      </w:pPr>
    </w:lvl>
  </w:abstractNum>
  <w:abstractNum w:abstractNumId="7">
    <w:nsid w:val="1B89059A"/>
    <w:multiLevelType w:val="multilevel"/>
    <w:tmpl w:val="1B89059A"/>
    <w:lvl w:ilvl="0" w:tentative="0">
      <w:start w:val="1"/>
      <w:numFmt w:val="decimal"/>
      <w:pStyle w:val="22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28AE5C"/>
    <w:multiLevelType w:val="singleLevel"/>
    <w:tmpl w:val="3F28AE5C"/>
    <w:lvl w:ilvl="0" w:tentative="0">
      <w:start w:val="2"/>
      <w:numFmt w:val="chineseCounting"/>
      <w:suff w:val="space"/>
      <w:lvlText w:val="第%1章"/>
      <w:lvlJc w:val="left"/>
      <w:rPr>
        <w:rFonts w:hint="eastAsia"/>
      </w:rPr>
    </w:lvl>
  </w:abstractNum>
  <w:abstractNum w:abstractNumId="9">
    <w:nsid w:val="61C45857"/>
    <w:multiLevelType w:val="multilevel"/>
    <w:tmpl w:val="61C45857"/>
    <w:lvl w:ilvl="0" w:tentative="0">
      <w:start w:val="1"/>
      <w:numFmt w:val="none"/>
      <w:lvlText w:val="一、"/>
      <w:lvlJc w:val="left"/>
      <w:pPr>
        <w:tabs>
          <w:tab w:val="left" w:pos="962"/>
        </w:tabs>
        <w:ind w:left="962" w:hanging="48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0">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3"/>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C1349CD"/>
    <w:multiLevelType w:val="multilevel"/>
    <w:tmpl w:val="7C1349CD"/>
    <w:lvl w:ilvl="0" w:tentative="0">
      <w:start w:val="1"/>
      <w:numFmt w:val="decimal"/>
      <w:lvlText w:val="(%1)"/>
      <w:lvlJc w:val="left"/>
      <w:pPr>
        <w:tabs>
          <w:tab w:val="left" w:pos="840"/>
        </w:tabs>
        <w:ind w:left="840" w:hanging="360"/>
      </w:pPr>
      <w:rPr>
        <w:rFonts w:hint="eastAsia"/>
      </w:rPr>
    </w:lvl>
    <w:lvl w:ilvl="1" w:tentative="0">
      <w:start w:val="1"/>
      <w:numFmt w:val="japaneseCounting"/>
      <w:lvlText w:val="%2、"/>
      <w:lvlJc w:val="left"/>
      <w:pPr>
        <w:tabs>
          <w:tab w:val="left" w:pos="1380"/>
        </w:tabs>
        <w:ind w:left="1380" w:hanging="480"/>
      </w:pPr>
      <w:rPr>
        <w:rFonts w:hint="eastAsia"/>
      </w:rPr>
    </w:lvl>
    <w:lvl w:ilvl="2" w:tentative="0">
      <w:start w:val="3"/>
      <w:numFmt w:val="decimal"/>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6"/>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jJlNDk5ZWQ2NTFjOGE2MDFiN2I1Y2E2NGJjMTAifQ=="/>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A156F8"/>
    <w:rsid w:val="040D2D33"/>
    <w:rsid w:val="04442270"/>
    <w:rsid w:val="0509486E"/>
    <w:rsid w:val="055D3D7E"/>
    <w:rsid w:val="06117F79"/>
    <w:rsid w:val="0662732E"/>
    <w:rsid w:val="068A5FDB"/>
    <w:rsid w:val="06B57A35"/>
    <w:rsid w:val="073C4DF9"/>
    <w:rsid w:val="074D1FB6"/>
    <w:rsid w:val="0774357C"/>
    <w:rsid w:val="07D55FEF"/>
    <w:rsid w:val="085632C3"/>
    <w:rsid w:val="08A57F5F"/>
    <w:rsid w:val="0903319F"/>
    <w:rsid w:val="0A506CB7"/>
    <w:rsid w:val="0A572864"/>
    <w:rsid w:val="0AF463CA"/>
    <w:rsid w:val="0BD73B39"/>
    <w:rsid w:val="0D0E115E"/>
    <w:rsid w:val="0D183D8B"/>
    <w:rsid w:val="0D386E82"/>
    <w:rsid w:val="0E3B5D80"/>
    <w:rsid w:val="0F9509ED"/>
    <w:rsid w:val="0FCE5D2A"/>
    <w:rsid w:val="100844EC"/>
    <w:rsid w:val="10B46A31"/>
    <w:rsid w:val="121A54B0"/>
    <w:rsid w:val="122C2B25"/>
    <w:rsid w:val="12B205B0"/>
    <w:rsid w:val="12CC71EE"/>
    <w:rsid w:val="13AE28A6"/>
    <w:rsid w:val="13B9702D"/>
    <w:rsid w:val="13CD7354"/>
    <w:rsid w:val="14A003D1"/>
    <w:rsid w:val="14E13731"/>
    <w:rsid w:val="15DC4C07"/>
    <w:rsid w:val="1603288D"/>
    <w:rsid w:val="164A663B"/>
    <w:rsid w:val="17E13C1A"/>
    <w:rsid w:val="17EB61B5"/>
    <w:rsid w:val="19C42867"/>
    <w:rsid w:val="1A0B2424"/>
    <w:rsid w:val="1B3E72A5"/>
    <w:rsid w:val="1C38044D"/>
    <w:rsid w:val="1D2D24D6"/>
    <w:rsid w:val="1D8C3ACE"/>
    <w:rsid w:val="1DB22AF9"/>
    <w:rsid w:val="1E541A70"/>
    <w:rsid w:val="1E685475"/>
    <w:rsid w:val="1E8C30B2"/>
    <w:rsid w:val="1E932147"/>
    <w:rsid w:val="1F272F08"/>
    <w:rsid w:val="1F41426C"/>
    <w:rsid w:val="20072DF7"/>
    <w:rsid w:val="21BB015D"/>
    <w:rsid w:val="22334556"/>
    <w:rsid w:val="23D33E51"/>
    <w:rsid w:val="24096964"/>
    <w:rsid w:val="24FB5382"/>
    <w:rsid w:val="24FB6F38"/>
    <w:rsid w:val="251A54A9"/>
    <w:rsid w:val="277E764F"/>
    <w:rsid w:val="27D72F9E"/>
    <w:rsid w:val="28BA6F34"/>
    <w:rsid w:val="29021CCD"/>
    <w:rsid w:val="29B32078"/>
    <w:rsid w:val="2C4E0743"/>
    <w:rsid w:val="2C6A166B"/>
    <w:rsid w:val="2CF72EB0"/>
    <w:rsid w:val="2DC07ADD"/>
    <w:rsid w:val="2E541BEB"/>
    <w:rsid w:val="2E774DC8"/>
    <w:rsid w:val="2FA26D23"/>
    <w:rsid w:val="3008200E"/>
    <w:rsid w:val="3072481E"/>
    <w:rsid w:val="31321F99"/>
    <w:rsid w:val="31914739"/>
    <w:rsid w:val="31E23903"/>
    <w:rsid w:val="3236068C"/>
    <w:rsid w:val="32FC3CC0"/>
    <w:rsid w:val="34603CB7"/>
    <w:rsid w:val="35672368"/>
    <w:rsid w:val="35837B4B"/>
    <w:rsid w:val="374F0610"/>
    <w:rsid w:val="38DF6D5E"/>
    <w:rsid w:val="38EB2DBF"/>
    <w:rsid w:val="39012615"/>
    <w:rsid w:val="3A102600"/>
    <w:rsid w:val="3A2A4E8A"/>
    <w:rsid w:val="3A9638A2"/>
    <w:rsid w:val="3AFA6B2D"/>
    <w:rsid w:val="3CB029DD"/>
    <w:rsid w:val="3D624A2B"/>
    <w:rsid w:val="3DCC1E5F"/>
    <w:rsid w:val="3EAE2050"/>
    <w:rsid w:val="3EEF7296"/>
    <w:rsid w:val="3F041AD9"/>
    <w:rsid w:val="3FB303FC"/>
    <w:rsid w:val="40AE5091"/>
    <w:rsid w:val="423B4E6C"/>
    <w:rsid w:val="43F3458A"/>
    <w:rsid w:val="44440133"/>
    <w:rsid w:val="45B31A61"/>
    <w:rsid w:val="45CF2F6F"/>
    <w:rsid w:val="45D34FB6"/>
    <w:rsid w:val="46245A13"/>
    <w:rsid w:val="46DD4550"/>
    <w:rsid w:val="46E3608D"/>
    <w:rsid w:val="47033A9A"/>
    <w:rsid w:val="479E4F15"/>
    <w:rsid w:val="48CA6795"/>
    <w:rsid w:val="48CD41CA"/>
    <w:rsid w:val="4941085B"/>
    <w:rsid w:val="4962008B"/>
    <w:rsid w:val="49DA6407"/>
    <w:rsid w:val="49FA03B9"/>
    <w:rsid w:val="4C0B019B"/>
    <w:rsid w:val="4C104692"/>
    <w:rsid w:val="4C231F8F"/>
    <w:rsid w:val="4C811519"/>
    <w:rsid w:val="4D285099"/>
    <w:rsid w:val="4D5D1394"/>
    <w:rsid w:val="4D7A63D4"/>
    <w:rsid w:val="4DC105B9"/>
    <w:rsid w:val="4E5E6ACE"/>
    <w:rsid w:val="4EA3285D"/>
    <w:rsid w:val="4FD17D78"/>
    <w:rsid w:val="502F2AFF"/>
    <w:rsid w:val="5062649A"/>
    <w:rsid w:val="51B63F46"/>
    <w:rsid w:val="52394071"/>
    <w:rsid w:val="52BE47B3"/>
    <w:rsid w:val="52D34A56"/>
    <w:rsid w:val="533C2574"/>
    <w:rsid w:val="534A49DB"/>
    <w:rsid w:val="540154EC"/>
    <w:rsid w:val="549661BE"/>
    <w:rsid w:val="54D90D6B"/>
    <w:rsid w:val="54F5408A"/>
    <w:rsid w:val="5567720F"/>
    <w:rsid w:val="56757125"/>
    <w:rsid w:val="56C95F43"/>
    <w:rsid w:val="57673C54"/>
    <w:rsid w:val="578F46AB"/>
    <w:rsid w:val="58552D55"/>
    <w:rsid w:val="586357E1"/>
    <w:rsid w:val="586F29A3"/>
    <w:rsid w:val="59841B2F"/>
    <w:rsid w:val="5A835EEC"/>
    <w:rsid w:val="5BE60354"/>
    <w:rsid w:val="5C467737"/>
    <w:rsid w:val="5C5A4637"/>
    <w:rsid w:val="5CE643EA"/>
    <w:rsid w:val="5D035D66"/>
    <w:rsid w:val="5D3A60F6"/>
    <w:rsid w:val="5FFA5F10"/>
    <w:rsid w:val="610A4A53"/>
    <w:rsid w:val="618D0DDA"/>
    <w:rsid w:val="61924C82"/>
    <w:rsid w:val="61D651BA"/>
    <w:rsid w:val="6238577C"/>
    <w:rsid w:val="62E86106"/>
    <w:rsid w:val="63593E54"/>
    <w:rsid w:val="65321727"/>
    <w:rsid w:val="654020E2"/>
    <w:rsid w:val="67E75A9C"/>
    <w:rsid w:val="67F50CA9"/>
    <w:rsid w:val="684D717D"/>
    <w:rsid w:val="692D52EC"/>
    <w:rsid w:val="69C2222A"/>
    <w:rsid w:val="6A4E2C73"/>
    <w:rsid w:val="6ACA7F96"/>
    <w:rsid w:val="6B564F76"/>
    <w:rsid w:val="6B5F7381"/>
    <w:rsid w:val="6D8048D6"/>
    <w:rsid w:val="6E632308"/>
    <w:rsid w:val="6EC1338F"/>
    <w:rsid w:val="711E7D37"/>
    <w:rsid w:val="71947DA3"/>
    <w:rsid w:val="72E90C5B"/>
    <w:rsid w:val="73E63CEC"/>
    <w:rsid w:val="758A6A49"/>
    <w:rsid w:val="76D966E8"/>
    <w:rsid w:val="77A04958"/>
    <w:rsid w:val="79627ECB"/>
    <w:rsid w:val="79A31922"/>
    <w:rsid w:val="7A950FFF"/>
    <w:rsid w:val="7B3B0A60"/>
    <w:rsid w:val="7E264CCF"/>
    <w:rsid w:val="7E61579F"/>
    <w:rsid w:val="7EDE60CE"/>
    <w:rsid w:val="7EF276B7"/>
    <w:rsid w:val="7F840320"/>
    <w:rsid w:val="7F8C4A79"/>
    <w:rsid w:val="BEFE6508"/>
    <w:rsid w:val="EEDB13DE"/>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63"/>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64"/>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65"/>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66"/>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7"/>
    <w:next w:val="1"/>
    <w:link w:val="67"/>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9">
    <w:name w:val="heading 7"/>
    <w:basedOn w:val="8"/>
    <w:next w:val="1"/>
    <w:link w:val="68"/>
    <w:qFormat/>
    <w:uiPriority w:val="0"/>
    <w:pPr>
      <w:tabs>
        <w:tab w:val="left" w:pos="3360"/>
        <w:tab w:val="clear" w:pos="2940"/>
      </w:tabs>
      <w:outlineLvl w:val="6"/>
    </w:pPr>
  </w:style>
  <w:style w:type="paragraph" w:styleId="10">
    <w:name w:val="heading 8"/>
    <w:basedOn w:val="9"/>
    <w:next w:val="1"/>
    <w:link w:val="69"/>
    <w:qFormat/>
    <w:uiPriority w:val="0"/>
    <w:pPr>
      <w:tabs>
        <w:tab w:val="left" w:pos="3780"/>
        <w:tab w:val="clear" w:pos="3360"/>
      </w:tabs>
      <w:outlineLvl w:val="7"/>
    </w:pPr>
  </w:style>
  <w:style w:type="paragraph" w:styleId="11">
    <w:name w:val="heading 9"/>
    <w:basedOn w:val="10"/>
    <w:next w:val="1"/>
    <w:link w:val="70"/>
    <w:qFormat/>
    <w:uiPriority w:val="0"/>
    <w:pPr>
      <w:tabs>
        <w:tab w:val="left" w:pos="480"/>
        <w:tab w:val="left" w:pos="4200"/>
        <w:tab w:val="clear" w:pos="3780"/>
      </w:tabs>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unhideWhenUsed/>
    <w:qFormat/>
    <w:uiPriority w:val="0"/>
    <w:pPr>
      <w:ind w:left="2520" w:leftChars="1200"/>
    </w:pPr>
    <w:rPr>
      <w:rFonts w:cs="宋体"/>
      <w:sz w:val="24"/>
    </w:rPr>
  </w:style>
  <w:style w:type="paragraph" w:styleId="13">
    <w:name w:val="List Number 2"/>
    <w:basedOn w:val="1"/>
    <w:semiHidden/>
    <w:unhideWhenUsed/>
    <w:qFormat/>
    <w:uiPriority w:val="99"/>
    <w:pPr>
      <w:numPr>
        <w:ilvl w:val="0"/>
        <w:numId w:val="1"/>
      </w:numPr>
      <w:contextualSpacing/>
    </w:pPr>
  </w:style>
  <w:style w:type="paragraph" w:styleId="14">
    <w:name w:val="table of authorities"/>
    <w:basedOn w:val="1"/>
    <w:next w:val="1"/>
    <w:unhideWhenUsed/>
    <w:qFormat/>
    <w:uiPriority w:val="0"/>
    <w:pPr>
      <w:ind w:left="420" w:leftChars="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71"/>
    <w:qFormat/>
    <w:uiPriority w:val="0"/>
    <w:pPr>
      <w:ind w:firstLine="420"/>
    </w:pPr>
    <w:rPr>
      <w:rFonts w:asciiTheme="minorHAnsi" w:hAnsiTheme="minorHAnsi" w:cstheme="minorBidi"/>
      <w:szCs w:val="22"/>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2"/>
    <w:qFormat/>
    <w:uiPriority w:val="0"/>
    <w:rPr>
      <w:rFonts w:ascii="宋体" w:hAnsiTheme="minorHAnsi" w:eastAsiaTheme="minorEastAsia" w:cstheme="minorBidi"/>
      <w:sz w:val="18"/>
      <w:szCs w:val="18"/>
    </w:rPr>
  </w:style>
  <w:style w:type="paragraph" w:styleId="19">
    <w:name w:val="annotation text"/>
    <w:basedOn w:val="1"/>
    <w:link w:val="73"/>
    <w:unhideWhenUsed/>
    <w:qFormat/>
    <w:uiPriority w:val="0"/>
    <w:pPr>
      <w:jc w:val="left"/>
    </w:pPr>
  </w:style>
  <w:style w:type="paragraph" w:styleId="20">
    <w:name w:val="Body Text 3"/>
    <w:basedOn w:val="1"/>
    <w:link w:val="74"/>
    <w:qFormat/>
    <w:uiPriority w:val="0"/>
    <w:pPr>
      <w:snapToGrid w:val="0"/>
      <w:spacing w:before="50" w:after="50"/>
    </w:pPr>
    <w:rPr>
      <w:rFonts w:hAnsi="宋体" w:eastAsia="仿宋_GB2312" w:asciiTheme="minorHAnsi" w:cstheme="minorBidi"/>
      <w:b/>
      <w:bCs/>
      <w:sz w:val="24"/>
      <w:szCs w:val="22"/>
    </w:rPr>
  </w:style>
  <w:style w:type="paragraph" w:styleId="21">
    <w:name w:val="Body Text"/>
    <w:basedOn w:val="1"/>
    <w:next w:val="22"/>
    <w:link w:val="75"/>
    <w:qFormat/>
    <w:uiPriority w:val="0"/>
    <w:pPr>
      <w:spacing w:after="120"/>
    </w:pPr>
    <w:rPr>
      <w:rFonts w:asciiTheme="minorHAnsi" w:hAnsiTheme="minorHAnsi" w:eastAsiaTheme="minorEastAsia" w:cstheme="minorBidi"/>
      <w:sz w:val="28"/>
    </w:rPr>
  </w:style>
  <w:style w:type="paragraph" w:styleId="22">
    <w:name w:val="Body Text First Indent"/>
    <w:basedOn w:val="21"/>
    <w:next w:val="23"/>
    <w:link w:val="368"/>
    <w:unhideWhenUsed/>
    <w:qFormat/>
    <w:uiPriority w:val="99"/>
    <w:pPr>
      <w:ind w:firstLine="420" w:firstLineChars="100"/>
    </w:pPr>
    <w:rPr>
      <w:rFonts w:ascii="Calibri" w:hAnsi="Calibri" w:eastAsia="宋体" w:cs="Times New Roman"/>
      <w:kern w:val="0"/>
      <w:sz w:val="21"/>
    </w:rPr>
  </w:style>
  <w:style w:type="paragraph" w:styleId="23">
    <w:name w:val="toc 6"/>
    <w:basedOn w:val="1"/>
    <w:next w:val="1"/>
    <w:unhideWhenUsed/>
    <w:qFormat/>
    <w:uiPriority w:val="0"/>
    <w:pPr>
      <w:ind w:left="2100" w:leftChars="1000"/>
    </w:pPr>
    <w:rPr>
      <w:rFonts w:cs="宋体"/>
      <w:sz w:val="24"/>
    </w:rPr>
  </w:style>
  <w:style w:type="paragraph" w:styleId="24">
    <w:name w:val="Body Text Indent"/>
    <w:basedOn w:val="1"/>
    <w:link w:val="60"/>
    <w:unhideWhenUsed/>
    <w:qFormat/>
    <w:uiPriority w:val="99"/>
    <w:pPr>
      <w:spacing w:after="120"/>
      <w:ind w:left="420" w:leftChars="200"/>
    </w:p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8">
    <w:name w:val="toc 5"/>
    <w:basedOn w:val="1"/>
    <w:next w:val="1"/>
    <w:unhideWhenUsed/>
    <w:qFormat/>
    <w:uiPriority w:val="0"/>
    <w:pPr>
      <w:ind w:left="1680" w:leftChars="800"/>
    </w:pPr>
    <w:rPr>
      <w:rFonts w:cs="宋体"/>
      <w:sz w:val="24"/>
    </w:rPr>
  </w:style>
  <w:style w:type="paragraph" w:styleId="29">
    <w:name w:val="toc 3"/>
    <w:basedOn w:val="1"/>
    <w:next w:val="1"/>
    <w:unhideWhenUsed/>
    <w:qFormat/>
    <w:uiPriority w:val="39"/>
    <w:pPr>
      <w:ind w:left="840" w:leftChars="400"/>
    </w:pPr>
    <w:rPr>
      <w:rFonts w:cs="宋体"/>
      <w:sz w:val="24"/>
    </w:rPr>
  </w:style>
  <w:style w:type="paragraph" w:styleId="30">
    <w:name w:val="Plain Text"/>
    <w:basedOn w:val="1"/>
    <w:next w:val="1"/>
    <w:link w:val="76"/>
    <w:qFormat/>
    <w:uiPriority w:val="0"/>
    <w:pPr>
      <w:spacing w:beforeLines="50" w:afterLines="50" w:line="400" w:lineRule="exact"/>
    </w:pPr>
    <w:rPr>
      <w:rFonts w:ascii="宋体" w:hAnsi="Courier New" w:cstheme="minorBidi"/>
      <w:sz w:val="24"/>
    </w:rPr>
  </w:style>
  <w:style w:type="paragraph" w:styleId="31">
    <w:name w:val="toc 8"/>
    <w:basedOn w:val="1"/>
    <w:next w:val="1"/>
    <w:unhideWhenUsed/>
    <w:qFormat/>
    <w:uiPriority w:val="0"/>
    <w:pPr>
      <w:ind w:left="2940" w:leftChars="1400"/>
    </w:pPr>
    <w:rPr>
      <w:rFonts w:cs="宋体"/>
      <w:sz w:val="24"/>
    </w:rPr>
  </w:style>
  <w:style w:type="paragraph" w:styleId="32">
    <w:name w:val="Date"/>
    <w:basedOn w:val="1"/>
    <w:next w:val="1"/>
    <w:link w:val="77"/>
    <w:qFormat/>
    <w:uiPriority w:val="0"/>
    <w:pPr>
      <w:ind w:left="2500" w:leftChars="2500"/>
    </w:pPr>
    <w:rPr>
      <w:rFonts w:eastAsia="楷体_GB2312" w:asciiTheme="minorHAnsi" w:hAnsiTheme="minorHAnsi" w:cstheme="minorBidi"/>
      <w:sz w:val="32"/>
      <w:szCs w:val="22"/>
    </w:rPr>
  </w:style>
  <w:style w:type="paragraph" w:styleId="33">
    <w:name w:val="Body Text Indent 2"/>
    <w:basedOn w:val="1"/>
    <w:link w:val="78"/>
    <w:qFormat/>
    <w:uiPriority w:val="0"/>
    <w:pPr>
      <w:snapToGrid w:val="0"/>
      <w:ind w:firstLine="542" w:firstLineChars="225"/>
    </w:pPr>
    <w:rPr>
      <w:rFonts w:ascii="仿宋_GB2312" w:hAnsi="宋体" w:cs="Arial" w:eastAsiaTheme="minorEastAsia"/>
      <w:b/>
      <w:bCs/>
      <w:color w:val="000000"/>
      <w:sz w:val="24"/>
    </w:rPr>
  </w:style>
  <w:style w:type="paragraph" w:styleId="34">
    <w:name w:val="Balloon Text"/>
    <w:basedOn w:val="1"/>
    <w:link w:val="79"/>
    <w:qFormat/>
    <w:uiPriority w:val="99"/>
    <w:rPr>
      <w:rFonts w:asciiTheme="minorHAnsi" w:hAnsiTheme="minorHAnsi" w:eastAsiaTheme="minorEastAsia" w:cstheme="minorBidi"/>
      <w:sz w:val="18"/>
      <w:szCs w:val="18"/>
    </w:rPr>
  </w:style>
  <w:style w:type="paragraph" w:styleId="35">
    <w:name w:val="footer"/>
    <w:basedOn w:val="1"/>
    <w:link w:val="80"/>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6">
    <w:name w:val="header"/>
    <w:basedOn w:val="1"/>
    <w:link w:val="81"/>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7">
    <w:name w:val="toc 1"/>
    <w:basedOn w:val="1"/>
    <w:next w:val="1"/>
    <w:qFormat/>
    <w:uiPriority w:val="39"/>
  </w:style>
  <w:style w:type="paragraph" w:styleId="38">
    <w:name w:val="toc 4"/>
    <w:basedOn w:val="1"/>
    <w:next w:val="1"/>
    <w:unhideWhenUsed/>
    <w:qFormat/>
    <w:uiPriority w:val="0"/>
    <w:pPr>
      <w:ind w:left="1260" w:leftChars="600"/>
    </w:pPr>
    <w:rPr>
      <w:rFonts w:cs="宋体"/>
      <w:sz w:val="24"/>
    </w:rPr>
  </w:style>
  <w:style w:type="paragraph" w:styleId="39">
    <w:name w:val="Subtitle"/>
    <w:basedOn w:val="1"/>
    <w:next w:val="1"/>
    <w:link w:val="82"/>
    <w:qFormat/>
    <w:uiPriority w:val="0"/>
    <w:pPr>
      <w:jc w:val="left"/>
    </w:pPr>
    <w:rPr>
      <w:rFonts w:ascii="Cambria" w:hAnsi="Cambria" w:cs="宋体" w:eastAsiaTheme="minorEastAsia"/>
      <w:bCs/>
      <w:kern w:val="28"/>
      <w:sz w:val="18"/>
      <w:szCs w:val="32"/>
    </w:rPr>
  </w:style>
  <w:style w:type="paragraph" w:styleId="40">
    <w:name w:val="List"/>
    <w:basedOn w:val="1"/>
    <w:link w:val="359"/>
    <w:qFormat/>
    <w:uiPriority w:val="0"/>
    <w:pPr>
      <w:ind w:left="200" w:hanging="200" w:hangingChars="200"/>
    </w:pPr>
    <w:rPr>
      <w:sz w:val="28"/>
    </w:rPr>
  </w:style>
  <w:style w:type="paragraph" w:styleId="41">
    <w:name w:val="Body Text Indent 3"/>
    <w:basedOn w:val="1"/>
    <w:link w:val="83"/>
    <w:qFormat/>
    <w:uiPriority w:val="0"/>
    <w:pPr>
      <w:snapToGrid w:val="0"/>
      <w:ind w:firstLine="480" w:firstLineChars="200"/>
      <w:jc w:val="left"/>
    </w:pPr>
    <w:rPr>
      <w:rFonts w:ascii="仿宋_GB2312" w:hAnsi="宋体" w:eastAsia="仿宋_GB2312" w:cstheme="minorBidi"/>
      <w:color w:val="000000"/>
      <w:sz w:val="24"/>
    </w:rPr>
  </w:style>
  <w:style w:type="paragraph" w:styleId="42">
    <w:name w:val="toc 2"/>
    <w:basedOn w:val="1"/>
    <w:next w:val="1"/>
    <w:qFormat/>
    <w:uiPriority w:val="39"/>
    <w:pPr>
      <w:ind w:left="420" w:leftChars="200"/>
    </w:pPr>
  </w:style>
  <w:style w:type="paragraph" w:styleId="43">
    <w:name w:val="toc 9"/>
    <w:basedOn w:val="1"/>
    <w:next w:val="1"/>
    <w:unhideWhenUsed/>
    <w:qFormat/>
    <w:uiPriority w:val="0"/>
    <w:pPr>
      <w:ind w:left="3360" w:leftChars="1600"/>
    </w:pPr>
    <w:rPr>
      <w:rFonts w:cs="宋体"/>
      <w:sz w:val="24"/>
    </w:rPr>
  </w:style>
  <w:style w:type="paragraph" w:styleId="44">
    <w:name w:val="Body Text 2"/>
    <w:basedOn w:val="1"/>
    <w:link w:val="84"/>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5"/>
    <w:qFormat/>
    <w:uiPriority w:val="0"/>
    <w:pPr>
      <w:spacing w:before="240" w:after="60"/>
      <w:jc w:val="center"/>
      <w:outlineLvl w:val="0"/>
    </w:pPr>
    <w:rPr>
      <w:rFonts w:ascii="Calibri Light" w:hAnsi="Calibri Light" w:eastAsiaTheme="minorEastAsia" w:cstheme="minorBidi"/>
      <w:b/>
      <w:bCs/>
      <w:sz w:val="32"/>
      <w:szCs w:val="32"/>
    </w:rPr>
  </w:style>
  <w:style w:type="paragraph" w:styleId="47">
    <w:name w:val="annotation subject"/>
    <w:basedOn w:val="19"/>
    <w:next w:val="19"/>
    <w:link w:val="86"/>
    <w:qFormat/>
    <w:uiPriority w:val="0"/>
    <w:rPr>
      <w:rFonts w:asciiTheme="minorHAnsi" w:hAnsiTheme="minorHAnsi" w:eastAsiaTheme="minorEastAsia" w:cstheme="minorBidi"/>
      <w:b/>
      <w:bCs/>
    </w:rPr>
  </w:style>
  <w:style w:type="paragraph" w:styleId="48">
    <w:name w:val="Body Text First Indent 2"/>
    <w:basedOn w:val="24"/>
    <w:link w:val="61"/>
    <w:qFormat/>
    <w:uiPriority w:val="0"/>
    <w:pPr>
      <w:ind w:firstLine="420" w:firstLineChars="200"/>
    </w:pPr>
    <w:rPr>
      <w:rFonts w:ascii="宋体" w:hAnsi="Courier New" w:eastAsiaTheme="minorEastAsia" w:cstheme="minorBidi"/>
      <w:spacing w:val="-4"/>
    </w:rPr>
  </w:style>
  <w:style w:type="table" w:styleId="50">
    <w:name w:val="Table Grid"/>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首行缩进"/>
    <w:basedOn w:val="1"/>
    <w:qFormat/>
    <w:uiPriority w:val="0"/>
    <w:rPr>
      <w:lang w:val="zh-CN"/>
    </w:rPr>
  </w:style>
  <w:style w:type="paragraph" w:customStyle="1" w:styleId="59">
    <w:name w:val="无间距1"/>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60">
    <w:name w:val="正文文本缩进 Char3"/>
    <w:basedOn w:val="51"/>
    <w:link w:val="24"/>
    <w:qFormat/>
    <w:uiPriority w:val="99"/>
    <w:rPr>
      <w:rFonts w:ascii="Calibri" w:hAnsi="Calibri" w:eastAsia="宋体" w:cs="Times New Roman"/>
      <w:szCs w:val="24"/>
    </w:rPr>
  </w:style>
  <w:style w:type="character" w:customStyle="1" w:styleId="61">
    <w:name w:val="正文首行缩进 2 Char2"/>
    <w:link w:val="48"/>
    <w:qFormat/>
    <w:uiPriority w:val="0"/>
    <w:rPr>
      <w:rFonts w:ascii="宋体" w:hAnsi="Courier New"/>
      <w:spacing w:val="-4"/>
      <w:szCs w:val="24"/>
    </w:rPr>
  </w:style>
  <w:style w:type="character" w:customStyle="1" w:styleId="62">
    <w:name w:val="标题 1 Char1"/>
    <w:link w:val="3"/>
    <w:qFormat/>
    <w:uiPriority w:val="0"/>
    <w:rPr>
      <w:rFonts w:ascii="Calibri" w:hAnsi="Calibri" w:eastAsia="宋体" w:cs="Times New Roman"/>
      <w:b/>
      <w:bCs/>
      <w:kern w:val="44"/>
      <w:sz w:val="32"/>
      <w:szCs w:val="44"/>
      <w:lang w:val="zh-CN" w:eastAsia="zh-CN"/>
    </w:rPr>
  </w:style>
  <w:style w:type="character" w:customStyle="1" w:styleId="63">
    <w:name w:val="标题 2 Char2"/>
    <w:link w:val="4"/>
    <w:qFormat/>
    <w:uiPriority w:val="9"/>
    <w:rPr>
      <w:rFonts w:ascii="Arial" w:hAnsi="Arial" w:eastAsia="黑体" w:cs="Times New Roman"/>
      <w:b/>
      <w:bCs/>
      <w:sz w:val="32"/>
      <w:szCs w:val="32"/>
      <w:lang w:val="zh-CN" w:eastAsia="zh-CN"/>
    </w:rPr>
  </w:style>
  <w:style w:type="character" w:customStyle="1" w:styleId="64">
    <w:name w:val="标题 3 Char1"/>
    <w:link w:val="5"/>
    <w:qFormat/>
    <w:uiPriority w:val="9"/>
    <w:rPr>
      <w:rFonts w:ascii="Calibri" w:hAnsi="Calibri" w:eastAsia="宋体" w:cs="Times New Roman"/>
      <w:b/>
      <w:bCs/>
      <w:sz w:val="32"/>
      <w:szCs w:val="32"/>
      <w:lang w:val="zh-CN" w:eastAsia="zh-CN"/>
    </w:rPr>
  </w:style>
  <w:style w:type="character" w:customStyle="1" w:styleId="65">
    <w:name w:val="标题 4 Char1"/>
    <w:link w:val="6"/>
    <w:qFormat/>
    <w:uiPriority w:val="0"/>
    <w:rPr>
      <w:rFonts w:ascii="Arial" w:hAnsi="Arial" w:eastAsia="黑体" w:cs="Times New Roman"/>
      <w:b/>
      <w:bCs/>
      <w:kern w:val="0"/>
      <w:sz w:val="28"/>
      <w:szCs w:val="28"/>
      <w:lang w:val="zh-CN" w:eastAsia="zh-CN"/>
    </w:rPr>
  </w:style>
  <w:style w:type="character" w:customStyle="1" w:styleId="66">
    <w:name w:val="标题 5 Char1"/>
    <w:link w:val="7"/>
    <w:qFormat/>
    <w:uiPriority w:val="0"/>
    <w:rPr>
      <w:rFonts w:ascii="楷体_GB2312" w:hAnsi="Calibri" w:eastAsia="楷体_GB2312" w:cs="Times New Roman"/>
      <w:b/>
      <w:bCs/>
      <w:kern w:val="0"/>
      <w:sz w:val="24"/>
      <w:szCs w:val="28"/>
      <w:lang w:val="zh-CN" w:eastAsia="zh-CN"/>
    </w:rPr>
  </w:style>
  <w:style w:type="character" w:customStyle="1" w:styleId="67">
    <w:name w:val="标题 6 Char1"/>
    <w:link w:val="8"/>
    <w:qFormat/>
    <w:uiPriority w:val="0"/>
    <w:rPr>
      <w:rFonts w:ascii="Calibri" w:hAnsi="Calibri" w:eastAsia="宋体" w:cs="Times New Roman"/>
      <w:kern w:val="0"/>
      <w:sz w:val="24"/>
      <w:szCs w:val="20"/>
      <w:lang w:val="zh-CN" w:eastAsia="zh-CN"/>
    </w:rPr>
  </w:style>
  <w:style w:type="character" w:customStyle="1" w:styleId="68">
    <w:name w:val="标题 7 Char1"/>
    <w:link w:val="9"/>
    <w:qFormat/>
    <w:uiPriority w:val="0"/>
    <w:rPr>
      <w:rFonts w:ascii="Calibri" w:hAnsi="Calibri" w:eastAsia="宋体" w:cs="Times New Roman"/>
      <w:kern w:val="0"/>
      <w:sz w:val="24"/>
      <w:szCs w:val="20"/>
      <w:lang w:val="zh-CN" w:eastAsia="zh-CN"/>
    </w:rPr>
  </w:style>
  <w:style w:type="character" w:customStyle="1" w:styleId="69">
    <w:name w:val="标题 8 Char1"/>
    <w:link w:val="10"/>
    <w:qFormat/>
    <w:uiPriority w:val="0"/>
    <w:rPr>
      <w:rFonts w:ascii="Calibri" w:hAnsi="Calibri" w:eastAsia="宋体" w:cs="Times New Roman"/>
      <w:kern w:val="0"/>
      <w:sz w:val="24"/>
      <w:szCs w:val="20"/>
      <w:lang w:val="zh-CN" w:eastAsia="zh-CN"/>
    </w:rPr>
  </w:style>
  <w:style w:type="character" w:customStyle="1" w:styleId="70">
    <w:name w:val="标题 9 Char1"/>
    <w:link w:val="11"/>
    <w:qFormat/>
    <w:uiPriority w:val="0"/>
    <w:rPr>
      <w:rFonts w:ascii="Calibri" w:hAnsi="Calibri" w:eastAsia="宋体" w:cs="Times New Roman"/>
      <w:kern w:val="0"/>
      <w:sz w:val="24"/>
      <w:szCs w:val="20"/>
      <w:lang w:val="zh-CN" w:eastAsia="zh-CN"/>
    </w:rPr>
  </w:style>
  <w:style w:type="character" w:customStyle="1" w:styleId="71">
    <w:name w:val="正文缩进 Char1"/>
    <w:link w:val="16"/>
    <w:qFormat/>
    <w:uiPriority w:val="0"/>
    <w:rPr>
      <w:rFonts w:eastAsia="宋体"/>
    </w:rPr>
  </w:style>
  <w:style w:type="character" w:customStyle="1" w:styleId="72">
    <w:name w:val="文档结构图 Char3"/>
    <w:link w:val="18"/>
    <w:qFormat/>
    <w:uiPriority w:val="0"/>
    <w:rPr>
      <w:rFonts w:ascii="宋体"/>
      <w:sz w:val="18"/>
      <w:szCs w:val="18"/>
    </w:rPr>
  </w:style>
  <w:style w:type="character" w:customStyle="1" w:styleId="73">
    <w:name w:val="批注文字 Char3"/>
    <w:basedOn w:val="51"/>
    <w:link w:val="19"/>
    <w:semiHidden/>
    <w:qFormat/>
    <w:uiPriority w:val="99"/>
    <w:rPr>
      <w:rFonts w:ascii="Calibri" w:hAnsi="Calibri" w:eastAsia="宋体" w:cs="Times New Roman"/>
      <w:szCs w:val="24"/>
    </w:rPr>
  </w:style>
  <w:style w:type="character" w:customStyle="1" w:styleId="74">
    <w:name w:val="正文文本 3 Char3"/>
    <w:link w:val="20"/>
    <w:qFormat/>
    <w:uiPriority w:val="0"/>
    <w:rPr>
      <w:rFonts w:hAnsi="宋体" w:eastAsia="仿宋_GB2312"/>
      <w:b/>
      <w:bCs/>
      <w:sz w:val="24"/>
    </w:rPr>
  </w:style>
  <w:style w:type="character" w:customStyle="1" w:styleId="75">
    <w:name w:val="正文文本 Char3"/>
    <w:link w:val="21"/>
    <w:qFormat/>
    <w:uiPriority w:val="0"/>
    <w:rPr>
      <w:sz w:val="28"/>
      <w:szCs w:val="24"/>
    </w:rPr>
  </w:style>
  <w:style w:type="character" w:customStyle="1" w:styleId="76">
    <w:name w:val="纯文本 Char5"/>
    <w:link w:val="30"/>
    <w:qFormat/>
    <w:uiPriority w:val="0"/>
    <w:rPr>
      <w:rFonts w:ascii="宋体" w:hAnsi="Courier New" w:eastAsia="宋体"/>
      <w:sz w:val="24"/>
      <w:szCs w:val="24"/>
    </w:rPr>
  </w:style>
  <w:style w:type="character" w:customStyle="1" w:styleId="77">
    <w:name w:val="日期 Char3"/>
    <w:link w:val="32"/>
    <w:qFormat/>
    <w:uiPriority w:val="0"/>
    <w:rPr>
      <w:rFonts w:eastAsia="楷体_GB2312"/>
      <w:sz w:val="32"/>
    </w:rPr>
  </w:style>
  <w:style w:type="character" w:customStyle="1" w:styleId="78">
    <w:name w:val="正文文本缩进 2 Char3"/>
    <w:link w:val="33"/>
    <w:qFormat/>
    <w:uiPriority w:val="0"/>
    <w:rPr>
      <w:rFonts w:ascii="仿宋_GB2312" w:hAnsi="宋体" w:cs="Arial"/>
      <w:b/>
      <w:bCs/>
      <w:color w:val="000000"/>
      <w:sz w:val="24"/>
      <w:szCs w:val="24"/>
    </w:rPr>
  </w:style>
  <w:style w:type="character" w:customStyle="1" w:styleId="79">
    <w:name w:val="批注框文本 Char3"/>
    <w:link w:val="34"/>
    <w:qFormat/>
    <w:locked/>
    <w:uiPriority w:val="99"/>
    <w:rPr>
      <w:sz w:val="18"/>
      <w:szCs w:val="18"/>
    </w:rPr>
  </w:style>
  <w:style w:type="character" w:customStyle="1" w:styleId="80">
    <w:name w:val="页脚 Char3"/>
    <w:link w:val="35"/>
    <w:qFormat/>
    <w:locked/>
    <w:uiPriority w:val="99"/>
    <w:rPr>
      <w:rFonts w:eastAsia="黑体"/>
      <w:snapToGrid w:val="0"/>
      <w:sz w:val="18"/>
      <w:szCs w:val="18"/>
    </w:rPr>
  </w:style>
  <w:style w:type="character" w:customStyle="1" w:styleId="81">
    <w:name w:val="页眉 Char3"/>
    <w:link w:val="36"/>
    <w:qFormat/>
    <w:uiPriority w:val="99"/>
    <w:rPr>
      <w:rFonts w:eastAsia="仿宋_GB2312"/>
      <w:sz w:val="18"/>
    </w:rPr>
  </w:style>
  <w:style w:type="character" w:customStyle="1" w:styleId="82">
    <w:name w:val="副标题 Char3"/>
    <w:link w:val="39"/>
    <w:qFormat/>
    <w:uiPriority w:val="0"/>
    <w:rPr>
      <w:rFonts w:ascii="Cambria" w:hAnsi="Cambria" w:cs="宋体"/>
      <w:bCs/>
      <w:kern w:val="28"/>
      <w:sz w:val="18"/>
      <w:szCs w:val="32"/>
    </w:rPr>
  </w:style>
  <w:style w:type="character" w:customStyle="1" w:styleId="83">
    <w:name w:val="正文文本缩进 3 Char3"/>
    <w:link w:val="41"/>
    <w:qFormat/>
    <w:uiPriority w:val="0"/>
    <w:rPr>
      <w:rFonts w:ascii="仿宋_GB2312" w:hAnsi="宋体" w:eastAsia="仿宋_GB2312"/>
      <w:color w:val="000000"/>
      <w:sz w:val="24"/>
      <w:szCs w:val="24"/>
    </w:rPr>
  </w:style>
  <w:style w:type="character" w:customStyle="1" w:styleId="84">
    <w:name w:val="正文文本 2 Char3"/>
    <w:link w:val="44"/>
    <w:qFormat/>
    <w:uiPriority w:val="0"/>
    <w:rPr>
      <w:rFonts w:ascii="宋体" w:hAnsi="宋体"/>
      <w:color w:val="000000"/>
      <w:sz w:val="24"/>
      <w:szCs w:val="24"/>
    </w:rPr>
  </w:style>
  <w:style w:type="character" w:customStyle="1" w:styleId="85">
    <w:name w:val="标题 Char4"/>
    <w:link w:val="46"/>
    <w:qFormat/>
    <w:uiPriority w:val="0"/>
    <w:rPr>
      <w:rFonts w:ascii="Calibri Light" w:hAnsi="Calibri Light"/>
      <w:b/>
      <w:bCs/>
      <w:sz w:val="32"/>
      <w:szCs w:val="32"/>
    </w:rPr>
  </w:style>
  <w:style w:type="character" w:customStyle="1" w:styleId="86">
    <w:name w:val="批注主题 Char4"/>
    <w:link w:val="47"/>
    <w:qFormat/>
    <w:uiPriority w:val="0"/>
    <w:rPr>
      <w:b/>
      <w:bCs/>
      <w:szCs w:val="24"/>
    </w:rPr>
  </w:style>
  <w:style w:type="character" w:customStyle="1" w:styleId="87">
    <w:name w:val="标题 1 Char"/>
    <w:basedOn w:val="51"/>
    <w:qFormat/>
    <w:uiPriority w:val="9"/>
    <w:rPr>
      <w:rFonts w:ascii="Calibri" w:hAnsi="Calibri" w:eastAsia="宋体" w:cs="Times New Roman"/>
      <w:b/>
      <w:bCs/>
      <w:kern w:val="44"/>
      <w:sz w:val="44"/>
      <w:szCs w:val="44"/>
    </w:rPr>
  </w:style>
  <w:style w:type="character" w:customStyle="1" w:styleId="88">
    <w:name w:val="标题 2 Char"/>
    <w:basedOn w:val="51"/>
    <w:qFormat/>
    <w:uiPriority w:val="9"/>
    <w:rPr>
      <w:rFonts w:asciiTheme="majorHAnsi" w:hAnsiTheme="majorHAnsi" w:eastAsiaTheme="majorEastAsia" w:cstheme="majorBidi"/>
      <w:b/>
      <w:bCs/>
      <w:sz w:val="32"/>
      <w:szCs w:val="32"/>
    </w:rPr>
  </w:style>
  <w:style w:type="character" w:customStyle="1" w:styleId="89">
    <w:name w:val="标题 3 Char"/>
    <w:basedOn w:val="51"/>
    <w:qFormat/>
    <w:uiPriority w:val="9"/>
    <w:rPr>
      <w:rFonts w:ascii="Calibri" w:hAnsi="Calibri" w:eastAsia="宋体" w:cs="Times New Roman"/>
      <w:b/>
      <w:bCs/>
      <w:sz w:val="32"/>
      <w:szCs w:val="32"/>
    </w:rPr>
  </w:style>
  <w:style w:type="character" w:customStyle="1" w:styleId="90">
    <w:name w:val="标题 4 Char"/>
    <w:basedOn w:val="51"/>
    <w:qFormat/>
    <w:uiPriority w:val="0"/>
    <w:rPr>
      <w:rFonts w:asciiTheme="majorHAnsi" w:hAnsiTheme="majorHAnsi" w:eastAsiaTheme="majorEastAsia" w:cstheme="majorBidi"/>
      <w:b/>
      <w:bCs/>
      <w:sz w:val="28"/>
      <w:szCs w:val="28"/>
    </w:rPr>
  </w:style>
  <w:style w:type="character" w:customStyle="1" w:styleId="91">
    <w:name w:val="标题 5 Char"/>
    <w:basedOn w:val="51"/>
    <w:qFormat/>
    <w:uiPriority w:val="0"/>
    <w:rPr>
      <w:rFonts w:ascii="Calibri" w:hAnsi="Calibri" w:eastAsia="宋体" w:cs="Times New Roman"/>
      <w:b/>
      <w:bCs/>
      <w:sz w:val="28"/>
      <w:szCs w:val="28"/>
    </w:rPr>
  </w:style>
  <w:style w:type="character" w:customStyle="1" w:styleId="92">
    <w:name w:val="标题 6 Char"/>
    <w:basedOn w:val="51"/>
    <w:qFormat/>
    <w:uiPriority w:val="0"/>
    <w:rPr>
      <w:rFonts w:asciiTheme="majorHAnsi" w:hAnsiTheme="majorHAnsi" w:eastAsiaTheme="majorEastAsia" w:cstheme="majorBidi"/>
      <w:b/>
      <w:bCs/>
      <w:sz w:val="24"/>
      <w:szCs w:val="24"/>
    </w:rPr>
  </w:style>
  <w:style w:type="character" w:customStyle="1" w:styleId="93">
    <w:name w:val="标题 7 Char"/>
    <w:basedOn w:val="51"/>
    <w:qFormat/>
    <w:uiPriority w:val="0"/>
    <w:rPr>
      <w:rFonts w:ascii="Calibri" w:hAnsi="Calibri" w:eastAsia="宋体" w:cs="Times New Roman"/>
      <w:b/>
      <w:bCs/>
      <w:sz w:val="24"/>
      <w:szCs w:val="24"/>
    </w:rPr>
  </w:style>
  <w:style w:type="character" w:customStyle="1" w:styleId="94">
    <w:name w:val="标题 8 Char"/>
    <w:basedOn w:val="51"/>
    <w:qFormat/>
    <w:uiPriority w:val="0"/>
    <w:rPr>
      <w:rFonts w:asciiTheme="majorHAnsi" w:hAnsiTheme="majorHAnsi" w:eastAsiaTheme="majorEastAsia" w:cstheme="majorBidi"/>
      <w:sz w:val="24"/>
      <w:szCs w:val="24"/>
    </w:rPr>
  </w:style>
  <w:style w:type="character" w:customStyle="1" w:styleId="95">
    <w:name w:val="标题 9 Char"/>
    <w:basedOn w:val="51"/>
    <w:qFormat/>
    <w:uiPriority w:val="0"/>
    <w:rPr>
      <w:rFonts w:asciiTheme="majorHAnsi" w:hAnsiTheme="majorHAnsi" w:eastAsiaTheme="majorEastAsia" w:cstheme="majorBidi"/>
      <w:szCs w:val="21"/>
    </w:rPr>
  </w:style>
  <w:style w:type="character" w:customStyle="1" w:styleId="96">
    <w:name w:val="纯文本 字符"/>
    <w:qFormat/>
    <w:uiPriority w:val="0"/>
    <w:rPr>
      <w:rFonts w:ascii="宋体" w:hAnsi="Courier New" w:eastAsia="宋体"/>
      <w:kern w:val="2"/>
      <w:sz w:val="21"/>
      <w:lang w:val="en-US" w:eastAsia="zh-CN" w:bidi="ar-SA"/>
    </w:rPr>
  </w:style>
  <w:style w:type="character" w:customStyle="1" w:styleId="97">
    <w:name w:val="列出段落 Char1"/>
    <w:link w:val="98"/>
    <w:qFormat/>
    <w:uiPriority w:val="34"/>
    <w:rPr>
      <w:rFonts w:ascii="Calibri" w:hAnsi="Calibri"/>
      <w:sz w:val="24"/>
    </w:rPr>
  </w:style>
  <w:style w:type="paragraph" w:styleId="98">
    <w:name w:val="List Paragraph"/>
    <w:basedOn w:val="1"/>
    <w:link w:val="97"/>
    <w:qFormat/>
    <w:uiPriority w:val="34"/>
    <w:pPr>
      <w:spacing w:line="360" w:lineRule="auto"/>
      <w:ind w:firstLine="420" w:firstLineChars="200"/>
    </w:pPr>
    <w:rPr>
      <w:rFonts w:eastAsiaTheme="minorEastAsia" w:cstheme="minorBidi"/>
      <w:sz w:val="24"/>
      <w:szCs w:val="22"/>
    </w:rPr>
  </w:style>
  <w:style w:type="character" w:customStyle="1" w:styleId="99">
    <w:name w:val="日期 Char1"/>
    <w:qFormat/>
    <w:uiPriority w:val="0"/>
    <w:rPr>
      <w:kern w:val="2"/>
      <w:sz w:val="21"/>
      <w:szCs w:val="24"/>
    </w:rPr>
  </w:style>
  <w:style w:type="character" w:customStyle="1" w:styleId="100">
    <w:name w:val="正文文本 Char1"/>
    <w:qFormat/>
    <w:uiPriority w:val="0"/>
    <w:rPr>
      <w:kern w:val="2"/>
      <w:sz w:val="21"/>
      <w:szCs w:val="24"/>
    </w:rPr>
  </w:style>
  <w:style w:type="character" w:customStyle="1" w:styleId="101">
    <w:name w:val="para1"/>
    <w:qFormat/>
    <w:uiPriority w:val="99"/>
    <w:rPr>
      <w:rFonts w:hint="default" w:ascii="Arial" w:hAnsi="Arial" w:cs="Arial"/>
      <w:sz w:val="18"/>
      <w:szCs w:val="18"/>
    </w:rPr>
  </w:style>
  <w:style w:type="character" w:customStyle="1" w:styleId="102">
    <w:name w:val="页脚 Char"/>
    <w:qFormat/>
    <w:locked/>
    <w:uiPriority w:val="99"/>
    <w:rPr>
      <w:rFonts w:eastAsia="黑体"/>
      <w:snapToGrid w:val="0"/>
      <w:sz w:val="18"/>
      <w:szCs w:val="18"/>
    </w:rPr>
  </w:style>
  <w:style w:type="character" w:customStyle="1" w:styleId="103">
    <w:name w:val="font31"/>
    <w:qFormat/>
    <w:uiPriority w:val="0"/>
    <w:rPr>
      <w:rFonts w:hint="default" w:ascii="Times New Roman" w:hAnsi="Times New Roman" w:cs="Times New Roman"/>
      <w:b/>
      <w:color w:val="000000"/>
      <w:sz w:val="24"/>
      <w:szCs w:val="24"/>
      <w:u w:val="none"/>
    </w:rPr>
  </w:style>
  <w:style w:type="character" w:customStyle="1" w:styleId="104">
    <w:name w:val="font91"/>
    <w:basedOn w:val="51"/>
    <w:qFormat/>
    <w:uiPriority w:val="0"/>
    <w:rPr>
      <w:rFonts w:hint="eastAsia" w:ascii="宋体" w:hAnsi="宋体" w:eastAsia="宋体" w:cs="宋体"/>
      <w:b/>
      <w:color w:val="000000"/>
      <w:sz w:val="24"/>
      <w:szCs w:val="24"/>
      <w:u w:val="none"/>
    </w:rPr>
  </w:style>
  <w:style w:type="character" w:customStyle="1" w:styleId="105">
    <w:name w:val="文档结构图 Char1"/>
    <w:semiHidden/>
    <w:qFormat/>
    <w:uiPriority w:val="99"/>
    <w:rPr>
      <w:rFonts w:hint="eastAsia" w:ascii="宋体" w:hAnsi="宋体" w:eastAsia="宋体"/>
      <w:kern w:val="2"/>
      <w:sz w:val="18"/>
      <w:szCs w:val="18"/>
    </w:rPr>
  </w:style>
  <w:style w:type="character" w:customStyle="1" w:styleId="106">
    <w:name w:val="正文2 Char Char"/>
    <w:qFormat/>
    <w:uiPriority w:val="0"/>
    <w:rPr>
      <w:rFonts w:hint="default" w:ascii="Times New Roman" w:hAnsi="Times New Roman" w:cs="Times New Roman"/>
      <w:kern w:val="2"/>
      <w:sz w:val="24"/>
    </w:rPr>
  </w:style>
  <w:style w:type="character" w:customStyle="1" w:styleId="107">
    <w:name w:val="批注主题 Char"/>
    <w:qFormat/>
    <w:uiPriority w:val="0"/>
    <w:rPr>
      <w:b/>
      <w:bCs/>
      <w:kern w:val="2"/>
      <w:sz w:val="21"/>
      <w:szCs w:val="24"/>
    </w:rPr>
  </w:style>
  <w:style w:type="character" w:customStyle="1" w:styleId="108">
    <w:name w:val="正文文本缩进 2 Char1"/>
    <w:qFormat/>
    <w:uiPriority w:val="0"/>
    <w:rPr>
      <w:kern w:val="2"/>
      <w:sz w:val="21"/>
      <w:szCs w:val="24"/>
    </w:rPr>
  </w:style>
  <w:style w:type="character" w:customStyle="1" w:styleId="109">
    <w:name w:val="huei12b1"/>
    <w:qFormat/>
    <w:uiPriority w:val="0"/>
    <w:rPr>
      <w:b/>
      <w:bCs/>
      <w:color w:val="333333"/>
      <w:sz w:val="20"/>
      <w:szCs w:val="20"/>
    </w:rPr>
  </w:style>
  <w:style w:type="character" w:customStyle="1" w:styleId="110">
    <w:name w:val="标题 3 字符1"/>
    <w:qFormat/>
    <w:uiPriority w:val="0"/>
    <w:rPr>
      <w:b/>
      <w:bCs/>
      <w:kern w:val="2"/>
      <w:sz w:val="32"/>
      <w:szCs w:val="32"/>
    </w:rPr>
  </w:style>
  <w:style w:type="character" w:customStyle="1" w:styleId="111">
    <w:name w:val="font61"/>
    <w:basedOn w:val="51"/>
    <w:qFormat/>
    <w:uiPriority w:val="0"/>
    <w:rPr>
      <w:rFonts w:hint="default" w:ascii="Times New Roman" w:hAnsi="Times New Roman" w:cs="Times New Roman"/>
      <w:color w:val="000000"/>
      <w:sz w:val="24"/>
      <w:szCs w:val="24"/>
      <w:u w:val="none"/>
    </w:rPr>
  </w:style>
  <w:style w:type="character" w:customStyle="1" w:styleId="112">
    <w:name w:val="font81"/>
    <w:basedOn w:val="51"/>
    <w:qFormat/>
    <w:uiPriority w:val="0"/>
    <w:rPr>
      <w:rFonts w:hint="default" w:ascii="Times New Roman" w:hAnsi="Times New Roman" w:cs="Times New Roman"/>
      <w:b/>
      <w:color w:val="000000"/>
      <w:sz w:val="24"/>
      <w:szCs w:val="24"/>
      <w:u w:val="none"/>
    </w:rPr>
  </w:style>
  <w:style w:type="character" w:customStyle="1" w:styleId="113">
    <w:name w:val="纯文本 字符1"/>
    <w:qFormat/>
    <w:uiPriority w:val="0"/>
    <w:rPr>
      <w:rFonts w:ascii="宋体" w:hAnsi="Courier New" w:eastAsia="宋体"/>
      <w:kern w:val="2"/>
      <w:sz w:val="24"/>
      <w:szCs w:val="24"/>
      <w:lang w:val="en-US" w:eastAsia="zh-CN" w:bidi="ar-SA"/>
    </w:rPr>
  </w:style>
  <w:style w:type="character" w:customStyle="1" w:styleId="114">
    <w:name w:val="font41"/>
    <w:qFormat/>
    <w:uiPriority w:val="0"/>
    <w:rPr>
      <w:rFonts w:ascii="Arial" w:hAnsi="Arial" w:cs="Arial"/>
      <w:color w:val="333333"/>
      <w:sz w:val="18"/>
      <w:szCs w:val="18"/>
      <w:u w:val="none"/>
    </w:rPr>
  </w:style>
  <w:style w:type="character" w:customStyle="1" w:styleId="115">
    <w:name w:val="标题 Char"/>
    <w:qFormat/>
    <w:uiPriority w:val="0"/>
    <w:rPr>
      <w:rFonts w:ascii="Cambria" w:hAnsi="Cambria" w:cs="Times New Roman"/>
      <w:b/>
      <w:bCs/>
      <w:kern w:val="2"/>
      <w:sz w:val="32"/>
      <w:szCs w:val="32"/>
    </w:rPr>
  </w:style>
  <w:style w:type="character" w:customStyle="1" w:styleId="116">
    <w:name w:val="页脚 Char1"/>
    <w:semiHidden/>
    <w:qFormat/>
    <w:uiPriority w:val="99"/>
    <w:rPr>
      <w:kern w:val="2"/>
      <w:sz w:val="18"/>
      <w:szCs w:val="18"/>
    </w:rPr>
  </w:style>
  <w:style w:type="character" w:customStyle="1" w:styleId="117">
    <w:name w:val="无"/>
    <w:qFormat/>
    <w:uiPriority w:val="0"/>
  </w:style>
  <w:style w:type="character" w:customStyle="1" w:styleId="118">
    <w:name w:val="标题 Char1"/>
    <w:qFormat/>
    <w:uiPriority w:val="10"/>
    <w:rPr>
      <w:rFonts w:ascii="Cambria" w:hAnsi="Cambria" w:cs="Times New Roman"/>
      <w:b/>
      <w:bCs/>
      <w:kern w:val="2"/>
      <w:sz w:val="32"/>
      <w:szCs w:val="32"/>
    </w:rPr>
  </w:style>
  <w:style w:type="character" w:customStyle="1" w:styleId="119">
    <w:name w:val="纯文本 Char2"/>
    <w:qFormat/>
    <w:uiPriority w:val="0"/>
    <w:rPr>
      <w:rFonts w:hint="eastAsia" w:ascii="宋体" w:hAnsi="Courier New" w:eastAsia="宋体" w:cs="Courier New"/>
      <w:kern w:val="2"/>
      <w:sz w:val="21"/>
      <w:szCs w:val="21"/>
    </w:rPr>
  </w:style>
  <w:style w:type="character" w:customStyle="1" w:styleId="120">
    <w:name w:val="批注主题 Char2"/>
    <w:qFormat/>
    <w:uiPriority w:val="0"/>
    <w:rPr>
      <w:b/>
      <w:bCs/>
      <w:kern w:val="2"/>
      <w:sz w:val="21"/>
      <w:szCs w:val="24"/>
    </w:rPr>
  </w:style>
  <w:style w:type="character" w:customStyle="1" w:styleId="121">
    <w:name w:val="列出段落 Char"/>
    <w:qFormat/>
    <w:uiPriority w:val="34"/>
    <w:rPr>
      <w:rFonts w:ascii="Calibri" w:hAnsi="Calibri"/>
      <w:kern w:val="2"/>
      <w:sz w:val="24"/>
      <w:szCs w:val="22"/>
    </w:rPr>
  </w:style>
  <w:style w:type="character" w:customStyle="1" w:styleId="122">
    <w:name w:val="批注主题 Char1"/>
    <w:qFormat/>
    <w:uiPriority w:val="0"/>
    <w:rPr>
      <w:b/>
      <w:bCs/>
      <w:kern w:val="2"/>
      <w:sz w:val="21"/>
      <w:szCs w:val="24"/>
    </w:rPr>
  </w:style>
  <w:style w:type="character" w:customStyle="1" w:styleId="123">
    <w:name w:val="批注文字 Char1"/>
    <w:qFormat/>
    <w:uiPriority w:val="0"/>
    <w:rPr>
      <w:kern w:val="2"/>
      <w:sz w:val="21"/>
      <w:szCs w:val="24"/>
    </w:rPr>
  </w:style>
  <w:style w:type="character" w:customStyle="1" w:styleId="124">
    <w:name w:val="段落行文 Char"/>
    <w:link w:val="125"/>
    <w:qFormat/>
    <w:locked/>
    <w:uiPriority w:val="0"/>
    <w:rPr>
      <w:rFonts w:ascii="仿宋_GB2312" w:eastAsia="仿宋_GB2312"/>
      <w:sz w:val="24"/>
      <w:szCs w:val="24"/>
    </w:rPr>
  </w:style>
  <w:style w:type="paragraph" w:customStyle="1" w:styleId="125">
    <w:name w:val="段落行文"/>
    <w:basedOn w:val="1"/>
    <w:link w:val="124"/>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6">
    <w:name w:val="标题 Char2"/>
    <w:qFormat/>
    <w:uiPriority w:val="0"/>
    <w:rPr>
      <w:rFonts w:ascii="Calibri Light" w:hAnsi="Calibri Light"/>
      <w:b/>
      <w:bCs/>
      <w:kern w:val="2"/>
      <w:sz w:val="32"/>
      <w:szCs w:val="32"/>
    </w:rPr>
  </w:style>
  <w:style w:type="character" w:customStyle="1" w:styleId="127">
    <w:name w:val="未处理的提及1"/>
    <w:unhideWhenUsed/>
    <w:qFormat/>
    <w:uiPriority w:val="99"/>
    <w:rPr>
      <w:color w:val="605E5C"/>
      <w:shd w:val="clear" w:color="auto" w:fill="E1DFDD"/>
    </w:rPr>
  </w:style>
  <w:style w:type="character" w:customStyle="1" w:styleId="128">
    <w:name w:val="Char Char"/>
    <w:qFormat/>
    <w:uiPriority w:val="0"/>
    <w:rPr>
      <w:rFonts w:ascii="宋体" w:hAnsi="Courier New" w:eastAsia="楷体_GB2312"/>
      <w:kern w:val="2"/>
      <w:sz w:val="26"/>
      <w:lang w:val="en-US" w:eastAsia="zh-CN" w:bidi="ar-SA"/>
    </w:rPr>
  </w:style>
  <w:style w:type="character" w:customStyle="1" w:styleId="129">
    <w:name w:val="font11"/>
    <w:qFormat/>
    <w:uiPriority w:val="0"/>
    <w:rPr>
      <w:rFonts w:hint="eastAsia" w:ascii="宋体" w:hAnsi="宋体" w:eastAsia="宋体" w:cs="宋体"/>
      <w:color w:val="000000"/>
      <w:sz w:val="24"/>
      <w:szCs w:val="24"/>
      <w:u w:val="none"/>
    </w:rPr>
  </w:style>
  <w:style w:type="character" w:customStyle="1" w:styleId="130">
    <w:name w:val="批注文字 Char"/>
    <w:qFormat/>
    <w:uiPriority w:val="0"/>
    <w:rPr>
      <w:kern w:val="2"/>
      <w:sz w:val="21"/>
      <w:szCs w:val="24"/>
    </w:rPr>
  </w:style>
  <w:style w:type="character" w:customStyle="1" w:styleId="131">
    <w:name w:val="正文文本缩进 3 Char"/>
    <w:qFormat/>
    <w:uiPriority w:val="0"/>
    <w:rPr>
      <w:rFonts w:ascii="仿宋_GB2312" w:hAnsi="宋体" w:eastAsia="仿宋_GB2312"/>
      <w:color w:val="000000"/>
      <w:kern w:val="2"/>
      <w:sz w:val="24"/>
      <w:szCs w:val="24"/>
    </w:rPr>
  </w:style>
  <w:style w:type="character" w:customStyle="1" w:styleId="132">
    <w:name w:val="正文文本缩进 Char1"/>
    <w:qFormat/>
    <w:uiPriority w:val="99"/>
    <w:rPr>
      <w:kern w:val="2"/>
      <w:sz w:val="21"/>
      <w:szCs w:val="24"/>
    </w:rPr>
  </w:style>
  <w:style w:type="character" w:customStyle="1" w:styleId="133">
    <w:name w:val="无间隔 Char"/>
    <w:link w:val="134"/>
    <w:qFormat/>
    <w:locked/>
    <w:uiPriority w:val="1"/>
    <w:rPr>
      <w:rFonts w:ascii="楷体_GB2312" w:eastAsia="楷体_GB2312"/>
      <w:sz w:val="24"/>
    </w:rPr>
  </w:style>
  <w:style w:type="paragraph" w:customStyle="1" w:styleId="134">
    <w:name w:val="无间隔11"/>
    <w:link w:val="133"/>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5">
    <w:name w:val="正文文本缩进 字符"/>
    <w:qFormat/>
    <w:uiPriority w:val="0"/>
    <w:rPr>
      <w:rFonts w:ascii="宋体" w:hAnsi="Courier New"/>
      <w:spacing w:val="-4"/>
      <w:kern w:val="2"/>
      <w:sz w:val="18"/>
    </w:rPr>
  </w:style>
  <w:style w:type="character" w:customStyle="1" w:styleId="136">
    <w:name w:val="正文文本 2 Char"/>
    <w:qFormat/>
    <w:uiPriority w:val="0"/>
    <w:rPr>
      <w:rFonts w:ascii="宋体" w:hAnsi="宋体"/>
      <w:color w:val="000000"/>
      <w:kern w:val="2"/>
      <w:sz w:val="24"/>
      <w:szCs w:val="24"/>
    </w:rPr>
  </w:style>
  <w:style w:type="character" w:customStyle="1" w:styleId="137">
    <w:name w:val="纯文本 Char Char Char2"/>
    <w:qFormat/>
    <w:locked/>
    <w:uiPriority w:val="0"/>
    <w:rPr>
      <w:rFonts w:ascii="宋体" w:hAnsi="Courier New" w:eastAsia="宋体"/>
      <w:kern w:val="2"/>
      <w:sz w:val="21"/>
      <w:szCs w:val="20"/>
      <w:lang w:val="en-US" w:eastAsia="zh-CN" w:bidi="ar-SA"/>
    </w:rPr>
  </w:style>
  <w:style w:type="character" w:customStyle="1" w:styleId="138">
    <w:name w:val="正文首行缩进 2 Char"/>
    <w:qFormat/>
    <w:uiPriority w:val="0"/>
    <w:rPr>
      <w:rFonts w:ascii="宋体" w:hAnsi="Courier New"/>
      <w:spacing w:val="-4"/>
      <w:kern w:val="2"/>
      <w:sz w:val="21"/>
      <w:szCs w:val="24"/>
    </w:rPr>
  </w:style>
  <w:style w:type="character" w:customStyle="1" w:styleId="139">
    <w:name w:val="正文文本 3 Char1"/>
    <w:qFormat/>
    <w:uiPriority w:val="0"/>
    <w:rPr>
      <w:kern w:val="2"/>
      <w:sz w:val="16"/>
      <w:szCs w:val="16"/>
    </w:rPr>
  </w:style>
  <w:style w:type="character" w:customStyle="1" w:styleId="140">
    <w:name w:val="正文文本缩进 Char2"/>
    <w:qFormat/>
    <w:uiPriority w:val="0"/>
    <w:rPr>
      <w:rFonts w:ascii="宋体" w:hAnsi="Courier New"/>
      <w:spacing w:val="-4"/>
      <w:kern w:val="2"/>
      <w:sz w:val="18"/>
    </w:rPr>
  </w:style>
  <w:style w:type="character" w:customStyle="1" w:styleId="141">
    <w:name w:val="页眉 Char1"/>
    <w:semiHidden/>
    <w:qFormat/>
    <w:uiPriority w:val="99"/>
    <w:rPr>
      <w:kern w:val="2"/>
      <w:sz w:val="18"/>
      <w:szCs w:val="18"/>
    </w:rPr>
  </w:style>
  <w:style w:type="character" w:customStyle="1" w:styleId="142">
    <w:name w:val="页眉 Char"/>
    <w:qFormat/>
    <w:uiPriority w:val="99"/>
    <w:rPr>
      <w:rFonts w:eastAsia="仿宋_GB2312"/>
      <w:kern w:val="2"/>
      <w:sz w:val="18"/>
    </w:rPr>
  </w:style>
  <w:style w:type="character" w:customStyle="1" w:styleId="143">
    <w:name w:val="font21"/>
    <w:qFormat/>
    <w:uiPriority w:val="0"/>
    <w:rPr>
      <w:rFonts w:ascii="Arial" w:hAnsi="Arial" w:cs="Arial"/>
      <w:color w:val="333333"/>
      <w:sz w:val="18"/>
      <w:szCs w:val="18"/>
      <w:u w:val="none"/>
    </w:rPr>
  </w:style>
  <w:style w:type="character" w:customStyle="1" w:styleId="144">
    <w:name w:val="正文文本 3 Char"/>
    <w:qFormat/>
    <w:uiPriority w:val="0"/>
    <w:rPr>
      <w:rFonts w:hAnsi="宋体" w:eastAsia="仿宋_GB2312"/>
      <w:b/>
      <w:bCs/>
      <w:kern w:val="2"/>
      <w:sz w:val="24"/>
    </w:rPr>
  </w:style>
  <w:style w:type="character" w:customStyle="1" w:styleId="145">
    <w:name w:val="文档结构图 Char"/>
    <w:qFormat/>
    <w:uiPriority w:val="0"/>
    <w:rPr>
      <w:rFonts w:ascii="宋体"/>
      <w:kern w:val="2"/>
      <w:sz w:val="18"/>
      <w:szCs w:val="18"/>
    </w:rPr>
  </w:style>
  <w:style w:type="character" w:customStyle="1" w:styleId="146">
    <w:name w:val="纯文本 Char"/>
    <w:qFormat/>
    <w:uiPriority w:val="99"/>
    <w:rPr>
      <w:rFonts w:ascii="宋体" w:hAnsi="Courier New" w:eastAsia="宋体"/>
      <w:kern w:val="2"/>
      <w:sz w:val="24"/>
      <w:szCs w:val="24"/>
      <w:lang w:val="en-US" w:eastAsia="zh-CN" w:bidi="ar-SA"/>
    </w:rPr>
  </w:style>
  <w:style w:type="character" w:customStyle="1" w:styleId="147">
    <w:name w:val="批注框文本 Char"/>
    <w:qFormat/>
    <w:locked/>
    <w:uiPriority w:val="99"/>
    <w:rPr>
      <w:kern w:val="2"/>
      <w:sz w:val="18"/>
      <w:szCs w:val="18"/>
    </w:rPr>
  </w:style>
  <w:style w:type="character" w:customStyle="1" w:styleId="148">
    <w:name w:val="纯文本 Char1_0"/>
    <w:link w:val="149"/>
    <w:qFormat/>
    <w:uiPriority w:val="0"/>
    <w:rPr>
      <w:rFonts w:ascii="宋体" w:hAnsi="Courier New"/>
    </w:rPr>
  </w:style>
  <w:style w:type="paragraph" w:customStyle="1" w:styleId="149">
    <w:name w:val="纯文本_0"/>
    <w:basedOn w:val="1"/>
    <w:link w:val="148"/>
    <w:qFormat/>
    <w:uiPriority w:val="0"/>
    <w:rPr>
      <w:rFonts w:ascii="宋体" w:hAnsi="Courier New" w:eastAsiaTheme="minorEastAsia" w:cstheme="minorBidi"/>
      <w:szCs w:val="22"/>
    </w:rPr>
  </w:style>
  <w:style w:type="character" w:customStyle="1" w:styleId="150">
    <w:name w:val="apple-converted-space"/>
    <w:qFormat/>
    <w:uiPriority w:val="0"/>
  </w:style>
  <w:style w:type="character" w:customStyle="1" w:styleId="151">
    <w:name w:val="正文文本缩进 Char"/>
    <w:qFormat/>
    <w:uiPriority w:val="99"/>
    <w:rPr>
      <w:rFonts w:ascii="宋体" w:hAnsi="Courier New"/>
      <w:spacing w:val="-4"/>
      <w:kern w:val="2"/>
      <w:sz w:val="18"/>
    </w:rPr>
  </w:style>
  <w:style w:type="character" w:customStyle="1" w:styleId="152">
    <w:name w:val="批注文字 字符"/>
    <w:qFormat/>
    <w:uiPriority w:val="0"/>
    <w:rPr>
      <w:kern w:val="2"/>
      <w:sz w:val="21"/>
    </w:rPr>
  </w:style>
  <w:style w:type="character" w:customStyle="1" w:styleId="153">
    <w:name w:val="标题 2 Char1"/>
    <w:qFormat/>
    <w:uiPriority w:val="0"/>
    <w:rPr>
      <w:rFonts w:ascii="Arial" w:hAnsi="Arial" w:eastAsia="黑体"/>
      <w:b/>
      <w:bCs/>
      <w:kern w:val="2"/>
      <w:sz w:val="32"/>
      <w:szCs w:val="32"/>
    </w:rPr>
  </w:style>
  <w:style w:type="character" w:customStyle="1" w:styleId="154">
    <w:name w:val="gheadertext1"/>
    <w:qFormat/>
    <w:uiPriority w:val="0"/>
    <w:rPr>
      <w:rFonts w:hint="default" w:ascii="Arial" w:hAnsi="Arial" w:cs="Arial"/>
      <w:b/>
      <w:bCs/>
      <w:color w:val="005E00"/>
      <w:sz w:val="26"/>
      <w:szCs w:val="26"/>
    </w:rPr>
  </w:style>
  <w:style w:type="character" w:customStyle="1" w:styleId="155">
    <w:name w:val="纯文本 Char3"/>
    <w:qFormat/>
    <w:uiPriority w:val="0"/>
    <w:rPr>
      <w:rFonts w:ascii="宋体" w:hAnsi="Courier New" w:eastAsia="宋体"/>
      <w:kern w:val="2"/>
      <w:sz w:val="24"/>
      <w:szCs w:val="24"/>
      <w:lang w:val="en-US" w:eastAsia="zh-CN" w:bidi="ar-SA"/>
    </w:rPr>
  </w:style>
  <w:style w:type="character" w:customStyle="1" w:styleId="156">
    <w:name w:val="正文文本 Char"/>
    <w:qFormat/>
    <w:uiPriority w:val="0"/>
    <w:rPr>
      <w:kern w:val="2"/>
      <w:sz w:val="28"/>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font121"/>
    <w:qFormat/>
    <w:uiPriority w:val="0"/>
    <w:rPr>
      <w:rFonts w:hint="eastAsia" w:ascii="宋体" w:hAnsi="宋体" w:eastAsia="宋体" w:cs="宋体"/>
      <w:color w:val="FF0000"/>
      <w:sz w:val="20"/>
      <w:szCs w:val="20"/>
      <w:u w:val="none"/>
    </w:rPr>
  </w:style>
  <w:style w:type="character" w:customStyle="1" w:styleId="159">
    <w:name w:val="unnamed1"/>
    <w:basedOn w:val="51"/>
    <w:qFormat/>
    <w:uiPriority w:val="0"/>
  </w:style>
  <w:style w:type="character" w:customStyle="1" w:styleId="160">
    <w:name w:val="正文2 Char"/>
    <w:link w:val="161"/>
    <w:qFormat/>
    <w:locked/>
    <w:uiPriority w:val="0"/>
    <w:rPr>
      <w:sz w:val="24"/>
    </w:rPr>
  </w:style>
  <w:style w:type="paragraph" w:customStyle="1" w:styleId="161">
    <w:name w:val="正文2"/>
    <w:basedOn w:val="1"/>
    <w:link w:val="160"/>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2">
    <w:name w:val="正文文本缩进 2 Char"/>
    <w:qFormat/>
    <w:uiPriority w:val="0"/>
    <w:rPr>
      <w:rFonts w:ascii="仿宋_GB2312" w:hAnsi="宋体" w:cs="Arial"/>
      <w:b/>
      <w:bCs/>
      <w:color w:val="000000"/>
      <w:kern w:val="2"/>
      <w:sz w:val="24"/>
      <w:szCs w:val="24"/>
    </w:rPr>
  </w:style>
  <w:style w:type="character" w:customStyle="1" w:styleId="163">
    <w:name w:val="正文文本 Char Char"/>
    <w:qFormat/>
    <w:uiPriority w:val="0"/>
    <w:rPr>
      <w:kern w:val="2"/>
      <w:sz w:val="28"/>
      <w:szCs w:val="24"/>
    </w:rPr>
  </w:style>
  <w:style w:type="character" w:customStyle="1" w:styleId="164">
    <w:name w:val="标准正文格式 Char Char"/>
    <w:link w:val="165"/>
    <w:qFormat/>
    <w:uiPriority w:val="0"/>
    <w:rPr>
      <w:rFonts w:ascii="宋体" w:eastAsia="仿宋_GB2312" w:cs="宋体"/>
      <w:color w:val="000000"/>
      <w:sz w:val="24"/>
    </w:rPr>
  </w:style>
  <w:style w:type="paragraph" w:customStyle="1" w:styleId="165">
    <w:name w:val="标准正文格式"/>
    <w:basedOn w:val="1"/>
    <w:link w:val="164"/>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6">
    <w:name w:val="font51"/>
    <w:basedOn w:val="51"/>
    <w:qFormat/>
    <w:uiPriority w:val="0"/>
    <w:rPr>
      <w:rFonts w:ascii="Arial" w:hAnsi="Arial" w:cs="Arial"/>
      <w:color w:val="333333"/>
      <w:sz w:val="18"/>
      <w:szCs w:val="18"/>
      <w:u w:val="none"/>
    </w:rPr>
  </w:style>
  <w:style w:type="character" w:customStyle="1" w:styleId="167">
    <w:name w:val="标书正文 Char Char"/>
    <w:link w:val="168"/>
    <w:qFormat/>
    <w:uiPriority w:val="0"/>
    <w:rPr>
      <w:color w:val="000000"/>
      <w:sz w:val="24"/>
    </w:rPr>
  </w:style>
  <w:style w:type="paragraph" w:customStyle="1" w:styleId="168">
    <w:name w:val="标书正文"/>
    <w:basedOn w:val="1"/>
    <w:link w:val="167"/>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9">
    <w:name w:val="c lh15"/>
    <w:qFormat/>
    <w:uiPriority w:val="0"/>
    <w:rPr>
      <w:sz w:val="28"/>
      <w:szCs w:val="20"/>
    </w:rPr>
  </w:style>
  <w:style w:type="character" w:customStyle="1" w:styleId="170">
    <w:name w:val="style1"/>
    <w:qFormat/>
    <w:uiPriority w:val="0"/>
    <w:rPr>
      <w:sz w:val="28"/>
      <w:szCs w:val="20"/>
    </w:rPr>
  </w:style>
  <w:style w:type="character" w:customStyle="1" w:styleId="171">
    <w:name w:val="批注框文本 Char1"/>
    <w:semiHidden/>
    <w:qFormat/>
    <w:uiPriority w:val="99"/>
    <w:rPr>
      <w:kern w:val="2"/>
      <w:sz w:val="18"/>
      <w:szCs w:val="18"/>
    </w:rPr>
  </w:style>
  <w:style w:type="character" w:customStyle="1" w:styleId="172">
    <w:name w:val="lineb1"/>
    <w:qFormat/>
    <w:uiPriority w:val="0"/>
  </w:style>
  <w:style w:type="character" w:customStyle="1" w:styleId="173">
    <w:name w:val="zbggmain style9"/>
    <w:basedOn w:val="51"/>
    <w:qFormat/>
    <w:uiPriority w:val="0"/>
  </w:style>
  <w:style w:type="character" w:customStyle="1" w:styleId="174">
    <w:name w:val="正文文本 2 Char1"/>
    <w:qFormat/>
    <w:uiPriority w:val="0"/>
    <w:rPr>
      <w:kern w:val="2"/>
      <w:sz w:val="21"/>
      <w:szCs w:val="24"/>
    </w:rPr>
  </w:style>
  <w:style w:type="character" w:customStyle="1" w:styleId="175">
    <w:name w:val="font71"/>
    <w:basedOn w:val="51"/>
    <w:qFormat/>
    <w:uiPriority w:val="0"/>
    <w:rPr>
      <w:rFonts w:hint="default" w:ascii="Times New Roman" w:hAnsi="Times New Roman" w:cs="Times New Roman"/>
      <w:color w:val="000000"/>
      <w:sz w:val="24"/>
      <w:szCs w:val="24"/>
      <w:u w:val="none"/>
    </w:rPr>
  </w:style>
  <w:style w:type="character" w:customStyle="1" w:styleId="176">
    <w:name w:val="书籍标题1"/>
    <w:qFormat/>
    <w:uiPriority w:val="33"/>
    <w:rPr>
      <w:rFonts w:eastAsia="Songti SC Regular"/>
      <w:bCs/>
      <w:smallCaps/>
      <w:spacing w:val="5"/>
      <w:sz w:val="32"/>
    </w:rPr>
  </w:style>
  <w:style w:type="character" w:customStyle="1" w:styleId="177">
    <w:name w:val="副标题 Char"/>
    <w:qFormat/>
    <w:uiPriority w:val="0"/>
    <w:rPr>
      <w:rFonts w:ascii="Cambria" w:hAnsi="Cambria" w:cs="宋体"/>
      <w:bCs/>
      <w:kern w:val="28"/>
      <w:sz w:val="18"/>
      <w:szCs w:val="32"/>
    </w:rPr>
  </w:style>
  <w:style w:type="character" w:customStyle="1" w:styleId="178">
    <w:name w:val="正文缩进 字符1"/>
    <w:qFormat/>
    <w:uiPriority w:val="0"/>
    <w:rPr>
      <w:rFonts w:eastAsia="宋体"/>
      <w:kern w:val="2"/>
      <w:sz w:val="21"/>
      <w:lang w:val="en-US" w:eastAsia="zh-CN" w:bidi="ar-SA"/>
    </w:rPr>
  </w:style>
  <w:style w:type="character" w:customStyle="1" w:styleId="179">
    <w:name w:val="apple-style-span"/>
    <w:qFormat/>
    <w:uiPriority w:val="0"/>
  </w:style>
  <w:style w:type="character" w:customStyle="1" w:styleId="180">
    <w:name w:val="正文文本缩进 3 Char1"/>
    <w:qFormat/>
    <w:uiPriority w:val="0"/>
    <w:rPr>
      <w:kern w:val="2"/>
      <w:sz w:val="16"/>
      <w:szCs w:val="16"/>
    </w:rPr>
  </w:style>
  <w:style w:type="character" w:customStyle="1" w:styleId="181">
    <w:name w:val="正文文本缩进 字符1"/>
    <w:qFormat/>
    <w:uiPriority w:val="0"/>
    <w:rPr>
      <w:rFonts w:ascii="宋体" w:hAnsi="Courier New"/>
      <w:spacing w:val="-4"/>
      <w:kern w:val="2"/>
      <w:sz w:val="18"/>
    </w:rPr>
  </w:style>
  <w:style w:type="character" w:customStyle="1" w:styleId="182">
    <w:name w:val="font112"/>
    <w:qFormat/>
    <w:uiPriority w:val="0"/>
    <w:rPr>
      <w:rFonts w:hint="eastAsia" w:ascii="宋体" w:hAnsi="宋体" w:eastAsia="宋体" w:cs="宋体"/>
      <w:color w:val="000000"/>
      <w:sz w:val="20"/>
      <w:szCs w:val="20"/>
      <w:u w:val="none"/>
    </w:rPr>
  </w:style>
  <w:style w:type="character" w:customStyle="1" w:styleId="183">
    <w:name w:val="表正文 Char"/>
    <w:qFormat/>
    <w:uiPriority w:val="0"/>
    <w:rPr>
      <w:rFonts w:eastAsia="宋体"/>
      <w:kern w:val="2"/>
      <w:sz w:val="21"/>
      <w:lang w:val="en-US" w:eastAsia="zh-CN" w:bidi="ar-SA"/>
    </w:rPr>
  </w:style>
  <w:style w:type="character" w:customStyle="1" w:styleId="184">
    <w:name w:val="标题 1 Char Char"/>
    <w:qFormat/>
    <w:uiPriority w:val="0"/>
    <w:rPr>
      <w:rFonts w:eastAsia="宋体"/>
      <w:b/>
      <w:spacing w:val="-2"/>
      <w:sz w:val="24"/>
      <w:lang w:val="en-US" w:eastAsia="zh-CN" w:bidi="ar-SA"/>
    </w:rPr>
  </w:style>
  <w:style w:type="character" w:customStyle="1" w:styleId="185">
    <w:name w:val="style8"/>
    <w:qFormat/>
    <w:uiPriority w:val="0"/>
    <w:rPr>
      <w:sz w:val="28"/>
      <w:szCs w:val="20"/>
    </w:rPr>
  </w:style>
  <w:style w:type="character" w:customStyle="1" w:styleId="186">
    <w:name w:val="日期 Char"/>
    <w:qFormat/>
    <w:uiPriority w:val="0"/>
    <w:rPr>
      <w:rFonts w:eastAsia="楷体_GB2312"/>
      <w:kern w:val="2"/>
      <w:sz w:val="32"/>
    </w:rPr>
  </w:style>
  <w:style w:type="character" w:customStyle="1" w:styleId="187">
    <w:name w:val="正文缩进 Char"/>
    <w:qFormat/>
    <w:uiPriority w:val="0"/>
    <w:rPr>
      <w:rFonts w:eastAsia="宋体"/>
      <w:kern w:val="2"/>
      <w:sz w:val="21"/>
      <w:lang w:val="en-US" w:eastAsia="zh-CN" w:bidi="ar-SA"/>
    </w:rPr>
  </w:style>
  <w:style w:type="character" w:customStyle="1" w:styleId="188">
    <w:name w:val="批注文字 Char2"/>
    <w:qFormat/>
    <w:uiPriority w:val="0"/>
    <w:rPr>
      <w:kern w:val="2"/>
      <w:sz w:val="21"/>
    </w:rPr>
  </w:style>
  <w:style w:type="character" w:customStyle="1" w:styleId="189">
    <w:name w:val="论文正文样式 Char Char"/>
    <w:link w:val="190"/>
    <w:qFormat/>
    <w:locked/>
    <w:uiPriority w:val="0"/>
    <w:rPr>
      <w:szCs w:val="21"/>
    </w:rPr>
  </w:style>
  <w:style w:type="paragraph" w:customStyle="1" w:styleId="190">
    <w:name w:val="论文正文样式"/>
    <w:basedOn w:val="1"/>
    <w:link w:val="189"/>
    <w:qFormat/>
    <w:uiPriority w:val="0"/>
    <w:pPr>
      <w:spacing w:line="360" w:lineRule="auto"/>
    </w:pPr>
    <w:rPr>
      <w:rFonts w:asciiTheme="minorHAnsi" w:hAnsiTheme="minorHAnsi" w:eastAsiaTheme="minorEastAsia" w:cstheme="minorBidi"/>
      <w:szCs w:val="21"/>
    </w:rPr>
  </w:style>
  <w:style w:type="character" w:customStyle="1" w:styleId="191">
    <w:name w:val="纯文本 Char1"/>
    <w:qFormat/>
    <w:uiPriority w:val="0"/>
    <w:rPr>
      <w:rFonts w:ascii="宋体" w:hAnsi="Courier New" w:eastAsia="宋体"/>
      <w:kern w:val="2"/>
      <w:sz w:val="24"/>
      <w:szCs w:val="24"/>
      <w:lang w:val="en-US" w:eastAsia="zh-CN" w:bidi="ar-SA"/>
    </w:rPr>
  </w:style>
  <w:style w:type="character" w:customStyle="1" w:styleId="192">
    <w:name w:val="font01"/>
    <w:qFormat/>
    <w:uiPriority w:val="0"/>
    <w:rPr>
      <w:rFonts w:hint="eastAsia" w:ascii="宋体" w:hAnsi="宋体" w:eastAsia="宋体" w:cs="宋体"/>
      <w:b/>
      <w:color w:val="000000"/>
      <w:sz w:val="24"/>
      <w:szCs w:val="24"/>
      <w:u w:val="none"/>
    </w:rPr>
  </w:style>
  <w:style w:type="character" w:customStyle="1" w:styleId="193">
    <w:name w:val="论文正文样式 Char"/>
    <w:qFormat/>
    <w:uiPriority w:val="0"/>
    <w:rPr>
      <w:rFonts w:hint="default" w:ascii="Times New Roman" w:hAnsi="Times New Roman" w:cs="Times New Roman"/>
      <w:kern w:val="2"/>
      <w:sz w:val="21"/>
      <w:szCs w:val="21"/>
    </w:rPr>
  </w:style>
  <w:style w:type="character" w:customStyle="1" w:styleId="194">
    <w:name w:val="书籍标题111"/>
    <w:qFormat/>
    <w:uiPriority w:val="33"/>
    <w:rPr>
      <w:rFonts w:eastAsia="Songti SC Regular"/>
      <w:bCs/>
      <w:smallCaps/>
      <w:spacing w:val="5"/>
      <w:sz w:val="32"/>
    </w:rPr>
  </w:style>
  <w:style w:type="paragraph" w:customStyle="1" w:styleId="1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7">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9">
    <w:name w:val="列出段落2"/>
    <w:basedOn w:val="1"/>
    <w:qFormat/>
    <w:uiPriority w:val="0"/>
    <w:pPr>
      <w:ind w:firstLine="420" w:firstLineChars="200"/>
    </w:pPr>
    <w:rPr>
      <w:rFonts w:cs="宋体"/>
      <w:sz w:val="24"/>
      <w:szCs w:val="22"/>
    </w:rPr>
  </w:style>
  <w:style w:type="paragraph" w:customStyle="1" w:styleId="20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01">
    <w:name w:val="正文首行缩进 2 Char1"/>
    <w:basedOn w:val="60"/>
    <w:qFormat/>
    <w:uiPriority w:val="0"/>
    <w:rPr>
      <w:rFonts w:ascii="Calibri" w:hAnsi="Calibri" w:eastAsia="宋体" w:cs="Times New Roman"/>
      <w:szCs w:val="24"/>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4">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5">
    <w:name w:val="批注主题 Char3"/>
    <w:basedOn w:val="73"/>
    <w:semiHidden/>
    <w:qFormat/>
    <w:uiPriority w:val="99"/>
    <w:rPr>
      <w:rFonts w:ascii="Calibri" w:hAnsi="Calibri" w:eastAsia="宋体" w:cs="Times New Roman"/>
      <w:b/>
      <w:bCs/>
      <w:szCs w:val="24"/>
    </w:rPr>
  </w:style>
  <w:style w:type="paragraph" w:styleId="206">
    <w:name w:val="No Spacing"/>
    <w:qFormat/>
    <w:uiPriority w:val="1"/>
    <w:rPr>
      <w:rFonts w:ascii="Calibri" w:hAnsi="Calibri" w:eastAsia="宋体" w:cs="宋体"/>
      <w:sz w:val="22"/>
      <w:szCs w:val="22"/>
      <w:lang w:val="en-US" w:eastAsia="zh-CN" w:bidi="ar-SA"/>
    </w:rPr>
  </w:style>
  <w:style w:type="paragraph" w:customStyle="1" w:styleId="2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8">
    <w:name w:val="正文文本 Char2"/>
    <w:basedOn w:val="51"/>
    <w:semiHidden/>
    <w:qFormat/>
    <w:uiPriority w:val="99"/>
    <w:rPr>
      <w:rFonts w:ascii="Calibri" w:hAnsi="Calibri" w:eastAsia="宋体" w:cs="Times New Roman"/>
      <w:szCs w:val="24"/>
    </w:rPr>
  </w:style>
  <w:style w:type="paragraph" w:customStyle="1" w:styleId="20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10">
    <w:name w:val="正文文本缩进 3 Char2"/>
    <w:basedOn w:val="51"/>
    <w:semiHidden/>
    <w:qFormat/>
    <w:uiPriority w:val="99"/>
    <w:rPr>
      <w:rFonts w:ascii="Calibri" w:hAnsi="Calibri" w:eastAsia="宋体" w:cs="Times New Roman"/>
      <w:sz w:val="16"/>
      <w:szCs w:val="16"/>
    </w:rPr>
  </w:style>
  <w:style w:type="paragraph" w:customStyle="1" w:styleId="211">
    <w:name w:val="Char Char Char Char"/>
    <w:basedOn w:val="1"/>
    <w:qFormat/>
    <w:uiPriority w:val="99"/>
    <w:pPr>
      <w:widowControl/>
      <w:jc w:val="left"/>
    </w:pPr>
    <w:rPr>
      <w:rFonts w:cs="宋体"/>
      <w:kern w:val="0"/>
      <w:sz w:val="24"/>
    </w:rPr>
  </w:style>
  <w:style w:type="paragraph" w:customStyle="1" w:styleId="212">
    <w:name w:val="Char Char Char Char Char Char Char1"/>
    <w:basedOn w:val="1"/>
    <w:qFormat/>
    <w:uiPriority w:val="0"/>
    <w:rPr>
      <w:rFonts w:ascii="Arial" w:hAnsi="Arial" w:cs="Arial"/>
      <w:szCs w:val="21"/>
    </w:rPr>
  </w:style>
  <w:style w:type="paragraph" w:customStyle="1" w:styleId="21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6">
    <w:name w:val="正文缩进1"/>
    <w:basedOn w:val="1"/>
    <w:next w:val="24"/>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7">
    <w:name w:val="批注框文本 Char2"/>
    <w:basedOn w:val="51"/>
    <w:semiHidden/>
    <w:qFormat/>
    <w:uiPriority w:val="99"/>
    <w:rPr>
      <w:rFonts w:ascii="Calibri" w:hAnsi="Calibri" w:eastAsia="宋体" w:cs="Times New Roman"/>
      <w:sz w:val="18"/>
      <w:szCs w:val="18"/>
    </w:rPr>
  </w:style>
  <w:style w:type="paragraph" w:customStyle="1" w:styleId="218">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20">
    <w:name w:val="文档结构图 Char2"/>
    <w:basedOn w:val="51"/>
    <w:semiHidden/>
    <w:qFormat/>
    <w:uiPriority w:val="99"/>
    <w:rPr>
      <w:rFonts w:ascii="宋体" w:hAnsi="Calibri" w:eastAsia="宋体" w:cs="Times New Roman"/>
      <w:sz w:val="18"/>
      <w:szCs w:val="18"/>
    </w:rPr>
  </w:style>
  <w:style w:type="character" w:customStyle="1" w:styleId="221">
    <w:name w:val="日期 Char2"/>
    <w:basedOn w:val="51"/>
    <w:semiHidden/>
    <w:qFormat/>
    <w:uiPriority w:val="99"/>
    <w:rPr>
      <w:rFonts w:ascii="Calibri" w:hAnsi="Calibri" w:eastAsia="宋体" w:cs="Times New Roman"/>
      <w:szCs w:val="24"/>
    </w:rPr>
  </w:style>
  <w:style w:type="paragraph" w:customStyle="1" w:styleId="222">
    <w:name w:val="Char Char12"/>
    <w:basedOn w:val="1"/>
    <w:qFormat/>
    <w:uiPriority w:val="0"/>
    <w:rPr>
      <w:szCs w:val="21"/>
    </w:rPr>
  </w:style>
  <w:style w:type="paragraph" w:customStyle="1" w:styleId="223">
    <w:name w:val="Char2"/>
    <w:basedOn w:val="1"/>
    <w:qFormat/>
    <w:uiPriority w:val="0"/>
    <w:pPr>
      <w:numPr>
        <w:ilvl w:val="0"/>
        <w:numId w:val="3"/>
      </w:numPr>
      <w:tabs>
        <w:tab w:val="left" w:pos="1200"/>
        <w:tab w:val="clear" w:pos="420"/>
      </w:tabs>
    </w:pPr>
    <w:rPr>
      <w:rFonts w:cs="宋体"/>
      <w:sz w:val="24"/>
    </w:rPr>
  </w:style>
  <w:style w:type="paragraph" w:customStyle="1" w:styleId="224">
    <w:name w:val="XH BodyTextV1"/>
    <w:basedOn w:val="1"/>
    <w:qFormat/>
    <w:uiPriority w:val="0"/>
    <w:pPr>
      <w:spacing w:after="120" w:line="288" w:lineRule="auto"/>
      <w:jc w:val="left"/>
    </w:pPr>
    <w:rPr>
      <w:rFonts w:cs="宋体"/>
      <w:b/>
      <w:color w:val="FF0000"/>
      <w:sz w:val="24"/>
      <w:szCs w:val="22"/>
    </w:rPr>
  </w:style>
  <w:style w:type="character" w:customStyle="1" w:styleId="225">
    <w:name w:val="正文文本 3 Char2"/>
    <w:basedOn w:val="51"/>
    <w:semiHidden/>
    <w:qFormat/>
    <w:uiPriority w:val="99"/>
    <w:rPr>
      <w:rFonts w:ascii="Calibri" w:hAnsi="Calibri" w:eastAsia="宋体" w:cs="Times New Roman"/>
      <w:sz w:val="16"/>
      <w:szCs w:val="16"/>
    </w:rPr>
  </w:style>
  <w:style w:type="paragraph" w:customStyle="1" w:styleId="226">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2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9">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3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31">
    <w:name w:val="页眉 Char2"/>
    <w:basedOn w:val="51"/>
    <w:semiHidden/>
    <w:qFormat/>
    <w:uiPriority w:val="99"/>
    <w:rPr>
      <w:rFonts w:ascii="Calibri" w:hAnsi="Calibri" w:eastAsia="宋体" w:cs="Times New Roman"/>
      <w:sz w:val="18"/>
      <w:szCs w:val="18"/>
    </w:rPr>
  </w:style>
  <w:style w:type="paragraph" w:customStyle="1" w:styleId="23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3">
    <w:name w:val="Char Char Char Char Char Char"/>
    <w:basedOn w:val="1"/>
    <w:qFormat/>
    <w:uiPriority w:val="0"/>
    <w:pPr>
      <w:ind w:firstLine="200" w:firstLineChars="200"/>
    </w:pPr>
  </w:style>
  <w:style w:type="character" w:customStyle="1" w:styleId="234">
    <w:name w:val="页脚 Char2"/>
    <w:basedOn w:val="51"/>
    <w:semiHidden/>
    <w:qFormat/>
    <w:uiPriority w:val="99"/>
    <w:rPr>
      <w:rFonts w:ascii="Calibri" w:hAnsi="Calibri" w:eastAsia="宋体" w:cs="Times New Roman"/>
      <w:sz w:val="18"/>
      <w:szCs w:val="18"/>
    </w:rPr>
  </w:style>
  <w:style w:type="paragraph" w:customStyle="1" w:styleId="235">
    <w:name w:val="Table Text"/>
    <w:basedOn w:val="1"/>
    <w:qFormat/>
    <w:uiPriority w:val="0"/>
    <w:pPr>
      <w:topLinePunct/>
      <w:adjustRightInd w:val="0"/>
      <w:snapToGrid w:val="0"/>
      <w:spacing w:before="80" w:after="80" w:line="240" w:lineRule="atLeast"/>
      <w:jc w:val="left"/>
    </w:pPr>
    <w:rPr>
      <w:rFonts w:cs="Arial"/>
      <w:kern w:val="0"/>
      <w:sz w:val="24"/>
      <w:szCs w:val="21"/>
    </w:rPr>
  </w:style>
  <w:style w:type="character" w:customStyle="1" w:styleId="236">
    <w:name w:val="正文文本缩进 2 Char2"/>
    <w:basedOn w:val="51"/>
    <w:semiHidden/>
    <w:qFormat/>
    <w:uiPriority w:val="99"/>
    <w:rPr>
      <w:rFonts w:ascii="Calibri" w:hAnsi="Calibri" w:eastAsia="宋体" w:cs="Times New Roman"/>
      <w:szCs w:val="24"/>
    </w:rPr>
  </w:style>
  <w:style w:type="paragraph" w:customStyle="1" w:styleId="2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8">
    <w:name w:val="纯文本 Char4"/>
    <w:basedOn w:val="51"/>
    <w:qFormat/>
    <w:uiPriority w:val="0"/>
    <w:rPr>
      <w:rFonts w:ascii="宋体" w:hAnsi="Courier New" w:eastAsia="宋体" w:cs="Courier New"/>
      <w:szCs w:val="21"/>
    </w:rPr>
  </w:style>
  <w:style w:type="paragraph" w:customStyle="1" w:styleId="23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0">
    <w:name w:val="Char Char1 Char1"/>
    <w:basedOn w:val="1"/>
    <w:qFormat/>
    <w:uiPriority w:val="0"/>
    <w:pPr>
      <w:tabs>
        <w:tab w:val="left" w:pos="360"/>
      </w:tabs>
    </w:pPr>
    <w:rPr>
      <w:rFonts w:cs="宋体"/>
      <w:sz w:val="24"/>
    </w:rPr>
  </w:style>
  <w:style w:type="paragraph" w:customStyle="1" w:styleId="241">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2">
    <w:name w:val="副标题 Char2"/>
    <w:basedOn w:val="51"/>
    <w:qFormat/>
    <w:uiPriority w:val="11"/>
    <w:rPr>
      <w:rFonts w:eastAsia="宋体" w:asciiTheme="majorHAnsi" w:hAnsiTheme="majorHAnsi" w:cstheme="majorBidi"/>
      <w:b/>
      <w:bCs/>
      <w:kern w:val="28"/>
      <w:sz w:val="32"/>
      <w:szCs w:val="32"/>
    </w:rPr>
  </w:style>
  <w:style w:type="paragraph" w:customStyle="1" w:styleId="24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45">
    <w:name w:val="标题 Char3"/>
    <w:basedOn w:val="51"/>
    <w:qFormat/>
    <w:uiPriority w:val="10"/>
    <w:rPr>
      <w:rFonts w:eastAsia="宋体" w:asciiTheme="majorHAnsi" w:hAnsiTheme="majorHAnsi" w:cstheme="majorBidi"/>
      <w:b/>
      <w:bCs/>
      <w:sz w:val="32"/>
      <w:szCs w:val="32"/>
    </w:rPr>
  </w:style>
  <w:style w:type="paragraph" w:customStyle="1" w:styleId="246">
    <w:name w:val="正文段"/>
    <w:basedOn w:val="1"/>
    <w:qFormat/>
    <w:uiPriority w:val="0"/>
    <w:pPr>
      <w:widowControl/>
      <w:snapToGrid w:val="0"/>
      <w:spacing w:afterLines="50"/>
      <w:ind w:firstLine="200" w:firstLineChars="200"/>
    </w:pPr>
    <w:rPr>
      <w:kern w:val="0"/>
      <w:sz w:val="24"/>
      <w:szCs w:val="20"/>
    </w:rPr>
  </w:style>
  <w:style w:type="paragraph" w:customStyle="1" w:styleId="247">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8">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0">
    <w:name w:val="Char1"/>
    <w:basedOn w:val="1"/>
    <w:qFormat/>
    <w:uiPriority w:val="99"/>
    <w:rPr>
      <w:rFonts w:ascii="仿宋_GB2312" w:eastAsia="仿宋_GB2312"/>
      <w:b/>
      <w:sz w:val="32"/>
      <w:szCs w:val="32"/>
    </w:rPr>
  </w:style>
  <w:style w:type="paragraph" w:customStyle="1" w:styleId="2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2">
    <w:name w:val="正文文本 2 Char2"/>
    <w:basedOn w:val="51"/>
    <w:semiHidden/>
    <w:qFormat/>
    <w:uiPriority w:val="99"/>
    <w:rPr>
      <w:rFonts w:ascii="Calibri" w:hAnsi="Calibri" w:eastAsia="宋体" w:cs="Times New Roman"/>
      <w:szCs w:val="24"/>
    </w:rPr>
  </w:style>
  <w:style w:type="paragraph" w:customStyle="1" w:styleId="253">
    <w:name w:val="无间隔1"/>
    <w:qFormat/>
    <w:uiPriority w:val="0"/>
    <w:rPr>
      <w:rFonts w:ascii="Calibri" w:hAnsi="Calibri" w:eastAsia="宋体" w:cs="Times New Roman"/>
      <w:sz w:val="22"/>
      <w:szCs w:val="22"/>
      <w:lang w:val="en-US" w:eastAsia="zh-CN" w:bidi="ar-SA"/>
    </w:rPr>
  </w:style>
  <w:style w:type="paragraph" w:customStyle="1" w:styleId="2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7">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8">
    <w:name w:val="Char Char Char Char Char Char1"/>
    <w:basedOn w:val="1"/>
    <w:qFormat/>
    <w:uiPriority w:val="0"/>
    <w:pPr>
      <w:widowControl/>
      <w:spacing w:after="160" w:line="240" w:lineRule="exact"/>
      <w:jc w:val="left"/>
    </w:pPr>
    <w:rPr>
      <w:kern w:val="0"/>
      <w:szCs w:val="20"/>
    </w:rPr>
  </w:style>
  <w:style w:type="paragraph" w:customStyle="1" w:styleId="2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0">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4">
    <w:name w:val="段落样式"/>
    <w:basedOn w:val="1"/>
    <w:qFormat/>
    <w:uiPriority w:val="0"/>
    <w:pPr>
      <w:spacing w:line="360" w:lineRule="auto"/>
    </w:pPr>
    <w:rPr>
      <w:rFonts w:cs="宋体"/>
      <w:sz w:val="24"/>
      <w:szCs w:val="20"/>
    </w:rPr>
  </w:style>
  <w:style w:type="paragraph" w:customStyle="1" w:styleId="265">
    <w:name w:val="Char Char1 Char"/>
    <w:basedOn w:val="1"/>
    <w:qFormat/>
    <w:uiPriority w:val="0"/>
    <w:pPr>
      <w:tabs>
        <w:tab w:val="left" w:pos="360"/>
      </w:tabs>
    </w:pPr>
    <w:rPr>
      <w:rFonts w:cs="宋体"/>
      <w:sz w:val="24"/>
    </w:rPr>
  </w:style>
  <w:style w:type="paragraph" w:customStyle="1" w:styleId="2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7">
    <w:name w:val="列出段落1"/>
    <w:basedOn w:val="1"/>
    <w:qFormat/>
    <w:uiPriority w:val="99"/>
    <w:pPr>
      <w:ind w:firstLine="420" w:firstLineChars="200"/>
    </w:pPr>
    <w:rPr>
      <w:rFonts w:cs="宋体"/>
      <w:sz w:val="24"/>
      <w:szCs w:val="22"/>
    </w:rPr>
  </w:style>
  <w:style w:type="paragraph" w:customStyle="1" w:styleId="2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7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1">
    <w:name w:val="Char Char Char Char Char Char Char"/>
    <w:basedOn w:val="1"/>
    <w:qFormat/>
    <w:uiPriority w:val="0"/>
    <w:rPr>
      <w:rFonts w:cs="宋体"/>
      <w:sz w:val="24"/>
      <w:szCs w:val="21"/>
    </w:rPr>
  </w:style>
  <w:style w:type="paragraph" w:customStyle="1" w:styleId="272">
    <w:name w:val="Char Char Char Char1"/>
    <w:basedOn w:val="1"/>
    <w:qFormat/>
    <w:uiPriority w:val="0"/>
    <w:pPr>
      <w:widowControl/>
      <w:jc w:val="left"/>
    </w:pPr>
    <w:rPr>
      <w:rFonts w:cs="宋体"/>
      <w:kern w:val="0"/>
      <w:sz w:val="24"/>
    </w:rPr>
  </w:style>
  <w:style w:type="paragraph" w:customStyle="1" w:styleId="27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4">
    <w:name w:val="TOC 标题1"/>
    <w:basedOn w:val="3"/>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5">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7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列出段落11"/>
    <w:basedOn w:val="1"/>
    <w:qFormat/>
    <w:uiPriority w:val="0"/>
    <w:pPr>
      <w:ind w:firstLine="420" w:firstLineChars="200"/>
    </w:pPr>
    <w:rPr>
      <w:rFonts w:cs="宋体"/>
      <w:sz w:val="24"/>
    </w:rPr>
  </w:style>
  <w:style w:type="paragraph" w:customStyle="1" w:styleId="27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8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2">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3">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4">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8">
    <w:name w:val="*正文"/>
    <w:basedOn w:val="1"/>
    <w:qFormat/>
    <w:uiPriority w:val="0"/>
    <w:pPr>
      <w:spacing w:line="360" w:lineRule="auto"/>
      <w:ind w:firstLine="480" w:firstLineChars="200"/>
    </w:pPr>
    <w:rPr>
      <w:rFonts w:cs="仿宋_GB2312"/>
      <w:sz w:val="24"/>
    </w:rPr>
  </w:style>
  <w:style w:type="paragraph" w:customStyle="1" w:styleId="28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Char Char2"/>
    <w:basedOn w:val="18"/>
    <w:semiHidden/>
    <w:qFormat/>
    <w:uiPriority w:val="0"/>
    <w:pPr>
      <w:shd w:val="clear" w:color="auto" w:fill="000080"/>
      <w:jc w:val="left"/>
    </w:pPr>
    <w:rPr>
      <w:rFonts w:ascii="Tahoma" w:hAnsi="Tahoma" w:cs="Tahoma"/>
      <w:kern w:val="0"/>
      <w:szCs w:val="24"/>
    </w:rPr>
  </w:style>
  <w:style w:type="paragraph" w:customStyle="1" w:styleId="29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294">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6">
    <w:name w:val="默认段落字体 Para Char Char Char Char Char Char Char Char Char1 Char Char Char Char"/>
    <w:basedOn w:val="1"/>
    <w:qFormat/>
    <w:uiPriority w:val="0"/>
    <w:rPr>
      <w:rFonts w:ascii="Tahoma" w:hAnsi="Tahoma"/>
      <w:sz w:val="24"/>
      <w:szCs w:val="20"/>
    </w:rPr>
  </w:style>
  <w:style w:type="paragraph" w:customStyle="1" w:styleId="29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8">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9">
    <w:name w:val="Char4"/>
    <w:basedOn w:val="1"/>
    <w:qFormat/>
    <w:uiPriority w:val="0"/>
    <w:rPr>
      <w:rFonts w:ascii="仿宋_GB2312" w:eastAsia="仿宋_GB2312" w:cs="宋体"/>
      <w:b/>
      <w:sz w:val="32"/>
      <w:szCs w:val="32"/>
    </w:rPr>
  </w:style>
  <w:style w:type="paragraph" w:customStyle="1" w:styleId="300">
    <w:name w:val="1"/>
    <w:basedOn w:val="3"/>
    <w:qFormat/>
    <w:uiPriority w:val="0"/>
    <w:pPr>
      <w:adjustRightInd w:val="0"/>
      <w:snapToGrid w:val="0"/>
      <w:spacing w:before="240" w:after="240" w:line="348" w:lineRule="auto"/>
    </w:pPr>
    <w:rPr>
      <w:rFonts w:cs="宋体"/>
    </w:rPr>
  </w:style>
  <w:style w:type="paragraph" w:customStyle="1" w:styleId="3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4">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05">
    <w:name w:val="1 Char Char Char Char"/>
    <w:basedOn w:val="1"/>
    <w:qFormat/>
    <w:uiPriority w:val="0"/>
    <w:rPr>
      <w:rFonts w:ascii="Tahoma" w:hAnsi="Tahoma"/>
      <w:sz w:val="24"/>
      <w:szCs w:val="20"/>
    </w:rPr>
  </w:style>
  <w:style w:type="paragraph" w:customStyle="1" w:styleId="306">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9">
    <w:name w:val="字元 字元"/>
    <w:basedOn w:val="1"/>
    <w:qFormat/>
    <w:uiPriority w:val="0"/>
    <w:pPr>
      <w:widowControl/>
      <w:spacing w:after="160" w:line="240" w:lineRule="exact"/>
      <w:jc w:val="left"/>
    </w:pPr>
    <w:rPr>
      <w:rFonts w:cs="宋体"/>
      <w:sz w:val="28"/>
      <w:szCs w:val="20"/>
    </w:rPr>
  </w:style>
  <w:style w:type="paragraph" w:customStyle="1" w:styleId="310">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1">
    <w:name w:val="Char Char Char Char Char Char Char Char Char"/>
    <w:basedOn w:val="1"/>
    <w:qFormat/>
    <w:uiPriority w:val="0"/>
    <w:rPr>
      <w:rFonts w:cs="宋体"/>
    </w:rPr>
  </w:style>
  <w:style w:type="paragraph" w:customStyle="1" w:styleId="312">
    <w:name w:val="Char Char Char1 Char Char Char Char"/>
    <w:basedOn w:val="1"/>
    <w:qFormat/>
    <w:uiPriority w:val="0"/>
    <w:pPr>
      <w:widowControl/>
      <w:spacing w:after="160" w:line="240" w:lineRule="exact"/>
      <w:jc w:val="left"/>
    </w:pPr>
  </w:style>
  <w:style w:type="paragraph" w:customStyle="1" w:styleId="31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表格"/>
    <w:basedOn w:val="1"/>
    <w:qFormat/>
    <w:uiPriority w:val="0"/>
    <w:pPr>
      <w:spacing w:line="400" w:lineRule="exact"/>
    </w:pPr>
    <w:rPr>
      <w:rFonts w:cs="宋体"/>
      <w:sz w:val="24"/>
    </w:rPr>
  </w:style>
  <w:style w:type="paragraph" w:customStyle="1" w:styleId="316">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317">
    <w:name w:val="正文－恩普"/>
    <w:basedOn w:val="16"/>
    <w:qFormat/>
    <w:uiPriority w:val="0"/>
    <w:pPr>
      <w:widowControl/>
      <w:spacing w:afterLines="50" w:line="360" w:lineRule="auto"/>
      <w:ind w:firstLine="480" w:firstLineChars="200"/>
      <w:jc w:val="left"/>
    </w:pPr>
    <w:rPr>
      <w:rFonts w:cs="宋体"/>
      <w:sz w:val="24"/>
    </w:rPr>
  </w:style>
  <w:style w:type="paragraph" w:customStyle="1" w:styleId="318">
    <w:name w:val="Char"/>
    <w:basedOn w:val="3"/>
    <w:qFormat/>
    <w:uiPriority w:val="0"/>
    <w:pPr>
      <w:adjustRightInd w:val="0"/>
      <w:snapToGrid w:val="0"/>
      <w:spacing w:before="240" w:after="240" w:line="348" w:lineRule="auto"/>
    </w:pPr>
  </w:style>
  <w:style w:type="paragraph" w:customStyle="1" w:styleId="319">
    <w:name w:val="Char21"/>
    <w:basedOn w:val="1"/>
    <w:qFormat/>
    <w:uiPriority w:val="0"/>
    <w:pPr>
      <w:tabs>
        <w:tab w:val="left" w:pos="360"/>
      </w:tabs>
      <w:ind w:left="360" w:hanging="360" w:hangingChars="200"/>
    </w:pPr>
    <w:rPr>
      <w:rFonts w:cs="宋体"/>
      <w:sz w:val="24"/>
    </w:rPr>
  </w:style>
  <w:style w:type="paragraph" w:customStyle="1" w:styleId="32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1">
    <w:name w:val="Char31"/>
    <w:basedOn w:val="1"/>
    <w:qFormat/>
    <w:uiPriority w:val="0"/>
    <w:pPr>
      <w:tabs>
        <w:tab w:val="left" w:pos="360"/>
      </w:tabs>
    </w:pPr>
  </w:style>
  <w:style w:type="paragraph" w:customStyle="1" w:styleId="3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4">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5">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26">
    <w:name w:val="列表内容"/>
    <w:basedOn w:val="1"/>
    <w:next w:val="1"/>
    <w:qFormat/>
    <w:uiPriority w:val="0"/>
    <w:pPr>
      <w:widowControl/>
      <w:numPr>
        <w:ilvl w:val="0"/>
        <w:numId w:val="4"/>
      </w:numPr>
      <w:jc w:val="left"/>
    </w:pPr>
    <w:rPr>
      <w:rFonts w:cs="宋体"/>
      <w:kern w:val="0"/>
      <w:sz w:val="18"/>
      <w:szCs w:val="20"/>
    </w:rPr>
  </w:style>
  <w:style w:type="paragraph" w:customStyle="1" w:styleId="32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8">
    <w:name w:val="默认段落字体 Para Char Char Char Char"/>
    <w:basedOn w:val="1"/>
    <w:qFormat/>
    <w:uiPriority w:val="0"/>
  </w:style>
  <w:style w:type="paragraph" w:customStyle="1" w:styleId="32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2">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333">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3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36">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37">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9">
    <w:name w:val="p19"/>
    <w:basedOn w:val="1"/>
    <w:qFormat/>
    <w:uiPriority w:val="0"/>
    <w:pPr>
      <w:widowControl/>
      <w:spacing w:line="300" w:lineRule="auto"/>
      <w:jc w:val="left"/>
    </w:pPr>
    <w:rPr>
      <w:rFonts w:ascii="Arial" w:hAnsi="Arial" w:cs="Arial"/>
      <w:kern w:val="0"/>
      <w:szCs w:val="21"/>
    </w:rPr>
  </w:style>
  <w:style w:type="paragraph" w:customStyle="1" w:styleId="340">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41">
    <w:name w:val="正文文字2"/>
    <w:basedOn w:val="21"/>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2">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3">
    <w:name w:val="样式 标题 3 + 小四 非加粗 段前: 0 磅 段后: 0 磅 行距: 单倍行距"/>
    <w:basedOn w:val="5"/>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4">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7">
    <w:name w:val="Table Paragraph"/>
    <w:basedOn w:val="1"/>
    <w:qFormat/>
    <w:uiPriority w:val="1"/>
    <w:rPr>
      <w:rFonts w:ascii="宋体" w:hAnsi="宋体" w:cs="宋体"/>
      <w:sz w:val="24"/>
      <w:lang w:val="zh-CN" w:bidi="zh-CN"/>
    </w:rPr>
  </w:style>
  <w:style w:type="paragraph" w:customStyle="1" w:styleId="348">
    <w:name w:val="纯文本3"/>
    <w:basedOn w:val="1"/>
    <w:qFormat/>
    <w:uiPriority w:val="0"/>
    <w:pPr>
      <w:adjustRightInd w:val="0"/>
      <w:textAlignment w:val="baseline"/>
    </w:pPr>
    <w:rPr>
      <w:rFonts w:ascii="宋体" w:hAnsi="Courier New" w:eastAsia="楷体_GB2312"/>
      <w:sz w:val="26"/>
      <w:szCs w:val="20"/>
    </w:rPr>
  </w:style>
  <w:style w:type="paragraph" w:customStyle="1" w:styleId="34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50">
    <w:name w:val="Char Char Char Char Char Char Char2"/>
    <w:basedOn w:val="1"/>
    <w:qFormat/>
    <w:uiPriority w:val="0"/>
    <w:rPr>
      <w:szCs w:val="21"/>
    </w:rPr>
  </w:style>
  <w:style w:type="paragraph" w:customStyle="1" w:styleId="351">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52">
    <w:name w:val="网格型1"/>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3">
    <w:name w:val="List Paragraph1"/>
    <w:basedOn w:val="1"/>
    <w:qFormat/>
    <w:uiPriority w:val="0"/>
    <w:pPr>
      <w:ind w:firstLine="420" w:firstLineChars="200"/>
    </w:pPr>
    <w:rPr>
      <w:szCs w:val="22"/>
    </w:rPr>
  </w:style>
  <w:style w:type="character" w:customStyle="1" w:styleId="354">
    <w:name w:val="NormalCharacter"/>
    <w:qFormat/>
    <w:uiPriority w:val="0"/>
  </w:style>
  <w:style w:type="paragraph" w:customStyle="1" w:styleId="355">
    <w:name w:val="TOC 标题3"/>
    <w:basedOn w:val="3"/>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6">
    <w:name w:val="fontstyle01"/>
    <w:basedOn w:val="51"/>
    <w:qFormat/>
    <w:uiPriority w:val="0"/>
    <w:rPr>
      <w:rFonts w:hint="eastAsia" w:ascii="宋体" w:hAnsi="宋体" w:eastAsia="宋体"/>
      <w:color w:val="000000"/>
      <w:sz w:val="24"/>
      <w:szCs w:val="24"/>
    </w:rPr>
  </w:style>
  <w:style w:type="character" w:customStyle="1" w:styleId="357">
    <w:name w:val="fontstyle11"/>
    <w:basedOn w:val="51"/>
    <w:qFormat/>
    <w:uiPriority w:val="0"/>
    <w:rPr>
      <w:rFonts w:hint="default" w:ascii="Arial" w:hAnsi="Arial" w:cs="Arial"/>
      <w:color w:val="000000"/>
      <w:sz w:val="24"/>
      <w:szCs w:val="24"/>
    </w:rPr>
  </w:style>
  <w:style w:type="character" w:customStyle="1" w:styleId="358">
    <w:name w:val="fontstyle31"/>
    <w:basedOn w:val="51"/>
    <w:qFormat/>
    <w:uiPriority w:val="0"/>
    <w:rPr>
      <w:rFonts w:hint="default" w:ascii="Times New Roman" w:hAnsi="Times New Roman" w:cs="Times New Roman"/>
      <w:color w:val="000000"/>
      <w:sz w:val="18"/>
      <w:szCs w:val="18"/>
    </w:rPr>
  </w:style>
  <w:style w:type="character" w:customStyle="1" w:styleId="359">
    <w:name w:val="列表 Char"/>
    <w:link w:val="40"/>
    <w:qFormat/>
    <w:uiPriority w:val="0"/>
    <w:rPr>
      <w:rFonts w:ascii="Calibri" w:hAnsi="Calibri"/>
      <w:kern w:val="2"/>
      <w:sz w:val="28"/>
      <w:szCs w:val="24"/>
    </w:rPr>
  </w:style>
  <w:style w:type="character" w:customStyle="1" w:styleId="360">
    <w:name w:val="书籍标题11"/>
    <w:qFormat/>
    <w:uiPriority w:val="33"/>
    <w:rPr>
      <w:rFonts w:eastAsia="Songti SC Regular"/>
      <w:bCs/>
      <w:smallCaps/>
      <w:spacing w:val="5"/>
      <w:sz w:val="32"/>
    </w:rPr>
  </w:style>
  <w:style w:type="character" w:customStyle="1" w:styleId="361">
    <w:name w:val="UserStyle_117"/>
    <w:link w:val="362"/>
    <w:qFormat/>
    <w:uiPriority w:val="0"/>
    <w:rPr>
      <w:rFonts w:ascii="宋体" w:hAnsi="Courier New"/>
      <w:sz w:val="24"/>
      <w:szCs w:val="24"/>
    </w:rPr>
  </w:style>
  <w:style w:type="paragraph" w:customStyle="1" w:styleId="362">
    <w:name w:val="PlainText"/>
    <w:basedOn w:val="1"/>
    <w:link w:val="361"/>
    <w:qFormat/>
    <w:uiPriority w:val="0"/>
    <w:pPr>
      <w:widowControl/>
      <w:spacing w:before="156" w:after="156" w:line="400" w:lineRule="exact"/>
      <w:textAlignment w:val="baseline"/>
    </w:pPr>
    <w:rPr>
      <w:rFonts w:ascii="宋体" w:hAnsi="Courier New"/>
      <w:kern w:val="0"/>
      <w:sz w:val="24"/>
    </w:rPr>
  </w:style>
  <w:style w:type="character" w:customStyle="1" w:styleId="363">
    <w:name w:val="Char Char7"/>
    <w:qFormat/>
    <w:uiPriority w:val="0"/>
    <w:rPr>
      <w:rFonts w:ascii="Times New Roman" w:hAnsi="Times New Roman" w:eastAsia="宋体" w:cs="Times New Roman"/>
      <w:szCs w:val="24"/>
    </w:rPr>
  </w:style>
  <w:style w:type="paragraph" w:customStyle="1" w:styleId="364">
    <w:name w:val="2"/>
    <w:qFormat/>
    <w:uiPriority w:val="0"/>
    <w:rPr>
      <w:rFonts w:ascii="Times New Roman" w:hAnsi="Times New Roman" w:eastAsia="宋体" w:cs="Times New Roman"/>
      <w:lang w:val="en-US" w:eastAsia="zh-CN" w:bidi="ar-SA"/>
    </w:rPr>
  </w:style>
  <w:style w:type="paragraph" w:customStyle="1" w:styleId="365">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366">
    <w:name w:val="样式3"/>
    <w:basedOn w:val="1"/>
    <w:qFormat/>
    <w:uiPriority w:val="99"/>
    <w:pPr>
      <w:ind w:hanging="132"/>
    </w:pPr>
    <w:rPr>
      <w:rFonts w:ascii="Times New Roman" w:hAnsi="Times New Roman"/>
    </w:rPr>
  </w:style>
  <w:style w:type="paragraph" w:customStyle="1" w:styleId="367">
    <w:name w:val="样式2"/>
    <w:basedOn w:val="1"/>
    <w:qFormat/>
    <w:uiPriority w:val="99"/>
    <w:pPr>
      <w:tabs>
        <w:tab w:val="left" w:pos="420"/>
      </w:tabs>
      <w:ind w:left="420" w:hanging="132"/>
      <w:jc w:val="center"/>
    </w:pPr>
    <w:rPr>
      <w:rFonts w:ascii="Times New Roman" w:hAnsi="Times New Roman"/>
      <w:szCs w:val="21"/>
    </w:rPr>
  </w:style>
  <w:style w:type="character" w:customStyle="1" w:styleId="368">
    <w:name w:val="正文首行缩进 Char"/>
    <w:basedOn w:val="75"/>
    <w:link w:val="22"/>
    <w:qFormat/>
    <w:uiPriority w:val="99"/>
    <w:rPr>
      <w:rFonts w:ascii="Calibri" w:hAnsi="Calibri"/>
      <w:sz w:val="21"/>
      <w:szCs w:val="24"/>
    </w:rPr>
  </w:style>
  <w:style w:type="character" w:customStyle="1" w:styleId="369">
    <w:name w:val="fontstyle21"/>
    <w:basedOn w:val="51"/>
    <w:qFormat/>
    <w:uiPriority w:val="0"/>
    <w:rPr>
      <w:rFonts w:hint="default" w:ascii="Arial" w:hAnsi="Arial" w:cs="Arial"/>
      <w:color w:val="000000"/>
      <w:sz w:val="24"/>
      <w:szCs w:val="24"/>
    </w:rPr>
  </w:style>
  <w:style w:type="paragraph" w:customStyle="1" w:styleId="370">
    <w:name w:val="标准正文"/>
    <w:basedOn w:val="1"/>
    <w:qFormat/>
    <w:uiPriority w:val="0"/>
    <w:pPr>
      <w:spacing w:line="360" w:lineRule="auto"/>
      <w:ind w:firstLine="200" w:firstLineChars="200"/>
    </w:pPr>
    <w:rPr>
      <w:sz w:val="24"/>
      <w:szCs w:val="20"/>
    </w:rPr>
  </w:style>
  <w:style w:type="paragraph" w:customStyle="1" w:styleId="37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2">
    <w:name w:val="WPSOffice手动目录 1"/>
    <w:qFormat/>
    <w:uiPriority w:val="0"/>
    <w:pPr>
      <w:ind w:leftChars="0"/>
    </w:pPr>
    <w:rPr>
      <w:rFonts w:ascii="Times New Roman" w:hAnsi="Times New Roman" w:eastAsia="宋体" w:cs="Times New Roman"/>
      <w:sz w:val="20"/>
      <w:szCs w:val="20"/>
    </w:rPr>
  </w:style>
  <w:style w:type="paragraph" w:customStyle="1" w:styleId="373">
    <w:name w:val="Char Char Char"/>
    <w:basedOn w:val="1"/>
    <w:qFormat/>
    <w:uiPriority w:val="0"/>
    <w:rPr>
      <w:szCs w:val="24"/>
    </w:rPr>
  </w:style>
  <w:style w:type="character" w:customStyle="1" w:styleId="374">
    <w:name w:val="font101"/>
    <w:basedOn w:val="51"/>
    <w:qFormat/>
    <w:uiPriority w:val="0"/>
    <w:rPr>
      <w:rFonts w:hint="default" w:ascii="Times New Roman" w:hAnsi="Times New Roman" w:cs="Times New Roman"/>
      <w:color w:val="auto"/>
      <w:sz w:val="24"/>
      <w:szCs w:val="24"/>
      <w:u w:val="none"/>
    </w:rPr>
  </w:style>
  <w:style w:type="character" w:customStyle="1" w:styleId="375">
    <w:name w:val="font111"/>
    <w:basedOn w:val="51"/>
    <w:qFormat/>
    <w:uiPriority w:val="0"/>
    <w:rPr>
      <w:rFonts w:hint="eastAsia" w:ascii="宋体" w:hAnsi="宋体" w:eastAsia="宋体" w:cs="宋体"/>
      <w:color w:val="FF0000"/>
      <w:sz w:val="18"/>
      <w:szCs w:val="18"/>
      <w:u w:val="none"/>
    </w:rPr>
  </w:style>
  <w:style w:type="character" w:customStyle="1" w:styleId="376">
    <w:name w:val="font141"/>
    <w:basedOn w:val="51"/>
    <w:qFormat/>
    <w:uiPriority w:val="0"/>
    <w:rPr>
      <w:rFonts w:hint="eastAsia" w:ascii="宋体" w:hAnsi="宋体" w:eastAsia="宋体" w:cs="宋体"/>
      <w:b/>
      <w:bCs/>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143</Pages>
  <Words>67997</Words>
  <Characters>83024</Characters>
  <Lines>200</Lines>
  <Paragraphs>56</Paragraphs>
  <TotalTime>49</TotalTime>
  <ScaleCrop>false</ScaleCrop>
  <LinksUpToDate>false</LinksUpToDate>
  <CharactersWithSpaces>85656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嘉兴市银建工程咨询评估有限公司</dc:creator>
  <cp:lastModifiedBy>Administrator</cp:lastModifiedBy>
  <cp:lastPrinted>2022-02-07T11:01:00Z</cp:lastPrinted>
  <dcterms:created xsi:type="dcterms:W3CDTF">2022-02-07T18:18:00Z</dcterms:created>
  <dcterms:modified xsi:type="dcterms:W3CDTF">2023-12-06T11:20:28Z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AC726B5F65084A95AB73322E73D64026</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eyJoZGlkIjoiMmE1ZTg2ZDFjNjIzYTlkOGY4N2RhNTQ1ZWI3NzA3MmQifQ==</vt:lpwstr>
  </property>
</Properties>
</file>