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rPr>
          <w:rFonts w:asciiTheme="minorEastAsia" w:hAnsiTheme="minorEastAsia" w:eastAsiaTheme="minorEastAsia"/>
          <w:b/>
          <w:bCs/>
          <w:color w:val="auto"/>
          <w:spacing w:val="-4"/>
          <w:szCs w:val="21"/>
          <w:highlight w:val="none"/>
        </w:rPr>
      </w:pPr>
      <w:bookmarkStart w:id="205" w:name="_GoBack"/>
    </w:p>
    <w:p>
      <w:pPr>
        <w:spacing w:line="360" w:lineRule="auto"/>
        <w:rPr>
          <w:rFonts w:asciiTheme="minorEastAsia" w:hAnsiTheme="minorEastAsia" w:eastAsiaTheme="minorEastAsia"/>
          <w:b/>
          <w:color w:val="auto"/>
          <w:szCs w:val="21"/>
          <w:highlight w:val="none"/>
        </w:rPr>
      </w:pPr>
    </w:p>
    <w:p>
      <w:pPr>
        <w:spacing w:beforeLines="50" w:line="360" w:lineRule="auto"/>
        <w:jc w:val="center"/>
        <w:outlineLvl w:val="0"/>
        <w:rPr>
          <w:rFonts w:hint="eastAsia" w:asciiTheme="minorEastAsia" w:hAnsiTheme="minorEastAsia" w:eastAsiaTheme="minorEastAsia"/>
          <w:b/>
          <w:color w:val="auto"/>
          <w:sz w:val="44"/>
          <w:szCs w:val="44"/>
          <w:highlight w:val="none"/>
          <w:lang w:eastAsia="zh-CN"/>
        </w:rPr>
      </w:pPr>
      <w:bookmarkStart w:id="0" w:name="_Toc18831"/>
      <w:r>
        <w:rPr>
          <w:rFonts w:hint="eastAsia" w:asciiTheme="minorEastAsia" w:hAnsiTheme="minorEastAsia" w:eastAsiaTheme="minorEastAsia"/>
          <w:b/>
          <w:color w:val="auto"/>
          <w:sz w:val="44"/>
          <w:szCs w:val="44"/>
          <w:highlight w:val="none"/>
          <w:lang w:eastAsia="zh-CN"/>
        </w:rPr>
        <w:t>新城街道2024年度区域绿化养护项目</w:t>
      </w:r>
      <w:bookmarkEnd w:id="0"/>
    </w:p>
    <w:p>
      <w:pPr>
        <w:spacing w:beforeLines="50" w:line="360" w:lineRule="auto"/>
        <w:rPr>
          <w:rFonts w:asciiTheme="minorEastAsia" w:hAnsiTheme="minorEastAsia" w:eastAsiaTheme="minorEastAsia"/>
          <w:b/>
          <w:color w:val="auto"/>
          <w:szCs w:val="21"/>
          <w:highlight w:val="none"/>
        </w:rPr>
      </w:pPr>
    </w:p>
    <w:p>
      <w:pPr>
        <w:spacing w:beforeLines="50" w:line="360" w:lineRule="auto"/>
        <w:rPr>
          <w:rFonts w:asciiTheme="minorEastAsia" w:hAnsiTheme="minorEastAsia" w:eastAsiaTheme="minorEastAsia"/>
          <w:b/>
          <w:color w:val="auto"/>
          <w:szCs w:val="21"/>
          <w:highlight w:val="none"/>
        </w:rPr>
      </w:pPr>
    </w:p>
    <w:p>
      <w:pPr>
        <w:spacing w:beforeLines="50" w:line="360" w:lineRule="auto"/>
        <w:rPr>
          <w:rFonts w:asciiTheme="minorEastAsia" w:hAnsiTheme="minorEastAsia" w:eastAsiaTheme="minorEastAsia"/>
          <w:b/>
          <w:color w:val="auto"/>
          <w:szCs w:val="21"/>
          <w:highlight w:val="none"/>
        </w:rPr>
      </w:pPr>
    </w:p>
    <w:p>
      <w:pPr>
        <w:spacing w:beforeLines="50" w:line="360" w:lineRule="auto"/>
        <w:rPr>
          <w:rFonts w:asciiTheme="minorEastAsia" w:hAnsiTheme="minorEastAsia" w:eastAsiaTheme="minorEastAsia"/>
          <w:b/>
          <w:color w:val="auto"/>
          <w:sz w:val="44"/>
          <w:szCs w:val="44"/>
          <w:highlight w:val="none"/>
        </w:rPr>
      </w:pPr>
    </w:p>
    <w:p>
      <w:pPr>
        <w:spacing w:line="360" w:lineRule="auto"/>
        <w:jc w:val="center"/>
        <w:outlineLvl w:val="0"/>
        <w:rPr>
          <w:rFonts w:asciiTheme="minorEastAsia" w:hAnsiTheme="minorEastAsia" w:eastAsiaTheme="minorEastAsia"/>
          <w:b/>
          <w:color w:val="auto"/>
          <w:sz w:val="44"/>
          <w:szCs w:val="44"/>
          <w:highlight w:val="none"/>
        </w:rPr>
      </w:pPr>
      <w:bookmarkStart w:id="1" w:name="_Toc3336"/>
      <w:r>
        <w:rPr>
          <w:rFonts w:hint="eastAsia" w:asciiTheme="minorEastAsia" w:hAnsiTheme="minorEastAsia" w:eastAsiaTheme="minorEastAsia"/>
          <w:b/>
          <w:color w:val="auto"/>
          <w:sz w:val="44"/>
          <w:szCs w:val="44"/>
          <w:highlight w:val="none"/>
        </w:rPr>
        <w:t>公开招标文件</w:t>
      </w:r>
      <w:bookmarkEnd w:id="1"/>
    </w:p>
    <w:p>
      <w:pPr>
        <w:spacing w:line="360" w:lineRule="auto"/>
        <w:jc w:val="center"/>
        <w:rPr>
          <w:rFonts w:asciiTheme="minorEastAsia" w:hAnsiTheme="minorEastAsia" w:eastAsiaTheme="minorEastAsia"/>
          <w:b/>
          <w:color w:val="auto"/>
          <w:sz w:val="44"/>
          <w:szCs w:val="44"/>
          <w:highlight w:val="none"/>
        </w:rPr>
      </w:pPr>
      <w:r>
        <w:rPr>
          <w:rFonts w:hint="eastAsia" w:asciiTheme="minorEastAsia" w:hAnsiTheme="minorEastAsia" w:eastAsiaTheme="minorEastAsia"/>
          <w:b/>
          <w:color w:val="auto"/>
          <w:sz w:val="44"/>
          <w:szCs w:val="44"/>
          <w:highlight w:val="none"/>
        </w:rPr>
        <w:t>（电子招投标）</w:t>
      </w:r>
    </w:p>
    <w:p>
      <w:pPr>
        <w:snapToGrid w:val="0"/>
        <w:spacing w:beforeLines="50" w:line="360" w:lineRule="auto"/>
        <w:rPr>
          <w:rFonts w:asciiTheme="minorEastAsia" w:hAnsiTheme="minorEastAsia" w:eastAsiaTheme="minorEastAsia"/>
          <w:color w:val="auto"/>
          <w:szCs w:val="21"/>
          <w:highlight w:val="none"/>
        </w:rPr>
      </w:pPr>
    </w:p>
    <w:p>
      <w:pPr>
        <w:snapToGrid w:val="0"/>
        <w:spacing w:beforeLines="50" w:line="360" w:lineRule="auto"/>
        <w:rPr>
          <w:rFonts w:asciiTheme="minorEastAsia" w:hAnsiTheme="minorEastAsia" w:eastAsiaTheme="minorEastAsia"/>
          <w:color w:val="auto"/>
          <w:szCs w:val="21"/>
          <w:highlight w:val="none"/>
        </w:rPr>
      </w:pPr>
    </w:p>
    <w:p>
      <w:pPr>
        <w:snapToGrid w:val="0"/>
        <w:spacing w:beforeLines="50" w:line="360" w:lineRule="auto"/>
        <w:rPr>
          <w:rFonts w:asciiTheme="minorEastAsia" w:hAnsiTheme="minorEastAsia" w:eastAsiaTheme="minorEastAsia"/>
          <w:color w:val="auto"/>
          <w:szCs w:val="21"/>
          <w:highlight w:val="none"/>
        </w:rPr>
      </w:pPr>
    </w:p>
    <w:p>
      <w:pPr>
        <w:snapToGrid w:val="0"/>
        <w:spacing w:beforeLines="50" w:line="360" w:lineRule="auto"/>
        <w:rPr>
          <w:rFonts w:asciiTheme="minorEastAsia" w:hAnsiTheme="minorEastAsia" w:eastAsiaTheme="minorEastAsia"/>
          <w:color w:val="auto"/>
          <w:szCs w:val="21"/>
          <w:highlight w:val="none"/>
        </w:rPr>
      </w:pPr>
    </w:p>
    <w:p>
      <w:pPr>
        <w:snapToGrid w:val="0"/>
        <w:spacing w:beforeLines="50" w:line="360" w:lineRule="auto"/>
        <w:rPr>
          <w:rFonts w:asciiTheme="minorEastAsia" w:hAnsiTheme="minorEastAsia" w:eastAsiaTheme="minorEastAsia"/>
          <w:color w:val="auto"/>
          <w:szCs w:val="21"/>
          <w:highlight w:val="none"/>
        </w:rPr>
      </w:pPr>
    </w:p>
    <w:p>
      <w:pPr>
        <w:pStyle w:val="48"/>
        <w:ind w:firstLine="404"/>
        <w:rPr>
          <w:color w:val="auto"/>
          <w:highlight w:val="none"/>
        </w:rPr>
      </w:pPr>
    </w:p>
    <w:p>
      <w:pPr>
        <w:pStyle w:val="30"/>
        <w:spacing w:before="120" w:after="120" w:line="360" w:lineRule="auto"/>
        <w:ind w:firstLine="562" w:firstLineChars="200"/>
        <w:outlineLvl w:val="0"/>
        <w:rPr>
          <w:rStyle w:val="56"/>
          <w:rFonts w:hint="eastAsia" w:asciiTheme="minorEastAsia" w:hAnsiTheme="minorEastAsia" w:eastAsiaTheme="minorEastAsia"/>
          <w:b/>
          <w:color w:val="auto"/>
          <w:sz w:val="28"/>
          <w:szCs w:val="28"/>
          <w:highlight w:val="none"/>
          <w:u w:val="none"/>
        </w:rPr>
      </w:pPr>
      <w:bookmarkStart w:id="2" w:name="_Toc15408"/>
      <w:r>
        <w:rPr>
          <w:rStyle w:val="56"/>
          <w:rFonts w:hint="eastAsia" w:asciiTheme="minorEastAsia" w:hAnsiTheme="minorEastAsia" w:eastAsiaTheme="minorEastAsia"/>
          <w:b/>
          <w:color w:val="auto"/>
          <w:sz w:val="28"/>
          <w:szCs w:val="28"/>
          <w:highlight w:val="none"/>
          <w:u w:val="none"/>
        </w:rPr>
        <w:t>项目编号：</w:t>
      </w:r>
      <w:r>
        <w:rPr>
          <w:rStyle w:val="56"/>
          <w:rFonts w:hint="eastAsia" w:asciiTheme="minorEastAsia" w:hAnsiTheme="minorEastAsia" w:eastAsiaTheme="minorEastAsia"/>
          <w:b/>
          <w:color w:val="auto"/>
          <w:sz w:val="28"/>
          <w:szCs w:val="28"/>
          <w:highlight w:val="none"/>
          <w:u w:val="none"/>
          <w:lang w:eastAsia="zh-CN"/>
        </w:rPr>
        <w:t>银建-JXYJ（2023）68号</w:t>
      </w:r>
      <w:bookmarkEnd w:id="2"/>
      <w:r>
        <w:rPr>
          <w:rStyle w:val="56"/>
          <w:rFonts w:hint="eastAsia" w:asciiTheme="minorEastAsia" w:hAnsiTheme="minorEastAsia" w:eastAsiaTheme="minorEastAsia"/>
          <w:b/>
          <w:color w:val="auto"/>
          <w:sz w:val="28"/>
          <w:szCs w:val="28"/>
          <w:highlight w:val="none"/>
          <w:u w:val="none"/>
        </w:rPr>
        <w:t xml:space="preserve"> </w:t>
      </w:r>
    </w:p>
    <w:p>
      <w:pPr>
        <w:pStyle w:val="30"/>
        <w:spacing w:before="120" w:after="120" w:line="360" w:lineRule="auto"/>
        <w:ind w:firstLine="562" w:firstLineChars="200"/>
        <w:rPr>
          <w:rStyle w:val="56"/>
          <w:rFonts w:hint="eastAsia" w:asciiTheme="minorEastAsia" w:hAnsiTheme="minorEastAsia" w:eastAsiaTheme="minorEastAsia"/>
          <w:b/>
          <w:color w:val="auto"/>
          <w:sz w:val="28"/>
          <w:szCs w:val="28"/>
          <w:highlight w:val="none"/>
          <w:u w:val="none"/>
          <w:lang w:eastAsia="zh-CN"/>
        </w:rPr>
      </w:pPr>
      <w:r>
        <w:rPr>
          <w:rStyle w:val="56"/>
          <w:rFonts w:hint="eastAsia" w:asciiTheme="minorEastAsia" w:hAnsiTheme="minorEastAsia" w:eastAsiaTheme="minorEastAsia"/>
          <w:b/>
          <w:color w:val="auto"/>
          <w:sz w:val="28"/>
          <w:szCs w:val="28"/>
          <w:highlight w:val="none"/>
          <w:u w:val="none"/>
        </w:rPr>
        <w:t>采购单位：</w:t>
      </w:r>
      <w:r>
        <w:rPr>
          <w:rStyle w:val="56"/>
          <w:rFonts w:hint="eastAsia" w:asciiTheme="minorEastAsia" w:hAnsiTheme="minorEastAsia" w:eastAsiaTheme="minorEastAsia"/>
          <w:b/>
          <w:color w:val="auto"/>
          <w:sz w:val="28"/>
          <w:szCs w:val="28"/>
          <w:highlight w:val="none"/>
          <w:u w:val="none"/>
          <w:lang w:eastAsia="zh-CN"/>
        </w:rPr>
        <w:t>嘉兴市秀洲区人民政府新城街道办事处</w:t>
      </w:r>
    </w:p>
    <w:p>
      <w:pPr>
        <w:pStyle w:val="30"/>
        <w:spacing w:before="120" w:after="120" w:line="360" w:lineRule="auto"/>
        <w:ind w:firstLine="562" w:firstLineChars="200"/>
        <w:outlineLvl w:val="0"/>
        <w:rPr>
          <w:rStyle w:val="56"/>
          <w:rFonts w:asciiTheme="minorEastAsia" w:hAnsiTheme="minorEastAsia" w:eastAsiaTheme="minorEastAsia"/>
          <w:b/>
          <w:color w:val="auto"/>
          <w:sz w:val="28"/>
          <w:szCs w:val="28"/>
          <w:highlight w:val="none"/>
          <w:u w:val="none"/>
        </w:rPr>
      </w:pPr>
      <w:bookmarkStart w:id="3" w:name="_Toc9908"/>
      <w:r>
        <w:rPr>
          <w:rStyle w:val="56"/>
          <w:rFonts w:hint="eastAsia" w:asciiTheme="minorEastAsia" w:hAnsiTheme="minorEastAsia" w:eastAsiaTheme="minorEastAsia"/>
          <w:b/>
          <w:color w:val="auto"/>
          <w:sz w:val="28"/>
          <w:szCs w:val="28"/>
          <w:highlight w:val="none"/>
          <w:u w:val="none"/>
        </w:rPr>
        <w:t>采购机构：</w:t>
      </w:r>
      <w:r>
        <w:rPr>
          <w:rStyle w:val="56"/>
          <w:rFonts w:hint="eastAsia" w:asciiTheme="minorEastAsia" w:hAnsiTheme="minorEastAsia" w:eastAsiaTheme="minorEastAsia"/>
          <w:b/>
          <w:color w:val="auto"/>
          <w:sz w:val="28"/>
          <w:szCs w:val="28"/>
          <w:highlight w:val="none"/>
          <w:u w:val="none"/>
          <w:lang w:eastAsia="zh-CN"/>
        </w:rPr>
        <w:t>嘉兴市银建工程咨询评估有限公司</w:t>
      </w:r>
      <w:bookmarkEnd w:id="3"/>
    </w:p>
    <w:p>
      <w:pPr>
        <w:snapToGrid w:val="0"/>
        <w:spacing w:beforeLines="50" w:line="360" w:lineRule="auto"/>
        <w:ind w:right="140"/>
        <w:jc w:val="center"/>
        <w:rPr>
          <w:rFonts w:asciiTheme="minorEastAsia" w:hAnsiTheme="minorEastAsia" w:eastAsiaTheme="minorEastAsia"/>
          <w:color w:val="auto"/>
          <w:sz w:val="28"/>
          <w:szCs w:val="28"/>
          <w:highlight w:val="none"/>
        </w:rPr>
      </w:pPr>
      <w:r>
        <w:rPr>
          <w:rFonts w:asciiTheme="minorEastAsia" w:hAnsiTheme="minorEastAsia" w:eastAsiaTheme="minorEastAsia"/>
          <w:b/>
          <w:bCs/>
          <w:color w:val="auto"/>
          <w:w w:val="95"/>
          <w:sz w:val="28"/>
          <w:szCs w:val="28"/>
          <w:highlight w:val="none"/>
        </w:rPr>
        <w:t>202</w:t>
      </w:r>
      <w:r>
        <w:rPr>
          <w:rFonts w:hint="eastAsia" w:asciiTheme="minorEastAsia" w:hAnsiTheme="minorEastAsia" w:eastAsiaTheme="minorEastAsia"/>
          <w:b/>
          <w:bCs/>
          <w:color w:val="auto"/>
          <w:w w:val="95"/>
          <w:sz w:val="28"/>
          <w:szCs w:val="28"/>
          <w:highlight w:val="none"/>
          <w:lang w:val="en-US" w:eastAsia="zh-CN"/>
        </w:rPr>
        <w:t>3</w:t>
      </w:r>
      <w:r>
        <w:rPr>
          <w:rFonts w:asciiTheme="minorEastAsia" w:hAnsiTheme="minorEastAsia" w:eastAsiaTheme="minorEastAsia"/>
          <w:b/>
          <w:bCs/>
          <w:color w:val="auto"/>
          <w:w w:val="95"/>
          <w:sz w:val="28"/>
          <w:szCs w:val="28"/>
          <w:highlight w:val="none"/>
        </w:rPr>
        <w:t>年</w:t>
      </w:r>
      <w:r>
        <w:rPr>
          <w:rFonts w:hint="eastAsia" w:asciiTheme="minorEastAsia" w:hAnsiTheme="minorEastAsia" w:eastAsiaTheme="minorEastAsia"/>
          <w:b/>
          <w:bCs/>
          <w:color w:val="auto"/>
          <w:w w:val="95"/>
          <w:sz w:val="28"/>
          <w:szCs w:val="28"/>
          <w:highlight w:val="none"/>
          <w:lang w:val="en-US" w:eastAsia="zh-CN"/>
        </w:rPr>
        <w:t>11</w:t>
      </w:r>
      <w:r>
        <w:rPr>
          <w:rFonts w:asciiTheme="minorEastAsia" w:hAnsiTheme="minorEastAsia" w:eastAsiaTheme="minorEastAsia"/>
          <w:b/>
          <w:bCs/>
          <w:color w:val="auto"/>
          <w:w w:val="95"/>
          <w:sz w:val="28"/>
          <w:szCs w:val="28"/>
          <w:highlight w:val="none"/>
        </w:rPr>
        <w:t>月</w:t>
      </w:r>
      <w:r>
        <w:rPr>
          <w:rFonts w:hint="eastAsia" w:asciiTheme="minorEastAsia" w:hAnsiTheme="minorEastAsia" w:eastAsiaTheme="minorEastAsia"/>
          <w:b/>
          <w:bCs/>
          <w:color w:val="auto"/>
          <w:w w:val="95"/>
          <w:sz w:val="28"/>
          <w:szCs w:val="28"/>
          <w:highlight w:val="none"/>
          <w:lang w:val="en-US" w:eastAsia="zh-CN"/>
        </w:rPr>
        <w:t>28</w:t>
      </w:r>
      <w:r>
        <w:rPr>
          <w:rFonts w:asciiTheme="minorEastAsia" w:hAnsiTheme="minorEastAsia" w:eastAsiaTheme="minorEastAsia"/>
          <w:b/>
          <w:bCs/>
          <w:color w:val="auto"/>
          <w:w w:val="95"/>
          <w:sz w:val="28"/>
          <w:szCs w:val="28"/>
          <w:highlight w:val="none"/>
        </w:rPr>
        <w:t>日</w:t>
      </w:r>
    </w:p>
    <w:p>
      <w:pPr>
        <w:pStyle w:val="30"/>
        <w:spacing w:beforeLines="0" w:afterLines="0" w:line="360" w:lineRule="auto"/>
        <w:rPr>
          <w:rFonts w:asciiTheme="minorEastAsia" w:hAnsiTheme="minorEastAsia" w:eastAsiaTheme="minorEastAsia"/>
          <w:color w:val="auto"/>
          <w:sz w:val="21"/>
          <w:szCs w:val="21"/>
          <w:highlight w:val="none"/>
        </w:rPr>
      </w:pPr>
    </w:p>
    <w:p>
      <w:pPr>
        <w:pStyle w:val="30"/>
        <w:spacing w:beforeLines="0" w:afterLines="0" w:line="360" w:lineRule="auto"/>
        <w:rPr>
          <w:rFonts w:asciiTheme="minorEastAsia" w:hAnsiTheme="minorEastAsia" w:eastAsiaTheme="minorEastAsia"/>
          <w:color w:val="auto"/>
          <w:sz w:val="21"/>
          <w:szCs w:val="21"/>
          <w:highlight w:val="none"/>
        </w:rPr>
      </w:pPr>
    </w:p>
    <w:p>
      <w:pPr>
        <w:pStyle w:val="30"/>
        <w:spacing w:beforeLines="0" w:afterLines="0" w:line="360" w:lineRule="auto"/>
        <w:rPr>
          <w:rFonts w:asciiTheme="minorEastAsia" w:hAnsiTheme="minorEastAsia" w:eastAsiaTheme="minorEastAsia"/>
          <w:color w:val="auto"/>
          <w:sz w:val="21"/>
          <w:szCs w:val="21"/>
          <w:highlight w:val="none"/>
        </w:rPr>
      </w:pPr>
    </w:p>
    <w:p>
      <w:pPr>
        <w:pStyle w:val="30"/>
        <w:spacing w:beforeLines="0" w:afterLines="0" w:line="360" w:lineRule="auto"/>
        <w:rPr>
          <w:rFonts w:asciiTheme="minorEastAsia" w:hAnsiTheme="minorEastAsia" w:eastAsiaTheme="minorEastAsia"/>
          <w:color w:val="auto"/>
          <w:sz w:val="21"/>
          <w:szCs w:val="21"/>
          <w:highlight w:val="none"/>
        </w:rPr>
      </w:pPr>
    </w:p>
    <w:p>
      <w:pPr>
        <w:pStyle w:val="30"/>
        <w:spacing w:beforeLines="0" w:afterLines="0" w:line="360" w:lineRule="auto"/>
        <w:rPr>
          <w:rFonts w:asciiTheme="minorEastAsia" w:hAnsiTheme="minorEastAsia" w:eastAsiaTheme="minorEastAsia"/>
          <w:color w:val="auto"/>
          <w:sz w:val="21"/>
          <w:szCs w:val="21"/>
          <w:highlight w:val="none"/>
        </w:rPr>
      </w:pPr>
    </w:p>
    <w:sdt>
      <w:sdtPr>
        <w:rPr>
          <w:rFonts w:ascii="宋体" w:hAnsi="宋体" w:eastAsia="宋体" w:cs="Times New Roman"/>
          <w:b/>
          <w:bCs/>
          <w:kern w:val="2"/>
          <w:sz w:val="21"/>
          <w:szCs w:val="24"/>
          <w:highlight w:val="none"/>
          <w:lang w:val="en-US" w:eastAsia="zh-CN" w:bidi="ar-SA"/>
        </w:rPr>
        <w:id w:val="147479095"/>
        <w15:color w:val="DBDBDB"/>
        <w:docPartObj>
          <w:docPartGallery w:val="Table of Contents"/>
          <w:docPartUnique/>
        </w:docPartObj>
      </w:sdtPr>
      <w:sdtEndPr>
        <w:rPr>
          <w:rFonts w:asciiTheme="minorEastAsia" w:hAnsiTheme="minorEastAsia" w:eastAsiaTheme="minorEastAsia" w:cstheme="minorBidi"/>
          <w:b/>
          <w:bCs/>
          <w:color w:val="auto"/>
          <w:kern w:val="2"/>
          <w:sz w:val="24"/>
          <w:szCs w:val="21"/>
          <w:highlight w:val="none"/>
          <w:lang w:val="en-US" w:eastAsia="zh-CN" w:bidi="ar-SA"/>
        </w:rPr>
      </w:sdtEndPr>
      <w:sdtContent>
        <w:p>
          <w:pPr>
            <w:spacing w:before="0" w:beforeLines="0" w:after="0" w:afterLines="0" w:line="240" w:lineRule="auto"/>
            <w:ind w:left="0" w:leftChars="0" w:right="0" w:rightChars="0" w:firstLine="0" w:firstLineChars="0"/>
            <w:jc w:val="center"/>
            <w:rPr>
              <w:b/>
              <w:bCs/>
              <w:highlight w:val="none"/>
            </w:rPr>
          </w:pPr>
          <w:r>
            <w:rPr>
              <w:rFonts w:ascii="宋体" w:hAnsi="宋体" w:eastAsia="宋体"/>
              <w:b/>
              <w:bCs/>
              <w:sz w:val="21"/>
              <w:highlight w:val="none"/>
            </w:rPr>
            <w:t>目录</w:t>
          </w:r>
        </w:p>
        <w:p>
          <w:pPr>
            <w:pStyle w:val="371"/>
            <w:tabs>
              <w:tab w:val="right" w:leader="dot" w:pos="8820"/>
            </w:tabs>
            <w:rPr>
              <w:highlight w:val="none"/>
            </w:rPr>
          </w:pPr>
          <w:r>
            <w:rPr>
              <w:rFonts w:asciiTheme="minorEastAsia" w:hAnsiTheme="minorEastAsia" w:eastAsiaTheme="minorEastAsia"/>
              <w:b/>
              <w:color w:val="auto"/>
              <w:sz w:val="21"/>
              <w:szCs w:val="21"/>
              <w:highlight w:val="none"/>
            </w:rPr>
            <w:fldChar w:fldCharType="begin"/>
          </w:r>
          <w:r>
            <w:rPr>
              <w:rFonts w:asciiTheme="minorEastAsia" w:hAnsiTheme="minorEastAsia" w:eastAsiaTheme="minorEastAsia"/>
              <w:b/>
              <w:color w:val="auto"/>
              <w:sz w:val="21"/>
              <w:szCs w:val="21"/>
              <w:highlight w:val="none"/>
            </w:rPr>
            <w:instrText xml:space="preserve">TOC \o "1-1" \h \u </w:instrText>
          </w:r>
          <w:r>
            <w:rPr>
              <w:rFonts w:asciiTheme="minorEastAsia" w:hAnsiTheme="minorEastAsia" w:eastAsiaTheme="minorEastAsia"/>
              <w:b/>
              <w:color w:val="auto"/>
              <w:sz w:val="21"/>
              <w:szCs w:val="21"/>
              <w:highlight w:val="none"/>
            </w:rPr>
            <w:fldChar w:fldCharType="separate"/>
          </w:r>
        </w:p>
        <w:p>
          <w:pPr>
            <w:pStyle w:val="371"/>
            <w:tabs>
              <w:tab w:val="right" w:leader="dot" w:pos="8820"/>
            </w:tabs>
            <w:rPr>
              <w:highlight w:val="none"/>
            </w:rPr>
          </w:pPr>
          <w:r>
            <w:rPr>
              <w:rFonts w:asciiTheme="minorEastAsia" w:hAnsiTheme="minorEastAsia" w:eastAsiaTheme="minorEastAsia"/>
              <w:color w:val="auto"/>
              <w:szCs w:val="21"/>
              <w:highlight w:val="none"/>
            </w:rPr>
            <w:fldChar w:fldCharType="begin"/>
          </w:r>
          <w:r>
            <w:rPr>
              <w:rFonts w:asciiTheme="minorEastAsia" w:hAnsiTheme="minorEastAsia" w:eastAsiaTheme="minorEastAsia"/>
              <w:szCs w:val="21"/>
              <w:highlight w:val="none"/>
            </w:rPr>
            <w:instrText xml:space="preserve"> HYPERLINK \l _Toc4389 </w:instrText>
          </w:r>
          <w:r>
            <w:rPr>
              <w:rFonts w:asciiTheme="minorEastAsia" w:hAnsiTheme="minorEastAsia" w:eastAsiaTheme="minorEastAsia"/>
              <w:szCs w:val="21"/>
              <w:highlight w:val="none"/>
            </w:rPr>
            <w:fldChar w:fldCharType="separate"/>
          </w:r>
          <w:r>
            <w:rPr>
              <w:rFonts w:hint="eastAsia" w:asciiTheme="minorEastAsia" w:hAnsiTheme="minorEastAsia" w:eastAsiaTheme="minorEastAsia"/>
              <w:szCs w:val="28"/>
              <w:highlight w:val="none"/>
            </w:rPr>
            <w:t>第一章 公开招标采购公告</w:t>
          </w:r>
          <w:r>
            <w:rPr>
              <w:highlight w:val="none"/>
            </w:rPr>
            <w:tab/>
          </w:r>
          <w:r>
            <w:rPr>
              <w:highlight w:val="none"/>
            </w:rPr>
            <w:fldChar w:fldCharType="begin"/>
          </w:r>
          <w:r>
            <w:rPr>
              <w:highlight w:val="none"/>
            </w:rPr>
            <w:instrText xml:space="preserve"> PAGEREF _Toc4389 \h </w:instrText>
          </w:r>
          <w:r>
            <w:rPr>
              <w:highlight w:val="none"/>
            </w:rPr>
            <w:fldChar w:fldCharType="separate"/>
          </w:r>
          <w:r>
            <w:rPr>
              <w:highlight w:val="none"/>
            </w:rPr>
            <w:t>1</w:t>
          </w:r>
          <w:r>
            <w:rPr>
              <w:highlight w:val="none"/>
            </w:rPr>
            <w:fldChar w:fldCharType="end"/>
          </w:r>
          <w:r>
            <w:rPr>
              <w:rFonts w:asciiTheme="minorEastAsia" w:hAnsiTheme="minorEastAsia" w:eastAsiaTheme="minorEastAsia"/>
              <w:color w:val="auto"/>
              <w:szCs w:val="21"/>
              <w:highlight w:val="none"/>
            </w:rPr>
            <w:fldChar w:fldCharType="end"/>
          </w:r>
        </w:p>
        <w:p>
          <w:pPr>
            <w:pStyle w:val="371"/>
            <w:tabs>
              <w:tab w:val="right" w:leader="dot" w:pos="8820"/>
            </w:tabs>
            <w:rPr>
              <w:highlight w:val="none"/>
            </w:rPr>
          </w:pPr>
          <w:r>
            <w:rPr>
              <w:rFonts w:asciiTheme="minorEastAsia" w:hAnsiTheme="minorEastAsia" w:eastAsiaTheme="minorEastAsia"/>
              <w:color w:val="auto"/>
              <w:szCs w:val="21"/>
              <w:highlight w:val="none"/>
            </w:rPr>
            <w:fldChar w:fldCharType="begin"/>
          </w:r>
          <w:r>
            <w:rPr>
              <w:rFonts w:asciiTheme="minorEastAsia" w:hAnsiTheme="minorEastAsia" w:eastAsiaTheme="minorEastAsia"/>
              <w:szCs w:val="21"/>
              <w:highlight w:val="none"/>
            </w:rPr>
            <w:instrText xml:space="preserve"> HYPERLINK \l _Toc24075 </w:instrText>
          </w:r>
          <w:r>
            <w:rPr>
              <w:rFonts w:asciiTheme="minorEastAsia" w:hAnsiTheme="minorEastAsia" w:eastAsiaTheme="minorEastAsia"/>
              <w:szCs w:val="21"/>
              <w:highlight w:val="none"/>
            </w:rPr>
            <w:fldChar w:fldCharType="separate"/>
          </w:r>
          <w:r>
            <w:rPr>
              <w:rFonts w:hint="eastAsia" w:asciiTheme="minorEastAsia" w:hAnsiTheme="minorEastAsia" w:eastAsiaTheme="minorEastAsia"/>
              <w:szCs w:val="30"/>
              <w:highlight w:val="none"/>
            </w:rPr>
            <w:t xml:space="preserve">第二章 </w:t>
          </w:r>
          <w:r>
            <w:rPr>
              <w:rFonts w:hint="eastAsia" w:asciiTheme="minorEastAsia" w:hAnsiTheme="minorEastAsia" w:eastAsiaTheme="minorEastAsia"/>
              <w:szCs w:val="30"/>
              <w:highlight w:val="none"/>
            </w:rPr>
            <w:t>招标需求</w:t>
          </w:r>
          <w:r>
            <w:rPr>
              <w:highlight w:val="none"/>
            </w:rPr>
            <w:tab/>
          </w:r>
          <w:r>
            <w:rPr>
              <w:highlight w:val="none"/>
            </w:rPr>
            <w:fldChar w:fldCharType="begin"/>
          </w:r>
          <w:r>
            <w:rPr>
              <w:highlight w:val="none"/>
            </w:rPr>
            <w:instrText xml:space="preserve"> PAGEREF _Toc24075 \h </w:instrText>
          </w:r>
          <w:r>
            <w:rPr>
              <w:highlight w:val="none"/>
            </w:rPr>
            <w:fldChar w:fldCharType="separate"/>
          </w:r>
          <w:r>
            <w:rPr>
              <w:highlight w:val="none"/>
            </w:rPr>
            <w:t>5</w:t>
          </w:r>
          <w:r>
            <w:rPr>
              <w:highlight w:val="none"/>
            </w:rPr>
            <w:fldChar w:fldCharType="end"/>
          </w:r>
          <w:r>
            <w:rPr>
              <w:rFonts w:asciiTheme="minorEastAsia" w:hAnsiTheme="minorEastAsia" w:eastAsiaTheme="minorEastAsia"/>
              <w:color w:val="auto"/>
              <w:szCs w:val="21"/>
              <w:highlight w:val="none"/>
            </w:rPr>
            <w:fldChar w:fldCharType="end"/>
          </w:r>
        </w:p>
        <w:p>
          <w:pPr>
            <w:pStyle w:val="371"/>
            <w:tabs>
              <w:tab w:val="right" w:leader="dot" w:pos="8820"/>
            </w:tabs>
            <w:rPr>
              <w:highlight w:val="none"/>
            </w:rPr>
          </w:pPr>
          <w:r>
            <w:rPr>
              <w:rFonts w:asciiTheme="minorEastAsia" w:hAnsiTheme="minorEastAsia" w:eastAsiaTheme="minorEastAsia"/>
              <w:color w:val="auto"/>
              <w:szCs w:val="21"/>
              <w:highlight w:val="none"/>
            </w:rPr>
            <w:fldChar w:fldCharType="begin"/>
          </w:r>
          <w:r>
            <w:rPr>
              <w:rFonts w:asciiTheme="minorEastAsia" w:hAnsiTheme="minorEastAsia" w:eastAsiaTheme="minorEastAsia"/>
              <w:szCs w:val="21"/>
              <w:highlight w:val="none"/>
            </w:rPr>
            <w:instrText xml:space="preserve"> HYPERLINK \l _Toc7035 </w:instrText>
          </w:r>
          <w:r>
            <w:rPr>
              <w:rFonts w:asciiTheme="minorEastAsia" w:hAnsiTheme="minorEastAsia" w:eastAsiaTheme="minorEastAsia"/>
              <w:szCs w:val="21"/>
              <w:highlight w:val="none"/>
            </w:rPr>
            <w:fldChar w:fldCharType="separate"/>
          </w:r>
          <w:r>
            <w:rPr>
              <w:rFonts w:hint="eastAsia" w:asciiTheme="minorEastAsia" w:hAnsiTheme="minorEastAsia" w:eastAsiaTheme="minorEastAsia"/>
              <w:szCs w:val="30"/>
              <w:highlight w:val="none"/>
            </w:rPr>
            <w:t>第三章 供应商须知</w:t>
          </w:r>
          <w:r>
            <w:rPr>
              <w:highlight w:val="none"/>
            </w:rPr>
            <w:tab/>
          </w:r>
          <w:r>
            <w:rPr>
              <w:highlight w:val="none"/>
            </w:rPr>
            <w:fldChar w:fldCharType="begin"/>
          </w:r>
          <w:r>
            <w:rPr>
              <w:highlight w:val="none"/>
            </w:rPr>
            <w:instrText xml:space="preserve"> PAGEREF _Toc7035 \h </w:instrText>
          </w:r>
          <w:r>
            <w:rPr>
              <w:highlight w:val="none"/>
            </w:rPr>
            <w:fldChar w:fldCharType="separate"/>
          </w:r>
          <w:r>
            <w:rPr>
              <w:highlight w:val="none"/>
            </w:rPr>
            <w:t>34</w:t>
          </w:r>
          <w:r>
            <w:rPr>
              <w:highlight w:val="none"/>
            </w:rPr>
            <w:fldChar w:fldCharType="end"/>
          </w:r>
          <w:r>
            <w:rPr>
              <w:rFonts w:asciiTheme="minorEastAsia" w:hAnsiTheme="minorEastAsia" w:eastAsiaTheme="minorEastAsia"/>
              <w:color w:val="auto"/>
              <w:szCs w:val="21"/>
              <w:highlight w:val="none"/>
            </w:rPr>
            <w:fldChar w:fldCharType="end"/>
          </w:r>
        </w:p>
        <w:p>
          <w:pPr>
            <w:pStyle w:val="371"/>
            <w:tabs>
              <w:tab w:val="right" w:leader="dot" w:pos="8820"/>
            </w:tabs>
            <w:rPr>
              <w:highlight w:val="none"/>
            </w:rPr>
          </w:pPr>
          <w:r>
            <w:rPr>
              <w:rFonts w:asciiTheme="minorEastAsia" w:hAnsiTheme="minorEastAsia" w:eastAsiaTheme="minorEastAsia"/>
              <w:color w:val="auto"/>
              <w:szCs w:val="21"/>
              <w:highlight w:val="none"/>
            </w:rPr>
            <w:fldChar w:fldCharType="begin"/>
          </w:r>
          <w:r>
            <w:rPr>
              <w:rFonts w:asciiTheme="minorEastAsia" w:hAnsiTheme="minorEastAsia" w:eastAsiaTheme="minorEastAsia"/>
              <w:szCs w:val="21"/>
              <w:highlight w:val="none"/>
            </w:rPr>
            <w:instrText xml:space="preserve"> HYPERLINK \l _Toc9826 </w:instrText>
          </w:r>
          <w:r>
            <w:rPr>
              <w:rFonts w:asciiTheme="minorEastAsia" w:hAnsiTheme="minorEastAsia" w:eastAsiaTheme="minorEastAsia"/>
              <w:szCs w:val="21"/>
              <w:highlight w:val="none"/>
            </w:rPr>
            <w:fldChar w:fldCharType="separate"/>
          </w:r>
          <w:r>
            <w:rPr>
              <w:rFonts w:hint="eastAsia" w:asciiTheme="minorEastAsia" w:hAnsiTheme="minorEastAsia" w:eastAsiaTheme="minorEastAsia"/>
              <w:szCs w:val="30"/>
              <w:highlight w:val="none"/>
            </w:rPr>
            <w:t>第四章 评分办法及评分标准</w:t>
          </w:r>
          <w:r>
            <w:rPr>
              <w:highlight w:val="none"/>
            </w:rPr>
            <w:tab/>
          </w:r>
          <w:r>
            <w:rPr>
              <w:highlight w:val="none"/>
            </w:rPr>
            <w:fldChar w:fldCharType="begin"/>
          </w:r>
          <w:r>
            <w:rPr>
              <w:highlight w:val="none"/>
            </w:rPr>
            <w:instrText xml:space="preserve"> PAGEREF _Toc9826 \h </w:instrText>
          </w:r>
          <w:r>
            <w:rPr>
              <w:highlight w:val="none"/>
            </w:rPr>
            <w:fldChar w:fldCharType="separate"/>
          </w:r>
          <w:r>
            <w:rPr>
              <w:highlight w:val="none"/>
            </w:rPr>
            <w:t>44</w:t>
          </w:r>
          <w:r>
            <w:rPr>
              <w:highlight w:val="none"/>
            </w:rPr>
            <w:fldChar w:fldCharType="end"/>
          </w:r>
          <w:r>
            <w:rPr>
              <w:rFonts w:asciiTheme="minorEastAsia" w:hAnsiTheme="minorEastAsia" w:eastAsiaTheme="minorEastAsia"/>
              <w:color w:val="auto"/>
              <w:szCs w:val="21"/>
              <w:highlight w:val="none"/>
            </w:rPr>
            <w:fldChar w:fldCharType="end"/>
          </w:r>
        </w:p>
        <w:p>
          <w:pPr>
            <w:pStyle w:val="371"/>
            <w:tabs>
              <w:tab w:val="right" w:leader="dot" w:pos="8820"/>
            </w:tabs>
            <w:rPr>
              <w:highlight w:val="none"/>
            </w:rPr>
          </w:pPr>
          <w:r>
            <w:rPr>
              <w:rFonts w:asciiTheme="minorEastAsia" w:hAnsiTheme="minorEastAsia" w:eastAsiaTheme="minorEastAsia"/>
              <w:color w:val="auto"/>
              <w:szCs w:val="21"/>
              <w:highlight w:val="none"/>
            </w:rPr>
            <w:fldChar w:fldCharType="begin"/>
          </w:r>
          <w:r>
            <w:rPr>
              <w:rFonts w:asciiTheme="minorEastAsia" w:hAnsiTheme="minorEastAsia" w:eastAsiaTheme="minorEastAsia"/>
              <w:szCs w:val="21"/>
              <w:highlight w:val="none"/>
            </w:rPr>
            <w:instrText xml:space="preserve"> HYPERLINK \l _Toc32670 </w:instrText>
          </w:r>
          <w:r>
            <w:rPr>
              <w:rFonts w:asciiTheme="minorEastAsia" w:hAnsiTheme="minorEastAsia" w:eastAsiaTheme="minorEastAsia"/>
              <w:szCs w:val="21"/>
              <w:highlight w:val="none"/>
            </w:rPr>
            <w:fldChar w:fldCharType="separate"/>
          </w:r>
          <w:r>
            <w:rPr>
              <w:rFonts w:hint="eastAsia" w:asciiTheme="minorEastAsia" w:hAnsiTheme="minorEastAsia" w:eastAsiaTheme="minorEastAsia"/>
              <w:szCs w:val="30"/>
              <w:highlight w:val="none"/>
            </w:rPr>
            <w:t xml:space="preserve">第五章 </w:t>
          </w:r>
          <w:r>
            <w:rPr>
              <w:rFonts w:hint="eastAsia" w:asciiTheme="minorEastAsia" w:hAnsiTheme="minorEastAsia" w:eastAsiaTheme="minorEastAsia"/>
              <w:szCs w:val="30"/>
              <w:highlight w:val="none"/>
            </w:rPr>
            <w:t>嘉兴市政府采购合同（指引）</w:t>
          </w:r>
          <w:r>
            <w:rPr>
              <w:highlight w:val="none"/>
            </w:rPr>
            <w:tab/>
          </w:r>
          <w:r>
            <w:rPr>
              <w:highlight w:val="none"/>
            </w:rPr>
            <w:fldChar w:fldCharType="begin"/>
          </w:r>
          <w:r>
            <w:rPr>
              <w:highlight w:val="none"/>
            </w:rPr>
            <w:instrText xml:space="preserve"> PAGEREF _Toc32670 \h </w:instrText>
          </w:r>
          <w:r>
            <w:rPr>
              <w:highlight w:val="none"/>
            </w:rPr>
            <w:fldChar w:fldCharType="separate"/>
          </w:r>
          <w:r>
            <w:rPr>
              <w:highlight w:val="none"/>
            </w:rPr>
            <w:t>46</w:t>
          </w:r>
          <w:r>
            <w:rPr>
              <w:highlight w:val="none"/>
            </w:rPr>
            <w:fldChar w:fldCharType="end"/>
          </w:r>
          <w:r>
            <w:rPr>
              <w:rFonts w:asciiTheme="minorEastAsia" w:hAnsiTheme="minorEastAsia" w:eastAsiaTheme="minorEastAsia"/>
              <w:color w:val="auto"/>
              <w:szCs w:val="21"/>
              <w:highlight w:val="none"/>
            </w:rPr>
            <w:fldChar w:fldCharType="end"/>
          </w:r>
        </w:p>
        <w:p>
          <w:pPr>
            <w:pStyle w:val="371"/>
            <w:tabs>
              <w:tab w:val="right" w:leader="dot" w:pos="8820"/>
            </w:tabs>
            <w:rPr>
              <w:highlight w:val="none"/>
            </w:rPr>
          </w:pPr>
          <w:r>
            <w:rPr>
              <w:rFonts w:asciiTheme="minorEastAsia" w:hAnsiTheme="minorEastAsia" w:eastAsiaTheme="minorEastAsia"/>
              <w:color w:val="auto"/>
              <w:szCs w:val="21"/>
              <w:highlight w:val="none"/>
            </w:rPr>
            <w:fldChar w:fldCharType="begin"/>
          </w:r>
          <w:r>
            <w:rPr>
              <w:rFonts w:asciiTheme="minorEastAsia" w:hAnsiTheme="minorEastAsia" w:eastAsiaTheme="minorEastAsia"/>
              <w:szCs w:val="21"/>
              <w:highlight w:val="none"/>
            </w:rPr>
            <w:instrText xml:space="preserve"> HYPERLINK \l _Toc25577 </w:instrText>
          </w:r>
          <w:r>
            <w:rPr>
              <w:rFonts w:asciiTheme="minorEastAsia" w:hAnsiTheme="minorEastAsia" w:eastAsiaTheme="minorEastAsia"/>
              <w:szCs w:val="21"/>
              <w:highlight w:val="none"/>
            </w:rPr>
            <w:fldChar w:fldCharType="separate"/>
          </w:r>
          <w:r>
            <w:rPr>
              <w:rFonts w:hint="eastAsia" w:asciiTheme="minorEastAsia" w:hAnsiTheme="minorEastAsia" w:eastAsiaTheme="minorEastAsia"/>
              <w:szCs w:val="30"/>
              <w:highlight w:val="none"/>
            </w:rPr>
            <w:t>第六章  投标文件格式</w:t>
          </w:r>
          <w:r>
            <w:rPr>
              <w:highlight w:val="none"/>
            </w:rPr>
            <w:tab/>
          </w:r>
          <w:r>
            <w:rPr>
              <w:highlight w:val="none"/>
            </w:rPr>
            <w:fldChar w:fldCharType="begin"/>
          </w:r>
          <w:r>
            <w:rPr>
              <w:highlight w:val="none"/>
            </w:rPr>
            <w:instrText xml:space="preserve"> PAGEREF _Toc25577 \h </w:instrText>
          </w:r>
          <w:r>
            <w:rPr>
              <w:highlight w:val="none"/>
            </w:rPr>
            <w:fldChar w:fldCharType="separate"/>
          </w:r>
          <w:r>
            <w:rPr>
              <w:highlight w:val="none"/>
            </w:rPr>
            <w:t>53</w:t>
          </w:r>
          <w:r>
            <w:rPr>
              <w:highlight w:val="none"/>
            </w:rPr>
            <w:fldChar w:fldCharType="end"/>
          </w:r>
          <w:r>
            <w:rPr>
              <w:rFonts w:asciiTheme="minorEastAsia" w:hAnsiTheme="minorEastAsia" w:eastAsiaTheme="minorEastAsia"/>
              <w:color w:val="auto"/>
              <w:szCs w:val="21"/>
              <w:highlight w:val="none"/>
            </w:rPr>
            <w:fldChar w:fldCharType="end"/>
          </w:r>
        </w:p>
        <w:p>
          <w:pPr>
            <w:pStyle w:val="30"/>
            <w:spacing w:beforeLines="0" w:afterLines="0" w:line="360" w:lineRule="auto"/>
            <w:jc w:val="center"/>
            <w:rPr>
              <w:rFonts w:asciiTheme="minorEastAsia" w:hAnsiTheme="minorEastAsia" w:eastAsiaTheme="minorEastAsia"/>
              <w:b/>
              <w:color w:val="auto"/>
              <w:sz w:val="21"/>
              <w:szCs w:val="21"/>
              <w:highlight w:val="none"/>
            </w:rPr>
          </w:pPr>
          <w:r>
            <w:rPr>
              <w:rFonts w:asciiTheme="minorEastAsia" w:hAnsiTheme="minorEastAsia" w:eastAsiaTheme="minorEastAsia"/>
              <w:color w:val="auto"/>
              <w:szCs w:val="21"/>
              <w:highlight w:val="none"/>
            </w:rPr>
            <w:fldChar w:fldCharType="end"/>
          </w:r>
        </w:p>
      </w:sdtContent>
    </w:sdt>
    <w:p>
      <w:pPr>
        <w:pStyle w:val="30"/>
        <w:spacing w:beforeLines="0" w:afterLines="0" w:line="360" w:lineRule="auto"/>
        <w:jc w:val="center"/>
        <w:rPr>
          <w:rFonts w:asciiTheme="minorEastAsia" w:hAnsiTheme="minorEastAsia" w:eastAsiaTheme="minorEastAsia"/>
          <w:b/>
          <w:color w:val="auto"/>
          <w:sz w:val="21"/>
          <w:szCs w:val="21"/>
          <w:highlight w:val="none"/>
        </w:rPr>
      </w:pPr>
    </w:p>
    <w:p>
      <w:pPr>
        <w:pStyle w:val="30"/>
        <w:spacing w:beforeLines="0" w:afterLines="0" w:line="360" w:lineRule="auto"/>
        <w:jc w:val="center"/>
        <w:rPr>
          <w:rFonts w:asciiTheme="minorEastAsia" w:hAnsiTheme="minorEastAsia" w:eastAsiaTheme="minorEastAsia"/>
          <w:b/>
          <w:color w:val="auto"/>
          <w:sz w:val="21"/>
          <w:szCs w:val="21"/>
          <w:highlight w:val="none"/>
        </w:rPr>
      </w:pPr>
    </w:p>
    <w:p>
      <w:pPr>
        <w:pStyle w:val="30"/>
        <w:spacing w:beforeLines="0" w:afterLines="0" w:line="360" w:lineRule="auto"/>
        <w:jc w:val="center"/>
        <w:rPr>
          <w:rFonts w:asciiTheme="minorEastAsia" w:hAnsiTheme="minorEastAsia" w:eastAsiaTheme="minorEastAsia"/>
          <w:b/>
          <w:color w:val="auto"/>
          <w:sz w:val="21"/>
          <w:szCs w:val="21"/>
          <w:highlight w:val="none"/>
        </w:rPr>
      </w:pPr>
    </w:p>
    <w:p>
      <w:pPr>
        <w:pStyle w:val="30"/>
        <w:spacing w:beforeLines="0" w:afterLines="0" w:line="360" w:lineRule="auto"/>
        <w:jc w:val="center"/>
        <w:rPr>
          <w:rFonts w:asciiTheme="minorEastAsia" w:hAnsiTheme="minorEastAsia" w:eastAsiaTheme="minorEastAsia"/>
          <w:b/>
          <w:color w:val="auto"/>
          <w:sz w:val="21"/>
          <w:szCs w:val="21"/>
          <w:highlight w:val="none"/>
        </w:rPr>
      </w:pPr>
    </w:p>
    <w:p>
      <w:pPr>
        <w:pStyle w:val="30"/>
        <w:spacing w:beforeLines="0" w:afterLines="0" w:line="360" w:lineRule="auto"/>
        <w:jc w:val="center"/>
        <w:rPr>
          <w:rFonts w:asciiTheme="minorEastAsia" w:hAnsiTheme="minorEastAsia" w:eastAsiaTheme="minorEastAsia"/>
          <w:b/>
          <w:color w:val="auto"/>
          <w:sz w:val="21"/>
          <w:szCs w:val="21"/>
          <w:highlight w:val="none"/>
        </w:rPr>
      </w:pPr>
    </w:p>
    <w:p>
      <w:pPr>
        <w:pStyle w:val="30"/>
        <w:spacing w:beforeLines="0" w:afterLines="0" w:line="360" w:lineRule="auto"/>
        <w:jc w:val="center"/>
        <w:rPr>
          <w:rFonts w:asciiTheme="minorEastAsia" w:hAnsiTheme="minorEastAsia" w:eastAsiaTheme="minorEastAsia"/>
          <w:b/>
          <w:color w:val="auto"/>
          <w:sz w:val="21"/>
          <w:szCs w:val="21"/>
          <w:highlight w:val="none"/>
        </w:rPr>
      </w:pPr>
    </w:p>
    <w:p>
      <w:pPr>
        <w:pStyle w:val="30"/>
        <w:spacing w:beforeLines="0" w:afterLines="0" w:line="360" w:lineRule="auto"/>
        <w:jc w:val="center"/>
        <w:rPr>
          <w:rFonts w:asciiTheme="minorEastAsia" w:hAnsiTheme="minorEastAsia" w:eastAsiaTheme="minorEastAsia"/>
          <w:b/>
          <w:color w:val="auto"/>
          <w:sz w:val="21"/>
          <w:szCs w:val="21"/>
          <w:highlight w:val="none"/>
        </w:rPr>
      </w:pPr>
    </w:p>
    <w:p>
      <w:pPr>
        <w:pStyle w:val="30"/>
        <w:spacing w:beforeLines="0" w:afterLines="0" w:line="360" w:lineRule="auto"/>
        <w:jc w:val="center"/>
        <w:rPr>
          <w:rFonts w:asciiTheme="minorEastAsia" w:hAnsiTheme="minorEastAsia" w:eastAsiaTheme="minorEastAsia"/>
          <w:b/>
          <w:color w:val="auto"/>
          <w:sz w:val="21"/>
          <w:szCs w:val="21"/>
          <w:highlight w:val="none"/>
        </w:rPr>
      </w:pPr>
    </w:p>
    <w:p>
      <w:pPr>
        <w:pStyle w:val="30"/>
        <w:spacing w:beforeLines="0" w:afterLines="0" w:line="360" w:lineRule="auto"/>
        <w:jc w:val="center"/>
        <w:rPr>
          <w:rFonts w:asciiTheme="minorEastAsia" w:hAnsiTheme="minorEastAsia" w:eastAsiaTheme="minorEastAsia"/>
          <w:b/>
          <w:color w:val="auto"/>
          <w:sz w:val="21"/>
          <w:szCs w:val="21"/>
          <w:highlight w:val="none"/>
        </w:rPr>
      </w:pPr>
    </w:p>
    <w:p>
      <w:pPr>
        <w:pStyle w:val="30"/>
        <w:spacing w:beforeLines="0" w:afterLines="0" w:line="360" w:lineRule="auto"/>
        <w:jc w:val="center"/>
        <w:rPr>
          <w:rFonts w:asciiTheme="minorEastAsia" w:hAnsiTheme="minorEastAsia" w:eastAsiaTheme="minorEastAsia"/>
          <w:b/>
          <w:color w:val="auto"/>
          <w:sz w:val="21"/>
          <w:szCs w:val="21"/>
          <w:highlight w:val="none"/>
        </w:rPr>
      </w:pPr>
    </w:p>
    <w:p>
      <w:pPr>
        <w:snapToGrid w:val="0"/>
        <w:spacing w:beforeLines="50" w:afterLines="50" w:line="360" w:lineRule="auto"/>
        <w:ind w:left="238"/>
        <w:jc w:val="center"/>
        <w:outlineLvl w:val="9"/>
        <w:rPr>
          <w:rFonts w:asciiTheme="minorEastAsia" w:hAnsiTheme="minorEastAsia" w:eastAsiaTheme="minorEastAsia"/>
          <w:b/>
          <w:color w:val="auto"/>
          <w:sz w:val="30"/>
          <w:szCs w:val="30"/>
          <w:highlight w:val="none"/>
        </w:rPr>
      </w:pPr>
    </w:p>
    <w:p>
      <w:pPr>
        <w:snapToGrid w:val="0"/>
        <w:spacing w:beforeLines="50" w:afterLines="50" w:line="360" w:lineRule="auto"/>
        <w:ind w:left="238"/>
        <w:jc w:val="center"/>
        <w:outlineLvl w:val="9"/>
        <w:rPr>
          <w:rFonts w:asciiTheme="minorEastAsia" w:hAnsiTheme="minorEastAsia" w:eastAsiaTheme="minorEastAsia"/>
          <w:b/>
          <w:color w:val="auto"/>
          <w:sz w:val="30"/>
          <w:szCs w:val="30"/>
          <w:highlight w:val="none"/>
        </w:rPr>
      </w:pPr>
    </w:p>
    <w:p>
      <w:pPr>
        <w:snapToGrid w:val="0"/>
        <w:spacing w:beforeLines="50" w:afterLines="50" w:line="360" w:lineRule="auto"/>
        <w:ind w:left="238"/>
        <w:jc w:val="center"/>
        <w:outlineLvl w:val="9"/>
        <w:rPr>
          <w:rFonts w:asciiTheme="minorEastAsia" w:hAnsiTheme="minorEastAsia" w:eastAsiaTheme="minorEastAsia"/>
          <w:b/>
          <w:color w:val="auto"/>
          <w:sz w:val="30"/>
          <w:szCs w:val="30"/>
          <w:highlight w:val="none"/>
        </w:rPr>
      </w:pPr>
    </w:p>
    <w:p>
      <w:pPr>
        <w:snapToGrid w:val="0"/>
        <w:spacing w:beforeLines="50" w:afterLines="50" w:line="360" w:lineRule="auto"/>
        <w:ind w:left="238"/>
        <w:jc w:val="center"/>
        <w:outlineLvl w:val="9"/>
        <w:rPr>
          <w:rFonts w:asciiTheme="minorEastAsia" w:hAnsiTheme="minorEastAsia" w:eastAsiaTheme="minorEastAsia"/>
          <w:b/>
          <w:color w:val="auto"/>
          <w:sz w:val="30"/>
          <w:szCs w:val="30"/>
          <w:highlight w:val="none"/>
        </w:rPr>
      </w:pPr>
    </w:p>
    <w:p>
      <w:pPr>
        <w:pStyle w:val="48"/>
        <w:ind w:firstLine="404"/>
        <w:rPr>
          <w:color w:val="auto"/>
          <w:highlight w:val="none"/>
        </w:rPr>
      </w:pPr>
    </w:p>
    <w:p>
      <w:pPr>
        <w:snapToGrid w:val="0"/>
        <w:spacing w:beforeLines="50" w:afterLines="50" w:line="360" w:lineRule="auto"/>
        <w:ind w:left="238"/>
        <w:jc w:val="center"/>
        <w:outlineLvl w:val="9"/>
        <w:rPr>
          <w:rFonts w:hint="eastAsia" w:asciiTheme="minorEastAsia" w:hAnsiTheme="minorEastAsia" w:eastAsiaTheme="minorEastAsia"/>
          <w:b/>
          <w:color w:val="auto"/>
          <w:sz w:val="28"/>
          <w:szCs w:val="28"/>
          <w:highlight w:val="none"/>
        </w:rPr>
        <w:sectPr>
          <w:headerReference r:id="rId3" w:type="default"/>
          <w:footerReference r:id="rId4" w:type="default"/>
          <w:pgSz w:w="11906" w:h="16838"/>
          <w:pgMar w:top="1440" w:right="1289" w:bottom="1440" w:left="1797" w:header="851" w:footer="851" w:gutter="0"/>
          <w:pgBorders>
            <w:top w:val="none" w:sz="0" w:space="0"/>
            <w:left w:val="none" w:sz="0" w:space="0"/>
            <w:bottom w:val="none" w:sz="0" w:space="0"/>
            <w:right w:val="none" w:sz="0" w:space="0"/>
          </w:pgBorders>
          <w:cols w:space="720" w:num="1"/>
          <w:docGrid w:linePitch="312" w:charSpace="0"/>
        </w:sectPr>
      </w:pPr>
    </w:p>
    <w:p>
      <w:pPr>
        <w:snapToGrid w:val="0"/>
        <w:spacing w:beforeLines="50" w:afterLines="50" w:line="360" w:lineRule="auto"/>
        <w:ind w:left="238"/>
        <w:jc w:val="center"/>
        <w:outlineLvl w:val="0"/>
        <w:rPr>
          <w:rFonts w:asciiTheme="minorEastAsia" w:hAnsiTheme="minorEastAsia" w:eastAsiaTheme="minorEastAsia"/>
          <w:b/>
          <w:color w:val="auto"/>
          <w:sz w:val="28"/>
          <w:szCs w:val="28"/>
          <w:highlight w:val="none"/>
        </w:rPr>
      </w:pPr>
      <w:bookmarkStart w:id="4" w:name="_Toc4389"/>
      <w:bookmarkStart w:id="5" w:name="_Toc13774"/>
      <w:r>
        <w:rPr>
          <w:rFonts w:hint="eastAsia" w:asciiTheme="minorEastAsia" w:hAnsiTheme="minorEastAsia" w:eastAsiaTheme="minorEastAsia"/>
          <w:b/>
          <w:color w:val="auto"/>
          <w:sz w:val="28"/>
          <w:szCs w:val="28"/>
          <w:highlight w:val="none"/>
        </w:rPr>
        <w:t>第一章 公开招标采购公告</w:t>
      </w:r>
      <w:bookmarkEnd w:id="4"/>
      <w:bookmarkEnd w:id="5"/>
    </w:p>
    <w:p>
      <w:pPr>
        <w:pStyle w:val="245"/>
        <w:spacing w:afterLines="0" w:line="360" w:lineRule="auto"/>
        <w:ind w:firstLine="42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根据《中华人民共和国政府采购法》、</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中华人民共和国政府采购法实施条例</w:t>
      </w:r>
      <w:r>
        <w:rPr>
          <w:rFonts w:hint="eastAsia" w:asciiTheme="minorEastAsia" w:hAnsiTheme="minorEastAsia" w:eastAsiaTheme="minorEastAsia"/>
          <w:color w:val="auto"/>
          <w:sz w:val="18"/>
          <w:szCs w:val="18"/>
          <w:highlight w:val="none"/>
        </w:rPr>
        <w:t>》和</w:t>
      </w:r>
      <w:r>
        <w:rPr>
          <w:rFonts w:asciiTheme="minorEastAsia" w:hAnsiTheme="minorEastAsia" w:eastAsiaTheme="minorEastAsia"/>
          <w:color w:val="auto"/>
          <w:sz w:val="18"/>
          <w:szCs w:val="18"/>
          <w:highlight w:val="none"/>
        </w:rPr>
        <w:t>《政府采购货物和服务招标投标管理办法》</w:t>
      </w:r>
      <w:r>
        <w:rPr>
          <w:rFonts w:hint="eastAsia" w:asciiTheme="minorEastAsia" w:hAnsiTheme="minorEastAsia" w:eastAsiaTheme="minorEastAsia"/>
          <w:color w:val="auto"/>
          <w:sz w:val="18"/>
          <w:szCs w:val="18"/>
          <w:highlight w:val="none"/>
        </w:rPr>
        <w:t>、《浙江省</w:t>
      </w:r>
      <w:r>
        <w:rPr>
          <w:rFonts w:asciiTheme="minorEastAsia" w:hAnsiTheme="minorEastAsia" w:eastAsiaTheme="minorEastAsia"/>
          <w:color w:val="auto"/>
          <w:sz w:val="18"/>
          <w:szCs w:val="18"/>
          <w:highlight w:val="none"/>
        </w:rPr>
        <w:t>政府采购项目电子交易管理暂行办法</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等规定</w:t>
      </w:r>
      <w:r>
        <w:rPr>
          <w:rFonts w:hint="eastAsia" w:asciiTheme="minorEastAsia" w:hAnsiTheme="minorEastAsia" w:eastAsiaTheme="minorEastAsia"/>
          <w:color w:val="auto"/>
          <w:sz w:val="18"/>
          <w:szCs w:val="18"/>
          <w:highlight w:val="none"/>
        </w:rPr>
        <w:t>，嘉兴市银建工程咨询评估有限公司受采购人委托，经</w:t>
      </w:r>
      <w:r>
        <w:rPr>
          <w:rFonts w:hint="eastAsia" w:asciiTheme="minorEastAsia" w:hAnsiTheme="minorEastAsia" w:eastAsiaTheme="minorEastAsia"/>
          <w:color w:val="auto"/>
          <w:sz w:val="18"/>
          <w:szCs w:val="18"/>
          <w:highlight w:val="none"/>
          <w:u w:val="single"/>
          <w:lang w:eastAsia="zh-CN"/>
        </w:rPr>
        <w:t>嘉兴市秀洲区财政局临[2023]3680号</w:t>
      </w:r>
      <w:r>
        <w:rPr>
          <w:rFonts w:hint="eastAsia" w:asciiTheme="minorEastAsia" w:hAnsiTheme="minorEastAsia" w:eastAsiaTheme="minorEastAsia"/>
          <w:color w:val="auto"/>
          <w:sz w:val="18"/>
          <w:szCs w:val="18"/>
          <w:highlight w:val="none"/>
        </w:rPr>
        <w:t>确认书批准，现就下列项目</w:t>
      </w:r>
      <w:r>
        <w:rPr>
          <w:rFonts w:asciiTheme="minorEastAsia" w:hAnsiTheme="minorEastAsia" w:eastAsiaTheme="minorEastAsia"/>
          <w:color w:val="auto"/>
          <w:sz w:val="18"/>
          <w:szCs w:val="18"/>
          <w:highlight w:val="none"/>
        </w:rPr>
        <w:t>进行</w:t>
      </w:r>
      <w:r>
        <w:rPr>
          <w:rFonts w:asciiTheme="minorEastAsia" w:hAnsiTheme="minorEastAsia" w:eastAsiaTheme="minorEastAsia"/>
          <w:color w:val="auto"/>
          <w:sz w:val="18"/>
          <w:szCs w:val="18"/>
          <w:highlight w:val="none"/>
          <w:u w:val="single"/>
        </w:rPr>
        <w:t>公开招标</w:t>
      </w:r>
      <w:r>
        <w:rPr>
          <w:rFonts w:asciiTheme="minorEastAsia" w:hAnsiTheme="minorEastAsia" w:eastAsiaTheme="minorEastAsia"/>
          <w:color w:val="auto"/>
          <w:sz w:val="18"/>
          <w:szCs w:val="18"/>
          <w:highlight w:val="none"/>
        </w:rPr>
        <w:t>采购，</w:t>
      </w:r>
      <w:r>
        <w:rPr>
          <w:rFonts w:hint="eastAsia" w:asciiTheme="minorEastAsia" w:hAnsiTheme="minorEastAsia" w:eastAsiaTheme="minorEastAsia"/>
          <w:color w:val="auto"/>
          <w:sz w:val="18"/>
          <w:szCs w:val="18"/>
          <w:highlight w:val="none"/>
        </w:rPr>
        <w:t>欢迎合格供应商前来投标，现将有关事项公告如下：</w:t>
      </w:r>
    </w:p>
    <w:p>
      <w:pPr>
        <w:snapToGrid w:val="0"/>
        <w:spacing w:line="360" w:lineRule="auto"/>
        <w:rPr>
          <w:rFonts w:hint="eastAsia" w:cs="Arial" w:asciiTheme="minorEastAsia" w:hAnsiTheme="minorEastAsia" w:eastAsiaTheme="minorEastAsia"/>
          <w:color w:val="auto"/>
          <w:sz w:val="18"/>
          <w:szCs w:val="18"/>
          <w:highlight w:val="none"/>
          <w:lang w:eastAsia="zh-CN"/>
        </w:rPr>
      </w:pPr>
      <w:r>
        <w:rPr>
          <w:rFonts w:hint="eastAsia" w:cs="Arial" w:asciiTheme="minorEastAsia" w:hAnsiTheme="minorEastAsia" w:eastAsiaTheme="minorEastAsia"/>
          <w:color w:val="auto"/>
          <w:sz w:val="18"/>
          <w:szCs w:val="18"/>
          <w:highlight w:val="none"/>
        </w:rPr>
        <w:t>一、</w:t>
      </w:r>
      <w:r>
        <w:rPr>
          <w:rFonts w:hint="eastAsia" w:cs="Arial" w:asciiTheme="minorEastAsia" w:hAnsiTheme="minorEastAsia" w:eastAsiaTheme="minorEastAsia"/>
          <w:b/>
          <w:bCs/>
          <w:color w:val="auto"/>
          <w:sz w:val="18"/>
          <w:szCs w:val="18"/>
          <w:highlight w:val="none"/>
        </w:rPr>
        <w:t>项目编号：</w:t>
      </w:r>
      <w:r>
        <w:rPr>
          <w:rFonts w:hint="eastAsia" w:cs="Arial" w:asciiTheme="minorEastAsia" w:hAnsiTheme="minorEastAsia" w:eastAsiaTheme="minorEastAsia"/>
          <w:color w:val="auto"/>
          <w:sz w:val="18"/>
          <w:szCs w:val="18"/>
          <w:highlight w:val="none"/>
          <w:lang w:eastAsia="zh-CN"/>
        </w:rPr>
        <w:t>银建-JXYJ（2023）68号</w:t>
      </w:r>
    </w:p>
    <w:p>
      <w:pPr>
        <w:snapToGrid w:val="0"/>
        <w:spacing w:line="360"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color w:val="auto"/>
          <w:sz w:val="18"/>
          <w:szCs w:val="18"/>
          <w:highlight w:val="none"/>
        </w:rPr>
        <w:t>二、</w:t>
      </w:r>
      <w:r>
        <w:rPr>
          <w:rFonts w:hint="eastAsia" w:cs="Arial" w:asciiTheme="minorEastAsia" w:hAnsiTheme="minorEastAsia" w:eastAsiaTheme="minorEastAsia"/>
          <w:b/>
          <w:color w:val="auto"/>
          <w:sz w:val="18"/>
          <w:szCs w:val="18"/>
          <w:highlight w:val="none"/>
        </w:rPr>
        <w:t>采购组织类型：</w:t>
      </w:r>
      <w:r>
        <w:rPr>
          <w:rStyle w:val="52"/>
          <w:rFonts w:hint="eastAsia" w:asciiTheme="minorEastAsia" w:hAnsiTheme="minorEastAsia" w:eastAsiaTheme="minorEastAsia"/>
          <w:b w:val="0"/>
          <w:color w:val="auto"/>
          <w:sz w:val="18"/>
          <w:szCs w:val="18"/>
          <w:highlight w:val="none"/>
        </w:rPr>
        <w:t>分散采购</w:t>
      </w:r>
    </w:p>
    <w:p>
      <w:pPr>
        <w:snapToGri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b/>
          <w:color w:val="auto"/>
          <w:sz w:val="18"/>
          <w:szCs w:val="18"/>
          <w:highlight w:val="none"/>
        </w:rPr>
        <w:t>三、采购方式：</w:t>
      </w:r>
      <w:r>
        <w:rPr>
          <w:rFonts w:hint="eastAsia" w:cs="Arial" w:asciiTheme="minorEastAsia" w:hAnsiTheme="minorEastAsia" w:eastAsiaTheme="minorEastAsia"/>
          <w:color w:val="auto"/>
          <w:sz w:val="18"/>
          <w:szCs w:val="18"/>
          <w:highlight w:val="none"/>
        </w:rPr>
        <w:t>公开招标</w:t>
      </w:r>
    </w:p>
    <w:p>
      <w:pPr>
        <w:snapToGrid w:val="0"/>
        <w:spacing w:line="360" w:lineRule="auto"/>
        <w:rPr>
          <w:rFonts w:hint="eastAsia" w:cs="Arial" w:asciiTheme="minorEastAsia" w:hAnsiTheme="minorEastAsia" w:eastAsiaTheme="minorEastAsia"/>
          <w:color w:val="auto"/>
          <w:sz w:val="18"/>
          <w:szCs w:val="18"/>
          <w:highlight w:val="none"/>
          <w:lang w:eastAsia="zh-CN"/>
        </w:rPr>
      </w:pPr>
      <w:r>
        <w:rPr>
          <w:rFonts w:hint="eastAsia" w:cs="Arial" w:asciiTheme="minorEastAsia" w:hAnsiTheme="minorEastAsia" w:eastAsiaTheme="minorEastAsia"/>
          <w:b/>
          <w:color w:val="auto"/>
          <w:sz w:val="18"/>
          <w:szCs w:val="18"/>
          <w:highlight w:val="none"/>
        </w:rPr>
        <w:t>四、招标项目:</w:t>
      </w:r>
      <w:r>
        <w:rPr>
          <w:rFonts w:hint="eastAsia" w:cs="Arial" w:asciiTheme="minorEastAsia" w:hAnsiTheme="minorEastAsia" w:eastAsiaTheme="minorEastAsia"/>
          <w:color w:val="auto"/>
          <w:sz w:val="18"/>
          <w:szCs w:val="18"/>
          <w:highlight w:val="none"/>
        </w:rPr>
        <w:t xml:space="preserve"> </w:t>
      </w:r>
      <w:r>
        <w:rPr>
          <w:rFonts w:hint="eastAsia" w:cs="Arial" w:asciiTheme="minorEastAsia" w:hAnsiTheme="minorEastAsia" w:eastAsiaTheme="minorEastAsia"/>
          <w:color w:val="auto"/>
          <w:sz w:val="18"/>
          <w:szCs w:val="18"/>
          <w:highlight w:val="none"/>
          <w:lang w:eastAsia="zh-CN"/>
        </w:rPr>
        <w:t>新城街道2024年度区域绿化养护项目</w:t>
      </w:r>
    </w:p>
    <w:p>
      <w:pPr>
        <w:snapToGrid w:val="0"/>
        <w:spacing w:line="360" w:lineRule="auto"/>
        <w:rPr>
          <w:rFonts w:hint="eastAsia" w:cs="Arial" w:asciiTheme="minorEastAsia" w:hAnsiTheme="minorEastAsia" w:eastAsiaTheme="minorEastAsia"/>
          <w:b/>
          <w:color w:val="auto"/>
          <w:sz w:val="18"/>
          <w:szCs w:val="18"/>
          <w:highlight w:val="none"/>
          <w:lang w:val="en-US" w:eastAsia="zh-CN"/>
        </w:rPr>
      </w:pPr>
      <w:r>
        <w:rPr>
          <w:rFonts w:hint="eastAsia" w:cs="Arial" w:asciiTheme="minorEastAsia" w:hAnsiTheme="minorEastAsia" w:eastAsiaTheme="minorEastAsia"/>
          <w:b/>
          <w:color w:val="auto"/>
          <w:sz w:val="18"/>
          <w:szCs w:val="18"/>
          <w:highlight w:val="none"/>
        </w:rPr>
        <w:t>五、采购预算：</w:t>
      </w:r>
      <w:r>
        <w:rPr>
          <w:rFonts w:hint="eastAsia" w:cs="Arial" w:asciiTheme="minorEastAsia" w:hAnsiTheme="minorEastAsia" w:eastAsiaTheme="minorEastAsia"/>
          <w:b w:val="0"/>
          <w:bCs/>
          <w:color w:val="auto"/>
          <w:sz w:val="18"/>
          <w:szCs w:val="18"/>
          <w:highlight w:val="none"/>
        </w:rPr>
        <w:t>25194826.45</w:t>
      </w:r>
      <w:r>
        <w:rPr>
          <w:rFonts w:hint="eastAsia" w:cs="Arial" w:asciiTheme="minorEastAsia" w:hAnsiTheme="minorEastAsia" w:eastAsiaTheme="minorEastAsia"/>
          <w:b w:val="0"/>
          <w:bCs/>
          <w:color w:val="auto"/>
          <w:sz w:val="18"/>
          <w:szCs w:val="18"/>
          <w:highlight w:val="none"/>
          <w:lang w:eastAsia="zh-CN"/>
        </w:rPr>
        <w:t>元。</w:t>
      </w:r>
      <w:r>
        <w:rPr>
          <w:rFonts w:hint="eastAsia" w:cs="Arial" w:asciiTheme="minorEastAsia" w:hAnsiTheme="minorEastAsia" w:eastAsiaTheme="minorEastAsia"/>
          <w:b/>
          <w:color w:val="auto"/>
          <w:sz w:val="18"/>
          <w:szCs w:val="18"/>
          <w:highlight w:val="none"/>
          <w:lang w:eastAsia="zh-CN"/>
        </w:rPr>
        <w:t>控制总价为：</w:t>
      </w:r>
      <w:r>
        <w:rPr>
          <w:rFonts w:hint="eastAsia" w:cs="Arial" w:asciiTheme="minorEastAsia" w:hAnsiTheme="minorEastAsia" w:eastAsiaTheme="minorEastAsia"/>
          <w:color w:val="auto"/>
          <w:sz w:val="18"/>
          <w:szCs w:val="18"/>
          <w:highlight w:val="none"/>
          <w:lang w:val="en-US" w:eastAsia="zh-CN"/>
        </w:rPr>
        <w:t>22365030.2389</w:t>
      </w:r>
      <w:r>
        <w:rPr>
          <w:rFonts w:hint="eastAsia" w:cs="Arial" w:asciiTheme="minorEastAsia" w:hAnsiTheme="minorEastAsia" w:eastAsiaTheme="minorEastAsia"/>
          <w:color w:val="auto"/>
          <w:sz w:val="18"/>
          <w:szCs w:val="18"/>
          <w:highlight w:val="none"/>
        </w:rPr>
        <w:t>元</w:t>
      </w:r>
      <w:r>
        <w:rPr>
          <w:rFonts w:hint="eastAsia" w:cs="Arial" w:asciiTheme="minorEastAsia" w:hAnsiTheme="minorEastAsia" w:eastAsiaTheme="minorEastAsia"/>
          <w:color w:val="auto"/>
          <w:sz w:val="18"/>
          <w:szCs w:val="18"/>
          <w:highlight w:val="none"/>
          <w:lang w:eastAsia="zh-CN"/>
        </w:rPr>
        <w:t>，其中标段一：</w:t>
      </w:r>
      <w:r>
        <w:rPr>
          <w:rFonts w:hint="eastAsia" w:cs="Arial" w:asciiTheme="minorEastAsia" w:hAnsiTheme="minorEastAsia" w:eastAsiaTheme="minorEastAsia"/>
          <w:color w:val="auto"/>
          <w:sz w:val="18"/>
          <w:szCs w:val="18"/>
          <w:highlight w:val="none"/>
          <w:lang w:val="en-US" w:eastAsia="zh-CN"/>
        </w:rPr>
        <w:t>3718512.56元，标段二：4332871.44元，标段三：3380466元</w:t>
      </w:r>
      <w:r>
        <w:rPr>
          <w:rFonts w:hint="eastAsia" w:cs="Arial" w:asciiTheme="minorEastAsia" w:hAnsiTheme="minorEastAsia" w:eastAsiaTheme="minorEastAsia"/>
          <w:color w:val="auto"/>
          <w:sz w:val="18"/>
          <w:szCs w:val="18"/>
          <w:highlight w:val="none"/>
          <w:lang w:eastAsia="zh-CN"/>
        </w:rPr>
        <w:t>，标段四：</w:t>
      </w:r>
      <w:r>
        <w:rPr>
          <w:rFonts w:hint="eastAsia" w:cs="Arial" w:asciiTheme="minorEastAsia" w:hAnsiTheme="minorEastAsia" w:eastAsiaTheme="minorEastAsia"/>
          <w:color w:val="auto"/>
          <w:sz w:val="18"/>
          <w:szCs w:val="18"/>
          <w:highlight w:val="none"/>
          <w:lang w:val="en-US" w:eastAsia="zh-CN"/>
        </w:rPr>
        <w:t>3688584.28元，标段五：3647577.4元，标段六：3597018.5589元</w:t>
      </w:r>
      <w:r>
        <w:rPr>
          <w:rFonts w:hint="eastAsia" w:cs="Arial" w:asciiTheme="minorEastAsia" w:hAnsiTheme="minorEastAsia" w:eastAsiaTheme="minorEastAsia"/>
          <w:color w:val="auto"/>
          <w:sz w:val="18"/>
          <w:szCs w:val="18"/>
          <w:highlight w:val="none"/>
          <w:lang w:eastAsia="zh-CN"/>
        </w:rPr>
        <w:t>。</w:t>
      </w:r>
    </w:p>
    <w:p>
      <w:pPr>
        <w:spacing w:line="360" w:lineRule="auto"/>
        <w:rPr>
          <w:rFonts w:cs="Arial" w:asciiTheme="minorEastAsia" w:hAnsiTheme="minorEastAsia" w:eastAsiaTheme="minorEastAsia"/>
          <w:b/>
          <w:bCs/>
          <w:color w:val="auto"/>
          <w:sz w:val="18"/>
          <w:szCs w:val="18"/>
          <w:highlight w:val="none"/>
        </w:rPr>
      </w:pPr>
      <w:r>
        <w:rPr>
          <w:rFonts w:hint="eastAsia" w:cs="Arial" w:asciiTheme="minorEastAsia" w:hAnsiTheme="minorEastAsia" w:eastAsiaTheme="minorEastAsia"/>
          <w:b/>
          <w:bCs/>
          <w:color w:val="auto"/>
          <w:sz w:val="18"/>
          <w:szCs w:val="18"/>
          <w:highlight w:val="none"/>
        </w:rPr>
        <w:t>六、招标采购内容：</w:t>
      </w:r>
    </w:p>
    <w:tbl>
      <w:tblPr>
        <w:tblStyle w:val="49"/>
        <w:tblW w:w="10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468"/>
        <w:gridCol w:w="2261"/>
        <w:gridCol w:w="1789"/>
        <w:gridCol w:w="2971"/>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项目名称</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服务期</w:t>
            </w:r>
          </w:p>
        </w:tc>
        <w:tc>
          <w:tcPr>
            <w:tcW w:w="1789" w:type="dxa"/>
            <w:tcBorders>
              <w:top w:val="single" w:color="auto" w:sz="4" w:space="0"/>
              <w:left w:val="single" w:color="auto" w:sz="4" w:space="0"/>
              <w:bottom w:val="single" w:color="auto" w:sz="4" w:space="0"/>
              <w:right w:val="single" w:color="auto" w:sz="4" w:space="0"/>
            </w:tcBorders>
            <w:vAlign w:val="top"/>
          </w:tcPr>
          <w:p>
            <w:pPr>
              <w:snapToGrid w:val="0"/>
              <w:spacing w:line="430" w:lineRule="exact"/>
              <w:jc w:val="center"/>
              <w:rPr>
                <w:rFonts w:hint="eastAsia" w:asciiTheme="minorEastAsia" w:hAnsiTheme="minorEastAsia" w:eastAsiaTheme="minorEastAsia"/>
                <w:b/>
                <w:color w:val="auto"/>
                <w:sz w:val="18"/>
                <w:szCs w:val="18"/>
                <w:highlight w:val="none"/>
                <w:lang w:eastAsia="zh-CN"/>
              </w:rPr>
            </w:pPr>
            <w:r>
              <w:rPr>
                <w:rFonts w:hint="eastAsia" w:ascii="微软雅黑" w:hAnsi="微软雅黑" w:eastAsia="微软雅黑"/>
                <w:b/>
                <w:bCs/>
                <w:color w:val="auto"/>
                <w:sz w:val="18"/>
                <w:szCs w:val="18"/>
                <w:highlight w:val="none"/>
                <w:lang w:eastAsia="zh-CN"/>
              </w:rPr>
              <w:t>控制价</w:t>
            </w:r>
          </w:p>
        </w:tc>
        <w:tc>
          <w:tcPr>
            <w:tcW w:w="2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
                <w:color w:val="auto"/>
                <w:sz w:val="18"/>
                <w:szCs w:val="18"/>
                <w:highlight w:val="none"/>
                <w:lang w:eastAsia="zh-CN"/>
              </w:rPr>
            </w:pPr>
            <w:r>
              <w:rPr>
                <w:rFonts w:hint="eastAsia" w:asciiTheme="minorEastAsia" w:hAnsiTheme="minorEastAsia" w:eastAsiaTheme="minorEastAsia"/>
                <w:b/>
                <w:color w:val="auto"/>
                <w:sz w:val="18"/>
                <w:szCs w:val="18"/>
                <w:highlight w:val="none"/>
                <w:lang w:eastAsia="zh-CN"/>
              </w:rPr>
              <w:t>范围</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
                <w:color w:val="auto"/>
                <w:sz w:val="18"/>
                <w:szCs w:val="18"/>
                <w:highlight w:val="none"/>
                <w:lang w:eastAsia="zh-CN"/>
              </w:rPr>
            </w:pPr>
            <w:r>
              <w:rPr>
                <w:rFonts w:hint="eastAsia" w:asciiTheme="minorEastAsia" w:hAnsiTheme="minorEastAsia" w:eastAsiaTheme="minorEastAsia"/>
                <w:b/>
                <w:color w:val="auto"/>
                <w:sz w:val="18"/>
                <w:szCs w:val="18"/>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436" w:type="dxa"/>
            <w:gridSpan w:val="2"/>
            <w:tcBorders>
              <w:top w:val="single" w:color="auto" w:sz="4" w:space="0"/>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新城街道2024年度区域绿化养护项目</w:t>
            </w:r>
          </w:p>
        </w:tc>
        <w:tc>
          <w:tcPr>
            <w:tcW w:w="2261"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heme="minorEastAsia" w:hAnsiTheme="minorEastAsia" w:eastAsiaTheme="minorEastAsia"/>
                <w:color w:val="auto"/>
                <w:sz w:val="18"/>
                <w:szCs w:val="18"/>
                <w:highlight w:val="none"/>
                <w:lang w:val="en-US" w:eastAsia="zh-CN"/>
              </w:rPr>
            </w:pPr>
            <w:r>
              <w:rPr>
                <w:rFonts w:hint="eastAsia" w:asciiTheme="minorEastAsia" w:hAnsiTheme="minorEastAsia" w:eastAsiaTheme="minorEastAsia"/>
                <w:color w:val="auto"/>
                <w:sz w:val="18"/>
                <w:szCs w:val="18"/>
                <w:highlight w:val="none"/>
                <w:lang w:eastAsia="zh-CN"/>
              </w:rPr>
              <w:t>自签订合同之日起至</w:t>
            </w:r>
            <w:r>
              <w:rPr>
                <w:rFonts w:hint="eastAsia" w:asciiTheme="minorEastAsia" w:hAnsiTheme="minorEastAsia" w:eastAsiaTheme="minorEastAsia"/>
                <w:color w:val="auto"/>
                <w:sz w:val="18"/>
                <w:szCs w:val="18"/>
                <w:highlight w:val="none"/>
                <w:lang w:val="en-US" w:eastAsia="zh-CN"/>
              </w:rPr>
              <w:t>2024年12月31日</w:t>
            </w:r>
            <w:r>
              <w:rPr>
                <w:rFonts w:hint="eastAsia" w:asciiTheme="minorEastAsia" w:hAnsiTheme="minorEastAsia" w:eastAsiaTheme="minorEastAsia"/>
                <w:color w:val="auto"/>
                <w:sz w:val="18"/>
                <w:szCs w:val="18"/>
                <w:highlight w:val="none"/>
                <w:lang w:eastAsia="zh-CN"/>
              </w:rPr>
              <w:t>，年度考核优秀经招标人最终确认可续签至202</w:t>
            </w:r>
            <w:r>
              <w:rPr>
                <w:rFonts w:hint="eastAsia" w:asciiTheme="minorEastAsia" w:hAnsiTheme="minorEastAsia" w:eastAsiaTheme="minorEastAsia"/>
                <w:color w:val="auto"/>
                <w:sz w:val="18"/>
                <w:szCs w:val="18"/>
                <w:highlight w:val="none"/>
                <w:lang w:val="en-US" w:eastAsia="zh-CN"/>
              </w:rPr>
              <w:t>5</w:t>
            </w:r>
            <w:r>
              <w:rPr>
                <w:rFonts w:hint="eastAsia" w:asciiTheme="minorEastAsia" w:hAnsiTheme="minorEastAsia" w:eastAsiaTheme="minorEastAsia"/>
                <w:color w:val="auto"/>
                <w:sz w:val="18"/>
                <w:szCs w:val="18"/>
                <w:highlight w:val="none"/>
                <w:lang w:eastAsia="zh-CN"/>
              </w:rPr>
              <w:t>年12月31日。</w:t>
            </w:r>
            <w:r>
              <w:rPr>
                <w:rFonts w:hint="eastAsia" w:asciiTheme="minorEastAsia" w:hAnsiTheme="minorEastAsia" w:eastAsiaTheme="minorEastAsia"/>
                <w:color w:val="auto"/>
                <w:sz w:val="18"/>
                <w:szCs w:val="18"/>
                <w:highlight w:val="none"/>
                <w:lang w:val="en-US" w:eastAsia="zh-CN"/>
              </w:rPr>
              <w:t>2025年年度</w:t>
            </w:r>
            <w:r>
              <w:rPr>
                <w:rFonts w:hint="eastAsia" w:asciiTheme="minorEastAsia" w:hAnsiTheme="minorEastAsia" w:eastAsiaTheme="minorEastAsia"/>
                <w:color w:val="auto"/>
                <w:sz w:val="18"/>
                <w:szCs w:val="18"/>
                <w:highlight w:val="none"/>
                <w:lang w:eastAsia="zh-CN"/>
              </w:rPr>
              <w:t>考核优秀经招标人最终确认可续签至202</w:t>
            </w:r>
            <w:r>
              <w:rPr>
                <w:rFonts w:hint="eastAsia" w:asciiTheme="minorEastAsia" w:hAnsiTheme="minorEastAsia" w:eastAsiaTheme="minorEastAsia"/>
                <w:color w:val="auto"/>
                <w:sz w:val="18"/>
                <w:szCs w:val="18"/>
                <w:highlight w:val="none"/>
                <w:lang w:val="en-US" w:eastAsia="zh-CN"/>
              </w:rPr>
              <w:t>6</w:t>
            </w:r>
            <w:r>
              <w:rPr>
                <w:rFonts w:hint="eastAsia" w:asciiTheme="minorEastAsia" w:hAnsiTheme="minorEastAsia" w:eastAsiaTheme="minorEastAsia"/>
                <w:color w:val="auto"/>
                <w:sz w:val="18"/>
                <w:szCs w:val="18"/>
                <w:highlight w:val="none"/>
                <w:lang w:eastAsia="zh-CN"/>
              </w:rPr>
              <w:t>年12月31日。最多续签</w:t>
            </w:r>
            <w:r>
              <w:rPr>
                <w:rFonts w:hint="eastAsia" w:asciiTheme="minorEastAsia" w:hAnsiTheme="minorEastAsia" w:eastAsiaTheme="minorEastAsia"/>
                <w:color w:val="auto"/>
                <w:sz w:val="18"/>
                <w:szCs w:val="18"/>
                <w:highlight w:val="none"/>
                <w:lang w:val="en-US" w:eastAsia="zh-CN"/>
              </w:rPr>
              <w:t>2年</w:t>
            </w:r>
          </w:p>
        </w:tc>
        <w:tc>
          <w:tcPr>
            <w:tcW w:w="1789"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hint="eastAsia"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lang w:val="en-US" w:eastAsia="zh-CN"/>
              </w:rPr>
              <w:t>22365030.2389</w:t>
            </w:r>
            <w:r>
              <w:rPr>
                <w:rFonts w:hint="eastAsia" w:cs="Arial" w:asciiTheme="minorEastAsia" w:hAnsiTheme="minorEastAsia" w:eastAsiaTheme="minorEastAsia"/>
                <w:color w:val="auto"/>
                <w:sz w:val="18"/>
                <w:szCs w:val="18"/>
                <w:highlight w:val="none"/>
              </w:rPr>
              <w:t>元</w:t>
            </w:r>
          </w:p>
        </w:tc>
        <w:tc>
          <w:tcPr>
            <w:tcW w:w="2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c>
          <w:tcPr>
            <w:tcW w:w="139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val="en-US" w:eastAsia="zh-CN"/>
              </w:rPr>
            </w:pPr>
            <w:r>
              <w:rPr>
                <w:rFonts w:hint="eastAsia" w:asciiTheme="minorEastAsia" w:hAnsiTheme="minorEastAsia" w:eastAsiaTheme="minorEastAsia"/>
                <w:color w:val="auto"/>
                <w:sz w:val="18"/>
                <w:szCs w:val="18"/>
                <w:highlight w:val="none"/>
                <w:lang w:val="en-US" w:eastAsia="zh-CN"/>
              </w:rPr>
              <w:t>本项目划分六个标段，每个投标人只允许中最多1个标项。</w:t>
            </w:r>
          </w:p>
          <w:p>
            <w:pPr>
              <w:pStyle w:val="58"/>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68" w:type="dxa"/>
            <w:vMerge w:val="restart"/>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其中</w:t>
            </w:r>
          </w:p>
        </w:tc>
        <w:tc>
          <w:tcPr>
            <w:tcW w:w="1468" w:type="dxa"/>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标段一</w:t>
            </w:r>
          </w:p>
        </w:tc>
        <w:tc>
          <w:tcPr>
            <w:tcW w:w="2261"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c>
          <w:tcPr>
            <w:tcW w:w="1789"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hint="eastAsia" w:cs="Arial" w:asciiTheme="minorEastAsia" w:hAnsiTheme="minorEastAsia" w:eastAsiaTheme="minorEastAsia"/>
                <w:color w:val="auto"/>
                <w:sz w:val="18"/>
                <w:szCs w:val="18"/>
                <w:highlight w:val="none"/>
                <w:lang w:val="en-US" w:eastAsia="zh-CN"/>
              </w:rPr>
            </w:pPr>
            <w:r>
              <w:rPr>
                <w:rFonts w:hint="eastAsia" w:cs="Arial" w:asciiTheme="minorEastAsia" w:hAnsiTheme="minorEastAsia" w:eastAsiaTheme="minorEastAsia"/>
                <w:color w:val="auto"/>
                <w:sz w:val="18"/>
                <w:szCs w:val="18"/>
                <w:highlight w:val="none"/>
                <w:lang w:val="en-US" w:eastAsia="zh-CN"/>
              </w:rPr>
              <w:t>3718512.56元</w:t>
            </w:r>
          </w:p>
        </w:tc>
        <w:tc>
          <w:tcPr>
            <w:tcW w:w="2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君特口袋公园、永泰广场西侧口袋公园、品质提升—中山西路工程、品质提升—新平路、新秀路、亚厦路、蓬莱路工程</w:t>
            </w:r>
          </w:p>
        </w:tc>
        <w:tc>
          <w:tcPr>
            <w:tcW w:w="1398"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68" w:type="dxa"/>
            <w:vMerge w:val="continue"/>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p>
        </w:tc>
        <w:tc>
          <w:tcPr>
            <w:tcW w:w="1468" w:type="dxa"/>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标段二</w:t>
            </w:r>
          </w:p>
        </w:tc>
        <w:tc>
          <w:tcPr>
            <w:tcW w:w="2261"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c>
          <w:tcPr>
            <w:tcW w:w="1789"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hint="eastAsia" w:cs="Arial" w:asciiTheme="minorEastAsia" w:hAnsiTheme="minorEastAsia" w:eastAsiaTheme="minorEastAsia"/>
                <w:color w:val="auto"/>
                <w:sz w:val="18"/>
                <w:szCs w:val="18"/>
                <w:highlight w:val="none"/>
                <w:lang w:val="en-US" w:eastAsia="zh-CN"/>
              </w:rPr>
            </w:pPr>
            <w:r>
              <w:rPr>
                <w:rFonts w:hint="eastAsia" w:cs="Arial" w:asciiTheme="minorEastAsia" w:hAnsiTheme="minorEastAsia" w:eastAsiaTheme="minorEastAsia"/>
                <w:color w:val="auto"/>
                <w:sz w:val="18"/>
                <w:szCs w:val="18"/>
                <w:highlight w:val="none"/>
                <w:lang w:val="en-US" w:eastAsia="zh-CN"/>
              </w:rPr>
              <w:t>4332871.44元</w:t>
            </w:r>
          </w:p>
        </w:tc>
        <w:tc>
          <w:tcPr>
            <w:tcW w:w="2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大德路北延伸段小公园</w:t>
            </w:r>
            <w:r>
              <w:rPr>
                <w:rFonts w:hint="eastAsia" w:asciiTheme="minorEastAsia" w:hAnsiTheme="minorEastAsia" w:eastAsiaTheme="minorEastAsia"/>
                <w:color w:val="auto"/>
                <w:sz w:val="18"/>
                <w:szCs w:val="18"/>
                <w:highlight w:val="none"/>
                <w:lang w:eastAsia="zh-CN"/>
              </w:rPr>
              <w:t>、景尚雅苑东小公园、东升西路（秀洲大道—新塍塘）</w:t>
            </w:r>
          </w:p>
        </w:tc>
        <w:tc>
          <w:tcPr>
            <w:tcW w:w="1398"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68" w:type="dxa"/>
            <w:vMerge w:val="continue"/>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p>
        </w:tc>
        <w:tc>
          <w:tcPr>
            <w:tcW w:w="1468" w:type="dxa"/>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标段三</w:t>
            </w:r>
          </w:p>
        </w:tc>
        <w:tc>
          <w:tcPr>
            <w:tcW w:w="2261"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c>
          <w:tcPr>
            <w:tcW w:w="1789"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hint="eastAsia" w:cs="Arial" w:asciiTheme="minorEastAsia" w:hAnsiTheme="minorEastAsia" w:eastAsiaTheme="minorEastAsia"/>
                <w:color w:val="auto"/>
                <w:sz w:val="18"/>
                <w:szCs w:val="18"/>
                <w:highlight w:val="none"/>
                <w:lang w:val="en-US" w:eastAsia="zh-CN"/>
              </w:rPr>
            </w:pPr>
            <w:r>
              <w:rPr>
                <w:rFonts w:hint="eastAsia" w:cs="Arial" w:asciiTheme="minorEastAsia" w:hAnsiTheme="minorEastAsia" w:eastAsiaTheme="minorEastAsia"/>
                <w:color w:val="auto"/>
                <w:sz w:val="18"/>
                <w:szCs w:val="18"/>
                <w:highlight w:val="none"/>
                <w:lang w:val="en-US" w:eastAsia="zh-CN"/>
              </w:rPr>
              <w:t>3380466元</w:t>
            </w:r>
          </w:p>
        </w:tc>
        <w:tc>
          <w:tcPr>
            <w:tcW w:w="2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rPr>
              <w:t>秀洲生态公园</w:t>
            </w:r>
            <w:r>
              <w:rPr>
                <w:rFonts w:hint="eastAsia" w:asciiTheme="minorEastAsia" w:hAnsiTheme="minorEastAsia" w:eastAsiaTheme="minorEastAsia"/>
                <w:color w:val="auto"/>
                <w:sz w:val="18"/>
                <w:szCs w:val="18"/>
                <w:highlight w:val="none"/>
                <w:lang w:eastAsia="zh-CN"/>
              </w:rPr>
              <w:t>、秀清公园（北区块）、春晓公园</w:t>
            </w:r>
          </w:p>
        </w:tc>
        <w:tc>
          <w:tcPr>
            <w:tcW w:w="1398"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68" w:type="dxa"/>
            <w:vMerge w:val="continue"/>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p>
        </w:tc>
        <w:tc>
          <w:tcPr>
            <w:tcW w:w="1468" w:type="dxa"/>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标段四</w:t>
            </w:r>
          </w:p>
        </w:tc>
        <w:tc>
          <w:tcPr>
            <w:tcW w:w="2261"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c>
          <w:tcPr>
            <w:tcW w:w="1789"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hint="eastAsia" w:cs="Arial" w:asciiTheme="minorEastAsia" w:hAnsiTheme="minorEastAsia" w:eastAsiaTheme="minorEastAsia"/>
                <w:color w:val="auto"/>
                <w:sz w:val="18"/>
                <w:szCs w:val="18"/>
                <w:highlight w:val="none"/>
                <w:lang w:val="en-US" w:eastAsia="zh-CN"/>
              </w:rPr>
            </w:pPr>
            <w:r>
              <w:rPr>
                <w:rFonts w:hint="eastAsia" w:cs="Arial" w:asciiTheme="minorEastAsia" w:hAnsiTheme="minorEastAsia" w:eastAsiaTheme="minorEastAsia"/>
                <w:color w:val="auto"/>
                <w:sz w:val="18"/>
                <w:szCs w:val="18"/>
                <w:highlight w:val="none"/>
                <w:lang w:val="en-US" w:eastAsia="zh-CN"/>
              </w:rPr>
              <w:t>3688584.28元</w:t>
            </w:r>
          </w:p>
        </w:tc>
        <w:tc>
          <w:tcPr>
            <w:tcW w:w="2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区政府广场、嘉业阳光城、秀洲公园、江南摩尔</w:t>
            </w:r>
          </w:p>
        </w:tc>
        <w:tc>
          <w:tcPr>
            <w:tcW w:w="1398"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68" w:type="dxa"/>
            <w:vMerge w:val="continue"/>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p>
        </w:tc>
        <w:tc>
          <w:tcPr>
            <w:tcW w:w="1468" w:type="dxa"/>
            <w:tcBorders>
              <w:left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标段五</w:t>
            </w:r>
          </w:p>
        </w:tc>
        <w:tc>
          <w:tcPr>
            <w:tcW w:w="2261"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c>
          <w:tcPr>
            <w:tcW w:w="1789"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hint="eastAsia" w:cs="Arial" w:asciiTheme="minorEastAsia" w:hAnsiTheme="minorEastAsia" w:eastAsiaTheme="minorEastAsia"/>
                <w:color w:val="auto"/>
                <w:sz w:val="18"/>
                <w:szCs w:val="18"/>
                <w:highlight w:val="none"/>
                <w:lang w:val="en-US" w:eastAsia="zh-CN"/>
              </w:rPr>
            </w:pPr>
            <w:r>
              <w:rPr>
                <w:rFonts w:hint="eastAsia" w:cs="Arial" w:asciiTheme="minorEastAsia" w:hAnsiTheme="minorEastAsia" w:eastAsiaTheme="minorEastAsia"/>
                <w:color w:val="auto"/>
                <w:sz w:val="18"/>
                <w:szCs w:val="18"/>
                <w:highlight w:val="none"/>
                <w:lang w:val="en-US" w:eastAsia="zh-CN"/>
              </w:rPr>
              <w:t>3647577.4元</w:t>
            </w:r>
          </w:p>
        </w:tc>
        <w:tc>
          <w:tcPr>
            <w:tcW w:w="2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风筝公园一期、风筝公园二期、金盛花园南侧</w:t>
            </w:r>
          </w:p>
        </w:tc>
        <w:tc>
          <w:tcPr>
            <w:tcW w:w="1398"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68" w:type="dxa"/>
            <w:vMerge w:val="continue"/>
            <w:tcBorders>
              <w:left w:val="single" w:color="auto" w:sz="4" w:space="0"/>
              <w:bottom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p>
        </w:tc>
        <w:tc>
          <w:tcPr>
            <w:tcW w:w="1468" w:type="dxa"/>
            <w:tcBorders>
              <w:left w:val="single" w:color="auto" w:sz="4" w:space="0"/>
              <w:bottom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标段六</w:t>
            </w:r>
          </w:p>
        </w:tc>
        <w:tc>
          <w:tcPr>
            <w:tcW w:w="2261"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c>
          <w:tcPr>
            <w:tcW w:w="1789"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hint="eastAsia" w:cs="Arial" w:asciiTheme="minorEastAsia" w:hAnsiTheme="minorEastAsia" w:eastAsiaTheme="minorEastAsia"/>
                <w:color w:val="auto"/>
                <w:sz w:val="18"/>
                <w:szCs w:val="18"/>
                <w:highlight w:val="none"/>
                <w:lang w:val="en-US" w:eastAsia="zh-CN"/>
              </w:rPr>
            </w:pPr>
            <w:r>
              <w:rPr>
                <w:rFonts w:hint="eastAsia" w:cs="Arial" w:asciiTheme="minorEastAsia" w:hAnsiTheme="minorEastAsia" w:eastAsiaTheme="minorEastAsia"/>
                <w:color w:val="auto"/>
                <w:sz w:val="18"/>
                <w:szCs w:val="18"/>
                <w:highlight w:val="none"/>
                <w:lang w:val="en-US" w:eastAsia="zh-CN"/>
              </w:rPr>
              <w:t>3597018.5589元</w:t>
            </w:r>
          </w:p>
        </w:tc>
        <w:tc>
          <w:tcPr>
            <w:tcW w:w="2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eastAsia="zh-CN"/>
              </w:rPr>
              <w:t>殷秀路绿地、殷秀路及洪高路绿道、杭州塘与北郊河东岸绿地</w:t>
            </w:r>
          </w:p>
        </w:tc>
        <w:tc>
          <w:tcPr>
            <w:tcW w:w="1398"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 w:val="18"/>
                <w:szCs w:val="18"/>
                <w:highlight w:val="none"/>
                <w:lang w:eastAsia="zh-CN"/>
              </w:rPr>
            </w:pPr>
          </w:p>
        </w:tc>
      </w:tr>
    </w:tbl>
    <w:p>
      <w:pPr>
        <w:spacing w:line="360" w:lineRule="auto"/>
        <w:rPr>
          <w:rFonts w:hint="default" w:cs="Arial" w:asciiTheme="minorEastAsia" w:hAnsiTheme="minorEastAsia" w:eastAsiaTheme="minorEastAsia"/>
          <w:b/>
          <w:bCs/>
          <w:color w:val="auto"/>
          <w:sz w:val="18"/>
          <w:szCs w:val="18"/>
          <w:highlight w:val="none"/>
          <w:lang w:val="en-US" w:eastAsia="zh-CN"/>
        </w:rPr>
      </w:pPr>
      <w:r>
        <w:rPr>
          <w:rFonts w:hint="eastAsia" w:cs="Arial" w:asciiTheme="minorEastAsia" w:hAnsiTheme="minorEastAsia" w:eastAsiaTheme="minorEastAsia"/>
          <w:b/>
          <w:bCs/>
          <w:color w:val="auto"/>
          <w:sz w:val="18"/>
          <w:szCs w:val="18"/>
          <w:highlight w:val="none"/>
          <w:lang w:val="en-US" w:eastAsia="zh-CN"/>
        </w:rPr>
        <w:t>注：若某一标段的中标候选人在公示期间因质疑、投诉等原因导致本标段重新招标的，则仅对该标段重新招标，其他标段不再变动或重新招标。</w:t>
      </w:r>
    </w:p>
    <w:p>
      <w:pPr>
        <w:spacing w:line="360" w:lineRule="auto"/>
        <w:rPr>
          <w:rFonts w:cs="Arial" w:asciiTheme="minorEastAsia" w:hAnsiTheme="minorEastAsia" w:eastAsiaTheme="minorEastAsia"/>
          <w:b/>
          <w:bCs/>
          <w:color w:val="auto"/>
          <w:sz w:val="18"/>
          <w:szCs w:val="18"/>
          <w:highlight w:val="none"/>
        </w:rPr>
      </w:pPr>
      <w:r>
        <w:rPr>
          <w:rFonts w:hint="eastAsia" w:cs="Arial" w:asciiTheme="minorEastAsia" w:hAnsiTheme="minorEastAsia" w:eastAsiaTheme="minorEastAsia"/>
          <w:b/>
          <w:bCs/>
          <w:color w:val="auto"/>
          <w:sz w:val="18"/>
          <w:szCs w:val="18"/>
          <w:highlight w:val="none"/>
        </w:rPr>
        <w:t>七、合格供应商的资格要求</w:t>
      </w:r>
    </w:p>
    <w:p>
      <w:pPr>
        <w:wordWrap w:val="0"/>
        <w:spacing w:line="360" w:lineRule="auto"/>
        <w:ind w:firstLine="482"/>
        <w:rPr>
          <w:rFonts w:hint="eastAsia" w:ascii="宋体" w:hAnsi="宋体" w:eastAsia="宋体" w:cs="宋体"/>
          <w:snapToGrid w:val="0"/>
          <w:color w:val="auto"/>
          <w:kern w:val="28"/>
          <w:sz w:val="18"/>
          <w:szCs w:val="18"/>
          <w:highlight w:val="none"/>
        </w:rPr>
      </w:pPr>
      <w:r>
        <w:rPr>
          <w:rFonts w:hint="eastAsia" w:ascii="宋体" w:hAnsi="宋体" w:eastAsia="宋体" w:cs="宋体"/>
          <w:snapToGrid w:val="0"/>
          <w:color w:val="auto"/>
          <w:kern w:val="28"/>
          <w:sz w:val="18"/>
          <w:szCs w:val="18"/>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18"/>
          <w:szCs w:val="18"/>
          <w:highlight w:val="none"/>
        </w:rPr>
      </w:pPr>
      <w:r>
        <w:rPr>
          <w:rFonts w:hint="eastAsia" w:ascii="宋体" w:hAnsi="宋体" w:eastAsia="宋体" w:cs="宋体"/>
          <w:snapToGrid w:val="0"/>
          <w:color w:val="auto"/>
          <w:kern w:val="28"/>
          <w:sz w:val="18"/>
          <w:szCs w:val="18"/>
          <w:highlight w:val="none"/>
        </w:rPr>
        <w:t xml:space="preserve">    2.落实政府采购政策需满足的资格要求：</w:t>
      </w:r>
    </w:p>
    <w:sdt>
      <w:sdtPr>
        <w:rPr>
          <w:rFonts w:hint="eastAsia" w:ascii="宋体" w:hAnsi="宋体" w:eastAsia="宋体" w:cs="宋体"/>
          <w:color w:val="auto"/>
          <w:kern w:val="0"/>
          <w:sz w:val="18"/>
          <w:szCs w:val="18"/>
          <w:highlight w:val="none"/>
        </w:rPr>
        <w:id w:val="-1024704304"/>
      </w:sdtPr>
      <w:sdtEndPr>
        <w:rPr>
          <w:rFonts w:hint="eastAsia" w:ascii="宋体" w:hAnsi="宋体" w:eastAsia="宋体" w:cs="宋体"/>
          <w:color w:val="auto"/>
          <w:kern w:val="0"/>
          <w:sz w:val="18"/>
          <w:szCs w:val="18"/>
          <w:highlight w:val="none"/>
        </w:rPr>
      </w:sdtEndPr>
      <w:sdtContent>
        <w:p>
          <w:pPr>
            <w:spacing w:line="360" w:lineRule="auto"/>
            <w:ind w:firstLine="360" w:firstLineChars="200"/>
            <w:rPr>
              <w:rFonts w:hint="eastAsia" w:ascii="宋体" w:hAnsi="宋体" w:eastAsia="宋体" w:cs="宋体"/>
              <w:color w:val="auto"/>
              <w:sz w:val="18"/>
              <w:szCs w:val="18"/>
              <w:highlight w:val="none"/>
            </w:rPr>
          </w:pPr>
          <w:sdt>
            <w:sdtPr>
              <w:rPr>
                <w:rFonts w:hint="eastAsia" w:ascii="宋体" w:hAnsi="宋体" w:eastAsia="宋体" w:cs="宋体"/>
                <w:color w:val="auto"/>
                <w:kern w:val="0"/>
                <w:sz w:val="18"/>
                <w:szCs w:val="18"/>
                <w:highlight w:val="none"/>
              </w:rPr>
              <w:id w:val="1928616923"/>
            </w:sdtPr>
            <w:sdtEndPr>
              <w:rPr>
                <w:rFonts w:hint="eastAsia" w:ascii="宋体" w:hAnsi="宋体" w:eastAsia="宋体" w:cs="宋体"/>
                <w:color w:val="auto"/>
                <w:kern w:val="0"/>
                <w:sz w:val="18"/>
                <w:szCs w:val="18"/>
                <w:highlight w:val="none"/>
              </w:rPr>
            </w:sdtEndPr>
            <w:sdtContent>
              <w:r>
                <w:rPr>
                  <w:rFonts w:hint="eastAsia" w:ascii="宋体" w:hAnsi="宋体" w:eastAsia="宋体" w:cs="宋体"/>
                  <w:color w:val="auto"/>
                  <w:kern w:val="0"/>
                  <w:sz w:val="18"/>
                  <w:szCs w:val="18"/>
                  <w:highlight w:val="none"/>
                </w:rPr>
                <w:sym w:font="Wingdings" w:char="00A8"/>
              </w:r>
            </w:sdtContent>
          </w:sdt>
          <w:r>
            <w:rPr>
              <w:rFonts w:hint="eastAsia" w:ascii="宋体" w:hAnsi="宋体" w:eastAsia="宋体" w:cs="宋体"/>
              <w:color w:val="auto"/>
              <w:sz w:val="18"/>
              <w:szCs w:val="18"/>
              <w:highlight w:val="none"/>
            </w:rPr>
            <w:t xml:space="preserve">无； </w:t>
          </w:r>
        </w:p>
        <w:p>
          <w:pPr>
            <w:spacing w:line="360" w:lineRule="auto"/>
            <w:ind w:firstLine="360" w:firstLineChars="200"/>
            <w:rPr>
              <w:rFonts w:hint="eastAsia" w:ascii="宋体" w:hAnsi="宋体" w:eastAsia="宋体" w:cs="宋体"/>
              <w:color w:val="auto"/>
              <w:sz w:val="18"/>
              <w:szCs w:val="18"/>
              <w:highlight w:val="none"/>
            </w:rPr>
          </w:pPr>
          <w:sdt>
            <w:sdtPr>
              <w:rPr>
                <w:rFonts w:hint="eastAsia" w:ascii="宋体" w:hAnsi="宋体" w:eastAsia="宋体" w:cs="宋体"/>
                <w:color w:val="auto"/>
                <w:kern w:val="0"/>
                <w:sz w:val="18"/>
                <w:szCs w:val="18"/>
                <w:highlight w:val="none"/>
              </w:rPr>
              <w:id w:val="1928616923"/>
            </w:sdtPr>
            <w:sdtEndPr>
              <w:rPr>
                <w:rFonts w:hint="eastAsia" w:ascii="宋体" w:hAnsi="宋体" w:eastAsia="宋体" w:cs="宋体"/>
                <w:color w:val="auto"/>
                <w:kern w:val="0"/>
                <w:sz w:val="18"/>
                <w:szCs w:val="18"/>
                <w:highlight w:val="none"/>
              </w:rPr>
            </w:sdtEndPr>
            <w:sdtContent>
              <w:r>
                <w:rPr>
                  <w:rFonts w:hint="eastAsia" w:ascii="宋体" w:hAnsi="宋体" w:eastAsia="宋体" w:cs="宋体"/>
                  <w:color w:val="auto"/>
                  <w:kern w:val="0"/>
                  <w:sz w:val="18"/>
                  <w:szCs w:val="18"/>
                  <w:highlight w:val="none"/>
                </w:rPr>
                <w:sym w:font="Wingdings" w:char="00FE"/>
              </w:r>
            </w:sdtContent>
          </w:sdt>
          <w:r>
            <w:rPr>
              <w:rFonts w:hint="eastAsia" w:ascii="宋体" w:hAnsi="宋体" w:eastAsia="宋体" w:cs="宋体"/>
              <w:color w:val="auto"/>
              <w:kern w:val="0"/>
              <w:sz w:val="18"/>
              <w:szCs w:val="18"/>
              <w:highlight w:val="none"/>
            </w:rPr>
            <w:t>专</w:t>
          </w:r>
          <w:r>
            <w:rPr>
              <w:rFonts w:hint="eastAsia" w:ascii="宋体" w:hAnsi="宋体" w:eastAsia="宋体" w:cs="宋体"/>
              <w:color w:val="auto"/>
              <w:sz w:val="18"/>
              <w:szCs w:val="18"/>
              <w:highlight w:val="none"/>
            </w:rPr>
            <w:t>门面向中小企业</w:t>
          </w:r>
        </w:p>
        <w:p>
          <w:pPr>
            <w:spacing w:line="360" w:lineRule="auto"/>
            <w:ind w:firstLine="720" w:firstLineChars="400"/>
            <w:rPr>
              <w:rFonts w:hint="eastAsia" w:ascii="宋体" w:hAnsi="宋体" w:eastAsia="宋体" w:cs="宋体"/>
              <w:color w:val="auto"/>
              <w:sz w:val="18"/>
              <w:szCs w:val="18"/>
              <w:highlight w:val="none"/>
            </w:rPr>
          </w:pPr>
          <w:sdt>
            <w:sdtPr>
              <w:rPr>
                <w:rFonts w:hint="eastAsia" w:ascii="宋体" w:hAnsi="宋体" w:eastAsia="宋体" w:cs="宋体"/>
                <w:color w:val="auto"/>
                <w:kern w:val="0"/>
                <w:sz w:val="18"/>
                <w:szCs w:val="18"/>
                <w:highlight w:val="none"/>
              </w:rPr>
              <w:id w:val="-924730588"/>
            </w:sdtPr>
            <w:sdtEndPr>
              <w:rPr>
                <w:rFonts w:hint="eastAsia" w:ascii="宋体" w:hAnsi="宋体" w:eastAsia="宋体" w:cs="宋体"/>
                <w:color w:val="auto"/>
                <w:kern w:val="0"/>
                <w:sz w:val="18"/>
                <w:szCs w:val="18"/>
                <w:highlight w:val="none"/>
              </w:rPr>
            </w:sdtEndPr>
            <w:sdtContent>
              <w:sdt>
                <w:sdtPr>
                  <w:rPr>
                    <w:rFonts w:hint="eastAsia" w:ascii="宋体" w:hAnsi="宋体" w:eastAsia="宋体" w:cs="宋体"/>
                    <w:color w:val="auto"/>
                    <w:kern w:val="0"/>
                    <w:sz w:val="18"/>
                    <w:szCs w:val="18"/>
                    <w:highlight w:val="none"/>
                  </w:rPr>
                  <w:id w:val="1928616923"/>
                </w:sdtPr>
                <w:sdtEndPr>
                  <w:rPr>
                    <w:rFonts w:hint="eastAsia" w:ascii="宋体" w:hAnsi="宋体" w:eastAsia="宋体" w:cs="宋体"/>
                    <w:color w:val="auto"/>
                    <w:kern w:val="0"/>
                    <w:sz w:val="18"/>
                    <w:szCs w:val="18"/>
                    <w:highlight w:val="none"/>
                  </w:rPr>
                </w:sdtEndPr>
                <w:sdtContent>
                  <w:r>
                    <w:rPr>
                      <w:rFonts w:hint="eastAsia" w:ascii="宋体" w:hAnsi="宋体" w:eastAsia="宋体" w:cs="宋体"/>
                      <w:color w:val="auto"/>
                      <w:kern w:val="0"/>
                      <w:sz w:val="18"/>
                      <w:szCs w:val="18"/>
                      <w:highlight w:val="none"/>
                    </w:rPr>
                    <w:sym w:font="Wingdings" w:char="00A8"/>
                  </w:r>
                </w:sdtContent>
              </w:sdt>
            </w:sdtContent>
          </w:sdt>
          <w:r>
            <w:rPr>
              <w:rFonts w:hint="eastAsia" w:ascii="宋体" w:hAnsi="宋体" w:eastAsia="宋体" w:cs="宋体"/>
              <w:color w:val="auto"/>
              <w:sz w:val="18"/>
              <w:szCs w:val="18"/>
              <w:highlight w:val="none"/>
            </w:rPr>
            <w:t>货物全部由符合政策要求的中小企业制造，提供中小企业声明函；</w:t>
          </w:r>
        </w:p>
        <w:p>
          <w:pPr>
            <w:spacing w:line="360" w:lineRule="auto"/>
            <w:ind w:firstLine="720" w:firstLineChars="400"/>
            <w:rPr>
              <w:rFonts w:hint="eastAsia" w:ascii="宋体" w:hAnsi="宋体" w:eastAsia="宋体" w:cs="宋体"/>
              <w:color w:val="auto"/>
              <w:sz w:val="18"/>
              <w:szCs w:val="18"/>
              <w:highlight w:val="none"/>
            </w:rPr>
          </w:pPr>
          <w:sdt>
            <w:sdtPr>
              <w:rPr>
                <w:rFonts w:hint="eastAsia" w:ascii="宋体" w:hAnsi="宋体" w:eastAsia="宋体" w:cs="宋体"/>
                <w:color w:val="auto"/>
                <w:kern w:val="0"/>
                <w:sz w:val="18"/>
                <w:szCs w:val="18"/>
                <w:highlight w:val="none"/>
              </w:rPr>
              <w:id w:val="-1152604937"/>
            </w:sdtPr>
            <w:sdtEndPr>
              <w:rPr>
                <w:rFonts w:hint="eastAsia" w:ascii="宋体" w:hAnsi="宋体" w:eastAsia="宋体" w:cs="宋体"/>
                <w:color w:val="auto"/>
                <w:kern w:val="0"/>
                <w:sz w:val="18"/>
                <w:szCs w:val="18"/>
                <w:highlight w:val="none"/>
              </w:rPr>
            </w:sdtEndPr>
            <w:sdtContent>
              <w:sdt>
                <w:sdtPr>
                  <w:rPr>
                    <w:rFonts w:hint="eastAsia" w:ascii="宋体" w:hAnsi="宋体" w:eastAsia="宋体" w:cs="宋体"/>
                    <w:color w:val="auto"/>
                    <w:kern w:val="0"/>
                    <w:sz w:val="18"/>
                    <w:szCs w:val="18"/>
                    <w:highlight w:val="none"/>
                  </w:rPr>
                  <w:id w:val="1928616923"/>
                </w:sdtPr>
                <w:sdtEndPr>
                  <w:rPr>
                    <w:rFonts w:hint="eastAsia" w:ascii="宋体" w:hAnsi="宋体" w:eastAsia="宋体" w:cs="宋体"/>
                    <w:color w:val="auto"/>
                    <w:kern w:val="0"/>
                    <w:sz w:val="18"/>
                    <w:szCs w:val="18"/>
                    <w:highlight w:val="none"/>
                  </w:rPr>
                </w:sdtEndPr>
                <w:sdtContent>
                  <w:r>
                    <w:rPr>
                      <w:rFonts w:hint="eastAsia" w:ascii="宋体" w:hAnsi="宋体" w:eastAsia="宋体" w:cs="宋体"/>
                      <w:color w:val="auto"/>
                      <w:kern w:val="0"/>
                      <w:sz w:val="18"/>
                      <w:szCs w:val="18"/>
                      <w:highlight w:val="none"/>
                    </w:rPr>
                    <w:sym w:font="Wingdings" w:char="00A8"/>
                  </w:r>
                </w:sdtContent>
              </w:sdt>
            </w:sdtContent>
          </w:sdt>
          <w:r>
            <w:rPr>
              <w:rFonts w:hint="eastAsia" w:ascii="宋体" w:hAnsi="宋体" w:eastAsia="宋体" w:cs="宋体"/>
              <w:color w:val="auto"/>
              <w:sz w:val="18"/>
              <w:szCs w:val="18"/>
              <w:highlight w:val="none"/>
            </w:rPr>
            <w:t>货物全部由符合政策要求的小微企业制造，提供中小企业声明函；</w:t>
          </w:r>
        </w:p>
        <w:p>
          <w:pPr>
            <w:spacing w:line="360" w:lineRule="auto"/>
            <w:ind w:firstLine="720" w:firstLineChars="400"/>
            <w:rPr>
              <w:rFonts w:hint="eastAsia" w:ascii="宋体" w:hAnsi="宋体" w:eastAsia="宋体" w:cs="宋体"/>
              <w:color w:val="auto"/>
              <w:sz w:val="18"/>
              <w:szCs w:val="18"/>
              <w:highlight w:val="none"/>
            </w:rPr>
          </w:pPr>
          <w:sdt>
            <w:sdtPr>
              <w:rPr>
                <w:rFonts w:hint="eastAsia" w:ascii="宋体" w:hAnsi="宋体" w:eastAsia="宋体" w:cs="宋体"/>
                <w:color w:val="auto"/>
                <w:kern w:val="0"/>
                <w:sz w:val="18"/>
                <w:szCs w:val="18"/>
                <w:highlight w:val="none"/>
              </w:rPr>
              <w:id w:val="1928616923"/>
            </w:sdtPr>
            <w:sdtEndPr>
              <w:rPr>
                <w:rFonts w:hint="eastAsia" w:ascii="宋体" w:hAnsi="宋体" w:eastAsia="宋体" w:cs="宋体"/>
                <w:color w:val="auto"/>
                <w:kern w:val="0"/>
                <w:sz w:val="18"/>
                <w:szCs w:val="18"/>
                <w:highlight w:val="none"/>
              </w:rPr>
            </w:sdtEndPr>
            <w:sdtContent>
              <w:r>
                <w:rPr>
                  <w:rFonts w:hint="eastAsia" w:ascii="宋体" w:hAnsi="宋体" w:eastAsia="宋体" w:cs="宋体"/>
                  <w:color w:val="auto"/>
                  <w:kern w:val="0"/>
                  <w:sz w:val="18"/>
                  <w:szCs w:val="18"/>
                  <w:highlight w:val="none"/>
                </w:rPr>
                <w:sym w:font="Wingdings" w:char="00FE"/>
              </w:r>
            </w:sdtContent>
          </w:sdt>
          <w:sdt>
            <w:sdtPr>
              <w:rPr>
                <w:rFonts w:hint="eastAsia" w:ascii="宋体" w:hAnsi="宋体" w:eastAsia="宋体" w:cs="宋体"/>
                <w:color w:val="auto"/>
                <w:kern w:val="0"/>
                <w:sz w:val="18"/>
                <w:szCs w:val="18"/>
                <w:highlight w:val="none"/>
              </w:rPr>
              <w:id w:val="-333685401"/>
            </w:sdtPr>
            <w:sdtEndPr>
              <w:rPr>
                <w:rFonts w:hint="eastAsia" w:ascii="宋体" w:hAnsi="宋体" w:eastAsia="宋体" w:cs="宋体"/>
                <w:color w:val="auto"/>
                <w:kern w:val="0"/>
                <w:sz w:val="18"/>
                <w:szCs w:val="18"/>
                <w:highlight w:val="none"/>
              </w:rPr>
            </w:sdtEndPr>
            <w:sdtContent/>
          </w:sdt>
          <w:r>
            <w:rPr>
              <w:rFonts w:hint="eastAsia" w:ascii="宋体" w:hAnsi="宋体" w:eastAsia="宋体" w:cs="宋体"/>
              <w:color w:val="auto"/>
              <w:sz w:val="18"/>
              <w:szCs w:val="18"/>
              <w:highlight w:val="none"/>
            </w:rPr>
            <w:t>服务全部由符合政策要求的中小企业承接，提供中小企业声明函；</w:t>
          </w:r>
        </w:p>
        <w:p>
          <w:pPr>
            <w:spacing w:line="360" w:lineRule="auto"/>
            <w:ind w:firstLine="720" w:firstLineChars="400"/>
            <w:rPr>
              <w:rFonts w:hint="eastAsia" w:ascii="宋体" w:hAnsi="宋体" w:eastAsia="宋体" w:cs="宋体"/>
              <w:color w:val="auto"/>
              <w:kern w:val="0"/>
              <w:sz w:val="18"/>
              <w:szCs w:val="18"/>
              <w:highlight w:val="none"/>
            </w:rPr>
          </w:pPr>
          <w:sdt>
            <w:sdtPr>
              <w:rPr>
                <w:rFonts w:hint="eastAsia" w:ascii="宋体" w:hAnsi="宋体" w:eastAsia="宋体" w:cs="宋体"/>
                <w:color w:val="auto"/>
                <w:kern w:val="0"/>
                <w:sz w:val="18"/>
                <w:szCs w:val="18"/>
                <w:highlight w:val="none"/>
              </w:rPr>
              <w:id w:val="1928616923"/>
            </w:sdtPr>
            <w:sdtEndPr>
              <w:rPr>
                <w:rFonts w:hint="eastAsia" w:ascii="宋体" w:hAnsi="宋体" w:eastAsia="宋体" w:cs="宋体"/>
                <w:color w:val="auto"/>
                <w:kern w:val="0"/>
                <w:sz w:val="18"/>
                <w:szCs w:val="18"/>
                <w:highlight w:val="none"/>
              </w:rPr>
            </w:sdtEndPr>
            <w:sdtContent>
              <w:r>
                <w:rPr>
                  <w:rFonts w:hint="eastAsia" w:ascii="宋体" w:hAnsi="宋体" w:eastAsia="宋体" w:cs="宋体"/>
                  <w:color w:val="auto"/>
                  <w:kern w:val="0"/>
                  <w:sz w:val="18"/>
                  <w:szCs w:val="18"/>
                  <w:highlight w:val="none"/>
                </w:rPr>
                <w:sym w:font="Wingdings" w:char="00FE"/>
              </w:r>
            </w:sdtContent>
          </w:sdt>
          <w:sdt>
            <w:sdtPr>
              <w:rPr>
                <w:rFonts w:hint="eastAsia" w:ascii="宋体" w:hAnsi="宋体" w:eastAsia="宋体" w:cs="宋体"/>
                <w:color w:val="auto"/>
                <w:kern w:val="0"/>
                <w:sz w:val="18"/>
                <w:szCs w:val="18"/>
                <w:highlight w:val="none"/>
              </w:rPr>
              <w:id w:val="-2141025358"/>
              <w:showingPlcHdr/>
            </w:sdtPr>
            <w:sdtEndPr>
              <w:rPr>
                <w:rFonts w:hint="eastAsia" w:ascii="宋体" w:hAnsi="宋体" w:eastAsia="宋体" w:cs="宋体"/>
                <w:color w:val="auto"/>
                <w:kern w:val="0"/>
                <w:sz w:val="18"/>
                <w:szCs w:val="18"/>
                <w:highlight w:val="none"/>
              </w:rPr>
            </w:sdtEndPr>
            <w:sdtContent/>
          </w:sdt>
          <w:r>
            <w:rPr>
              <w:rFonts w:hint="eastAsia" w:ascii="宋体" w:hAnsi="宋体" w:eastAsia="宋体" w:cs="宋体"/>
              <w:color w:val="auto"/>
              <w:sz w:val="18"/>
              <w:szCs w:val="18"/>
              <w:highlight w:val="none"/>
            </w:rPr>
            <w:t>服务全部由符合政策要求的小微企业承接，提供中小企业声明函；</w:t>
          </w:r>
        </w:p>
      </w:sdtContent>
    </w:sdt>
    <w:p>
      <w:pPr>
        <w:spacing w:line="360" w:lineRule="auto"/>
        <w:ind w:firstLine="360" w:firstLineChars="200"/>
        <w:rPr>
          <w:rFonts w:hint="eastAsia" w:ascii="宋体" w:hAnsi="宋体" w:eastAsia="宋体" w:cs="宋体"/>
          <w:color w:val="auto"/>
          <w:sz w:val="18"/>
          <w:szCs w:val="18"/>
          <w:highlight w:val="none"/>
        </w:rPr>
      </w:pPr>
      <w:sdt>
        <w:sdtPr>
          <w:rPr>
            <w:rFonts w:hint="eastAsia" w:ascii="宋体" w:hAnsi="宋体" w:eastAsia="宋体" w:cs="宋体"/>
            <w:color w:val="auto"/>
            <w:kern w:val="0"/>
            <w:sz w:val="18"/>
            <w:szCs w:val="18"/>
            <w:highlight w:val="none"/>
          </w:rPr>
          <w:id w:val="1928616923"/>
        </w:sdtPr>
        <w:sdtEndPr>
          <w:rPr>
            <w:rFonts w:hint="eastAsia" w:ascii="宋体" w:hAnsi="宋体" w:eastAsia="宋体" w:cs="宋体"/>
            <w:color w:val="auto"/>
            <w:kern w:val="0"/>
            <w:sz w:val="18"/>
            <w:szCs w:val="18"/>
            <w:highlight w:val="none"/>
          </w:rPr>
        </w:sdtEndPr>
        <w:sdtContent>
          <w:r>
            <w:rPr>
              <w:rFonts w:hint="eastAsia" w:ascii="宋体" w:hAnsi="宋体" w:eastAsia="宋体" w:cs="宋体"/>
              <w:color w:val="auto"/>
              <w:kern w:val="0"/>
              <w:sz w:val="18"/>
              <w:szCs w:val="18"/>
              <w:highlight w:val="none"/>
            </w:rPr>
            <w:sym w:font="Wingdings" w:char="00A8"/>
          </w:r>
        </w:sdtContent>
      </w:sdt>
      <w:r>
        <w:rPr>
          <w:rFonts w:hint="eastAsia" w:ascii="宋体" w:hAnsi="宋体" w:eastAsia="宋体" w:cs="宋体"/>
          <w:color w:val="auto"/>
          <w:sz w:val="18"/>
          <w:szCs w:val="18"/>
          <w:highlight w:val="none"/>
        </w:rPr>
        <w:t>要求以联合体形式参加，提供联合协议和中小企业声明函，联合协议中中小企业合同</w:t>
      </w:r>
      <w:r>
        <w:rPr>
          <w:rFonts w:hint="eastAsia" w:ascii="宋体" w:hAnsi="宋体" w:eastAsia="宋体" w:cs="宋体"/>
          <w:color w:val="auto"/>
          <w:sz w:val="18"/>
          <w:szCs w:val="18"/>
          <w:highlight w:val="none"/>
          <w:lang w:val="en-US" w:eastAsia="zh-CN"/>
        </w:rPr>
        <w:t xml:space="preserve"> </w:t>
      </w:r>
      <w:r>
        <w:rPr>
          <w:rFonts w:hint="eastAsia" w:ascii="宋体" w:hAnsi="宋体" w:eastAsia="宋体" w:cs="宋体"/>
          <w:color w:val="auto"/>
          <w:sz w:val="18"/>
          <w:szCs w:val="18"/>
          <w:highlight w:val="none"/>
        </w:rPr>
        <w:t>金额应当达到%，小微企业合同金额应当达到%;如果供应商本身提供所有标的均由中小企业制造、承建或承接，视同符合了资格条件，无需再与其他中小企业组成联合体参加政府采购活动，无需提供联合协议；</w:t>
      </w:r>
    </w:p>
    <w:p>
      <w:pPr>
        <w:spacing w:line="360" w:lineRule="auto"/>
        <w:ind w:firstLine="360" w:firstLineChars="200"/>
        <w:rPr>
          <w:rFonts w:hint="eastAsia" w:ascii="宋体" w:hAnsi="宋体" w:eastAsia="宋体" w:cs="宋体"/>
          <w:b/>
          <w:bCs/>
          <w:color w:val="auto"/>
          <w:sz w:val="18"/>
          <w:szCs w:val="18"/>
          <w:highlight w:val="none"/>
        </w:rPr>
      </w:pPr>
      <w:sdt>
        <w:sdtPr>
          <w:rPr>
            <w:rFonts w:hint="eastAsia" w:ascii="宋体" w:hAnsi="宋体" w:eastAsia="宋体" w:cs="宋体"/>
            <w:color w:val="auto"/>
            <w:kern w:val="0"/>
            <w:sz w:val="18"/>
            <w:szCs w:val="18"/>
            <w:highlight w:val="none"/>
          </w:rPr>
          <w:id w:val="1928616923"/>
        </w:sdtPr>
        <w:sdtEndPr>
          <w:rPr>
            <w:rFonts w:hint="eastAsia" w:ascii="宋体" w:hAnsi="宋体" w:eastAsia="宋体" w:cs="宋体"/>
            <w:color w:val="auto"/>
            <w:kern w:val="0"/>
            <w:sz w:val="18"/>
            <w:szCs w:val="18"/>
            <w:highlight w:val="none"/>
          </w:rPr>
        </w:sdtEndPr>
        <w:sdtContent>
          <w:r>
            <w:rPr>
              <w:rFonts w:hint="eastAsia" w:ascii="宋体" w:hAnsi="宋体" w:eastAsia="宋体" w:cs="宋体"/>
              <w:color w:val="auto"/>
              <w:kern w:val="0"/>
              <w:sz w:val="18"/>
              <w:szCs w:val="18"/>
              <w:highlight w:val="none"/>
            </w:rPr>
            <w:sym w:font="Wingdings" w:char="00A8"/>
          </w:r>
        </w:sdtContent>
      </w:sdt>
      <w:r>
        <w:rPr>
          <w:rFonts w:hint="eastAsia" w:ascii="宋体" w:hAnsi="宋体" w:eastAsia="宋体" w:cs="宋体"/>
          <w:color w:val="auto"/>
          <w:sz w:val="18"/>
          <w:szCs w:val="18"/>
          <w:highlight w:val="none"/>
        </w:rPr>
        <w:t>要求合同分包，提供分包意向协议和中小企业声明函，分包意向协议中中小企业合同金额应当达到达到% ，小微企业合同金额应当达到% ;如果供应商本身提供所有标的均由中小企业制造、承建或承接，视同符合了资格条件，无需再向中小企业分包，无需提供分包意向协议；</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3.本项目的特定资格要求：</w:t>
      </w:r>
      <w:r>
        <w:rPr>
          <w:rFonts w:hint="eastAsia" w:ascii="宋体" w:hAnsi="宋体" w:eastAsia="宋体" w:cs="宋体"/>
          <w:color w:val="auto"/>
          <w:sz w:val="18"/>
          <w:szCs w:val="18"/>
          <w:highlight w:val="none"/>
          <w:u w:val="single"/>
        </w:rPr>
        <w:t xml:space="preserve"> </w:t>
      </w:r>
      <w:r>
        <w:rPr>
          <w:rFonts w:hint="eastAsia" w:ascii="宋体" w:hAnsi="宋体" w:cs="宋体"/>
          <w:b/>
          <w:bCs/>
          <w:color w:val="auto"/>
          <w:sz w:val="18"/>
          <w:szCs w:val="18"/>
          <w:highlight w:val="none"/>
          <w:u w:val="single"/>
          <w:lang w:val="en-US" w:eastAsia="zh-CN"/>
        </w:rPr>
        <w:t>项目负责人具有园林绿化相关专业工程师及以上职称</w:t>
      </w:r>
      <w:r>
        <w:rPr>
          <w:rFonts w:hint="eastAsia"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w:t>
      </w:r>
    </w:p>
    <w:p>
      <w:pPr>
        <w:snapToGrid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4.单位负责人为同一人或者存在直接控股、管理关系的不同供应商，不得参加同一合同项下的政府采购活动；</w:t>
      </w:r>
    </w:p>
    <w:p>
      <w:pPr>
        <w:snapToGrid w:val="0"/>
        <w:spacing w:line="360" w:lineRule="auto"/>
        <w:rPr>
          <w:rFonts w:cs="Arial" w:asciiTheme="minorEastAsia" w:hAnsiTheme="minorEastAsia" w:eastAsiaTheme="minorEastAsia"/>
          <w:color w:val="auto"/>
          <w:sz w:val="18"/>
          <w:szCs w:val="18"/>
          <w:highlight w:val="none"/>
        </w:rPr>
      </w:pPr>
      <w:r>
        <w:rPr>
          <w:rFonts w:hint="eastAsia" w:ascii="宋体" w:hAnsi="宋体" w:eastAsia="宋体" w:cs="宋体"/>
          <w:color w:val="auto"/>
          <w:sz w:val="18"/>
          <w:szCs w:val="18"/>
          <w:highlight w:val="none"/>
        </w:rPr>
        <w:t>5.除单一来源采购项目外，为采购项目提供整体设计、规范编制或者项目管理、监理、检测等服务的供应商，不得再参加该采购项目的其他采购活动</w:t>
      </w:r>
    </w:p>
    <w:p>
      <w:pPr>
        <w:snapToGrid w:val="0"/>
        <w:spacing w:line="360" w:lineRule="auto"/>
        <w:ind w:firstLine="361" w:firstLineChars="200"/>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b/>
          <w:color w:val="auto"/>
          <w:sz w:val="18"/>
          <w:szCs w:val="18"/>
          <w:highlight w:val="none"/>
          <w:lang w:val="en-US" w:eastAsia="zh-CN"/>
        </w:rPr>
        <w:t>6.</w:t>
      </w:r>
      <w:r>
        <w:rPr>
          <w:rFonts w:hint="eastAsia" w:cs="Arial" w:asciiTheme="minorEastAsia" w:hAnsiTheme="minorEastAsia" w:eastAsiaTheme="minorEastAsia"/>
          <w:b/>
          <w:color w:val="auto"/>
          <w:sz w:val="18"/>
          <w:szCs w:val="18"/>
          <w:highlight w:val="none"/>
        </w:rPr>
        <w:t>本项目</w:t>
      </w:r>
      <w:r>
        <w:rPr>
          <w:rFonts w:hint="eastAsia" w:cs="Arial" w:asciiTheme="minorEastAsia" w:hAnsiTheme="minorEastAsia" w:eastAsiaTheme="minorEastAsia"/>
          <w:b/>
          <w:color w:val="auto"/>
          <w:sz w:val="18"/>
          <w:szCs w:val="18"/>
          <w:highlight w:val="none"/>
          <w:lang w:eastAsia="zh-CN"/>
        </w:rPr>
        <w:t>不</w:t>
      </w:r>
      <w:r>
        <w:rPr>
          <w:rFonts w:hint="eastAsia" w:cs="Arial" w:asciiTheme="minorEastAsia" w:hAnsiTheme="minorEastAsia" w:eastAsiaTheme="minorEastAsia"/>
          <w:b/>
          <w:color w:val="auto"/>
          <w:sz w:val="18"/>
          <w:szCs w:val="18"/>
          <w:highlight w:val="none"/>
        </w:rPr>
        <w:t>接受联合体投标。</w:t>
      </w:r>
    </w:p>
    <w:p>
      <w:pPr>
        <w:snapToGri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b/>
          <w:bCs/>
          <w:color w:val="auto"/>
          <w:sz w:val="18"/>
          <w:szCs w:val="18"/>
          <w:highlight w:val="none"/>
          <w:lang w:eastAsia="zh-CN"/>
        </w:rPr>
        <w:t>八</w:t>
      </w:r>
      <w:r>
        <w:rPr>
          <w:rFonts w:hint="eastAsia" w:cs="Arial" w:asciiTheme="minorEastAsia" w:hAnsiTheme="minorEastAsia" w:eastAsiaTheme="minorEastAsia"/>
          <w:b/>
          <w:bCs/>
          <w:color w:val="auto"/>
          <w:sz w:val="18"/>
          <w:szCs w:val="18"/>
          <w:highlight w:val="none"/>
        </w:rPr>
        <w:t>、投标说明</w:t>
      </w:r>
      <w:r>
        <w:rPr>
          <w:rFonts w:hint="eastAsia" w:cs="Arial" w:asciiTheme="minorEastAsia" w:hAnsiTheme="minorEastAsia" w:eastAsiaTheme="minorEastAsia"/>
          <w:color w:val="auto"/>
          <w:sz w:val="18"/>
          <w:szCs w:val="18"/>
          <w:highlight w:val="none"/>
        </w:rPr>
        <w:t>：</w:t>
      </w:r>
    </w:p>
    <w:p>
      <w:pPr>
        <w:spacing w:line="360" w:lineRule="auto"/>
        <w:rPr>
          <w:rFonts w:cs="宋体" w:asciiTheme="minorEastAsia" w:hAnsiTheme="minorEastAsia" w:eastAsiaTheme="minorEastAsia"/>
          <w:bCs/>
          <w:color w:val="auto"/>
          <w:kern w:val="0"/>
          <w:sz w:val="18"/>
          <w:szCs w:val="18"/>
          <w:highlight w:val="none"/>
        </w:rPr>
      </w:pPr>
      <w:r>
        <w:rPr>
          <w:rFonts w:hint="eastAsia" w:cs="宋体" w:asciiTheme="minorEastAsia" w:hAnsiTheme="minorEastAsia" w:eastAsiaTheme="minorEastAsia"/>
          <w:bCs/>
          <w:color w:val="auto"/>
          <w:kern w:val="0"/>
          <w:sz w:val="18"/>
          <w:szCs w:val="18"/>
          <w:highlight w:val="none"/>
        </w:rPr>
        <w:t>１、本项目按照《浙江省财政厅关于印发浙江省政府采购项电子交易管理暂行办法的通知》实行电子交易。</w:t>
      </w:r>
    </w:p>
    <w:p>
      <w:pPr>
        <w:spacing w:line="360" w:lineRule="auto"/>
        <w:rPr>
          <w:rFonts w:hint="eastAsia" w:ascii="宋体" w:hAnsi="宋体" w:eastAsia="宋体" w:cs="宋体"/>
          <w:b/>
          <w:color w:val="auto"/>
          <w:szCs w:val="21"/>
          <w:highlight w:val="none"/>
        </w:rPr>
      </w:pPr>
      <w:r>
        <w:rPr>
          <w:rFonts w:cs="宋体" w:asciiTheme="minorEastAsia" w:hAnsiTheme="minorEastAsia" w:eastAsiaTheme="minorEastAsia"/>
          <w:b/>
          <w:color w:val="auto"/>
          <w:kern w:val="0"/>
          <w:sz w:val="18"/>
          <w:szCs w:val="18"/>
          <w:highlight w:val="none"/>
        </w:rPr>
        <w:t>2</w:t>
      </w:r>
      <w:r>
        <w:rPr>
          <w:rFonts w:hint="eastAsia" w:cs="宋体" w:asciiTheme="minorEastAsia" w:hAnsiTheme="minorEastAsia" w:eastAsiaTheme="minorEastAsia"/>
          <w:b/>
          <w:color w:val="auto"/>
          <w:kern w:val="0"/>
          <w:sz w:val="18"/>
          <w:szCs w:val="18"/>
          <w:highlight w:val="none"/>
        </w:rPr>
        <w:t>、</w:t>
      </w:r>
      <w:r>
        <w:rPr>
          <w:rFonts w:hint="eastAsia" w:ascii="宋体" w:hAnsi="宋体" w:eastAsia="宋体" w:cs="宋体"/>
          <w:b/>
          <w:color w:val="auto"/>
          <w:szCs w:val="21"/>
          <w:highlight w:val="none"/>
        </w:rPr>
        <w:t>获取招标文件</w:t>
      </w:r>
    </w:p>
    <w:p>
      <w:pPr>
        <w:wordWrap w:val="0"/>
        <w:spacing w:line="360" w:lineRule="auto"/>
        <w:ind w:firstLine="361" w:firstLineChars="200"/>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时间：</w:t>
      </w:r>
      <w:r>
        <w:rPr>
          <w:rFonts w:hint="eastAsia" w:ascii="宋体" w:hAnsi="宋体" w:eastAsia="宋体" w:cs="宋体"/>
          <w:color w:val="auto"/>
          <w:sz w:val="18"/>
          <w:szCs w:val="18"/>
          <w:highlight w:val="none"/>
        </w:rPr>
        <w:t>/至</w:t>
      </w:r>
      <w:r>
        <w:rPr>
          <w:rFonts w:hint="eastAsia" w:ascii="宋体" w:hAnsi="宋体" w:cs="宋体"/>
          <w:color w:val="auto"/>
          <w:sz w:val="18"/>
          <w:szCs w:val="18"/>
          <w:highlight w:val="none"/>
          <w:u w:val="single"/>
          <w:lang w:eastAsia="zh-CN"/>
        </w:rPr>
        <w:t>2023年</w:t>
      </w:r>
      <w:r>
        <w:rPr>
          <w:rFonts w:hint="eastAsia" w:ascii="宋体" w:hAnsi="宋体" w:cs="宋体"/>
          <w:color w:val="auto"/>
          <w:sz w:val="18"/>
          <w:szCs w:val="18"/>
          <w:highlight w:val="none"/>
          <w:u w:val="single"/>
          <w:lang w:val="en-US" w:eastAsia="zh-CN"/>
        </w:rPr>
        <w:t>12</w:t>
      </w:r>
      <w:r>
        <w:rPr>
          <w:rFonts w:hint="eastAsia" w:ascii="宋体" w:hAnsi="宋体" w:cs="宋体"/>
          <w:color w:val="auto"/>
          <w:sz w:val="18"/>
          <w:szCs w:val="18"/>
          <w:highlight w:val="none"/>
          <w:u w:val="single"/>
          <w:lang w:eastAsia="zh-CN"/>
        </w:rPr>
        <w:t>月</w:t>
      </w:r>
      <w:r>
        <w:rPr>
          <w:rFonts w:hint="eastAsia" w:ascii="宋体" w:hAnsi="宋体" w:cs="宋体"/>
          <w:color w:val="auto"/>
          <w:sz w:val="18"/>
          <w:szCs w:val="18"/>
          <w:highlight w:val="none"/>
          <w:u w:val="single"/>
          <w:lang w:val="en-US" w:eastAsia="zh-CN"/>
        </w:rPr>
        <w:t>27</w:t>
      </w:r>
      <w:r>
        <w:rPr>
          <w:rFonts w:hint="eastAsia" w:ascii="宋体" w:hAnsi="宋体" w:cs="宋体"/>
          <w:color w:val="auto"/>
          <w:sz w:val="18"/>
          <w:szCs w:val="18"/>
          <w:highlight w:val="none"/>
          <w:u w:val="single"/>
          <w:lang w:eastAsia="zh-CN"/>
        </w:rPr>
        <w:t>日</w:t>
      </w:r>
      <w:r>
        <w:rPr>
          <w:rFonts w:hint="eastAsia" w:ascii="宋体" w:hAnsi="宋体" w:eastAsia="宋体" w:cs="宋体"/>
          <w:color w:val="auto"/>
          <w:sz w:val="18"/>
          <w:szCs w:val="18"/>
          <w:highlight w:val="none"/>
        </w:rPr>
        <w:t>，每天上午00:00至12:00 ，下午12:00至23:59（北京时间，线上获取法定节假日均可，线下获取文件法定节假日除外）</w:t>
      </w:r>
    </w:p>
    <w:p>
      <w:pPr>
        <w:wordWrap w:val="0"/>
        <w:spacing w:line="360" w:lineRule="auto"/>
        <w:ind w:firstLine="361" w:firstLineChars="200"/>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地点（网址）：</w:t>
      </w:r>
      <w:r>
        <w:rPr>
          <w:rFonts w:hint="eastAsia" w:ascii="宋体" w:hAnsi="宋体" w:eastAsia="宋体" w:cs="宋体"/>
          <w:color w:val="auto"/>
          <w:sz w:val="18"/>
          <w:szCs w:val="18"/>
          <w:highlight w:val="none"/>
        </w:rPr>
        <w:t xml:space="preserve">政采云平台（https://www.zcygov.cn/） </w:t>
      </w:r>
    </w:p>
    <w:p>
      <w:pPr>
        <w:wordWrap w:val="0"/>
        <w:spacing w:line="360" w:lineRule="auto"/>
        <w:ind w:firstLine="361" w:firstLineChars="200"/>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方式：</w:t>
      </w:r>
      <w:r>
        <w:rPr>
          <w:rFonts w:hint="eastAsia" w:ascii="宋体" w:hAnsi="宋体" w:eastAsia="宋体" w:cs="宋体"/>
          <w:color w:val="auto"/>
          <w:sz w:val="18"/>
          <w:szCs w:val="18"/>
          <w:highlight w:val="none"/>
        </w:rPr>
        <w:t>供应商登录政采云平台https://www.zcygov.cn/在线申请获取采购文件（进入“项目采购”应用，在获取采购文件菜单中选择项目，申请获取采购文件）。</w:t>
      </w:r>
    </w:p>
    <w:p>
      <w:pPr>
        <w:spacing w:line="360" w:lineRule="auto"/>
        <w:jc w:val="left"/>
        <w:rPr>
          <w:rFonts w:asciiTheme="minorEastAsia" w:hAnsiTheme="minorEastAsia" w:eastAsiaTheme="minorEastAsia"/>
          <w:b/>
          <w:color w:val="auto"/>
          <w:sz w:val="18"/>
          <w:szCs w:val="18"/>
          <w:highlight w:val="none"/>
          <w:shd w:val="clear" w:color="auto" w:fill="FFFFFF"/>
        </w:rPr>
      </w:pPr>
      <w:r>
        <w:rPr>
          <w:rFonts w:hint="eastAsia" w:ascii="宋体" w:hAnsi="宋体" w:eastAsia="宋体" w:cs="宋体"/>
          <w:b/>
          <w:color w:val="auto"/>
          <w:sz w:val="18"/>
          <w:szCs w:val="18"/>
          <w:highlight w:val="none"/>
        </w:rPr>
        <w:t>售价（元）：</w:t>
      </w:r>
      <w:r>
        <w:rPr>
          <w:rFonts w:hint="eastAsia" w:ascii="宋体" w:hAnsi="宋体" w:eastAsia="宋体" w:cs="宋体"/>
          <w:color w:val="auto"/>
          <w:sz w:val="18"/>
          <w:szCs w:val="18"/>
          <w:highlight w:val="none"/>
        </w:rPr>
        <w:t xml:space="preserve">0 </w:t>
      </w:r>
    </w:p>
    <w:p>
      <w:pPr>
        <w:pStyle w:val="196"/>
        <w:spacing w:line="360" w:lineRule="auto"/>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lang w:val="en-US" w:eastAsia="zh-CN"/>
        </w:rPr>
        <w:t>3</w:t>
      </w:r>
      <w:r>
        <w:rPr>
          <w:rFonts w:hint="eastAsia" w:asciiTheme="minorEastAsia" w:hAnsiTheme="minorEastAsia" w:eastAsiaTheme="minorEastAsia"/>
          <w:b/>
          <w:color w:val="auto"/>
          <w:sz w:val="18"/>
          <w:szCs w:val="18"/>
          <w:highlight w:val="none"/>
        </w:rPr>
        <w:t>、投标文件</w:t>
      </w:r>
      <w:r>
        <w:rPr>
          <w:rFonts w:asciiTheme="minorEastAsia" w:hAnsiTheme="minorEastAsia" w:eastAsiaTheme="minorEastAsia"/>
          <w:b/>
          <w:color w:val="auto"/>
          <w:sz w:val="18"/>
          <w:szCs w:val="18"/>
          <w:highlight w:val="none"/>
        </w:rPr>
        <w:t>制作</w:t>
      </w:r>
      <w:r>
        <w:rPr>
          <w:rFonts w:hint="eastAsia" w:asciiTheme="minorEastAsia" w:hAnsiTheme="minorEastAsia" w:eastAsiaTheme="minorEastAsia"/>
          <w:b/>
          <w:color w:val="auto"/>
          <w:sz w:val="18"/>
          <w:szCs w:val="18"/>
          <w:highlight w:val="none"/>
        </w:rPr>
        <w:t>注意事项</w:t>
      </w:r>
    </w:p>
    <w:p>
      <w:pPr>
        <w:spacing w:beforeLines="50" w:afterLines="50" w:line="360" w:lineRule="auto"/>
        <w:rPr>
          <w:rFonts w:asciiTheme="minorEastAsia" w:hAnsiTheme="minorEastAsia" w:eastAsiaTheme="minorEastAsia"/>
          <w:color w:val="auto"/>
          <w:sz w:val="18"/>
          <w:szCs w:val="18"/>
          <w:highlight w:val="none"/>
          <w:shd w:val="clear" w:color="auto" w:fill="FFFFFF"/>
        </w:rPr>
      </w:pPr>
      <w:r>
        <w:rPr>
          <w:rFonts w:hint="eastAsia" w:asciiTheme="minorEastAsia" w:hAnsiTheme="minorEastAsia" w:eastAsiaTheme="minorEastAsia"/>
          <w:color w:val="auto"/>
          <w:sz w:val="18"/>
          <w:szCs w:val="18"/>
          <w:highlight w:val="none"/>
          <w:shd w:val="clear" w:color="auto" w:fill="FFFFFF"/>
          <w:lang w:val="en-US" w:eastAsia="zh-CN"/>
        </w:rPr>
        <w:t>3</w:t>
      </w:r>
      <w:r>
        <w:rPr>
          <w:rFonts w:hint="eastAsia" w:asciiTheme="minorEastAsia" w:hAnsiTheme="minorEastAsia" w:eastAsiaTheme="minorEastAsia"/>
          <w:color w:val="auto"/>
          <w:sz w:val="18"/>
          <w:szCs w:val="18"/>
          <w:highlight w:val="none"/>
          <w:shd w:val="clear" w:color="auto" w:fill="FFFFFF"/>
        </w:rPr>
        <w:t>.1供应商将政采云电子交易客户端下载、安装完成后，可通过账号密码或CA登录客户端进行投标文件制作。</w:t>
      </w:r>
    </w:p>
    <w:p>
      <w:pPr>
        <w:spacing w:beforeLines="50" w:afterLines="50" w:line="360" w:lineRule="auto"/>
        <w:rPr>
          <w:rFonts w:asciiTheme="minorEastAsia" w:hAnsiTheme="minorEastAsia" w:eastAsiaTheme="minorEastAsia"/>
          <w:color w:val="auto"/>
          <w:sz w:val="18"/>
          <w:szCs w:val="18"/>
          <w:highlight w:val="none"/>
          <w:shd w:val="clear" w:color="auto" w:fill="FFFFFF"/>
        </w:rPr>
      </w:pPr>
      <w:r>
        <w:rPr>
          <w:rFonts w:hint="eastAsia" w:asciiTheme="minorEastAsia" w:hAnsiTheme="minorEastAsia" w:eastAsiaTheme="minorEastAsia"/>
          <w:color w:val="auto"/>
          <w:sz w:val="18"/>
          <w:szCs w:val="18"/>
          <w:highlight w:val="none"/>
          <w:shd w:val="clear" w:color="auto" w:fill="FFFFFF"/>
        </w:rPr>
        <w:t xml:space="preserve">　　注：供应商先要申领CA，拿到CA后需要在政采云平台进行绑定，CA相关操作可参考《CA申领操作指南》和《CA管理操作指南》。完成CA数字证书办理在资料齐全的情况下预计7个工作日左右，建议供应商获取招标文件后立即办理。　　　      </w:t>
      </w:r>
    </w:p>
    <w:p>
      <w:pPr>
        <w:spacing w:beforeLines="50" w:afterLines="50" w:line="360" w:lineRule="auto"/>
        <w:rPr>
          <w:rStyle w:val="56"/>
          <w:rFonts w:asciiTheme="minorEastAsia" w:hAnsiTheme="minorEastAsia" w:eastAsiaTheme="minorEastAsia"/>
          <w:color w:val="auto"/>
          <w:sz w:val="18"/>
          <w:szCs w:val="18"/>
          <w:highlight w:val="none"/>
          <w:shd w:val="clear" w:color="auto" w:fill="FFFFFF"/>
        </w:rPr>
      </w:pPr>
      <w:r>
        <w:rPr>
          <w:rFonts w:hint="eastAsia" w:asciiTheme="minorEastAsia" w:hAnsiTheme="minorEastAsia" w:eastAsiaTheme="minorEastAsia"/>
          <w:color w:val="auto"/>
          <w:sz w:val="18"/>
          <w:szCs w:val="18"/>
          <w:highlight w:val="none"/>
          <w:shd w:val="clear" w:color="auto" w:fill="FFFFFF"/>
          <w:lang w:val="en-US" w:eastAsia="zh-CN"/>
        </w:rPr>
        <w:t>3</w:t>
      </w:r>
      <w:r>
        <w:rPr>
          <w:rFonts w:hint="eastAsia" w:asciiTheme="minorEastAsia" w:hAnsiTheme="minorEastAsia" w:eastAsiaTheme="minorEastAsia"/>
          <w:color w:val="auto"/>
          <w:sz w:val="18"/>
          <w:szCs w:val="18"/>
          <w:highlight w:val="none"/>
          <w:shd w:val="clear" w:color="auto" w:fill="FFFFFF"/>
        </w:rPr>
        <w:t>.2电子交易操作指南：</w:t>
      </w:r>
      <w:r>
        <w:rPr>
          <w:color w:val="auto"/>
          <w:sz w:val="18"/>
          <w:szCs w:val="18"/>
          <w:highlight w:val="none"/>
        </w:rPr>
        <w:fldChar w:fldCharType="begin"/>
      </w:r>
      <w:r>
        <w:rPr>
          <w:color w:val="auto"/>
          <w:sz w:val="18"/>
          <w:szCs w:val="18"/>
          <w:highlight w:val="none"/>
        </w:rPr>
        <w:instrText xml:space="preserve"> HYPERLINK "https://help.zcygov.cn/web/site_2/2018/12-28/2573.html" \t "_blank" </w:instrText>
      </w:r>
      <w:r>
        <w:rPr>
          <w:color w:val="auto"/>
          <w:sz w:val="18"/>
          <w:szCs w:val="18"/>
          <w:highlight w:val="none"/>
        </w:rPr>
        <w:fldChar w:fldCharType="separate"/>
      </w:r>
      <w:r>
        <w:rPr>
          <w:rStyle w:val="56"/>
          <w:rFonts w:hint="eastAsia" w:asciiTheme="minorEastAsia" w:hAnsiTheme="minorEastAsia" w:eastAsiaTheme="minorEastAsia"/>
          <w:color w:val="auto"/>
          <w:sz w:val="18"/>
          <w:szCs w:val="18"/>
          <w:highlight w:val="none"/>
          <w:shd w:val="clear" w:color="auto" w:fill="FFFFFF"/>
        </w:rPr>
        <w:t>https://help.zcygov.cn/web/site_2/2018/12-28/2573.html</w:t>
      </w:r>
      <w:r>
        <w:rPr>
          <w:rStyle w:val="56"/>
          <w:rFonts w:hint="eastAsia" w:asciiTheme="minorEastAsia" w:hAnsiTheme="minorEastAsia" w:eastAsiaTheme="minorEastAsia"/>
          <w:color w:val="auto"/>
          <w:sz w:val="18"/>
          <w:szCs w:val="18"/>
          <w:highlight w:val="none"/>
          <w:shd w:val="clear" w:color="auto" w:fill="FFFFFF"/>
        </w:rPr>
        <w:fldChar w:fldCharType="end"/>
      </w:r>
    </w:p>
    <w:p>
      <w:pPr>
        <w:spacing w:beforeLines="50" w:afterLines="50" w:line="360" w:lineRule="auto"/>
        <w:rPr>
          <w:rStyle w:val="56"/>
          <w:rFonts w:asciiTheme="minorEastAsia" w:hAnsiTheme="minorEastAsia" w:eastAsiaTheme="minorEastAsia"/>
          <w:color w:val="auto"/>
          <w:sz w:val="18"/>
          <w:szCs w:val="18"/>
          <w:highlight w:val="none"/>
          <w:shd w:val="clear" w:color="auto" w:fill="FFFFFF"/>
        </w:rPr>
      </w:pPr>
      <w:r>
        <w:rPr>
          <w:rFonts w:hint="eastAsia" w:asciiTheme="minorEastAsia" w:hAnsiTheme="minorEastAsia" w:eastAsiaTheme="minorEastAsia"/>
          <w:color w:val="auto"/>
          <w:sz w:val="18"/>
          <w:szCs w:val="18"/>
          <w:highlight w:val="none"/>
          <w:shd w:val="clear" w:color="auto" w:fill="FFFFFF"/>
        </w:rPr>
        <w:t>《CA申领操作指南》：</w:t>
      </w:r>
      <w:r>
        <w:rPr>
          <w:color w:val="auto"/>
          <w:sz w:val="18"/>
          <w:szCs w:val="18"/>
          <w:highlight w:val="none"/>
        </w:rPr>
        <w:fldChar w:fldCharType="begin"/>
      </w:r>
      <w:r>
        <w:rPr>
          <w:color w:val="auto"/>
          <w:sz w:val="18"/>
          <w:szCs w:val="18"/>
          <w:highlight w:val="none"/>
        </w:rPr>
        <w:instrText xml:space="preserve"> HYPERLINK "https://help.zcygov.cn/web/site_2/2018/11-29/2452.html" \t "_blank" </w:instrText>
      </w:r>
      <w:r>
        <w:rPr>
          <w:color w:val="auto"/>
          <w:sz w:val="18"/>
          <w:szCs w:val="18"/>
          <w:highlight w:val="none"/>
        </w:rPr>
        <w:fldChar w:fldCharType="separate"/>
      </w:r>
      <w:r>
        <w:rPr>
          <w:rStyle w:val="56"/>
          <w:rFonts w:hint="eastAsia" w:asciiTheme="minorEastAsia" w:hAnsiTheme="minorEastAsia" w:eastAsiaTheme="minorEastAsia"/>
          <w:color w:val="auto"/>
          <w:sz w:val="18"/>
          <w:szCs w:val="18"/>
          <w:highlight w:val="none"/>
          <w:shd w:val="clear" w:color="auto" w:fill="FFFFFF"/>
        </w:rPr>
        <w:t>https://help.zcygov.cn/web/site_2/2018/11-29/2452.html</w:t>
      </w:r>
      <w:r>
        <w:rPr>
          <w:rStyle w:val="56"/>
          <w:rFonts w:hint="eastAsia" w:asciiTheme="minorEastAsia" w:hAnsiTheme="minorEastAsia" w:eastAsiaTheme="minorEastAsia"/>
          <w:color w:val="auto"/>
          <w:sz w:val="18"/>
          <w:szCs w:val="18"/>
          <w:highlight w:val="none"/>
          <w:shd w:val="clear" w:color="auto" w:fill="FFFFFF"/>
        </w:rPr>
        <w:fldChar w:fldCharType="end"/>
      </w:r>
    </w:p>
    <w:p>
      <w:pPr>
        <w:spacing w:beforeLines="50" w:afterLines="50" w:line="360" w:lineRule="auto"/>
        <w:rPr>
          <w:rStyle w:val="56"/>
          <w:rFonts w:asciiTheme="minorEastAsia" w:hAnsiTheme="minorEastAsia" w:eastAsiaTheme="minorEastAsia"/>
          <w:color w:val="auto"/>
          <w:sz w:val="18"/>
          <w:szCs w:val="18"/>
          <w:highlight w:val="none"/>
          <w:shd w:val="clear" w:color="auto" w:fill="FFFFFF"/>
        </w:rPr>
      </w:pPr>
      <w:r>
        <w:rPr>
          <w:rFonts w:hint="eastAsia" w:asciiTheme="minorEastAsia" w:hAnsiTheme="minorEastAsia" w:eastAsiaTheme="minorEastAsia"/>
          <w:color w:val="auto"/>
          <w:sz w:val="18"/>
          <w:szCs w:val="18"/>
          <w:highlight w:val="none"/>
          <w:shd w:val="clear" w:color="auto" w:fill="FFFFFF"/>
        </w:rPr>
        <w:t>《CA管理操作指南》：</w:t>
      </w:r>
      <w:r>
        <w:rPr>
          <w:color w:val="auto"/>
          <w:sz w:val="18"/>
          <w:szCs w:val="18"/>
          <w:highlight w:val="none"/>
        </w:rPr>
        <w:fldChar w:fldCharType="begin"/>
      </w:r>
      <w:r>
        <w:rPr>
          <w:color w:val="auto"/>
          <w:sz w:val="18"/>
          <w:szCs w:val="18"/>
          <w:highlight w:val="none"/>
        </w:rPr>
        <w:instrText xml:space="preserve"> HYPERLINK "https://help.zcygov.cn/web/site_2/2019/08-20/3405.html" \t "_blank" </w:instrText>
      </w:r>
      <w:r>
        <w:rPr>
          <w:color w:val="auto"/>
          <w:sz w:val="18"/>
          <w:szCs w:val="18"/>
          <w:highlight w:val="none"/>
        </w:rPr>
        <w:fldChar w:fldCharType="separate"/>
      </w:r>
      <w:r>
        <w:rPr>
          <w:rStyle w:val="56"/>
          <w:rFonts w:hint="eastAsia" w:asciiTheme="minorEastAsia" w:hAnsiTheme="minorEastAsia" w:eastAsiaTheme="minorEastAsia"/>
          <w:color w:val="auto"/>
          <w:sz w:val="18"/>
          <w:szCs w:val="18"/>
          <w:highlight w:val="none"/>
          <w:shd w:val="clear" w:color="auto" w:fill="FFFFFF"/>
        </w:rPr>
        <w:t>https://help.zcygov.cn/web/site_2/2019/08-20/3405.html</w:t>
      </w:r>
      <w:r>
        <w:rPr>
          <w:rStyle w:val="56"/>
          <w:rFonts w:hint="eastAsia" w:asciiTheme="minorEastAsia" w:hAnsiTheme="minorEastAsia" w:eastAsiaTheme="minorEastAsia"/>
          <w:color w:val="auto"/>
          <w:sz w:val="18"/>
          <w:szCs w:val="18"/>
          <w:highlight w:val="none"/>
          <w:shd w:val="clear" w:color="auto" w:fill="FFFFFF"/>
        </w:rPr>
        <w:fldChar w:fldCharType="end"/>
      </w:r>
    </w:p>
    <w:p>
      <w:pPr>
        <w:spacing w:beforeLines="50" w:afterLines="50" w:line="360" w:lineRule="auto"/>
        <w:rPr>
          <w:rStyle w:val="56"/>
          <w:rFonts w:asciiTheme="minorEastAsia" w:hAnsiTheme="minorEastAsia" w:eastAsiaTheme="minorEastAsia"/>
          <w:color w:val="auto"/>
          <w:sz w:val="18"/>
          <w:szCs w:val="18"/>
          <w:highlight w:val="none"/>
          <w:shd w:val="clear" w:color="auto" w:fill="FFFFFF"/>
        </w:rPr>
      </w:pPr>
      <w:r>
        <w:rPr>
          <w:rFonts w:hint="eastAsia" w:asciiTheme="minorEastAsia" w:hAnsiTheme="minorEastAsia" w:eastAsiaTheme="minorEastAsia"/>
          <w:color w:val="auto"/>
          <w:sz w:val="18"/>
          <w:szCs w:val="18"/>
          <w:highlight w:val="none"/>
          <w:shd w:val="clear" w:color="auto" w:fill="FFFFFF"/>
        </w:rPr>
        <w:t>《CA驱动和申领流程》</w:t>
      </w:r>
      <w:r>
        <w:rPr>
          <w:color w:val="auto"/>
          <w:sz w:val="18"/>
          <w:szCs w:val="18"/>
          <w:highlight w:val="none"/>
        </w:rPr>
        <w:fldChar w:fldCharType="begin"/>
      </w:r>
      <w:r>
        <w:rPr>
          <w:color w:val="auto"/>
          <w:sz w:val="18"/>
          <w:szCs w:val="18"/>
          <w:highlight w:val="none"/>
        </w:rPr>
        <w:instrText xml:space="preserve"> HYPERLINK "http://www.zjzfcg.gov.cn/bidClientTemplate/2019-05-27/12945.html" \t "_blank" </w:instrText>
      </w:r>
      <w:r>
        <w:rPr>
          <w:color w:val="auto"/>
          <w:sz w:val="18"/>
          <w:szCs w:val="18"/>
          <w:highlight w:val="none"/>
        </w:rPr>
        <w:fldChar w:fldCharType="separate"/>
      </w:r>
      <w:r>
        <w:rPr>
          <w:rStyle w:val="56"/>
          <w:rFonts w:hint="eastAsia" w:asciiTheme="minorEastAsia" w:hAnsiTheme="minorEastAsia" w:eastAsiaTheme="minorEastAsia"/>
          <w:color w:val="auto"/>
          <w:sz w:val="18"/>
          <w:szCs w:val="18"/>
          <w:highlight w:val="none"/>
          <w:shd w:val="clear" w:color="auto" w:fill="FFFFFF"/>
        </w:rPr>
        <w:t>http://www.zjzfcg.gov.cn/bidClientTemplate/2019-05-27/12945.html</w:t>
      </w:r>
      <w:r>
        <w:rPr>
          <w:rStyle w:val="56"/>
          <w:rFonts w:hint="eastAsia" w:asciiTheme="minorEastAsia" w:hAnsiTheme="minorEastAsia" w:eastAsiaTheme="minorEastAsia"/>
          <w:color w:val="auto"/>
          <w:sz w:val="18"/>
          <w:szCs w:val="18"/>
          <w:highlight w:val="none"/>
          <w:shd w:val="clear" w:color="auto" w:fill="FFFFFF"/>
        </w:rPr>
        <w:fldChar w:fldCharType="end"/>
      </w:r>
    </w:p>
    <w:p>
      <w:pPr>
        <w:spacing w:beforeLines="50" w:afterLines="50" w:line="360" w:lineRule="auto"/>
        <w:rPr>
          <w:rFonts w:asciiTheme="minorEastAsia" w:hAnsiTheme="minorEastAsia" w:eastAsiaTheme="minorEastAsia"/>
          <w:color w:val="auto"/>
          <w:sz w:val="18"/>
          <w:szCs w:val="18"/>
          <w:highlight w:val="none"/>
          <w:shd w:val="clear" w:color="auto" w:fill="FFFFFF"/>
        </w:rPr>
      </w:pPr>
      <w:r>
        <w:rPr>
          <w:rFonts w:hint="eastAsia" w:asciiTheme="minorEastAsia" w:hAnsiTheme="minorEastAsia" w:eastAsiaTheme="minorEastAsia"/>
          <w:color w:val="auto"/>
          <w:sz w:val="18"/>
          <w:szCs w:val="18"/>
          <w:highlight w:val="none"/>
        </w:rPr>
        <w:t>注：</w:t>
      </w:r>
      <w:r>
        <w:rPr>
          <w:rFonts w:hint="eastAsia" w:asciiTheme="minorEastAsia" w:hAnsiTheme="minorEastAsia" w:eastAsiaTheme="minorEastAsia"/>
          <w:color w:val="auto"/>
          <w:sz w:val="18"/>
          <w:szCs w:val="18"/>
          <w:highlight w:val="none"/>
          <w:shd w:val="clear" w:color="auto" w:fill="FFFFFF"/>
        </w:rPr>
        <w:t>ＣＡ证书遗失补办、延期、解锁、质保等业务可以在联连客户端上进行操作；使用政采云投标客户端时，建议使用WIN7及以上操作系统。</w:t>
      </w:r>
    </w:p>
    <w:p>
      <w:pPr>
        <w:snapToGrid w:val="0"/>
        <w:spacing w:line="360" w:lineRule="auto"/>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lang w:eastAsia="zh-CN"/>
        </w:rPr>
        <w:t>九</w:t>
      </w:r>
      <w:r>
        <w:rPr>
          <w:rFonts w:hint="eastAsia" w:cs="Arial" w:asciiTheme="minorEastAsia" w:hAnsiTheme="minorEastAsia" w:eastAsiaTheme="minorEastAsia"/>
          <w:b/>
          <w:color w:val="auto"/>
          <w:sz w:val="18"/>
          <w:szCs w:val="18"/>
          <w:highlight w:val="none"/>
        </w:rPr>
        <w:t>、投标截止时间及提交注意事项</w:t>
      </w:r>
    </w:p>
    <w:p>
      <w:pPr>
        <w:snapToGri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１、投标截止时间</w:t>
      </w:r>
      <w:r>
        <w:rPr>
          <w:rFonts w:hint="eastAsia" w:cs="Arial" w:asciiTheme="minorEastAsia" w:hAnsiTheme="minorEastAsia" w:eastAsiaTheme="minorEastAsia"/>
          <w:b/>
          <w:color w:val="auto"/>
          <w:sz w:val="18"/>
          <w:szCs w:val="18"/>
          <w:highlight w:val="none"/>
        </w:rPr>
        <w:t>：</w:t>
      </w:r>
      <w:r>
        <w:rPr>
          <w:rFonts w:hint="eastAsia" w:asciiTheme="minorEastAsia" w:hAnsiTheme="minorEastAsia" w:eastAsiaTheme="minorEastAsia"/>
          <w:b/>
          <w:color w:val="auto"/>
          <w:sz w:val="18"/>
          <w:szCs w:val="18"/>
          <w:highlight w:val="none"/>
          <w:shd w:val="clear" w:color="auto" w:fill="FFFFFF"/>
          <w:lang w:eastAsia="zh-CN"/>
        </w:rPr>
        <w:t>2023年12月27日</w:t>
      </w:r>
      <w:r>
        <w:rPr>
          <w:rFonts w:hint="eastAsia" w:cs="宋体" w:asciiTheme="minorEastAsia" w:hAnsiTheme="minorEastAsia" w:eastAsiaTheme="minorEastAsia"/>
          <w:b/>
          <w:bCs/>
          <w:color w:val="auto"/>
          <w:kern w:val="0"/>
          <w:sz w:val="18"/>
          <w:szCs w:val="18"/>
          <w:highlight w:val="none"/>
          <w:lang w:val="en-US" w:eastAsia="zh-CN"/>
        </w:rPr>
        <w:t>9</w:t>
      </w:r>
      <w:r>
        <w:rPr>
          <w:rFonts w:hint="eastAsia" w:cs="宋体" w:asciiTheme="minorEastAsia" w:hAnsiTheme="minorEastAsia" w:eastAsiaTheme="minorEastAsia"/>
          <w:b/>
          <w:bCs/>
          <w:color w:val="auto"/>
          <w:kern w:val="0"/>
          <w:sz w:val="18"/>
          <w:szCs w:val="18"/>
          <w:highlight w:val="none"/>
        </w:rPr>
        <w:t>时</w:t>
      </w:r>
      <w:r>
        <w:rPr>
          <w:rFonts w:hint="eastAsia" w:cs="宋体" w:asciiTheme="minorEastAsia" w:hAnsiTheme="minorEastAsia" w:eastAsiaTheme="minorEastAsia"/>
          <w:b/>
          <w:bCs/>
          <w:color w:val="auto"/>
          <w:kern w:val="0"/>
          <w:sz w:val="18"/>
          <w:szCs w:val="18"/>
          <w:highlight w:val="none"/>
          <w:lang w:val="en-US" w:eastAsia="zh-CN"/>
        </w:rPr>
        <w:t>3</w:t>
      </w:r>
      <w:r>
        <w:rPr>
          <w:rFonts w:hint="eastAsia" w:cs="宋体" w:asciiTheme="minorEastAsia" w:hAnsiTheme="minorEastAsia" w:eastAsiaTheme="minorEastAsia"/>
          <w:b/>
          <w:bCs/>
          <w:color w:val="auto"/>
          <w:kern w:val="0"/>
          <w:sz w:val="18"/>
          <w:szCs w:val="18"/>
          <w:highlight w:val="none"/>
        </w:rPr>
        <w:t>0分整</w:t>
      </w:r>
    </w:p>
    <w:p>
      <w:pPr>
        <w:snapToGri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２、投标文件提交注意事项</w:t>
      </w:r>
    </w:p>
    <w:p>
      <w:pPr>
        <w:snapToGri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2.1供应商进行电子投标应安装客户端软件，并按照招标文件和电子交易平台的要求编制并加密投标文件。供应商未按规定加密的投标文件，代理机构应当拒收。</w:t>
      </w:r>
    </w:p>
    <w:p>
      <w:pPr>
        <w:snapToGri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snapToGri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2.3电子标文件制作，但如遇因应商电子投标文件解密失败等情况造成无效标，后果由供应商自负。</w:t>
      </w:r>
    </w:p>
    <w:p>
      <w:pPr>
        <w:snapToGri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b/>
          <w:bCs/>
          <w:color w:val="auto"/>
          <w:sz w:val="18"/>
          <w:szCs w:val="18"/>
          <w:highlight w:val="none"/>
        </w:rPr>
        <w:t>十、开标时间及地点</w:t>
      </w:r>
      <w:r>
        <w:rPr>
          <w:rFonts w:hint="eastAsia" w:cs="Arial" w:asciiTheme="minorEastAsia" w:hAnsiTheme="minorEastAsia" w:eastAsiaTheme="minorEastAsia"/>
          <w:color w:val="auto"/>
          <w:sz w:val="18"/>
          <w:szCs w:val="18"/>
          <w:highlight w:val="none"/>
        </w:rPr>
        <w:t>：</w:t>
      </w:r>
    </w:p>
    <w:p>
      <w:pPr>
        <w:snapToGrid w:val="0"/>
        <w:spacing w:line="360" w:lineRule="auto"/>
        <w:jc w:val="left"/>
        <w:rPr>
          <w:rFonts w:hint="eastAsia"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本次招标将于</w:t>
      </w:r>
      <w:r>
        <w:rPr>
          <w:rFonts w:hint="eastAsia" w:asciiTheme="minorEastAsia" w:hAnsiTheme="minorEastAsia" w:eastAsiaTheme="minorEastAsia"/>
          <w:b/>
          <w:color w:val="auto"/>
          <w:sz w:val="18"/>
          <w:szCs w:val="18"/>
          <w:highlight w:val="none"/>
          <w:shd w:val="clear" w:color="auto" w:fill="FFFFFF"/>
          <w:lang w:eastAsia="zh-CN"/>
        </w:rPr>
        <w:t>2023年12月27日</w:t>
      </w:r>
      <w:r>
        <w:rPr>
          <w:rFonts w:hint="eastAsia" w:cs="宋体" w:asciiTheme="minorEastAsia" w:hAnsiTheme="minorEastAsia" w:eastAsiaTheme="minorEastAsia"/>
          <w:b/>
          <w:bCs/>
          <w:color w:val="auto"/>
          <w:kern w:val="0"/>
          <w:sz w:val="18"/>
          <w:szCs w:val="18"/>
          <w:highlight w:val="none"/>
          <w:lang w:val="en-US" w:eastAsia="zh-CN"/>
        </w:rPr>
        <w:t>9</w:t>
      </w:r>
      <w:r>
        <w:rPr>
          <w:rFonts w:hint="eastAsia" w:cs="宋体" w:asciiTheme="minorEastAsia" w:hAnsiTheme="minorEastAsia" w:eastAsiaTheme="minorEastAsia"/>
          <w:b/>
          <w:bCs/>
          <w:color w:val="auto"/>
          <w:kern w:val="0"/>
          <w:sz w:val="18"/>
          <w:szCs w:val="18"/>
          <w:highlight w:val="none"/>
        </w:rPr>
        <w:t>时</w:t>
      </w:r>
      <w:r>
        <w:rPr>
          <w:rFonts w:hint="eastAsia" w:cs="宋体" w:asciiTheme="minorEastAsia" w:hAnsiTheme="minorEastAsia" w:eastAsiaTheme="minorEastAsia"/>
          <w:b/>
          <w:bCs/>
          <w:color w:val="auto"/>
          <w:kern w:val="0"/>
          <w:sz w:val="18"/>
          <w:szCs w:val="18"/>
          <w:highlight w:val="none"/>
          <w:lang w:val="en-US" w:eastAsia="zh-CN"/>
        </w:rPr>
        <w:t>3</w:t>
      </w:r>
      <w:r>
        <w:rPr>
          <w:rFonts w:hint="eastAsia" w:cs="宋体" w:asciiTheme="minorEastAsia" w:hAnsiTheme="minorEastAsia" w:eastAsiaTheme="minorEastAsia"/>
          <w:b/>
          <w:bCs/>
          <w:color w:val="auto"/>
          <w:kern w:val="0"/>
          <w:sz w:val="18"/>
          <w:szCs w:val="18"/>
          <w:highlight w:val="none"/>
        </w:rPr>
        <w:t>0分整</w:t>
      </w:r>
      <w:r>
        <w:rPr>
          <w:rFonts w:hint="eastAsia" w:cs="Arial" w:asciiTheme="minorEastAsia" w:hAnsiTheme="minorEastAsia" w:eastAsiaTheme="minorEastAsia"/>
          <w:color w:val="auto"/>
          <w:sz w:val="18"/>
          <w:szCs w:val="18"/>
          <w:highlight w:val="none"/>
        </w:rPr>
        <w:t>在</w:t>
      </w:r>
      <w:r>
        <w:rPr>
          <w:rFonts w:hint="eastAsia" w:ascii="宋体" w:hAnsi="宋体" w:cs="Arial" w:eastAsiaTheme="minorEastAsia"/>
          <w:color w:val="auto"/>
          <w:sz w:val="18"/>
          <w:szCs w:val="18"/>
          <w:highlight w:val="none"/>
        </w:rPr>
        <w:t>嘉兴市银建工程咨询评估有限公司</w:t>
      </w:r>
      <w:r>
        <w:rPr>
          <w:rFonts w:hint="eastAsia" w:ascii="宋体" w:hAnsi="宋体" w:cs="Arial"/>
          <w:color w:val="auto"/>
          <w:sz w:val="18"/>
          <w:szCs w:val="18"/>
          <w:highlight w:val="none"/>
        </w:rPr>
        <w:t>（嘉兴市洪兴路2399号宝地大厦150</w:t>
      </w:r>
      <w:r>
        <w:rPr>
          <w:rFonts w:hint="eastAsia" w:ascii="宋体" w:hAnsi="宋体" w:cs="Arial"/>
          <w:color w:val="auto"/>
          <w:sz w:val="18"/>
          <w:szCs w:val="18"/>
          <w:highlight w:val="none"/>
          <w:lang w:val="en-US" w:eastAsia="zh-CN"/>
        </w:rPr>
        <w:t>6</w:t>
      </w:r>
      <w:r>
        <w:rPr>
          <w:rFonts w:hint="eastAsia" w:ascii="宋体" w:hAnsi="宋体" w:cs="Arial"/>
          <w:color w:val="auto"/>
          <w:sz w:val="18"/>
          <w:szCs w:val="18"/>
          <w:highlight w:val="none"/>
        </w:rPr>
        <w:t>室）</w:t>
      </w:r>
      <w:r>
        <w:rPr>
          <w:rFonts w:hint="eastAsia" w:ascii="宋体" w:hAnsi="宋体" w:cs="Arial"/>
          <w:color w:val="auto"/>
          <w:sz w:val="18"/>
          <w:szCs w:val="18"/>
          <w:highlight w:val="none"/>
          <w:lang w:eastAsia="zh-CN"/>
        </w:rPr>
        <w:t>开标</w:t>
      </w:r>
      <w:r>
        <w:rPr>
          <w:rFonts w:hint="eastAsia" w:cs="Arial" w:asciiTheme="minorEastAsia" w:hAnsiTheme="minorEastAsia" w:eastAsiaTheme="minorEastAsia"/>
          <w:color w:val="auto"/>
          <w:sz w:val="18"/>
          <w:szCs w:val="18"/>
          <w:highlight w:val="none"/>
        </w:rPr>
        <w:t>。</w:t>
      </w:r>
      <w:r>
        <w:rPr>
          <w:rFonts w:hint="eastAsia" w:asciiTheme="minorEastAsia" w:hAnsiTheme="minorEastAsia" w:eastAsiaTheme="minorEastAsia"/>
          <w:b/>
          <w:color w:val="auto"/>
          <w:sz w:val="18"/>
          <w:szCs w:val="18"/>
          <w:highlight w:val="none"/>
          <w:u w:val="single"/>
        </w:rPr>
        <w:t>供应商无需到开标现场，但须准时在线参加，直至评审结束</w:t>
      </w:r>
      <w:r>
        <w:rPr>
          <w:rFonts w:hint="eastAsia" w:asciiTheme="minorEastAsia" w:hAnsiTheme="minorEastAsia" w:eastAsiaTheme="minorEastAsia"/>
          <w:b/>
          <w:color w:val="auto"/>
          <w:sz w:val="18"/>
          <w:szCs w:val="18"/>
          <w:highlight w:val="none"/>
        </w:rPr>
        <w:t>。</w:t>
      </w:r>
      <w:r>
        <w:rPr>
          <w:rFonts w:hint="eastAsia" w:cs="Arial" w:asciiTheme="minorEastAsia" w:hAnsiTheme="minorEastAsia" w:eastAsiaTheme="minorEastAsia"/>
          <w:color w:val="auto"/>
          <w:sz w:val="18"/>
          <w:szCs w:val="18"/>
          <w:highlight w:val="none"/>
        </w:rPr>
        <w:t>开标时间后半小时内（</w:t>
      </w:r>
      <w:r>
        <w:rPr>
          <w:rFonts w:hint="eastAsia" w:asciiTheme="minorEastAsia" w:hAnsiTheme="minorEastAsia" w:eastAsiaTheme="minorEastAsia"/>
          <w:b/>
          <w:color w:val="auto"/>
          <w:sz w:val="18"/>
          <w:szCs w:val="18"/>
          <w:highlight w:val="none"/>
          <w:shd w:val="clear" w:color="auto" w:fill="FFFFFF"/>
          <w:lang w:eastAsia="zh-CN"/>
        </w:rPr>
        <w:t>2023年12月27日</w:t>
      </w:r>
      <w:r>
        <w:rPr>
          <w:rFonts w:hint="eastAsia" w:cs="宋体" w:asciiTheme="minorEastAsia" w:hAnsiTheme="minorEastAsia" w:eastAsiaTheme="minorEastAsia"/>
          <w:b/>
          <w:bCs/>
          <w:color w:val="auto"/>
          <w:kern w:val="0"/>
          <w:sz w:val="18"/>
          <w:szCs w:val="18"/>
          <w:highlight w:val="none"/>
        </w:rPr>
        <w:t>1</w:t>
      </w:r>
      <w:r>
        <w:rPr>
          <w:rFonts w:hint="eastAsia" w:cs="宋体" w:asciiTheme="minorEastAsia" w:hAnsiTheme="minorEastAsia" w:eastAsiaTheme="minorEastAsia"/>
          <w:b/>
          <w:bCs/>
          <w:color w:val="auto"/>
          <w:kern w:val="0"/>
          <w:sz w:val="18"/>
          <w:szCs w:val="18"/>
          <w:highlight w:val="none"/>
          <w:lang w:val="en-US" w:eastAsia="zh-CN"/>
        </w:rPr>
        <w:t>0</w:t>
      </w:r>
      <w:r>
        <w:rPr>
          <w:rFonts w:hint="eastAsia" w:cs="宋体" w:asciiTheme="minorEastAsia" w:hAnsiTheme="minorEastAsia" w:eastAsiaTheme="minorEastAsia"/>
          <w:b/>
          <w:bCs/>
          <w:color w:val="auto"/>
          <w:kern w:val="0"/>
          <w:sz w:val="18"/>
          <w:szCs w:val="18"/>
          <w:highlight w:val="none"/>
        </w:rPr>
        <w:t>时</w:t>
      </w:r>
      <w:r>
        <w:rPr>
          <w:rFonts w:hint="eastAsia" w:cs="宋体" w:asciiTheme="minorEastAsia" w:hAnsiTheme="minorEastAsia" w:eastAsiaTheme="minorEastAsia"/>
          <w:b/>
          <w:bCs/>
          <w:color w:val="auto"/>
          <w:kern w:val="0"/>
          <w:sz w:val="18"/>
          <w:szCs w:val="18"/>
          <w:highlight w:val="none"/>
          <w:lang w:val="en-US" w:eastAsia="zh-CN"/>
        </w:rPr>
        <w:t>0</w:t>
      </w:r>
      <w:r>
        <w:rPr>
          <w:rFonts w:hint="eastAsia" w:cs="宋体" w:asciiTheme="minorEastAsia" w:hAnsiTheme="minorEastAsia" w:eastAsiaTheme="minorEastAsia"/>
          <w:b/>
          <w:bCs/>
          <w:color w:val="auto"/>
          <w:kern w:val="0"/>
          <w:sz w:val="18"/>
          <w:szCs w:val="18"/>
          <w:highlight w:val="none"/>
        </w:rPr>
        <w:t>0分</w:t>
      </w:r>
      <w:r>
        <w:rPr>
          <w:rFonts w:hint="eastAsia" w:cs="Arial" w:asciiTheme="minorEastAsia" w:hAnsiTheme="minorEastAsia" w:eastAsiaTheme="minorEastAsia"/>
          <w:b/>
          <w:color w:val="auto"/>
          <w:sz w:val="18"/>
          <w:szCs w:val="18"/>
          <w:highlight w:val="none"/>
        </w:rPr>
        <w:t>前</w:t>
      </w:r>
      <w:r>
        <w:rPr>
          <w:rFonts w:hint="eastAsia" w:cs="Arial" w:asciiTheme="minorEastAsia" w:hAnsiTheme="minorEastAsia" w:eastAsiaTheme="minorEastAsia"/>
          <w:color w:val="auto"/>
          <w:sz w:val="18"/>
          <w:szCs w:val="18"/>
          <w:highlight w:val="none"/>
        </w:rPr>
        <w:t>）</w:t>
      </w:r>
      <w:r>
        <w:rPr>
          <w:rFonts w:cs="Arial" w:asciiTheme="minorEastAsia" w:hAnsiTheme="minorEastAsia" w:eastAsiaTheme="minorEastAsia"/>
          <w:color w:val="auto"/>
          <w:sz w:val="18"/>
          <w:szCs w:val="18"/>
          <w:highlight w:val="none"/>
        </w:rPr>
        <w:t>供应商可以登录“</w:t>
      </w:r>
      <w:r>
        <w:rPr>
          <w:rFonts w:hint="eastAsia" w:cs="Arial" w:asciiTheme="minorEastAsia" w:hAnsiTheme="minorEastAsia" w:eastAsiaTheme="minorEastAsia"/>
          <w:color w:val="auto"/>
          <w:sz w:val="18"/>
          <w:szCs w:val="18"/>
          <w:highlight w:val="none"/>
        </w:rPr>
        <w:t>政采云</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平台</w:t>
      </w:r>
      <w:r>
        <w:rPr>
          <w:rFonts w:cs="Arial" w:asciiTheme="minorEastAsia" w:hAnsiTheme="minorEastAsia" w:eastAsiaTheme="minorEastAsia"/>
          <w:color w:val="auto"/>
          <w:sz w:val="18"/>
          <w:szCs w:val="18"/>
          <w:highlight w:val="none"/>
        </w:rPr>
        <w:t>，用“</w:t>
      </w:r>
      <w:r>
        <w:rPr>
          <w:rFonts w:hint="eastAsia" w:cs="Arial" w:asciiTheme="minorEastAsia" w:hAnsiTheme="minorEastAsia" w:eastAsiaTheme="minorEastAsia"/>
          <w:color w:val="auto"/>
          <w:sz w:val="18"/>
          <w:szCs w:val="18"/>
          <w:highlight w:val="none"/>
        </w:rPr>
        <w:t>项目采购-开标评标</w:t>
      </w:r>
      <w:r>
        <w:rPr>
          <w:rFonts w:cs="Arial" w:asciiTheme="minorEastAsia" w:hAnsiTheme="minorEastAsia" w:eastAsiaTheme="minorEastAsia"/>
          <w:color w:val="auto"/>
          <w:sz w:val="18"/>
          <w:szCs w:val="18"/>
          <w:highlight w:val="none"/>
        </w:rPr>
        <w:t>”功能</w:t>
      </w:r>
      <w:r>
        <w:rPr>
          <w:rFonts w:hint="eastAsia" w:cs="Arial" w:asciiTheme="minorEastAsia" w:hAnsiTheme="minorEastAsia" w:eastAsiaTheme="minorEastAsia"/>
          <w:color w:val="auto"/>
          <w:sz w:val="18"/>
          <w:szCs w:val="18"/>
          <w:highlight w:val="none"/>
        </w:rPr>
        <w:t>进行解密投标文件</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若供应商在规定时间内（</w:t>
      </w:r>
      <w:r>
        <w:rPr>
          <w:rFonts w:hint="eastAsia" w:asciiTheme="minorEastAsia" w:hAnsiTheme="minorEastAsia" w:eastAsiaTheme="minorEastAsia"/>
          <w:b/>
          <w:color w:val="auto"/>
          <w:sz w:val="18"/>
          <w:szCs w:val="18"/>
          <w:highlight w:val="none"/>
          <w:shd w:val="clear" w:color="auto" w:fill="FFFFFF"/>
          <w:lang w:eastAsia="zh-CN"/>
        </w:rPr>
        <w:t>2023年12月27日</w:t>
      </w:r>
      <w:r>
        <w:rPr>
          <w:rFonts w:hint="eastAsia" w:cs="宋体" w:asciiTheme="minorEastAsia" w:hAnsiTheme="minorEastAsia" w:eastAsiaTheme="minorEastAsia"/>
          <w:b/>
          <w:bCs/>
          <w:color w:val="auto"/>
          <w:kern w:val="0"/>
          <w:sz w:val="18"/>
          <w:szCs w:val="18"/>
          <w:highlight w:val="none"/>
        </w:rPr>
        <w:t>1</w:t>
      </w:r>
      <w:r>
        <w:rPr>
          <w:rFonts w:hint="eastAsia" w:cs="宋体" w:asciiTheme="minorEastAsia" w:hAnsiTheme="minorEastAsia" w:eastAsiaTheme="minorEastAsia"/>
          <w:b/>
          <w:bCs/>
          <w:color w:val="auto"/>
          <w:kern w:val="0"/>
          <w:sz w:val="18"/>
          <w:szCs w:val="18"/>
          <w:highlight w:val="none"/>
          <w:lang w:val="en-US" w:eastAsia="zh-CN"/>
        </w:rPr>
        <w:t>0</w:t>
      </w:r>
      <w:r>
        <w:rPr>
          <w:rFonts w:hint="eastAsia" w:cs="宋体" w:asciiTheme="minorEastAsia" w:hAnsiTheme="minorEastAsia" w:eastAsiaTheme="minorEastAsia"/>
          <w:b/>
          <w:bCs/>
          <w:color w:val="auto"/>
          <w:kern w:val="0"/>
          <w:sz w:val="18"/>
          <w:szCs w:val="18"/>
          <w:highlight w:val="none"/>
        </w:rPr>
        <w:t>时</w:t>
      </w:r>
      <w:r>
        <w:rPr>
          <w:rFonts w:hint="eastAsia" w:asciiTheme="minorEastAsia" w:hAnsiTheme="minorEastAsia" w:eastAsiaTheme="minorEastAsia"/>
          <w:b/>
          <w:color w:val="auto"/>
          <w:sz w:val="18"/>
          <w:szCs w:val="18"/>
          <w:highlight w:val="none"/>
          <w:shd w:val="clear" w:color="auto" w:fill="FFFFFF"/>
          <w:lang w:val="en-US" w:eastAsia="zh-CN"/>
        </w:rPr>
        <w:t>0</w:t>
      </w:r>
      <w:r>
        <w:rPr>
          <w:rFonts w:hint="eastAsia" w:asciiTheme="minorEastAsia" w:hAnsiTheme="minorEastAsia" w:eastAsiaTheme="minorEastAsia"/>
          <w:b/>
          <w:color w:val="auto"/>
          <w:sz w:val="18"/>
          <w:szCs w:val="18"/>
          <w:highlight w:val="none"/>
          <w:shd w:val="clear" w:color="auto" w:fill="FFFFFF"/>
        </w:rPr>
        <w:t>0分前</w:t>
      </w:r>
      <w:r>
        <w:rPr>
          <w:rFonts w:hint="eastAsia" w:cs="Arial" w:asciiTheme="minorEastAsia" w:hAnsiTheme="minorEastAsia" w:eastAsiaTheme="minorEastAsia"/>
          <w:color w:val="auto"/>
          <w:sz w:val="18"/>
          <w:szCs w:val="18"/>
          <w:highlight w:val="none"/>
        </w:rPr>
        <w:t>）投</w:t>
      </w:r>
      <w:r>
        <w:rPr>
          <w:rFonts w:cs="Arial" w:asciiTheme="minorEastAsia" w:hAnsiTheme="minorEastAsia" w:eastAsiaTheme="minorEastAsia"/>
          <w:color w:val="auto"/>
          <w:sz w:val="18"/>
          <w:szCs w:val="18"/>
          <w:highlight w:val="none"/>
        </w:rPr>
        <w:t>标文件</w:t>
      </w:r>
      <w:r>
        <w:rPr>
          <w:rFonts w:hint="eastAsia" w:cs="Arial" w:asciiTheme="minorEastAsia" w:hAnsiTheme="minorEastAsia" w:eastAsiaTheme="minorEastAsia"/>
          <w:color w:val="auto"/>
          <w:sz w:val="18"/>
          <w:szCs w:val="18"/>
          <w:highlight w:val="none"/>
        </w:rPr>
        <w:t>无法解密或解密失败</w:t>
      </w:r>
      <w:r>
        <w:rPr>
          <w:rFonts w:cs="Arial" w:asciiTheme="minorEastAsia" w:hAnsiTheme="minorEastAsia" w:eastAsiaTheme="minorEastAsia"/>
          <w:color w:val="auto"/>
          <w:sz w:val="18"/>
          <w:szCs w:val="18"/>
          <w:highlight w:val="none"/>
        </w:rPr>
        <w:t>（含未</w:t>
      </w:r>
      <w:r>
        <w:rPr>
          <w:rFonts w:hint="eastAsia" w:cs="Arial" w:asciiTheme="minorEastAsia" w:hAnsiTheme="minorEastAsia" w:eastAsiaTheme="minorEastAsia"/>
          <w:color w:val="auto"/>
          <w:sz w:val="18"/>
          <w:szCs w:val="18"/>
          <w:highlight w:val="none"/>
        </w:rPr>
        <w:t>提交</w:t>
      </w:r>
      <w:r>
        <w:rPr>
          <w:rFonts w:cs="Arial" w:asciiTheme="minorEastAsia" w:hAnsiTheme="minorEastAsia" w:eastAsiaTheme="minorEastAsia"/>
          <w:color w:val="auto"/>
          <w:sz w:val="18"/>
          <w:szCs w:val="18"/>
          <w:highlight w:val="none"/>
        </w:rPr>
        <w:t>），</w:t>
      </w:r>
      <w:r>
        <w:rPr>
          <w:rFonts w:hint="eastAsia" w:cs="Arial" w:asciiTheme="minorEastAsia" w:hAnsiTheme="minorEastAsia" w:eastAsiaTheme="minorEastAsia"/>
          <w:color w:val="auto"/>
          <w:sz w:val="18"/>
          <w:szCs w:val="18"/>
          <w:highlight w:val="none"/>
        </w:rPr>
        <w:t>则投标无效。</w:t>
      </w:r>
    </w:p>
    <w:p>
      <w:pPr>
        <w:spacing w:line="360" w:lineRule="auto"/>
        <w:rPr>
          <w:rFonts w:hint="eastAsia" w:ascii="宋体" w:hAnsi="宋体" w:eastAsia="宋体" w:cs="宋体"/>
          <w:b/>
          <w:color w:val="auto"/>
          <w:sz w:val="18"/>
          <w:szCs w:val="18"/>
          <w:highlight w:val="none"/>
        </w:rPr>
      </w:pPr>
      <w:r>
        <w:rPr>
          <w:rFonts w:hint="eastAsia"/>
          <w:b/>
          <w:bCs/>
          <w:color w:val="auto"/>
          <w:sz w:val="18"/>
          <w:szCs w:val="18"/>
          <w:highlight w:val="none"/>
          <w:lang w:eastAsia="zh-CN"/>
        </w:rPr>
        <w:t>十一、</w:t>
      </w:r>
      <w:r>
        <w:rPr>
          <w:rFonts w:hint="eastAsia" w:ascii="宋体" w:hAnsi="宋体" w:eastAsia="宋体" w:cs="宋体"/>
          <w:b/>
          <w:color w:val="auto"/>
          <w:sz w:val="18"/>
          <w:szCs w:val="18"/>
          <w:highlight w:val="none"/>
        </w:rPr>
        <w:t>其他补充事宜</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4.其他事项：</w:t>
      </w:r>
    </w:p>
    <w:p>
      <w:pPr>
        <w:wordWrap w:val="0"/>
        <w:spacing w:line="360" w:lineRule="auto"/>
        <w:ind w:firstLine="361" w:firstLineChars="200"/>
        <w:rPr>
          <w:rFonts w:hint="eastAsia" w:ascii="宋体" w:hAnsi="宋体" w:eastAsia="宋体" w:cs="宋体"/>
          <w:b/>
          <w:bCs/>
          <w:color w:val="auto"/>
          <w:sz w:val="18"/>
          <w:szCs w:val="18"/>
          <w:highlight w:val="none"/>
          <w:u w:val="single"/>
        </w:rPr>
      </w:pPr>
      <w:r>
        <w:rPr>
          <w:rFonts w:hint="eastAsia" w:ascii="宋体" w:hAnsi="宋体" w:eastAsia="宋体" w:cs="宋体"/>
          <w:b/>
          <w:bCs/>
          <w:color w:val="auto"/>
          <w:sz w:val="18"/>
          <w:szCs w:val="18"/>
          <w:highlight w:val="none"/>
          <w:u w:val="single"/>
        </w:rPr>
        <w:t>4.1为支持和促进中小企业发展，进一步发挥政府采购政策功能，鼓励供应商使用保险/保函替代保证金及进行预付款增信，支持供应商基于中标项目进行应收账款融资。中标供应商若想了解或使用相关服务，可通过政采云平台或其他渠道进行咨询。政采云金融热线400-903-9583，也可登录政采云平台查看相应政策文件及各相关服务方案∶https://jinrong.zcygov.cn/finance-service/#/home。</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4.2需要落实的政府采购政策：包括节约资源、保护环境、支持创新、促进中小企业发展等。详见招标文件的第二部分总则。</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4.3电子招投标的说明：</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①电子招投标：本项目以数据电文形式，依托“政府采购云平台（www.zcygov.cn）”进行招投标活动，不接受纸质投标文件；</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③招标文件的获取：使用账号登录或者使用CA登录政采云平台；进入“项目采购”应用，在获取采购文件菜单中选择项目，获取招标文件；</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④投标文件的制作：在“政采云电子交易客户端”中完成“填写基本信息”、“导入投标文件”、“标书关联”、“标书检查”、“电子签名”、“生成电子标书”等操作；</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⑤采购人、采购机构将依托政采云平台完成本项目的电子交易活动，平台不接受未按上述方式获取招标文件的供应商进行投标活动；</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⑥对未按上述方式获取招标文件的供应商对该文件提出的质疑，采购人或采购代理机构将不予处理；</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⑦不提供招标文件纸质版；</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p>
    <w:p>
      <w:pPr>
        <w:wordWrap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pStyle w:val="48"/>
        <w:ind w:left="0" w:leftChars="0" w:firstLine="0" w:firstLineChars="0"/>
        <w:rPr>
          <w:rFonts w:hint="eastAsia" w:eastAsiaTheme="minorEastAsia"/>
          <w:b/>
          <w:bCs/>
          <w:color w:val="auto"/>
          <w:sz w:val="18"/>
          <w:szCs w:val="18"/>
          <w:highlight w:val="none"/>
          <w:lang w:eastAsia="zh-CN"/>
        </w:rPr>
      </w:pPr>
      <w:r>
        <w:rPr>
          <w:rFonts w:hint="eastAsia" w:ascii="宋体" w:hAnsi="宋体" w:eastAsia="宋体" w:cs="宋体"/>
          <w:color w:val="auto"/>
          <w:sz w:val="18"/>
          <w:szCs w:val="18"/>
          <w:highlight w:val="none"/>
        </w:rPr>
        <w:t>⑩具体操作指南：详见政采云平台“服务中心-帮助文档-项目采购-操作流程-电子招投标-政府采购项目电子交易管理操作指南-供应商”。</w:t>
      </w:r>
    </w:p>
    <w:p>
      <w:pPr>
        <w:pStyle w:val="48"/>
        <w:ind w:left="0" w:leftChars="0" w:firstLine="0" w:firstLineChars="0"/>
        <w:rPr>
          <w:b/>
          <w:bCs/>
          <w:color w:val="auto"/>
          <w:sz w:val="18"/>
          <w:szCs w:val="18"/>
          <w:highlight w:val="none"/>
        </w:rPr>
      </w:pPr>
      <w:r>
        <w:rPr>
          <w:rFonts w:hint="eastAsia"/>
          <w:b/>
          <w:bCs/>
          <w:color w:val="auto"/>
          <w:sz w:val="18"/>
          <w:szCs w:val="18"/>
          <w:highlight w:val="none"/>
        </w:rPr>
        <w:t>十二、业务咨询：</w:t>
      </w:r>
    </w:p>
    <w:p>
      <w:pPr>
        <w:snapToGrid w:val="0"/>
        <w:spacing w:line="360" w:lineRule="auto"/>
        <w:rPr>
          <w:rFonts w:hint="eastAsia" w:cs="Arial" w:asciiTheme="minorEastAsia" w:hAnsiTheme="minorEastAsia" w:eastAsiaTheme="minorEastAsia"/>
          <w:b w:val="0"/>
          <w:bCs/>
          <w:color w:val="auto"/>
          <w:sz w:val="18"/>
          <w:szCs w:val="18"/>
          <w:highlight w:val="none"/>
          <w:lang w:eastAsia="zh-CN"/>
        </w:rPr>
      </w:pPr>
      <w:r>
        <w:rPr>
          <w:rFonts w:hint="eastAsia" w:cs="Arial" w:asciiTheme="minorEastAsia" w:hAnsiTheme="minorEastAsia" w:eastAsiaTheme="minorEastAsia"/>
          <w:b w:val="0"/>
          <w:bCs/>
          <w:color w:val="auto"/>
          <w:sz w:val="18"/>
          <w:szCs w:val="18"/>
          <w:highlight w:val="none"/>
        </w:rPr>
        <w:t>名    称：</w:t>
      </w:r>
      <w:r>
        <w:rPr>
          <w:rFonts w:hint="eastAsia" w:cs="Arial" w:asciiTheme="minorEastAsia" w:hAnsiTheme="minorEastAsia" w:eastAsiaTheme="minorEastAsia"/>
          <w:b w:val="0"/>
          <w:bCs/>
          <w:color w:val="auto"/>
          <w:sz w:val="18"/>
          <w:szCs w:val="18"/>
          <w:highlight w:val="none"/>
          <w:lang w:eastAsia="zh-CN"/>
        </w:rPr>
        <w:t>嘉兴市秀洲区人民政府新城街道办事处</w:t>
      </w:r>
    </w:p>
    <w:p>
      <w:pPr>
        <w:snapToGrid w:val="0"/>
        <w:spacing w:line="360" w:lineRule="auto"/>
        <w:rPr>
          <w:rFonts w:hint="eastAsia" w:cs="Arial" w:asciiTheme="minorEastAsia" w:hAnsiTheme="minorEastAsia" w:eastAsiaTheme="minorEastAsia"/>
          <w:b w:val="0"/>
          <w:bCs/>
          <w:color w:val="auto"/>
          <w:sz w:val="18"/>
          <w:szCs w:val="18"/>
          <w:highlight w:val="none"/>
          <w:lang w:eastAsia="zh-CN"/>
        </w:rPr>
      </w:pPr>
      <w:r>
        <w:rPr>
          <w:rFonts w:hint="eastAsia" w:cs="Arial" w:asciiTheme="minorEastAsia" w:hAnsiTheme="minorEastAsia" w:eastAsiaTheme="minorEastAsia"/>
          <w:b w:val="0"/>
          <w:bCs/>
          <w:color w:val="auto"/>
          <w:sz w:val="18"/>
          <w:szCs w:val="18"/>
          <w:highlight w:val="none"/>
        </w:rPr>
        <w:t>地    址：</w:t>
      </w:r>
      <w:r>
        <w:rPr>
          <w:rFonts w:hint="eastAsia" w:cs="Arial" w:asciiTheme="minorEastAsia" w:hAnsiTheme="minorEastAsia" w:eastAsiaTheme="minorEastAsia"/>
          <w:b w:val="0"/>
          <w:bCs/>
          <w:color w:val="auto"/>
          <w:sz w:val="18"/>
          <w:szCs w:val="18"/>
          <w:highlight w:val="none"/>
          <w:lang w:val="zh-CN"/>
        </w:rPr>
        <w:t>浙江省嘉兴市秀洲区东升西路1581号秀宏大楼</w:t>
      </w:r>
    </w:p>
    <w:p>
      <w:pPr>
        <w:snapToGrid w:val="0"/>
        <w:spacing w:line="360" w:lineRule="auto"/>
        <w:rPr>
          <w:rFonts w:hint="eastAsia" w:cs="Arial" w:asciiTheme="minorEastAsia" w:hAnsiTheme="minorEastAsia" w:eastAsiaTheme="minorEastAsia"/>
          <w:b w:val="0"/>
          <w:bCs/>
          <w:color w:val="auto"/>
          <w:sz w:val="18"/>
          <w:szCs w:val="18"/>
          <w:highlight w:val="none"/>
          <w:lang w:val="en-US" w:eastAsia="zh-CN"/>
        </w:rPr>
      </w:pPr>
      <w:r>
        <w:rPr>
          <w:rFonts w:hint="eastAsia" w:cs="Arial" w:asciiTheme="minorEastAsia" w:hAnsiTheme="minorEastAsia" w:eastAsiaTheme="minorEastAsia"/>
          <w:b w:val="0"/>
          <w:bCs/>
          <w:color w:val="auto"/>
          <w:sz w:val="18"/>
          <w:szCs w:val="18"/>
          <w:highlight w:val="none"/>
        </w:rPr>
        <w:t>传    真：</w:t>
      </w:r>
      <w:r>
        <w:rPr>
          <w:rFonts w:hint="eastAsia" w:cs="Arial" w:asciiTheme="minorEastAsia" w:hAnsiTheme="minorEastAsia" w:eastAsiaTheme="minorEastAsia"/>
          <w:b w:val="0"/>
          <w:bCs/>
          <w:color w:val="auto"/>
          <w:sz w:val="18"/>
          <w:szCs w:val="18"/>
          <w:highlight w:val="none"/>
          <w:lang w:val="en-US" w:eastAsia="zh-CN"/>
        </w:rPr>
        <w:t>/</w:t>
      </w:r>
    </w:p>
    <w:p>
      <w:pPr>
        <w:snapToGrid w:val="0"/>
        <w:spacing w:line="360" w:lineRule="auto"/>
        <w:rPr>
          <w:rFonts w:hint="eastAsia" w:cs="Arial" w:asciiTheme="minorEastAsia" w:hAnsiTheme="minorEastAsia" w:eastAsiaTheme="minorEastAsia"/>
          <w:b w:val="0"/>
          <w:bCs/>
          <w:color w:val="auto"/>
          <w:sz w:val="18"/>
          <w:szCs w:val="18"/>
          <w:highlight w:val="none"/>
          <w:lang w:val="en-US" w:eastAsia="zh-CN"/>
        </w:rPr>
      </w:pPr>
      <w:r>
        <w:rPr>
          <w:rFonts w:hint="eastAsia" w:cs="Arial" w:asciiTheme="minorEastAsia" w:hAnsiTheme="minorEastAsia" w:eastAsiaTheme="minorEastAsia"/>
          <w:b w:val="0"/>
          <w:bCs/>
          <w:color w:val="auto"/>
          <w:sz w:val="18"/>
          <w:szCs w:val="18"/>
          <w:highlight w:val="none"/>
        </w:rPr>
        <w:t>项目联系人（询问）：</w:t>
      </w:r>
      <w:r>
        <w:rPr>
          <w:rFonts w:hint="eastAsia" w:cs="Arial" w:asciiTheme="minorEastAsia" w:hAnsiTheme="minorEastAsia" w:eastAsiaTheme="minorEastAsia"/>
          <w:b w:val="0"/>
          <w:bCs/>
          <w:color w:val="auto"/>
          <w:sz w:val="18"/>
          <w:szCs w:val="18"/>
          <w:highlight w:val="none"/>
          <w:lang w:val="en-US" w:eastAsia="zh-CN"/>
        </w:rPr>
        <w:t>王先生</w:t>
      </w:r>
    </w:p>
    <w:p>
      <w:pPr>
        <w:snapToGrid w:val="0"/>
        <w:spacing w:line="360" w:lineRule="auto"/>
        <w:rPr>
          <w:rFonts w:hint="eastAsia" w:cs="Arial" w:asciiTheme="minorEastAsia" w:hAnsiTheme="minorEastAsia" w:eastAsiaTheme="minorEastAsia"/>
          <w:b w:val="0"/>
          <w:bCs/>
          <w:color w:val="auto"/>
          <w:sz w:val="18"/>
          <w:szCs w:val="18"/>
          <w:highlight w:val="none"/>
          <w:lang w:val="en-US" w:eastAsia="zh-CN"/>
        </w:rPr>
      </w:pPr>
      <w:r>
        <w:rPr>
          <w:rFonts w:hint="eastAsia" w:cs="Arial" w:asciiTheme="minorEastAsia" w:hAnsiTheme="minorEastAsia" w:eastAsiaTheme="minorEastAsia"/>
          <w:b w:val="0"/>
          <w:bCs/>
          <w:color w:val="auto"/>
          <w:sz w:val="18"/>
          <w:szCs w:val="18"/>
          <w:highlight w:val="none"/>
        </w:rPr>
        <w:t>项目联系方式（询问）：0573-</w:t>
      </w:r>
      <w:r>
        <w:rPr>
          <w:rFonts w:hint="eastAsia" w:cs="Arial" w:asciiTheme="minorEastAsia" w:hAnsiTheme="minorEastAsia" w:eastAsiaTheme="minorEastAsia"/>
          <w:b w:val="0"/>
          <w:bCs/>
          <w:color w:val="auto"/>
          <w:sz w:val="18"/>
          <w:szCs w:val="18"/>
          <w:highlight w:val="none"/>
          <w:lang w:val="en-US" w:eastAsia="zh-CN"/>
        </w:rPr>
        <w:t>82712276</w:t>
      </w:r>
    </w:p>
    <w:p>
      <w:pPr>
        <w:snapToGrid w:val="0"/>
        <w:spacing w:line="360" w:lineRule="auto"/>
        <w:rPr>
          <w:rFonts w:hint="default" w:cs="Arial" w:asciiTheme="minorEastAsia" w:hAnsiTheme="minorEastAsia" w:eastAsiaTheme="minorEastAsia"/>
          <w:b w:val="0"/>
          <w:bCs/>
          <w:color w:val="auto"/>
          <w:sz w:val="18"/>
          <w:szCs w:val="18"/>
          <w:highlight w:val="none"/>
          <w:lang w:val="en-US" w:eastAsia="zh-CN"/>
        </w:rPr>
      </w:pPr>
      <w:r>
        <w:rPr>
          <w:rFonts w:hint="eastAsia" w:cs="Arial" w:asciiTheme="minorEastAsia" w:hAnsiTheme="minorEastAsia" w:eastAsiaTheme="minorEastAsia"/>
          <w:b w:val="0"/>
          <w:bCs/>
          <w:color w:val="auto"/>
          <w:sz w:val="18"/>
          <w:szCs w:val="18"/>
          <w:highlight w:val="none"/>
        </w:rPr>
        <w:t>质疑联系人：</w:t>
      </w:r>
      <w:r>
        <w:rPr>
          <w:rFonts w:hint="eastAsia" w:cs="Arial" w:asciiTheme="minorEastAsia" w:hAnsiTheme="minorEastAsia" w:eastAsiaTheme="minorEastAsia"/>
          <w:b w:val="0"/>
          <w:bCs/>
          <w:color w:val="auto"/>
          <w:sz w:val="18"/>
          <w:szCs w:val="18"/>
          <w:highlight w:val="none"/>
          <w:lang w:eastAsia="zh-CN"/>
        </w:rPr>
        <w:t>叶</w:t>
      </w:r>
      <w:r>
        <w:rPr>
          <w:rFonts w:hint="eastAsia" w:cs="Arial" w:asciiTheme="minorEastAsia" w:hAnsiTheme="minorEastAsia" w:eastAsiaTheme="minorEastAsia"/>
          <w:b w:val="0"/>
          <w:bCs/>
          <w:color w:val="auto"/>
          <w:sz w:val="18"/>
          <w:szCs w:val="18"/>
          <w:highlight w:val="none"/>
          <w:lang w:val="en-US" w:eastAsia="zh-CN"/>
        </w:rPr>
        <w:t>先生</w:t>
      </w:r>
    </w:p>
    <w:p>
      <w:pPr>
        <w:snapToGrid w:val="0"/>
        <w:spacing w:line="360" w:lineRule="auto"/>
        <w:rPr>
          <w:rFonts w:hint="eastAsia" w:cs="Arial" w:asciiTheme="minorEastAsia" w:hAnsiTheme="minorEastAsia" w:eastAsiaTheme="minorEastAsia"/>
          <w:b w:val="0"/>
          <w:bCs/>
          <w:color w:val="auto"/>
          <w:sz w:val="18"/>
          <w:szCs w:val="18"/>
          <w:highlight w:val="none"/>
        </w:rPr>
      </w:pPr>
      <w:r>
        <w:rPr>
          <w:rFonts w:hint="eastAsia" w:cs="Arial" w:asciiTheme="minorEastAsia" w:hAnsiTheme="minorEastAsia" w:eastAsiaTheme="minorEastAsia"/>
          <w:b w:val="0"/>
          <w:bCs/>
          <w:color w:val="auto"/>
          <w:sz w:val="18"/>
          <w:szCs w:val="18"/>
          <w:highlight w:val="none"/>
        </w:rPr>
        <w:t>质疑联系方式：0573-</w:t>
      </w:r>
      <w:r>
        <w:rPr>
          <w:rFonts w:hint="eastAsia" w:cs="Arial" w:asciiTheme="minorEastAsia" w:hAnsiTheme="minorEastAsia" w:eastAsiaTheme="minorEastAsia"/>
          <w:b w:val="0"/>
          <w:bCs/>
          <w:color w:val="auto"/>
          <w:sz w:val="18"/>
          <w:szCs w:val="18"/>
          <w:highlight w:val="none"/>
          <w:lang w:val="en-US" w:eastAsia="zh-CN"/>
        </w:rPr>
        <w:t>82710582</w:t>
      </w:r>
    </w:p>
    <w:p>
      <w:pPr>
        <w:snapToGrid w:val="0"/>
        <w:spacing w:line="360" w:lineRule="auto"/>
        <w:rPr>
          <w:rFonts w:hint="eastAsia" w:cs="Arial" w:asciiTheme="minorEastAsia" w:hAnsiTheme="minorEastAsia" w:eastAsiaTheme="minorEastAsia"/>
          <w:b w:val="0"/>
          <w:bCs/>
          <w:color w:val="auto"/>
          <w:sz w:val="18"/>
          <w:szCs w:val="18"/>
          <w:highlight w:val="none"/>
        </w:rPr>
      </w:pPr>
      <w:r>
        <w:rPr>
          <w:rFonts w:hint="eastAsia" w:cs="Arial" w:asciiTheme="minorEastAsia" w:hAnsiTheme="minorEastAsia" w:eastAsiaTheme="minorEastAsia"/>
          <w:b w:val="0"/>
          <w:bCs/>
          <w:color w:val="auto"/>
          <w:sz w:val="18"/>
          <w:szCs w:val="18"/>
          <w:highlight w:val="none"/>
        </w:rPr>
        <w:t>2、采购代理机构信息</w:t>
      </w:r>
    </w:p>
    <w:p>
      <w:pPr>
        <w:snapToGrid w:val="0"/>
        <w:spacing w:line="360" w:lineRule="auto"/>
        <w:rPr>
          <w:rFonts w:hint="eastAsia" w:cs="Arial" w:asciiTheme="minorEastAsia" w:hAnsiTheme="minorEastAsia" w:eastAsiaTheme="minorEastAsia"/>
          <w:b w:val="0"/>
          <w:bCs/>
          <w:color w:val="auto"/>
          <w:sz w:val="18"/>
          <w:szCs w:val="18"/>
          <w:highlight w:val="none"/>
          <w:lang w:eastAsia="zh-CN"/>
        </w:rPr>
      </w:pPr>
      <w:r>
        <w:rPr>
          <w:rFonts w:hint="eastAsia" w:cs="Arial" w:asciiTheme="minorEastAsia" w:hAnsiTheme="minorEastAsia" w:eastAsiaTheme="minorEastAsia"/>
          <w:b w:val="0"/>
          <w:bCs/>
          <w:color w:val="auto"/>
          <w:sz w:val="18"/>
          <w:szCs w:val="18"/>
          <w:highlight w:val="none"/>
        </w:rPr>
        <w:t>名    称： </w:t>
      </w:r>
      <w:r>
        <w:rPr>
          <w:rFonts w:hint="eastAsia" w:cs="Arial" w:asciiTheme="minorEastAsia" w:hAnsiTheme="minorEastAsia" w:eastAsiaTheme="minorEastAsia"/>
          <w:b w:val="0"/>
          <w:bCs/>
          <w:color w:val="auto"/>
          <w:sz w:val="18"/>
          <w:szCs w:val="18"/>
          <w:highlight w:val="none"/>
          <w:lang w:eastAsia="zh-CN"/>
        </w:rPr>
        <w:t>嘉兴市银建工程咨询评估有限公司</w:t>
      </w:r>
    </w:p>
    <w:p>
      <w:pPr>
        <w:snapToGrid w:val="0"/>
        <w:spacing w:line="360" w:lineRule="auto"/>
        <w:rPr>
          <w:rFonts w:hint="eastAsia" w:cs="Arial" w:asciiTheme="minorEastAsia" w:hAnsiTheme="minorEastAsia" w:eastAsiaTheme="minorEastAsia"/>
          <w:b w:val="0"/>
          <w:bCs/>
          <w:color w:val="auto"/>
          <w:sz w:val="18"/>
          <w:szCs w:val="18"/>
          <w:highlight w:val="none"/>
          <w:lang w:eastAsia="zh-CN"/>
        </w:rPr>
      </w:pPr>
      <w:r>
        <w:rPr>
          <w:rFonts w:hint="eastAsia" w:cs="Arial" w:asciiTheme="minorEastAsia" w:hAnsiTheme="minorEastAsia" w:eastAsiaTheme="minorEastAsia"/>
          <w:b w:val="0"/>
          <w:bCs/>
          <w:color w:val="auto"/>
          <w:sz w:val="18"/>
          <w:szCs w:val="18"/>
          <w:highlight w:val="none"/>
        </w:rPr>
        <w:t>地    址： </w:t>
      </w:r>
      <w:r>
        <w:rPr>
          <w:rFonts w:hint="eastAsia" w:cs="Arial" w:asciiTheme="minorEastAsia" w:hAnsiTheme="minorEastAsia" w:eastAsiaTheme="minorEastAsia"/>
          <w:b w:val="0"/>
          <w:bCs/>
          <w:color w:val="auto"/>
          <w:sz w:val="18"/>
          <w:szCs w:val="18"/>
          <w:highlight w:val="none"/>
          <w:lang w:eastAsia="zh-CN"/>
        </w:rPr>
        <w:t>嘉兴市秀洲区洪兴路239</w:t>
      </w:r>
      <w:r>
        <w:rPr>
          <w:rFonts w:hint="eastAsia" w:cs="Arial" w:asciiTheme="minorEastAsia" w:hAnsiTheme="minorEastAsia" w:eastAsiaTheme="minorEastAsia"/>
          <w:b w:val="0"/>
          <w:bCs/>
          <w:color w:val="auto"/>
          <w:sz w:val="18"/>
          <w:szCs w:val="18"/>
          <w:highlight w:val="none"/>
          <w:lang w:val="en-US" w:eastAsia="zh-CN"/>
        </w:rPr>
        <w:t>9</w:t>
      </w:r>
      <w:r>
        <w:rPr>
          <w:rFonts w:hint="eastAsia" w:cs="Arial" w:asciiTheme="minorEastAsia" w:hAnsiTheme="minorEastAsia" w:eastAsiaTheme="minorEastAsia"/>
          <w:b w:val="0"/>
          <w:bCs/>
          <w:color w:val="auto"/>
          <w:sz w:val="18"/>
          <w:szCs w:val="18"/>
          <w:highlight w:val="none"/>
          <w:lang w:eastAsia="zh-CN"/>
        </w:rPr>
        <w:t>号宝地大厦</w:t>
      </w:r>
      <w:r>
        <w:rPr>
          <w:rFonts w:hint="eastAsia" w:cs="Arial" w:asciiTheme="minorEastAsia" w:hAnsiTheme="minorEastAsia" w:eastAsiaTheme="minorEastAsia"/>
          <w:b w:val="0"/>
          <w:bCs/>
          <w:color w:val="auto"/>
          <w:sz w:val="18"/>
          <w:szCs w:val="18"/>
          <w:highlight w:val="none"/>
          <w:lang w:val="en-US" w:eastAsia="zh-CN"/>
        </w:rPr>
        <w:t>1205</w:t>
      </w:r>
      <w:r>
        <w:rPr>
          <w:rFonts w:hint="eastAsia" w:cs="Arial" w:asciiTheme="minorEastAsia" w:hAnsiTheme="minorEastAsia" w:eastAsiaTheme="minorEastAsia"/>
          <w:b w:val="0"/>
          <w:bCs/>
          <w:color w:val="auto"/>
          <w:sz w:val="18"/>
          <w:szCs w:val="18"/>
          <w:highlight w:val="none"/>
          <w:lang w:eastAsia="zh-CN"/>
        </w:rPr>
        <w:t>室</w:t>
      </w:r>
    </w:p>
    <w:p>
      <w:pPr>
        <w:snapToGrid w:val="0"/>
        <w:spacing w:line="360" w:lineRule="auto"/>
        <w:rPr>
          <w:rFonts w:hint="eastAsia" w:cs="Arial" w:asciiTheme="minorEastAsia" w:hAnsiTheme="minorEastAsia" w:eastAsiaTheme="minorEastAsia"/>
          <w:b w:val="0"/>
          <w:bCs/>
          <w:color w:val="auto"/>
          <w:sz w:val="18"/>
          <w:szCs w:val="18"/>
          <w:highlight w:val="none"/>
          <w:lang w:eastAsia="zh-CN"/>
        </w:rPr>
      </w:pPr>
      <w:r>
        <w:rPr>
          <w:rFonts w:hint="eastAsia" w:cs="Arial" w:asciiTheme="minorEastAsia" w:hAnsiTheme="minorEastAsia" w:eastAsiaTheme="minorEastAsia"/>
          <w:b w:val="0"/>
          <w:bCs/>
          <w:color w:val="auto"/>
          <w:sz w:val="18"/>
          <w:szCs w:val="18"/>
          <w:highlight w:val="none"/>
        </w:rPr>
        <w:t>传    真：</w:t>
      </w:r>
      <w:r>
        <w:rPr>
          <w:rFonts w:hint="eastAsia" w:cs="Arial" w:asciiTheme="minorEastAsia" w:hAnsiTheme="minorEastAsia" w:eastAsiaTheme="minorEastAsia"/>
          <w:b w:val="0"/>
          <w:bCs/>
          <w:color w:val="auto"/>
          <w:sz w:val="18"/>
          <w:szCs w:val="18"/>
          <w:highlight w:val="none"/>
          <w:lang w:val="en-US" w:eastAsia="zh-CN"/>
        </w:rPr>
        <w:t>/</w:t>
      </w:r>
    </w:p>
    <w:p>
      <w:pPr>
        <w:snapToGrid w:val="0"/>
        <w:spacing w:line="360" w:lineRule="auto"/>
        <w:rPr>
          <w:rFonts w:hint="eastAsia" w:cs="Arial" w:asciiTheme="minorEastAsia" w:hAnsiTheme="minorEastAsia" w:eastAsiaTheme="minorEastAsia"/>
          <w:b w:val="0"/>
          <w:bCs/>
          <w:color w:val="auto"/>
          <w:sz w:val="18"/>
          <w:szCs w:val="18"/>
          <w:highlight w:val="none"/>
          <w:lang w:eastAsia="zh-CN"/>
        </w:rPr>
      </w:pPr>
      <w:r>
        <w:rPr>
          <w:rFonts w:hint="eastAsia" w:cs="Arial" w:asciiTheme="minorEastAsia" w:hAnsiTheme="minorEastAsia" w:eastAsiaTheme="minorEastAsia"/>
          <w:b w:val="0"/>
          <w:bCs/>
          <w:color w:val="auto"/>
          <w:sz w:val="18"/>
          <w:szCs w:val="18"/>
          <w:highlight w:val="none"/>
        </w:rPr>
        <w:t>项目联系人（询问）：</w:t>
      </w:r>
      <w:r>
        <w:rPr>
          <w:rFonts w:hint="eastAsia" w:cs="Arial" w:asciiTheme="minorEastAsia" w:hAnsiTheme="minorEastAsia" w:eastAsiaTheme="minorEastAsia"/>
          <w:b w:val="0"/>
          <w:bCs/>
          <w:color w:val="auto"/>
          <w:sz w:val="18"/>
          <w:szCs w:val="18"/>
          <w:highlight w:val="none"/>
          <w:lang w:eastAsia="zh-CN"/>
        </w:rPr>
        <w:t>李祺琛</w:t>
      </w:r>
    </w:p>
    <w:p>
      <w:pPr>
        <w:snapToGrid w:val="0"/>
        <w:spacing w:line="360" w:lineRule="auto"/>
        <w:rPr>
          <w:rFonts w:hint="default" w:cs="Arial" w:asciiTheme="minorEastAsia" w:hAnsiTheme="minorEastAsia" w:eastAsiaTheme="minorEastAsia"/>
          <w:b w:val="0"/>
          <w:bCs/>
          <w:color w:val="auto"/>
          <w:sz w:val="18"/>
          <w:szCs w:val="18"/>
          <w:highlight w:val="none"/>
          <w:lang w:val="en-US" w:eastAsia="zh-CN"/>
        </w:rPr>
      </w:pPr>
      <w:r>
        <w:rPr>
          <w:rFonts w:hint="eastAsia" w:cs="Arial" w:asciiTheme="minorEastAsia" w:hAnsiTheme="minorEastAsia" w:eastAsiaTheme="minorEastAsia"/>
          <w:b w:val="0"/>
          <w:bCs/>
          <w:color w:val="auto"/>
          <w:sz w:val="18"/>
          <w:szCs w:val="18"/>
          <w:highlight w:val="none"/>
        </w:rPr>
        <w:t xml:space="preserve">项目联系方式（询问）： </w:t>
      </w:r>
      <w:r>
        <w:rPr>
          <w:rFonts w:hint="eastAsia" w:cs="Arial" w:asciiTheme="minorEastAsia" w:hAnsiTheme="minorEastAsia" w:eastAsiaTheme="minorEastAsia"/>
          <w:b w:val="0"/>
          <w:bCs/>
          <w:color w:val="auto"/>
          <w:sz w:val="18"/>
          <w:szCs w:val="18"/>
          <w:highlight w:val="none"/>
          <w:lang w:val="en-US" w:eastAsia="zh-CN"/>
        </w:rPr>
        <w:t>18006615280</w:t>
      </w:r>
    </w:p>
    <w:p>
      <w:pPr>
        <w:snapToGrid w:val="0"/>
        <w:spacing w:line="360" w:lineRule="auto"/>
        <w:rPr>
          <w:rFonts w:hint="eastAsia" w:cs="Arial" w:asciiTheme="minorEastAsia" w:hAnsiTheme="minorEastAsia" w:eastAsiaTheme="minorEastAsia"/>
          <w:b w:val="0"/>
          <w:bCs/>
          <w:color w:val="auto"/>
          <w:sz w:val="18"/>
          <w:szCs w:val="18"/>
          <w:highlight w:val="none"/>
        </w:rPr>
      </w:pPr>
      <w:r>
        <w:rPr>
          <w:rFonts w:hint="eastAsia" w:cs="Arial" w:asciiTheme="minorEastAsia" w:hAnsiTheme="minorEastAsia" w:eastAsiaTheme="minorEastAsia"/>
          <w:b w:val="0"/>
          <w:bCs/>
          <w:color w:val="auto"/>
          <w:sz w:val="18"/>
          <w:szCs w:val="18"/>
          <w:highlight w:val="none"/>
        </w:rPr>
        <w:t>3、同级政府采购监督管理部门</w:t>
      </w:r>
    </w:p>
    <w:p>
      <w:pPr>
        <w:snapToGrid w:val="0"/>
        <w:spacing w:line="360" w:lineRule="auto"/>
        <w:rPr>
          <w:rFonts w:hint="eastAsia" w:cs="Arial" w:asciiTheme="minorEastAsia" w:hAnsiTheme="minorEastAsia" w:eastAsiaTheme="minorEastAsia"/>
          <w:b w:val="0"/>
          <w:bCs/>
          <w:color w:val="auto"/>
          <w:sz w:val="18"/>
          <w:szCs w:val="18"/>
          <w:highlight w:val="none"/>
          <w:lang w:eastAsia="zh-CN"/>
        </w:rPr>
      </w:pPr>
      <w:r>
        <w:rPr>
          <w:rFonts w:hint="eastAsia" w:cs="Arial" w:asciiTheme="minorEastAsia" w:hAnsiTheme="minorEastAsia" w:eastAsiaTheme="minorEastAsia"/>
          <w:b w:val="0"/>
          <w:bCs/>
          <w:color w:val="auto"/>
          <w:sz w:val="18"/>
          <w:szCs w:val="18"/>
          <w:highlight w:val="none"/>
        </w:rPr>
        <w:t xml:space="preserve">名    称： 嘉兴市秀洲区财政局 </w:t>
      </w:r>
    </w:p>
    <w:p>
      <w:pPr>
        <w:snapToGrid w:val="0"/>
        <w:spacing w:line="360" w:lineRule="auto"/>
        <w:rPr>
          <w:rFonts w:hint="eastAsia" w:cs="Arial" w:asciiTheme="minorEastAsia" w:hAnsiTheme="minorEastAsia" w:eastAsiaTheme="minorEastAsia"/>
          <w:b w:val="0"/>
          <w:bCs/>
          <w:color w:val="auto"/>
          <w:sz w:val="18"/>
          <w:szCs w:val="18"/>
          <w:highlight w:val="none"/>
          <w:lang w:val="en-US" w:eastAsia="zh-CN"/>
        </w:rPr>
      </w:pPr>
      <w:r>
        <w:rPr>
          <w:rFonts w:hint="eastAsia" w:cs="Arial" w:asciiTheme="minorEastAsia" w:hAnsiTheme="minorEastAsia" w:eastAsiaTheme="minorEastAsia"/>
          <w:b w:val="0"/>
          <w:bCs/>
          <w:color w:val="auto"/>
          <w:sz w:val="18"/>
          <w:szCs w:val="18"/>
          <w:highlight w:val="none"/>
        </w:rPr>
        <w:t>监督投诉电话：0573-8272008</w:t>
      </w:r>
      <w:r>
        <w:rPr>
          <w:rFonts w:hint="eastAsia" w:cs="Arial" w:asciiTheme="minorEastAsia" w:hAnsiTheme="minorEastAsia" w:eastAsiaTheme="minorEastAsia"/>
          <w:b w:val="0"/>
          <w:bCs/>
          <w:color w:val="auto"/>
          <w:sz w:val="18"/>
          <w:szCs w:val="18"/>
          <w:highlight w:val="none"/>
          <w:lang w:val="en-US" w:eastAsia="zh-CN"/>
        </w:rPr>
        <w:t>5</w:t>
      </w:r>
    </w:p>
    <w:p>
      <w:pPr>
        <w:snapToGrid w:val="0"/>
        <w:spacing w:line="360" w:lineRule="auto"/>
        <w:rPr>
          <w:rFonts w:hint="eastAsia" w:cs="Arial" w:asciiTheme="minorEastAsia" w:hAnsiTheme="minorEastAsia" w:eastAsiaTheme="minorEastAsia"/>
          <w:b w:val="0"/>
          <w:bCs/>
          <w:color w:val="auto"/>
          <w:sz w:val="18"/>
          <w:szCs w:val="18"/>
          <w:highlight w:val="none"/>
          <w:lang w:val="en-US" w:eastAsia="zh-CN"/>
        </w:rPr>
      </w:pPr>
      <w:r>
        <w:rPr>
          <w:rFonts w:hint="eastAsia" w:cs="Arial" w:asciiTheme="minorEastAsia" w:hAnsiTheme="minorEastAsia" w:eastAsiaTheme="minorEastAsia"/>
          <w:b w:val="0"/>
          <w:bCs/>
          <w:color w:val="auto"/>
          <w:sz w:val="18"/>
          <w:szCs w:val="18"/>
          <w:highlight w:val="none"/>
          <w:lang w:val="en-US" w:eastAsia="zh-CN"/>
        </w:rPr>
        <w:t>联  系  人：宋女士</w:t>
      </w:r>
    </w:p>
    <w:p>
      <w:pPr>
        <w:snapToGrid w:val="0"/>
        <w:spacing w:line="360" w:lineRule="auto"/>
        <w:jc w:val="right"/>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rPr>
        <w:t>采购</w:t>
      </w:r>
      <w:r>
        <w:rPr>
          <w:rFonts w:asciiTheme="minorEastAsia" w:hAnsiTheme="minorEastAsia" w:eastAsiaTheme="minorEastAsia"/>
          <w:color w:val="auto"/>
          <w:sz w:val="18"/>
          <w:szCs w:val="18"/>
          <w:highlight w:val="none"/>
        </w:rPr>
        <w:t>单位：</w:t>
      </w:r>
      <w:r>
        <w:rPr>
          <w:rFonts w:hint="eastAsia" w:asciiTheme="minorEastAsia" w:hAnsiTheme="minorEastAsia" w:eastAsiaTheme="minorEastAsia"/>
          <w:color w:val="auto"/>
          <w:sz w:val="18"/>
          <w:szCs w:val="18"/>
          <w:highlight w:val="none"/>
          <w:lang w:eastAsia="zh-CN"/>
        </w:rPr>
        <w:t>嘉兴市秀洲区人民政府新城街道办事处</w:t>
      </w:r>
    </w:p>
    <w:p>
      <w:pPr>
        <w:snapToGrid w:val="0"/>
        <w:spacing w:line="360" w:lineRule="auto"/>
        <w:jc w:val="righ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代理机构：嘉兴市银建工程咨询评估有限公司</w:t>
      </w:r>
    </w:p>
    <w:p>
      <w:pPr>
        <w:snapToGrid w:val="0"/>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18"/>
          <w:szCs w:val="18"/>
          <w:highlight w:val="none"/>
        </w:rPr>
        <w:t>　　　　　　　</w:t>
      </w:r>
      <w:r>
        <w:rPr>
          <w:rFonts w:asciiTheme="minorEastAsia" w:hAnsiTheme="minorEastAsia" w:eastAsiaTheme="minorEastAsia"/>
          <w:color w:val="auto"/>
          <w:sz w:val="18"/>
          <w:szCs w:val="18"/>
          <w:highlight w:val="none"/>
        </w:rPr>
        <w:t>202</w:t>
      </w:r>
      <w:r>
        <w:rPr>
          <w:rFonts w:hint="eastAsia" w:asciiTheme="minorEastAsia" w:hAnsiTheme="minorEastAsia" w:eastAsiaTheme="minorEastAsia"/>
          <w:color w:val="auto"/>
          <w:sz w:val="18"/>
          <w:szCs w:val="18"/>
          <w:highlight w:val="none"/>
          <w:lang w:val="en-US" w:eastAsia="zh-CN"/>
        </w:rPr>
        <w:t>3</w:t>
      </w:r>
      <w:r>
        <w:rPr>
          <w:rFonts w:asciiTheme="minorEastAsia" w:hAnsiTheme="minorEastAsia" w:eastAsiaTheme="minorEastAsia"/>
          <w:color w:val="auto"/>
          <w:sz w:val="18"/>
          <w:szCs w:val="18"/>
          <w:highlight w:val="none"/>
        </w:rPr>
        <w:t>年</w:t>
      </w:r>
      <w:r>
        <w:rPr>
          <w:rFonts w:hint="eastAsia" w:asciiTheme="minorEastAsia" w:hAnsiTheme="minorEastAsia" w:eastAsiaTheme="minorEastAsia"/>
          <w:color w:val="auto"/>
          <w:sz w:val="18"/>
          <w:szCs w:val="18"/>
          <w:highlight w:val="none"/>
          <w:lang w:val="en-US" w:eastAsia="zh-CN"/>
        </w:rPr>
        <w:t>12</w:t>
      </w:r>
      <w:r>
        <w:rPr>
          <w:rFonts w:asciiTheme="minorEastAsia" w:hAnsiTheme="minorEastAsia" w:eastAsiaTheme="minorEastAsia"/>
          <w:color w:val="auto"/>
          <w:sz w:val="18"/>
          <w:szCs w:val="18"/>
          <w:highlight w:val="none"/>
        </w:rPr>
        <w:t>月</w:t>
      </w:r>
      <w:r>
        <w:rPr>
          <w:rFonts w:hint="eastAsia" w:asciiTheme="minorEastAsia" w:hAnsiTheme="minorEastAsia" w:eastAsiaTheme="minorEastAsia"/>
          <w:color w:val="auto"/>
          <w:sz w:val="18"/>
          <w:szCs w:val="18"/>
          <w:highlight w:val="none"/>
          <w:lang w:val="en-US" w:eastAsia="zh-CN"/>
        </w:rPr>
        <w:t>6</w:t>
      </w:r>
      <w:r>
        <w:rPr>
          <w:rFonts w:asciiTheme="minorEastAsia" w:hAnsiTheme="minorEastAsia" w:eastAsiaTheme="minorEastAsia"/>
          <w:color w:val="auto"/>
          <w:sz w:val="18"/>
          <w:szCs w:val="18"/>
          <w:highlight w:val="none"/>
        </w:rPr>
        <w:t>日</w:t>
      </w:r>
    </w:p>
    <w:p>
      <w:pPr>
        <w:widowControl/>
        <w:jc w:val="left"/>
        <w:rPr>
          <w:rFonts w:asciiTheme="minorEastAsia" w:hAnsiTheme="minorEastAsia" w:eastAsiaTheme="minorEastAsia"/>
          <w:b/>
          <w:color w:val="auto"/>
          <w:sz w:val="30"/>
          <w:szCs w:val="30"/>
          <w:highlight w:val="none"/>
        </w:rPr>
      </w:pPr>
      <w:r>
        <w:rPr>
          <w:rFonts w:asciiTheme="minorEastAsia" w:hAnsiTheme="minorEastAsia" w:eastAsiaTheme="minorEastAsia"/>
          <w:b/>
          <w:color w:val="auto"/>
          <w:sz w:val="30"/>
          <w:szCs w:val="30"/>
          <w:highlight w:val="none"/>
        </w:rPr>
        <w:br w:type="page"/>
      </w:r>
    </w:p>
    <w:p>
      <w:pPr>
        <w:numPr>
          <w:ilvl w:val="0"/>
          <w:numId w:val="6"/>
        </w:numPr>
        <w:snapToGrid w:val="0"/>
        <w:spacing w:beforeLines="50" w:afterLines="50" w:line="360" w:lineRule="auto"/>
        <w:ind w:left="238"/>
        <w:jc w:val="center"/>
        <w:outlineLvl w:val="0"/>
        <w:rPr>
          <w:rFonts w:hint="eastAsia"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 xml:space="preserve"> </w:t>
      </w:r>
      <w:bookmarkStart w:id="6" w:name="_Toc19796"/>
      <w:bookmarkStart w:id="7" w:name="_Toc24075"/>
      <w:r>
        <w:rPr>
          <w:rFonts w:hint="eastAsia" w:asciiTheme="minorEastAsia" w:hAnsiTheme="minorEastAsia" w:eastAsiaTheme="minorEastAsia"/>
          <w:b/>
          <w:color w:val="auto"/>
          <w:sz w:val="30"/>
          <w:szCs w:val="30"/>
          <w:highlight w:val="none"/>
        </w:rPr>
        <w:t>招标需求</w:t>
      </w:r>
      <w:bookmarkEnd w:id="6"/>
      <w:bookmarkEnd w:id="7"/>
      <w:bookmarkStart w:id="8" w:name="_Toc406402986"/>
    </w:p>
    <w:p>
      <w:pPr>
        <w:pStyle w:val="48"/>
        <w:numPr>
          <w:ilvl w:val="0"/>
          <w:numId w:val="0"/>
        </w:numPr>
        <w:rPr>
          <w:rFonts w:hint="default" w:eastAsiaTheme="minorEastAsia"/>
          <w:color w:val="auto"/>
          <w:sz w:val="18"/>
          <w:szCs w:val="18"/>
          <w:highlight w:val="none"/>
          <w:lang w:val="en-US" w:eastAsia="zh-CN"/>
        </w:rPr>
      </w:pPr>
      <w:r>
        <w:rPr>
          <w:rFonts w:hint="eastAsia"/>
          <w:color w:val="auto"/>
          <w:sz w:val="18"/>
          <w:szCs w:val="18"/>
          <w:highlight w:val="none"/>
          <w:lang w:val="en-US" w:eastAsia="zh-CN"/>
        </w:rPr>
        <w:t>一、项目概况</w:t>
      </w:r>
    </w:p>
    <w:p>
      <w:pPr>
        <w:spacing w:line="360" w:lineRule="auto"/>
        <w:ind w:firstLine="360" w:firstLineChars="200"/>
        <w:rPr>
          <w:rFonts w:hint="eastAsia" w:ascii="宋体" w:hAnsi="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新城街道</w:t>
      </w:r>
      <w:r>
        <w:rPr>
          <w:rFonts w:hint="eastAsia" w:ascii="宋体" w:hAnsi="宋体" w:cs="宋体"/>
          <w:color w:val="auto"/>
          <w:sz w:val="18"/>
          <w:szCs w:val="18"/>
          <w:highlight w:val="none"/>
          <w:lang w:val="en-US" w:eastAsia="zh-CN"/>
        </w:rPr>
        <w:t>部分</w:t>
      </w:r>
      <w:r>
        <w:rPr>
          <w:rFonts w:hint="eastAsia" w:ascii="宋体" w:hAnsi="宋体" w:eastAsia="宋体" w:cs="宋体"/>
          <w:color w:val="auto"/>
          <w:sz w:val="18"/>
          <w:szCs w:val="18"/>
          <w:highlight w:val="none"/>
          <w:lang w:val="en-US" w:eastAsia="zh-CN"/>
        </w:rPr>
        <w:t>区域内的</w:t>
      </w:r>
      <w:r>
        <w:rPr>
          <w:rFonts w:hint="eastAsia" w:ascii="宋体" w:hAnsi="宋体" w:cs="宋体"/>
          <w:color w:val="auto"/>
          <w:sz w:val="18"/>
          <w:szCs w:val="18"/>
          <w:highlight w:val="none"/>
          <w:lang w:val="en-US" w:eastAsia="zh-CN"/>
        </w:rPr>
        <w:t>绿地、</w:t>
      </w:r>
      <w:r>
        <w:rPr>
          <w:rFonts w:hint="eastAsia" w:ascii="宋体" w:hAnsi="宋体" w:eastAsia="宋体" w:cs="宋体"/>
          <w:color w:val="auto"/>
          <w:sz w:val="18"/>
          <w:szCs w:val="18"/>
          <w:highlight w:val="none"/>
          <w:lang w:val="en-US" w:eastAsia="zh-CN"/>
        </w:rPr>
        <w:t>乔灌木、行道树养护，时令草花种植及日常养护</w:t>
      </w:r>
      <w:r>
        <w:rPr>
          <w:rFonts w:hint="eastAsia" w:ascii="宋体" w:hAnsi="宋体" w:cs="宋体"/>
          <w:color w:val="auto"/>
          <w:sz w:val="18"/>
          <w:szCs w:val="18"/>
          <w:highlight w:val="none"/>
          <w:lang w:val="en-US" w:eastAsia="zh-CN"/>
        </w:rPr>
        <w:t>（详见清单）。</w:t>
      </w:r>
    </w:p>
    <w:p>
      <w:pPr>
        <w:spacing w:line="360" w:lineRule="auto"/>
        <w:ind w:firstLine="360" w:firstLineChars="200"/>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注：报价时按全费用综合单价考虑（含保险（人员保险、财产保险等）税金、规费、管理费、安全文明费、利润等一切为完成本项目涉及的费用），具体数量按实际</w:t>
      </w:r>
      <w:r>
        <w:rPr>
          <w:rFonts w:hint="eastAsia" w:ascii="宋体" w:hAnsi="宋体" w:eastAsia="宋体" w:cs="宋体"/>
          <w:color w:val="auto"/>
          <w:sz w:val="18"/>
          <w:szCs w:val="18"/>
          <w:highlight w:val="none"/>
          <w:lang w:val="en-US" w:eastAsia="zh-CN"/>
        </w:rPr>
        <w:t>发生量结算。</w:t>
      </w:r>
    </w:p>
    <w:p>
      <w:pPr>
        <w:spacing w:line="360" w:lineRule="auto"/>
        <w:ind w:firstLine="360" w:firstLineChars="20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结算时单价按投标时全费用单位计，不因任何因素变更。</w:t>
      </w:r>
    </w:p>
    <w:p>
      <w:pPr>
        <w:spacing w:line="360" w:lineRule="auto"/>
        <w:ind w:firstLine="360" w:firstLineChars="20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各标段大致范围：一标：东至昌盛中路-西至秀清港-南至杭州塘-北至新塍塘；二标：东至北郊河、西至常台高速（乍嘉苏高速）、南至新塍塘、北至嘉塍公路；三标：三个公园（秀洲生态公园、秀清公园（北区块）、春晓公园）；四标：东至新秀路、西至新洲路、南至中山西路、北至长虹路；五标：东至秀园路、西至常台高速（乍嘉苏高速）、南至新塍塘、北至环秀路移植片林；六标：杭州塘与北郊河东岸绿道（东至昌盛路、北至春晓公园） 殷秀路洪高路绿道（南至秀清港南段、西至秀清港北段）。</w:t>
      </w:r>
    </w:p>
    <w:p>
      <w:pPr>
        <w:pStyle w:val="48"/>
        <w:numPr>
          <w:ilvl w:val="0"/>
          <w:numId w:val="0"/>
        </w:numPr>
        <w:ind w:left="388" w:leftChars="0"/>
        <w:rPr>
          <w:rFonts w:hint="eastAsia" w:ascii="宋体" w:hAnsi="宋体" w:eastAsia="宋体" w:cs="宋体"/>
          <w:b/>
          <w:color w:val="auto"/>
          <w:sz w:val="18"/>
          <w:szCs w:val="18"/>
          <w:highlight w:val="none"/>
        </w:rPr>
      </w:pPr>
      <w:r>
        <w:rPr>
          <w:rFonts w:hint="eastAsia" w:hAnsi="宋体" w:eastAsia="宋体" w:cs="宋体"/>
          <w:b/>
          <w:color w:val="auto"/>
          <w:sz w:val="18"/>
          <w:szCs w:val="18"/>
          <w:highlight w:val="none"/>
          <w:lang w:eastAsia="zh-CN"/>
        </w:rPr>
        <w:t>二、技术</w:t>
      </w:r>
      <w:r>
        <w:rPr>
          <w:rFonts w:hint="eastAsia" w:ascii="宋体" w:hAnsi="宋体" w:eastAsia="宋体" w:cs="宋体"/>
          <w:b/>
          <w:color w:val="auto"/>
          <w:sz w:val="18"/>
          <w:szCs w:val="18"/>
          <w:highlight w:val="none"/>
        </w:rPr>
        <w:t>条款</w:t>
      </w:r>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9" w:name="_Toc25899"/>
      <w:bookmarkStart w:id="10" w:name="_Toc29724"/>
      <w:r>
        <w:rPr>
          <w:rFonts w:hint="eastAsia" w:hAnsi="宋体" w:cs="宋体"/>
          <w:bCs/>
          <w:color w:val="auto"/>
          <w:sz w:val="18"/>
          <w:szCs w:val="18"/>
          <w:highlight w:val="none"/>
          <w:lang w:val="en-US" w:eastAsia="zh-CN"/>
        </w:rPr>
        <w:t>1</w:t>
      </w:r>
      <w:r>
        <w:rPr>
          <w:rFonts w:hint="default" w:ascii="宋体" w:hAnsi="宋体" w:eastAsia="宋体" w:cs="宋体"/>
          <w:bCs/>
          <w:color w:val="auto"/>
          <w:sz w:val="18"/>
          <w:szCs w:val="18"/>
          <w:highlight w:val="none"/>
          <w:lang w:val="en-US" w:eastAsia="zh-CN"/>
        </w:rPr>
        <w:t>、</w:t>
      </w:r>
      <w:r>
        <w:rPr>
          <w:rFonts w:hint="eastAsia" w:hAnsi="宋体" w:cs="宋体"/>
          <w:bCs/>
          <w:color w:val="auto"/>
          <w:sz w:val="18"/>
          <w:szCs w:val="18"/>
          <w:highlight w:val="none"/>
          <w:lang w:val="en-US" w:eastAsia="zh-CN"/>
        </w:rPr>
        <w:t>养护服务清单</w:t>
      </w:r>
      <w:r>
        <w:rPr>
          <w:rFonts w:hint="default" w:ascii="宋体" w:hAnsi="宋体" w:eastAsia="宋体" w:cs="宋体"/>
          <w:bCs/>
          <w:color w:val="auto"/>
          <w:sz w:val="18"/>
          <w:szCs w:val="18"/>
          <w:highlight w:val="none"/>
          <w:lang w:val="en-US" w:eastAsia="zh-CN"/>
        </w:rPr>
        <w:t>中只描述了完成本分项</w:t>
      </w:r>
      <w:r>
        <w:rPr>
          <w:rFonts w:hint="eastAsia" w:hAnsi="宋体" w:cs="宋体"/>
          <w:bCs/>
          <w:color w:val="auto"/>
          <w:sz w:val="18"/>
          <w:szCs w:val="18"/>
          <w:highlight w:val="none"/>
          <w:lang w:val="en-US" w:eastAsia="zh-CN"/>
        </w:rPr>
        <w:t>养护服务</w:t>
      </w:r>
      <w:r>
        <w:rPr>
          <w:rFonts w:hint="default" w:ascii="宋体" w:hAnsi="宋体" w:eastAsia="宋体" w:cs="宋体"/>
          <w:bCs/>
          <w:color w:val="auto"/>
          <w:sz w:val="18"/>
          <w:szCs w:val="18"/>
          <w:highlight w:val="none"/>
          <w:lang w:val="en-US" w:eastAsia="zh-CN"/>
        </w:rPr>
        <w:t>应有的主要工作内容，但投标人填报的</w:t>
      </w:r>
      <w:r>
        <w:rPr>
          <w:rFonts w:hint="eastAsia" w:hAnsi="宋体" w:cs="宋体"/>
          <w:bCs/>
          <w:color w:val="auto"/>
          <w:sz w:val="18"/>
          <w:szCs w:val="18"/>
          <w:highlight w:val="none"/>
          <w:lang w:val="en-US" w:eastAsia="zh-CN"/>
        </w:rPr>
        <w:t>全费用</w:t>
      </w:r>
      <w:r>
        <w:rPr>
          <w:rFonts w:hint="default" w:ascii="宋体" w:hAnsi="宋体" w:eastAsia="宋体" w:cs="宋体"/>
          <w:bCs/>
          <w:color w:val="auto"/>
          <w:sz w:val="18"/>
          <w:szCs w:val="18"/>
          <w:highlight w:val="none"/>
          <w:lang w:val="en-US" w:eastAsia="zh-CN"/>
        </w:rPr>
        <w:t>综合单价应是包含了分项计量范围内的所有工作内容的价格，无论本分项</w:t>
      </w:r>
      <w:r>
        <w:rPr>
          <w:rFonts w:hint="eastAsia" w:hAnsi="宋体" w:cs="宋体"/>
          <w:bCs/>
          <w:color w:val="auto"/>
          <w:sz w:val="18"/>
          <w:szCs w:val="18"/>
          <w:highlight w:val="none"/>
          <w:lang w:val="en-US" w:eastAsia="zh-CN"/>
        </w:rPr>
        <w:t>养护服务</w:t>
      </w:r>
      <w:r>
        <w:rPr>
          <w:rFonts w:hint="default" w:ascii="宋体" w:hAnsi="宋体" w:eastAsia="宋体" w:cs="宋体"/>
          <w:bCs/>
          <w:color w:val="auto"/>
          <w:sz w:val="18"/>
          <w:szCs w:val="18"/>
          <w:highlight w:val="none"/>
          <w:lang w:val="en-US" w:eastAsia="zh-CN"/>
        </w:rPr>
        <w:t>有无明确列项或表示，只要是为完成该分项</w:t>
      </w:r>
      <w:r>
        <w:rPr>
          <w:rFonts w:hint="eastAsia" w:hAnsi="宋体" w:cs="宋体"/>
          <w:bCs/>
          <w:color w:val="auto"/>
          <w:sz w:val="18"/>
          <w:szCs w:val="18"/>
          <w:highlight w:val="none"/>
          <w:lang w:val="en-US" w:eastAsia="zh-CN"/>
        </w:rPr>
        <w:t>养护服务</w:t>
      </w:r>
      <w:r>
        <w:rPr>
          <w:rFonts w:hint="default" w:ascii="宋体" w:hAnsi="宋体" w:eastAsia="宋体" w:cs="宋体"/>
          <w:bCs/>
          <w:color w:val="auto"/>
          <w:sz w:val="18"/>
          <w:szCs w:val="18"/>
          <w:highlight w:val="none"/>
          <w:lang w:val="en-US" w:eastAsia="zh-CN"/>
        </w:rPr>
        <w:t>所需要做的工作和为了满足该分项</w:t>
      </w:r>
      <w:r>
        <w:rPr>
          <w:rFonts w:hint="eastAsia" w:hAnsi="宋体" w:cs="宋体"/>
          <w:bCs/>
          <w:color w:val="auto"/>
          <w:sz w:val="18"/>
          <w:szCs w:val="18"/>
          <w:highlight w:val="none"/>
          <w:lang w:val="en-US" w:eastAsia="zh-CN"/>
        </w:rPr>
        <w:t>养护服务</w:t>
      </w:r>
      <w:r>
        <w:rPr>
          <w:rFonts w:hint="default" w:ascii="宋体" w:hAnsi="宋体" w:eastAsia="宋体" w:cs="宋体"/>
          <w:bCs/>
          <w:color w:val="auto"/>
          <w:sz w:val="18"/>
          <w:szCs w:val="18"/>
          <w:highlight w:val="none"/>
          <w:lang w:val="en-US" w:eastAsia="zh-CN"/>
        </w:rPr>
        <w:t>的完整性所需要做的工作，均视为该分项</w:t>
      </w:r>
      <w:r>
        <w:rPr>
          <w:rFonts w:hint="eastAsia" w:hAnsi="宋体" w:cs="宋体"/>
          <w:bCs/>
          <w:color w:val="auto"/>
          <w:sz w:val="18"/>
          <w:szCs w:val="18"/>
          <w:highlight w:val="none"/>
          <w:lang w:val="en-US" w:eastAsia="zh-CN"/>
        </w:rPr>
        <w:t>养护服务</w:t>
      </w:r>
      <w:r>
        <w:rPr>
          <w:rFonts w:hint="default" w:ascii="宋体" w:hAnsi="宋体" w:eastAsia="宋体" w:cs="宋体"/>
          <w:bCs/>
          <w:color w:val="auto"/>
          <w:sz w:val="18"/>
          <w:szCs w:val="18"/>
          <w:highlight w:val="none"/>
          <w:lang w:val="en-US" w:eastAsia="zh-CN"/>
        </w:rPr>
        <w:t>所包含的内容。投标人在填写每一项的</w:t>
      </w:r>
      <w:r>
        <w:rPr>
          <w:rFonts w:hint="eastAsia" w:hAnsi="宋体" w:cs="宋体"/>
          <w:bCs/>
          <w:color w:val="auto"/>
          <w:sz w:val="18"/>
          <w:szCs w:val="18"/>
          <w:highlight w:val="none"/>
          <w:lang w:val="en-US" w:eastAsia="zh-CN"/>
        </w:rPr>
        <w:t>全费用</w:t>
      </w:r>
      <w:r>
        <w:rPr>
          <w:rFonts w:hint="default" w:ascii="宋体" w:hAnsi="宋体" w:eastAsia="宋体" w:cs="宋体"/>
          <w:bCs/>
          <w:color w:val="auto"/>
          <w:sz w:val="18"/>
          <w:szCs w:val="18"/>
          <w:highlight w:val="none"/>
          <w:lang w:val="en-US" w:eastAsia="zh-CN"/>
        </w:rPr>
        <w:t>综合单价和合价时应结合</w:t>
      </w:r>
      <w:r>
        <w:rPr>
          <w:rFonts w:hint="eastAsia" w:hAnsi="宋体" w:cs="宋体"/>
          <w:bCs/>
          <w:color w:val="auto"/>
          <w:sz w:val="18"/>
          <w:szCs w:val="18"/>
          <w:highlight w:val="none"/>
          <w:lang w:val="en-US" w:eastAsia="zh-CN"/>
        </w:rPr>
        <w:t>所有</w:t>
      </w:r>
      <w:r>
        <w:rPr>
          <w:rFonts w:hint="default" w:ascii="宋体" w:hAnsi="宋体" w:eastAsia="宋体" w:cs="宋体"/>
          <w:bCs/>
          <w:color w:val="auto"/>
          <w:sz w:val="18"/>
          <w:szCs w:val="18"/>
          <w:highlight w:val="none"/>
          <w:lang w:val="en-US" w:eastAsia="zh-CN"/>
        </w:rPr>
        <w:t>情况进行报价。</w:t>
      </w:r>
      <w:bookmarkEnd w:id="9"/>
      <w:bookmarkEnd w:id="10"/>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11" w:name="_Toc797"/>
      <w:bookmarkStart w:id="12" w:name="_Toc5968"/>
      <w:r>
        <w:rPr>
          <w:rFonts w:hint="eastAsia" w:hAnsi="宋体" w:cs="宋体"/>
          <w:bCs/>
          <w:color w:val="auto"/>
          <w:sz w:val="18"/>
          <w:szCs w:val="18"/>
          <w:highlight w:val="none"/>
          <w:lang w:val="en-US" w:eastAsia="zh-CN"/>
        </w:rPr>
        <w:t>2、</w:t>
      </w:r>
      <w:r>
        <w:rPr>
          <w:rFonts w:hint="default" w:ascii="宋体" w:hAnsi="宋体" w:eastAsia="宋体" w:cs="宋体"/>
          <w:bCs/>
          <w:color w:val="auto"/>
          <w:sz w:val="18"/>
          <w:szCs w:val="18"/>
          <w:highlight w:val="none"/>
          <w:lang w:val="en-US" w:eastAsia="zh-CN"/>
        </w:rPr>
        <w:t>投标人认为必须或可能发生的费用应全部考虑在报价中，未在报价中体现的视作已综合在单价中或已全部优惠。</w:t>
      </w:r>
      <w:bookmarkEnd w:id="11"/>
      <w:bookmarkEnd w:id="12"/>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13" w:name="_Toc14036"/>
      <w:bookmarkStart w:id="14" w:name="_Toc10864"/>
      <w:r>
        <w:rPr>
          <w:rFonts w:hint="eastAsia" w:hAnsi="宋体" w:cs="宋体"/>
          <w:bCs/>
          <w:color w:val="auto"/>
          <w:sz w:val="18"/>
          <w:szCs w:val="18"/>
          <w:highlight w:val="none"/>
          <w:lang w:val="en-US" w:eastAsia="zh-CN"/>
        </w:rPr>
        <w:t>3</w:t>
      </w:r>
      <w:r>
        <w:rPr>
          <w:rFonts w:hint="default" w:ascii="宋体" w:hAnsi="宋体" w:eastAsia="宋体" w:cs="宋体"/>
          <w:bCs/>
          <w:color w:val="auto"/>
          <w:sz w:val="18"/>
          <w:szCs w:val="18"/>
          <w:highlight w:val="none"/>
          <w:lang w:val="en-US" w:eastAsia="zh-CN"/>
        </w:rPr>
        <w:t>、投标人应按清单中列出的</w:t>
      </w:r>
      <w:r>
        <w:rPr>
          <w:rFonts w:hint="eastAsia" w:hAnsi="宋体" w:cs="宋体"/>
          <w:bCs/>
          <w:color w:val="auto"/>
          <w:sz w:val="18"/>
          <w:szCs w:val="18"/>
          <w:highlight w:val="none"/>
          <w:lang w:val="en-US" w:eastAsia="zh-CN"/>
        </w:rPr>
        <w:t>养护服务</w:t>
      </w:r>
      <w:r>
        <w:rPr>
          <w:rFonts w:hint="default" w:ascii="宋体" w:hAnsi="宋体" w:eastAsia="宋体" w:cs="宋体"/>
          <w:bCs/>
          <w:color w:val="auto"/>
          <w:sz w:val="18"/>
          <w:szCs w:val="18"/>
          <w:highlight w:val="none"/>
          <w:lang w:val="en-US" w:eastAsia="zh-CN"/>
        </w:rPr>
        <w:t>项目填报单价和合价。每一项目只允许有一个报价。任何有选择的报价不予接受，投标人未填单价或合价的</w:t>
      </w:r>
      <w:r>
        <w:rPr>
          <w:rFonts w:hint="eastAsia" w:hAnsi="宋体" w:cs="宋体"/>
          <w:bCs/>
          <w:color w:val="auto"/>
          <w:sz w:val="18"/>
          <w:szCs w:val="18"/>
          <w:highlight w:val="none"/>
          <w:lang w:val="en-US" w:eastAsia="zh-CN"/>
        </w:rPr>
        <w:t>养护服务</w:t>
      </w:r>
      <w:r>
        <w:rPr>
          <w:rFonts w:hint="default" w:ascii="宋体" w:hAnsi="宋体" w:eastAsia="宋体" w:cs="宋体"/>
          <w:bCs/>
          <w:color w:val="auto"/>
          <w:sz w:val="18"/>
          <w:szCs w:val="18"/>
          <w:highlight w:val="none"/>
          <w:lang w:val="en-US" w:eastAsia="zh-CN"/>
        </w:rPr>
        <w:t>，在实施后，招标人将不予支付，并视作该项费用已包括在其它有价款的单价或合价内。</w:t>
      </w:r>
      <w:bookmarkEnd w:id="13"/>
      <w:bookmarkEnd w:id="14"/>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15" w:name="_Toc13321"/>
      <w:bookmarkStart w:id="16" w:name="_Toc31035"/>
      <w:r>
        <w:rPr>
          <w:rFonts w:hint="eastAsia" w:hAnsi="宋体" w:cs="宋体"/>
          <w:bCs/>
          <w:color w:val="auto"/>
          <w:sz w:val="18"/>
          <w:szCs w:val="18"/>
          <w:highlight w:val="none"/>
          <w:lang w:val="en-US" w:eastAsia="zh-CN"/>
        </w:rPr>
        <w:t>4</w:t>
      </w:r>
      <w:r>
        <w:rPr>
          <w:rFonts w:hint="default" w:ascii="宋体" w:hAnsi="宋体" w:eastAsia="宋体" w:cs="宋体"/>
          <w:bCs/>
          <w:color w:val="auto"/>
          <w:sz w:val="18"/>
          <w:szCs w:val="18"/>
          <w:highlight w:val="none"/>
          <w:lang w:val="en-US" w:eastAsia="zh-CN"/>
        </w:rPr>
        <w:t>、本</w:t>
      </w:r>
      <w:r>
        <w:rPr>
          <w:rFonts w:hint="eastAsia" w:hAnsi="宋体" w:cs="宋体"/>
          <w:bCs/>
          <w:color w:val="auto"/>
          <w:sz w:val="18"/>
          <w:szCs w:val="18"/>
          <w:highlight w:val="none"/>
          <w:lang w:val="en-US" w:eastAsia="zh-CN"/>
        </w:rPr>
        <w:t>养护服务</w:t>
      </w:r>
      <w:r>
        <w:rPr>
          <w:rFonts w:hint="default" w:ascii="宋体" w:hAnsi="宋体" w:eastAsia="宋体" w:cs="宋体"/>
          <w:bCs/>
          <w:color w:val="auto"/>
          <w:sz w:val="18"/>
          <w:szCs w:val="18"/>
          <w:highlight w:val="none"/>
          <w:lang w:val="en-US" w:eastAsia="zh-CN"/>
        </w:rPr>
        <w:t>用水、用电由</w:t>
      </w:r>
      <w:r>
        <w:rPr>
          <w:rFonts w:hint="eastAsia" w:hAnsi="宋体" w:cs="宋体"/>
          <w:bCs/>
          <w:color w:val="auto"/>
          <w:sz w:val="18"/>
          <w:szCs w:val="18"/>
          <w:highlight w:val="none"/>
          <w:lang w:val="en-US" w:eastAsia="zh-CN"/>
        </w:rPr>
        <w:t>养护</w:t>
      </w:r>
      <w:r>
        <w:rPr>
          <w:rFonts w:hint="default" w:ascii="宋体" w:hAnsi="宋体" w:eastAsia="宋体" w:cs="宋体"/>
          <w:bCs/>
          <w:color w:val="auto"/>
          <w:sz w:val="18"/>
          <w:szCs w:val="18"/>
          <w:highlight w:val="none"/>
          <w:lang w:val="en-US" w:eastAsia="zh-CN"/>
        </w:rPr>
        <w:t>方自行解决，所需水、电、电讯线路、临时场地、临时设施搭设、临时道路由承包人完成，发包方做好配合及协调工作，所发生的一切费用由</w:t>
      </w:r>
      <w:r>
        <w:rPr>
          <w:rFonts w:hint="eastAsia" w:hAnsi="宋体" w:cs="宋体"/>
          <w:bCs/>
          <w:color w:val="auto"/>
          <w:sz w:val="18"/>
          <w:szCs w:val="18"/>
          <w:highlight w:val="none"/>
          <w:lang w:val="en-US" w:eastAsia="zh-CN"/>
        </w:rPr>
        <w:t>养护</w:t>
      </w:r>
      <w:r>
        <w:rPr>
          <w:rFonts w:hint="default" w:ascii="宋体" w:hAnsi="宋体" w:eastAsia="宋体" w:cs="宋体"/>
          <w:bCs/>
          <w:color w:val="auto"/>
          <w:sz w:val="18"/>
          <w:szCs w:val="18"/>
          <w:highlight w:val="none"/>
          <w:lang w:val="en-US" w:eastAsia="zh-CN"/>
        </w:rPr>
        <w:t>方自行考虑按市场价计入投标报价中。养护服务期用水、用电涨价风险因素一并考虑计入报价。</w:t>
      </w:r>
      <w:bookmarkEnd w:id="15"/>
      <w:bookmarkEnd w:id="16"/>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17" w:name="_Toc18129"/>
      <w:bookmarkStart w:id="18" w:name="_Toc25279"/>
      <w:r>
        <w:rPr>
          <w:rFonts w:hint="eastAsia" w:hAnsi="宋体" w:cs="宋体"/>
          <w:bCs/>
          <w:color w:val="auto"/>
          <w:sz w:val="18"/>
          <w:szCs w:val="18"/>
          <w:highlight w:val="none"/>
          <w:lang w:val="en-US" w:eastAsia="zh-CN"/>
        </w:rPr>
        <w:t>5</w:t>
      </w:r>
      <w:r>
        <w:rPr>
          <w:rFonts w:hint="default" w:ascii="宋体" w:hAnsi="宋体" w:eastAsia="宋体" w:cs="宋体"/>
          <w:bCs/>
          <w:color w:val="auto"/>
          <w:sz w:val="18"/>
          <w:szCs w:val="18"/>
          <w:highlight w:val="none"/>
          <w:lang w:val="en-US" w:eastAsia="zh-CN"/>
        </w:rPr>
        <w:t>、投标人在填报价格及费用时应充分考虑国家现行技术标准、规范等要求</w:t>
      </w:r>
      <w:r>
        <w:rPr>
          <w:rFonts w:hint="eastAsia" w:hAnsi="宋体" w:cs="宋体"/>
          <w:bCs/>
          <w:color w:val="auto"/>
          <w:sz w:val="18"/>
          <w:szCs w:val="18"/>
          <w:highlight w:val="none"/>
          <w:lang w:val="en-US" w:eastAsia="zh-CN"/>
        </w:rPr>
        <w:t>并同时满足业主方要求</w:t>
      </w:r>
      <w:r>
        <w:rPr>
          <w:rFonts w:hint="default" w:ascii="宋体" w:hAnsi="宋体" w:eastAsia="宋体" w:cs="宋体"/>
          <w:bCs/>
          <w:color w:val="auto"/>
          <w:sz w:val="18"/>
          <w:szCs w:val="18"/>
          <w:highlight w:val="none"/>
          <w:lang w:val="en-US" w:eastAsia="zh-CN"/>
        </w:rPr>
        <w:t>，工程质量检测（包括所有原材料、成品、半成品进场复试）等按</w:t>
      </w:r>
      <w:r>
        <w:rPr>
          <w:rFonts w:hint="eastAsia" w:hAnsi="宋体" w:cs="宋体"/>
          <w:bCs/>
          <w:color w:val="auto"/>
          <w:sz w:val="18"/>
          <w:szCs w:val="18"/>
          <w:highlight w:val="none"/>
          <w:lang w:val="en-US" w:eastAsia="zh-CN"/>
        </w:rPr>
        <w:t>发包人</w:t>
      </w:r>
      <w:r>
        <w:rPr>
          <w:rFonts w:hint="default" w:ascii="宋体" w:hAnsi="宋体" w:eastAsia="宋体" w:cs="宋体"/>
          <w:bCs/>
          <w:color w:val="auto"/>
          <w:sz w:val="18"/>
          <w:szCs w:val="18"/>
          <w:highlight w:val="none"/>
          <w:lang w:val="en-US" w:eastAsia="zh-CN"/>
        </w:rPr>
        <w:t>、验收规范要求送检，所需一切费用计入投标报价内。</w:t>
      </w:r>
      <w:bookmarkEnd w:id="17"/>
      <w:bookmarkEnd w:id="18"/>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19" w:name="_Toc22367"/>
      <w:bookmarkStart w:id="20" w:name="_Toc30412"/>
      <w:r>
        <w:rPr>
          <w:rFonts w:hint="eastAsia" w:hAnsi="宋体" w:cs="宋体"/>
          <w:bCs/>
          <w:color w:val="auto"/>
          <w:sz w:val="18"/>
          <w:szCs w:val="18"/>
          <w:highlight w:val="none"/>
          <w:lang w:val="en-US" w:eastAsia="zh-CN"/>
        </w:rPr>
        <w:t>6</w:t>
      </w:r>
      <w:r>
        <w:rPr>
          <w:rFonts w:hint="default" w:ascii="宋体" w:hAnsi="宋体" w:eastAsia="宋体" w:cs="宋体"/>
          <w:bCs/>
          <w:color w:val="auto"/>
          <w:sz w:val="18"/>
          <w:szCs w:val="18"/>
          <w:highlight w:val="none"/>
          <w:lang w:val="en-US" w:eastAsia="zh-CN"/>
        </w:rPr>
        <w:t>、养护单位必须确保养护区域内</w:t>
      </w:r>
      <w:r>
        <w:rPr>
          <w:rFonts w:hint="eastAsia" w:hAnsi="宋体" w:cs="宋体"/>
          <w:bCs/>
          <w:color w:val="auto"/>
          <w:sz w:val="18"/>
          <w:szCs w:val="18"/>
          <w:highlight w:val="none"/>
          <w:lang w:val="en-US" w:eastAsia="zh-CN"/>
        </w:rPr>
        <w:t>保洁工作，</w:t>
      </w:r>
      <w:r>
        <w:rPr>
          <w:rFonts w:hint="default" w:ascii="宋体" w:hAnsi="宋体" w:eastAsia="宋体" w:cs="宋体"/>
          <w:bCs/>
          <w:color w:val="auto"/>
          <w:sz w:val="18"/>
          <w:szCs w:val="18"/>
          <w:highlight w:val="none"/>
          <w:lang w:val="en-US" w:eastAsia="zh-CN"/>
        </w:rPr>
        <w:t>路面、</w:t>
      </w:r>
      <w:r>
        <w:rPr>
          <w:rFonts w:hint="eastAsia" w:hAnsi="宋体" w:cs="宋体"/>
          <w:bCs/>
          <w:color w:val="auto"/>
          <w:sz w:val="18"/>
          <w:szCs w:val="18"/>
          <w:highlight w:val="none"/>
          <w:lang w:val="en-US" w:eastAsia="zh-CN"/>
        </w:rPr>
        <w:t>绿地、</w:t>
      </w:r>
      <w:r>
        <w:rPr>
          <w:rFonts w:hint="default" w:ascii="宋体" w:hAnsi="宋体" w:eastAsia="宋体" w:cs="宋体"/>
          <w:bCs/>
          <w:color w:val="auto"/>
          <w:sz w:val="18"/>
          <w:szCs w:val="18"/>
          <w:highlight w:val="none"/>
          <w:lang w:val="en-US" w:eastAsia="zh-CN"/>
        </w:rPr>
        <w:t>行道树穴清洁、干净，做到无果皮纸屑、</w:t>
      </w:r>
      <w:r>
        <w:rPr>
          <w:rFonts w:hint="eastAsia" w:hAnsi="宋体" w:cs="宋体"/>
          <w:bCs/>
          <w:color w:val="auto"/>
          <w:sz w:val="18"/>
          <w:szCs w:val="18"/>
          <w:highlight w:val="none"/>
          <w:lang w:val="en-US" w:eastAsia="zh-CN"/>
        </w:rPr>
        <w:t>无枯枝落叶、</w:t>
      </w:r>
      <w:r>
        <w:rPr>
          <w:rFonts w:hint="default" w:ascii="宋体" w:hAnsi="宋体" w:eastAsia="宋体" w:cs="宋体"/>
          <w:bCs/>
          <w:color w:val="auto"/>
          <w:sz w:val="18"/>
          <w:szCs w:val="18"/>
          <w:highlight w:val="none"/>
          <w:lang w:val="en-US" w:eastAsia="zh-CN"/>
        </w:rPr>
        <w:t>无积水积泥、无堆积杂物；对于养护期内所有苗木绿化缺损、坏死均由养护单位负责及时补种；养护区域公园、绿地内大乔木养护按照业主方要求每年至少修剪1次；行道树按要求修剪，并做到不遮挡交通信号灯、指示牌和路灯等；养护范围内小乔及花灌木养护按照业主方养护要求</w:t>
      </w:r>
      <w:r>
        <w:rPr>
          <w:rFonts w:hint="eastAsia" w:hAnsi="宋体" w:cs="宋体"/>
          <w:bCs/>
          <w:color w:val="auto"/>
          <w:sz w:val="18"/>
          <w:szCs w:val="18"/>
          <w:highlight w:val="none"/>
          <w:lang w:val="en-US" w:eastAsia="zh-CN"/>
        </w:rPr>
        <w:t>定时</w:t>
      </w:r>
      <w:r>
        <w:rPr>
          <w:rFonts w:hint="default" w:ascii="宋体" w:hAnsi="宋体" w:eastAsia="宋体" w:cs="宋体"/>
          <w:bCs/>
          <w:color w:val="auto"/>
          <w:sz w:val="18"/>
          <w:szCs w:val="18"/>
          <w:highlight w:val="none"/>
          <w:lang w:val="en-US" w:eastAsia="zh-CN"/>
        </w:rPr>
        <w:t>修剪</w:t>
      </w:r>
      <w:r>
        <w:rPr>
          <w:rFonts w:hint="eastAsia" w:hAnsi="宋体" w:cs="宋体"/>
          <w:bCs/>
          <w:color w:val="auto"/>
          <w:sz w:val="18"/>
          <w:szCs w:val="18"/>
          <w:highlight w:val="none"/>
          <w:lang w:val="en-US" w:eastAsia="zh-CN"/>
        </w:rPr>
        <w:t>，保持修剪平整度一致</w:t>
      </w:r>
      <w:r>
        <w:rPr>
          <w:rFonts w:hint="default" w:ascii="宋体" w:hAnsi="宋体" w:eastAsia="宋体" w:cs="宋体"/>
          <w:bCs/>
          <w:color w:val="auto"/>
          <w:sz w:val="18"/>
          <w:szCs w:val="18"/>
          <w:highlight w:val="none"/>
          <w:lang w:val="en-US" w:eastAsia="zh-CN"/>
        </w:rPr>
        <w:t>；养护区域内若出现违章搭建及无证占绿、乱种植等现象，养护单位必须当场予以制止，并清理干净、恢复原样，相关一切工作均由养护单位负责处理。投标单位须将以上涉及的一切费用等综合考虑，并计入报价。</w:t>
      </w:r>
      <w:bookmarkEnd w:id="19"/>
      <w:bookmarkEnd w:id="20"/>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21" w:name="_Toc21171"/>
      <w:bookmarkStart w:id="22" w:name="_Toc4620"/>
      <w:r>
        <w:rPr>
          <w:rFonts w:hint="eastAsia" w:hAnsi="宋体" w:cs="宋体"/>
          <w:bCs/>
          <w:color w:val="auto"/>
          <w:sz w:val="18"/>
          <w:szCs w:val="18"/>
          <w:highlight w:val="none"/>
          <w:lang w:val="en-US" w:eastAsia="zh-CN"/>
        </w:rPr>
        <w:t>7</w:t>
      </w:r>
      <w:r>
        <w:rPr>
          <w:rFonts w:hint="default" w:ascii="宋体" w:hAnsi="宋体" w:eastAsia="宋体" w:cs="宋体"/>
          <w:bCs/>
          <w:color w:val="auto"/>
          <w:sz w:val="18"/>
          <w:szCs w:val="18"/>
          <w:highlight w:val="none"/>
          <w:lang w:val="en-US" w:eastAsia="zh-CN"/>
        </w:rPr>
        <w:t>、若养护服务过程中遇到与其他项目需交叉</w:t>
      </w:r>
      <w:r>
        <w:rPr>
          <w:rFonts w:hint="eastAsia" w:hAnsi="宋体" w:cs="宋体"/>
          <w:bCs/>
          <w:color w:val="auto"/>
          <w:sz w:val="18"/>
          <w:szCs w:val="18"/>
          <w:highlight w:val="none"/>
          <w:lang w:val="en-US" w:eastAsia="zh-CN"/>
        </w:rPr>
        <w:t>实施</w:t>
      </w:r>
      <w:r>
        <w:rPr>
          <w:rFonts w:hint="default" w:ascii="宋体" w:hAnsi="宋体" w:eastAsia="宋体" w:cs="宋体"/>
          <w:bCs/>
          <w:color w:val="auto"/>
          <w:sz w:val="18"/>
          <w:szCs w:val="18"/>
          <w:highlight w:val="none"/>
          <w:lang w:val="en-US" w:eastAsia="zh-CN"/>
        </w:rPr>
        <w:t>的，由承包人自行协调处理，投标报价时综合考虑该因素。</w:t>
      </w:r>
      <w:bookmarkEnd w:id="21"/>
      <w:bookmarkEnd w:id="22"/>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23" w:name="_Toc20211"/>
      <w:bookmarkStart w:id="24" w:name="_Toc21058"/>
      <w:r>
        <w:rPr>
          <w:rFonts w:hint="eastAsia" w:hAnsi="宋体" w:cs="宋体"/>
          <w:bCs/>
          <w:color w:val="auto"/>
          <w:sz w:val="18"/>
          <w:szCs w:val="18"/>
          <w:highlight w:val="none"/>
          <w:lang w:val="en-US" w:eastAsia="zh-CN"/>
        </w:rPr>
        <w:t>8</w:t>
      </w:r>
      <w:r>
        <w:rPr>
          <w:rFonts w:hint="default" w:ascii="宋体" w:hAnsi="宋体" w:eastAsia="宋体" w:cs="宋体"/>
          <w:bCs/>
          <w:color w:val="auto"/>
          <w:sz w:val="18"/>
          <w:szCs w:val="18"/>
          <w:highlight w:val="none"/>
          <w:lang w:val="en-US" w:eastAsia="zh-CN"/>
        </w:rPr>
        <w:t>、凡养护服务过程中涉及需要坐标点、水准点定位的，投标单位须在投标报价中综合考虑。</w:t>
      </w:r>
      <w:bookmarkEnd w:id="23"/>
      <w:bookmarkEnd w:id="24"/>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25" w:name="_Toc28650"/>
      <w:bookmarkStart w:id="26" w:name="_Toc21292"/>
      <w:r>
        <w:rPr>
          <w:rFonts w:hint="eastAsia" w:hAnsi="宋体" w:cs="宋体"/>
          <w:bCs/>
          <w:color w:val="auto"/>
          <w:sz w:val="18"/>
          <w:szCs w:val="18"/>
          <w:highlight w:val="none"/>
          <w:lang w:val="en-US" w:eastAsia="zh-CN"/>
        </w:rPr>
        <w:t>9</w:t>
      </w:r>
      <w:r>
        <w:rPr>
          <w:rFonts w:hint="default" w:ascii="宋体" w:hAnsi="宋体" w:eastAsia="宋体" w:cs="宋体"/>
          <w:bCs/>
          <w:color w:val="auto"/>
          <w:sz w:val="18"/>
          <w:szCs w:val="18"/>
          <w:highlight w:val="none"/>
          <w:lang w:val="en-US" w:eastAsia="zh-CN"/>
        </w:rPr>
        <w:t>、养护工作必须精细，养护期内所有苗木绿化缺损，坏死均由中标方负责及时补种，涉及的一切费用已包含在投标报价中。</w:t>
      </w:r>
      <w:bookmarkEnd w:id="25"/>
      <w:bookmarkEnd w:id="26"/>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27" w:name="_Toc27278"/>
      <w:bookmarkStart w:id="28" w:name="_Toc25983"/>
      <w:r>
        <w:rPr>
          <w:rFonts w:hint="default" w:ascii="宋体" w:hAnsi="宋体" w:eastAsia="宋体" w:cs="宋体"/>
          <w:bCs/>
          <w:color w:val="auto"/>
          <w:sz w:val="18"/>
          <w:szCs w:val="18"/>
          <w:highlight w:val="none"/>
          <w:lang w:val="en-US" w:eastAsia="zh-CN"/>
        </w:rPr>
        <w:t>1</w:t>
      </w:r>
      <w:r>
        <w:rPr>
          <w:rFonts w:hint="eastAsia" w:hAnsi="宋体" w:cs="宋体"/>
          <w:bCs/>
          <w:color w:val="auto"/>
          <w:sz w:val="18"/>
          <w:szCs w:val="18"/>
          <w:highlight w:val="none"/>
          <w:lang w:val="en-US" w:eastAsia="zh-CN"/>
        </w:rPr>
        <w:t>0</w:t>
      </w:r>
      <w:r>
        <w:rPr>
          <w:rFonts w:hint="default" w:ascii="宋体" w:hAnsi="宋体" w:eastAsia="宋体" w:cs="宋体"/>
          <w:bCs/>
          <w:color w:val="auto"/>
          <w:sz w:val="18"/>
          <w:szCs w:val="18"/>
          <w:highlight w:val="none"/>
          <w:lang w:val="en-US" w:eastAsia="zh-CN"/>
        </w:rPr>
        <w:t>、</w:t>
      </w:r>
      <w:r>
        <w:rPr>
          <w:rFonts w:hint="eastAsia" w:hAnsi="宋体" w:cs="宋体"/>
          <w:bCs/>
          <w:color w:val="auto"/>
          <w:sz w:val="18"/>
          <w:szCs w:val="18"/>
          <w:highlight w:val="none"/>
          <w:lang w:val="en-US" w:eastAsia="zh-CN"/>
        </w:rPr>
        <w:t>按省、市现行规范养护标准（包括但不限于以下内容）</w:t>
      </w:r>
      <w:r>
        <w:rPr>
          <w:rFonts w:hint="default" w:ascii="宋体" w:hAnsi="宋体" w:eastAsia="宋体" w:cs="宋体"/>
          <w:bCs/>
          <w:color w:val="auto"/>
          <w:sz w:val="18"/>
          <w:szCs w:val="18"/>
          <w:highlight w:val="none"/>
          <w:lang w:val="en-US" w:eastAsia="zh-CN"/>
        </w:rPr>
        <w:t>所有苗木及花草在保活养护期内：①保证苗木、花草成活率100%，无病株、无死株；②发现病株、死株及时按原标准更换；③绿化区域内无明显杂草，发现杂草及时清除；④做好树木防台、防旱、防寒、防虫、防雪、除雪等工作；⑤保持绿化草坪的纯度，及时修剪并长期保持合理的高度</w:t>
      </w:r>
      <w:r>
        <w:rPr>
          <w:rFonts w:hint="eastAsia" w:hAnsi="宋体" w:cs="宋体"/>
          <w:bCs/>
          <w:color w:val="auto"/>
          <w:sz w:val="18"/>
          <w:szCs w:val="18"/>
          <w:highlight w:val="none"/>
          <w:lang w:val="en-US" w:eastAsia="zh-CN"/>
        </w:rPr>
        <w:t>；⑥对养护区域内的柳絮和杨絮进行治理（按嘉兴市园林市政管理服务中心《关于对杨柳树飘絮开展治理工作的函》执行</w:t>
      </w:r>
      <w:r>
        <w:rPr>
          <w:rFonts w:hint="default" w:ascii="宋体" w:hAnsi="宋体" w:eastAsia="宋体" w:cs="宋体"/>
          <w:bCs/>
          <w:color w:val="auto"/>
          <w:sz w:val="18"/>
          <w:szCs w:val="18"/>
          <w:highlight w:val="none"/>
          <w:lang w:val="en-US" w:eastAsia="zh-CN"/>
        </w:rPr>
        <w:t>。</w:t>
      </w:r>
      <w:bookmarkEnd w:id="27"/>
      <w:bookmarkEnd w:id="28"/>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29" w:name="_Toc17915"/>
      <w:bookmarkStart w:id="30" w:name="_Toc8774"/>
      <w:r>
        <w:rPr>
          <w:rFonts w:hint="default" w:ascii="宋体" w:hAnsi="宋体" w:eastAsia="宋体" w:cs="宋体"/>
          <w:bCs/>
          <w:color w:val="auto"/>
          <w:sz w:val="18"/>
          <w:szCs w:val="18"/>
          <w:highlight w:val="none"/>
          <w:lang w:val="en-US" w:eastAsia="zh-CN"/>
        </w:rPr>
        <w:t>1</w:t>
      </w:r>
      <w:r>
        <w:rPr>
          <w:rFonts w:hint="eastAsia" w:hAnsi="宋体" w:cs="宋体"/>
          <w:bCs/>
          <w:color w:val="auto"/>
          <w:sz w:val="18"/>
          <w:szCs w:val="18"/>
          <w:highlight w:val="none"/>
          <w:lang w:val="en-US" w:eastAsia="zh-CN"/>
        </w:rPr>
        <w:t>1</w:t>
      </w:r>
      <w:r>
        <w:rPr>
          <w:rFonts w:hint="default" w:ascii="宋体" w:hAnsi="宋体" w:eastAsia="宋体" w:cs="宋体"/>
          <w:bCs/>
          <w:color w:val="auto"/>
          <w:sz w:val="18"/>
          <w:szCs w:val="18"/>
          <w:highlight w:val="none"/>
          <w:lang w:val="en-US" w:eastAsia="zh-CN"/>
        </w:rPr>
        <w:t>、养护服务期间，应确保</w:t>
      </w:r>
      <w:r>
        <w:rPr>
          <w:rFonts w:hint="eastAsia" w:hAnsi="宋体" w:cs="宋体"/>
          <w:bCs/>
          <w:color w:val="auto"/>
          <w:sz w:val="18"/>
          <w:szCs w:val="18"/>
          <w:highlight w:val="none"/>
          <w:lang w:val="en-US" w:eastAsia="zh-CN"/>
        </w:rPr>
        <w:t>养护服务</w:t>
      </w:r>
      <w:r>
        <w:rPr>
          <w:rFonts w:hint="default" w:ascii="宋体" w:hAnsi="宋体" w:eastAsia="宋体" w:cs="宋体"/>
          <w:bCs/>
          <w:color w:val="auto"/>
          <w:sz w:val="18"/>
          <w:szCs w:val="18"/>
          <w:highlight w:val="none"/>
          <w:lang w:val="en-US" w:eastAsia="zh-CN"/>
        </w:rPr>
        <w:t>人员和通行人员的安全，道路养护服务范围要求作安全隔离处理，现场养护服务作业人员要求穿带反光安全工作服，设置必要的道路通行疏导指挥人员、必要的通行导示、导向牌等，安排专人清理道路上的抛洒物，费用包含在投标报价内。</w:t>
      </w:r>
      <w:bookmarkEnd w:id="29"/>
      <w:bookmarkEnd w:id="30"/>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31" w:name="_Toc29477"/>
      <w:bookmarkStart w:id="32" w:name="_Toc14304"/>
      <w:r>
        <w:rPr>
          <w:rFonts w:hint="default" w:ascii="宋体" w:hAnsi="宋体" w:eastAsia="宋体" w:cs="宋体"/>
          <w:bCs/>
          <w:color w:val="auto"/>
          <w:sz w:val="18"/>
          <w:szCs w:val="18"/>
          <w:highlight w:val="none"/>
          <w:lang w:val="en-US" w:eastAsia="zh-CN"/>
        </w:rPr>
        <w:t>1</w:t>
      </w:r>
      <w:r>
        <w:rPr>
          <w:rFonts w:hint="eastAsia" w:hAnsi="宋体" w:cs="宋体"/>
          <w:bCs/>
          <w:color w:val="auto"/>
          <w:sz w:val="18"/>
          <w:szCs w:val="18"/>
          <w:highlight w:val="none"/>
          <w:lang w:val="en-US" w:eastAsia="zh-CN"/>
        </w:rPr>
        <w:t>2</w:t>
      </w:r>
      <w:r>
        <w:rPr>
          <w:rFonts w:hint="default" w:ascii="宋体" w:hAnsi="宋体" w:eastAsia="宋体" w:cs="宋体"/>
          <w:bCs/>
          <w:color w:val="auto"/>
          <w:sz w:val="18"/>
          <w:szCs w:val="18"/>
          <w:highlight w:val="none"/>
          <w:lang w:val="en-US" w:eastAsia="zh-CN"/>
        </w:rPr>
        <w:t>、本养护服务所有材料、设备、配件均由承包人采购，其质量必须符合</w:t>
      </w:r>
      <w:r>
        <w:rPr>
          <w:rFonts w:hint="eastAsia" w:hAnsi="宋体" w:cs="宋体"/>
          <w:bCs/>
          <w:color w:val="auto"/>
          <w:sz w:val="18"/>
          <w:szCs w:val="18"/>
          <w:highlight w:val="none"/>
          <w:lang w:val="en-US" w:eastAsia="zh-CN"/>
        </w:rPr>
        <w:t>发包人和验收</w:t>
      </w:r>
      <w:r>
        <w:rPr>
          <w:rFonts w:hint="default" w:ascii="宋体" w:hAnsi="宋体" w:eastAsia="宋体" w:cs="宋体"/>
          <w:bCs/>
          <w:color w:val="auto"/>
          <w:sz w:val="18"/>
          <w:szCs w:val="18"/>
          <w:highlight w:val="none"/>
          <w:lang w:val="en-US" w:eastAsia="zh-CN"/>
        </w:rPr>
        <w:t>规范要求，进场前必须报发包人审批，未经批准的材料不得进场</w:t>
      </w:r>
      <w:r>
        <w:rPr>
          <w:rFonts w:hint="eastAsia" w:hAnsi="宋体" w:cs="宋体"/>
          <w:bCs/>
          <w:color w:val="auto"/>
          <w:sz w:val="18"/>
          <w:szCs w:val="18"/>
          <w:highlight w:val="none"/>
          <w:lang w:val="en-US" w:eastAsia="zh-CN"/>
        </w:rPr>
        <w:t>实施</w:t>
      </w:r>
      <w:r>
        <w:rPr>
          <w:rFonts w:hint="default" w:ascii="宋体" w:hAnsi="宋体" w:eastAsia="宋体" w:cs="宋体"/>
          <w:bCs/>
          <w:color w:val="auto"/>
          <w:sz w:val="18"/>
          <w:szCs w:val="18"/>
          <w:highlight w:val="none"/>
          <w:lang w:val="en-US" w:eastAsia="zh-CN"/>
        </w:rPr>
        <w:t>，否则一切损失由承包人负责。</w:t>
      </w:r>
      <w:bookmarkEnd w:id="31"/>
      <w:bookmarkEnd w:id="32"/>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33" w:name="_Toc14890"/>
      <w:bookmarkStart w:id="34" w:name="_Toc23985"/>
      <w:r>
        <w:rPr>
          <w:rFonts w:hint="default" w:ascii="宋体" w:hAnsi="宋体" w:eastAsia="宋体" w:cs="宋体"/>
          <w:bCs/>
          <w:color w:val="auto"/>
          <w:sz w:val="18"/>
          <w:szCs w:val="18"/>
          <w:highlight w:val="none"/>
          <w:lang w:val="en-US" w:eastAsia="zh-CN"/>
        </w:rPr>
        <w:t>1</w:t>
      </w:r>
      <w:r>
        <w:rPr>
          <w:rFonts w:hint="eastAsia" w:hAnsi="宋体" w:cs="宋体"/>
          <w:bCs/>
          <w:color w:val="auto"/>
          <w:sz w:val="18"/>
          <w:szCs w:val="18"/>
          <w:highlight w:val="none"/>
          <w:lang w:val="en-US" w:eastAsia="zh-CN"/>
        </w:rPr>
        <w:t>3</w:t>
      </w:r>
      <w:r>
        <w:rPr>
          <w:rFonts w:hint="default" w:ascii="宋体" w:hAnsi="宋体" w:eastAsia="宋体" w:cs="宋体"/>
          <w:bCs/>
          <w:color w:val="auto"/>
          <w:sz w:val="18"/>
          <w:szCs w:val="18"/>
          <w:highlight w:val="none"/>
          <w:lang w:val="en-US" w:eastAsia="zh-CN"/>
        </w:rPr>
        <w:t>、</w:t>
      </w:r>
      <w:r>
        <w:rPr>
          <w:rFonts w:hint="eastAsia" w:hAnsi="宋体" w:cs="宋体"/>
          <w:bCs/>
          <w:color w:val="auto"/>
          <w:sz w:val="18"/>
          <w:szCs w:val="18"/>
          <w:highlight w:val="none"/>
          <w:lang w:val="en-US" w:eastAsia="zh-CN"/>
        </w:rPr>
        <w:t>养护</w:t>
      </w:r>
      <w:r>
        <w:rPr>
          <w:rFonts w:hint="default" w:ascii="宋体" w:hAnsi="宋体" w:eastAsia="宋体" w:cs="宋体"/>
          <w:bCs/>
          <w:color w:val="auto"/>
          <w:sz w:val="18"/>
          <w:szCs w:val="18"/>
          <w:highlight w:val="none"/>
          <w:lang w:val="en-US" w:eastAsia="zh-CN"/>
        </w:rPr>
        <w:t>范围内的道路、绿化修复、移植复原、除草、场地平整、部分区块垃圾清运出场及土方造坡整理所发生的费用由承包方承担，所需费用计入报价内。承包方</w:t>
      </w:r>
      <w:r>
        <w:rPr>
          <w:rFonts w:hint="eastAsia" w:hAnsi="宋体" w:cs="宋体"/>
          <w:bCs/>
          <w:color w:val="auto"/>
          <w:sz w:val="18"/>
          <w:szCs w:val="18"/>
          <w:highlight w:val="none"/>
          <w:lang w:val="en-US" w:eastAsia="zh-CN"/>
        </w:rPr>
        <w:t>养护</w:t>
      </w:r>
      <w:r>
        <w:rPr>
          <w:rFonts w:hint="default" w:ascii="宋体" w:hAnsi="宋体" w:eastAsia="宋体" w:cs="宋体"/>
          <w:bCs/>
          <w:color w:val="auto"/>
          <w:sz w:val="18"/>
          <w:szCs w:val="18"/>
          <w:highlight w:val="none"/>
          <w:lang w:val="en-US" w:eastAsia="zh-CN"/>
        </w:rPr>
        <w:t>中应做好绿地周边与已建道路、绿道内园建设施的保护，因</w:t>
      </w:r>
      <w:r>
        <w:rPr>
          <w:rFonts w:hint="eastAsia" w:hAnsi="宋体" w:cs="宋体"/>
          <w:bCs/>
          <w:color w:val="auto"/>
          <w:sz w:val="18"/>
          <w:szCs w:val="18"/>
          <w:highlight w:val="none"/>
          <w:lang w:val="en-US" w:eastAsia="zh-CN"/>
        </w:rPr>
        <w:t>养护</w:t>
      </w:r>
      <w:r>
        <w:rPr>
          <w:rFonts w:hint="default" w:ascii="宋体" w:hAnsi="宋体" w:eastAsia="宋体" w:cs="宋体"/>
          <w:bCs/>
          <w:color w:val="auto"/>
          <w:sz w:val="18"/>
          <w:szCs w:val="18"/>
          <w:highlight w:val="none"/>
          <w:lang w:val="en-US" w:eastAsia="zh-CN"/>
        </w:rPr>
        <w:t>造成损坏的，均要求无条件原样恢复。</w:t>
      </w:r>
      <w:bookmarkEnd w:id="33"/>
      <w:bookmarkEnd w:id="34"/>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35" w:name="_Toc14204"/>
      <w:bookmarkStart w:id="36" w:name="_Toc6413"/>
      <w:r>
        <w:rPr>
          <w:rFonts w:hint="default" w:ascii="宋体" w:hAnsi="宋体" w:eastAsia="宋体" w:cs="宋体"/>
          <w:bCs/>
          <w:color w:val="auto"/>
          <w:sz w:val="18"/>
          <w:szCs w:val="18"/>
          <w:highlight w:val="none"/>
          <w:lang w:val="en-US" w:eastAsia="zh-CN"/>
        </w:rPr>
        <w:t>1</w:t>
      </w:r>
      <w:r>
        <w:rPr>
          <w:rFonts w:hint="eastAsia" w:hAnsi="宋体" w:cs="宋体"/>
          <w:bCs/>
          <w:color w:val="auto"/>
          <w:sz w:val="18"/>
          <w:szCs w:val="18"/>
          <w:highlight w:val="none"/>
          <w:lang w:val="en-US" w:eastAsia="zh-CN"/>
        </w:rPr>
        <w:t>4</w:t>
      </w:r>
      <w:r>
        <w:rPr>
          <w:rFonts w:hint="default" w:ascii="宋体" w:hAnsi="宋体" w:eastAsia="宋体" w:cs="宋体"/>
          <w:bCs/>
          <w:color w:val="auto"/>
          <w:sz w:val="18"/>
          <w:szCs w:val="18"/>
          <w:highlight w:val="none"/>
          <w:lang w:val="en-US" w:eastAsia="zh-CN"/>
        </w:rPr>
        <w:t>、养护范围内的生长良好的暖季型草坪入冬尚未枯黄前，追播寿命短的冷季型草种子，使冷、暖两类植物的绿色期在同一块草坪地块内先后衔接，基本实现草坪的周年常绿。</w:t>
      </w:r>
      <w:bookmarkEnd w:id="35"/>
      <w:bookmarkEnd w:id="36"/>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37" w:name="_Toc11159"/>
      <w:bookmarkStart w:id="38" w:name="_Toc32382"/>
      <w:r>
        <w:rPr>
          <w:rFonts w:hint="default" w:ascii="宋体" w:hAnsi="宋体" w:eastAsia="宋体" w:cs="宋体"/>
          <w:bCs/>
          <w:color w:val="auto"/>
          <w:sz w:val="18"/>
          <w:szCs w:val="18"/>
          <w:highlight w:val="none"/>
          <w:lang w:val="en-US" w:eastAsia="zh-CN"/>
        </w:rPr>
        <w:t>1</w:t>
      </w:r>
      <w:r>
        <w:rPr>
          <w:rFonts w:hint="eastAsia" w:hAnsi="宋体" w:cs="宋体"/>
          <w:bCs/>
          <w:color w:val="auto"/>
          <w:sz w:val="18"/>
          <w:szCs w:val="18"/>
          <w:highlight w:val="none"/>
          <w:lang w:val="en-US" w:eastAsia="zh-CN"/>
        </w:rPr>
        <w:t>5</w:t>
      </w:r>
      <w:r>
        <w:rPr>
          <w:rFonts w:hint="default" w:ascii="宋体" w:hAnsi="宋体" w:eastAsia="宋体" w:cs="宋体"/>
          <w:bCs/>
          <w:color w:val="auto"/>
          <w:sz w:val="18"/>
          <w:szCs w:val="18"/>
          <w:highlight w:val="none"/>
          <w:lang w:val="en-US" w:eastAsia="zh-CN"/>
        </w:rPr>
        <w:t>、投标人应充分考虑养护服务进出场、大型机械进出场的费用和安全防护费用，包括市政、市容、环保、交通、治安等，计入</w:t>
      </w:r>
      <w:r>
        <w:rPr>
          <w:rFonts w:hint="eastAsia" w:hAnsi="宋体" w:cs="宋体"/>
          <w:bCs/>
          <w:color w:val="auto"/>
          <w:sz w:val="18"/>
          <w:szCs w:val="18"/>
          <w:highlight w:val="none"/>
          <w:lang w:val="en-US" w:eastAsia="zh-CN"/>
        </w:rPr>
        <w:t>投标</w:t>
      </w:r>
      <w:r>
        <w:rPr>
          <w:rFonts w:hint="default" w:ascii="宋体" w:hAnsi="宋体" w:eastAsia="宋体" w:cs="宋体"/>
          <w:bCs/>
          <w:color w:val="auto"/>
          <w:sz w:val="18"/>
          <w:szCs w:val="18"/>
          <w:highlight w:val="none"/>
          <w:lang w:val="en-US" w:eastAsia="zh-CN"/>
        </w:rPr>
        <w:t>费用中，今后一概不作调整。</w:t>
      </w:r>
      <w:bookmarkEnd w:id="37"/>
      <w:bookmarkEnd w:id="38"/>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39" w:name="_Toc396891429"/>
      <w:bookmarkStart w:id="40" w:name="_Toc8575"/>
      <w:bookmarkStart w:id="41" w:name="_Toc28111"/>
      <w:r>
        <w:rPr>
          <w:rFonts w:hint="default" w:ascii="宋体" w:hAnsi="宋体" w:eastAsia="宋体" w:cs="宋体"/>
          <w:bCs/>
          <w:color w:val="auto"/>
          <w:sz w:val="18"/>
          <w:szCs w:val="18"/>
          <w:highlight w:val="none"/>
          <w:lang w:val="en-US" w:eastAsia="zh-CN"/>
        </w:rPr>
        <w:t>1</w:t>
      </w:r>
      <w:r>
        <w:rPr>
          <w:rFonts w:hint="eastAsia" w:hAnsi="宋体" w:cs="宋体"/>
          <w:bCs/>
          <w:color w:val="auto"/>
          <w:sz w:val="18"/>
          <w:szCs w:val="18"/>
          <w:highlight w:val="none"/>
          <w:lang w:val="en-US" w:eastAsia="zh-CN"/>
        </w:rPr>
        <w:t>6</w:t>
      </w:r>
      <w:r>
        <w:rPr>
          <w:rFonts w:hint="default" w:ascii="宋体" w:hAnsi="宋体" w:eastAsia="宋体" w:cs="宋体"/>
          <w:bCs/>
          <w:color w:val="auto"/>
          <w:sz w:val="18"/>
          <w:szCs w:val="18"/>
          <w:highlight w:val="none"/>
          <w:lang w:val="en-US" w:eastAsia="zh-CN"/>
        </w:rPr>
        <w:t>、</w:t>
      </w:r>
      <w:bookmarkEnd w:id="39"/>
      <w:r>
        <w:rPr>
          <w:rFonts w:hint="default" w:ascii="宋体" w:hAnsi="宋体" w:eastAsia="宋体" w:cs="宋体"/>
          <w:bCs/>
          <w:color w:val="auto"/>
          <w:sz w:val="18"/>
          <w:szCs w:val="18"/>
          <w:highlight w:val="none"/>
          <w:lang w:val="en-US" w:eastAsia="zh-CN"/>
        </w:rPr>
        <w:t>招标范围内的道路、绿化带等全覆盖区域，按时按点做好清洁、保洁巡查等工作。</w:t>
      </w:r>
      <w:bookmarkEnd w:id="40"/>
      <w:bookmarkEnd w:id="41"/>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42" w:name="_Toc17872"/>
      <w:bookmarkStart w:id="43" w:name="_Toc20061"/>
      <w:r>
        <w:rPr>
          <w:rFonts w:hint="default" w:ascii="宋体" w:hAnsi="宋体" w:eastAsia="宋体" w:cs="宋体"/>
          <w:bCs/>
          <w:color w:val="auto"/>
          <w:sz w:val="18"/>
          <w:szCs w:val="18"/>
          <w:highlight w:val="none"/>
          <w:lang w:val="en-US" w:eastAsia="zh-CN"/>
        </w:rPr>
        <w:t>1</w:t>
      </w:r>
      <w:r>
        <w:rPr>
          <w:rFonts w:hint="eastAsia" w:hAnsi="宋体" w:cs="宋体"/>
          <w:bCs/>
          <w:color w:val="auto"/>
          <w:sz w:val="18"/>
          <w:szCs w:val="18"/>
          <w:highlight w:val="none"/>
          <w:lang w:val="en-US" w:eastAsia="zh-CN"/>
        </w:rPr>
        <w:t>7</w:t>
      </w:r>
      <w:r>
        <w:rPr>
          <w:rFonts w:hint="default" w:ascii="宋体" w:hAnsi="宋体" w:eastAsia="宋体" w:cs="宋体"/>
          <w:bCs/>
          <w:color w:val="auto"/>
          <w:sz w:val="18"/>
          <w:szCs w:val="18"/>
          <w:highlight w:val="none"/>
          <w:lang w:val="en-US" w:eastAsia="zh-CN"/>
        </w:rPr>
        <w:t>、</w:t>
      </w:r>
      <w:r>
        <w:rPr>
          <w:rFonts w:hint="eastAsia" w:hAnsi="宋体" w:cs="宋体"/>
          <w:bCs/>
          <w:color w:val="auto"/>
          <w:sz w:val="18"/>
          <w:szCs w:val="18"/>
          <w:highlight w:val="none"/>
          <w:lang w:val="en-US" w:eastAsia="zh-CN"/>
        </w:rPr>
        <w:t>养护实施</w:t>
      </w:r>
      <w:r>
        <w:rPr>
          <w:rFonts w:hint="default" w:ascii="宋体" w:hAnsi="宋体" w:eastAsia="宋体" w:cs="宋体"/>
          <w:bCs/>
          <w:color w:val="auto"/>
          <w:sz w:val="18"/>
          <w:szCs w:val="18"/>
          <w:highlight w:val="none"/>
          <w:lang w:val="en-US" w:eastAsia="zh-CN"/>
        </w:rPr>
        <w:t>期间引起的扰民（包括：行车、噪音、污染、损坏居民物品等影响民众生活的因素）由此产生的费用由各单位在投标报价时综合考虑后计入报价内。</w:t>
      </w:r>
      <w:bookmarkEnd w:id="42"/>
      <w:bookmarkEnd w:id="43"/>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44" w:name="_Toc4271"/>
      <w:bookmarkStart w:id="45" w:name="_Toc14558"/>
      <w:r>
        <w:rPr>
          <w:rFonts w:hint="eastAsia" w:hAnsi="宋体" w:cs="宋体"/>
          <w:bCs/>
          <w:color w:val="auto"/>
          <w:sz w:val="18"/>
          <w:szCs w:val="18"/>
          <w:highlight w:val="none"/>
          <w:lang w:val="en-US" w:eastAsia="zh-CN"/>
        </w:rPr>
        <w:t>18</w:t>
      </w:r>
      <w:r>
        <w:rPr>
          <w:rFonts w:hint="default" w:ascii="宋体" w:hAnsi="宋体" w:eastAsia="宋体" w:cs="宋体"/>
          <w:bCs/>
          <w:color w:val="auto"/>
          <w:sz w:val="18"/>
          <w:szCs w:val="18"/>
          <w:highlight w:val="none"/>
          <w:lang w:val="en-US" w:eastAsia="zh-CN"/>
        </w:rPr>
        <w:t>、承包人在</w:t>
      </w:r>
      <w:r>
        <w:rPr>
          <w:rFonts w:hint="eastAsia" w:hAnsi="宋体" w:cs="宋体"/>
          <w:bCs/>
          <w:color w:val="auto"/>
          <w:sz w:val="18"/>
          <w:szCs w:val="18"/>
          <w:highlight w:val="none"/>
          <w:lang w:val="en-US" w:eastAsia="zh-CN"/>
        </w:rPr>
        <w:t>养护实施</w:t>
      </w:r>
      <w:r>
        <w:rPr>
          <w:rFonts w:hint="default" w:ascii="宋体" w:hAnsi="宋体" w:eastAsia="宋体" w:cs="宋体"/>
          <w:bCs/>
          <w:color w:val="auto"/>
          <w:sz w:val="18"/>
          <w:szCs w:val="18"/>
          <w:highlight w:val="none"/>
          <w:lang w:val="en-US" w:eastAsia="zh-CN"/>
        </w:rPr>
        <w:t>中应注意对</w:t>
      </w:r>
      <w:r>
        <w:rPr>
          <w:rFonts w:hint="eastAsia" w:hAnsi="宋体" w:cs="宋体"/>
          <w:bCs/>
          <w:color w:val="auto"/>
          <w:sz w:val="18"/>
          <w:szCs w:val="18"/>
          <w:highlight w:val="none"/>
          <w:lang w:val="en-US" w:eastAsia="zh-CN"/>
        </w:rPr>
        <w:t>养护实施</w:t>
      </w:r>
      <w:r>
        <w:rPr>
          <w:rFonts w:hint="default" w:ascii="宋体" w:hAnsi="宋体" w:eastAsia="宋体" w:cs="宋体"/>
          <w:bCs/>
          <w:color w:val="auto"/>
          <w:sz w:val="18"/>
          <w:szCs w:val="18"/>
          <w:highlight w:val="none"/>
          <w:lang w:val="en-US" w:eastAsia="zh-CN"/>
        </w:rPr>
        <w:t>区域内原有设施及各类公用管线、井盖的保护保护，今后因承包人</w:t>
      </w:r>
      <w:r>
        <w:rPr>
          <w:rFonts w:hint="eastAsia" w:hAnsi="宋体" w:cs="宋体"/>
          <w:bCs/>
          <w:color w:val="auto"/>
          <w:sz w:val="18"/>
          <w:szCs w:val="18"/>
          <w:highlight w:val="none"/>
          <w:lang w:val="en-US" w:eastAsia="zh-CN"/>
        </w:rPr>
        <w:t>养护</w:t>
      </w:r>
      <w:r>
        <w:rPr>
          <w:rFonts w:hint="default" w:ascii="宋体" w:hAnsi="宋体" w:eastAsia="宋体" w:cs="宋体"/>
          <w:bCs/>
          <w:color w:val="auto"/>
          <w:sz w:val="18"/>
          <w:szCs w:val="18"/>
          <w:highlight w:val="none"/>
          <w:lang w:val="en-US" w:eastAsia="zh-CN"/>
        </w:rPr>
        <w:t>原因造成损坏的，承包人应及时修复并承担一切费用；如不及时修复的，招标人将请专业单位进行修复,费用从承包人</w:t>
      </w:r>
      <w:r>
        <w:rPr>
          <w:rFonts w:hint="eastAsia" w:hAnsi="宋体" w:cs="宋体"/>
          <w:bCs/>
          <w:color w:val="auto"/>
          <w:sz w:val="18"/>
          <w:szCs w:val="18"/>
          <w:highlight w:val="none"/>
          <w:lang w:val="en-US" w:eastAsia="zh-CN"/>
        </w:rPr>
        <w:t>合同</w:t>
      </w:r>
      <w:r>
        <w:rPr>
          <w:rFonts w:hint="default" w:ascii="宋体" w:hAnsi="宋体" w:eastAsia="宋体" w:cs="宋体"/>
          <w:bCs/>
          <w:color w:val="auto"/>
          <w:sz w:val="18"/>
          <w:szCs w:val="18"/>
          <w:highlight w:val="none"/>
          <w:lang w:val="en-US" w:eastAsia="zh-CN"/>
        </w:rPr>
        <w:t>款中直接扣除。</w:t>
      </w:r>
      <w:bookmarkEnd w:id="44"/>
      <w:bookmarkEnd w:id="45"/>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46" w:name="_Toc27339"/>
      <w:bookmarkStart w:id="47" w:name="_Toc19920"/>
      <w:r>
        <w:rPr>
          <w:rFonts w:hint="eastAsia" w:hAnsi="宋体" w:cs="宋体"/>
          <w:bCs/>
          <w:color w:val="auto"/>
          <w:sz w:val="18"/>
          <w:szCs w:val="18"/>
          <w:highlight w:val="none"/>
          <w:lang w:val="en-US" w:eastAsia="zh-CN"/>
        </w:rPr>
        <w:t>19</w:t>
      </w:r>
      <w:r>
        <w:rPr>
          <w:rFonts w:hint="default" w:ascii="宋体" w:hAnsi="宋体" w:eastAsia="宋体" w:cs="宋体"/>
          <w:bCs/>
          <w:color w:val="auto"/>
          <w:sz w:val="18"/>
          <w:szCs w:val="18"/>
          <w:highlight w:val="none"/>
          <w:lang w:val="en-US" w:eastAsia="zh-CN"/>
        </w:rPr>
        <w:t>、</w:t>
      </w:r>
      <w:r>
        <w:rPr>
          <w:rFonts w:hint="eastAsia" w:hAnsi="宋体" w:cs="宋体"/>
          <w:bCs/>
          <w:color w:val="auto"/>
          <w:sz w:val="18"/>
          <w:szCs w:val="18"/>
          <w:highlight w:val="none"/>
          <w:lang w:val="en-US" w:eastAsia="zh-CN"/>
        </w:rPr>
        <w:t>养护实施</w:t>
      </w:r>
      <w:r>
        <w:rPr>
          <w:rFonts w:hint="default" w:ascii="宋体" w:hAnsi="宋体" w:eastAsia="宋体" w:cs="宋体"/>
          <w:bCs/>
          <w:color w:val="auto"/>
          <w:sz w:val="18"/>
          <w:szCs w:val="18"/>
          <w:highlight w:val="none"/>
          <w:lang w:val="en-US" w:eastAsia="zh-CN"/>
        </w:rPr>
        <w:t>区域内绿化等修补及现有苗木（含行道树）迁移等工作由投标人承担，所需费用由投标人应充分考虑后计入报价内。</w:t>
      </w:r>
      <w:bookmarkEnd w:id="46"/>
      <w:bookmarkEnd w:id="47"/>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48" w:name="_Toc17857"/>
      <w:bookmarkStart w:id="49" w:name="_Toc26319"/>
      <w:r>
        <w:rPr>
          <w:rFonts w:hint="default" w:ascii="宋体" w:hAnsi="宋体" w:eastAsia="宋体" w:cs="宋体"/>
          <w:bCs/>
          <w:color w:val="auto"/>
          <w:sz w:val="18"/>
          <w:szCs w:val="18"/>
          <w:highlight w:val="none"/>
          <w:lang w:val="en-US" w:eastAsia="zh-CN"/>
        </w:rPr>
        <w:t>2</w:t>
      </w:r>
      <w:r>
        <w:rPr>
          <w:rFonts w:hint="eastAsia" w:hAnsi="宋体" w:cs="宋体"/>
          <w:bCs/>
          <w:color w:val="auto"/>
          <w:sz w:val="18"/>
          <w:szCs w:val="18"/>
          <w:highlight w:val="none"/>
          <w:lang w:val="en-US" w:eastAsia="zh-CN"/>
        </w:rPr>
        <w:t>0</w:t>
      </w:r>
      <w:r>
        <w:rPr>
          <w:rFonts w:hint="default" w:ascii="宋体" w:hAnsi="宋体" w:eastAsia="宋体" w:cs="宋体"/>
          <w:bCs/>
          <w:color w:val="auto"/>
          <w:sz w:val="18"/>
          <w:szCs w:val="18"/>
          <w:highlight w:val="none"/>
          <w:lang w:val="en-US" w:eastAsia="zh-CN"/>
        </w:rPr>
        <w:t>、</w:t>
      </w:r>
      <w:r>
        <w:rPr>
          <w:rFonts w:hint="eastAsia" w:hAnsi="宋体" w:cs="宋体"/>
          <w:bCs/>
          <w:color w:val="auto"/>
          <w:sz w:val="18"/>
          <w:szCs w:val="18"/>
          <w:highlight w:val="none"/>
          <w:lang w:val="en-US" w:eastAsia="zh-CN"/>
        </w:rPr>
        <w:t>养护实施</w:t>
      </w:r>
      <w:r>
        <w:rPr>
          <w:rFonts w:hint="default" w:ascii="宋体" w:hAnsi="宋体" w:eastAsia="宋体" w:cs="宋体"/>
          <w:bCs/>
          <w:color w:val="auto"/>
          <w:sz w:val="18"/>
          <w:szCs w:val="18"/>
          <w:highlight w:val="none"/>
          <w:lang w:val="en-US" w:eastAsia="zh-CN"/>
        </w:rPr>
        <w:t>车辆必须按项目所在地综合行政执法部门的规定办理通行证，缴纳相关保证金，并在规定时间规定线路内通行，投标单位在报价中考虑相关的费用。</w:t>
      </w:r>
      <w:bookmarkEnd w:id="48"/>
      <w:bookmarkEnd w:id="49"/>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50" w:name="_Toc27826"/>
      <w:bookmarkStart w:id="51" w:name="_Toc21696"/>
      <w:r>
        <w:rPr>
          <w:rFonts w:hint="default" w:ascii="宋体" w:hAnsi="宋体" w:eastAsia="宋体" w:cs="宋体"/>
          <w:bCs/>
          <w:color w:val="auto"/>
          <w:sz w:val="18"/>
          <w:szCs w:val="18"/>
          <w:highlight w:val="none"/>
          <w:lang w:val="en-US" w:eastAsia="zh-CN"/>
        </w:rPr>
        <w:t>2</w:t>
      </w:r>
      <w:r>
        <w:rPr>
          <w:rFonts w:hint="eastAsia" w:hAnsi="宋体" w:cs="宋体"/>
          <w:bCs/>
          <w:color w:val="auto"/>
          <w:sz w:val="18"/>
          <w:szCs w:val="18"/>
          <w:highlight w:val="none"/>
          <w:lang w:val="en-US" w:eastAsia="zh-CN"/>
        </w:rPr>
        <w:t>1</w:t>
      </w:r>
      <w:r>
        <w:rPr>
          <w:rFonts w:hint="default" w:ascii="宋体" w:hAnsi="宋体" w:eastAsia="宋体" w:cs="宋体"/>
          <w:bCs/>
          <w:color w:val="auto"/>
          <w:sz w:val="18"/>
          <w:szCs w:val="18"/>
          <w:highlight w:val="none"/>
          <w:lang w:val="en-US" w:eastAsia="zh-CN"/>
        </w:rPr>
        <w:t>、</w:t>
      </w:r>
      <w:r>
        <w:rPr>
          <w:rFonts w:hint="eastAsia" w:hAnsi="宋体" w:cs="宋体"/>
          <w:bCs/>
          <w:color w:val="auto"/>
          <w:sz w:val="18"/>
          <w:szCs w:val="18"/>
          <w:highlight w:val="none"/>
          <w:lang w:val="en-US" w:eastAsia="zh-CN"/>
        </w:rPr>
        <w:t>若实施期间发生大型传染性疾病的，</w:t>
      </w:r>
      <w:r>
        <w:rPr>
          <w:rFonts w:hint="default" w:ascii="宋体" w:hAnsi="宋体" w:eastAsia="宋体" w:cs="宋体"/>
          <w:bCs/>
          <w:color w:val="auto"/>
          <w:sz w:val="18"/>
          <w:szCs w:val="18"/>
          <w:highlight w:val="none"/>
          <w:lang w:val="en-US" w:eastAsia="zh-CN"/>
        </w:rPr>
        <w:t>承包人</w:t>
      </w:r>
      <w:r>
        <w:rPr>
          <w:rFonts w:hint="eastAsia" w:hAnsi="宋体" w:cs="宋体"/>
          <w:bCs/>
          <w:color w:val="auto"/>
          <w:sz w:val="18"/>
          <w:szCs w:val="18"/>
          <w:highlight w:val="none"/>
          <w:lang w:val="en-US" w:eastAsia="zh-CN"/>
        </w:rPr>
        <w:t>须按</w:t>
      </w:r>
      <w:r>
        <w:rPr>
          <w:rFonts w:hint="default" w:ascii="宋体" w:hAnsi="宋体" w:eastAsia="宋体" w:cs="宋体"/>
          <w:bCs/>
          <w:color w:val="auto"/>
          <w:sz w:val="18"/>
          <w:szCs w:val="18"/>
          <w:highlight w:val="none"/>
          <w:lang w:val="en-US" w:eastAsia="zh-CN"/>
        </w:rPr>
        <w:t>相关文件实施</w:t>
      </w:r>
      <w:r>
        <w:rPr>
          <w:rFonts w:hint="eastAsia" w:hAnsi="宋体" w:cs="宋体"/>
          <w:bCs/>
          <w:color w:val="auto"/>
          <w:sz w:val="18"/>
          <w:szCs w:val="18"/>
          <w:highlight w:val="none"/>
          <w:lang w:val="en-US" w:eastAsia="zh-CN"/>
        </w:rPr>
        <w:t>养护</w:t>
      </w:r>
      <w:r>
        <w:rPr>
          <w:rFonts w:hint="default" w:ascii="宋体" w:hAnsi="宋体" w:eastAsia="宋体" w:cs="宋体"/>
          <w:bCs/>
          <w:color w:val="auto"/>
          <w:sz w:val="18"/>
          <w:szCs w:val="18"/>
          <w:highlight w:val="none"/>
          <w:lang w:val="en-US" w:eastAsia="zh-CN"/>
        </w:rPr>
        <w:t>，该部分费用已包含在投标报价中，不再另行支付。</w:t>
      </w:r>
      <w:bookmarkEnd w:id="50"/>
      <w:bookmarkEnd w:id="51"/>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lang w:val="en-US" w:eastAsia="zh-CN"/>
        </w:rPr>
      </w:pPr>
      <w:bookmarkStart w:id="52" w:name="_Toc13386"/>
      <w:bookmarkStart w:id="53" w:name="_Toc24270"/>
      <w:r>
        <w:rPr>
          <w:rFonts w:hint="eastAsia" w:hAnsi="宋体" w:cs="宋体"/>
          <w:bCs/>
          <w:color w:val="auto"/>
          <w:sz w:val="18"/>
          <w:szCs w:val="18"/>
          <w:highlight w:val="none"/>
          <w:lang w:val="en-US" w:eastAsia="zh-CN"/>
        </w:rPr>
        <w:t>22</w:t>
      </w:r>
      <w:r>
        <w:rPr>
          <w:rFonts w:hint="eastAsia" w:ascii="宋体" w:hAnsi="宋体" w:eastAsia="宋体" w:cs="宋体"/>
          <w:bCs/>
          <w:color w:val="auto"/>
          <w:sz w:val="18"/>
          <w:szCs w:val="18"/>
          <w:highlight w:val="none"/>
          <w:lang w:val="en-US" w:eastAsia="zh-CN"/>
        </w:rPr>
        <w:t>、养护单位须按月足额发放人员工资，不得存在苛扣、漏发情况，否则按考核办法扣分罚款。</w:t>
      </w:r>
      <w:bookmarkEnd w:id="52"/>
      <w:bookmarkEnd w:id="53"/>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lang w:val="en-US" w:eastAsia="zh-CN"/>
        </w:rPr>
      </w:pPr>
      <w:bookmarkStart w:id="54" w:name="_Toc2291"/>
      <w:r>
        <w:rPr>
          <w:rFonts w:hint="eastAsia" w:ascii="宋体" w:hAnsi="宋体" w:eastAsia="宋体" w:cs="宋体"/>
          <w:bCs/>
          <w:color w:val="auto"/>
          <w:sz w:val="18"/>
          <w:szCs w:val="18"/>
          <w:highlight w:val="none"/>
          <w:lang w:val="en-US" w:eastAsia="zh-CN"/>
        </w:rPr>
        <w:t>2</w:t>
      </w:r>
      <w:r>
        <w:rPr>
          <w:rFonts w:hint="eastAsia" w:hAnsi="宋体" w:cs="宋体"/>
          <w:bCs/>
          <w:color w:val="auto"/>
          <w:sz w:val="18"/>
          <w:szCs w:val="18"/>
          <w:highlight w:val="none"/>
          <w:lang w:val="en-US" w:eastAsia="zh-CN"/>
        </w:rPr>
        <w:t>3</w:t>
      </w:r>
      <w:r>
        <w:rPr>
          <w:rFonts w:hint="eastAsia" w:ascii="宋体" w:hAnsi="宋体" w:eastAsia="宋体" w:cs="宋体"/>
          <w:bCs/>
          <w:color w:val="auto"/>
          <w:sz w:val="18"/>
          <w:szCs w:val="18"/>
          <w:highlight w:val="none"/>
          <w:lang w:val="en-US" w:eastAsia="zh-CN"/>
        </w:rPr>
        <w:t>、与本项目养护相关的器械自行配备，费用包含在投标总价中。</w:t>
      </w:r>
      <w:bookmarkEnd w:id="54"/>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55" w:name="_Toc9672"/>
      <w:r>
        <w:rPr>
          <w:rFonts w:hint="eastAsia" w:hAnsi="宋体" w:cs="宋体"/>
          <w:bCs/>
          <w:color w:val="auto"/>
          <w:sz w:val="18"/>
          <w:szCs w:val="18"/>
          <w:highlight w:val="none"/>
          <w:lang w:val="en-US" w:eastAsia="zh-CN"/>
        </w:rPr>
        <w:t>24、</w:t>
      </w:r>
      <w:r>
        <w:rPr>
          <w:rFonts w:hint="default" w:ascii="宋体" w:hAnsi="宋体" w:eastAsia="宋体" w:cs="宋体"/>
          <w:bCs/>
          <w:color w:val="auto"/>
          <w:sz w:val="18"/>
          <w:szCs w:val="18"/>
          <w:highlight w:val="none"/>
          <w:lang w:val="en-US" w:eastAsia="zh-CN"/>
        </w:rPr>
        <w:t>人员配备要求</w:t>
      </w:r>
      <w:bookmarkEnd w:id="55"/>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56" w:name="_Toc24818"/>
      <w:r>
        <w:rPr>
          <w:rFonts w:hint="eastAsia" w:hAnsi="宋体" w:cs="宋体"/>
          <w:bCs/>
          <w:color w:val="auto"/>
          <w:sz w:val="18"/>
          <w:szCs w:val="18"/>
          <w:highlight w:val="none"/>
          <w:lang w:val="en-US" w:eastAsia="zh-CN"/>
        </w:rPr>
        <w:t>25.</w:t>
      </w:r>
      <w:r>
        <w:rPr>
          <w:rFonts w:hint="default" w:ascii="宋体" w:hAnsi="宋体" w:eastAsia="宋体" w:cs="宋体"/>
          <w:bCs/>
          <w:color w:val="auto"/>
          <w:sz w:val="18"/>
          <w:szCs w:val="18"/>
          <w:highlight w:val="none"/>
          <w:lang w:val="en-US" w:eastAsia="zh-CN"/>
        </w:rPr>
        <w:t>1、本项目人员配备采用定量定员的模式，乙方必须按要求配足。</w:t>
      </w:r>
      <w:bookmarkEnd w:id="56"/>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57" w:name="_Toc4134"/>
      <w:r>
        <w:rPr>
          <w:rFonts w:hint="eastAsia" w:ascii="宋体" w:hAnsi="宋体" w:eastAsia="宋体" w:cs="宋体"/>
          <w:bCs/>
          <w:color w:val="auto"/>
          <w:sz w:val="18"/>
          <w:szCs w:val="18"/>
          <w:highlight w:val="none"/>
          <w:lang w:val="en-US" w:eastAsia="zh-CN"/>
        </w:rPr>
        <w:t>25.</w:t>
      </w:r>
      <w:r>
        <w:rPr>
          <w:rFonts w:hint="default" w:ascii="宋体" w:hAnsi="宋体" w:eastAsia="宋体" w:cs="宋体"/>
          <w:bCs/>
          <w:color w:val="auto"/>
          <w:sz w:val="18"/>
          <w:szCs w:val="18"/>
          <w:highlight w:val="none"/>
          <w:lang w:val="en-US" w:eastAsia="zh-CN"/>
        </w:rPr>
        <w:t>2、</w:t>
      </w:r>
      <w:r>
        <w:rPr>
          <w:rFonts w:hint="eastAsia" w:hAnsi="宋体" w:cs="宋体"/>
          <w:bCs/>
          <w:color w:val="auto"/>
          <w:sz w:val="18"/>
          <w:szCs w:val="18"/>
          <w:highlight w:val="none"/>
          <w:lang w:val="en-US" w:eastAsia="zh-CN"/>
        </w:rPr>
        <w:t>人员要求：一标段养护、巡查及保洁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35</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（其中保洁人员不少于12人、巡查不少于2人）；二标段养护、巡查及保洁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49</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（其中保洁人员不少于16人、巡查不少于3人）；三标段养护、巡查及保洁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42</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（其中保洁人员不少于10人、巡查不少于2人）；</w:t>
      </w:r>
      <w:r>
        <w:rPr>
          <w:rFonts w:hint="eastAsia" w:hAnsi="宋体" w:cs="宋体"/>
          <w:b/>
          <w:bCs w:val="0"/>
          <w:color w:val="auto"/>
          <w:sz w:val="18"/>
          <w:szCs w:val="18"/>
          <w:highlight w:val="none"/>
          <w:lang w:val="en-US" w:eastAsia="zh-CN"/>
        </w:rPr>
        <w:t>四标段养护、巡查</w:t>
      </w:r>
      <w:r>
        <w:rPr>
          <w:rFonts w:hint="eastAsia" w:ascii="宋体" w:hAnsi="宋体" w:eastAsia="宋体" w:cs="宋体"/>
          <w:b/>
          <w:bCs w:val="0"/>
          <w:color w:val="auto"/>
          <w:sz w:val="18"/>
          <w:szCs w:val="18"/>
          <w:highlight w:val="none"/>
          <w:lang w:val="en-US" w:eastAsia="zh-CN"/>
        </w:rPr>
        <w:t>人员每日不少于</w:t>
      </w:r>
      <w:r>
        <w:rPr>
          <w:rFonts w:hint="eastAsia" w:hAnsi="宋体" w:cs="宋体"/>
          <w:b/>
          <w:bCs w:val="0"/>
          <w:color w:val="auto"/>
          <w:sz w:val="18"/>
          <w:szCs w:val="18"/>
          <w:highlight w:val="none"/>
          <w:lang w:val="en-US" w:eastAsia="zh-CN"/>
        </w:rPr>
        <w:t>18</w:t>
      </w:r>
      <w:r>
        <w:rPr>
          <w:rFonts w:hint="eastAsia" w:ascii="宋体" w:hAnsi="宋体" w:eastAsia="宋体" w:cs="宋体"/>
          <w:b/>
          <w:bCs w:val="0"/>
          <w:color w:val="auto"/>
          <w:sz w:val="18"/>
          <w:szCs w:val="18"/>
          <w:highlight w:val="none"/>
          <w:lang w:val="en-US" w:eastAsia="zh-CN"/>
        </w:rPr>
        <w:t>人</w:t>
      </w:r>
      <w:r>
        <w:rPr>
          <w:rFonts w:hint="eastAsia" w:hAnsi="宋体" w:cs="宋体"/>
          <w:b/>
          <w:bCs w:val="0"/>
          <w:color w:val="auto"/>
          <w:sz w:val="18"/>
          <w:szCs w:val="18"/>
          <w:highlight w:val="none"/>
          <w:lang w:val="en-US" w:eastAsia="zh-CN"/>
        </w:rPr>
        <w:t>，其中巡查不少于2人</w:t>
      </w:r>
      <w:r>
        <w:rPr>
          <w:rFonts w:hint="eastAsia" w:hAnsi="宋体" w:cs="宋体"/>
          <w:bCs/>
          <w:color w:val="auto"/>
          <w:sz w:val="18"/>
          <w:szCs w:val="18"/>
          <w:highlight w:val="none"/>
          <w:lang w:val="en-US" w:eastAsia="zh-CN"/>
        </w:rPr>
        <w:t>；五标段养护、巡查及保洁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34</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（其中保洁人员不少于11人、巡查不少于2人）；六标段养护、巡查及保洁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37</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（其中保洁人员不少于8人、巡查不少于2人）</w:t>
      </w:r>
      <w:r>
        <w:rPr>
          <w:rFonts w:hint="eastAsia" w:ascii="宋体" w:hAnsi="宋体" w:eastAsia="宋体" w:cs="宋体"/>
          <w:bCs/>
          <w:color w:val="auto"/>
          <w:sz w:val="18"/>
          <w:szCs w:val="18"/>
          <w:highlight w:val="none"/>
          <w:lang w:val="en-US" w:eastAsia="zh-CN"/>
        </w:rPr>
        <w:t>。</w:t>
      </w:r>
      <w:bookmarkEnd w:id="57"/>
    </w:p>
    <w:p>
      <w:pPr>
        <w:pStyle w:val="30"/>
        <w:snapToGrid w:val="0"/>
        <w:spacing w:before="0" w:beforeLines="0" w:after="0" w:afterLines="0" w:line="500" w:lineRule="exact"/>
        <w:ind w:firstLine="360" w:firstLineChars="200"/>
        <w:outlineLvl w:val="0"/>
        <w:rPr>
          <w:rFonts w:hint="default" w:ascii="宋体" w:hAnsi="宋体" w:eastAsia="宋体" w:cs="宋体"/>
          <w:bCs/>
          <w:color w:val="FF0000"/>
          <w:sz w:val="18"/>
          <w:szCs w:val="18"/>
          <w:highlight w:val="none"/>
          <w:lang w:val="en-US" w:eastAsia="zh-CN"/>
        </w:rPr>
      </w:pPr>
      <w:bookmarkStart w:id="58" w:name="_Toc24416"/>
      <w:r>
        <w:rPr>
          <w:rFonts w:hint="eastAsia" w:hAnsi="宋体" w:cs="宋体"/>
          <w:bCs/>
          <w:color w:val="FF0000"/>
          <w:sz w:val="18"/>
          <w:szCs w:val="18"/>
          <w:highlight w:val="none"/>
          <w:lang w:val="en-US" w:eastAsia="zh-CN"/>
        </w:rPr>
        <w:t>25.3</w:t>
      </w:r>
      <w:r>
        <w:rPr>
          <w:rFonts w:hint="default" w:ascii="宋体" w:hAnsi="宋体" w:eastAsia="宋体" w:cs="宋体"/>
          <w:bCs/>
          <w:color w:val="FF0000"/>
          <w:sz w:val="18"/>
          <w:szCs w:val="18"/>
          <w:highlight w:val="none"/>
          <w:lang w:val="en-US" w:eastAsia="zh-CN"/>
        </w:rPr>
        <w:t>、检查时如发现养护人员配备不足：</w:t>
      </w:r>
      <w:bookmarkEnd w:id="58"/>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59" w:name="_Toc7773"/>
      <w:r>
        <w:rPr>
          <w:rFonts w:hint="default" w:ascii="宋体" w:hAnsi="宋体" w:eastAsia="宋体" w:cs="宋体"/>
          <w:bCs/>
          <w:color w:val="auto"/>
          <w:sz w:val="18"/>
          <w:szCs w:val="18"/>
          <w:highlight w:val="none"/>
          <w:lang w:val="en-US" w:eastAsia="zh-CN"/>
        </w:rPr>
        <w:t>1）每少一名人员扣除当月养护经费1800元，</w:t>
      </w:r>
      <w:r>
        <w:rPr>
          <w:rFonts w:hint="eastAsia" w:hAnsi="宋体" w:cs="宋体"/>
          <w:bCs/>
          <w:color w:val="auto"/>
          <w:sz w:val="18"/>
          <w:szCs w:val="18"/>
          <w:highlight w:val="none"/>
          <w:lang w:val="en-US" w:eastAsia="zh-CN"/>
        </w:rPr>
        <w:t>在季度结算时一并扣除</w:t>
      </w:r>
      <w:r>
        <w:rPr>
          <w:rFonts w:hint="default" w:ascii="宋体" w:hAnsi="宋体" w:eastAsia="宋体" w:cs="宋体"/>
          <w:bCs/>
          <w:color w:val="auto"/>
          <w:sz w:val="18"/>
          <w:szCs w:val="18"/>
          <w:highlight w:val="none"/>
          <w:lang w:val="en-US" w:eastAsia="zh-CN"/>
        </w:rPr>
        <w:t>。</w:t>
      </w:r>
      <w:bookmarkEnd w:id="59"/>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60" w:name="_Toc20951"/>
      <w:r>
        <w:rPr>
          <w:rFonts w:hint="eastAsia" w:hAnsi="宋体" w:cs="宋体"/>
          <w:bCs/>
          <w:color w:val="auto"/>
          <w:sz w:val="18"/>
          <w:szCs w:val="18"/>
          <w:highlight w:val="none"/>
          <w:lang w:val="en-US" w:eastAsia="zh-CN"/>
        </w:rPr>
        <w:t>2</w:t>
      </w:r>
      <w:r>
        <w:rPr>
          <w:rFonts w:hint="default" w:ascii="宋体" w:hAnsi="宋体" w:eastAsia="宋体" w:cs="宋体"/>
          <w:bCs/>
          <w:color w:val="auto"/>
          <w:sz w:val="18"/>
          <w:szCs w:val="18"/>
          <w:highlight w:val="none"/>
          <w:lang w:val="en-US" w:eastAsia="zh-CN"/>
        </w:rPr>
        <w:t>）人员配备少于规定数量的70%时，扣除当月养护费。</w:t>
      </w:r>
      <w:bookmarkEnd w:id="60"/>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61" w:name="_Toc17100"/>
      <w:r>
        <w:rPr>
          <w:rFonts w:hint="eastAsia" w:hAnsi="宋体" w:cs="宋体"/>
          <w:bCs/>
          <w:color w:val="auto"/>
          <w:sz w:val="18"/>
          <w:szCs w:val="18"/>
          <w:highlight w:val="none"/>
          <w:lang w:val="en-US" w:eastAsia="zh-CN"/>
        </w:rPr>
        <w:t>25.4</w:t>
      </w:r>
      <w:r>
        <w:rPr>
          <w:rFonts w:hint="default" w:ascii="宋体" w:hAnsi="宋体" w:eastAsia="宋体" w:cs="宋体"/>
          <w:bCs/>
          <w:color w:val="auto"/>
          <w:sz w:val="18"/>
          <w:szCs w:val="18"/>
          <w:highlight w:val="none"/>
          <w:lang w:val="en-US" w:eastAsia="zh-CN"/>
        </w:rPr>
        <w:t>、暴雨天等不适宜养护作业时，乙方可暂停养护一线作业，必须按排不少于3名男性养护人员随时处置各类事务；平时应建立不少于5人的应急队伍</w:t>
      </w:r>
      <w:r>
        <w:rPr>
          <w:rFonts w:hint="eastAsia" w:hAnsi="宋体" w:cs="宋体"/>
          <w:bCs/>
          <w:color w:val="auto"/>
          <w:sz w:val="18"/>
          <w:szCs w:val="18"/>
          <w:highlight w:val="none"/>
          <w:lang w:val="en-US" w:eastAsia="zh-CN"/>
        </w:rPr>
        <w:t>及应急设备</w:t>
      </w:r>
      <w:r>
        <w:rPr>
          <w:rFonts w:hint="default" w:ascii="宋体" w:hAnsi="宋体" w:eastAsia="宋体" w:cs="宋体"/>
          <w:bCs/>
          <w:color w:val="auto"/>
          <w:sz w:val="18"/>
          <w:szCs w:val="18"/>
          <w:highlight w:val="none"/>
          <w:lang w:val="en-US" w:eastAsia="zh-CN"/>
        </w:rPr>
        <w:t>，24小时应对各类突发事件。</w:t>
      </w:r>
      <w:bookmarkEnd w:id="61"/>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62" w:name="_Toc30647"/>
      <w:r>
        <w:rPr>
          <w:rFonts w:hint="eastAsia" w:hAnsi="宋体" w:cs="宋体"/>
          <w:bCs/>
          <w:color w:val="auto"/>
          <w:sz w:val="18"/>
          <w:szCs w:val="18"/>
          <w:highlight w:val="none"/>
          <w:lang w:val="en-US" w:eastAsia="zh-CN"/>
        </w:rPr>
        <w:t>25.5</w:t>
      </w:r>
      <w:r>
        <w:rPr>
          <w:rFonts w:hint="default" w:ascii="宋体" w:hAnsi="宋体" w:eastAsia="宋体" w:cs="宋体"/>
          <w:bCs/>
          <w:color w:val="auto"/>
          <w:sz w:val="18"/>
          <w:szCs w:val="18"/>
          <w:highlight w:val="none"/>
          <w:lang w:val="en-US" w:eastAsia="zh-CN"/>
        </w:rPr>
        <w:t>、必须落实专人，每天巡查不少于2次，原则上安排在8:00-10:00、14:00-16:00，对巡查中发现的问题原则上当天处理完毕，苗木损坏、设施破损等须立即通知甲方管理人员处理。未及时发现或上报造成的损失由乙方自行承担，如交通事故造成损坏的，根据交警部门处理意见处理，现场由乙方恢复原状，费用</w:t>
      </w:r>
      <w:r>
        <w:rPr>
          <w:rFonts w:hint="eastAsia" w:hAnsi="宋体" w:cs="宋体"/>
          <w:bCs/>
          <w:color w:val="auto"/>
          <w:sz w:val="18"/>
          <w:szCs w:val="18"/>
          <w:highlight w:val="none"/>
          <w:lang w:val="en-US" w:eastAsia="zh-CN"/>
        </w:rPr>
        <w:t>在季度结算时一并扣除</w:t>
      </w:r>
      <w:r>
        <w:rPr>
          <w:rFonts w:hint="default" w:ascii="宋体" w:hAnsi="宋体" w:eastAsia="宋体" w:cs="宋体"/>
          <w:bCs/>
          <w:color w:val="auto"/>
          <w:sz w:val="18"/>
          <w:szCs w:val="18"/>
          <w:highlight w:val="none"/>
          <w:lang w:val="en-US" w:eastAsia="zh-CN"/>
        </w:rPr>
        <w:t>。</w:t>
      </w:r>
      <w:bookmarkEnd w:id="62"/>
    </w:p>
    <w:p>
      <w:pPr>
        <w:pStyle w:val="30"/>
        <w:snapToGrid w:val="0"/>
        <w:spacing w:before="0" w:beforeLines="0" w:after="0" w:afterLines="0" w:line="500" w:lineRule="exact"/>
        <w:ind w:firstLine="360" w:firstLineChars="200"/>
        <w:outlineLvl w:val="0"/>
        <w:rPr>
          <w:rFonts w:hint="default" w:ascii="宋体" w:hAnsi="宋体" w:eastAsia="宋体" w:cs="宋体"/>
          <w:bCs/>
          <w:color w:val="auto"/>
          <w:sz w:val="18"/>
          <w:szCs w:val="18"/>
          <w:highlight w:val="none"/>
          <w:lang w:val="en-US" w:eastAsia="zh-CN"/>
        </w:rPr>
      </w:pPr>
      <w:bookmarkStart w:id="63" w:name="_Toc963"/>
      <w:r>
        <w:rPr>
          <w:rFonts w:hint="eastAsia" w:hAnsi="宋体" w:cs="宋体"/>
          <w:bCs/>
          <w:color w:val="auto"/>
          <w:sz w:val="18"/>
          <w:szCs w:val="18"/>
          <w:highlight w:val="none"/>
          <w:lang w:val="en-US" w:eastAsia="zh-CN"/>
        </w:rPr>
        <w:t>25.6</w:t>
      </w:r>
      <w:r>
        <w:rPr>
          <w:rFonts w:hint="default" w:ascii="宋体" w:hAnsi="宋体" w:eastAsia="宋体" w:cs="宋体"/>
          <w:bCs/>
          <w:color w:val="auto"/>
          <w:sz w:val="18"/>
          <w:szCs w:val="18"/>
          <w:highlight w:val="none"/>
          <w:lang w:val="en-US" w:eastAsia="zh-CN"/>
        </w:rPr>
        <w:t>、中标单位</w:t>
      </w:r>
      <w:r>
        <w:rPr>
          <w:rFonts w:hint="eastAsia" w:hAnsi="宋体" w:cs="宋体"/>
          <w:bCs/>
          <w:color w:val="auto"/>
          <w:sz w:val="18"/>
          <w:szCs w:val="18"/>
          <w:highlight w:val="none"/>
          <w:lang w:val="en-US" w:eastAsia="zh-CN"/>
        </w:rPr>
        <w:t>（除四标段外）</w:t>
      </w:r>
      <w:r>
        <w:rPr>
          <w:rFonts w:hint="default" w:ascii="宋体" w:hAnsi="宋体" w:eastAsia="宋体" w:cs="宋体"/>
          <w:bCs/>
          <w:color w:val="auto"/>
          <w:sz w:val="18"/>
          <w:szCs w:val="18"/>
          <w:highlight w:val="none"/>
          <w:lang w:val="en-US" w:eastAsia="zh-CN"/>
        </w:rPr>
        <w:t>须做好区域内的日常卫生保洁工作，保洁时间</w:t>
      </w:r>
      <w:r>
        <w:rPr>
          <w:rFonts w:hint="eastAsia" w:hAnsi="宋体" w:cs="宋体"/>
          <w:bCs/>
          <w:color w:val="auto"/>
          <w:sz w:val="18"/>
          <w:szCs w:val="18"/>
          <w:highlight w:val="none"/>
          <w:lang w:val="en-US" w:eastAsia="zh-CN"/>
        </w:rPr>
        <w:t>参照《嘉兴市城市精细化管理保洁作业时间要求》</w:t>
      </w:r>
      <w:r>
        <w:rPr>
          <w:rFonts w:hint="default" w:ascii="宋体" w:hAnsi="宋体" w:eastAsia="宋体" w:cs="宋体"/>
          <w:bCs/>
          <w:color w:val="auto"/>
          <w:sz w:val="18"/>
          <w:szCs w:val="18"/>
          <w:highlight w:val="none"/>
          <w:lang w:val="en-US" w:eastAsia="zh-CN"/>
        </w:rPr>
        <w:t>，如出现较多垃圾时必须增派人员突击清除。</w:t>
      </w:r>
      <w:bookmarkEnd w:id="63"/>
    </w:p>
    <w:p>
      <w:pPr>
        <w:pStyle w:val="30"/>
        <w:snapToGrid w:val="0"/>
        <w:spacing w:before="0" w:beforeLines="0" w:after="0" w:afterLines="0" w:line="500" w:lineRule="exact"/>
        <w:ind w:firstLine="360" w:firstLineChars="200"/>
        <w:outlineLvl w:val="0"/>
        <w:rPr>
          <w:rFonts w:hint="default"/>
          <w:color w:val="auto"/>
          <w:sz w:val="18"/>
          <w:szCs w:val="18"/>
          <w:highlight w:val="none"/>
          <w:lang w:val="en-US" w:eastAsia="zh-CN"/>
        </w:rPr>
      </w:pPr>
      <w:bookmarkStart w:id="64" w:name="_Toc22688"/>
      <w:r>
        <w:rPr>
          <w:rFonts w:hint="eastAsia" w:ascii="宋体" w:hAnsi="宋体" w:eastAsia="宋体" w:cs="宋体"/>
          <w:bCs/>
          <w:color w:val="auto"/>
          <w:sz w:val="18"/>
          <w:szCs w:val="18"/>
          <w:highlight w:val="none"/>
          <w:lang w:val="en-US" w:eastAsia="zh-CN"/>
        </w:rPr>
        <w:t>2</w:t>
      </w:r>
      <w:r>
        <w:rPr>
          <w:rFonts w:hint="eastAsia" w:hAnsi="宋体" w:cs="宋体"/>
          <w:bCs/>
          <w:color w:val="auto"/>
          <w:sz w:val="18"/>
          <w:szCs w:val="18"/>
          <w:highlight w:val="none"/>
          <w:lang w:val="en-US" w:eastAsia="zh-CN"/>
        </w:rPr>
        <w:t>6</w:t>
      </w:r>
      <w:r>
        <w:rPr>
          <w:rFonts w:hint="eastAsia" w:ascii="宋体" w:hAnsi="宋体" w:eastAsia="宋体" w:cs="宋体"/>
          <w:bCs/>
          <w:color w:val="auto"/>
          <w:sz w:val="18"/>
          <w:szCs w:val="18"/>
          <w:highlight w:val="none"/>
          <w:lang w:val="en-US" w:eastAsia="zh-CN"/>
        </w:rPr>
        <w:t>、养护单位须有应急</w:t>
      </w:r>
      <w:r>
        <w:rPr>
          <w:rFonts w:hint="eastAsia" w:hAnsi="宋体" w:cs="宋体"/>
          <w:bCs/>
          <w:color w:val="auto"/>
          <w:sz w:val="18"/>
          <w:szCs w:val="18"/>
          <w:highlight w:val="none"/>
          <w:lang w:val="en-US" w:eastAsia="zh-CN"/>
        </w:rPr>
        <w:t>处理相关设施设备</w:t>
      </w:r>
      <w:r>
        <w:rPr>
          <w:rFonts w:hint="eastAsia" w:ascii="宋体" w:hAnsi="宋体" w:eastAsia="宋体" w:cs="宋体"/>
          <w:bCs/>
          <w:color w:val="auto"/>
          <w:sz w:val="18"/>
          <w:szCs w:val="18"/>
          <w:highlight w:val="none"/>
          <w:lang w:val="en-US" w:eastAsia="zh-CN"/>
        </w:rPr>
        <w:t>的仓库，常备应急设备、</w:t>
      </w:r>
      <w:r>
        <w:rPr>
          <w:rFonts w:hint="eastAsia" w:hAnsi="宋体" w:cs="宋体"/>
          <w:bCs/>
          <w:color w:val="auto"/>
          <w:sz w:val="18"/>
          <w:szCs w:val="18"/>
          <w:highlight w:val="none"/>
          <w:lang w:val="en-US" w:eastAsia="zh-CN"/>
        </w:rPr>
        <w:t>车辆及</w:t>
      </w:r>
      <w:r>
        <w:rPr>
          <w:rFonts w:hint="eastAsia" w:ascii="宋体" w:hAnsi="宋体" w:eastAsia="宋体" w:cs="宋体"/>
          <w:bCs/>
          <w:color w:val="auto"/>
          <w:sz w:val="18"/>
          <w:szCs w:val="18"/>
          <w:highlight w:val="none"/>
          <w:lang w:val="en-US" w:eastAsia="zh-CN"/>
        </w:rPr>
        <w:t>防倒伏的支架</w:t>
      </w:r>
      <w:r>
        <w:rPr>
          <w:rFonts w:hint="eastAsia" w:hAnsi="宋体" w:cs="宋体"/>
          <w:bCs/>
          <w:color w:val="auto"/>
          <w:sz w:val="18"/>
          <w:szCs w:val="18"/>
          <w:highlight w:val="none"/>
          <w:lang w:val="en-US" w:eastAsia="zh-CN"/>
        </w:rPr>
        <w:t>（数量应</w:t>
      </w:r>
      <w:r>
        <w:rPr>
          <w:rFonts w:hint="eastAsia" w:ascii="宋体" w:hAnsi="宋体" w:eastAsia="宋体" w:cs="宋体"/>
          <w:bCs/>
          <w:color w:val="auto"/>
          <w:sz w:val="18"/>
          <w:szCs w:val="18"/>
          <w:highlight w:val="none"/>
          <w:lang w:val="en-US" w:eastAsia="zh-CN"/>
        </w:rPr>
        <w:t>满足应急突发所需</w:t>
      </w:r>
      <w:r>
        <w:rPr>
          <w:rFonts w:hint="eastAsia" w:hAnsi="宋体" w:cs="宋体"/>
          <w:bCs/>
          <w:color w:val="auto"/>
          <w:sz w:val="18"/>
          <w:szCs w:val="18"/>
          <w:highlight w:val="none"/>
          <w:lang w:val="en-US" w:eastAsia="zh-CN"/>
        </w:rPr>
        <w:t>）</w:t>
      </w:r>
      <w:bookmarkEnd w:id="64"/>
    </w:p>
    <w:p>
      <w:pPr>
        <w:pStyle w:val="30"/>
        <w:snapToGrid w:val="0"/>
        <w:spacing w:before="0" w:beforeLines="0" w:after="0" w:afterLines="0" w:line="500" w:lineRule="exact"/>
        <w:ind w:firstLine="361" w:firstLineChars="200"/>
        <w:outlineLvl w:val="0"/>
        <w:rPr>
          <w:rFonts w:hint="eastAsia" w:ascii="宋体" w:hAnsi="宋体" w:eastAsia="宋体" w:cs="宋体"/>
          <w:b/>
          <w:color w:val="auto"/>
          <w:sz w:val="18"/>
          <w:szCs w:val="18"/>
          <w:highlight w:val="none"/>
        </w:rPr>
      </w:pPr>
      <w:bookmarkStart w:id="65" w:name="_Toc23319"/>
      <w:bookmarkStart w:id="66" w:name="_Toc14666"/>
      <w:bookmarkStart w:id="67" w:name="_Toc3313"/>
      <w:bookmarkStart w:id="68" w:name="_Toc17078"/>
      <w:r>
        <w:rPr>
          <w:rFonts w:hint="eastAsia" w:hAnsi="宋体" w:cs="宋体"/>
          <w:b/>
          <w:color w:val="auto"/>
          <w:sz w:val="18"/>
          <w:szCs w:val="18"/>
          <w:highlight w:val="none"/>
          <w:lang w:val="en-US" w:eastAsia="zh-CN"/>
        </w:rPr>
        <w:t>四</w:t>
      </w:r>
      <w:r>
        <w:rPr>
          <w:rFonts w:hint="eastAsia" w:ascii="宋体" w:hAnsi="宋体" w:eastAsia="宋体" w:cs="宋体"/>
          <w:b/>
          <w:color w:val="auto"/>
          <w:sz w:val="18"/>
          <w:szCs w:val="18"/>
          <w:highlight w:val="none"/>
          <w:lang w:val="en-US" w:eastAsia="zh-CN"/>
        </w:rPr>
        <w:t>、</w:t>
      </w:r>
      <w:r>
        <w:rPr>
          <w:rFonts w:hint="eastAsia" w:ascii="宋体" w:hAnsi="宋体" w:eastAsia="宋体" w:cs="宋体"/>
          <w:b/>
          <w:color w:val="auto"/>
          <w:sz w:val="18"/>
          <w:szCs w:val="18"/>
          <w:highlight w:val="none"/>
        </w:rPr>
        <w:t>商务条款</w:t>
      </w:r>
      <w:bookmarkEnd w:id="65"/>
      <w:bookmarkEnd w:id="66"/>
      <w:bookmarkEnd w:id="67"/>
      <w:bookmarkEnd w:id="68"/>
    </w:p>
    <w:p>
      <w:pPr>
        <w:pStyle w:val="30"/>
        <w:snapToGrid w:val="0"/>
        <w:spacing w:before="0" w:beforeLines="0" w:after="0" w:afterLines="0" w:line="500" w:lineRule="exact"/>
        <w:ind w:firstLine="180" w:firstLineChars="100"/>
        <w:outlineLvl w:val="0"/>
        <w:rPr>
          <w:rFonts w:hint="eastAsia" w:ascii="宋体" w:hAnsi="宋体" w:eastAsia="宋体" w:cs="宋体"/>
          <w:bCs/>
          <w:color w:val="auto"/>
          <w:sz w:val="18"/>
          <w:szCs w:val="18"/>
          <w:highlight w:val="none"/>
          <w:lang w:eastAsia="zh-CN"/>
        </w:rPr>
      </w:pPr>
      <w:bookmarkStart w:id="69" w:name="_Toc1259"/>
      <w:bookmarkStart w:id="70" w:name="_Toc17563"/>
      <w:bookmarkStart w:id="71" w:name="_Toc16197"/>
      <w:bookmarkStart w:id="72" w:name="_Toc3935"/>
      <w:r>
        <w:rPr>
          <w:rFonts w:hint="eastAsia" w:ascii="宋体" w:hAnsi="宋体" w:eastAsia="宋体" w:cs="宋体"/>
          <w:bCs/>
          <w:color w:val="auto"/>
          <w:sz w:val="18"/>
          <w:szCs w:val="18"/>
          <w:highlight w:val="none"/>
          <w:lang w:eastAsia="zh-CN"/>
        </w:rPr>
        <w:t>（</w:t>
      </w:r>
      <w:r>
        <w:rPr>
          <w:rFonts w:hint="eastAsia" w:ascii="宋体" w:hAnsi="宋体" w:eastAsia="宋体" w:cs="宋体"/>
          <w:bCs/>
          <w:color w:val="auto"/>
          <w:sz w:val="18"/>
          <w:szCs w:val="18"/>
          <w:highlight w:val="none"/>
          <w:lang w:val="en-US" w:eastAsia="zh-CN"/>
        </w:rPr>
        <w:t>一</w:t>
      </w:r>
      <w:r>
        <w:rPr>
          <w:rFonts w:hint="eastAsia" w:ascii="宋体" w:hAnsi="宋体" w:eastAsia="宋体" w:cs="宋体"/>
          <w:bCs/>
          <w:color w:val="auto"/>
          <w:sz w:val="18"/>
          <w:szCs w:val="18"/>
          <w:highlight w:val="none"/>
          <w:lang w:eastAsia="zh-CN"/>
        </w:rPr>
        <w:t>）</w:t>
      </w:r>
      <w:r>
        <w:rPr>
          <w:rFonts w:hint="eastAsia" w:ascii="宋体" w:hAnsi="宋体" w:eastAsia="宋体" w:cs="宋体"/>
          <w:bCs/>
          <w:color w:val="auto"/>
          <w:sz w:val="18"/>
          <w:szCs w:val="18"/>
          <w:highlight w:val="none"/>
        </w:rPr>
        <w:t>服务期</w:t>
      </w:r>
      <w:r>
        <w:rPr>
          <w:rFonts w:hint="eastAsia" w:ascii="宋体" w:hAnsi="宋体" w:eastAsia="宋体" w:cs="宋体"/>
          <w:bCs/>
          <w:color w:val="auto"/>
          <w:sz w:val="18"/>
          <w:szCs w:val="18"/>
          <w:highlight w:val="none"/>
          <w:lang w:eastAsia="zh-CN"/>
        </w:rPr>
        <w:t>限：</w:t>
      </w:r>
      <w:r>
        <w:rPr>
          <w:rFonts w:hint="eastAsia" w:asciiTheme="minorEastAsia" w:hAnsiTheme="minorEastAsia" w:eastAsiaTheme="minorEastAsia"/>
          <w:color w:val="auto"/>
          <w:sz w:val="18"/>
          <w:szCs w:val="18"/>
          <w:highlight w:val="none"/>
          <w:lang w:eastAsia="zh-CN"/>
        </w:rPr>
        <w:t>自签订合同之日起至</w:t>
      </w:r>
      <w:r>
        <w:rPr>
          <w:rFonts w:hint="eastAsia" w:asciiTheme="minorEastAsia" w:hAnsiTheme="minorEastAsia" w:eastAsiaTheme="minorEastAsia"/>
          <w:color w:val="auto"/>
          <w:sz w:val="18"/>
          <w:szCs w:val="18"/>
          <w:highlight w:val="none"/>
          <w:lang w:val="en-US" w:eastAsia="zh-CN"/>
        </w:rPr>
        <w:t>2024年12月31日</w:t>
      </w:r>
      <w:r>
        <w:rPr>
          <w:rFonts w:hint="eastAsia" w:asciiTheme="minorEastAsia" w:hAnsiTheme="minorEastAsia" w:eastAsiaTheme="minorEastAsia"/>
          <w:color w:val="auto"/>
          <w:sz w:val="18"/>
          <w:szCs w:val="18"/>
          <w:highlight w:val="none"/>
          <w:lang w:eastAsia="zh-CN"/>
        </w:rPr>
        <w:t>，年度考核优秀经招标人最终确认可续签至202</w:t>
      </w:r>
      <w:r>
        <w:rPr>
          <w:rFonts w:hint="eastAsia" w:asciiTheme="minorEastAsia" w:hAnsiTheme="minorEastAsia" w:eastAsiaTheme="minorEastAsia"/>
          <w:color w:val="auto"/>
          <w:sz w:val="18"/>
          <w:szCs w:val="18"/>
          <w:highlight w:val="none"/>
          <w:lang w:val="en-US" w:eastAsia="zh-CN"/>
        </w:rPr>
        <w:t>5</w:t>
      </w:r>
      <w:r>
        <w:rPr>
          <w:rFonts w:hint="eastAsia" w:asciiTheme="minorEastAsia" w:hAnsiTheme="minorEastAsia" w:eastAsiaTheme="minorEastAsia"/>
          <w:color w:val="auto"/>
          <w:sz w:val="18"/>
          <w:szCs w:val="18"/>
          <w:highlight w:val="none"/>
          <w:lang w:eastAsia="zh-CN"/>
        </w:rPr>
        <w:t>年12月31日。</w:t>
      </w:r>
      <w:r>
        <w:rPr>
          <w:rFonts w:hint="eastAsia" w:asciiTheme="minorEastAsia" w:hAnsiTheme="minorEastAsia" w:eastAsiaTheme="minorEastAsia"/>
          <w:color w:val="auto"/>
          <w:sz w:val="18"/>
          <w:szCs w:val="18"/>
          <w:highlight w:val="none"/>
          <w:lang w:val="en-US" w:eastAsia="zh-CN"/>
        </w:rPr>
        <w:t>2025年年度</w:t>
      </w:r>
      <w:r>
        <w:rPr>
          <w:rFonts w:hint="eastAsia" w:asciiTheme="minorEastAsia" w:hAnsiTheme="minorEastAsia" w:eastAsiaTheme="minorEastAsia"/>
          <w:color w:val="auto"/>
          <w:sz w:val="18"/>
          <w:szCs w:val="18"/>
          <w:highlight w:val="none"/>
          <w:lang w:eastAsia="zh-CN"/>
        </w:rPr>
        <w:t>考核优秀经招标人最终确认可续签至202</w:t>
      </w:r>
      <w:r>
        <w:rPr>
          <w:rFonts w:hint="eastAsia" w:asciiTheme="minorEastAsia" w:hAnsiTheme="minorEastAsia" w:eastAsiaTheme="minorEastAsia"/>
          <w:color w:val="auto"/>
          <w:sz w:val="18"/>
          <w:szCs w:val="18"/>
          <w:highlight w:val="none"/>
          <w:lang w:val="en-US" w:eastAsia="zh-CN"/>
        </w:rPr>
        <w:t>6</w:t>
      </w:r>
      <w:r>
        <w:rPr>
          <w:rFonts w:hint="eastAsia" w:asciiTheme="minorEastAsia" w:hAnsiTheme="minorEastAsia" w:eastAsiaTheme="minorEastAsia"/>
          <w:color w:val="auto"/>
          <w:sz w:val="18"/>
          <w:szCs w:val="18"/>
          <w:highlight w:val="none"/>
          <w:lang w:eastAsia="zh-CN"/>
        </w:rPr>
        <w:t>年12月31日。最多续签</w:t>
      </w:r>
      <w:r>
        <w:rPr>
          <w:rFonts w:hint="eastAsia" w:asciiTheme="minorEastAsia" w:hAnsiTheme="minorEastAsia" w:eastAsiaTheme="minorEastAsia"/>
          <w:color w:val="auto"/>
          <w:sz w:val="18"/>
          <w:szCs w:val="18"/>
          <w:highlight w:val="none"/>
          <w:lang w:val="en-US" w:eastAsia="zh-CN"/>
        </w:rPr>
        <w:t>2年</w:t>
      </w:r>
      <w:r>
        <w:rPr>
          <w:rFonts w:hint="eastAsia" w:hAnsi="宋体" w:cs="宋体"/>
          <w:b w:val="0"/>
          <w:bCs/>
          <w:color w:val="auto"/>
          <w:sz w:val="18"/>
          <w:szCs w:val="18"/>
          <w:highlight w:val="none"/>
          <w:lang w:eastAsia="zh-CN"/>
        </w:rPr>
        <w:t>。</w:t>
      </w:r>
      <w:bookmarkEnd w:id="69"/>
      <w:bookmarkEnd w:id="70"/>
      <w:bookmarkEnd w:id="71"/>
      <w:bookmarkEnd w:id="72"/>
    </w:p>
    <w:p>
      <w:pPr>
        <w:pStyle w:val="30"/>
        <w:numPr>
          <w:ilvl w:val="0"/>
          <w:numId w:val="0"/>
        </w:numPr>
        <w:snapToGrid w:val="0"/>
        <w:spacing w:before="0" w:beforeLines="0" w:after="0" w:afterLines="0" w:line="500" w:lineRule="exact"/>
        <w:ind w:firstLine="180" w:firstLineChars="100"/>
        <w:outlineLvl w:val="0"/>
        <w:rPr>
          <w:rFonts w:hint="eastAsia" w:ascii="宋体" w:hAnsi="宋体" w:eastAsia="宋体" w:cs="宋体"/>
          <w:bCs/>
          <w:color w:val="auto"/>
          <w:sz w:val="18"/>
          <w:szCs w:val="18"/>
          <w:highlight w:val="none"/>
          <w:lang w:eastAsia="zh-CN"/>
        </w:rPr>
      </w:pPr>
      <w:bookmarkStart w:id="73" w:name="_Toc24147"/>
      <w:bookmarkStart w:id="74" w:name="_Toc3853"/>
      <w:bookmarkStart w:id="75" w:name="_Toc17593"/>
      <w:bookmarkStart w:id="76" w:name="_Toc31188"/>
      <w:r>
        <w:rPr>
          <w:rFonts w:hint="eastAsia" w:ascii="宋体" w:hAnsi="宋体" w:eastAsia="宋体" w:cs="宋体"/>
          <w:bCs/>
          <w:color w:val="auto"/>
          <w:sz w:val="18"/>
          <w:szCs w:val="18"/>
          <w:highlight w:val="none"/>
          <w:lang w:eastAsia="zh-CN"/>
        </w:rPr>
        <w:t>（二）履约保证金：</w:t>
      </w:r>
      <w:r>
        <w:rPr>
          <w:rFonts w:hint="eastAsia" w:hAnsi="宋体" w:cs="宋体"/>
          <w:bCs/>
          <w:color w:val="auto"/>
          <w:sz w:val="18"/>
          <w:szCs w:val="18"/>
          <w:highlight w:val="none"/>
          <w:lang w:eastAsia="zh-CN"/>
        </w:rPr>
        <w:t>签订合同价的</w:t>
      </w:r>
      <w:r>
        <w:rPr>
          <w:rFonts w:hint="eastAsia" w:hAnsi="宋体" w:cs="宋体"/>
          <w:bCs/>
          <w:color w:val="auto"/>
          <w:sz w:val="18"/>
          <w:szCs w:val="18"/>
          <w:highlight w:val="none"/>
          <w:lang w:val="en-US" w:eastAsia="zh-CN"/>
        </w:rPr>
        <w:t>1%，养护期结束后15日内无息退回</w:t>
      </w:r>
      <w:r>
        <w:rPr>
          <w:rFonts w:hint="eastAsia" w:ascii="宋体" w:hAnsi="宋体" w:eastAsia="宋体" w:cs="宋体"/>
          <w:bCs/>
          <w:color w:val="auto"/>
          <w:sz w:val="18"/>
          <w:szCs w:val="18"/>
          <w:highlight w:val="none"/>
          <w:lang w:eastAsia="zh-CN"/>
        </w:rPr>
        <w:t>。</w:t>
      </w:r>
      <w:bookmarkEnd w:id="73"/>
      <w:bookmarkEnd w:id="74"/>
      <w:bookmarkEnd w:id="75"/>
      <w:bookmarkEnd w:id="76"/>
    </w:p>
    <w:p>
      <w:pPr>
        <w:pStyle w:val="30"/>
        <w:numPr>
          <w:ilvl w:val="0"/>
          <w:numId w:val="0"/>
        </w:numPr>
        <w:snapToGrid w:val="0"/>
        <w:spacing w:before="0" w:beforeLines="0" w:after="0" w:afterLines="0" w:line="500" w:lineRule="exact"/>
        <w:ind w:firstLine="180" w:firstLineChars="100"/>
        <w:outlineLvl w:val="0"/>
        <w:rPr>
          <w:rFonts w:hint="eastAsia" w:ascii="宋体" w:hAnsi="宋体" w:eastAsia="宋体" w:cs="宋体"/>
          <w:bCs/>
          <w:color w:val="auto"/>
          <w:sz w:val="18"/>
          <w:szCs w:val="18"/>
          <w:highlight w:val="none"/>
          <w:lang w:eastAsia="zh-CN"/>
        </w:rPr>
      </w:pPr>
      <w:bookmarkStart w:id="77" w:name="_Toc13717"/>
      <w:r>
        <w:rPr>
          <w:rFonts w:hint="eastAsia" w:ascii="宋体" w:hAnsi="宋体" w:eastAsia="宋体" w:cs="宋体"/>
          <w:bCs/>
          <w:color w:val="auto"/>
          <w:sz w:val="18"/>
          <w:szCs w:val="18"/>
          <w:highlight w:val="none"/>
          <w:lang w:eastAsia="zh-CN"/>
        </w:rPr>
        <w:t>履约担保形式：现金（电汇或银行汇票形式）或银行保函或保险机构保证保险保单或融资担保公司保函</w:t>
      </w:r>
      <w:bookmarkEnd w:id="77"/>
    </w:p>
    <w:p>
      <w:pPr>
        <w:pStyle w:val="30"/>
        <w:numPr>
          <w:ilvl w:val="0"/>
          <w:numId w:val="0"/>
        </w:numPr>
        <w:snapToGrid w:val="0"/>
        <w:spacing w:before="0" w:beforeLines="0" w:after="0" w:afterLines="0" w:line="500" w:lineRule="exact"/>
        <w:ind w:firstLine="180" w:firstLineChars="100"/>
        <w:outlineLvl w:val="0"/>
        <w:rPr>
          <w:rFonts w:hint="eastAsia" w:ascii="宋体" w:hAnsi="宋体" w:eastAsia="宋体" w:cs="宋体"/>
          <w:bCs/>
          <w:color w:val="auto"/>
          <w:sz w:val="18"/>
          <w:szCs w:val="18"/>
          <w:highlight w:val="none"/>
          <w:lang w:eastAsia="zh-CN"/>
        </w:rPr>
      </w:pPr>
      <w:bookmarkStart w:id="78" w:name="_Toc2980"/>
      <w:r>
        <w:rPr>
          <w:rFonts w:hint="eastAsia" w:ascii="宋体" w:hAnsi="宋体" w:eastAsia="宋体" w:cs="宋体"/>
          <w:bCs/>
          <w:color w:val="auto"/>
          <w:sz w:val="18"/>
          <w:szCs w:val="18"/>
          <w:highlight w:val="none"/>
          <w:lang w:eastAsia="zh-CN"/>
        </w:rPr>
        <w:t>采用银行保函时，出具履约担保的银行级别：国有或股份制商业银行县（区、市）级支行及以上银行。</w:t>
      </w:r>
      <w:bookmarkEnd w:id="78"/>
    </w:p>
    <w:p>
      <w:pPr>
        <w:pStyle w:val="30"/>
        <w:numPr>
          <w:ilvl w:val="0"/>
          <w:numId w:val="0"/>
        </w:numPr>
        <w:snapToGrid w:val="0"/>
        <w:spacing w:before="0" w:beforeLines="0" w:after="0" w:afterLines="0" w:line="500" w:lineRule="exact"/>
        <w:ind w:firstLine="180" w:firstLineChars="100"/>
        <w:outlineLvl w:val="0"/>
        <w:rPr>
          <w:rFonts w:hint="eastAsia" w:ascii="宋体" w:hAnsi="宋体" w:eastAsia="宋体" w:cs="宋体"/>
          <w:bCs/>
          <w:color w:val="auto"/>
          <w:sz w:val="18"/>
          <w:szCs w:val="18"/>
          <w:highlight w:val="none"/>
          <w:lang w:eastAsia="zh-CN"/>
        </w:rPr>
      </w:pPr>
      <w:bookmarkStart w:id="79" w:name="_Toc15725"/>
      <w:r>
        <w:rPr>
          <w:rFonts w:hint="eastAsia" w:ascii="宋体" w:hAnsi="宋体" w:eastAsia="宋体" w:cs="宋体"/>
          <w:bCs/>
          <w:color w:val="auto"/>
          <w:sz w:val="18"/>
          <w:szCs w:val="18"/>
          <w:highlight w:val="none"/>
          <w:lang w:eastAsia="zh-CN"/>
        </w:rPr>
        <w:t>采用保险机构保证保险保单时，保险机构保证保险保单的格式和内容须事先征得发包人同意。</w:t>
      </w:r>
      <w:bookmarkEnd w:id="79"/>
    </w:p>
    <w:p>
      <w:pPr>
        <w:pStyle w:val="30"/>
        <w:numPr>
          <w:ilvl w:val="0"/>
          <w:numId w:val="0"/>
        </w:numPr>
        <w:snapToGrid w:val="0"/>
        <w:spacing w:before="0" w:beforeLines="0" w:after="0" w:afterLines="0" w:line="500" w:lineRule="exact"/>
        <w:ind w:firstLine="180" w:firstLineChars="100"/>
        <w:outlineLvl w:val="0"/>
        <w:rPr>
          <w:rFonts w:hint="eastAsia" w:ascii="宋体" w:hAnsi="宋体" w:eastAsia="宋体" w:cs="宋体"/>
          <w:bCs/>
          <w:color w:val="auto"/>
          <w:sz w:val="18"/>
          <w:szCs w:val="18"/>
          <w:highlight w:val="none"/>
          <w:lang w:eastAsia="zh-CN"/>
        </w:rPr>
      </w:pPr>
      <w:bookmarkStart w:id="80" w:name="_Toc23647"/>
      <w:r>
        <w:rPr>
          <w:rFonts w:hint="eastAsia" w:ascii="宋体" w:hAnsi="宋体" w:eastAsia="宋体" w:cs="宋体"/>
          <w:bCs/>
          <w:color w:val="auto"/>
          <w:sz w:val="18"/>
          <w:szCs w:val="18"/>
          <w:highlight w:val="none"/>
          <w:lang w:eastAsia="zh-CN"/>
        </w:rPr>
        <w:t>采用融资担保公司保函时，融资担保公司保函的格式和内容须事先征得发包人同意。</w:t>
      </w:r>
      <w:bookmarkEnd w:id="80"/>
    </w:p>
    <w:p>
      <w:pPr>
        <w:pStyle w:val="30"/>
        <w:numPr>
          <w:ilvl w:val="0"/>
          <w:numId w:val="0"/>
        </w:numPr>
        <w:snapToGrid w:val="0"/>
        <w:spacing w:before="0" w:beforeLines="0" w:after="0" w:afterLines="0" w:line="500" w:lineRule="exact"/>
        <w:ind w:firstLine="180" w:firstLineChars="100"/>
        <w:outlineLvl w:val="0"/>
        <w:rPr>
          <w:rFonts w:hint="eastAsia" w:ascii="宋体" w:hAnsi="宋体" w:eastAsia="宋体" w:cs="宋体"/>
          <w:bCs/>
          <w:color w:val="auto"/>
          <w:sz w:val="18"/>
          <w:szCs w:val="18"/>
          <w:highlight w:val="none"/>
        </w:rPr>
      </w:pPr>
      <w:bookmarkStart w:id="81" w:name="_Toc9234"/>
      <w:bookmarkStart w:id="82" w:name="_Toc24157"/>
      <w:bookmarkStart w:id="83" w:name="_Toc31903"/>
      <w:bookmarkStart w:id="84" w:name="_Toc12818"/>
      <w:r>
        <w:rPr>
          <w:rFonts w:hint="eastAsia" w:ascii="宋体" w:hAnsi="宋体" w:eastAsia="宋体" w:cs="宋体"/>
          <w:bCs/>
          <w:color w:val="auto"/>
          <w:sz w:val="18"/>
          <w:szCs w:val="18"/>
          <w:highlight w:val="none"/>
          <w:lang w:eastAsia="zh-CN"/>
        </w:rPr>
        <w:t>（</w:t>
      </w:r>
      <w:r>
        <w:rPr>
          <w:rFonts w:hint="eastAsia" w:ascii="宋体" w:hAnsi="宋体" w:eastAsia="宋体" w:cs="宋体"/>
          <w:bCs/>
          <w:color w:val="auto"/>
          <w:sz w:val="18"/>
          <w:szCs w:val="18"/>
          <w:highlight w:val="none"/>
          <w:lang w:val="en-US" w:eastAsia="zh-CN"/>
        </w:rPr>
        <w:t>三</w:t>
      </w:r>
      <w:r>
        <w:rPr>
          <w:rFonts w:hint="eastAsia" w:ascii="宋体" w:hAnsi="宋体" w:eastAsia="宋体" w:cs="宋体"/>
          <w:bCs/>
          <w:color w:val="auto"/>
          <w:sz w:val="18"/>
          <w:szCs w:val="18"/>
          <w:highlight w:val="none"/>
          <w:lang w:eastAsia="zh-CN"/>
        </w:rPr>
        <w:t>）</w:t>
      </w:r>
      <w:r>
        <w:rPr>
          <w:rFonts w:hint="eastAsia" w:ascii="宋体" w:hAnsi="宋体" w:eastAsia="宋体" w:cs="宋体"/>
          <w:bCs/>
          <w:color w:val="auto"/>
          <w:sz w:val="18"/>
          <w:szCs w:val="18"/>
          <w:highlight w:val="none"/>
        </w:rPr>
        <w:t>付款方式：</w:t>
      </w:r>
      <w:bookmarkEnd w:id="81"/>
      <w:bookmarkEnd w:id="82"/>
      <w:bookmarkEnd w:id="83"/>
      <w:bookmarkEnd w:id="84"/>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85" w:name="_Toc13838"/>
      <w:bookmarkStart w:id="86" w:name="_Toc27407"/>
      <w:r>
        <w:rPr>
          <w:rFonts w:hint="eastAsia" w:ascii="宋体" w:hAnsi="宋体" w:eastAsia="宋体" w:cs="宋体"/>
          <w:bCs/>
          <w:color w:val="auto"/>
          <w:sz w:val="18"/>
          <w:szCs w:val="18"/>
          <w:highlight w:val="none"/>
        </w:rPr>
        <w:t>1、政策性条款：</w:t>
      </w:r>
      <w:bookmarkEnd w:id="85"/>
      <w:bookmarkEnd w:id="86"/>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87" w:name="_Toc6457"/>
      <w:bookmarkStart w:id="88" w:name="_Toc23752"/>
      <w:r>
        <w:rPr>
          <w:rFonts w:hint="eastAsia" w:ascii="宋体" w:hAnsi="宋体" w:eastAsia="宋体" w:cs="宋体"/>
          <w:bCs/>
          <w:color w:val="auto"/>
          <w:sz w:val="18"/>
          <w:szCs w:val="18"/>
          <w:highlight w:val="none"/>
        </w:rPr>
        <w:t>根据[浙财采监〔2020〕3号]规定：</w:t>
      </w:r>
      <w:bookmarkEnd w:id="87"/>
      <w:bookmarkEnd w:id="88"/>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89" w:name="_Toc7151"/>
      <w:bookmarkStart w:id="90" w:name="_Toc4291"/>
      <w:r>
        <w:rPr>
          <w:rFonts w:hint="eastAsia" w:ascii="宋体" w:hAnsi="宋体" w:eastAsia="宋体" w:cs="宋体"/>
          <w:bCs/>
          <w:color w:val="auto"/>
          <w:sz w:val="18"/>
          <w:szCs w:val="18"/>
          <w:highlight w:val="none"/>
        </w:rPr>
        <w:t>（1）、各采购单位应当在政府采购合同中约定预付款，预付款比例原则上不低于合同金额的40％；项目分年安排预算的，每年预付款比例不低于项目年度计划支付资金额的40％。采购项目实施以人工投入为主的，可适当降低预付款比例，但不得低于10%。</w:t>
      </w:r>
      <w:bookmarkEnd w:id="89"/>
      <w:bookmarkEnd w:id="90"/>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91" w:name="_Toc3675"/>
      <w:bookmarkStart w:id="92" w:name="_Toc31696"/>
      <w:r>
        <w:rPr>
          <w:rFonts w:hint="eastAsia" w:ascii="宋体" w:hAnsi="宋体" w:eastAsia="宋体" w:cs="宋体"/>
          <w:bCs/>
          <w:color w:val="auto"/>
          <w:sz w:val="18"/>
          <w:szCs w:val="18"/>
          <w:highlight w:val="none"/>
        </w:rPr>
        <w:t>（2）、政府采购预付款应在合同生效以及具备实施条件后15日内支付。项目分年安排预算的，第二年预付时间为次年相对应月份，以此类推；当年度预付款尚未扣回的，次年不重复安排。</w:t>
      </w:r>
      <w:bookmarkEnd w:id="91"/>
      <w:bookmarkEnd w:id="92"/>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93" w:name="_Toc2527"/>
      <w:bookmarkStart w:id="94" w:name="_Toc32348"/>
      <w:r>
        <w:rPr>
          <w:rFonts w:hint="eastAsia" w:ascii="宋体" w:hAnsi="宋体" w:eastAsia="宋体" w:cs="宋体"/>
          <w:bCs/>
          <w:color w:val="auto"/>
          <w:sz w:val="18"/>
          <w:szCs w:val="18"/>
          <w:highlight w:val="none"/>
        </w:rPr>
        <w:t>（3）、各采购单位可根据项目特点、供应商信用等情况，决定是否要求供应商提交银行、保险公司等金融机构出具的预付款保函或其他担保措施。</w:t>
      </w:r>
      <w:bookmarkEnd w:id="93"/>
      <w:bookmarkEnd w:id="94"/>
    </w:p>
    <w:p>
      <w:pPr>
        <w:pStyle w:val="30"/>
        <w:numPr>
          <w:ilvl w:val="0"/>
          <w:numId w:val="0"/>
        </w:numPr>
        <w:snapToGrid w:val="0"/>
        <w:spacing w:before="0" w:beforeLines="0" w:after="0" w:afterLines="0" w:line="500" w:lineRule="exact"/>
        <w:ind w:firstLine="360" w:firstLineChars="200"/>
        <w:outlineLvl w:val="0"/>
        <w:rPr>
          <w:rFonts w:hint="eastAsia" w:ascii="宋体" w:hAnsi="宋体" w:eastAsia="宋体" w:cs="宋体"/>
          <w:color w:val="auto"/>
          <w:sz w:val="18"/>
          <w:szCs w:val="18"/>
          <w:highlight w:val="none"/>
        </w:rPr>
      </w:pPr>
      <w:bookmarkStart w:id="95" w:name="_Toc6062"/>
      <w:bookmarkStart w:id="96" w:name="_Toc10611"/>
      <w:bookmarkStart w:id="97" w:name="_Toc26078"/>
      <w:bookmarkStart w:id="98" w:name="_Toc24970"/>
      <w:r>
        <w:rPr>
          <w:rFonts w:hint="eastAsia" w:hAnsi="宋体" w:cs="宋体"/>
          <w:color w:val="auto"/>
          <w:sz w:val="18"/>
          <w:szCs w:val="18"/>
          <w:highlight w:val="none"/>
          <w:lang w:val="en-US" w:eastAsia="zh-CN"/>
        </w:rPr>
        <w:t>2、合同签订后7个工作日内支付合同价款的20%作为预付款；剩余价款</w:t>
      </w:r>
      <w:r>
        <w:rPr>
          <w:rFonts w:hint="eastAsia" w:ascii="宋体" w:hAnsi="宋体" w:eastAsia="宋体" w:cs="宋体"/>
          <w:color w:val="auto"/>
          <w:sz w:val="18"/>
          <w:szCs w:val="18"/>
          <w:highlight w:val="none"/>
        </w:rPr>
        <w:t>每</w:t>
      </w:r>
      <w:r>
        <w:rPr>
          <w:rFonts w:hint="eastAsia" w:hAnsi="宋体" w:cs="宋体"/>
          <w:color w:val="auto"/>
          <w:sz w:val="18"/>
          <w:szCs w:val="18"/>
          <w:highlight w:val="none"/>
          <w:lang w:val="en-US" w:eastAsia="zh-CN"/>
        </w:rPr>
        <w:t>季度</w:t>
      </w:r>
      <w:r>
        <w:rPr>
          <w:rFonts w:hint="eastAsia" w:ascii="宋体" w:hAnsi="宋体" w:eastAsia="宋体" w:cs="宋体"/>
          <w:color w:val="auto"/>
          <w:sz w:val="18"/>
          <w:szCs w:val="18"/>
          <w:highlight w:val="none"/>
        </w:rPr>
        <w:t>结算一次，按照实际考核结果扣款后在次月支付费用（须开税务发票）。</w:t>
      </w:r>
      <w:bookmarkEnd w:id="95"/>
      <w:bookmarkEnd w:id="96"/>
      <w:bookmarkEnd w:id="97"/>
      <w:bookmarkEnd w:id="98"/>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99" w:name="_Toc17445"/>
      <w:bookmarkStart w:id="100" w:name="_Toc17179"/>
      <w:bookmarkStart w:id="101" w:name="_Toc13835"/>
      <w:bookmarkStart w:id="102" w:name="_Toc5564"/>
      <w:r>
        <w:rPr>
          <w:rFonts w:hint="eastAsia" w:ascii="宋体" w:hAnsi="宋体" w:eastAsia="宋体" w:cs="宋体"/>
          <w:bCs/>
          <w:color w:val="auto"/>
          <w:sz w:val="18"/>
          <w:szCs w:val="18"/>
          <w:highlight w:val="none"/>
          <w:lang w:val="en-US" w:eastAsia="zh-CN"/>
        </w:rPr>
        <w:t>十</w:t>
      </w:r>
      <w:r>
        <w:rPr>
          <w:rFonts w:hint="eastAsia" w:ascii="宋体" w:hAnsi="宋体" w:eastAsia="宋体" w:cs="宋体"/>
          <w:bCs/>
          <w:color w:val="auto"/>
          <w:sz w:val="18"/>
          <w:szCs w:val="18"/>
          <w:highlight w:val="none"/>
        </w:rPr>
        <w:t>、考核</w:t>
      </w:r>
      <w:bookmarkEnd w:id="99"/>
      <w:bookmarkEnd w:id="100"/>
      <w:bookmarkEnd w:id="101"/>
      <w:bookmarkEnd w:id="102"/>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103" w:name="_Toc119"/>
      <w:bookmarkStart w:id="104" w:name="_Toc15351"/>
      <w:bookmarkStart w:id="105" w:name="_Toc13502"/>
      <w:bookmarkStart w:id="106" w:name="_Toc17766"/>
      <w:r>
        <w:rPr>
          <w:rFonts w:hint="eastAsia" w:ascii="宋体" w:hAnsi="宋体" w:eastAsia="宋体" w:cs="宋体"/>
          <w:bCs/>
          <w:color w:val="auto"/>
          <w:sz w:val="18"/>
          <w:szCs w:val="18"/>
          <w:highlight w:val="none"/>
        </w:rPr>
        <w:t>按招标内容及要求及考核办法执行。</w:t>
      </w:r>
      <w:bookmarkEnd w:id="103"/>
      <w:bookmarkEnd w:id="104"/>
      <w:bookmarkEnd w:id="105"/>
      <w:bookmarkEnd w:id="106"/>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107" w:name="_Toc3820"/>
      <w:bookmarkStart w:id="108" w:name="_Toc7508"/>
      <w:bookmarkStart w:id="109" w:name="_Toc14410"/>
      <w:bookmarkStart w:id="110" w:name="_Toc24918"/>
      <w:r>
        <w:rPr>
          <w:rFonts w:hint="eastAsia" w:ascii="宋体" w:hAnsi="宋体" w:eastAsia="宋体" w:cs="宋体"/>
          <w:bCs/>
          <w:color w:val="auto"/>
          <w:sz w:val="18"/>
          <w:szCs w:val="18"/>
          <w:highlight w:val="none"/>
          <w:lang w:val="en-US" w:eastAsia="zh-CN"/>
        </w:rPr>
        <w:t>十一</w:t>
      </w:r>
      <w:r>
        <w:rPr>
          <w:rFonts w:hint="eastAsia" w:ascii="宋体" w:hAnsi="宋体" w:eastAsia="宋体" w:cs="宋体"/>
          <w:bCs/>
          <w:color w:val="auto"/>
          <w:sz w:val="18"/>
          <w:szCs w:val="18"/>
          <w:highlight w:val="none"/>
        </w:rPr>
        <w:t>、其他说明</w:t>
      </w:r>
      <w:bookmarkEnd w:id="107"/>
      <w:bookmarkEnd w:id="108"/>
      <w:bookmarkEnd w:id="109"/>
      <w:bookmarkEnd w:id="110"/>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111" w:name="_Toc9593"/>
      <w:bookmarkStart w:id="112" w:name="_Toc24158"/>
      <w:bookmarkStart w:id="113" w:name="_Toc16293"/>
      <w:bookmarkStart w:id="114" w:name="_Toc7593"/>
      <w:r>
        <w:rPr>
          <w:rFonts w:hint="eastAsia" w:ascii="宋体" w:hAnsi="宋体" w:eastAsia="宋体" w:cs="宋体"/>
          <w:bCs/>
          <w:color w:val="auto"/>
          <w:sz w:val="18"/>
          <w:szCs w:val="18"/>
          <w:highlight w:val="none"/>
        </w:rPr>
        <w:t>1、在中标通知书发出后</w:t>
      </w:r>
      <w:r>
        <w:rPr>
          <w:rFonts w:hint="eastAsia" w:ascii="宋体" w:hAnsi="宋体" w:eastAsia="宋体" w:cs="宋体"/>
          <w:bCs/>
          <w:color w:val="auto"/>
          <w:sz w:val="18"/>
          <w:szCs w:val="18"/>
          <w:highlight w:val="none"/>
          <w:lang w:val="en-US" w:eastAsia="zh-CN"/>
        </w:rPr>
        <w:t>30天内</w:t>
      </w:r>
      <w:r>
        <w:rPr>
          <w:rFonts w:hint="eastAsia" w:ascii="宋体" w:hAnsi="宋体" w:eastAsia="宋体" w:cs="宋体"/>
          <w:bCs/>
          <w:color w:val="auto"/>
          <w:sz w:val="18"/>
          <w:szCs w:val="18"/>
          <w:highlight w:val="none"/>
        </w:rPr>
        <w:t>，</w:t>
      </w:r>
      <w:r>
        <w:rPr>
          <w:rFonts w:hint="eastAsia" w:ascii="宋体" w:hAnsi="宋体" w:eastAsia="宋体" w:cs="宋体"/>
          <w:bCs/>
          <w:color w:val="auto"/>
          <w:sz w:val="18"/>
          <w:szCs w:val="18"/>
          <w:highlight w:val="none"/>
          <w:lang w:eastAsia="zh-CN"/>
        </w:rPr>
        <w:t>中标单位</w:t>
      </w:r>
      <w:r>
        <w:rPr>
          <w:rFonts w:hint="eastAsia" w:ascii="宋体" w:hAnsi="宋体" w:eastAsia="宋体" w:cs="宋体"/>
          <w:bCs/>
          <w:color w:val="auto"/>
          <w:sz w:val="18"/>
          <w:szCs w:val="18"/>
          <w:highlight w:val="none"/>
        </w:rPr>
        <w:t>凭投标承诺到位</w:t>
      </w:r>
      <w:r>
        <w:rPr>
          <w:rFonts w:hint="eastAsia" w:ascii="宋体" w:hAnsi="宋体" w:eastAsia="宋体" w:cs="宋体"/>
          <w:bCs/>
          <w:color w:val="auto"/>
          <w:sz w:val="18"/>
          <w:szCs w:val="18"/>
          <w:highlight w:val="none"/>
          <w:lang w:eastAsia="zh-CN"/>
        </w:rPr>
        <w:t>的</w:t>
      </w:r>
      <w:r>
        <w:rPr>
          <w:rFonts w:hint="eastAsia" w:ascii="宋体" w:hAnsi="宋体" w:eastAsia="宋体" w:cs="宋体"/>
          <w:bCs/>
          <w:color w:val="auto"/>
          <w:sz w:val="18"/>
          <w:szCs w:val="18"/>
          <w:highlight w:val="none"/>
          <w:lang w:val="en-US" w:eastAsia="zh-CN"/>
        </w:rPr>
        <w:t>人员名单和</w:t>
      </w:r>
      <w:r>
        <w:rPr>
          <w:rFonts w:hint="eastAsia" w:ascii="宋体" w:hAnsi="宋体" w:eastAsia="宋体" w:cs="宋体"/>
          <w:bCs/>
          <w:color w:val="auto"/>
          <w:sz w:val="18"/>
          <w:szCs w:val="18"/>
          <w:highlight w:val="none"/>
          <w:lang w:eastAsia="zh-CN"/>
        </w:rPr>
        <w:t>机械设备（</w:t>
      </w:r>
      <w:r>
        <w:rPr>
          <w:rFonts w:hint="eastAsia" w:ascii="宋体" w:hAnsi="宋体" w:eastAsia="宋体" w:cs="宋体"/>
          <w:bCs/>
          <w:color w:val="auto"/>
          <w:sz w:val="18"/>
          <w:szCs w:val="18"/>
          <w:highlight w:val="none"/>
          <w:lang w:val="en-US" w:eastAsia="zh-CN"/>
        </w:rPr>
        <w:t>附自有或租赁相关证明文件</w:t>
      </w:r>
      <w:r>
        <w:rPr>
          <w:rFonts w:hint="eastAsia" w:ascii="宋体" w:hAnsi="宋体" w:eastAsia="宋体" w:cs="宋体"/>
          <w:bCs/>
          <w:color w:val="auto"/>
          <w:sz w:val="18"/>
          <w:szCs w:val="18"/>
          <w:highlight w:val="none"/>
          <w:lang w:eastAsia="zh-CN"/>
        </w:rPr>
        <w:t>）清单与</w:t>
      </w:r>
      <w:r>
        <w:rPr>
          <w:rFonts w:hint="eastAsia" w:ascii="宋体" w:hAnsi="宋体" w:eastAsia="宋体" w:cs="宋体"/>
          <w:bCs/>
          <w:color w:val="auto"/>
          <w:sz w:val="18"/>
          <w:szCs w:val="18"/>
          <w:highlight w:val="none"/>
        </w:rPr>
        <w:t>采购人签订合同，</w:t>
      </w:r>
      <w:r>
        <w:rPr>
          <w:rFonts w:hint="eastAsia" w:ascii="宋体" w:hAnsi="宋体" w:eastAsia="宋体" w:cs="宋体"/>
          <w:bCs/>
          <w:color w:val="auto"/>
          <w:sz w:val="18"/>
          <w:szCs w:val="18"/>
          <w:highlight w:val="none"/>
          <w:lang w:eastAsia="zh-CN"/>
        </w:rPr>
        <w:t>如在规定时间内未提供或提供不全或拒不签合同的，</w:t>
      </w:r>
      <w:r>
        <w:rPr>
          <w:rFonts w:hint="eastAsia" w:ascii="宋体" w:hAnsi="宋体" w:eastAsia="宋体" w:cs="宋体"/>
          <w:bCs/>
          <w:color w:val="auto"/>
          <w:sz w:val="18"/>
          <w:szCs w:val="18"/>
          <w:highlight w:val="none"/>
        </w:rPr>
        <w:t>采购人有权取消</w:t>
      </w:r>
      <w:r>
        <w:rPr>
          <w:rFonts w:hint="eastAsia" w:ascii="宋体" w:hAnsi="宋体" w:eastAsia="宋体" w:cs="宋体"/>
          <w:bCs/>
          <w:color w:val="auto"/>
          <w:sz w:val="18"/>
          <w:szCs w:val="18"/>
          <w:highlight w:val="none"/>
          <w:lang w:eastAsia="zh-CN"/>
        </w:rPr>
        <w:t>中标单位</w:t>
      </w:r>
      <w:r>
        <w:rPr>
          <w:rFonts w:hint="eastAsia" w:ascii="宋体" w:hAnsi="宋体" w:eastAsia="宋体" w:cs="宋体"/>
          <w:bCs/>
          <w:color w:val="auto"/>
          <w:sz w:val="18"/>
          <w:szCs w:val="18"/>
          <w:highlight w:val="none"/>
        </w:rPr>
        <w:t>的中标资格，报财政部门备案后推荐排序居次的中标候选人为</w:t>
      </w:r>
      <w:r>
        <w:rPr>
          <w:rFonts w:hint="eastAsia" w:ascii="宋体" w:hAnsi="宋体" w:eastAsia="宋体" w:cs="宋体"/>
          <w:bCs/>
          <w:color w:val="auto"/>
          <w:sz w:val="18"/>
          <w:szCs w:val="18"/>
          <w:highlight w:val="none"/>
          <w:lang w:eastAsia="zh-CN"/>
        </w:rPr>
        <w:t>中标单位</w:t>
      </w:r>
      <w:r>
        <w:rPr>
          <w:rFonts w:hint="eastAsia" w:ascii="宋体" w:hAnsi="宋体" w:eastAsia="宋体" w:cs="宋体"/>
          <w:bCs/>
          <w:color w:val="auto"/>
          <w:sz w:val="18"/>
          <w:szCs w:val="18"/>
          <w:highlight w:val="none"/>
        </w:rPr>
        <w:t>，或重新招标。</w:t>
      </w:r>
      <w:bookmarkEnd w:id="111"/>
      <w:bookmarkEnd w:id="112"/>
      <w:bookmarkEnd w:id="113"/>
      <w:bookmarkEnd w:id="114"/>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115" w:name="_Toc21031"/>
      <w:bookmarkStart w:id="116" w:name="_Toc27921"/>
      <w:bookmarkStart w:id="117" w:name="_Toc18979"/>
      <w:bookmarkStart w:id="118" w:name="_Toc17788"/>
      <w:r>
        <w:rPr>
          <w:rFonts w:hint="eastAsia" w:ascii="宋体" w:hAnsi="宋体" w:eastAsia="宋体" w:cs="宋体"/>
          <w:bCs/>
          <w:color w:val="auto"/>
          <w:sz w:val="18"/>
          <w:szCs w:val="18"/>
          <w:highlight w:val="none"/>
          <w:lang w:val="en-US" w:eastAsia="zh-CN"/>
        </w:rPr>
        <w:t>2、</w:t>
      </w:r>
      <w:r>
        <w:rPr>
          <w:rFonts w:hint="eastAsia" w:ascii="宋体" w:hAnsi="宋体" w:eastAsia="宋体" w:cs="宋体"/>
          <w:bCs/>
          <w:color w:val="auto"/>
          <w:sz w:val="18"/>
          <w:szCs w:val="18"/>
          <w:highlight w:val="none"/>
          <w:lang w:eastAsia="zh-CN"/>
        </w:rPr>
        <w:t>中标单位</w:t>
      </w:r>
      <w:r>
        <w:rPr>
          <w:rFonts w:hint="eastAsia" w:ascii="宋体" w:hAnsi="宋体" w:eastAsia="宋体" w:cs="宋体"/>
          <w:bCs/>
          <w:color w:val="auto"/>
          <w:sz w:val="18"/>
          <w:szCs w:val="18"/>
          <w:highlight w:val="none"/>
        </w:rPr>
        <w:t>招用工作人员必须按《劳动法》有关规定执行，为工人办理社会保险、职工意外伤害保险等，保障休息休假权利。</w:t>
      </w:r>
      <w:bookmarkEnd w:id="115"/>
      <w:bookmarkEnd w:id="116"/>
      <w:bookmarkStart w:id="119" w:name="_Toc24411"/>
      <w:bookmarkStart w:id="120" w:name="_Toc17657"/>
      <w:r>
        <w:rPr>
          <w:rFonts w:hint="eastAsia" w:ascii="宋体" w:hAnsi="宋体" w:eastAsia="宋体" w:cs="宋体"/>
          <w:bCs/>
          <w:color w:val="auto"/>
          <w:sz w:val="18"/>
          <w:szCs w:val="18"/>
          <w:highlight w:val="none"/>
          <w:lang w:val="en-US" w:eastAsia="zh-CN"/>
        </w:rPr>
        <w:t>3、</w:t>
      </w:r>
      <w:r>
        <w:rPr>
          <w:rFonts w:hint="eastAsia" w:ascii="宋体" w:hAnsi="宋体" w:eastAsia="宋体" w:cs="宋体"/>
          <w:bCs/>
          <w:color w:val="auto"/>
          <w:sz w:val="18"/>
          <w:szCs w:val="18"/>
          <w:highlight w:val="none"/>
          <w:lang w:eastAsia="zh-CN"/>
        </w:rPr>
        <w:t>中标单位</w:t>
      </w:r>
      <w:r>
        <w:rPr>
          <w:rFonts w:hint="eastAsia" w:ascii="宋体" w:hAnsi="宋体" w:eastAsia="宋体" w:cs="宋体"/>
          <w:bCs/>
          <w:color w:val="auto"/>
          <w:sz w:val="18"/>
          <w:szCs w:val="18"/>
          <w:highlight w:val="none"/>
        </w:rPr>
        <w:t>应将保洁人员的分工情况、作息时间、排班计划等告知采购单位。</w:t>
      </w:r>
      <w:bookmarkEnd w:id="117"/>
      <w:bookmarkEnd w:id="118"/>
      <w:bookmarkEnd w:id="119"/>
      <w:bookmarkEnd w:id="120"/>
    </w:p>
    <w:p>
      <w:pPr>
        <w:pStyle w:val="30"/>
        <w:snapToGrid w:val="0"/>
        <w:spacing w:before="0" w:beforeLines="0" w:after="0" w:afterLines="0" w:line="500" w:lineRule="exact"/>
        <w:ind w:firstLine="360" w:firstLineChars="200"/>
        <w:outlineLvl w:val="0"/>
        <w:rPr>
          <w:rFonts w:hint="eastAsia" w:ascii="宋体" w:hAnsi="宋体" w:eastAsia="宋体" w:cs="宋体"/>
          <w:bCs/>
          <w:color w:val="auto"/>
          <w:sz w:val="18"/>
          <w:szCs w:val="18"/>
          <w:highlight w:val="none"/>
        </w:rPr>
      </w:pPr>
      <w:bookmarkStart w:id="121" w:name="_Toc20496"/>
      <w:r>
        <w:rPr>
          <w:rFonts w:hint="eastAsia" w:hAnsi="宋体" w:cs="宋体"/>
          <w:bCs/>
          <w:color w:val="auto"/>
          <w:sz w:val="18"/>
          <w:szCs w:val="18"/>
          <w:highlight w:val="none"/>
          <w:lang w:val="en-US" w:eastAsia="zh-CN"/>
        </w:rPr>
        <w:t>3、各标段中标单位在合同签订后应与管理方或管理方委托的第三方对各自区域内的草花、行道树等其他养护内容进行分路段进行明确、清楚的测量，后期实施时将依据上述资料进行养护实施。</w:t>
      </w:r>
      <w:bookmarkEnd w:id="121"/>
      <w:r>
        <w:rPr>
          <w:rFonts w:hint="eastAsia" w:ascii="宋体" w:hAnsi="宋体" w:eastAsia="宋体" w:cs="宋体"/>
          <w:bCs/>
          <w:color w:val="auto"/>
          <w:sz w:val="18"/>
          <w:szCs w:val="18"/>
          <w:highlight w:val="none"/>
        </w:rPr>
        <w:t xml:space="preserve">  </w:t>
      </w:r>
    </w:p>
    <w:p>
      <w:pP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eastAsia="zh-CN"/>
        </w:rPr>
        <w:br w:type="page"/>
      </w:r>
    </w:p>
    <w:p>
      <w:pPr>
        <w:jc w:val="center"/>
        <w:rPr>
          <w:rFonts w:hint="eastAsia" w:ascii="宋体" w:hAnsi="宋体" w:eastAsia="宋体" w:cs="宋体"/>
          <w:color w:val="auto"/>
          <w:sz w:val="18"/>
          <w:szCs w:val="18"/>
          <w:highlight w:val="none"/>
          <w:lang w:eastAsia="zh-CN"/>
        </w:rPr>
      </w:pPr>
      <w:bookmarkStart w:id="122" w:name="_Toc476"/>
      <w:r>
        <w:rPr>
          <w:rFonts w:hint="eastAsia" w:ascii="宋体" w:hAnsi="宋体" w:eastAsia="宋体" w:cs="宋体"/>
          <w:b/>
          <w:bCs/>
          <w:color w:val="auto"/>
          <w:sz w:val="28"/>
          <w:szCs w:val="28"/>
          <w:highlight w:val="none"/>
          <w:lang w:eastAsia="zh-CN"/>
        </w:rPr>
        <w:t>养护清单</w:t>
      </w:r>
    </w:p>
    <w:tbl>
      <w:tblPr>
        <w:tblStyle w:val="49"/>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84"/>
        <w:gridCol w:w="4278"/>
        <w:gridCol w:w="592"/>
        <w:gridCol w:w="787"/>
        <w:gridCol w:w="96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jc w:val="center"/>
        </w:trPr>
        <w:tc>
          <w:tcPr>
            <w:tcW w:w="10200" w:type="dxa"/>
            <w:gridSpan w:val="6"/>
            <w:tcBorders>
              <w:top w:val="nil"/>
              <w:left w:val="nil"/>
              <w:bottom w:val="single" w:color="000000" w:sz="8" w:space="0"/>
              <w:right w:val="nil"/>
            </w:tcBorders>
            <w:shd w:val="clear" w:color="auto" w:fill="auto"/>
            <w:noWrap/>
            <w:vAlign w:val="top"/>
          </w:tcPr>
          <w:p>
            <w:pPr>
              <w:jc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color w:val="auto"/>
                <w:sz w:val="28"/>
                <w:szCs w:val="28"/>
                <w:highlight w:val="none"/>
              </w:rPr>
              <w:br w:type="page"/>
            </w:r>
            <w:r>
              <w:rPr>
                <w:rFonts w:hint="eastAsia" w:ascii="宋体" w:hAnsi="宋体" w:eastAsia="宋体" w:cs="宋体"/>
                <w:b/>
                <w:bCs/>
                <w:i w:val="0"/>
                <w:iCs w:val="0"/>
                <w:color w:val="000000"/>
                <w:kern w:val="0"/>
                <w:sz w:val="28"/>
                <w:szCs w:val="28"/>
                <w:highlight w:val="none"/>
                <w:u w:val="none"/>
                <w:lang w:val="en-US" w:eastAsia="zh-CN" w:bidi="ar"/>
              </w:rPr>
              <w:t>一标段养护工程量清单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jc w:val="center"/>
        </w:trPr>
        <w:tc>
          <w:tcPr>
            <w:tcW w:w="258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427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59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78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96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996"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258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君特口袋公园、永泰广场西侧口袋公园、品质提升—中山西路工程、品质提升—新平路、新秀路、亚厦路、蓬莱路工程绿化养护</w:t>
            </w:r>
          </w:p>
        </w:tc>
        <w:tc>
          <w:tcPr>
            <w:tcW w:w="42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59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78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12563.1</w:t>
            </w:r>
          </w:p>
        </w:tc>
        <w:tc>
          <w:tcPr>
            <w:tcW w:w="9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绿地养护</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1、种类：绿地养护，含乔灌木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226565.32</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行道树</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1、种类：行道树Φ20-25cm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棵</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4175</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区域草花</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1679.24</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中山西路花箱草花</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p>
            <w:pPr>
              <w:keepNext w:val="0"/>
              <w:keepLines w:val="0"/>
              <w:widowControl/>
              <w:numPr>
                <w:ilvl w:val="0"/>
                <w:numId w:val="0"/>
              </w:numPr>
              <w:suppressLineNumbers w:val="0"/>
              <w:jc w:val="left"/>
              <w:textAlignment w:val="center"/>
              <w:rPr>
                <w:rFonts w:hint="default" w:eastAsia="宋体"/>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5、花箱规格：26</w:t>
            </w:r>
            <w:r>
              <w:rPr>
                <w:rFonts w:hint="eastAsia" w:ascii="宋体" w:hAnsi="宋体" w:cs="宋体"/>
                <w:i w:val="0"/>
                <w:iCs w:val="0"/>
                <w:color w:val="000000"/>
                <w:kern w:val="0"/>
                <w:sz w:val="18"/>
                <w:szCs w:val="18"/>
                <w:highlight w:val="none"/>
                <w:u w:val="none"/>
                <w:lang w:val="en-US" w:eastAsia="zh-CN" w:bidi="ar"/>
              </w:rPr>
              <w:t>cm*</w:t>
            </w:r>
            <w:r>
              <w:rPr>
                <w:rFonts w:hint="eastAsia" w:ascii="宋体" w:hAnsi="宋体" w:eastAsia="宋体" w:cs="宋体"/>
                <w:i w:val="0"/>
                <w:iCs w:val="0"/>
                <w:color w:val="000000"/>
                <w:kern w:val="0"/>
                <w:sz w:val="18"/>
                <w:szCs w:val="18"/>
                <w:highlight w:val="none"/>
                <w:u w:val="none"/>
                <w:lang w:val="en-US" w:eastAsia="zh-CN" w:bidi="ar"/>
              </w:rPr>
              <w:t>62</w:t>
            </w:r>
            <w:r>
              <w:rPr>
                <w:rFonts w:hint="eastAsia" w:ascii="宋体" w:hAnsi="宋体" w:cs="宋体"/>
                <w:i w:val="0"/>
                <w:iCs w:val="0"/>
                <w:color w:val="000000"/>
                <w:kern w:val="0"/>
                <w:sz w:val="18"/>
                <w:szCs w:val="18"/>
                <w:highlight w:val="none"/>
                <w:u w:val="none"/>
                <w:lang w:val="en-US" w:eastAsia="zh-CN" w:bidi="ar"/>
              </w:rPr>
              <w:t>c</w:t>
            </w:r>
            <w:r>
              <w:rPr>
                <w:rFonts w:hint="eastAsia" w:ascii="宋体" w:hAnsi="宋体" w:eastAsia="宋体" w:cs="宋体"/>
                <w:i w:val="0"/>
                <w:iCs w:val="0"/>
                <w:color w:val="000000"/>
                <w:kern w:val="0"/>
                <w:sz w:val="18"/>
                <w:szCs w:val="18"/>
                <w:highlight w:val="none"/>
                <w:u w:val="none"/>
                <w:lang w:val="en-US" w:eastAsia="zh-CN" w:bidi="ar"/>
              </w:rPr>
              <w:t>m</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个</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1916</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殷秀大桥草花</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8"/>
              </w:numPr>
              <w:suppressLineNumbers w:val="0"/>
              <w:jc w:val="left"/>
              <w:textAlignment w:val="center"/>
              <w:rPr>
                <w:rFonts w:hint="eastAsia"/>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种类：时令草花（精品苗木）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2、单位面积株数：一组花箱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4、元旦：一叶兰（18株）、一品红（10株）、雏菊（8株）、花叶蔓L40（36株）（红、粉色系）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5、五.一：一叶兰（18株）、羽扇豆（8株）、蓝花鼠尾草（14株）、金叶番薯藤（24株）（蓝色系）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6、七.一：变叶木H45P30（4株）、天竺葵（8株）、秋海棠（8株）、金叶番薯藤L40（24株）（红、粉色系）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7、中秋、国庆：变叶木H45P30（4株）、一串红（14株）、万寿菊（8株）、花叶蔓L40（36株）（红、黄色系）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8、不限于上述品种</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9、轻质种植基质（泥炭30%、园土40%、珍珠岩10%、蛭石10%、有机肥10%）约0.24m³/组</w:t>
            </w:r>
          </w:p>
          <w:p>
            <w:pPr>
              <w:pStyle w:val="22"/>
              <w:ind w:left="0" w:leftChars="0" w:firstLine="0" w:firstLineChars="0"/>
              <w:rPr>
                <w:rFonts w:hint="eastAsia"/>
                <w:highlight w:val="none"/>
                <w:lang w:val="en-US" w:eastAsia="zh-CN"/>
              </w:rPr>
            </w:pPr>
            <w:r>
              <w:rPr>
                <w:rFonts w:hint="eastAsia" w:ascii="宋体" w:hAnsi="宋体" w:cs="宋体"/>
                <w:i w:val="0"/>
                <w:iCs w:val="0"/>
                <w:color w:val="000000"/>
                <w:kern w:val="0"/>
                <w:sz w:val="18"/>
                <w:szCs w:val="18"/>
                <w:highlight w:val="none"/>
                <w:u w:val="none"/>
                <w:lang w:val="en-US" w:eastAsia="zh-CN" w:bidi="ar"/>
              </w:rPr>
              <w:t>花箱更换、修复：1</w:t>
            </w:r>
            <w:r>
              <w:rPr>
                <w:rFonts w:hint="eastAsia" w:ascii="宋体" w:hAnsi="宋体" w:eastAsia="宋体" w:cs="宋体"/>
                <w:i w:val="0"/>
                <w:iCs w:val="0"/>
                <w:color w:val="000000"/>
                <w:kern w:val="0"/>
                <w:sz w:val="18"/>
                <w:szCs w:val="18"/>
                <w:highlight w:val="none"/>
                <w:u w:val="none"/>
                <w:lang w:val="en-US" w:eastAsia="zh-CN" w:bidi="ar"/>
              </w:rPr>
              <w:t>、高密度PVC材料花盆；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2、黑色内镜PVC雕刻件；</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3、黑色PVC底座表面烤漆；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4、高花箱590*590*950mm；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5、矮花箱490*490*725mm；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6、两个为一组，参考效果图及实地踏勘</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7、损坏的修复、损毁的更换</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组</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106</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秀洲大桥月季养护</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9"/>
              </w:numPr>
              <w:suppressLineNumbers w:val="0"/>
              <w:jc w:val="left"/>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种类：月季</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株</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5884</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204" w:type="dxa"/>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9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jc w:val="center"/>
        </w:trPr>
        <w:tc>
          <w:tcPr>
            <w:tcW w:w="10200"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cs="Calibri"/>
                <w:b/>
                <w:bCs/>
                <w:i w:val="0"/>
                <w:iCs w:val="0"/>
                <w:color w:val="000000"/>
                <w:kern w:val="0"/>
                <w:sz w:val="18"/>
                <w:szCs w:val="18"/>
                <w:highlight w:val="none"/>
                <w:u w:val="none"/>
                <w:lang w:val="en-US" w:eastAsia="zh-CN" w:bidi="ar"/>
              </w:rPr>
              <w:t>上述范围涉及的</w:t>
            </w:r>
            <w:r>
              <w:rPr>
                <w:rFonts w:hint="eastAsia" w:ascii="宋体" w:hAnsi="宋体" w:cs="宋体"/>
                <w:b/>
                <w:bCs/>
                <w:i w:val="0"/>
                <w:iCs w:val="0"/>
                <w:color w:val="000000"/>
                <w:kern w:val="0"/>
                <w:sz w:val="18"/>
                <w:szCs w:val="18"/>
                <w:highlight w:val="none"/>
                <w:u w:val="none"/>
                <w:lang w:val="en-US" w:eastAsia="zh-CN" w:bidi="ar"/>
              </w:rPr>
              <w:t>所有绿化、草花养护均</w:t>
            </w:r>
            <w:r>
              <w:rPr>
                <w:rFonts w:hint="eastAsia" w:ascii="宋体" w:hAnsi="宋体" w:eastAsia="宋体" w:cs="宋体"/>
                <w:b/>
                <w:bCs/>
                <w:i w:val="0"/>
                <w:iCs w:val="0"/>
                <w:color w:val="000000"/>
                <w:kern w:val="0"/>
                <w:sz w:val="18"/>
                <w:szCs w:val="18"/>
                <w:highlight w:val="none"/>
                <w:u w:val="none"/>
                <w:lang w:val="en-US" w:eastAsia="zh-CN" w:bidi="ar"/>
              </w:rPr>
              <w:t>包含日常保洁工作，标段内类公园</w:t>
            </w:r>
            <w:r>
              <w:rPr>
                <w:rFonts w:hint="eastAsia" w:ascii="宋体" w:hAnsi="宋体" w:cs="宋体"/>
                <w:b/>
                <w:bCs/>
                <w:i w:val="0"/>
                <w:iCs w:val="0"/>
                <w:color w:val="000000"/>
                <w:kern w:val="0"/>
                <w:sz w:val="18"/>
                <w:szCs w:val="18"/>
                <w:highlight w:val="none"/>
                <w:u w:val="none"/>
                <w:lang w:val="en-US" w:eastAsia="zh-CN" w:bidi="ar"/>
              </w:rPr>
              <w:t>涉及的</w:t>
            </w:r>
            <w:r>
              <w:rPr>
                <w:rFonts w:hint="eastAsia" w:ascii="宋体" w:hAnsi="宋体" w:eastAsia="宋体" w:cs="宋体"/>
                <w:b/>
                <w:bCs/>
                <w:i w:val="0"/>
                <w:iCs w:val="0"/>
                <w:color w:val="000000"/>
                <w:kern w:val="0"/>
                <w:sz w:val="18"/>
                <w:szCs w:val="18"/>
                <w:highlight w:val="none"/>
                <w:u w:val="none"/>
                <w:lang w:val="en-US" w:eastAsia="zh-CN" w:bidi="ar"/>
              </w:rPr>
              <w:t>铺装与设施包含日常维修养护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rPr>
          <w:rFonts w:hint="eastAsia" w:ascii="宋体" w:hAnsi="宋体" w:cs="宋体"/>
          <w:b/>
          <w:bCs/>
          <w:color w:val="auto"/>
          <w:sz w:val="28"/>
          <w:szCs w:val="28"/>
          <w:highlight w:val="none"/>
          <w:lang w:eastAsia="zh-CN"/>
        </w:rPr>
      </w:pPr>
    </w:p>
    <w:tbl>
      <w:tblPr>
        <w:tblStyle w:val="49"/>
        <w:tblW w:w="98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40"/>
        <w:gridCol w:w="3725"/>
        <w:gridCol w:w="724"/>
        <w:gridCol w:w="988"/>
        <w:gridCol w:w="734"/>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846"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二标段养护工程量清单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294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37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72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9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7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7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294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大德路北延伸段小公园、景尚雅苑东小公园、东升西路（秀洲大道—新塍塘）绿化养护</w:t>
            </w:r>
          </w:p>
        </w:tc>
        <w:tc>
          <w:tcPr>
            <w:tcW w:w="3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7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98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107418</w:t>
            </w:r>
          </w:p>
        </w:tc>
        <w:tc>
          <w:tcPr>
            <w:tcW w:w="73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294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东升西路（秀洲大道—新塍塘）绿化养护</w:t>
            </w:r>
          </w:p>
        </w:tc>
        <w:tc>
          <w:tcPr>
            <w:tcW w:w="3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2、养护期：一年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7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c>
          <w:tcPr>
            <w:tcW w:w="98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74076</w:t>
            </w:r>
          </w:p>
        </w:tc>
        <w:tc>
          <w:tcPr>
            <w:tcW w:w="73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绿地养护</w:t>
            </w:r>
          </w:p>
        </w:tc>
        <w:tc>
          <w:tcPr>
            <w:tcW w:w="37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1、种类：绿地养护，含乔灌木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9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230637.74</w:t>
            </w:r>
          </w:p>
        </w:tc>
        <w:tc>
          <w:tcPr>
            <w:tcW w:w="73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行道树</w:t>
            </w:r>
          </w:p>
        </w:tc>
        <w:tc>
          <w:tcPr>
            <w:tcW w:w="37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1、种类：行道树Φ20-25cm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p>
        </w:tc>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棵</w:t>
            </w:r>
          </w:p>
        </w:tc>
        <w:tc>
          <w:tcPr>
            <w:tcW w:w="9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4532</w:t>
            </w:r>
          </w:p>
        </w:tc>
        <w:tc>
          <w:tcPr>
            <w:tcW w:w="73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区域草花</w:t>
            </w:r>
          </w:p>
        </w:tc>
        <w:tc>
          <w:tcPr>
            <w:tcW w:w="37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9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2587.5</w:t>
            </w:r>
          </w:p>
        </w:tc>
        <w:tc>
          <w:tcPr>
            <w:tcW w:w="73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月季养护</w:t>
            </w:r>
          </w:p>
        </w:tc>
        <w:tc>
          <w:tcPr>
            <w:tcW w:w="37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1、种类：月季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株</w:t>
            </w:r>
          </w:p>
        </w:tc>
        <w:tc>
          <w:tcPr>
            <w:tcW w:w="9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12222</w:t>
            </w:r>
          </w:p>
        </w:tc>
        <w:tc>
          <w:tcPr>
            <w:tcW w:w="73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11" w:type="dxa"/>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0" w:hRule="atLeast"/>
          <w:jc w:val="center"/>
        </w:trPr>
        <w:tc>
          <w:tcPr>
            <w:tcW w:w="9846"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cs="Calibri"/>
                <w:b/>
                <w:bCs/>
                <w:i w:val="0"/>
                <w:iCs w:val="0"/>
                <w:color w:val="000000"/>
                <w:kern w:val="0"/>
                <w:sz w:val="18"/>
                <w:szCs w:val="18"/>
                <w:highlight w:val="none"/>
                <w:u w:val="none"/>
                <w:lang w:val="en-US" w:eastAsia="zh-CN" w:bidi="ar"/>
              </w:rPr>
              <w:t>上述范围涉及的</w:t>
            </w:r>
            <w:r>
              <w:rPr>
                <w:rFonts w:hint="eastAsia" w:ascii="宋体" w:hAnsi="宋体" w:cs="宋体"/>
                <w:b/>
                <w:bCs/>
                <w:i w:val="0"/>
                <w:iCs w:val="0"/>
                <w:color w:val="000000"/>
                <w:kern w:val="0"/>
                <w:sz w:val="18"/>
                <w:szCs w:val="18"/>
                <w:highlight w:val="none"/>
                <w:u w:val="none"/>
                <w:lang w:val="en-US" w:eastAsia="zh-CN" w:bidi="ar"/>
              </w:rPr>
              <w:t>所有绿化、草花养护均</w:t>
            </w:r>
            <w:r>
              <w:rPr>
                <w:rFonts w:hint="eastAsia" w:ascii="宋体" w:hAnsi="宋体" w:eastAsia="宋体" w:cs="宋体"/>
                <w:b/>
                <w:bCs/>
                <w:i w:val="0"/>
                <w:iCs w:val="0"/>
                <w:color w:val="000000"/>
                <w:kern w:val="0"/>
                <w:sz w:val="18"/>
                <w:szCs w:val="18"/>
                <w:highlight w:val="none"/>
                <w:u w:val="none"/>
                <w:lang w:val="en-US" w:eastAsia="zh-CN" w:bidi="ar"/>
              </w:rPr>
              <w:t>包含日常保洁工作，标段内</w:t>
            </w:r>
            <w:r>
              <w:rPr>
                <w:rFonts w:hint="eastAsia" w:ascii="宋体" w:hAnsi="宋体" w:cs="宋体"/>
                <w:b/>
                <w:bCs/>
                <w:i w:val="0"/>
                <w:iCs w:val="0"/>
                <w:color w:val="000000"/>
                <w:kern w:val="0"/>
                <w:sz w:val="18"/>
                <w:szCs w:val="18"/>
                <w:highlight w:val="none"/>
                <w:u w:val="none"/>
                <w:lang w:val="en-US" w:eastAsia="zh-CN" w:bidi="ar"/>
              </w:rPr>
              <w:t>所有</w:t>
            </w:r>
            <w:r>
              <w:rPr>
                <w:rFonts w:hint="eastAsia" w:ascii="宋体" w:hAnsi="宋体" w:eastAsia="宋体" w:cs="宋体"/>
                <w:b/>
                <w:bCs/>
                <w:i w:val="0"/>
                <w:iCs w:val="0"/>
                <w:color w:val="000000"/>
                <w:kern w:val="0"/>
                <w:sz w:val="18"/>
                <w:szCs w:val="18"/>
                <w:highlight w:val="none"/>
                <w:u w:val="none"/>
                <w:lang w:val="en-US" w:eastAsia="zh-CN" w:bidi="ar"/>
              </w:rPr>
              <w:t>公园</w:t>
            </w:r>
            <w:r>
              <w:rPr>
                <w:rFonts w:hint="eastAsia" w:ascii="宋体" w:hAnsi="宋体" w:cs="宋体"/>
                <w:b/>
                <w:bCs/>
                <w:i w:val="0"/>
                <w:iCs w:val="0"/>
                <w:color w:val="000000"/>
                <w:kern w:val="0"/>
                <w:sz w:val="18"/>
                <w:szCs w:val="18"/>
                <w:highlight w:val="none"/>
                <w:u w:val="none"/>
                <w:lang w:val="en-US" w:eastAsia="zh-CN" w:bidi="ar"/>
              </w:rPr>
              <w:t>涉及的</w:t>
            </w:r>
            <w:r>
              <w:rPr>
                <w:rFonts w:hint="eastAsia" w:ascii="宋体" w:hAnsi="宋体" w:eastAsia="宋体" w:cs="宋体"/>
                <w:b/>
                <w:bCs/>
                <w:i w:val="0"/>
                <w:iCs w:val="0"/>
                <w:color w:val="000000"/>
                <w:kern w:val="0"/>
                <w:sz w:val="18"/>
                <w:szCs w:val="18"/>
                <w:highlight w:val="none"/>
                <w:u w:val="none"/>
                <w:lang w:val="en-US" w:eastAsia="zh-CN" w:bidi="ar"/>
              </w:rPr>
              <w:t>铺装与设施包含日常维修养护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rPr>
          <w:rFonts w:hint="eastAsia" w:ascii="宋体" w:hAnsi="宋体" w:cs="宋体"/>
          <w:b/>
          <w:bCs/>
          <w:color w:val="auto"/>
          <w:sz w:val="28"/>
          <w:szCs w:val="28"/>
          <w:highlight w:val="none"/>
          <w:lang w:eastAsia="zh-CN"/>
        </w:rPr>
      </w:pPr>
    </w:p>
    <w:p>
      <w:pPr>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br w:type="page"/>
      </w:r>
    </w:p>
    <w:p>
      <w:pPr>
        <w:rPr>
          <w:rFonts w:hint="eastAsia" w:ascii="宋体" w:hAnsi="宋体" w:cs="宋体"/>
          <w:b/>
          <w:bCs/>
          <w:color w:val="auto"/>
          <w:sz w:val="28"/>
          <w:szCs w:val="28"/>
          <w:highlight w:val="none"/>
          <w:lang w:eastAsia="zh-CN"/>
        </w:rPr>
      </w:pPr>
    </w:p>
    <w:tbl>
      <w:tblPr>
        <w:tblStyle w:val="49"/>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93"/>
        <w:gridCol w:w="1485"/>
        <w:gridCol w:w="702"/>
        <w:gridCol w:w="1198"/>
        <w:gridCol w:w="1130"/>
        <w:gridCol w:w="1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745"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三标段养护工程量清单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76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116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11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秀洲生态公园绿化养护</w:t>
            </w:r>
          </w:p>
        </w:tc>
        <w:tc>
          <w:tcPr>
            <w:tcW w:w="151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179298</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春晓公园绿化养护</w:t>
            </w:r>
          </w:p>
        </w:tc>
        <w:tc>
          <w:tcPr>
            <w:tcW w:w="15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1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92529</w:t>
            </w:r>
          </w:p>
        </w:tc>
        <w:tc>
          <w:tcPr>
            <w:tcW w:w="0" w:type="auto"/>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秀清公园（北区块）绿化养护</w:t>
            </w:r>
          </w:p>
        </w:tc>
        <w:tc>
          <w:tcPr>
            <w:tcW w:w="15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25300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jc w:val="center"/>
        </w:trPr>
        <w:tc>
          <w:tcPr>
            <w:tcW w:w="8745"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ascii="宋体" w:hAnsi="宋体" w:eastAsia="宋体" w:cs="宋体"/>
                <w:b/>
                <w:bCs/>
                <w:i w:val="0"/>
                <w:iCs w:val="0"/>
                <w:color w:val="000000"/>
                <w:kern w:val="0"/>
                <w:sz w:val="18"/>
                <w:szCs w:val="18"/>
                <w:highlight w:val="none"/>
                <w:u w:val="none"/>
                <w:lang w:val="en-US" w:eastAsia="zh-CN" w:bidi="ar"/>
              </w:rPr>
              <w:t>标段内除春晓公园绿化养护不纳入日常保洁外秀洲生态公园绿化养护</w:t>
            </w:r>
            <w:r>
              <w:rPr>
                <w:rFonts w:hint="eastAsia" w:ascii="宋体" w:hAnsi="宋体" w:cs="宋体"/>
                <w:b/>
                <w:bCs/>
                <w:i w:val="0"/>
                <w:iCs w:val="0"/>
                <w:color w:val="000000"/>
                <w:kern w:val="0"/>
                <w:sz w:val="18"/>
                <w:szCs w:val="18"/>
                <w:highlight w:val="none"/>
                <w:u w:val="none"/>
                <w:lang w:val="en-US" w:eastAsia="zh-CN" w:bidi="ar"/>
              </w:rPr>
              <w:t>及秀清公园（北区块）绿化养护均</w:t>
            </w:r>
            <w:r>
              <w:rPr>
                <w:rFonts w:hint="eastAsia" w:ascii="宋体" w:hAnsi="宋体" w:eastAsia="宋体" w:cs="宋体"/>
                <w:b/>
                <w:bCs/>
                <w:i w:val="0"/>
                <w:iCs w:val="0"/>
                <w:color w:val="000000"/>
                <w:kern w:val="0"/>
                <w:sz w:val="18"/>
                <w:szCs w:val="18"/>
                <w:highlight w:val="none"/>
                <w:u w:val="none"/>
                <w:lang w:val="en-US" w:eastAsia="zh-CN" w:bidi="ar"/>
              </w:rPr>
              <w:t>包含日常保洁工作，标段内</w:t>
            </w:r>
            <w:r>
              <w:rPr>
                <w:rFonts w:hint="eastAsia" w:ascii="宋体" w:hAnsi="宋体" w:cs="宋体"/>
                <w:b/>
                <w:bCs/>
                <w:i w:val="0"/>
                <w:iCs w:val="0"/>
                <w:color w:val="000000"/>
                <w:kern w:val="0"/>
                <w:sz w:val="18"/>
                <w:szCs w:val="18"/>
                <w:highlight w:val="none"/>
                <w:u w:val="none"/>
                <w:lang w:val="en-US" w:eastAsia="zh-CN" w:bidi="ar"/>
              </w:rPr>
              <w:t>所有</w:t>
            </w:r>
            <w:r>
              <w:rPr>
                <w:rFonts w:hint="eastAsia" w:ascii="宋体" w:hAnsi="宋体" w:eastAsia="宋体" w:cs="宋体"/>
                <w:b/>
                <w:bCs/>
                <w:i w:val="0"/>
                <w:iCs w:val="0"/>
                <w:color w:val="000000"/>
                <w:kern w:val="0"/>
                <w:sz w:val="18"/>
                <w:szCs w:val="18"/>
                <w:highlight w:val="none"/>
                <w:u w:val="none"/>
                <w:lang w:val="en-US" w:eastAsia="zh-CN" w:bidi="ar"/>
              </w:rPr>
              <w:t>公园</w:t>
            </w:r>
            <w:r>
              <w:rPr>
                <w:rFonts w:hint="eastAsia" w:ascii="宋体" w:hAnsi="宋体" w:cs="宋体"/>
                <w:b/>
                <w:bCs/>
                <w:i w:val="0"/>
                <w:iCs w:val="0"/>
                <w:color w:val="000000"/>
                <w:kern w:val="0"/>
                <w:sz w:val="18"/>
                <w:szCs w:val="18"/>
                <w:highlight w:val="none"/>
                <w:u w:val="none"/>
                <w:lang w:val="en-US" w:eastAsia="zh-CN" w:bidi="ar"/>
              </w:rPr>
              <w:t>涉及的</w:t>
            </w:r>
            <w:r>
              <w:rPr>
                <w:rFonts w:hint="eastAsia" w:ascii="宋体" w:hAnsi="宋体" w:eastAsia="宋体" w:cs="宋体"/>
                <w:b/>
                <w:bCs/>
                <w:i w:val="0"/>
                <w:iCs w:val="0"/>
                <w:color w:val="000000"/>
                <w:kern w:val="0"/>
                <w:sz w:val="18"/>
                <w:szCs w:val="18"/>
                <w:highlight w:val="none"/>
                <w:u w:val="none"/>
                <w:lang w:val="en-US" w:eastAsia="zh-CN" w:bidi="ar"/>
              </w:rPr>
              <w:t>铺装与设施包含日常维修养护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rPr>
          <w:rFonts w:hint="eastAsia" w:ascii="宋体" w:hAnsi="宋体" w:cs="宋体"/>
          <w:b/>
          <w:bCs/>
          <w:color w:val="auto"/>
          <w:sz w:val="28"/>
          <w:szCs w:val="28"/>
          <w:highlight w:val="none"/>
          <w:lang w:eastAsia="zh-CN"/>
        </w:rPr>
      </w:pPr>
    </w:p>
    <w:p>
      <w:pPr>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br w:type="page"/>
      </w:r>
    </w:p>
    <w:tbl>
      <w:tblPr>
        <w:tblStyle w:val="49"/>
        <w:tblW w:w="97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55"/>
        <w:gridCol w:w="2655"/>
        <w:gridCol w:w="1080"/>
        <w:gridCol w:w="1080"/>
        <w:gridCol w:w="108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765"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四标段养护工程量清单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12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绿化养护</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65411.59</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行道树</w:t>
            </w:r>
          </w:p>
        </w:tc>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1、种类：行道树Φ20-25cm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棵</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5" w:hRule="atLeast"/>
          <w:jc w:val="center"/>
        </w:trPr>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区政府广场、嘉业阳光城区域草花</w:t>
            </w:r>
          </w:p>
        </w:tc>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1.种类：精品草花；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3.清明节前后-4月中旬：百日草（红色），H20cm，P15cm，64株/㎡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4.4月中旬-7月中旬：超级风仙“桑蓓斯”（猩红色、橙色），H25cm，P20cm，49株/㎡；                              5.7月中旬-9月下旬：百日草（红色），H20cm，P15cm，64株/㎡；                                             6.9月-11月：大花海棠“比哥”（绿叶红色花、铜叶猩红花），H30-40cm，P30-40cm，36株/㎡；                                                      7.12月下旬-清明节前后：角堇”珍品”（绯红），H15cm，P15cm，64株/㎡</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1811.2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秀洲公园、江南摩尔区域草花</w:t>
            </w:r>
          </w:p>
        </w:tc>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223.56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655"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江南摩尔广场</w:t>
            </w:r>
            <w:r>
              <w:rPr>
                <w:rFonts w:hint="eastAsia" w:ascii="宋体" w:hAnsi="宋体" w:eastAsia="宋体" w:cs="宋体"/>
                <w:i w:val="0"/>
                <w:iCs w:val="0"/>
                <w:color w:val="000000"/>
                <w:kern w:val="0"/>
                <w:sz w:val="18"/>
                <w:szCs w:val="18"/>
                <w:highlight w:val="none"/>
                <w:u w:val="none"/>
                <w:lang w:val="en-US" w:eastAsia="zh-CN" w:bidi="ar"/>
              </w:rPr>
              <w:t>花箱草花</w:t>
            </w:r>
          </w:p>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（规格1）</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1、种类：时令草花</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2、保证花箱满栽，一年种五季</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3、养护期：一年</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4、含花箱整理、维修、更换</w:t>
            </w:r>
          </w:p>
          <w:p>
            <w:pPr>
              <w:pStyle w:val="58"/>
              <w:rPr>
                <w:rFonts w:hint="default" w:eastAsia="宋体"/>
                <w:highlight w:val="none"/>
                <w:lang w:val="en-US" w:eastAsia="zh-CN"/>
              </w:rPr>
            </w:pPr>
            <w:r>
              <w:rPr>
                <w:rFonts w:hint="eastAsia" w:ascii="宋体" w:hAnsi="宋体" w:cs="宋体"/>
                <w:i w:val="0"/>
                <w:iCs w:val="0"/>
                <w:color w:val="000000"/>
                <w:sz w:val="18"/>
                <w:szCs w:val="18"/>
                <w:highlight w:val="none"/>
                <w:u w:val="none"/>
                <w:lang w:val="en-US" w:eastAsia="zh-CN"/>
              </w:rPr>
              <w:t>5、花箱规格：30cm*80cm</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只</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360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655"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江南摩尔广场</w:t>
            </w:r>
            <w:r>
              <w:rPr>
                <w:rFonts w:hint="eastAsia" w:ascii="宋体" w:hAnsi="宋体" w:eastAsia="宋体" w:cs="宋体"/>
                <w:i w:val="0"/>
                <w:iCs w:val="0"/>
                <w:color w:val="000000"/>
                <w:kern w:val="0"/>
                <w:sz w:val="18"/>
                <w:szCs w:val="18"/>
                <w:highlight w:val="none"/>
                <w:u w:val="none"/>
                <w:lang w:val="en-US" w:eastAsia="zh-CN" w:bidi="ar"/>
              </w:rPr>
              <w:t>花箱草花</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（规格2）</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1、种类：时令草花</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2、保证花箱满栽，一年种五季</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3、养护期：一年</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4、含花箱整理、维修、更换</w:t>
            </w:r>
          </w:p>
          <w:p>
            <w:pPr>
              <w:pStyle w:val="58"/>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5、花箱规格30cm*100cm</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只</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655"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水生植物养护</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1、种类：水生植物</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w:t>
            </w:r>
            <w:r>
              <w:rPr>
                <w:rFonts w:hint="eastAsia" w:ascii="宋体" w:hAnsi="宋体" w:cs="宋体"/>
                <w:i w:val="0"/>
                <w:iCs w:val="0"/>
                <w:color w:val="000000"/>
                <w:kern w:val="0"/>
                <w:sz w:val="18"/>
                <w:szCs w:val="18"/>
                <w:highlight w:val="none"/>
                <w:u w:val="none"/>
                <w:lang w:val="en-US" w:eastAsia="zh-CN" w:bidi="ar"/>
              </w:rPr>
              <w:t>定期水体清理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21046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655"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垂直绿化养护</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1、种类：垂直绿化</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3" w:hRule="atLeast"/>
          <w:jc w:val="center"/>
        </w:trPr>
        <w:tc>
          <w:tcPr>
            <w:tcW w:w="9765"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ascii="宋体" w:hAnsi="宋体" w:eastAsia="宋体" w:cs="宋体"/>
                <w:b/>
                <w:bCs/>
                <w:i w:val="0"/>
                <w:iCs w:val="0"/>
                <w:color w:val="000000"/>
                <w:kern w:val="0"/>
                <w:sz w:val="18"/>
                <w:szCs w:val="18"/>
                <w:highlight w:val="none"/>
                <w:u w:val="none"/>
                <w:lang w:val="en-US" w:eastAsia="zh-CN" w:bidi="ar"/>
              </w:rPr>
              <w:t>标段</w:t>
            </w:r>
            <w:r>
              <w:rPr>
                <w:rFonts w:hint="eastAsia" w:ascii="宋体" w:hAnsi="宋体" w:cs="宋体"/>
                <w:b/>
                <w:bCs/>
                <w:i w:val="0"/>
                <w:iCs w:val="0"/>
                <w:color w:val="000000"/>
                <w:kern w:val="0"/>
                <w:sz w:val="18"/>
                <w:szCs w:val="18"/>
                <w:highlight w:val="none"/>
                <w:u w:val="none"/>
                <w:lang w:val="en-US" w:eastAsia="zh-CN" w:bidi="ar"/>
              </w:rPr>
              <w:t>内所有内容均</w:t>
            </w:r>
            <w:r>
              <w:rPr>
                <w:rFonts w:hint="eastAsia" w:ascii="宋体" w:hAnsi="宋体" w:eastAsia="宋体" w:cs="宋体"/>
                <w:b/>
                <w:bCs/>
                <w:i w:val="0"/>
                <w:iCs w:val="0"/>
                <w:color w:val="000000"/>
                <w:kern w:val="0"/>
                <w:sz w:val="18"/>
                <w:szCs w:val="18"/>
                <w:highlight w:val="none"/>
                <w:u w:val="none"/>
                <w:lang w:val="en-US" w:eastAsia="zh-CN" w:bidi="ar"/>
              </w:rPr>
              <w:t>不包含日常保洁工作，标段内</w:t>
            </w:r>
            <w:r>
              <w:rPr>
                <w:rFonts w:hint="eastAsia" w:ascii="宋体" w:hAnsi="宋体" w:cs="宋体"/>
                <w:b/>
                <w:bCs/>
                <w:i w:val="0"/>
                <w:iCs w:val="0"/>
                <w:color w:val="000000"/>
                <w:kern w:val="0"/>
                <w:sz w:val="18"/>
                <w:szCs w:val="18"/>
                <w:highlight w:val="none"/>
                <w:u w:val="none"/>
                <w:lang w:val="en-US" w:eastAsia="zh-CN" w:bidi="ar"/>
              </w:rPr>
              <w:t>仅</w:t>
            </w:r>
            <w:r>
              <w:rPr>
                <w:rFonts w:hint="eastAsia" w:ascii="宋体" w:hAnsi="宋体" w:eastAsia="宋体" w:cs="宋体"/>
                <w:b/>
                <w:bCs/>
                <w:i w:val="0"/>
                <w:iCs w:val="0"/>
                <w:color w:val="000000"/>
                <w:kern w:val="0"/>
                <w:sz w:val="18"/>
                <w:szCs w:val="18"/>
                <w:highlight w:val="none"/>
                <w:u w:val="none"/>
                <w:lang w:val="en-US" w:eastAsia="zh-CN" w:bidi="ar"/>
              </w:rPr>
              <w:t>秀洲公园铺装与设施纳入日常维修养护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rPr>
          <w:rFonts w:hint="eastAsia" w:ascii="宋体" w:hAnsi="宋体" w:cs="宋体"/>
          <w:b/>
          <w:bCs/>
          <w:color w:val="auto"/>
          <w:sz w:val="28"/>
          <w:szCs w:val="28"/>
          <w:highlight w:val="none"/>
          <w:lang w:eastAsia="zh-CN"/>
        </w:rPr>
      </w:pPr>
    </w:p>
    <w:p>
      <w:pPr>
        <w:rPr>
          <w:rFonts w:hint="eastAsia" w:ascii="宋体" w:hAnsi="宋体" w:cs="宋体"/>
          <w:b/>
          <w:bCs/>
          <w:color w:val="auto"/>
          <w:sz w:val="28"/>
          <w:szCs w:val="28"/>
          <w:highlight w:val="none"/>
          <w:lang w:eastAsia="zh-CN"/>
        </w:rPr>
      </w:pPr>
    </w:p>
    <w:tbl>
      <w:tblPr>
        <w:tblStyle w:val="49"/>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1657"/>
        <w:gridCol w:w="742"/>
        <w:gridCol w:w="1649"/>
        <w:gridCol w:w="1300"/>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745"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五标段养护工程量清单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95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164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136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16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绿化养护</w:t>
            </w:r>
          </w:p>
        </w:tc>
        <w:tc>
          <w:tcPr>
            <w:tcW w:w="1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221266.9</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区域草花</w:t>
            </w:r>
          </w:p>
        </w:tc>
        <w:tc>
          <w:tcPr>
            <w:tcW w:w="18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1731.72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金盛花苑南侧</w:t>
            </w:r>
            <w:r>
              <w:rPr>
                <w:rFonts w:hint="eastAsia" w:ascii="宋体" w:hAnsi="宋体" w:eastAsia="宋体" w:cs="宋体"/>
                <w:i w:val="0"/>
                <w:iCs w:val="0"/>
                <w:color w:val="000000"/>
                <w:kern w:val="0"/>
                <w:sz w:val="18"/>
                <w:szCs w:val="18"/>
                <w:highlight w:val="none"/>
                <w:u w:val="none"/>
                <w:lang w:val="en-US" w:eastAsia="zh-CN" w:bidi="ar"/>
              </w:rPr>
              <w:t>籽播草花</w:t>
            </w:r>
          </w:p>
        </w:tc>
        <w:tc>
          <w:tcPr>
            <w:tcW w:w="18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2、单位面积株数：64株/㎡，一年种三季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6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17250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jc w:val="center"/>
        </w:trPr>
        <w:tc>
          <w:tcPr>
            <w:tcW w:w="8745"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cs="Calibri"/>
                <w:b/>
                <w:bCs/>
                <w:i w:val="0"/>
                <w:iCs w:val="0"/>
                <w:color w:val="000000"/>
                <w:kern w:val="0"/>
                <w:sz w:val="18"/>
                <w:szCs w:val="18"/>
                <w:highlight w:val="none"/>
                <w:u w:val="none"/>
                <w:lang w:val="en-US" w:eastAsia="zh-CN" w:bidi="ar"/>
              </w:rPr>
              <w:t>上述范围涉及的</w:t>
            </w:r>
            <w:r>
              <w:rPr>
                <w:rFonts w:hint="eastAsia" w:ascii="宋体" w:hAnsi="宋体" w:cs="宋体"/>
                <w:b/>
                <w:bCs/>
                <w:i w:val="0"/>
                <w:iCs w:val="0"/>
                <w:color w:val="000000"/>
                <w:kern w:val="0"/>
                <w:sz w:val="18"/>
                <w:szCs w:val="18"/>
                <w:highlight w:val="none"/>
                <w:u w:val="none"/>
                <w:lang w:val="en-US" w:eastAsia="zh-CN" w:bidi="ar"/>
              </w:rPr>
              <w:t>所有绿化、草花养护均</w:t>
            </w:r>
            <w:r>
              <w:rPr>
                <w:rFonts w:hint="eastAsia" w:ascii="宋体" w:hAnsi="宋体" w:eastAsia="宋体" w:cs="宋体"/>
                <w:b/>
                <w:bCs/>
                <w:i w:val="0"/>
                <w:iCs w:val="0"/>
                <w:color w:val="000000"/>
                <w:kern w:val="0"/>
                <w:sz w:val="18"/>
                <w:szCs w:val="18"/>
                <w:highlight w:val="none"/>
                <w:u w:val="none"/>
                <w:lang w:val="en-US" w:eastAsia="zh-CN" w:bidi="ar"/>
              </w:rPr>
              <w:t>包含日常保洁工作，标段内</w:t>
            </w:r>
            <w:r>
              <w:rPr>
                <w:rFonts w:hint="eastAsia" w:ascii="宋体" w:hAnsi="宋体" w:cs="宋体"/>
                <w:b/>
                <w:bCs/>
                <w:i w:val="0"/>
                <w:iCs w:val="0"/>
                <w:color w:val="000000"/>
                <w:kern w:val="0"/>
                <w:sz w:val="18"/>
                <w:szCs w:val="18"/>
                <w:highlight w:val="none"/>
                <w:u w:val="none"/>
                <w:lang w:val="en-US" w:eastAsia="zh-CN" w:bidi="ar"/>
              </w:rPr>
              <w:t>所有</w:t>
            </w:r>
            <w:r>
              <w:rPr>
                <w:rFonts w:hint="eastAsia" w:ascii="宋体" w:hAnsi="宋体" w:eastAsia="宋体" w:cs="宋体"/>
                <w:b/>
                <w:bCs/>
                <w:i w:val="0"/>
                <w:iCs w:val="0"/>
                <w:color w:val="000000"/>
                <w:kern w:val="0"/>
                <w:sz w:val="18"/>
                <w:szCs w:val="18"/>
                <w:highlight w:val="none"/>
                <w:u w:val="none"/>
                <w:lang w:val="en-US" w:eastAsia="zh-CN" w:bidi="ar"/>
              </w:rPr>
              <w:t>公园</w:t>
            </w:r>
            <w:r>
              <w:rPr>
                <w:rFonts w:hint="eastAsia" w:ascii="宋体" w:hAnsi="宋体" w:cs="宋体"/>
                <w:b/>
                <w:bCs/>
                <w:i w:val="0"/>
                <w:iCs w:val="0"/>
                <w:color w:val="000000"/>
                <w:kern w:val="0"/>
                <w:sz w:val="18"/>
                <w:szCs w:val="18"/>
                <w:highlight w:val="none"/>
                <w:u w:val="none"/>
                <w:lang w:val="en-US" w:eastAsia="zh-CN" w:bidi="ar"/>
              </w:rPr>
              <w:t>涉及的</w:t>
            </w:r>
            <w:r>
              <w:rPr>
                <w:rFonts w:hint="eastAsia" w:ascii="宋体" w:hAnsi="宋体" w:eastAsia="宋体" w:cs="宋体"/>
                <w:b/>
                <w:bCs/>
                <w:i w:val="0"/>
                <w:iCs w:val="0"/>
                <w:color w:val="000000"/>
                <w:kern w:val="0"/>
                <w:sz w:val="18"/>
                <w:szCs w:val="18"/>
                <w:highlight w:val="none"/>
                <w:u w:val="none"/>
                <w:lang w:val="en-US" w:eastAsia="zh-CN" w:bidi="ar"/>
              </w:rPr>
              <w:t>铺装与设施包含日常维修养护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rPr>
          <w:rFonts w:hint="eastAsia" w:ascii="宋体" w:hAnsi="宋体" w:cs="宋体"/>
          <w:b/>
          <w:bCs/>
          <w:color w:val="auto"/>
          <w:sz w:val="28"/>
          <w:szCs w:val="28"/>
          <w:highlight w:val="none"/>
          <w:lang w:eastAsia="zh-CN"/>
        </w:rPr>
      </w:pPr>
    </w:p>
    <w:p>
      <w:pPr>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br w:type="page"/>
      </w:r>
    </w:p>
    <w:p>
      <w:pPr>
        <w:rPr>
          <w:rFonts w:hint="eastAsia" w:ascii="宋体" w:hAnsi="宋体" w:cs="宋体"/>
          <w:b/>
          <w:bCs/>
          <w:color w:val="auto"/>
          <w:sz w:val="28"/>
          <w:szCs w:val="28"/>
          <w:highlight w:val="none"/>
          <w:lang w:eastAsia="zh-CN"/>
        </w:rPr>
      </w:pPr>
    </w:p>
    <w:tbl>
      <w:tblPr>
        <w:tblStyle w:val="49"/>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55"/>
        <w:gridCol w:w="1740"/>
        <w:gridCol w:w="1080"/>
        <w:gridCol w:w="1080"/>
        <w:gridCol w:w="108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745"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六标段养护工程量清单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11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2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殷秀路绿地、杭州塘与北郊河东岸绿化养护</w:t>
            </w: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种类：绿化养护，含乔灌木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2、籽播草花一年按三季进行更换及养护</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、含场地整理</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115979.7</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殷秀路及洪高路绿道绿化养护</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种类：绿化养护，含乔灌木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2、花镜、地被的草花更换及养护</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3、籽播草花一年按三季进行更换及养护</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、养护期：</w:t>
            </w:r>
            <w:r>
              <w:rPr>
                <w:rFonts w:hint="eastAsia" w:ascii="宋体" w:hAnsi="宋体" w:cs="宋体"/>
                <w:i w:val="0"/>
                <w:iCs w:val="0"/>
                <w:color w:val="000000"/>
                <w:kern w:val="0"/>
                <w:sz w:val="18"/>
                <w:szCs w:val="18"/>
                <w:highlight w:val="none"/>
                <w:u w:val="none"/>
                <w:lang w:val="en-US" w:eastAsia="zh-CN" w:bidi="ar"/>
              </w:rPr>
              <w:t>2024年1月17日至2024年12月31日</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CN" w:bidi="ar"/>
              </w:rPr>
              <w:t>、含场地整理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141076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区域草花</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jc w:val="center"/>
        </w:trPr>
        <w:tc>
          <w:tcPr>
            <w:tcW w:w="8745"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4殷秀路绿地、杭州塘与北郊河东岸绿化养护</w:t>
            </w:r>
            <w:r>
              <w:rPr>
                <w:rFonts w:hint="eastAsia" w:ascii="宋体" w:hAnsi="宋体" w:eastAsia="宋体" w:cs="宋体"/>
                <w:b/>
                <w:bCs/>
                <w:i w:val="0"/>
                <w:iCs w:val="0"/>
                <w:color w:val="000000"/>
                <w:kern w:val="0"/>
                <w:sz w:val="18"/>
                <w:szCs w:val="18"/>
                <w:highlight w:val="none"/>
                <w:u w:val="none"/>
                <w:lang w:val="en-US" w:eastAsia="zh-CN" w:bidi="ar"/>
              </w:rPr>
              <w:t>包含日常保洁工作，标段内</w:t>
            </w:r>
            <w:r>
              <w:rPr>
                <w:rFonts w:hint="eastAsia" w:ascii="宋体" w:hAnsi="宋体" w:cs="宋体"/>
                <w:b/>
                <w:bCs/>
                <w:i w:val="0"/>
                <w:iCs w:val="0"/>
                <w:color w:val="000000"/>
                <w:kern w:val="0"/>
                <w:sz w:val="18"/>
                <w:szCs w:val="18"/>
                <w:highlight w:val="none"/>
                <w:u w:val="none"/>
                <w:lang w:val="en-US" w:eastAsia="zh-CN" w:bidi="ar"/>
              </w:rPr>
              <w:t>所有区域的</w:t>
            </w:r>
            <w:r>
              <w:rPr>
                <w:rFonts w:hint="eastAsia" w:ascii="宋体" w:hAnsi="宋体" w:eastAsia="宋体" w:cs="宋体"/>
                <w:b/>
                <w:bCs/>
                <w:i w:val="0"/>
                <w:iCs w:val="0"/>
                <w:color w:val="000000"/>
                <w:kern w:val="0"/>
                <w:sz w:val="18"/>
                <w:szCs w:val="18"/>
                <w:highlight w:val="none"/>
                <w:u w:val="none"/>
                <w:lang w:val="en-US" w:eastAsia="zh-CN" w:bidi="ar"/>
              </w:rPr>
              <w:t>铺装与设施</w:t>
            </w:r>
            <w:r>
              <w:rPr>
                <w:rFonts w:hint="eastAsia" w:ascii="宋体" w:hAnsi="宋体" w:cs="宋体"/>
                <w:b/>
                <w:bCs/>
                <w:i w:val="0"/>
                <w:iCs w:val="0"/>
                <w:color w:val="000000"/>
                <w:kern w:val="0"/>
                <w:sz w:val="18"/>
                <w:szCs w:val="18"/>
                <w:highlight w:val="none"/>
                <w:u w:val="none"/>
                <w:lang w:val="en-US" w:eastAsia="zh-CN" w:bidi="ar"/>
              </w:rPr>
              <w:t>均</w:t>
            </w:r>
            <w:r>
              <w:rPr>
                <w:rFonts w:hint="eastAsia" w:ascii="宋体" w:hAnsi="宋体" w:eastAsia="宋体" w:cs="宋体"/>
                <w:b/>
                <w:bCs/>
                <w:i w:val="0"/>
                <w:iCs w:val="0"/>
                <w:color w:val="000000"/>
                <w:kern w:val="0"/>
                <w:sz w:val="18"/>
                <w:szCs w:val="18"/>
                <w:highlight w:val="none"/>
                <w:u w:val="none"/>
                <w:lang w:val="en-US" w:eastAsia="zh-CN" w:bidi="ar"/>
              </w:rPr>
              <w:t>包含日常维修养护。</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5.</w:t>
            </w:r>
            <w:r>
              <w:rPr>
                <w:rFonts w:hint="default" w:ascii="Calibri" w:hAnsi="Calibri" w:eastAsia="宋体" w:cs="Calibri"/>
                <w:b/>
                <w:bCs/>
                <w:i w:val="0"/>
                <w:iCs w:val="0"/>
                <w:color w:val="000000"/>
                <w:kern w:val="0"/>
                <w:sz w:val="18"/>
                <w:szCs w:val="18"/>
                <w:highlight w:val="none"/>
                <w:u w:val="none"/>
                <w:lang w:val="en-US" w:eastAsia="zh-CN" w:bidi="ar"/>
              </w:rPr>
              <w:t>.</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p>
            <w:pPr>
              <w:pStyle w:val="58"/>
              <w:rPr>
                <w:rFonts w:hint="default"/>
                <w:highlight w:val="none"/>
                <w:lang w:val="en-US" w:eastAsia="zh-CN"/>
              </w:rPr>
            </w:pPr>
            <w:r>
              <w:rPr>
                <w:rFonts w:hint="eastAsia" w:ascii="宋体" w:hAnsi="宋体" w:cs="宋体"/>
                <w:b/>
                <w:bCs/>
                <w:i w:val="0"/>
                <w:iCs w:val="0"/>
                <w:color w:val="000000"/>
                <w:kern w:val="0"/>
                <w:sz w:val="18"/>
                <w:szCs w:val="18"/>
                <w:highlight w:val="none"/>
                <w:u w:val="none"/>
                <w:lang w:val="en-US" w:eastAsia="zh-CN" w:bidi="ar"/>
              </w:rPr>
              <w:t>7.殷秀路及洪高路绿道绿化养护部分原养护截止时间为2024年1月16日，故本标段养护期于2024年1月17日开始计，综合单价已在投标时考虑。</w:t>
            </w:r>
          </w:p>
        </w:tc>
      </w:tr>
    </w:tbl>
    <w:p>
      <w:pPr>
        <w:rPr>
          <w:rFonts w:hint="eastAsia" w:ascii="宋体" w:hAnsi="宋体" w:cs="宋体"/>
          <w:b/>
          <w:bCs/>
          <w:color w:val="auto"/>
          <w:sz w:val="28"/>
          <w:szCs w:val="28"/>
          <w:highlight w:val="none"/>
          <w:lang w:eastAsia="zh-CN"/>
        </w:rPr>
      </w:pPr>
    </w:p>
    <w:p>
      <w:pPr>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br w:type="page"/>
      </w:r>
    </w:p>
    <w:p>
      <w:pPr>
        <w:jc w:val="center"/>
        <w:rPr>
          <w:rFonts w:hint="eastAsia" w:ascii="宋体" w:hAnsi="宋体" w:eastAsia="宋体" w:cs="宋体"/>
          <w:b/>
          <w:bCs/>
          <w:color w:val="auto"/>
          <w:sz w:val="28"/>
          <w:szCs w:val="28"/>
          <w:highlight w:val="none"/>
          <w:lang w:eastAsia="zh-CN"/>
        </w:rPr>
      </w:pPr>
      <w:r>
        <w:rPr>
          <w:rFonts w:hint="eastAsia" w:ascii="宋体" w:hAnsi="宋体" w:cs="宋体"/>
          <w:b/>
          <w:bCs/>
          <w:color w:val="auto"/>
          <w:sz w:val="28"/>
          <w:szCs w:val="28"/>
          <w:highlight w:val="none"/>
          <w:lang w:eastAsia="zh-CN"/>
        </w:rPr>
        <w:t>养护标准</w:t>
      </w:r>
    </w:p>
    <w:p>
      <w:pPr>
        <w:widowControl/>
        <w:spacing w:line="560" w:lineRule="exact"/>
        <w:ind w:firstLine="361" w:firstLineChars="200"/>
        <w:jc w:val="center"/>
        <w:rPr>
          <w:rFonts w:hint="eastAsia"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嘉兴市区城市绿</w:t>
      </w:r>
      <w:r>
        <w:rPr>
          <w:rFonts w:hint="eastAsia" w:ascii="宋体" w:hAnsi="宋体" w:eastAsia="宋体" w:cs="宋体"/>
          <w:b/>
          <w:bCs/>
          <w:kern w:val="0"/>
          <w:sz w:val="18"/>
          <w:szCs w:val="18"/>
          <w:highlight w:val="none"/>
          <w:lang w:eastAsia="zh-CN"/>
        </w:rPr>
        <w:t>化</w:t>
      </w:r>
      <w:r>
        <w:rPr>
          <w:rFonts w:hint="eastAsia" w:ascii="宋体" w:hAnsi="宋体" w:eastAsia="宋体" w:cs="宋体"/>
          <w:b/>
          <w:bCs/>
          <w:kern w:val="0"/>
          <w:sz w:val="18"/>
          <w:szCs w:val="18"/>
          <w:highlight w:val="none"/>
        </w:rPr>
        <w:t>养护标准</w:t>
      </w:r>
      <w:bookmarkStart w:id="123" w:name="_Toc156725167"/>
    </w:p>
    <w:p>
      <w:pPr>
        <w:widowControl/>
        <w:spacing w:line="560" w:lineRule="exact"/>
        <w:ind w:firstLine="361" w:firstLineChars="200"/>
        <w:jc w:val="left"/>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1.总则</w:t>
      </w:r>
      <w:bookmarkEnd w:id="123"/>
    </w:p>
    <w:p>
      <w:pPr>
        <w:widowControl/>
        <w:spacing w:line="560" w:lineRule="exact"/>
        <w:ind w:firstLine="360" w:firstLineChars="200"/>
        <w:jc w:val="left"/>
        <w:outlineLvl w:val="0"/>
        <w:rPr>
          <w:rFonts w:hint="eastAsia" w:ascii="宋体" w:hAnsi="宋体" w:eastAsia="宋体" w:cs="宋体"/>
          <w:color w:val="000000"/>
          <w:kern w:val="0"/>
          <w:sz w:val="18"/>
          <w:szCs w:val="18"/>
          <w:highlight w:val="none"/>
        </w:rPr>
      </w:pPr>
      <w:bookmarkStart w:id="124" w:name="_Toc8411"/>
      <w:r>
        <w:rPr>
          <w:rFonts w:hint="eastAsia" w:ascii="宋体" w:hAnsi="宋体" w:eastAsia="宋体" w:cs="宋体"/>
          <w:color w:val="000000"/>
          <w:kern w:val="0"/>
          <w:sz w:val="18"/>
          <w:szCs w:val="18"/>
          <w:highlight w:val="none"/>
        </w:rPr>
        <w:t>1.1  为加强嘉兴市区城市绿地养护的管理，提高绿地养护质量，进一步强化园林行业规范管理，促进园林绿化事业可持续发展,根据国家和省、市有关法律、法规，结合本市实际情况，特制订本标准。</w:t>
      </w:r>
      <w:bookmarkEnd w:id="124"/>
      <w:r>
        <w:rPr>
          <w:rFonts w:hint="eastAsia" w:ascii="宋体" w:hAnsi="宋体" w:eastAsia="宋体" w:cs="宋体"/>
          <w:color w:val="000000"/>
          <w:kern w:val="0"/>
          <w:sz w:val="18"/>
          <w:szCs w:val="18"/>
          <w:highlight w:val="none"/>
        </w:rPr>
        <w:t xml:space="preserve"> </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1.2  本标准适用于嘉兴市城市规划区范围内公园绿地、道路绿地、滨河绿地、防护绿地、风景林地、古树名木、行道树等的养护。单位、居住区附属绿地及其他绿地可参照本标准执行。</w:t>
      </w:r>
    </w:p>
    <w:p>
      <w:pPr>
        <w:widowControl/>
        <w:spacing w:line="560" w:lineRule="exact"/>
        <w:ind w:firstLine="361" w:firstLineChars="200"/>
        <w:jc w:val="left"/>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2.城市绿地、行道树等级标准</w:t>
      </w:r>
    </w:p>
    <w:p>
      <w:pPr>
        <w:widowControl/>
        <w:spacing w:line="560" w:lineRule="exact"/>
        <w:ind w:firstLine="361" w:firstLineChars="200"/>
        <w:jc w:val="left"/>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2.1 城市绿地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城市绿地按其功能、类型、建设标准和植物配置情况分为</w:t>
      </w:r>
      <w:r>
        <w:rPr>
          <w:rFonts w:hint="eastAsia" w:ascii="宋体" w:hAnsi="宋体" w:cs="宋体"/>
          <w:color w:val="000000"/>
          <w:kern w:val="0"/>
          <w:sz w:val="18"/>
          <w:szCs w:val="18"/>
          <w:highlight w:val="none"/>
          <w:lang w:eastAsia="zh-CN"/>
        </w:rPr>
        <w:t>精细化绿地、</w:t>
      </w:r>
      <w:r>
        <w:rPr>
          <w:rFonts w:hint="eastAsia" w:ascii="宋体" w:hAnsi="宋体" w:eastAsia="宋体" w:cs="宋体"/>
          <w:color w:val="000000"/>
          <w:kern w:val="0"/>
          <w:sz w:val="18"/>
          <w:szCs w:val="18"/>
          <w:highlight w:val="none"/>
        </w:rPr>
        <w:t>一级、二级、三级绿地，具体划分标准如下：</w:t>
      </w:r>
    </w:p>
    <w:p>
      <w:pPr>
        <w:widowControl/>
        <w:spacing w:line="560" w:lineRule="exact"/>
        <w:ind w:firstLine="361" w:firstLineChars="200"/>
        <w:jc w:val="left"/>
        <w:rPr>
          <w:rFonts w:hint="eastAsia" w:ascii="宋体" w:hAnsi="宋体" w:eastAsia="宋体" w:cs="宋体"/>
          <w:color w:val="000000"/>
          <w:kern w:val="0"/>
          <w:sz w:val="18"/>
          <w:szCs w:val="18"/>
          <w:highlight w:val="none"/>
        </w:rPr>
      </w:pPr>
      <w:r>
        <w:rPr>
          <w:rFonts w:hint="eastAsia" w:ascii="宋体" w:hAnsi="宋体" w:eastAsia="宋体" w:cs="宋体"/>
          <w:b/>
          <w:color w:val="000000"/>
          <w:kern w:val="0"/>
          <w:sz w:val="18"/>
          <w:szCs w:val="18"/>
          <w:highlight w:val="none"/>
        </w:rPr>
        <w:t>2.1.1一级绿地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2.1.1.1 绿地位于城市建成区生活和交通中心区域，绿化综合功能的发挥较为显著。</w:t>
      </w:r>
    </w:p>
    <w:p>
      <w:pPr>
        <w:widowControl/>
        <w:spacing w:line="560" w:lineRule="exact"/>
        <w:ind w:firstLine="360" w:firstLineChars="200"/>
        <w:jc w:val="left"/>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rPr>
        <w:t>2.1.1.2 绿地类型主要为广场、公园、古树名木、街旁绿地、游园、生态绿道，快速路、主干道、次干道绿化带等，</w:t>
      </w:r>
      <w:r>
        <w:rPr>
          <w:rFonts w:hint="eastAsia" w:ascii="宋体" w:hAnsi="宋体" w:eastAsia="宋体" w:cs="宋体"/>
          <w:color w:val="000000"/>
          <w:sz w:val="18"/>
          <w:szCs w:val="18"/>
          <w:highlight w:val="none"/>
        </w:rPr>
        <w:t>绿化盖率95%以上,绿带宽度8M以上,面积400M</w:t>
      </w:r>
      <w:r>
        <w:rPr>
          <w:rFonts w:hint="eastAsia" w:ascii="宋体" w:hAnsi="宋体" w:eastAsia="宋体" w:cs="宋体"/>
          <w:color w:val="000000"/>
          <w:sz w:val="18"/>
          <w:szCs w:val="18"/>
          <w:highlight w:val="none"/>
          <w:vertAlign w:val="superscript"/>
        </w:rPr>
        <w:t>2</w:t>
      </w:r>
      <w:r>
        <w:rPr>
          <w:rFonts w:hint="eastAsia" w:ascii="宋体" w:hAnsi="宋体" w:eastAsia="宋体" w:cs="宋体"/>
          <w:color w:val="000000"/>
          <w:sz w:val="18"/>
          <w:szCs w:val="18"/>
          <w:highlight w:val="none"/>
        </w:rPr>
        <w:t>以上的绿地。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2.1.1.3 绿地内园路、园灯、园椅、园林小品、灌溉、卫生、围护、导游图、指示牌、植物识别牌等设施较为完善，建设标准</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较高。</w:t>
      </w:r>
    </w:p>
    <w:p>
      <w:pPr>
        <w:widowControl/>
        <w:spacing w:line="560" w:lineRule="exact"/>
        <w:ind w:firstLine="645"/>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2.1.1.4 绿化种植形式丰富，乔灌花草合理配置，绿地景观要求高、效果好。</w:t>
      </w:r>
    </w:p>
    <w:p>
      <w:pPr>
        <w:widowControl/>
        <w:spacing w:line="560" w:lineRule="exact"/>
        <w:ind w:firstLine="645"/>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2.1.1.5 重要节假日和大型活动期间有一定数量草花布置。</w:t>
      </w:r>
    </w:p>
    <w:p>
      <w:pPr>
        <w:widowControl/>
        <w:spacing w:line="560" w:lineRule="exact"/>
        <w:ind w:firstLine="361" w:firstLineChars="200"/>
        <w:jc w:val="left"/>
        <w:rPr>
          <w:rFonts w:hint="eastAsia" w:ascii="宋体" w:hAnsi="宋体" w:eastAsia="宋体" w:cs="宋体"/>
          <w:color w:val="000000"/>
          <w:kern w:val="0"/>
          <w:sz w:val="18"/>
          <w:szCs w:val="18"/>
          <w:highlight w:val="none"/>
        </w:rPr>
      </w:pPr>
      <w:r>
        <w:rPr>
          <w:rFonts w:hint="eastAsia" w:ascii="宋体" w:hAnsi="宋体" w:eastAsia="宋体" w:cs="宋体"/>
          <w:b/>
          <w:color w:val="000000"/>
          <w:kern w:val="0"/>
          <w:sz w:val="18"/>
          <w:szCs w:val="18"/>
          <w:highlight w:val="none"/>
        </w:rPr>
        <w:t>2.1.2 二级绿地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2.1.2.1 绿地位于绿地位于城市交通和生活次要地区，绿化功能发挥较为明显。</w:t>
      </w:r>
    </w:p>
    <w:p>
      <w:pPr>
        <w:widowControl/>
        <w:spacing w:line="560" w:lineRule="exact"/>
        <w:ind w:firstLine="360" w:firstLineChars="200"/>
        <w:jc w:val="left"/>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rPr>
        <w:t>2.1.2.2 绿地类型主要为</w:t>
      </w:r>
      <w:r>
        <w:rPr>
          <w:rFonts w:hint="eastAsia" w:ascii="宋体" w:hAnsi="宋体" w:eastAsia="宋体" w:cs="宋体"/>
          <w:color w:val="000000"/>
          <w:sz w:val="18"/>
          <w:szCs w:val="18"/>
          <w:highlight w:val="none"/>
        </w:rPr>
        <w:t>小游园、</w:t>
      </w:r>
      <w:r>
        <w:rPr>
          <w:rFonts w:hint="eastAsia" w:ascii="宋体" w:hAnsi="宋体" w:eastAsia="宋体" w:cs="宋体"/>
          <w:color w:val="000000"/>
          <w:kern w:val="0"/>
          <w:sz w:val="18"/>
          <w:szCs w:val="18"/>
          <w:highlight w:val="none"/>
        </w:rPr>
        <w:t>街旁绿地、游园、生态绿道、零星绿地、湿地、支路绿化带等，</w:t>
      </w:r>
      <w:r>
        <w:rPr>
          <w:rFonts w:hint="eastAsia" w:ascii="宋体" w:hAnsi="宋体" w:eastAsia="宋体" w:cs="宋体"/>
          <w:color w:val="000000"/>
          <w:sz w:val="18"/>
          <w:szCs w:val="18"/>
          <w:highlight w:val="none"/>
        </w:rPr>
        <w:t>具有园路等一般设施，绿化覆盖率90%以上。</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2.1.2.3 绿化种植形式较为丰富，植物配置合理，景观效果较好。</w:t>
      </w:r>
    </w:p>
    <w:p>
      <w:pPr>
        <w:widowControl/>
        <w:spacing w:line="560" w:lineRule="exact"/>
        <w:ind w:firstLine="361" w:firstLineChars="200"/>
        <w:jc w:val="left"/>
        <w:rPr>
          <w:rFonts w:hint="eastAsia" w:ascii="宋体" w:hAnsi="宋体" w:eastAsia="宋体" w:cs="宋体"/>
          <w:color w:val="000000"/>
          <w:kern w:val="0"/>
          <w:sz w:val="18"/>
          <w:szCs w:val="18"/>
          <w:highlight w:val="none"/>
        </w:rPr>
      </w:pPr>
      <w:r>
        <w:rPr>
          <w:rFonts w:hint="eastAsia" w:ascii="宋体" w:hAnsi="宋体" w:eastAsia="宋体" w:cs="宋体"/>
          <w:b/>
          <w:color w:val="000000"/>
          <w:kern w:val="0"/>
          <w:sz w:val="18"/>
          <w:szCs w:val="18"/>
          <w:highlight w:val="none"/>
        </w:rPr>
        <w:t>2.1.3 三级绿地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2.1.3.1 </w:t>
      </w:r>
      <w:r>
        <w:rPr>
          <w:rFonts w:hint="eastAsia" w:ascii="宋体" w:hAnsi="宋体" w:eastAsia="宋体" w:cs="宋体"/>
          <w:color w:val="000000"/>
          <w:sz w:val="18"/>
          <w:szCs w:val="18"/>
          <w:highlight w:val="none"/>
        </w:rPr>
        <w:t>绿地位于城市外围或近郊，位置较为偏远，绿地功能较为单一，</w:t>
      </w:r>
      <w:r>
        <w:rPr>
          <w:rFonts w:hint="eastAsia" w:ascii="宋体" w:hAnsi="宋体" w:eastAsia="宋体" w:cs="宋体"/>
          <w:color w:val="000000"/>
          <w:kern w:val="0"/>
          <w:sz w:val="18"/>
          <w:szCs w:val="18"/>
          <w:highlight w:val="none"/>
        </w:rPr>
        <w:t>对城市生态环境质量和生物多样性保护有直接影响的绿地。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2.1.3.2 </w:t>
      </w:r>
      <w:r>
        <w:rPr>
          <w:rFonts w:hint="eastAsia" w:ascii="宋体" w:hAnsi="宋体" w:eastAsia="宋体" w:cs="宋体"/>
          <w:color w:val="000000"/>
          <w:sz w:val="18"/>
          <w:szCs w:val="18"/>
          <w:highlight w:val="none"/>
        </w:rPr>
        <w:t>绿地类型主要为除一、二级绿地以外的滨河林带、街旁绿地、</w:t>
      </w:r>
      <w:r>
        <w:rPr>
          <w:rFonts w:hint="eastAsia" w:ascii="宋体" w:hAnsi="宋体" w:eastAsia="宋体" w:cs="宋体"/>
          <w:color w:val="000000"/>
          <w:kern w:val="0"/>
          <w:sz w:val="18"/>
          <w:szCs w:val="18"/>
          <w:highlight w:val="none"/>
        </w:rPr>
        <w:t>零星绿地、</w:t>
      </w:r>
      <w:r>
        <w:rPr>
          <w:rFonts w:hint="eastAsia" w:ascii="宋体" w:hAnsi="宋体" w:eastAsia="宋体" w:cs="宋体"/>
          <w:color w:val="000000"/>
          <w:sz w:val="18"/>
          <w:szCs w:val="18"/>
          <w:highlight w:val="none"/>
        </w:rPr>
        <w:t>道路林带、</w:t>
      </w:r>
      <w:r>
        <w:rPr>
          <w:rFonts w:hint="eastAsia" w:ascii="宋体" w:hAnsi="宋体" w:eastAsia="宋体" w:cs="宋体"/>
          <w:color w:val="000000"/>
          <w:kern w:val="0"/>
          <w:sz w:val="18"/>
          <w:szCs w:val="18"/>
          <w:highlight w:val="none"/>
        </w:rPr>
        <w:t>城市绿化隔离带、垃圾填埋场恢复绿地</w:t>
      </w:r>
      <w:r>
        <w:rPr>
          <w:rFonts w:hint="eastAsia" w:ascii="宋体" w:hAnsi="宋体" w:eastAsia="宋体" w:cs="宋体"/>
          <w:color w:val="000000"/>
          <w:sz w:val="18"/>
          <w:szCs w:val="18"/>
          <w:highlight w:val="none"/>
        </w:rPr>
        <w:t>等，一般为无园路等设施的半开放或非开放型绿地。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2.1.3.3 绿地功能较为单一，绿地基本能有植物覆盖。</w:t>
      </w:r>
    </w:p>
    <w:p>
      <w:pPr>
        <w:widowControl/>
        <w:spacing w:line="560" w:lineRule="exact"/>
        <w:ind w:firstLine="361" w:firstLineChars="200"/>
        <w:jc w:val="left"/>
        <w:rPr>
          <w:rFonts w:hint="eastAsia"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2.2 行道树</w:t>
      </w:r>
    </w:p>
    <w:p>
      <w:pPr>
        <w:widowControl/>
        <w:spacing w:line="560" w:lineRule="exact"/>
        <w:ind w:firstLine="360" w:firstLineChars="200"/>
        <w:jc w:val="left"/>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行道树按其胸径规格分为五个基本等级：</w:t>
      </w:r>
    </w:p>
    <w:p>
      <w:pPr>
        <w:widowControl/>
        <w:spacing w:line="560" w:lineRule="exact"/>
        <w:ind w:firstLine="360" w:firstLineChars="200"/>
        <w:jc w:val="left"/>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2.2.1 一级行道树：胸径40cm以上。</w:t>
      </w:r>
    </w:p>
    <w:p>
      <w:pPr>
        <w:widowControl/>
        <w:spacing w:line="560" w:lineRule="exact"/>
        <w:ind w:firstLine="360" w:firstLineChars="200"/>
        <w:jc w:val="left"/>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2.2.2 二级行道树：胸径25cm --40cm。</w:t>
      </w:r>
    </w:p>
    <w:p>
      <w:pPr>
        <w:widowControl/>
        <w:spacing w:line="560" w:lineRule="exact"/>
        <w:ind w:firstLine="360" w:firstLineChars="200"/>
        <w:jc w:val="left"/>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2.2.3 三级行道树：胸径15cm --25cm。</w:t>
      </w:r>
    </w:p>
    <w:p>
      <w:pPr>
        <w:widowControl/>
        <w:spacing w:line="560" w:lineRule="exact"/>
        <w:ind w:firstLine="360" w:firstLineChars="200"/>
        <w:jc w:val="left"/>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2.2.4 四级行道树：胸径10cm --15cm。</w:t>
      </w:r>
    </w:p>
    <w:p>
      <w:pPr>
        <w:widowControl/>
        <w:spacing w:line="560" w:lineRule="exact"/>
        <w:ind w:firstLine="360" w:firstLineChars="200"/>
        <w:jc w:val="left"/>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2.2.5 五级行道树：胸径10cm以下（不含10cm）。</w:t>
      </w:r>
    </w:p>
    <w:p>
      <w:pPr>
        <w:widowControl/>
        <w:spacing w:line="560" w:lineRule="exact"/>
        <w:ind w:firstLine="361" w:firstLineChars="200"/>
        <w:jc w:val="left"/>
        <w:outlineLvl w:val="0"/>
        <w:rPr>
          <w:rFonts w:hint="eastAsia" w:ascii="宋体" w:hAnsi="宋体" w:eastAsia="宋体" w:cs="宋体"/>
          <w:b/>
          <w:bCs/>
          <w:color w:val="000000"/>
          <w:kern w:val="36"/>
          <w:sz w:val="18"/>
          <w:szCs w:val="18"/>
          <w:highlight w:val="none"/>
        </w:rPr>
      </w:pPr>
      <w:bookmarkStart w:id="125" w:name="_Toc156725169"/>
      <w:bookmarkStart w:id="126" w:name="_Toc14550"/>
      <w:r>
        <w:rPr>
          <w:rFonts w:hint="eastAsia" w:ascii="宋体" w:hAnsi="宋体" w:eastAsia="宋体" w:cs="宋体"/>
          <w:b/>
          <w:bCs/>
          <w:color w:val="000000"/>
          <w:kern w:val="36"/>
          <w:sz w:val="18"/>
          <w:szCs w:val="18"/>
          <w:highlight w:val="none"/>
        </w:rPr>
        <w:t>3.城市绿地养护标准</w:t>
      </w:r>
      <w:bookmarkEnd w:id="125"/>
      <w:bookmarkEnd w:id="126"/>
    </w:p>
    <w:p>
      <w:pPr>
        <w:widowControl/>
        <w:spacing w:line="560" w:lineRule="exact"/>
        <w:ind w:firstLine="361" w:firstLineChars="200"/>
        <w:jc w:val="left"/>
        <w:outlineLvl w:val="0"/>
        <w:rPr>
          <w:rFonts w:hint="eastAsia" w:ascii="宋体" w:hAnsi="宋体" w:eastAsia="宋体" w:cs="宋体"/>
          <w:b/>
          <w:color w:val="000000"/>
          <w:kern w:val="0"/>
          <w:sz w:val="18"/>
          <w:szCs w:val="18"/>
          <w:highlight w:val="none"/>
        </w:rPr>
      </w:pPr>
      <w:bookmarkStart w:id="127" w:name="_Toc32254"/>
      <w:r>
        <w:rPr>
          <w:rFonts w:hint="eastAsia" w:ascii="宋体" w:hAnsi="宋体" w:eastAsia="宋体" w:cs="宋体"/>
          <w:b/>
          <w:color w:val="000000"/>
          <w:kern w:val="0"/>
          <w:sz w:val="18"/>
          <w:szCs w:val="18"/>
          <w:highlight w:val="none"/>
        </w:rPr>
        <w:t>3.1 总体标准</w:t>
      </w:r>
      <w:bookmarkEnd w:id="127"/>
    </w:p>
    <w:p>
      <w:pPr>
        <w:widowControl/>
        <w:spacing w:line="560" w:lineRule="exact"/>
        <w:ind w:firstLine="360" w:firstLineChars="200"/>
        <w:jc w:val="left"/>
        <w:rPr>
          <w:rFonts w:hint="eastAsia" w:ascii="宋体" w:hAnsi="宋体" w:eastAsia="宋体" w:cs="宋体"/>
          <w:b/>
          <w:bCs/>
          <w:color w:val="000000"/>
          <w:kern w:val="36"/>
          <w:sz w:val="18"/>
          <w:szCs w:val="18"/>
          <w:highlight w:val="none"/>
        </w:rPr>
      </w:pPr>
      <w:r>
        <w:rPr>
          <w:rFonts w:hint="eastAsia" w:ascii="宋体" w:hAnsi="宋体" w:eastAsia="宋体" w:cs="宋体"/>
          <w:color w:val="000000"/>
          <w:kern w:val="0"/>
          <w:sz w:val="18"/>
          <w:szCs w:val="18"/>
          <w:highlight w:val="none"/>
        </w:rPr>
        <w:t>绿化养护技术措施完善，建有工种齐全和固定的养护队伍，科学实施养护养资料档案管理科学有序。养护要随着植物生长的各个阶段，不断进行调整与充实；根据设计意图，使植物群落结构合理，层次丰富，季相分明；植物生长旺盛，黄土不露天；保持植株清洁，绿地总体景观好。具体内容包括园林植物养护、设施维护、土肥标准、病虫害防治标准、卫生标准及管理标准。</w:t>
      </w:r>
    </w:p>
    <w:p>
      <w:pPr>
        <w:widowControl/>
        <w:spacing w:line="560" w:lineRule="exact"/>
        <w:ind w:firstLine="361" w:firstLineChars="200"/>
        <w:jc w:val="left"/>
        <w:outlineLvl w:val="0"/>
        <w:rPr>
          <w:rFonts w:hint="eastAsia" w:ascii="宋体" w:hAnsi="宋体" w:eastAsia="宋体" w:cs="宋体"/>
          <w:b/>
          <w:bCs/>
          <w:color w:val="000000"/>
          <w:kern w:val="36"/>
          <w:sz w:val="18"/>
          <w:szCs w:val="18"/>
          <w:highlight w:val="none"/>
        </w:rPr>
      </w:pPr>
      <w:bookmarkStart w:id="128" w:name="_Toc17070"/>
      <w:r>
        <w:rPr>
          <w:rFonts w:hint="eastAsia" w:ascii="宋体" w:hAnsi="宋体" w:eastAsia="宋体" w:cs="宋体"/>
          <w:b/>
          <w:bCs/>
          <w:color w:val="000000"/>
          <w:kern w:val="36"/>
          <w:sz w:val="18"/>
          <w:szCs w:val="18"/>
          <w:highlight w:val="none"/>
        </w:rPr>
        <w:t>3.2 一级绿地养护标准</w:t>
      </w:r>
      <w:bookmarkEnd w:id="128"/>
    </w:p>
    <w:p>
      <w:pPr>
        <w:widowControl/>
        <w:spacing w:line="560" w:lineRule="exact"/>
        <w:ind w:firstLine="361" w:firstLineChars="200"/>
        <w:jc w:val="left"/>
        <w:rPr>
          <w:rFonts w:hint="eastAsia" w:ascii="宋体" w:hAnsi="宋体" w:eastAsia="宋体" w:cs="宋体"/>
          <w:b/>
          <w:bCs/>
          <w:color w:val="000000"/>
          <w:kern w:val="36"/>
          <w:sz w:val="18"/>
          <w:szCs w:val="18"/>
          <w:highlight w:val="none"/>
        </w:rPr>
      </w:pPr>
      <w:r>
        <w:rPr>
          <w:rFonts w:hint="eastAsia" w:ascii="宋体" w:hAnsi="宋体" w:eastAsia="宋体" w:cs="宋体"/>
          <w:b/>
          <w:color w:val="000000"/>
          <w:kern w:val="0"/>
          <w:sz w:val="18"/>
          <w:szCs w:val="18"/>
          <w:highlight w:val="none"/>
        </w:rPr>
        <w:t>3.2.1 园林植物养护标准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3.2.1.1 植物生长健壮，长势良好，乔灌木成活率98%以上，乔灌木保存率100%，无缺、死株。</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3.2.1.2 按乔灌木生长习性进行定期科学修剪，不影响行人交通安全。乔木分枝点合适，主侧枝分布匀称，内膛不乱，通风透光；修剪有型、疏密适度，剪口平滑。乔灌木无歪斜，无倒伏现象；无枯枝死杈，无徒长枝、病虫枝、过密枝、枯枝、伤损枝；</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叶片大小、颜色正常。花灌木开花应适时，株形丰满，修剪及时、</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准确。</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3.2.1.3 色块、绿篱等枝叶茂密，整齐一致，完好率98%以上；适期修剪，曲线润畅，轮廓明显，球类修剪圆整；绿篱及色</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块无死亡、空缺，无脱脚现象；新生枝不得超过10cm。</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3.2.1.4 宿根植物及时翻种、断根、间苗。</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3.2.1.5 草坪及地被植物整齐一致，边缘线清晰（及时切边），生长茂盛且覆盖率98 %以上，草坪适时修剪，高度保持在10cm之内。草坪无黄化现象，无杂草、无斑秃、无裸露地面。草坪绿色期：冷季型草坪不得少于300天，暖季型草坪不得少于210天。</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3.2.1.6 时花按设计精心养护，花期整齐，花量饱满，轮廓清晰、整齐美观。花坛、花带株行距适宜，无倒伏、无残缺。</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3.2.1.7 棚架、假山、墙面、围栏（墙）、桥体上的藤蔓植物及垂直绿化生长茂盛，并根据不同植物的攀缘特点，及时采取相应的技术措施，及时清除枯枝，疏删老弱藤蔓。</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3.2.1.8 水湿生植物生长控制得当，无枯叶、病虫叶，进入休眠期后及时收割。</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3.2.1.9 绿地内无大型和缠绕性、攀缘性杂草，零星区域的杂草控制在5％以下，且</w:t>
      </w:r>
      <w:r>
        <w:rPr>
          <w:rFonts w:hint="eastAsia" w:ascii="宋体" w:hAnsi="宋体" w:eastAsia="宋体" w:cs="宋体"/>
          <w:color w:val="000000"/>
          <w:sz w:val="18"/>
          <w:szCs w:val="18"/>
          <w:highlight w:val="none"/>
        </w:rPr>
        <w:t>无15cm以上杂草</w:t>
      </w:r>
      <w:r>
        <w:rPr>
          <w:rFonts w:hint="eastAsia" w:ascii="宋体" w:hAnsi="宋体" w:eastAsia="宋体" w:cs="宋体"/>
          <w:color w:val="000000"/>
          <w:kern w:val="0"/>
          <w:sz w:val="18"/>
          <w:szCs w:val="18"/>
          <w:highlight w:val="none"/>
        </w:rPr>
        <w:t>。</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3.2.2 设施维护标准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3.2.2.1 绿地附属设施完好、分布合理、放置整齐、保持清洁。</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3.2.2.2 亭廊阁、栏杆、櫈椅、果皮箱、路灯、井盖等园林</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建（构）筑物、附属设施、游乐设施安全可靠，定期维护修缮，保持完好率98%以上；园林设施无明显锈斑、油漆剥落现象，每二年粉刷油漆一次。</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3.2.2.3 园路、铺装、侧石、花坛完好、美观，无大面积破</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损，完好率98%以上；园路、铺装表面无积水、无淤泥。</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3.2.2.4 各类标识牌、宣传牌设置合理，醒目、规范，定期清洗，破损后应及时维修，绿道标线要保持清晰，及时更新。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3.2.2.5 供水、供电、排水、喷灌等管网设施维护良好；照明设施纳入城市照明管理体系进行统一管理，景观灯保持清洁完好，及时更换破损灯具，定期检查电路情况，保证照明，完好率95%以上；保持绿地内管理设施及地下管线和窨井盖的完整，对损坏的要及时进行修复。</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3.2.2.6 树木支撑规范有效，统一，无断桩，坏桩。悬挂容器必须安全、完好、整洁、美观。</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3.2.3 土肥标准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3.2.3.1 土壤疏松，根据植物生长特性及时施肥，充分利用有机肥，也可施复合肥，增强土壤肥力（要求一年施肥二次以上）。</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3.2.3.2 土壤理化性状应符合下列要求：pH值为6.0—7.0之间；石砾粒径≤5cm（高架挂箱石砾粒径≤2cm），含量≤8%；有机质含量≥25g/kg。</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3.2.3.3 高架挂箱基质每年松土一次施肥二次，每三年更换</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一次基质。</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3.2.3.4 根据天气情况和植物特性，适时浇水，及时抗旱排涝，无缺水枯死植株，无积水。</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bCs/>
          <w:color w:val="000000"/>
          <w:kern w:val="0"/>
          <w:sz w:val="18"/>
          <w:szCs w:val="18"/>
          <w:highlight w:val="none"/>
        </w:rPr>
        <w:t>3.2.4 病虫害防</w:t>
      </w:r>
      <w:r>
        <w:rPr>
          <w:rFonts w:hint="eastAsia" w:ascii="宋体" w:hAnsi="宋体" w:eastAsia="宋体" w:cs="宋体"/>
          <w:b/>
          <w:color w:val="000000"/>
          <w:kern w:val="0"/>
          <w:sz w:val="18"/>
          <w:szCs w:val="18"/>
          <w:highlight w:val="none"/>
        </w:rPr>
        <w:t>治标准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3.2.4.1 提倡生物防治和综合防治，以防为主。病虫害控制</w:t>
      </w:r>
    </w:p>
    <w:p>
      <w:pPr>
        <w:widowControl/>
        <w:spacing w:line="560" w:lineRule="exact"/>
        <w:jc w:val="left"/>
        <w:rPr>
          <w:rFonts w:hint="eastAsia" w:ascii="宋体" w:hAnsi="宋体" w:eastAsia="宋体" w:cs="宋体"/>
          <w:b/>
          <w:color w:val="000000"/>
          <w:kern w:val="0"/>
          <w:sz w:val="18"/>
          <w:szCs w:val="18"/>
          <w:highlight w:val="none"/>
        </w:rPr>
      </w:pPr>
      <w:r>
        <w:rPr>
          <w:rFonts w:hint="eastAsia" w:ascii="宋体" w:hAnsi="宋体" w:eastAsia="宋体" w:cs="宋体"/>
          <w:color w:val="000000"/>
          <w:kern w:val="0"/>
          <w:sz w:val="18"/>
          <w:szCs w:val="18"/>
          <w:highlight w:val="none"/>
        </w:rPr>
        <w:t>及时，对园林景观无影响。枝叶受害率应小于8%；树干受害率</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应小于3%。</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3.2.4.2 无加拿大一枝黄花等有害植物及影响生长的附着物。</w:t>
      </w:r>
    </w:p>
    <w:p>
      <w:pPr>
        <w:widowControl/>
        <w:spacing w:line="560" w:lineRule="exact"/>
        <w:ind w:firstLine="361" w:firstLineChars="200"/>
        <w:jc w:val="left"/>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3.2.5 卫生标准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3.2.5.1 绿地整洁，地面卫生，无垃圾杂物，墙面无涂刻、无张贴，建（构）筑物上无蛛网。</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3.2.5.2 绿地内水体整洁卫生，无异味、无漂浮杂物、无植物残体、无杂生水生植物。</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3.2.5.3 植草浅沟、拦污雨水口、LID生态排水沟、简易格栅井（或拦污渗漏井）应定期清理垃圾，清理垃圾间隔时间不得大于1个月。</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3.2.5.4 垃圾日产日清，保洁及时，无焚烧垃圾、树叶现</w:t>
      </w:r>
      <w:r>
        <w:rPr>
          <w:rFonts w:hint="eastAsia" w:ascii="宋体" w:hAnsi="宋体" w:eastAsia="宋体" w:cs="宋体"/>
          <w:color w:val="000000"/>
          <w:sz w:val="18"/>
          <w:szCs w:val="18"/>
          <w:highlight w:val="none"/>
          <w:shd w:val="clear" w:color="auto" w:fill="FFFFFF"/>
        </w:rPr>
        <w:t>象。</w:t>
      </w:r>
      <w:r>
        <w:rPr>
          <w:rFonts w:hint="eastAsia" w:ascii="宋体" w:hAnsi="宋体" w:eastAsia="宋体" w:cs="宋体"/>
          <w:color w:val="000000"/>
          <w:kern w:val="0"/>
          <w:sz w:val="18"/>
          <w:szCs w:val="18"/>
          <w:highlight w:val="none"/>
        </w:rPr>
        <w:t>无卫生死角，厕所无积垢，无明显异味。</w:t>
      </w:r>
    </w:p>
    <w:p>
      <w:pPr>
        <w:widowControl/>
        <w:spacing w:line="560" w:lineRule="exact"/>
        <w:ind w:firstLine="361" w:firstLineChars="200"/>
        <w:jc w:val="left"/>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3.2.6 管理标准</w:t>
      </w:r>
    </w:p>
    <w:p>
      <w:pPr>
        <w:widowControl/>
        <w:spacing w:line="560" w:lineRule="exact"/>
        <w:ind w:firstLine="360" w:firstLineChars="200"/>
        <w:jc w:val="left"/>
        <w:rPr>
          <w:rFonts w:hint="eastAsia" w:ascii="宋体" w:hAnsi="宋体" w:eastAsia="宋体" w:cs="宋体"/>
          <w:b/>
          <w:bCs/>
          <w:color w:val="000000"/>
          <w:kern w:val="0"/>
          <w:sz w:val="18"/>
          <w:szCs w:val="18"/>
          <w:highlight w:val="none"/>
        </w:rPr>
      </w:pPr>
      <w:r>
        <w:rPr>
          <w:rFonts w:hint="eastAsia" w:ascii="宋体" w:hAnsi="宋体" w:eastAsia="宋体" w:cs="宋体"/>
          <w:color w:val="000000"/>
          <w:kern w:val="0"/>
          <w:sz w:val="18"/>
          <w:szCs w:val="18"/>
          <w:highlight w:val="none"/>
        </w:rPr>
        <w:t>3.2.6.1 绿地管理制度全面落实，台账档案资料完整、详尽；巡查人员、养护人员到岗到位，实行日常巡查；工作人员统一着</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装，执牌上岗；按实际情况，配置必要的秩序管理员。</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3.2.6.2 养护人员要提高安全防范意识，严格按照相关操作规程，进行规范、文明、安全作业，特别是道路绿化（包括高架绿化）作业，行道树修剪等的高空作业、园林机械的安全使用、农药的安全使用、安全用电用水及园林绿化防火等。</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3.2.6.3 生态绿道桥梁养护管理包括新建桥梁、部分改造利</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用桥梁（由原管养单位管理），按照《城市桥梁养护技术规范</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CJJ99－2003》Ⅴ类城市桥梁养护管理标准进行养护。</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3.2.6.4 生态绿道沿线服务系统设施维护（服务中心、驿站运营、餐饮零售等）按照属地原则由责任单位负责，实行市场化运作，做到规范服务管理，禁止私自设摊。</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3.2.6.5 各类绿地基本完整，无违章侵占绿、破坏绿化现象；无明显堆物、堆料、搭棚；无违法建设、无违规设摊项目。管理秩序良好，无停放车辆、进入车辆现象；无乱堆乱放、晾晒衣物现象。</w:t>
      </w:r>
    </w:p>
    <w:p>
      <w:pPr>
        <w:widowControl/>
        <w:spacing w:line="560" w:lineRule="exact"/>
        <w:ind w:firstLine="361" w:firstLineChars="200"/>
        <w:jc w:val="left"/>
        <w:outlineLvl w:val="0"/>
        <w:rPr>
          <w:rFonts w:hint="eastAsia" w:ascii="宋体" w:hAnsi="宋体" w:eastAsia="宋体" w:cs="宋体"/>
          <w:b/>
          <w:bCs/>
          <w:color w:val="000000"/>
          <w:kern w:val="36"/>
          <w:sz w:val="18"/>
          <w:szCs w:val="18"/>
          <w:highlight w:val="none"/>
        </w:rPr>
      </w:pPr>
      <w:bookmarkStart w:id="129" w:name="_Toc17877"/>
      <w:bookmarkStart w:id="130" w:name="_Toc156725170"/>
      <w:bookmarkStart w:id="131" w:name="_Toc156725171"/>
      <w:r>
        <w:rPr>
          <w:rFonts w:hint="eastAsia" w:ascii="宋体" w:hAnsi="宋体" w:eastAsia="宋体" w:cs="宋体"/>
          <w:b/>
          <w:bCs/>
          <w:color w:val="000000"/>
          <w:kern w:val="36"/>
          <w:sz w:val="18"/>
          <w:szCs w:val="18"/>
          <w:highlight w:val="none"/>
        </w:rPr>
        <w:t>3.3 二级绿地养护标准</w:t>
      </w:r>
      <w:bookmarkEnd w:id="129"/>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bCs/>
          <w:color w:val="000000"/>
          <w:kern w:val="0"/>
          <w:sz w:val="18"/>
          <w:szCs w:val="18"/>
          <w:highlight w:val="none"/>
        </w:rPr>
        <w:t>3.3.1 园林植物养</w:t>
      </w:r>
      <w:r>
        <w:rPr>
          <w:rFonts w:hint="eastAsia" w:ascii="宋体" w:hAnsi="宋体" w:eastAsia="宋体" w:cs="宋体"/>
          <w:b/>
          <w:color w:val="000000"/>
          <w:kern w:val="0"/>
          <w:sz w:val="18"/>
          <w:szCs w:val="18"/>
          <w:highlight w:val="none"/>
        </w:rPr>
        <w:t>护标准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3.3.1.1 植物生长良好，乔灌木成活率98%以上，乔灌木保存率99%，无死株，缺株。</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3.3.1.2 按乔灌木生长习性进行定期科学修剪，不影响行人交通安全。乔木分枝点合适，主侧枝分布匀称，内膛不乱，通风透光；修剪有型、疏密适度，剪口平滑。乔灌木无歪斜，无倒伏现象；无枯枝死杈，无徒长枝、病虫枝、过密枝、枯枝、伤损枝；叶片大小、颜色正常。花灌木开花应适时，株形丰满，修剪及时、准确。</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3.3.1.3 色块、绿篱等枝叶茂密，整齐一致，完好率95%以上；适期修剪，曲线润畅，轮廓明显，球类修剪圆整；绿篱及色块无死亡、空缺，无脱脚现象；新生枝不得超过10cm。</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3.3.1.4 宿根植物及时翻种、断根、间苗。</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3.3.1.5 草坪及地被植物整齐一致，边缘线清晰（及时切边），生长茂盛且覆盖率95%以上，草坪适时修剪，高度保持在10cm之内。草坪无黄化现象，无杂草、无斑秃、无裸露地面。草坪绿色期：冷季型草坪不得少于300天，暖季型草坪不得少于200天。</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3.3.1.6 时花按设计精心养护，花期整齐，花量饱满，轮廓清晰、整齐美观。花坛、花带株行距适宜，无倒伏、无残缺。</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3.3.1.7 棚架、假山、墙面、围栏（墙）、桥体上的藤蔓植物及垂直绿化生长茂盛，并根据不同植物的攀缘特点，及时采取相应的技术措施，及时清除枯枝，疏删老弱藤蔓。</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3.3.1.8 水湿生植物生长控制得当，无枯叶、病虫叶，进入休眠期后及时收割。</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3.3.1.9 绿地内无大型和缠绕性、攀缘性杂草，零星区域的杂草控制在10％以下，且无15cm以上杂草。</w:t>
      </w:r>
    </w:p>
    <w:p>
      <w:pPr>
        <w:widowControl/>
        <w:spacing w:line="560" w:lineRule="exact"/>
        <w:ind w:firstLine="361" w:firstLineChars="200"/>
        <w:jc w:val="left"/>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3.3.2 设施维护标准</w:t>
      </w:r>
    </w:p>
    <w:p>
      <w:pPr>
        <w:widowControl/>
        <w:spacing w:line="560" w:lineRule="exact"/>
        <w:ind w:firstLine="360" w:firstLineChars="200"/>
        <w:jc w:val="left"/>
        <w:rPr>
          <w:rFonts w:hint="eastAsia" w:ascii="宋体" w:hAnsi="宋体" w:eastAsia="宋体" w:cs="宋体"/>
          <w:b/>
          <w:bCs/>
          <w:color w:val="000000"/>
          <w:kern w:val="0"/>
          <w:sz w:val="18"/>
          <w:szCs w:val="18"/>
          <w:highlight w:val="none"/>
        </w:rPr>
      </w:pPr>
      <w:r>
        <w:rPr>
          <w:rFonts w:hint="eastAsia" w:ascii="宋体" w:hAnsi="宋体" w:eastAsia="宋体" w:cs="宋体"/>
          <w:color w:val="000000"/>
          <w:kern w:val="0"/>
          <w:sz w:val="18"/>
          <w:szCs w:val="18"/>
          <w:highlight w:val="none"/>
        </w:rPr>
        <w:t>3.3.2.1 绿地附属设施完好、分布合理、放置整齐、保持清</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洁。</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3.3.2.2 亭廊阁、栏杆、櫈椅、果皮箱、路灯、井盖和牌示等园林建（构）筑物、附属设施、游乐设施安全可靠，定期维护修缮，保持完好率95%以上；园林设施无明显锈斑、油漆剥落现象，每二年粉刷油漆一次。</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3.3.2.3 园路、铺装、侧石、花坛完好、美观，无大面积破损，完好率95%以上；园路、铺装表面无积水、无淤泥。</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3.3.2.4 各类标识牌、宣传牌设置合理，醒目、规范，定期清洗，破损后应及时维修，绿道标线要保持清晰，及时更新。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3.3.2.5 供水、供电、排水、喷灌等管网设施维护良好；照明设施纳入城市照明管理体系进行统一管理，景观灯保持清洁完好，及时更换破损灯具，定期检查电路情况，保证照明，完好率90%以上；保持绿地内管理设施及地下管线和窨井盖的完整，对损坏的要及时进行修复。</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3.3.2.6 树木支撑规范有效，统一，无断桩，坏桩。悬挂容器必须安全、完好、整洁、美观。</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3.3.3 土肥标准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3.3.3.1 土壤疏松，根据植物生长特性及时施肥，充分利用有机肥，也可施复合肥，增强土壤肥力（要求一年施肥二次以上）。</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3.3.3.2 土壤理化性状应符合下列要求：pH值为6.0—7.0之间；石砾粒径≤5cm（高架挂箱石砾粒径≤2cm），含量≤8%；有机质含量≥25g/kg。</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3.3.3.3 高架挂箱基质每年松土一次施肥二次，每三年更换</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一次基质。</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3.3.3.4 根据天气情况和植物特性，适时浇水，及时抗旱排涝，无缺水枯死植株，无积水。</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3.3.4 病虫害防治标准</w:t>
      </w:r>
    </w:p>
    <w:p>
      <w:pPr>
        <w:widowControl/>
        <w:spacing w:line="560" w:lineRule="exact"/>
        <w:ind w:firstLine="354" w:firstLineChars="196"/>
        <w:jc w:val="left"/>
        <w:rPr>
          <w:rFonts w:hint="eastAsia" w:ascii="宋体" w:hAnsi="宋体" w:eastAsia="宋体" w:cs="宋体"/>
          <w:color w:val="000000"/>
          <w:kern w:val="0"/>
          <w:sz w:val="18"/>
          <w:szCs w:val="18"/>
          <w:highlight w:val="none"/>
        </w:rPr>
      </w:pPr>
      <w:r>
        <w:rPr>
          <w:rFonts w:hint="eastAsia" w:ascii="宋体" w:hAnsi="宋体" w:eastAsia="宋体" w:cs="宋体"/>
          <w:b/>
          <w:color w:val="000000"/>
          <w:kern w:val="0"/>
          <w:sz w:val="18"/>
          <w:szCs w:val="18"/>
          <w:highlight w:val="none"/>
        </w:rPr>
        <w:t xml:space="preserve">3.3.4.1 </w:t>
      </w:r>
      <w:r>
        <w:rPr>
          <w:rFonts w:hint="eastAsia" w:ascii="宋体" w:hAnsi="宋体" w:eastAsia="宋体" w:cs="宋体"/>
          <w:color w:val="000000"/>
          <w:kern w:val="0"/>
          <w:sz w:val="18"/>
          <w:szCs w:val="18"/>
          <w:highlight w:val="none"/>
        </w:rPr>
        <w:t>提倡生物防治和综合防治，以防为主。病虫害控制及时，对园林景观无影响。枝叶受害率应小于10%；树干受害率应小于5%。</w:t>
      </w:r>
    </w:p>
    <w:p>
      <w:pPr>
        <w:widowControl/>
        <w:spacing w:line="560" w:lineRule="exact"/>
        <w:ind w:firstLine="361" w:firstLineChars="200"/>
        <w:jc w:val="left"/>
        <w:rPr>
          <w:rFonts w:hint="eastAsia" w:ascii="宋体" w:hAnsi="宋体" w:eastAsia="宋体" w:cs="宋体"/>
          <w:color w:val="000000"/>
          <w:kern w:val="0"/>
          <w:sz w:val="18"/>
          <w:szCs w:val="18"/>
          <w:highlight w:val="none"/>
        </w:rPr>
      </w:pPr>
      <w:r>
        <w:rPr>
          <w:rFonts w:hint="eastAsia" w:ascii="宋体" w:hAnsi="宋体" w:eastAsia="宋体" w:cs="宋体"/>
          <w:b/>
          <w:color w:val="000000"/>
          <w:kern w:val="0"/>
          <w:sz w:val="18"/>
          <w:szCs w:val="18"/>
          <w:highlight w:val="none"/>
        </w:rPr>
        <w:t xml:space="preserve">3.3.4.2 </w:t>
      </w:r>
      <w:r>
        <w:rPr>
          <w:rFonts w:hint="eastAsia" w:ascii="宋体" w:hAnsi="宋体" w:eastAsia="宋体" w:cs="宋体"/>
          <w:color w:val="000000"/>
          <w:kern w:val="0"/>
          <w:sz w:val="18"/>
          <w:szCs w:val="18"/>
          <w:highlight w:val="none"/>
        </w:rPr>
        <w:t>无加拿大一枝黄花等有害植物及影响生长的附着物。</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3.3.5 卫生标准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3.3.5.1 绿地整洁，地面卫生，无垃圾杂物，墙面无涂刻、无张贴，建（构）筑物上无蛛网。</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3.3.5.2 绿地内水体整洁卫生，无异味、无漂浮杂物、无植物残体、无杂生水生植物。</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3.3.5.3 植草浅沟、拦污雨水口、LID生态排水沟、简易格栅井（或拦污渗漏井）应定期清理垃圾，清理垃圾间隔时间不得大于1个月。</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3.3.5.4 垃圾日产日清，保洁及时；无焚烧垃圾、树叶现象；无卫生死角，厕所无积垢，无明显异味。</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3.3.6 管理标准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3.3.6.1 绿地管理制度全面落实，台账档案资料完整、详尽；巡查人员、养护人员到岗到位，实行日常巡查；工作人员统一着</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装，执牌上岗；按实际情况，配置必要的秩序管理员。</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3.3.6.2 养护人员要提高安全防范意识，严格按照相关操作规程，进行规范、文明、安全作业，特别是道路绿化（包括高架绿化）作业，行道树修剪等的高空作业、园林机械的安全使用、农药的安全使用、安全用电用水及园林绿化防火等。</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3.3.6.3 生态绿道桥梁养护管理包括新建桥梁、部分改造利用桥梁（由原管养单位管理），按照《城市桥梁养护技术规范CJJ99－2003》Ⅴ类城市桥梁养护管理标准进行养护。</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3.3.6.4 生态绿道沿线服务系统设施维护（服务中心、驿站运营、餐饮零售等）按照属地原则由责任单位负责，实行市场化</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运作，做到规范服务管理，禁止私自设摊。</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3.3.6.5 各类绿地基本完整，无违章侵占绿、破坏绿化现象；无明显堆物、堆料、搭棚；无违法建设、无违规设摊项目。管理秩序良好，无停放车辆、进入车辆现象；无乱堆乱放、晾晒衣物现象。</w:t>
      </w:r>
    </w:p>
    <w:p>
      <w:pPr>
        <w:widowControl/>
        <w:spacing w:line="560" w:lineRule="exact"/>
        <w:ind w:firstLine="361" w:firstLineChars="200"/>
        <w:jc w:val="left"/>
        <w:outlineLvl w:val="0"/>
        <w:rPr>
          <w:rFonts w:hint="eastAsia" w:ascii="宋体" w:hAnsi="宋体" w:eastAsia="宋体" w:cs="宋体"/>
          <w:b/>
          <w:bCs/>
          <w:color w:val="000000"/>
          <w:kern w:val="36"/>
          <w:sz w:val="18"/>
          <w:szCs w:val="18"/>
          <w:highlight w:val="none"/>
        </w:rPr>
      </w:pPr>
      <w:bookmarkStart w:id="132" w:name="_Toc24485"/>
      <w:r>
        <w:rPr>
          <w:rFonts w:hint="eastAsia" w:ascii="宋体" w:hAnsi="宋体" w:eastAsia="宋体" w:cs="宋体"/>
          <w:b/>
          <w:bCs/>
          <w:color w:val="000000"/>
          <w:kern w:val="36"/>
          <w:sz w:val="18"/>
          <w:szCs w:val="18"/>
          <w:highlight w:val="none"/>
        </w:rPr>
        <w:t>3.4 三级绿地养护标准</w:t>
      </w:r>
      <w:bookmarkEnd w:id="132"/>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3.4.1 园林植物养护标准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3.4.1.1 植物生长良好，无死株，乔灌木成活率95%以上，乔灌木保存率98%。</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3.4.1.2 按乔灌木生长习性进行定期科学修剪，不影响行人交通安全。乔木分枝点合适，主侧枝分布匀称，内膛不乱，通风透光；修剪有型、疏密适度，剪口平滑。乔灌木无歪斜，无倒伏现象；无枯枝死杈，无徒长枝、病虫枝、过密枝、枯枝、伤损枝；叶片大小、颜色正常。花灌木开花应适时，株形丰满，修剪及时、准确。</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3.4.1.3 色块、绿篱等枝叶茂密，整齐一致，完好率90%以上；适期修剪保持形态，曲线润畅，轮廓明显，球类修剪圆整；绿篱及色块无死亡、空缺，无脱脚现象；新生枝不得超过10cm。</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3.4.1.4 宿根植物及时翻种、断根、间苗。</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3.4.1.5 草坪及地被植物整齐一致，边缘线清晰（及时切边），生长茂盛且覆盖率90 %以上，草坪适时修剪，高度保持在10cm之内。草坪无黄化现象，无杂草、无斑秃、无裸露地面。草坪绿色期：冷季型草坪不得少于270天，暖季型草坪不得少于180天。</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3.4.1.6 时花按设计精心养护，花期整齐，花量饱满，轮廓清晰、整齐美观。花坛、花带株行距适宜，无倒伏、无残缺。</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3.4.1.7 棚架、假山、墙面、围栏（墙）、桥体上的藤蔓植物及垂直绿化生长茂盛，并根据不同植物的攀缘特点，及时采取相应的技术措施，及时清除枯枝，疏删老弱藤蔓。</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3.4.1.8 水湿生植物生长控制得当，无枯叶、病虫叶，进入休眠期后及时收割。</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3.4.1.9 绿地内无大型和缠绕性、攀缘性杂草，零星区域的</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杂草控制在15％以下，且无15cm以上杂草。</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3.4.2 设施维护标准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3.4.2.1 绿地附属设施完好、分布合理、放置整齐、保持清洁。</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3.4.2.2 亭廊阁、栏杆、櫈椅、果皮箱、路灯、井盖和牌示等园林建（构）筑物、附属设施、游乐设施安全可靠，定期维护修缮，保持完好率90%以上；园林设施无明显锈斑、油漆剥落现象，每二年粉刷油漆一次。</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3.4.2.3 园路、铺装、侧石、花坛完好、美观，无大面积破损，完好率90%以上；园路、铺装表面无积水、无淤泥。</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3.4.2.4 各类标识牌、宣传牌设置合理，醒目、规范，定期</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清洗，破损后应及时维修，绿道标线要保持清晰，及时更新。</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3.4.2.5 供水、供电、排水、喷灌等管网设施维护良好；照</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明设施纳入城市照明管理体系进行统一管理，景观灯保持清洁完好，及时更换破损灯具，定期检查电路情况，保证照明，完好率90%以上；保持绿地内管理设施及地下管线和窨井盖的完整，对损坏的要及时进行修复。</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3.4.2.6 树木支撑规范有效，统一，无断桩，坏桩。悬挂容器必须安全、完好、整洁、美观。</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3.4.3 土肥标准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3.4.3.1 土壤疏松，根据植物生长特性及时施肥，充分利用有机肥，也可施复合肥，增强土壤肥力（要求一年施肥二次以上）。</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3.4.3.2 土壤理化性状应符合下列要求：pH值为6.0—7.0</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之间；石砾粒径≤5cm（高架挂箱石砾粒径≤2cm），含量≤8%；有机质含量≥25g/kg。</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3.4.3.3 高架挂箱基质每年松土一次施肥二次，每三年更换一次基质。</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3.4.3.4 根据天气情况和植物特性，适时浇水，及时抗旱排涝，无缺水枯死植株，无积水。</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3.4.4 病虫害防治标准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3.4.4.1 提倡生物防治和综合防治，以防为主。病虫害控制及时，对园林景观无影响。枝叶受害率应小于15%；树干受害率应小于10%。</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3.4.4.2 无加拿大一枝黄花等有害植物及影响生长的附着</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物。</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3.4.5 卫生标准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3.4.5.1 绿地整洁，地面卫生，无垃圾杂物，墙面无涂刻、无张贴，建（构）筑物上无蛛网。</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3.4.5.2 绿地内水体整洁卫生，无异味、无漂浮杂物、无植物残体、无杂生水生植物。</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3.4.5.3 植草浅沟、拦污雨水口、LID生态排水沟、简易格栅井（或拦污渗漏井）应定期清理垃圾，清理垃圾间隔时间不得大于1个月。</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3.4.5.4 垃圾日产日清，保洁及时；无焚烧垃圾、树叶现象；</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无卫生死角，厕所无积垢，无明显异味。</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3.4.6 管理标准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3.4.6.1 绿地管理制度全面落实，台账档案资料完整、详尽；巡查人员、养护人员到岗到位，实行日常巡查；工作人员统一着装，执牌上岗；按实际情况，配置必要的秩序管理员。</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3.4.6.2 养护人员要提高安全防范意识，严格按照相关操作规程，进行规范、文明、安全作业，特别是道路绿化（包括高架绿化）作业，行道树修剪等的高空作业、园林机械的安全使用、农药的安全使用、安全用电用水及园林绿化防火等。</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3.4.6.3 生态绿道桥梁养护管理包括新建桥梁、部分改造利用桥梁（由原管养单位管理），按照《城市桥梁养护技术规范CJJ99－2003》Ⅴ类城市桥梁养护管理标准进行养护。</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3.4.6.4 生态绿道沿线服务系统设施维护（服务中心、驿站</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运营、餐饮零售等）按照属地原则由责任单位负责，实行市场化运作，做到规范服务管理，禁止私自设摊。</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3.4.6.5 各类绿地基本完整，无违章侵占绿、破坏绿化现象；无明显堆物、堆料、搭棚；无违法建设、无违规设摊项目。管理秩序良好，无停放车辆、进入车辆现象；无乱堆乱放、晾晒衣物现象。</w:t>
      </w:r>
    </w:p>
    <w:p>
      <w:pPr>
        <w:widowControl/>
        <w:spacing w:line="560" w:lineRule="exact"/>
        <w:ind w:firstLine="354" w:firstLineChars="196"/>
        <w:jc w:val="left"/>
        <w:outlineLvl w:val="0"/>
        <w:rPr>
          <w:rFonts w:hint="eastAsia" w:ascii="宋体" w:hAnsi="宋体" w:eastAsia="宋体" w:cs="宋体"/>
          <w:b/>
          <w:bCs/>
          <w:color w:val="000000"/>
          <w:kern w:val="36"/>
          <w:sz w:val="18"/>
          <w:szCs w:val="18"/>
          <w:highlight w:val="none"/>
        </w:rPr>
      </w:pPr>
      <w:bookmarkStart w:id="133" w:name="_Toc9111"/>
      <w:r>
        <w:rPr>
          <w:rFonts w:hint="eastAsia" w:ascii="宋体" w:hAnsi="宋体" w:eastAsia="宋体" w:cs="宋体"/>
          <w:b/>
          <w:bCs/>
          <w:color w:val="000000"/>
          <w:kern w:val="36"/>
          <w:sz w:val="18"/>
          <w:szCs w:val="18"/>
          <w:highlight w:val="none"/>
        </w:rPr>
        <w:t>4.行道树（含隔离带乔木）养护标准</w:t>
      </w:r>
      <w:bookmarkEnd w:id="133"/>
    </w:p>
    <w:p>
      <w:pPr>
        <w:widowControl/>
        <w:spacing w:line="560" w:lineRule="exact"/>
        <w:ind w:firstLine="354" w:firstLineChars="196"/>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4.1 总体标准</w:t>
      </w:r>
    </w:p>
    <w:p>
      <w:pPr>
        <w:widowControl/>
        <w:spacing w:line="560" w:lineRule="exact"/>
        <w:ind w:firstLine="360"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color w:val="000000"/>
          <w:kern w:val="0"/>
          <w:sz w:val="18"/>
          <w:szCs w:val="18"/>
          <w:highlight w:val="none"/>
        </w:rPr>
        <w:t>行道树养护的整体质量，内容包括植株生长、树木存活率、</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设施维护、土肥标准、病虫害防治标准及管理标准等。</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4.1.1 养护质量</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4.1.1.1 按行道树生长习性定期、科学修剪，乔木分枝点合适，主侧枝分布匀称，内膛不乱，通风透光；修剪有型、疏密适度，剪口平滑。</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4.1.1.2 树干挺直，无歪斜，无倒伏现象，对倾斜树木要控制倾斜度，及时纠偏，逐渐扶正。</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4.1.1.3 叶片健康，在正常条件下不黄叶，不焦叶，不卷叶； 植株无徒长枝、病虫枝、过密枝、并生枝、交叉枝、下垂枝、枯枝、伤损枝、碰线枝；及时抹芽刷白。</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4.1.1.4 行道树具有一定的遮荫观赏效果。选用的品种、规格相对统一，并突出乡土树种。枯死树木及时清除，补植树木品种、规格（树高一致，胸径误差≤20%）与原有树种应保持一致，并全冠种植。</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4.1.1.5 有防强风措施，对危树及时采取修枝、加固或申报更换等措施。</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4.1.1.6 遇灾害性天气应根据气象部门灾害预警及时响应启动《灾害性天气应急抢险预案》组织抢险工作。</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4.1.2 树木存活率</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行道树存活率99%以上，行道树保存率100%。无死株、无缺株。</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4.1.3 设施维护</w:t>
      </w:r>
    </w:p>
    <w:p>
      <w:pPr>
        <w:widowControl/>
        <w:spacing w:line="560" w:lineRule="exact"/>
        <w:ind w:firstLine="360"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color w:val="000000"/>
          <w:kern w:val="0"/>
          <w:sz w:val="18"/>
          <w:szCs w:val="18"/>
          <w:highlight w:val="none"/>
        </w:rPr>
        <w:t>4.1.3.1 树穴、侧石安全、平整、美观、完好，发现破损及</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时修复。</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4.1.3.2 树木支撑规范、统一，无断桩、坏桩，扎缚规范有效，有一定的防强风措施。</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4.1.4 土肥标准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4.1.4.1 种植土低于容器（或侧石）上沿3cm；土壤应具有一定的透水、透气、保肥能力；每年冬季施有机肥一次；石砾含量中，其粒径≤3cm，含量≤5%；pH值为6.0—7.0之间；有效土层(长、宽、深)≥100cm；有机质含量≥25g/kg。</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4.1.4.2 根据天气情况和植物特性，适时浇水，及时抗旱排涝，无缺水枯死植株，无积水。</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4.1.5 病虫害防治标准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4.1.5.1 提倡生物防治和综合防治，以防为主。病虫害控制及时，对道路景观无影响。枝叶受害率应小于8%；树干受害率应小于5%。</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4.1.5.2 无加拿大一枝黄花等有害植物及影响生长的附着物。</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4.1.6 管理标准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4.1.6.1 树穴有平整盖板、铺设鹅卵石或种植地被植物，土壤不裸露。无杂草、建筑垃圾和其它杂物，树干无钉子、铁丝等破坏树木生长的东西。</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4.1.6.2 管理制度全面落实，档案资料完整、详尽，对行道树的基础资料、变更情况及时记录入档；工作人员统一着装，养</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护作业时必须穿着有反光条的工作服，做到安全文明作业，尽量减少对行车的干扰。</w:t>
      </w:r>
    </w:p>
    <w:p>
      <w:pPr>
        <w:widowControl/>
        <w:spacing w:line="560" w:lineRule="exact"/>
        <w:ind w:firstLine="354" w:firstLineChars="196"/>
        <w:jc w:val="left"/>
        <w:outlineLvl w:val="0"/>
        <w:rPr>
          <w:rFonts w:hint="eastAsia" w:ascii="宋体" w:hAnsi="宋体" w:eastAsia="宋体" w:cs="宋体"/>
          <w:b/>
          <w:bCs/>
          <w:color w:val="000000"/>
          <w:kern w:val="36"/>
          <w:sz w:val="18"/>
          <w:szCs w:val="18"/>
          <w:highlight w:val="none"/>
        </w:rPr>
      </w:pPr>
      <w:bookmarkStart w:id="134" w:name="_Toc29200"/>
      <w:r>
        <w:rPr>
          <w:rFonts w:hint="eastAsia" w:ascii="宋体" w:hAnsi="宋体" w:eastAsia="宋体" w:cs="宋体"/>
          <w:b/>
          <w:bCs/>
          <w:color w:val="000000"/>
          <w:kern w:val="36"/>
          <w:sz w:val="18"/>
          <w:szCs w:val="18"/>
          <w:highlight w:val="none"/>
        </w:rPr>
        <w:t>5.草花时花养护标准</w:t>
      </w:r>
      <w:bookmarkEnd w:id="134"/>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5.1 布置效果</w:t>
      </w:r>
    </w:p>
    <w:p>
      <w:pPr>
        <w:widowControl/>
        <w:spacing w:line="560" w:lineRule="exact"/>
        <w:ind w:firstLine="361" w:firstLineChars="200"/>
        <w:jc w:val="left"/>
        <w:rPr>
          <w:rFonts w:hint="eastAsia" w:ascii="宋体" w:hAnsi="宋体" w:eastAsia="宋体" w:cs="宋体"/>
          <w:color w:val="000000"/>
          <w:kern w:val="0"/>
          <w:sz w:val="18"/>
          <w:szCs w:val="18"/>
          <w:highlight w:val="none"/>
        </w:rPr>
      </w:pPr>
      <w:r>
        <w:rPr>
          <w:rFonts w:hint="eastAsia" w:ascii="宋体" w:hAnsi="宋体" w:eastAsia="宋体" w:cs="宋体"/>
          <w:b/>
          <w:color w:val="000000"/>
          <w:kern w:val="0"/>
          <w:sz w:val="18"/>
          <w:szCs w:val="18"/>
          <w:highlight w:val="none"/>
        </w:rPr>
        <w:t xml:space="preserve">5.1.1 </w:t>
      </w:r>
      <w:r>
        <w:rPr>
          <w:rFonts w:hint="eastAsia" w:ascii="宋体" w:hAnsi="宋体" w:eastAsia="宋体" w:cs="宋体"/>
          <w:color w:val="000000"/>
          <w:kern w:val="0"/>
          <w:sz w:val="18"/>
          <w:szCs w:val="18"/>
          <w:highlight w:val="none"/>
        </w:rPr>
        <w:t>按设计精心养护，有全年用花计划，做到四季有花，全年观赏期应不少于340天。</w:t>
      </w:r>
    </w:p>
    <w:p>
      <w:pPr>
        <w:widowControl/>
        <w:spacing w:line="560" w:lineRule="exact"/>
        <w:ind w:firstLine="361" w:firstLineChars="200"/>
        <w:jc w:val="left"/>
        <w:rPr>
          <w:rFonts w:hint="eastAsia" w:ascii="宋体" w:hAnsi="宋体" w:eastAsia="宋体" w:cs="宋体"/>
          <w:color w:val="000000"/>
          <w:kern w:val="0"/>
          <w:sz w:val="18"/>
          <w:szCs w:val="18"/>
          <w:highlight w:val="none"/>
        </w:rPr>
      </w:pPr>
      <w:r>
        <w:rPr>
          <w:rFonts w:hint="eastAsia" w:ascii="宋体" w:hAnsi="宋体" w:eastAsia="宋体" w:cs="宋体"/>
          <w:b/>
          <w:color w:val="000000"/>
          <w:kern w:val="0"/>
          <w:sz w:val="18"/>
          <w:szCs w:val="18"/>
          <w:highlight w:val="none"/>
        </w:rPr>
        <w:t xml:space="preserve">5.1.2 </w:t>
      </w:r>
      <w:r>
        <w:rPr>
          <w:rFonts w:hint="eastAsia" w:ascii="宋体" w:hAnsi="宋体" w:eastAsia="宋体" w:cs="宋体"/>
          <w:color w:val="000000"/>
          <w:kern w:val="0"/>
          <w:sz w:val="18"/>
          <w:szCs w:val="18"/>
          <w:highlight w:val="none"/>
        </w:rPr>
        <w:t>株型、花期整齐，花色艳丽，花量饱满，轮廓清晰，整齐美观，布置效果良好。草花覆盖率达98%以上；草花株行距适宜，无明显黄土裸露现象。</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5.2 草花质量</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5.2.1 时花要求80%以上采用以f1代种子繁育的优质花苗。同一批草花应统一规格，同一品种株高、花色、冠径、花期等无明显差异。</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5.2.2 花卉生长健壮，抗病力强，无明显病虫害，无枯黄叶，根系完好，无严重损伤。</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5.2.3 开花及时，盛花期符合观赏要求。禁用无花苗和已过盛花期的花苗。</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5.2.4 无倒伏、无残缺，无枯枝残花，无杂草垃圾。</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5.3 设施维护标准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花坛、花钵等园林设施应保持清洁完好。</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5.4 土肥标准</w:t>
      </w:r>
    </w:p>
    <w:p>
      <w:pPr>
        <w:widowControl/>
        <w:spacing w:line="560" w:lineRule="exact"/>
        <w:ind w:firstLine="360"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color w:val="000000"/>
          <w:kern w:val="0"/>
          <w:sz w:val="18"/>
          <w:szCs w:val="18"/>
          <w:highlight w:val="none"/>
        </w:rPr>
        <w:t>5.4.1 更换草花时，必须深耕细耙，要去除土层20cm内的</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石块、草屑、残茎和落叶等杂物，苗床高度不得高于侧石或花钵边缘，并施足基肥。严禁肥料污染花、叶，公园、景点、重要路段的绿地禁用有异味的肥料。</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5.4.2 根据天气情况和草花生长习性，及时抗旱浇水、抗涝排水，无干黄、死亡现象。</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5.5病虫害防治标准</w:t>
      </w:r>
    </w:p>
    <w:p>
      <w:pPr>
        <w:widowControl/>
        <w:spacing w:line="560" w:lineRule="exact"/>
        <w:ind w:firstLine="360"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color w:val="000000"/>
          <w:kern w:val="0"/>
          <w:sz w:val="18"/>
          <w:szCs w:val="18"/>
          <w:highlight w:val="none"/>
        </w:rPr>
        <w:t>做好病虫害的防治工作，经常检查、及时防治，无明显病虫害，不影响时花观赏效果。</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5.6卫生标准</w:t>
      </w:r>
    </w:p>
    <w:p>
      <w:pPr>
        <w:widowControl/>
        <w:spacing w:line="560" w:lineRule="exact"/>
        <w:ind w:firstLine="360"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color w:val="000000"/>
          <w:kern w:val="0"/>
          <w:sz w:val="18"/>
          <w:szCs w:val="18"/>
          <w:highlight w:val="none"/>
        </w:rPr>
        <w:t>应及时清除杂草，及时清除残花败叶。无垃圾、杂物、建筑废弃物，无卫生死角。垃圾日产日清，保洁及时；无焚烧垃圾、树叶现象。</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5.7 管理标准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5.7.1 草花管理制度全面落实，台账档案资料完整、详尽；巡查人员、养护人员到岗到位，实行日常巡查；工作人员统一着装，执牌上岗。</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5.7.2 绿地基本完整，无违章侵占、破坏现象；无明显堆物、堆料、搭棚；无违法建设、无违规设摊项目。</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5.7.3 秩序良好，无停放车辆、进入车辆现象；无乱堆乱放、晾晒衣物现象。</w:t>
      </w:r>
    </w:p>
    <w:p>
      <w:pPr>
        <w:widowControl/>
        <w:spacing w:line="560" w:lineRule="exact"/>
        <w:ind w:firstLine="361" w:firstLineChars="200"/>
        <w:jc w:val="left"/>
        <w:outlineLvl w:val="0"/>
        <w:rPr>
          <w:rFonts w:hint="eastAsia" w:ascii="宋体" w:hAnsi="宋体" w:eastAsia="宋体" w:cs="宋体"/>
          <w:b/>
          <w:bCs/>
          <w:color w:val="000000"/>
          <w:kern w:val="36"/>
          <w:sz w:val="18"/>
          <w:szCs w:val="18"/>
          <w:highlight w:val="none"/>
        </w:rPr>
      </w:pPr>
      <w:bookmarkStart w:id="135" w:name="_Toc156725172"/>
      <w:bookmarkStart w:id="136" w:name="_Toc3181"/>
      <w:r>
        <w:rPr>
          <w:rFonts w:hint="eastAsia" w:ascii="宋体" w:hAnsi="宋体" w:eastAsia="宋体" w:cs="宋体"/>
          <w:b/>
          <w:bCs/>
          <w:color w:val="000000"/>
          <w:kern w:val="36"/>
          <w:sz w:val="18"/>
          <w:szCs w:val="18"/>
          <w:highlight w:val="none"/>
        </w:rPr>
        <w:t>6.古树名木（保护树木）养护标准</w:t>
      </w:r>
      <w:bookmarkEnd w:id="135"/>
      <w:bookmarkEnd w:id="136"/>
    </w:p>
    <w:bookmarkEnd w:id="130"/>
    <w:bookmarkEnd w:id="131"/>
    <w:p>
      <w:pPr>
        <w:widowControl/>
        <w:spacing w:line="560" w:lineRule="exact"/>
        <w:ind w:firstLine="361" w:firstLineChars="200"/>
        <w:jc w:val="left"/>
        <w:outlineLvl w:val="0"/>
        <w:rPr>
          <w:rFonts w:hint="eastAsia" w:ascii="宋体" w:hAnsi="宋体" w:eastAsia="宋体" w:cs="宋体"/>
          <w:b/>
          <w:color w:val="000000"/>
          <w:kern w:val="0"/>
          <w:sz w:val="18"/>
          <w:szCs w:val="18"/>
          <w:highlight w:val="none"/>
        </w:rPr>
      </w:pPr>
      <w:bookmarkStart w:id="137" w:name="_Toc28143"/>
      <w:r>
        <w:rPr>
          <w:rFonts w:hint="eastAsia" w:ascii="宋体" w:hAnsi="宋体" w:eastAsia="宋体" w:cs="宋体"/>
          <w:b/>
          <w:color w:val="000000"/>
          <w:kern w:val="0"/>
          <w:sz w:val="18"/>
          <w:szCs w:val="18"/>
          <w:highlight w:val="none"/>
        </w:rPr>
        <w:t>6.1总体标准</w:t>
      </w:r>
      <w:bookmarkEnd w:id="137"/>
    </w:p>
    <w:p>
      <w:pPr>
        <w:widowControl/>
        <w:spacing w:line="560" w:lineRule="exact"/>
        <w:ind w:firstLine="360" w:firstLineChars="200"/>
        <w:jc w:val="left"/>
        <w:outlineLvl w:val="0"/>
        <w:rPr>
          <w:rFonts w:hint="eastAsia" w:ascii="宋体" w:hAnsi="宋体" w:eastAsia="宋体" w:cs="宋体"/>
          <w:color w:val="000000"/>
          <w:kern w:val="0"/>
          <w:sz w:val="18"/>
          <w:szCs w:val="18"/>
          <w:highlight w:val="none"/>
        </w:rPr>
      </w:pPr>
      <w:bookmarkStart w:id="138" w:name="_Toc12750"/>
      <w:r>
        <w:rPr>
          <w:rFonts w:hint="eastAsia" w:ascii="宋体" w:hAnsi="宋体" w:eastAsia="宋体" w:cs="宋体"/>
          <w:color w:val="000000"/>
          <w:kern w:val="0"/>
          <w:sz w:val="18"/>
          <w:szCs w:val="18"/>
          <w:highlight w:val="none"/>
        </w:rPr>
        <w:t>古树名木（保护树木）应有档案和养护技术措施并按计划实施养护，效果良好。具体内容有养护质量、设施维护、土肥标准、病虫害防治标准及管理标准。</w:t>
      </w:r>
      <w:bookmarkEnd w:id="138"/>
    </w:p>
    <w:p>
      <w:pPr>
        <w:widowControl/>
        <w:spacing w:line="560" w:lineRule="exact"/>
        <w:ind w:firstLine="361" w:firstLineChars="200"/>
        <w:jc w:val="left"/>
        <w:outlineLvl w:val="0"/>
        <w:rPr>
          <w:rFonts w:hint="eastAsia" w:ascii="宋体" w:hAnsi="宋体" w:eastAsia="宋体" w:cs="宋体"/>
          <w:b/>
          <w:color w:val="000000"/>
          <w:kern w:val="0"/>
          <w:sz w:val="18"/>
          <w:szCs w:val="18"/>
          <w:highlight w:val="none"/>
        </w:rPr>
      </w:pPr>
      <w:bookmarkStart w:id="139" w:name="_Toc32368"/>
      <w:r>
        <w:rPr>
          <w:rFonts w:hint="eastAsia" w:ascii="宋体" w:hAnsi="宋体" w:eastAsia="宋体" w:cs="宋体"/>
          <w:b/>
          <w:color w:val="000000"/>
          <w:kern w:val="0"/>
          <w:sz w:val="18"/>
          <w:szCs w:val="18"/>
          <w:highlight w:val="none"/>
        </w:rPr>
        <w:t>6.1.1养护质量</w:t>
      </w:r>
      <w:bookmarkEnd w:id="139"/>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6.1.1.1 植株树冠较为丰满、完整、茂盛，具有较好的遮荫及观赏效果。叶片正常，在正常条件下不黄叶，不焦叶，不卷叶。</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6.1.1.2 植株无病虫枝、下垂枝、枯枝、伤损枝、碰线枝；对倾斜树木要控制倾斜度，并逐渐扶正。</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6.1.1.3 严禁在树体上钉钉子、绕铁丝、挂杂物或作为施工的支撑点。严禁攀折、刮蹭和刻划树皮等伤害古树的行为。</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6.1.1.4 有防强风措施，对有倾倒、劈裂或折断的危树及时采取修枝、支撑、加固等措施，遇灾害性天气及时组织进行抢扶。</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6.1.2设施维护</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6.1.2.1 树木有保护标牌，因地制宜地设置围栏保护古树。</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6.1.2.2 树池有硬质边埂，边埂应平整、美观。</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6.1.2.3 支撑不稳或倾斜的古树名木须使用木料、钢材或砌筑假山石等方法支撑，支撑部位要垫胶垫或棕丝保护树干表皮。</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6.1.3 土肥标准</w:t>
      </w:r>
    </w:p>
    <w:p>
      <w:pPr>
        <w:widowControl/>
        <w:spacing w:line="560" w:lineRule="exact"/>
        <w:ind w:firstLine="360"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color w:val="000000"/>
          <w:kern w:val="0"/>
          <w:sz w:val="18"/>
          <w:szCs w:val="18"/>
          <w:highlight w:val="none"/>
        </w:rPr>
        <w:t>6.1.3.1 栽培基质应具有一定的透水、透气、保肥能力，通</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过测定土壤和古树名木枝叶的养分含量，对缺少养分的古树有针对性的施肥，切忌盲目使用化肥和施浓肥。施肥时可在树冠垂直投影的外侧挖开放射沟施肥，或在树冠投影下的根系分布区内用</w:t>
      </w:r>
    </w:p>
    <w:p>
      <w:pPr>
        <w:widowControl/>
        <w:spacing w:line="560" w:lineRule="exac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穴施法施肥。</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6.1.3.2 树木生长环境处地下水位高，应设渗水井或铺设排水设施。雨季及时排除树木根系区的积水。</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6.1.4 病虫害防治标准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要求古树名木植物整体无病虫害危害迹象，定期刷白，做好防蛀防腐处理。</w:t>
      </w:r>
    </w:p>
    <w:p>
      <w:pPr>
        <w:widowControl/>
        <w:spacing w:line="560" w:lineRule="exact"/>
        <w:ind w:firstLine="361" w:firstLineChars="200"/>
        <w:jc w:val="left"/>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6.1.5 管理标准</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6.1.5.1 保持古树及周围环境的清洁，严禁在古树根系分布范围内，严禁厨房或厕所等有污染气体、液体的设施和排放污水的渗沟，严禁在树下设置临时设施、堆放污染古树根系、土壤的物品，树池内无杂草、垃圾和其它杂物，树干无钉子、铁丝、挂杂物等破坏树木生长的物质。</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6.1.5.2 需修剪的古树名木应制定修剪方案，报主管部门批准。古树树体上的伤疤或空洞应及时填充修补防腐。</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6.1.5.3 古树复壮事先应制定严格的方案，报请主管部门审查，经批准后方可实施。</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6.1.5.4 古树移植工程必须事先制定施工技术方案，组织专家评审，报请主管部门审查，经批准后由具有二级或二级以上的园林绿化施工资质的企业承担，并在园林监查部门监督下实施。移后要落实养护管理责任制，及时制定养护方案，并进行跟踪管理，确保质量。</w:t>
      </w:r>
    </w:p>
    <w:p>
      <w:pPr>
        <w:widowControl/>
        <w:spacing w:line="560" w:lineRule="exact"/>
        <w:ind w:firstLine="360" w:firstLineChars="20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6.1.5.5 管理制度全面落实，电子和纸质档案资料完整、详尽，对古树名木的基础资料、变更情况及时记录入档。</w:t>
      </w:r>
    </w:p>
    <w:p>
      <w:pPr>
        <w:widowControl/>
        <w:spacing w:line="560" w:lineRule="exact"/>
        <w:ind w:firstLine="361" w:firstLineChars="200"/>
        <w:jc w:val="left"/>
        <w:rPr>
          <w:rFonts w:hint="eastAsia" w:ascii="宋体" w:hAnsi="宋体" w:eastAsia="宋体" w:cs="宋体"/>
          <w:b/>
          <w:bCs/>
          <w:color w:val="000000"/>
          <w:kern w:val="0"/>
          <w:sz w:val="18"/>
          <w:szCs w:val="18"/>
          <w:highlight w:val="none"/>
          <w:lang w:val="en-US" w:eastAsia="zh-CN"/>
        </w:rPr>
      </w:pPr>
      <w:r>
        <w:rPr>
          <w:rFonts w:hint="eastAsia" w:ascii="宋体" w:hAnsi="宋体" w:cs="宋体"/>
          <w:b/>
          <w:bCs/>
          <w:color w:val="000000"/>
          <w:kern w:val="0"/>
          <w:sz w:val="18"/>
          <w:szCs w:val="18"/>
          <w:highlight w:val="none"/>
          <w:lang w:val="en-US" w:eastAsia="zh-CN"/>
        </w:rPr>
        <w:t>7.1精细化管理标准</w:t>
      </w:r>
      <w:r>
        <w:rPr>
          <w:rFonts w:hint="eastAsia" w:ascii="宋体" w:hAnsi="宋体" w:eastAsia="宋体" w:cs="宋体"/>
          <w:b/>
          <w:bCs/>
          <w:color w:val="000000"/>
          <w:kern w:val="0"/>
          <w:sz w:val="18"/>
          <w:szCs w:val="18"/>
          <w:highlight w:val="none"/>
          <w:lang w:val="en-US" w:eastAsia="zh-CN"/>
        </w:rPr>
        <w:t xml:space="preserve"> </w:t>
      </w:r>
    </w:p>
    <w:p>
      <w:pPr>
        <w:widowControl/>
        <w:spacing w:line="560" w:lineRule="exact"/>
        <w:ind w:firstLine="360" w:firstLineChars="200"/>
        <w:jc w:val="left"/>
        <w:rPr>
          <w:rFonts w:hint="default" w:ascii="宋体" w:hAnsi="宋体" w:eastAsia="宋体" w:cs="宋体"/>
          <w:b w:val="0"/>
          <w:bCs w:val="0"/>
          <w:color w:val="000000"/>
          <w:kern w:val="0"/>
          <w:sz w:val="18"/>
          <w:szCs w:val="18"/>
          <w:highlight w:val="none"/>
          <w:lang w:val="en-US" w:eastAsia="zh-CN"/>
        </w:rPr>
      </w:pPr>
      <w:r>
        <w:rPr>
          <w:rFonts w:hint="eastAsia" w:ascii="宋体" w:hAnsi="宋体" w:cs="宋体"/>
          <w:b w:val="0"/>
          <w:bCs w:val="0"/>
          <w:color w:val="000000"/>
          <w:kern w:val="0"/>
          <w:sz w:val="18"/>
          <w:szCs w:val="18"/>
          <w:highlight w:val="none"/>
          <w:lang w:val="en-US" w:eastAsia="zh-CN"/>
        </w:rPr>
        <w:t>7.1.1精细化管理标准参见</w:t>
      </w:r>
      <w:r>
        <w:rPr>
          <w:rFonts w:hint="eastAsia" w:ascii="宋体" w:hAnsi="宋体" w:eastAsia="宋体" w:cs="宋体"/>
          <w:color w:val="000000"/>
          <w:kern w:val="0"/>
          <w:sz w:val="18"/>
          <w:szCs w:val="18"/>
          <w:highlight w:val="none"/>
          <w:lang w:val="en-US" w:eastAsia="zh-CN"/>
        </w:rPr>
        <w:t>嘉兴市城市管理委员会发布的</w:t>
      </w:r>
      <w:r>
        <w:rPr>
          <w:rFonts w:hint="eastAsia" w:ascii="宋体" w:hAnsi="宋体" w:cs="宋体"/>
          <w:b w:val="0"/>
          <w:bCs w:val="0"/>
          <w:color w:val="000000"/>
          <w:kern w:val="0"/>
          <w:sz w:val="18"/>
          <w:szCs w:val="18"/>
          <w:highlight w:val="none"/>
          <w:lang w:val="en-US" w:eastAsia="zh-CN"/>
        </w:rPr>
        <w:t>《嘉兴市城市精细化管理标准》</w:t>
      </w:r>
    </w:p>
    <w:p>
      <w:pPr>
        <w:widowControl/>
        <w:spacing w:line="560" w:lineRule="exact"/>
        <w:ind w:firstLine="361" w:firstLineChars="200"/>
        <w:jc w:val="left"/>
        <w:rPr>
          <w:rFonts w:hint="default" w:ascii="宋体" w:hAnsi="宋体" w:eastAsia="宋体" w:cs="宋体"/>
          <w:b/>
          <w:bCs/>
          <w:color w:val="000000"/>
          <w:kern w:val="0"/>
          <w:sz w:val="18"/>
          <w:szCs w:val="18"/>
          <w:highlight w:val="none"/>
          <w:lang w:val="en-US" w:eastAsia="zh-CN"/>
        </w:rPr>
      </w:pPr>
      <w:r>
        <w:rPr>
          <w:rFonts w:hint="eastAsia" w:ascii="宋体" w:hAnsi="宋体" w:cs="宋体"/>
          <w:b/>
          <w:bCs/>
          <w:color w:val="000000"/>
          <w:kern w:val="0"/>
          <w:sz w:val="18"/>
          <w:szCs w:val="18"/>
          <w:highlight w:val="none"/>
          <w:lang w:val="en-US" w:eastAsia="zh-CN"/>
        </w:rPr>
        <w:t>8.1其他要求</w:t>
      </w:r>
    </w:p>
    <w:p>
      <w:pPr>
        <w:widowControl/>
        <w:spacing w:line="560" w:lineRule="exact"/>
        <w:ind w:firstLine="360" w:firstLineChars="200"/>
        <w:jc w:val="left"/>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8.1.1</w:t>
      </w:r>
      <w:r>
        <w:rPr>
          <w:rFonts w:hint="eastAsia" w:ascii="宋体" w:hAnsi="宋体" w:eastAsia="宋体" w:cs="宋体"/>
          <w:color w:val="000000"/>
          <w:kern w:val="0"/>
          <w:sz w:val="18"/>
          <w:szCs w:val="18"/>
          <w:highlight w:val="none"/>
          <w:lang w:val="en-US" w:eastAsia="zh-CN"/>
        </w:rPr>
        <w:t>若招标人或上级主管单位要求按照嘉兴市园林市政管理服务中心颁发的关于征求《嘉兴市公共绿地等级分类标准（征求意见稿）》或最终实施稿或在实施期间</w:t>
      </w:r>
      <w:r>
        <w:rPr>
          <w:rFonts w:hint="eastAsia" w:ascii="宋体" w:hAnsi="宋体" w:eastAsia="宋体" w:cs="宋体"/>
          <w:color w:val="000000"/>
          <w:kern w:val="0"/>
          <w:sz w:val="18"/>
          <w:szCs w:val="18"/>
          <w:highlight w:val="none"/>
          <w:lang w:val="en-US" w:eastAsia="zh-CN"/>
        </w:rPr>
        <w:t>颁发的其他最新文件，中标人须无条件满足要求，因此引起的费用不再另行增加、支付。</w:t>
      </w:r>
    </w:p>
    <w:p>
      <w:pPr>
        <w:widowControl/>
        <w:spacing w:line="560" w:lineRule="exact"/>
        <w:ind w:firstLine="360" w:firstLineChars="200"/>
        <w:jc w:val="left"/>
        <w:rPr>
          <w:rFonts w:hint="default" w:ascii="宋体" w:hAnsi="宋体" w:eastAsia="宋体" w:cs="宋体"/>
          <w:color w:val="000000"/>
          <w:kern w:val="0"/>
          <w:sz w:val="18"/>
          <w:szCs w:val="18"/>
          <w:highlight w:val="none"/>
          <w:lang w:val="en-US" w:eastAsia="zh-CN"/>
        </w:rPr>
      </w:pPr>
    </w:p>
    <w:p>
      <w:pPr>
        <w:widowControl/>
        <w:jc w:val="center"/>
        <w:textAlignment w:val="center"/>
        <w:rPr>
          <w:rFonts w:hint="eastAsia" w:ascii="宋体" w:hAnsi="宋体" w:eastAsia="宋体" w:cs="宋体"/>
          <w:b/>
          <w:bCs/>
          <w:kern w:val="0"/>
          <w:sz w:val="18"/>
          <w:szCs w:val="18"/>
          <w:highlight w:val="none"/>
        </w:rPr>
      </w:pPr>
      <w:r>
        <w:rPr>
          <w:rFonts w:hint="eastAsia" w:ascii="宋体" w:hAnsi="宋体" w:eastAsia="宋体" w:cs="宋体"/>
          <w:b/>
          <w:bCs/>
          <w:kern w:val="0"/>
          <w:sz w:val="18"/>
          <w:szCs w:val="18"/>
          <w:highlight w:val="none"/>
        </w:rPr>
        <w:br w:type="page"/>
      </w:r>
    </w:p>
    <w:tbl>
      <w:tblPr>
        <w:tblStyle w:val="49"/>
        <w:tblpPr w:leftFromText="180" w:rightFromText="180" w:vertAnchor="text" w:horzAnchor="page" w:tblpX="1061" w:tblpY="849"/>
        <w:tblOverlap w:val="never"/>
        <w:tblW w:w="9803" w:type="dxa"/>
        <w:tblInd w:w="0" w:type="dxa"/>
        <w:tblLayout w:type="fixed"/>
        <w:tblCellMar>
          <w:top w:w="0" w:type="dxa"/>
          <w:left w:w="0" w:type="dxa"/>
          <w:bottom w:w="0" w:type="dxa"/>
          <w:right w:w="0" w:type="dxa"/>
        </w:tblCellMar>
      </w:tblPr>
      <w:tblGrid>
        <w:gridCol w:w="525"/>
        <w:gridCol w:w="818"/>
        <w:gridCol w:w="562"/>
        <w:gridCol w:w="3758"/>
        <w:gridCol w:w="720"/>
        <w:gridCol w:w="3420"/>
      </w:tblGrid>
      <w:tr>
        <w:tblPrEx>
          <w:tblCellMar>
            <w:top w:w="0" w:type="dxa"/>
            <w:left w:w="0" w:type="dxa"/>
            <w:bottom w:w="0" w:type="dxa"/>
            <w:right w:w="0" w:type="dxa"/>
          </w:tblCellMar>
        </w:tblPrEx>
        <w:trPr>
          <w:trHeight w:val="405" w:hRule="atLeast"/>
        </w:trPr>
        <w:tc>
          <w:tcPr>
            <w:tcW w:w="9803"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b/>
                <w:bCs/>
                <w:kern w:val="0"/>
                <w:sz w:val="18"/>
                <w:szCs w:val="18"/>
                <w:highlight w:val="none"/>
              </w:rPr>
              <w:t>绿化养护质量评分标准</w:t>
            </w:r>
          </w:p>
        </w:tc>
      </w:tr>
      <w:tr>
        <w:tblPrEx>
          <w:tblCellMar>
            <w:top w:w="0" w:type="dxa"/>
            <w:left w:w="0" w:type="dxa"/>
            <w:bottom w:w="0" w:type="dxa"/>
            <w:right w:w="0" w:type="dxa"/>
          </w:tblCellMar>
        </w:tblPrEx>
        <w:trPr>
          <w:trHeight w:val="510" w:hRule="atLeast"/>
        </w:trPr>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序号</w:t>
            </w:r>
          </w:p>
        </w:tc>
        <w:tc>
          <w:tcPr>
            <w:tcW w:w="5138"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养护质量标准</w:t>
            </w:r>
          </w:p>
        </w:tc>
        <w:tc>
          <w:tcPr>
            <w:tcW w:w="72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标准分</w:t>
            </w:r>
          </w:p>
        </w:tc>
        <w:tc>
          <w:tcPr>
            <w:tcW w:w="342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考 核 标 准</w:t>
            </w:r>
          </w:p>
        </w:tc>
      </w:tr>
      <w:tr>
        <w:tblPrEx>
          <w:tblCellMar>
            <w:top w:w="0" w:type="dxa"/>
            <w:left w:w="0" w:type="dxa"/>
            <w:bottom w:w="0" w:type="dxa"/>
            <w:right w:w="0" w:type="dxa"/>
          </w:tblCellMar>
        </w:tblPrEx>
        <w:trPr>
          <w:trHeight w:val="2295" w:hRule="atLeast"/>
        </w:trPr>
        <w:tc>
          <w:tcPr>
            <w:tcW w:w="52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1</w:t>
            </w:r>
          </w:p>
        </w:tc>
        <w:tc>
          <w:tcPr>
            <w:tcW w:w="818"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植</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物</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养</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护</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质</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量</w:t>
            </w:r>
          </w:p>
        </w:tc>
        <w:tc>
          <w:tcPr>
            <w:tcW w:w="5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总体质量</w:t>
            </w: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3743"/>
              </w:tabs>
              <w:spacing w:line="260" w:lineRule="exact"/>
              <w:ind w:right="21" w:rightChars="10"/>
              <w:jc w:val="left"/>
              <w:textAlignment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rPr>
              <w:t>植物生长健壮，长势良好。</w:t>
            </w:r>
            <w:r>
              <w:rPr>
                <w:rFonts w:hint="eastAsia" w:ascii="宋体" w:hAnsi="宋体" w:eastAsia="宋体" w:cs="宋体"/>
                <w:kern w:val="0"/>
                <w:sz w:val="18"/>
                <w:szCs w:val="18"/>
                <w:highlight w:val="none"/>
              </w:rPr>
              <w:br w:type="textWrapping"/>
            </w:r>
            <w:r>
              <w:rPr>
                <w:rFonts w:hint="eastAsia" w:ascii="宋体" w:hAnsi="宋体" w:cs="宋体"/>
                <w:kern w:val="0"/>
                <w:sz w:val="18"/>
                <w:szCs w:val="18"/>
                <w:highlight w:val="none"/>
                <w:lang w:eastAsia="zh-CN"/>
              </w:rPr>
              <w:t>精细化：</w:t>
            </w:r>
            <w:r>
              <w:rPr>
                <w:rFonts w:hint="eastAsia" w:ascii="宋体" w:hAnsi="宋体" w:eastAsia="宋体" w:cs="宋体"/>
                <w:kern w:val="0"/>
                <w:sz w:val="18"/>
                <w:szCs w:val="18"/>
                <w:highlight w:val="none"/>
              </w:rPr>
              <w:t>乔灌木成活率98%以上，乔灌木保存率100%</w:t>
            </w:r>
            <w:r>
              <w:rPr>
                <w:rFonts w:hint="eastAsia" w:ascii="宋体" w:hAnsi="宋体" w:eastAsia="宋体" w:cs="宋体"/>
                <w:kern w:val="0"/>
                <w:sz w:val="18"/>
                <w:szCs w:val="18"/>
                <w:highlight w:val="none"/>
                <w:lang w:eastAsia="zh-CN"/>
              </w:rPr>
              <w:t>，无缺、死株</w:t>
            </w:r>
            <w:r>
              <w:rPr>
                <w:rFonts w:hint="eastAsia" w:ascii="宋体" w:hAnsi="宋体" w:eastAsia="宋体" w:cs="宋体"/>
                <w:kern w:val="0"/>
                <w:sz w:val="18"/>
                <w:szCs w:val="18"/>
                <w:highlight w:val="none"/>
              </w:rPr>
              <w:t>；绿篱、色块完好率98%以上；</w:t>
            </w:r>
            <w:r>
              <w:rPr>
                <w:rFonts w:hint="eastAsia" w:ascii="宋体" w:hAnsi="宋体" w:eastAsia="宋体" w:cs="宋体"/>
                <w:kern w:val="0"/>
                <w:sz w:val="18"/>
                <w:szCs w:val="18"/>
                <w:highlight w:val="none"/>
                <w:lang w:val="en-US" w:eastAsia="zh-CN"/>
              </w:rPr>
              <w:t>适期修剪，曲线润畅，轮廓明显，球类修剪圆整；绿篱及色块无死亡、空缺，新建工程无脱脚现象。</w:t>
            </w:r>
          </w:p>
          <w:p>
            <w:pPr>
              <w:widowControl/>
              <w:tabs>
                <w:tab w:val="left" w:pos="3743"/>
              </w:tabs>
              <w:spacing w:line="260" w:lineRule="exact"/>
              <w:ind w:right="21" w:rightChars="10"/>
              <w:jc w:val="left"/>
              <w:textAlignment w:val="center"/>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rPr>
              <w:t>草坪及地被植物整齐一致，覆盖率98 %以</w:t>
            </w:r>
            <w:r>
              <w:rPr>
                <w:rFonts w:hint="eastAsia" w:ascii="宋体" w:hAnsi="宋体" w:eastAsia="宋体" w:cs="宋体"/>
                <w:kern w:val="0"/>
                <w:sz w:val="18"/>
                <w:szCs w:val="18"/>
                <w:highlight w:val="none"/>
                <w:lang w:val="en-US" w:eastAsia="zh-CN"/>
              </w:rPr>
              <w:t>上，草坪适时修剪，高度保持在 10cm 之内。草坪无黄化现象，无杂草、无斑秃、无裸露地面。草坪绿色期：冷季型草坪不得少于 300 天，暖季型草坪不得少于 210 天。</w:t>
            </w:r>
          </w:p>
          <w:p>
            <w:pPr>
              <w:widowControl/>
              <w:tabs>
                <w:tab w:val="left" w:pos="3743"/>
              </w:tabs>
              <w:spacing w:line="260" w:lineRule="exact"/>
              <w:ind w:right="21" w:rightChars="10"/>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一级：乔灌木成活率98%以上，乔灌木保存率100%；绿篱、色块完好率98%以上；草坪及地被植物整齐一致，覆盖率98 %以上。</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二级：乔灌木成活率98%以上，乔灌木保存率99%；绿篱、色块完好率95%以上；草坪及地被植物整齐一致，覆盖率95 %以上。</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三级：乔灌木成活率95%以上，乔灌木保存率98%；绿篱、色块完好率90%以上；草坪及地被植物整齐一致，覆盖率90%以上。</w:t>
            </w:r>
          </w:p>
        </w:tc>
        <w:tc>
          <w:tcPr>
            <w:tcW w:w="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植物长势一般,植物成活率、保存率、完好率、覆盖率未达到养护要求的，每低于1个百分点扣1分；在原有保存率的基础上，每增长1个百分点，加2分</w:t>
            </w:r>
          </w:p>
        </w:tc>
      </w:tr>
      <w:tr>
        <w:tblPrEx>
          <w:tblCellMar>
            <w:top w:w="0" w:type="dxa"/>
            <w:left w:w="0" w:type="dxa"/>
            <w:bottom w:w="0" w:type="dxa"/>
            <w:right w:w="0" w:type="dxa"/>
          </w:tblCellMar>
        </w:tblPrEx>
        <w:trPr>
          <w:trHeight w:val="575"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乔灌木(含行道树、古树名木)</w:t>
            </w: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按树木生长习性进行修剪：修剪整齐、留枝均匀、疏密适度，剪口平滑</w:t>
            </w:r>
          </w:p>
        </w:tc>
        <w:tc>
          <w:tcPr>
            <w:tcW w:w="7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修剪不及时发现一株扣1分；出现因修剪而产生的树皮拉伤现象每处扣1分</w:t>
            </w:r>
          </w:p>
        </w:tc>
      </w:tr>
      <w:tr>
        <w:tblPrEx>
          <w:tblCellMar>
            <w:top w:w="0" w:type="dxa"/>
            <w:left w:w="0" w:type="dxa"/>
            <w:bottom w:w="0" w:type="dxa"/>
            <w:right w:w="0" w:type="dxa"/>
          </w:tblCellMar>
        </w:tblPrEx>
        <w:trPr>
          <w:trHeight w:val="1058"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行道树、绿地内乔灌木无死树、死株现象；古树名木保护完好，无死株现象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rPr>
              <w:t>发现有死树、死株未及时清除的每处扣</w:t>
            </w:r>
            <w:r>
              <w:rPr>
                <w:rStyle w:val="111"/>
                <w:rFonts w:hint="eastAsia" w:ascii="宋体" w:hAnsi="宋体" w:eastAsia="宋体" w:cs="宋体"/>
                <w:color w:val="000000"/>
                <w:sz w:val="18"/>
                <w:szCs w:val="18"/>
                <w:highlight w:val="none"/>
              </w:rPr>
              <w:t>1</w:t>
            </w:r>
            <w:r>
              <w:rPr>
                <w:rFonts w:hint="eastAsia" w:ascii="宋体" w:hAnsi="宋体" w:eastAsia="宋体" w:cs="宋体"/>
                <w:color w:val="000000"/>
                <w:kern w:val="0"/>
                <w:sz w:val="18"/>
                <w:szCs w:val="18"/>
                <w:highlight w:val="none"/>
              </w:rPr>
              <w:t>分；死亡苗木未及时补种的每处扣</w:t>
            </w:r>
            <w:r>
              <w:rPr>
                <w:rStyle w:val="111"/>
                <w:rFonts w:hint="eastAsia" w:ascii="宋体" w:hAnsi="宋体" w:eastAsia="宋体" w:cs="宋体"/>
                <w:color w:val="000000"/>
                <w:sz w:val="18"/>
                <w:szCs w:val="18"/>
                <w:highlight w:val="none"/>
              </w:rPr>
              <w:t>1</w:t>
            </w:r>
            <w:r>
              <w:rPr>
                <w:rFonts w:hint="eastAsia" w:ascii="宋体" w:hAnsi="宋体" w:eastAsia="宋体" w:cs="宋体"/>
                <w:color w:val="000000"/>
                <w:kern w:val="0"/>
                <w:sz w:val="18"/>
                <w:szCs w:val="18"/>
                <w:highlight w:val="none"/>
              </w:rPr>
              <w:t>分；补种苗木达不到原规格的每处扣</w:t>
            </w:r>
            <w:r>
              <w:rPr>
                <w:rStyle w:val="111"/>
                <w:rFonts w:hint="eastAsia" w:ascii="宋体" w:hAnsi="宋体" w:eastAsia="宋体" w:cs="宋体"/>
                <w:color w:val="000000"/>
                <w:sz w:val="18"/>
                <w:szCs w:val="18"/>
                <w:highlight w:val="none"/>
              </w:rPr>
              <w:t>1</w:t>
            </w:r>
            <w:r>
              <w:rPr>
                <w:rFonts w:hint="eastAsia" w:ascii="宋体" w:hAnsi="宋体" w:eastAsia="宋体" w:cs="宋体"/>
                <w:color w:val="000000"/>
                <w:kern w:val="0"/>
                <w:sz w:val="18"/>
                <w:szCs w:val="18"/>
                <w:highlight w:val="none"/>
              </w:rPr>
              <w:t>分；古树名木发现死株每处扣</w:t>
            </w:r>
            <w:r>
              <w:rPr>
                <w:rStyle w:val="111"/>
                <w:rFonts w:hint="eastAsia" w:ascii="宋体" w:hAnsi="宋体" w:eastAsia="宋体" w:cs="宋体"/>
                <w:color w:val="000000"/>
                <w:sz w:val="18"/>
                <w:szCs w:val="18"/>
                <w:highlight w:val="none"/>
              </w:rPr>
              <w:t>10</w:t>
            </w:r>
            <w:r>
              <w:rPr>
                <w:rFonts w:hint="eastAsia" w:ascii="宋体" w:hAnsi="宋体" w:eastAsia="宋体" w:cs="宋体"/>
                <w:color w:val="000000"/>
                <w:kern w:val="0"/>
                <w:sz w:val="18"/>
                <w:szCs w:val="18"/>
                <w:highlight w:val="none"/>
              </w:rPr>
              <w:t>分</w:t>
            </w:r>
          </w:p>
        </w:tc>
      </w:tr>
      <w:tr>
        <w:tblPrEx>
          <w:tblCellMar>
            <w:top w:w="0" w:type="dxa"/>
            <w:left w:w="0" w:type="dxa"/>
            <w:bottom w:w="0" w:type="dxa"/>
            <w:right w:w="0" w:type="dxa"/>
          </w:tblCellMar>
        </w:tblPrEx>
        <w:trPr>
          <w:trHeight w:val="335"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植株无歪斜、倒伏现象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rPr>
              <w:t>歪斜、倒伏植株不及时扶正的每处扣1分</w:t>
            </w:r>
          </w:p>
        </w:tc>
      </w:tr>
      <w:tr>
        <w:tblPrEx>
          <w:tblCellMar>
            <w:top w:w="0" w:type="dxa"/>
            <w:left w:w="0" w:type="dxa"/>
            <w:bottom w:w="0" w:type="dxa"/>
            <w:right w:w="0" w:type="dxa"/>
          </w:tblCellMar>
        </w:tblPrEx>
        <w:trPr>
          <w:trHeight w:val="434"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树上无藤蔓、钉子，铁丝、电线等捆绑物及杂物</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发现树上有藤蔓、钉子，铁丝、电线等捆绑物及杂物处扣1分</w:t>
            </w:r>
          </w:p>
        </w:tc>
      </w:tr>
      <w:tr>
        <w:tblPrEx>
          <w:tblCellMar>
            <w:top w:w="0" w:type="dxa"/>
            <w:left w:w="0" w:type="dxa"/>
            <w:bottom w:w="0" w:type="dxa"/>
            <w:right w:w="0" w:type="dxa"/>
          </w:tblCellMar>
        </w:tblPrEx>
        <w:trPr>
          <w:trHeight w:val="51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行道树、古树名木、绿地内乔灌木无断枝、死枝及明显枯枝现象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绿地内发现有断枝、死枝、枯枝每处扣0.5分</w:t>
            </w:r>
          </w:p>
        </w:tc>
      </w:tr>
      <w:tr>
        <w:tblPrEx>
          <w:tblCellMar>
            <w:top w:w="0" w:type="dxa"/>
            <w:left w:w="0" w:type="dxa"/>
            <w:bottom w:w="0" w:type="dxa"/>
            <w:right w:w="0" w:type="dxa"/>
          </w:tblCellMar>
        </w:tblPrEx>
        <w:trPr>
          <w:trHeight w:val="405"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每</w:t>
            </w:r>
            <w:r>
              <w:rPr>
                <w:rFonts w:hint="eastAsia" w:ascii="宋体" w:hAnsi="宋体" w:eastAsia="宋体" w:cs="宋体"/>
                <w:color w:val="000000"/>
                <w:kern w:val="0"/>
                <w:sz w:val="18"/>
                <w:szCs w:val="18"/>
                <w:highlight w:val="none"/>
              </w:rPr>
              <w:t>年</w:t>
            </w:r>
            <w:r>
              <w:rPr>
                <w:rStyle w:val="111"/>
                <w:rFonts w:hint="eastAsia" w:ascii="宋体" w:hAnsi="宋体" w:eastAsia="宋体" w:cs="宋体"/>
                <w:color w:val="000000"/>
                <w:sz w:val="18"/>
                <w:szCs w:val="18"/>
                <w:highlight w:val="none"/>
              </w:rPr>
              <w:t>11</w:t>
            </w:r>
            <w:r>
              <w:rPr>
                <w:rFonts w:hint="eastAsia" w:ascii="宋体" w:hAnsi="宋体" w:eastAsia="宋体" w:cs="宋体"/>
                <w:color w:val="000000"/>
                <w:kern w:val="0"/>
                <w:sz w:val="18"/>
                <w:szCs w:val="18"/>
                <w:highlight w:val="none"/>
              </w:rPr>
              <w:t>月完成树木</w:t>
            </w:r>
            <w:r>
              <w:rPr>
                <w:rFonts w:hint="eastAsia" w:ascii="宋体" w:hAnsi="宋体" w:eastAsia="宋体" w:cs="宋体"/>
                <w:kern w:val="0"/>
                <w:sz w:val="18"/>
                <w:szCs w:val="18"/>
                <w:highlight w:val="none"/>
              </w:rPr>
              <w:t>冬季涂白</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涂白季节不涂白此项不得分</w:t>
            </w:r>
          </w:p>
        </w:tc>
      </w:tr>
      <w:tr>
        <w:tblPrEx>
          <w:tblCellMar>
            <w:top w:w="0" w:type="dxa"/>
            <w:left w:w="0" w:type="dxa"/>
            <w:bottom w:w="0" w:type="dxa"/>
            <w:right w:w="0" w:type="dxa"/>
          </w:tblCellMar>
        </w:tblPrEx>
        <w:trPr>
          <w:trHeight w:val="821"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色块、绿篱、球类(含高挂箱)</w:t>
            </w: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花灌木修剪及时、准确；色块、绿篱适期修剪，曲线润畅，轮廓明显，球类修剪圆整</w:t>
            </w:r>
          </w:p>
        </w:tc>
        <w:tc>
          <w:tcPr>
            <w:tcW w:w="7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10%色块面积的枝条超过10cm，每处扣1分；色块灌木高度不一，曲线不流畅的，每次扣1分；观感质量达不到要求每处扣0.5分</w:t>
            </w:r>
          </w:p>
        </w:tc>
      </w:tr>
      <w:tr>
        <w:tblPrEx>
          <w:tblCellMar>
            <w:top w:w="0" w:type="dxa"/>
            <w:left w:w="0" w:type="dxa"/>
            <w:bottom w:w="0" w:type="dxa"/>
            <w:right w:w="0" w:type="dxa"/>
          </w:tblCellMar>
        </w:tblPrEx>
        <w:trPr>
          <w:trHeight w:val="836"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球类无缺株，绿篱及色块无死亡、空缺，无脱脚现象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灌木球类有缺株的每处扣1分，绿篱及色块有死亡、空缺的每1m</w:t>
            </w:r>
            <w:r>
              <w:rPr>
                <w:rStyle w:val="103"/>
                <w:rFonts w:hint="eastAsia" w:ascii="宋体" w:hAnsi="宋体" w:eastAsia="宋体" w:cs="宋体"/>
                <w:sz w:val="18"/>
                <w:szCs w:val="18"/>
                <w:highlight w:val="none"/>
                <w:vertAlign w:val="superscript"/>
              </w:rPr>
              <w:t>2</w:t>
            </w:r>
            <w:r>
              <w:rPr>
                <w:rFonts w:hint="eastAsia" w:ascii="宋体" w:hAnsi="宋体" w:eastAsia="宋体" w:cs="宋体"/>
                <w:kern w:val="0"/>
                <w:sz w:val="18"/>
                <w:szCs w:val="18"/>
                <w:highlight w:val="none"/>
              </w:rPr>
              <w:t>扣0.5分，有脱脚现象每处扣0.5分</w:t>
            </w:r>
          </w:p>
        </w:tc>
      </w:tr>
      <w:tr>
        <w:tblPrEx>
          <w:tblCellMar>
            <w:top w:w="0" w:type="dxa"/>
            <w:left w:w="0" w:type="dxa"/>
            <w:bottom w:w="0" w:type="dxa"/>
            <w:right w:w="0" w:type="dxa"/>
          </w:tblCellMar>
        </w:tblPrEx>
        <w:trPr>
          <w:trHeight w:val="9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无杂草、无苗木生长不良现象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色块、绿篱内杂草未拔除，每1m2扣0.5分、苗木明显生长不良每1m2扣0.5分</w:t>
            </w:r>
          </w:p>
        </w:tc>
      </w:tr>
      <w:tr>
        <w:tblPrEx>
          <w:tblCellMar>
            <w:top w:w="0" w:type="dxa"/>
            <w:left w:w="0" w:type="dxa"/>
            <w:bottom w:w="0" w:type="dxa"/>
            <w:right w:w="0" w:type="dxa"/>
          </w:tblCellMar>
        </w:tblPrEx>
        <w:trPr>
          <w:trHeight w:val="876"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草坪、地被</w:t>
            </w: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草坪、地被应长势良好，无黄化现象；草坪适时修剪，边缘清晰（切边整齐）</w:t>
            </w:r>
          </w:p>
        </w:tc>
        <w:tc>
          <w:tcPr>
            <w:tcW w:w="72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草坪有黄化现象大于1 m</w:t>
            </w:r>
            <w:r>
              <w:rPr>
                <w:rStyle w:val="103"/>
                <w:rFonts w:hint="eastAsia" w:ascii="宋体" w:hAnsi="宋体" w:eastAsia="宋体" w:cs="宋体"/>
                <w:sz w:val="18"/>
                <w:szCs w:val="18"/>
                <w:highlight w:val="none"/>
                <w:vertAlign w:val="superscript"/>
              </w:rPr>
              <w:t>2</w:t>
            </w:r>
            <w:r>
              <w:rPr>
                <w:rFonts w:hint="eastAsia" w:ascii="宋体" w:hAnsi="宋体" w:eastAsia="宋体" w:cs="宋体"/>
                <w:kern w:val="0"/>
                <w:sz w:val="18"/>
                <w:szCs w:val="18"/>
                <w:highlight w:val="none"/>
              </w:rPr>
              <w:t>每1m</w:t>
            </w:r>
            <w:r>
              <w:rPr>
                <w:rStyle w:val="103"/>
                <w:rFonts w:hint="eastAsia" w:ascii="宋体" w:hAnsi="宋体" w:eastAsia="宋体" w:cs="宋体"/>
                <w:sz w:val="18"/>
                <w:szCs w:val="18"/>
                <w:highlight w:val="none"/>
                <w:vertAlign w:val="superscript"/>
              </w:rPr>
              <w:t>2</w:t>
            </w:r>
            <w:r>
              <w:rPr>
                <w:rFonts w:hint="eastAsia" w:ascii="宋体" w:hAnsi="宋体" w:eastAsia="宋体" w:cs="宋体"/>
                <w:kern w:val="0"/>
                <w:sz w:val="18"/>
                <w:szCs w:val="18"/>
                <w:highlight w:val="none"/>
              </w:rPr>
              <w:t>扣1分，草坪未及时修剪每处扣1分（草坪高度控制在10cm以内</w:t>
            </w:r>
            <w:r>
              <w:rPr>
                <w:rStyle w:val="373"/>
                <w:rFonts w:hint="eastAsia" w:ascii="宋体" w:hAnsi="宋体" w:eastAsia="宋体" w:cs="宋体"/>
                <w:sz w:val="18"/>
                <w:szCs w:val="18"/>
                <w:highlight w:val="none"/>
              </w:rPr>
              <w:t>.</w:t>
            </w:r>
            <w:r>
              <w:rPr>
                <w:rFonts w:hint="eastAsia" w:ascii="宋体" w:hAnsi="宋体" w:eastAsia="宋体" w:cs="宋体"/>
                <w:kern w:val="0"/>
                <w:sz w:val="18"/>
                <w:szCs w:val="18"/>
                <w:highlight w:val="none"/>
              </w:rPr>
              <w:t>）</w:t>
            </w:r>
          </w:p>
        </w:tc>
      </w:tr>
      <w:tr>
        <w:tblPrEx>
          <w:tblCellMar>
            <w:top w:w="0" w:type="dxa"/>
            <w:left w:w="0" w:type="dxa"/>
            <w:bottom w:w="0" w:type="dxa"/>
            <w:right w:w="0" w:type="dxa"/>
          </w:tblCellMar>
        </w:tblPrEx>
        <w:trPr>
          <w:trHeight w:val="9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无杂草</w:t>
            </w:r>
          </w:p>
        </w:tc>
        <w:tc>
          <w:tcPr>
            <w:tcW w:w="720"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草坪、地被杂草未拔除，每1m</w:t>
            </w:r>
            <w:r>
              <w:rPr>
                <w:rStyle w:val="103"/>
                <w:rFonts w:hint="eastAsia" w:ascii="宋体" w:hAnsi="宋体" w:eastAsia="宋体" w:cs="宋体"/>
                <w:sz w:val="18"/>
                <w:szCs w:val="18"/>
                <w:highlight w:val="none"/>
                <w:vertAlign w:val="superscript"/>
              </w:rPr>
              <w:t>2</w:t>
            </w:r>
            <w:r>
              <w:rPr>
                <w:rFonts w:hint="eastAsia" w:ascii="宋体" w:hAnsi="宋体" w:eastAsia="宋体" w:cs="宋体"/>
                <w:kern w:val="0"/>
                <w:sz w:val="18"/>
                <w:szCs w:val="18"/>
                <w:highlight w:val="none"/>
              </w:rPr>
              <w:t>扣0.5分</w:t>
            </w:r>
          </w:p>
        </w:tc>
      </w:tr>
      <w:tr>
        <w:tblPrEx>
          <w:tblCellMar>
            <w:top w:w="0" w:type="dxa"/>
            <w:left w:w="0" w:type="dxa"/>
            <w:bottom w:w="0" w:type="dxa"/>
            <w:right w:w="0" w:type="dxa"/>
          </w:tblCellMar>
        </w:tblPrEx>
        <w:trPr>
          <w:trHeight w:val="60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草坪、地被无空缺，如有空缺应及时重播或重铺</w:t>
            </w:r>
          </w:p>
        </w:tc>
        <w:tc>
          <w:tcPr>
            <w:tcW w:w="720"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草坪、地被空缺面积超0.5m</w:t>
            </w:r>
            <w:r>
              <w:rPr>
                <w:rStyle w:val="103"/>
                <w:rFonts w:hint="eastAsia" w:ascii="宋体" w:hAnsi="宋体" w:eastAsia="宋体" w:cs="宋体"/>
                <w:sz w:val="18"/>
                <w:szCs w:val="18"/>
                <w:highlight w:val="none"/>
                <w:vertAlign w:val="superscript"/>
              </w:rPr>
              <w:t>2</w:t>
            </w:r>
            <w:r>
              <w:rPr>
                <w:rFonts w:hint="eastAsia" w:ascii="宋体" w:hAnsi="宋体" w:eastAsia="宋体" w:cs="宋体"/>
                <w:kern w:val="0"/>
                <w:sz w:val="18"/>
                <w:szCs w:val="18"/>
                <w:highlight w:val="none"/>
              </w:rPr>
              <w:t>每处扣1分，超2 m</w:t>
            </w:r>
            <w:r>
              <w:rPr>
                <w:rStyle w:val="103"/>
                <w:rFonts w:hint="eastAsia" w:ascii="宋体" w:hAnsi="宋体" w:eastAsia="宋体" w:cs="宋体"/>
                <w:sz w:val="18"/>
                <w:szCs w:val="18"/>
                <w:highlight w:val="none"/>
                <w:vertAlign w:val="superscript"/>
              </w:rPr>
              <w:t>2</w:t>
            </w:r>
            <w:r>
              <w:rPr>
                <w:rFonts w:hint="eastAsia" w:ascii="宋体" w:hAnsi="宋体" w:eastAsia="宋体" w:cs="宋体"/>
                <w:kern w:val="0"/>
                <w:sz w:val="18"/>
                <w:szCs w:val="18"/>
                <w:highlight w:val="none"/>
              </w:rPr>
              <w:t xml:space="preserve"> 每处扣2分</w:t>
            </w:r>
          </w:p>
        </w:tc>
      </w:tr>
      <w:tr>
        <w:tblPrEx>
          <w:tblCellMar>
            <w:top w:w="0" w:type="dxa"/>
            <w:left w:w="0" w:type="dxa"/>
            <w:bottom w:w="0" w:type="dxa"/>
            <w:right w:w="0" w:type="dxa"/>
          </w:tblCellMar>
        </w:tblPrEx>
        <w:trPr>
          <w:trHeight w:val="585" w:hRule="atLeast"/>
        </w:trPr>
        <w:tc>
          <w:tcPr>
            <w:tcW w:w="52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562"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7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干旱天气及时浇水，无因管理不善引起草坪、地被死亡</w:t>
            </w:r>
          </w:p>
        </w:tc>
        <w:tc>
          <w:tcPr>
            <w:tcW w:w="72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干旱天气及时浇水，因管理不善引起草坪、地被死亡的，每1m</w:t>
            </w:r>
            <w:r>
              <w:rPr>
                <w:rStyle w:val="103"/>
                <w:rFonts w:hint="eastAsia" w:ascii="宋体" w:hAnsi="宋体" w:eastAsia="宋体" w:cs="宋体"/>
                <w:sz w:val="18"/>
                <w:szCs w:val="18"/>
                <w:highlight w:val="none"/>
                <w:vertAlign w:val="superscript"/>
              </w:rPr>
              <w:t>2</w:t>
            </w:r>
            <w:r>
              <w:rPr>
                <w:rFonts w:hint="eastAsia" w:ascii="宋体" w:hAnsi="宋体" w:eastAsia="宋体" w:cs="宋体"/>
                <w:kern w:val="0"/>
                <w:sz w:val="18"/>
                <w:szCs w:val="18"/>
                <w:highlight w:val="none"/>
              </w:rPr>
              <w:t>扣1分</w:t>
            </w:r>
          </w:p>
        </w:tc>
      </w:tr>
      <w:tr>
        <w:tblPrEx>
          <w:tblCellMar>
            <w:top w:w="0" w:type="dxa"/>
            <w:left w:w="0" w:type="dxa"/>
            <w:bottom w:w="0" w:type="dxa"/>
            <w:right w:w="0" w:type="dxa"/>
          </w:tblCellMar>
        </w:tblPrEx>
        <w:trPr>
          <w:trHeight w:val="1066" w:hRule="atLeast"/>
        </w:trPr>
        <w:tc>
          <w:tcPr>
            <w:tcW w:w="525" w:type="dxa"/>
            <w:vMerge w:val="restart"/>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2</w:t>
            </w:r>
          </w:p>
        </w:tc>
        <w:tc>
          <w:tcPr>
            <w:tcW w:w="8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设施维护</w:t>
            </w:r>
          </w:p>
        </w:tc>
        <w:tc>
          <w:tcPr>
            <w:tcW w:w="432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园林建筑、小品、厕所等屋面、墙面、天花板等无渗漏；门窗、隔离板、灯具、洁具、水阀、电闸、电路等完好有效。</w:t>
            </w:r>
          </w:p>
        </w:tc>
        <w:tc>
          <w:tcPr>
            <w:tcW w:w="7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42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园林建筑、小品、厕所等屋面、墙面、天花板等有渗漏每处扣0.5分；门窗、隔离板、灯具、洁具、水阀、电闸等有缺损，电路老化每处扣0.5分</w:t>
            </w:r>
          </w:p>
        </w:tc>
      </w:tr>
      <w:tr>
        <w:tblPrEx>
          <w:tblCellMar>
            <w:top w:w="0" w:type="dxa"/>
            <w:left w:w="0" w:type="dxa"/>
            <w:bottom w:w="0" w:type="dxa"/>
            <w:right w:w="0" w:type="dxa"/>
          </w:tblCellMar>
        </w:tblPrEx>
        <w:trPr>
          <w:trHeight w:val="555" w:hRule="atLeast"/>
        </w:trPr>
        <w:tc>
          <w:tcPr>
            <w:tcW w:w="525"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公园绿地用电、用水、游乐和消防设施定期检查，确保安全运行</w:t>
            </w:r>
          </w:p>
        </w:tc>
        <w:tc>
          <w:tcPr>
            <w:tcW w:w="72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发现安全隐患，扣2分</w:t>
            </w:r>
          </w:p>
        </w:tc>
      </w:tr>
      <w:tr>
        <w:tblPrEx>
          <w:tblCellMar>
            <w:top w:w="0" w:type="dxa"/>
            <w:left w:w="0" w:type="dxa"/>
            <w:bottom w:w="0" w:type="dxa"/>
            <w:right w:w="0" w:type="dxa"/>
          </w:tblCellMar>
        </w:tblPrEx>
        <w:trPr>
          <w:trHeight w:val="570" w:hRule="atLeast"/>
        </w:trPr>
        <w:tc>
          <w:tcPr>
            <w:tcW w:w="525"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公园、绿地内路灯设施完好，正常照明，发现照明问题，及时联系相关部门进行修复</w:t>
            </w:r>
          </w:p>
        </w:tc>
        <w:tc>
          <w:tcPr>
            <w:tcW w:w="72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未及时发现、上报照明问题，扣2分</w:t>
            </w:r>
          </w:p>
        </w:tc>
      </w:tr>
      <w:tr>
        <w:tblPrEx>
          <w:tblCellMar>
            <w:top w:w="0" w:type="dxa"/>
            <w:left w:w="0" w:type="dxa"/>
            <w:bottom w:w="0" w:type="dxa"/>
            <w:right w:w="0" w:type="dxa"/>
          </w:tblCellMar>
        </w:tblPrEx>
        <w:trPr>
          <w:trHeight w:val="690" w:hRule="atLeast"/>
        </w:trPr>
        <w:tc>
          <w:tcPr>
            <w:tcW w:w="525"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指示牌、园路、园椅、石凳、花坛、古树名木维护设施等园林设施安全，保持完好率符合绿地养护标准，发现问题及时修复</w:t>
            </w:r>
          </w:p>
        </w:tc>
        <w:tc>
          <w:tcPr>
            <w:tcW w:w="72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园林设施损坏，限期维修，不及时修复的，发现一处扣0.5分</w:t>
            </w:r>
          </w:p>
        </w:tc>
      </w:tr>
      <w:tr>
        <w:tblPrEx>
          <w:tblCellMar>
            <w:top w:w="0" w:type="dxa"/>
            <w:left w:w="0" w:type="dxa"/>
            <w:bottom w:w="0" w:type="dxa"/>
            <w:right w:w="0" w:type="dxa"/>
          </w:tblCellMar>
        </w:tblPrEx>
        <w:trPr>
          <w:trHeight w:val="585" w:hRule="atLeast"/>
        </w:trPr>
        <w:tc>
          <w:tcPr>
            <w:tcW w:w="525"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园林建筑、小品等设施无尘土、蛛网、废弃物等</w:t>
            </w:r>
          </w:p>
        </w:tc>
        <w:tc>
          <w:tcPr>
            <w:tcW w:w="72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园林建筑、小品等设施有尘土、蛛网、废弃物等，每处扣0.5分</w:t>
            </w:r>
          </w:p>
        </w:tc>
      </w:tr>
      <w:tr>
        <w:tblPrEx>
          <w:tblCellMar>
            <w:top w:w="0" w:type="dxa"/>
            <w:left w:w="0" w:type="dxa"/>
            <w:bottom w:w="0" w:type="dxa"/>
            <w:right w:w="0" w:type="dxa"/>
          </w:tblCellMar>
        </w:tblPrEx>
        <w:trPr>
          <w:trHeight w:val="645" w:hRule="atLeast"/>
        </w:trPr>
        <w:tc>
          <w:tcPr>
            <w:tcW w:w="52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亭、廊、花架及其它园林建构筑、小品等，每两年粉刷油漆一次</w:t>
            </w:r>
          </w:p>
        </w:tc>
        <w:tc>
          <w:tcPr>
            <w:tcW w:w="72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不粉刷油漆此项不得分</w:t>
            </w:r>
          </w:p>
        </w:tc>
      </w:tr>
      <w:tr>
        <w:tblPrEx>
          <w:tblCellMar>
            <w:top w:w="0" w:type="dxa"/>
            <w:left w:w="0" w:type="dxa"/>
            <w:bottom w:w="0" w:type="dxa"/>
            <w:right w:w="0" w:type="dxa"/>
          </w:tblCellMar>
        </w:tblPrEx>
        <w:trPr>
          <w:trHeight w:val="780" w:hRule="atLeast"/>
        </w:trPr>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3</w:t>
            </w:r>
          </w:p>
        </w:tc>
        <w:tc>
          <w:tcPr>
            <w:tcW w:w="8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土肥管理</w:t>
            </w: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根据植物生长特性及时施肥，充分利用有机肥，也可施复合肥，增强土壤肥力；绿地施肥一年不少于二次，每次施肥前应报园林管理处验收、备案</w:t>
            </w:r>
          </w:p>
        </w:tc>
        <w:tc>
          <w:tcPr>
            <w:tcW w:w="7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绿地施肥期不施肥，此项不得分</w:t>
            </w:r>
          </w:p>
        </w:tc>
      </w:tr>
      <w:tr>
        <w:tblPrEx>
          <w:tblCellMar>
            <w:top w:w="0" w:type="dxa"/>
            <w:left w:w="0" w:type="dxa"/>
            <w:bottom w:w="0" w:type="dxa"/>
            <w:right w:w="0" w:type="dxa"/>
          </w:tblCellMar>
        </w:tblPrEx>
        <w:trPr>
          <w:trHeight w:val="750"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高架挂箱基质每年松土一次施肥二次，每三年更换一次基质。</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高架挂箱未按要求松土，扣2分；未按要求施肥，扣3分；未按要求换土扣2分</w:t>
            </w:r>
          </w:p>
        </w:tc>
      </w:tr>
      <w:tr>
        <w:tblPrEx>
          <w:tblCellMar>
            <w:top w:w="0" w:type="dxa"/>
            <w:left w:w="0" w:type="dxa"/>
            <w:bottom w:w="0" w:type="dxa"/>
            <w:right w:w="0" w:type="dxa"/>
          </w:tblCellMar>
        </w:tblPrEx>
        <w:trPr>
          <w:trHeight w:val="867"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根据天气情况和植物特性，适时浇水，及时抗旱、抗涝排水，无缺水枯死植株，无积水。</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未及时抗旱浇水、排涝，导致植物枯死，发生涝害，扣5分</w:t>
            </w:r>
          </w:p>
        </w:tc>
      </w:tr>
      <w:tr>
        <w:tblPrEx>
          <w:tblCellMar>
            <w:top w:w="0" w:type="dxa"/>
            <w:left w:w="0" w:type="dxa"/>
            <w:bottom w:w="0" w:type="dxa"/>
            <w:right w:w="0" w:type="dxa"/>
          </w:tblCellMar>
        </w:tblPrEx>
        <w:trPr>
          <w:trHeight w:val="1300" w:hRule="atLeast"/>
        </w:trPr>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4</w:t>
            </w:r>
          </w:p>
        </w:tc>
        <w:tc>
          <w:tcPr>
            <w:tcW w:w="8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病虫害防治</w:t>
            </w: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提倡生物防治和综合防治；控制及时，无明显病虫害，对园林景观无影响，枝叶、树干受害率符合养护标准要求</w:t>
            </w:r>
          </w:p>
        </w:tc>
        <w:tc>
          <w:tcPr>
            <w:tcW w:w="7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白蚁危害未上报</w:t>
            </w:r>
            <w:r>
              <w:rPr>
                <w:rFonts w:hint="eastAsia" w:ascii="宋体" w:hAnsi="宋体" w:eastAsia="宋体" w:cs="宋体"/>
                <w:color w:val="000000"/>
                <w:kern w:val="0"/>
                <w:sz w:val="18"/>
                <w:szCs w:val="18"/>
                <w:highlight w:val="none"/>
              </w:rPr>
              <w:t>的，每处扣2分；出现蚧壳虫、蚜虫、蛾类、天牛等重点害虫危害症状，每处扣1分；其他明显病害每处扣0.5分，出现</w:t>
            </w:r>
            <w:r>
              <w:rPr>
                <w:rStyle w:val="111"/>
                <w:rFonts w:hint="eastAsia" w:ascii="宋体" w:hAnsi="宋体" w:eastAsia="宋体" w:cs="宋体"/>
                <w:color w:val="000000"/>
                <w:sz w:val="18"/>
                <w:szCs w:val="18"/>
                <w:highlight w:val="none"/>
              </w:rPr>
              <w:t>100 m</w:t>
            </w:r>
            <w:r>
              <w:rPr>
                <w:rStyle w:val="374"/>
                <w:rFonts w:hint="eastAsia" w:ascii="宋体" w:hAnsi="宋体" w:eastAsia="宋体" w:cs="宋体"/>
                <w:color w:val="000000"/>
                <w:sz w:val="18"/>
                <w:szCs w:val="18"/>
                <w:highlight w:val="none"/>
                <w:vertAlign w:val="superscript"/>
              </w:rPr>
              <w:t>2</w:t>
            </w:r>
            <w:r>
              <w:rPr>
                <w:rFonts w:hint="eastAsia" w:ascii="宋体" w:hAnsi="宋体" w:eastAsia="宋体" w:cs="宋体"/>
                <w:color w:val="000000"/>
                <w:kern w:val="0"/>
                <w:sz w:val="18"/>
                <w:szCs w:val="18"/>
                <w:highlight w:val="none"/>
              </w:rPr>
              <w:t>以上病虫害的，每处扣</w:t>
            </w:r>
            <w:r>
              <w:rPr>
                <w:rStyle w:val="111"/>
                <w:rFonts w:hint="eastAsia" w:ascii="宋体" w:hAnsi="宋体" w:eastAsia="宋体" w:cs="宋体"/>
                <w:color w:val="000000"/>
                <w:sz w:val="18"/>
                <w:szCs w:val="18"/>
                <w:highlight w:val="none"/>
              </w:rPr>
              <w:t>5</w:t>
            </w:r>
            <w:r>
              <w:rPr>
                <w:rFonts w:hint="eastAsia" w:ascii="宋体" w:hAnsi="宋体" w:eastAsia="宋体" w:cs="宋体"/>
                <w:color w:val="000000"/>
                <w:kern w:val="0"/>
                <w:sz w:val="18"/>
                <w:szCs w:val="18"/>
                <w:highlight w:val="none"/>
              </w:rPr>
              <w:t>分</w:t>
            </w:r>
          </w:p>
        </w:tc>
      </w:tr>
      <w:tr>
        <w:tblPrEx>
          <w:tblCellMar>
            <w:top w:w="0" w:type="dxa"/>
            <w:left w:w="0" w:type="dxa"/>
            <w:bottom w:w="0" w:type="dxa"/>
            <w:right w:w="0" w:type="dxa"/>
          </w:tblCellMar>
        </w:tblPrEx>
        <w:trPr>
          <w:trHeight w:val="570"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无加拿大一枝黄花等有害植物及影响生长的附着物</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发现加拿大一枝黄花等有害植物扣5分</w:t>
            </w:r>
          </w:p>
        </w:tc>
      </w:tr>
      <w:tr>
        <w:tblPrEx>
          <w:tblCellMar>
            <w:top w:w="0" w:type="dxa"/>
            <w:left w:w="0" w:type="dxa"/>
            <w:bottom w:w="0" w:type="dxa"/>
            <w:right w:w="0" w:type="dxa"/>
          </w:tblCellMar>
        </w:tblPrEx>
        <w:trPr>
          <w:trHeight w:val="475" w:hRule="atLeast"/>
        </w:trPr>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5</w:t>
            </w:r>
          </w:p>
        </w:tc>
        <w:tc>
          <w:tcPr>
            <w:tcW w:w="8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卫生、保洁</w:t>
            </w: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lang w:eastAsia="zh-CN"/>
              </w:rPr>
              <w:t>绿化</w:t>
            </w:r>
            <w:r>
              <w:rPr>
                <w:rFonts w:hint="eastAsia" w:ascii="宋体" w:hAnsi="宋体" w:eastAsia="宋体" w:cs="宋体"/>
                <w:kern w:val="0"/>
                <w:sz w:val="18"/>
                <w:szCs w:val="18"/>
                <w:highlight w:val="none"/>
              </w:rPr>
              <w:t>日保洁时间</w:t>
            </w:r>
            <w:r>
              <w:rPr>
                <w:rFonts w:hint="eastAsia" w:hAnsi="宋体" w:cs="宋体"/>
                <w:bCs/>
                <w:color w:val="auto"/>
                <w:sz w:val="18"/>
                <w:szCs w:val="18"/>
                <w:highlight w:val="none"/>
                <w:lang w:val="en-US" w:eastAsia="zh-CN"/>
              </w:rPr>
              <w:t>不低于《嘉兴市城市精细化管理保洁作业时间要求》</w:t>
            </w:r>
            <w:r>
              <w:rPr>
                <w:rFonts w:hint="eastAsia" w:ascii="宋体" w:hAnsi="宋体" w:eastAsia="宋体" w:cs="宋体"/>
                <w:kern w:val="0"/>
                <w:sz w:val="18"/>
                <w:szCs w:val="18"/>
                <w:highlight w:val="none"/>
                <w:lang w:eastAsia="zh-CN"/>
              </w:rPr>
              <w:t>；绿化内、公园绿地（绿道）</w:t>
            </w:r>
            <w:r>
              <w:rPr>
                <w:rFonts w:hint="eastAsia" w:ascii="宋体" w:hAnsi="宋体" w:eastAsia="宋体" w:cs="宋体"/>
                <w:kern w:val="0"/>
                <w:sz w:val="18"/>
                <w:szCs w:val="18"/>
                <w:highlight w:val="none"/>
              </w:rPr>
              <w:t>无烟蒂、果壳、纸巾</w:t>
            </w:r>
            <w:r>
              <w:rPr>
                <w:rFonts w:hint="eastAsia" w:ascii="宋体" w:hAnsi="宋体" w:eastAsia="宋体" w:cs="宋体"/>
                <w:kern w:val="0"/>
                <w:sz w:val="18"/>
                <w:szCs w:val="18"/>
                <w:highlight w:val="none"/>
                <w:lang w:eastAsia="zh-CN"/>
              </w:rPr>
              <w:t>、水瓶等垃圾杂物；无砖头石块等</w:t>
            </w:r>
            <w:r>
              <w:rPr>
                <w:rFonts w:hint="eastAsia" w:ascii="宋体" w:hAnsi="宋体" w:eastAsia="宋体" w:cs="宋体"/>
                <w:kern w:val="0"/>
                <w:sz w:val="18"/>
                <w:szCs w:val="18"/>
                <w:highlight w:val="none"/>
              </w:rPr>
              <w:t>建筑垃圾</w:t>
            </w:r>
            <w:r>
              <w:rPr>
                <w:rFonts w:hint="eastAsia" w:ascii="宋体" w:hAnsi="宋体" w:eastAsia="宋体" w:cs="宋体"/>
                <w:kern w:val="0"/>
                <w:sz w:val="18"/>
                <w:szCs w:val="18"/>
                <w:highlight w:val="none"/>
                <w:lang w:eastAsia="zh-CN"/>
              </w:rPr>
              <w:t>。</w:t>
            </w:r>
          </w:p>
        </w:tc>
        <w:tc>
          <w:tcPr>
            <w:tcW w:w="7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lang w:eastAsia="zh-CN"/>
              </w:rPr>
              <w:t>发现未做到，每处扣</w:t>
            </w:r>
            <w:r>
              <w:rPr>
                <w:rFonts w:hint="eastAsia" w:ascii="宋体" w:hAnsi="宋体" w:eastAsia="宋体" w:cs="宋体"/>
                <w:kern w:val="0"/>
                <w:sz w:val="18"/>
                <w:szCs w:val="18"/>
                <w:highlight w:val="none"/>
                <w:lang w:val="en-US" w:eastAsia="zh-CN"/>
              </w:rPr>
              <w:t>0.5</w:t>
            </w:r>
            <w:r>
              <w:rPr>
                <w:rFonts w:hint="eastAsia" w:ascii="宋体" w:hAnsi="宋体" w:eastAsia="宋体" w:cs="宋体"/>
                <w:kern w:val="0"/>
                <w:sz w:val="18"/>
                <w:szCs w:val="18"/>
                <w:highlight w:val="none"/>
                <w:lang w:eastAsia="zh-CN"/>
              </w:rPr>
              <w:t>分</w:t>
            </w:r>
          </w:p>
        </w:tc>
      </w:tr>
      <w:tr>
        <w:tblPrEx>
          <w:tblCellMar>
            <w:top w:w="0" w:type="dxa"/>
            <w:left w:w="0" w:type="dxa"/>
            <w:bottom w:w="0" w:type="dxa"/>
            <w:right w:w="0" w:type="dxa"/>
          </w:tblCellMar>
        </w:tblPrEx>
        <w:trPr>
          <w:trHeight w:val="735"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rPr>
            </w:pPr>
            <w:r>
              <w:rPr>
                <w:rFonts w:hint="eastAsia" w:ascii="宋体" w:hAnsi="宋体" w:cs="宋体"/>
                <w:kern w:val="0"/>
                <w:sz w:val="18"/>
                <w:szCs w:val="18"/>
                <w:highlight w:val="none"/>
                <w:lang w:val="en-US" w:eastAsia="zh-CN"/>
              </w:rPr>
              <w:t>范围内无焚烧现象，</w:t>
            </w:r>
            <w:r>
              <w:rPr>
                <w:rFonts w:hint="eastAsia" w:ascii="宋体" w:hAnsi="宋体" w:eastAsia="宋体" w:cs="宋体"/>
                <w:kern w:val="0"/>
                <w:sz w:val="18"/>
                <w:szCs w:val="18"/>
                <w:highlight w:val="none"/>
                <w:lang w:eastAsia="zh-CN"/>
              </w:rPr>
              <w:t>绿化内断枝、树桩、落花落叶落果等及时清理，修剪的枝叶规范处置，日产日清不乱堆乱放。</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lang w:eastAsia="zh-CN"/>
              </w:rPr>
            </w:pPr>
            <w:r>
              <w:rPr>
                <w:rFonts w:hint="eastAsia" w:ascii="宋体" w:hAnsi="宋体" w:cs="宋体"/>
                <w:kern w:val="0"/>
                <w:sz w:val="18"/>
                <w:szCs w:val="18"/>
                <w:highlight w:val="none"/>
                <w:lang w:val="en-US" w:eastAsia="zh-CN"/>
              </w:rPr>
              <w:t>有发现焚烧现象扣2分；</w:t>
            </w:r>
            <w:r>
              <w:rPr>
                <w:rFonts w:hint="eastAsia" w:ascii="宋体" w:hAnsi="宋体" w:eastAsia="宋体" w:cs="宋体"/>
                <w:kern w:val="0"/>
                <w:sz w:val="18"/>
                <w:szCs w:val="18"/>
                <w:highlight w:val="none"/>
                <w:lang w:eastAsia="zh-CN"/>
              </w:rPr>
              <w:t>绿化垃圾清理不及时、乱堆放等，每处扣</w:t>
            </w:r>
            <w:r>
              <w:rPr>
                <w:rFonts w:hint="eastAsia" w:ascii="宋体" w:hAnsi="宋体" w:eastAsia="宋体" w:cs="宋体"/>
                <w:kern w:val="0"/>
                <w:sz w:val="18"/>
                <w:szCs w:val="18"/>
                <w:highlight w:val="none"/>
                <w:lang w:val="en-US" w:eastAsia="zh-CN"/>
              </w:rPr>
              <w:t>0.5分</w:t>
            </w:r>
          </w:p>
        </w:tc>
      </w:tr>
      <w:tr>
        <w:tblPrEx>
          <w:tblCellMar>
            <w:top w:w="0" w:type="dxa"/>
            <w:left w:w="0" w:type="dxa"/>
            <w:bottom w:w="0" w:type="dxa"/>
            <w:right w:w="0" w:type="dxa"/>
          </w:tblCellMar>
        </w:tblPrEx>
        <w:trPr>
          <w:trHeight w:val="795"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lang w:eastAsia="zh-CN"/>
              </w:rPr>
              <w:t>公园绿地（绿道）内</w:t>
            </w:r>
            <w:r>
              <w:rPr>
                <w:rFonts w:hint="eastAsia" w:ascii="宋体" w:hAnsi="宋体" w:eastAsia="宋体" w:cs="宋体"/>
                <w:kern w:val="0"/>
                <w:sz w:val="18"/>
                <w:szCs w:val="18"/>
                <w:highlight w:val="none"/>
              </w:rPr>
              <w:t>无乱贴、乱画现象，</w:t>
            </w:r>
            <w:r>
              <w:rPr>
                <w:rFonts w:hint="eastAsia" w:ascii="宋体" w:hAnsi="宋体" w:eastAsia="宋体" w:cs="宋体"/>
                <w:kern w:val="0"/>
                <w:sz w:val="18"/>
                <w:szCs w:val="18"/>
                <w:highlight w:val="none"/>
                <w:lang w:eastAsia="zh-CN"/>
              </w:rPr>
              <w:t>果壳箱日产日清分类收运，垃圾无满溢，果壳箱定期擦洗，无积尘污垢。</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lang w:eastAsia="zh-CN"/>
              </w:rPr>
              <w:t>发现未做到，每处扣</w:t>
            </w:r>
            <w:r>
              <w:rPr>
                <w:rFonts w:hint="eastAsia" w:ascii="宋体" w:hAnsi="宋体" w:eastAsia="宋体" w:cs="宋体"/>
                <w:kern w:val="0"/>
                <w:sz w:val="18"/>
                <w:szCs w:val="18"/>
                <w:highlight w:val="none"/>
                <w:lang w:val="en-US" w:eastAsia="zh-CN"/>
              </w:rPr>
              <w:t>0.5分</w:t>
            </w:r>
          </w:p>
        </w:tc>
      </w:tr>
      <w:tr>
        <w:tblPrEx>
          <w:tblCellMar>
            <w:top w:w="0" w:type="dxa"/>
            <w:left w:w="0" w:type="dxa"/>
            <w:bottom w:w="0" w:type="dxa"/>
            <w:right w:w="0" w:type="dxa"/>
          </w:tblCellMar>
        </w:tblPrEx>
        <w:trPr>
          <w:trHeight w:val="619"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lang w:eastAsia="zh-CN"/>
              </w:rPr>
              <w:t>公园</w:t>
            </w:r>
            <w:r>
              <w:rPr>
                <w:rFonts w:hint="eastAsia" w:ascii="宋体" w:hAnsi="宋体" w:eastAsia="宋体" w:cs="宋体"/>
                <w:kern w:val="0"/>
                <w:sz w:val="18"/>
                <w:szCs w:val="18"/>
                <w:highlight w:val="none"/>
              </w:rPr>
              <w:t>绿地内</w:t>
            </w:r>
            <w:r>
              <w:rPr>
                <w:rFonts w:hint="eastAsia" w:ascii="宋体" w:hAnsi="宋体" w:eastAsia="宋体" w:cs="宋体"/>
                <w:kern w:val="0"/>
                <w:sz w:val="18"/>
                <w:szCs w:val="18"/>
                <w:highlight w:val="none"/>
                <w:lang w:val="en-US" w:eastAsia="zh-CN"/>
              </w:rPr>
              <w:t>(绿道）</w:t>
            </w:r>
            <w:r>
              <w:rPr>
                <w:rFonts w:hint="eastAsia" w:ascii="宋体" w:hAnsi="宋体" w:eastAsia="宋体" w:cs="宋体"/>
                <w:kern w:val="0"/>
                <w:sz w:val="18"/>
                <w:szCs w:val="18"/>
                <w:highlight w:val="none"/>
              </w:rPr>
              <w:t>水体整洁卫生，无异味、无漂浮杂物。植草浅沟、拦污雨水口、LID生态排水沟、简易格栅井（或拦污渗漏井）无落叶垃圾堵塞。</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lang w:eastAsia="zh-CN"/>
              </w:rPr>
              <w:t>绿地水体不洁，每处扣</w:t>
            </w:r>
            <w:r>
              <w:rPr>
                <w:rFonts w:hint="eastAsia" w:ascii="宋体" w:hAnsi="宋体" w:eastAsia="宋体" w:cs="宋体"/>
                <w:kern w:val="0"/>
                <w:sz w:val="18"/>
                <w:szCs w:val="18"/>
                <w:highlight w:val="none"/>
                <w:lang w:val="en-US" w:eastAsia="zh-CN"/>
              </w:rPr>
              <w:t>0.5</w:t>
            </w:r>
            <w:r>
              <w:rPr>
                <w:rFonts w:hint="eastAsia" w:ascii="宋体" w:hAnsi="宋体" w:eastAsia="宋体" w:cs="宋体"/>
                <w:kern w:val="0"/>
                <w:sz w:val="18"/>
                <w:szCs w:val="18"/>
                <w:highlight w:val="none"/>
                <w:lang w:eastAsia="zh-CN"/>
              </w:rPr>
              <w:t>分；植草浅沟、拦污雨水口、LID生态排水沟、简易格栅井（或拦污渗漏井）有落叶垃圾堵塞，每处扣</w:t>
            </w:r>
            <w:r>
              <w:rPr>
                <w:rFonts w:hint="eastAsia" w:ascii="宋体" w:hAnsi="宋体" w:eastAsia="宋体" w:cs="宋体"/>
                <w:kern w:val="0"/>
                <w:sz w:val="18"/>
                <w:szCs w:val="18"/>
                <w:highlight w:val="none"/>
                <w:lang w:val="en-US" w:eastAsia="zh-CN"/>
              </w:rPr>
              <w:t>0.5</w:t>
            </w:r>
            <w:r>
              <w:rPr>
                <w:rFonts w:hint="eastAsia" w:ascii="宋体" w:hAnsi="宋体" w:eastAsia="宋体" w:cs="宋体"/>
                <w:kern w:val="0"/>
                <w:sz w:val="18"/>
                <w:szCs w:val="18"/>
                <w:highlight w:val="none"/>
                <w:lang w:eastAsia="zh-CN"/>
              </w:rPr>
              <w:t>分</w:t>
            </w:r>
          </w:p>
        </w:tc>
      </w:tr>
      <w:tr>
        <w:tblPrEx>
          <w:tblCellMar>
            <w:top w:w="0" w:type="dxa"/>
            <w:left w:w="0" w:type="dxa"/>
            <w:bottom w:w="0" w:type="dxa"/>
            <w:right w:w="0" w:type="dxa"/>
          </w:tblCellMar>
        </w:tblPrEx>
        <w:trPr>
          <w:trHeight w:val="598" w:hRule="atLeast"/>
        </w:trPr>
        <w:tc>
          <w:tcPr>
            <w:tcW w:w="52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6</w:t>
            </w:r>
          </w:p>
        </w:tc>
        <w:tc>
          <w:tcPr>
            <w:tcW w:w="818"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绿地保护</w:t>
            </w: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有故意被破坏现象及时制止或及时上报</w:t>
            </w:r>
          </w:p>
        </w:tc>
        <w:tc>
          <w:tcPr>
            <w:tcW w:w="7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未及时制止或上报的扣2分</w:t>
            </w:r>
          </w:p>
        </w:tc>
      </w:tr>
      <w:tr>
        <w:tblPrEx>
          <w:tblCellMar>
            <w:top w:w="0" w:type="dxa"/>
            <w:left w:w="0" w:type="dxa"/>
            <w:bottom w:w="0" w:type="dxa"/>
            <w:right w:w="0" w:type="dxa"/>
          </w:tblCellMar>
        </w:tblPrEx>
        <w:trPr>
          <w:trHeight w:val="825"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绿地内无停放车辆、进入车辆现象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有在绿地内停放车辆、进入车辆每次扣0.5分，及时向有关执法部门举报的可不扣分</w:t>
            </w:r>
          </w:p>
        </w:tc>
      </w:tr>
      <w:tr>
        <w:tblPrEx>
          <w:tblCellMar>
            <w:top w:w="0" w:type="dxa"/>
            <w:left w:w="0" w:type="dxa"/>
            <w:bottom w:w="0" w:type="dxa"/>
            <w:right w:w="0" w:type="dxa"/>
          </w:tblCellMar>
        </w:tblPrEx>
        <w:trPr>
          <w:trHeight w:val="60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default" w:ascii="宋体" w:hAnsi="宋体" w:eastAsia="宋体" w:cs="宋体"/>
                <w:sz w:val="18"/>
                <w:szCs w:val="18"/>
                <w:highlight w:val="none"/>
                <w:lang w:val="en-US" w:eastAsia="zh-CN"/>
              </w:rPr>
            </w:pPr>
            <w:r>
              <w:rPr>
                <w:rFonts w:hint="eastAsia" w:ascii="宋体" w:hAnsi="宋体" w:eastAsia="宋体" w:cs="宋体"/>
                <w:kern w:val="0"/>
                <w:sz w:val="18"/>
                <w:szCs w:val="18"/>
                <w:highlight w:val="none"/>
              </w:rPr>
              <w:t>绿地、园路、铺装上无设摊现象</w:t>
            </w:r>
            <w:r>
              <w:rPr>
                <w:rFonts w:hint="eastAsia" w:ascii="宋体" w:hAnsi="宋体" w:cs="宋体"/>
                <w:kern w:val="0"/>
                <w:sz w:val="18"/>
                <w:szCs w:val="18"/>
                <w:highlight w:val="none"/>
                <w:lang w:eastAsia="zh-CN"/>
              </w:rPr>
              <w:t>、</w:t>
            </w:r>
            <w:r>
              <w:rPr>
                <w:rFonts w:hint="eastAsia" w:ascii="宋体" w:hAnsi="宋体" w:cs="宋体"/>
                <w:kern w:val="0"/>
                <w:sz w:val="18"/>
                <w:szCs w:val="18"/>
                <w:highlight w:val="none"/>
                <w:lang w:val="en-US" w:eastAsia="zh-CN"/>
              </w:rPr>
              <w:t>违章设置悬挂物、广告等现象。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有设摊</w:t>
            </w:r>
            <w:r>
              <w:rPr>
                <w:rFonts w:hint="eastAsia" w:ascii="宋体" w:hAnsi="宋体" w:cs="宋体"/>
                <w:kern w:val="0"/>
                <w:sz w:val="18"/>
                <w:szCs w:val="18"/>
                <w:highlight w:val="none"/>
                <w:lang w:eastAsia="zh-CN"/>
              </w:rPr>
              <w:t>、</w:t>
            </w:r>
            <w:r>
              <w:rPr>
                <w:rFonts w:hint="eastAsia" w:ascii="宋体" w:hAnsi="宋体" w:eastAsia="宋体" w:cs="宋体"/>
                <w:kern w:val="0"/>
                <w:sz w:val="18"/>
                <w:szCs w:val="18"/>
                <w:highlight w:val="none"/>
                <w:lang w:val="en-US" w:eastAsia="zh-CN"/>
              </w:rPr>
              <w:t>违章设置悬挂物、广告等现象</w:t>
            </w:r>
            <w:r>
              <w:rPr>
                <w:rFonts w:hint="eastAsia" w:ascii="宋体" w:hAnsi="宋体" w:eastAsia="宋体" w:cs="宋体"/>
                <w:kern w:val="0"/>
                <w:sz w:val="18"/>
                <w:szCs w:val="18"/>
                <w:highlight w:val="none"/>
              </w:rPr>
              <w:t>每处扣0.5分，及时向有关执法部门举报的可不扣分</w:t>
            </w:r>
          </w:p>
        </w:tc>
      </w:tr>
      <w:tr>
        <w:tblPrEx>
          <w:tblCellMar>
            <w:top w:w="0" w:type="dxa"/>
            <w:left w:w="0" w:type="dxa"/>
            <w:bottom w:w="0" w:type="dxa"/>
            <w:right w:w="0" w:type="dxa"/>
          </w:tblCellMar>
        </w:tblPrEx>
        <w:trPr>
          <w:trHeight w:val="435"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无绿地内违章设置悬挂物、广告现象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有违章设置广告现象每处扣0.5分</w:t>
            </w:r>
          </w:p>
        </w:tc>
      </w:tr>
      <w:tr>
        <w:tblPrEx>
          <w:tblCellMar>
            <w:top w:w="0" w:type="dxa"/>
            <w:left w:w="0" w:type="dxa"/>
            <w:bottom w:w="0" w:type="dxa"/>
            <w:right w:w="0" w:type="dxa"/>
          </w:tblCellMar>
        </w:tblPrEx>
        <w:trPr>
          <w:trHeight w:val="525"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无乱堆乱放乱涂乱画乱钉乱刻，晾晒衣服等现象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有无乱堆乱放乱涂乱画乱钉乱刻，晾衣服现象每处扣0.5分</w:t>
            </w:r>
          </w:p>
        </w:tc>
      </w:tr>
      <w:tr>
        <w:tblPrEx>
          <w:tblCellMar>
            <w:top w:w="0" w:type="dxa"/>
            <w:left w:w="0" w:type="dxa"/>
            <w:bottom w:w="0" w:type="dxa"/>
            <w:right w:w="0" w:type="dxa"/>
          </w:tblCellMar>
        </w:tblPrEx>
        <w:trPr>
          <w:trHeight w:val="705"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无侵占绿地、破坏绿地等现象</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有侵占绿地、破坏绿地的现象每处扣0.5分，及时向有关执法部门举报的可不扣分</w:t>
            </w:r>
          </w:p>
        </w:tc>
      </w:tr>
      <w:tr>
        <w:tblPrEx>
          <w:tblCellMar>
            <w:top w:w="0" w:type="dxa"/>
            <w:left w:w="0" w:type="dxa"/>
            <w:bottom w:w="0" w:type="dxa"/>
            <w:right w:w="0" w:type="dxa"/>
          </w:tblCellMar>
        </w:tblPrEx>
        <w:trPr>
          <w:trHeight w:val="705" w:hRule="atLeast"/>
        </w:trPr>
        <w:tc>
          <w:tcPr>
            <w:tcW w:w="52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发现未经审批、擅自开挖、修剪砍伐等占绿毁绿现象</w:t>
            </w:r>
          </w:p>
        </w:tc>
        <w:tc>
          <w:tcPr>
            <w:tcW w:w="7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未及时劝阻、上报的每次扣1分</w:t>
            </w:r>
          </w:p>
        </w:tc>
      </w:tr>
      <w:tr>
        <w:tblPrEx>
          <w:tblCellMar>
            <w:top w:w="0" w:type="dxa"/>
            <w:left w:w="0" w:type="dxa"/>
            <w:bottom w:w="0" w:type="dxa"/>
            <w:right w:w="0" w:type="dxa"/>
          </w:tblCellMar>
        </w:tblPrEx>
        <w:trPr>
          <w:trHeight w:val="720" w:hRule="atLeast"/>
        </w:trPr>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7</w:t>
            </w:r>
          </w:p>
        </w:tc>
        <w:tc>
          <w:tcPr>
            <w:tcW w:w="8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养护人员</w:t>
            </w: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项目主管、巡查人员、养护人员（按合同要求人数）到位</w:t>
            </w:r>
          </w:p>
        </w:tc>
        <w:tc>
          <w:tcPr>
            <w:tcW w:w="7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项目主管、巡查人员不到位，每少一人次扣1分；养护人员不到位，每少一人次扣0.5分</w:t>
            </w:r>
          </w:p>
        </w:tc>
      </w:tr>
      <w:tr>
        <w:tblPrEx>
          <w:tblCellMar>
            <w:top w:w="0" w:type="dxa"/>
            <w:left w:w="0" w:type="dxa"/>
            <w:bottom w:w="0" w:type="dxa"/>
            <w:right w:w="0"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巡查质量（按照</w:t>
            </w:r>
            <w:r>
              <w:rPr>
                <w:rFonts w:hint="eastAsia" w:ascii="宋体" w:hAnsi="宋体" w:eastAsia="宋体" w:cs="宋体"/>
                <w:kern w:val="0"/>
                <w:sz w:val="18"/>
                <w:szCs w:val="18"/>
                <w:highlight w:val="none"/>
                <w:lang w:eastAsia="zh-CN"/>
              </w:rPr>
              <w:t>行业</w:t>
            </w:r>
            <w:r>
              <w:rPr>
                <w:rFonts w:hint="eastAsia" w:ascii="宋体" w:hAnsi="宋体" w:eastAsia="宋体" w:cs="宋体"/>
                <w:kern w:val="0"/>
                <w:sz w:val="18"/>
                <w:szCs w:val="18"/>
                <w:highlight w:val="none"/>
              </w:rPr>
              <w:t>规程，规范、文明、安全</w:t>
            </w:r>
            <w:r>
              <w:rPr>
                <w:rFonts w:hint="eastAsia" w:ascii="宋体" w:hAnsi="宋体" w:cs="宋体"/>
                <w:kern w:val="0"/>
                <w:sz w:val="18"/>
                <w:szCs w:val="18"/>
                <w:highlight w:val="none"/>
                <w:lang w:val="en-US" w:eastAsia="zh-CN"/>
              </w:rPr>
              <w:t>开展巡查</w:t>
            </w:r>
            <w:r>
              <w:rPr>
                <w:rFonts w:hint="eastAsia" w:ascii="宋体" w:hAnsi="宋体" w:eastAsia="宋体" w:cs="宋体"/>
                <w:kern w:val="0"/>
                <w:sz w:val="18"/>
                <w:szCs w:val="18"/>
                <w:highlight w:val="none"/>
                <w:lang w:eastAsia="zh-CN"/>
              </w:rPr>
              <w:t>养护</w:t>
            </w:r>
            <w:r>
              <w:rPr>
                <w:rFonts w:hint="eastAsia" w:ascii="宋体" w:hAnsi="宋体" w:eastAsia="宋体" w:cs="宋体"/>
                <w:kern w:val="0"/>
                <w:sz w:val="18"/>
                <w:szCs w:val="18"/>
                <w:highlight w:val="none"/>
              </w:rPr>
              <w:t>作业）</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未及时发现问题的，每次扣0.5分</w:t>
            </w:r>
          </w:p>
        </w:tc>
      </w:tr>
      <w:tr>
        <w:tblPrEx>
          <w:tblCellMar>
            <w:top w:w="0" w:type="dxa"/>
            <w:left w:w="0" w:type="dxa"/>
            <w:bottom w:w="0" w:type="dxa"/>
            <w:right w:w="0" w:type="dxa"/>
          </w:tblCellMar>
        </w:tblPrEx>
        <w:trPr>
          <w:trHeight w:val="465"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default" w:ascii="宋体" w:hAnsi="宋体" w:eastAsia="宋体" w:cs="宋体"/>
                <w:sz w:val="18"/>
                <w:szCs w:val="18"/>
                <w:highlight w:val="none"/>
                <w:lang w:val="en-US" w:eastAsia="zh-CN"/>
              </w:rPr>
            </w:pPr>
            <w:r>
              <w:rPr>
                <w:rFonts w:hint="eastAsia" w:ascii="宋体" w:hAnsi="宋体" w:cs="宋体"/>
                <w:kern w:val="0"/>
                <w:sz w:val="18"/>
                <w:szCs w:val="18"/>
                <w:highlight w:val="none"/>
                <w:lang w:val="en-US" w:eastAsia="zh-CN"/>
              </w:rPr>
              <w:t>巡查人员、养护人员统一着装、整洁得体</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不穿标志服</w:t>
            </w:r>
            <w:r>
              <w:rPr>
                <w:rFonts w:hint="eastAsia" w:ascii="宋体" w:hAnsi="宋体" w:cs="宋体"/>
                <w:kern w:val="0"/>
                <w:sz w:val="18"/>
                <w:szCs w:val="18"/>
                <w:highlight w:val="none"/>
                <w:lang w:eastAsia="zh-CN"/>
              </w:rPr>
              <w:t>、</w:t>
            </w:r>
            <w:r>
              <w:rPr>
                <w:rFonts w:hint="eastAsia" w:ascii="宋体" w:hAnsi="宋体" w:cs="宋体"/>
                <w:kern w:val="0"/>
                <w:sz w:val="18"/>
                <w:szCs w:val="18"/>
                <w:highlight w:val="none"/>
                <w:lang w:val="en-US" w:eastAsia="zh-CN"/>
              </w:rPr>
              <w:t>着装不整洁</w:t>
            </w:r>
            <w:r>
              <w:rPr>
                <w:rFonts w:hint="eastAsia" w:ascii="宋体" w:hAnsi="宋体" w:eastAsia="宋体" w:cs="宋体"/>
                <w:kern w:val="0"/>
                <w:sz w:val="18"/>
                <w:szCs w:val="18"/>
                <w:highlight w:val="none"/>
              </w:rPr>
              <w:t>， 每人次扣100元</w:t>
            </w:r>
          </w:p>
        </w:tc>
      </w:tr>
      <w:tr>
        <w:tblPrEx>
          <w:tblCellMar>
            <w:top w:w="0" w:type="dxa"/>
            <w:left w:w="0" w:type="dxa"/>
            <w:bottom w:w="0" w:type="dxa"/>
            <w:right w:w="0" w:type="dxa"/>
          </w:tblCellMar>
        </w:tblPrEx>
        <w:trPr>
          <w:trHeight w:val="750" w:hRule="atLeast"/>
        </w:trPr>
        <w:tc>
          <w:tcPr>
            <w:tcW w:w="52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8</w:t>
            </w:r>
          </w:p>
        </w:tc>
        <w:tc>
          <w:tcPr>
            <w:tcW w:w="818"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管理标准</w:t>
            </w: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default" w:ascii="宋体" w:hAnsi="宋体" w:eastAsia="宋体" w:cs="宋体"/>
                <w:sz w:val="18"/>
                <w:szCs w:val="18"/>
                <w:highlight w:val="none"/>
                <w:lang w:val="en-US" w:eastAsia="zh-CN"/>
              </w:rPr>
            </w:pPr>
            <w:r>
              <w:rPr>
                <w:rFonts w:hint="eastAsia" w:ascii="宋体" w:hAnsi="宋体" w:eastAsia="宋体" w:cs="宋体"/>
                <w:kern w:val="0"/>
                <w:sz w:val="18"/>
                <w:szCs w:val="18"/>
                <w:highlight w:val="none"/>
              </w:rPr>
              <w:t>安全文明生产作业及绿地养护管理制度健全。实行日常巡查，用相机记录工作内容并</w:t>
            </w:r>
            <w:r>
              <w:rPr>
                <w:rFonts w:hint="eastAsia" w:ascii="宋体" w:hAnsi="宋体" w:cs="宋体"/>
                <w:kern w:val="0"/>
                <w:sz w:val="18"/>
                <w:szCs w:val="18"/>
                <w:highlight w:val="none"/>
                <w:lang w:val="en-US" w:eastAsia="zh-CN"/>
              </w:rPr>
              <w:t>每周报送督查整改对比照片（问题）不少于20个。</w:t>
            </w:r>
          </w:p>
        </w:tc>
        <w:tc>
          <w:tcPr>
            <w:tcW w:w="72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4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养护日历及记录不及时，</w:t>
            </w:r>
            <w:r>
              <w:rPr>
                <w:rFonts w:hint="eastAsia" w:ascii="宋体" w:hAnsi="宋体" w:cs="宋体"/>
                <w:kern w:val="0"/>
                <w:sz w:val="18"/>
                <w:szCs w:val="18"/>
                <w:highlight w:val="none"/>
                <w:lang w:val="en-US" w:eastAsia="zh-CN"/>
              </w:rPr>
              <w:t>未在每月月底前报送当月的工作总结及下个月的养护计划和重点的（包括但不限于日常的工作量，用工用料以清单形式提供并提供相关凭证），</w:t>
            </w:r>
            <w:r>
              <w:rPr>
                <w:rFonts w:hint="eastAsia" w:ascii="宋体" w:hAnsi="宋体" w:eastAsia="宋体" w:cs="宋体"/>
                <w:kern w:val="0"/>
                <w:sz w:val="18"/>
                <w:szCs w:val="18"/>
                <w:highlight w:val="none"/>
              </w:rPr>
              <w:t>上报不全，每次扣0.5分；无管护台帐，不得分。无养护计划、现场管理乱，发现一次扣1分；无故替开会一次扣0.5分；养护管理责任人经常变更不明确，扣1分；无相机记录工作内容，此项不得分；不及时完成主管部门交办任务，扣1分；发生安全事故不得分</w:t>
            </w:r>
          </w:p>
        </w:tc>
      </w:tr>
      <w:tr>
        <w:tblPrEx>
          <w:tblCellMar>
            <w:top w:w="0" w:type="dxa"/>
            <w:left w:w="0" w:type="dxa"/>
            <w:bottom w:w="0" w:type="dxa"/>
            <w:right w:w="0" w:type="dxa"/>
          </w:tblCellMar>
        </w:tblPrEx>
        <w:trPr>
          <w:trHeight w:val="54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工作有台账、记录全、内容实，及时反馈</w:t>
            </w:r>
          </w:p>
        </w:tc>
        <w:tc>
          <w:tcPr>
            <w:tcW w:w="720"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r>
      <w:tr>
        <w:tblPrEx>
          <w:tblCellMar>
            <w:top w:w="0" w:type="dxa"/>
            <w:left w:w="0" w:type="dxa"/>
            <w:bottom w:w="0" w:type="dxa"/>
            <w:right w:w="0" w:type="dxa"/>
          </w:tblCellMar>
        </w:tblPrEx>
        <w:trPr>
          <w:trHeight w:val="60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按主管部门要求，准时参加会议，完成交办任务</w:t>
            </w:r>
          </w:p>
        </w:tc>
        <w:tc>
          <w:tcPr>
            <w:tcW w:w="720"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r>
      <w:tr>
        <w:tblPrEx>
          <w:tblCellMar>
            <w:top w:w="0" w:type="dxa"/>
            <w:left w:w="0" w:type="dxa"/>
            <w:bottom w:w="0" w:type="dxa"/>
            <w:right w:w="0" w:type="dxa"/>
          </w:tblCellMar>
        </w:tblPrEx>
        <w:trPr>
          <w:trHeight w:val="60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每月2号前报送上月整改情况</w:t>
            </w:r>
          </w:p>
        </w:tc>
        <w:tc>
          <w:tcPr>
            <w:tcW w:w="720"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default" w:ascii="宋体" w:hAnsi="宋体" w:eastAsia="宋体" w:cs="宋体"/>
                <w:sz w:val="18"/>
                <w:szCs w:val="18"/>
                <w:highlight w:val="none"/>
                <w:lang w:val="en-US" w:eastAsia="zh-CN"/>
              </w:rPr>
            </w:pPr>
            <w:r>
              <w:rPr>
                <w:rFonts w:hint="eastAsia" w:ascii="宋体" w:hAnsi="宋体" w:cs="宋体"/>
                <w:kern w:val="0"/>
                <w:sz w:val="18"/>
                <w:szCs w:val="18"/>
                <w:highlight w:val="none"/>
                <w:lang w:val="en-US" w:eastAsia="zh-CN"/>
              </w:rPr>
              <w:t>未及时报送整改情况的每次扣1分；应整改而未及时整改的</w:t>
            </w:r>
            <w:r>
              <w:rPr>
                <w:rFonts w:hint="eastAsia" w:ascii="宋体" w:hAnsi="宋体" w:cs="宋体"/>
                <w:sz w:val="18"/>
                <w:szCs w:val="18"/>
                <w:highlight w:val="none"/>
                <w:lang w:val="en-US" w:eastAsia="zh-CN"/>
              </w:rPr>
              <w:t>每次扣2分</w:t>
            </w:r>
          </w:p>
        </w:tc>
      </w:tr>
      <w:tr>
        <w:tblPrEx>
          <w:tblCellMar>
            <w:top w:w="0" w:type="dxa"/>
            <w:left w:w="0" w:type="dxa"/>
            <w:bottom w:w="0" w:type="dxa"/>
            <w:right w:w="0" w:type="dxa"/>
          </w:tblCellMar>
        </w:tblPrEx>
        <w:trPr>
          <w:trHeight w:val="60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每天进行人员智慧化考勤，并上报考勤情况</w:t>
            </w:r>
          </w:p>
        </w:tc>
        <w:tc>
          <w:tcPr>
            <w:tcW w:w="720" w:type="dxa"/>
            <w:vMerge w:val="restart"/>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未考勤的</w:t>
            </w:r>
            <w:r>
              <w:rPr>
                <w:rFonts w:hint="eastAsia" w:ascii="宋体" w:hAnsi="宋体" w:cs="宋体"/>
                <w:color w:val="FF0000"/>
                <w:kern w:val="0"/>
                <w:sz w:val="18"/>
                <w:szCs w:val="18"/>
                <w:highlight w:val="none"/>
                <w:lang w:val="en-US" w:eastAsia="zh-CN"/>
              </w:rPr>
              <w:t>每</w:t>
            </w:r>
            <w:r>
              <w:rPr>
                <w:rFonts w:hint="eastAsia" w:ascii="宋体" w:hAnsi="宋体" w:cs="宋体"/>
                <w:kern w:val="0"/>
                <w:sz w:val="18"/>
                <w:szCs w:val="18"/>
                <w:highlight w:val="none"/>
                <w:lang w:val="en-US" w:eastAsia="zh-CN"/>
              </w:rPr>
              <w:t>人扣0.1分；未及时上报考勤情况的扣0.3分。</w:t>
            </w:r>
          </w:p>
        </w:tc>
      </w:tr>
      <w:tr>
        <w:tblPrEx>
          <w:tblCellMar>
            <w:top w:w="0" w:type="dxa"/>
            <w:left w:w="0" w:type="dxa"/>
            <w:bottom w:w="0" w:type="dxa"/>
            <w:right w:w="0" w:type="dxa"/>
          </w:tblCellMar>
        </w:tblPrEx>
        <w:trPr>
          <w:trHeight w:val="600" w:hRule="atLeast"/>
        </w:trPr>
        <w:tc>
          <w:tcPr>
            <w:tcW w:w="52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default" w:ascii="宋体" w:hAnsi="宋体" w:cs="宋体"/>
                <w:kern w:val="0"/>
                <w:sz w:val="18"/>
                <w:szCs w:val="18"/>
                <w:highlight w:val="none"/>
                <w:lang w:val="en-US" w:eastAsia="zh-CN"/>
              </w:rPr>
            </w:pPr>
            <w:r>
              <w:rPr>
                <w:rFonts w:hint="default" w:ascii="宋体" w:hAnsi="宋体" w:cs="宋体"/>
                <w:kern w:val="0"/>
                <w:sz w:val="18"/>
                <w:szCs w:val="18"/>
                <w:highlight w:val="none"/>
                <w:lang w:val="en-US" w:eastAsia="zh-CN"/>
              </w:rPr>
              <w:t>每月对月度养护计划落实情况进行检查</w:t>
            </w:r>
          </w:p>
        </w:tc>
        <w:tc>
          <w:tcPr>
            <w:tcW w:w="72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default"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未按计划落实月度养护的，</w:t>
            </w:r>
            <w:r>
              <w:rPr>
                <w:rFonts w:hint="eastAsia" w:ascii="宋体" w:hAnsi="宋体" w:cs="宋体"/>
                <w:color w:val="FF0000"/>
                <w:kern w:val="0"/>
                <w:sz w:val="18"/>
                <w:szCs w:val="18"/>
                <w:highlight w:val="none"/>
                <w:lang w:val="en-US" w:eastAsia="zh-CN"/>
              </w:rPr>
              <w:t>每项内容扣1分</w:t>
            </w:r>
          </w:p>
        </w:tc>
      </w:tr>
      <w:tr>
        <w:tblPrEx>
          <w:tblCellMar>
            <w:top w:w="0" w:type="dxa"/>
            <w:left w:w="0" w:type="dxa"/>
            <w:bottom w:w="0" w:type="dxa"/>
            <w:right w:w="0" w:type="dxa"/>
          </w:tblCellMar>
        </w:tblPrEx>
        <w:trPr>
          <w:trHeight w:val="600" w:hRule="atLeast"/>
        </w:trPr>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9</w:t>
            </w:r>
          </w:p>
        </w:tc>
        <w:tc>
          <w:tcPr>
            <w:tcW w:w="8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社会监督</w:t>
            </w: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default" w:ascii="宋体" w:hAnsi="宋体" w:eastAsia="宋体" w:cs="宋体"/>
                <w:sz w:val="18"/>
                <w:szCs w:val="18"/>
                <w:highlight w:val="none"/>
                <w:lang w:val="en-US" w:eastAsia="zh-CN"/>
              </w:rPr>
            </w:pPr>
            <w:r>
              <w:rPr>
                <w:rFonts w:hint="eastAsia" w:ascii="宋体" w:hAnsi="宋体" w:eastAsia="宋体" w:cs="宋体"/>
                <w:kern w:val="0"/>
                <w:sz w:val="18"/>
                <w:szCs w:val="18"/>
                <w:highlight w:val="none"/>
              </w:rPr>
              <w:t>群众来信、来电、来访举报，属实</w:t>
            </w:r>
          </w:p>
        </w:tc>
        <w:tc>
          <w:tcPr>
            <w:tcW w:w="7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每次扣1分</w:t>
            </w:r>
          </w:p>
        </w:tc>
      </w:tr>
      <w:tr>
        <w:tblPrEx>
          <w:tblCellMar>
            <w:top w:w="0" w:type="dxa"/>
            <w:left w:w="0" w:type="dxa"/>
            <w:bottom w:w="0" w:type="dxa"/>
            <w:right w:w="0" w:type="dxa"/>
          </w:tblCellMar>
        </w:tblPrEx>
        <w:trPr>
          <w:trHeight w:val="600" w:hRule="atLeast"/>
        </w:trPr>
        <w:tc>
          <w:tcPr>
            <w:tcW w:w="52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kern w:val="0"/>
                <w:sz w:val="18"/>
                <w:szCs w:val="18"/>
                <w:highlight w:val="none"/>
              </w:rPr>
            </w:pPr>
          </w:p>
        </w:tc>
        <w:tc>
          <w:tcPr>
            <w:tcW w:w="818"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社区参与考评，具体考评标准以街道下发考评标准为准，及时上报并整改</w:t>
            </w:r>
          </w:p>
        </w:tc>
        <w:tc>
          <w:tcPr>
            <w:tcW w:w="72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kern w:val="0"/>
                <w:sz w:val="18"/>
                <w:szCs w:val="18"/>
                <w:highlight w:val="none"/>
              </w:rPr>
            </w:pPr>
            <w:r>
              <w:rPr>
                <w:rFonts w:hint="eastAsia" w:ascii="宋体" w:hAnsi="宋体" w:cs="宋体"/>
                <w:kern w:val="0"/>
                <w:sz w:val="18"/>
                <w:szCs w:val="18"/>
                <w:highlight w:val="none"/>
                <w:lang w:val="en-US" w:eastAsia="zh-CN"/>
              </w:rPr>
              <w:t>未及时上报或整改，</w:t>
            </w:r>
            <w:r>
              <w:rPr>
                <w:rFonts w:hint="eastAsia" w:ascii="宋体" w:hAnsi="宋体" w:eastAsia="宋体" w:cs="宋体"/>
                <w:kern w:val="0"/>
                <w:sz w:val="18"/>
                <w:szCs w:val="18"/>
                <w:highlight w:val="none"/>
              </w:rPr>
              <w:t>每次扣</w:t>
            </w:r>
            <w:r>
              <w:rPr>
                <w:rFonts w:hint="eastAsia" w:ascii="宋体" w:hAnsi="宋体" w:cs="宋体"/>
                <w:kern w:val="0"/>
                <w:sz w:val="18"/>
                <w:szCs w:val="18"/>
                <w:highlight w:val="none"/>
                <w:lang w:val="en-US" w:eastAsia="zh-CN"/>
              </w:rPr>
              <w:t>0.5</w:t>
            </w:r>
            <w:r>
              <w:rPr>
                <w:rFonts w:hint="eastAsia" w:ascii="宋体" w:hAnsi="宋体" w:eastAsia="宋体" w:cs="宋体"/>
                <w:kern w:val="0"/>
                <w:sz w:val="18"/>
                <w:szCs w:val="18"/>
                <w:highlight w:val="none"/>
              </w:rPr>
              <w:t>分</w:t>
            </w:r>
          </w:p>
        </w:tc>
      </w:tr>
      <w:tr>
        <w:tblPrEx>
          <w:tblCellMar>
            <w:top w:w="0" w:type="dxa"/>
            <w:left w:w="0" w:type="dxa"/>
            <w:bottom w:w="0" w:type="dxa"/>
            <w:right w:w="0"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媒体曝光，属实</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每次扣2分</w:t>
            </w:r>
          </w:p>
        </w:tc>
      </w:tr>
      <w:tr>
        <w:tblPrEx>
          <w:tblCellMar>
            <w:top w:w="0" w:type="dxa"/>
            <w:left w:w="0" w:type="dxa"/>
            <w:bottom w:w="0" w:type="dxa"/>
            <w:right w:w="0"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sz w:val="18"/>
                <w:szCs w:val="18"/>
                <w:highlight w:val="none"/>
              </w:rPr>
              <w:t>对市长电话交办单、数字城管联系单等</w:t>
            </w:r>
            <w:r>
              <w:rPr>
                <w:rFonts w:hint="eastAsia" w:ascii="宋体" w:hAnsi="宋体" w:eastAsia="宋体" w:cs="宋体"/>
                <w:sz w:val="18"/>
                <w:szCs w:val="18"/>
                <w:highlight w:val="none"/>
                <w:lang w:eastAsia="zh-CN"/>
              </w:rPr>
              <w:t>派单</w:t>
            </w:r>
            <w:r>
              <w:rPr>
                <w:rFonts w:hint="eastAsia" w:ascii="宋体" w:hAnsi="宋体" w:eastAsia="宋体" w:cs="宋体"/>
                <w:sz w:val="18"/>
                <w:szCs w:val="18"/>
                <w:highlight w:val="none"/>
              </w:rPr>
              <w:t>及时</w:t>
            </w:r>
            <w:r>
              <w:rPr>
                <w:rFonts w:hint="eastAsia" w:ascii="宋体" w:hAnsi="宋体" w:eastAsia="宋体" w:cs="宋体"/>
                <w:sz w:val="18"/>
                <w:szCs w:val="18"/>
                <w:highlight w:val="none"/>
                <w:lang w:eastAsia="zh-CN"/>
              </w:rPr>
              <w:t>、高质量</w:t>
            </w:r>
            <w:r>
              <w:rPr>
                <w:rFonts w:hint="eastAsia" w:ascii="宋体" w:hAnsi="宋体" w:eastAsia="宋体" w:cs="宋体"/>
                <w:sz w:val="18"/>
                <w:szCs w:val="18"/>
                <w:highlight w:val="none"/>
              </w:rPr>
              <w:t>整改反馈</w:t>
            </w:r>
            <w:r>
              <w:rPr>
                <w:rFonts w:hint="eastAsia" w:ascii="宋体" w:hAnsi="宋体" w:eastAsia="宋体" w:cs="宋体"/>
                <w:sz w:val="18"/>
                <w:szCs w:val="18"/>
                <w:highlight w:val="none"/>
                <w:lang w:eastAsia="zh-CN"/>
              </w:rPr>
              <w:t>，按期处理率</w:t>
            </w:r>
            <w:r>
              <w:rPr>
                <w:rFonts w:hint="eastAsia" w:ascii="宋体" w:hAnsi="宋体" w:eastAsia="宋体" w:cs="宋体"/>
                <w:sz w:val="18"/>
                <w:szCs w:val="18"/>
                <w:highlight w:val="none"/>
                <w:lang w:val="en-US" w:eastAsia="zh-CN"/>
              </w:rPr>
              <w:t>100%。</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每月末统计，按期处理率低于</w:t>
            </w:r>
            <w:r>
              <w:rPr>
                <w:rFonts w:hint="eastAsia" w:ascii="宋体" w:hAnsi="宋体" w:eastAsia="宋体" w:cs="宋体"/>
                <w:sz w:val="18"/>
                <w:szCs w:val="18"/>
                <w:highlight w:val="none"/>
                <w:lang w:val="en-US" w:eastAsia="zh-CN"/>
              </w:rPr>
              <w:t>100%，月度扣1分，低于95%，月度扣2分，以此类推</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反馈准确率</w:t>
            </w:r>
            <w:r>
              <w:rPr>
                <w:rFonts w:hint="eastAsia" w:ascii="宋体" w:hAnsi="宋体" w:eastAsia="宋体" w:cs="宋体"/>
                <w:sz w:val="18"/>
                <w:szCs w:val="18"/>
                <w:highlight w:val="none"/>
                <w:lang w:eastAsia="zh-CN"/>
              </w:rPr>
              <w:t>低于</w:t>
            </w:r>
            <w:r>
              <w:rPr>
                <w:rFonts w:hint="eastAsia" w:ascii="宋体" w:hAnsi="宋体" w:eastAsia="宋体" w:cs="宋体"/>
                <w:sz w:val="18"/>
                <w:szCs w:val="18"/>
                <w:highlight w:val="none"/>
                <w:lang w:val="en-US" w:eastAsia="zh-CN"/>
              </w:rPr>
              <w:t>99.5%，扣1分，</w:t>
            </w:r>
            <w:r>
              <w:rPr>
                <w:rFonts w:hint="eastAsia" w:ascii="宋体" w:hAnsi="宋体" w:eastAsia="宋体" w:cs="宋体"/>
                <w:sz w:val="18"/>
                <w:szCs w:val="18"/>
                <w:highlight w:val="none"/>
                <w:lang w:eastAsia="zh-CN"/>
              </w:rPr>
              <w:t>低于</w:t>
            </w:r>
            <w:r>
              <w:rPr>
                <w:rFonts w:hint="eastAsia" w:ascii="宋体" w:hAnsi="宋体" w:eastAsia="宋体" w:cs="宋体"/>
                <w:sz w:val="18"/>
                <w:szCs w:val="18"/>
                <w:highlight w:val="none"/>
                <w:lang w:val="en-US" w:eastAsia="zh-CN"/>
              </w:rPr>
              <w:t>99%，扣2分，</w:t>
            </w:r>
            <w:r>
              <w:rPr>
                <w:rFonts w:hint="eastAsia" w:ascii="宋体" w:hAnsi="宋体" w:eastAsia="宋体" w:cs="宋体"/>
                <w:sz w:val="18"/>
                <w:szCs w:val="18"/>
                <w:highlight w:val="none"/>
                <w:lang w:eastAsia="zh-CN"/>
              </w:rPr>
              <w:t>以此类推，</w:t>
            </w:r>
            <w:r>
              <w:rPr>
                <w:rFonts w:hint="eastAsia" w:ascii="宋体" w:hAnsi="宋体" w:eastAsia="宋体" w:cs="宋体"/>
                <w:sz w:val="18"/>
                <w:szCs w:val="18"/>
                <w:highlight w:val="none"/>
                <w:lang w:val="en-US" w:eastAsia="zh-CN"/>
              </w:rPr>
              <w:t>如案件反馈存在弄虚作假，扣5分</w:t>
            </w:r>
          </w:p>
        </w:tc>
      </w:tr>
      <w:tr>
        <w:tblPrEx>
          <w:tblCellMar>
            <w:top w:w="0" w:type="dxa"/>
            <w:left w:w="0" w:type="dxa"/>
            <w:bottom w:w="0" w:type="dxa"/>
            <w:right w:w="0"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8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43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lang w:eastAsia="zh-CN"/>
              </w:rPr>
            </w:pPr>
            <w:r>
              <w:rPr>
                <w:rFonts w:hint="eastAsia" w:ascii="宋体" w:hAnsi="宋体" w:cs="宋体"/>
                <w:kern w:val="0"/>
                <w:sz w:val="18"/>
                <w:szCs w:val="18"/>
                <w:highlight w:val="none"/>
                <w:lang w:val="en-US" w:eastAsia="zh-CN"/>
              </w:rPr>
              <w:t>区级及以上</w:t>
            </w:r>
            <w:r>
              <w:rPr>
                <w:rFonts w:hint="eastAsia" w:ascii="宋体" w:hAnsi="宋体" w:eastAsia="宋体" w:cs="宋体"/>
                <w:kern w:val="0"/>
                <w:sz w:val="18"/>
                <w:szCs w:val="18"/>
                <w:highlight w:val="none"/>
              </w:rPr>
              <w:t>相关部门表扬，属实</w:t>
            </w:r>
            <w:r>
              <w:rPr>
                <w:rFonts w:hint="eastAsia" w:ascii="宋体" w:hAnsi="宋体" w:cs="宋体"/>
                <w:kern w:val="0"/>
                <w:sz w:val="18"/>
                <w:szCs w:val="18"/>
                <w:highlight w:val="none"/>
                <w:lang w:eastAsia="zh-CN"/>
              </w:rPr>
              <w:t>；</w:t>
            </w:r>
            <w:r>
              <w:rPr>
                <w:rFonts w:hint="eastAsia" w:ascii="宋体" w:hAnsi="宋体" w:cs="宋体"/>
                <w:kern w:val="0"/>
                <w:sz w:val="18"/>
                <w:szCs w:val="18"/>
                <w:highlight w:val="none"/>
                <w:lang w:val="en-US" w:eastAsia="zh-CN"/>
              </w:rPr>
              <w:t>区级及以上相关部门通报、批评，属实</w:t>
            </w:r>
          </w:p>
        </w:tc>
        <w:tc>
          <w:tcPr>
            <w:tcW w:w="7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lang w:eastAsia="zh-CN"/>
              </w:rPr>
            </w:pPr>
            <w:r>
              <w:rPr>
                <w:rFonts w:hint="eastAsia" w:ascii="宋体" w:hAnsi="宋体" w:cs="宋体"/>
                <w:kern w:val="0"/>
                <w:sz w:val="18"/>
                <w:szCs w:val="18"/>
                <w:highlight w:val="none"/>
                <w:lang w:val="en-US" w:eastAsia="zh-CN"/>
              </w:rPr>
              <w:t>表扬</w:t>
            </w:r>
            <w:r>
              <w:rPr>
                <w:rFonts w:hint="eastAsia" w:ascii="宋体" w:hAnsi="宋体" w:eastAsia="宋体" w:cs="宋体"/>
                <w:kern w:val="0"/>
                <w:sz w:val="18"/>
                <w:szCs w:val="18"/>
                <w:highlight w:val="none"/>
              </w:rPr>
              <w:t>加2分</w:t>
            </w:r>
            <w:r>
              <w:rPr>
                <w:rFonts w:hint="eastAsia" w:ascii="宋体" w:hAnsi="宋体" w:cs="宋体"/>
                <w:kern w:val="0"/>
                <w:sz w:val="18"/>
                <w:szCs w:val="18"/>
                <w:highlight w:val="none"/>
                <w:lang w:eastAsia="zh-CN"/>
              </w:rPr>
              <w:t>；</w:t>
            </w:r>
            <w:r>
              <w:rPr>
                <w:rFonts w:hint="eastAsia" w:ascii="宋体" w:hAnsi="宋体" w:cs="宋体"/>
                <w:kern w:val="0"/>
                <w:sz w:val="18"/>
                <w:szCs w:val="18"/>
                <w:highlight w:val="none"/>
                <w:lang w:val="en-US" w:eastAsia="zh-CN"/>
              </w:rPr>
              <w:t>通报、批评</w:t>
            </w:r>
            <w:r>
              <w:rPr>
                <w:rFonts w:hint="eastAsia" w:ascii="宋体" w:hAnsi="宋体" w:eastAsia="宋体" w:cs="宋体"/>
                <w:kern w:val="0"/>
                <w:sz w:val="18"/>
                <w:szCs w:val="18"/>
                <w:highlight w:val="none"/>
              </w:rPr>
              <w:t>每次扣2分</w:t>
            </w:r>
          </w:p>
        </w:tc>
      </w:tr>
      <w:tr>
        <w:tblPrEx>
          <w:tblCellMar>
            <w:top w:w="0" w:type="dxa"/>
            <w:left w:w="0" w:type="dxa"/>
            <w:bottom w:w="0" w:type="dxa"/>
            <w:right w:w="0" w:type="dxa"/>
          </w:tblCellMar>
        </w:tblPrEx>
        <w:trPr>
          <w:trHeight w:val="1185" w:hRule="atLeast"/>
        </w:trPr>
        <w:tc>
          <w:tcPr>
            <w:tcW w:w="9803"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注：1、整改期限按天气、整改的内容由</w:t>
            </w:r>
            <w:r>
              <w:rPr>
                <w:rFonts w:hint="eastAsia" w:ascii="宋体" w:hAnsi="宋体" w:cs="宋体"/>
                <w:kern w:val="0"/>
                <w:sz w:val="18"/>
                <w:szCs w:val="18"/>
                <w:highlight w:val="none"/>
                <w:lang w:eastAsia="zh-CN"/>
              </w:rPr>
              <w:t>招标人或相关部门</w:t>
            </w:r>
            <w:r>
              <w:rPr>
                <w:rFonts w:hint="eastAsia" w:ascii="宋体" w:hAnsi="宋体" w:eastAsia="宋体" w:cs="宋体"/>
                <w:kern w:val="0"/>
                <w:sz w:val="18"/>
                <w:szCs w:val="18"/>
                <w:highlight w:val="none"/>
              </w:rPr>
              <w:t>界定。2、养护单位每日填写自查表并上报</w:t>
            </w:r>
            <w:r>
              <w:rPr>
                <w:rFonts w:hint="eastAsia" w:ascii="宋体" w:hAnsi="宋体" w:eastAsia="宋体" w:cs="宋体"/>
                <w:b/>
                <w:bCs/>
                <w:kern w:val="0"/>
                <w:sz w:val="18"/>
                <w:szCs w:val="18"/>
                <w:highlight w:val="none"/>
              </w:rPr>
              <w:t>。对于养护单位先于</w:t>
            </w:r>
            <w:r>
              <w:rPr>
                <w:rFonts w:hint="eastAsia" w:ascii="宋体" w:hAnsi="宋体" w:cs="宋体"/>
                <w:b/>
                <w:bCs/>
                <w:kern w:val="0"/>
                <w:sz w:val="18"/>
                <w:szCs w:val="18"/>
                <w:highlight w:val="none"/>
                <w:lang w:eastAsia="zh-CN"/>
              </w:rPr>
              <w:t>招标人</w:t>
            </w:r>
            <w:r>
              <w:rPr>
                <w:rFonts w:hint="eastAsia" w:ascii="宋体" w:hAnsi="宋体" w:eastAsia="宋体" w:cs="宋体"/>
                <w:b/>
                <w:bCs/>
                <w:kern w:val="0"/>
                <w:sz w:val="18"/>
                <w:szCs w:val="18"/>
                <w:highlight w:val="none"/>
              </w:rPr>
              <w:t>工作人员发现问题的并在自查表上填明已经上报</w:t>
            </w:r>
            <w:r>
              <w:rPr>
                <w:rFonts w:hint="eastAsia" w:ascii="宋体" w:hAnsi="宋体" w:cs="宋体"/>
                <w:b/>
                <w:bCs/>
                <w:kern w:val="0"/>
                <w:sz w:val="18"/>
                <w:szCs w:val="18"/>
                <w:highlight w:val="none"/>
                <w:lang w:eastAsia="zh-CN"/>
              </w:rPr>
              <w:t>招标人</w:t>
            </w:r>
            <w:r>
              <w:rPr>
                <w:rFonts w:hint="eastAsia" w:ascii="宋体" w:hAnsi="宋体" w:eastAsia="宋体" w:cs="宋体"/>
                <w:b/>
                <w:bCs/>
                <w:kern w:val="0"/>
                <w:sz w:val="18"/>
                <w:szCs w:val="18"/>
                <w:highlight w:val="none"/>
              </w:rPr>
              <w:t>的，可不扣分。3、灾害性天气、突发事件应根据</w:t>
            </w:r>
            <w:r>
              <w:rPr>
                <w:rFonts w:hint="eastAsia" w:ascii="宋体" w:hAnsi="宋体" w:cs="宋体"/>
                <w:b/>
                <w:bCs/>
                <w:kern w:val="0"/>
                <w:sz w:val="18"/>
                <w:szCs w:val="18"/>
                <w:highlight w:val="none"/>
                <w:lang w:eastAsia="zh-CN"/>
              </w:rPr>
              <w:t>招标人</w:t>
            </w:r>
            <w:r>
              <w:rPr>
                <w:rFonts w:hint="eastAsia" w:ascii="宋体" w:hAnsi="宋体" w:eastAsia="宋体" w:cs="宋体"/>
                <w:b/>
                <w:bCs/>
                <w:kern w:val="0"/>
                <w:sz w:val="18"/>
                <w:szCs w:val="18"/>
                <w:highlight w:val="none"/>
              </w:rPr>
              <w:t>要求及时响应，响应不及时的，当季考核评定为不合格</w:t>
            </w:r>
            <w:r>
              <w:rPr>
                <w:rFonts w:hint="eastAsia" w:ascii="宋体" w:hAnsi="宋体" w:eastAsia="宋体" w:cs="宋体"/>
                <w:kern w:val="0"/>
                <w:sz w:val="18"/>
                <w:szCs w:val="18"/>
                <w:highlight w:val="none"/>
              </w:rPr>
              <w:t>。4、养护绿地内涉及绿化审批项目的应根据要求做好苗木迁移。6、养护合同的条款要求均是考核前置条件，未按合同履行的，考核评定为不合格。</w:t>
            </w:r>
          </w:p>
        </w:tc>
      </w:tr>
      <w:bookmarkEnd w:id="122"/>
    </w:tbl>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br w:type="page"/>
      </w:r>
    </w:p>
    <w:p>
      <w:pPr>
        <w:rPr>
          <w:rFonts w:hint="eastAsia" w:ascii="宋体" w:hAnsi="宋体" w:eastAsia="宋体" w:cs="宋体"/>
          <w:color w:val="auto"/>
          <w:sz w:val="18"/>
          <w:szCs w:val="18"/>
          <w:highlight w:val="none"/>
        </w:rPr>
      </w:pPr>
    </w:p>
    <w:tbl>
      <w:tblPr>
        <w:tblStyle w:val="49"/>
        <w:tblW w:w="9420" w:type="dxa"/>
        <w:tblInd w:w="0" w:type="dxa"/>
        <w:tblLayout w:type="fixed"/>
        <w:tblCellMar>
          <w:top w:w="0" w:type="dxa"/>
          <w:left w:w="0" w:type="dxa"/>
          <w:bottom w:w="0" w:type="dxa"/>
          <w:right w:w="0" w:type="dxa"/>
        </w:tblCellMar>
      </w:tblPr>
      <w:tblGrid>
        <w:gridCol w:w="580"/>
        <w:gridCol w:w="1235"/>
        <w:gridCol w:w="3185"/>
        <w:gridCol w:w="775"/>
        <w:gridCol w:w="3645"/>
      </w:tblGrid>
      <w:tr>
        <w:tblPrEx>
          <w:tblCellMar>
            <w:top w:w="0" w:type="dxa"/>
            <w:left w:w="0" w:type="dxa"/>
            <w:bottom w:w="0" w:type="dxa"/>
            <w:right w:w="0" w:type="dxa"/>
          </w:tblCellMar>
        </w:tblPrEx>
        <w:trPr>
          <w:trHeight w:val="615" w:hRule="atLeast"/>
        </w:trPr>
        <w:tc>
          <w:tcPr>
            <w:tcW w:w="9420" w:type="dxa"/>
            <w:gridSpan w:val="5"/>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草花养护质量评分标准</w:t>
            </w:r>
          </w:p>
        </w:tc>
      </w:tr>
      <w:tr>
        <w:tblPrEx>
          <w:tblCellMar>
            <w:top w:w="0" w:type="dxa"/>
            <w:left w:w="0" w:type="dxa"/>
            <w:bottom w:w="0" w:type="dxa"/>
            <w:right w:w="0" w:type="dxa"/>
          </w:tblCellMar>
        </w:tblPrEx>
        <w:trPr>
          <w:trHeight w:val="465" w:hRule="atLeast"/>
        </w:trPr>
        <w:tc>
          <w:tcPr>
            <w:tcW w:w="5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序号</w:t>
            </w:r>
          </w:p>
        </w:tc>
        <w:tc>
          <w:tcPr>
            <w:tcW w:w="442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养护质量标准</w:t>
            </w:r>
          </w:p>
        </w:tc>
        <w:tc>
          <w:tcPr>
            <w:tcW w:w="77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标准分</w:t>
            </w:r>
          </w:p>
        </w:tc>
        <w:tc>
          <w:tcPr>
            <w:tcW w:w="364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考 核 标 准</w:t>
            </w:r>
          </w:p>
        </w:tc>
      </w:tr>
      <w:tr>
        <w:tblPrEx>
          <w:tblCellMar>
            <w:top w:w="0" w:type="dxa"/>
            <w:left w:w="0" w:type="dxa"/>
            <w:bottom w:w="0" w:type="dxa"/>
            <w:right w:w="0" w:type="dxa"/>
          </w:tblCellMar>
        </w:tblPrEx>
        <w:trPr>
          <w:trHeight w:val="465" w:hRule="atLeast"/>
        </w:trPr>
        <w:tc>
          <w:tcPr>
            <w:tcW w:w="580" w:type="dxa"/>
            <w:vMerge w:val="restart"/>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1</w:t>
            </w:r>
          </w:p>
        </w:tc>
        <w:tc>
          <w:tcPr>
            <w:tcW w:w="1235" w:type="dxa"/>
            <w:vMerge w:val="restart"/>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草花更换</w:t>
            </w: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按照招标文件和养护合同要求进行布置</w:t>
            </w:r>
          </w:p>
        </w:tc>
        <w:tc>
          <w:tcPr>
            <w:tcW w:w="77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面积未达到招标文件要求，每处扣2分</w:t>
            </w:r>
          </w:p>
        </w:tc>
      </w:tr>
      <w:tr>
        <w:tblPrEx>
          <w:tblCellMar>
            <w:top w:w="0" w:type="dxa"/>
            <w:left w:w="0" w:type="dxa"/>
            <w:bottom w:w="0" w:type="dxa"/>
            <w:right w:w="0" w:type="dxa"/>
          </w:tblCellMar>
        </w:tblPrEx>
        <w:trPr>
          <w:trHeight w:val="975" w:hRule="atLeast"/>
        </w:trPr>
        <w:tc>
          <w:tcPr>
            <w:tcW w:w="580"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每年整体换花应不少于</w:t>
            </w:r>
            <w:r>
              <w:rPr>
                <w:rFonts w:hint="eastAsia" w:ascii="宋体" w:hAnsi="宋体" w:cs="宋体"/>
                <w:kern w:val="0"/>
                <w:sz w:val="18"/>
                <w:szCs w:val="18"/>
                <w:highlight w:val="none"/>
                <w:lang w:val="en-US" w:eastAsia="zh-CN"/>
              </w:rPr>
              <w:t>5</w:t>
            </w:r>
            <w:r>
              <w:rPr>
                <w:rFonts w:hint="eastAsia" w:ascii="宋体" w:hAnsi="宋体" w:eastAsia="宋体" w:cs="宋体"/>
                <w:kern w:val="0"/>
                <w:sz w:val="18"/>
                <w:szCs w:val="18"/>
                <w:highlight w:val="none"/>
              </w:rPr>
              <w:t>次，做到四季有花。全年观赏期应不少于340天。每次换花期绿地表面裸露时间不得超过3天</w:t>
            </w:r>
          </w:p>
        </w:tc>
        <w:tc>
          <w:tcPr>
            <w:tcW w:w="77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15分</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时花更换每少1次，扣5分；观赏期不符合要求，每少10天，扣2分</w:t>
            </w:r>
          </w:p>
        </w:tc>
      </w:tr>
      <w:tr>
        <w:tblPrEx>
          <w:tblCellMar>
            <w:top w:w="0" w:type="dxa"/>
            <w:left w:w="0" w:type="dxa"/>
            <w:bottom w:w="0" w:type="dxa"/>
            <w:right w:w="0" w:type="dxa"/>
          </w:tblCellMar>
        </w:tblPrEx>
        <w:trPr>
          <w:trHeight w:val="1050" w:hRule="atLeast"/>
        </w:trPr>
        <w:tc>
          <w:tcPr>
            <w:tcW w:w="580" w:type="dxa"/>
            <w:vMerge w:val="restart"/>
            <w:tcBorders>
              <w:top w:val="nil"/>
              <w:left w:val="single" w:color="auto" w:sz="4" w:space="0"/>
              <w:bottom w:val="nil"/>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2</w:t>
            </w:r>
          </w:p>
        </w:tc>
        <w:tc>
          <w:tcPr>
            <w:tcW w:w="1235" w:type="dxa"/>
            <w:vMerge w:val="restart"/>
            <w:tcBorders>
              <w:top w:val="nil"/>
              <w:left w:val="single" w:color="auto" w:sz="4" w:space="0"/>
              <w:bottom w:val="nil"/>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草花质量</w:t>
            </w: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时花要求80%以上采用优质花苗；株型整齐，统一规格，同一品种株高、花色、冠径、花期等无明显差异。</w:t>
            </w:r>
          </w:p>
        </w:tc>
        <w:tc>
          <w:tcPr>
            <w:tcW w:w="77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时花种苗不符合要求，每处扣2分；株型、花期有明细差异，每处扣2分</w:t>
            </w:r>
          </w:p>
        </w:tc>
      </w:tr>
      <w:tr>
        <w:tblPrEx>
          <w:tblCellMar>
            <w:top w:w="0" w:type="dxa"/>
            <w:left w:w="0" w:type="dxa"/>
            <w:bottom w:w="0" w:type="dxa"/>
            <w:right w:w="0" w:type="dxa"/>
          </w:tblCellMar>
        </w:tblPrEx>
        <w:trPr>
          <w:trHeight w:val="915" w:hRule="atLeast"/>
        </w:trPr>
        <w:tc>
          <w:tcPr>
            <w:tcW w:w="580"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时花矮壮，生长健壮，开花及时，花量饱满，轮廓清晰、整齐美观；无倒伏、无残缺</w:t>
            </w:r>
          </w:p>
        </w:tc>
        <w:tc>
          <w:tcPr>
            <w:tcW w:w="77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花卉植株生长不健壮，花色不艳丽，每处扣1分；采用无花苗或已过盛花期的花苗，每处扣2分；有缺株倒伏、残花，每处扣1分</w:t>
            </w:r>
          </w:p>
        </w:tc>
      </w:tr>
      <w:tr>
        <w:tblPrEx>
          <w:tblCellMar>
            <w:top w:w="0" w:type="dxa"/>
            <w:left w:w="0" w:type="dxa"/>
            <w:bottom w:w="0" w:type="dxa"/>
            <w:right w:w="0" w:type="dxa"/>
          </w:tblCellMar>
        </w:tblPrEx>
        <w:trPr>
          <w:trHeight w:val="615" w:hRule="atLeast"/>
        </w:trPr>
        <w:tc>
          <w:tcPr>
            <w:tcW w:w="580"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草花覆盖率达98%以上；草花株行距适宜，无明显黄土裸露现象</w:t>
            </w:r>
          </w:p>
        </w:tc>
        <w:tc>
          <w:tcPr>
            <w:tcW w:w="77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草花覆盖率不足98%，株行距不适宜，造成黄土裸露，每处扣2分</w:t>
            </w:r>
          </w:p>
        </w:tc>
      </w:tr>
      <w:tr>
        <w:tblPrEx>
          <w:tblCellMar>
            <w:top w:w="0" w:type="dxa"/>
            <w:left w:w="0" w:type="dxa"/>
            <w:bottom w:w="0" w:type="dxa"/>
            <w:right w:w="0" w:type="dxa"/>
          </w:tblCellMar>
        </w:tblPrEx>
        <w:trPr>
          <w:trHeight w:val="987" w:hRule="atLeast"/>
        </w:trPr>
        <w:tc>
          <w:tcPr>
            <w:tcW w:w="580" w:type="dxa"/>
            <w:vMerge w:val="restart"/>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3</w:t>
            </w:r>
          </w:p>
        </w:tc>
        <w:tc>
          <w:tcPr>
            <w:tcW w:w="1235" w:type="dxa"/>
            <w:vMerge w:val="restart"/>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土肥管理</w:t>
            </w: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换花时，必须深耕细耙，要去除土层20cm内的石块、草屑、残茎和落叶等杂物，苗床高度不得高于侧石或花钵边缘，并施足基肥。</w:t>
            </w:r>
          </w:p>
        </w:tc>
        <w:tc>
          <w:tcPr>
            <w:tcW w:w="775" w:type="dxa"/>
            <w:vMerge w:val="restart"/>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未进行深耕翻种，每处扣2分；种植床高于侧石、花钵边缘或绿地平面，每处扣1分；未施基肥，扣2分</w:t>
            </w:r>
          </w:p>
        </w:tc>
      </w:tr>
      <w:tr>
        <w:tblPrEx>
          <w:tblCellMar>
            <w:top w:w="0" w:type="dxa"/>
            <w:left w:w="0" w:type="dxa"/>
            <w:bottom w:w="0" w:type="dxa"/>
            <w:right w:w="0" w:type="dxa"/>
          </w:tblCellMar>
        </w:tblPrEx>
        <w:trPr>
          <w:trHeight w:val="547" w:hRule="atLeast"/>
        </w:trPr>
        <w:tc>
          <w:tcPr>
            <w:tcW w:w="580" w:type="dxa"/>
            <w:vMerge w:val="continue"/>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及时抗旱浇水、抗涝排水，无干黄、死亡现象</w:t>
            </w:r>
          </w:p>
        </w:tc>
        <w:tc>
          <w:tcPr>
            <w:tcW w:w="775"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有干黄死亡现象每处扣1分；不及时抗旱排涝，扣2分</w:t>
            </w:r>
          </w:p>
        </w:tc>
      </w:tr>
      <w:tr>
        <w:tblPrEx>
          <w:tblCellMar>
            <w:top w:w="0" w:type="dxa"/>
            <w:left w:w="0" w:type="dxa"/>
            <w:bottom w:w="0" w:type="dxa"/>
            <w:right w:w="0" w:type="dxa"/>
          </w:tblCellMar>
        </w:tblPrEx>
        <w:trPr>
          <w:trHeight w:val="314" w:hRule="atLeast"/>
        </w:trPr>
        <w:tc>
          <w:tcPr>
            <w:tcW w:w="580"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4</w:t>
            </w:r>
          </w:p>
        </w:tc>
        <w:tc>
          <w:tcPr>
            <w:tcW w:w="123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病虫害防治</w:t>
            </w: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无明显病虫害，不影响观赏效果</w:t>
            </w:r>
          </w:p>
        </w:tc>
        <w:tc>
          <w:tcPr>
            <w:tcW w:w="77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有明显病虫害，影响景观的，每处扣2分</w:t>
            </w:r>
          </w:p>
        </w:tc>
      </w:tr>
      <w:tr>
        <w:tblPrEx>
          <w:tblCellMar>
            <w:top w:w="0" w:type="dxa"/>
            <w:left w:w="0" w:type="dxa"/>
            <w:bottom w:w="0" w:type="dxa"/>
            <w:right w:w="0" w:type="dxa"/>
          </w:tblCellMar>
        </w:tblPrEx>
        <w:trPr>
          <w:trHeight w:val="540" w:hRule="atLeast"/>
        </w:trPr>
        <w:tc>
          <w:tcPr>
            <w:tcW w:w="580"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5</w:t>
            </w:r>
          </w:p>
        </w:tc>
        <w:tc>
          <w:tcPr>
            <w:tcW w:w="1235"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卫生、保洁</w:t>
            </w:r>
          </w:p>
        </w:tc>
        <w:tc>
          <w:tcPr>
            <w:tcW w:w="3185" w:type="dxa"/>
            <w:tcBorders>
              <w:top w:val="nil"/>
              <w:left w:val="nil"/>
              <w:bottom w:val="nil"/>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eastAsia="zh-CN"/>
              </w:rPr>
              <w:t>绿化</w:t>
            </w:r>
            <w:r>
              <w:rPr>
                <w:rFonts w:hint="eastAsia" w:ascii="宋体" w:hAnsi="宋体" w:eastAsia="宋体" w:cs="宋体"/>
                <w:kern w:val="0"/>
                <w:sz w:val="18"/>
                <w:szCs w:val="18"/>
                <w:highlight w:val="none"/>
              </w:rPr>
              <w:t>日保洁时间不</w:t>
            </w:r>
            <w:r>
              <w:rPr>
                <w:rFonts w:hint="eastAsia" w:ascii="宋体" w:hAnsi="宋体" w:cs="宋体"/>
                <w:kern w:val="0"/>
                <w:sz w:val="18"/>
                <w:szCs w:val="18"/>
                <w:highlight w:val="none"/>
                <w:lang w:eastAsia="zh-CN"/>
              </w:rPr>
              <w:t>低于</w:t>
            </w:r>
            <w:r>
              <w:rPr>
                <w:rFonts w:hint="eastAsia" w:hAnsi="宋体" w:cs="宋体"/>
                <w:bCs/>
                <w:color w:val="auto"/>
                <w:sz w:val="18"/>
                <w:szCs w:val="18"/>
                <w:highlight w:val="none"/>
                <w:lang w:val="en-US" w:eastAsia="zh-CN"/>
              </w:rPr>
              <w:t>参照《嘉兴市城市精细化管理保洁作业时间要求》</w:t>
            </w:r>
            <w:r>
              <w:rPr>
                <w:rFonts w:hint="eastAsia" w:ascii="宋体" w:hAnsi="宋体" w:eastAsia="宋体" w:cs="宋体"/>
                <w:kern w:val="0"/>
                <w:sz w:val="18"/>
                <w:szCs w:val="18"/>
                <w:highlight w:val="none"/>
                <w:lang w:eastAsia="zh-CN"/>
              </w:rPr>
              <w:t>；</w:t>
            </w:r>
            <w:r>
              <w:rPr>
                <w:rFonts w:hint="eastAsia" w:ascii="宋体" w:hAnsi="宋体" w:eastAsia="宋体" w:cs="宋体"/>
                <w:kern w:val="0"/>
                <w:sz w:val="18"/>
                <w:szCs w:val="18"/>
                <w:highlight w:val="none"/>
              </w:rPr>
              <w:t>无烟蒂、果壳、纸巾</w:t>
            </w:r>
            <w:r>
              <w:rPr>
                <w:rFonts w:hint="eastAsia" w:ascii="宋体" w:hAnsi="宋体" w:eastAsia="宋体" w:cs="宋体"/>
                <w:kern w:val="0"/>
                <w:sz w:val="18"/>
                <w:szCs w:val="18"/>
                <w:highlight w:val="none"/>
                <w:lang w:eastAsia="zh-CN"/>
              </w:rPr>
              <w:t>、水瓶等垃圾杂物；无砖头石块等</w:t>
            </w:r>
            <w:r>
              <w:rPr>
                <w:rFonts w:hint="eastAsia" w:ascii="宋体" w:hAnsi="宋体" w:eastAsia="宋体" w:cs="宋体"/>
                <w:kern w:val="0"/>
                <w:sz w:val="18"/>
                <w:szCs w:val="18"/>
                <w:highlight w:val="none"/>
              </w:rPr>
              <w:t>建筑垃圾</w:t>
            </w:r>
            <w:r>
              <w:rPr>
                <w:rFonts w:hint="eastAsia" w:ascii="宋体" w:hAnsi="宋体" w:eastAsia="宋体" w:cs="宋体"/>
                <w:kern w:val="0"/>
                <w:sz w:val="18"/>
                <w:szCs w:val="18"/>
                <w:highlight w:val="none"/>
                <w:lang w:eastAsia="zh-CN"/>
              </w:rPr>
              <w:t>。</w:t>
            </w:r>
          </w:p>
        </w:tc>
        <w:tc>
          <w:tcPr>
            <w:tcW w:w="775"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eastAsia="zh-CN"/>
              </w:rPr>
              <w:t>发现未做到，每处扣</w:t>
            </w:r>
            <w:r>
              <w:rPr>
                <w:rFonts w:hint="eastAsia" w:ascii="宋体" w:hAnsi="宋体" w:eastAsia="宋体" w:cs="宋体"/>
                <w:kern w:val="0"/>
                <w:sz w:val="18"/>
                <w:szCs w:val="18"/>
                <w:highlight w:val="none"/>
                <w:lang w:val="en-US" w:eastAsia="zh-CN"/>
              </w:rPr>
              <w:t>0.5</w:t>
            </w:r>
            <w:r>
              <w:rPr>
                <w:rFonts w:hint="eastAsia" w:ascii="宋体" w:hAnsi="宋体" w:eastAsia="宋体" w:cs="宋体"/>
                <w:kern w:val="0"/>
                <w:sz w:val="18"/>
                <w:szCs w:val="18"/>
                <w:highlight w:val="none"/>
                <w:lang w:eastAsia="zh-CN"/>
              </w:rPr>
              <w:t>分</w:t>
            </w:r>
          </w:p>
        </w:tc>
      </w:tr>
      <w:tr>
        <w:tblPrEx>
          <w:tblCellMar>
            <w:top w:w="0" w:type="dxa"/>
            <w:left w:w="0" w:type="dxa"/>
            <w:bottom w:w="0" w:type="dxa"/>
            <w:right w:w="0" w:type="dxa"/>
          </w:tblCellMar>
        </w:tblPrEx>
        <w:trPr>
          <w:trHeight w:val="480"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宋体" w:hAnsi="宋体" w:eastAsia="宋体" w:cs="宋体"/>
                <w:sz w:val="18"/>
                <w:szCs w:val="18"/>
                <w:highlight w:val="none"/>
              </w:rPr>
            </w:pPr>
            <w:r>
              <w:rPr>
                <w:rFonts w:hint="eastAsia" w:ascii="宋体" w:hAnsi="宋体" w:cs="宋体"/>
                <w:kern w:val="0"/>
                <w:sz w:val="18"/>
                <w:szCs w:val="18"/>
                <w:highlight w:val="none"/>
                <w:lang w:val="en-US" w:eastAsia="zh-CN"/>
              </w:rPr>
              <w:t>范围内无焚烧现象，</w:t>
            </w:r>
            <w:r>
              <w:rPr>
                <w:rFonts w:hint="eastAsia" w:ascii="宋体" w:hAnsi="宋体" w:cs="宋体"/>
                <w:kern w:val="0"/>
                <w:sz w:val="18"/>
                <w:szCs w:val="18"/>
                <w:highlight w:val="none"/>
                <w:lang w:eastAsia="zh-CN"/>
              </w:rPr>
              <w:t>垃圾</w:t>
            </w:r>
            <w:r>
              <w:rPr>
                <w:rFonts w:hint="eastAsia" w:ascii="宋体" w:hAnsi="宋体" w:eastAsia="宋体" w:cs="宋体"/>
                <w:kern w:val="0"/>
                <w:sz w:val="18"/>
                <w:szCs w:val="18"/>
                <w:highlight w:val="none"/>
                <w:lang w:eastAsia="zh-CN"/>
              </w:rPr>
              <w:t>等及时清理，日产日清不乱堆乱放。</w:t>
            </w:r>
          </w:p>
        </w:tc>
        <w:tc>
          <w:tcPr>
            <w:tcW w:w="77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cs="宋体"/>
                <w:kern w:val="0"/>
                <w:sz w:val="18"/>
                <w:szCs w:val="18"/>
                <w:highlight w:val="none"/>
                <w:lang w:val="en-US" w:eastAsia="zh-CN"/>
              </w:rPr>
              <w:t>有发现焚烧现象扣2分；</w:t>
            </w:r>
            <w:r>
              <w:rPr>
                <w:rFonts w:hint="eastAsia" w:ascii="宋体" w:hAnsi="宋体" w:eastAsia="宋体" w:cs="宋体"/>
                <w:kern w:val="0"/>
                <w:sz w:val="18"/>
                <w:szCs w:val="18"/>
                <w:highlight w:val="none"/>
                <w:lang w:eastAsia="zh-CN"/>
              </w:rPr>
              <w:t>垃圾清理不及时、乱堆放等，每处扣</w:t>
            </w:r>
            <w:r>
              <w:rPr>
                <w:rFonts w:hint="eastAsia" w:ascii="宋体" w:hAnsi="宋体" w:eastAsia="宋体" w:cs="宋体"/>
                <w:kern w:val="0"/>
                <w:sz w:val="18"/>
                <w:szCs w:val="18"/>
                <w:highlight w:val="none"/>
                <w:lang w:val="en-US" w:eastAsia="zh-CN"/>
              </w:rPr>
              <w:t>0.5分</w:t>
            </w:r>
          </w:p>
        </w:tc>
      </w:tr>
      <w:tr>
        <w:tblPrEx>
          <w:tblCellMar>
            <w:top w:w="0" w:type="dxa"/>
            <w:left w:w="0" w:type="dxa"/>
            <w:bottom w:w="0" w:type="dxa"/>
            <w:right w:w="0" w:type="dxa"/>
          </w:tblCellMar>
        </w:tblPrEx>
        <w:trPr>
          <w:trHeight w:val="750"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无垃圾、杂物、无卫生死角</w:t>
            </w:r>
          </w:p>
        </w:tc>
        <w:tc>
          <w:tcPr>
            <w:tcW w:w="77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发现有垃圾、杂物、建筑废弃物每处扣</w:t>
            </w:r>
            <w:r>
              <w:rPr>
                <w:rStyle w:val="110"/>
                <w:rFonts w:hint="eastAsia" w:ascii="宋体" w:hAnsi="宋体" w:eastAsia="宋体" w:cs="宋体"/>
                <w:sz w:val="18"/>
                <w:szCs w:val="18"/>
                <w:highlight w:val="none"/>
              </w:rPr>
              <w:t>0.5</w:t>
            </w:r>
            <w:r>
              <w:rPr>
                <w:rStyle w:val="165"/>
                <w:rFonts w:hint="eastAsia" w:ascii="宋体" w:hAnsi="宋体" w:eastAsia="宋体" w:cs="宋体"/>
                <w:sz w:val="18"/>
                <w:szCs w:val="18"/>
                <w:highlight w:val="none"/>
              </w:rPr>
              <w:t>分；垃圾拾后乱放每处扣</w:t>
            </w:r>
            <w:r>
              <w:rPr>
                <w:rStyle w:val="110"/>
                <w:rFonts w:hint="eastAsia" w:ascii="宋体" w:hAnsi="宋体" w:eastAsia="宋体" w:cs="宋体"/>
                <w:sz w:val="18"/>
                <w:szCs w:val="18"/>
                <w:highlight w:val="none"/>
              </w:rPr>
              <w:t>1</w:t>
            </w:r>
            <w:r>
              <w:rPr>
                <w:rStyle w:val="165"/>
                <w:rFonts w:hint="eastAsia" w:ascii="宋体" w:hAnsi="宋体" w:eastAsia="宋体" w:cs="宋体"/>
                <w:sz w:val="18"/>
                <w:szCs w:val="18"/>
                <w:highlight w:val="none"/>
              </w:rPr>
              <w:t>分；当天未及时清运每处扣</w:t>
            </w:r>
            <w:r>
              <w:rPr>
                <w:rStyle w:val="110"/>
                <w:rFonts w:hint="eastAsia" w:ascii="宋体" w:hAnsi="宋体" w:eastAsia="宋体" w:cs="宋体"/>
                <w:sz w:val="18"/>
                <w:szCs w:val="18"/>
                <w:highlight w:val="none"/>
              </w:rPr>
              <w:t>1</w:t>
            </w:r>
            <w:r>
              <w:rPr>
                <w:rStyle w:val="165"/>
                <w:rFonts w:hint="eastAsia" w:ascii="宋体" w:hAnsi="宋体" w:eastAsia="宋体" w:cs="宋体"/>
                <w:sz w:val="18"/>
                <w:szCs w:val="18"/>
                <w:highlight w:val="none"/>
              </w:rPr>
              <w:t>分</w:t>
            </w:r>
          </w:p>
        </w:tc>
      </w:tr>
      <w:tr>
        <w:tblPrEx>
          <w:tblCellMar>
            <w:top w:w="0" w:type="dxa"/>
            <w:left w:w="0" w:type="dxa"/>
            <w:bottom w:w="0" w:type="dxa"/>
            <w:right w:w="0" w:type="dxa"/>
          </w:tblCellMar>
        </w:tblPrEx>
        <w:trPr>
          <w:trHeight w:val="525" w:hRule="atLeast"/>
        </w:trPr>
        <w:tc>
          <w:tcPr>
            <w:tcW w:w="580"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6</w:t>
            </w:r>
          </w:p>
        </w:tc>
        <w:tc>
          <w:tcPr>
            <w:tcW w:w="1235"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草花保护</w:t>
            </w: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无侵占、破坏现象</w:t>
            </w:r>
          </w:p>
        </w:tc>
        <w:tc>
          <w:tcPr>
            <w:tcW w:w="775" w:type="dxa"/>
            <w:vMerge w:val="restart"/>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rPr>
              <w:t>有侵占、破坏的现象每处扣</w:t>
            </w:r>
            <w:r>
              <w:rPr>
                <w:rStyle w:val="110"/>
                <w:rFonts w:hint="eastAsia" w:ascii="宋体" w:hAnsi="宋体" w:eastAsia="宋体" w:cs="宋体"/>
                <w:color w:val="000000"/>
                <w:sz w:val="18"/>
                <w:szCs w:val="18"/>
                <w:highlight w:val="none"/>
              </w:rPr>
              <w:t>0.5</w:t>
            </w:r>
            <w:r>
              <w:rPr>
                <w:rStyle w:val="165"/>
                <w:rFonts w:hint="eastAsia" w:ascii="宋体" w:hAnsi="宋体" w:eastAsia="宋体" w:cs="宋体"/>
                <w:color w:val="000000"/>
                <w:sz w:val="18"/>
                <w:szCs w:val="18"/>
                <w:highlight w:val="none"/>
              </w:rPr>
              <w:t>分，</w:t>
            </w:r>
            <w:r>
              <w:rPr>
                <w:rStyle w:val="174"/>
                <w:rFonts w:hint="eastAsia" w:ascii="宋体" w:hAnsi="宋体" w:eastAsia="宋体" w:cs="宋体"/>
                <w:color w:val="000000"/>
                <w:sz w:val="18"/>
                <w:szCs w:val="18"/>
                <w:highlight w:val="none"/>
              </w:rPr>
              <w:t>及时向有关执法部门举报的可不扣分</w:t>
            </w:r>
          </w:p>
        </w:tc>
      </w:tr>
      <w:tr>
        <w:tblPrEx>
          <w:tblCellMar>
            <w:top w:w="0" w:type="dxa"/>
            <w:left w:w="0" w:type="dxa"/>
            <w:bottom w:w="0" w:type="dxa"/>
            <w:right w:w="0" w:type="dxa"/>
          </w:tblCellMar>
        </w:tblPrEx>
        <w:trPr>
          <w:trHeight w:val="510"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无停放车辆、进入车辆现象</w:t>
            </w:r>
          </w:p>
        </w:tc>
        <w:tc>
          <w:tcPr>
            <w:tcW w:w="775"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rPr>
              <w:t>有停放车辆、进入车辆每次扣</w:t>
            </w:r>
            <w:r>
              <w:rPr>
                <w:rStyle w:val="110"/>
                <w:rFonts w:hint="eastAsia" w:ascii="宋体" w:hAnsi="宋体" w:eastAsia="宋体" w:cs="宋体"/>
                <w:color w:val="000000"/>
                <w:sz w:val="18"/>
                <w:szCs w:val="18"/>
                <w:highlight w:val="none"/>
              </w:rPr>
              <w:t>0.5</w:t>
            </w:r>
            <w:r>
              <w:rPr>
                <w:rStyle w:val="165"/>
                <w:rFonts w:hint="eastAsia" w:ascii="宋体" w:hAnsi="宋体" w:eastAsia="宋体" w:cs="宋体"/>
                <w:color w:val="000000"/>
                <w:sz w:val="18"/>
                <w:szCs w:val="18"/>
                <w:highlight w:val="none"/>
              </w:rPr>
              <w:t>分，及时向有关执法部门举报的可不扣分</w:t>
            </w:r>
          </w:p>
        </w:tc>
      </w:tr>
      <w:tr>
        <w:tblPrEx>
          <w:tblCellMar>
            <w:top w:w="0" w:type="dxa"/>
            <w:left w:w="0" w:type="dxa"/>
            <w:bottom w:w="0" w:type="dxa"/>
            <w:right w:w="0" w:type="dxa"/>
          </w:tblCellMar>
        </w:tblPrEx>
        <w:trPr>
          <w:trHeight w:val="615"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无设摊现象</w:t>
            </w:r>
          </w:p>
        </w:tc>
        <w:tc>
          <w:tcPr>
            <w:tcW w:w="775"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有设摊现象每处扣</w:t>
            </w:r>
            <w:r>
              <w:rPr>
                <w:rStyle w:val="110"/>
                <w:rFonts w:hint="eastAsia" w:ascii="宋体" w:hAnsi="宋体" w:eastAsia="宋体" w:cs="宋体"/>
                <w:sz w:val="18"/>
                <w:szCs w:val="18"/>
                <w:highlight w:val="none"/>
              </w:rPr>
              <w:t>0.5</w:t>
            </w:r>
            <w:r>
              <w:rPr>
                <w:rStyle w:val="165"/>
                <w:rFonts w:hint="eastAsia" w:ascii="宋体" w:hAnsi="宋体" w:eastAsia="宋体" w:cs="宋体"/>
                <w:sz w:val="18"/>
                <w:szCs w:val="18"/>
                <w:highlight w:val="none"/>
              </w:rPr>
              <w:t>分，及时向有关执法部门举报的可不扣分</w:t>
            </w:r>
          </w:p>
        </w:tc>
      </w:tr>
      <w:tr>
        <w:tblPrEx>
          <w:tblCellMar>
            <w:top w:w="0" w:type="dxa"/>
            <w:left w:w="0" w:type="dxa"/>
            <w:bottom w:w="0" w:type="dxa"/>
            <w:right w:w="0" w:type="dxa"/>
          </w:tblCellMar>
        </w:tblPrEx>
        <w:trPr>
          <w:trHeight w:val="420"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无违章设置悬挂物、广告现象</w:t>
            </w:r>
          </w:p>
        </w:tc>
        <w:tc>
          <w:tcPr>
            <w:tcW w:w="775" w:type="dxa"/>
            <w:vMerge w:val="continue"/>
            <w:tcBorders>
              <w:top w:val="nil"/>
              <w:left w:val="single" w:color="auto" w:sz="4" w:space="0"/>
              <w:bottom w:val="single" w:color="000000"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有违章设置广告现象每处扣</w:t>
            </w:r>
            <w:r>
              <w:rPr>
                <w:rStyle w:val="110"/>
                <w:rFonts w:hint="eastAsia" w:ascii="宋体" w:hAnsi="宋体" w:eastAsia="宋体" w:cs="宋体"/>
                <w:sz w:val="18"/>
                <w:szCs w:val="18"/>
                <w:highlight w:val="none"/>
              </w:rPr>
              <w:t>0.5</w:t>
            </w:r>
            <w:r>
              <w:rPr>
                <w:rStyle w:val="165"/>
                <w:rFonts w:hint="eastAsia" w:ascii="宋体" w:hAnsi="宋体" w:eastAsia="宋体" w:cs="宋体"/>
                <w:sz w:val="18"/>
                <w:szCs w:val="18"/>
                <w:highlight w:val="none"/>
              </w:rPr>
              <w:t>分</w:t>
            </w:r>
          </w:p>
        </w:tc>
      </w:tr>
      <w:tr>
        <w:tblPrEx>
          <w:tblCellMar>
            <w:top w:w="0" w:type="dxa"/>
            <w:left w:w="0" w:type="dxa"/>
            <w:bottom w:w="0" w:type="dxa"/>
            <w:right w:w="0" w:type="dxa"/>
          </w:tblCellMar>
        </w:tblPrEx>
        <w:trPr>
          <w:trHeight w:val="390"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无乱堆乱放、晾晒衣服等现象</w:t>
            </w:r>
          </w:p>
        </w:tc>
        <w:tc>
          <w:tcPr>
            <w:tcW w:w="77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有无乱堆乱放、晾衣服现象每处扣</w:t>
            </w:r>
            <w:r>
              <w:rPr>
                <w:rStyle w:val="110"/>
                <w:rFonts w:hint="eastAsia" w:ascii="宋体" w:hAnsi="宋体" w:eastAsia="宋体" w:cs="宋体"/>
                <w:sz w:val="18"/>
                <w:szCs w:val="18"/>
                <w:highlight w:val="none"/>
              </w:rPr>
              <w:t>0.5</w:t>
            </w:r>
            <w:r>
              <w:rPr>
                <w:rStyle w:val="165"/>
                <w:rFonts w:hint="eastAsia" w:ascii="宋体" w:hAnsi="宋体" w:eastAsia="宋体" w:cs="宋体"/>
                <w:sz w:val="18"/>
                <w:szCs w:val="18"/>
                <w:highlight w:val="none"/>
              </w:rPr>
              <w:t>分</w:t>
            </w:r>
          </w:p>
        </w:tc>
      </w:tr>
      <w:tr>
        <w:tblPrEx>
          <w:tblCellMar>
            <w:top w:w="0" w:type="dxa"/>
            <w:left w:w="0" w:type="dxa"/>
            <w:bottom w:w="0" w:type="dxa"/>
            <w:right w:w="0" w:type="dxa"/>
          </w:tblCellMar>
        </w:tblPrEx>
        <w:trPr>
          <w:trHeight w:val="630" w:hRule="atLeast"/>
        </w:trPr>
        <w:tc>
          <w:tcPr>
            <w:tcW w:w="5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7</w:t>
            </w:r>
          </w:p>
        </w:tc>
        <w:tc>
          <w:tcPr>
            <w:tcW w:w="1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设施维护</w:t>
            </w:r>
          </w:p>
        </w:tc>
        <w:tc>
          <w:tcPr>
            <w:tcW w:w="31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花坛、花钵等园林设施无破损</w:t>
            </w:r>
          </w:p>
        </w:tc>
        <w:tc>
          <w:tcPr>
            <w:tcW w:w="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园林设施破损，每处扣1分</w:t>
            </w:r>
          </w:p>
        </w:tc>
      </w:tr>
      <w:tr>
        <w:tblPrEx>
          <w:tblCellMar>
            <w:top w:w="0" w:type="dxa"/>
            <w:left w:w="0" w:type="dxa"/>
            <w:bottom w:w="0" w:type="dxa"/>
            <w:right w:w="0" w:type="dxa"/>
          </w:tblCellMar>
        </w:tblPrEx>
        <w:trPr>
          <w:trHeight w:val="675" w:hRule="atLeast"/>
        </w:trPr>
        <w:tc>
          <w:tcPr>
            <w:tcW w:w="5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8</w:t>
            </w:r>
          </w:p>
        </w:tc>
        <w:tc>
          <w:tcPr>
            <w:tcW w:w="12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养护人员</w:t>
            </w:r>
          </w:p>
        </w:tc>
        <w:tc>
          <w:tcPr>
            <w:tcW w:w="318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项目主管、巡查人员、养护人员（按合同要求人数）到位</w:t>
            </w:r>
          </w:p>
        </w:tc>
        <w:tc>
          <w:tcPr>
            <w:tcW w:w="7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10分</w:t>
            </w:r>
          </w:p>
        </w:tc>
        <w:tc>
          <w:tcPr>
            <w:tcW w:w="364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项目主管、巡查人员不到位，每少一人次扣1分；养护人员不到位，每少一人次扣0.5分</w:t>
            </w:r>
          </w:p>
        </w:tc>
      </w:tr>
      <w:tr>
        <w:tblPrEx>
          <w:tblCellMar>
            <w:top w:w="0" w:type="dxa"/>
            <w:left w:w="0" w:type="dxa"/>
            <w:bottom w:w="0" w:type="dxa"/>
            <w:right w:w="0" w:type="dxa"/>
          </w:tblCellMar>
        </w:tblPrEx>
        <w:trPr>
          <w:trHeight w:val="450"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巡查质量（按照</w:t>
            </w:r>
            <w:r>
              <w:rPr>
                <w:rFonts w:hint="eastAsia" w:ascii="宋体" w:hAnsi="宋体" w:eastAsia="宋体" w:cs="宋体"/>
                <w:kern w:val="0"/>
                <w:sz w:val="18"/>
                <w:szCs w:val="18"/>
                <w:highlight w:val="none"/>
                <w:lang w:eastAsia="zh-CN"/>
              </w:rPr>
              <w:t>行业</w:t>
            </w:r>
            <w:r>
              <w:rPr>
                <w:rFonts w:hint="eastAsia" w:ascii="宋体" w:hAnsi="宋体" w:eastAsia="宋体" w:cs="宋体"/>
                <w:kern w:val="0"/>
                <w:sz w:val="18"/>
                <w:szCs w:val="18"/>
                <w:highlight w:val="none"/>
              </w:rPr>
              <w:t>规程，规范、文明、安全</w:t>
            </w:r>
            <w:r>
              <w:rPr>
                <w:rFonts w:hint="eastAsia" w:ascii="宋体" w:hAnsi="宋体" w:cs="宋体"/>
                <w:kern w:val="0"/>
                <w:sz w:val="18"/>
                <w:szCs w:val="18"/>
                <w:highlight w:val="none"/>
                <w:lang w:val="en-US" w:eastAsia="zh-CN"/>
              </w:rPr>
              <w:t>开展巡查</w:t>
            </w:r>
            <w:r>
              <w:rPr>
                <w:rFonts w:hint="eastAsia" w:ascii="宋体" w:hAnsi="宋体" w:eastAsia="宋体" w:cs="宋体"/>
                <w:kern w:val="0"/>
                <w:sz w:val="18"/>
                <w:szCs w:val="18"/>
                <w:highlight w:val="none"/>
                <w:lang w:eastAsia="zh-CN"/>
              </w:rPr>
              <w:t>养护</w:t>
            </w:r>
            <w:r>
              <w:rPr>
                <w:rFonts w:hint="eastAsia" w:ascii="宋体" w:hAnsi="宋体" w:eastAsia="宋体" w:cs="宋体"/>
                <w:kern w:val="0"/>
                <w:sz w:val="18"/>
                <w:szCs w:val="18"/>
                <w:highlight w:val="none"/>
              </w:rPr>
              <w:t>作业）</w:t>
            </w:r>
          </w:p>
        </w:tc>
        <w:tc>
          <w:tcPr>
            <w:tcW w:w="77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未及时发现问题的，每次扣0.5分</w:t>
            </w:r>
          </w:p>
        </w:tc>
      </w:tr>
      <w:tr>
        <w:tblPrEx>
          <w:tblCellMar>
            <w:top w:w="0" w:type="dxa"/>
            <w:left w:w="0" w:type="dxa"/>
            <w:bottom w:w="0" w:type="dxa"/>
            <w:right w:w="0" w:type="dxa"/>
          </w:tblCellMar>
        </w:tblPrEx>
        <w:trPr>
          <w:trHeight w:val="390"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cs="宋体"/>
                <w:kern w:val="0"/>
                <w:sz w:val="18"/>
                <w:szCs w:val="18"/>
                <w:highlight w:val="none"/>
                <w:lang w:val="en-US" w:eastAsia="zh-CN"/>
              </w:rPr>
              <w:t>巡查人员、养护人员统一着装、整洁得体</w:t>
            </w:r>
          </w:p>
        </w:tc>
        <w:tc>
          <w:tcPr>
            <w:tcW w:w="77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不穿标志服</w:t>
            </w:r>
            <w:r>
              <w:rPr>
                <w:rFonts w:hint="eastAsia" w:ascii="宋体" w:hAnsi="宋体" w:cs="宋体"/>
                <w:kern w:val="0"/>
                <w:sz w:val="18"/>
                <w:szCs w:val="18"/>
                <w:highlight w:val="none"/>
                <w:lang w:eastAsia="zh-CN"/>
              </w:rPr>
              <w:t>、</w:t>
            </w:r>
            <w:r>
              <w:rPr>
                <w:rFonts w:hint="eastAsia" w:ascii="宋体" w:hAnsi="宋体" w:cs="宋体"/>
                <w:kern w:val="0"/>
                <w:sz w:val="18"/>
                <w:szCs w:val="18"/>
                <w:highlight w:val="none"/>
                <w:lang w:val="en-US" w:eastAsia="zh-CN"/>
              </w:rPr>
              <w:t>着装不整洁</w:t>
            </w:r>
            <w:r>
              <w:rPr>
                <w:rFonts w:hint="eastAsia" w:ascii="宋体" w:hAnsi="宋体" w:eastAsia="宋体" w:cs="宋体"/>
                <w:kern w:val="0"/>
                <w:sz w:val="18"/>
                <w:szCs w:val="18"/>
                <w:highlight w:val="none"/>
              </w:rPr>
              <w:t>， 每人次扣100元</w:t>
            </w:r>
          </w:p>
        </w:tc>
      </w:tr>
      <w:tr>
        <w:tblPrEx>
          <w:tblCellMar>
            <w:top w:w="0" w:type="dxa"/>
            <w:left w:w="0" w:type="dxa"/>
            <w:bottom w:w="0" w:type="dxa"/>
            <w:right w:w="0" w:type="dxa"/>
          </w:tblCellMar>
        </w:tblPrEx>
        <w:trPr>
          <w:trHeight w:val="720" w:hRule="atLeast"/>
        </w:trPr>
        <w:tc>
          <w:tcPr>
            <w:tcW w:w="580" w:type="dxa"/>
            <w:vMerge w:val="restart"/>
            <w:tcBorders>
              <w:top w:val="nil"/>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9</w:t>
            </w:r>
          </w:p>
        </w:tc>
        <w:tc>
          <w:tcPr>
            <w:tcW w:w="1235" w:type="dxa"/>
            <w:vMerge w:val="restart"/>
            <w:tcBorders>
              <w:top w:val="nil"/>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管理标准</w:t>
            </w: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安全文明生产作业及绿地养护管理制度健全。实行日常巡查，用相机记录工作内容并</w:t>
            </w:r>
            <w:r>
              <w:rPr>
                <w:rFonts w:hint="eastAsia" w:ascii="宋体" w:hAnsi="宋体" w:cs="宋体"/>
                <w:kern w:val="0"/>
                <w:sz w:val="18"/>
                <w:szCs w:val="18"/>
                <w:highlight w:val="none"/>
                <w:lang w:val="en-US" w:eastAsia="zh-CN"/>
              </w:rPr>
              <w:t>每周报送督查整改对比照片（问题）不少于20个。</w:t>
            </w:r>
          </w:p>
        </w:tc>
        <w:tc>
          <w:tcPr>
            <w:tcW w:w="775" w:type="dxa"/>
            <w:vMerge w:val="restart"/>
            <w:tcBorders>
              <w:top w:val="nil"/>
              <w:left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645"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养护日历及记录不及时，</w:t>
            </w:r>
            <w:r>
              <w:rPr>
                <w:rFonts w:hint="eastAsia" w:ascii="宋体" w:hAnsi="宋体" w:cs="宋体"/>
                <w:kern w:val="0"/>
                <w:sz w:val="18"/>
                <w:szCs w:val="18"/>
                <w:highlight w:val="none"/>
                <w:lang w:val="en-US" w:eastAsia="zh-CN"/>
              </w:rPr>
              <w:t>未在每月月底前报送当月的工作总结及下个月的养护计划和重点的（包括但不限于日常的工作量，用工用料以清单形式提供并提供相关凭证），</w:t>
            </w:r>
            <w:r>
              <w:rPr>
                <w:rFonts w:hint="eastAsia" w:ascii="宋体" w:hAnsi="宋体" w:eastAsia="宋体" w:cs="宋体"/>
                <w:kern w:val="0"/>
                <w:sz w:val="18"/>
                <w:szCs w:val="18"/>
                <w:highlight w:val="none"/>
              </w:rPr>
              <w:t>上报不全，每次扣0.5分；无管护台帐，不得分。无养护计划、现场管理乱，发现一次扣1分；无故替开会一次扣0.5分；养护管理责任人经常变更不明确，扣1分；无相机记录工作内容，此项不得分；不及时完成主管部门交办任务，扣1分；发生安全事故不得分</w:t>
            </w:r>
          </w:p>
        </w:tc>
      </w:tr>
      <w:tr>
        <w:tblPrEx>
          <w:tblCellMar>
            <w:top w:w="0" w:type="dxa"/>
            <w:left w:w="0" w:type="dxa"/>
            <w:bottom w:w="0" w:type="dxa"/>
            <w:right w:w="0" w:type="dxa"/>
          </w:tblCellMar>
        </w:tblPrEx>
        <w:trPr>
          <w:trHeight w:val="540" w:hRule="atLeast"/>
        </w:trPr>
        <w:tc>
          <w:tcPr>
            <w:tcW w:w="580"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工作有台账、记录全、内容实，及时反馈</w:t>
            </w:r>
          </w:p>
        </w:tc>
        <w:tc>
          <w:tcPr>
            <w:tcW w:w="775" w:type="dxa"/>
            <w:vMerge w:val="continue"/>
            <w:tcBorders>
              <w:left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r>
      <w:tr>
        <w:tblPrEx>
          <w:tblCellMar>
            <w:top w:w="0" w:type="dxa"/>
            <w:left w:w="0" w:type="dxa"/>
            <w:bottom w:w="0" w:type="dxa"/>
            <w:right w:w="0" w:type="dxa"/>
          </w:tblCellMar>
        </w:tblPrEx>
        <w:trPr>
          <w:trHeight w:val="615" w:hRule="atLeast"/>
        </w:trPr>
        <w:tc>
          <w:tcPr>
            <w:tcW w:w="580"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按主管部门要求，准时参加会议，完成交办任务</w:t>
            </w:r>
          </w:p>
        </w:tc>
        <w:tc>
          <w:tcPr>
            <w:tcW w:w="775" w:type="dxa"/>
            <w:vMerge w:val="continue"/>
            <w:tcBorders>
              <w:left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r>
      <w:tr>
        <w:tblPrEx>
          <w:tblCellMar>
            <w:top w:w="0" w:type="dxa"/>
            <w:left w:w="0" w:type="dxa"/>
            <w:bottom w:w="0" w:type="dxa"/>
            <w:right w:w="0" w:type="dxa"/>
          </w:tblCellMar>
        </w:tblPrEx>
        <w:trPr>
          <w:trHeight w:val="615" w:hRule="atLeast"/>
        </w:trPr>
        <w:tc>
          <w:tcPr>
            <w:tcW w:w="580"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rPr>
            </w:pPr>
            <w:r>
              <w:rPr>
                <w:rFonts w:hint="eastAsia" w:ascii="宋体" w:hAnsi="宋体" w:cs="宋体"/>
                <w:kern w:val="0"/>
                <w:sz w:val="18"/>
                <w:szCs w:val="18"/>
                <w:highlight w:val="none"/>
                <w:lang w:val="en-US" w:eastAsia="zh-CN"/>
              </w:rPr>
              <w:t>每月2号前报送上月整改情况</w:t>
            </w:r>
          </w:p>
        </w:tc>
        <w:tc>
          <w:tcPr>
            <w:tcW w:w="775" w:type="dxa"/>
            <w:vMerge w:val="continue"/>
            <w:tcBorders>
              <w:left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sz w:val="18"/>
                <w:szCs w:val="18"/>
                <w:highlight w:val="none"/>
              </w:rPr>
            </w:pPr>
            <w:r>
              <w:rPr>
                <w:rFonts w:hint="eastAsia" w:ascii="宋体" w:hAnsi="宋体" w:cs="宋体"/>
                <w:kern w:val="0"/>
                <w:sz w:val="18"/>
                <w:szCs w:val="18"/>
                <w:highlight w:val="none"/>
                <w:lang w:val="en-US" w:eastAsia="zh-CN"/>
              </w:rPr>
              <w:t>未及时报送整改情况的每次扣1分；应整改而未及时整改的</w:t>
            </w:r>
            <w:r>
              <w:rPr>
                <w:rFonts w:hint="eastAsia" w:ascii="宋体" w:hAnsi="宋体" w:cs="宋体"/>
                <w:sz w:val="18"/>
                <w:szCs w:val="18"/>
                <w:highlight w:val="none"/>
                <w:lang w:val="en-US" w:eastAsia="zh-CN"/>
              </w:rPr>
              <w:t>每次扣2分</w:t>
            </w:r>
          </w:p>
        </w:tc>
      </w:tr>
      <w:tr>
        <w:tblPrEx>
          <w:tblCellMar>
            <w:top w:w="0" w:type="dxa"/>
            <w:left w:w="0" w:type="dxa"/>
            <w:bottom w:w="0" w:type="dxa"/>
            <w:right w:w="0" w:type="dxa"/>
          </w:tblCellMar>
        </w:tblPrEx>
        <w:trPr>
          <w:trHeight w:val="615" w:hRule="atLeast"/>
        </w:trPr>
        <w:tc>
          <w:tcPr>
            <w:tcW w:w="58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每天进行人员智慧化考勤，并上报考勤情况</w:t>
            </w:r>
          </w:p>
        </w:tc>
        <w:tc>
          <w:tcPr>
            <w:tcW w:w="775" w:type="dxa"/>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645"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未考勤的</w:t>
            </w:r>
            <w:r>
              <w:rPr>
                <w:rFonts w:hint="eastAsia" w:ascii="宋体" w:hAnsi="宋体" w:cs="宋体"/>
                <w:color w:val="FF0000"/>
                <w:kern w:val="0"/>
                <w:sz w:val="18"/>
                <w:szCs w:val="18"/>
                <w:highlight w:val="none"/>
                <w:lang w:val="en-US" w:eastAsia="zh-CN"/>
              </w:rPr>
              <w:t>每</w:t>
            </w:r>
            <w:r>
              <w:rPr>
                <w:rFonts w:hint="eastAsia" w:ascii="宋体" w:hAnsi="宋体" w:cs="宋体"/>
                <w:kern w:val="0"/>
                <w:sz w:val="18"/>
                <w:szCs w:val="18"/>
                <w:highlight w:val="none"/>
                <w:lang w:val="en-US" w:eastAsia="zh-CN"/>
              </w:rPr>
              <w:t>人扣0.1分；未及时上报考勤情况的扣0.3分。</w:t>
            </w:r>
          </w:p>
        </w:tc>
      </w:tr>
      <w:tr>
        <w:tblPrEx>
          <w:tblCellMar>
            <w:top w:w="0" w:type="dxa"/>
            <w:left w:w="0" w:type="dxa"/>
            <w:bottom w:w="0" w:type="dxa"/>
            <w:right w:w="0" w:type="dxa"/>
          </w:tblCellMar>
        </w:tblPrEx>
        <w:trPr>
          <w:trHeight w:val="615" w:hRule="atLeast"/>
        </w:trPr>
        <w:tc>
          <w:tcPr>
            <w:tcW w:w="58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18"/>
                <w:szCs w:val="18"/>
                <w:highlight w:val="none"/>
                <w:lang w:val="en-US" w:eastAsia="zh-CN"/>
              </w:rPr>
            </w:pPr>
            <w:r>
              <w:rPr>
                <w:rFonts w:hint="default" w:ascii="宋体" w:hAnsi="宋体" w:cs="宋体"/>
                <w:kern w:val="0"/>
                <w:sz w:val="18"/>
                <w:szCs w:val="18"/>
                <w:highlight w:val="none"/>
                <w:lang w:val="en-US" w:eastAsia="zh-CN"/>
              </w:rPr>
              <w:t>每月对月度养护计划落实情况进行检查</w:t>
            </w:r>
          </w:p>
        </w:tc>
        <w:tc>
          <w:tcPr>
            <w:tcW w:w="775" w:type="dxa"/>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645"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未按计划落实月度养护的，</w:t>
            </w:r>
            <w:r>
              <w:rPr>
                <w:rFonts w:hint="eastAsia" w:ascii="宋体" w:hAnsi="宋体" w:cs="宋体"/>
                <w:color w:val="FF0000"/>
                <w:kern w:val="0"/>
                <w:sz w:val="18"/>
                <w:szCs w:val="18"/>
                <w:highlight w:val="none"/>
                <w:lang w:val="en-US" w:eastAsia="zh-CN"/>
              </w:rPr>
              <w:t>每项内容扣1分</w:t>
            </w:r>
          </w:p>
        </w:tc>
      </w:tr>
      <w:tr>
        <w:tblPrEx>
          <w:tblCellMar>
            <w:top w:w="0" w:type="dxa"/>
            <w:left w:w="0" w:type="dxa"/>
            <w:bottom w:w="0" w:type="dxa"/>
            <w:right w:w="0" w:type="dxa"/>
          </w:tblCellMar>
        </w:tblPrEx>
        <w:trPr>
          <w:trHeight w:val="615" w:hRule="atLeast"/>
        </w:trPr>
        <w:tc>
          <w:tcPr>
            <w:tcW w:w="580"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18"/>
                <w:szCs w:val="18"/>
                <w:highlight w:val="none"/>
              </w:rPr>
            </w:pPr>
            <w:r>
              <w:rPr>
                <w:rFonts w:hint="eastAsia" w:ascii="宋体" w:hAnsi="宋体" w:eastAsia="宋体" w:cs="宋体"/>
                <w:b/>
                <w:kern w:val="0"/>
                <w:sz w:val="18"/>
                <w:szCs w:val="18"/>
                <w:highlight w:val="none"/>
              </w:rPr>
              <w:t>10</w:t>
            </w:r>
          </w:p>
        </w:tc>
        <w:tc>
          <w:tcPr>
            <w:tcW w:w="1235"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社会监督</w:t>
            </w: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群众来信、来电、来访举报，属实</w:t>
            </w:r>
          </w:p>
        </w:tc>
        <w:tc>
          <w:tcPr>
            <w:tcW w:w="775" w:type="dxa"/>
            <w:vMerge w:val="restar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5分</w:t>
            </w: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每次扣1分</w:t>
            </w:r>
          </w:p>
        </w:tc>
      </w:tr>
      <w:tr>
        <w:tblPrEx>
          <w:tblCellMar>
            <w:top w:w="0" w:type="dxa"/>
            <w:left w:w="0" w:type="dxa"/>
            <w:bottom w:w="0" w:type="dxa"/>
            <w:right w:w="0" w:type="dxa"/>
          </w:tblCellMar>
        </w:tblPrEx>
        <w:trPr>
          <w:trHeight w:val="615" w:hRule="atLeast"/>
        </w:trPr>
        <w:tc>
          <w:tcPr>
            <w:tcW w:w="58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kern w:val="0"/>
                <w:sz w:val="18"/>
                <w:szCs w:val="18"/>
                <w:highlight w:val="none"/>
              </w:rPr>
            </w:pPr>
          </w:p>
        </w:tc>
        <w:tc>
          <w:tcPr>
            <w:tcW w:w="123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社区参与考评，具体考评标准以街道下发考评标准为准，及时上报并整改</w:t>
            </w:r>
          </w:p>
        </w:tc>
        <w:tc>
          <w:tcPr>
            <w:tcW w:w="77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kern w:val="0"/>
                <w:sz w:val="18"/>
                <w:szCs w:val="18"/>
                <w:highlight w:val="none"/>
                <w:lang w:val="en-US" w:eastAsia="zh-CN" w:bidi="ar-SA"/>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default"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未及时上报或整改，</w:t>
            </w:r>
            <w:r>
              <w:rPr>
                <w:rFonts w:hint="eastAsia" w:ascii="宋体" w:hAnsi="宋体" w:eastAsia="宋体" w:cs="宋体"/>
                <w:kern w:val="0"/>
                <w:sz w:val="18"/>
                <w:szCs w:val="18"/>
                <w:highlight w:val="none"/>
              </w:rPr>
              <w:t>每次扣</w:t>
            </w:r>
            <w:r>
              <w:rPr>
                <w:rFonts w:hint="eastAsia" w:ascii="宋体" w:hAnsi="宋体" w:cs="宋体"/>
                <w:kern w:val="0"/>
                <w:sz w:val="18"/>
                <w:szCs w:val="18"/>
                <w:highlight w:val="none"/>
                <w:lang w:val="en-US" w:eastAsia="zh-CN"/>
              </w:rPr>
              <w:t>0.5</w:t>
            </w:r>
            <w:r>
              <w:rPr>
                <w:rFonts w:hint="eastAsia" w:ascii="宋体" w:hAnsi="宋体" w:eastAsia="宋体" w:cs="宋体"/>
                <w:kern w:val="0"/>
                <w:sz w:val="18"/>
                <w:szCs w:val="18"/>
                <w:highlight w:val="none"/>
              </w:rPr>
              <w:t>分</w:t>
            </w:r>
          </w:p>
        </w:tc>
      </w:tr>
      <w:tr>
        <w:tblPrEx>
          <w:tblCellMar>
            <w:top w:w="0" w:type="dxa"/>
            <w:left w:w="0" w:type="dxa"/>
            <w:bottom w:w="0" w:type="dxa"/>
            <w:right w:w="0" w:type="dxa"/>
          </w:tblCellMar>
        </w:tblPrEx>
        <w:trPr>
          <w:trHeight w:val="285"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媒体曝光，属实</w:t>
            </w:r>
          </w:p>
        </w:tc>
        <w:tc>
          <w:tcPr>
            <w:tcW w:w="77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每次扣2分</w:t>
            </w:r>
          </w:p>
        </w:tc>
      </w:tr>
      <w:tr>
        <w:tblPrEx>
          <w:tblCellMar>
            <w:top w:w="0" w:type="dxa"/>
            <w:left w:w="0" w:type="dxa"/>
            <w:bottom w:w="0" w:type="dxa"/>
            <w:right w:w="0" w:type="dxa"/>
          </w:tblCellMar>
        </w:tblPrEx>
        <w:trPr>
          <w:trHeight w:val="465"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sz w:val="18"/>
                <w:szCs w:val="18"/>
                <w:highlight w:val="none"/>
              </w:rPr>
              <w:t>对市长电话交办单、数字城管联系单等</w:t>
            </w:r>
            <w:r>
              <w:rPr>
                <w:rFonts w:hint="eastAsia" w:ascii="宋体" w:hAnsi="宋体" w:eastAsia="宋体" w:cs="宋体"/>
                <w:sz w:val="18"/>
                <w:szCs w:val="18"/>
                <w:highlight w:val="none"/>
                <w:lang w:eastAsia="zh-CN"/>
              </w:rPr>
              <w:t>派单</w:t>
            </w:r>
            <w:r>
              <w:rPr>
                <w:rFonts w:hint="eastAsia" w:ascii="宋体" w:hAnsi="宋体" w:eastAsia="宋体" w:cs="宋体"/>
                <w:sz w:val="18"/>
                <w:szCs w:val="18"/>
                <w:highlight w:val="none"/>
              </w:rPr>
              <w:t>及时</w:t>
            </w:r>
            <w:r>
              <w:rPr>
                <w:rFonts w:hint="eastAsia" w:ascii="宋体" w:hAnsi="宋体" w:eastAsia="宋体" w:cs="宋体"/>
                <w:sz w:val="18"/>
                <w:szCs w:val="18"/>
                <w:highlight w:val="none"/>
                <w:lang w:eastAsia="zh-CN"/>
              </w:rPr>
              <w:t>、高质量</w:t>
            </w:r>
            <w:r>
              <w:rPr>
                <w:rFonts w:hint="eastAsia" w:ascii="宋体" w:hAnsi="宋体" w:eastAsia="宋体" w:cs="宋体"/>
                <w:sz w:val="18"/>
                <w:szCs w:val="18"/>
                <w:highlight w:val="none"/>
              </w:rPr>
              <w:t>整改反馈</w:t>
            </w:r>
            <w:r>
              <w:rPr>
                <w:rFonts w:hint="eastAsia" w:ascii="宋体" w:hAnsi="宋体" w:eastAsia="宋体" w:cs="宋体"/>
                <w:sz w:val="18"/>
                <w:szCs w:val="18"/>
                <w:highlight w:val="none"/>
                <w:lang w:eastAsia="zh-CN"/>
              </w:rPr>
              <w:t>，按期处理率</w:t>
            </w:r>
            <w:r>
              <w:rPr>
                <w:rFonts w:hint="eastAsia" w:ascii="宋体" w:hAnsi="宋体" w:eastAsia="宋体" w:cs="宋体"/>
                <w:sz w:val="18"/>
                <w:szCs w:val="18"/>
                <w:highlight w:val="none"/>
                <w:lang w:val="en-US" w:eastAsia="zh-CN"/>
              </w:rPr>
              <w:t>100%。</w:t>
            </w:r>
          </w:p>
        </w:tc>
        <w:tc>
          <w:tcPr>
            <w:tcW w:w="77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每月末统计，按期处理率低于</w:t>
            </w:r>
            <w:r>
              <w:rPr>
                <w:rFonts w:hint="eastAsia" w:ascii="宋体" w:hAnsi="宋体" w:eastAsia="宋体" w:cs="宋体"/>
                <w:sz w:val="18"/>
                <w:szCs w:val="18"/>
                <w:highlight w:val="none"/>
                <w:lang w:val="en-US" w:eastAsia="zh-CN"/>
              </w:rPr>
              <w:t>100%，月度扣1分，低于95%，月度扣2分，以此类推</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反馈准确率</w:t>
            </w:r>
            <w:r>
              <w:rPr>
                <w:rFonts w:hint="eastAsia" w:ascii="宋体" w:hAnsi="宋体" w:eastAsia="宋体" w:cs="宋体"/>
                <w:sz w:val="18"/>
                <w:szCs w:val="18"/>
                <w:highlight w:val="none"/>
                <w:lang w:eastAsia="zh-CN"/>
              </w:rPr>
              <w:t>低于</w:t>
            </w:r>
            <w:r>
              <w:rPr>
                <w:rFonts w:hint="eastAsia" w:ascii="宋体" w:hAnsi="宋体" w:eastAsia="宋体" w:cs="宋体"/>
                <w:sz w:val="18"/>
                <w:szCs w:val="18"/>
                <w:highlight w:val="none"/>
                <w:lang w:val="en-US" w:eastAsia="zh-CN"/>
              </w:rPr>
              <w:t>99.5%，扣1分，</w:t>
            </w:r>
            <w:r>
              <w:rPr>
                <w:rFonts w:hint="eastAsia" w:ascii="宋体" w:hAnsi="宋体" w:eastAsia="宋体" w:cs="宋体"/>
                <w:sz w:val="18"/>
                <w:szCs w:val="18"/>
                <w:highlight w:val="none"/>
                <w:lang w:eastAsia="zh-CN"/>
              </w:rPr>
              <w:t>低于</w:t>
            </w:r>
            <w:r>
              <w:rPr>
                <w:rFonts w:hint="eastAsia" w:ascii="宋体" w:hAnsi="宋体" w:eastAsia="宋体" w:cs="宋体"/>
                <w:sz w:val="18"/>
                <w:szCs w:val="18"/>
                <w:highlight w:val="none"/>
                <w:lang w:val="en-US" w:eastAsia="zh-CN"/>
              </w:rPr>
              <w:t>99%，扣2分，</w:t>
            </w:r>
            <w:r>
              <w:rPr>
                <w:rFonts w:hint="eastAsia" w:ascii="宋体" w:hAnsi="宋体" w:eastAsia="宋体" w:cs="宋体"/>
                <w:sz w:val="18"/>
                <w:szCs w:val="18"/>
                <w:highlight w:val="none"/>
                <w:lang w:eastAsia="zh-CN"/>
              </w:rPr>
              <w:t>以此类推，</w:t>
            </w:r>
            <w:r>
              <w:rPr>
                <w:rFonts w:hint="eastAsia" w:ascii="宋体" w:hAnsi="宋体" w:eastAsia="宋体" w:cs="宋体"/>
                <w:sz w:val="18"/>
                <w:szCs w:val="18"/>
                <w:highlight w:val="none"/>
                <w:lang w:val="en-US" w:eastAsia="zh-CN"/>
              </w:rPr>
              <w:t>如案件反馈存在弄虚作假，扣5分</w:t>
            </w:r>
          </w:p>
        </w:tc>
      </w:tr>
      <w:tr>
        <w:tblPrEx>
          <w:tblCellMar>
            <w:top w:w="0" w:type="dxa"/>
            <w:left w:w="0" w:type="dxa"/>
            <w:bottom w:w="0" w:type="dxa"/>
            <w:right w:w="0" w:type="dxa"/>
          </w:tblCellMar>
        </w:tblPrEx>
        <w:trPr>
          <w:trHeight w:val="285" w:hRule="atLeast"/>
        </w:trPr>
        <w:tc>
          <w:tcPr>
            <w:tcW w:w="580"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sz w:val="18"/>
                <w:szCs w:val="18"/>
                <w:highlight w:val="none"/>
              </w:rPr>
            </w:pPr>
          </w:p>
        </w:tc>
        <w:tc>
          <w:tcPr>
            <w:tcW w:w="123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sz w:val="18"/>
                <w:szCs w:val="18"/>
                <w:highlight w:val="none"/>
              </w:rPr>
            </w:pPr>
          </w:p>
        </w:tc>
        <w:tc>
          <w:tcPr>
            <w:tcW w:w="318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cs="宋体"/>
                <w:kern w:val="0"/>
                <w:sz w:val="18"/>
                <w:szCs w:val="18"/>
                <w:highlight w:val="none"/>
                <w:lang w:val="en-US" w:eastAsia="zh-CN"/>
              </w:rPr>
              <w:t>区级及以上</w:t>
            </w:r>
            <w:r>
              <w:rPr>
                <w:rFonts w:hint="eastAsia" w:ascii="宋体" w:hAnsi="宋体" w:eastAsia="宋体" w:cs="宋体"/>
                <w:kern w:val="0"/>
                <w:sz w:val="18"/>
                <w:szCs w:val="18"/>
                <w:highlight w:val="none"/>
              </w:rPr>
              <w:t>相关部门表扬，属实</w:t>
            </w:r>
            <w:r>
              <w:rPr>
                <w:rFonts w:hint="eastAsia" w:ascii="宋体" w:hAnsi="宋体" w:cs="宋体"/>
                <w:kern w:val="0"/>
                <w:sz w:val="18"/>
                <w:szCs w:val="18"/>
                <w:highlight w:val="none"/>
                <w:lang w:eastAsia="zh-CN"/>
              </w:rPr>
              <w:t>；</w:t>
            </w:r>
            <w:r>
              <w:rPr>
                <w:rFonts w:hint="eastAsia" w:ascii="宋体" w:hAnsi="宋体" w:cs="宋体"/>
                <w:kern w:val="0"/>
                <w:sz w:val="18"/>
                <w:szCs w:val="18"/>
                <w:highlight w:val="none"/>
                <w:lang w:val="en-US" w:eastAsia="zh-CN"/>
              </w:rPr>
              <w:t>区级及以上相关部门通报、批评，属实</w:t>
            </w:r>
          </w:p>
        </w:tc>
        <w:tc>
          <w:tcPr>
            <w:tcW w:w="775"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center"/>
              <w:rPr>
                <w:rFonts w:hint="eastAsia" w:ascii="宋体" w:hAnsi="宋体" w:eastAsia="宋体" w:cs="宋体"/>
                <w:sz w:val="18"/>
                <w:szCs w:val="18"/>
                <w:highlight w:val="none"/>
              </w:rPr>
            </w:pPr>
          </w:p>
        </w:tc>
        <w:tc>
          <w:tcPr>
            <w:tcW w:w="364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eastAsia="宋体" w:cs="宋体"/>
                <w:sz w:val="18"/>
                <w:szCs w:val="18"/>
                <w:highlight w:val="none"/>
              </w:rPr>
            </w:pPr>
            <w:r>
              <w:rPr>
                <w:rFonts w:hint="eastAsia" w:ascii="宋体" w:hAnsi="宋体" w:cs="宋体"/>
                <w:kern w:val="0"/>
                <w:sz w:val="18"/>
                <w:szCs w:val="18"/>
                <w:highlight w:val="none"/>
                <w:lang w:val="en-US" w:eastAsia="zh-CN"/>
              </w:rPr>
              <w:t>表扬</w:t>
            </w:r>
            <w:r>
              <w:rPr>
                <w:rFonts w:hint="eastAsia" w:ascii="宋体" w:hAnsi="宋体" w:eastAsia="宋体" w:cs="宋体"/>
                <w:kern w:val="0"/>
                <w:sz w:val="18"/>
                <w:szCs w:val="18"/>
                <w:highlight w:val="none"/>
              </w:rPr>
              <w:t>加2分</w:t>
            </w:r>
            <w:r>
              <w:rPr>
                <w:rFonts w:hint="eastAsia" w:ascii="宋体" w:hAnsi="宋体" w:cs="宋体"/>
                <w:kern w:val="0"/>
                <w:sz w:val="18"/>
                <w:szCs w:val="18"/>
                <w:highlight w:val="none"/>
                <w:lang w:eastAsia="zh-CN"/>
              </w:rPr>
              <w:t>；</w:t>
            </w:r>
            <w:r>
              <w:rPr>
                <w:rFonts w:hint="eastAsia" w:ascii="宋体" w:hAnsi="宋体" w:cs="宋体"/>
                <w:kern w:val="0"/>
                <w:sz w:val="18"/>
                <w:szCs w:val="18"/>
                <w:highlight w:val="none"/>
                <w:lang w:val="en-US" w:eastAsia="zh-CN"/>
              </w:rPr>
              <w:t>通报、批评</w:t>
            </w:r>
            <w:r>
              <w:rPr>
                <w:rFonts w:hint="eastAsia" w:ascii="宋体" w:hAnsi="宋体" w:eastAsia="宋体" w:cs="宋体"/>
                <w:kern w:val="0"/>
                <w:sz w:val="18"/>
                <w:szCs w:val="18"/>
                <w:highlight w:val="none"/>
              </w:rPr>
              <w:t>每次扣2分</w:t>
            </w:r>
          </w:p>
        </w:tc>
      </w:tr>
      <w:tr>
        <w:tblPrEx>
          <w:tblCellMar>
            <w:top w:w="0" w:type="dxa"/>
            <w:left w:w="0" w:type="dxa"/>
            <w:bottom w:w="0" w:type="dxa"/>
            <w:right w:w="0" w:type="dxa"/>
          </w:tblCellMar>
        </w:tblPrEx>
        <w:trPr>
          <w:trHeight w:val="1500" w:hRule="atLeast"/>
        </w:trPr>
        <w:tc>
          <w:tcPr>
            <w:tcW w:w="9420"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注</w:t>
            </w:r>
            <w:r>
              <w:rPr>
                <w:rFonts w:hint="eastAsia" w:ascii="宋体" w:hAnsi="宋体" w:eastAsia="宋体" w:cs="宋体"/>
                <w:color w:val="000000"/>
                <w:kern w:val="0"/>
                <w:sz w:val="18"/>
                <w:szCs w:val="18"/>
                <w:highlight w:val="none"/>
              </w:rPr>
              <w:t>：</w:t>
            </w:r>
            <w:r>
              <w:rPr>
                <w:rStyle w:val="174"/>
                <w:rFonts w:hint="eastAsia" w:ascii="宋体" w:hAnsi="宋体" w:eastAsia="宋体" w:cs="宋体"/>
                <w:color w:val="000000"/>
                <w:sz w:val="18"/>
                <w:szCs w:val="18"/>
                <w:highlight w:val="none"/>
              </w:rPr>
              <w:t>1、整改期限按天气、整改的内容由</w:t>
            </w:r>
            <w:r>
              <w:rPr>
                <w:rFonts w:hint="eastAsia" w:ascii="宋体" w:hAnsi="宋体" w:cs="宋体"/>
                <w:kern w:val="0"/>
                <w:sz w:val="18"/>
                <w:szCs w:val="18"/>
                <w:highlight w:val="none"/>
                <w:lang w:eastAsia="zh-CN"/>
              </w:rPr>
              <w:t>招标人或相关部门</w:t>
            </w:r>
            <w:r>
              <w:rPr>
                <w:rStyle w:val="174"/>
                <w:rFonts w:hint="eastAsia" w:ascii="宋体" w:hAnsi="宋体" w:eastAsia="宋体" w:cs="宋体"/>
                <w:color w:val="000000"/>
                <w:sz w:val="18"/>
                <w:szCs w:val="18"/>
                <w:highlight w:val="none"/>
              </w:rPr>
              <w:t>界定。</w:t>
            </w:r>
            <w:r>
              <w:rPr>
                <w:rStyle w:val="165"/>
                <w:rFonts w:hint="eastAsia" w:ascii="宋体" w:hAnsi="宋体" w:eastAsia="宋体" w:cs="宋体"/>
                <w:color w:val="000000"/>
                <w:sz w:val="18"/>
                <w:szCs w:val="18"/>
                <w:highlight w:val="none"/>
              </w:rPr>
              <w:t>2、养护单位每日填写自查表并上报。</w:t>
            </w:r>
            <w:r>
              <w:rPr>
                <w:rStyle w:val="165"/>
                <w:rFonts w:hint="eastAsia" w:ascii="宋体" w:hAnsi="宋体" w:eastAsia="宋体" w:cs="宋体"/>
                <w:b/>
                <w:bCs/>
                <w:color w:val="000000"/>
                <w:sz w:val="18"/>
                <w:szCs w:val="18"/>
                <w:highlight w:val="none"/>
              </w:rPr>
              <w:t>对于养护单位先于</w:t>
            </w:r>
            <w:r>
              <w:rPr>
                <w:rFonts w:hint="eastAsia" w:ascii="宋体" w:hAnsi="宋体" w:cs="宋体"/>
                <w:b/>
                <w:bCs/>
                <w:kern w:val="0"/>
                <w:sz w:val="18"/>
                <w:szCs w:val="18"/>
                <w:highlight w:val="none"/>
                <w:lang w:eastAsia="zh-CN"/>
              </w:rPr>
              <w:t>招标人</w:t>
            </w:r>
            <w:r>
              <w:rPr>
                <w:rStyle w:val="165"/>
                <w:rFonts w:hint="eastAsia" w:ascii="宋体" w:hAnsi="宋体" w:eastAsia="宋体" w:cs="宋体"/>
                <w:b/>
                <w:bCs/>
                <w:color w:val="000000"/>
                <w:sz w:val="18"/>
                <w:szCs w:val="18"/>
                <w:highlight w:val="none"/>
              </w:rPr>
              <w:t>工作人员发现问题的并在自查表上填明已经上报</w:t>
            </w:r>
            <w:r>
              <w:rPr>
                <w:rFonts w:hint="eastAsia" w:ascii="宋体" w:hAnsi="宋体" w:cs="宋体"/>
                <w:b/>
                <w:bCs/>
                <w:kern w:val="0"/>
                <w:sz w:val="18"/>
                <w:szCs w:val="18"/>
                <w:highlight w:val="none"/>
                <w:lang w:eastAsia="zh-CN"/>
              </w:rPr>
              <w:t>招标人</w:t>
            </w:r>
            <w:r>
              <w:rPr>
                <w:rStyle w:val="165"/>
                <w:rFonts w:hint="eastAsia" w:ascii="宋体" w:hAnsi="宋体" w:eastAsia="宋体" w:cs="宋体"/>
                <w:b/>
                <w:bCs/>
                <w:color w:val="000000"/>
                <w:sz w:val="18"/>
                <w:szCs w:val="18"/>
                <w:highlight w:val="none"/>
              </w:rPr>
              <w:t>的，可不扣分。</w:t>
            </w:r>
            <w:r>
              <w:rPr>
                <w:rStyle w:val="174"/>
                <w:rFonts w:hint="eastAsia" w:ascii="宋体" w:hAnsi="宋体" w:eastAsia="宋体" w:cs="宋体"/>
                <w:b/>
                <w:bCs/>
                <w:color w:val="000000"/>
                <w:sz w:val="18"/>
                <w:szCs w:val="18"/>
                <w:highlight w:val="none"/>
              </w:rPr>
              <w:t>3、灾害性天气、突发事件应根据</w:t>
            </w:r>
            <w:r>
              <w:rPr>
                <w:rFonts w:hint="eastAsia" w:ascii="宋体" w:hAnsi="宋体" w:cs="宋体"/>
                <w:b/>
                <w:bCs/>
                <w:kern w:val="0"/>
                <w:sz w:val="18"/>
                <w:szCs w:val="18"/>
                <w:highlight w:val="none"/>
                <w:lang w:eastAsia="zh-CN"/>
              </w:rPr>
              <w:t>招标人</w:t>
            </w:r>
            <w:r>
              <w:rPr>
                <w:rStyle w:val="174"/>
                <w:rFonts w:hint="eastAsia" w:ascii="宋体" w:hAnsi="宋体" w:eastAsia="宋体" w:cs="宋体"/>
                <w:b/>
                <w:bCs/>
                <w:color w:val="000000"/>
                <w:sz w:val="18"/>
                <w:szCs w:val="18"/>
                <w:highlight w:val="none"/>
              </w:rPr>
              <w:t>要求及时响应，响应不及时的，当</w:t>
            </w:r>
            <w:r>
              <w:rPr>
                <w:rStyle w:val="174"/>
                <w:rFonts w:hint="eastAsia" w:ascii="宋体" w:hAnsi="宋体" w:cs="宋体"/>
                <w:b/>
                <w:bCs/>
                <w:color w:val="000000"/>
                <w:sz w:val="18"/>
                <w:szCs w:val="18"/>
                <w:highlight w:val="none"/>
                <w:lang w:eastAsia="zh-CN"/>
              </w:rPr>
              <w:t>月</w:t>
            </w:r>
            <w:r>
              <w:rPr>
                <w:rStyle w:val="174"/>
                <w:rFonts w:hint="eastAsia" w:ascii="宋体" w:hAnsi="宋体" w:eastAsia="宋体" w:cs="宋体"/>
                <w:b/>
                <w:bCs/>
                <w:color w:val="000000"/>
                <w:sz w:val="18"/>
                <w:szCs w:val="18"/>
                <w:highlight w:val="none"/>
              </w:rPr>
              <w:t>考核</w:t>
            </w:r>
            <w:r>
              <w:rPr>
                <w:rStyle w:val="165"/>
                <w:rFonts w:hint="eastAsia" w:ascii="宋体" w:hAnsi="宋体" w:eastAsia="宋体" w:cs="宋体"/>
                <w:b/>
                <w:bCs/>
                <w:color w:val="000000"/>
                <w:sz w:val="18"/>
                <w:szCs w:val="18"/>
                <w:highlight w:val="none"/>
              </w:rPr>
              <w:t>评定为</w:t>
            </w:r>
            <w:r>
              <w:rPr>
                <w:rStyle w:val="174"/>
                <w:rFonts w:hint="eastAsia" w:ascii="宋体" w:hAnsi="宋体" w:eastAsia="宋体" w:cs="宋体"/>
                <w:b/>
                <w:bCs/>
                <w:color w:val="000000"/>
                <w:sz w:val="18"/>
                <w:szCs w:val="18"/>
                <w:highlight w:val="none"/>
              </w:rPr>
              <w:t>不合格。</w:t>
            </w:r>
            <w:r>
              <w:rPr>
                <w:rStyle w:val="165"/>
                <w:rFonts w:hint="eastAsia" w:ascii="宋体" w:hAnsi="宋体" w:eastAsia="宋体" w:cs="宋体"/>
                <w:color w:val="000000"/>
                <w:sz w:val="18"/>
                <w:szCs w:val="18"/>
                <w:highlight w:val="none"/>
              </w:rPr>
              <w:t>4、全年换花计划按时上报，每次换花前一周将计划上报</w:t>
            </w:r>
            <w:r>
              <w:rPr>
                <w:rFonts w:hint="eastAsia" w:ascii="宋体" w:hAnsi="宋体" w:cs="宋体"/>
                <w:kern w:val="0"/>
                <w:sz w:val="18"/>
                <w:szCs w:val="18"/>
                <w:highlight w:val="none"/>
                <w:lang w:eastAsia="zh-CN"/>
              </w:rPr>
              <w:t>招标人</w:t>
            </w:r>
            <w:r>
              <w:rPr>
                <w:rStyle w:val="165"/>
                <w:rFonts w:hint="eastAsia" w:ascii="宋体" w:hAnsi="宋体" w:eastAsia="宋体" w:cs="宋体"/>
                <w:color w:val="000000"/>
                <w:sz w:val="18"/>
                <w:szCs w:val="18"/>
                <w:highlight w:val="none"/>
              </w:rPr>
              <w:t>。5、养护合同的条款要求均是考核前置条件，未按合同履行的，考核评定为不合格。</w:t>
            </w:r>
          </w:p>
        </w:tc>
      </w:tr>
    </w:tbl>
    <w:p>
      <w:pPr>
        <w:rPr>
          <w:rFonts w:hint="eastAsia"/>
          <w:highlight w:val="none"/>
        </w:rPr>
      </w:pPr>
    </w:p>
    <w:p>
      <w:pPr>
        <w:adjustRightInd w:val="0"/>
        <w:snapToGrid w:val="0"/>
        <w:spacing w:line="340" w:lineRule="atLeast"/>
        <w:jc w:val="both"/>
        <w:rPr>
          <w:rFonts w:hint="eastAsia" w:ascii="宋体" w:hAnsi="宋体" w:cs="宋体"/>
          <w:color w:val="auto"/>
          <w:sz w:val="18"/>
          <w:szCs w:val="18"/>
          <w:highlight w:val="none"/>
        </w:rPr>
      </w:pPr>
      <w:r>
        <w:rPr>
          <w:rFonts w:hint="eastAsia" w:ascii="宋体" w:hAnsi="宋体" w:cs="宋体"/>
          <w:color w:val="auto"/>
          <w:sz w:val="18"/>
          <w:szCs w:val="18"/>
          <w:highlight w:val="none"/>
        </w:rPr>
        <w:t>备注：1、苗木施肥一年不少于三次，每年4月底、6月底、10月底之前完成追肥工作，施肥量以化肥为例：乔灌木25－50克/棵、绿篱色块8－10克/平方、草坪地被6－7克/平方、四季花卉每季不少于二次、每次8－10克/平方。</w:t>
      </w:r>
    </w:p>
    <w:p>
      <w:pPr>
        <w:ind w:firstLine="360" w:firstLineChars="200"/>
        <w:rPr>
          <w:rFonts w:hint="eastAsia"/>
          <w:color w:val="auto"/>
          <w:sz w:val="18"/>
          <w:szCs w:val="18"/>
          <w:highlight w:val="none"/>
        </w:rPr>
      </w:pPr>
      <w:r>
        <w:rPr>
          <w:rFonts w:hint="eastAsia" w:ascii="宋体" w:hAnsi="宋体" w:cs="宋体"/>
          <w:color w:val="auto"/>
          <w:sz w:val="18"/>
          <w:szCs w:val="18"/>
          <w:highlight w:val="none"/>
        </w:rPr>
        <w:t>2、推广使用有机肥，用量是化肥的20-50倍，具体施肥工作报园林处审核同意后方可实施。</w:t>
      </w:r>
    </w:p>
    <w:p>
      <w:pPr>
        <w:spacing w:line="26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考核要求：</w:t>
      </w:r>
    </w:p>
    <w:p>
      <w:pPr>
        <w:spacing w:line="26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1、每</w:t>
      </w:r>
      <w:r>
        <w:rPr>
          <w:rFonts w:hint="eastAsia" w:ascii="宋体" w:hAnsi="宋体" w:cs="宋体"/>
          <w:color w:val="auto"/>
          <w:sz w:val="18"/>
          <w:szCs w:val="18"/>
          <w:highlight w:val="none"/>
          <w:lang w:eastAsia="zh-CN"/>
        </w:rPr>
        <w:t>月</w:t>
      </w:r>
      <w:r>
        <w:rPr>
          <w:rFonts w:hint="eastAsia" w:ascii="宋体" w:hAnsi="宋体" w:eastAsia="宋体" w:cs="宋体"/>
          <w:color w:val="auto"/>
          <w:sz w:val="18"/>
          <w:szCs w:val="18"/>
          <w:highlight w:val="none"/>
          <w:lang w:eastAsia="zh-CN"/>
        </w:rPr>
        <w:t>嘉兴市秀洲区人民政府新城街道办事处</w:t>
      </w:r>
      <w:r>
        <w:rPr>
          <w:rFonts w:hint="eastAsia" w:ascii="宋体" w:hAnsi="宋体" w:eastAsia="宋体" w:cs="宋体"/>
          <w:color w:val="auto"/>
          <w:sz w:val="18"/>
          <w:szCs w:val="18"/>
          <w:highlight w:val="none"/>
        </w:rPr>
        <w:t>根据当</w:t>
      </w:r>
      <w:r>
        <w:rPr>
          <w:rFonts w:hint="eastAsia" w:ascii="宋体" w:hAnsi="宋体" w:cs="宋体"/>
          <w:color w:val="auto"/>
          <w:sz w:val="18"/>
          <w:szCs w:val="18"/>
          <w:highlight w:val="none"/>
          <w:lang w:eastAsia="zh-CN"/>
        </w:rPr>
        <w:t>月</w:t>
      </w:r>
      <w:r>
        <w:rPr>
          <w:rFonts w:hint="eastAsia" w:ascii="宋体" w:hAnsi="宋体" w:eastAsia="宋体" w:cs="宋体"/>
          <w:color w:val="auto"/>
          <w:sz w:val="18"/>
          <w:szCs w:val="18"/>
          <w:highlight w:val="none"/>
        </w:rPr>
        <w:t>暗查、明查情况进行汇总打分，得出该标段的当</w:t>
      </w:r>
      <w:r>
        <w:rPr>
          <w:rFonts w:hint="eastAsia" w:ascii="宋体" w:hAnsi="宋体" w:cs="宋体"/>
          <w:color w:val="auto"/>
          <w:sz w:val="18"/>
          <w:szCs w:val="18"/>
          <w:highlight w:val="none"/>
          <w:lang w:eastAsia="zh-CN"/>
        </w:rPr>
        <w:t>月</w:t>
      </w:r>
      <w:r>
        <w:rPr>
          <w:rFonts w:hint="eastAsia" w:ascii="宋体" w:hAnsi="宋体" w:eastAsia="宋体" w:cs="宋体"/>
          <w:color w:val="auto"/>
          <w:sz w:val="18"/>
          <w:szCs w:val="18"/>
          <w:highlight w:val="none"/>
        </w:rPr>
        <w:t>考核分，考核分与</w:t>
      </w:r>
      <w:r>
        <w:rPr>
          <w:rFonts w:hint="eastAsia" w:ascii="宋体" w:hAnsi="宋体" w:cs="宋体"/>
          <w:color w:val="auto"/>
          <w:sz w:val="18"/>
          <w:szCs w:val="18"/>
          <w:highlight w:val="none"/>
          <w:lang w:val="en-US" w:eastAsia="zh-CN"/>
        </w:rPr>
        <w:t>月</w:t>
      </w:r>
      <w:r>
        <w:rPr>
          <w:rFonts w:hint="eastAsia" w:ascii="宋体" w:hAnsi="宋体" w:eastAsia="宋体" w:cs="宋体"/>
          <w:color w:val="auto"/>
          <w:sz w:val="18"/>
          <w:szCs w:val="18"/>
          <w:highlight w:val="none"/>
        </w:rPr>
        <w:t>度养护费挂钩。考核实行百分制。考核分值及评分标准详见</w:t>
      </w:r>
      <w:r>
        <w:rPr>
          <w:rFonts w:hint="eastAsia" w:ascii="宋体" w:hAnsi="宋体" w:eastAsia="宋体" w:cs="宋体"/>
          <w:color w:val="auto"/>
          <w:sz w:val="18"/>
          <w:szCs w:val="18"/>
          <w:highlight w:val="none"/>
          <w:lang w:eastAsia="zh-CN"/>
        </w:rPr>
        <w:t>上表</w:t>
      </w:r>
      <w:r>
        <w:rPr>
          <w:rFonts w:hint="eastAsia" w:ascii="宋体" w:hAnsi="宋体" w:eastAsia="宋体" w:cs="宋体"/>
          <w:color w:val="auto"/>
          <w:sz w:val="18"/>
          <w:szCs w:val="18"/>
          <w:highlight w:val="none"/>
        </w:rPr>
        <w:t>。</w:t>
      </w:r>
    </w:p>
    <w:p>
      <w:pPr>
        <w:spacing w:line="260" w:lineRule="exact"/>
        <w:ind w:firstLine="360" w:firstLineChars="200"/>
        <w:rPr>
          <w:rFonts w:hint="default" w:ascii="宋体" w:hAnsi="宋体" w:cs="宋体"/>
          <w:color w:val="auto"/>
          <w:sz w:val="18"/>
          <w:szCs w:val="18"/>
          <w:highlight w:val="none"/>
          <w:lang w:val="en-US" w:eastAsia="zh-CN"/>
        </w:rPr>
      </w:pPr>
      <w:r>
        <w:rPr>
          <w:rFonts w:hint="eastAsia" w:ascii="宋体" w:hAnsi="宋体" w:eastAsia="宋体" w:cs="宋体"/>
          <w:color w:val="auto"/>
          <w:sz w:val="18"/>
          <w:szCs w:val="18"/>
          <w:highlight w:val="none"/>
        </w:rPr>
        <w:t>2、考核结果汇总及运用：根据</w:t>
      </w:r>
      <w:r>
        <w:rPr>
          <w:rFonts w:hint="eastAsia" w:ascii="宋体" w:hAnsi="宋体" w:cs="宋体"/>
          <w:color w:val="auto"/>
          <w:sz w:val="18"/>
          <w:szCs w:val="18"/>
          <w:highlight w:val="none"/>
          <w:lang w:val="en-US" w:eastAsia="zh-CN"/>
        </w:rPr>
        <w:t>街道</w:t>
      </w:r>
      <w:r>
        <w:rPr>
          <w:rFonts w:hint="eastAsia" w:ascii="宋体" w:hAnsi="宋体" w:eastAsia="宋体" w:cs="宋体"/>
          <w:color w:val="auto"/>
          <w:sz w:val="18"/>
          <w:szCs w:val="18"/>
          <w:highlight w:val="none"/>
        </w:rPr>
        <w:t>考核结果，</w:t>
      </w:r>
      <w:r>
        <w:rPr>
          <w:rFonts w:hint="eastAsia" w:ascii="宋体" w:hAnsi="宋体" w:cs="宋体"/>
          <w:color w:val="auto"/>
          <w:sz w:val="18"/>
          <w:szCs w:val="18"/>
          <w:highlight w:val="none"/>
          <w:lang w:val="en-US" w:eastAsia="zh-CN"/>
        </w:rPr>
        <w:t>95分以上不扣款，95分以下</w:t>
      </w:r>
      <w:r>
        <w:rPr>
          <w:rFonts w:hint="eastAsia" w:ascii="宋体" w:hAnsi="宋体" w:eastAsia="宋体" w:cs="宋体"/>
          <w:color w:val="auto"/>
          <w:sz w:val="18"/>
          <w:szCs w:val="18"/>
          <w:highlight w:val="none"/>
        </w:rPr>
        <w:t>每降低</w:t>
      </w:r>
      <w:r>
        <w:rPr>
          <w:rFonts w:hint="eastAsia" w:ascii="宋体" w:hAnsi="宋体" w:cs="宋体"/>
          <w:color w:val="auto"/>
          <w:sz w:val="18"/>
          <w:szCs w:val="18"/>
          <w:highlight w:val="none"/>
          <w:lang w:val="en-US" w:eastAsia="zh-CN"/>
        </w:rPr>
        <w:t>1</w:t>
      </w:r>
      <w:r>
        <w:rPr>
          <w:rFonts w:hint="eastAsia" w:ascii="宋体" w:hAnsi="宋体" w:eastAsia="宋体" w:cs="宋体"/>
          <w:color w:val="auto"/>
          <w:sz w:val="18"/>
          <w:szCs w:val="18"/>
          <w:highlight w:val="none"/>
        </w:rPr>
        <w:t>分，当</w:t>
      </w:r>
      <w:r>
        <w:rPr>
          <w:rFonts w:hint="eastAsia" w:ascii="宋体" w:hAnsi="宋体" w:cs="宋体"/>
          <w:color w:val="auto"/>
          <w:sz w:val="18"/>
          <w:szCs w:val="18"/>
          <w:highlight w:val="none"/>
          <w:lang w:val="en-US" w:eastAsia="zh-CN"/>
        </w:rPr>
        <w:t>月</w:t>
      </w:r>
      <w:r>
        <w:rPr>
          <w:rFonts w:hint="eastAsia" w:ascii="宋体" w:hAnsi="宋体" w:eastAsia="宋体" w:cs="宋体"/>
          <w:color w:val="auto"/>
          <w:sz w:val="18"/>
          <w:szCs w:val="18"/>
          <w:highlight w:val="none"/>
        </w:rPr>
        <w:t>养护费扣</w:t>
      </w:r>
      <w:r>
        <w:rPr>
          <w:rFonts w:hint="eastAsia" w:ascii="宋体" w:hAnsi="宋体" w:cs="宋体"/>
          <w:color w:val="auto"/>
          <w:sz w:val="18"/>
          <w:szCs w:val="18"/>
          <w:highlight w:val="none"/>
          <w:lang w:val="en-US" w:eastAsia="zh-CN"/>
        </w:rPr>
        <w:t>1</w:t>
      </w:r>
      <w:r>
        <w:rPr>
          <w:rFonts w:hint="eastAsia" w:ascii="宋体" w:hAnsi="宋体" w:eastAsia="宋体" w:cs="宋体"/>
          <w:color w:val="auto"/>
          <w:sz w:val="18"/>
          <w:szCs w:val="18"/>
          <w:highlight w:val="none"/>
        </w:rPr>
        <w:t>00</w:t>
      </w:r>
      <w:r>
        <w:rPr>
          <w:rFonts w:hint="eastAsia" w:ascii="宋体" w:hAnsi="宋体" w:cs="宋体"/>
          <w:color w:val="auto"/>
          <w:sz w:val="18"/>
          <w:szCs w:val="18"/>
          <w:highlight w:val="none"/>
          <w:lang w:val="en-US" w:eastAsia="zh-CN"/>
        </w:rPr>
        <w:t>0</w:t>
      </w:r>
      <w:r>
        <w:rPr>
          <w:rFonts w:hint="eastAsia" w:ascii="宋体" w:hAnsi="宋体" w:eastAsia="宋体" w:cs="宋体"/>
          <w:color w:val="auto"/>
          <w:sz w:val="18"/>
          <w:szCs w:val="18"/>
          <w:highlight w:val="none"/>
        </w:rPr>
        <w:t>元</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lang w:val="en-US" w:eastAsia="zh-CN"/>
        </w:rPr>
        <w:t>月</w:t>
      </w:r>
      <w:r>
        <w:rPr>
          <w:rFonts w:hint="eastAsia" w:ascii="宋体" w:hAnsi="宋体" w:cs="宋体"/>
          <w:color w:val="auto"/>
          <w:sz w:val="18"/>
          <w:szCs w:val="18"/>
          <w:highlight w:val="none"/>
          <w:lang w:eastAsia="zh-CN"/>
        </w:rPr>
        <w:t>度考核分在</w:t>
      </w:r>
      <w:r>
        <w:rPr>
          <w:rFonts w:hint="eastAsia" w:ascii="宋体" w:hAnsi="宋体" w:cs="宋体"/>
          <w:color w:val="auto"/>
          <w:sz w:val="18"/>
          <w:szCs w:val="18"/>
          <w:highlight w:val="none"/>
          <w:lang w:val="en-US" w:eastAsia="zh-CN"/>
        </w:rPr>
        <w:t>60分以下的为不合格，发包人有权直接解除合同，并要求承包人赔偿相应损失</w:t>
      </w:r>
      <w:r>
        <w:rPr>
          <w:rFonts w:hint="eastAsia" w:ascii="宋体" w:hAnsi="宋体" w:eastAsia="宋体" w:cs="宋体"/>
          <w:color w:val="auto"/>
          <w:sz w:val="18"/>
          <w:szCs w:val="18"/>
          <w:highlight w:val="none"/>
        </w:rPr>
        <w:t>。</w:t>
      </w:r>
      <w:r>
        <w:rPr>
          <w:rFonts w:hint="eastAsia" w:ascii="宋体" w:hAnsi="宋体" w:cs="宋体"/>
          <w:color w:val="auto"/>
          <w:sz w:val="18"/>
          <w:szCs w:val="18"/>
          <w:highlight w:val="none"/>
          <w:lang w:eastAsia="zh-CN"/>
        </w:rPr>
        <w:t>考核扣款在本季度付款时一并扣除。</w:t>
      </w:r>
      <w:r>
        <w:rPr>
          <w:rFonts w:hint="eastAsia" w:ascii="宋体" w:hAnsi="宋体" w:cs="宋体"/>
          <w:color w:val="FF0000"/>
          <w:sz w:val="18"/>
          <w:szCs w:val="18"/>
          <w:highlight w:val="none"/>
          <w:lang w:eastAsia="zh-CN"/>
        </w:rPr>
        <w:t>（扣款金额</w:t>
      </w:r>
      <w:r>
        <w:rPr>
          <w:rFonts w:hint="eastAsia" w:ascii="宋体" w:hAnsi="宋体" w:cs="宋体"/>
          <w:color w:val="FF0000"/>
          <w:sz w:val="18"/>
          <w:szCs w:val="18"/>
          <w:highlight w:val="none"/>
          <w:lang w:val="en-US" w:eastAsia="zh-CN"/>
        </w:rPr>
        <w:t>=（扣分总分值-5分</w:t>
      </w:r>
      <w:r>
        <w:rPr>
          <w:rFonts w:hint="eastAsia" w:ascii="宋体" w:hAnsi="宋体" w:cs="宋体"/>
          <w:color w:val="FF0000"/>
          <w:sz w:val="18"/>
          <w:szCs w:val="18"/>
          <w:highlight w:val="none"/>
          <w:lang w:eastAsia="zh-CN"/>
        </w:rPr>
        <w:t>）</w:t>
      </w:r>
      <w:r>
        <w:rPr>
          <w:rFonts w:hint="eastAsia" w:ascii="宋体" w:hAnsi="宋体" w:cs="宋体"/>
          <w:color w:val="FF0000"/>
          <w:sz w:val="18"/>
          <w:szCs w:val="18"/>
          <w:highlight w:val="none"/>
          <w:lang w:val="en-US" w:eastAsia="zh-CN"/>
        </w:rPr>
        <w:t>*1000元，扣分总分值为非整数，按非整数直接计算）</w:t>
      </w:r>
    </w:p>
    <w:p>
      <w:pPr>
        <w:pStyle w:val="58"/>
        <w:ind w:firstLine="360" w:firstLineChars="200"/>
        <w:rPr>
          <w:rFonts w:hint="default"/>
          <w:highlight w:val="none"/>
          <w:lang w:val="en-US" w:eastAsia="zh-CN"/>
        </w:rPr>
      </w:pPr>
      <w:r>
        <w:rPr>
          <w:rFonts w:hint="eastAsia" w:ascii="宋体" w:hAnsi="宋体" w:cs="宋体"/>
          <w:color w:val="auto"/>
          <w:sz w:val="18"/>
          <w:szCs w:val="18"/>
          <w:highlight w:val="none"/>
          <w:lang w:val="en-US" w:eastAsia="zh-CN"/>
        </w:rPr>
        <w:t>3、年度考核结果为街道月度平均分，年度考核90分及以上的视为考核优秀，年度90分及以上经业主最终确认同意允许续签。</w:t>
      </w:r>
    </w:p>
    <w:p>
      <w:pPr>
        <w:ind w:firstLine="360"/>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4、市城管委、区城管委和区园林市政管理服务中心对街道辖区范围内巡查、考核发现存在任何相关问题对街道进行处罚、扣分的；市城管委每一个问题扣1000元，区城管委和区园林市政管理服务中心每扣1分，则所扣分标段按每分1000元进行扣款。当月区园林市政管理服务中心对两街道绿化考评结果位于前三名的（含并列前三），当月养护费全额拨款，不再进行扣款（包括因市城管委、区城管委和区园林市政管理服务中心扣分扣款及街道考核扣分扣款）。若区园林市政管理服务中心对两街道绿化考评结果单个标段年度累计位于后三名（含并列后三名）3次以上的不再续签。（如市级、区级考核管理部门在执行期间调整的，按调整的部门考核管理意见为准）。</w:t>
      </w:r>
    </w:p>
    <w:p>
      <w:pPr>
        <w:ind w:firstLine="360"/>
        <w:rPr>
          <w:rFonts w:hint="eastAsia" w:ascii="宋体" w:hAnsi="宋体" w:cs="宋体"/>
          <w:color w:val="auto"/>
          <w:sz w:val="18"/>
          <w:szCs w:val="18"/>
          <w:highlight w:val="none"/>
          <w:lang w:eastAsia="zh-CN"/>
        </w:rPr>
      </w:pPr>
      <w:r>
        <w:rPr>
          <w:rFonts w:hint="eastAsia" w:ascii="宋体" w:hAnsi="宋体" w:cs="宋体"/>
          <w:color w:val="auto"/>
          <w:sz w:val="18"/>
          <w:szCs w:val="18"/>
          <w:highlight w:val="none"/>
          <w:lang w:val="en-US" w:eastAsia="zh-CN"/>
        </w:rPr>
        <w:t>5、市、区部门考核仅作为每个月扣款依据，不纳入街道月度及年度考核依据。</w:t>
      </w:r>
      <w:r>
        <w:rPr>
          <w:rFonts w:hint="eastAsia" w:ascii="宋体" w:hAnsi="宋体" w:cs="宋体"/>
          <w:color w:val="auto"/>
          <w:sz w:val="18"/>
          <w:szCs w:val="18"/>
          <w:highlight w:val="none"/>
          <w:lang w:eastAsia="zh-CN"/>
        </w:rPr>
        <w:br w:type="page"/>
      </w:r>
    </w:p>
    <w:p>
      <w:pPr>
        <w:spacing w:line="260" w:lineRule="exact"/>
        <w:ind w:firstLine="360" w:firstLineChars="200"/>
        <w:rPr>
          <w:rFonts w:hint="eastAsia" w:ascii="宋体" w:hAnsi="宋体" w:cs="宋体"/>
          <w:color w:val="auto"/>
          <w:sz w:val="18"/>
          <w:szCs w:val="18"/>
          <w:highlight w:val="none"/>
          <w:lang w:val="en-US" w:eastAsia="zh-CN"/>
        </w:rPr>
        <w:sectPr>
          <w:headerReference r:id="rId5" w:type="default"/>
          <w:footerReference r:id="rId6" w:type="default"/>
          <w:pgSz w:w="11910" w:h="16840"/>
          <w:pgMar w:top="980" w:right="1200" w:bottom="800" w:left="1080" w:header="857" w:footer="1004" w:gutter="0"/>
          <w:pgBorders>
            <w:top w:val="none" w:sz="0" w:space="0"/>
            <w:left w:val="none" w:sz="0" w:space="0"/>
            <w:bottom w:val="none" w:sz="0" w:space="0"/>
            <w:right w:val="none" w:sz="0" w:space="0"/>
          </w:pgBorders>
          <w:pgNumType w:fmt="decimal" w:start="1"/>
          <w:cols w:space="720" w:num="1"/>
        </w:sectPr>
      </w:pPr>
    </w:p>
    <w:tbl>
      <w:tblPr>
        <w:tblStyle w:val="49"/>
        <w:tblW w:w="14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8"/>
        <w:gridCol w:w="4496"/>
        <w:gridCol w:w="4588"/>
        <w:gridCol w:w="2279"/>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75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32"/>
                <w:szCs w:val="32"/>
                <w:highlight w:val="none"/>
                <w:u w:val="none"/>
                <w:lang w:val="en-US" w:eastAsia="zh-CN" w:bidi="ar"/>
              </w:rPr>
              <w:t>新城街道绿化养护等级划分（暂定）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养护等级</w:t>
            </w:r>
          </w:p>
        </w:tc>
        <w:tc>
          <w:tcPr>
            <w:tcW w:w="4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公园绿地</w:t>
            </w:r>
          </w:p>
        </w:tc>
        <w:tc>
          <w:tcPr>
            <w:tcW w:w="4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道路绿地</w:t>
            </w:r>
          </w:p>
        </w:tc>
        <w:tc>
          <w:tcPr>
            <w:tcW w:w="2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生态防护绿地</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精细化</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秀洲公园、秀清公园、春晓文化公园、区政府广场周边、摩尔广场、杭州塘北侧与北郊河东侧绿道、北郊河西侧绿道</w:t>
            </w:r>
          </w:p>
        </w:tc>
        <w:tc>
          <w:tcPr>
            <w:tcW w:w="4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中山西路、秀洲大道、秀园路、洪兴西路、新安路、长虹路、蓬莱路、新洲路</w:t>
            </w:r>
          </w:p>
        </w:tc>
        <w:tc>
          <w:tcPr>
            <w:tcW w:w="2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bCs/>
                <w:i w:val="0"/>
                <w:iCs w:val="0"/>
                <w:color w:val="000000"/>
                <w:sz w:val="18"/>
                <w:szCs w:val="18"/>
                <w:highlight w:val="none"/>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一级</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生态公园、新塍绿道、嘉业阳光城东侧绿地、新洲路东侧绿地（中山路-吉杨路）、320国道匝道绿地、君特口袋公园、吴越路东侧绿地、东升西路两侧绿地</w:t>
            </w:r>
          </w:p>
        </w:tc>
        <w:tc>
          <w:tcPr>
            <w:tcW w:w="4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东升西路、亚厦路、洪殷路、吉杨路、启蒙路、吴越路、新秀路、盛西路、洪波路、佳园路、洪高路、殷秀路、明日路、聚贤路、新平路、启智路</w:t>
            </w: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highlight w:val="none"/>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二级</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风筝公园一期、风筝公园二期、摩尔公馆东绿地、中山保健品市场两侧绿地、殷秀路西侧绿地、启智路西侧绿地、洪高路南侧绿地、江南传媒周边绿化</w:t>
            </w:r>
          </w:p>
        </w:tc>
        <w:tc>
          <w:tcPr>
            <w:tcW w:w="4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大德路、木桥港路、新塍塘路、秀丽路、思家路、东港路、九里路、望仙路、金盾路、清涟路、成秀路、秀湖路、环秀路</w:t>
            </w: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highlight w:val="none"/>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三级</w:t>
            </w:r>
          </w:p>
        </w:tc>
        <w:tc>
          <w:tcPr>
            <w:tcW w:w="4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大德路北延伸段小公园、景尚雅苑东小公园</w:t>
            </w:r>
          </w:p>
        </w:tc>
        <w:tc>
          <w:tcPr>
            <w:tcW w:w="4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雁泾港路、义庄路、秀圣路、秀庄路</w:t>
            </w: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亚厦风和苑西侧片林、嘉业阳光城西侧片林、雁泾港路北侧片林</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bl>
    <w:p>
      <w:pPr>
        <w:spacing w:line="260" w:lineRule="exact"/>
        <w:ind w:firstLine="360" w:firstLineChars="200"/>
        <w:rPr>
          <w:rFonts w:hint="eastAsia" w:ascii="宋体" w:hAnsi="宋体" w:cs="宋体"/>
          <w:color w:val="auto"/>
          <w:sz w:val="18"/>
          <w:szCs w:val="18"/>
          <w:highlight w:val="none"/>
          <w:lang w:val="en-US" w:eastAsia="zh-CN"/>
        </w:rPr>
        <w:sectPr>
          <w:pgSz w:w="16840" w:h="11910" w:orient="landscape"/>
          <w:pgMar w:top="1080" w:right="980" w:bottom="1200" w:left="800" w:header="857" w:footer="1004" w:gutter="0"/>
          <w:pgBorders>
            <w:top w:val="none" w:sz="0" w:space="0"/>
            <w:left w:val="none" w:sz="0" w:space="0"/>
            <w:bottom w:val="none" w:sz="0" w:space="0"/>
            <w:right w:val="none" w:sz="0" w:space="0"/>
          </w:pgBorders>
          <w:pgNumType w:fmt="decimal"/>
          <w:cols w:space="720" w:num="1"/>
        </w:sectPr>
      </w:pPr>
      <w:r>
        <w:rPr>
          <w:rFonts w:hint="eastAsia" w:ascii="宋体" w:hAnsi="宋体" w:cs="宋体"/>
          <w:color w:val="auto"/>
          <w:sz w:val="18"/>
          <w:szCs w:val="18"/>
          <w:highlight w:val="none"/>
          <w:lang w:val="en-US" w:eastAsia="zh-CN"/>
        </w:rPr>
        <w:t>注：若在实施期间招标人或上级部门对上表等级划分有修正的，按最新修正的等级类别执行，因此引起的费用增加已包含在投标总价中，不再另行支付。</w:t>
      </w:r>
    </w:p>
    <w:p>
      <w:pPr>
        <w:snapToGrid w:val="0"/>
        <w:spacing w:beforeLines="50" w:afterLines="50" w:line="360" w:lineRule="auto"/>
        <w:ind w:left="238"/>
        <w:jc w:val="center"/>
        <w:outlineLvl w:val="0"/>
        <w:rPr>
          <w:rFonts w:asciiTheme="minorEastAsia" w:hAnsiTheme="minorEastAsia" w:eastAsiaTheme="minorEastAsia"/>
          <w:b/>
          <w:color w:val="auto"/>
          <w:sz w:val="30"/>
          <w:szCs w:val="30"/>
          <w:highlight w:val="none"/>
        </w:rPr>
      </w:pPr>
      <w:bookmarkStart w:id="140" w:name="_Toc7035"/>
      <w:r>
        <w:rPr>
          <w:rFonts w:hint="eastAsia" w:asciiTheme="minorEastAsia" w:hAnsiTheme="minorEastAsia" w:eastAsiaTheme="minorEastAsia"/>
          <w:b/>
          <w:color w:val="auto"/>
          <w:sz w:val="30"/>
          <w:szCs w:val="30"/>
          <w:highlight w:val="none"/>
        </w:rPr>
        <w:t>第三章 供应商须知</w:t>
      </w:r>
      <w:bookmarkEnd w:id="140"/>
    </w:p>
    <w:p>
      <w:pPr>
        <w:snapToGrid w:val="0"/>
        <w:spacing w:beforeLines="50" w:afterLines="50" w:line="360" w:lineRule="auto"/>
        <w:ind w:left="238"/>
        <w:jc w:val="center"/>
        <w:outlineLvl w:val="1"/>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电子交易注意事项</w:t>
      </w:r>
    </w:p>
    <w:p>
      <w:pPr>
        <w:spacing w:line="360" w:lineRule="auto"/>
        <w:ind w:firstLine="180" w:firstLineChars="100"/>
        <w:jc w:val="left"/>
        <w:rPr>
          <w:rFonts w:cs="宋体" w:asciiTheme="minorEastAsia" w:hAnsiTheme="minorEastAsia" w:eastAsiaTheme="minorEastAsia"/>
          <w:color w:val="auto"/>
          <w:sz w:val="18"/>
          <w:szCs w:val="18"/>
          <w:highlight w:val="none"/>
          <w:shd w:val="clear" w:color="auto" w:fill="FFFFFF"/>
        </w:rPr>
      </w:pPr>
      <w:r>
        <w:rPr>
          <w:rFonts w:hint="eastAsia" w:cs="宋体" w:asciiTheme="minorEastAsia" w:hAnsiTheme="minorEastAsia" w:eastAsiaTheme="minorEastAsia"/>
          <w:color w:val="auto"/>
          <w:sz w:val="18"/>
          <w:szCs w:val="18"/>
          <w:highlight w:val="none"/>
          <w:shd w:val="clear" w:color="auto" w:fill="FFFFFF"/>
        </w:rPr>
        <w:t>　政府采购项目电子交易活动适用《浙江省政府采购项目电子交易管理暂行办法》，现将相关注意事项告知如下：</w:t>
      </w:r>
    </w:p>
    <w:p>
      <w:pPr>
        <w:spacing w:line="360" w:lineRule="auto"/>
        <w:ind w:firstLine="180" w:firstLineChars="100"/>
        <w:jc w:val="left"/>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　1.代理机构按照招标文件规定的时间通过电子交易平台组织开标、开启投标文件，所有供应商均应当准时在线参加，直至评审结束。</w:t>
      </w:r>
    </w:p>
    <w:p>
      <w:pPr>
        <w:pStyle w:val="45"/>
        <w:spacing w:beforeAutospacing="0" w:afterAutospacing="0" w:line="360" w:lineRule="auto"/>
        <w:ind w:firstLine="180" w:firstLineChars="100"/>
        <w:rPr>
          <w:rFonts w:asciiTheme="minorEastAsia" w:hAnsiTheme="minorEastAsia" w:eastAsiaTheme="minorEastAsia"/>
          <w:color w:val="auto"/>
          <w:kern w:val="2"/>
          <w:sz w:val="18"/>
          <w:szCs w:val="18"/>
          <w:highlight w:val="none"/>
        </w:rPr>
      </w:pPr>
      <w:r>
        <w:rPr>
          <w:rFonts w:hint="eastAsia" w:asciiTheme="minorEastAsia" w:hAnsiTheme="minorEastAsia" w:eastAsiaTheme="minorEastAsia"/>
          <w:color w:val="auto"/>
          <w:kern w:val="2"/>
          <w:sz w:val="18"/>
          <w:szCs w:val="18"/>
          <w:highlight w:val="none"/>
        </w:rPr>
        <w:t>　2.投标文件未按时解密，供应商如提供备份投标文件的，以符合要求的备份投标文件作为依据，否则视为投标文件撤回。投标文件已按时解密的，备份投标文件自动失效。</w:t>
      </w:r>
    </w:p>
    <w:p>
      <w:pPr>
        <w:pStyle w:val="45"/>
        <w:spacing w:beforeAutospacing="0" w:afterAutospacing="0" w:line="360" w:lineRule="auto"/>
        <w:ind w:firstLine="180" w:firstLineChars="100"/>
        <w:rPr>
          <w:rFonts w:asciiTheme="minorEastAsia" w:hAnsiTheme="minorEastAsia" w:eastAsiaTheme="minorEastAsia"/>
          <w:color w:val="auto"/>
          <w:kern w:val="2"/>
          <w:sz w:val="18"/>
          <w:szCs w:val="18"/>
          <w:highlight w:val="none"/>
        </w:rPr>
      </w:pPr>
      <w:r>
        <w:rPr>
          <w:rFonts w:hint="eastAsia" w:asciiTheme="minorEastAsia" w:hAnsiTheme="minorEastAsia" w:eastAsiaTheme="minorEastAsia"/>
          <w:color w:val="auto"/>
          <w:kern w:val="2"/>
          <w:sz w:val="18"/>
          <w:szCs w:val="18"/>
          <w:highlight w:val="none"/>
        </w:rPr>
        <w:t>　3.采购过程中出现以下情形，导致电子交易平台无法正常运行，或者无法保证电子交易的公平、公正和安全时，代理机构可中止电子交易活动：</w:t>
      </w:r>
    </w:p>
    <w:p>
      <w:pPr>
        <w:pStyle w:val="45"/>
        <w:spacing w:beforeAutospacing="0" w:afterAutospacing="0" w:line="360" w:lineRule="auto"/>
        <w:ind w:firstLine="645"/>
        <w:rPr>
          <w:rFonts w:asciiTheme="minorEastAsia" w:hAnsiTheme="minorEastAsia" w:eastAsiaTheme="minorEastAsia"/>
          <w:color w:val="auto"/>
          <w:kern w:val="2"/>
          <w:sz w:val="18"/>
          <w:szCs w:val="18"/>
          <w:highlight w:val="none"/>
        </w:rPr>
      </w:pPr>
      <w:r>
        <w:rPr>
          <w:rFonts w:hint="eastAsia" w:asciiTheme="minorEastAsia" w:hAnsiTheme="minorEastAsia" w:eastAsiaTheme="minorEastAsia"/>
          <w:color w:val="auto"/>
          <w:kern w:val="2"/>
          <w:sz w:val="18"/>
          <w:szCs w:val="18"/>
          <w:highlight w:val="none"/>
        </w:rPr>
        <w:t>（一）电子交易平台发生故障而无法登录访问的； </w:t>
      </w:r>
    </w:p>
    <w:p>
      <w:pPr>
        <w:pStyle w:val="45"/>
        <w:spacing w:beforeAutospacing="0" w:afterAutospacing="0" w:line="360" w:lineRule="auto"/>
        <w:ind w:firstLine="645"/>
        <w:rPr>
          <w:rFonts w:asciiTheme="minorEastAsia" w:hAnsiTheme="minorEastAsia" w:eastAsiaTheme="minorEastAsia"/>
          <w:color w:val="auto"/>
          <w:kern w:val="2"/>
          <w:sz w:val="18"/>
          <w:szCs w:val="18"/>
          <w:highlight w:val="none"/>
        </w:rPr>
      </w:pPr>
      <w:r>
        <w:rPr>
          <w:rFonts w:hint="eastAsia" w:asciiTheme="minorEastAsia" w:hAnsiTheme="minorEastAsia" w:eastAsiaTheme="minorEastAsia"/>
          <w:color w:val="auto"/>
          <w:kern w:val="2"/>
          <w:sz w:val="18"/>
          <w:szCs w:val="18"/>
          <w:highlight w:val="none"/>
        </w:rPr>
        <w:t>（二）电子交易平台应用或数据库出现错误，不能进行正常操作的；</w:t>
      </w:r>
    </w:p>
    <w:p>
      <w:pPr>
        <w:pStyle w:val="45"/>
        <w:spacing w:beforeAutospacing="0" w:afterAutospacing="0" w:line="360" w:lineRule="auto"/>
        <w:ind w:firstLine="645"/>
        <w:rPr>
          <w:rFonts w:asciiTheme="minorEastAsia" w:hAnsiTheme="minorEastAsia" w:eastAsiaTheme="minorEastAsia"/>
          <w:color w:val="auto"/>
          <w:kern w:val="2"/>
          <w:sz w:val="18"/>
          <w:szCs w:val="18"/>
          <w:highlight w:val="none"/>
        </w:rPr>
      </w:pPr>
      <w:r>
        <w:rPr>
          <w:rFonts w:hint="eastAsia" w:asciiTheme="minorEastAsia" w:hAnsiTheme="minorEastAsia" w:eastAsiaTheme="minorEastAsia"/>
          <w:color w:val="auto"/>
          <w:kern w:val="2"/>
          <w:sz w:val="18"/>
          <w:szCs w:val="18"/>
          <w:highlight w:val="none"/>
        </w:rPr>
        <w:t>（三）电子交易平台发现严重安全漏洞，有潜在泄密危险的；</w:t>
      </w:r>
    </w:p>
    <w:p>
      <w:pPr>
        <w:pStyle w:val="45"/>
        <w:spacing w:beforeAutospacing="0" w:afterAutospacing="0" w:line="360" w:lineRule="auto"/>
        <w:ind w:firstLine="645"/>
        <w:rPr>
          <w:rFonts w:asciiTheme="minorEastAsia" w:hAnsiTheme="minorEastAsia" w:eastAsiaTheme="minorEastAsia"/>
          <w:color w:val="auto"/>
          <w:kern w:val="2"/>
          <w:sz w:val="18"/>
          <w:szCs w:val="18"/>
          <w:highlight w:val="none"/>
        </w:rPr>
      </w:pPr>
      <w:r>
        <w:rPr>
          <w:rFonts w:hint="eastAsia" w:asciiTheme="minorEastAsia" w:hAnsiTheme="minorEastAsia" w:eastAsiaTheme="minorEastAsia"/>
          <w:color w:val="auto"/>
          <w:kern w:val="2"/>
          <w:sz w:val="18"/>
          <w:szCs w:val="18"/>
          <w:highlight w:val="none"/>
        </w:rPr>
        <w:t>（四）病毒发作导致不能进行正常操作的； </w:t>
      </w:r>
    </w:p>
    <w:p>
      <w:pPr>
        <w:pStyle w:val="45"/>
        <w:spacing w:beforeAutospacing="0" w:afterAutospacing="0" w:line="360" w:lineRule="auto"/>
        <w:ind w:firstLine="645"/>
        <w:rPr>
          <w:rFonts w:asciiTheme="minorEastAsia" w:hAnsiTheme="minorEastAsia" w:eastAsiaTheme="minorEastAsia"/>
          <w:color w:val="auto"/>
          <w:kern w:val="2"/>
          <w:sz w:val="18"/>
          <w:szCs w:val="18"/>
          <w:highlight w:val="none"/>
        </w:rPr>
      </w:pPr>
      <w:r>
        <w:rPr>
          <w:rFonts w:hint="eastAsia" w:asciiTheme="minorEastAsia" w:hAnsiTheme="minorEastAsia" w:eastAsiaTheme="minorEastAsia"/>
          <w:color w:val="auto"/>
          <w:kern w:val="2"/>
          <w:sz w:val="18"/>
          <w:szCs w:val="18"/>
          <w:highlight w:val="none"/>
        </w:rPr>
        <w:t>（五）其他无法保证电子交易的公平、公正和安全的情况。</w:t>
      </w:r>
    </w:p>
    <w:p>
      <w:pPr>
        <w:pStyle w:val="45"/>
        <w:spacing w:beforeAutospacing="0" w:afterAutospacing="0" w:line="360" w:lineRule="auto"/>
        <w:ind w:firstLine="480"/>
        <w:rPr>
          <w:rFonts w:asciiTheme="minorEastAsia" w:hAnsiTheme="minorEastAsia" w:eastAsiaTheme="minorEastAsia"/>
          <w:color w:val="auto"/>
          <w:kern w:val="2"/>
          <w:sz w:val="18"/>
          <w:szCs w:val="18"/>
          <w:highlight w:val="none"/>
        </w:rPr>
      </w:pPr>
      <w:r>
        <w:rPr>
          <w:rFonts w:hint="eastAsia" w:asciiTheme="minorEastAsia" w:hAnsiTheme="minorEastAsia" w:eastAsiaTheme="minorEastAsia"/>
          <w:color w:val="auto"/>
          <w:kern w:val="2"/>
          <w:sz w:val="18"/>
          <w:szCs w:val="18"/>
          <w:highlight w:val="none"/>
        </w:rPr>
        <w:t>出现前款规定情形，不影响采购公平、公正性的，代理机构可以待上述情形消除后继续组织电子交易活动，也可以决定某些环节以纸质形式进行；影响或可能影响采购公平、公正性的，应当重新采购。</w:t>
      </w:r>
    </w:p>
    <w:p>
      <w:pPr>
        <w:pStyle w:val="45"/>
        <w:spacing w:beforeAutospacing="0" w:afterAutospacing="0" w:line="360" w:lineRule="auto"/>
        <w:ind w:firstLine="480"/>
        <w:rPr>
          <w:rFonts w:asciiTheme="minorEastAsia" w:hAnsiTheme="minorEastAsia" w:eastAsiaTheme="minorEastAsia"/>
          <w:color w:val="auto"/>
          <w:sz w:val="18"/>
          <w:szCs w:val="18"/>
          <w:highlight w:val="none"/>
          <w:shd w:val="clear" w:color="auto" w:fill="FFFFFF"/>
        </w:rPr>
      </w:pPr>
      <w:r>
        <w:rPr>
          <w:rFonts w:hint="eastAsia" w:asciiTheme="minorEastAsia" w:hAnsiTheme="minorEastAsia" w:eastAsiaTheme="minorEastAsia"/>
          <w:color w:val="auto"/>
          <w:sz w:val="18"/>
          <w:szCs w:val="18"/>
          <w:highlight w:val="none"/>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30"/>
        <w:snapToGrid w:val="0"/>
        <w:spacing w:before="120" w:after="120" w:line="360" w:lineRule="auto"/>
        <w:ind w:firstLine="361" w:firstLineChars="200"/>
        <w:rPr>
          <w:rFonts w:cs="宋体" w:asciiTheme="minorEastAsia" w:hAnsiTheme="minorEastAsia" w:eastAsiaTheme="minorEastAsia"/>
          <w:b/>
          <w:color w:val="auto"/>
          <w:kern w:val="0"/>
          <w:sz w:val="18"/>
          <w:szCs w:val="18"/>
          <w:highlight w:val="none"/>
          <w:shd w:val="clear" w:color="auto" w:fill="FFFFFF"/>
        </w:rPr>
      </w:pPr>
      <w:r>
        <w:rPr>
          <w:rFonts w:hint="eastAsia" w:cs="宋体" w:asciiTheme="minorEastAsia" w:hAnsiTheme="minorEastAsia" w:eastAsiaTheme="minorEastAsia"/>
          <w:b/>
          <w:color w:val="auto"/>
          <w:kern w:val="0"/>
          <w:sz w:val="18"/>
          <w:szCs w:val="18"/>
          <w:highlight w:val="none"/>
          <w:shd w:val="clear" w:color="auto" w:fill="FFFFFF"/>
        </w:rPr>
        <w:t>5.代理机构工作人员通过政采云通知供应商按电子交易项目要求接受询标、宣布开标报价、综合得分、签发中标通知书等事宜</w:t>
      </w:r>
      <w:r>
        <w:rPr>
          <w:rFonts w:hint="eastAsia" w:cs="宋体" w:asciiTheme="minorEastAsia" w:hAnsiTheme="minorEastAsia" w:eastAsiaTheme="minorEastAsia"/>
          <w:color w:val="auto"/>
          <w:kern w:val="0"/>
          <w:sz w:val="18"/>
          <w:szCs w:val="18"/>
          <w:highlight w:val="none"/>
          <w:shd w:val="clear" w:color="auto" w:fill="FFFFFF"/>
        </w:rPr>
        <w:t>。　　　　　</w:t>
      </w:r>
    </w:p>
    <w:p>
      <w:pPr>
        <w:spacing w:line="260" w:lineRule="exact"/>
        <w:ind w:firstLine="361" w:firstLineChars="200"/>
        <w:rPr>
          <w:rFonts w:hint="eastAsia" w:ascii="宋体" w:hAnsi="宋体" w:cs="宋体"/>
          <w:color w:val="auto"/>
          <w:sz w:val="18"/>
          <w:szCs w:val="18"/>
          <w:highlight w:val="none"/>
          <w:lang w:val="en-US" w:eastAsia="zh-CN"/>
        </w:rPr>
        <w:sectPr>
          <w:pgSz w:w="11910" w:h="16840"/>
          <w:pgMar w:top="980" w:right="1200" w:bottom="800" w:left="1080" w:header="857" w:footer="1004" w:gutter="0"/>
          <w:pgBorders>
            <w:top w:val="none" w:sz="0" w:space="0"/>
            <w:left w:val="none" w:sz="0" w:space="0"/>
            <w:bottom w:val="none" w:sz="0" w:space="0"/>
            <w:right w:val="none" w:sz="0" w:space="0"/>
          </w:pgBorders>
          <w:pgNumType w:fmt="decimal"/>
          <w:cols w:space="720" w:num="1"/>
        </w:sectPr>
      </w:pPr>
      <w:r>
        <w:rPr>
          <w:rFonts w:hint="eastAsia" w:cs="宋体" w:asciiTheme="minorEastAsia" w:hAnsiTheme="minorEastAsia" w:eastAsiaTheme="minorEastAsia"/>
          <w:b/>
          <w:color w:val="auto"/>
          <w:kern w:val="0"/>
          <w:sz w:val="18"/>
          <w:szCs w:val="18"/>
          <w:highlight w:val="none"/>
          <w:shd w:val="clear" w:color="auto" w:fill="FFFFFF"/>
        </w:rPr>
        <w:t>6.供应商须在代理机构宣布评审结束、产生中标候选人期间时刻关注政采云，配合专家组工作，如有询标（澄清、质疑），在30分钟内（具体时间以询标函上规定的时间为准备）通过ＣＡ进行回复。过期不按要求回复，视为默认原投标文件内容。</w:t>
      </w:r>
    </w:p>
    <w:bookmarkEnd w:id="8"/>
    <w:p>
      <w:pPr>
        <w:snapToGrid w:val="0"/>
        <w:spacing w:beforeLines="50" w:afterLines="50" w:line="360" w:lineRule="auto"/>
        <w:jc w:val="center"/>
        <w:outlineLvl w:val="1"/>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前附表</w:t>
      </w:r>
    </w:p>
    <w:tbl>
      <w:tblPr>
        <w:tblStyle w:val="49"/>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p>
        </w:tc>
        <w:tc>
          <w:tcPr>
            <w:tcW w:w="837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rPr>
                <w:rFonts w:hint="eastAsia" w:asciiTheme="minorEastAsia" w:hAnsiTheme="minorEastAsia" w:eastAsiaTheme="minorEastAsia"/>
                <w:b/>
                <w:color w:val="auto"/>
                <w:sz w:val="18"/>
                <w:szCs w:val="18"/>
                <w:highlight w:val="none"/>
                <w:lang w:eastAsia="zh-CN"/>
              </w:rPr>
            </w:pPr>
            <w:r>
              <w:rPr>
                <w:rFonts w:hint="eastAsia" w:asciiTheme="minorEastAsia" w:hAnsiTheme="minorEastAsia" w:eastAsiaTheme="minorEastAsia"/>
                <w:color w:val="auto"/>
                <w:sz w:val="18"/>
                <w:szCs w:val="18"/>
                <w:highlight w:val="none"/>
              </w:rPr>
              <w:t>项目名称：</w:t>
            </w:r>
            <w:r>
              <w:rPr>
                <w:rFonts w:hint="eastAsia" w:asciiTheme="minorEastAsia" w:hAnsiTheme="minorEastAsia" w:eastAsiaTheme="minorEastAsia"/>
                <w:bCs/>
                <w:color w:val="auto"/>
                <w:sz w:val="18"/>
                <w:szCs w:val="18"/>
                <w:highlight w:val="none"/>
                <w:lang w:eastAsia="zh-CN"/>
              </w:rPr>
              <w:t>新城街道2024年度区域绿化养护项目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采购内容：</w:t>
            </w:r>
            <w:r>
              <w:rPr>
                <w:rFonts w:asciiTheme="minorEastAsia" w:hAnsiTheme="minorEastAsia" w:eastAsiaTheme="minorEastAsia"/>
                <w:bCs/>
                <w:color w:val="auto"/>
                <w:sz w:val="18"/>
                <w:szCs w:val="18"/>
                <w:highlight w:val="none"/>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投标报价及费用：</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、本项目投标应以人民币报价；</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现场踏勘：无</w:t>
            </w:r>
            <w:r>
              <w:rPr>
                <w:rFonts w:asciiTheme="minorEastAsia" w:hAnsiTheme="minorEastAsia" w:eastAsiaTheme="minor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6</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开标时间及地点：</w:t>
            </w:r>
            <w:r>
              <w:rPr>
                <w:rFonts w:hint="eastAsia" w:cs="Arial" w:asciiTheme="minorEastAsia" w:hAnsiTheme="minorEastAsia" w:eastAsiaTheme="minorEastAsia"/>
                <w:b/>
                <w:color w:val="auto"/>
                <w:sz w:val="18"/>
                <w:szCs w:val="18"/>
                <w:highlight w:val="none"/>
                <w:lang w:eastAsia="zh-CN"/>
              </w:rPr>
              <w:t>2023年12月27日</w:t>
            </w:r>
            <w:r>
              <w:rPr>
                <w:rFonts w:hint="eastAsia" w:cs="Arial" w:asciiTheme="minorEastAsia" w:hAnsiTheme="minorEastAsia" w:eastAsiaTheme="minorEastAsia"/>
                <w:b/>
                <w:color w:val="auto"/>
                <w:sz w:val="18"/>
                <w:szCs w:val="18"/>
                <w:highlight w:val="none"/>
                <w:lang w:val="en-US" w:eastAsia="zh-CN"/>
              </w:rPr>
              <w:t>9</w:t>
            </w:r>
            <w:r>
              <w:rPr>
                <w:rFonts w:cs="Arial" w:asciiTheme="minorEastAsia" w:hAnsiTheme="minorEastAsia" w:eastAsiaTheme="minorEastAsia"/>
                <w:b/>
                <w:color w:val="auto"/>
                <w:sz w:val="18"/>
                <w:szCs w:val="18"/>
                <w:highlight w:val="none"/>
              </w:rPr>
              <w:t>时</w:t>
            </w:r>
            <w:r>
              <w:rPr>
                <w:rFonts w:hint="eastAsia" w:cs="Arial" w:asciiTheme="minorEastAsia" w:hAnsiTheme="minorEastAsia" w:eastAsiaTheme="minorEastAsia"/>
                <w:b/>
                <w:color w:val="auto"/>
                <w:sz w:val="18"/>
                <w:szCs w:val="18"/>
                <w:highlight w:val="none"/>
                <w:lang w:val="en-US" w:eastAsia="zh-CN"/>
              </w:rPr>
              <w:t>3</w:t>
            </w:r>
            <w:r>
              <w:rPr>
                <w:rFonts w:hint="eastAsia" w:cs="Arial" w:asciiTheme="minorEastAsia" w:hAnsiTheme="minorEastAsia" w:eastAsiaTheme="minorEastAsia"/>
                <w:b/>
                <w:color w:val="auto"/>
                <w:sz w:val="18"/>
                <w:szCs w:val="18"/>
                <w:highlight w:val="none"/>
              </w:rPr>
              <w:t>0</w:t>
            </w:r>
            <w:r>
              <w:rPr>
                <w:rFonts w:cs="Arial" w:asciiTheme="minorEastAsia" w:hAnsiTheme="minorEastAsia" w:eastAsiaTheme="minorEastAsia"/>
                <w:b/>
                <w:color w:val="auto"/>
                <w:sz w:val="18"/>
                <w:szCs w:val="18"/>
                <w:highlight w:val="none"/>
              </w:rPr>
              <w:t>分</w:t>
            </w:r>
            <w:r>
              <w:rPr>
                <w:rFonts w:hint="eastAsia" w:ascii="宋体" w:hAnsi="宋体" w:cs="Arial" w:eastAsiaTheme="minorEastAsia"/>
                <w:color w:val="auto"/>
                <w:sz w:val="18"/>
                <w:szCs w:val="18"/>
                <w:highlight w:val="none"/>
              </w:rPr>
              <w:t>嘉兴市银建工程咨询评估有限公司</w:t>
            </w:r>
            <w:r>
              <w:rPr>
                <w:rFonts w:hint="eastAsia" w:ascii="宋体" w:hAnsi="宋体" w:cs="Arial"/>
                <w:color w:val="auto"/>
                <w:sz w:val="18"/>
                <w:szCs w:val="18"/>
                <w:highlight w:val="none"/>
              </w:rPr>
              <w:t>（嘉兴市洪兴路2399号宝地大厦1506室）</w:t>
            </w:r>
            <w:r>
              <w:rPr>
                <w:rFonts w:hint="eastAsia" w:cs="Arial" w:asciiTheme="minorEastAsia" w:hAnsiTheme="minorEastAsia" w:eastAsiaTheme="minorEastAsia"/>
                <w:color w:val="auto"/>
                <w:sz w:val="18"/>
                <w:szCs w:val="18"/>
                <w:highlight w:val="none"/>
              </w:rPr>
              <w:t>。</w:t>
            </w:r>
            <w:r>
              <w:rPr>
                <w:rFonts w:hint="eastAsia" w:cs="Arial" w:asciiTheme="minorEastAsia" w:hAnsiTheme="minorEastAsia" w:eastAsiaTheme="minorEastAsia"/>
                <w:b/>
                <w:color w:val="auto"/>
                <w:sz w:val="18"/>
                <w:szCs w:val="18"/>
                <w:highlight w:val="none"/>
                <w:u w:val="single"/>
              </w:rPr>
              <w:t>供应商无需到开标现场，但须准时在线参加，直至评审结束。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7</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演示：无。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8</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9</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评标结果公告：评标结束后2个工作日内，评标结果公告于浙江政府采购网(http://www.zjzfcg.gov.cn/new/)。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代理机构提出质疑。质疑供应商对采购人、代理机构的答复不满意或者采购人、代理机构未在规定的时间内作出答复的，可以再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10</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中标公告及中标通知书：中标公告发布于上述媒体，</w:t>
            </w:r>
            <w:r>
              <w:rPr>
                <w:rFonts w:hint="eastAsia" w:cs="宋体" w:asciiTheme="minorEastAsia" w:hAnsiTheme="minorEastAsia" w:eastAsiaTheme="minorEastAsia"/>
                <w:color w:val="auto"/>
                <w:kern w:val="0"/>
                <w:sz w:val="18"/>
                <w:szCs w:val="18"/>
                <w:highlight w:val="none"/>
              </w:rPr>
              <w:t>中标公告期限为1个工作日。在公告中标结果的同时，代理机构向中标人发出中标通知书。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11</w:t>
            </w:r>
          </w:p>
        </w:tc>
        <w:tc>
          <w:tcPr>
            <w:tcW w:w="83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宋体"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履约保证金:</w:t>
            </w:r>
            <w:r>
              <w:rPr>
                <w:rFonts w:hint="eastAsia" w:cs="宋体" w:asciiTheme="minorEastAsia" w:hAnsiTheme="minorEastAsia" w:eastAsiaTheme="minorEastAsia"/>
                <w:color w:val="auto"/>
                <w:sz w:val="18"/>
                <w:szCs w:val="18"/>
                <w:highlight w:val="none"/>
              </w:rPr>
              <w:t xml:space="preserve"> </w:t>
            </w:r>
            <w:r>
              <w:rPr>
                <w:rFonts w:hint="eastAsia" w:cs="宋体" w:asciiTheme="minorEastAsia" w:hAnsiTheme="minorEastAsia" w:eastAsiaTheme="minorEastAsia"/>
                <w:color w:val="auto"/>
                <w:sz w:val="18"/>
                <w:szCs w:val="18"/>
                <w:highlight w:val="none"/>
                <w:lang w:eastAsia="zh-CN"/>
              </w:rPr>
              <w:t>签订合同价的</w:t>
            </w:r>
            <w:r>
              <w:rPr>
                <w:rFonts w:hint="eastAsia" w:cs="宋体" w:asciiTheme="minorEastAsia" w:hAnsiTheme="minorEastAsia" w:eastAsiaTheme="minorEastAsia"/>
                <w:color w:val="auto"/>
                <w:sz w:val="18"/>
                <w:szCs w:val="18"/>
                <w:highlight w:val="none"/>
                <w:lang w:val="en-US" w:eastAsia="zh-CN"/>
              </w:rPr>
              <w:t>1%</w:t>
            </w:r>
            <w:r>
              <w:rPr>
                <w:rFonts w:hint="eastAsia" w:cs="宋体" w:asciiTheme="minorEastAsia" w:hAnsiTheme="minorEastAsia" w:eastAsiaTheme="minor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2</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签订合同时间：中标通知书发出后10日内。</w:t>
            </w:r>
            <w:r>
              <w:rPr>
                <w:rFonts w:hint="eastAsia" w:cs="宋体" w:asciiTheme="minorEastAsia" w:hAnsiTheme="minorEastAsia" w:eastAsiaTheme="minorEastAsia"/>
                <w:color w:val="auto"/>
                <w:kern w:val="0"/>
                <w:sz w:val="18"/>
                <w:szCs w:val="18"/>
                <w:highlight w:val="none"/>
              </w:rPr>
              <w:t>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13</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4</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最高限价：</w:t>
            </w:r>
          </w:p>
          <w:p>
            <w:pPr>
              <w:autoSpaceDE w:val="0"/>
              <w:autoSpaceDN w:val="0"/>
              <w:snapToGrid w:val="0"/>
              <w:spacing w:line="360" w:lineRule="auto"/>
              <w:textAlignment w:val="bottom"/>
              <w:rPr>
                <w:rFonts w:hint="eastAsia" w:asciiTheme="minorEastAsia" w:hAnsiTheme="minorEastAsia" w:eastAsiaTheme="minorEastAsia"/>
                <w:b/>
                <w:color w:val="auto"/>
                <w:sz w:val="18"/>
                <w:szCs w:val="18"/>
                <w:highlight w:val="none"/>
                <w:lang w:val="en-US" w:eastAsia="zh-CN"/>
              </w:rPr>
            </w:pPr>
            <w:r>
              <w:rPr>
                <w:rFonts w:hint="eastAsia" w:asciiTheme="minorEastAsia" w:hAnsiTheme="minorEastAsia" w:eastAsiaTheme="minorEastAsia"/>
                <w:b/>
                <w:color w:val="auto"/>
                <w:sz w:val="18"/>
                <w:szCs w:val="18"/>
                <w:highlight w:val="none"/>
                <w:lang w:val="en-US" w:eastAsia="zh-CN"/>
              </w:rPr>
              <w:t>标段一：3718512.56元</w:t>
            </w:r>
          </w:p>
          <w:p>
            <w:pPr>
              <w:autoSpaceDE w:val="0"/>
              <w:autoSpaceDN w:val="0"/>
              <w:snapToGrid w:val="0"/>
              <w:spacing w:line="360" w:lineRule="auto"/>
              <w:textAlignment w:val="bottom"/>
              <w:rPr>
                <w:rFonts w:hint="eastAsia" w:asciiTheme="minorEastAsia" w:hAnsiTheme="minorEastAsia" w:eastAsiaTheme="minorEastAsia"/>
                <w:b/>
                <w:color w:val="auto"/>
                <w:sz w:val="18"/>
                <w:szCs w:val="18"/>
                <w:highlight w:val="none"/>
                <w:lang w:val="en-US" w:eastAsia="zh-CN"/>
              </w:rPr>
            </w:pPr>
            <w:r>
              <w:rPr>
                <w:rFonts w:hint="eastAsia" w:asciiTheme="minorEastAsia" w:hAnsiTheme="minorEastAsia" w:eastAsiaTheme="minorEastAsia"/>
                <w:b/>
                <w:color w:val="auto"/>
                <w:sz w:val="18"/>
                <w:szCs w:val="18"/>
                <w:highlight w:val="none"/>
                <w:lang w:val="en-US" w:eastAsia="zh-CN"/>
              </w:rPr>
              <w:t>标段二：4332871.44元</w:t>
            </w:r>
          </w:p>
          <w:p>
            <w:pPr>
              <w:autoSpaceDE w:val="0"/>
              <w:autoSpaceDN w:val="0"/>
              <w:snapToGrid w:val="0"/>
              <w:spacing w:line="360" w:lineRule="auto"/>
              <w:textAlignment w:val="bottom"/>
              <w:rPr>
                <w:rFonts w:hint="eastAsia" w:asciiTheme="minorEastAsia" w:hAnsiTheme="minorEastAsia" w:eastAsiaTheme="minorEastAsia"/>
                <w:b/>
                <w:color w:val="auto"/>
                <w:sz w:val="18"/>
                <w:szCs w:val="18"/>
                <w:highlight w:val="none"/>
                <w:lang w:val="en-US" w:eastAsia="zh-CN"/>
              </w:rPr>
            </w:pPr>
            <w:r>
              <w:rPr>
                <w:rFonts w:hint="eastAsia" w:asciiTheme="minorEastAsia" w:hAnsiTheme="minorEastAsia" w:eastAsiaTheme="minorEastAsia"/>
                <w:b/>
                <w:color w:val="auto"/>
                <w:sz w:val="18"/>
                <w:szCs w:val="18"/>
                <w:highlight w:val="none"/>
                <w:lang w:val="en-US" w:eastAsia="zh-CN"/>
              </w:rPr>
              <w:t>标段三：3380466元</w:t>
            </w:r>
          </w:p>
          <w:p>
            <w:pPr>
              <w:autoSpaceDE w:val="0"/>
              <w:autoSpaceDN w:val="0"/>
              <w:snapToGrid w:val="0"/>
              <w:spacing w:line="360" w:lineRule="auto"/>
              <w:textAlignment w:val="bottom"/>
              <w:rPr>
                <w:rFonts w:hint="eastAsia" w:asciiTheme="minorEastAsia" w:hAnsiTheme="minorEastAsia" w:eastAsiaTheme="minorEastAsia"/>
                <w:b/>
                <w:color w:val="auto"/>
                <w:sz w:val="18"/>
                <w:szCs w:val="18"/>
                <w:highlight w:val="none"/>
                <w:lang w:val="en-US" w:eastAsia="zh-CN"/>
              </w:rPr>
            </w:pPr>
            <w:r>
              <w:rPr>
                <w:rFonts w:hint="eastAsia" w:asciiTheme="minorEastAsia" w:hAnsiTheme="minorEastAsia" w:eastAsiaTheme="minorEastAsia"/>
                <w:b/>
                <w:color w:val="auto"/>
                <w:sz w:val="18"/>
                <w:szCs w:val="18"/>
                <w:highlight w:val="none"/>
                <w:lang w:val="en-US" w:eastAsia="zh-CN"/>
              </w:rPr>
              <w:t>标段四：3688584.28元</w:t>
            </w:r>
          </w:p>
          <w:p>
            <w:pPr>
              <w:autoSpaceDE w:val="0"/>
              <w:autoSpaceDN w:val="0"/>
              <w:snapToGrid w:val="0"/>
              <w:spacing w:line="360" w:lineRule="auto"/>
              <w:textAlignment w:val="bottom"/>
              <w:rPr>
                <w:rFonts w:hint="eastAsia" w:asciiTheme="minorEastAsia" w:hAnsiTheme="minorEastAsia" w:eastAsiaTheme="minorEastAsia"/>
                <w:b/>
                <w:color w:val="auto"/>
                <w:sz w:val="18"/>
                <w:szCs w:val="18"/>
                <w:highlight w:val="none"/>
                <w:lang w:val="en-US" w:eastAsia="zh-CN"/>
              </w:rPr>
            </w:pPr>
            <w:r>
              <w:rPr>
                <w:rFonts w:hint="eastAsia" w:asciiTheme="minorEastAsia" w:hAnsiTheme="minorEastAsia" w:eastAsiaTheme="minorEastAsia"/>
                <w:b/>
                <w:color w:val="auto"/>
                <w:sz w:val="18"/>
                <w:szCs w:val="18"/>
                <w:highlight w:val="none"/>
                <w:lang w:val="en-US" w:eastAsia="zh-CN"/>
              </w:rPr>
              <w:t>标段五：3647577.4元</w:t>
            </w:r>
          </w:p>
          <w:p>
            <w:pPr>
              <w:pStyle w:val="21"/>
              <w:rPr>
                <w:rFonts w:hint="eastAsia"/>
                <w:highlight w:val="none"/>
              </w:rPr>
            </w:pPr>
            <w:r>
              <w:rPr>
                <w:rFonts w:hint="eastAsia" w:asciiTheme="minorEastAsia" w:hAnsiTheme="minorEastAsia" w:eastAsiaTheme="minorEastAsia"/>
                <w:b/>
                <w:color w:val="auto"/>
                <w:sz w:val="18"/>
                <w:szCs w:val="18"/>
                <w:highlight w:val="none"/>
                <w:lang w:val="en-US" w:eastAsia="zh-CN"/>
              </w:rPr>
              <w:t>标段</w:t>
            </w:r>
            <w:r>
              <w:rPr>
                <w:rFonts w:hint="eastAsia" w:asciiTheme="minorEastAsia" w:hAnsiTheme="minorEastAsia"/>
                <w:b/>
                <w:color w:val="auto"/>
                <w:sz w:val="18"/>
                <w:szCs w:val="18"/>
                <w:highlight w:val="none"/>
                <w:lang w:val="en-US" w:eastAsia="zh-CN"/>
              </w:rPr>
              <w:t>六</w:t>
            </w:r>
            <w:r>
              <w:rPr>
                <w:rFonts w:hint="eastAsia" w:asciiTheme="minorEastAsia" w:hAnsiTheme="minorEastAsia" w:eastAsiaTheme="minorEastAsia"/>
                <w:b/>
                <w:color w:val="auto"/>
                <w:sz w:val="18"/>
                <w:szCs w:val="18"/>
                <w:highlight w:val="none"/>
                <w:lang w:val="en-US" w:eastAsia="zh-CN"/>
              </w:rPr>
              <w:t>：</w:t>
            </w:r>
            <w:r>
              <w:rPr>
                <w:rFonts w:hint="eastAsia" w:asciiTheme="minorEastAsia" w:hAnsiTheme="minorEastAsia"/>
                <w:b/>
                <w:color w:val="auto"/>
                <w:sz w:val="18"/>
                <w:szCs w:val="18"/>
                <w:highlight w:val="none"/>
                <w:lang w:val="en-US" w:eastAsia="zh-CN"/>
              </w:rPr>
              <w:t>3597018.5589</w:t>
            </w:r>
            <w:r>
              <w:rPr>
                <w:rFonts w:hint="eastAsia" w:asciiTheme="minorEastAsia" w:hAnsiTheme="minorEastAsia" w:eastAsiaTheme="minorEastAsia"/>
                <w:b/>
                <w:color w:val="auto"/>
                <w:sz w:val="18"/>
                <w:szCs w:val="18"/>
                <w:highlight w:val="none"/>
                <w:lang w:val="en-US" w:eastAsia="zh-CN"/>
              </w:rPr>
              <w:t>元</w:t>
            </w:r>
          </w:p>
          <w:p>
            <w:pPr>
              <w:autoSpaceDE w:val="0"/>
              <w:autoSpaceDN w:val="0"/>
              <w:snapToGrid w:val="0"/>
              <w:spacing w:line="360" w:lineRule="auto"/>
              <w:textAlignment w:val="bottom"/>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高于最高限价作废标处理。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5</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投标文件有效期：</w:t>
            </w:r>
            <w:r>
              <w:rPr>
                <w:rFonts w:hint="eastAsia" w:cs="Arial" w:asciiTheme="minorEastAsia" w:hAnsiTheme="minorEastAsia" w:eastAsiaTheme="minorEastAsia"/>
                <w:color w:val="auto"/>
                <w:sz w:val="18"/>
                <w:szCs w:val="18"/>
                <w:highlight w:val="none"/>
                <w:u w:val="single"/>
              </w:rPr>
              <w:t>90</w:t>
            </w:r>
            <w:r>
              <w:rPr>
                <w:rFonts w:hint="eastAsia" w:cs="Arial" w:asciiTheme="minorEastAsia" w:hAnsiTheme="minorEastAsia" w:eastAsiaTheme="minorEastAsia"/>
                <w:color w:val="auto"/>
                <w:sz w:val="18"/>
                <w:szCs w:val="18"/>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16</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信用记录：</w:t>
            </w:r>
            <w:r>
              <w:rPr>
                <w:rFonts w:hint="eastAsia" w:cs="Arial" w:asciiTheme="minorEastAsia" w:hAnsiTheme="minorEastAsia" w:eastAsiaTheme="minorEastAsia"/>
                <w:color w:val="auto"/>
                <w:sz w:val="18"/>
                <w:szCs w:val="18"/>
                <w:highlight w:val="none"/>
              </w:rPr>
              <w:t>符合浙财采监【2013】24号《关于规范政府采购供应商资格设定及资格审查的通知》规定,且未被“信用中国”（www.creditchina.gov.cn）和中国政府采购网（www.ccgp.gov.cn）列入失信被执行人、重大税收违法案件当事人名单、政府采购严重违法失信行为记录名单。投标时同时提供自招标公告发布之日起至投标截止日内任意时间的“信用中国”网站（www.creditchina.gov.cn）和中国政府采购网（www.ccgp.gov.cn）供应商信用查询网页截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17</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政府采购节能环保产品：无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Theme="minorEastAsia" w:hAnsiTheme="minorEastAsia" w:eastAsiaTheme="minorEastAsia"/>
                <w:color w:val="auto"/>
                <w:sz w:val="18"/>
                <w:szCs w:val="18"/>
                <w:highlight w:val="none"/>
                <w:lang w:val="en-US" w:eastAsia="zh-CN"/>
              </w:rPr>
            </w:pPr>
            <w:r>
              <w:rPr>
                <w:rFonts w:hint="eastAsia" w:asciiTheme="minorEastAsia" w:hAnsiTheme="minorEastAsia" w:eastAsiaTheme="minorEastAsia"/>
                <w:color w:val="auto"/>
                <w:sz w:val="18"/>
                <w:szCs w:val="18"/>
                <w:highlight w:val="none"/>
                <w:lang w:val="en-US" w:eastAsia="zh-CN"/>
              </w:rPr>
              <w:t>18</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Theme="minorEastAsia" w:hAnsiTheme="minorEastAsia" w:eastAsiaTheme="minorEastAsia"/>
                <w:color w:val="auto"/>
                <w:sz w:val="18"/>
                <w:szCs w:val="18"/>
                <w:highlight w:val="none"/>
              </w:rPr>
            </w:pPr>
            <w:r>
              <w:rPr>
                <w:rFonts w:hint="eastAsia" w:ascii="宋体" w:hAnsi="宋体" w:eastAsia="宋体" w:cs="宋体"/>
                <w:color w:val="auto"/>
                <w:kern w:val="0"/>
                <w:sz w:val="18"/>
                <w:szCs w:val="18"/>
                <w:highlight w:val="none"/>
              </w:rPr>
              <w:t>标的：</w:t>
            </w:r>
            <w:r>
              <w:rPr>
                <w:rFonts w:hint="eastAsia" w:ascii="宋体" w:hAnsi="宋体" w:eastAsia="宋体" w:cs="宋体"/>
                <w:color w:val="auto"/>
                <w:kern w:val="0"/>
                <w:sz w:val="18"/>
                <w:szCs w:val="18"/>
                <w:highlight w:val="none"/>
                <w:u w:val="single"/>
              </w:rPr>
              <w:t xml:space="preserve"> </w:t>
            </w:r>
            <w:r>
              <w:rPr>
                <w:rFonts w:hint="eastAsia" w:ascii="宋体" w:hAnsi="宋体" w:eastAsia="宋体" w:cs="宋体"/>
                <w:color w:val="auto"/>
                <w:kern w:val="0"/>
                <w:sz w:val="18"/>
                <w:szCs w:val="18"/>
                <w:highlight w:val="none"/>
                <w:u w:val="single"/>
                <w:lang w:eastAsia="zh-CN"/>
              </w:rPr>
              <w:t>新城街道2024年度区域绿化养护项目</w:t>
            </w:r>
            <w:r>
              <w:rPr>
                <w:rFonts w:hint="eastAsia" w:ascii="宋体" w:hAnsi="宋体" w:eastAsia="宋体" w:cs="宋体"/>
                <w:color w:val="auto"/>
                <w:kern w:val="0"/>
                <w:sz w:val="18"/>
                <w:szCs w:val="18"/>
                <w:highlight w:val="none"/>
                <w:u w:val="single"/>
              </w:rPr>
              <w:t xml:space="preserve"> </w:t>
            </w:r>
            <w:r>
              <w:rPr>
                <w:rFonts w:hint="eastAsia" w:ascii="宋体" w:hAnsi="宋体" w:eastAsia="宋体" w:cs="宋体"/>
                <w:color w:val="auto"/>
                <w:kern w:val="0"/>
                <w:sz w:val="18"/>
                <w:szCs w:val="18"/>
                <w:highlight w:val="none"/>
              </w:rPr>
              <w:t>，属于</w:t>
            </w:r>
            <w:r>
              <w:rPr>
                <w:rFonts w:hint="eastAsia" w:ascii="宋体" w:hAnsi="宋体" w:eastAsia="宋体" w:cs="宋体"/>
                <w:color w:val="auto"/>
                <w:kern w:val="0"/>
                <w:sz w:val="18"/>
                <w:szCs w:val="18"/>
                <w:highlight w:val="none"/>
                <w:u w:val="single"/>
              </w:rPr>
              <w:t>（十六）其他未列明行业</w:t>
            </w:r>
            <w:r>
              <w:rPr>
                <w:rFonts w:hint="eastAsia" w:ascii="宋体" w:hAnsi="宋体" w:eastAsia="宋体" w:cs="宋体"/>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olor w:val="auto"/>
                <w:sz w:val="18"/>
                <w:szCs w:val="18"/>
                <w:highlight w:val="none"/>
                <w:lang w:val="en-US" w:eastAsia="zh-CN"/>
              </w:rPr>
            </w:pPr>
            <w:r>
              <w:rPr>
                <w:rFonts w:hint="eastAsia"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lang w:val="en-US" w:eastAsia="zh-CN"/>
              </w:rPr>
              <w:t>9</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解释：本招标文件的解释权属于采购单位。</w:t>
            </w:r>
          </w:p>
        </w:tc>
      </w:tr>
    </w:tbl>
    <w:p>
      <w:pPr>
        <w:snapToGrid w:val="0"/>
        <w:spacing w:beforeLines="50" w:afterLines="50" w:line="360" w:lineRule="auto"/>
        <w:ind w:left="238"/>
        <w:jc w:val="center"/>
        <w:outlineLvl w:val="9"/>
        <w:rPr>
          <w:rFonts w:asciiTheme="minorEastAsia" w:hAnsiTheme="minorEastAsia" w:eastAsiaTheme="minorEastAsia"/>
          <w:b/>
          <w:color w:val="auto"/>
          <w:szCs w:val="21"/>
          <w:highlight w:val="none"/>
        </w:rPr>
      </w:pPr>
    </w:p>
    <w:p>
      <w:pPr>
        <w:snapToGrid w:val="0"/>
        <w:spacing w:beforeLines="50" w:afterLines="50" w:line="360" w:lineRule="auto"/>
        <w:ind w:left="238"/>
        <w:jc w:val="center"/>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一、总  则</w:t>
      </w:r>
    </w:p>
    <w:p>
      <w:pPr>
        <w:snapToGrid w:val="0"/>
        <w:spacing w:line="360" w:lineRule="auto"/>
        <w:ind w:firstLine="354" w:firstLineChars="196"/>
        <w:jc w:val="left"/>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（一）</w:t>
      </w:r>
      <w:r>
        <w:rPr>
          <w:rFonts w:asciiTheme="minorEastAsia" w:hAnsiTheme="minorEastAsia" w:eastAsiaTheme="minorEastAsia"/>
          <w:b/>
          <w:color w:val="auto"/>
          <w:sz w:val="18"/>
          <w:szCs w:val="18"/>
          <w:highlight w:val="none"/>
        </w:rPr>
        <w:t xml:space="preserve"> 适用范围</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本招标文件适用于该项目的招标、投标、评标、定标、验收、合同履约、付款等行为（法律、法规另有规定的，从其规定）。</w:t>
      </w:r>
    </w:p>
    <w:p>
      <w:pPr>
        <w:snapToGrid w:val="0"/>
        <w:spacing w:beforeLines="50" w:line="360" w:lineRule="auto"/>
        <w:ind w:firstLine="266" w:firstLineChars="147"/>
        <w:jc w:val="left"/>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（二）定义</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招标采购人系指组织本次招标的</w:t>
      </w:r>
      <w:r>
        <w:rPr>
          <w:rFonts w:hint="eastAsia" w:asciiTheme="minorEastAsia" w:hAnsiTheme="minorEastAsia" w:eastAsiaTheme="minorEastAsia"/>
          <w:color w:val="auto"/>
          <w:sz w:val="18"/>
          <w:szCs w:val="18"/>
          <w:highlight w:val="none"/>
        </w:rPr>
        <w:t>嘉兴市银建工程咨询评估有限公司（“招标人”）</w:t>
      </w:r>
      <w:r>
        <w:rPr>
          <w:rFonts w:asciiTheme="minorEastAsia" w:hAnsiTheme="minorEastAsia" w:eastAsiaTheme="minorEastAsia"/>
          <w:color w:val="auto"/>
          <w:sz w:val="18"/>
          <w:szCs w:val="18"/>
          <w:highlight w:val="none"/>
        </w:rPr>
        <w:t>和采购</w:t>
      </w:r>
      <w:r>
        <w:rPr>
          <w:rFonts w:hint="eastAsia" w:asciiTheme="minorEastAsia" w:hAnsiTheme="minorEastAsia" w:eastAsiaTheme="minorEastAsia"/>
          <w:color w:val="auto"/>
          <w:sz w:val="18"/>
          <w:szCs w:val="18"/>
          <w:highlight w:val="none"/>
        </w:rPr>
        <w:t>人</w:t>
      </w:r>
      <w:r>
        <w:rPr>
          <w:rFonts w:asciiTheme="minorEastAsia" w:hAnsiTheme="minorEastAsia" w:eastAsiaTheme="minorEastAsia"/>
          <w:color w:val="auto"/>
          <w:sz w:val="18"/>
          <w:szCs w:val="18"/>
          <w:highlight w:val="none"/>
        </w:rPr>
        <w:t>。</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供应商”系指向采购人提交投标文件的单位或个人。</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“产品”系指供方按招标文件规定，须向采购人提供的一切设备、保险、税金、备品备件、工具、手册及其它有关技术资料和材料。</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4</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“服务”系指招标文件规定供应商须承担的安装、调试、技术协助、校准、培训、技术指导以及其他类似的义务。</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5</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“项目”系指供应商按招标文件规定向采购人提供的产品和服务。</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6</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“书面形式”包括信函、传真、电报等。</w:t>
      </w:r>
    </w:p>
    <w:p>
      <w:pPr>
        <w:snapToGrid w:val="0"/>
        <w:spacing w:line="360" w:lineRule="auto"/>
        <w:ind w:left="615" w:leftChars="250" w:hanging="90" w:hangingChars="5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“▲”系指实质性要求条款</w:t>
      </w:r>
      <w:r>
        <w:rPr>
          <w:rFonts w:hint="eastAsia" w:asciiTheme="minorEastAsia" w:hAnsiTheme="minorEastAsia" w:eastAsiaTheme="minorEastAsia"/>
          <w:color w:val="auto"/>
          <w:sz w:val="18"/>
          <w:szCs w:val="18"/>
          <w:highlight w:val="none"/>
        </w:rPr>
        <w:t>，不满足实行性要求条款的投标文件无效。</w:t>
      </w:r>
    </w:p>
    <w:p>
      <w:pPr>
        <w:snapToGrid w:val="0"/>
        <w:spacing w:beforeLines="50" w:line="360" w:lineRule="auto"/>
        <w:ind w:firstLine="354" w:firstLineChars="196"/>
        <w:jc w:val="left"/>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（三）采购方式</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本次招标采用</w:t>
      </w:r>
      <w:r>
        <w:rPr>
          <w:rFonts w:asciiTheme="minorEastAsia" w:hAnsiTheme="minorEastAsia" w:eastAsiaTheme="minorEastAsia"/>
          <w:b/>
          <w:color w:val="auto"/>
          <w:sz w:val="18"/>
          <w:szCs w:val="18"/>
          <w:highlight w:val="none"/>
          <w:u w:val="single"/>
        </w:rPr>
        <w:t>公开</w:t>
      </w:r>
      <w:r>
        <w:rPr>
          <w:rFonts w:hint="eastAsia" w:asciiTheme="minorEastAsia" w:hAnsiTheme="minorEastAsia" w:eastAsiaTheme="minorEastAsia"/>
          <w:b/>
          <w:color w:val="auto"/>
          <w:sz w:val="18"/>
          <w:szCs w:val="18"/>
          <w:highlight w:val="none"/>
          <w:u w:val="single"/>
        </w:rPr>
        <w:t>招标</w:t>
      </w:r>
      <w:r>
        <w:rPr>
          <w:rFonts w:hint="eastAsia" w:asciiTheme="minorEastAsia" w:hAnsiTheme="minorEastAsia" w:eastAsiaTheme="minorEastAsia"/>
          <w:color w:val="auto"/>
          <w:sz w:val="18"/>
          <w:szCs w:val="18"/>
          <w:highlight w:val="none"/>
        </w:rPr>
        <w:t>采购方式</w:t>
      </w:r>
      <w:r>
        <w:rPr>
          <w:rFonts w:asciiTheme="minorEastAsia" w:hAnsiTheme="minorEastAsia" w:eastAsiaTheme="minorEastAsia"/>
          <w:color w:val="auto"/>
          <w:sz w:val="18"/>
          <w:szCs w:val="18"/>
          <w:highlight w:val="none"/>
        </w:rPr>
        <w:t>进行。</w:t>
      </w:r>
    </w:p>
    <w:p>
      <w:pPr>
        <w:snapToGrid w:val="0"/>
        <w:spacing w:beforeLines="50" w:line="360" w:lineRule="auto"/>
        <w:ind w:firstLine="354" w:firstLineChars="196"/>
        <w:jc w:val="left"/>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（四）投标委托</w:t>
      </w:r>
    </w:p>
    <w:p>
      <w:pPr>
        <w:pStyle w:val="24"/>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如供应商代表不是法定代表人，须有法定代表人出具的授权委托书（格式</w:t>
      </w:r>
      <w:r>
        <w:rPr>
          <w:rFonts w:hint="eastAsia" w:asciiTheme="minorEastAsia" w:hAnsiTheme="minorEastAsia" w:eastAsiaTheme="minorEastAsia"/>
          <w:color w:val="auto"/>
          <w:sz w:val="18"/>
          <w:szCs w:val="18"/>
          <w:highlight w:val="none"/>
        </w:rPr>
        <w:t>详</w:t>
      </w:r>
      <w:r>
        <w:rPr>
          <w:rFonts w:asciiTheme="minorEastAsia" w:hAnsiTheme="minorEastAsia" w:eastAsiaTheme="minorEastAsia"/>
          <w:color w:val="auto"/>
          <w:sz w:val="18"/>
          <w:szCs w:val="18"/>
          <w:highlight w:val="none"/>
        </w:rPr>
        <w:t>见第</w:t>
      </w:r>
      <w:r>
        <w:rPr>
          <w:rFonts w:hint="eastAsia" w:asciiTheme="minorEastAsia" w:hAnsiTheme="minorEastAsia" w:eastAsiaTheme="minorEastAsia"/>
          <w:color w:val="auto"/>
          <w:sz w:val="18"/>
          <w:szCs w:val="18"/>
          <w:highlight w:val="none"/>
        </w:rPr>
        <w:t>六章</w:t>
      </w:r>
      <w:r>
        <w:rPr>
          <w:rFonts w:asciiTheme="minorEastAsia" w:hAnsiTheme="minorEastAsia" w:eastAsiaTheme="minorEastAsia"/>
          <w:color w:val="auto"/>
          <w:sz w:val="18"/>
          <w:szCs w:val="18"/>
          <w:highlight w:val="none"/>
        </w:rPr>
        <w:t>）。</w:t>
      </w:r>
    </w:p>
    <w:p>
      <w:pPr>
        <w:snapToGrid w:val="0"/>
        <w:spacing w:beforeLines="50" w:line="360" w:lineRule="auto"/>
        <w:ind w:firstLine="354" w:firstLineChars="196"/>
        <w:jc w:val="left"/>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（五）投标费用</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不论投标结果如何，供应商均应自行承担所有与投标有关的全部费用（招标文件有相反规定除外）。</w:t>
      </w:r>
    </w:p>
    <w:p>
      <w:pPr>
        <w:snapToGrid w:val="0"/>
        <w:spacing w:beforeLines="50" w:line="360" w:lineRule="auto"/>
        <w:ind w:firstLine="354" w:firstLineChars="196"/>
        <w:jc w:val="left"/>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（六）联合体投标</w:t>
      </w:r>
    </w:p>
    <w:p>
      <w:pPr>
        <w:snapToGrid w:val="0"/>
        <w:spacing w:line="360" w:lineRule="auto"/>
        <w:ind w:firstLine="542" w:firstLineChars="300"/>
        <w:jc w:val="left"/>
        <w:rPr>
          <w:rFonts w:cs="Arial" w:asciiTheme="minorEastAsia" w:hAnsiTheme="minorEastAsia" w:eastAsiaTheme="minorEastAsia"/>
          <w:b/>
          <w:color w:val="auto"/>
          <w:sz w:val="18"/>
          <w:szCs w:val="18"/>
          <w:highlight w:val="none"/>
          <w:u w:val="single"/>
        </w:rPr>
      </w:pPr>
      <w:r>
        <w:rPr>
          <w:rFonts w:hint="eastAsia" w:cs="Arial" w:asciiTheme="minorEastAsia" w:hAnsiTheme="minorEastAsia" w:eastAsiaTheme="minorEastAsia"/>
          <w:b/>
          <w:color w:val="auto"/>
          <w:sz w:val="18"/>
          <w:szCs w:val="18"/>
          <w:highlight w:val="none"/>
          <w:u w:val="single"/>
        </w:rPr>
        <w:t>本项目不接受联合体投标。</w:t>
      </w:r>
    </w:p>
    <w:p>
      <w:pPr>
        <w:snapToGrid w:val="0"/>
        <w:spacing w:beforeLines="50" w:line="360" w:lineRule="auto"/>
        <w:ind w:firstLine="354" w:firstLineChars="196"/>
        <w:rPr>
          <w:rFonts w:cs="宋体" w:asciiTheme="minorEastAsia" w:hAnsiTheme="minorEastAsia" w:eastAsiaTheme="minorEastAsia"/>
          <w:b/>
          <w:color w:val="auto"/>
          <w:kern w:val="0"/>
          <w:sz w:val="18"/>
          <w:szCs w:val="18"/>
          <w:highlight w:val="none"/>
        </w:rPr>
      </w:pPr>
      <w:r>
        <w:rPr>
          <w:rFonts w:hint="eastAsia" w:asciiTheme="minorEastAsia" w:hAnsiTheme="minorEastAsia" w:eastAsiaTheme="minorEastAsia"/>
          <w:b/>
          <w:color w:val="auto"/>
          <w:sz w:val="18"/>
          <w:szCs w:val="18"/>
          <w:highlight w:val="none"/>
        </w:rPr>
        <w:t>（七）</w:t>
      </w:r>
      <w:r>
        <w:rPr>
          <w:rFonts w:hint="eastAsia" w:cs="宋体" w:asciiTheme="minorEastAsia" w:hAnsiTheme="minorEastAsia" w:eastAsiaTheme="minorEastAsia"/>
          <w:b/>
          <w:color w:val="auto"/>
          <w:kern w:val="0"/>
          <w:sz w:val="18"/>
          <w:szCs w:val="18"/>
          <w:highlight w:val="none"/>
        </w:rPr>
        <w:t>转包与分包</w:t>
      </w:r>
    </w:p>
    <w:p>
      <w:pPr>
        <w:snapToGrid w:val="0"/>
        <w:spacing w:line="360" w:lineRule="auto"/>
        <w:ind w:firstLine="360" w:firstLineChars="200"/>
        <w:rPr>
          <w:rFonts w:cs="宋体" w:asciiTheme="minorEastAsia" w:hAnsiTheme="minorEastAsia" w:eastAsiaTheme="minorEastAsia"/>
          <w:color w:val="auto"/>
          <w:kern w:val="0"/>
          <w:sz w:val="18"/>
          <w:szCs w:val="18"/>
          <w:highlight w:val="none"/>
        </w:rPr>
      </w:pPr>
      <w:r>
        <w:rPr>
          <w:rFonts w:cs="宋体" w:asciiTheme="minorEastAsia" w:hAnsiTheme="minorEastAsia" w:eastAsiaTheme="minorEastAsia"/>
          <w:color w:val="auto"/>
          <w:kern w:val="0"/>
          <w:sz w:val="18"/>
          <w:szCs w:val="18"/>
          <w:highlight w:val="none"/>
        </w:rPr>
        <w:t>1</w:t>
      </w:r>
      <w:r>
        <w:rPr>
          <w:rFonts w:hint="eastAsia" w:cs="宋体" w:asciiTheme="minorEastAsia" w:hAnsiTheme="minorEastAsia" w:eastAsiaTheme="minorEastAsia"/>
          <w:color w:val="auto"/>
          <w:kern w:val="0"/>
          <w:sz w:val="18"/>
          <w:szCs w:val="18"/>
          <w:highlight w:val="none"/>
        </w:rPr>
        <w:t>.</w:t>
      </w:r>
      <w:r>
        <w:rPr>
          <w:rFonts w:cs="宋体" w:asciiTheme="minorEastAsia" w:hAnsiTheme="minorEastAsia" w:eastAsiaTheme="minorEastAsia"/>
          <w:color w:val="auto"/>
          <w:kern w:val="0"/>
          <w:sz w:val="18"/>
          <w:szCs w:val="18"/>
          <w:highlight w:val="none"/>
        </w:rPr>
        <w:t xml:space="preserve"> 本项目不允许转包。</w:t>
      </w:r>
    </w:p>
    <w:p>
      <w:pPr>
        <w:snapToGrid w:val="0"/>
        <w:spacing w:line="360" w:lineRule="auto"/>
        <w:ind w:firstLine="360" w:firstLineChars="200"/>
        <w:rPr>
          <w:rFonts w:cs="宋体" w:asciiTheme="minorEastAsia" w:hAnsiTheme="minorEastAsia" w:eastAsiaTheme="minorEastAsia"/>
          <w:color w:val="auto"/>
          <w:kern w:val="0"/>
          <w:sz w:val="18"/>
          <w:szCs w:val="18"/>
          <w:highlight w:val="none"/>
        </w:rPr>
      </w:pPr>
      <w:r>
        <w:rPr>
          <w:rFonts w:cs="宋体" w:asciiTheme="minorEastAsia" w:hAnsiTheme="minorEastAsia" w:eastAsiaTheme="minorEastAsia"/>
          <w:color w:val="auto"/>
          <w:kern w:val="0"/>
          <w:sz w:val="18"/>
          <w:szCs w:val="18"/>
          <w:highlight w:val="none"/>
        </w:rPr>
        <w:t>2</w:t>
      </w:r>
      <w:r>
        <w:rPr>
          <w:rFonts w:hint="eastAsia" w:cs="宋体" w:asciiTheme="minorEastAsia" w:hAnsiTheme="minorEastAsia" w:eastAsiaTheme="minorEastAsia"/>
          <w:color w:val="auto"/>
          <w:kern w:val="0"/>
          <w:sz w:val="18"/>
          <w:szCs w:val="18"/>
          <w:highlight w:val="none"/>
        </w:rPr>
        <w:t>.</w:t>
      </w:r>
      <w:r>
        <w:rPr>
          <w:rFonts w:cs="宋体" w:asciiTheme="minorEastAsia" w:hAnsiTheme="minorEastAsia" w:eastAsiaTheme="minorEastAsia"/>
          <w:color w:val="auto"/>
          <w:kern w:val="0"/>
          <w:sz w:val="18"/>
          <w:szCs w:val="18"/>
          <w:highlight w:val="none"/>
        </w:rPr>
        <w:t xml:space="preserve"> 本项目不可以分包</w:t>
      </w:r>
      <w:r>
        <w:rPr>
          <w:rFonts w:hint="eastAsia" w:cs="宋体" w:asciiTheme="minorEastAsia" w:hAnsiTheme="minorEastAsia" w:eastAsiaTheme="minorEastAsia"/>
          <w:color w:val="auto"/>
          <w:kern w:val="0"/>
          <w:sz w:val="18"/>
          <w:szCs w:val="18"/>
          <w:highlight w:val="none"/>
        </w:rPr>
        <w:t>。</w:t>
      </w:r>
    </w:p>
    <w:p>
      <w:pPr>
        <w:snapToGrid w:val="0"/>
        <w:spacing w:beforeLines="50" w:line="360" w:lineRule="auto"/>
        <w:ind w:firstLine="354" w:firstLineChars="196"/>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（八）是否允许采购进口产品</w:t>
      </w:r>
    </w:p>
    <w:p>
      <w:pPr>
        <w:snapToGrid w:val="0"/>
        <w:spacing w:beforeLines="50" w:line="360" w:lineRule="auto"/>
        <w:ind w:firstLine="352" w:firstLineChars="196"/>
        <w:jc w:val="left"/>
        <w:outlineLvl w:val="1"/>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不</w:t>
      </w:r>
      <w:r>
        <w:rPr>
          <w:rFonts w:cs="宋体" w:asciiTheme="minorEastAsia" w:hAnsiTheme="minorEastAsia" w:eastAsiaTheme="minorEastAsia"/>
          <w:color w:val="auto"/>
          <w:kern w:val="0"/>
          <w:sz w:val="18"/>
          <w:szCs w:val="18"/>
          <w:highlight w:val="none"/>
        </w:rPr>
        <w:t>允许</w:t>
      </w:r>
      <w:r>
        <w:rPr>
          <w:rFonts w:hint="eastAsia" w:cs="宋体" w:asciiTheme="minorEastAsia" w:hAnsiTheme="minorEastAsia" w:eastAsiaTheme="minorEastAsia"/>
          <w:color w:val="auto"/>
          <w:kern w:val="0"/>
          <w:sz w:val="18"/>
          <w:szCs w:val="18"/>
          <w:highlight w:val="none"/>
        </w:rPr>
        <w:t>采购进口产品。</w:t>
      </w:r>
    </w:p>
    <w:p>
      <w:pPr>
        <w:snapToGrid w:val="0"/>
        <w:spacing w:beforeLines="50" w:line="360" w:lineRule="auto"/>
        <w:ind w:firstLine="352" w:firstLineChars="196"/>
        <w:jc w:val="left"/>
        <w:outlineLvl w:val="1"/>
        <w:rPr>
          <w:rFonts w:asciiTheme="minorEastAsia" w:hAnsiTheme="minorEastAsia" w:eastAsiaTheme="minorEastAsia"/>
          <w:b/>
          <w:color w:val="auto"/>
          <w:sz w:val="18"/>
          <w:szCs w:val="18"/>
          <w:highlight w:val="none"/>
        </w:rPr>
      </w:pPr>
      <w:r>
        <w:rPr>
          <w:rFonts w:asciiTheme="minorEastAsia" w:hAnsiTheme="minorEastAsia" w:eastAsiaTheme="minorEastAsia"/>
          <w:color w:val="auto"/>
          <w:sz w:val="18"/>
          <w:szCs w:val="18"/>
          <w:highlight w:val="none"/>
        </w:rPr>
        <w:t>▲</w:t>
      </w:r>
      <w:r>
        <w:rPr>
          <w:rFonts w:hint="eastAsia" w:asciiTheme="minorEastAsia" w:hAnsiTheme="minorEastAsia" w:eastAsiaTheme="minorEastAsia"/>
          <w:b/>
          <w:color w:val="auto"/>
          <w:sz w:val="18"/>
          <w:szCs w:val="18"/>
          <w:highlight w:val="none"/>
        </w:rPr>
        <w:t>（九）特别说明：</w:t>
      </w:r>
    </w:p>
    <w:p>
      <w:pPr>
        <w:pStyle w:val="30"/>
        <w:snapToGrid w:val="0"/>
        <w:spacing w:beforeLines="0" w:afterLines="0" w:line="360" w:lineRule="auto"/>
        <w:ind w:left="2" w:leftChars="1"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供应商投标所使用的资格、信誉、荣誉、业绩与企业认证必须为本法人所拥有。供应商投标所使用的采购项目实施人员必须为本法人员工（或必须为本法人或控股公司正式员工）。</w:t>
      </w:r>
    </w:p>
    <w:p>
      <w:pPr>
        <w:pStyle w:val="30"/>
        <w:snapToGrid w:val="0"/>
        <w:spacing w:beforeLines="0" w:afterLines="0" w:line="360" w:lineRule="auto"/>
        <w:ind w:left="2" w:leftChars="1"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供应商应仔细阅读招标文件的所有内容，按照招标文件的要求提交投标文件，并对所提供的全部资料的真实性承担法律责任。</w:t>
      </w:r>
    </w:p>
    <w:p>
      <w:pPr>
        <w:pStyle w:val="30"/>
        <w:snapToGrid w:val="0"/>
        <w:spacing w:beforeLines="0" w:afterLines="0" w:line="360" w:lineRule="auto"/>
        <w:ind w:left="2" w:leftChars="1"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供应商在投标活动中提供任何虚假材料,其投标无效，并报监管部门查处；中标后发现的,中标人须依照《中华人民共和国消费者权益保护法》第49条之规定双倍赔偿采购人</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且民事赔偿并不免除违法供应商的行政与刑事责任。</w:t>
      </w:r>
    </w:p>
    <w:p>
      <w:pPr>
        <w:pStyle w:val="30"/>
        <w:snapToGrid w:val="0"/>
        <w:spacing w:beforeLines="0" w:afterLines="0" w:line="360" w:lineRule="auto"/>
        <w:ind w:firstLine="354" w:firstLineChars="196"/>
        <w:outlineLvl w:val="1"/>
        <w:rPr>
          <w:rFonts w:asciiTheme="minorEastAsia" w:hAnsiTheme="minorEastAsia" w:eastAsiaTheme="minorEastAsia"/>
          <w:b/>
          <w:bCs/>
          <w:color w:val="auto"/>
          <w:sz w:val="18"/>
          <w:szCs w:val="18"/>
          <w:highlight w:val="none"/>
        </w:rPr>
      </w:pPr>
      <w:r>
        <w:rPr>
          <w:rFonts w:asciiTheme="minorEastAsia" w:hAnsiTheme="minorEastAsia" w:eastAsiaTheme="minorEastAsia"/>
          <w:b/>
          <w:bCs/>
          <w:color w:val="auto"/>
          <w:sz w:val="18"/>
          <w:szCs w:val="18"/>
          <w:highlight w:val="none"/>
        </w:rPr>
        <w:t>（</w:t>
      </w:r>
      <w:r>
        <w:rPr>
          <w:rFonts w:hint="eastAsia" w:asciiTheme="minorEastAsia" w:hAnsiTheme="minorEastAsia" w:eastAsiaTheme="minorEastAsia"/>
          <w:b/>
          <w:bCs/>
          <w:color w:val="auto"/>
          <w:sz w:val="18"/>
          <w:szCs w:val="18"/>
          <w:highlight w:val="none"/>
        </w:rPr>
        <w:t>十</w:t>
      </w:r>
      <w:r>
        <w:rPr>
          <w:rFonts w:asciiTheme="minorEastAsia" w:hAnsiTheme="minorEastAsia" w:eastAsiaTheme="minorEastAsia"/>
          <w:b/>
          <w:bCs/>
          <w:color w:val="auto"/>
          <w:sz w:val="18"/>
          <w:szCs w:val="18"/>
          <w:highlight w:val="none"/>
        </w:rPr>
        <w:t>）质疑和投诉</w:t>
      </w:r>
    </w:p>
    <w:p>
      <w:pPr>
        <w:pStyle w:val="30"/>
        <w:snapToGrid w:val="0"/>
        <w:spacing w:before="120" w:after="120" w:line="360" w:lineRule="auto"/>
        <w:ind w:firstLine="360" w:firstLineChars="200"/>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1.供应商认为招标文件、采购过程、中标或者成交结果使自己的权益受到损害的，可以在知道或者应知其权益受到损害之日起7个工作日内，以书面形式一次性向采购人、代理机构提出针对同一采购程序环节的质疑。质疑供应商对采购人、代理机构的答复不满意，或者采购人、代理机构未在规定时间内作出答复的，可以在答复期满后15个工作日内向规定的财政部门提起投诉。</w:t>
      </w:r>
    </w:p>
    <w:p>
      <w:pPr>
        <w:pStyle w:val="30"/>
        <w:snapToGrid w:val="0"/>
        <w:spacing w:before="120" w:after="120" w:line="360" w:lineRule="auto"/>
        <w:ind w:firstLine="360" w:firstLineChars="200"/>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2. 供应商须在法定质疑期内一次性提出针对同一采购程序环节的质疑.</w:t>
      </w:r>
    </w:p>
    <w:p>
      <w:pPr>
        <w:pStyle w:val="30"/>
        <w:snapToGrid w:val="0"/>
        <w:spacing w:before="120" w:after="120" w:line="360" w:lineRule="auto"/>
        <w:ind w:firstLine="360" w:firstLineChars="200"/>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3.</w:t>
      </w:r>
      <w:r>
        <w:rPr>
          <w:rFonts w:hint="eastAsia" w:asciiTheme="minorEastAsia" w:hAnsiTheme="minorEastAsia" w:eastAsiaTheme="minorEastAsia"/>
          <w:bCs/>
          <w:color w:val="auto"/>
          <w:sz w:val="18"/>
          <w:szCs w:val="18"/>
          <w:highlight w:val="none"/>
        </w:rPr>
        <w:t xml:space="preserve"> 供应商认为代理机构在质疑答复程序中启用的调查和复评等程序，在该程序操作过程未明显违反法律禁止性规定时，不得提出疑义。</w:t>
      </w:r>
    </w:p>
    <w:p>
      <w:pPr>
        <w:pStyle w:val="30"/>
        <w:snapToGrid w:val="0"/>
        <w:spacing w:beforeLines="0" w:afterLines="0" w:line="360" w:lineRule="auto"/>
        <w:ind w:firstLine="360" w:firstLineChars="200"/>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4</w:t>
      </w:r>
      <w:r>
        <w:rPr>
          <w:rFonts w:hint="eastAsia" w:asciiTheme="minorEastAsia" w:hAnsiTheme="minorEastAsia" w:eastAsiaTheme="minorEastAsia"/>
          <w:bCs/>
          <w:color w:val="auto"/>
          <w:sz w:val="18"/>
          <w:szCs w:val="18"/>
          <w:highlight w:val="none"/>
        </w:rPr>
        <w:t>.质疑和投诉应当满足《政府采购质疑和投诉办法》（中华人民共和国财政部令第94号）要求。</w:t>
      </w:r>
    </w:p>
    <w:p>
      <w:pPr>
        <w:pStyle w:val="30"/>
        <w:snapToGrid w:val="0"/>
        <w:spacing w:before="120" w:after="120" w:line="360" w:lineRule="auto"/>
        <w:ind w:firstLine="354" w:firstLineChars="196"/>
        <w:jc w:val="center"/>
        <w:outlineLvl w:val="9"/>
        <w:rPr>
          <w:rFonts w:asciiTheme="minorEastAsia" w:hAnsiTheme="minorEastAsia" w:eastAsiaTheme="minorEastAsia"/>
          <w:b/>
          <w:color w:val="auto"/>
          <w:sz w:val="18"/>
          <w:szCs w:val="18"/>
          <w:highlight w:val="none"/>
        </w:rPr>
      </w:pPr>
      <w:bookmarkStart w:id="141" w:name="_Toc406402987"/>
      <w:bookmarkStart w:id="142" w:name="_Toc406402943"/>
    </w:p>
    <w:p>
      <w:pPr>
        <w:pStyle w:val="30"/>
        <w:snapToGrid w:val="0"/>
        <w:spacing w:before="120" w:after="120" w:line="360" w:lineRule="auto"/>
        <w:ind w:firstLine="354" w:firstLineChars="196"/>
        <w:jc w:val="center"/>
        <w:outlineLvl w:val="0"/>
        <w:rPr>
          <w:rFonts w:asciiTheme="minorEastAsia" w:hAnsiTheme="minorEastAsia" w:eastAsiaTheme="minorEastAsia"/>
          <w:b/>
          <w:color w:val="auto"/>
          <w:sz w:val="18"/>
          <w:szCs w:val="18"/>
          <w:highlight w:val="none"/>
        </w:rPr>
      </w:pPr>
      <w:bookmarkStart w:id="143" w:name="_Toc26804"/>
      <w:bookmarkStart w:id="144" w:name="_Toc6261"/>
      <w:r>
        <w:rPr>
          <w:rFonts w:asciiTheme="minorEastAsia" w:hAnsiTheme="minorEastAsia" w:eastAsiaTheme="minorEastAsia"/>
          <w:b/>
          <w:color w:val="auto"/>
          <w:sz w:val="18"/>
          <w:szCs w:val="18"/>
          <w:highlight w:val="none"/>
        </w:rPr>
        <w:t>二</w:t>
      </w:r>
      <w:r>
        <w:rPr>
          <w:rFonts w:hint="eastAsia" w:asciiTheme="minorEastAsia" w:hAnsiTheme="minorEastAsia" w:eastAsiaTheme="minorEastAsia"/>
          <w:b/>
          <w:color w:val="auto"/>
          <w:sz w:val="18"/>
          <w:szCs w:val="18"/>
          <w:highlight w:val="none"/>
        </w:rPr>
        <w:t>、</w:t>
      </w:r>
      <w:r>
        <w:rPr>
          <w:rFonts w:asciiTheme="minorEastAsia" w:hAnsiTheme="minorEastAsia" w:eastAsiaTheme="minorEastAsia"/>
          <w:b/>
          <w:color w:val="auto"/>
          <w:sz w:val="18"/>
          <w:szCs w:val="18"/>
          <w:highlight w:val="none"/>
        </w:rPr>
        <w:t>招标文件</w:t>
      </w:r>
      <w:bookmarkEnd w:id="141"/>
      <w:bookmarkEnd w:id="142"/>
      <w:bookmarkEnd w:id="143"/>
      <w:bookmarkEnd w:id="144"/>
    </w:p>
    <w:p>
      <w:pPr>
        <w:snapToGrid w:val="0"/>
        <w:spacing w:line="360" w:lineRule="auto"/>
        <w:ind w:firstLine="354" w:firstLineChars="196"/>
        <w:jc w:val="left"/>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（一）招标文件的构成。本招标文件由以下部份组成：</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招标公告</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招标需求</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供应商须知</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4</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评标办法及标准</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5</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合同主要条款</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6</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投标文件格式</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7.本项目</w:t>
      </w:r>
      <w:r>
        <w:rPr>
          <w:rFonts w:asciiTheme="minorEastAsia" w:hAnsiTheme="minorEastAsia" w:eastAsiaTheme="minorEastAsia"/>
          <w:color w:val="auto"/>
          <w:sz w:val="18"/>
          <w:szCs w:val="18"/>
          <w:highlight w:val="none"/>
        </w:rPr>
        <w:t>招标文件</w:t>
      </w:r>
      <w:r>
        <w:rPr>
          <w:rFonts w:hint="eastAsia" w:asciiTheme="minorEastAsia" w:hAnsiTheme="minorEastAsia" w:eastAsiaTheme="minorEastAsia"/>
          <w:color w:val="auto"/>
          <w:sz w:val="18"/>
          <w:szCs w:val="18"/>
          <w:highlight w:val="none"/>
        </w:rPr>
        <w:t>的</w:t>
      </w:r>
      <w:r>
        <w:rPr>
          <w:rFonts w:asciiTheme="minorEastAsia" w:hAnsiTheme="minorEastAsia" w:eastAsiaTheme="minorEastAsia"/>
          <w:color w:val="auto"/>
          <w:sz w:val="18"/>
          <w:szCs w:val="18"/>
          <w:highlight w:val="none"/>
        </w:rPr>
        <w:t>澄清、答复、修改、补充的内容</w:t>
      </w:r>
    </w:p>
    <w:p>
      <w:pPr>
        <w:snapToGrid w:val="0"/>
        <w:spacing w:beforeLines="50" w:line="360" w:lineRule="auto"/>
        <w:ind w:firstLine="354" w:firstLineChars="196"/>
        <w:jc w:val="left"/>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（二）供应商的风险</w:t>
      </w:r>
    </w:p>
    <w:p>
      <w:pPr>
        <w:pStyle w:val="41"/>
        <w:spacing w:line="360" w:lineRule="auto"/>
        <w:ind w:firstLine="42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供应商没有按照招标文件要求提供全部资料，或者供应商没有对招标文件在各方面作出实质性响应是供应商的风险，并可能导致其投标为无效标。</w:t>
      </w:r>
    </w:p>
    <w:p>
      <w:pPr>
        <w:pStyle w:val="15"/>
        <w:widowControl w:val="0"/>
        <w:tabs>
          <w:tab w:val="clear" w:pos="454"/>
        </w:tabs>
        <w:snapToGrid w:val="0"/>
        <w:spacing w:beforeLines="50" w:afterLines="0" w:line="360" w:lineRule="auto"/>
        <w:ind w:left="0" w:firstLine="354" w:firstLineChars="196"/>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（三）招标文件的澄清与修改</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bCs/>
          <w:color w:val="auto"/>
          <w:sz w:val="18"/>
          <w:szCs w:val="18"/>
          <w:highlight w:val="none"/>
        </w:rPr>
        <w:t>供应商应认真阅读本招标文件，发现其中有误或有不合理要求的，</w:t>
      </w:r>
      <w:r>
        <w:rPr>
          <w:rFonts w:hint="eastAsia" w:asciiTheme="minorEastAsia" w:hAnsiTheme="minorEastAsia" w:eastAsiaTheme="minorEastAsia"/>
          <w:bCs/>
          <w:color w:val="auto"/>
          <w:sz w:val="18"/>
          <w:szCs w:val="18"/>
          <w:highlight w:val="none"/>
        </w:rPr>
        <w:t>可</w:t>
      </w:r>
      <w:r>
        <w:rPr>
          <w:rFonts w:asciiTheme="minorEastAsia" w:hAnsiTheme="minorEastAsia" w:eastAsiaTheme="minorEastAsia"/>
          <w:bCs/>
          <w:color w:val="auto"/>
          <w:sz w:val="18"/>
          <w:szCs w:val="18"/>
          <w:highlight w:val="none"/>
        </w:rPr>
        <w:t>要求招标采购人澄清</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招标采购人</w:t>
      </w:r>
      <w:r>
        <w:rPr>
          <w:rFonts w:asciiTheme="minorEastAsia" w:hAnsiTheme="minorEastAsia" w:eastAsiaTheme="minorEastAsia"/>
          <w:color w:val="auto"/>
          <w:sz w:val="18"/>
          <w:szCs w:val="18"/>
          <w:highlight w:val="none"/>
        </w:rPr>
        <w:t>对已发出的招标文件进行必要澄清</w:t>
      </w:r>
      <w:r>
        <w:rPr>
          <w:rFonts w:hint="eastAsia" w:asciiTheme="minorEastAsia" w:hAnsiTheme="minorEastAsia" w:eastAsiaTheme="minorEastAsia"/>
          <w:color w:val="auto"/>
          <w:sz w:val="18"/>
          <w:szCs w:val="18"/>
          <w:highlight w:val="none"/>
        </w:rPr>
        <w:t>或者</w:t>
      </w:r>
      <w:r>
        <w:rPr>
          <w:rFonts w:asciiTheme="minorEastAsia" w:hAnsiTheme="minorEastAsia" w:eastAsiaTheme="minorEastAsia"/>
          <w:color w:val="auto"/>
          <w:sz w:val="18"/>
          <w:szCs w:val="18"/>
          <w:highlight w:val="none"/>
        </w:rPr>
        <w:t>修改的，应当在招标文件要求提交投标文件截止</w:t>
      </w:r>
      <w:r>
        <w:rPr>
          <w:rFonts w:hint="eastAsia" w:asciiTheme="minorEastAsia" w:hAnsiTheme="minorEastAsia" w:eastAsiaTheme="minorEastAsia"/>
          <w:color w:val="auto"/>
          <w:sz w:val="18"/>
          <w:szCs w:val="18"/>
          <w:highlight w:val="none"/>
        </w:rPr>
        <w:t>十</w:t>
      </w:r>
      <w:r>
        <w:rPr>
          <w:rFonts w:asciiTheme="minorEastAsia" w:hAnsiTheme="minorEastAsia" w:eastAsiaTheme="minorEastAsia"/>
          <w:color w:val="auto"/>
          <w:sz w:val="18"/>
          <w:szCs w:val="18"/>
          <w:highlight w:val="none"/>
        </w:rPr>
        <w:t>五日前，在财政部门指定的政府采购信息发布媒体上发布更正公告，并以书面形式通知所有招标文件</w:t>
      </w:r>
      <w:r>
        <w:rPr>
          <w:rFonts w:hint="eastAsia" w:asciiTheme="minorEastAsia" w:hAnsiTheme="minorEastAsia" w:eastAsiaTheme="minorEastAsia"/>
          <w:color w:val="auto"/>
          <w:sz w:val="18"/>
          <w:szCs w:val="18"/>
          <w:highlight w:val="none"/>
        </w:rPr>
        <w:t>获取</w:t>
      </w:r>
      <w:r>
        <w:rPr>
          <w:rFonts w:asciiTheme="minorEastAsia" w:hAnsiTheme="minorEastAsia" w:eastAsiaTheme="minorEastAsia"/>
          <w:color w:val="auto"/>
          <w:sz w:val="18"/>
          <w:szCs w:val="18"/>
          <w:highlight w:val="none"/>
        </w:rPr>
        <w:t>人。</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招标文件澄清</w:t>
      </w:r>
      <w:r>
        <w:rPr>
          <w:rFonts w:hint="eastAsia" w:asciiTheme="minorEastAsia" w:hAnsiTheme="minorEastAsia" w:eastAsiaTheme="minorEastAsia"/>
          <w:color w:val="auto"/>
          <w:sz w:val="18"/>
          <w:szCs w:val="18"/>
          <w:highlight w:val="none"/>
        </w:rPr>
        <w:t>或者</w:t>
      </w:r>
      <w:r>
        <w:rPr>
          <w:rFonts w:asciiTheme="minorEastAsia" w:hAnsiTheme="minorEastAsia" w:eastAsiaTheme="minorEastAsia"/>
          <w:color w:val="auto"/>
          <w:sz w:val="18"/>
          <w:szCs w:val="18"/>
          <w:highlight w:val="none"/>
        </w:rPr>
        <w:t>修改的内容为招标文件的组成部分。当招标文件与澄清</w:t>
      </w:r>
      <w:r>
        <w:rPr>
          <w:rFonts w:hint="eastAsia" w:asciiTheme="minorEastAsia" w:hAnsiTheme="minorEastAsia" w:eastAsiaTheme="minorEastAsia"/>
          <w:color w:val="auto"/>
          <w:sz w:val="18"/>
          <w:szCs w:val="18"/>
          <w:highlight w:val="none"/>
        </w:rPr>
        <w:t>或者</w:t>
      </w:r>
      <w:r>
        <w:rPr>
          <w:rFonts w:asciiTheme="minorEastAsia" w:hAnsiTheme="minorEastAsia" w:eastAsiaTheme="minorEastAsia"/>
          <w:color w:val="auto"/>
          <w:sz w:val="18"/>
          <w:szCs w:val="18"/>
          <w:highlight w:val="none"/>
        </w:rPr>
        <w:t>修改就同一内容的表述不一致时，以最后发出的书面文件为准。</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3.对</w:t>
      </w:r>
      <w:r>
        <w:rPr>
          <w:rFonts w:asciiTheme="minorEastAsia" w:hAnsiTheme="minorEastAsia" w:eastAsiaTheme="minorEastAsia"/>
          <w:color w:val="auto"/>
          <w:sz w:val="18"/>
          <w:szCs w:val="18"/>
          <w:highlight w:val="none"/>
        </w:rPr>
        <w:t>招标文件的澄清、答复、修改或补充都应该通过</w:t>
      </w:r>
      <w:r>
        <w:rPr>
          <w:rFonts w:hint="eastAsia" w:asciiTheme="minorEastAsia" w:hAnsiTheme="minorEastAsia" w:eastAsiaTheme="minorEastAsia"/>
          <w:color w:val="auto"/>
          <w:sz w:val="18"/>
          <w:szCs w:val="18"/>
          <w:highlight w:val="none"/>
        </w:rPr>
        <w:t>代理机构</w:t>
      </w:r>
      <w:r>
        <w:rPr>
          <w:rFonts w:asciiTheme="minorEastAsia" w:hAnsiTheme="minorEastAsia" w:eastAsiaTheme="minorEastAsia"/>
          <w:color w:val="auto"/>
          <w:sz w:val="18"/>
          <w:szCs w:val="18"/>
          <w:highlight w:val="none"/>
        </w:rPr>
        <w:t>以法定形式发布，采购人非通过本机构，不得擅自澄清、答复、修改或补充招标文件。</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p>
    <w:p>
      <w:pPr>
        <w:pStyle w:val="30"/>
        <w:snapToGrid w:val="0"/>
        <w:spacing w:before="120" w:after="120" w:line="360" w:lineRule="auto"/>
        <w:ind w:firstLine="354" w:firstLineChars="196"/>
        <w:jc w:val="center"/>
        <w:outlineLvl w:val="1"/>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三、投标文件的编制</w:t>
      </w:r>
    </w:p>
    <w:p>
      <w:pPr>
        <w:pStyle w:val="30"/>
        <w:snapToGrid w:val="0"/>
        <w:spacing w:before="120" w:after="120" w:line="360" w:lineRule="auto"/>
        <w:ind w:firstLine="354" w:firstLineChars="196"/>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本项目所涉投标文件格式请详见第六章，未给出的格式请自拟。资信商务及技术文件中不得出现报价，否则投标文件将被视为无效。</w:t>
      </w:r>
    </w:p>
    <w:p>
      <w:pPr>
        <w:pStyle w:val="30"/>
        <w:snapToGrid w:val="0"/>
        <w:spacing w:before="120" w:after="120" w:line="360" w:lineRule="auto"/>
        <w:ind w:firstLine="354" w:firstLineChars="196"/>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总体要求</w:t>
      </w:r>
      <w:r>
        <w:rPr>
          <w:rFonts w:asciiTheme="minorEastAsia" w:hAnsiTheme="minorEastAsia" w:eastAsiaTheme="minorEastAsia"/>
          <w:b/>
          <w:color w:val="auto"/>
          <w:sz w:val="18"/>
          <w:szCs w:val="18"/>
          <w:highlight w:val="none"/>
        </w:rPr>
        <w:t>：</w:t>
      </w:r>
    </w:p>
    <w:p>
      <w:pPr>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 xml:space="preserve">供应商应仔细阅读招标文件的所有内容，按本文件的要求提供投标文件，并保证所提供的全部资料的真实性，以使其投标文件对招标文件作出实质性响应，否则，投标文件可能视为无效投标文件。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 投标文件及供应商与采购有关的来往通知，函件和文件均应使用中文。</w:t>
      </w:r>
    </w:p>
    <w:p>
      <w:pPr>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 供应商应按本文件中提供的文件格式、内容和要求制作投标文件。</w:t>
      </w:r>
    </w:p>
    <w:p>
      <w:pPr>
        <w:snapToGrid w:val="0"/>
        <w:spacing w:line="360" w:lineRule="auto"/>
        <w:ind w:firstLine="354" w:firstLineChars="196"/>
        <w:jc w:val="left"/>
        <w:outlineLvl w:val="0"/>
        <w:rPr>
          <w:rFonts w:asciiTheme="minorEastAsia" w:hAnsiTheme="minorEastAsia" w:eastAsiaTheme="minorEastAsia"/>
          <w:b/>
          <w:color w:val="auto"/>
          <w:sz w:val="18"/>
          <w:szCs w:val="18"/>
          <w:highlight w:val="none"/>
        </w:rPr>
      </w:pPr>
      <w:bookmarkStart w:id="145" w:name="_Toc406402944"/>
      <w:bookmarkStart w:id="146" w:name="_Toc22673"/>
      <w:bookmarkStart w:id="147" w:name="_Toc406402988"/>
      <w:bookmarkStart w:id="148" w:name="_Toc20077"/>
      <w:r>
        <w:rPr>
          <w:rFonts w:hint="eastAsia" w:asciiTheme="minorEastAsia" w:hAnsiTheme="minorEastAsia" w:eastAsiaTheme="minorEastAsia"/>
          <w:b/>
          <w:color w:val="auto"/>
          <w:sz w:val="18"/>
          <w:szCs w:val="18"/>
          <w:highlight w:val="none"/>
        </w:rPr>
        <w:t>（一）投标文件的组成</w:t>
      </w:r>
      <w:bookmarkEnd w:id="145"/>
      <w:bookmarkEnd w:id="146"/>
      <w:bookmarkEnd w:id="147"/>
      <w:bookmarkEnd w:id="148"/>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电子投标文件和备份投标文件均由资信技术文件、商务报价文件两部份组成。投标文件中所须加盖公章部分均采用CA签章。</w:t>
      </w:r>
    </w:p>
    <w:p>
      <w:pPr>
        <w:snapToGrid w:val="0"/>
        <w:spacing w:beforeLines="50" w:line="360" w:lineRule="auto"/>
        <w:jc w:val="left"/>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1、资信文件：</w:t>
      </w:r>
    </w:p>
    <w:p>
      <w:pPr>
        <w:snapToGrid w:val="0"/>
        <w:spacing w:line="360" w:lineRule="auto"/>
        <w:jc w:val="left"/>
        <w:rPr>
          <w:rFonts w:asciiTheme="minorEastAsia" w:hAnsiTheme="minorEastAsia" w:eastAsiaTheme="minorEastAsia"/>
          <w:color w:val="auto"/>
          <w:sz w:val="18"/>
          <w:szCs w:val="18"/>
          <w:highlight w:val="none"/>
        </w:rPr>
      </w:pPr>
      <w:bookmarkStart w:id="149" w:name="_Toc406402989"/>
      <w:bookmarkStart w:id="150" w:name="_Toc406402945"/>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投标声明书</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（附件1）</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w:t>
      </w:r>
      <w:r>
        <w:rPr>
          <w:rFonts w:asciiTheme="minorEastAsia" w:hAnsiTheme="minorEastAsia" w:eastAsiaTheme="minorEastAsia"/>
          <w:color w:val="auto"/>
          <w:sz w:val="18"/>
          <w:szCs w:val="18"/>
          <w:highlight w:val="none"/>
        </w:rPr>
        <w:t>）法定代表人授权委托书；</w:t>
      </w:r>
      <w:r>
        <w:rPr>
          <w:rFonts w:hint="eastAsia" w:asciiTheme="minorEastAsia" w:hAnsiTheme="minorEastAsia" w:eastAsiaTheme="minorEastAsia"/>
          <w:color w:val="auto"/>
          <w:sz w:val="18"/>
          <w:szCs w:val="18"/>
          <w:highlight w:val="none"/>
        </w:rPr>
        <w:t>（附件2）</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关于资格的声明函；（附件3）</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w:t>
      </w:r>
      <w:r>
        <w:rPr>
          <w:rFonts w:asciiTheme="minorEastAsia" w:hAnsiTheme="minorEastAsia" w:eastAsiaTheme="minorEastAsia"/>
          <w:color w:val="auto"/>
          <w:sz w:val="18"/>
          <w:szCs w:val="18"/>
          <w:highlight w:val="none"/>
        </w:rPr>
        <w:t>）投标人基本情况；</w:t>
      </w:r>
      <w:r>
        <w:rPr>
          <w:rFonts w:hint="eastAsia" w:asciiTheme="minorEastAsia" w:hAnsiTheme="minorEastAsia" w:eastAsiaTheme="minorEastAsia"/>
          <w:color w:val="auto"/>
          <w:sz w:val="18"/>
          <w:szCs w:val="18"/>
          <w:highlight w:val="none"/>
        </w:rPr>
        <w:t>（附件4）</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业绩表</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（附件5）</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（6</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认证证书情况</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（附件6）</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（7</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项目组人员配置表（附件7）</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（8</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投入设备清单格式；（附件8）</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（9）投标人符合政府采购法第二十二条资格的相关证明文件；</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（10）投标人符合特定条件的相关证明文件；</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11）提供自招标公告发布之日起至投标截止日内任意时间的“信用中国”网站（www.creditchina.gov.cn）、中国政府采购网（www.ccgp.gov.cn）供应商信用查询网页截图。（以开标当日采购单位或由采购单位委托的评标委员会核实的查询结果为准）。</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（12）中小企业声明函、残疾人福利性单位声明函及其他符合政策性加分条件的承诺函或证明材料。（附件9、10）</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（13）未尽事宜请各供应商按评分细则制作技术部份。</w:t>
      </w:r>
    </w:p>
    <w:p>
      <w:pPr>
        <w:snapToGrid w:val="0"/>
        <w:spacing w:line="360" w:lineRule="auto"/>
        <w:jc w:val="left"/>
        <w:rPr>
          <w:rFonts w:asciiTheme="minorEastAsia" w:hAnsiTheme="minorEastAsia" w:eastAsiaTheme="minorEastAsia"/>
          <w:b/>
          <w:bCs/>
          <w:color w:val="auto"/>
          <w:sz w:val="18"/>
          <w:szCs w:val="18"/>
          <w:highlight w:val="none"/>
        </w:rPr>
      </w:pPr>
      <w:r>
        <w:rPr>
          <w:rFonts w:asciiTheme="minorEastAsia" w:hAnsiTheme="minorEastAsia" w:eastAsiaTheme="minorEastAsia"/>
          <w:b/>
          <w:bCs/>
          <w:color w:val="auto"/>
          <w:sz w:val="18"/>
          <w:szCs w:val="18"/>
          <w:highlight w:val="none"/>
        </w:rPr>
        <w:t>2</w:t>
      </w:r>
      <w:r>
        <w:rPr>
          <w:rFonts w:hint="eastAsia" w:asciiTheme="minorEastAsia" w:hAnsiTheme="minorEastAsia" w:eastAsiaTheme="minorEastAsia"/>
          <w:b/>
          <w:bCs/>
          <w:color w:val="auto"/>
          <w:sz w:val="18"/>
          <w:szCs w:val="18"/>
          <w:highlight w:val="none"/>
        </w:rPr>
        <w:t>、</w:t>
      </w:r>
      <w:r>
        <w:rPr>
          <w:rFonts w:asciiTheme="minorEastAsia" w:hAnsiTheme="minorEastAsia" w:eastAsiaTheme="minorEastAsia"/>
          <w:b/>
          <w:bCs/>
          <w:color w:val="auto"/>
          <w:sz w:val="18"/>
          <w:szCs w:val="18"/>
          <w:highlight w:val="none"/>
        </w:rPr>
        <w:t>技术文件</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lang w:eastAsia="zh-CN"/>
        </w:rPr>
        <w:t>投标方案</w:t>
      </w:r>
      <w:r>
        <w:rPr>
          <w:rFonts w:hint="eastAsia" w:asciiTheme="minorEastAsia" w:hAnsiTheme="minorEastAsia" w:eastAsiaTheme="minorEastAsia"/>
          <w:color w:val="auto"/>
          <w:sz w:val="18"/>
          <w:szCs w:val="18"/>
          <w:highlight w:val="none"/>
        </w:rPr>
        <w:t>；（格式自拟）</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（2）服务承诺及质量保障；（格式自拟）</w:t>
      </w:r>
    </w:p>
    <w:p>
      <w:pPr>
        <w:pStyle w:val="48"/>
        <w:ind w:left="0" w:leftChars="0" w:firstLine="0" w:firstLineChars="0"/>
        <w:rPr>
          <w:color w:val="auto"/>
          <w:sz w:val="18"/>
          <w:szCs w:val="18"/>
          <w:highlight w:val="none"/>
        </w:rPr>
      </w:pPr>
      <w:r>
        <w:rPr>
          <w:rFonts w:hint="eastAsia" w:asciiTheme="minorEastAsia" w:hAnsiTheme="minorEastAsia"/>
          <w:color w:val="auto"/>
          <w:sz w:val="18"/>
          <w:szCs w:val="18"/>
          <w:highlight w:val="none"/>
        </w:rPr>
        <w:t>（</w:t>
      </w:r>
      <w:r>
        <w:rPr>
          <w:rFonts w:hint="eastAsia" w:asciiTheme="minorEastAsia" w:hAnsiTheme="minorEastAsia"/>
          <w:color w:val="auto"/>
          <w:sz w:val="18"/>
          <w:szCs w:val="18"/>
          <w:highlight w:val="none"/>
          <w:lang w:val="en-US" w:eastAsia="zh-CN"/>
        </w:rPr>
        <w:t>3</w:t>
      </w:r>
      <w:r>
        <w:rPr>
          <w:rFonts w:hint="eastAsia" w:asciiTheme="minorEastAsia" w:hAnsiTheme="minorEastAsia"/>
          <w:color w:val="auto"/>
          <w:sz w:val="18"/>
          <w:szCs w:val="18"/>
          <w:highlight w:val="none"/>
        </w:rPr>
        <w:t>）</w:t>
      </w:r>
      <w:r>
        <w:rPr>
          <w:rFonts w:hint="eastAsia" w:asciiTheme="minorEastAsia" w:hAnsiTheme="minorEastAsia"/>
          <w:color w:val="auto"/>
          <w:sz w:val="18"/>
          <w:szCs w:val="18"/>
          <w:highlight w:val="none"/>
          <w:lang w:val="en-US" w:eastAsia="zh-CN"/>
        </w:rPr>
        <w:t>人员配置</w:t>
      </w:r>
      <w:r>
        <w:rPr>
          <w:rFonts w:hint="eastAsia" w:asciiTheme="minorEastAsia" w:hAnsiTheme="minorEastAsia"/>
          <w:color w:val="auto"/>
          <w:sz w:val="18"/>
          <w:szCs w:val="18"/>
          <w:highlight w:val="none"/>
        </w:rPr>
        <w:t>；（格式自拟）</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lang w:val="en-US" w:eastAsia="zh-CN"/>
        </w:rPr>
        <w:t>4</w:t>
      </w: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lang w:eastAsia="zh-CN"/>
        </w:rPr>
        <w:t>合理化建议</w:t>
      </w:r>
      <w:r>
        <w:rPr>
          <w:rFonts w:hint="eastAsia" w:asciiTheme="minorEastAsia" w:hAnsiTheme="minorEastAsia" w:eastAsiaTheme="minorEastAsia"/>
          <w:color w:val="auto"/>
          <w:sz w:val="18"/>
          <w:szCs w:val="18"/>
          <w:highlight w:val="none"/>
        </w:rPr>
        <w:t>；（格式自拟）</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lang w:val="en-US" w:eastAsia="zh-CN"/>
        </w:rPr>
        <w:t>5</w:t>
      </w:r>
      <w:r>
        <w:rPr>
          <w:rFonts w:hint="eastAsia" w:asciiTheme="minorEastAsia" w:hAnsiTheme="minorEastAsia" w:eastAsiaTheme="minorEastAsia"/>
          <w:color w:val="auto"/>
          <w:sz w:val="18"/>
          <w:szCs w:val="18"/>
          <w:highlight w:val="none"/>
        </w:rPr>
        <w:t>）投标人认为有必要提供的声明及文件资料。</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lang w:val="en-US" w:eastAsia="zh-CN"/>
        </w:rPr>
        <w:t>6</w:t>
      </w:r>
      <w:r>
        <w:rPr>
          <w:rFonts w:hint="eastAsia" w:asciiTheme="minorEastAsia" w:hAnsiTheme="minorEastAsia" w:eastAsiaTheme="minorEastAsia"/>
          <w:color w:val="auto"/>
          <w:sz w:val="18"/>
          <w:szCs w:val="18"/>
          <w:highlight w:val="none"/>
        </w:rPr>
        <w:t>）未尽事宜请各投标人按评分细则制作。</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（注：复印件应加盖投标人公章）</w:t>
      </w:r>
    </w:p>
    <w:p>
      <w:pPr>
        <w:snapToGrid w:val="0"/>
        <w:spacing w:line="360" w:lineRule="auto"/>
        <w:jc w:val="left"/>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3</w:t>
      </w:r>
      <w:r>
        <w:rPr>
          <w:rFonts w:hint="eastAsia" w:asciiTheme="minorEastAsia" w:hAnsiTheme="minorEastAsia" w:eastAsiaTheme="minorEastAsia"/>
          <w:b/>
          <w:color w:val="auto"/>
          <w:sz w:val="18"/>
          <w:szCs w:val="18"/>
          <w:highlight w:val="none"/>
        </w:rPr>
        <w:t>、商务</w:t>
      </w:r>
      <w:r>
        <w:rPr>
          <w:rFonts w:asciiTheme="minorEastAsia" w:hAnsiTheme="minorEastAsia" w:eastAsiaTheme="minorEastAsia"/>
          <w:b/>
          <w:color w:val="auto"/>
          <w:sz w:val="18"/>
          <w:szCs w:val="18"/>
          <w:highlight w:val="none"/>
        </w:rPr>
        <w:t>报价文件：</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（1）投标函；（附件12）</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w:t>
      </w:r>
      <w:r>
        <w:rPr>
          <w:rFonts w:asciiTheme="minorEastAsia" w:hAnsiTheme="minorEastAsia" w:eastAsiaTheme="minorEastAsia"/>
          <w:color w:val="auto"/>
          <w:sz w:val="18"/>
          <w:szCs w:val="18"/>
          <w:highlight w:val="none"/>
        </w:rPr>
        <w:t>）开标一览表；</w:t>
      </w:r>
      <w:r>
        <w:rPr>
          <w:rFonts w:hint="eastAsia" w:asciiTheme="minorEastAsia" w:hAnsiTheme="minorEastAsia" w:eastAsiaTheme="minorEastAsia"/>
          <w:color w:val="auto"/>
          <w:sz w:val="18"/>
          <w:szCs w:val="18"/>
          <w:highlight w:val="none"/>
        </w:rPr>
        <w:t>（附件13）</w:t>
      </w:r>
    </w:p>
    <w:p>
      <w:pPr>
        <w:pStyle w:val="48"/>
        <w:spacing w:line="360" w:lineRule="auto"/>
        <w:ind w:left="0" w:leftChars="0" w:firstLine="0" w:firstLineChars="0"/>
        <w:rPr>
          <w:color w:val="auto"/>
          <w:sz w:val="18"/>
          <w:szCs w:val="18"/>
          <w:highlight w:val="none"/>
        </w:rPr>
      </w:pPr>
      <w:r>
        <w:rPr>
          <w:rFonts w:hint="eastAsia"/>
          <w:color w:val="auto"/>
          <w:sz w:val="18"/>
          <w:szCs w:val="18"/>
          <w:highlight w:val="none"/>
        </w:rPr>
        <w:t>（3）明细报价表</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（附件14）</w:t>
      </w:r>
    </w:p>
    <w:p>
      <w:pPr>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w:t>
      </w:r>
      <w:r>
        <w:rPr>
          <w:rFonts w:asciiTheme="minorEastAsia" w:hAnsiTheme="minorEastAsia" w:eastAsiaTheme="minorEastAsia"/>
          <w:color w:val="auto"/>
          <w:sz w:val="18"/>
          <w:szCs w:val="18"/>
          <w:highlight w:val="none"/>
        </w:rPr>
        <w:t>投标人</w:t>
      </w:r>
      <w:r>
        <w:rPr>
          <w:rFonts w:hint="eastAsia" w:asciiTheme="minorEastAsia" w:hAnsiTheme="minorEastAsia" w:eastAsiaTheme="minorEastAsia"/>
          <w:color w:val="auto"/>
          <w:sz w:val="18"/>
          <w:szCs w:val="18"/>
          <w:highlight w:val="none"/>
        </w:rPr>
        <w:t>针对报价</w:t>
      </w:r>
      <w:r>
        <w:rPr>
          <w:rFonts w:asciiTheme="minorEastAsia" w:hAnsiTheme="minorEastAsia" w:eastAsiaTheme="minorEastAsia"/>
          <w:color w:val="auto"/>
          <w:sz w:val="18"/>
          <w:szCs w:val="18"/>
          <w:highlight w:val="none"/>
        </w:rPr>
        <w:t>需要说明的其他文件和说明</w:t>
      </w:r>
      <w:r>
        <w:rPr>
          <w:rFonts w:hint="eastAsia" w:asciiTheme="minorEastAsia" w:hAnsiTheme="minorEastAsia" w:eastAsiaTheme="minorEastAsia"/>
          <w:color w:val="auto"/>
          <w:sz w:val="18"/>
          <w:szCs w:val="18"/>
          <w:highlight w:val="none"/>
        </w:rPr>
        <w:t>；</w:t>
      </w:r>
    </w:p>
    <w:bookmarkEnd w:id="149"/>
    <w:bookmarkEnd w:id="150"/>
    <w:p>
      <w:pPr>
        <w:snapToGrid w:val="0"/>
        <w:spacing w:line="360" w:lineRule="auto"/>
        <w:jc w:val="left"/>
        <w:rPr>
          <w:rFonts w:asciiTheme="minorEastAsia" w:hAnsiTheme="minorEastAsia" w:eastAsiaTheme="minorEastAsia"/>
          <w:b/>
          <w:color w:val="auto"/>
          <w:sz w:val="18"/>
          <w:szCs w:val="18"/>
          <w:highlight w:val="none"/>
        </w:rPr>
      </w:pPr>
      <w:bookmarkStart w:id="151" w:name="_Toc385854146"/>
      <w:bookmarkStart w:id="152" w:name="_Toc402963117"/>
      <w:bookmarkStart w:id="153" w:name="_Toc385854100"/>
      <w:bookmarkStart w:id="154" w:name="_Toc406402946"/>
      <w:bookmarkStart w:id="155" w:name="_Toc402963084"/>
      <w:bookmarkStart w:id="156" w:name="_Toc406402990"/>
      <w:r>
        <w:rPr>
          <w:rFonts w:asciiTheme="minorEastAsia" w:hAnsiTheme="minorEastAsia" w:eastAsiaTheme="minorEastAsia"/>
          <w:b/>
          <w:color w:val="auto"/>
          <w:sz w:val="18"/>
          <w:szCs w:val="18"/>
          <w:highlight w:val="none"/>
        </w:rPr>
        <w:t>注：</w:t>
      </w:r>
      <w:r>
        <w:rPr>
          <w:rFonts w:hint="eastAsia" w:asciiTheme="minorEastAsia" w:hAnsiTheme="minorEastAsia" w:eastAsiaTheme="minorEastAsia"/>
          <w:b/>
          <w:color w:val="auto"/>
          <w:sz w:val="18"/>
          <w:szCs w:val="18"/>
          <w:highlight w:val="none"/>
        </w:rPr>
        <w:t>1、投标人可根据评分细则按排版自行编制目录。</w:t>
      </w:r>
    </w:p>
    <w:p>
      <w:pPr>
        <w:snapToGrid w:val="0"/>
        <w:spacing w:line="360" w:lineRule="auto"/>
        <w:ind w:firstLine="354" w:firstLineChars="196"/>
        <w:jc w:val="left"/>
        <w:outlineLvl w:val="0"/>
        <w:rPr>
          <w:rFonts w:asciiTheme="minorEastAsia" w:hAnsiTheme="minorEastAsia" w:eastAsiaTheme="minorEastAsia"/>
          <w:b/>
          <w:color w:val="auto"/>
          <w:sz w:val="18"/>
          <w:szCs w:val="18"/>
          <w:highlight w:val="none"/>
        </w:rPr>
      </w:pPr>
      <w:bookmarkStart w:id="157" w:name="_Toc20732"/>
      <w:bookmarkStart w:id="158" w:name="_Toc27200"/>
      <w:r>
        <w:rPr>
          <w:rFonts w:hint="eastAsia" w:asciiTheme="minorEastAsia" w:hAnsiTheme="minorEastAsia" w:eastAsiaTheme="minorEastAsia"/>
          <w:b/>
          <w:color w:val="auto"/>
          <w:sz w:val="18"/>
          <w:szCs w:val="18"/>
          <w:highlight w:val="none"/>
        </w:rPr>
        <w:t>（二）投标文件的语言及计量</w:t>
      </w:r>
      <w:bookmarkEnd w:id="151"/>
      <w:bookmarkEnd w:id="152"/>
      <w:bookmarkEnd w:id="153"/>
      <w:bookmarkEnd w:id="154"/>
      <w:bookmarkEnd w:id="155"/>
      <w:bookmarkEnd w:id="156"/>
      <w:bookmarkEnd w:id="157"/>
      <w:bookmarkEnd w:id="158"/>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投标计量单位，招标文件已有明确规定的，使用招标文件规定的计量单位；招标文件没有规定的，应采用中华人民共和国法定计量单位（货币单位：人民币元），否则视同未响应。</w:t>
      </w:r>
    </w:p>
    <w:p>
      <w:pPr>
        <w:snapToGrid w:val="0"/>
        <w:spacing w:beforeLines="50" w:line="360" w:lineRule="auto"/>
        <w:ind w:firstLine="354" w:firstLineChars="196"/>
        <w:jc w:val="left"/>
        <w:outlineLvl w:val="0"/>
        <w:rPr>
          <w:rFonts w:asciiTheme="minorEastAsia" w:hAnsiTheme="minorEastAsia" w:eastAsiaTheme="minorEastAsia"/>
          <w:b/>
          <w:color w:val="auto"/>
          <w:sz w:val="18"/>
          <w:szCs w:val="18"/>
          <w:highlight w:val="none"/>
        </w:rPr>
      </w:pPr>
      <w:bookmarkStart w:id="159" w:name="_Toc406402947"/>
      <w:bookmarkStart w:id="160" w:name="_Toc385854101"/>
      <w:bookmarkStart w:id="161" w:name="_Toc402963118"/>
      <w:bookmarkStart w:id="162" w:name="_Toc385854147"/>
      <w:bookmarkStart w:id="163" w:name="_Toc402963085"/>
      <w:bookmarkStart w:id="164" w:name="_Toc27435"/>
      <w:bookmarkStart w:id="165" w:name="_Toc406402991"/>
      <w:bookmarkStart w:id="166" w:name="_Toc20544"/>
      <w:r>
        <w:rPr>
          <w:rFonts w:hint="eastAsia" w:asciiTheme="minorEastAsia" w:hAnsiTheme="minorEastAsia" w:eastAsiaTheme="minorEastAsia"/>
          <w:b/>
          <w:color w:val="auto"/>
          <w:sz w:val="18"/>
          <w:szCs w:val="18"/>
          <w:highlight w:val="none"/>
        </w:rPr>
        <w:t>（三）投标报价</w:t>
      </w:r>
      <w:bookmarkEnd w:id="159"/>
      <w:bookmarkEnd w:id="160"/>
      <w:bookmarkEnd w:id="161"/>
      <w:bookmarkEnd w:id="162"/>
      <w:bookmarkEnd w:id="163"/>
      <w:bookmarkEnd w:id="164"/>
      <w:bookmarkEnd w:id="165"/>
      <w:bookmarkEnd w:id="166"/>
    </w:p>
    <w:p>
      <w:pPr>
        <w:pStyle w:val="30"/>
        <w:snapToGrid w:val="0"/>
        <w:spacing w:beforeLines="0" w:afterLines="0"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投标报价应按招标文件中相关附表格式填写。</w:t>
      </w:r>
    </w:p>
    <w:p>
      <w:pPr>
        <w:pStyle w:val="30"/>
        <w:snapToGrid w:val="0"/>
        <w:spacing w:beforeLines="0" w:afterLines="0"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投标报价是履行合同的最终价格，应包括货款、标准附件、备品备件、专用工具、包装、运输、装卸、保险、税金、货到就位以及安装、调试、培训、保修</w:t>
      </w:r>
      <w:r>
        <w:rPr>
          <w:rFonts w:hint="eastAsia" w:asciiTheme="minorEastAsia" w:hAnsiTheme="minorEastAsia" w:eastAsiaTheme="minorEastAsia"/>
          <w:color w:val="auto"/>
          <w:sz w:val="18"/>
          <w:szCs w:val="18"/>
          <w:highlight w:val="none"/>
        </w:rPr>
        <w:t>和前期方案编制</w:t>
      </w:r>
      <w:r>
        <w:rPr>
          <w:rFonts w:asciiTheme="minorEastAsia" w:hAnsiTheme="minorEastAsia" w:eastAsiaTheme="minorEastAsia"/>
          <w:color w:val="auto"/>
          <w:sz w:val="18"/>
          <w:szCs w:val="18"/>
          <w:highlight w:val="none"/>
        </w:rPr>
        <w:t>等一切税金和费用。</w:t>
      </w:r>
    </w:p>
    <w:p>
      <w:pPr>
        <w:tabs>
          <w:tab w:val="left" w:pos="525"/>
        </w:tabs>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投标文件只允许有一个报价，有选择的</w:t>
      </w:r>
      <w:r>
        <w:rPr>
          <w:rFonts w:hint="eastAsia" w:asciiTheme="minorEastAsia" w:hAnsiTheme="minorEastAsia" w:eastAsiaTheme="minorEastAsia"/>
          <w:color w:val="auto"/>
          <w:sz w:val="18"/>
          <w:szCs w:val="18"/>
          <w:highlight w:val="none"/>
        </w:rPr>
        <w:t>或有条件的</w:t>
      </w:r>
      <w:r>
        <w:rPr>
          <w:rFonts w:asciiTheme="minorEastAsia" w:hAnsiTheme="minorEastAsia" w:eastAsiaTheme="minorEastAsia"/>
          <w:color w:val="auto"/>
          <w:sz w:val="18"/>
          <w:szCs w:val="18"/>
          <w:highlight w:val="none"/>
        </w:rPr>
        <w:t>报价将不予接受。</w:t>
      </w:r>
    </w:p>
    <w:p>
      <w:pPr>
        <w:pStyle w:val="15"/>
        <w:widowControl w:val="0"/>
        <w:tabs>
          <w:tab w:val="clear" w:pos="454"/>
        </w:tabs>
        <w:snapToGrid w:val="0"/>
        <w:spacing w:beforeLines="50" w:afterLines="0" w:line="360" w:lineRule="auto"/>
        <w:ind w:left="0" w:firstLine="354" w:firstLineChars="196"/>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（四）投标文件的有效期</w:t>
      </w:r>
    </w:p>
    <w:p>
      <w:pPr>
        <w:pStyle w:val="15"/>
        <w:widowControl w:val="0"/>
        <w:tabs>
          <w:tab w:val="left" w:pos="4500"/>
          <w:tab w:val="clear" w:pos="454"/>
        </w:tabs>
        <w:snapToGrid w:val="0"/>
        <w:spacing w:afterLines="0" w:line="360" w:lineRule="auto"/>
        <w:ind w:left="0"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自投标截止日起</w:t>
      </w:r>
      <w:r>
        <w:rPr>
          <w:rFonts w:hint="eastAsia" w:asciiTheme="minorEastAsia" w:hAnsiTheme="minorEastAsia" w:eastAsiaTheme="minorEastAsia"/>
          <w:color w:val="auto"/>
          <w:sz w:val="18"/>
          <w:szCs w:val="18"/>
          <w:highlight w:val="none"/>
          <w:u w:val="single"/>
        </w:rPr>
        <w:t>90</w:t>
      </w:r>
      <w:r>
        <w:rPr>
          <w:rFonts w:asciiTheme="minorEastAsia" w:hAnsiTheme="minorEastAsia" w:eastAsiaTheme="minorEastAsia"/>
          <w:color w:val="auto"/>
          <w:sz w:val="18"/>
          <w:szCs w:val="18"/>
          <w:highlight w:val="none"/>
        </w:rPr>
        <w:t>天投标</w:t>
      </w:r>
      <w:r>
        <w:rPr>
          <w:rFonts w:hint="eastAsia" w:asciiTheme="minorEastAsia" w:hAnsiTheme="minorEastAsia" w:eastAsiaTheme="minorEastAsia"/>
          <w:color w:val="auto"/>
          <w:sz w:val="18"/>
          <w:szCs w:val="18"/>
          <w:highlight w:val="none"/>
        </w:rPr>
        <w:t>文件</w:t>
      </w:r>
      <w:r>
        <w:rPr>
          <w:rFonts w:asciiTheme="minorEastAsia" w:hAnsiTheme="minorEastAsia" w:eastAsiaTheme="minorEastAsia"/>
          <w:color w:val="auto"/>
          <w:sz w:val="18"/>
          <w:szCs w:val="18"/>
          <w:highlight w:val="none"/>
        </w:rPr>
        <w:t>应保持有效。有效期</w:t>
      </w:r>
      <w:r>
        <w:rPr>
          <w:rFonts w:hint="eastAsia" w:asciiTheme="minorEastAsia" w:hAnsiTheme="minorEastAsia" w:eastAsiaTheme="minorEastAsia"/>
          <w:color w:val="auto"/>
          <w:sz w:val="18"/>
          <w:szCs w:val="18"/>
          <w:highlight w:val="none"/>
        </w:rPr>
        <w:t>不足</w:t>
      </w:r>
      <w:r>
        <w:rPr>
          <w:rFonts w:asciiTheme="minorEastAsia" w:hAnsiTheme="minorEastAsia" w:eastAsiaTheme="minorEastAsia"/>
          <w:color w:val="auto"/>
          <w:sz w:val="18"/>
          <w:szCs w:val="18"/>
          <w:highlight w:val="none"/>
        </w:rPr>
        <w:t>的投标</w:t>
      </w:r>
      <w:r>
        <w:rPr>
          <w:rFonts w:hint="eastAsia" w:asciiTheme="minorEastAsia" w:hAnsiTheme="minorEastAsia" w:eastAsiaTheme="minorEastAsia"/>
          <w:color w:val="auto"/>
          <w:sz w:val="18"/>
          <w:szCs w:val="18"/>
          <w:highlight w:val="none"/>
        </w:rPr>
        <w:t>文件</w:t>
      </w:r>
      <w:r>
        <w:rPr>
          <w:rFonts w:asciiTheme="minorEastAsia" w:hAnsiTheme="minorEastAsia" w:eastAsiaTheme="minorEastAsia"/>
          <w:color w:val="auto"/>
          <w:sz w:val="18"/>
          <w:szCs w:val="18"/>
          <w:highlight w:val="none"/>
        </w:rPr>
        <w:t>将被拒绝。</w:t>
      </w:r>
    </w:p>
    <w:p>
      <w:pPr>
        <w:pStyle w:val="15"/>
        <w:widowControl w:val="0"/>
        <w:tabs>
          <w:tab w:val="clear" w:pos="454"/>
        </w:tabs>
        <w:snapToGrid w:val="0"/>
        <w:spacing w:afterLines="0" w:line="360" w:lineRule="auto"/>
        <w:ind w:left="0"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在特殊情况下，招标人可与供应商协商延长投标书的有效期，这种要求和答复均以书面形式进行。</w:t>
      </w:r>
    </w:p>
    <w:p>
      <w:pPr>
        <w:snapToGrid w:val="0"/>
        <w:spacing w:line="360" w:lineRule="auto"/>
        <w:ind w:firstLine="360" w:firstLineChars="200"/>
        <w:jc w:val="left"/>
        <w:outlineLvl w:val="0"/>
        <w:rPr>
          <w:rFonts w:asciiTheme="minorEastAsia" w:hAnsiTheme="minorEastAsia" w:eastAsiaTheme="minorEastAsia"/>
          <w:b/>
          <w:color w:val="auto"/>
          <w:sz w:val="18"/>
          <w:szCs w:val="18"/>
          <w:highlight w:val="none"/>
        </w:rPr>
      </w:pPr>
      <w:bookmarkStart w:id="167" w:name="_Toc385854102"/>
      <w:bookmarkStart w:id="168" w:name="_Toc406402992"/>
      <w:bookmarkStart w:id="169" w:name="_Toc385854148"/>
      <w:bookmarkStart w:id="170" w:name="_Toc16383"/>
      <w:bookmarkStart w:id="171" w:name="_Toc402963086"/>
      <w:bookmarkStart w:id="172" w:name="_Toc406402948"/>
      <w:bookmarkStart w:id="173" w:name="_Toc402963119"/>
      <w:bookmarkStart w:id="174" w:name="_Toc22981"/>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供应商可拒绝接受延期要求。同意延长有效期的供应商不能修改投标文件。</w:t>
      </w:r>
      <w:bookmarkEnd w:id="167"/>
      <w:bookmarkEnd w:id="168"/>
      <w:bookmarkEnd w:id="169"/>
      <w:bookmarkEnd w:id="170"/>
      <w:bookmarkEnd w:id="171"/>
      <w:bookmarkEnd w:id="172"/>
      <w:bookmarkEnd w:id="173"/>
      <w:bookmarkEnd w:id="174"/>
    </w:p>
    <w:p>
      <w:pPr>
        <w:snapToGrid w:val="0"/>
        <w:spacing w:line="360" w:lineRule="auto"/>
        <w:ind w:firstLine="360" w:firstLineChars="200"/>
        <w:jc w:val="left"/>
        <w:outlineLvl w:val="0"/>
        <w:rPr>
          <w:rFonts w:asciiTheme="minorEastAsia" w:hAnsiTheme="minorEastAsia" w:eastAsiaTheme="minorEastAsia"/>
          <w:b/>
          <w:color w:val="auto"/>
          <w:sz w:val="18"/>
          <w:szCs w:val="18"/>
          <w:highlight w:val="none"/>
        </w:rPr>
      </w:pPr>
      <w:bookmarkStart w:id="175" w:name="_Toc385854149"/>
      <w:bookmarkStart w:id="176" w:name="_Toc385854103"/>
      <w:bookmarkStart w:id="177" w:name="_Toc406402949"/>
      <w:bookmarkStart w:id="178" w:name="_Toc406402993"/>
      <w:bookmarkStart w:id="179" w:name="_Toc402963087"/>
      <w:bookmarkStart w:id="180" w:name="_Toc3664"/>
      <w:bookmarkStart w:id="181" w:name="_Toc402963120"/>
      <w:bookmarkStart w:id="182" w:name="_Toc4824"/>
      <w:r>
        <w:rPr>
          <w:rFonts w:asciiTheme="minorEastAsia" w:hAnsiTheme="minorEastAsia" w:eastAsiaTheme="minorEastAsia"/>
          <w:color w:val="auto"/>
          <w:sz w:val="18"/>
          <w:szCs w:val="18"/>
          <w:highlight w:val="none"/>
        </w:rPr>
        <w:t>4</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中标人的投标文件自开标之日起至合同履行完毕止均应保持有效。</w:t>
      </w:r>
      <w:bookmarkEnd w:id="175"/>
      <w:bookmarkEnd w:id="176"/>
      <w:bookmarkEnd w:id="177"/>
      <w:bookmarkEnd w:id="178"/>
      <w:bookmarkEnd w:id="179"/>
      <w:bookmarkEnd w:id="180"/>
      <w:bookmarkEnd w:id="181"/>
      <w:bookmarkEnd w:id="182"/>
    </w:p>
    <w:p>
      <w:pPr>
        <w:snapToGrid w:val="0"/>
        <w:spacing w:beforeLines="50" w:line="360" w:lineRule="auto"/>
        <w:ind w:firstLine="354" w:firstLineChars="196"/>
        <w:jc w:val="left"/>
        <w:outlineLvl w:val="0"/>
        <w:rPr>
          <w:rFonts w:asciiTheme="minorEastAsia" w:hAnsiTheme="minorEastAsia" w:eastAsiaTheme="minorEastAsia"/>
          <w:b/>
          <w:color w:val="auto"/>
          <w:sz w:val="18"/>
          <w:szCs w:val="18"/>
          <w:highlight w:val="none"/>
        </w:rPr>
      </w:pPr>
      <w:bookmarkStart w:id="183" w:name="_Toc22564"/>
      <w:bookmarkStart w:id="184" w:name="_Toc406402995"/>
      <w:bookmarkStart w:id="185" w:name="_Toc402963089"/>
      <w:bookmarkStart w:id="186" w:name="_Toc385854151"/>
      <w:bookmarkStart w:id="187" w:name="_Toc406402951"/>
      <w:bookmarkStart w:id="188" w:name="_Toc402963122"/>
      <w:bookmarkStart w:id="189" w:name="_Toc385854105"/>
      <w:bookmarkStart w:id="190" w:name="_Toc3623"/>
      <w:r>
        <w:rPr>
          <w:rFonts w:hint="eastAsia" w:asciiTheme="minorEastAsia" w:hAnsiTheme="minorEastAsia" w:eastAsiaTheme="minorEastAsia"/>
          <w:b/>
          <w:color w:val="auto"/>
          <w:sz w:val="18"/>
          <w:szCs w:val="18"/>
          <w:highlight w:val="none"/>
        </w:rPr>
        <w:t>（五）投标文件的签署和份数</w:t>
      </w:r>
      <w:bookmarkEnd w:id="183"/>
      <w:bookmarkEnd w:id="184"/>
      <w:bookmarkEnd w:id="185"/>
      <w:bookmarkEnd w:id="186"/>
      <w:bookmarkEnd w:id="187"/>
      <w:bookmarkEnd w:id="188"/>
      <w:bookmarkEnd w:id="189"/>
      <w:bookmarkEnd w:id="190"/>
    </w:p>
    <w:p>
      <w:pPr>
        <w:snapToGrid w:val="0"/>
        <w:spacing w:beforeLines="50" w:line="360" w:lineRule="auto"/>
        <w:ind w:firstLine="352" w:firstLineChars="196"/>
        <w:jc w:val="left"/>
        <w:outlineLvl w:val="0"/>
        <w:rPr>
          <w:rFonts w:asciiTheme="minorEastAsia" w:hAnsiTheme="minorEastAsia" w:eastAsiaTheme="minorEastAsia"/>
          <w:color w:val="auto"/>
          <w:sz w:val="18"/>
          <w:szCs w:val="18"/>
          <w:highlight w:val="none"/>
        </w:rPr>
      </w:pPr>
      <w:bookmarkStart w:id="191" w:name="_Toc19133"/>
      <w:bookmarkStart w:id="192" w:name="_Toc29271"/>
      <w:r>
        <w:rPr>
          <w:rFonts w:hint="eastAsia" w:asciiTheme="minorEastAsia" w:hAnsiTheme="minorEastAsia" w:eastAsiaTheme="minorEastAsia"/>
          <w:color w:val="auto"/>
          <w:sz w:val="18"/>
          <w:szCs w:val="18"/>
          <w:highlight w:val="none"/>
        </w:rPr>
        <w:t>电子投标文件按政采云平台供应商电子招投标操作指南（网址：https://help.zcygov.cn/web/site_2/2018/12-28/2573.html）及本招标文件规定的格式和顺序编制电子投标文件并进行关联定位。</w:t>
      </w:r>
      <w:bookmarkEnd w:id="191"/>
      <w:bookmarkEnd w:id="192"/>
    </w:p>
    <w:p>
      <w:pPr>
        <w:snapToGrid w:val="0"/>
        <w:spacing w:line="360" w:lineRule="auto"/>
        <w:ind w:firstLine="354" w:firstLineChars="196"/>
        <w:outlineLvl w:val="2"/>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（六）投标无效的情形</w:t>
      </w:r>
    </w:p>
    <w:p>
      <w:pPr>
        <w:snapToGrid w:val="0"/>
        <w:spacing w:line="360" w:lineRule="auto"/>
        <w:ind w:firstLine="360" w:firstLineChars="200"/>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实质上没有响应招标文件要求的投标将被视为无效投标。供应商修改、补正投标文件后，不影响评标委员会对其投标文件所作的评价和评分结果。</w:t>
      </w:r>
    </w:p>
    <w:p>
      <w:pPr>
        <w:snapToGrid w:val="0"/>
        <w:spacing w:line="360" w:lineRule="auto"/>
        <w:ind w:firstLine="354" w:firstLineChars="196"/>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1</w:t>
      </w:r>
      <w:r>
        <w:rPr>
          <w:rFonts w:hint="eastAsia" w:asciiTheme="minorEastAsia" w:hAnsiTheme="minorEastAsia" w:eastAsiaTheme="minorEastAsia"/>
          <w:b/>
          <w:color w:val="auto"/>
          <w:sz w:val="18"/>
          <w:szCs w:val="18"/>
          <w:highlight w:val="none"/>
        </w:rPr>
        <w:t>.</w:t>
      </w:r>
      <w:r>
        <w:rPr>
          <w:rFonts w:asciiTheme="minorEastAsia" w:hAnsiTheme="minorEastAsia" w:eastAsiaTheme="minorEastAsia"/>
          <w:b/>
          <w:color w:val="auto"/>
          <w:sz w:val="18"/>
          <w:szCs w:val="18"/>
          <w:highlight w:val="none"/>
        </w:rPr>
        <w:t>电子投标文件解密失败的，且未在规定时间内提交</w:t>
      </w:r>
      <w:r>
        <w:rPr>
          <w:rFonts w:hint="eastAsia" w:asciiTheme="minorEastAsia" w:hAnsiTheme="minorEastAsia" w:eastAsiaTheme="minorEastAsia"/>
          <w:b/>
          <w:color w:val="auto"/>
          <w:sz w:val="18"/>
          <w:szCs w:val="18"/>
          <w:highlight w:val="none"/>
        </w:rPr>
        <w:t>有效</w:t>
      </w:r>
      <w:r>
        <w:rPr>
          <w:rFonts w:asciiTheme="minorEastAsia" w:hAnsiTheme="minorEastAsia" w:eastAsiaTheme="minorEastAsia"/>
          <w:b/>
          <w:color w:val="auto"/>
          <w:sz w:val="18"/>
          <w:szCs w:val="18"/>
          <w:highlight w:val="none"/>
        </w:rPr>
        <w:t>备份投标文件的</w:t>
      </w:r>
      <w:r>
        <w:rPr>
          <w:rFonts w:hint="eastAsia" w:asciiTheme="minorEastAsia" w:hAnsiTheme="minorEastAsia" w:eastAsiaTheme="minorEastAsia"/>
          <w:b/>
          <w:color w:val="auto"/>
          <w:sz w:val="18"/>
          <w:szCs w:val="18"/>
          <w:highlight w:val="none"/>
        </w:rPr>
        <w:t>。</w:t>
      </w:r>
    </w:p>
    <w:p>
      <w:pPr>
        <w:snapToGrid w:val="0"/>
        <w:spacing w:line="360" w:lineRule="auto"/>
        <w:ind w:firstLine="354" w:firstLineChars="196"/>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2.</w:t>
      </w:r>
      <w:r>
        <w:rPr>
          <w:rFonts w:hint="eastAsia" w:asciiTheme="minorEastAsia" w:hAnsiTheme="minorEastAsia" w:eastAsiaTheme="minorEastAsia"/>
          <w:b/>
          <w:color w:val="auto"/>
          <w:sz w:val="18"/>
          <w:szCs w:val="18"/>
          <w:highlight w:val="none"/>
        </w:rPr>
        <w:t>没有通过资格审查的，</w:t>
      </w:r>
      <w:r>
        <w:rPr>
          <w:rFonts w:asciiTheme="minorEastAsia" w:hAnsiTheme="minorEastAsia" w:eastAsiaTheme="minorEastAsia"/>
          <w:b/>
          <w:color w:val="auto"/>
          <w:sz w:val="18"/>
          <w:szCs w:val="18"/>
          <w:highlight w:val="none"/>
        </w:rPr>
        <w:t>投标文件将被视为无效。</w:t>
      </w:r>
    </w:p>
    <w:p>
      <w:pPr>
        <w:snapToGrid w:val="0"/>
        <w:spacing w:line="360" w:lineRule="auto"/>
        <w:ind w:firstLine="354" w:firstLineChars="196"/>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3.</w:t>
      </w:r>
      <w:r>
        <w:rPr>
          <w:rFonts w:asciiTheme="minorEastAsia" w:hAnsiTheme="minorEastAsia" w:eastAsiaTheme="minorEastAsia"/>
          <w:b/>
          <w:color w:val="auto"/>
          <w:sz w:val="18"/>
          <w:szCs w:val="18"/>
          <w:highlight w:val="none"/>
        </w:rPr>
        <w:t>在符合性审查和商务评审时，如发现下列情形之一的，投标文件将被视为无效：</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（1</w:t>
      </w:r>
      <w:r>
        <w:rPr>
          <w:rFonts w:asciiTheme="minorEastAsia" w:hAnsiTheme="minorEastAsia" w:eastAsiaTheme="minorEastAsia"/>
          <w:bCs/>
          <w:color w:val="auto"/>
          <w:sz w:val="18"/>
          <w:szCs w:val="18"/>
          <w:highlight w:val="none"/>
        </w:rPr>
        <w:t>）电子投标文件未按规定要求提供电子签章的</w:t>
      </w:r>
      <w:r>
        <w:rPr>
          <w:rFonts w:hint="eastAsia" w:asciiTheme="minorEastAsia" w:hAnsiTheme="minorEastAsia" w:eastAsiaTheme="minorEastAsia"/>
          <w:bCs/>
          <w:color w:val="auto"/>
          <w:sz w:val="18"/>
          <w:szCs w:val="18"/>
          <w:highlight w:val="none"/>
        </w:rPr>
        <w:t>；</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（2）在资信商务技术文件中出现报价的；</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（3）</w:t>
      </w:r>
      <w:r>
        <w:rPr>
          <w:rFonts w:asciiTheme="minorEastAsia" w:hAnsiTheme="minorEastAsia" w:eastAsiaTheme="minorEastAsia"/>
          <w:bCs/>
          <w:color w:val="auto"/>
          <w:sz w:val="18"/>
          <w:szCs w:val="18"/>
          <w:highlight w:val="none"/>
        </w:rPr>
        <w:t>资格证明文件不全的，或者不符合招标文件标明的资格要求的</w:t>
      </w:r>
      <w:r>
        <w:rPr>
          <w:rFonts w:hint="eastAsia" w:asciiTheme="minorEastAsia" w:hAnsiTheme="minorEastAsia" w:eastAsiaTheme="minorEastAsia"/>
          <w:bCs/>
          <w:color w:val="auto"/>
          <w:sz w:val="18"/>
          <w:szCs w:val="18"/>
          <w:highlight w:val="none"/>
        </w:rPr>
        <w:t>；</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（4</w:t>
      </w:r>
      <w:r>
        <w:rPr>
          <w:rFonts w:asciiTheme="minorEastAsia" w:hAnsiTheme="minorEastAsia" w:eastAsiaTheme="minorEastAsia"/>
          <w:bCs/>
          <w:color w:val="auto"/>
          <w:sz w:val="18"/>
          <w:szCs w:val="18"/>
          <w:highlight w:val="none"/>
        </w:rPr>
        <w:t>）投标文件无法定代表人签字</w:t>
      </w:r>
      <w:r>
        <w:rPr>
          <w:rFonts w:hint="eastAsia" w:asciiTheme="minorEastAsia" w:hAnsiTheme="minorEastAsia" w:eastAsiaTheme="minorEastAsia"/>
          <w:bCs/>
          <w:color w:val="auto"/>
          <w:sz w:val="18"/>
          <w:szCs w:val="18"/>
          <w:highlight w:val="none"/>
        </w:rPr>
        <w:t>（或盖章）</w:t>
      </w:r>
      <w:r>
        <w:rPr>
          <w:rFonts w:asciiTheme="minorEastAsia" w:hAnsiTheme="minorEastAsia" w:eastAsiaTheme="minorEastAsia"/>
          <w:bCs/>
          <w:color w:val="auto"/>
          <w:sz w:val="18"/>
          <w:szCs w:val="18"/>
          <w:highlight w:val="none"/>
        </w:rPr>
        <w:t>,或未</w:t>
      </w:r>
      <w:r>
        <w:rPr>
          <w:rFonts w:hint="eastAsia" w:asciiTheme="minorEastAsia" w:hAnsiTheme="minorEastAsia" w:eastAsiaTheme="minorEastAsia"/>
          <w:bCs/>
          <w:color w:val="auto"/>
          <w:sz w:val="18"/>
          <w:szCs w:val="18"/>
          <w:highlight w:val="none"/>
        </w:rPr>
        <w:t>提供法定代表人授权委托书、投标声明书或者填写项目不齐全的；</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w:t>
      </w:r>
      <w:r>
        <w:rPr>
          <w:rFonts w:hint="eastAsia" w:asciiTheme="minorEastAsia" w:hAnsiTheme="minorEastAsia" w:eastAsiaTheme="minorEastAsia"/>
          <w:bCs/>
          <w:color w:val="auto"/>
          <w:sz w:val="18"/>
          <w:szCs w:val="18"/>
          <w:highlight w:val="none"/>
        </w:rPr>
        <w:t>5</w:t>
      </w:r>
      <w:r>
        <w:rPr>
          <w:rFonts w:asciiTheme="minorEastAsia" w:hAnsiTheme="minorEastAsia" w:eastAsiaTheme="minorEastAsia"/>
          <w:bCs/>
          <w:color w:val="auto"/>
          <w:sz w:val="18"/>
          <w:szCs w:val="18"/>
          <w:highlight w:val="none"/>
        </w:rPr>
        <w:t>）</w:t>
      </w:r>
      <w:r>
        <w:rPr>
          <w:rFonts w:hint="eastAsia" w:asciiTheme="minorEastAsia" w:hAnsiTheme="minorEastAsia" w:eastAsiaTheme="minorEastAsia"/>
          <w:bCs/>
          <w:color w:val="auto"/>
          <w:sz w:val="18"/>
          <w:szCs w:val="18"/>
          <w:highlight w:val="none"/>
        </w:rPr>
        <w:t>投标代表人未能出具身份证明或与法定代表人授权委托人身份不符的；</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w:t>
      </w:r>
      <w:r>
        <w:rPr>
          <w:rFonts w:hint="eastAsia" w:asciiTheme="minorEastAsia" w:hAnsiTheme="minorEastAsia" w:eastAsiaTheme="minorEastAsia"/>
          <w:bCs/>
          <w:color w:val="auto"/>
          <w:sz w:val="18"/>
          <w:szCs w:val="18"/>
          <w:highlight w:val="none"/>
        </w:rPr>
        <w:t>6</w:t>
      </w:r>
      <w:r>
        <w:rPr>
          <w:rFonts w:asciiTheme="minorEastAsia" w:hAnsiTheme="minorEastAsia" w:eastAsiaTheme="minorEastAsia"/>
          <w:bCs/>
          <w:color w:val="auto"/>
          <w:sz w:val="18"/>
          <w:szCs w:val="18"/>
          <w:highlight w:val="none"/>
        </w:rPr>
        <w:t>）投标文件格式不规范、项目不齐全或者内容虚假的；</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w:t>
      </w:r>
      <w:r>
        <w:rPr>
          <w:rFonts w:hint="eastAsia" w:asciiTheme="minorEastAsia" w:hAnsiTheme="minorEastAsia" w:eastAsiaTheme="minorEastAsia"/>
          <w:bCs/>
          <w:color w:val="auto"/>
          <w:sz w:val="18"/>
          <w:szCs w:val="18"/>
          <w:highlight w:val="none"/>
        </w:rPr>
        <w:t>7</w:t>
      </w:r>
      <w:r>
        <w:rPr>
          <w:rFonts w:asciiTheme="minorEastAsia" w:hAnsiTheme="minorEastAsia" w:eastAsiaTheme="minorEastAsia"/>
          <w:bCs/>
          <w:color w:val="auto"/>
          <w:sz w:val="18"/>
          <w:szCs w:val="18"/>
          <w:highlight w:val="none"/>
        </w:rPr>
        <w:t>）投标文件的实质性内容未使用中文表述、意思表述不明确、前后矛盾或者使用计量单位不符合招标文件要求的（经评标委员会认定</w:t>
      </w:r>
      <w:r>
        <w:rPr>
          <w:rFonts w:hint="eastAsia" w:asciiTheme="minorEastAsia" w:hAnsiTheme="minorEastAsia" w:eastAsiaTheme="minorEastAsia"/>
          <w:bCs/>
          <w:color w:val="auto"/>
          <w:sz w:val="18"/>
          <w:szCs w:val="18"/>
          <w:highlight w:val="none"/>
        </w:rPr>
        <w:t>并</w:t>
      </w:r>
      <w:r>
        <w:rPr>
          <w:rFonts w:asciiTheme="minorEastAsia" w:hAnsiTheme="minorEastAsia" w:eastAsiaTheme="minorEastAsia"/>
          <w:bCs/>
          <w:color w:val="auto"/>
          <w:sz w:val="18"/>
          <w:szCs w:val="18"/>
          <w:highlight w:val="none"/>
        </w:rPr>
        <w:t>允许其当场更正的笔误除外）</w:t>
      </w:r>
      <w:r>
        <w:rPr>
          <w:rFonts w:hint="eastAsia" w:asciiTheme="minorEastAsia" w:hAnsiTheme="minorEastAsia" w:eastAsiaTheme="minorEastAsia"/>
          <w:bCs/>
          <w:color w:val="auto"/>
          <w:sz w:val="18"/>
          <w:szCs w:val="18"/>
          <w:highlight w:val="none"/>
        </w:rPr>
        <w:t>；</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w:t>
      </w:r>
      <w:r>
        <w:rPr>
          <w:rFonts w:hint="eastAsia" w:asciiTheme="minorEastAsia" w:hAnsiTheme="minorEastAsia" w:eastAsiaTheme="minorEastAsia"/>
          <w:bCs/>
          <w:color w:val="auto"/>
          <w:sz w:val="18"/>
          <w:szCs w:val="18"/>
          <w:highlight w:val="none"/>
        </w:rPr>
        <w:t>8</w:t>
      </w:r>
      <w:r>
        <w:rPr>
          <w:rFonts w:asciiTheme="minorEastAsia" w:hAnsiTheme="minorEastAsia" w:eastAsiaTheme="minorEastAsia"/>
          <w:bCs/>
          <w:color w:val="auto"/>
          <w:sz w:val="18"/>
          <w:szCs w:val="18"/>
          <w:highlight w:val="none"/>
        </w:rPr>
        <w:t>）投标有效期、交货时间、质保期等商务条款不能满足招标文件要求的；</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（9）未实质性</w:t>
      </w:r>
      <w:r>
        <w:rPr>
          <w:rFonts w:asciiTheme="minorEastAsia" w:hAnsiTheme="minorEastAsia" w:eastAsiaTheme="minorEastAsia"/>
          <w:bCs/>
          <w:color w:val="auto"/>
          <w:sz w:val="18"/>
          <w:szCs w:val="18"/>
          <w:highlight w:val="none"/>
        </w:rPr>
        <w:t>响应招标文件要求或者投标文件有招标方不能接受的附加条件的</w:t>
      </w:r>
      <w:r>
        <w:rPr>
          <w:rFonts w:hint="eastAsia" w:asciiTheme="minorEastAsia" w:hAnsiTheme="minorEastAsia" w:eastAsiaTheme="minorEastAsia"/>
          <w:bCs/>
          <w:color w:val="auto"/>
          <w:sz w:val="18"/>
          <w:szCs w:val="18"/>
          <w:highlight w:val="none"/>
        </w:rPr>
        <w:t>；</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（10）不符合本招标文件中的实质性要求条款。</w:t>
      </w:r>
    </w:p>
    <w:p>
      <w:pPr>
        <w:snapToGrid w:val="0"/>
        <w:spacing w:line="360" w:lineRule="auto"/>
        <w:ind w:firstLine="354" w:firstLineChars="196"/>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4.</w:t>
      </w:r>
      <w:r>
        <w:rPr>
          <w:rFonts w:asciiTheme="minorEastAsia" w:hAnsiTheme="minorEastAsia" w:eastAsiaTheme="minorEastAsia"/>
          <w:b/>
          <w:color w:val="auto"/>
          <w:sz w:val="18"/>
          <w:szCs w:val="18"/>
          <w:highlight w:val="none"/>
        </w:rPr>
        <w:t>在技术评审时，如发现下列情形之一的，投标文件将被视为无效：</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（1）未提供或未如实提供投标货物的技术参数，或者投标文件标明的响应或偏离与事实不符或虚假投标的；</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（2）明显不符合招标文件</w:t>
      </w:r>
      <w:r>
        <w:rPr>
          <w:rFonts w:hint="eastAsia" w:asciiTheme="minorEastAsia" w:hAnsiTheme="minorEastAsia" w:eastAsiaTheme="minorEastAsia"/>
          <w:bCs/>
          <w:color w:val="auto"/>
          <w:sz w:val="18"/>
          <w:szCs w:val="18"/>
          <w:highlight w:val="none"/>
        </w:rPr>
        <w:t>要求</w:t>
      </w:r>
      <w:r>
        <w:rPr>
          <w:rFonts w:asciiTheme="minorEastAsia" w:hAnsiTheme="minorEastAsia" w:eastAsiaTheme="minorEastAsia"/>
          <w:bCs/>
          <w:color w:val="auto"/>
          <w:sz w:val="18"/>
          <w:szCs w:val="18"/>
          <w:highlight w:val="none"/>
        </w:rPr>
        <w:t>的规格型号、质量标准，或者</w:t>
      </w:r>
      <w:r>
        <w:rPr>
          <w:rFonts w:hint="eastAsia" w:asciiTheme="minorEastAsia" w:hAnsiTheme="minorEastAsia" w:eastAsiaTheme="minorEastAsia"/>
          <w:bCs/>
          <w:color w:val="auto"/>
          <w:sz w:val="18"/>
          <w:szCs w:val="18"/>
          <w:highlight w:val="none"/>
        </w:rPr>
        <w:t>与</w:t>
      </w:r>
      <w:r>
        <w:rPr>
          <w:rFonts w:asciiTheme="minorEastAsia" w:hAnsiTheme="minorEastAsia" w:eastAsiaTheme="minorEastAsia"/>
          <w:bCs/>
          <w:color w:val="auto"/>
          <w:sz w:val="18"/>
          <w:szCs w:val="18"/>
          <w:highlight w:val="none"/>
        </w:rPr>
        <w:t>招标文件中标“▲”的技术指标、主要功能项目发生实质性偏离的；</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w:t>
      </w:r>
      <w:r>
        <w:rPr>
          <w:rFonts w:hint="eastAsia" w:asciiTheme="minorEastAsia" w:hAnsiTheme="minorEastAsia" w:eastAsiaTheme="minorEastAsia"/>
          <w:bCs/>
          <w:color w:val="auto"/>
          <w:sz w:val="18"/>
          <w:szCs w:val="18"/>
          <w:highlight w:val="none"/>
        </w:rPr>
        <w:t>3</w:t>
      </w:r>
      <w:r>
        <w:rPr>
          <w:rFonts w:asciiTheme="minorEastAsia" w:hAnsiTheme="minorEastAsia" w:eastAsiaTheme="minorEastAsia"/>
          <w:bCs/>
          <w:color w:val="auto"/>
          <w:sz w:val="18"/>
          <w:szCs w:val="18"/>
          <w:highlight w:val="none"/>
        </w:rPr>
        <w:t>）投标技术方案不明确，存在一个或一个以上备选（替代）投标方案的；</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（4）与其他参加本次投标供应商的投标文件（技术文件）的文字表述内容相同连续20行以上或者差错相同2处以上的。</w:t>
      </w:r>
    </w:p>
    <w:p>
      <w:pPr>
        <w:snapToGrid w:val="0"/>
        <w:spacing w:line="360" w:lineRule="auto"/>
        <w:ind w:firstLine="354" w:firstLineChars="196"/>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5.</w:t>
      </w:r>
      <w:r>
        <w:rPr>
          <w:rFonts w:asciiTheme="minorEastAsia" w:hAnsiTheme="minorEastAsia" w:eastAsiaTheme="minorEastAsia"/>
          <w:b/>
          <w:color w:val="auto"/>
          <w:sz w:val="18"/>
          <w:szCs w:val="18"/>
          <w:highlight w:val="none"/>
        </w:rPr>
        <w:t>在报价评审时，如发现下列情形之一的，投标文件将被视为无效：</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（1）未采用人民币报价或者未按照招标文件标明的币种报价的；</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（2）报价超出最高限价</w:t>
      </w:r>
      <w:r>
        <w:rPr>
          <w:rFonts w:hint="eastAsia" w:asciiTheme="minorEastAsia" w:hAnsiTheme="minorEastAsia" w:eastAsiaTheme="minorEastAsia"/>
          <w:bCs/>
          <w:color w:val="auto"/>
          <w:sz w:val="18"/>
          <w:szCs w:val="18"/>
          <w:highlight w:val="none"/>
        </w:rPr>
        <w:t>；</w:t>
      </w:r>
    </w:p>
    <w:p>
      <w:pPr>
        <w:snapToGrid w:val="0"/>
        <w:spacing w:line="360" w:lineRule="auto"/>
        <w:ind w:firstLine="352" w:firstLineChars="19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 xml:space="preserve">（3）投标报价具有选择性，或者开标价格与投标文件承诺的优惠（折扣）价格不一致的。 </w:t>
      </w:r>
    </w:p>
    <w:p>
      <w:pPr>
        <w:snapToGrid w:val="0"/>
        <w:spacing w:line="360" w:lineRule="auto"/>
        <w:ind w:firstLine="352" w:firstLineChars="196"/>
        <w:rPr>
          <w:rFonts w:asciiTheme="minorEastAsia" w:hAnsiTheme="minorEastAsia" w:eastAsiaTheme="minorEastAsia"/>
          <w:color w:val="auto"/>
          <w:sz w:val="18"/>
          <w:szCs w:val="18"/>
          <w:highlight w:val="none"/>
        </w:rPr>
      </w:pPr>
      <w:r>
        <w:rPr>
          <w:rFonts w:hint="eastAsia" w:asciiTheme="minorEastAsia" w:hAnsiTheme="minorEastAsia" w:eastAsiaTheme="minorEastAsia"/>
          <w:bCs/>
          <w:color w:val="auto"/>
          <w:sz w:val="18"/>
          <w:szCs w:val="18"/>
          <w:highlight w:val="none"/>
        </w:rPr>
        <w:t xml:space="preserve">（4） 投标报价明细表总额与开标一览表总价不一致，且高于总价5％的。 </w:t>
      </w:r>
    </w:p>
    <w:p>
      <w:pPr>
        <w:snapToGrid w:val="0"/>
        <w:spacing w:line="360" w:lineRule="auto"/>
        <w:ind w:firstLine="354" w:firstLineChars="196"/>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6.</w:t>
      </w:r>
      <w:r>
        <w:rPr>
          <w:rFonts w:asciiTheme="minorEastAsia" w:hAnsiTheme="minorEastAsia" w:eastAsiaTheme="minorEastAsia"/>
          <w:b/>
          <w:color w:val="auto"/>
          <w:sz w:val="18"/>
          <w:szCs w:val="18"/>
          <w:highlight w:val="none"/>
        </w:rPr>
        <w:t>被拒绝的投标文件为无效。</w:t>
      </w:r>
    </w:p>
    <w:p>
      <w:pPr>
        <w:pStyle w:val="24"/>
        <w:snapToGrid w:val="0"/>
        <w:spacing w:line="360" w:lineRule="auto"/>
        <w:ind w:firstLine="354" w:firstLineChars="196"/>
        <w:rPr>
          <w:rFonts w:asciiTheme="minorEastAsia" w:hAnsiTheme="minorEastAsia" w:eastAsiaTheme="minorEastAsia"/>
          <w:b/>
          <w:snapToGrid w:val="0"/>
          <w:color w:val="auto"/>
          <w:sz w:val="18"/>
          <w:szCs w:val="18"/>
          <w:highlight w:val="none"/>
        </w:rPr>
      </w:pPr>
    </w:p>
    <w:p>
      <w:pPr>
        <w:pStyle w:val="24"/>
        <w:snapToGrid w:val="0"/>
        <w:spacing w:line="360" w:lineRule="auto"/>
        <w:ind w:firstLine="354" w:firstLineChars="196"/>
        <w:jc w:val="center"/>
        <w:outlineLvl w:val="1"/>
        <w:rPr>
          <w:rFonts w:asciiTheme="minorEastAsia" w:hAnsiTheme="minorEastAsia" w:eastAsiaTheme="minorEastAsia"/>
          <w:b/>
          <w:snapToGrid w:val="0"/>
          <w:color w:val="auto"/>
          <w:sz w:val="18"/>
          <w:szCs w:val="18"/>
          <w:highlight w:val="none"/>
        </w:rPr>
      </w:pPr>
      <w:r>
        <w:rPr>
          <w:rFonts w:hint="eastAsia" w:asciiTheme="minorEastAsia" w:hAnsiTheme="minorEastAsia" w:eastAsiaTheme="minorEastAsia"/>
          <w:b/>
          <w:color w:val="auto"/>
          <w:sz w:val="18"/>
          <w:szCs w:val="18"/>
          <w:highlight w:val="none"/>
        </w:rPr>
        <w:t>四、开标</w:t>
      </w:r>
    </w:p>
    <w:p>
      <w:pPr>
        <w:pStyle w:val="24"/>
        <w:snapToGrid w:val="0"/>
        <w:spacing w:line="360" w:lineRule="auto"/>
        <w:ind w:firstLine="352" w:firstLineChars="196"/>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1、本项目实行电子开评标，供应商无需到开标现场，但须准时在线参加，直至评审结束。</w:t>
      </w:r>
    </w:p>
    <w:p>
      <w:pPr>
        <w:pStyle w:val="24"/>
        <w:snapToGrid w:val="0"/>
        <w:spacing w:line="360" w:lineRule="auto"/>
        <w:ind w:firstLine="352" w:firstLineChars="196"/>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2、电子开评标及评审程序</w:t>
      </w:r>
    </w:p>
    <w:p>
      <w:pPr>
        <w:pStyle w:val="24"/>
        <w:snapToGrid w:val="0"/>
        <w:spacing w:line="360" w:lineRule="auto"/>
        <w:ind w:firstLine="352" w:firstLineChars="196"/>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2.1投标截止时间后的半小时内，由各供应商自行对电子投标文件进行解密（请各供应商务必在规定时间内完成电子投标文件的解密工作。 </w:t>
      </w:r>
    </w:p>
    <w:p>
      <w:pPr>
        <w:pStyle w:val="24"/>
        <w:snapToGrid w:val="0"/>
        <w:spacing w:line="360" w:lineRule="auto"/>
        <w:ind w:firstLine="352" w:firstLineChars="196"/>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2.2.采购人或代理机构对供应商的资格审查文件进行</w:t>
      </w:r>
      <w:r>
        <w:rPr>
          <w:rFonts w:asciiTheme="minorEastAsia" w:hAnsiTheme="minorEastAsia" w:eastAsiaTheme="minorEastAsia"/>
          <w:color w:val="auto"/>
          <w:sz w:val="18"/>
          <w:szCs w:val="18"/>
          <w:highlight w:val="none"/>
        </w:rPr>
        <w:t>审查；</w:t>
      </w:r>
      <w:r>
        <w:rPr>
          <w:rFonts w:hint="eastAsia" w:asciiTheme="minorEastAsia" w:hAnsiTheme="minorEastAsia" w:eastAsiaTheme="minorEastAsia"/>
          <w:color w:val="auto"/>
          <w:sz w:val="18"/>
          <w:szCs w:val="18"/>
          <w:highlight w:val="none"/>
        </w:rPr>
        <w:t>评标委员会对供应商的资信商务及技术响应文件进行评审；</w:t>
      </w:r>
    </w:p>
    <w:p>
      <w:pPr>
        <w:pStyle w:val="24"/>
        <w:snapToGrid w:val="0"/>
        <w:spacing w:line="360" w:lineRule="auto"/>
        <w:ind w:firstLine="352" w:firstLineChars="196"/>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2.3评标委员会对报价文件进行评审；</w:t>
      </w:r>
    </w:p>
    <w:p>
      <w:pPr>
        <w:pStyle w:val="24"/>
        <w:snapToGrid w:val="0"/>
        <w:spacing w:line="360" w:lineRule="auto"/>
        <w:ind w:firstLine="352" w:firstLineChars="196"/>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2.4</w:t>
      </w:r>
      <w:r>
        <w:rPr>
          <w:rFonts w:hint="eastAsia" w:asciiTheme="minorEastAsia" w:hAnsiTheme="minorEastAsia" w:eastAsiaTheme="minorEastAsia"/>
          <w:color w:val="auto"/>
          <w:sz w:val="18"/>
          <w:szCs w:val="18"/>
          <w:highlight w:val="none"/>
        </w:rPr>
        <w:t>评标委员会</w:t>
      </w:r>
      <w:r>
        <w:rPr>
          <w:rFonts w:asciiTheme="minorEastAsia" w:hAnsiTheme="minorEastAsia" w:eastAsiaTheme="minorEastAsia"/>
          <w:color w:val="auto"/>
          <w:sz w:val="18"/>
          <w:szCs w:val="18"/>
          <w:highlight w:val="none"/>
        </w:rPr>
        <w:t>撰写评审报告，推荐中标候选人。</w:t>
      </w:r>
    </w:p>
    <w:p>
      <w:pPr>
        <w:pStyle w:val="30"/>
        <w:snapToGrid w:val="0"/>
        <w:spacing w:beforeLines="0" w:afterLines="0" w:line="360" w:lineRule="auto"/>
        <w:ind w:left="742" w:leftChars="267" w:hanging="181" w:hangingChars="100"/>
        <w:jc w:val="center"/>
        <w:outlineLvl w:val="9"/>
        <w:rPr>
          <w:rFonts w:asciiTheme="minorEastAsia" w:hAnsiTheme="minorEastAsia" w:eastAsiaTheme="minorEastAsia"/>
          <w:b/>
          <w:color w:val="auto"/>
          <w:sz w:val="18"/>
          <w:szCs w:val="18"/>
          <w:highlight w:val="none"/>
        </w:rPr>
      </w:pPr>
    </w:p>
    <w:p>
      <w:pPr>
        <w:pStyle w:val="30"/>
        <w:snapToGrid w:val="0"/>
        <w:spacing w:beforeLines="0" w:afterLines="0" w:line="360" w:lineRule="auto"/>
        <w:ind w:left="742" w:leftChars="267" w:hanging="181" w:hangingChars="100"/>
        <w:jc w:val="center"/>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五、评标</w:t>
      </w:r>
    </w:p>
    <w:p>
      <w:pPr>
        <w:pStyle w:val="30"/>
        <w:snapToGrid w:val="0"/>
        <w:spacing w:beforeLines="0" w:afterLines="0" w:line="360" w:lineRule="auto"/>
        <w:ind w:left="660" w:leftChars="228" w:hanging="181" w:hangingChars="1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（一）组建评标委员会</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kern w:val="0"/>
          <w:sz w:val="18"/>
          <w:szCs w:val="18"/>
          <w:highlight w:val="none"/>
        </w:rPr>
        <w:t>评标委员会由采购人代表和评审专家组成，</w:t>
      </w:r>
      <w:r>
        <w:rPr>
          <w:rFonts w:asciiTheme="minorEastAsia" w:hAnsiTheme="minorEastAsia" w:eastAsiaTheme="minorEastAsia"/>
          <w:color w:val="auto"/>
          <w:sz w:val="18"/>
          <w:szCs w:val="18"/>
          <w:highlight w:val="none"/>
        </w:rPr>
        <w:t>政府采购评审专家</w:t>
      </w:r>
      <w:r>
        <w:rPr>
          <w:rFonts w:hint="eastAsia" w:asciiTheme="minorEastAsia" w:hAnsiTheme="minorEastAsia" w:eastAsiaTheme="minorEastAsia"/>
          <w:color w:val="auto"/>
          <w:sz w:val="18"/>
          <w:szCs w:val="18"/>
          <w:highlight w:val="none"/>
          <w:u w:val="single"/>
          <w:lang w:val="en-US" w:eastAsia="zh-CN"/>
        </w:rPr>
        <w:t>5</w:t>
      </w:r>
      <w:r>
        <w:rPr>
          <w:rFonts w:asciiTheme="minorEastAsia" w:hAnsiTheme="minorEastAsia" w:eastAsiaTheme="minorEastAsia"/>
          <w:color w:val="auto"/>
          <w:sz w:val="18"/>
          <w:szCs w:val="18"/>
          <w:highlight w:val="none"/>
        </w:rPr>
        <w:t>人和采购人代表</w:t>
      </w:r>
      <w:r>
        <w:rPr>
          <w:rFonts w:hint="eastAsia" w:asciiTheme="minorEastAsia" w:hAnsiTheme="minorEastAsia" w:eastAsiaTheme="minorEastAsia"/>
          <w:color w:val="auto"/>
          <w:sz w:val="18"/>
          <w:szCs w:val="18"/>
          <w:highlight w:val="none"/>
          <w:u w:val="single"/>
          <w:lang w:val="en-US" w:eastAsia="zh-CN"/>
        </w:rPr>
        <w:t>2</w:t>
      </w:r>
      <w:r>
        <w:rPr>
          <w:rFonts w:asciiTheme="minorEastAsia" w:hAnsiTheme="minorEastAsia" w:eastAsiaTheme="minorEastAsia"/>
          <w:color w:val="auto"/>
          <w:sz w:val="18"/>
          <w:szCs w:val="18"/>
          <w:highlight w:val="none"/>
        </w:rPr>
        <w:t>人,共</w:t>
      </w:r>
      <w:r>
        <w:rPr>
          <w:rFonts w:hint="eastAsia" w:asciiTheme="minorEastAsia" w:hAnsiTheme="minorEastAsia" w:eastAsiaTheme="minorEastAsia"/>
          <w:color w:val="auto"/>
          <w:sz w:val="18"/>
          <w:szCs w:val="18"/>
          <w:highlight w:val="none"/>
          <w:u w:val="single"/>
          <w:lang w:val="en-US" w:eastAsia="zh-CN"/>
        </w:rPr>
        <w:t>7</w:t>
      </w:r>
      <w:r>
        <w:rPr>
          <w:rFonts w:asciiTheme="minorEastAsia" w:hAnsiTheme="minorEastAsia" w:eastAsiaTheme="minorEastAsia"/>
          <w:color w:val="auto"/>
          <w:sz w:val="18"/>
          <w:szCs w:val="18"/>
          <w:highlight w:val="none"/>
        </w:rPr>
        <w:t>人组成。</w:t>
      </w:r>
    </w:p>
    <w:p>
      <w:pPr>
        <w:widowControl/>
        <w:shd w:val="clear" w:color="auto" w:fill="FFFFFF"/>
        <w:spacing w:line="360" w:lineRule="auto"/>
        <w:ind w:firstLine="360" w:firstLineChars="200"/>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评标委员会负责具体评标事务，并独立履行下列职责：</w:t>
      </w:r>
    </w:p>
    <w:p>
      <w:pPr>
        <w:widowControl/>
        <w:shd w:val="clear" w:color="auto" w:fill="FFFFFF"/>
        <w:spacing w:line="360" w:lineRule="auto"/>
        <w:ind w:firstLine="360" w:firstLineChars="200"/>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1、审查、评价投标文件是否符合招标文件的商务、技术等实质性要求;</w:t>
      </w:r>
    </w:p>
    <w:p>
      <w:pPr>
        <w:widowControl/>
        <w:shd w:val="clear" w:color="auto" w:fill="FFFFFF"/>
        <w:spacing w:line="360" w:lineRule="auto"/>
        <w:ind w:firstLine="360" w:firstLineChars="200"/>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2、要求供应商对投标文件有关事项作出澄清或者说明;</w:t>
      </w:r>
    </w:p>
    <w:p>
      <w:pPr>
        <w:widowControl/>
        <w:shd w:val="clear" w:color="auto" w:fill="FFFFFF"/>
        <w:spacing w:line="360" w:lineRule="auto"/>
        <w:ind w:firstLine="360" w:firstLineChars="200"/>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3、对投标文件进行比较和评价;</w:t>
      </w:r>
    </w:p>
    <w:p>
      <w:pPr>
        <w:widowControl/>
        <w:shd w:val="clear" w:color="auto" w:fill="FFFFFF"/>
        <w:spacing w:line="360" w:lineRule="auto"/>
        <w:ind w:firstLine="360" w:firstLineChars="200"/>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4、确定中标候选人名单，以及根据采购人委托直接确定中标人;</w:t>
      </w:r>
    </w:p>
    <w:p>
      <w:pPr>
        <w:widowControl/>
        <w:shd w:val="clear" w:color="auto" w:fill="FFFFFF"/>
        <w:spacing w:line="360" w:lineRule="auto"/>
        <w:ind w:firstLine="360" w:firstLineChars="200"/>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5、向采购人、代理机构或者有关部门报告评标中发现的违法行为。</w:t>
      </w:r>
    </w:p>
    <w:p>
      <w:pPr>
        <w:widowControl/>
        <w:shd w:val="clear" w:color="auto" w:fill="FFFFFF"/>
        <w:spacing w:line="360" w:lineRule="auto"/>
        <w:ind w:firstLine="361" w:firstLineChars="200"/>
        <w:jc w:val="left"/>
        <w:rPr>
          <w:rFonts w:cs="宋体" w:asciiTheme="minorEastAsia" w:hAnsiTheme="minorEastAsia" w:eastAsiaTheme="minorEastAsia"/>
          <w:b/>
          <w:color w:val="auto"/>
          <w:kern w:val="0"/>
          <w:sz w:val="18"/>
          <w:szCs w:val="18"/>
          <w:highlight w:val="none"/>
          <w:u w:val="single"/>
        </w:rPr>
      </w:pPr>
      <w:r>
        <w:rPr>
          <w:rFonts w:hint="eastAsia" w:cs="宋体" w:asciiTheme="minorEastAsia" w:hAnsiTheme="minorEastAsia" w:eastAsiaTheme="minorEastAsia"/>
          <w:b/>
          <w:color w:val="auto"/>
          <w:kern w:val="0"/>
          <w:sz w:val="18"/>
          <w:szCs w:val="18"/>
          <w:highlight w:val="none"/>
          <w:u w:val="single"/>
        </w:rPr>
        <w:t>除采购人代表、评标现场组织人员外，采购人的其他工作人员以及与评标工作无关的人员不得进入评标现场。</w:t>
      </w:r>
    </w:p>
    <w:p>
      <w:pPr>
        <w:pStyle w:val="30"/>
        <w:snapToGrid w:val="0"/>
        <w:spacing w:beforeLines="0" w:afterLines="0" w:line="360" w:lineRule="auto"/>
        <w:ind w:left="660" w:leftChars="228" w:hanging="181" w:hangingChars="1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（二）评标的方式</w:t>
      </w:r>
    </w:p>
    <w:p>
      <w:pPr>
        <w:pStyle w:val="30"/>
        <w:snapToGrid w:val="0"/>
        <w:spacing w:beforeLines="0" w:afterLines="0" w:line="360" w:lineRule="auto"/>
        <w:ind w:left="659" w:leftChars="228" w:hanging="180" w:hangingChars="1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本项目采用不公开方式评标，评标的依据为招标文件和投标文件。</w:t>
      </w:r>
    </w:p>
    <w:p>
      <w:pPr>
        <w:pStyle w:val="30"/>
        <w:snapToGrid w:val="0"/>
        <w:spacing w:beforeLines="0" w:afterLines="0" w:line="360" w:lineRule="auto"/>
        <w:ind w:left="660" w:leftChars="228" w:hanging="181" w:hangingChars="100"/>
        <w:rPr>
          <w:rFonts w:asciiTheme="minorEastAsia" w:hAnsiTheme="minorEastAsia" w:eastAsiaTheme="minorEastAsia"/>
          <w:b/>
          <w:bCs/>
          <w:color w:val="auto"/>
          <w:sz w:val="18"/>
          <w:szCs w:val="18"/>
          <w:highlight w:val="none"/>
        </w:rPr>
      </w:pPr>
      <w:r>
        <w:rPr>
          <w:rFonts w:asciiTheme="minorEastAsia" w:hAnsiTheme="minorEastAsia" w:eastAsiaTheme="minorEastAsia"/>
          <w:b/>
          <w:color w:val="auto"/>
          <w:sz w:val="18"/>
          <w:szCs w:val="18"/>
          <w:highlight w:val="none"/>
        </w:rPr>
        <w:t>（三）</w:t>
      </w:r>
      <w:r>
        <w:rPr>
          <w:rFonts w:asciiTheme="minorEastAsia" w:hAnsiTheme="minorEastAsia" w:eastAsiaTheme="minorEastAsia"/>
          <w:b/>
          <w:bCs/>
          <w:color w:val="auto"/>
          <w:sz w:val="18"/>
          <w:szCs w:val="18"/>
          <w:highlight w:val="none"/>
        </w:rPr>
        <w:t>评标程序</w:t>
      </w:r>
    </w:p>
    <w:p>
      <w:pPr>
        <w:pStyle w:val="30"/>
        <w:snapToGrid w:val="0"/>
        <w:spacing w:beforeLines="0" w:afterLines="0" w:line="360" w:lineRule="auto"/>
        <w:ind w:firstLine="360" w:firstLineChars="200"/>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采购人可以在评标前说明项目背景和采购需求，说明内容不得含有歧视性、倾向性意见，不得超出招标文件所述范围。说明应当提交书面材料，并随招标文件一并存档。</w:t>
      </w:r>
    </w:p>
    <w:p>
      <w:pPr>
        <w:snapToGrid w:val="0"/>
        <w:spacing w:line="360" w:lineRule="auto"/>
        <w:ind w:firstLine="354" w:firstLineChars="196"/>
        <w:rPr>
          <w:rFonts w:asciiTheme="minorEastAsia" w:hAnsiTheme="minorEastAsia" w:eastAsiaTheme="minorEastAsia"/>
          <w:b/>
          <w:bCs/>
          <w:color w:val="auto"/>
          <w:sz w:val="18"/>
          <w:szCs w:val="18"/>
          <w:highlight w:val="none"/>
        </w:rPr>
      </w:pPr>
      <w:r>
        <w:rPr>
          <w:rFonts w:asciiTheme="minorEastAsia" w:hAnsiTheme="minorEastAsia" w:eastAsiaTheme="minorEastAsia"/>
          <w:b/>
          <w:bCs/>
          <w:color w:val="auto"/>
          <w:sz w:val="18"/>
          <w:szCs w:val="18"/>
          <w:highlight w:val="none"/>
        </w:rPr>
        <w:t>1</w:t>
      </w:r>
      <w:r>
        <w:rPr>
          <w:rFonts w:hint="eastAsia" w:asciiTheme="minorEastAsia" w:hAnsiTheme="minorEastAsia" w:eastAsiaTheme="minorEastAsia"/>
          <w:b/>
          <w:bCs/>
          <w:color w:val="auto"/>
          <w:sz w:val="18"/>
          <w:szCs w:val="18"/>
          <w:highlight w:val="none"/>
        </w:rPr>
        <w:t>.</w:t>
      </w:r>
      <w:r>
        <w:rPr>
          <w:rFonts w:asciiTheme="minorEastAsia" w:hAnsiTheme="minorEastAsia" w:eastAsiaTheme="minorEastAsia"/>
          <w:b/>
          <w:bCs/>
          <w:color w:val="auto"/>
          <w:sz w:val="18"/>
          <w:szCs w:val="18"/>
          <w:highlight w:val="none"/>
        </w:rPr>
        <w:t>形式审查</w:t>
      </w:r>
    </w:p>
    <w:p>
      <w:pPr>
        <w:snapToGrid w:val="0"/>
        <w:spacing w:line="360" w:lineRule="auto"/>
        <w:ind w:firstLine="360" w:firstLineChars="200"/>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形式审查</w:t>
      </w:r>
      <w:r>
        <w:rPr>
          <w:rFonts w:hint="eastAsia" w:asciiTheme="minorEastAsia" w:hAnsiTheme="minorEastAsia" w:eastAsiaTheme="minorEastAsia"/>
          <w:bCs/>
          <w:color w:val="auto"/>
          <w:sz w:val="18"/>
          <w:szCs w:val="18"/>
          <w:highlight w:val="none"/>
        </w:rPr>
        <w:t>包括资格审查（除符合性审查以外的关于供应商资格条件等内容）和符合性审查，即对供应商的资格</w:t>
      </w:r>
      <w:r>
        <w:rPr>
          <w:rFonts w:asciiTheme="minorEastAsia" w:hAnsiTheme="minorEastAsia" w:eastAsiaTheme="minorEastAsia"/>
          <w:bCs/>
          <w:color w:val="auto"/>
          <w:sz w:val="18"/>
          <w:szCs w:val="18"/>
          <w:highlight w:val="none"/>
        </w:rPr>
        <w:t>和投标文件的完整性、合法性等进行审查。</w:t>
      </w:r>
      <w:r>
        <w:rPr>
          <w:rFonts w:hint="eastAsia" w:asciiTheme="minorEastAsia" w:hAnsiTheme="minorEastAsia" w:eastAsiaTheme="minorEastAsia"/>
          <w:bCs/>
          <w:color w:val="auto"/>
          <w:sz w:val="18"/>
          <w:szCs w:val="18"/>
          <w:highlight w:val="none"/>
        </w:rPr>
        <w:t>投标文件形式审查未通过的供应商，其投标文件将不再评审。</w:t>
      </w:r>
    </w:p>
    <w:p>
      <w:pPr>
        <w:snapToGrid w:val="0"/>
        <w:spacing w:line="360" w:lineRule="auto"/>
        <w:ind w:firstLine="354" w:firstLineChars="196"/>
        <w:rPr>
          <w:rFonts w:asciiTheme="minorEastAsia" w:hAnsiTheme="minorEastAsia" w:eastAsiaTheme="minorEastAsia"/>
          <w:b/>
          <w:bCs/>
          <w:color w:val="auto"/>
          <w:sz w:val="18"/>
          <w:szCs w:val="18"/>
          <w:highlight w:val="none"/>
        </w:rPr>
      </w:pPr>
      <w:r>
        <w:rPr>
          <w:rFonts w:asciiTheme="minorEastAsia" w:hAnsiTheme="minorEastAsia" w:eastAsiaTheme="minorEastAsia"/>
          <w:b/>
          <w:bCs/>
          <w:color w:val="auto"/>
          <w:sz w:val="18"/>
          <w:szCs w:val="18"/>
          <w:highlight w:val="none"/>
        </w:rPr>
        <w:t>2</w:t>
      </w:r>
      <w:r>
        <w:rPr>
          <w:rFonts w:hint="eastAsia" w:asciiTheme="minorEastAsia" w:hAnsiTheme="minorEastAsia" w:eastAsiaTheme="minorEastAsia"/>
          <w:b/>
          <w:bCs/>
          <w:color w:val="auto"/>
          <w:sz w:val="18"/>
          <w:szCs w:val="18"/>
          <w:highlight w:val="none"/>
        </w:rPr>
        <w:t>.</w:t>
      </w:r>
      <w:r>
        <w:rPr>
          <w:rFonts w:asciiTheme="minorEastAsia" w:hAnsiTheme="minorEastAsia" w:eastAsiaTheme="minorEastAsia"/>
          <w:b/>
          <w:bCs/>
          <w:color w:val="auto"/>
          <w:sz w:val="18"/>
          <w:szCs w:val="18"/>
          <w:highlight w:val="none"/>
        </w:rPr>
        <w:t>实质审查与比较</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1）评标委员会审查投标文件的实质性内容是否符合招标文件的实质性要求。</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2）评标委员会将根据供应商的投标文件进行审查、核对,如有疑问,将对供应商进行询标,供应商要向评标委员会澄清有关问题,并最终以书面形式进行答复。</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询标</w:t>
      </w:r>
      <w:r>
        <w:rPr>
          <w:rFonts w:hint="eastAsia" w:asciiTheme="minorEastAsia" w:hAnsiTheme="minorEastAsia" w:eastAsiaTheme="minorEastAsia"/>
          <w:color w:val="auto"/>
          <w:sz w:val="18"/>
          <w:szCs w:val="18"/>
          <w:highlight w:val="none"/>
        </w:rPr>
        <w:t>时，供应商代表未到场或者拒绝澄清或者澄清的内容改变了投标文件的实质性内容的，评标委员会有权对该投标文件作出不利于供应商的评判。</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3）各供应商的</w:t>
      </w:r>
      <w:r>
        <w:rPr>
          <w:rFonts w:hint="eastAsia" w:asciiTheme="minorEastAsia" w:hAnsiTheme="minorEastAsia" w:eastAsiaTheme="minorEastAsia"/>
          <w:color w:val="auto"/>
          <w:sz w:val="18"/>
          <w:szCs w:val="18"/>
          <w:highlight w:val="none"/>
        </w:rPr>
        <w:t>资信商务及技术分按照评标委员会成员的独立评分结果汇后的算术平均分计算</w:t>
      </w:r>
      <w:r>
        <w:rPr>
          <w:rFonts w:asciiTheme="minorEastAsia" w:hAnsiTheme="minorEastAsia" w:eastAsiaTheme="minorEastAsia"/>
          <w:color w:val="auto"/>
          <w:sz w:val="18"/>
          <w:szCs w:val="18"/>
          <w:highlight w:val="none"/>
        </w:rPr>
        <w:t>。</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4）</w:t>
      </w:r>
      <w:r>
        <w:rPr>
          <w:rFonts w:hint="eastAsia" w:asciiTheme="minorEastAsia" w:hAnsiTheme="minorEastAsia" w:eastAsiaTheme="minorEastAsia"/>
          <w:color w:val="auto"/>
          <w:sz w:val="18"/>
          <w:szCs w:val="18"/>
          <w:highlight w:val="none"/>
        </w:rPr>
        <w:t>嘉兴市银建工程咨询评估有限公司工作人员协助</w:t>
      </w:r>
      <w:r>
        <w:rPr>
          <w:rFonts w:asciiTheme="minorEastAsia" w:hAnsiTheme="minorEastAsia" w:eastAsiaTheme="minorEastAsia"/>
          <w:color w:val="auto"/>
          <w:sz w:val="18"/>
          <w:szCs w:val="18"/>
          <w:highlight w:val="none"/>
        </w:rPr>
        <w:t>评标委员会根据</w:t>
      </w:r>
      <w:r>
        <w:rPr>
          <w:rFonts w:hint="eastAsia" w:asciiTheme="minorEastAsia" w:hAnsiTheme="minorEastAsia" w:eastAsiaTheme="minorEastAsia"/>
          <w:color w:val="auto"/>
          <w:sz w:val="18"/>
          <w:szCs w:val="18"/>
          <w:highlight w:val="none"/>
        </w:rPr>
        <w:t>本项目的评分标准操作政府采购业务系统，由系统</w:t>
      </w:r>
      <w:r>
        <w:rPr>
          <w:rFonts w:asciiTheme="minorEastAsia" w:hAnsiTheme="minorEastAsia" w:eastAsiaTheme="minorEastAsia"/>
          <w:color w:val="auto"/>
          <w:sz w:val="18"/>
          <w:szCs w:val="18"/>
          <w:highlight w:val="none"/>
        </w:rPr>
        <w:t>计算各供应商的商务报价得分</w:t>
      </w:r>
      <w:r>
        <w:rPr>
          <w:rFonts w:hint="eastAsia" w:asciiTheme="minorEastAsia" w:hAnsiTheme="minorEastAsia" w:eastAsiaTheme="minorEastAsia"/>
          <w:color w:val="auto"/>
          <w:sz w:val="18"/>
          <w:szCs w:val="18"/>
          <w:highlight w:val="none"/>
        </w:rPr>
        <w:t>。</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5）评标委员会完成评标后,评委对各部分得分汇总,</w:t>
      </w:r>
      <w:r>
        <w:rPr>
          <w:rFonts w:hint="eastAsia" w:asciiTheme="minorEastAsia" w:hAnsiTheme="minorEastAsia" w:eastAsiaTheme="minorEastAsia"/>
          <w:color w:val="auto"/>
          <w:sz w:val="18"/>
          <w:szCs w:val="18"/>
          <w:highlight w:val="none"/>
        </w:rPr>
        <w:t>计算</w:t>
      </w:r>
      <w:r>
        <w:rPr>
          <w:rFonts w:asciiTheme="minorEastAsia" w:hAnsiTheme="minorEastAsia" w:eastAsiaTheme="minorEastAsia"/>
          <w:color w:val="auto"/>
          <w:sz w:val="18"/>
          <w:szCs w:val="18"/>
          <w:highlight w:val="none"/>
        </w:rPr>
        <w:t>出本项目</w:t>
      </w:r>
      <w:r>
        <w:rPr>
          <w:rFonts w:hint="eastAsia" w:asciiTheme="minorEastAsia" w:hAnsiTheme="minorEastAsia" w:eastAsiaTheme="minorEastAsia"/>
          <w:color w:val="auto"/>
          <w:sz w:val="18"/>
          <w:szCs w:val="18"/>
          <w:highlight w:val="none"/>
        </w:rPr>
        <w:t>最终得分、性价比、评标价等</w:t>
      </w:r>
      <w:r>
        <w:rPr>
          <w:rFonts w:asciiTheme="minorEastAsia" w:hAnsiTheme="minorEastAsia" w:eastAsiaTheme="minorEastAsia"/>
          <w:color w:val="auto"/>
          <w:sz w:val="18"/>
          <w:szCs w:val="18"/>
          <w:highlight w:val="none"/>
        </w:rPr>
        <w:t>。评标委员会按评标原则推荐中标候选人同时起草评标报告。</w:t>
      </w:r>
    </w:p>
    <w:p>
      <w:pPr>
        <w:snapToGrid w:val="0"/>
        <w:spacing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（四）澄清问题的形式</w:t>
      </w:r>
    </w:p>
    <w:p>
      <w:pPr>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对投标文件中含义不明确、同类问题表述不一致或者有明显文字和计算错误的内容，评标委员会可要求供应商作出必要的澄清、说明或者纠正。</w:t>
      </w:r>
    </w:p>
    <w:p>
      <w:pPr>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tabs>
          <w:tab w:val="left" w:pos="0"/>
        </w:tabs>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2、如果供应商代表拒绝或</w:t>
      </w:r>
      <w:r>
        <w:rPr>
          <w:rFonts w:asciiTheme="minorEastAsia" w:hAnsiTheme="minorEastAsia" w:eastAsiaTheme="minorEastAsia"/>
          <w:color w:val="auto"/>
          <w:sz w:val="18"/>
          <w:szCs w:val="18"/>
          <w:highlight w:val="none"/>
        </w:rPr>
        <w:t>未</w:t>
      </w:r>
      <w:r>
        <w:rPr>
          <w:rFonts w:hint="eastAsia" w:asciiTheme="minorEastAsia" w:hAnsiTheme="minorEastAsia" w:eastAsiaTheme="minorEastAsia"/>
          <w:color w:val="auto"/>
          <w:sz w:val="18"/>
          <w:szCs w:val="18"/>
          <w:highlight w:val="none"/>
        </w:rPr>
        <w:t>按评标委员会要求在“政采云”平台作出在线回复且无其他有效回复方式的，评标委员会可以对其作出无效标处理。</w:t>
      </w:r>
    </w:p>
    <w:p>
      <w:pPr>
        <w:snapToGrid w:val="0"/>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（五）错误修正</w:t>
      </w:r>
    </w:p>
    <w:p>
      <w:pPr>
        <w:pStyle w:val="30"/>
        <w:snapToGrid w:val="0"/>
        <w:spacing w:beforeLines="0" w:afterLines="0" w:line="360" w:lineRule="auto"/>
        <w:ind w:left="659" w:leftChars="228" w:hanging="180" w:hangingChars="1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投标文件如果出现计算或表达上的错误，修正错误的原则如下：</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.开标一览表总价与投标报价明细表汇总数不一致的，</w:t>
      </w:r>
      <w:r>
        <w:rPr>
          <w:rFonts w:hint="eastAsia" w:cs="Arial" w:asciiTheme="minorEastAsia" w:hAnsiTheme="minorEastAsia" w:eastAsiaTheme="minorEastAsia"/>
          <w:color w:val="auto"/>
          <w:kern w:val="0"/>
          <w:sz w:val="18"/>
          <w:szCs w:val="18"/>
          <w:highlight w:val="none"/>
        </w:rPr>
        <w:t>以开标一览表为准；</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投标文件的大写金额和小写金额不一致的，以大写金额为准；</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总价金额与按单价汇总金额不一致的，以单价金额计算结果为准；</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4</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对不同文字文本投标文件的解释发生异议的，以中文文本为准。</w:t>
      </w:r>
    </w:p>
    <w:p>
      <w:pPr>
        <w:pStyle w:val="30"/>
        <w:snapToGrid w:val="0"/>
        <w:spacing w:beforeLines="0" w:afterLines="0" w:line="360" w:lineRule="auto"/>
        <w:ind w:firstLine="361" w:firstLineChars="200"/>
        <w:rPr>
          <w:rFonts w:asciiTheme="minorEastAsia" w:hAnsiTheme="minorEastAsia" w:eastAsiaTheme="minorEastAsia"/>
          <w:b/>
          <w:bCs/>
          <w:color w:val="auto"/>
          <w:sz w:val="18"/>
          <w:szCs w:val="18"/>
          <w:highlight w:val="none"/>
        </w:rPr>
      </w:pPr>
      <w:r>
        <w:rPr>
          <w:rFonts w:asciiTheme="minorEastAsia" w:hAnsiTheme="minorEastAsia" w:eastAsiaTheme="minorEastAsia"/>
          <w:b/>
          <w:bCs/>
          <w:color w:val="auto"/>
          <w:sz w:val="18"/>
          <w:szCs w:val="18"/>
          <w:highlight w:val="none"/>
        </w:rPr>
        <w:t>按上述修正错误的原则及方法调整或修正投标文件的投标报价，供应商同意</w:t>
      </w:r>
      <w:r>
        <w:rPr>
          <w:rFonts w:hint="eastAsia" w:asciiTheme="minorEastAsia" w:hAnsiTheme="minorEastAsia" w:eastAsiaTheme="minorEastAsia"/>
          <w:b/>
          <w:bCs/>
          <w:color w:val="auto"/>
          <w:sz w:val="18"/>
          <w:szCs w:val="18"/>
          <w:highlight w:val="none"/>
        </w:rPr>
        <w:t>并签字确认</w:t>
      </w:r>
      <w:r>
        <w:rPr>
          <w:rFonts w:asciiTheme="minorEastAsia" w:hAnsiTheme="minorEastAsia" w:eastAsiaTheme="minorEastAsia"/>
          <w:b/>
          <w:bCs/>
          <w:color w:val="auto"/>
          <w:sz w:val="18"/>
          <w:szCs w:val="18"/>
          <w:highlight w:val="none"/>
        </w:rPr>
        <w:t>后，调整后的投标报价对供应商具有约束作用。如果供应商不接受修正后的报价，则其投标将</w:t>
      </w:r>
      <w:r>
        <w:rPr>
          <w:rFonts w:hint="eastAsia" w:asciiTheme="minorEastAsia" w:hAnsiTheme="minorEastAsia" w:eastAsiaTheme="minorEastAsia"/>
          <w:b/>
          <w:bCs/>
          <w:color w:val="auto"/>
          <w:sz w:val="18"/>
          <w:szCs w:val="18"/>
          <w:highlight w:val="none"/>
        </w:rPr>
        <w:t>作为无效投标处理</w:t>
      </w:r>
      <w:r>
        <w:rPr>
          <w:rFonts w:asciiTheme="minorEastAsia" w:hAnsiTheme="minorEastAsia" w:eastAsiaTheme="minorEastAsia"/>
          <w:b/>
          <w:bCs/>
          <w:color w:val="auto"/>
          <w:sz w:val="18"/>
          <w:szCs w:val="18"/>
          <w:highlight w:val="none"/>
        </w:rPr>
        <w:t>。</w:t>
      </w:r>
    </w:p>
    <w:p>
      <w:pPr>
        <w:pStyle w:val="30"/>
        <w:tabs>
          <w:tab w:val="left" w:pos="630"/>
        </w:tabs>
        <w:snapToGrid w:val="0"/>
        <w:spacing w:beforeLines="0" w:afterLines="0" w:line="360" w:lineRule="auto"/>
        <w:ind w:firstLine="354" w:firstLineChars="196"/>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（六）评标原则和评标办法</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评标办法。本项目评标办法是</w:t>
      </w:r>
      <w:r>
        <w:rPr>
          <w:rFonts w:hint="eastAsia" w:asciiTheme="minorEastAsia" w:hAnsiTheme="minorEastAsia" w:eastAsiaTheme="minorEastAsia"/>
          <w:color w:val="auto"/>
          <w:sz w:val="18"/>
          <w:szCs w:val="18"/>
          <w:highlight w:val="none"/>
        </w:rPr>
        <w:t xml:space="preserve"> 综合评标法</w:t>
      </w:r>
      <w:r>
        <w:rPr>
          <w:rFonts w:asciiTheme="minorEastAsia" w:hAnsiTheme="minorEastAsia" w:eastAsiaTheme="minorEastAsia"/>
          <w:color w:val="auto"/>
          <w:sz w:val="18"/>
          <w:szCs w:val="18"/>
          <w:highlight w:val="none"/>
        </w:rPr>
        <w:t xml:space="preserve"> ，具体评标内容及评分标准等详见《第四章：评标办法及评分标准》。</w:t>
      </w:r>
    </w:p>
    <w:p>
      <w:pPr>
        <w:pStyle w:val="30"/>
        <w:snapToGrid w:val="0"/>
        <w:spacing w:beforeLines="0" w:afterLines="0" w:line="360" w:lineRule="auto"/>
        <w:ind w:firstLine="354" w:firstLineChars="196"/>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（七）评标过程的监控</w:t>
      </w:r>
    </w:p>
    <w:p>
      <w:pPr>
        <w:pStyle w:val="30"/>
        <w:snapToGrid w:val="0"/>
        <w:spacing w:beforeLines="0" w:afterLines="0"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本项目评标过程实行全程录音、录像监控</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供应商在评标过程中所进行的</w:t>
      </w:r>
      <w:r>
        <w:rPr>
          <w:rFonts w:hint="eastAsia" w:asciiTheme="minorEastAsia" w:hAnsiTheme="minorEastAsia" w:eastAsiaTheme="minorEastAsia"/>
          <w:color w:val="auto"/>
          <w:sz w:val="18"/>
          <w:szCs w:val="18"/>
          <w:highlight w:val="none"/>
        </w:rPr>
        <w:t>试</w:t>
      </w:r>
      <w:r>
        <w:rPr>
          <w:rFonts w:asciiTheme="minorEastAsia" w:hAnsiTheme="minorEastAsia" w:eastAsiaTheme="minorEastAsia"/>
          <w:color w:val="auto"/>
          <w:sz w:val="18"/>
          <w:szCs w:val="18"/>
          <w:highlight w:val="none"/>
        </w:rPr>
        <w:t>图影响评标结果的不公正活动，可能导致其投标被拒绝。</w:t>
      </w:r>
    </w:p>
    <w:p>
      <w:pPr>
        <w:pStyle w:val="30"/>
        <w:snapToGrid w:val="0"/>
        <w:spacing w:beforeLines="0" w:afterLines="0" w:line="360" w:lineRule="auto"/>
        <w:outlineLvl w:val="9"/>
        <w:rPr>
          <w:rFonts w:asciiTheme="minorEastAsia" w:hAnsiTheme="minorEastAsia" w:eastAsiaTheme="minorEastAsia"/>
          <w:b/>
          <w:color w:val="auto"/>
          <w:sz w:val="18"/>
          <w:szCs w:val="18"/>
          <w:highlight w:val="none"/>
        </w:rPr>
      </w:pPr>
    </w:p>
    <w:p>
      <w:pPr>
        <w:pStyle w:val="30"/>
        <w:snapToGrid w:val="0"/>
        <w:spacing w:beforeLines="0" w:afterLines="0" w:line="360" w:lineRule="auto"/>
        <w:ind w:firstLine="354" w:firstLineChars="196"/>
        <w:jc w:val="center"/>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六、定标</w:t>
      </w:r>
    </w:p>
    <w:p>
      <w:pPr>
        <w:pStyle w:val="30"/>
        <w:snapToGrid w:val="0"/>
        <w:spacing w:beforeLines="0" w:afterLines="0" w:line="360" w:lineRule="auto"/>
        <w:ind w:firstLine="354" w:firstLineChars="196"/>
        <w:rPr>
          <w:rFonts w:asciiTheme="minorEastAsia" w:hAnsiTheme="minorEastAsia" w:eastAsiaTheme="minorEastAsia"/>
          <w:b/>
          <w:bCs/>
          <w:color w:val="auto"/>
          <w:sz w:val="18"/>
          <w:szCs w:val="18"/>
          <w:highlight w:val="none"/>
        </w:rPr>
      </w:pPr>
      <w:r>
        <w:rPr>
          <w:rFonts w:hint="eastAsia" w:asciiTheme="minorEastAsia" w:hAnsiTheme="minorEastAsia" w:eastAsiaTheme="minorEastAsia"/>
          <w:b/>
          <w:bCs/>
          <w:color w:val="auto"/>
          <w:sz w:val="18"/>
          <w:szCs w:val="18"/>
          <w:highlight w:val="none"/>
        </w:rPr>
        <w:t>（一）确定中标人。</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.嘉兴市银建工程咨询评估有限公司</w:t>
      </w:r>
      <w:r>
        <w:rPr>
          <w:rFonts w:asciiTheme="minorEastAsia" w:hAnsiTheme="minorEastAsia" w:eastAsiaTheme="minorEastAsia"/>
          <w:color w:val="auto"/>
          <w:sz w:val="18"/>
          <w:szCs w:val="18"/>
          <w:highlight w:val="none"/>
        </w:rPr>
        <w:t>在评标结束后2个工作日内将评标报告交采购人确认，同时在发布招标公告的网站上对评标结果进行</w:t>
      </w:r>
      <w:r>
        <w:rPr>
          <w:rFonts w:hint="eastAsia" w:asciiTheme="minorEastAsia" w:hAnsiTheme="minorEastAsia" w:eastAsiaTheme="minorEastAsia"/>
          <w:color w:val="auto"/>
          <w:sz w:val="18"/>
          <w:szCs w:val="18"/>
          <w:highlight w:val="none"/>
        </w:rPr>
        <w:t>公告</w:t>
      </w:r>
      <w:r>
        <w:rPr>
          <w:rFonts w:asciiTheme="minorEastAsia" w:hAnsiTheme="minorEastAsia" w:eastAsiaTheme="minorEastAsia"/>
          <w:color w:val="auto"/>
          <w:sz w:val="18"/>
          <w:szCs w:val="18"/>
          <w:highlight w:val="none"/>
        </w:rPr>
        <w:t>。</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供应商对评标结果无异议的，采购人应在收到评标报告后5个工作日内对评标结果进行确认。如有供应商对评标结果提出质疑的，采购人可在质疑处理完毕后确定中标人。</w:t>
      </w:r>
    </w:p>
    <w:p>
      <w:pPr>
        <w:snapToGrid w:val="0"/>
        <w:spacing w:line="360" w:lineRule="auto"/>
        <w:ind w:firstLine="360"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color w:val="auto"/>
          <w:sz w:val="18"/>
          <w:szCs w:val="18"/>
          <w:highlight w:val="none"/>
        </w:rPr>
        <w:t>3. 在公告中标结果的同时，代理机构向中标人发出中标通知书。</w:t>
      </w:r>
    </w:p>
    <w:p>
      <w:pPr>
        <w:pStyle w:val="30"/>
        <w:snapToGrid w:val="0"/>
        <w:spacing w:beforeLines="0" w:afterLines="0" w:line="360" w:lineRule="auto"/>
        <w:ind w:firstLine="354" w:firstLineChars="196"/>
        <w:jc w:val="center"/>
        <w:outlineLvl w:val="1"/>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七、合同授予</w:t>
      </w:r>
    </w:p>
    <w:p>
      <w:pPr>
        <w:snapToGrid w:val="0"/>
        <w:spacing w:line="360" w:lineRule="auto"/>
        <w:ind w:firstLine="354" w:firstLineChars="196"/>
        <w:rPr>
          <w:rFonts w:asciiTheme="minorEastAsia" w:hAnsiTheme="minorEastAsia" w:eastAsiaTheme="minorEastAsia"/>
          <w:b/>
          <w:bCs/>
          <w:color w:val="auto"/>
          <w:sz w:val="18"/>
          <w:szCs w:val="18"/>
          <w:highlight w:val="none"/>
        </w:rPr>
      </w:pPr>
      <w:r>
        <w:rPr>
          <w:rFonts w:hint="eastAsia" w:asciiTheme="minorEastAsia" w:hAnsiTheme="minorEastAsia" w:eastAsiaTheme="minorEastAsia"/>
          <w:b/>
          <w:bCs/>
          <w:color w:val="auto"/>
          <w:sz w:val="18"/>
          <w:szCs w:val="18"/>
          <w:highlight w:val="none"/>
        </w:rPr>
        <w:t>（一）签订合同</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.采购人与</w:t>
      </w:r>
      <w:r>
        <w:rPr>
          <w:rFonts w:asciiTheme="minorEastAsia" w:hAnsiTheme="minorEastAsia" w:eastAsiaTheme="minorEastAsia"/>
          <w:color w:val="auto"/>
          <w:sz w:val="18"/>
          <w:szCs w:val="18"/>
          <w:highlight w:val="none"/>
        </w:rPr>
        <w:t>中标人应</w:t>
      </w:r>
      <w:r>
        <w:rPr>
          <w:rFonts w:hint="eastAsia" w:asciiTheme="minorEastAsia" w:hAnsiTheme="minorEastAsia" w:eastAsiaTheme="minorEastAsia"/>
          <w:color w:val="auto"/>
          <w:sz w:val="18"/>
          <w:szCs w:val="18"/>
          <w:highlight w:val="none"/>
        </w:rPr>
        <w:t>当在《</w:t>
      </w:r>
      <w:r>
        <w:rPr>
          <w:rFonts w:asciiTheme="minorEastAsia" w:hAnsiTheme="minorEastAsia" w:eastAsiaTheme="minorEastAsia"/>
          <w:color w:val="auto"/>
          <w:sz w:val="18"/>
          <w:szCs w:val="18"/>
          <w:highlight w:val="none"/>
        </w:rPr>
        <w:t>中标通知书</w:t>
      </w:r>
      <w:r>
        <w:rPr>
          <w:rFonts w:hint="eastAsia" w:asciiTheme="minorEastAsia" w:hAnsiTheme="minorEastAsia" w:eastAsiaTheme="minorEastAsia"/>
          <w:color w:val="auto"/>
          <w:sz w:val="18"/>
          <w:szCs w:val="18"/>
          <w:highlight w:val="none"/>
        </w:rPr>
        <w:t>》发出之日起30日内签订政府采购合同。同时，代理机构对合同内容进行审查，如发现与采购结果和投标承诺内容不一致的，将予以纠正。</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中标人拖延、拒签合同的,将被取消中标资格</w:t>
      </w:r>
      <w:r>
        <w:rPr>
          <w:rFonts w:hint="eastAsia" w:asciiTheme="minorEastAsia" w:hAnsiTheme="minorEastAsia" w:eastAsiaTheme="minorEastAsia"/>
          <w:color w:val="auto"/>
          <w:sz w:val="18"/>
          <w:szCs w:val="18"/>
          <w:highlight w:val="none"/>
        </w:rPr>
        <w:t>，并报监督管理部门</w:t>
      </w:r>
      <w:r>
        <w:rPr>
          <w:rFonts w:asciiTheme="minorEastAsia" w:hAnsiTheme="minorEastAsia" w:eastAsiaTheme="minorEastAsia"/>
          <w:color w:val="auto"/>
          <w:sz w:val="18"/>
          <w:szCs w:val="18"/>
          <w:highlight w:val="none"/>
        </w:rPr>
        <w:t>。</w:t>
      </w:r>
    </w:p>
    <w:p>
      <w:pPr>
        <w:spacing w:line="360" w:lineRule="auto"/>
        <w:ind w:firstLine="354" w:firstLineChars="196"/>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八、招标代理费</w:t>
      </w:r>
    </w:p>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1.招标代理机构</w:t>
      </w:r>
      <w:r>
        <w:rPr>
          <w:rFonts w:hint="eastAsia" w:asciiTheme="minorEastAsia" w:hAnsiTheme="minorEastAsia" w:eastAsiaTheme="minorEastAsia"/>
          <w:color w:val="auto"/>
          <w:sz w:val="18"/>
          <w:szCs w:val="18"/>
          <w:highlight w:val="none"/>
          <w:lang w:eastAsia="zh-CN"/>
        </w:rPr>
        <w:t>按标段</w:t>
      </w:r>
      <w:r>
        <w:rPr>
          <w:rFonts w:hint="eastAsia" w:asciiTheme="minorEastAsia" w:hAnsiTheme="minorEastAsia" w:eastAsiaTheme="minorEastAsia"/>
          <w:color w:val="auto"/>
          <w:sz w:val="18"/>
          <w:szCs w:val="18"/>
          <w:highlight w:val="none"/>
        </w:rPr>
        <w:t>向中标人收取招标代理服务费</w:t>
      </w:r>
      <w:r>
        <w:rPr>
          <w:rFonts w:hint="eastAsia" w:asciiTheme="minorEastAsia" w:hAnsiTheme="minorEastAsia" w:eastAsiaTheme="minorEastAsia"/>
          <w:color w:val="auto"/>
          <w:sz w:val="18"/>
          <w:szCs w:val="18"/>
          <w:highlight w:val="none"/>
          <w:lang w:eastAsia="zh-CN"/>
        </w:rPr>
        <w:t>及控制价编制费</w:t>
      </w:r>
      <w:r>
        <w:rPr>
          <w:rFonts w:hint="eastAsia" w:asciiTheme="minorEastAsia" w:hAnsiTheme="minorEastAsia" w:eastAsiaTheme="minorEastAsia"/>
          <w:color w:val="auto"/>
          <w:sz w:val="18"/>
          <w:szCs w:val="18"/>
          <w:highlight w:val="none"/>
        </w:rPr>
        <w:t>，中标人应在收取《中标通知书》时向采购代理机构交纳招标代理服务费</w:t>
      </w:r>
      <w:r>
        <w:rPr>
          <w:rFonts w:hint="eastAsia" w:asciiTheme="minorEastAsia" w:hAnsiTheme="minorEastAsia" w:eastAsiaTheme="minorEastAsia"/>
          <w:color w:val="auto"/>
          <w:sz w:val="18"/>
          <w:szCs w:val="18"/>
          <w:highlight w:val="none"/>
          <w:lang w:eastAsia="zh-CN"/>
        </w:rPr>
        <w:t>及控制价编制费</w:t>
      </w: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lang w:eastAsia="zh-CN"/>
        </w:rPr>
        <w:t>招标代理</w:t>
      </w:r>
      <w:r>
        <w:rPr>
          <w:rFonts w:hint="eastAsia" w:asciiTheme="minorEastAsia" w:hAnsiTheme="minorEastAsia" w:eastAsiaTheme="minorEastAsia"/>
          <w:color w:val="auto"/>
          <w:sz w:val="18"/>
          <w:szCs w:val="18"/>
          <w:highlight w:val="none"/>
        </w:rPr>
        <w:t>服务费的收费标准按浙价服〔2003〕77号文规定计算</w:t>
      </w:r>
    </w:p>
    <w:tbl>
      <w:tblPr>
        <w:tblStyle w:val="49"/>
        <w:tblW w:w="43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1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2160"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中标金额（万元）</w:t>
            </w:r>
          </w:p>
        </w:tc>
        <w:tc>
          <w:tcPr>
            <w:tcW w:w="2160" w:type="dxa"/>
            <w:tcBorders>
              <w:top w:val="double" w:color="auto" w:sz="4" w:space="0"/>
              <w:left w:val="single" w:color="auto" w:sz="6" w:space="0"/>
              <w:bottom w:val="single" w:color="auto" w:sz="6" w:space="0"/>
              <w:right w:val="double" w:color="auto" w:sz="4" w:space="0"/>
            </w:tcBorders>
            <w:shd w:val="clear" w:color="auto" w:fill="D9D9D9"/>
          </w:tcPr>
          <w:p>
            <w:pPr>
              <w:spacing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服务类招标收费费率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100以下</w:t>
            </w:r>
          </w:p>
        </w:tc>
        <w:tc>
          <w:tcPr>
            <w:tcW w:w="2160"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100-500</w:t>
            </w:r>
          </w:p>
        </w:tc>
        <w:tc>
          <w:tcPr>
            <w:tcW w:w="2160"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lang w:val="en-US" w:eastAsia="zh-CN"/>
              </w:rPr>
              <w:t>0.8</w:t>
            </w:r>
            <w:r>
              <w:rPr>
                <w:rFonts w:hint="eastAsia" w:asciiTheme="minorEastAsia" w:hAnsiTheme="minorEastAsia" w:eastAsiaTheme="minorEastAsia"/>
                <w:color w:val="auto"/>
                <w:sz w:val="18"/>
                <w:szCs w:val="18"/>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500-1000</w:t>
            </w:r>
          </w:p>
        </w:tc>
        <w:tc>
          <w:tcPr>
            <w:tcW w:w="2160"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lang w:val="en-US" w:eastAsia="zh-CN"/>
              </w:rPr>
              <w:t>45</w:t>
            </w:r>
            <w:r>
              <w:rPr>
                <w:rFonts w:hint="eastAsia" w:asciiTheme="minorEastAsia" w:hAnsiTheme="minorEastAsia" w:eastAsiaTheme="minorEastAsia"/>
                <w:color w:val="auto"/>
                <w:sz w:val="18"/>
                <w:szCs w:val="18"/>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double" w:color="auto" w:sz="4" w:space="0"/>
              <w:right w:val="single" w:color="auto" w:sz="6" w:space="0"/>
            </w:tcBorders>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1000-5000</w:t>
            </w:r>
          </w:p>
        </w:tc>
        <w:tc>
          <w:tcPr>
            <w:tcW w:w="2160" w:type="dxa"/>
            <w:tcBorders>
              <w:top w:val="single" w:color="auto" w:sz="6" w:space="0"/>
              <w:left w:val="single" w:color="auto" w:sz="6" w:space="0"/>
              <w:bottom w:val="double" w:color="auto" w:sz="4" w:space="0"/>
              <w:right w:val="double" w:color="auto" w:sz="4" w:space="0"/>
            </w:tcBorders>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lang w:val="en-US" w:eastAsia="zh-CN"/>
              </w:rPr>
              <w:t>2</w:t>
            </w:r>
            <w:r>
              <w:rPr>
                <w:rFonts w:hint="eastAsia" w:asciiTheme="minorEastAsia" w:hAnsiTheme="minorEastAsia" w:eastAsiaTheme="minorEastAsia"/>
                <w:color w:val="auto"/>
                <w:sz w:val="18"/>
                <w:szCs w:val="18"/>
                <w:highlight w:val="none"/>
              </w:rPr>
              <w:t>5％</w:t>
            </w:r>
          </w:p>
        </w:tc>
      </w:tr>
    </w:tbl>
    <w:p>
      <w:pPr>
        <w:snapToGrid w:val="0"/>
        <w:spacing w:line="360" w:lineRule="auto"/>
        <w:ind w:firstLine="360" w:firstLineChars="200"/>
        <w:jc w:val="lef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招标代理服务收费按差额定率累进法计算</w:t>
      </w:r>
      <w:r>
        <w:rPr>
          <w:rFonts w:hint="eastAsia" w:asciiTheme="minorEastAsia" w:hAnsiTheme="minorEastAsia" w:eastAsiaTheme="minorEastAsia"/>
          <w:color w:val="auto"/>
          <w:sz w:val="18"/>
          <w:szCs w:val="18"/>
          <w:highlight w:val="none"/>
        </w:rPr>
        <w:t>。</w:t>
      </w:r>
    </w:p>
    <w:p>
      <w:pPr>
        <w:snapToGrid w:val="0"/>
        <w:spacing w:beforeLines="50" w:afterLines="50" w:line="360" w:lineRule="auto"/>
        <w:ind w:left="238" w:firstLine="180" w:firstLineChars="100"/>
        <w:outlineLvl w:val="1"/>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rPr>
        <w:t>2.本项目以服务类招标收费标准收取招标代理服务费服务费，对于招标代理服务费不足6000元的，按6000元计收。招标控制价编制服务费</w:t>
      </w:r>
      <w:r>
        <w:rPr>
          <w:rFonts w:hint="eastAsia" w:asciiTheme="minorEastAsia" w:hAnsiTheme="minorEastAsia" w:eastAsiaTheme="minorEastAsia"/>
          <w:color w:val="auto"/>
          <w:sz w:val="18"/>
          <w:szCs w:val="18"/>
          <w:highlight w:val="none"/>
          <w:lang w:eastAsia="zh-CN"/>
        </w:rPr>
        <w:t>按</w:t>
      </w:r>
      <w:r>
        <w:rPr>
          <w:rFonts w:hint="eastAsia" w:asciiTheme="minorEastAsia" w:hAnsiTheme="minorEastAsia" w:eastAsiaTheme="minorEastAsia"/>
          <w:color w:val="auto"/>
          <w:sz w:val="18"/>
          <w:szCs w:val="18"/>
          <w:highlight w:val="none"/>
        </w:rPr>
        <w:t>《浙江省建设工程造价咨询服务项目及收费指引》的通知(浙建价协[2021]13号计算的</w:t>
      </w:r>
      <w:r>
        <w:rPr>
          <w:rFonts w:hint="eastAsia" w:asciiTheme="minorEastAsia" w:hAnsiTheme="minorEastAsia" w:eastAsiaTheme="minorEastAsia"/>
          <w:color w:val="auto"/>
          <w:sz w:val="18"/>
          <w:szCs w:val="18"/>
          <w:highlight w:val="none"/>
          <w:lang w:eastAsia="zh-CN"/>
        </w:rPr>
        <w:t>标准收取</w:t>
      </w:r>
      <w:r>
        <w:rPr>
          <w:rFonts w:hint="eastAsia" w:asciiTheme="minorEastAsia" w:hAnsiTheme="minorEastAsia" w:eastAsiaTheme="minorEastAsia"/>
          <w:color w:val="auto"/>
          <w:sz w:val="18"/>
          <w:szCs w:val="18"/>
          <w:highlight w:val="none"/>
        </w:rPr>
        <w:t>，以招标控制价为计算基数</w:t>
      </w:r>
      <w:r>
        <w:rPr>
          <w:rFonts w:hint="eastAsia" w:asciiTheme="minorEastAsia" w:hAnsiTheme="minorEastAsia" w:eastAsiaTheme="minorEastAsia"/>
          <w:color w:val="auto"/>
          <w:sz w:val="18"/>
          <w:szCs w:val="18"/>
          <w:highlight w:val="none"/>
          <w:lang w:eastAsia="zh-CN"/>
        </w:rPr>
        <w:t>。</w:t>
      </w:r>
    </w:p>
    <w:p>
      <w:pPr>
        <w:snapToGrid w:val="0"/>
        <w:spacing w:beforeLines="50" w:afterLines="50" w:line="360" w:lineRule="auto"/>
        <w:ind w:left="238" w:firstLine="180" w:firstLineChars="100"/>
        <w:outlineLvl w:val="1"/>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3.招标代理服务费</w:t>
      </w:r>
      <w:r>
        <w:rPr>
          <w:rFonts w:hint="eastAsia" w:asciiTheme="minorEastAsia" w:hAnsiTheme="minorEastAsia" w:eastAsiaTheme="minorEastAsia"/>
          <w:color w:val="auto"/>
          <w:sz w:val="18"/>
          <w:szCs w:val="18"/>
          <w:highlight w:val="none"/>
          <w:lang w:eastAsia="zh-CN"/>
        </w:rPr>
        <w:t>及控制价编制费</w:t>
      </w:r>
      <w:r>
        <w:rPr>
          <w:rFonts w:hint="eastAsia" w:asciiTheme="minorEastAsia" w:hAnsiTheme="minorEastAsia" w:eastAsiaTheme="minorEastAsia"/>
          <w:color w:val="auto"/>
          <w:sz w:val="18"/>
          <w:szCs w:val="18"/>
          <w:highlight w:val="none"/>
        </w:rPr>
        <w:t>支付方式：一次性以银行划账、现金或支票的形式支付。</w:t>
      </w:r>
    </w:p>
    <w:p>
      <w:pPr>
        <w:snapToGrid w:val="0"/>
        <w:spacing w:beforeLines="50" w:afterLines="50" w:line="360" w:lineRule="auto"/>
        <w:ind w:left="238" w:firstLine="180" w:firstLineChars="100"/>
        <w:outlineLvl w:val="1"/>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4.代理费以银行划账方式按下列要求提交：</w:t>
      </w:r>
    </w:p>
    <w:p>
      <w:pPr>
        <w:snapToGrid w:val="0"/>
        <w:spacing w:beforeLines="50" w:afterLines="50" w:line="360" w:lineRule="auto"/>
        <w:ind w:left="238" w:firstLine="180" w:firstLineChars="100"/>
        <w:outlineLvl w:val="1"/>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户名：嘉兴市银建工程咨询评估有限公司</w:t>
      </w:r>
    </w:p>
    <w:p>
      <w:pPr>
        <w:snapToGrid w:val="0"/>
        <w:spacing w:beforeLines="50" w:afterLines="50" w:line="360" w:lineRule="auto"/>
        <w:ind w:left="238" w:firstLine="180" w:firstLineChars="100"/>
        <w:outlineLvl w:val="1"/>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开户银行：建行嘉兴分行营业部</w:t>
      </w:r>
    </w:p>
    <w:p>
      <w:pPr>
        <w:snapToGrid w:val="0"/>
        <w:spacing w:beforeLines="50" w:afterLines="50" w:line="360" w:lineRule="auto"/>
        <w:ind w:left="238" w:firstLine="180" w:firstLineChars="100"/>
        <w:outlineLvl w:val="1"/>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账号：3300 1638 0470 5000 4370</w:t>
      </w:r>
    </w:p>
    <w:p>
      <w:pPr>
        <w:snapToGrid w:val="0"/>
        <w:spacing w:beforeLines="50" w:afterLines="50" w:line="360" w:lineRule="auto"/>
        <w:ind w:left="238" w:firstLine="180" w:firstLineChars="100"/>
        <w:outlineLvl w:val="1"/>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5招标代理服务费</w:t>
      </w:r>
      <w:r>
        <w:rPr>
          <w:rFonts w:hint="eastAsia" w:asciiTheme="minorEastAsia" w:hAnsiTheme="minorEastAsia" w:eastAsiaTheme="minorEastAsia"/>
          <w:color w:val="auto"/>
          <w:sz w:val="18"/>
          <w:szCs w:val="18"/>
          <w:highlight w:val="none"/>
          <w:lang w:eastAsia="zh-CN"/>
        </w:rPr>
        <w:t>及控制价编制费</w:t>
      </w:r>
      <w:r>
        <w:rPr>
          <w:rFonts w:hint="eastAsia" w:asciiTheme="minorEastAsia" w:hAnsiTheme="minorEastAsia" w:eastAsiaTheme="minorEastAsia"/>
          <w:color w:val="auto"/>
          <w:sz w:val="18"/>
          <w:szCs w:val="18"/>
          <w:highlight w:val="none"/>
        </w:rPr>
        <w:t>支付时间：招标代理服务费</w:t>
      </w:r>
      <w:r>
        <w:rPr>
          <w:rFonts w:hint="eastAsia" w:asciiTheme="minorEastAsia" w:hAnsiTheme="minorEastAsia" w:eastAsiaTheme="minorEastAsia"/>
          <w:color w:val="auto"/>
          <w:sz w:val="18"/>
          <w:szCs w:val="18"/>
          <w:highlight w:val="none"/>
          <w:lang w:eastAsia="zh-CN"/>
        </w:rPr>
        <w:t>及控制价编制费</w:t>
      </w:r>
      <w:r>
        <w:rPr>
          <w:rFonts w:hint="eastAsia" w:asciiTheme="minorEastAsia" w:hAnsiTheme="minorEastAsia" w:eastAsiaTheme="minorEastAsia"/>
          <w:color w:val="auto"/>
          <w:sz w:val="18"/>
          <w:szCs w:val="18"/>
          <w:highlight w:val="none"/>
        </w:rPr>
        <w:t>必须在中标人领取《中标通知书》时一次性付清，如果中标人未能按时交纳服务费，采购代理机构/采购人保留追究其责任的权利。</w:t>
      </w:r>
    </w:p>
    <w:p>
      <w:pPr>
        <w:snapToGrid w:val="0"/>
        <w:spacing w:beforeLines="50" w:afterLines="50" w:line="360" w:lineRule="auto"/>
        <w:ind w:left="238" w:firstLine="180" w:firstLineChars="100"/>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 w:val="18"/>
          <w:szCs w:val="18"/>
          <w:highlight w:val="none"/>
        </w:rPr>
        <w:t>6.招标代理服务费</w:t>
      </w:r>
      <w:r>
        <w:rPr>
          <w:rFonts w:hint="eastAsia" w:asciiTheme="minorEastAsia" w:hAnsiTheme="minorEastAsia" w:eastAsiaTheme="minorEastAsia"/>
          <w:color w:val="auto"/>
          <w:sz w:val="18"/>
          <w:szCs w:val="18"/>
          <w:highlight w:val="none"/>
          <w:lang w:eastAsia="zh-CN"/>
        </w:rPr>
        <w:t>及控制价编制费</w:t>
      </w:r>
      <w:r>
        <w:rPr>
          <w:rFonts w:hint="eastAsia" w:asciiTheme="minorEastAsia" w:hAnsiTheme="minorEastAsia" w:eastAsiaTheme="minorEastAsia"/>
          <w:color w:val="auto"/>
          <w:sz w:val="18"/>
          <w:szCs w:val="18"/>
          <w:highlight w:val="none"/>
        </w:rPr>
        <w:t>不在投标报价中单列。</w:t>
      </w:r>
    </w:p>
    <w:p>
      <w:pPr>
        <w:widowControl/>
        <w:jc w:val="left"/>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br w:type="page"/>
      </w:r>
    </w:p>
    <w:p>
      <w:pPr>
        <w:snapToGrid w:val="0"/>
        <w:spacing w:beforeLines="50" w:afterLines="50" w:line="360" w:lineRule="auto"/>
        <w:jc w:val="center"/>
        <w:outlineLvl w:val="0"/>
        <w:rPr>
          <w:rFonts w:asciiTheme="minorEastAsia" w:hAnsiTheme="minorEastAsia" w:eastAsiaTheme="minorEastAsia"/>
          <w:b/>
          <w:color w:val="auto"/>
          <w:sz w:val="30"/>
          <w:szCs w:val="30"/>
          <w:highlight w:val="none"/>
        </w:rPr>
      </w:pPr>
      <w:bookmarkStart w:id="193" w:name="_Toc30563"/>
      <w:bookmarkStart w:id="194" w:name="_Toc9826"/>
      <w:r>
        <w:rPr>
          <w:rFonts w:hint="eastAsia" w:asciiTheme="minorEastAsia" w:hAnsiTheme="minorEastAsia" w:eastAsiaTheme="minorEastAsia"/>
          <w:b/>
          <w:color w:val="auto"/>
          <w:sz w:val="30"/>
          <w:szCs w:val="30"/>
          <w:highlight w:val="none"/>
        </w:rPr>
        <w:t>第四章 评分办法及评分标准</w:t>
      </w:r>
      <w:bookmarkEnd w:id="193"/>
      <w:bookmarkEnd w:id="194"/>
    </w:p>
    <w:p>
      <w:pPr>
        <w:spacing w:beforeLines="50" w:afterLines="50" w:line="360" w:lineRule="auto"/>
        <w:ind w:firstLine="42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为公正、公平、科学地选择中标人，根据《中华人民共和国政府采购法》等有关法律法规的规定，并结合本项目的实际，制定本办法。</w:t>
      </w:r>
    </w:p>
    <w:p>
      <w:pPr>
        <w:spacing w:beforeLines="50" w:afterLines="50" w:line="360" w:lineRule="auto"/>
        <w:ind w:firstLine="361" w:firstLineChars="2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b/>
          <w:color w:val="auto"/>
          <w:sz w:val="18"/>
          <w:szCs w:val="18"/>
          <w:highlight w:val="none"/>
        </w:rPr>
        <w:t>一 、总则</w:t>
      </w:r>
    </w:p>
    <w:p>
      <w:pPr>
        <w:spacing w:beforeLines="50" w:afterLines="50" w:line="360" w:lineRule="auto"/>
        <w:ind w:firstLine="360" w:firstLineChars="200"/>
        <w:rPr>
          <w:rFonts w:asciiTheme="minorEastAsia" w:hAnsiTheme="minorEastAsia" w:eastAsiaTheme="minorEastAsia"/>
          <w:color w:val="auto"/>
          <w:sz w:val="18"/>
          <w:szCs w:val="18"/>
          <w:highlight w:val="none"/>
        </w:rPr>
      </w:pPr>
      <w:bookmarkStart w:id="195" w:name="_Toc406402998"/>
      <w:r>
        <w:rPr>
          <w:rFonts w:hint="eastAsia" w:asciiTheme="minorEastAsia" w:hAnsiTheme="minorEastAsia" w:eastAsiaTheme="minorEastAsia"/>
          <w:color w:val="auto"/>
          <w:sz w:val="18"/>
          <w:szCs w:val="18"/>
          <w:highlight w:val="none"/>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供应商为中标候选人，排名第二的供应商为候补中标候选人，其他供应商中标候选资格依此类推。中标人拒绝与采购人签订合同的，采购人可以按照评审报告推荐的中标候选人名单顺序，确定下一候选人为中标人，也可以重新开展政府采购活动。评分过程中采用四舍五入法，并保留小数2位。</w:t>
      </w:r>
    </w:p>
    <w:p>
      <w:pPr>
        <w:spacing w:beforeLines="50" w:afterLines="50" w:line="360" w:lineRule="auto"/>
        <w:ind w:firstLine="360" w:firstLineChars="200"/>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rPr>
        <w:t>投标人评标综合得分=商务报价分+资信技术分</w:t>
      </w:r>
      <w:r>
        <w:rPr>
          <w:rFonts w:hint="eastAsia" w:asciiTheme="minorEastAsia" w:hAnsiTheme="minorEastAsia" w:eastAsiaTheme="minorEastAsia"/>
          <w:color w:val="auto"/>
          <w:sz w:val="18"/>
          <w:szCs w:val="18"/>
          <w:highlight w:val="none"/>
          <w:lang w:eastAsia="zh-CN"/>
        </w:rPr>
        <w:t>，每个标段分别打分。</w:t>
      </w:r>
    </w:p>
    <w:p>
      <w:pPr>
        <w:spacing w:beforeLines="50" w:afterLines="50"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二、评标内容及标准</w:t>
      </w:r>
    </w:p>
    <w:p>
      <w:pPr>
        <w:spacing w:beforeLines="50" w:afterLines="50"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（一）</w:t>
      </w:r>
      <w:r>
        <w:rPr>
          <w:rFonts w:hint="eastAsia" w:asciiTheme="minorEastAsia" w:hAnsiTheme="minorEastAsia" w:eastAsiaTheme="minorEastAsia"/>
          <w:b/>
          <w:color w:val="auto"/>
          <w:sz w:val="18"/>
          <w:szCs w:val="18"/>
          <w:highlight w:val="none"/>
        </w:rPr>
        <w:t>商务报价</w:t>
      </w:r>
      <w:r>
        <w:rPr>
          <w:rFonts w:asciiTheme="minorEastAsia" w:hAnsiTheme="minorEastAsia" w:eastAsiaTheme="minorEastAsia"/>
          <w:b/>
          <w:color w:val="auto"/>
          <w:sz w:val="18"/>
          <w:szCs w:val="18"/>
          <w:highlight w:val="none"/>
        </w:rPr>
        <w:t>分（</w:t>
      </w:r>
      <w:r>
        <w:rPr>
          <w:rFonts w:hint="eastAsia" w:asciiTheme="minorEastAsia" w:hAnsiTheme="minorEastAsia" w:eastAsiaTheme="minorEastAsia"/>
          <w:b/>
          <w:color w:val="auto"/>
          <w:sz w:val="18"/>
          <w:szCs w:val="18"/>
          <w:highlight w:val="none"/>
        </w:rPr>
        <w:t>10分）</w:t>
      </w:r>
    </w:p>
    <w:p>
      <w:pPr>
        <w:pStyle w:val="24"/>
        <w:spacing w:beforeLines="50" w:afterLines="50" w:line="360"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1.价格分采用低价优先法计算，即满足招标文件要求且投标价格最低的投标报价为评标基准价，其他供应商的价格分按照下列公式计算：</w:t>
      </w:r>
    </w:p>
    <w:p>
      <w:pPr>
        <w:spacing w:beforeLines="50" w:afterLines="50"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价格分=（评标基准价/投标报价）×10%×100</w:t>
      </w:r>
    </w:p>
    <w:p>
      <w:pPr>
        <w:pStyle w:val="24"/>
        <w:spacing w:after="50" w:line="360"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2.</w:t>
      </w:r>
      <w:r>
        <w:rPr>
          <w:rFonts w:asciiTheme="minorEastAsia" w:hAnsiTheme="minorEastAsia" w:eastAsiaTheme="minorEastAsia"/>
          <w:bCs/>
          <w:color w:val="auto"/>
          <w:sz w:val="18"/>
          <w:szCs w:val="18"/>
          <w:highlight w:val="none"/>
        </w:rPr>
        <w:t>扶持政策说明：</w:t>
      </w:r>
    </w:p>
    <w:p>
      <w:pPr>
        <w:pStyle w:val="24"/>
        <w:spacing w:after="50" w:line="360"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（1）</w:t>
      </w:r>
      <w:r>
        <w:rPr>
          <w:rFonts w:hint="eastAsia" w:asciiTheme="minorEastAsia" w:hAnsiTheme="minorEastAsia" w:eastAsiaTheme="minorEastAsia"/>
          <w:bCs/>
          <w:color w:val="auto"/>
          <w:sz w:val="18"/>
          <w:szCs w:val="18"/>
          <w:highlight w:val="none"/>
        </w:rPr>
        <w:t>本项目按《浙江省财政厅关于进一步发挥政府采购政策功能全力推进经济稳进提质的通知》浙财采监【2022】3号规定对于未预留份额专门面向中小企业的政府采购货物或服务项目，以及预留份额政府采购货物或服务项目中的非预留部分标项，对小型和微型企业的投标报价给予</w:t>
      </w:r>
      <w:r>
        <w:rPr>
          <w:rFonts w:hint="eastAsia" w:asciiTheme="minorEastAsia" w:hAnsiTheme="minorEastAsia" w:eastAsiaTheme="minorEastAsia"/>
          <w:bCs/>
          <w:color w:val="auto"/>
          <w:sz w:val="18"/>
          <w:szCs w:val="18"/>
          <w:highlight w:val="none"/>
          <w:lang w:val="en-US" w:eastAsia="zh-CN"/>
        </w:rPr>
        <w:t>1</w:t>
      </w:r>
      <w:r>
        <w:rPr>
          <w:rFonts w:hint="eastAsia" w:asciiTheme="minorEastAsia" w:hAnsiTheme="minorEastAsia" w:eastAsiaTheme="minorEastAsia"/>
          <w:bCs/>
          <w:color w:val="auto"/>
          <w:sz w:val="18"/>
          <w:szCs w:val="18"/>
          <w:highlight w:val="none"/>
        </w:rPr>
        <w:t>0%的扣除，用扣除后的价格参与评审。接受大中型企业与小微企业组成联合体或者允许大中型企业向一家或者多家小微企业分包的政府采购货物或服务项目，对于联合协议或者包意向协议约定小微企业的合同份额占到合同总金额30%以上的，对联合体或者大中型企业的报价给予</w:t>
      </w:r>
      <w:r>
        <w:rPr>
          <w:rFonts w:hint="eastAsia" w:asciiTheme="minorEastAsia" w:hAnsiTheme="minorEastAsia" w:eastAsiaTheme="minorEastAsia"/>
          <w:bCs/>
          <w:color w:val="auto"/>
          <w:sz w:val="18"/>
          <w:szCs w:val="18"/>
          <w:highlight w:val="none"/>
          <w:lang w:val="en-US" w:eastAsia="zh-CN"/>
        </w:rPr>
        <w:t>4</w:t>
      </w:r>
      <w:r>
        <w:rPr>
          <w:rFonts w:hint="eastAsia" w:asciiTheme="minorEastAsia" w:hAnsiTheme="minorEastAsia" w:eastAsiaTheme="minorEastAsia"/>
          <w:bCs/>
          <w:color w:val="auto"/>
          <w:sz w:val="18"/>
          <w:szCs w:val="18"/>
          <w:highlight w:val="none"/>
        </w:rPr>
        <w:t>%的扣除，用扣除后的价格参加评审。组成联合体或者接受分包的小微企业与联合体内其他企业、分包企业之间存在直接控股、管理关系的，不享受价格扣除优惠政策</w:t>
      </w:r>
      <w:r>
        <w:rPr>
          <w:rFonts w:asciiTheme="minorEastAsia" w:hAnsiTheme="minorEastAsia" w:eastAsiaTheme="minorEastAsia"/>
          <w:bCs/>
          <w:color w:val="auto"/>
          <w:sz w:val="18"/>
          <w:szCs w:val="18"/>
          <w:highlight w:val="none"/>
        </w:rPr>
        <w:t>。</w:t>
      </w:r>
    </w:p>
    <w:p>
      <w:pPr>
        <w:pStyle w:val="24"/>
        <w:spacing w:after="50" w:line="360"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 xml:space="preserve">（2）根据《政府采购促进中小企业发展管理办法》（财库 </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2020</w:t>
      </w:r>
      <w:r>
        <w:rPr>
          <w:rFonts w:hint="eastAsia" w:asciiTheme="minorEastAsia" w:hAnsiTheme="minorEastAsia" w:eastAsiaTheme="minorEastAsia"/>
          <w:bCs/>
          <w:color w:val="auto"/>
          <w:sz w:val="18"/>
          <w:szCs w:val="18"/>
          <w:highlight w:val="none"/>
        </w:rPr>
        <w:t>】</w:t>
      </w:r>
      <w:r>
        <w:rPr>
          <w:rFonts w:asciiTheme="minorEastAsia" w:hAnsiTheme="minorEastAsia" w:eastAsiaTheme="minorEastAsia"/>
          <w:bCs/>
          <w:color w:val="auto"/>
          <w:sz w:val="18"/>
          <w:szCs w:val="18"/>
          <w:highlight w:val="none"/>
        </w:rPr>
        <w:t>46号）的规定</w:t>
      </w:r>
      <w:r>
        <w:rPr>
          <w:rFonts w:hint="eastAsia" w:asciiTheme="minorEastAsia" w:hAnsiTheme="minorEastAsia" w:eastAsiaTheme="minorEastAsia"/>
          <w:bCs/>
          <w:color w:val="auto"/>
          <w:sz w:val="18"/>
          <w:szCs w:val="18"/>
          <w:highlight w:val="none"/>
        </w:rPr>
        <w:t>，小微企业（包括联合体内的小微企业和接受分包的小微企业）参加政府采购活动，应按当出具《中小企业声明函》，否则其报价不予扣除</w:t>
      </w:r>
      <w:r>
        <w:rPr>
          <w:rFonts w:asciiTheme="minorEastAsia" w:hAnsiTheme="minorEastAsia" w:eastAsiaTheme="minorEastAsia"/>
          <w:bCs/>
          <w:color w:val="auto"/>
          <w:sz w:val="18"/>
          <w:szCs w:val="18"/>
          <w:highlight w:val="none"/>
        </w:rPr>
        <w:t>。</w:t>
      </w:r>
    </w:p>
    <w:p>
      <w:pPr>
        <w:pStyle w:val="24"/>
        <w:spacing w:after="50" w:line="360"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（3）</w:t>
      </w:r>
      <w:r>
        <w:rPr>
          <w:rFonts w:hint="eastAsia" w:asciiTheme="minorEastAsia" w:hAnsiTheme="minorEastAsia" w:eastAsiaTheme="minorEastAsia"/>
          <w:bCs/>
          <w:color w:val="auto"/>
          <w:sz w:val="18"/>
          <w:szCs w:val="18"/>
          <w:highlight w:val="none"/>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r>
        <w:rPr>
          <w:rFonts w:asciiTheme="minorEastAsia" w:hAnsiTheme="minorEastAsia" w:eastAsiaTheme="minorEastAsia"/>
          <w:bCs/>
          <w:color w:val="auto"/>
          <w:sz w:val="18"/>
          <w:szCs w:val="18"/>
          <w:highlight w:val="none"/>
        </w:rPr>
        <w:t>。</w:t>
      </w:r>
    </w:p>
    <w:p>
      <w:pPr>
        <w:pStyle w:val="24"/>
        <w:spacing w:after="50" w:line="360" w:lineRule="auto"/>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pStyle w:val="24"/>
        <w:spacing w:after="50" w:line="360" w:lineRule="auto"/>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2.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4"/>
        <w:spacing w:line="360" w:lineRule="auto"/>
        <w:rPr>
          <w:rFonts w:asciiTheme="minorEastAsia" w:hAnsiTheme="minorEastAsia" w:eastAsiaTheme="minorEastAsia"/>
          <w:b/>
          <w:bCs/>
          <w:color w:val="auto"/>
          <w:sz w:val="18"/>
          <w:szCs w:val="18"/>
          <w:highlight w:val="none"/>
        </w:rPr>
      </w:pPr>
      <w:r>
        <w:rPr>
          <w:rFonts w:hint="eastAsia" w:asciiTheme="minorEastAsia" w:hAnsiTheme="minorEastAsia" w:eastAsiaTheme="minorEastAsia"/>
          <w:b/>
          <w:bCs/>
          <w:color w:val="auto"/>
          <w:sz w:val="18"/>
          <w:szCs w:val="18"/>
          <w:highlight w:val="none"/>
        </w:rPr>
        <w:t>（二）资信技术分（90分）</w:t>
      </w:r>
    </w:p>
    <w:bookmarkEnd w:id="195"/>
    <w:tbl>
      <w:tblPr>
        <w:tblStyle w:val="49"/>
        <w:tblW w:w="86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8"/>
        <w:gridCol w:w="6946"/>
        <w:gridCol w:w="11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jc w:val="center"/>
        </w:trPr>
        <w:tc>
          <w:tcPr>
            <w:tcW w:w="608" w:type="dxa"/>
            <w:tcBorders>
              <w:top w:val="single" w:color="auto" w:sz="12"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eastAsia="zh-CN"/>
              </w:rPr>
              <w:t>序</w:t>
            </w:r>
            <w:r>
              <w:rPr>
                <w:rFonts w:hint="eastAsia" w:ascii="宋体" w:hAnsi="宋体" w:eastAsia="宋体" w:cs="宋体"/>
                <w:color w:val="auto"/>
                <w:kern w:val="2"/>
                <w:sz w:val="18"/>
                <w:szCs w:val="18"/>
                <w:highlight w:val="none"/>
              </w:rPr>
              <w:t>号</w:t>
            </w:r>
          </w:p>
        </w:tc>
        <w:tc>
          <w:tcPr>
            <w:tcW w:w="6946" w:type="dxa"/>
            <w:tcBorders>
              <w:top w:val="single" w:color="auto" w:sz="12" w:space="0"/>
              <w:left w:val="single" w:color="auto" w:sz="4" w:space="0"/>
              <w:bottom w:val="single" w:color="auto" w:sz="6" w:space="0"/>
              <w:right w:val="single" w:color="auto" w:sz="12" w:space="0"/>
            </w:tcBorders>
            <w:noWrap w:val="0"/>
            <w:vAlign w:val="center"/>
          </w:tcPr>
          <w:p>
            <w:pPr>
              <w:pStyle w:val="24"/>
              <w:spacing w:before="120" w:beforeLines="50" w:afterLines="50" w:line="240" w:lineRule="auto"/>
              <w:ind w:firstLine="360" w:firstLineChars="20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评分内容和标准</w:t>
            </w:r>
          </w:p>
        </w:tc>
        <w:tc>
          <w:tcPr>
            <w:tcW w:w="1104" w:type="dxa"/>
            <w:tcBorders>
              <w:top w:val="single" w:color="auto" w:sz="12" w:space="0"/>
              <w:left w:val="single" w:color="auto" w:sz="4"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最高分值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608" w:type="dxa"/>
            <w:tcBorders>
              <w:top w:val="single" w:color="auto" w:sz="6"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1</w:t>
            </w:r>
          </w:p>
        </w:tc>
        <w:tc>
          <w:tcPr>
            <w:tcW w:w="6946" w:type="dxa"/>
            <w:tcBorders>
              <w:top w:val="single" w:color="auto" w:sz="6" w:space="0"/>
              <w:left w:val="single" w:color="auto" w:sz="4"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left"/>
              <w:rPr>
                <w:rFonts w:hint="eastAsia" w:ascii="宋体" w:hAnsi="宋体" w:eastAsia="宋体" w:cs="宋体"/>
                <w:color w:val="auto"/>
                <w:kern w:val="2"/>
                <w:sz w:val="18"/>
                <w:szCs w:val="18"/>
                <w:highlight w:val="none"/>
                <w:lang w:val="zh-CN" w:eastAsia="zh-CN"/>
              </w:rPr>
            </w:pPr>
            <w:r>
              <w:rPr>
                <w:rFonts w:hint="eastAsia" w:ascii="宋体" w:hAnsi="宋体" w:eastAsia="宋体" w:cs="宋体"/>
                <w:color w:val="auto"/>
                <w:kern w:val="2"/>
                <w:sz w:val="18"/>
                <w:szCs w:val="18"/>
                <w:highlight w:val="none"/>
                <w:lang w:val="zh-CN" w:eastAsia="zh-CN"/>
              </w:rPr>
              <w:t>根据</w:t>
            </w:r>
            <w:r>
              <w:rPr>
                <w:rFonts w:hint="eastAsia" w:ascii="宋体" w:hAnsi="宋体" w:eastAsia="宋体" w:cs="宋体"/>
                <w:color w:val="auto"/>
                <w:kern w:val="2"/>
                <w:sz w:val="18"/>
                <w:szCs w:val="18"/>
                <w:highlight w:val="none"/>
                <w:lang w:val="en-US" w:eastAsia="zh-CN"/>
              </w:rPr>
              <w:t>道路</w:t>
            </w:r>
            <w:r>
              <w:rPr>
                <w:rFonts w:hint="eastAsia" w:ascii="宋体" w:hAnsi="宋体" w:eastAsia="宋体" w:cs="宋体"/>
                <w:color w:val="auto"/>
                <w:kern w:val="2"/>
                <w:sz w:val="18"/>
                <w:szCs w:val="18"/>
                <w:highlight w:val="none"/>
                <w:lang w:val="zh-CN" w:eastAsia="zh-CN"/>
              </w:rPr>
              <w:t>分布及养护区域等特点分析、工作总体设想、工作重点等情况酌情评分（</w:t>
            </w:r>
            <w:r>
              <w:rPr>
                <w:rFonts w:hint="eastAsia" w:ascii="宋体" w:hAnsi="宋体" w:eastAsia="宋体" w:cs="宋体"/>
                <w:color w:val="auto"/>
                <w:kern w:val="2"/>
                <w:sz w:val="18"/>
                <w:szCs w:val="18"/>
                <w:highlight w:val="none"/>
                <w:lang w:val="en-US" w:eastAsia="zh-CN"/>
              </w:rPr>
              <w:t>4-9分</w:t>
            </w:r>
            <w:r>
              <w:rPr>
                <w:rFonts w:hint="eastAsia" w:ascii="宋体" w:hAnsi="宋体" w:eastAsia="宋体" w:cs="宋体"/>
                <w:color w:val="auto"/>
                <w:kern w:val="2"/>
                <w:sz w:val="18"/>
                <w:szCs w:val="18"/>
                <w:highlight w:val="none"/>
                <w:lang w:val="zh-CN" w:eastAsia="zh-CN"/>
              </w:rPr>
              <w:t>），不提供不得分。</w:t>
            </w:r>
          </w:p>
        </w:tc>
        <w:tc>
          <w:tcPr>
            <w:tcW w:w="1104" w:type="dxa"/>
            <w:tcBorders>
              <w:top w:val="single" w:color="auto" w:sz="6" w:space="0"/>
              <w:left w:val="single" w:color="auto" w:sz="4"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608" w:type="dxa"/>
            <w:tcBorders>
              <w:top w:val="single" w:color="auto" w:sz="6"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2</w:t>
            </w:r>
          </w:p>
        </w:tc>
        <w:tc>
          <w:tcPr>
            <w:tcW w:w="6946" w:type="dxa"/>
            <w:tcBorders>
              <w:top w:val="single" w:color="auto" w:sz="6" w:space="0"/>
              <w:left w:val="single" w:color="auto" w:sz="4"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left"/>
              <w:rPr>
                <w:rFonts w:hint="default" w:ascii="宋体" w:hAnsi="宋体" w:eastAsia="宋体" w:cs="宋体"/>
                <w:color w:val="auto"/>
                <w:kern w:val="2"/>
                <w:sz w:val="18"/>
                <w:szCs w:val="18"/>
                <w:highlight w:val="none"/>
                <w:lang w:val="en-US" w:eastAsia="zh-CN"/>
              </w:rPr>
            </w:pPr>
            <w:r>
              <w:rPr>
                <w:rFonts w:hint="default" w:ascii="宋体" w:hAnsi="宋体" w:eastAsia="宋体" w:cs="宋体"/>
                <w:color w:val="auto"/>
                <w:kern w:val="2"/>
                <w:sz w:val="18"/>
                <w:szCs w:val="18"/>
                <w:highlight w:val="none"/>
                <w:lang w:val="en-US" w:eastAsia="zh-CN"/>
              </w:rPr>
              <w:t>根据养护日常作业内容，交通工具，养护作业人员详细安排，养护设备配置分配，台帐档案管理，防治病虫害及抗击自然灾害的具体保证措施等酌情评分</w:t>
            </w:r>
            <w:r>
              <w:rPr>
                <w:rFonts w:hint="eastAsia" w:ascii="宋体" w:hAnsi="宋体" w:eastAsia="宋体" w:cs="宋体"/>
                <w:color w:val="auto"/>
                <w:kern w:val="2"/>
                <w:sz w:val="18"/>
                <w:szCs w:val="18"/>
                <w:highlight w:val="none"/>
                <w:lang w:val="zh-CN" w:eastAsia="zh-CN"/>
              </w:rPr>
              <w:t>（</w:t>
            </w:r>
            <w:r>
              <w:rPr>
                <w:rFonts w:hint="eastAsia" w:ascii="宋体" w:hAnsi="宋体" w:eastAsia="宋体" w:cs="宋体"/>
                <w:color w:val="auto"/>
                <w:kern w:val="2"/>
                <w:sz w:val="18"/>
                <w:szCs w:val="18"/>
                <w:highlight w:val="none"/>
                <w:lang w:val="en-US" w:eastAsia="zh-CN"/>
              </w:rPr>
              <w:t>4-8分</w:t>
            </w:r>
            <w:r>
              <w:rPr>
                <w:rFonts w:hint="eastAsia" w:ascii="宋体" w:hAnsi="宋体" w:eastAsia="宋体" w:cs="宋体"/>
                <w:color w:val="auto"/>
                <w:kern w:val="2"/>
                <w:sz w:val="18"/>
                <w:szCs w:val="18"/>
                <w:highlight w:val="none"/>
                <w:lang w:val="zh-CN" w:eastAsia="zh-CN"/>
              </w:rPr>
              <w:t>），不提供不得分。</w:t>
            </w:r>
          </w:p>
        </w:tc>
        <w:tc>
          <w:tcPr>
            <w:tcW w:w="1104" w:type="dxa"/>
            <w:tcBorders>
              <w:top w:val="single" w:color="auto" w:sz="6" w:space="0"/>
              <w:left w:val="single" w:color="auto" w:sz="4"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608" w:type="dxa"/>
            <w:tcBorders>
              <w:top w:val="single" w:color="auto" w:sz="6"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3</w:t>
            </w:r>
          </w:p>
        </w:tc>
        <w:tc>
          <w:tcPr>
            <w:tcW w:w="6946" w:type="dxa"/>
            <w:tcBorders>
              <w:top w:val="single" w:color="auto" w:sz="6" w:space="0"/>
              <w:left w:val="single" w:color="auto" w:sz="4"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left"/>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根据作业质量标准，检查考核办法，作业人员安全教育、劳动保护、安全管理制度，意外事件应急预案等情况酌情评分（4-8分）</w:t>
            </w:r>
            <w:r>
              <w:rPr>
                <w:rFonts w:hint="eastAsia" w:ascii="宋体" w:hAnsi="宋体" w:eastAsia="宋体" w:cs="宋体"/>
                <w:color w:val="auto"/>
                <w:kern w:val="2"/>
                <w:sz w:val="18"/>
                <w:szCs w:val="18"/>
                <w:highlight w:val="none"/>
                <w:lang w:val="zh-CN" w:eastAsia="zh-CN"/>
              </w:rPr>
              <w:t>，不提供不得分。</w:t>
            </w:r>
          </w:p>
        </w:tc>
        <w:tc>
          <w:tcPr>
            <w:tcW w:w="1104" w:type="dxa"/>
            <w:tcBorders>
              <w:top w:val="single" w:color="auto" w:sz="6" w:space="0"/>
              <w:left w:val="single" w:color="auto" w:sz="4"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3" w:hRule="atLeast"/>
          <w:jc w:val="center"/>
        </w:trPr>
        <w:tc>
          <w:tcPr>
            <w:tcW w:w="608" w:type="dxa"/>
            <w:tcBorders>
              <w:top w:val="single" w:color="auto" w:sz="4"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4</w:t>
            </w:r>
          </w:p>
        </w:tc>
        <w:tc>
          <w:tcPr>
            <w:tcW w:w="6946" w:type="dxa"/>
            <w:tcBorders>
              <w:top w:val="single" w:color="auto" w:sz="4" w:space="0"/>
              <w:left w:val="single" w:color="auto" w:sz="6"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left"/>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投标人针对本项目实施的项目进度安排，根据进度安排的科学性（1-3分）、合理性（1-3分）、规范性和可操作性（1-3分），各投标单位比较得分</w:t>
            </w:r>
            <w:r>
              <w:rPr>
                <w:rFonts w:hint="eastAsia" w:ascii="宋体" w:hAnsi="宋体" w:eastAsia="宋体" w:cs="宋体"/>
                <w:color w:val="auto"/>
                <w:kern w:val="2"/>
                <w:sz w:val="18"/>
                <w:szCs w:val="18"/>
                <w:highlight w:val="none"/>
                <w:lang w:val="zh-CN" w:eastAsia="zh-CN"/>
              </w:rPr>
              <w:t>，不提供不得分。</w:t>
            </w:r>
          </w:p>
        </w:tc>
        <w:tc>
          <w:tcPr>
            <w:tcW w:w="1104" w:type="dxa"/>
            <w:tcBorders>
              <w:top w:val="single" w:color="auto" w:sz="4" w:space="0"/>
              <w:left w:val="single" w:color="auto" w:sz="6"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608" w:type="dxa"/>
            <w:tcBorders>
              <w:top w:val="single" w:color="auto" w:sz="4"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5</w:t>
            </w:r>
          </w:p>
        </w:tc>
        <w:tc>
          <w:tcPr>
            <w:tcW w:w="6946" w:type="dxa"/>
            <w:tcBorders>
              <w:top w:val="single" w:color="auto" w:sz="4" w:space="0"/>
              <w:left w:val="single" w:color="auto" w:sz="6"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rPr>
                <w:rFonts w:hint="eastAsia" w:ascii="宋体" w:hAnsi="宋体" w:eastAsia="宋体" w:cs="宋体"/>
                <w:color w:val="auto"/>
                <w:kern w:val="2"/>
                <w:sz w:val="18"/>
                <w:szCs w:val="18"/>
                <w:highlight w:val="none"/>
                <w:lang w:val="zh-CN"/>
              </w:rPr>
            </w:pPr>
            <w:r>
              <w:rPr>
                <w:rFonts w:hint="eastAsia" w:ascii="宋体" w:hAnsi="宋体" w:eastAsia="宋体" w:cs="宋体"/>
                <w:color w:val="auto"/>
                <w:kern w:val="2"/>
                <w:sz w:val="18"/>
                <w:szCs w:val="18"/>
                <w:highlight w:val="none"/>
                <w:lang w:val="zh-CN"/>
              </w:rPr>
              <w:t>安全文明礼貌的承诺及应急预案实施措施，评委根据投标方提供的安全服务方案及应急预案措施进行综合评分，应急预案要求：针对台风暴雨天气、梅雨季节、冰雪霜冻天气、污雨水井或管道或化粪池堵塞或污水外溢情况、发生火灾等特殊紧急情况进行详细方案描述</w:t>
            </w:r>
            <w:r>
              <w:rPr>
                <w:rFonts w:hint="eastAsia" w:ascii="宋体" w:hAnsi="宋体" w:eastAsia="宋体" w:cs="宋体"/>
                <w:color w:val="auto"/>
                <w:kern w:val="2"/>
                <w:sz w:val="18"/>
                <w:szCs w:val="18"/>
                <w:highlight w:val="none"/>
                <w:lang w:val="zh-CN" w:eastAsia="zh-CN"/>
              </w:rPr>
              <w:t>（</w:t>
            </w:r>
            <w:r>
              <w:rPr>
                <w:rFonts w:hint="eastAsia" w:ascii="宋体" w:hAnsi="宋体" w:cs="宋体"/>
                <w:color w:val="auto"/>
                <w:kern w:val="2"/>
                <w:sz w:val="18"/>
                <w:szCs w:val="18"/>
                <w:highlight w:val="none"/>
                <w:lang w:val="en-US" w:eastAsia="zh-CN"/>
              </w:rPr>
              <w:t>4</w:t>
            </w:r>
            <w:r>
              <w:rPr>
                <w:rFonts w:hint="eastAsia" w:ascii="宋体" w:hAnsi="宋体" w:eastAsia="宋体" w:cs="宋体"/>
                <w:color w:val="auto"/>
                <w:kern w:val="2"/>
                <w:sz w:val="18"/>
                <w:szCs w:val="18"/>
                <w:highlight w:val="none"/>
                <w:lang w:val="zh-CN" w:eastAsia="zh-CN"/>
              </w:rPr>
              <w:t>-</w:t>
            </w:r>
            <w:r>
              <w:rPr>
                <w:rFonts w:hint="eastAsia" w:ascii="宋体" w:hAnsi="宋体" w:cs="宋体"/>
                <w:color w:val="auto"/>
                <w:kern w:val="2"/>
                <w:sz w:val="18"/>
                <w:szCs w:val="18"/>
                <w:highlight w:val="none"/>
                <w:lang w:val="en-US" w:eastAsia="zh-CN"/>
              </w:rPr>
              <w:t>8</w:t>
            </w:r>
            <w:r>
              <w:rPr>
                <w:rFonts w:hint="eastAsia" w:ascii="宋体" w:hAnsi="宋体" w:eastAsia="宋体" w:cs="宋体"/>
                <w:color w:val="auto"/>
                <w:kern w:val="2"/>
                <w:sz w:val="18"/>
                <w:szCs w:val="18"/>
                <w:highlight w:val="none"/>
                <w:lang w:val="zh-CN" w:eastAsia="zh-CN"/>
              </w:rPr>
              <w:t>分）</w:t>
            </w:r>
            <w:r>
              <w:rPr>
                <w:rFonts w:hint="eastAsia" w:ascii="宋体" w:hAnsi="宋体" w:cs="宋体"/>
                <w:color w:val="auto"/>
                <w:kern w:val="2"/>
                <w:sz w:val="18"/>
                <w:szCs w:val="18"/>
                <w:highlight w:val="none"/>
                <w:lang w:val="zh-CN" w:eastAsia="zh-CN"/>
              </w:rPr>
              <w:t>，不提供不得分。</w:t>
            </w:r>
          </w:p>
        </w:tc>
        <w:tc>
          <w:tcPr>
            <w:tcW w:w="1104" w:type="dxa"/>
            <w:tcBorders>
              <w:top w:val="single" w:color="auto" w:sz="4" w:space="0"/>
              <w:left w:val="single" w:color="auto" w:sz="6"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7" w:hRule="atLeast"/>
          <w:jc w:val="center"/>
        </w:trPr>
        <w:tc>
          <w:tcPr>
            <w:tcW w:w="608" w:type="dxa"/>
            <w:tcBorders>
              <w:top w:val="single" w:color="auto" w:sz="4"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6</w:t>
            </w:r>
          </w:p>
        </w:tc>
        <w:tc>
          <w:tcPr>
            <w:tcW w:w="6946" w:type="dxa"/>
            <w:tcBorders>
              <w:top w:val="single" w:color="auto" w:sz="4" w:space="0"/>
              <w:left w:val="single" w:color="auto" w:sz="6"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zh-CN"/>
              </w:rPr>
              <w:t>投标人对</w:t>
            </w:r>
            <w:r>
              <w:rPr>
                <w:rFonts w:hint="eastAsia" w:ascii="宋体" w:hAnsi="宋体" w:cs="宋体"/>
                <w:color w:val="auto"/>
                <w:kern w:val="2"/>
                <w:sz w:val="18"/>
                <w:szCs w:val="18"/>
                <w:highlight w:val="none"/>
                <w:lang w:val="zh-CN"/>
              </w:rPr>
              <w:t>养护服务</w:t>
            </w:r>
            <w:r>
              <w:rPr>
                <w:rFonts w:hint="eastAsia" w:ascii="宋体" w:hAnsi="宋体" w:eastAsia="宋体" w:cs="宋体"/>
                <w:color w:val="auto"/>
                <w:kern w:val="2"/>
                <w:sz w:val="18"/>
                <w:szCs w:val="18"/>
                <w:highlight w:val="none"/>
                <w:lang w:val="zh-CN"/>
              </w:rPr>
              <w:t>质量控制及服务承诺的可实现程度，由专家综合打分</w:t>
            </w:r>
            <w:r>
              <w:rPr>
                <w:rFonts w:hint="eastAsia" w:ascii="宋体" w:hAnsi="宋体" w:cs="宋体"/>
                <w:color w:val="auto"/>
                <w:kern w:val="2"/>
                <w:sz w:val="18"/>
                <w:szCs w:val="18"/>
                <w:highlight w:val="none"/>
                <w:lang w:val="zh-CN"/>
              </w:rPr>
              <w:t>（</w:t>
            </w:r>
            <w:r>
              <w:rPr>
                <w:rFonts w:hint="eastAsia" w:ascii="宋体" w:hAnsi="宋体" w:cs="宋体"/>
                <w:color w:val="auto"/>
                <w:kern w:val="2"/>
                <w:sz w:val="18"/>
                <w:szCs w:val="18"/>
                <w:highlight w:val="none"/>
                <w:lang w:val="en-US" w:eastAsia="zh-CN"/>
              </w:rPr>
              <w:t>4-8分）</w:t>
            </w:r>
            <w:r>
              <w:rPr>
                <w:rFonts w:hint="eastAsia" w:ascii="宋体" w:hAnsi="宋体" w:cs="宋体"/>
                <w:color w:val="auto"/>
                <w:kern w:val="2"/>
                <w:sz w:val="18"/>
                <w:szCs w:val="18"/>
                <w:highlight w:val="none"/>
                <w:lang w:val="zh-CN" w:eastAsia="zh-CN"/>
              </w:rPr>
              <w:t>，不提供不得分。</w:t>
            </w:r>
          </w:p>
        </w:tc>
        <w:tc>
          <w:tcPr>
            <w:tcW w:w="1104" w:type="dxa"/>
            <w:tcBorders>
              <w:top w:val="single" w:color="auto" w:sz="4" w:space="0"/>
              <w:left w:val="single" w:color="auto" w:sz="6"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608" w:type="dxa"/>
            <w:tcBorders>
              <w:top w:val="single" w:color="auto" w:sz="4"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7</w:t>
            </w:r>
          </w:p>
        </w:tc>
        <w:tc>
          <w:tcPr>
            <w:tcW w:w="6946" w:type="dxa"/>
            <w:tcBorders>
              <w:top w:val="single" w:color="auto" w:sz="4" w:space="0"/>
              <w:left w:val="single" w:color="auto" w:sz="6" w:space="0"/>
              <w:bottom w:val="single" w:color="auto" w:sz="4" w:space="0"/>
              <w:right w:val="single" w:color="auto" w:sz="12" w:space="0"/>
            </w:tcBorders>
            <w:noWrap w:val="0"/>
            <w:vAlign w:val="center"/>
          </w:tcPr>
          <w:p>
            <w:pPr>
              <w:pStyle w:val="24"/>
              <w:spacing w:before="120" w:beforeLines="50" w:afterLines="50" w:line="240" w:lineRule="auto"/>
              <w:ind w:left="0" w:leftChars="0" w:firstLine="0" w:firstLineChars="0"/>
              <w:rPr>
                <w:rFonts w:hint="eastAsia" w:ascii="宋体" w:hAnsi="宋体" w:eastAsia="宋体" w:cs="宋体"/>
                <w:color w:val="auto"/>
                <w:kern w:val="2"/>
                <w:sz w:val="18"/>
                <w:szCs w:val="18"/>
                <w:highlight w:val="none"/>
                <w:lang w:val="zh-CN" w:eastAsia="zh-CN"/>
              </w:rPr>
            </w:pPr>
            <w:r>
              <w:rPr>
                <w:rFonts w:hint="eastAsia" w:ascii="宋体" w:hAnsi="宋体" w:eastAsia="宋体" w:cs="宋体"/>
                <w:color w:val="auto"/>
                <w:kern w:val="2"/>
                <w:sz w:val="18"/>
                <w:szCs w:val="18"/>
                <w:highlight w:val="none"/>
              </w:rPr>
              <w:t>根据投标单位是否有完善的监督自查体系，以及体系的完整性、科学性、可操作性，综合打分（</w:t>
            </w:r>
            <w:r>
              <w:rPr>
                <w:rFonts w:hint="eastAsia" w:ascii="宋体" w:hAnsi="宋体" w:cs="宋体"/>
                <w:color w:val="auto"/>
                <w:kern w:val="2"/>
                <w:sz w:val="18"/>
                <w:szCs w:val="18"/>
                <w:highlight w:val="none"/>
                <w:lang w:val="en-US" w:eastAsia="zh-CN"/>
              </w:rPr>
              <w:t>4</w:t>
            </w:r>
            <w:r>
              <w:rPr>
                <w:rFonts w:hint="eastAsia" w:ascii="宋体" w:hAnsi="宋体" w:eastAsia="宋体" w:cs="宋体"/>
                <w:color w:val="auto"/>
                <w:kern w:val="2"/>
                <w:sz w:val="18"/>
                <w:szCs w:val="18"/>
                <w:highlight w:val="none"/>
              </w:rPr>
              <w:t>—</w:t>
            </w:r>
            <w:r>
              <w:rPr>
                <w:rFonts w:hint="eastAsia" w:ascii="宋体" w:hAnsi="宋体" w:cs="宋体"/>
                <w:color w:val="auto"/>
                <w:kern w:val="2"/>
                <w:sz w:val="18"/>
                <w:szCs w:val="18"/>
                <w:highlight w:val="none"/>
                <w:lang w:val="en-US" w:eastAsia="zh-CN"/>
              </w:rPr>
              <w:t>8</w:t>
            </w:r>
            <w:r>
              <w:rPr>
                <w:rFonts w:hint="eastAsia" w:ascii="宋体" w:hAnsi="宋体" w:eastAsia="宋体" w:cs="宋体"/>
                <w:color w:val="auto"/>
                <w:kern w:val="2"/>
                <w:sz w:val="18"/>
                <w:szCs w:val="18"/>
                <w:highlight w:val="none"/>
              </w:rPr>
              <w:t>分）</w:t>
            </w:r>
            <w:r>
              <w:rPr>
                <w:rFonts w:hint="eastAsia" w:ascii="宋体" w:hAnsi="宋体" w:cs="宋体"/>
                <w:color w:val="auto"/>
                <w:kern w:val="2"/>
                <w:sz w:val="18"/>
                <w:szCs w:val="18"/>
                <w:highlight w:val="none"/>
                <w:lang w:val="zh-CN" w:eastAsia="zh-CN"/>
              </w:rPr>
              <w:t>，不提供不得分。</w:t>
            </w:r>
          </w:p>
        </w:tc>
        <w:tc>
          <w:tcPr>
            <w:tcW w:w="1104" w:type="dxa"/>
            <w:tcBorders>
              <w:top w:val="single" w:color="auto" w:sz="4" w:space="0"/>
              <w:left w:val="single" w:color="auto" w:sz="6" w:space="0"/>
              <w:bottom w:val="single" w:color="auto" w:sz="4"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608" w:type="dxa"/>
            <w:tcBorders>
              <w:top w:val="single" w:color="auto" w:sz="4"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8</w:t>
            </w:r>
          </w:p>
        </w:tc>
        <w:tc>
          <w:tcPr>
            <w:tcW w:w="6946" w:type="dxa"/>
            <w:tcBorders>
              <w:top w:val="single" w:color="auto" w:sz="4" w:space="0"/>
              <w:left w:val="single" w:color="auto" w:sz="6" w:space="0"/>
              <w:bottom w:val="single" w:color="auto" w:sz="4" w:space="0"/>
              <w:right w:val="single" w:color="auto" w:sz="12" w:space="0"/>
            </w:tcBorders>
            <w:noWrap w:val="0"/>
            <w:vAlign w:val="center"/>
          </w:tcPr>
          <w:p>
            <w:pPr>
              <w:pStyle w:val="24"/>
              <w:spacing w:before="120" w:beforeLines="50" w:afterLines="50" w:line="240" w:lineRule="auto"/>
              <w:ind w:left="0" w:leftChars="0" w:firstLine="0" w:firstLineChars="0"/>
              <w:rPr>
                <w:rFonts w:hint="eastAsia"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根据投标人针对本项目特点提出的研究的重点、难点分析综合打分。（4-8分）</w:t>
            </w:r>
            <w:r>
              <w:rPr>
                <w:rFonts w:hint="eastAsia" w:ascii="宋体" w:hAnsi="宋体" w:cs="宋体"/>
                <w:color w:val="auto"/>
                <w:kern w:val="2"/>
                <w:sz w:val="18"/>
                <w:szCs w:val="18"/>
                <w:highlight w:val="none"/>
                <w:lang w:val="zh-CN" w:eastAsia="zh-CN"/>
              </w:rPr>
              <w:t>，不提供不得分。</w:t>
            </w:r>
          </w:p>
        </w:tc>
        <w:tc>
          <w:tcPr>
            <w:tcW w:w="1104" w:type="dxa"/>
            <w:tcBorders>
              <w:top w:val="single" w:color="auto" w:sz="4" w:space="0"/>
              <w:left w:val="single" w:color="auto" w:sz="6" w:space="0"/>
              <w:bottom w:val="single" w:color="auto" w:sz="4"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608" w:type="dxa"/>
            <w:tcBorders>
              <w:top w:val="single" w:color="auto" w:sz="4"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9</w:t>
            </w:r>
          </w:p>
        </w:tc>
        <w:tc>
          <w:tcPr>
            <w:tcW w:w="6946" w:type="dxa"/>
            <w:tcBorders>
              <w:top w:val="single" w:color="auto" w:sz="4" w:space="0"/>
              <w:left w:val="single" w:color="auto" w:sz="6" w:space="0"/>
              <w:bottom w:val="single" w:color="auto" w:sz="4" w:space="0"/>
              <w:right w:val="single" w:color="auto" w:sz="12" w:space="0"/>
            </w:tcBorders>
            <w:noWrap w:val="0"/>
            <w:vAlign w:val="center"/>
          </w:tcPr>
          <w:p>
            <w:pPr>
              <w:pStyle w:val="24"/>
              <w:spacing w:before="120" w:beforeLines="50" w:afterLines="50" w:line="240" w:lineRule="auto"/>
              <w:ind w:left="0" w:leftChars="0" w:firstLine="0" w:firstLineChars="0"/>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提出关于本项目的相关合理化建议，突发情况的处理，酌情打分</w:t>
            </w:r>
            <w:r>
              <w:rPr>
                <w:rFonts w:hint="eastAsia" w:ascii="宋体" w:hAnsi="宋体" w:eastAsia="宋体" w:cs="宋体"/>
                <w:color w:val="auto"/>
                <w:kern w:val="2"/>
                <w:sz w:val="18"/>
                <w:szCs w:val="18"/>
                <w:highlight w:val="none"/>
                <w:lang w:val="zh-CN" w:eastAsia="zh-CN"/>
              </w:rPr>
              <w:t>（4-</w:t>
            </w:r>
            <w:r>
              <w:rPr>
                <w:rFonts w:hint="eastAsia" w:ascii="宋体" w:hAnsi="宋体" w:cs="宋体"/>
                <w:color w:val="auto"/>
                <w:kern w:val="2"/>
                <w:sz w:val="18"/>
                <w:szCs w:val="18"/>
                <w:highlight w:val="none"/>
                <w:lang w:val="en-US" w:eastAsia="zh-CN"/>
              </w:rPr>
              <w:t>8）</w:t>
            </w:r>
            <w:r>
              <w:rPr>
                <w:rFonts w:hint="eastAsia" w:ascii="宋体" w:hAnsi="宋体" w:cs="宋体"/>
                <w:color w:val="auto"/>
                <w:kern w:val="2"/>
                <w:sz w:val="18"/>
                <w:szCs w:val="18"/>
                <w:highlight w:val="none"/>
                <w:lang w:val="zh-CN" w:eastAsia="zh-CN"/>
              </w:rPr>
              <w:t>，不提供不得分。</w:t>
            </w:r>
          </w:p>
        </w:tc>
        <w:tc>
          <w:tcPr>
            <w:tcW w:w="1104" w:type="dxa"/>
            <w:tcBorders>
              <w:top w:val="single" w:color="auto" w:sz="4" w:space="0"/>
              <w:left w:val="single" w:color="auto" w:sz="6" w:space="0"/>
              <w:bottom w:val="single" w:color="auto" w:sz="4"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68" w:hRule="atLeast"/>
          <w:jc w:val="center"/>
        </w:trPr>
        <w:tc>
          <w:tcPr>
            <w:tcW w:w="608" w:type="dxa"/>
            <w:tcBorders>
              <w:top w:val="single" w:color="auto" w:sz="6" w:space="0"/>
              <w:left w:val="single" w:color="auto" w:sz="12" w:space="0"/>
              <w:bottom w:val="single" w:color="auto" w:sz="6"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default" w:ascii="宋体" w:hAnsi="宋体" w:eastAsia="宋体" w:cs="宋体"/>
                <w:strike w:val="0"/>
                <w:dstrike w:val="0"/>
                <w:color w:val="auto"/>
                <w:kern w:val="2"/>
                <w:sz w:val="18"/>
                <w:szCs w:val="18"/>
                <w:highlight w:val="none"/>
                <w:lang w:val="en-US" w:eastAsia="zh-CN"/>
              </w:rPr>
            </w:pPr>
            <w:r>
              <w:rPr>
                <w:rFonts w:hint="eastAsia" w:ascii="宋体" w:hAnsi="宋体" w:cs="宋体"/>
                <w:strike w:val="0"/>
                <w:dstrike w:val="0"/>
                <w:color w:val="auto"/>
                <w:kern w:val="2"/>
                <w:sz w:val="18"/>
                <w:szCs w:val="18"/>
                <w:highlight w:val="none"/>
                <w:lang w:val="en-US" w:eastAsia="zh-CN"/>
              </w:rPr>
              <w:t>10</w:t>
            </w:r>
          </w:p>
        </w:tc>
        <w:tc>
          <w:tcPr>
            <w:tcW w:w="6946" w:type="dxa"/>
            <w:tcBorders>
              <w:top w:val="single" w:color="auto" w:sz="6" w:space="0"/>
              <w:left w:val="single" w:color="auto" w:sz="6"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rPr>
                <w:rFonts w:hint="default" w:ascii="宋体" w:hAnsi="宋体" w:eastAsia="宋体" w:cs="宋体"/>
                <w:strike w:val="0"/>
                <w:dstrike w:val="0"/>
                <w:color w:val="auto"/>
                <w:kern w:val="2"/>
                <w:sz w:val="18"/>
                <w:szCs w:val="18"/>
                <w:highlight w:val="none"/>
                <w:lang w:val="en-US" w:eastAsia="zh-CN"/>
              </w:rPr>
            </w:pPr>
            <w:r>
              <w:rPr>
                <w:rFonts w:hint="eastAsia" w:ascii="宋体" w:hAnsi="宋体" w:cs="宋体"/>
                <w:strike w:val="0"/>
                <w:dstrike w:val="0"/>
                <w:color w:val="auto"/>
                <w:kern w:val="2"/>
                <w:sz w:val="18"/>
                <w:szCs w:val="18"/>
                <w:highlight w:val="none"/>
                <w:lang w:val="en-US" w:eastAsia="zh-CN"/>
              </w:rPr>
              <w:t>投标人自有或租赁登高车（或高空作业平台机械）的有一辆得4分，最高得4分。（投标人自有设备的须提供购买发票</w:t>
            </w:r>
            <w:r>
              <w:rPr>
                <w:rFonts w:hint="eastAsia" w:ascii="宋体" w:hAnsi="宋体" w:cs="宋体"/>
                <w:b/>
                <w:bCs/>
                <w:strike w:val="0"/>
                <w:dstrike w:val="0"/>
                <w:color w:val="auto"/>
                <w:kern w:val="2"/>
                <w:sz w:val="18"/>
                <w:szCs w:val="18"/>
                <w:highlight w:val="none"/>
                <w:lang w:val="en-US" w:eastAsia="zh-CN"/>
              </w:rPr>
              <w:t>清晰的</w:t>
            </w:r>
            <w:r>
              <w:rPr>
                <w:rFonts w:hint="eastAsia" w:ascii="宋体" w:hAnsi="宋体" w:cs="宋体"/>
                <w:strike w:val="0"/>
                <w:dstrike w:val="0"/>
                <w:color w:val="auto"/>
                <w:kern w:val="2"/>
                <w:sz w:val="18"/>
                <w:szCs w:val="18"/>
                <w:highlight w:val="none"/>
                <w:lang w:val="en-US" w:eastAsia="zh-CN"/>
              </w:rPr>
              <w:t>复印件及车辆照片，租赁的须提供</w:t>
            </w:r>
            <w:r>
              <w:rPr>
                <w:rFonts w:hint="eastAsia" w:ascii="宋体" w:hAnsi="宋体" w:cs="宋体"/>
                <w:b/>
                <w:bCs/>
                <w:strike w:val="0"/>
                <w:dstrike w:val="0"/>
                <w:color w:val="auto"/>
                <w:kern w:val="2"/>
                <w:sz w:val="18"/>
                <w:szCs w:val="18"/>
                <w:highlight w:val="none"/>
                <w:lang w:val="en-US" w:eastAsia="zh-CN"/>
              </w:rPr>
              <w:t>清晰的</w:t>
            </w:r>
            <w:r>
              <w:rPr>
                <w:rFonts w:hint="eastAsia" w:ascii="宋体" w:hAnsi="宋体" w:cs="宋体"/>
                <w:strike w:val="0"/>
                <w:dstrike w:val="0"/>
                <w:color w:val="auto"/>
                <w:kern w:val="2"/>
                <w:sz w:val="18"/>
                <w:szCs w:val="18"/>
                <w:highlight w:val="none"/>
                <w:lang w:val="en-US" w:eastAsia="zh-CN"/>
              </w:rPr>
              <w:t>租赁协议复印件及车辆照片。登高车须提供车辆行驶证及车辆照片</w:t>
            </w:r>
            <w:r>
              <w:rPr>
                <w:rFonts w:hint="eastAsia" w:ascii="宋体" w:hAnsi="宋体" w:cs="宋体"/>
                <w:b/>
                <w:bCs/>
                <w:strike w:val="0"/>
                <w:dstrike w:val="0"/>
                <w:color w:val="auto"/>
                <w:kern w:val="2"/>
                <w:sz w:val="18"/>
                <w:szCs w:val="18"/>
                <w:highlight w:val="none"/>
                <w:lang w:val="en-US" w:eastAsia="zh-CN"/>
              </w:rPr>
              <w:t>清晰的</w:t>
            </w:r>
            <w:r>
              <w:rPr>
                <w:rFonts w:hint="eastAsia" w:ascii="宋体" w:hAnsi="宋体" w:cs="宋体"/>
                <w:strike w:val="0"/>
                <w:dstrike w:val="0"/>
                <w:color w:val="auto"/>
                <w:kern w:val="2"/>
                <w:sz w:val="18"/>
                <w:szCs w:val="18"/>
                <w:highlight w:val="none"/>
                <w:lang w:val="en-US" w:eastAsia="zh-CN"/>
              </w:rPr>
              <w:t>扫描件且车牌一致；高空作业平台机械须提供产品合格证及车辆照片</w:t>
            </w:r>
            <w:r>
              <w:rPr>
                <w:rFonts w:hint="eastAsia" w:ascii="宋体" w:hAnsi="宋体" w:cs="宋体"/>
                <w:b/>
                <w:bCs/>
                <w:strike w:val="0"/>
                <w:dstrike w:val="0"/>
                <w:color w:val="auto"/>
                <w:kern w:val="2"/>
                <w:sz w:val="18"/>
                <w:szCs w:val="18"/>
                <w:highlight w:val="none"/>
                <w:lang w:val="en-US" w:eastAsia="zh-CN"/>
              </w:rPr>
              <w:t>清晰的</w:t>
            </w:r>
            <w:r>
              <w:rPr>
                <w:rFonts w:hint="eastAsia" w:ascii="宋体" w:hAnsi="宋体" w:cs="宋体"/>
                <w:strike w:val="0"/>
                <w:dstrike w:val="0"/>
                <w:color w:val="auto"/>
                <w:kern w:val="2"/>
                <w:sz w:val="18"/>
                <w:szCs w:val="18"/>
                <w:highlight w:val="none"/>
                <w:lang w:val="en-US" w:eastAsia="zh-CN"/>
              </w:rPr>
              <w:t>扫描件，不提供不得分）</w:t>
            </w:r>
          </w:p>
        </w:tc>
        <w:tc>
          <w:tcPr>
            <w:tcW w:w="1104" w:type="dxa"/>
            <w:tcBorders>
              <w:top w:val="single" w:color="auto" w:sz="6" w:space="0"/>
              <w:left w:val="single" w:color="auto" w:sz="6" w:space="0"/>
              <w:bottom w:val="single" w:color="auto" w:sz="6"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eastAsia" w:ascii="宋体" w:hAnsi="宋体" w:eastAsia="宋体" w:cs="宋体"/>
                <w:strike w:val="0"/>
                <w:dstrike w:val="0"/>
                <w:color w:val="auto"/>
                <w:kern w:val="2"/>
                <w:sz w:val="18"/>
                <w:szCs w:val="18"/>
                <w:highlight w:val="none"/>
                <w:lang w:val="en-US" w:eastAsia="zh-CN"/>
              </w:rPr>
            </w:pPr>
            <w:r>
              <w:rPr>
                <w:rFonts w:hint="eastAsia" w:ascii="宋体" w:hAnsi="宋体" w:cs="宋体"/>
                <w:strike w:val="0"/>
                <w:dstrike w:val="0"/>
                <w:color w:val="auto"/>
                <w:kern w:val="2"/>
                <w:sz w:val="18"/>
                <w:szCs w:val="18"/>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8" w:hRule="atLeast"/>
          <w:jc w:val="center"/>
        </w:trPr>
        <w:tc>
          <w:tcPr>
            <w:tcW w:w="608" w:type="dxa"/>
            <w:tcBorders>
              <w:top w:val="single" w:color="auto" w:sz="6" w:space="0"/>
              <w:left w:val="single" w:color="auto" w:sz="12" w:space="0"/>
              <w:bottom w:val="single" w:color="auto" w:sz="12"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11</w:t>
            </w:r>
          </w:p>
        </w:tc>
        <w:tc>
          <w:tcPr>
            <w:tcW w:w="6946" w:type="dxa"/>
            <w:tcBorders>
              <w:top w:val="single" w:color="auto" w:sz="6" w:space="0"/>
              <w:left w:val="single" w:color="auto" w:sz="6" w:space="0"/>
              <w:bottom w:val="single" w:color="auto" w:sz="12" w:space="0"/>
              <w:right w:val="single" w:color="auto" w:sz="12" w:space="0"/>
            </w:tcBorders>
            <w:noWrap w:val="0"/>
            <w:vAlign w:val="center"/>
          </w:tcPr>
          <w:p>
            <w:pPr>
              <w:pStyle w:val="24"/>
              <w:spacing w:before="120" w:beforeLines="50" w:afterLines="50" w:line="240" w:lineRule="auto"/>
              <w:ind w:left="0" w:leftChars="0" w:firstLine="0" w:firstLineChars="0"/>
              <w:rPr>
                <w:rFonts w:hint="eastAsia" w:ascii="宋体" w:hAnsi="宋体" w:eastAsia="宋体" w:cs="宋体"/>
                <w:color w:val="auto"/>
                <w:kern w:val="2"/>
                <w:sz w:val="18"/>
                <w:szCs w:val="18"/>
                <w:highlight w:val="none"/>
                <w:lang w:val="zh-CN" w:eastAsia="zh-CN"/>
              </w:rPr>
            </w:pPr>
            <w:r>
              <w:rPr>
                <w:rFonts w:hint="eastAsia" w:ascii="宋体" w:hAnsi="宋体" w:cs="宋体"/>
                <w:strike w:val="0"/>
                <w:dstrike w:val="0"/>
                <w:color w:val="auto"/>
                <w:kern w:val="2"/>
                <w:sz w:val="18"/>
                <w:szCs w:val="18"/>
                <w:highlight w:val="none"/>
                <w:lang w:val="en-US" w:eastAsia="zh-CN"/>
              </w:rPr>
              <w:t>投标人自有或租赁自卸车（或吊车或随车吊）的有一辆得4分，最高得4分。（投标人自有设备的须提供购买发票</w:t>
            </w:r>
            <w:r>
              <w:rPr>
                <w:rFonts w:hint="eastAsia" w:ascii="宋体" w:hAnsi="宋体" w:cs="宋体"/>
                <w:b/>
                <w:bCs/>
                <w:strike w:val="0"/>
                <w:dstrike w:val="0"/>
                <w:color w:val="auto"/>
                <w:kern w:val="2"/>
                <w:sz w:val="18"/>
                <w:szCs w:val="18"/>
                <w:highlight w:val="none"/>
                <w:lang w:val="en-US" w:eastAsia="zh-CN"/>
              </w:rPr>
              <w:t>清晰的</w:t>
            </w:r>
            <w:r>
              <w:rPr>
                <w:rFonts w:hint="eastAsia" w:ascii="宋体" w:hAnsi="宋体" w:cs="宋体"/>
                <w:strike w:val="0"/>
                <w:dstrike w:val="0"/>
                <w:color w:val="auto"/>
                <w:kern w:val="2"/>
                <w:sz w:val="18"/>
                <w:szCs w:val="18"/>
                <w:highlight w:val="none"/>
                <w:lang w:val="en-US" w:eastAsia="zh-CN"/>
              </w:rPr>
              <w:t>复印件及车辆照片，租赁的须提供</w:t>
            </w:r>
            <w:r>
              <w:rPr>
                <w:rFonts w:hint="eastAsia" w:ascii="宋体" w:hAnsi="宋体" w:cs="宋体"/>
                <w:b/>
                <w:bCs/>
                <w:strike w:val="0"/>
                <w:dstrike w:val="0"/>
                <w:color w:val="auto"/>
                <w:kern w:val="2"/>
                <w:sz w:val="18"/>
                <w:szCs w:val="18"/>
                <w:highlight w:val="none"/>
                <w:lang w:val="en-US" w:eastAsia="zh-CN"/>
              </w:rPr>
              <w:t>清晰的</w:t>
            </w:r>
            <w:r>
              <w:rPr>
                <w:rFonts w:hint="eastAsia" w:ascii="宋体" w:hAnsi="宋体" w:cs="宋体"/>
                <w:strike w:val="0"/>
                <w:dstrike w:val="0"/>
                <w:color w:val="auto"/>
                <w:kern w:val="2"/>
                <w:sz w:val="18"/>
                <w:szCs w:val="18"/>
                <w:highlight w:val="none"/>
                <w:lang w:val="en-US" w:eastAsia="zh-CN"/>
              </w:rPr>
              <w:t>租赁协议复印件及车辆照片，不提供不得分。）</w:t>
            </w:r>
          </w:p>
        </w:tc>
        <w:tc>
          <w:tcPr>
            <w:tcW w:w="1104" w:type="dxa"/>
            <w:tcBorders>
              <w:top w:val="single" w:color="auto" w:sz="6" w:space="0"/>
              <w:left w:val="single" w:color="auto" w:sz="6" w:space="0"/>
              <w:bottom w:val="single" w:color="auto" w:sz="12"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8" w:hRule="atLeast"/>
          <w:jc w:val="center"/>
        </w:trPr>
        <w:tc>
          <w:tcPr>
            <w:tcW w:w="608" w:type="dxa"/>
            <w:tcBorders>
              <w:top w:val="single" w:color="auto" w:sz="6" w:space="0"/>
              <w:left w:val="single" w:color="auto" w:sz="12" w:space="0"/>
              <w:bottom w:val="single" w:color="auto" w:sz="12"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12</w:t>
            </w:r>
          </w:p>
        </w:tc>
        <w:tc>
          <w:tcPr>
            <w:tcW w:w="6946" w:type="dxa"/>
            <w:tcBorders>
              <w:top w:val="single" w:color="auto" w:sz="6" w:space="0"/>
              <w:left w:val="single" w:color="auto" w:sz="6" w:space="0"/>
              <w:bottom w:val="single" w:color="auto" w:sz="12" w:space="0"/>
              <w:right w:val="single" w:color="auto" w:sz="12" w:space="0"/>
            </w:tcBorders>
            <w:noWrap w:val="0"/>
            <w:vAlign w:val="center"/>
          </w:tcPr>
          <w:p>
            <w:pPr>
              <w:pStyle w:val="24"/>
              <w:spacing w:before="120" w:beforeLines="50" w:afterLines="50" w:line="240" w:lineRule="auto"/>
              <w:ind w:left="0" w:leftChars="0" w:firstLine="0" w:firstLineChars="0"/>
              <w:rPr>
                <w:rFonts w:hint="eastAsia" w:ascii="宋体" w:hAnsi="宋体" w:eastAsia="宋体" w:cs="宋体"/>
                <w:color w:val="auto"/>
                <w:kern w:val="2"/>
                <w:sz w:val="18"/>
                <w:szCs w:val="18"/>
                <w:highlight w:val="none"/>
                <w:lang w:val="zh-CN" w:eastAsia="zh-CN"/>
              </w:rPr>
            </w:pPr>
            <w:r>
              <w:rPr>
                <w:rFonts w:hint="eastAsia" w:ascii="宋体" w:hAnsi="宋体" w:cs="宋体"/>
                <w:strike w:val="0"/>
                <w:dstrike w:val="0"/>
                <w:color w:val="auto"/>
                <w:kern w:val="2"/>
                <w:sz w:val="18"/>
                <w:szCs w:val="18"/>
                <w:highlight w:val="none"/>
                <w:lang w:val="en-US" w:eastAsia="zh-CN"/>
              </w:rPr>
              <w:t>投标人自有或租赁10吨（及以上）洒水车的有一辆得4分，最高得4分。（投标人自有设备的须提供购买发票</w:t>
            </w:r>
            <w:r>
              <w:rPr>
                <w:rFonts w:hint="eastAsia" w:ascii="宋体" w:hAnsi="宋体" w:cs="宋体"/>
                <w:b/>
                <w:bCs/>
                <w:strike w:val="0"/>
                <w:dstrike w:val="0"/>
                <w:color w:val="auto"/>
                <w:kern w:val="2"/>
                <w:sz w:val="18"/>
                <w:szCs w:val="18"/>
                <w:highlight w:val="none"/>
                <w:lang w:val="en-US" w:eastAsia="zh-CN"/>
              </w:rPr>
              <w:t>清晰的</w:t>
            </w:r>
            <w:r>
              <w:rPr>
                <w:rFonts w:hint="eastAsia" w:ascii="宋体" w:hAnsi="宋体" w:cs="宋体"/>
                <w:strike w:val="0"/>
                <w:dstrike w:val="0"/>
                <w:color w:val="auto"/>
                <w:kern w:val="2"/>
                <w:sz w:val="18"/>
                <w:szCs w:val="18"/>
                <w:highlight w:val="none"/>
                <w:lang w:val="en-US" w:eastAsia="zh-CN"/>
              </w:rPr>
              <w:t>复印件及车辆照片，租赁的须提供</w:t>
            </w:r>
            <w:r>
              <w:rPr>
                <w:rFonts w:hint="eastAsia" w:ascii="宋体" w:hAnsi="宋体" w:cs="宋体"/>
                <w:b/>
                <w:bCs/>
                <w:strike w:val="0"/>
                <w:dstrike w:val="0"/>
                <w:color w:val="auto"/>
                <w:kern w:val="2"/>
                <w:sz w:val="18"/>
                <w:szCs w:val="18"/>
                <w:highlight w:val="none"/>
                <w:lang w:val="en-US" w:eastAsia="zh-CN"/>
              </w:rPr>
              <w:t>清晰的</w:t>
            </w:r>
            <w:r>
              <w:rPr>
                <w:rFonts w:hint="eastAsia" w:ascii="宋体" w:hAnsi="宋体" w:cs="宋体"/>
                <w:strike w:val="0"/>
                <w:dstrike w:val="0"/>
                <w:color w:val="auto"/>
                <w:kern w:val="2"/>
                <w:sz w:val="18"/>
                <w:szCs w:val="18"/>
                <w:highlight w:val="none"/>
                <w:lang w:val="en-US" w:eastAsia="zh-CN"/>
              </w:rPr>
              <w:t>租赁协议复印件及车辆照片；且需提供洒水车吨量的证明文件，不提供不得分。）</w:t>
            </w:r>
          </w:p>
        </w:tc>
        <w:tc>
          <w:tcPr>
            <w:tcW w:w="1104" w:type="dxa"/>
            <w:tcBorders>
              <w:top w:val="single" w:color="auto" w:sz="6" w:space="0"/>
              <w:left w:val="single" w:color="auto" w:sz="6" w:space="0"/>
              <w:bottom w:val="single" w:color="auto" w:sz="12"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8" w:hRule="atLeast"/>
          <w:jc w:val="center"/>
        </w:trPr>
        <w:tc>
          <w:tcPr>
            <w:tcW w:w="608" w:type="dxa"/>
            <w:tcBorders>
              <w:top w:val="single" w:color="auto" w:sz="6" w:space="0"/>
              <w:left w:val="single" w:color="auto" w:sz="12" w:space="0"/>
              <w:bottom w:val="single" w:color="auto" w:sz="12"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13</w:t>
            </w:r>
          </w:p>
        </w:tc>
        <w:tc>
          <w:tcPr>
            <w:tcW w:w="6946" w:type="dxa"/>
            <w:tcBorders>
              <w:top w:val="single" w:color="auto" w:sz="6" w:space="0"/>
              <w:left w:val="single" w:color="auto" w:sz="6" w:space="0"/>
              <w:bottom w:val="single" w:color="auto" w:sz="12" w:space="0"/>
              <w:right w:val="single" w:color="auto" w:sz="12" w:space="0"/>
            </w:tcBorders>
            <w:noWrap w:val="0"/>
            <w:vAlign w:val="center"/>
          </w:tcPr>
          <w:p>
            <w:pPr>
              <w:pStyle w:val="24"/>
              <w:spacing w:before="120" w:beforeLines="50" w:afterLines="50" w:line="240" w:lineRule="auto"/>
              <w:ind w:left="0" w:leftChars="0" w:firstLine="0" w:firstLineChars="0"/>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zh-CN" w:eastAsia="zh-CN"/>
              </w:rPr>
              <w:t>拟投入本项目项目组成员（除项目负责人外）中每有一人具有园林绿化</w:t>
            </w:r>
            <w:r>
              <w:rPr>
                <w:rFonts w:hint="eastAsia" w:ascii="宋体" w:hAnsi="宋体" w:cs="宋体"/>
                <w:color w:val="auto"/>
                <w:kern w:val="2"/>
                <w:sz w:val="18"/>
                <w:szCs w:val="18"/>
                <w:highlight w:val="none"/>
                <w:lang w:val="en-US" w:eastAsia="zh-CN"/>
              </w:rPr>
              <w:t>相关专业工程师及以上职称的得1分，最高得3分。（提供职称证书复印件及社保缴纳证明原件的复印件或扫描件，不提供不得分）</w:t>
            </w:r>
          </w:p>
        </w:tc>
        <w:tc>
          <w:tcPr>
            <w:tcW w:w="1104" w:type="dxa"/>
            <w:tcBorders>
              <w:top w:val="single" w:color="auto" w:sz="6" w:space="0"/>
              <w:left w:val="single" w:color="auto" w:sz="6" w:space="0"/>
              <w:bottom w:val="single" w:color="auto" w:sz="12"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8" w:hRule="atLeast"/>
          <w:jc w:val="center"/>
        </w:trPr>
        <w:tc>
          <w:tcPr>
            <w:tcW w:w="608" w:type="dxa"/>
            <w:tcBorders>
              <w:top w:val="single" w:color="auto" w:sz="6" w:space="0"/>
              <w:left w:val="single" w:color="auto" w:sz="12" w:space="0"/>
              <w:bottom w:val="single" w:color="auto" w:sz="12" w:space="0"/>
              <w:right w:val="single" w:color="auto" w:sz="6"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14</w:t>
            </w:r>
          </w:p>
        </w:tc>
        <w:tc>
          <w:tcPr>
            <w:tcW w:w="6946" w:type="dxa"/>
            <w:tcBorders>
              <w:top w:val="single" w:color="auto" w:sz="6" w:space="0"/>
              <w:left w:val="single" w:color="auto" w:sz="6" w:space="0"/>
              <w:bottom w:val="single" w:color="auto" w:sz="12" w:space="0"/>
              <w:right w:val="single" w:color="auto" w:sz="12" w:space="0"/>
            </w:tcBorders>
            <w:noWrap w:val="0"/>
            <w:vAlign w:val="center"/>
          </w:tcPr>
          <w:p>
            <w:pPr>
              <w:pStyle w:val="24"/>
              <w:spacing w:before="120" w:beforeLines="50" w:afterLines="50" w:line="240" w:lineRule="auto"/>
              <w:ind w:left="0" w:leftChars="0" w:firstLine="0" w:firstLineChars="0"/>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zh-CN" w:eastAsia="zh-CN"/>
              </w:rPr>
              <w:t>投标人自</w:t>
            </w:r>
            <w:r>
              <w:rPr>
                <w:rFonts w:hint="eastAsia" w:ascii="宋体" w:hAnsi="宋体" w:cs="宋体"/>
                <w:color w:val="auto"/>
                <w:kern w:val="2"/>
                <w:sz w:val="18"/>
                <w:szCs w:val="18"/>
                <w:highlight w:val="none"/>
                <w:lang w:val="en-US" w:eastAsia="zh-CN"/>
              </w:rPr>
              <w:t>2020年1月1日以来承担过类似项目业绩的，每个得1分，最高得1分。（提供中标通知书或合同的扫描件，时间以中标通知书签发时间或合同签订时间为准）</w:t>
            </w:r>
          </w:p>
        </w:tc>
        <w:tc>
          <w:tcPr>
            <w:tcW w:w="1104" w:type="dxa"/>
            <w:tcBorders>
              <w:top w:val="single" w:color="auto" w:sz="6" w:space="0"/>
              <w:left w:val="single" w:color="auto" w:sz="6" w:space="0"/>
              <w:bottom w:val="single" w:color="auto" w:sz="12" w:space="0"/>
              <w:right w:val="single" w:color="auto" w:sz="12" w:space="0"/>
            </w:tcBorders>
            <w:noWrap w:val="0"/>
            <w:vAlign w:val="center"/>
          </w:tcPr>
          <w:p>
            <w:pPr>
              <w:pStyle w:val="24"/>
              <w:spacing w:before="120" w:beforeLines="50" w:afterLines="50" w:line="240" w:lineRule="auto"/>
              <w:ind w:left="0" w:leftChars="0" w:firstLine="0" w:firstLineChars="0"/>
              <w:jc w:val="center"/>
              <w:rPr>
                <w:rFonts w:hint="default" w:ascii="宋体" w:hAnsi="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w:t>
            </w:r>
          </w:p>
        </w:tc>
      </w:tr>
    </w:tbl>
    <w:p>
      <w:pPr>
        <w:widowControl/>
        <w:numPr>
          <w:ilvl w:val="0"/>
          <w:numId w:val="12"/>
        </w:numPr>
        <w:jc w:val="center"/>
        <w:outlineLvl w:val="0"/>
        <w:rPr>
          <w:rFonts w:hint="eastAsia" w:asciiTheme="minorEastAsia" w:hAnsiTheme="minorEastAsia" w:eastAsiaTheme="minorEastAsia"/>
          <w:b/>
          <w:color w:val="auto"/>
          <w:sz w:val="30"/>
          <w:szCs w:val="30"/>
          <w:highlight w:val="none"/>
        </w:rPr>
      </w:pPr>
      <w:bookmarkStart w:id="196" w:name="_Toc17937"/>
      <w:r>
        <w:rPr>
          <w:rFonts w:hint="eastAsia" w:asciiTheme="minorEastAsia" w:hAnsiTheme="minorEastAsia" w:eastAsiaTheme="minorEastAsia"/>
          <w:b/>
          <w:color w:val="auto"/>
          <w:sz w:val="30"/>
          <w:szCs w:val="30"/>
          <w:highlight w:val="none"/>
        </w:rPr>
        <w:t xml:space="preserve"> </w:t>
      </w:r>
      <w:bookmarkStart w:id="197" w:name="_Toc32670"/>
      <w:r>
        <w:rPr>
          <w:rFonts w:hint="eastAsia" w:asciiTheme="minorEastAsia" w:hAnsiTheme="minorEastAsia" w:eastAsiaTheme="minorEastAsia"/>
          <w:b/>
          <w:color w:val="auto"/>
          <w:sz w:val="30"/>
          <w:szCs w:val="30"/>
          <w:highlight w:val="none"/>
        </w:rPr>
        <w:t>嘉兴市政府采购合同（指引）</w:t>
      </w:r>
      <w:bookmarkEnd w:id="196"/>
      <w:bookmarkEnd w:id="197"/>
    </w:p>
    <w:p>
      <w:pPr>
        <w:widowControl/>
        <w:numPr>
          <w:ilvl w:val="0"/>
          <w:numId w:val="0"/>
        </w:numPr>
        <w:jc w:val="both"/>
        <w:rPr>
          <w:rFonts w:hint="eastAsia" w:asciiTheme="minorEastAsia" w:hAnsiTheme="minorEastAsia" w:eastAsiaTheme="minorEastAsia"/>
          <w:b/>
          <w:color w:val="auto"/>
          <w:sz w:val="30"/>
          <w:szCs w:val="30"/>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cs="Arial" w:asciiTheme="minorEastAsia" w:hAnsiTheme="minorEastAsia" w:eastAsiaTheme="minorEastAsia"/>
          <w:color w:val="auto"/>
          <w:kern w:val="0"/>
          <w:sz w:val="18"/>
          <w:szCs w:val="18"/>
          <w:highlight w:val="none"/>
          <w:lang w:eastAsia="zh-CN"/>
        </w:rPr>
      </w:pPr>
      <w:r>
        <w:rPr>
          <w:rFonts w:hint="eastAsia" w:cs="Arial" w:asciiTheme="minorEastAsia" w:hAnsiTheme="minorEastAsia" w:eastAsiaTheme="minorEastAsia"/>
          <w:color w:val="auto"/>
          <w:kern w:val="0"/>
          <w:sz w:val="18"/>
          <w:szCs w:val="18"/>
          <w:highlight w:val="none"/>
        </w:rPr>
        <w:t>招标编号：</w:t>
      </w:r>
      <w:r>
        <w:rPr>
          <w:rFonts w:hint="eastAsia" w:cs="Arial" w:asciiTheme="minorEastAsia" w:hAnsiTheme="minorEastAsia" w:eastAsiaTheme="minorEastAsia"/>
          <w:color w:val="auto"/>
          <w:kern w:val="0"/>
          <w:sz w:val="18"/>
          <w:szCs w:val="18"/>
          <w:highlight w:val="none"/>
          <w:lang w:eastAsia="zh-CN"/>
        </w:rPr>
        <w:t>银建-JXYJ（2023）68号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cs="Arial" w:asciiTheme="minorEastAsia" w:hAnsiTheme="minorEastAsia" w:eastAsiaTheme="minorEastAsia"/>
          <w:color w:val="auto"/>
          <w:kern w:val="0"/>
          <w:sz w:val="18"/>
          <w:szCs w:val="18"/>
          <w:highlight w:val="none"/>
          <w:lang w:eastAsia="zh-CN"/>
        </w:rPr>
      </w:pPr>
      <w:r>
        <w:rPr>
          <w:rFonts w:hint="eastAsia" w:cs="Arial" w:asciiTheme="minorEastAsia" w:hAnsiTheme="minorEastAsia" w:eastAsiaTheme="minorEastAsia"/>
          <w:color w:val="auto"/>
          <w:kern w:val="0"/>
          <w:sz w:val="18"/>
          <w:szCs w:val="18"/>
          <w:highlight w:val="none"/>
        </w:rPr>
        <w:t>合同编号：</w:t>
      </w:r>
      <w:r>
        <w:rPr>
          <w:rFonts w:hint="eastAsia" w:cs="Arial" w:asciiTheme="minorEastAsia" w:hAnsiTheme="minorEastAsia" w:eastAsiaTheme="minorEastAsia"/>
          <w:color w:val="auto"/>
          <w:kern w:val="0"/>
          <w:sz w:val="18"/>
          <w:szCs w:val="18"/>
          <w:highlight w:val="none"/>
          <w:lang w:eastAsia="zh-CN"/>
        </w:rPr>
        <w:t>银建-JXYJ（2023）68号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cs="Arial" w:asciiTheme="minorEastAsia" w:hAnsiTheme="minorEastAsia" w:eastAsiaTheme="minorEastAsia"/>
          <w:color w:val="auto"/>
          <w:kern w:val="0"/>
          <w:sz w:val="18"/>
          <w:szCs w:val="18"/>
          <w:highlight w:val="none"/>
          <w:u w:val="single"/>
          <w:lang w:val="en-US" w:eastAsia="zh-CN"/>
        </w:rPr>
      </w:pPr>
      <w:r>
        <w:rPr>
          <w:rFonts w:hint="eastAsia" w:cs="Arial" w:asciiTheme="minorEastAsia" w:hAnsiTheme="minorEastAsia" w:eastAsiaTheme="minorEastAsia"/>
          <w:color w:val="auto"/>
          <w:kern w:val="0"/>
          <w:sz w:val="18"/>
          <w:szCs w:val="18"/>
          <w:highlight w:val="none"/>
        </w:rPr>
        <w:t>政府采购计划（预算）确认书号</w:t>
      </w:r>
      <w:r>
        <w:rPr>
          <w:rFonts w:hint="eastAsia" w:eastAsiaTheme="minorEastAsia"/>
          <w:color w:val="auto"/>
          <w:sz w:val="18"/>
          <w:szCs w:val="18"/>
          <w:highlight w:val="none"/>
          <w:u w:val="single"/>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cs="Arial" w:asciiTheme="minorEastAsia" w:hAnsiTheme="minorEastAsia" w:eastAsiaTheme="minorEastAsia"/>
          <w:color w:val="auto"/>
          <w:kern w:val="0"/>
          <w:sz w:val="18"/>
          <w:szCs w:val="18"/>
          <w:highlight w:val="none"/>
          <w:lang w:eastAsia="zh-CN"/>
        </w:rPr>
      </w:pPr>
      <w:r>
        <w:rPr>
          <w:rFonts w:hint="eastAsia" w:cs="Arial" w:asciiTheme="minorEastAsia" w:hAnsiTheme="minorEastAsia" w:eastAsiaTheme="minorEastAsia"/>
          <w:color w:val="auto"/>
          <w:kern w:val="0"/>
          <w:sz w:val="18"/>
          <w:szCs w:val="18"/>
          <w:highlight w:val="none"/>
        </w:rPr>
        <w:t>采购人（以下称甲方）：</w:t>
      </w:r>
      <w:r>
        <w:rPr>
          <w:rFonts w:hint="eastAsia" w:cs="Arial" w:asciiTheme="minorEastAsia" w:hAnsiTheme="minorEastAsia" w:eastAsiaTheme="minorEastAsia"/>
          <w:color w:val="auto"/>
          <w:kern w:val="0"/>
          <w:sz w:val="18"/>
          <w:szCs w:val="18"/>
          <w:highlight w:val="none"/>
          <w:lang w:eastAsia="zh-CN"/>
        </w:rPr>
        <w:t>嘉兴市秀洲区人民政府新城街道办事处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供应商（以下称乙方）：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代理机构：嘉兴市银建工程咨询评估有限公司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采购方式：公开招标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firstLineChars="200"/>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根据《中华人民共和国政府采购法》、《民法典》等法律法规的规定，甲乙双方按照</w:t>
      </w:r>
      <w:r>
        <w:rPr>
          <w:rFonts w:hint="eastAsia" w:cs="Arial" w:asciiTheme="minorEastAsia" w:hAnsiTheme="minorEastAsia" w:eastAsiaTheme="minorEastAsia"/>
          <w:color w:val="auto"/>
          <w:sz w:val="18"/>
          <w:szCs w:val="18"/>
          <w:highlight w:val="none"/>
          <w:u w:val="single"/>
          <w:lang w:eastAsia="zh-CN"/>
        </w:rPr>
        <w:t>新城街道2024年度区域绿化养护项目</w:t>
      </w:r>
      <w:r>
        <w:rPr>
          <w:rFonts w:hint="eastAsia" w:cs="Arial" w:asciiTheme="minorEastAsia" w:hAnsiTheme="minorEastAsia" w:eastAsiaTheme="minorEastAsia"/>
          <w:color w:val="auto"/>
          <w:kern w:val="0"/>
          <w:sz w:val="18"/>
          <w:szCs w:val="18"/>
          <w:highlight w:val="none"/>
        </w:rPr>
        <w:t>采购结果签订本合同。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 w:val="18"/>
          <w:szCs w:val="18"/>
          <w:highlight w:val="none"/>
        </w:rPr>
      </w:pPr>
      <w:r>
        <w:rPr>
          <w:rFonts w:hint="eastAsia" w:cs="Arial" w:asciiTheme="minorEastAsia" w:hAnsiTheme="minorEastAsia" w:eastAsiaTheme="minorEastAsia"/>
          <w:b/>
          <w:color w:val="auto"/>
          <w:kern w:val="0"/>
          <w:sz w:val="18"/>
          <w:szCs w:val="18"/>
          <w:highlight w:val="none"/>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本次政府采购活动的相关文件为本合同的组成部分，这些文件包括但不限于：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（1）本合同文本；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（2）招标文件与采购投标文件；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（3）中标或成交通知书；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组成本合同的所有文件必须为书面形式。政府采购合同备案时，须提供以上（1）、（3）两项，如由社会中介机构代理，须提供代理协议，合同如有变更的，须提供变更协议。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 w:val="18"/>
          <w:szCs w:val="18"/>
          <w:highlight w:val="none"/>
        </w:rPr>
      </w:pPr>
      <w:r>
        <w:rPr>
          <w:rFonts w:hint="eastAsia" w:cs="Arial" w:asciiTheme="minorEastAsia" w:hAnsiTheme="minorEastAsia" w:eastAsiaTheme="minorEastAsia"/>
          <w:b/>
          <w:color w:val="auto"/>
          <w:kern w:val="0"/>
          <w:sz w:val="18"/>
          <w:szCs w:val="18"/>
          <w:highlight w:val="none"/>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本次采购的是</w:t>
      </w:r>
    </w:p>
    <w:tbl>
      <w:tblPr>
        <w:tblStyle w:val="49"/>
        <w:tblW w:w="10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
        <w:gridCol w:w="4004"/>
        <w:gridCol w:w="1211"/>
        <w:gridCol w:w="808"/>
        <w:gridCol w:w="1816"/>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08" w:type="dxa"/>
            <w:gridSpan w:val="2"/>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序号</w:t>
            </w:r>
          </w:p>
        </w:tc>
        <w:tc>
          <w:tcPr>
            <w:tcW w:w="4004"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项目名称</w:t>
            </w:r>
          </w:p>
        </w:tc>
        <w:tc>
          <w:tcPr>
            <w:tcW w:w="121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单位</w:t>
            </w:r>
          </w:p>
        </w:tc>
        <w:tc>
          <w:tcPr>
            <w:tcW w:w="80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数量</w:t>
            </w:r>
          </w:p>
        </w:tc>
        <w:tc>
          <w:tcPr>
            <w:tcW w:w="181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预算金额</w:t>
            </w:r>
            <w:r>
              <w:rPr>
                <w:rFonts w:asciiTheme="minorEastAsia" w:hAnsiTheme="minorEastAsia" w:eastAsiaTheme="minorEastAsia"/>
                <w:b/>
                <w:color w:val="auto"/>
                <w:sz w:val="18"/>
                <w:szCs w:val="18"/>
                <w:highlight w:val="none"/>
              </w:rPr>
              <w:t>(</w:t>
            </w:r>
            <w:r>
              <w:rPr>
                <w:rFonts w:hint="eastAsia" w:asciiTheme="minorEastAsia" w:hAnsiTheme="minorEastAsia" w:eastAsiaTheme="minorEastAsia"/>
                <w:b/>
                <w:color w:val="auto"/>
                <w:sz w:val="18"/>
                <w:szCs w:val="18"/>
                <w:highlight w:val="none"/>
              </w:rPr>
              <w:t>元</w:t>
            </w:r>
            <w:r>
              <w:rPr>
                <w:rFonts w:asciiTheme="minorEastAsia" w:hAnsiTheme="minorEastAsia" w:eastAsiaTheme="minorEastAsia"/>
                <w:b/>
                <w:color w:val="auto"/>
                <w:sz w:val="18"/>
                <w:szCs w:val="18"/>
                <w:highlight w:val="none"/>
              </w:rPr>
              <w:t>)</w:t>
            </w:r>
          </w:p>
        </w:tc>
        <w:tc>
          <w:tcPr>
            <w:tcW w:w="181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采购金额</w:t>
            </w:r>
            <w:r>
              <w:rPr>
                <w:rFonts w:asciiTheme="minorEastAsia" w:hAnsiTheme="minorEastAsia" w:eastAsiaTheme="minorEastAsia"/>
                <w:b/>
                <w:color w:val="auto"/>
                <w:sz w:val="18"/>
                <w:szCs w:val="18"/>
                <w:highlight w:val="none"/>
              </w:rPr>
              <w:t>(</w:t>
            </w:r>
            <w:r>
              <w:rPr>
                <w:rFonts w:hint="eastAsia" w:asciiTheme="minorEastAsia" w:hAnsiTheme="minorEastAsia" w:eastAsiaTheme="minorEastAsia"/>
                <w:b/>
                <w:color w:val="auto"/>
                <w:sz w:val="18"/>
                <w:szCs w:val="18"/>
                <w:highlight w:val="none"/>
              </w:rPr>
              <w:t>元</w:t>
            </w:r>
            <w:r>
              <w:rPr>
                <w:rFonts w:asciiTheme="minorEastAsia" w:hAnsiTheme="minorEastAsia" w:eastAsiaTheme="minorEastAsia"/>
                <w:b/>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00"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 w:val="18"/>
                <w:szCs w:val="18"/>
                <w:highlight w:val="none"/>
              </w:rPr>
            </w:pPr>
          </w:p>
        </w:tc>
        <w:tc>
          <w:tcPr>
            <w:tcW w:w="4012" w:type="dxa"/>
            <w:gridSpan w:val="2"/>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 w:val="18"/>
                <w:szCs w:val="18"/>
                <w:highlight w:val="none"/>
              </w:rPr>
            </w:pPr>
          </w:p>
        </w:tc>
        <w:tc>
          <w:tcPr>
            <w:tcW w:w="1211"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 w:val="18"/>
                <w:szCs w:val="18"/>
                <w:highlight w:val="none"/>
              </w:rPr>
            </w:pPr>
          </w:p>
        </w:tc>
        <w:tc>
          <w:tcPr>
            <w:tcW w:w="8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 w:val="18"/>
                <w:szCs w:val="18"/>
                <w:highlight w:val="none"/>
              </w:rPr>
            </w:pPr>
          </w:p>
        </w:tc>
        <w:tc>
          <w:tcPr>
            <w:tcW w:w="181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 w:val="18"/>
                <w:szCs w:val="18"/>
                <w:highlight w:val="none"/>
              </w:rPr>
            </w:pPr>
          </w:p>
        </w:tc>
        <w:tc>
          <w:tcPr>
            <w:tcW w:w="181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00" w:type="dxa"/>
            <w:tcBorders>
              <w:top w:val="single" w:color="auto" w:sz="4" w:space="0"/>
              <w:left w:val="single" w:color="auto" w:sz="4" w:space="0"/>
              <w:bottom w:val="single" w:color="auto" w:sz="4" w:space="0"/>
              <w:right w:val="single" w:color="auto" w:sz="4" w:space="0"/>
            </w:tcBorders>
          </w:tcPr>
          <w:p>
            <w:pPr>
              <w:spacing w:before="156" w:after="156" w:line="360" w:lineRule="auto"/>
              <w:jc w:val="center"/>
              <w:rPr>
                <w:rFonts w:asciiTheme="minorEastAsia" w:hAnsiTheme="minorEastAsia" w:eastAsiaTheme="minorEastAsia"/>
                <w:b/>
                <w:color w:val="auto"/>
                <w:sz w:val="18"/>
                <w:szCs w:val="18"/>
                <w:highlight w:val="none"/>
              </w:rPr>
            </w:pPr>
          </w:p>
        </w:tc>
        <w:tc>
          <w:tcPr>
            <w:tcW w:w="5223" w:type="dxa"/>
            <w:gridSpan w:val="3"/>
            <w:tcBorders>
              <w:top w:val="single" w:color="auto" w:sz="4" w:space="0"/>
              <w:left w:val="single" w:color="auto" w:sz="4" w:space="0"/>
              <w:bottom w:val="single" w:color="auto" w:sz="4" w:space="0"/>
              <w:right w:val="single" w:color="auto" w:sz="4" w:space="0"/>
            </w:tcBorders>
          </w:tcPr>
          <w:p>
            <w:pPr>
              <w:spacing w:before="156" w:after="156"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合计</w:t>
            </w:r>
          </w:p>
        </w:tc>
        <w:tc>
          <w:tcPr>
            <w:tcW w:w="8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 w:val="18"/>
                <w:szCs w:val="18"/>
                <w:highlight w:val="none"/>
              </w:rPr>
            </w:pPr>
          </w:p>
        </w:tc>
        <w:tc>
          <w:tcPr>
            <w:tcW w:w="181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 w:val="18"/>
                <w:szCs w:val="18"/>
                <w:highlight w:val="none"/>
              </w:rPr>
            </w:pPr>
          </w:p>
        </w:tc>
        <w:tc>
          <w:tcPr>
            <w:tcW w:w="181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 w:val="18"/>
                <w:szCs w:val="18"/>
                <w:highlight w:val="none"/>
              </w:rPr>
            </w:pP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 w:val="18"/>
          <w:szCs w:val="18"/>
          <w:highlight w:val="none"/>
        </w:rPr>
      </w:pPr>
      <w:r>
        <w:rPr>
          <w:rFonts w:hint="eastAsia" w:cs="Arial" w:asciiTheme="minorEastAsia" w:hAnsiTheme="minorEastAsia" w:eastAsiaTheme="minorEastAsia"/>
          <w:b/>
          <w:color w:val="auto"/>
          <w:kern w:val="0"/>
          <w:sz w:val="18"/>
          <w:szCs w:val="18"/>
          <w:highlight w:val="none"/>
        </w:rPr>
        <w:t>第三条 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1、本合同项下总价款为（大写）人民币，分项价款在“投标报价表”中明确。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2、本合同总价款包括货物设计、材料、制造、包装、运输、安装、调试、检测、售后服务、税费等全部费用。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3、本合同付款方式为以下第</w:t>
      </w:r>
      <w:r>
        <w:rPr>
          <w:rFonts w:hint="eastAsia" w:cs="Arial" w:asciiTheme="minorEastAsia" w:hAnsiTheme="minorEastAsia" w:eastAsiaTheme="minorEastAsia"/>
          <w:color w:val="auto"/>
          <w:kern w:val="0"/>
          <w:sz w:val="18"/>
          <w:szCs w:val="18"/>
          <w:highlight w:val="none"/>
          <w:u w:val="single"/>
        </w:rPr>
        <w:t xml:space="preserve">    （2）      </w:t>
      </w:r>
      <w:r>
        <w:rPr>
          <w:rFonts w:hint="eastAsia" w:cs="Arial" w:asciiTheme="minorEastAsia" w:hAnsiTheme="minorEastAsia" w:eastAsiaTheme="minorEastAsia"/>
          <w:color w:val="auto"/>
          <w:kern w:val="0"/>
          <w:sz w:val="18"/>
          <w:szCs w:val="18"/>
          <w:highlight w:val="none"/>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（1）本合同项下的采购资金系甲方自行支付，付款程序为</w:t>
      </w:r>
      <w:r>
        <w:rPr>
          <w:rFonts w:hint="eastAsia" w:cs="Arial" w:asciiTheme="minorEastAsia" w:hAnsiTheme="minorEastAsia" w:eastAsiaTheme="minorEastAsia"/>
          <w:color w:val="auto"/>
          <w:kern w:val="0"/>
          <w:sz w:val="18"/>
          <w:szCs w:val="18"/>
          <w:highlight w:val="none"/>
          <w:u w:val="single"/>
        </w:rPr>
        <w:t xml:space="preserve">          </w:t>
      </w:r>
      <w:r>
        <w:rPr>
          <w:rFonts w:hint="eastAsia" w:cs="Arial" w:asciiTheme="minorEastAsia" w:hAnsiTheme="minorEastAsia" w:eastAsiaTheme="minorEastAsia"/>
          <w:color w:val="auto"/>
          <w:kern w:val="0"/>
          <w:sz w:val="18"/>
          <w:szCs w:val="18"/>
          <w:highlight w:val="none"/>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 w:val="18"/>
          <w:szCs w:val="18"/>
          <w:highlight w:val="none"/>
          <w:u w:val="single"/>
        </w:rPr>
      </w:pPr>
      <w:r>
        <w:rPr>
          <w:rFonts w:hint="eastAsia" w:cs="Arial" w:asciiTheme="minorEastAsia" w:hAnsiTheme="minorEastAsia" w:eastAsiaTheme="minorEastAsia"/>
          <w:color w:val="auto"/>
          <w:kern w:val="0"/>
          <w:sz w:val="18"/>
          <w:szCs w:val="18"/>
          <w:highlight w:val="none"/>
        </w:rPr>
        <w:t>（2）本合同项下的采购资金须财政直接支付，付款程序为</w:t>
      </w:r>
      <w:r>
        <w:rPr>
          <w:rFonts w:hint="eastAsia" w:cs="Arial" w:asciiTheme="minorEastAsia" w:hAnsiTheme="minorEastAsia" w:eastAsiaTheme="minorEastAsia"/>
          <w:color w:val="auto"/>
          <w:kern w:val="0"/>
          <w:sz w:val="18"/>
          <w:szCs w:val="18"/>
          <w:highlight w:val="none"/>
          <w:u w:val="single"/>
        </w:rPr>
        <w:t xml:space="preserve">        </w:t>
      </w:r>
      <w:r>
        <w:rPr>
          <w:rFonts w:hint="eastAsia" w:cs="Arial" w:asciiTheme="minorEastAsia" w:hAnsiTheme="minorEastAsia" w:eastAsiaTheme="minorEastAsia"/>
          <w:color w:val="auto"/>
          <w:kern w:val="0"/>
          <w:sz w:val="18"/>
          <w:szCs w:val="18"/>
          <w:highlight w:val="none"/>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（3）其他方式：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若收取了履约保证金，则不应重复设置尾款支付条件。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 w:val="18"/>
          <w:szCs w:val="18"/>
          <w:highlight w:val="none"/>
        </w:rPr>
      </w:pPr>
      <w:r>
        <w:rPr>
          <w:rFonts w:hint="eastAsia" w:cs="Arial" w:asciiTheme="minorEastAsia" w:hAnsiTheme="minorEastAsia" w:eastAsiaTheme="minorEastAsia"/>
          <w:b/>
          <w:color w:val="auto"/>
          <w:kern w:val="0"/>
          <w:sz w:val="18"/>
          <w:szCs w:val="18"/>
          <w:highlight w:val="none"/>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 w:val="18"/>
          <w:szCs w:val="18"/>
          <w:highlight w:val="none"/>
        </w:rPr>
      </w:pPr>
      <w:r>
        <w:rPr>
          <w:rFonts w:hint="eastAsia" w:cs="Arial" w:asciiTheme="minorEastAsia" w:hAnsiTheme="minorEastAsia" w:eastAsiaTheme="minorEastAsia"/>
          <w:color w:val="auto"/>
          <w:kern w:val="0"/>
          <w:sz w:val="18"/>
          <w:szCs w:val="18"/>
          <w:highlight w:val="none"/>
        </w:rPr>
        <w:t>按以下第_________项处理：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1、本项目设置履约保证金，乙方应于_________（时间）向甲方提交履约保证金_________元（不得高于本合同金额的5%）。履约保证金在_________（时间）退还乙方。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r>
        <w:rPr>
          <w:rFonts w:hint="eastAsia" w:cs="Arial" w:asciiTheme="minorEastAsia" w:hAnsiTheme="minorEastAsia" w:eastAsiaTheme="minorEastAsia"/>
          <w:color w:val="auto"/>
          <w:kern w:val="0"/>
          <w:sz w:val="18"/>
          <w:szCs w:val="18"/>
          <w:highlight w:val="none"/>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 w:val="18"/>
          <w:szCs w:val="18"/>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除《政府采购法》第49条、第50条第二款规定的情形外，本合同一经签订，甲乙双方不得擅自终止合同或对合同实质性条款进行变更。确有特殊情况的，须经同级财政部门备案。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 w:val="18"/>
          <w:szCs w:val="18"/>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乙方不得擅自部分或全部转让其应履行的合同义务。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 w:val="18"/>
          <w:szCs w:val="18"/>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1、因履行本合同引起的或与本合同有关的争议，甲、乙双方应首先通过友好协商解决，如果协商不能解决争议，则采取以下第</w:t>
      </w:r>
      <w:r>
        <w:rPr>
          <w:rFonts w:hint="eastAsia" w:asciiTheme="minorEastAsia" w:hAnsiTheme="minorEastAsia" w:eastAsiaTheme="minorEastAsia"/>
          <w:color w:val="auto"/>
          <w:sz w:val="18"/>
          <w:szCs w:val="18"/>
          <w:highlight w:val="none"/>
          <w:u w:val="single"/>
        </w:rPr>
        <w:t xml:space="preserve">    </w:t>
      </w:r>
      <w:r>
        <w:rPr>
          <w:rFonts w:hint="eastAsia" w:asciiTheme="minorEastAsia" w:hAnsiTheme="minorEastAsia" w:eastAsiaTheme="minorEastAsia"/>
          <w:color w:val="auto"/>
          <w:sz w:val="18"/>
          <w:szCs w:val="18"/>
          <w:highlight w:val="none"/>
        </w:rPr>
        <w:t>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（2）向仲裁委员申请仲裁。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本合同一式五份，甲乙双方各执二份， 一份送招标代理机构存档。</w:t>
      </w:r>
    </w:p>
    <w:p>
      <w:pPr>
        <w:snapToGrid w:val="0"/>
        <w:spacing w:beforeLines="50" w:afterLines="50" w:line="360" w:lineRule="auto"/>
        <w:jc w:val="center"/>
        <w:outlineLvl w:val="9"/>
        <w:rPr>
          <w:rFonts w:cs="Arial" w:asciiTheme="minorEastAsia" w:hAnsiTheme="minorEastAsia" w:eastAsiaTheme="minorEastAsia"/>
          <w:b/>
          <w:color w:val="auto"/>
          <w:kern w:val="0"/>
          <w:sz w:val="18"/>
          <w:szCs w:val="18"/>
          <w:highlight w:val="none"/>
        </w:rPr>
      </w:pPr>
    </w:p>
    <w:p>
      <w:pPr>
        <w:snapToGrid w:val="0"/>
        <w:spacing w:beforeLines="50" w:afterLines="50" w:line="360" w:lineRule="auto"/>
        <w:jc w:val="center"/>
        <w:outlineLvl w:val="0"/>
        <w:rPr>
          <w:rFonts w:cs="Arial" w:asciiTheme="minorEastAsia" w:hAnsiTheme="minorEastAsia" w:eastAsiaTheme="minorEastAsia"/>
          <w:b/>
          <w:color w:val="auto"/>
          <w:kern w:val="0"/>
          <w:sz w:val="18"/>
          <w:szCs w:val="18"/>
          <w:highlight w:val="none"/>
        </w:rPr>
      </w:pPr>
      <w:bookmarkStart w:id="198" w:name="_Toc30292"/>
      <w:bookmarkStart w:id="199" w:name="_Toc3654"/>
      <w:r>
        <w:rPr>
          <w:rFonts w:hint="eastAsia" w:cs="Arial" w:asciiTheme="minorEastAsia" w:hAnsiTheme="minorEastAsia" w:eastAsiaTheme="minorEastAsia"/>
          <w:b/>
          <w:color w:val="auto"/>
          <w:kern w:val="0"/>
          <w:sz w:val="18"/>
          <w:szCs w:val="18"/>
          <w:highlight w:val="none"/>
        </w:rPr>
        <w:t>二、特殊专用条款部分（双方协商拟定）</w:t>
      </w:r>
      <w:bookmarkEnd w:id="198"/>
      <w:bookmarkEnd w:id="199"/>
    </w:p>
    <w:p>
      <w:pPr>
        <w:pStyle w:val="30"/>
        <w:snapToGrid w:val="0"/>
        <w:spacing w:before="120" w:after="120"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甲方：乙方：</w:t>
      </w:r>
    </w:p>
    <w:p>
      <w:pPr>
        <w:pStyle w:val="30"/>
        <w:snapToGrid w:val="0"/>
        <w:spacing w:before="120" w:after="120"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地址：地址：</w:t>
      </w:r>
    </w:p>
    <w:p>
      <w:pPr>
        <w:pStyle w:val="30"/>
        <w:snapToGrid w:val="0"/>
        <w:spacing w:before="120" w:after="120"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法定代表人或被授权人：法定代表人或被授权人：</w:t>
      </w:r>
    </w:p>
    <w:p>
      <w:pPr>
        <w:pStyle w:val="30"/>
        <w:snapToGrid w:val="0"/>
        <w:spacing w:before="120" w:after="120"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签订地点：</w:t>
      </w:r>
    </w:p>
    <w:p>
      <w:pPr>
        <w:pStyle w:val="30"/>
        <w:snapToGrid w:val="0"/>
        <w:spacing w:before="120" w:after="120" w:line="360" w:lineRule="auto"/>
        <w:rPr>
          <w:rFonts w:hint="eastAsia"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签订日期：年月日</w:t>
      </w:r>
    </w:p>
    <w:p>
      <w:pPr>
        <w:rPr>
          <w:rFonts w:hint="eastAsia"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br w:type="page"/>
      </w:r>
    </w:p>
    <w:p>
      <w:pPr>
        <w:spacing w:line="360" w:lineRule="auto"/>
        <w:ind w:firstLine="482"/>
        <w:jc w:val="center"/>
        <w:outlineLvl w:val="1"/>
        <w:rPr>
          <w:rFonts w:hint="eastAsia" w:ascii="微软雅黑" w:hAnsi="微软雅黑" w:eastAsia="微软雅黑"/>
          <w:b/>
          <w:color w:val="auto"/>
          <w:sz w:val="18"/>
          <w:szCs w:val="18"/>
          <w:highlight w:val="none"/>
        </w:rPr>
      </w:pPr>
      <w:r>
        <w:rPr>
          <w:rFonts w:hint="eastAsia" w:ascii="微软雅黑" w:hAnsi="微软雅黑" w:eastAsia="微软雅黑"/>
          <w:b/>
          <w:color w:val="auto"/>
          <w:sz w:val="18"/>
          <w:szCs w:val="18"/>
          <w:highlight w:val="none"/>
        </w:rPr>
        <w:t>合同协议条款</w:t>
      </w:r>
    </w:p>
    <w:p>
      <w:pPr>
        <w:numPr>
          <w:ilvl w:val="0"/>
          <w:numId w:val="13"/>
        </w:numPr>
        <w:spacing w:line="360" w:lineRule="auto"/>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词语定义合同文件</w:t>
      </w:r>
    </w:p>
    <w:p>
      <w:pPr>
        <w:spacing w:line="360" w:lineRule="auto"/>
        <w:ind w:left="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1 词语定义</w:t>
      </w:r>
    </w:p>
    <w:p>
      <w:pPr>
        <w:spacing w:line="360" w:lineRule="auto"/>
        <w:ind w:left="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下列词语除补充条款另有约定外，应具有本条所赋予的定义：</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1.1协议条款：是根据法律、行政法规规定及养护要求的需要订立，通用于本项目实施的条款。</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1.2补充条款：是双方根据有关法律、行政法规规定，结合项目实际情况，经协商达成意见的条款，是对协议条款内容的具体化、补充或修改。</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1.3发包人：指在协议书中约定，被发包人接受的具有</w:t>
      </w:r>
      <w:r>
        <w:rPr>
          <w:rFonts w:hint="eastAsia" w:ascii="宋体" w:hAnsi="宋体" w:cs="宋体"/>
          <w:color w:val="auto"/>
          <w:sz w:val="18"/>
          <w:szCs w:val="18"/>
          <w:highlight w:val="none"/>
          <w:lang w:eastAsia="zh-CN"/>
        </w:rPr>
        <w:t>养护</w:t>
      </w:r>
      <w:r>
        <w:rPr>
          <w:rFonts w:hint="eastAsia" w:ascii="宋体" w:hAnsi="宋体" w:eastAsia="宋体" w:cs="宋体"/>
          <w:color w:val="auto"/>
          <w:sz w:val="18"/>
          <w:szCs w:val="18"/>
          <w:highlight w:val="none"/>
        </w:rPr>
        <w:t>主体资格的当事人。</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1.4 承包人：指在协议书中约定，被发包人接受的具有</w:t>
      </w:r>
      <w:r>
        <w:rPr>
          <w:rFonts w:hint="eastAsia" w:ascii="宋体" w:hAnsi="宋体" w:cs="宋体"/>
          <w:color w:val="auto"/>
          <w:sz w:val="18"/>
          <w:szCs w:val="18"/>
          <w:highlight w:val="none"/>
          <w:lang w:eastAsia="zh-CN"/>
        </w:rPr>
        <w:t>养护</w:t>
      </w:r>
      <w:r>
        <w:rPr>
          <w:rFonts w:hint="eastAsia" w:ascii="宋体" w:hAnsi="宋体" w:eastAsia="宋体" w:cs="宋体"/>
          <w:color w:val="auto"/>
          <w:sz w:val="18"/>
          <w:szCs w:val="18"/>
          <w:highlight w:val="none"/>
        </w:rPr>
        <w:t>承包主体资格的当事人。</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1.5项目：</w:t>
      </w:r>
      <w:r>
        <w:rPr>
          <w:rFonts w:hint="eastAsia" w:ascii="宋体" w:hAnsi="宋体" w:cs="宋体"/>
          <w:color w:val="auto"/>
          <w:sz w:val="18"/>
          <w:szCs w:val="18"/>
          <w:highlight w:val="none"/>
          <w:lang w:eastAsia="zh-CN"/>
        </w:rPr>
        <w:t>新城街道2024年度区域绿化养护项目</w:t>
      </w:r>
      <w:r>
        <w:rPr>
          <w:rFonts w:hint="eastAsia" w:ascii="宋体" w:hAnsi="宋体" w:eastAsia="宋体" w:cs="宋体"/>
          <w:color w:val="auto"/>
          <w:sz w:val="18"/>
          <w:szCs w:val="18"/>
          <w:highlight w:val="none"/>
        </w:rPr>
        <w:t>。</w:t>
      </w:r>
    </w:p>
    <w:p>
      <w:pPr>
        <w:spacing w:line="360" w:lineRule="auto"/>
        <w:ind w:left="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1.6月日指日历月日</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2 语言文字和适用法律、标准及规范</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2.1语言文字</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本合同文件使用汉语书写和解释、说明。</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2.2适用法律法规</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适用中华人民共和国的法律、法规和嘉兴市的地方法规；</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2.3适用标准、规范</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综合养护质量规范</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二、双方一般权利和义务</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3 甲方代表</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甲方指派</w:t>
      </w:r>
      <w:r>
        <w:rPr>
          <w:rFonts w:hint="eastAsia"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为甲方代表，全面负责日常养护作业的管理工作。</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4 乙方代表</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4.1乙方指派</w:t>
      </w:r>
      <w:r>
        <w:rPr>
          <w:rFonts w:hint="eastAsia"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为养护项目负责人，具体负责本养护作业工作，并用书面材料报甲方备案。</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4.2项目负责人等有关人员必须按时参加由甲方召开的养护例会和各种必须参加的会议。</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4.3乙方如需更换项目负责人，应至少提前7天以书面形式通知甲方，并征得甲方同意。后任继续行使合同文件的前任的职权，履行前任的义务。</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4.4甲方可以与乙方协商，建议更换其认为不称职的项目负责人。</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5 甲方工作</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5.1组织召开养护作业技术交底会。</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5.2协助乙方办理养护所需的有关证件，批件等。</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5.3负责乙方的日常养护作业的管理和检查(定期检查和抽查相结合)。每个月约定月底对乙方作出养护工作计划布置和对养护工作进行考核(全年考核不少于12次)，考核按有关养护工作考核标准并结合甲方养护工作计划要求综合进行年终综合考核考评。</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5.4甲方对乙方的养护质量进行检查并进行每月考核，考核结果作为支付养护经费的依据。</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5.5负责合同期间的行政许可审批及协调工作，如遇突发事件，协调乙方在作业过程中与其他管理部门的关系。</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5.6进行绿化养护工作业务指导。</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5.7甲方应作的其他工作，双方在补充条款内约定。</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6 乙方工作</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6.1乙方提交养护工作计划经甲方核定后，由乙方承担日常养护作业。</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6.2做好日、周统计报表，并按时做好月、季、年度上报养护工作完成情况表，按甲方要求及时上报。</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6.3应按甲方提出的以周围建筑物和各种管线的要求落实保护措施；</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6.4建立巡视报告制，每天有专人进行对绿化等设施的巡视，并做好每日巡视记录。发现养护范围内绿化缺损，适时补种，并把结果报告甲方；</w:t>
      </w:r>
    </w:p>
    <w:p>
      <w:pPr>
        <w:spacing w:line="360" w:lineRule="auto"/>
        <w:ind w:firstLine="361" w:firstLineChars="20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 xml:space="preserve"> 巡视中发现区域内有违章搭建及无证占绿、乱种植等现象，由乙方负责处理，必须当场予以制止，并清理干净，恢复原样。养护区域内的所有附属设施均由乙方负责维修、安装。</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6.5超出常规小修范围的工作，需提前报甲方审批；</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6.6及时解决来信、来访，并根据甲方要求及时处理；</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6.7按时完成甲方交办的其它突击性任务和指令性任务；</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6.8认真做好防台防汛等工作；</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6.9加强法定节假日的正常养护工作；</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6.10清除杂草是一经常性的工作，但除草以春季为一年中的关键，应集中除杂草1-2次。一年中严禁杂草结籽，减少第二年的杂草种原；</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6.11注意病虫害的防治。抓住重点防治时期进行早期预防是其关键。病害以提前预防为主，虫害遵循治早治小的原则，树每年3次以上。药剂种类、浓度根据实际需要确定并报甲方备案，要严格操作规程，使病虫害有明显抑制；树木冬季应刷白，高度为乔木1米，乔状灌木0.5米；</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6.12注意养护区的排灌水。主要是梅雨、台汛和阵雨积水，出现积水时要及时排出，一般积水不得超过4小时，应做好排水沟渠的通畅，灌排设施的完整，结合临时排水等措施进行，避免因积水而造成植物的死亡。灌溉必须根据气候条件的变化灵活掌握。一般来说，春季到初夏，苗木处于旺盛生长期，南方雨水多，只要灌溉三四次即可，初夏如果高温又干旱，必须增加灌水次数，秋季，为了让苗木组织充实和木质化，准备越冬，一般不灌水。冬季，南方不灌水；</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6.13苗木初始补植时需要适当施肥，促进苗木生长，肥料种类、数量由乙方根据实际情况确定并报甲方核准备案，以保持良好生长势；</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6.1</w:t>
      </w: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因乙方管理不到位而引起的安全事故责任由乙方承担。</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6.1</w:t>
      </w: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乙方应作的其他工作，双方在补充条款内约定。</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四、养护组织设计</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7 进度计划</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7.1乙方在本合同生效后15天内上报全年养护作业维修计划，并结合季节特点，制定季度、月度养护计划</w:t>
      </w:r>
      <w:r>
        <w:rPr>
          <w:rFonts w:hint="eastAsia" w:ascii="宋体" w:hAnsi="宋体" w:cs="宋体"/>
          <w:color w:val="auto"/>
          <w:sz w:val="18"/>
          <w:szCs w:val="18"/>
          <w:highlight w:val="none"/>
          <w:lang w:eastAsia="zh-CN"/>
        </w:rPr>
        <w:t>（包括但不限于日常的工作量，用工用料以清单形式提供）</w:t>
      </w:r>
      <w:r>
        <w:rPr>
          <w:rFonts w:hint="eastAsia" w:ascii="宋体" w:hAnsi="宋体" w:eastAsia="宋体" w:cs="宋体"/>
          <w:color w:val="auto"/>
          <w:sz w:val="18"/>
          <w:szCs w:val="18"/>
          <w:highlight w:val="none"/>
        </w:rPr>
        <w:t>、材料计划送交甲方。甲方在7天内予以确认。</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7.2乙方必须按甲方确认的进度计划组织养护作业，接受甲方对进度的检查、监督。养护作业实际进度与经确认的进度计划不一致时，乙方应按甲方的要求提出改进措施，经甲方代表确认后执行。因乙方的原因导致实际进度与计划进度不符，乙方无权就改进措施提出追加合同价款。</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五、质量与考核</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8 质量标准</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养护质量标准参照补充条款约定的质量标准。因乙方原因使养护质量达不到约定的质量标准，乙方承担违约责任。</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9 检查和考核</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9.1乙方应认真按照补充条款中约定的质量标准进行养护，随时接受甲方的检查和考核，为检查和考核提供便利条件。</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9.2对于养护质量或</w:t>
      </w:r>
      <w:r>
        <w:rPr>
          <w:rFonts w:hint="eastAsia" w:ascii="宋体" w:hAnsi="宋体" w:cs="宋体"/>
          <w:color w:val="auto"/>
          <w:sz w:val="18"/>
          <w:szCs w:val="18"/>
          <w:highlight w:val="none"/>
          <w:lang w:eastAsia="zh-CN"/>
        </w:rPr>
        <w:t>养护</w:t>
      </w:r>
      <w:r>
        <w:rPr>
          <w:rFonts w:hint="eastAsia" w:ascii="宋体" w:hAnsi="宋体" w:eastAsia="宋体" w:cs="宋体"/>
          <w:color w:val="auto"/>
          <w:sz w:val="18"/>
          <w:szCs w:val="18"/>
          <w:highlight w:val="none"/>
        </w:rPr>
        <w:t>期不符合要求的，甲方先通知限期整改，乙方逾期不整改的或整改效果不符合要求的，由甲方派其他队伍整改，费用在乙方养护费用中扣除。</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9.3甲方按照补充条款中约定的考核办法及奖惩措施进行考核。</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9.4乙方经考核确实不能承担养护作业的，甲方有权无条件单方终止合同。乙方接甲方通知后24小时内必须无条件清退出场，由此造成的损失由乙方承担，原已完成的工作量按实结算。</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9.5甲方结合养护新特点和行业颁布的最新标准，甲方有修改考核标准的权利。</w:t>
      </w:r>
    </w:p>
    <w:p>
      <w:pPr>
        <w:spacing w:line="360" w:lineRule="auto"/>
        <w:ind w:firstLine="482"/>
        <w:rPr>
          <w:rFonts w:hint="eastAsia" w:ascii="宋体" w:hAnsi="宋体" w:eastAsia="宋体" w:cs="宋体"/>
          <w:b/>
          <w:color w:val="auto"/>
          <w:sz w:val="18"/>
          <w:szCs w:val="18"/>
          <w:highlight w:val="none"/>
          <w:lang w:eastAsia="zh-CN"/>
        </w:rPr>
      </w:pPr>
      <w:r>
        <w:rPr>
          <w:rFonts w:hint="eastAsia" w:ascii="宋体" w:hAnsi="宋体" w:eastAsia="宋体" w:cs="宋体"/>
          <w:b/>
          <w:color w:val="auto"/>
          <w:sz w:val="18"/>
          <w:szCs w:val="18"/>
          <w:highlight w:val="none"/>
        </w:rPr>
        <w:t>六、安全文明</w:t>
      </w:r>
      <w:r>
        <w:rPr>
          <w:rFonts w:hint="eastAsia" w:ascii="宋体" w:hAnsi="宋体" w:cs="宋体"/>
          <w:b/>
          <w:color w:val="auto"/>
          <w:sz w:val="18"/>
          <w:szCs w:val="18"/>
          <w:highlight w:val="none"/>
          <w:lang w:eastAsia="zh-CN"/>
        </w:rPr>
        <w:t>工作</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10 安全文明</w:t>
      </w:r>
      <w:r>
        <w:rPr>
          <w:rFonts w:hint="eastAsia" w:ascii="宋体" w:hAnsi="宋体" w:cs="宋体"/>
          <w:b/>
          <w:color w:val="auto"/>
          <w:sz w:val="18"/>
          <w:szCs w:val="18"/>
          <w:highlight w:val="none"/>
          <w:lang w:eastAsia="zh-CN"/>
        </w:rPr>
        <w:t>工作</w:t>
      </w:r>
      <w:r>
        <w:rPr>
          <w:rFonts w:hint="eastAsia" w:ascii="宋体" w:hAnsi="宋体" w:eastAsia="宋体" w:cs="宋体"/>
          <w:b/>
          <w:color w:val="auto"/>
          <w:sz w:val="18"/>
          <w:szCs w:val="18"/>
          <w:highlight w:val="none"/>
        </w:rPr>
        <w:t>与检查</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10.1乙方应遵循有关规定及行业规范，严格按照操作规程作业，并随时接受甲方或有关部门的监督检查和社会监督，采取必要的安全防护措施，消除事故隐患。</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10.2由于乙方管理不善，引起政府职能部门处罚和限期整改，或安全措施不力造成事故的责任和因此发生的费用，由乙方承担。</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11 安全防护</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11.1养护作业人员应做好各项安全防范措施，必须着装上岗操作。</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12 事故处理</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12.1发生重大伤亡及其他安全事故，乙方就有关规定立即上报有关部门并通知甲方代表，同时按政府有关部门要求处理由事故责任方承担发生的费用。</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七、合同价款与支付</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13 合同价款及调整</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13.1合同价款由甲、乙双方依据中标通知书中的中标价格在协议书内约定。</w:t>
      </w:r>
    </w:p>
    <w:p>
      <w:pPr>
        <w:spacing w:line="360" w:lineRule="auto"/>
        <w:ind w:firstLine="480"/>
        <w:rPr>
          <w:rFonts w:hint="eastAsia" w:ascii="宋体" w:hAnsi="宋体" w:eastAsia="宋体" w:cs="宋体"/>
          <w:b/>
          <w:color w:val="auto"/>
          <w:sz w:val="18"/>
          <w:szCs w:val="18"/>
          <w:highlight w:val="none"/>
          <w:u w:val="single"/>
        </w:rPr>
      </w:pPr>
      <w:r>
        <w:rPr>
          <w:rFonts w:hint="eastAsia" w:ascii="宋体" w:hAnsi="宋体" w:eastAsia="宋体" w:cs="宋体"/>
          <w:color w:val="auto"/>
          <w:sz w:val="18"/>
          <w:szCs w:val="18"/>
          <w:highlight w:val="none"/>
        </w:rPr>
        <w:t>13.2</w:t>
      </w:r>
      <w:r>
        <w:rPr>
          <w:rFonts w:hint="eastAsia" w:ascii="宋体" w:hAnsi="宋体" w:eastAsia="宋体" w:cs="宋体"/>
          <w:b/>
          <w:bCs/>
          <w:color w:val="auto"/>
          <w:sz w:val="18"/>
          <w:szCs w:val="18"/>
          <w:highlight w:val="none"/>
        </w:rPr>
        <w:t>本合同价款采用固定单价合同</w:t>
      </w:r>
      <w:r>
        <w:rPr>
          <w:rFonts w:hint="eastAsia" w:ascii="宋体" w:hAnsi="宋体" w:eastAsia="宋体" w:cs="宋体"/>
          <w:b/>
          <w:color w:val="auto"/>
          <w:sz w:val="18"/>
          <w:szCs w:val="18"/>
          <w:highlight w:val="none"/>
        </w:rPr>
        <w:t>。</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13.3双方约定合同价款的其他调整因素：</w:t>
      </w:r>
    </w:p>
    <w:p>
      <w:pPr>
        <w:spacing w:line="360" w:lineRule="auto"/>
        <w:ind w:firstLine="270" w:firstLineChars="1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(1)合同执行期间如遇政策性调整，以有关管理部门的文件为准。</w:t>
      </w:r>
    </w:p>
    <w:p>
      <w:pPr>
        <w:spacing w:line="360" w:lineRule="auto"/>
        <w:ind w:firstLine="426"/>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(2)双方在补充条款中约定的其他调整因素。</w:t>
      </w:r>
    </w:p>
    <w:p>
      <w:pPr>
        <w:spacing w:line="360" w:lineRule="auto"/>
        <w:ind w:firstLine="48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合同价款的变更由双方以补充合同形式予以确定。</w:t>
      </w:r>
    </w:p>
    <w:p>
      <w:pPr>
        <w:spacing w:line="360" w:lineRule="auto"/>
        <w:ind w:firstLine="48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14 合同价款支付</w:t>
      </w:r>
    </w:p>
    <w:p>
      <w:pPr>
        <w:spacing w:line="360" w:lineRule="auto"/>
        <w:ind w:firstLine="48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甲方根据实际考核结果，每季度支付一次养护费用，在下一个月的月中前支付。</w:t>
      </w:r>
    </w:p>
    <w:p>
      <w:pPr>
        <w:spacing w:line="360" w:lineRule="auto"/>
        <w:ind w:firstLine="48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15履约保证金</w:t>
      </w:r>
    </w:p>
    <w:p>
      <w:pPr>
        <w:spacing w:line="460" w:lineRule="exact"/>
        <w:ind w:firstLine="360" w:firstLineChars="200"/>
        <w:jc w:val="left"/>
        <w:rPr>
          <w:rFonts w:hint="eastAsia" w:ascii="宋体" w:hAnsi="宋体" w:eastAsia="宋体" w:cs="宋体"/>
          <w:color w:val="auto"/>
          <w:sz w:val="18"/>
          <w:szCs w:val="18"/>
          <w:highlight w:val="none"/>
        </w:rPr>
      </w:pPr>
      <w:r>
        <w:rPr>
          <w:rFonts w:hint="eastAsia" w:ascii="宋体" w:hAnsi="宋体" w:cs="宋体"/>
          <w:color w:val="auto"/>
          <w:sz w:val="18"/>
          <w:szCs w:val="18"/>
          <w:highlight w:val="none"/>
          <w:lang w:val="en-US" w:eastAsia="zh-CN"/>
        </w:rPr>
        <w:t>见投标人须知前附表</w:t>
      </w:r>
      <w:r>
        <w:rPr>
          <w:rFonts w:hint="eastAsia" w:ascii="宋体" w:hAnsi="宋体" w:eastAsia="宋体" w:cs="宋体"/>
          <w:color w:val="auto"/>
          <w:sz w:val="18"/>
          <w:szCs w:val="18"/>
          <w:highlight w:val="none"/>
        </w:rPr>
        <w:t>。</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八、材料设备供应</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16材料设备供应</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16.1养护维修所需的材料、制品、工具、设备等，原则上均由乙方自行解决，如遇特殊情况，按补充条款约定的方式采购或配备。</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九、违约和争议</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17 违约</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17.1甲方代表不能及时给出很必要指令、确认、批准，不能按合同约定履行自己的各项义务、以及发生其它使合同无法履行的行为，应承担违约责任(包括支付违约导致乙方增加经济支出和从应之日起计算的应支付款项的利息)。</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17.2乙方不能达到所承诺的养护、维修质量标准，乙方按协议条款支付违约金，赔偿因违约给甲方造成的损失。</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17.3因一方违约使合同不能履行，另一方欲终止或解除全部合同，应提前10天通知违约方后，方可终止或解除合同，由违约方承担违约责任。</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18 争议</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18.1甲乙双方因合同发生争议，要求调解、仲裁、起诉的，采用以下一种方式解决：</w:t>
      </w:r>
    </w:p>
    <w:p>
      <w:pPr>
        <w:numPr>
          <w:ilvl w:val="0"/>
          <w:numId w:val="14"/>
        </w:numPr>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甲乙双方协商</w:t>
      </w:r>
    </w:p>
    <w:p>
      <w:pPr>
        <w:numPr>
          <w:ilvl w:val="0"/>
          <w:numId w:val="14"/>
        </w:numPr>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向有管辖权的经济合同仲裁机关申请仲裁；</w:t>
      </w:r>
    </w:p>
    <w:p>
      <w:pPr>
        <w:numPr>
          <w:ilvl w:val="0"/>
          <w:numId w:val="14"/>
        </w:numPr>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向有管辖权的人民法院起诉。</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18.2发生争议后，除出现以下情况的，双方都应继续履行合同，保持养护连续性：</w:t>
      </w:r>
    </w:p>
    <w:p>
      <w:pPr>
        <w:numPr>
          <w:ilvl w:val="0"/>
          <w:numId w:val="15"/>
        </w:numPr>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合同确已无法履行；</w:t>
      </w:r>
    </w:p>
    <w:p>
      <w:pPr>
        <w:numPr>
          <w:ilvl w:val="0"/>
          <w:numId w:val="15"/>
        </w:numPr>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双方协议停止养护作业；</w:t>
      </w:r>
    </w:p>
    <w:p>
      <w:pPr>
        <w:numPr>
          <w:ilvl w:val="0"/>
          <w:numId w:val="15"/>
        </w:numPr>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仲裁机关要求停止养护作业；</w:t>
      </w:r>
    </w:p>
    <w:p>
      <w:pPr>
        <w:numPr>
          <w:ilvl w:val="0"/>
          <w:numId w:val="15"/>
        </w:numPr>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法院要求停止养护作业。</w:t>
      </w:r>
    </w:p>
    <w:p>
      <w:pPr>
        <w:spacing w:line="360" w:lineRule="auto"/>
        <w:ind w:left="48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十、合同中止</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19.1承包范围内的养护管理项目，乙方不得采取任何形式实施分包和转包，凡违反此规定的，甲方将立即取消乙方的承包资格，中止养护承包合同的履行，由此产生的一切法律责任和经济损失由乙方承担；</w:t>
      </w:r>
    </w:p>
    <w:p>
      <w:pPr>
        <w:spacing w:line="360" w:lineRule="auto"/>
        <w:ind w:firstLine="480"/>
        <w:rPr>
          <w:rFonts w:hint="eastAsia" w:ascii="宋体" w:hAnsi="宋体" w:eastAsia="宋体" w:cs="宋体"/>
          <w:b/>
          <w:color w:val="auto"/>
          <w:sz w:val="18"/>
          <w:szCs w:val="18"/>
          <w:highlight w:val="none"/>
        </w:rPr>
      </w:pPr>
      <w:r>
        <w:rPr>
          <w:rFonts w:hint="eastAsia" w:ascii="宋体" w:hAnsi="宋体" w:eastAsia="宋体" w:cs="宋体"/>
          <w:color w:val="auto"/>
          <w:sz w:val="18"/>
          <w:szCs w:val="18"/>
          <w:highlight w:val="none"/>
        </w:rPr>
        <w:t>19.2</w:t>
      </w:r>
      <w:r>
        <w:rPr>
          <w:rFonts w:hint="eastAsia" w:ascii="宋体" w:hAnsi="宋体" w:eastAsia="宋体" w:cs="宋体"/>
          <w:b/>
          <w:color w:val="auto"/>
          <w:sz w:val="18"/>
          <w:szCs w:val="18"/>
          <w:highlight w:val="none"/>
        </w:rPr>
        <w:t>养护期为</w:t>
      </w:r>
      <w:r>
        <w:rPr>
          <w:rFonts w:hint="eastAsia" w:ascii="宋体" w:hAnsi="宋体" w:eastAsia="宋体" w:cs="宋体"/>
          <w:b/>
          <w:color w:val="auto"/>
          <w:sz w:val="18"/>
          <w:szCs w:val="18"/>
          <w:highlight w:val="none"/>
          <w:lang w:val="en-US" w:eastAsia="zh-CN"/>
        </w:rPr>
        <w:t>1</w:t>
      </w:r>
      <w:r>
        <w:rPr>
          <w:rFonts w:hint="eastAsia" w:ascii="宋体" w:hAnsi="宋体" w:eastAsia="宋体" w:cs="宋体"/>
          <w:b/>
          <w:color w:val="auto"/>
          <w:sz w:val="18"/>
          <w:szCs w:val="18"/>
          <w:highlight w:val="none"/>
        </w:rPr>
        <w:t>年。</w:t>
      </w:r>
    </w:p>
    <w:p>
      <w:pPr>
        <w:spacing w:line="360" w:lineRule="auto"/>
        <w:ind w:firstLine="480"/>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十一、其他</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20.1在本合同执行过程中如遇和国家政策、地方法规的有关规定不符时，按有关政策法规执行。</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20.2如遇自然灾害和不可抗力造成损失的，经双方协商解决。</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20.3本合同如有未尽事宜，双方可通过协商补充协议解决。</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十二、合同生效与终止</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21.1双方在合同协议书中约定合同生效方式。</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21.2双方履行合同全部义务，合同付款支付完毕后，本合同即告终止。</w:t>
      </w:r>
    </w:p>
    <w:p>
      <w:pPr>
        <w:spacing w:line="360" w:lineRule="auto"/>
        <w:ind w:firstLine="482"/>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十三、合同份数</w:t>
      </w:r>
    </w:p>
    <w:p>
      <w:pPr>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22.1本合同正本二份，具有同等效力。由甲方、乙方分别保存一份。</w:t>
      </w:r>
    </w:p>
    <w:p>
      <w:pPr>
        <w:ind w:firstLine="360" w:firstLineChars="200"/>
        <w:rPr>
          <w:rFonts w:hint="eastAsia" w:ascii="宋体" w:hAnsi="宋体" w:eastAsia="宋体" w:cs="宋体"/>
          <w:color w:val="auto"/>
          <w:highlight w:val="none"/>
        </w:rPr>
      </w:pPr>
      <w:r>
        <w:rPr>
          <w:rFonts w:hint="eastAsia" w:ascii="宋体" w:hAnsi="宋体" w:eastAsia="宋体" w:cs="宋体"/>
          <w:color w:val="auto"/>
          <w:sz w:val="18"/>
          <w:szCs w:val="18"/>
          <w:highlight w:val="none"/>
        </w:rPr>
        <w:t>22.2本合同副本六份，由甲乙双方分别保存三份。</w:t>
      </w:r>
    </w:p>
    <w:p>
      <w:pPr>
        <w:pStyle w:val="30"/>
        <w:adjustRightInd w:val="0"/>
        <w:spacing w:before="120" w:after="120" w:line="360" w:lineRule="auto"/>
        <w:rPr>
          <w:rFonts w:asciiTheme="minorEastAsia" w:hAnsiTheme="minorEastAsia" w:eastAsiaTheme="minorEastAsia"/>
          <w:bCs/>
          <w:color w:val="auto"/>
          <w:sz w:val="21"/>
          <w:szCs w:val="21"/>
          <w:highlight w:val="none"/>
        </w:rPr>
      </w:pPr>
    </w:p>
    <w:p>
      <w:pPr>
        <w:pStyle w:val="30"/>
        <w:adjustRightInd w:val="0"/>
        <w:spacing w:before="120" w:after="120" w:line="360" w:lineRule="auto"/>
        <w:rPr>
          <w:rFonts w:asciiTheme="minorEastAsia" w:hAnsiTheme="minorEastAsia" w:eastAsiaTheme="minorEastAsia"/>
          <w:bCs/>
          <w:color w:val="auto"/>
          <w:sz w:val="21"/>
          <w:szCs w:val="21"/>
          <w:highlight w:val="none"/>
        </w:rPr>
        <w:sectPr>
          <w:pgSz w:w="11906" w:h="16838"/>
          <w:pgMar w:top="1440" w:right="1289" w:bottom="1440"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30"/>
        <w:adjustRightInd w:val="0"/>
        <w:spacing w:before="120" w:after="120" w:line="360" w:lineRule="auto"/>
        <w:jc w:val="center"/>
        <w:rPr>
          <w:rFonts w:asciiTheme="minorEastAsia" w:hAnsiTheme="minorEastAsia" w:eastAsiaTheme="minorEastAsia"/>
          <w:bCs/>
          <w:color w:val="auto"/>
          <w:sz w:val="21"/>
          <w:szCs w:val="21"/>
          <w:highlight w:val="none"/>
        </w:rPr>
      </w:pPr>
      <w:r>
        <w:rPr>
          <w:rFonts w:hint="eastAsia" w:cs="宋体" w:asciiTheme="minorEastAsia" w:hAnsiTheme="minorEastAsia" w:eastAsiaTheme="minorEastAsia"/>
          <w:b/>
          <w:bCs/>
          <w:color w:val="auto"/>
          <w:kern w:val="0"/>
          <w:sz w:val="21"/>
          <w:szCs w:val="21"/>
          <w:highlight w:val="none"/>
        </w:rPr>
        <w:t>政 府 采 购 项 目 验 收 单</w:t>
      </w:r>
    </w:p>
    <w:p>
      <w:pPr>
        <w:widowControl/>
        <w:spacing w:line="36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按照《政府采购委托汇总确认书》</w:t>
      </w:r>
      <w:r>
        <w:rPr>
          <w:rFonts w:hint="eastAsia" w:cs="宋体" w:asciiTheme="minorEastAsia" w:hAnsiTheme="minorEastAsia" w:eastAsiaTheme="minorEastAsia"/>
          <w:color w:val="auto"/>
          <w:kern w:val="0"/>
          <w:sz w:val="18"/>
          <w:szCs w:val="18"/>
          <w:highlight w:val="none"/>
          <w:lang w:eastAsia="zh-CN"/>
        </w:rPr>
        <w:t>嘉兴市秀洲区财政局</w:t>
      </w:r>
      <w:r>
        <w:rPr>
          <w:color w:val="auto"/>
          <w:sz w:val="18"/>
          <w:szCs w:val="18"/>
          <w:highlight w:val="none"/>
        </w:rPr>
        <w:fldChar w:fldCharType="begin"/>
      </w:r>
      <w:r>
        <w:rPr>
          <w:color w:val="auto"/>
          <w:sz w:val="18"/>
          <w:szCs w:val="18"/>
          <w:highlight w:val="none"/>
        </w:rPr>
        <w:instrText xml:space="preserve"> HYPERLINK "https://pay.zcygov.cn/purchaseplan_front/" \l "/plan/list/detail?id=1000000000002254157&amp;encrypt=bc26d93a1eb531475bc98682ad889359" \t "_blank" </w:instrText>
      </w:r>
      <w:r>
        <w:rPr>
          <w:color w:val="auto"/>
          <w:sz w:val="18"/>
          <w:szCs w:val="18"/>
          <w:highlight w:val="none"/>
        </w:rPr>
        <w:fldChar w:fldCharType="separate"/>
      </w:r>
      <w:r>
        <w:rPr>
          <w:color w:val="auto"/>
          <w:sz w:val="18"/>
          <w:szCs w:val="18"/>
          <w:highlight w:val="none"/>
        </w:rPr>
        <w:fldChar w:fldCharType="end"/>
      </w:r>
      <w:r>
        <w:rPr>
          <w:rFonts w:hint="eastAsia"/>
          <w:color w:val="auto"/>
          <w:sz w:val="18"/>
          <w:szCs w:val="18"/>
          <w:highlight w:val="none"/>
          <w:lang w:eastAsia="zh-CN"/>
        </w:rPr>
        <w:t>临[2023]3680号</w:t>
      </w:r>
      <w:r>
        <w:rPr>
          <w:rFonts w:hint="eastAsia" w:cs="宋体" w:asciiTheme="minorEastAsia" w:hAnsiTheme="minorEastAsia" w:eastAsiaTheme="minorEastAsia"/>
          <w:color w:val="auto"/>
          <w:kern w:val="0"/>
          <w:sz w:val="18"/>
          <w:szCs w:val="18"/>
          <w:highlight w:val="none"/>
        </w:rPr>
        <w:t>，采购编号</w:t>
      </w:r>
      <w:r>
        <w:rPr>
          <w:rFonts w:hint="eastAsia" w:cs="宋体" w:asciiTheme="minorEastAsia" w:hAnsiTheme="minorEastAsia" w:eastAsiaTheme="minorEastAsia"/>
          <w:color w:val="auto"/>
          <w:kern w:val="0"/>
          <w:sz w:val="18"/>
          <w:szCs w:val="18"/>
          <w:highlight w:val="none"/>
          <w:lang w:eastAsia="zh-CN"/>
        </w:rPr>
        <w:t>银建-JXYJ（2023）68号</w:t>
      </w:r>
      <w:r>
        <w:rPr>
          <w:rFonts w:hint="eastAsia" w:cs="宋体" w:asciiTheme="minorEastAsia" w:hAnsiTheme="minorEastAsia" w:eastAsiaTheme="minorEastAsia"/>
          <w:color w:val="auto"/>
          <w:kern w:val="0"/>
          <w:sz w:val="18"/>
          <w:szCs w:val="18"/>
          <w:highlight w:val="none"/>
        </w:rPr>
        <w:t>,合同号：</w:t>
      </w:r>
      <w:r>
        <w:rPr>
          <w:rFonts w:hint="eastAsia" w:cs="宋体" w:asciiTheme="minorEastAsia" w:hAnsiTheme="minorEastAsia" w:eastAsiaTheme="minorEastAsia"/>
          <w:color w:val="auto"/>
          <w:kern w:val="0"/>
          <w:sz w:val="18"/>
          <w:szCs w:val="18"/>
          <w:highlight w:val="none"/>
          <w:lang w:eastAsia="zh-CN"/>
        </w:rPr>
        <w:t>银建-JXYJ（2023）68号</w:t>
      </w:r>
      <w:r>
        <w:rPr>
          <w:rFonts w:hint="eastAsia" w:cs="宋体" w:asciiTheme="minorEastAsia" w:hAnsiTheme="minorEastAsia" w:eastAsiaTheme="minorEastAsia"/>
          <w:color w:val="auto"/>
          <w:kern w:val="0"/>
          <w:sz w:val="18"/>
          <w:szCs w:val="18"/>
          <w:highlight w:val="none"/>
        </w:rPr>
        <w:t>以下项目已采购到位并验收合格。</w:t>
      </w:r>
    </w:p>
    <w:tbl>
      <w:tblPr>
        <w:tblStyle w:val="49"/>
        <w:tblW w:w="14080" w:type="dxa"/>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采购货物（服务，工程）名称</w:t>
            </w:r>
          </w:p>
        </w:tc>
        <w:tc>
          <w:tcPr>
            <w:tcW w:w="4840" w:type="dxa"/>
            <w:tcBorders>
              <w:top w:val="single" w:color="auto" w:sz="4" w:space="0"/>
              <w:left w:val="nil"/>
              <w:bottom w:val="nil"/>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规格、型号</w:t>
            </w:r>
          </w:p>
        </w:tc>
        <w:tc>
          <w:tcPr>
            <w:tcW w:w="1280" w:type="dxa"/>
            <w:tcBorders>
              <w:top w:val="single" w:color="auto" w:sz="4" w:space="0"/>
              <w:left w:val="nil"/>
              <w:bottom w:val="nil"/>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数量</w:t>
            </w:r>
          </w:p>
        </w:tc>
        <w:tc>
          <w:tcPr>
            <w:tcW w:w="1600" w:type="dxa"/>
            <w:tcBorders>
              <w:top w:val="single" w:color="auto" w:sz="4" w:space="0"/>
              <w:left w:val="nil"/>
              <w:bottom w:val="nil"/>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核定总价</w:t>
            </w:r>
          </w:p>
        </w:tc>
        <w:tc>
          <w:tcPr>
            <w:tcW w:w="174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采购人</w:t>
            </w:r>
          </w:p>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验收意见</w:t>
            </w:r>
          </w:p>
        </w:tc>
      </w:tr>
      <w:tr>
        <w:tblPrEx>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84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1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16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1740" w:type="dxa"/>
            <w:tcBorders>
              <w:top w:val="nil"/>
              <w:left w:val="nil"/>
              <w:bottom w:val="single" w:color="auto" w:sz="4" w:space="0"/>
              <w:right w:val="single" w:color="auto" w:sz="4" w:space="0"/>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合计总价款（人民币）</w:t>
            </w:r>
          </w:p>
        </w:tc>
        <w:tc>
          <w:tcPr>
            <w:tcW w:w="9460" w:type="dxa"/>
            <w:gridSpan w:val="4"/>
            <w:tcBorders>
              <w:top w:val="nil"/>
              <w:left w:val="nil"/>
              <w:bottom w:val="single" w:color="auto" w:sz="4" w:space="0"/>
              <w:right w:val="single" w:color="000000" w:sz="4" w:space="0"/>
            </w:tcBorders>
            <w:vAlign w:val="center"/>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xml:space="preserve">人民币元整。       ￥: </w:t>
            </w:r>
          </w:p>
        </w:tc>
      </w:tr>
      <w:tr>
        <w:tblPrEx>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xml:space="preserve">供货单位（盖章）：                     </w:t>
            </w:r>
          </w:p>
        </w:tc>
        <w:tc>
          <w:tcPr>
            <w:tcW w:w="4840" w:type="dxa"/>
            <w:tcBorders>
              <w:top w:val="nil"/>
              <w:left w:val="nil"/>
              <w:bottom w:val="nil"/>
              <w:right w:val="nil"/>
            </w:tcBorders>
            <w:vAlign w:val="center"/>
          </w:tcPr>
          <w:p>
            <w:pPr>
              <w:widowControl/>
              <w:spacing w:line="360" w:lineRule="auto"/>
              <w:jc w:val="righ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采购人（盖章）:</w:t>
            </w:r>
          </w:p>
        </w:tc>
        <w:tc>
          <w:tcPr>
            <w:tcW w:w="2880" w:type="dxa"/>
            <w:gridSpan w:val="2"/>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p>
        </w:tc>
        <w:tc>
          <w:tcPr>
            <w:tcW w:w="1740" w:type="dxa"/>
            <w:tcBorders>
              <w:top w:val="nil"/>
              <w:left w:val="nil"/>
              <w:bottom w:val="nil"/>
              <w:right w:val="single" w:color="auto" w:sz="4" w:space="0"/>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经办项目负责人：</w:t>
            </w:r>
          </w:p>
        </w:tc>
        <w:tc>
          <w:tcPr>
            <w:tcW w:w="4840" w:type="dxa"/>
            <w:tcBorders>
              <w:top w:val="nil"/>
              <w:left w:val="nil"/>
              <w:bottom w:val="nil"/>
              <w:right w:val="nil"/>
            </w:tcBorders>
            <w:vAlign w:val="center"/>
          </w:tcPr>
          <w:p>
            <w:pPr>
              <w:widowControl/>
              <w:spacing w:line="360" w:lineRule="auto"/>
              <w:jc w:val="righ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项目验收组组长：</w:t>
            </w:r>
          </w:p>
        </w:tc>
        <w:tc>
          <w:tcPr>
            <w:tcW w:w="2880" w:type="dxa"/>
            <w:gridSpan w:val="2"/>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p>
        </w:tc>
        <w:tc>
          <w:tcPr>
            <w:tcW w:w="1740" w:type="dxa"/>
            <w:tcBorders>
              <w:top w:val="nil"/>
              <w:left w:val="nil"/>
              <w:bottom w:val="nil"/>
              <w:right w:val="single" w:color="auto" w:sz="4" w:space="0"/>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联系电话：</w:t>
            </w:r>
          </w:p>
        </w:tc>
        <w:tc>
          <w:tcPr>
            <w:tcW w:w="4840" w:type="dxa"/>
            <w:tcBorders>
              <w:top w:val="nil"/>
              <w:left w:val="nil"/>
              <w:bottom w:val="nil"/>
              <w:right w:val="nil"/>
            </w:tcBorders>
            <w:vAlign w:val="center"/>
          </w:tcPr>
          <w:p>
            <w:pPr>
              <w:widowControl/>
              <w:spacing w:line="360" w:lineRule="auto"/>
              <w:jc w:val="righ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联系电话：</w:t>
            </w:r>
          </w:p>
        </w:tc>
        <w:tc>
          <w:tcPr>
            <w:tcW w:w="1280" w:type="dxa"/>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p>
        </w:tc>
        <w:tc>
          <w:tcPr>
            <w:tcW w:w="1600" w:type="dxa"/>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p>
        </w:tc>
        <w:tc>
          <w:tcPr>
            <w:tcW w:w="1740" w:type="dxa"/>
            <w:tcBorders>
              <w:top w:val="nil"/>
              <w:left w:val="nil"/>
              <w:bottom w:val="nil"/>
              <w:right w:val="single" w:color="auto" w:sz="4" w:space="0"/>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开户银行：</w:t>
            </w:r>
          </w:p>
        </w:tc>
        <w:tc>
          <w:tcPr>
            <w:tcW w:w="4840" w:type="dxa"/>
            <w:tcBorders>
              <w:top w:val="nil"/>
              <w:left w:val="nil"/>
              <w:bottom w:val="nil"/>
              <w:right w:val="nil"/>
            </w:tcBorders>
            <w:vAlign w:val="center"/>
          </w:tcPr>
          <w:p>
            <w:pPr>
              <w:widowControl/>
              <w:spacing w:line="360" w:lineRule="auto"/>
              <w:jc w:val="righ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项目验收组成员（签名）：</w:t>
            </w:r>
          </w:p>
        </w:tc>
        <w:tc>
          <w:tcPr>
            <w:tcW w:w="1280" w:type="dxa"/>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p>
        </w:tc>
        <w:tc>
          <w:tcPr>
            <w:tcW w:w="1600" w:type="dxa"/>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p>
        </w:tc>
        <w:tc>
          <w:tcPr>
            <w:tcW w:w="1740" w:type="dxa"/>
            <w:tcBorders>
              <w:top w:val="nil"/>
              <w:left w:val="nil"/>
              <w:bottom w:val="nil"/>
              <w:right w:val="single" w:color="auto" w:sz="4" w:space="0"/>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vAlign w:val="center"/>
          </w:tcPr>
          <w:p>
            <w:pPr>
              <w:widowControl/>
              <w:spacing w:line="36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银行帐号：</w:t>
            </w:r>
          </w:p>
        </w:tc>
        <w:tc>
          <w:tcPr>
            <w:tcW w:w="4840" w:type="dxa"/>
            <w:tcBorders>
              <w:top w:val="nil"/>
              <w:left w:val="nil"/>
              <w:bottom w:val="single" w:color="auto" w:sz="4" w:space="0"/>
              <w:right w:val="nil"/>
            </w:tcBorders>
            <w:vAlign w:val="bottom"/>
          </w:tcPr>
          <w:p>
            <w:pPr>
              <w:widowControl/>
              <w:spacing w:line="360" w:lineRule="auto"/>
              <w:jc w:val="lef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620" w:type="dxa"/>
            <w:gridSpan w:val="3"/>
            <w:tcBorders>
              <w:top w:val="nil"/>
              <w:left w:val="nil"/>
              <w:bottom w:val="single" w:color="auto" w:sz="4" w:space="0"/>
              <w:right w:val="single" w:color="000000" w:sz="4" w:space="0"/>
            </w:tcBorders>
            <w:vAlign w:val="center"/>
          </w:tcPr>
          <w:p>
            <w:pPr>
              <w:widowControl/>
              <w:spacing w:line="36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验收时间：       年     月     日</w:t>
            </w:r>
          </w:p>
        </w:tc>
      </w:tr>
      <w:tr>
        <w:tblPrEx>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vAlign w:val="center"/>
          </w:tcPr>
          <w:p>
            <w:pPr>
              <w:widowControl/>
              <w:spacing w:line="360" w:lineRule="auto"/>
              <w:jc w:val="center"/>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本单一式四联：第一联采购人留存，第二联作为财政支付凭证，第三联供货单位留存，第四联采购办存档备查。</w:t>
            </w:r>
          </w:p>
        </w:tc>
      </w:tr>
    </w:tbl>
    <w:p>
      <w:pPr>
        <w:pStyle w:val="30"/>
        <w:adjustRightInd w:val="0"/>
        <w:spacing w:before="120" w:after="120" w:line="360" w:lineRule="auto"/>
        <w:rPr>
          <w:rFonts w:asciiTheme="minorEastAsia" w:hAnsiTheme="minorEastAsia" w:eastAsiaTheme="minorEastAsia"/>
          <w:bCs/>
          <w:color w:val="auto"/>
          <w:sz w:val="21"/>
          <w:szCs w:val="21"/>
          <w:highlight w:val="none"/>
        </w:rPr>
        <w:sectPr>
          <w:pgSz w:w="16838" w:h="11906" w:orient="landscape"/>
          <w:pgMar w:top="1797" w:right="1440" w:bottom="1797" w:left="1440" w:header="851" w:footer="851" w:gutter="0"/>
          <w:pgBorders>
            <w:top w:val="none" w:sz="0" w:space="0"/>
            <w:left w:val="none" w:sz="0" w:space="0"/>
            <w:bottom w:val="none" w:sz="0" w:space="0"/>
            <w:right w:val="none" w:sz="0" w:space="0"/>
          </w:pgBorders>
          <w:pgNumType w:fmt="decimal"/>
          <w:cols w:space="720" w:num="1"/>
          <w:docGrid w:linePitch="312" w:charSpace="0"/>
        </w:sectPr>
      </w:pPr>
    </w:p>
    <w:p>
      <w:pPr>
        <w:snapToGrid w:val="0"/>
        <w:spacing w:beforeLines="50" w:afterLines="50" w:line="360" w:lineRule="auto"/>
        <w:ind w:left="238"/>
        <w:jc w:val="center"/>
        <w:outlineLvl w:val="0"/>
        <w:rPr>
          <w:rFonts w:asciiTheme="minorEastAsia" w:hAnsiTheme="minorEastAsia" w:eastAsiaTheme="minorEastAsia"/>
          <w:b/>
          <w:color w:val="auto"/>
          <w:sz w:val="30"/>
          <w:szCs w:val="30"/>
          <w:highlight w:val="none"/>
        </w:rPr>
      </w:pPr>
      <w:bookmarkStart w:id="200" w:name="_Toc25577"/>
      <w:bookmarkStart w:id="201" w:name="_Toc530"/>
      <w:r>
        <w:rPr>
          <w:rFonts w:hint="eastAsia" w:asciiTheme="minorEastAsia" w:hAnsiTheme="minorEastAsia" w:eastAsiaTheme="minorEastAsia"/>
          <w:b/>
          <w:color w:val="auto"/>
          <w:sz w:val="30"/>
          <w:szCs w:val="30"/>
          <w:highlight w:val="none"/>
        </w:rPr>
        <w:t>第六章  投标文件格式</w:t>
      </w:r>
      <w:bookmarkEnd w:id="200"/>
      <w:bookmarkEnd w:id="201"/>
    </w:p>
    <w:p>
      <w:pPr>
        <w:snapToGrid w:val="0"/>
        <w:spacing w:line="360" w:lineRule="auto"/>
        <w:jc w:val="center"/>
        <w:outlineLvl w:val="9"/>
        <w:rPr>
          <w:rFonts w:asciiTheme="minorEastAsia" w:hAnsiTheme="minorEastAsia" w:eastAsiaTheme="minorEastAsia"/>
          <w:b/>
          <w:bCs/>
          <w:color w:val="auto"/>
          <w:szCs w:val="21"/>
          <w:highlight w:val="none"/>
        </w:rPr>
      </w:pPr>
    </w:p>
    <w:p>
      <w:pPr>
        <w:snapToGrid w:val="0"/>
        <w:spacing w:line="360" w:lineRule="auto"/>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1.投标文件封面格式：</w:t>
      </w:r>
    </w:p>
    <w:p>
      <w:pPr>
        <w:snapToGrid w:val="0"/>
        <w:spacing w:line="360" w:lineRule="auto"/>
        <w:rPr>
          <w:rFonts w:asciiTheme="minorEastAsia" w:hAnsiTheme="minorEastAsia" w:eastAsiaTheme="minorEastAsia"/>
          <w:b/>
          <w:bCs/>
          <w:color w:val="auto"/>
          <w:sz w:val="18"/>
          <w:szCs w:val="18"/>
          <w:highlight w:val="none"/>
        </w:rPr>
      </w:pPr>
    </w:p>
    <w:p>
      <w:pPr>
        <w:snapToGrid w:val="0"/>
        <w:spacing w:line="360" w:lineRule="auto"/>
        <w:jc w:val="center"/>
        <w:rPr>
          <w:rFonts w:asciiTheme="minorEastAsia" w:hAnsiTheme="minorEastAsia" w:eastAsiaTheme="minorEastAsia"/>
          <w:b/>
          <w:bCs/>
          <w:color w:val="auto"/>
          <w:sz w:val="18"/>
          <w:szCs w:val="18"/>
          <w:highlight w:val="none"/>
        </w:rPr>
      </w:pPr>
      <w:r>
        <w:rPr>
          <w:rFonts w:hint="eastAsia" w:asciiTheme="minorEastAsia" w:hAnsiTheme="minorEastAsia" w:eastAsiaTheme="minorEastAsia"/>
          <w:b/>
          <w:bCs/>
          <w:color w:val="auto"/>
          <w:sz w:val="18"/>
          <w:szCs w:val="18"/>
          <w:highlight w:val="none"/>
        </w:rPr>
        <w:t>资信技术文件</w:t>
      </w:r>
    </w:p>
    <w:p>
      <w:pPr>
        <w:snapToGrid w:val="0"/>
        <w:spacing w:line="360" w:lineRule="auto"/>
        <w:ind w:firstLine="801" w:firstLineChars="445"/>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项目名称：</w:t>
      </w:r>
    </w:p>
    <w:p>
      <w:pPr>
        <w:snapToGrid w:val="0"/>
        <w:spacing w:line="360" w:lineRule="auto"/>
        <w:ind w:firstLine="801" w:firstLineChars="445"/>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项目编号：</w:t>
      </w:r>
    </w:p>
    <w:p>
      <w:pPr>
        <w:pStyle w:val="16"/>
        <w:snapToGrid w:val="0"/>
        <w:spacing w:line="360" w:lineRule="auto"/>
        <w:ind w:firstLine="838" w:firstLineChars="46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投标人名称（盖章）：</w:t>
      </w:r>
    </w:p>
    <w:p>
      <w:pPr>
        <w:pStyle w:val="16"/>
        <w:snapToGrid w:val="0"/>
        <w:spacing w:line="360" w:lineRule="auto"/>
        <w:ind w:firstLine="838" w:firstLineChars="46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投标人地址：</w:t>
      </w:r>
    </w:p>
    <w:p>
      <w:pPr>
        <w:snapToGrid w:val="0"/>
        <w:spacing w:line="360" w:lineRule="auto"/>
        <w:ind w:firstLine="645"/>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年月日</w:t>
      </w:r>
    </w:p>
    <w:p>
      <w:pPr>
        <w:snapToGrid w:val="0"/>
        <w:spacing w:line="360" w:lineRule="auto"/>
        <w:rPr>
          <w:rFonts w:asciiTheme="minorEastAsia" w:hAnsiTheme="minorEastAsia" w:eastAsiaTheme="minorEastAsia"/>
          <w:b/>
          <w:color w:val="auto"/>
          <w:sz w:val="18"/>
          <w:szCs w:val="18"/>
          <w:highlight w:val="none"/>
        </w:rPr>
      </w:pPr>
    </w:p>
    <w:p>
      <w:pPr>
        <w:snapToGrid w:val="0"/>
        <w:spacing w:line="360" w:lineRule="auto"/>
        <w:rPr>
          <w:rFonts w:asciiTheme="minorEastAsia" w:hAnsiTheme="minorEastAsia" w:eastAsiaTheme="minorEastAsia"/>
          <w:b/>
          <w:color w:val="auto"/>
          <w:sz w:val="18"/>
          <w:szCs w:val="18"/>
          <w:highlight w:val="none"/>
        </w:rPr>
      </w:pPr>
    </w:p>
    <w:p>
      <w:pPr>
        <w:snapToGrid w:val="0"/>
        <w:spacing w:line="360" w:lineRule="auto"/>
        <w:rPr>
          <w:rFonts w:asciiTheme="minorEastAsia" w:hAnsiTheme="minorEastAsia" w:eastAsiaTheme="minorEastAsia"/>
          <w:b/>
          <w:color w:val="auto"/>
          <w:sz w:val="18"/>
          <w:szCs w:val="18"/>
          <w:highlight w:val="none"/>
        </w:rPr>
      </w:pPr>
    </w:p>
    <w:p>
      <w:pPr>
        <w:snapToGrid w:val="0"/>
        <w:spacing w:line="360" w:lineRule="auto"/>
        <w:jc w:val="center"/>
        <w:rPr>
          <w:rFonts w:asciiTheme="minorEastAsia" w:hAnsiTheme="minorEastAsia" w:eastAsiaTheme="minorEastAsia"/>
          <w:b/>
          <w:bCs/>
          <w:color w:val="auto"/>
          <w:sz w:val="18"/>
          <w:szCs w:val="18"/>
          <w:highlight w:val="none"/>
        </w:rPr>
      </w:pPr>
      <w:r>
        <w:rPr>
          <w:rFonts w:hint="eastAsia" w:asciiTheme="minorEastAsia" w:hAnsiTheme="minorEastAsia" w:eastAsiaTheme="minorEastAsia"/>
          <w:b/>
          <w:bCs/>
          <w:color w:val="auto"/>
          <w:sz w:val="18"/>
          <w:szCs w:val="18"/>
          <w:highlight w:val="none"/>
        </w:rPr>
        <w:t>商务报价文件</w:t>
      </w:r>
    </w:p>
    <w:p>
      <w:pPr>
        <w:snapToGrid w:val="0"/>
        <w:spacing w:line="360" w:lineRule="auto"/>
        <w:rPr>
          <w:rFonts w:asciiTheme="minorEastAsia" w:hAnsiTheme="minorEastAsia" w:eastAsiaTheme="minorEastAsia"/>
          <w:bCs/>
          <w:color w:val="auto"/>
          <w:sz w:val="18"/>
          <w:szCs w:val="18"/>
          <w:highlight w:val="none"/>
        </w:rPr>
      </w:pPr>
    </w:p>
    <w:p>
      <w:pPr>
        <w:snapToGrid w:val="0"/>
        <w:spacing w:line="360" w:lineRule="auto"/>
        <w:ind w:firstLine="801" w:firstLineChars="445"/>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项目名称：</w:t>
      </w:r>
    </w:p>
    <w:p>
      <w:pPr>
        <w:snapToGrid w:val="0"/>
        <w:spacing w:line="360" w:lineRule="auto"/>
        <w:ind w:firstLine="900" w:firstLineChars="500"/>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项目编号：</w:t>
      </w:r>
    </w:p>
    <w:p>
      <w:pPr>
        <w:pStyle w:val="16"/>
        <w:snapToGrid w:val="0"/>
        <w:spacing w:line="360" w:lineRule="auto"/>
        <w:ind w:firstLine="838" w:firstLineChars="46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投标人名称（盖章）：</w:t>
      </w:r>
    </w:p>
    <w:p>
      <w:pPr>
        <w:pStyle w:val="16"/>
        <w:snapToGrid w:val="0"/>
        <w:spacing w:line="360" w:lineRule="auto"/>
        <w:ind w:firstLine="838" w:firstLineChars="466"/>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投标人地址：</w:t>
      </w:r>
    </w:p>
    <w:p>
      <w:pPr>
        <w:snapToGrid w:val="0"/>
        <w:spacing w:line="360" w:lineRule="auto"/>
        <w:ind w:firstLine="64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18"/>
          <w:szCs w:val="18"/>
          <w:highlight w:val="none"/>
        </w:rPr>
        <w:t>年月日</w:t>
      </w:r>
    </w:p>
    <w:p>
      <w:pPr>
        <w:spacing w:line="360" w:lineRule="auto"/>
        <w:rPr>
          <w:rFonts w:asciiTheme="minorEastAsia" w:hAnsiTheme="minorEastAsia" w:eastAsiaTheme="minorEastAsia"/>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pStyle w:val="48"/>
        <w:ind w:firstLine="404"/>
        <w:rPr>
          <w:color w:val="auto"/>
          <w:highlight w:val="none"/>
        </w:rPr>
      </w:pPr>
    </w:p>
    <w:p>
      <w:pPr>
        <w:pStyle w:val="48"/>
        <w:ind w:firstLine="404"/>
        <w:rPr>
          <w:color w:val="auto"/>
          <w:highlight w:val="none"/>
        </w:rPr>
      </w:pPr>
    </w:p>
    <w:p>
      <w:pPr>
        <w:pStyle w:val="48"/>
        <w:ind w:firstLine="404"/>
        <w:rPr>
          <w:color w:val="auto"/>
          <w:highlight w:val="none"/>
        </w:rPr>
      </w:pPr>
    </w:p>
    <w:p>
      <w:pPr>
        <w:rPr>
          <w:rFonts w:hint="eastAsia"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br w:type="page"/>
      </w:r>
    </w:p>
    <w:p>
      <w:pPr>
        <w:snapToGrid w:val="0"/>
        <w:spacing w:line="360" w:lineRule="auto"/>
        <w:jc w:val="lef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2.</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投标声明书（附件1）</w:t>
      </w:r>
    </w:p>
    <w:p>
      <w:pPr>
        <w:spacing w:line="360" w:lineRule="auto"/>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rPr>
        <w:t>致：</w:t>
      </w:r>
      <w:r>
        <w:rPr>
          <w:rFonts w:hint="eastAsia" w:asciiTheme="minorEastAsia" w:hAnsiTheme="minorEastAsia" w:eastAsiaTheme="minorEastAsia"/>
          <w:color w:val="auto"/>
          <w:sz w:val="18"/>
          <w:szCs w:val="18"/>
          <w:highlight w:val="none"/>
          <w:lang w:eastAsia="zh-CN"/>
        </w:rPr>
        <w:t>嘉兴市秀洲区人民政府新城街道办事处</w:t>
      </w:r>
    </w:p>
    <w:p>
      <w:pPr>
        <w:snapToGrid w:val="0"/>
        <w:spacing w:beforeLines="50" w:after="50"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（投标单位名称）系中华人民共和国合法企业，经营地址。</w:t>
      </w:r>
    </w:p>
    <w:p>
      <w:pPr>
        <w:snapToGrid w:val="0"/>
        <w:spacing w:beforeLines="50" w:after="50" w:line="360" w:lineRule="auto"/>
        <w:ind w:firstLine="645"/>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我（姓名）系（投标人名称）的法定代表人，我方愿意参加贵方组织的的投标，为便于贵方公正、择优地确定中标人及其投标产品和服务，我方就本次投标有关事项郑重声明如下：</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我方向贵方提交的所有投标文件、资料都是准确的和真实的。</w:t>
      </w:r>
    </w:p>
    <w:p>
      <w:pPr>
        <w:snapToGrid w:val="0"/>
        <w:spacing w:beforeLines="50"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w:t>
      </w:r>
      <w:r>
        <w:rPr>
          <w:rFonts w:hint="eastAsia" w:asciiTheme="minorEastAsia" w:hAnsiTheme="minorEastAsia" w:eastAsiaTheme="minorEastAsia"/>
          <w:color w:val="auto"/>
          <w:sz w:val="18"/>
          <w:szCs w:val="18"/>
          <w:highlight w:val="none"/>
        </w:rPr>
        <w:t>我方不是招标单位的附属机构；在获知本项目采购信息后，与招标单位聘请的为此项目提供咨询服务的公司及其附属机构没有任何联系。</w:t>
      </w:r>
    </w:p>
    <w:p>
      <w:pPr>
        <w:snapToGrid w:val="0"/>
        <w:spacing w:beforeLines="50"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3.我方承诺具有履行合同所必需的设备和专业技术能力； </w:t>
      </w:r>
    </w:p>
    <w:p>
      <w:pPr>
        <w:snapToGrid w:val="0"/>
        <w:spacing w:beforeLines="50"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4. 我方承诺具有良好的商业信誉和健全的财务会计制度；（附财务报表）（格式自拟） </w:t>
      </w:r>
    </w:p>
    <w:p>
      <w:pPr>
        <w:snapToGrid w:val="0"/>
        <w:spacing w:beforeLines="50"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5.我方承诺有依法缴纳税收和社会保障资金的良好记录；（附依法缴纳税费或依法免缴税费的证明）（格式自拟） </w:t>
      </w:r>
    </w:p>
    <w:p>
      <w:pPr>
        <w:snapToGrid w:val="0"/>
        <w:spacing w:beforeLines="50" w:line="360" w:lineRule="auto"/>
        <w:ind w:firstLine="360" w:firstLineChars="200"/>
        <w:rPr>
          <w:rFonts w:asciiTheme="minorEastAsia" w:hAnsiTheme="minorEastAsia" w:eastAsiaTheme="minorEastAsia"/>
          <w:color w:val="auto"/>
          <w:sz w:val="18"/>
          <w:szCs w:val="18"/>
          <w:highlight w:val="none"/>
          <w:u w:val="single"/>
        </w:rPr>
      </w:pPr>
      <w:r>
        <w:rPr>
          <w:rFonts w:hint="eastAsia" w:asciiTheme="minorEastAsia" w:hAnsiTheme="minorEastAsia" w:eastAsiaTheme="minorEastAsia"/>
          <w:color w:val="auto"/>
          <w:sz w:val="18"/>
          <w:szCs w:val="18"/>
          <w:highlight w:val="none"/>
        </w:rPr>
        <w:t>6.我方承诺参加政府采购活动前三年内，在经营活动中没有重大违法记录；（若有，请如实填写；</w:t>
      </w:r>
      <w:r>
        <w:rPr>
          <w:rFonts w:hint="eastAsia" w:asciiTheme="minorEastAsia" w:hAnsiTheme="minorEastAsia" w:eastAsiaTheme="minorEastAsia"/>
          <w:color w:val="auto"/>
          <w:sz w:val="18"/>
          <w:szCs w:val="18"/>
          <w:highlight w:val="none"/>
          <w:u w:val="single"/>
        </w:rPr>
        <w:t>　　　　　　　　　　　　</w:t>
      </w:r>
    </w:p>
    <w:p>
      <w:pPr>
        <w:snapToGrid w:val="0"/>
        <w:spacing w:beforeLines="50" w:line="360" w:lineRule="auto"/>
        <w:ind w:firstLine="360" w:firstLineChars="200"/>
        <w:rPr>
          <w:rFonts w:asciiTheme="minorEastAsia" w:hAnsiTheme="minorEastAsia" w:eastAsiaTheme="minorEastAsia"/>
          <w:color w:val="auto"/>
          <w:sz w:val="18"/>
          <w:szCs w:val="18"/>
          <w:highlight w:val="none"/>
          <w:u w:val="single"/>
        </w:rPr>
      </w:pPr>
      <w:r>
        <w:rPr>
          <w:rFonts w:hint="eastAsia" w:asciiTheme="minorEastAsia" w:hAnsiTheme="minorEastAsia" w:eastAsiaTheme="minorEastAsia"/>
          <w:color w:val="auto"/>
          <w:sz w:val="18"/>
          <w:szCs w:val="18"/>
          <w:highlight w:val="none"/>
          <w:u w:val="single"/>
        </w:rPr>
        <w:t>　　　　　　　　　　　　　　　　　　　　　　　　　　　　　　　　　　　　</w:t>
      </w:r>
    </w:p>
    <w:p>
      <w:pPr>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7</w:t>
      </w:r>
      <w:r>
        <w:rPr>
          <w:rFonts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rPr>
        <w:t>以上事项如有虚假或隐瞒，我方愿意承担一切后果，并不再寻求任何旨在减轻或免除法律责任的辩解。</w:t>
      </w:r>
    </w:p>
    <w:p>
      <w:pPr>
        <w:spacing w:line="360" w:lineRule="auto"/>
        <w:ind w:firstLine="452" w:firstLineChars="250"/>
        <w:jc w:val="center"/>
        <w:rPr>
          <w:rFonts w:asciiTheme="minorEastAsia" w:hAnsiTheme="minorEastAsia" w:eastAsiaTheme="minorEastAsia"/>
          <w:b/>
          <w:color w:val="auto"/>
          <w:sz w:val="18"/>
          <w:szCs w:val="18"/>
          <w:highlight w:val="none"/>
        </w:rPr>
      </w:pPr>
    </w:p>
    <w:p>
      <w:pPr>
        <w:spacing w:beforeLines="50" w:line="360" w:lineRule="auto"/>
        <w:ind w:firstLine="1320" w:firstLineChars="600"/>
        <w:rPr>
          <w:rFonts w:asciiTheme="minorEastAsia" w:hAnsiTheme="minorEastAsia" w:eastAsiaTheme="minorEastAsia"/>
          <w:color w:val="auto"/>
          <w:sz w:val="18"/>
          <w:szCs w:val="18"/>
          <w:highlight w:val="none"/>
        </w:rPr>
      </w:pPr>
      <w:r>
        <w:rPr>
          <w:rFonts w:asciiTheme="minorEastAsia" w:hAnsiTheme="minorEastAsia" w:eastAsiaTheme="minorEastAsia"/>
          <w:color w:val="auto"/>
          <w:spacing w:val="20"/>
          <w:sz w:val="18"/>
          <w:szCs w:val="18"/>
          <w:highlight w:val="none"/>
        </w:rPr>
        <w:t>法定代表人或委托代理人</w:t>
      </w:r>
      <w:r>
        <w:rPr>
          <w:rFonts w:hint="eastAsia" w:asciiTheme="minorEastAsia" w:hAnsiTheme="minorEastAsia" w:eastAsiaTheme="minorEastAsia"/>
          <w:color w:val="auto"/>
          <w:spacing w:val="20"/>
          <w:sz w:val="18"/>
          <w:szCs w:val="18"/>
          <w:highlight w:val="none"/>
        </w:rPr>
        <w:t>签名（或盖章）：</w:t>
      </w:r>
    </w:p>
    <w:p>
      <w:pPr>
        <w:spacing w:line="360" w:lineRule="auto"/>
        <w:ind w:firstLine="440" w:firstLineChars="200"/>
        <w:rPr>
          <w:rFonts w:asciiTheme="minorEastAsia" w:hAnsiTheme="minorEastAsia" w:eastAsiaTheme="minorEastAsia"/>
          <w:color w:val="auto"/>
          <w:spacing w:val="20"/>
          <w:sz w:val="18"/>
          <w:szCs w:val="18"/>
          <w:highlight w:val="none"/>
          <w:u w:val="single"/>
        </w:rPr>
      </w:pPr>
      <w:r>
        <w:rPr>
          <w:rFonts w:hint="eastAsia" w:asciiTheme="minorEastAsia" w:hAnsiTheme="minorEastAsia" w:eastAsiaTheme="minorEastAsia"/>
          <w:color w:val="auto"/>
          <w:spacing w:val="20"/>
          <w:sz w:val="18"/>
          <w:szCs w:val="18"/>
          <w:highlight w:val="none"/>
        </w:rPr>
        <w:t xml:space="preserve">                            投标人盖章：</w:t>
      </w:r>
    </w:p>
    <w:p>
      <w:pPr>
        <w:spacing w:line="360" w:lineRule="auto"/>
        <w:ind w:firstLine="44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 w:val="18"/>
          <w:szCs w:val="18"/>
          <w:highlight w:val="none"/>
        </w:rPr>
        <w:t xml:space="preserve">                            日     期：</w:t>
      </w:r>
    </w:p>
    <w:p>
      <w:pPr>
        <w:pStyle w:val="30"/>
        <w:snapToGrid w:val="0"/>
        <w:spacing w:beforeLines="0" w:afterLines="0" w:line="360" w:lineRule="auto"/>
        <w:rPr>
          <w:rFonts w:asciiTheme="minorEastAsia" w:hAnsiTheme="minorEastAsia" w:eastAsiaTheme="minorEastAsia"/>
          <w:color w:val="auto"/>
          <w:sz w:val="21"/>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pStyle w:val="48"/>
        <w:ind w:firstLine="404"/>
        <w:rPr>
          <w:color w:val="auto"/>
          <w:highlight w:val="none"/>
        </w:rPr>
      </w:pPr>
    </w:p>
    <w:p>
      <w:pPr>
        <w:pStyle w:val="48"/>
        <w:ind w:firstLine="404"/>
        <w:rPr>
          <w:color w:val="auto"/>
          <w:highlight w:val="none"/>
        </w:rPr>
      </w:pPr>
    </w:p>
    <w:p>
      <w:pPr>
        <w:pStyle w:val="48"/>
        <w:ind w:firstLine="404"/>
        <w:rPr>
          <w:color w:val="auto"/>
          <w:highlight w:val="none"/>
        </w:rPr>
      </w:pPr>
    </w:p>
    <w:p>
      <w:pPr>
        <w:rPr>
          <w:rFonts w:hint="eastAsia"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br w:type="page"/>
      </w: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3.</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法定代表人授权委托书（附件2）</w:t>
      </w:r>
    </w:p>
    <w:p>
      <w:pPr>
        <w:pStyle w:val="48"/>
        <w:spacing w:line="360" w:lineRule="auto"/>
        <w:ind w:firstLine="404"/>
        <w:rPr>
          <w:color w:val="auto"/>
          <w:highlight w:val="none"/>
        </w:rPr>
      </w:pPr>
    </w:p>
    <w:p>
      <w:pPr>
        <w:snapToGrid w:val="0"/>
        <w:spacing w:line="360" w:lineRule="auto"/>
        <w:rPr>
          <w:rFonts w:asciiTheme="minorEastAsia" w:hAnsiTheme="minorEastAsia" w:eastAsiaTheme="minorEastAsia"/>
          <w:b/>
          <w:bCs/>
          <w:color w:val="auto"/>
          <w:sz w:val="18"/>
          <w:szCs w:val="18"/>
          <w:highlight w:val="none"/>
        </w:rPr>
      </w:pPr>
      <w:r>
        <w:rPr>
          <w:rFonts w:hint="eastAsia" w:asciiTheme="minorEastAsia" w:hAnsiTheme="minorEastAsia" w:eastAsiaTheme="minorEastAsia"/>
          <w:bCs/>
          <w:color w:val="auto"/>
          <w:sz w:val="18"/>
          <w:szCs w:val="18"/>
          <w:highlight w:val="none"/>
        </w:rPr>
        <w:t>致：</w:t>
      </w:r>
      <w:r>
        <w:rPr>
          <w:rFonts w:hint="eastAsia" w:asciiTheme="minorEastAsia" w:hAnsiTheme="minorEastAsia" w:eastAsiaTheme="minorEastAsia"/>
          <w:color w:val="auto"/>
          <w:sz w:val="18"/>
          <w:szCs w:val="18"/>
          <w:highlight w:val="none"/>
          <w:u w:val="single"/>
        </w:rPr>
        <w:t xml:space="preserve">  </w:t>
      </w:r>
      <w:r>
        <w:rPr>
          <w:rFonts w:hint="eastAsia" w:asciiTheme="minorEastAsia" w:hAnsiTheme="minorEastAsia" w:eastAsiaTheme="minorEastAsia"/>
          <w:color w:val="auto"/>
          <w:sz w:val="18"/>
          <w:szCs w:val="18"/>
          <w:highlight w:val="none"/>
          <w:u w:val="single"/>
          <w:lang w:eastAsia="zh-CN"/>
        </w:rPr>
        <w:t>嘉兴市秀洲区人民政府新城街道办事处</w:t>
      </w:r>
      <w:r>
        <w:rPr>
          <w:rFonts w:hint="eastAsia" w:asciiTheme="minorEastAsia" w:hAnsiTheme="minorEastAsia" w:eastAsiaTheme="minorEastAsia"/>
          <w:color w:val="auto"/>
          <w:sz w:val="18"/>
          <w:szCs w:val="18"/>
          <w:highlight w:val="none"/>
          <w:u w:val="single"/>
        </w:rPr>
        <w:t xml:space="preserve">          </w:t>
      </w:r>
      <w:r>
        <w:rPr>
          <w:rFonts w:hint="eastAsia" w:asciiTheme="minorEastAsia" w:hAnsiTheme="minorEastAsia" w:eastAsiaTheme="minorEastAsia"/>
          <w:color w:val="auto"/>
          <w:sz w:val="18"/>
          <w:szCs w:val="18"/>
          <w:highlight w:val="none"/>
        </w:rPr>
        <w:t>（招标采购单位名称）：</w:t>
      </w:r>
    </w:p>
    <w:p>
      <w:pPr>
        <w:snapToGrid w:val="0"/>
        <w:spacing w:line="360" w:lineRule="auto"/>
        <w:ind w:firstLine="540" w:firstLineChars="3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我（姓名）系（投标人名称）的法定代表人，现授权委托本单位在职职工（姓名）以我方的名义参加</w:t>
      </w:r>
      <w:r>
        <w:rPr>
          <w:rFonts w:asciiTheme="minorEastAsia" w:hAnsiTheme="minorEastAsia" w:eastAsiaTheme="minorEastAsia"/>
          <w:color w:val="auto"/>
          <w:sz w:val="18"/>
          <w:szCs w:val="18"/>
          <w:highlight w:val="none"/>
          <w:u w:val="single"/>
        </w:rPr>
        <w:t xml:space="preserve">  </w:t>
      </w:r>
      <w:r>
        <w:rPr>
          <w:rFonts w:hint="eastAsia" w:asciiTheme="minorEastAsia" w:hAnsiTheme="minorEastAsia" w:eastAsiaTheme="minorEastAsia"/>
          <w:color w:val="auto"/>
          <w:sz w:val="18"/>
          <w:szCs w:val="18"/>
          <w:highlight w:val="none"/>
          <w:u w:val="single"/>
          <w:lang w:eastAsia="zh-CN"/>
        </w:rPr>
        <w:t>新城街道2024年度区域绿化养护项目</w:t>
      </w:r>
      <w:r>
        <w:rPr>
          <w:rFonts w:hint="eastAsia" w:asciiTheme="minorEastAsia" w:hAnsiTheme="minorEastAsia" w:eastAsiaTheme="minorEastAsia"/>
          <w:color w:val="auto"/>
          <w:sz w:val="18"/>
          <w:szCs w:val="18"/>
          <w:highlight w:val="none"/>
        </w:rPr>
        <w:t>的投标活动，并代表我方全权办理针对上述项目的投标、开标、评标、签约等具体事务和签署相关文件。</w:t>
      </w:r>
    </w:p>
    <w:p>
      <w:pPr>
        <w:snapToGrid w:val="0"/>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我方对被授权人的签名事项负全部责任。</w:t>
      </w:r>
    </w:p>
    <w:p>
      <w:pPr>
        <w:snapToGrid w:val="0"/>
        <w:spacing w:line="360" w:lineRule="auto"/>
        <w:ind w:firstLine="48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u w:val="single"/>
        </w:rPr>
        <w:t>在撤销授权的书面通知以前，本授权书一直有效。</w:t>
      </w:r>
      <w:r>
        <w:rPr>
          <w:rFonts w:hint="eastAsia" w:asciiTheme="minorEastAsia" w:hAnsiTheme="minorEastAsia" w:eastAsiaTheme="minorEastAsia"/>
          <w:color w:val="auto"/>
          <w:sz w:val="18"/>
          <w:szCs w:val="18"/>
          <w:highlight w:val="none"/>
        </w:rPr>
        <w:t>被授权人在授权书有效期内签署的所有文件不因授权的撤销而失效。</w:t>
      </w:r>
    </w:p>
    <w:p>
      <w:pPr>
        <w:snapToGrid w:val="0"/>
        <w:spacing w:line="360" w:lineRule="auto"/>
        <w:ind w:firstLine="48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被授权人无转委托权，特此委托。</w:t>
      </w:r>
    </w:p>
    <w:p>
      <w:pPr>
        <w:snapToGrid w:val="0"/>
        <w:spacing w:line="360" w:lineRule="auto"/>
        <w:rPr>
          <w:rFonts w:asciiTheme="minorEastAsia" w:hAnsiTheme="minorEastAsia" w:eastAsiaTheme="minorEastAsia"/>
          <w:color w:val="auto"/>
          <w:sz w:val="18"/>
          <w:szCs w:val="18"/>
          <w:highlight w:val="none"/>
        </w:rPr>
      </w:pPr>
    </w:p>
    <w:p>
      <w:pPr>
        <w:snapToGrid w:val="0"/>
        <w:spacing w:beforeLines="50" w:after="50" w:line="360" w:lineRule="auto"/>
        <w:rPr>
          <w:rFonts w:asciiTheme="minorEastAsia" w:hAnsiTheme="minorEastAsia" w:eastAsiaTheme="minorEastAsia"/>
          <w:color w:val="auto"/>
          <w:sz w:val="18"/>
          <w:szCs w:val="18"/>
          <w:highlight w:val="none"/>
          <w:u w:val="single"/>
        </w:rPr>
      </w:pPr>
      <w:r>
        <w:rPr>
          <w:rFonts w:hint="eastAsia" w:asciiTheme="minorEastAsia" w:hAnsiTheme="minorEastAsia" w:eastAsiaTheme="minorEastAsia"/>
          <w:color w:val="auto"/>
          <w:sz w:val="18"/>
          <w:szCs w:val="18"/>
          <w:highlight w:val="none"/>
        </w:rPr>
        <w:t>法定代表人签字：                     被授权人签字：</w:t>
      </w:r>
    </w:p>
    <w:p>
      <w:pPr>
        <w:snapToGrid w:val="0"/>
        <w:spacing w:beforeLines="50" w:after="50" w:line="360" w:lineRule="auto"/>
        <w:rPr>
          <w:rFonts w:asciiTheme="minorEastAsia" w:hAnsiTheme="minorEastAsia" w:eastAsiaTheme="minorEastAsia"/>
          <w:color w:val="auto"/>
          <w:sz w:val="18"/>
          <w:szCs w:val="18"/>
          <w:highlight w:val="none"/>
          <w:u w:val="single"/>
        </w:rPr>
      </w:pPr>
      <w:r>
        <w:rPr>
          <w:rFonts w:hint="eastAsia" w:asciiTheme="minorEastAsia" w:hAnsiTheme="minorEastAsia" w:eastAsiaTheme="minorEastAsia"/>
          <w:color w:val="auto"/>
          <w:sz w:val="18"/>
          <w:szCs w:val="18"/>
          <w:highlight w:val="none"/>
        </w:rPr>
        <w:t>法定代表人身份证号：                  被授权人身份证号：</w:t>
      </w:r>
    </w:p>
    <w:p>
      <w:pPr>
        <w:snapToGrid w:val="0"/>
        <w:spacing w:beforeLines="50" w:after="50" w:line="360" w:lineRule="auto"/>
        <w:rPr>
          <w:rFonts w:asciiTheme="minorEastAsia" w:hAnsiTheme="minorEastAsia" w:eastAsiaTheme="minorEastAsia"/>
          <w:color w:val="auto"/>
          <w:sz w:val="18"/>
          <w:szCs w:val="18"/>
          <w:highlight w:val="none"/>
        </w:rPr>
      </w:pPr>
    </w:p>
    <w:p>
      <w:pPr>
        <w:snapToGrid w:val="0"/>
        <w:spacing w:beforeLines="50" w:after="50"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法定代表人身份证（正反面）       被授权人身份证（正反面）</w:t>
      </w:r>
    </w:p>
    <w:p>
      <w:pPr>
        <w:snapToGrid w:val="0"/>
        <w:spacing w:line="360" w:lineRule="auto"/>
        <w:rPr>
          <w:rFonts w:asciiTheme="minorEastAsia" w:hAnsiTheme="minorEastAsia" w:eastAsiaTheme="minorEastAsia"/>
          <w:color w:val="auto"/>
          <w:sz w:val="18"/>
          <w:szCs w:val="18"/>
          <w:highlight w:val="none"/>
        </w:rPr>
      </w:pPr>
    </w:p>
    <w:p>
      <w:pPr>
        <w:snapToGrid w:val="0"/>
        <w:spacing w:line="360" w:lineRule="auto"/>
        <w:ind w:firstLine="200"/>
        <w:jc w:val="right"/>
        <w:rPr>
          <w:rFonts w:asciiTheme="minorEastAsia" w:hAnsiTheme="minorEastAsia" w:eastAsiaTheme="minorEastAsia"/>
          <w:color w:val="auto"/>
          <w:sz w:val="18"/>
          <w:szCs w:val="18"/>
          <w:highlight w:val="none"/>
          <w:u w:val="single"/>
        </w:rPr>
      </w:pPr>
    </w:p>
    <w:p>
      <w:pPr>
        <w:spacing w:beforeLines="50" w:line="360" w:lineRule="auto"/>
        <w:rPr>
          <w:rFonts w:asciiTheme="minorEastAsia" w:hAnsiTheme="minorEastAsia" w:eastAsiaTheme="minorEastAsia"/>
          <w:color w:val="auto"/>
          <w:sz w:val="18"/>
          <w:szCs w:val="18"/>
          <w:highlight w:val="none"/>
        </w:rPr>
      </w:pPr>
    </w:p>
    <w:p>
      <w:pPr>
        <w:spacing w:line="360" w:lineRule="auto"/>
        <w:ind w:firstLine="440" w:firstLineChars="200"/>
        <w:rPr>
          <w:rFonts w:asciiTheme="minorEastAsia" w:hAnsiTheme="minorEastAsia" w:eastAsiaTheme="minorEastAsia"/>
          <w:color w:val="auto"/>
          <w:spacing w:val="20"/>
          <w:sz w:val="18"/>
          <w:szCs w:val="18"/>
          <w:highlight w:val="none"/>
          <w:u w:val="single"/>
        </w:rPr>
      </w:pPr>
      <w:r>
        <w:rPr>
          <w:rFonts w:hint="eastAsia" w:asciiTheme="minorEastAsia" w:hAnsiTheme="minorEastAsia" w:eastAsiaTheme="minorEastAsia"/>
          <w:color w:val="auto"/>
          <w:spacing w:val="20"/>
          <w:sz w:val="18"/>
          <w:szCs w:val="18"/>
          <w:highlight w:val="none"/>
        </w:rPr>
        <w:t xml:space="preserve">                            投标人盖章：</w:t>
      </w:r>
    </w:p>
    <w:p>
      <w:pPr>
        <w:tabs>
          <w:tab w:val="left" w:pos="1418"/>
        </w:tabs>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pacing w:val="20"/>
          <w:sz w:val="18"/>
          <w:szCs w:val="18"/>
          <w:highlight w:val="none"/>
        </w:rPr>
        <w:t xml:space="preserve">                                日     期：</w:t>
      </w:r>
    </w:p>
    <w:p>
      <w:pPr>
        <w:snapToGrid w:val="0"/>
        <w:spacing w:line="360" w:lineRule="auto"/>
        <w:ind w:firstLine="210" w:firstLineChars="100"/>
        <w:jc w:val="right"/>
        <w:rPr>
          <w:rFonts w:asciiTheme="minorEastAsia" w:hAnsiTheme="minorEastAsia" w:eastAsiaTheme="minorEastAsia"/>
          <w:color w:val="auto"/>
          <w:szCs w:val="21"/>
          <w:highlight w:val="none"/>
        </w:rPr>
      </w:pPr>
    </w:p>
    <w:p>
      <w:pPr>
        <w:snapToGrid w:val="0"/>
        <w:spacing w:line="360" w:lineRule="auto"/>
        <w:rPr>
          <w:rFonts w:asciiTheme="minorEastAsia" w:hAnsiTheme="minorEastAsia" w:eastAsiaTheme="minorEastAsia"/>
          <w:color w:val="auto"/>
          <w:szCs w:val="21"/>
          <w:highlight w:val="none"/>
        </w:rPr>
      </w:pPr>
    </w:p>
    <w:p>
      <w:pPr>
        <w:snapToGrid w:val="0"/>
        <w:spacing w:line="360" w:lineRule="auto"/>
        <w:rPr>
          <w:rFonts w:asciiTheme="minorEastAsia" w:hAnsiTheme="minorEastAsia" w:eastAsiaTheme="minorEastAsia"/>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pStyle w:val="48"/>
        <w:ind w:firstLine="404"/>
        <w:rPr>
          <w:color w:val="auto"/>
          <w:highlight w:val="none"/>
        </w:rPr>
      </w:pPr>
    </w:p>
    <w:p>
      <w:pPr>
        <w:rPr>
          <w:rFonts w:hint="eastAsia"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br w:type="page"/>
      </w: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4.</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关于资格的声明函（附件3）</w:t>
      </w:r>
    </w:p>
    <w:p>
      <w:pPr>
        <w:spacing w:line="360" w:lineRule="auto"/>
        <w:rPr>
          <w:rFonts w:asciiTheme="minorEastAsia" w:hAnsiTheme="minorEastAsia" w:eastAsiaTheme="minorEastAsia"/>
          <w:color w:val="auto"/>
          <w:szCs w:val="21"/>
          <w:highlight w:val="none"/>
        </w:rPr>
      </w:pPr>
    </w:p>
    <w:p>
      <w:pPr>
        <w:spacing w:line="360" w:lineRule="auto"/>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rPr>
        <w:t>致：</w:t>
      </w:r>
      <w:r>
        <w:rPr>
          <w:rFonts w:hint="eastAsia" w:asciiTheme="minorEastAsia" w:hAnsiTheme="minorEastAsia" w:eastAsiaTheme="minorEastAsia"/>
          <w:color w:val="auto"/>
          <w:sz w:val="18"/>
          <w:szCs w:val="18"/>
          <w:highlight w:val="none"/>
          <w:u w:val="single"/>
          <w:lang w:eastAsia="zh-CN"/>
        </w:rPr>
        <w:t>嘉兴市秀洲区人民政府新城街道办事处</w:t>
      </w:r>
    </w:p>
    <w:p>
      <w:pPr>
        <w:spacing w:line="360" w:lineRule="auto"/>
        <w:ind w:firstLine="645"/>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关于贵方</w:t>
      </w:r>
      <w:r>
        <w:rPr>
          <w:rFonts w:asciiTheme="minorEastAsia" w:hAnsiTheme="minorEastAsia" w:eastAsiaTheme="minorEastAsia"/>
          <w:color w:val="auto"/>
          <w:sz w:val="18"/>
          <w:szCs w:val="18"/>
          <w:highlight w:val="none"/>
          <w:u w:val="single"/>
        </w:rPr>
        <w:t xml:space="preserve">  </w:t>
      </w:r>
      <w:r>
        <w:rPr>
          <w:rFonts w:hint="eastAsia" w:asciiTheme="minorEastAsia" w:hAnsiTheme="minorEastAsia" w:eastAsiaTheme="minorEastAsia"/>
          <w:color w:val="auto"/>
          <w:sz w:val="18"/>
          <w:szCs w:val="18"/>
          <w:highlight w:val="none"/>
          <w:u w:val="single"/>
          <w:lang w:eastAsia="zh-CN"/>
        </w:rPr>
        <w:t>新城街道2024年度区域绿化养护项目</w:t>
      </w:r>
      <w:r>
        <w:rPr>
          <w:rFonts w:asciiTheme="minorEastAsia" w:hAnsiTheme="minorEastAsia" w:eastAsiaTheme="minorEastAsia"/>
          <w:color w:val="auto"/>
          <w:sz w:val="18"/>
          <w:szCs w:val="18"/>
          <w:highlight w:val="none"/>
        </w:rPr>
        <w:t>招标</w:t>
      </w:r>
      <w:r>
        <w:rPr>
          <w:rFonts w:hint="eastAsia" w:asciiTheme="minorEastAsia" w:hAnsiTheme="minorEastAsia" w:eastAsiaTheme="minorEastAsia"/>
          <w:color w:val="auto"/>
          <w:sz w:val="18"/>
          <w:szCs w:val="18"/>
          <w:highlight w:val="none"/>
        </w:rPr>
        <w:t>项目</w:t>
      </w:r>
      <w:r>
        <w:rPr>
          <w:rFonts w:asciiTheme="minorEastAsia" w:hAnsiTheme="minorEastAsia" w:eastAsiaTheme="minorEastAsia"/>
          <w:color w:val="auto"/>
          <w:sz w:val="18"/>
          <w:szCs w:val="18"/>
          <w:highlight w:val="none"/>
        </w:rPr>
        <w:t>，本签字人愿意参加投标，提供</w:t>
      </w:r>
      <w:r>
        <w:rPr>
          <w:rFonts w:hint="eastAsia" w:asciiTheme="minorEastAsia" w:hAnsiTheme="minorEastAsia" w:eastAsiaTheme="minorEastAsia"/>
          <w:color w:val="auto"/>
          <w:sz w:val="18"/>
          <w:szCs w:val="18"/>
          <w:highlight w:val="none"/>
        </w:rPr>
        <w:t>招标文件</w:t>
      </w:r>
      <w:r>
        <w:rPr>
          <w:rFonts w:asciiTheme="minorEastAsia" w:hAnsiTheme="minorEastAsia" w:eastAsiaTheme="minorEastAsia"/>
          <w:color w:val="auto"/>
          <w:sz w:val="18"/>
          <w:szCs w:val="18"/>
          <w:highlight w:val="none"/>
        </w:rPr>
        <w:t>规定的</w:t>
      </w:r>
      <w:r>
        <w:rPr>
          <w:rFonts w:hint="eastAsia" w:asciiTheme="minorEastAsia" w:hAnsiTheme="minorEastAsia" w:eastAsiaTheme="minorEastAsia"/>
          <w:color w:val="auto"/>
          <w:sz w:val="18"/>
          <w:szCs w:val="18"/>
          <w:highlight w:val="none"/>
        </w:rPr>
        <w:t>要求及服务，</w:t>
      </w:r>
      <w:r>
        <w:rPr>
          <w:rFonts w:asciiTheme="minorEastAsia" w:hAnsiTheme="minorEastAsia" w:eastAsiaTheme="minorEastAsia"/>
          <w:color w:val="auto"/>
          <w:sz w:val="18"/>
          <w:szCs w:val="18"/>
          <w:highlight w:val="none"/>
        </w:rPr>
        <w:t>并证实提交的下列文件和说明是准确的和真实的</w:t>
      </w:r>
      <w:r>
        <w:rPr>
          <w:rFonts w:hint="eastAsia" w:asciiTheme="minorEastAsia" w:hAnsiTheme="minorEastAsia" w:eastAsiaTheme="minorEastAsia"/>
          <w:color w:val="auto"/>
          <w:sz w:val="18"/>
          <w:szCs w:val="18"/>
          <w:highlight w:val="none"/>
        </w:rPr>
        <w:t>：</w:t>
      </w:r>
    </w:p>
    <w:p>
      <w:pPr>
        <w:spacing w:line="360" w:lineRule="auto"/>
        <w:ind w:firstLine="270" w:firstLineChars="15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投标人概况。</w:t>
      </w:r>
    </w:p>
    <w:p>
      <w:pPr>
        <w:spacing w:line="360" w:lineRule="auto"/>
        <w:ind w:firstLine="270" w:firstLineChars="15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2、有效期内的法人营业执照副本复印件（加盖公章）、</w:t>
      </w:r>
    </w:p>
    <w:p>
      <w:pPr>
        <w:spacing w:line="360" w:lineRule="auto"/>
        <w:ind w:firstLine="270" w:firstLineChars="15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3、招标文件要求的相关资格资质证明文件及附件资料复印件（加盖公章）。</w:t>
      </w:r>
    </w:p>
    <w:p>
      <w:pPr>
        <w:spacing w:line="360" w:lineRule="auto"/>
        <w:ind w:firstLine="270" w:firstLineChars="15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4、投标人认为有必要提供的声明及文件资料。</w:t>
      </w:r>
    </w:p>
    <w:p>
      <w:pPr>
        <w:spacing w:line="360" w:lineRule="auto"/>
        <w:ind w:firstLine="270" w:firstLineChars="15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N、</w:t>
      </w:r>
      <w:r>
        <w:rPr>
          <w:rFonts w:asciiTheme="minorEastAsia" w:hAnsiTheme="minorEastAsia" w:eastAsiaTheme="minorEastAsia"/>
          <w:color w:val="auto"/>
          <w:sz w:val="18"/>
          <w:szCs w:val="18"/>
          <w:highlight w:val="none"/>
        </w:rPr>
        <w:t>……</w:t>
      </w:r>
    </w:p>
    <w:p>
      <w:pPr>
        <w:spacing w:beforeLines="50" w:line="360" w:lineRule="auto"/>
        <w:ind w:firstLine="2420" w:firstLineChars="1100"/>
        <w:rPr>
          <w:rFonts w:asciiTheme="minorEastAsia" w:hAnsiTheme="minorEastAsia" w:eastAsiaTheme="minorEastAsia"/>
          <w:color w:val="auto"/>
          <w:spacing w:val="20"/>
          <w:sz w:val="18"/>
          <w:szCs w:val="18"/>
          <w:highlight w:val="none"/>
        </w:rPr>
      </w:pPr>
    </w:p>
    <w:p>
      <w:pPr>
        <w:spacing w:beforeLines="50" w:line="360" w:lineRule="auto"/>
        <w:ind w:firstLine="2420" w:firstLineChars="1100"/>
        <w:rPr>
          <w:rFonts w:asciiTheme="minorEastAsia" w:hAnsiTheme="minorEastAsia" w:eastAsiaTheme="minorEastAsia"/>
          <w:color w:val="auto"/>
          <w:spacing w:val="20"/>
          <w:sz w:val="18"/>
          <w:szCs w:val="18"/>
          <w:highlight w:val="none"/>
        </w:rPr>
      </w:pPr>
    </w:p>
    <w:p>
      <w:pPr>
        <w:spacing w:beforeLines="50" w:line="360" w:lineRule="auto"/>
        <w:ind w:firstLine="2420" w:firstLineChars="1100"/>
        <w:rPr>
          <w:rFonts w:asciiTheme="minorEastAsia" w:hAnsiTheme="minorEastAsia" w:eastAsiaTheme="minorEastAsia"/>
          <w:color w:val="auto"/>
          <w:sz w:val="18"/>
          <w:szCs w:val="18"/>
          <w:highlight w:val="none"/>
        </w:rPr>
      </w:pPr>
      <w:r>
        <w:rPr>
          <w:rFonts w:asciiTheme="minorEastAsia" w:hAnsiTheme="minorEastAsia" w:eastAsiaTheme="minorEastAsia"/>
          <w:color w:val="auto"/>
          <w:spacing w:val="20"/>
          <w:sz w:val="18"/>
          <w:szCs w:val="18"/>
          <w:highlight w:val="none"/>
        </w:rPr>
        <w:t>法定代表人或委托代理人</w:t>
      </w:r>
      <w:r>
        <w:rPr>
          <w:rFonts w:hint="eastAsia" w:asciiTheme="minorEastAsia" w:hAnsiTheme="minorEastAsia" w:eastAsiaTheme="minorEastAsia"/>
          <w:color w:val="auto"/>
          <w:spacing w:val="20"/>
          <w:sz w:val="18"/>
          <w:szCs w:val="18"/>
          <w:highlight w:val="none"/>
        </w:rPr>
        <w:t>签名：</w:t>
      </w:r>
    </w:p>
    <w:p>
      <w:pPr>
        <w:spacing w:line="360" w:lineRule="auto"/>
        <w:ind w:firstLine="440" w:firstLineChars="200"/>
        <w:rPr>
          <w:rFonts w:asciiTheme="minorEastAsia" w:hAnsiTheme="minorEastAsia" w:eastAsiaTheme="minorEastAsia"/>
          <w:color w:val="auto"/>
          <w:spacing w:val="20"/>
          <w:sz w:val="18"/>
          <w:szCs w:val="18"/>
          <w:highlight w:val="none"/>
          <w:u w:val="single"/>
        </w:rPr>
      </w:pPr>
      <w:r>
        <w:rPr>
          <w:rFonts w:hint="eastAsia" w:asciiTheme="minorEastAsia" w:hAnsiTheme="minorEastAsia" w:eastAsiaTheme="minorEastAsia"/>
          <w:color w:val="auto"/>
          <w:spacing w:val="20"/>
          <w:sz w:val="18"/>
          <w:szCs w:val="18"/>
          <w:highlight w:val="none"/>
        </w:rPr>
        <w:t xml:space="preserve">                            投标人盖章：</w:t>
      </w:r>
    </w:p>
    <w:p>
      <w:pPr>
        <w:tabs>
          <w:tab w:val="left" w:pos="1418"/>
        </w:tabs>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pacing w:val="20"/>
          <w:sz w:val="18"/>
          <w:szCs w:val="18"/>
          <w:highlight w:val="none"/>
        </w:rPr>
        <w:t xml:space="preserve">                                日     期：</w:t>
      </w: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rPr>
          <w:rFonts w:hint="eastAsia"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br w:type="page"/>
      </w:r>
    </w:p>
    <w:p>
      <w:pPr>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5.</w:t>
      </w:r>
    </w:p>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投标人基本情况表 （附件4）</w:t>
      </w:r>
    </w:p>
    <w:tbl>
      <w:tblPr>
        <w:tblStyle w:val="49"/>
        <w:tblW w:w="861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13"/>
        <w:gridCol w:w="2538"/>
        <w:gridCol w:w="1530"/>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650" w:type="dxa"/>
            <w:vMerge w:val="restart"/>
            <w:vAlign w:val="center"/>
          </w:tcPr>
          <w:p>
            <w:pPr>
              <w:spacing w:line="360" w:lineRule="auto"/>
              <w:jc w:val="center"/>
              <w:rPr>
                <w:rFonts w:asciiTheme="minorEastAsia" w:hAnsiTheme="minorEastAsia" w:eastAsiaTheme="minorEastAsia"/>
                <w:color w:val="auto"/>
                <w:sz w:val="18"/>
                <w:szCs w:val="18"/>
                <w:highlight w:val="none"/>
              </w:rPr>
            </w:pPr>
          </w:p>
          <w:p>
            <w:pPr>
              <w:spacing w:line="360" w:lineRule="auto"/>
              <w:jc w:val="center"/>
              <w:rPr>
                <w:rFonts w:asciiTheme="minorEastAsia" w:hAnsiTheme="minorEastAsia" w:eastAsiaTheme="minorEastAsia"/>
                <w:color w:val="auto"/>
                <w:sz w:val="18"/>
                <w:szCs w:val="18"/>
                <w:highlight w:val="none"/>
              </w:rPr>
            </w:pPr>
          </w:p>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投</w:t>
            </w:r>
          </w:p>
          <w:p>
            <w:pPr>
              <w:spacing w:line="360" w:lineRule="auto"/>
              <w:jc w:val="center"/>
              <w:rPr>
                <w:rFonts w:asciiTheme="minorEastAsia" w:hAnsiTheme="minorEastAsia" w:eastAsiaTheme="minorEastAsia"/>
                <w:color w:val="auto"/>
                <w:sz w:val="18"/>
                <w:szCs w:val="18"/>
                <w:highlight w:val="none"/>
              </w:rPr>
            </w:pPr>
          </w:p>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标</w:t>
            </w:r>
          </w:p>
          <w:p>
            <w:pPr>
              <w:spacing w:line="360" w:lineRule="auto"/>
              <w:jc w:val="center"/>
              <w:rPr>
                <w:rFonts w:asciiTheme="minorEastAsia" w:hAnsiTheme="minorEastAsia" w:eastAsiaTheme="minorEastAsia"/>
                <w:color w:val="auto"/>
                <w:sz w:val="18"/>
                <w:szCs w:val="18"/>
                <w:highlight w:val="none"/>
              </w:rPr>
            </w:pPr>
          </w:p>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人</w:t>
            </w:r>
          </w:p>
          <w:p>
            <w:pPr>
              <w:spacing w:line="360" w:lineRule="auto"/>
              <w:jc w:val="center"/>
              <w:rPr>
                <w:rFonts w:asciiTheme="minorEastAsia" w:hAnsiTheme="minorEastAsia" w:eastAsiaTheme="minorEastAsia"/>
                <w:color w:val="auto"/>
                <w:sz w:val="18"/>
                <w:szCs w:val="18"/>
                <w:highlight w:val="none"/>
              </w:rPr>
            </w:pPr>
          </w:p>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概</w:t>
            </w:r>
          </w:p>
          <w:p>
            <w:pPr>
              <w:spacing w:line="360" w:lineRule="auto"/>
              <w:jc w:val="center"/>
              <w:rPr>
                <w:rFonts w:asciiTheme="minorEastAsia" w:hAnsiTheme="minorEastAsia" w:eastAsiaTheme="minorEastAsia"/>
                <w:color w:val="auto"/>
                <w:sz w:val="18"/>
                <w:szCs w:val="18"/>
                <w:highlight w:val="none"/>
              </w:rPr>
            </w:pPr>
          </w:p>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况</w:t>
            </w:r>
          </w:p>
        </w:tc>
        <w:tc>
          <w:tcPr>
            <w:tcW w:w="1813"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公司名称</w:t>
            </w:r>
          </w:p>
        </w:tc>
        <w:tc>
          <w:tcPr>
            <w:tcW w:w="6147" w:type="dxa"/>
            <w:gridSpan w:val="3"/>
            <w:vAlign w:val="center"/>
          </w:tcPr>
          <w:p>
            <w:pPr>
              <w:spacing w:line="360" w:lineRule="auto"/>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50" w:type="dxa"/>
            <w:vMerge w:val="continue"/>
            <w:vAlign w:val="center"/>
          </w:tcPr>
          <w:p>
            <w:pPr>
              <w:spacing w:line="360" w:lineRule="auto"/>
              <w:jc w:val="center"/>
              <w:rPr>
                <w:rFonts w:asciiTheme="minorEastAsia" w:hAnsiTheme="minorEastAsia" w:eastAsiaTheme="minorEastAsia"/>
                <w:color w:val="auto"/>
                <w:sz w:val="18"/>
                <w:szCs w:val="18"/>
                <w:highlight w:val="none"/>
              </w:rPr>
            </w:pPr>
          </w:p>
        </w:tc>
        <w:tc>
          <w:tcPr>
            <w:tcW w:w="1813"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地址</w:t>
            </w:r>
          </w:p>
        </w:tc>
        <w:tc>
          <w:tcPr>
            <w:tcW w:w="6147" w:type="dxa"/>
            <w:gridSpan w:val="3"/>
            <w:vAlign w:val="center"/>
          </w:tcPr>
          <w:p>
            <w:pPr>
              <w:spacing w:line="360" w:lineRule="auto"/>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50" w:type="dxa"/>
            <w:vMerge w:val="continue"/>
            <w:vAlign w:val="center"/>
          </w:tcPr>
          <w:p>
            <w:pPr>
              <w:spacing w:line="360" w:lineRule="auto"/>
              <w:jc w:val="center"/>
              <w:rPr>
                <w:rFonts w:asciiTheme="minorEastAsia" w:hAnsiTheme="minorEastAsia" w:eastAsiaTheme="minorEastAsia"/>
                <w:color w:val="auto"/>
                <w:sz w:val="18"/>
                <w:szCs w:val="18"/>
                <w:highlight w:val="none"/>
              </w:rPr>
            </w:pPr>
          </w:p>
        </w:tc>
        <w:tc>
          <w:tcPr>
            <w:tcW w:w="1813"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经营范围</w:t>
            </w:r>
          </w:p>
        </w:tc>
        <w:tc>
          <w:tcPr>
            <w:tcW w:w="6147" w:type="dxa"/>
            <w:gridSpan w:val="3"/>
            <w:vAlign w:val="center"/>
          </w:tcPr>
          <w:p>
            <w:pPr>
              <w:spacing w:line="360" w:lineRule="auto"/>
              <w:ind w:firstLine="360" w:firstLineChars="200"/>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50" w:type="dxa"/>
            <w:vMerge w:val="continue"/>
            <w:vAlign w:val="center"/>
          </w:tcPr>
          <w:p>
            <w:pPr>
              <w:spacing w:line="360" w:lineRule="auto"/>
              <w:jc w:val="center"/>
              <w:rPr>
                <w:rFonts w:asciiTheme="minorEastAsia" w:hAnsiTheme="minorEastAsia" w:eastAsiaTheme="minorEastAsia"/>
                <w:color w:val="auto"/>
                <w:sz w:val="18"/>
                <w:szCs w:val="18"/>
                <w:highlight w:val="none"/>
              </w:rPr>
            </w:pPr>
          </w:p>
        </w:tc>
        <w:tc>
          <w:tcPr>
            <w:tcW w:w="1813"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成立时间</w:t>
            </w:r>
          </w:p>
        </w:tc>
        <w:tc>
          <w:tcPr>
            <w:tcW w:w="2538" w:type="dxa"/>
            <w:vAlign w:val="center"/>
          </w:tcPr>
          <w:p>
            <w:pPr>
              <w:spacing w:line="360" w:lineRule="auto"/>
              <w:jc w:val="center"/>
              <w:rPr>
                <w:rFonts w:asciiTheme="minorEastAsia" w:hAnsiTheme="minorEastAsia" w:eastAsiaTheme="minorEastAsia"/>
                <w:color w:val="auto"/>
                <w:sz w:val="18"/>
                <w:szCs w:val="18"/>
                <w:highlight w:val="none"/>
              </w:rPr>
            </w:pPr>
          </w:p>
        </w:tc>
        <w:tc>
          <w:tcPr>
            <w:tcW w:w="1530"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经济性质</w:t>
            </w:r>
          </w:p>
        </w:tc>
        <w:tc>
          <w:tcPr>
            <w:tcW w:w="2079" w:type="dxa"/>
            <w:vAlign w:val="center"/>
          </w:tcPr>
          <w:p>
            <w:pPr>
              <w:spacing w:line="360" w:lineRule="auto"/>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650" w:type="dxa"/>
            <w:vMerge w:val="continue"/>
            <w:vAlign w:val="center"/>
          </w:tcPr>
          <w:p>
            <w:pPr>
              <w:spacing w:line="360" w:lineRule="auto"/>
              <w:jc w:val="center"/>
              <w:rPr>
                <w:rFonts w:asciiTheme="minorEastAsia" w:hAnsiTheme="minorEastAsia" w:eastAsiaTheme="minorEastAsia"/>
                <w:color w:val="auto"/>
                <w:sz w:val="18"/>
                <w:szCs w:val="18"/>
                <w:highlight w:val="none"/>
              </w:rPr>
            </w:pPr>
          </w:p>
        </w:tc>
        <w:tc>
          <w:tcPr>
            <w:tcW w:w="1813"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法定代表人</w:t>
            </w:r>
          </w:p>
        </w:tc>
        <w:tc>
          <w:tcPr>
            <w:tcW w:w="2538" w:type="dxa"/>
            <w:vAlign w:val="center"/>
          </w:tcPr>
          <w:p>
            <w:pPr>
              <w:spacing w:line="360" w:lineRule="auto"/>
              <w:jc w:val="center"/>
              <w:rPr>
                <w:rFonts w:asciiTheme="minorEastAsia" w:hAnsiTheme="minorEastAsia" w:eastAsiaTheme="minorEastAsia"/>
                <w:color w:val="auto"/>
                <w:sz w:val="18"/>
                <w:szCs w:val="18"/>
                <w:highlight w:val="none"/>
              </w:rPr>
            </w:pPr>
          </w:p>
        </w:tc>
        <w:tc>
          <w:tcPr>
            <w:tcW w:w="1530"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联系电话</w:t>
            </w:r>
          </w:p>
        </w:tc>
        <w:tc>
          <w:tcPr>
            <w:tcW w:w="2079" w:type="dxa"/>
            <w:vAlign w:val="center"/>
          </w:tcPr>
          <w:p>
            <w:pPr>
              <w:spacing w:line="360" w:lineRule="auto"/>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50" w:type="dxa"/>
            <w:vMerge w:val="continue"/>
            <w:vAlign w:val="center"/>
          </w:tcPr>
          <w:p>
            <w:pPr>
              <w:spacing w:line="360" w:lineRule="auto"/>
              <w:jc w:val="center"/>
              <w:rPr>
                <w:rFonts w:asciiTheme="minorEastAsia" w:hAnsiTheme="minorEastAsia" w:eastAsiaTheme="minorEastAsia"/>
                <w:color w:val="auto"/>
                <w:sz w:val="18"/>
                <w:szCs w:val="18"/>
                <w:highlight w:val="none"/>
              </w:rPr>
            </w:pPr>
          </w:p>
        </w:tc>
        <w:tc>
          <w:tcPr>
            <w:tcW w:w="1813"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注册资金</w:t>
            </w:r>
          </w:p>
        </w:tc>
        <w:tc>
          <w:tcPr>
            <w:tcW w:w="2538" w:type="dxa"/>
            <w:vAlign w:val="center"/>
          </w:tcPr>
          <w:p>
            <w:pPr>
              <w:spacing w:line="360" w:lineRule="auto"/>
              <w:jc w:val="center"/>
              <w:rPr>
                <w:rFonts w:asciiTheme="minorEastAsia" w:hAnsiTheme="minorEastAsia" w:eastAsiaTheme="minorEastAsia"/>
                <w:color w:val="auto"/>
                <w:sz w:val="18"/>
                <w:szCs w:val="18"/>
                <w:highlight w:val="none"/>
              </w:rPr>
            </w:pPr>
          </w:p>
        </w:tc>
        <w:tc>
          <w:tcPr>
            <w:tcW w:w="1530"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人员数</w:t>
            </w:r>
          </w:p>
        </w:tc>
        <w:tc>
          <w:tcPr>
            <w:tcW w:w="2079" w:type="dxa"/>
            <w:vAlign w:val="center"/>
          </w:tcPr>
          <w:p>
            <w:pPr>
              <w:spacing w:line="360" w:lineRule="auto"/>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650" w:type="dxa"/>
            <w:vMerge w:val="continue"/>
            <w:vAlign w:val="center"/>
          </w:tcPr>
          <w:p>
            <w:pPr>
              <w:spacing w:line="360" w:lineRule="auto"/>
              <w:jc w:val="center"/>
              <w:rPr>
                <w:rFonts w:asciiTheme="minorEastAsia" w:hAnsiTheme="minorEastAsia" w:eastAsiaTheme="minorEastAsia"/>
                <w:color w:val="auto"/>
                <w:sz w:val="18"/>
                <w:szCs w:val="18"/>
                <w:highlight w:val="none"/>
              </w:rPr>
            </w:pPr>
          </w:p>
        </w:tc>
        <w:tc>
          <w:tcPr>
            <w:tcW w:w="1813"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资产总额</w:t>
            </w:r>
          </w:p>
        </w:tc>
        <w:tc>
          <w:tcPr>
            <w:tcW w:w="2538" w:type="dxa"/>
            <w:vAlign w:val="center"/>
          </w:tcPr>
          <w:p>
            <w:pPr>
              <w:spacing w:line="360" w:lineRule="auto"/>
              <w:jc w:val="center"/>
              <w:rPr>
                <w:rFonts w:asciiTheme="minorEastAsia" w:hAnsiTheme="minorEastAsia" w:eastAsiaTheme="minorEastAsia"/>
                <w:color w:val="auto"/>
                <w:sz w:val="18"/>
                <w:szCs w:val="18"/>
                <w:highlight w:val="none"/>
              </w:rPr>
            </w:pPr>
          </w:p>
        </w:tc>
        <w:tc>
          <w:tcPr>
            <w:tcW w:w="1530"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净资产</w:t>
            </w:r>
          </w:p>
        </w:tc>
        <w:tc>
          <w:tcPr>
            <w:tcW w:w="2079" w:type="dxa"/>
            <w:vAlign w:val="center"/>
          </w:tcPr>
          <w:p>
            <w:pPr>
              <w:spacing w:line="360" w:lineRule="auto"/>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trPr>
        <w:tc>
          <w:tcPr>
            <w:tcW w:w="650" w:type="dxa"/>
            <w:vMerge w:val="continue"/>
            <w:vAlign w:val="center"/>
          </w:tcPr>
          <w:p>
            <w:pPr>
              <w:spacing w:line="360" w:lineRule="auto"/>
              <w:jc w:val="center"/>
              <w:rPr>
                <w:rFonts w:asciiTheme="minorEastAsia" w:hAnsiTheme="minorEastAsia" w:eastAsiaTheme="minorEastAsia"/>
                <w:color w:val="auto"/>
                <w:sz w:val="18"/>
                <w:szCs w:val="18"/>
                <w:highlight w:val="none"/>
              </w:rPr>
            </w:pPr>
          </w:p>
        </w:tc>
        <w:tc>
          <w:tcPr>
            <w:tcW w:w="1813"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是否依法纳税</w:t>
            </w:r>
          </w:p>
        </w:tc>
        <w:tc>
          <w:tcPr>
            <w:tcW w:w="2538" w:type="dxa"/>
            <w:vAlign w:val="center"/>
          </w:tcPr>
          <w:p>
            <w:pPr>
              <w:spacing w:line="360" w:lineRule="auto"/>
              <w:jc w:val="center"/>
              <w:rPr>
                <w:rFonts w:asciiTheme="minorEastAsia" w:hAnsiTheme="minorEastAsia" w:eastAsiaTheme="minorEastAsia"/>
                <w:color w:val="auto"/>
                <w:sz w:val="18"/>
                <w:szCs w:val="18"/>
                <w:highlight w:val="none"/>
              </w:rPr>
            </w:pPr>
          </w:p>
        </w:tc>
        <w:tc>
          <w:tcPr>
            <w:tcW w:w="1530"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是否参加社保</w:t>
            </w:r>
          </w:p>
        </w:tc>
        <w:tc>
          <w:tcPr>
            <w:tcW w:w="2079" w:type="dxa"/>
            <w:vAlign w:val="center"/>
          </w:tcPr>
          <w:p>
            <w:pPr>
              <w:spacing w:line="360" w:lineRule="auto"/>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trPr>
        <w:tc>
          <w:tcPr>
            <w:tcW w:w="650" w:type="dxa"/>
            <w:vMerge w:val="continue"/>
            <w:vAlign w:val="center"/>
          </w:tcPr>
          <w:p>
            <w:pPr>
              <w:spacing w:line="360" w:lineRule="auto"/>
              <w:jc w:val="center"/>
              <w:rPr>
                <w:rFonts w:asciiTheme="minorEastAsia" w:hAnsiTheme="minorEastAsia" w:eastAsiaTheme="minorEastAsia"/>
                <w:color w:val="auto"/>
                <w:sz w:val="18"/>
                <w:szCs w:val="18"/>
                <w:highlight w:val="none"/>
              </w:rPr>
            </w:pPr>
          </w:p>
        </w:tc>
        <w:tc>
          <w:tcPr>
            <w:tcW w:w="7960" w:type="dxa"/>
            <w:gridSpan w:val="4"/>
          </w:tcPr>
          <w:p>
            <w:pPr>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单位优势及特点：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610" w:type="dxa"/>
            <w:gridSpan w:val="5"/>
            <w:vAlign w:val="center"/>
          </w:tcPr>
          <w:p>
            <w:pPr>
              <w:spacing w:line="360" w:lineRule="auto"/>
              <w:jc w:val="righ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（单位公章）年   月   日</w:t>
            </w:r>
          </w:p>
        </w:tc>
      </w:tr>
    </w:tbl>
    <w:p>
      <w:pPr>
        <w:spacing w:beforeLines="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18"/>
          <w:szCs w:val="18"/>
          <w:highlight w:val="none"/>
        </w:rPr>
        <w:t xml:space="preserve">   注：附营业执照。</w:t>
      </w:r>
    </w:p>
    <w:p>
      <w:pPr>
        <w:snapToGrid w:val="0"/>
        <w:spacing w:line="360" w:lineRule="auto"/>
        <w:rPr>
          <w:rFonts w:asciiTheme="minorEastAsia" w:hAnsiTheme="minorEastAsia" w:eastAsiaTheme="minorEastAsia"/>
          <w:b/>
          <w:color w:val="auto"/>
          <w:spacing w:val="20"/>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rPr>
          <w:rFonts w:hint="eastAsia" w:asciiTheme="minorEastAsia" w:hAnsiTheme="minorEastAsia" w:eastAsiaTheme="minorEastAsia"/>
          <w:b/>
          <w:color w:val="auto"/>
          <w:spacing w:val="20"/>
          <w:szCs w:val="21"/>
          <w:highlight w:val="none"/>
        </w:rPr>
      </w:pPr>
      <w:r>
        <w:rPr>
          <w:rFonts w:hint="eastAsia" w:asciiTheme="minorEastAsia" w:hAnsiTheme="minorEastAsia" w:eastAsiaTheme="minorEastAsia"/>
          <w:b/>
          <w:color w:val="auto"/>
          <w:spacing w:val="20"/>
          <w:szCs w:val="21"/>
          <w:highlight w:val="none"/>
        </w:rPr>
        <w:br w:type="page"/>
      </w:r>
    </w:p>
    <w:p>
      <w:pPr>
        <w:snapToGrid w:val="0"/>
        <w:spacing w:line="360" w:lineRule="auto"/>
        <w:rPr>
          <w:rFonts w:asciiTheme="minorEastAsia" w:hAnsiTheme="minorEastAsia" w:eastAsiaTheme="minorEastAsia"/>
          <w:b/>
          <w:color w:val="auto"/>
          <w:spacing w:val="20"/>
          <w:szCs w:val="21"/>
          <w:highlight w:val="none"/>
        </w:rPr>
      </w:pPr>
      <w:r>
        <w:rPr>
          <w:rFonts w:hint="eastAsia" w:asciiTheme="minorEastAsia" w:hAnsiTheme="minorEastAsia" w:eastAsiaTheme="minorEastAsia"/>
          <w:b/>
          <w:color w:val="auto"/>
          <w:spacing w:val="20"/>
          <w:szCs w:val="21"/>
          <w:highlight w:val="none"/>
        </w:rPr>
        <w:t>6 .</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业绩一览表（附件5）</w:t>
      </w:r>
    </w:p>
    <w:tbl>
      <w:tblPr>
        <w:tblStyle w:val="49"/>
        <w:tblW w:w="9907" w:type="dxa"/>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067"/>
        <w:gridCol w:w="2067"/>
        <w:gridCol w:w="172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序号</w:t>
            </w:r>
          </w:p>
        </w:tc>
        <w:tc>
          <w:tcPr>
            <w:tcW w:w="2067" w:type="dxa"/>
            <w:vAlign w:val="center"/>
          </w:tcPr>
          <w:p>
            <w:pPr>
              <w:autoSpaceDE w:val="0"/>
              <w:autoSpaceDN w:val="0"/>
              <w:adjustRightInd w:val="0"/>
              <w:snapToGrid w:val="0"/>
              <w:spacing w:line="360" w:lineRule="auto"/>
              <w:jc w:val="center"/>
              <w:rPr>
                <w:rFonts w:asciiTheme="minorEastAsia" w:hAnsiTheme="minorEastAsia" w:eastAsiaTheme="minorEastAsia"/>
                <w:color w:val="auto"/>
                <w:sz w:val="18"/>
                <w:szCs w:val="18"/>
                <w:highlight w:val="none"/>
                <w:lang w:val="zh-CN"/>
              </w:rPr>
            </w:pPr>
            <w:r>
              <w:rPr>
                <w:rFonts w:hint="eastAsia" w:asciiTheme="minorEastAsia" w:hAnsiTheme="minorEastAsia" w:eastAsiaTheme="minorEastAsia"/>
                <w:color w:val="auto"/>
                <w:sz w:val="18"/>
                <w:szCs w:val="18"/>
                <w:highlight w:val="none"/>
              </w:rPr>
              <w:t>项目名称</w:t>
            </w:r>
          </w:p>
        </w:tc>
        <w:tc>
          <w:tcPr>
            <w:tcW w:w="2067" w:type="dxa"/>
            <w:vAlign w:val="center"/>
          </w:tcPr>
          <w:p>
            <w:pPr>
              <w:autoSpaceDE w:val="0"/>
              <w:autoSpaceDN w:val="0"/>
              <w:adjustRightInd w:val="0"/>
              <w:snapToGrid w:val="0"/>
              <w:spacing w:line="360" w:lineRule="auto"/>
              <w:jc w:val="center"/>
              <w:rPr>
                <w:rFonts w:asciiTheme="minorEastAsia" w:hAnsiTheme="minorEastAsia" w:eastAsiaTheme="minorEastAsia"/>
                <w:color w:val="auto"/>
                <w:sz w:val="18"/>
                <w:szCs w:val="18"/>
                <w:highlight w:val="none"/>
                <w:lang w:val="zh-CN"/>
              </w:rPr>
            </w:pPr>
            <w:r>
              <w:rPr>
                <w:rFonts w:hint="eastAsia" w:asciiTheme="minorEastAsia" w:hAnsiTheme="minorEastAsia" w:eastAsiaTheme="minorEastAsia"/>
                <w:color w:val="auto"/>
                <w:sz w:val="18"/>
                <w:szCs w:val="18"/>
                <w:highlight w:val="none"/>
                <w:lang w:val="zh-CN"/>
              </w:rPr>
              <w:t>项目金额</w:t>
            </w:r>
          </w:p>
          <w:p>
            <w:pPr>
              <w:autoSpaceDE w:val="0"/>
              <w:autoSpaceDN w:val="0"/>
              <w:adjustRightInd w:val="0"/>
              <w:snapToGrid w:val="0"/>
              <w:spacing w:line="360" w:lineRule="auto"/>
              <w:jc w:val="center"/>
              <w:rPr>
                <w:rFonts w:asciiTheme="minorEastAsia" w:hAnsiTheme="minorEastAsia" w:eastAsiaTheme="minorEastAsia"/>
                <w:color w:val="auto"/>
                <w:sz w:val="18"/>
                <w:szCs w:val="18"/>
                <w:highlight w:val="none"/>
                <w:lang w:val="zh-CN"/>
              </w:rPr>
            </w:pPr>
            <w:r>
              <w:rPr>
                <w:rFonts w:hint="eastAsia" w:asciiTheme="minorEastAsia" w:hAnsiTheme="minorEastAsia" w:eastAsiaTheme="minorEastAsia"/>
                <w:color w:val="auto"/>
                <w:sz w:val="18"/>
                <w:szCs w:val="18"/>
                <w:highlight w:val="none"/>
                <w:lang w:val="zh-CN"/>
              </w:rPr>
              <w:t>（</w:t>
            </w:r>
            <w:r>
              <w:rPr>
                <w:rFonts w:hint="eastAsia" w:asciiTheme="minorEastAsia" w:hAnsiTheme="minorEastAsia" w:eastAsiaTheme="minorEastAsia"/>
                <w:color w:val="auto"/>
                <w:sz w:val="18"/>
                <w:szCs w:val="18"/>
                <w:highlight w:val="none"/>
              </w:rPr>
              <w:t>万元）</w:t>
            </w:r>
          </w:p>
        </w:tc>
        <w:tc>
          <w:tcPr>
            <w:tcW w:w="1720"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合同时间</w:t>
            </w:r>
          </w:p>
        </w:tc>
        <w:tc>
          <w:tcPr>
            <w:tcW w:w="2066" w:type="dxa"/>
            <w:vAlign w:val="center"/>
          </w:tcPr>
          <w:p>
            <w:pPr>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7"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1720"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c>
          <w:tcPr>
            <w:tcW w:w="2066" w:type="dxa"/>
            <w:vAlign w:val="center"/>
          </w:tcPr>
          <w:p>
            <w:pPr>
              <w:spacing w:line="360" w:lineRule="auto"/>
              <w:ind w:firstLine="450" w:firstLineChars="250"/>
              <w:jc w:val="center"/>
              <w:rPr>
                <w:rFonts w:asciiTheme="minorEastAsia" w:hAnsiTheme="minorEastAsia" w:eastAsiaTheme="minorEastAsia"/>
                <w:color w:val="auto"/>
                <w:sz w:val="18"/>
                <w:szCs w:val="18"/>
                <w:highlight w:val="none"/>
              </w:rPr>
            </w:pPr>
          </w:p>
        </w:tc>
      </w:tr>
    </w:tbl>
    <w:p>
      <w:pPr>
        <w:pStyle w:val="30"/>
        <w:tabs>
          <w:tab w:val="left" w:pos="1200"/>
        </w:tabs>
        <w:spacing w:before="120" w:after="120"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注：1、以上项目须提供合同复印件加盖单位公章.</w:t>
      </w:r>
    </w:p>
    <w:p>
      <w:pPr>
        <w:pStyle w:val="30"/>
        <w:tabs>
          <w:tab w:val="left" w:pos="1200"/>
        </w:tabs>
        <w:spacing w:before="120" w:after="120" w:line="360" w:lineRule="auto"/>
        <w:ind w:firstLine="36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18"/>
          <w:szCs w:val="18"/>
          <w:highlight w:val="none"/>
        </w:rPr>
        <w:t>2、本表可在不改变格式的情况下根据具体需要自行增减。</w:t>
      </w:r>
    </w:p>
    <w:p>
      <w:pPr>
        <w:snapToGrid w:val="0"/>
        <w:spacing w:line="360" w:lineRule="auto"/>
        <w:rPr>
          <w:rFonts w:asciiTheme="minorEastAsia" w:hAnsiTheme="minorEastAsia" w:eastAsiaTheme="minorEastAsia"/>
          <w:color w:val="auto"/>
          <w:spacing w:val="20"/>
          <w:szCs w:val="21"/>
          <w:highlight w:val="none"/>
        </w:rPr>
      </w:pPr>
    </w:p>
    <w:p>
      <w:pPr>
        <w:snapToGrid w:val="0"/>
        <w:spacing w:line="360" w:lineRule="auto"/>
        <w:rPr>
          <w:rFonts w:asciiTheme="minorEastAsia" w:hAnsiTheme="minorEastAsia" w:eastAsiaTheme="minorEastAsia"/>
          <w:color w:val="auto"/>
          <w:spacing w:val="20"/>
          <w:szCs w:val="21"/>
          <w:highlight w:val="none"/>
        </w:rPr>
      </w:pPr>
    </w:p>
    <w:p>
      <w:pPr>
        <w:snapToGrid w:val="0"/>
        <w:spacing w:line="360" w:lineRule="auto"/>
        <w:rPr>
          <w:rFonts w:asciiTheme="minorEastAsia" w:hAnsiTheme="minorEastAsia" w:eastAsiaTheme="minorEastAsia"/>
          <w:color w:val="auto"/>
          <w:spacing w:val="20"/>
          <w:szCs w:val="21"/>
          <w:highlight w:val="none"/>
        </w:rPr>
      </w:pPr>
    </w:p>
    <w:p>
      <w:pPr>
        <w:snapToGrid w:val="0"/>
        <w:spacing w:line="360" w:lineRule="auto"/>
        <w:rPr>
          <w:rFonts w:asciiTheme="minorEastAsia" w:hAnsiTheme="minorEastAsia" w:eastAsiaTheme="minorEastAsia"/>
          <w:color w:val="auto"/>
          <w:spacing w:val="20"/>
          <w:szCs w:val="21"/>
          <w:highlight w:val="none"/>
        </w:rPr>
      </w:pPr>
    </w:p>
    <w:p>
      <w:pPr>
        <w:pStyle w:val="48"/>
        <w:ind w:firstLine="404"/>
        <w:rPr>
          <w:color w:val="auto"/>
          <w:highlight w:val="none"/>
        </w:rPr>
      </w:pPr>
    </w:p>
    <w:p>
      <w:pPr>
        <w:rPr>
          <w:rFonts w:hint="eastAsia" w:asciiTheme="minorEastAsia" w:hAnsiTheme="minorEastAsia" w:eastAsiaTheme="minorEastAsia"/>
          <w:b/>
          <w:color w:val="auto"/>
          <w:spacing w:val="20"/>
          <w:szCs w:val="21"/>
          <w:highlight w:val="none"/>
        </w:rPr>
      </w:pPr>
      <w:r>
        <w:rPr>
          <w:rFonts w:hint="eastAsia" w:asciiTheme="minorEastAsia" w:hAnsiTheme="minorEastAsia" w:eastAsiaTheme="minorEastAsia"/>
          <w:b/>
          <w:color w:val="auto"/>
          <w:spacing w:val="20"/>
          <w:szCs w:val="21"/>
          <w:highlight w:val="none"/>
        </w:rPr>
        <w:br w:type="page"/>
      </w:r>
    </w:p>
    <w:p>
      <w:pPr>
        <w:snapToGrid w:val="0"/>
        <w:spacing w:line="360" w:lineRule="auto"/>
        <w:rPr>
          <w:rFonts w:asciiTheme="minorEastAsia" w:hAnsiTheme="minorEastAsia" w:eastAsiaTheme="minorEastAsia"/>
          <w:b/>
          <w:color w:val="auto"/>
          <w:spacing w:val="20"/>
          <w:szCs w:val="21"/>
          <w:highlight w:val="none"/>
        </w:rPr>
      </w:pPr>
      <w:r>
        <w:rPr>
          <w:rFonts w:hint="eastAsia" w:asciiTheme="minorEastAsia" w:hAnsiTheme="minorEastAsia" w:eastAsiaTheme="minorEastAsia"/>
          <w:b/>
          <w:color w:val="auto"/>
          <w:spacing w:val="20"/>
          <w:szCs w:val="21"/>
          <w:highlight w:val="none"/>
        </w:rPr>
        <w:t>7.</w:t>
      </w:r>
    </w:p>
    <w:p>
      <w:pPr>
        <w:snapToGrid w:val="0"/>
        <w:spacing w:line="360" w:lineRule="auto"/>
        <w:jc w:val="center"/>
        <w:rPr>
          <w:rFonts w:asciiTheme="minorEastAsia" w:hAnsiTheme="minorEastAsia" w:eastAsiaTheme="minorEastAsia"/>
          <w:b/>
          <w:color w:val="auto"/>
          <w:spacing w:val="20"/>
          <w:szCs w:val="21"/>
          <w:highlight w:val="none"/>
        </w:rPr>
      </w:pPr>
      <w:r>
        <w:rPr>
          <w:rFonts w:hint="eastAsia" w:asciiTheme="minorEastAsia" w:hAnsiTheme="minorEastAsia" w:eastAsiaTheme="minorEastAsia"/>
          <w:b/>
          <w:color w:val="auto"/>
          <w:spacing w:val="20"/>
          <w:szCs w:val="21"/>
          <w:highlight w:val="none"/>
        </w:rPr>
        <w:t>认证证书情况（附件6）</w:t>
      </w:r>
    </w:p>
    <w:tbl>
      <w:tblPr>
        <w:tblStyle w:val="4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321"/>
        <w:gridCol w:w="1900"/>
        <w:gridCol w:w="1477"/>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34"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序号</w:t>
            </w:r>
          </w:p>
        </w:tc>
        <w:tc>
          <w:tcPr>
            <w:tcW w:w="2321"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名称</w:t>
            </w:r>
          </w:p>
        </w:tc>
        <w:tc>
          <w:tcPr>
            <w:tcW w:w="1900"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获得时间</w:t>
            </w:r>
          </w:p>
        </w:tc>
        <w:tc>
          <w:tcPr>
            <w:tcW w:w="1477"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认证机构</w:t>
            </w:r>
          </w:p>
        </w:tc>
        <w:tc>
          <w:tcPr>
            <w:tcW w:w="1796"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34"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1</w:t>
            </w:r>
          </w:p>
        </w:tc>
        <w:tc>
          <w:tcPr>
            <w:tcW w:w="2321" w:type="dxa"/>
          </w:tcPr>
          <w:p>
            <w:pPr>
              <w:spacing w:line="360" w:lineRule="auto"/>
              <w:rPr>
                <w:rFonts w:asciiTheme="minorEastAsia" w:hAnsiTheme="minorEastAsia" w:eastAsiaTheme="minorEastAsia"/>
                <w:bCs/>
                <w:color w:val="auto"/>
                <w:sz w:val="18"/>
                <w:szCs w:val="18"/>
                <w:highlight w:val="none"/>
              </w:rPr>
            </w:pPr>
          </w:p>
        </w:tc>
        <w:tc>
          <w:tcPr>
            <w:tcW w:w="1900" w:type="dxa"/>
          </w:tcPr>
          <w:p>
            <w:pPr>
              <w:spacing w:line="360" w:lineRule="auto"/>
              <w:rPr>
                <w:rFonts w:asciiTheme="minorEastAsia" w:hAnsiTheme="minorEastAsia" w:eastAsiaTheme="minorEastAsia"/>
                <w:bCs/>
                <w:color w:val="auto"/>
                <w:sz w:val="18"/>
                <w:szCs w:val="18"/>
                <w:highlight w:val="none"/>
              </w:rPr>
            </w:pPr>
          </w:p>
        </w:tc>
        <w:tc>
          <w:tcPr>
            <w:tcW w:w="1477" w:type="dxa"/>
          </w:tcPr>
          <w:p>
            <w:pPr>
              <w:spacing w:line="360" w:lineRule="auto"/>
              <w:rPr>
                <w:rFonts w:asciiTheme="minorEastAsia" w:hAnsiTheme="minorEastAsia" w:eastAsiaTheme="minorEastAsia"/>
                <w:bCs/>
                <w:color w:val="auto"/>
                <w:sz w:val="18"/>
                <w:szCs w:val="18"/>
                <w:highlight w:val="none"/>
              </w:rPr>
            </w:pPr>
          </w:p>
        </w:tc>
        <w:tc>
          <w:tcPr>
            <w:tcW w:w="1796" w:type="dxa"/>
          </w:tcPr>
          <w:p>
            <w:pPr>
              <w:spacing w:line="360" w:lineRule="auto"/>
              <w:rPr>
                <w:rFonts w:asciiTheme="minorEastAsia" w:hAnsiTheme="minorEastAsia" w:eastAsiaTheme="minorEastAsia"/>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34"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2</w:t>
            </w:r>
          </w:p>
        </w:tc>
        <w:tc>
          <w:tcPr>
            <w:tcW w:w="2321" w:type="dxa"/>
          </w:tcPr>
          <w:p>
            <w:pPr>
              <w:spacing w:line="360" w:lineRule="auto"/>
              <w:rPr>
                <w:rFonts w:asciiTheme="minorEastAsia" w:hAnsiTheme="minorEastAsia" w:eastAsiaTheme="minorEastAsia"/>
                <w:bCs/>
                <w:color w:val="auto"/>
                <w:sz w:val="18"/>
                <w:szCs w:val="18"/>
                <w:highlight w:val="none"/>
              </w:rPr>
            </w:pPr>
          </w:p>
        </w:tc>
        <w:tc>
          <w:tcPr>
            <w:tcW w:w="1900" w:type="dxa"/>
          </w:tcPr>
          <w:p>
            <w:pPr>
              <w:spacing w:line="360" w:lineRule="auto"/>
              <w:rPr>
                <w:rFonts w:asciiTheme="minorEastAsia" w:hAnsiTheme="minorEastAsia" w:eastAsiaTheme="minorEastAsia"/>
                <w:bCs/>
                <w:color w:val="auto"/>
                <w:sz w:val="18"/>
                <w:szCs w:val="18"/>
                <w:highlight w:val="none"/>
              </w:rPr>
            </w:pPr>
          </w:p>
        </w:tc>
        <w:tc>
          <w:tcPr>
            <w:tcW w:w="1477" w:type="dxa"/>
          </w:tcPr>
          <w:p>
            <w:pPr>
              <w:spacing w:line="360" w:lineRule="auto"/>
              <w:rPr>
                <w:rFonts w:asciiTheme="minorEastAsia" w:hAnsiTheme="minorEastAsia" w:eastAsiaTheme="minorEastAsia"/>
                <w:bCs/>
                <w:color w:val="auto"/>
                <w:sz w:val="18"/>
                <w:szCs w:val="18"/>
                <w:highlight w:val="none"/>
              </w:rPr>
            </w:pPr>
          </w:p>
        </w:tc>
        <w:tc>
          <w:tcPr>
            <w:tcW w:w="1796" w:type="dxa"/>
          </w:tcPr>
          <w:p>
            <w:pPr>
              <w:spacing w:line="360" w:lineRule="auto"/>
              <w:rPr>
                <w:rFonts w:asciiTheme="minorEastAsia" w:hAnsiTheme="minorEastAsia" w:eastAsiaTheme="minorEastAsia"/>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34"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3</w:t>
            </w:r>
          </w:p>
        </w:tc>
        <w:tc>
          <w:tcPr>
            <w:tcW w:w="2321" w:type="dxa"/>
          </w:tcPr>
          <w:p>
            <w:pPr>
              <w:spacing w:line="360" w:lineRule="auto"/>
              <w:rPr>
                <w:rFonts w:asciiTheme="minorEastAsia" w:hAnsiTheme="minorEastAsia" w:eastAsiaTheme="minorEastAsia"/>
                <w:bCs/>
                <w:color w:val="auto"/>
                <w:sz w:val="18"/>
                <w:szCs w:val="18"/>
                <w:highlight w:val="none"/>
              </w:rPr>
            </w:pPr>
          </w:p>
        </w:tc>
        <w:tc>
          <w:tcPr>
            <w:tcW w:w="1900" w:type="dxa"/>
          </w:tcPr>
          <w:p>
            <w:pPr>
              <w:spacing w:line="360" w:lineRule="auto"/>
              <w:rPr>
                <w:rFonts w:asciiTheme="minorEastAsia" w:hAnsiTheme="minorEastAsia" w:eastAsiaTheme="minorEastAsia"/>
                <w:bCs/>
                <w:color w:val="auto"/>
                <w:sz w:val="18"/>
                <w:szCs w:val="18"/>
                <w:highlight w:val="none"/>
              </w:rPr>
            </w:pPr>
          </w:p>
        </w:tc>
        <w:tc>
          <w:tcPr>
            <w:tcW w:w="1477" w:type="dxa"/>
          </w:tcPr>
          <w:p>
            <w:pPr>
              <w:spacing w:line="360" w:lineRule="auto"/>
              <w:rPr>
                <w:rFonts w:asciiTheme="minorEastAsia" w:hAnsiTheme="minorEastAsia" w:eastAsiaTheme="minorEastAsia"/>
                <w:bCs/>
                <w:color w:val="auto"/>
                <w:sz w:val="18"/>
                <w:szCs w:val="18"/>
                <w:highlight w:val="none"/>
              </w:rPr>
            </w:pPr>
          </w:p>
        </w:tc>
        <w:tc>
          <w:tcPr>
            <w:tcW w:w="1796" w:type="dxa"/>
          </w:tcPr>
          <w:p>
            <w:pPr>
              <w:spacing w:line="360" w:lineRule="auto"/>
              <w:rPr>
                <w:rFonts w:asciiTheme="minorEastAsia" w:hAnsiTheme="minorEastAsia" w:eastAsiaTheme="minorEastAsia"/>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34"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4</w:t>
            </w:r>
          </w:p>
        </w:tc>
        <w:tc>
          <w:tcPr>
            <w:tcW w:w="2321" w:type="dxa"/>
          </w:tcPr>
          <w:p>
            <w:pPr>
              <w:spacing w:line="360" w:lineRule="auto"/>
              <w:rPr>
                <w:rFonts w:asciiTheme="minorEastAsia" w:hAnsiTheme="minorEastAsia" w:eastAsiaTheme="minorEastAsia"/>
                <w:bCs/>
                <w:color w:val="auto"/>
                <w:sz w:val="18"/>
                <w:szCs w:val="18"/>
                <w:highlight w:val="none"/>
              </w:rPr>
            </w:pPr>
          </w:p>
        </w:tc>
        <w:tc>
          <w:tcPr>
            <w:tcW w:w="1900" w:type="dxa"/>
          </w:tcPr>
          <w:p>
            <w:pPr>
              <w:spacing w:line="360" w:lineRule="auto"/>
              <w:rPr>
                <w:rFonts w:asciiTheme="minorEastAsia" w:hAnsiTheme="minorEastAsia" w:eastAsiaTheme="minorEastAsia"/>
                <w:bCs/>
                <w:color w:val="auto"/>
                <w:sz w:val="18"/>
                <w:szCs w:val="18"/>
                <w:highlight w:val="none"/>
              </w:rPr>
            </w:pPr>
          </w:p>
        </w:tc>
        <w:tc>
          <w:tcPr>
            <w:tcW w:w="1477" w:type="dxa"/>
          </w:tcPr>
          <w:p>
            <w:pPr>
              <w:spacing w:line="360" w:lineRule="auto"/>
              <w:rPr>
                <w:rFonts w:asciiTheme="minorEastAsia" w:hAnsiTheme="minorEastAsia" w:eastAsiaTheme="minorEastAsia"/>
                <w:bCs/>
                <w:color w:val="auto"/>
                <w:sz w:val="18"/>
                <w:szCs w:val="18"/>
                <w:highlight w:val="none"/>
              </w:rPr>
            </w:pPr>
          </w:p>
        </w:tc>
        <w:tc>
          <w:tcPr>
            <w:tcW w:w="1796" w:type="dxa"/>
          </w:tcPr>
          <w:p>
            <w:pPr>
              <w:spacing w:line="360" w:lineRule="auto"/>
              <w:rPr>
                <w:rFonts w:asciiTheme="minorEastAsia" w:hAnsiTheme="minorEastAsia" w:eastAsiaTheme="minorEastAsia"/>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34" w:type="dxa"/>
          </w:tcPr>
          <w:p>
            <w:pPr>
              <w:spacing w:line="360" w:lineRule="auto"/>
              <w:jc w:val="center"/>
              <w:rPr>
                <w:rFonts w:asciiTheme="minorEastAsia" w:hAnsiTheme="minorEastAsia" w:eastAsiaTheme="minorEastAsia"/>
                <w:bCs/>
                <w:color w:val="auto"/>
                <w:sz w:val="18"/>
                <w:szCs w:val="18"/>
                <w:highlight w:val="none"/>
              </w:rPr>
            </w:pPr>
            <w:r>
              <w:rPr>
                <w:rFonts w:hint="eastAsia" w:asciiTheme="minorEastAsia" w:hAnsiTheme="minorEastAsia" w:eastAsiaTheme="minorEastAsia"/>
                <w:bCs/>
                <w:color w:val="auto"/>
                <w:sz w:val="18"/>
                <w:szCs w:val="18"/>
                <w:highlight w:val="none"/>
              </w:rPr>
              <w:t>5</w:t>
            </w:r>
          </w:p>
        </w:tc>
        <w:tc>
          <w:tcPr>
            <w:tcW w:w="2321" w:type="dxa"/>
          </w:tcPr>
          <w:p>
            <w:pPr>
              <w:spacing w:line="360" w:lineRule="auto"/>
              <w:rPr>
                <w:rFonts w:asciiTheme="minorEastAsia" w:hAnsiTheme="minorEastAsia" w:eastAsiaTheme="minorEastAsia"/>
                <w:bCs/>
                <w:color w:val="auto"/>
                <w:sz w:val="18"/>
                <w:szCs w:val="18"/>
                <w:highlight w:val="none"/>
              </w:rPr>
            </w:pPr>
          </w:p>
        </w:tc>
        <w:tc>
          <w:tcPr>
            <w:tcW w:w="1900" w:type="dxa"/>
          </w:tcPr>
          <w:p>
            <w:pPr>
              <w:spacing w:line="360" w:lineRule="auto"/>
              <w:rPr>
                <w:rFonts w:asciiTheme="minorEastAsia" w:hAnsiTheme="minorEastAsia" w:eastAsiaTheme="minorEastAsia"/>
                <w:bCs/>
                <w:color w:val="auto"/>
                <w:sz w:val="18"/>
                <w:szCs w:val="18"/>
                <w:highlight w:val="none"/>
              </w:rPr>
            </w:pPr>
          </w:p>
        </w:tc>
        <w:tc>
          <w:tcPr>
            <w:tcW w:w="1477" w:type="dxa"/>
          </w:tcPr>
          <w:p>
            <w:pPr>
              <w:spacing w:line="360" w:lineRule="auto"/>
              <w:rPr>
                <w:rFonts w:asciiTheme="minorEastAsia" w:hAnsiTheme="minorEastAsia" w:eastAsiaTheme="minorEastAsia"/>
                <w:bCs/>
                <w:color w:val="auto"/>
                <w:sz w:val="18"/>
                <w:szCs w:val="18"/>
                <w:highlight w:val="none"/>
              </w:rPr>
            </w:pPr>
          </w:p>
        </w:tc>
        <w:tc>
          <w:tcPr>
            <w:tcW w:w="1796" w:type="dxa"/>
          </w:tcPr>
          <w:p>
            <w:pPr>
              <w:spacing w:line="360" w:lineRule="auto"/>
              <w:rPr>
                <w:rFonts w:asciiTheme="minorEastAsia" w:hAnsiTheme="minorEastAsia" w:eastAsiaTheme="minorEastAsia"/>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34" w:type="dxa"/>
          </w:tcPr>
          <w:p>
            <w:pPr>
              <w:spacing w:line="360" w:lineRule="auto"/>
              <w:jc w:val="center"/>
              <w:rPr>
                <w:rFonts w:asciiTheme="minorEastAsia" w:hAnsiTheme="minorEastAsia" w:eastAsiaTheme="minorEastAsia"/>
                <w:bCs/>
                <w:color w:val="auto"/>
                <w:sz w:val="18"/>
                <w:szCs w:val="18"/>
                <w:highlight w:val="none"/>
              </w:rPr>
            </w:pPr>
            <w:r>
              <w:rPr>
                <w:rFonts w:asciiTheme="minorEastAsia" w:hAnsiTheme="minorEastAsia" w:eastAsiaTheme="minorEastAsia"/>
                <w:bCs/>
                <w:color w:val="auto"/>
                <w:sz w:val="18"/>
                <w:szCs w:val="18"/>
                <w:highlight w:val="none"/>
              </w:rPr>
              <w:t>……</w:t>
            </w:r>
          </w:p>
        </w:tc>
        <w:tc>
          <w:tcPr>
            <w:tcW w:w="2321" w:type="dxa"/>
          </w:tcPr>
          <w:p>
            <w:pPr>
              <w:spacing w:line="360" w:lineRule="auto"/>
              <w:jc w:val="center"/>
              <w:rPr>
                <w:rFonts w:asciiTheme="minorEastAsia" w:hAnsiTheme="minorEastAsia" w:eastAsiaTheme="minorEastAsia"/>
                <w:bCs/>
                <w:color w:val="auto"/>
                <w:sz w:val="18"/>
                <w:szCs w:val="18"/>
                <w:highlight w:val="none"/>
              </w:rPr>
            </w:pPr>
          </w:p>
        </w:tc>
        <w:tc>
          <w:tcPr>
            <w:tcW w:w="1900" w:type="dxa"/>
          </w:tcPr>
          <w:p>
            <w:pPr>
              <w:spacing w:line="360" w:lineRule="auto"/>
              <w:jc w:val="center"/>
              <w:rPr>
                <w:rFonts w:asciiTheme="minorEastAsia" w:hAnsiTheme="minorEastAsia" w:eastAsiaTheme="minorEastAsia"/>
                <w:bCs/>
                <w:color w:val="auto"/>
                <w:sz w:val="18"/>
                <w:szCs w:val="18"/>
                <w:highlight w:val="none"/>
              </w:rPr>
            </w:pPr>
          </w:p>
        </w:tc>
        <w:tc>
          <w:tcPr>
            <w:tcW w:w="1477" w:type="dxa"/>
          </w:tcPr>
          <w:p>
            <w:pPr>
              <w:spacing w:line="360" w:lineRule="auto"/>
              <w:jc w:val="center"/>
              <w:rPr>
                <w:rFonts w:asciiTheme="minorEastAsia" w:hAnsiTheme="minorEastAsia" w:eastAsiaTheme="minorEastAsia"/>
                <w:bCs/>
                <w:color w:val="auto"/>
                <w:sz w:val="18"/>
                <w:szCs w:val="18"/>
                <w:highlight w:val="none"/>
              </w:rPr>
            </w:pPr>
          </w:p>
        </w:tc>
        <w:tc>
          <w:tcPr>
            <w:tcW w:w="1796" w:type="dxa"/>
          </w:tcPr>
          <w:p>
            <w:pPr>
              <w:spacing w:line="360" w:lineRule="auto"/>
              <w:jc w:val="center"/>
              <w:rPr>
                <w:rFonts w:asciiTheme="minorEastAsia" w:hAnsiTheme="minorEastAsia" w:eastAsiaTheme="minorEastAsia"/>
                <w:bCs/>
                <w:color w:val="auto"/>
                <w:sz w:val="18"/>
                <w:szCs w:val="18"/>
                <w:highlight w:val="none"/>
              </w:rPr>
            </w:pPr>
          </w:p>
        </w:tc>
      </w:tr>
    </w:tbl>
    <w:p>
      <w:pPr>
        <w:pStyle w:val="30"/>
        <w:tabs>
          <w:tab w:val="left" w:pos="1200"/>
        </w:tabs>
        <w:spacing w:before="120" w:after="120" w:line="360" w:lineRule="auto"/>
        <w:ind w:left="766" w:leftChars="22" w:hanging="720" w:hangingChars="4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18"/>
          <w:szCs w:val="18"/>
          <w:highlight w:val="none"/>
        </w:rPr>
        <w:t>注：1、以上项目须提供证书复印件加盖单位公章。</w:t>
      </w:r>
      <w:bookmarkStart w:id="202" w:name="OLE_LINK7"/>
    </w:p>
    <w:p>
      <w:pPr>
        <w:snapToGrid w:val="0"/>
        <w:spacing w:line="360" w:lineRule="auto"/>
        <w:ind w:firstLine="211" w:firstLineChars="100"/>
        <w:jc w:val="left"/>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8.</w:t>
      </w:r>
      <w:bookmarkEnd w:id="202"/>
    </w:p>
    <w:p>
      <w:pPr>
        <w:snapToGrid w:val="0"/>
        <w:spacing w:line="360" w:lineRule="auto"/>
        <w:ind w:firstLine="211" w:firstLineChars="100"/>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项目组人员配置表（附件7）</w:t>
      </w:r>
    </w:p>
    <w:tbl>
      <w:tblPr>
        <w:tblStyle w:val="49"/>
        <w:tblW w:w="878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745"/>
        <w:gridCol w:w="988"/>
        <w:gridCol w:w="1276"/>
        <w:gridCol w:w="1730"/>
        <w:gridCol w:w="22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序号</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姓名</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专业</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分组情况</w:t>
            </w: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职称</w:t>
            </w: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工作经验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1</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 w:val="18"/>
                <w:szCs w:val="18"/>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2</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 w:val="18"/>
                <w:szCs w:val="18"/>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3</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b/>
                <w:bCs/>
                <w:color w:val="auto"/>
                <w:sz w:val="18"/>
                <w:szCs w:val="18"/>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4</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 w:val="18"/>
                <w:szCs w:val="18"/>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5</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 w:val="18"/>
                <w:szCs w:val="18"/>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6</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 w:val="18"/>
                <w:szCs w:val="18"/>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7</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 w:val="18"/>
                <w:szCs w:val="18"/>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8</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pacing w:val="-20"/>
                <w:sz w:val="18"/>
                <w:szCs w:val="18"/>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9</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pacing w:val="-20"/>
                <w:sz w:val="18"/>
                <w:szCs w:val="18"/>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10</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 w:val="18"/>
                <w:szCs w:val="18"/>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255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合计总人数</w:t>
            </w:r>
          </w:p>
        </w:tc>
        <w:tc>
          <w:tcPr>
            <w:tcW w:w="6230"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 w:val="18"/>
                <w:szCs w:val="18"/>
                <w:highlight w:val="none"/>
              </w:rPr>
            </w:pPr>
          </w:p>
        </w:tc>
      </w:tr>
    </w:tbl>
    <w:p>
      <w:pPr>
        <w:adjustRightInd w:val="0"/>
        <w:snapToGrid w:val="0"/>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注：1、上表中行数不够可自加。</w:t>
      </w:r>
    </w:p>
    <w:p>
      <w:pPr>
        <w:adjustRightInd w:val="0"/>
        <w:snapToGrid w:val="0"/>
        <w:spacing w:line="360" w:lineRule="auto"/>
        <w:ind w:firstLine="36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18"/>
          <w:szCs w:val="18"/>
          <w:highlight w:val="none"/>
        </w:rPr>
        <w:t>2、注册证书、学历证书、职称证书、社保证明等资料复印件加盖单位公章附后。</w:t>
      </w:r>
    </w:p>
    <w:p>
      <w:pPr>
        <w:snapToGrid w:val="0"/>
        <w:spacing w:line="360" w:lineRule="auto"/>
        <w:ind w:firstLine="200"/>
        <w:jc w:val="right"/>
        <w:rPr>
          <w:rFonts w:asciiTheme="minorEastAsia" w:hAnsiTheme="minorEastAsia" w:eastAsiaTheme="minorEastAsia"/>
          <w:color w:val="auto"/>
          <w:szCs w:val="21"/>
          <w:highlight w:val="none"/>
        </w:rPr>
      </w:pPr>
    </w:p>
    <w:p>
      <w:pPr>
        <w:snapToGrid w:val="0"/>
        <w:spacing w:line="360" w:lineRule="auto"/>
        <w:ind w:firstLine="211" w:firstLineChars="100"/>
        <w:jc w:val="left"/>
        <w:rPr>
          <w:rFonts w:asciiTheme="minorEastAsia" w:hAnsiTheme="minorEastAsia" w:eastAsiaTheme="minorEastAsia"/>
          <w:b/>
          <w:bCs/>
          <w:color w:val="auto"/>
          <w:szCs w:val="21"/>
          <w:highlight w:val="none"/>
        </w:rPr>
      </w:pPr>
    </w:p>
    <w:p>
      <w:pPr>
        <w:pStyle w:val="48"/>
        <w:spacing w:line="360" w:lineRule="auto"/>
        <w:ind w:firstLine="404"/>
        <w:rPr>
          <w:color w:val="auto"/>
          <w:highlight w:val="none"/>
        </w:rPr>
      </w:pPr>
    </w:p>
    <w:p>
      <w:pPr>
        <w:pStyle w:val="48"/>
        <w:spacing w:line="360" w:lineRule="auto"/>
        <w:ind w:firstLine="404"/>
        <w:rPr>
          <w:color w:val="auto"/>
          <w:highlight w:val="none"/>
        </w:rPr>
      </w:pPr>
    </w:p>
    <w:p>
      <w:pPr>
        <w:snapToGrid w:val="0"/>
        <w:spacing w:line="360" w:lineRule="auto"/>
        <w:ind w:firstLine="211" w:firstLineChars="100"/>
        <w:jc w:val="left"/>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9.</w:t>
      </w:r>
    </w:p>
    <w:p>
      <w:pPr>
        <w:snapToGrid w:val="0"/>
        <w:spacing w:line="360" w:lineRule="auto"/>
        <w:ind w:firstLine="211" w:firstLineChars="100"/>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投入设备清单格式（附件8）</w:t>
      </w:r>
    </w:p>
    <w:tbl>
      <w:tblPr>
        <w:tblStyle w:val="49"/>
        <w:tblW w:w="860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73"/>
        <w:gridCol w:w="3011"/>
        <w:gridCol w:w="2410"/>
        <w:gridCol w:w="1134"/>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9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r>
              <w:rPr>
                <w:rFonts w:ascii="微软雅黑" w:hAnsi="微软雅黑" w:eastAsia="微软雅黑"/>
                <w:color w:val="auto"/>
                <w:sz w:val="18"/>
                <w:szCs w:val="18"/>
                <w:highlight w:val="none"/>
              </w:rPr>
              <w:t>序号</w:t>
            </w:r>
          </w:p>
        </w:tc>
        <w:tc>
          <w:tcPr>
            <w:tcW w:w="3011" w:type="dxa"/>
            <w:tcBorders>
              <w:top w:val="single" w:color="auto" w:sz="4" w:space="0"/>
              <w:left w:val="single" w:color="auto" w:sz="4" w:space="0"/>
              <w:bottom w:val="single" w:color="auto" w:sz="2" w:space="0"/>
              <w:right w:val="single" w:color="auto" w:sz="4" w:space="0"/>
            </w:tcBorders>
            <w:vAlign w:val="center"/>
          </w:tcPr>
          <w:p>
            <w:pPr>
              <w:snapToGrid w:val="0"/>
              <w:spacing w:line="360" w:lineRule="auto"/>
              <w:jc w:val="center"/>
              <w:rPr>
                <w:rFonts w:ascii="微软雅黑" w:hAnsi="微软雅黑" w:eastAsia="微软雅黑"/>
                <w:color w:val="auto"/>
                <w:sz w:val="18"/>
                <w:szCs w:val="18"/>
                <w:highlight w:val="none"/>
              </w:rPr>
            </w:pPr>
            <w:r>
              <w:rPr>
                <w:rFonts w:hint="eastAsia" w:ascii="微软雅黑" w:hAnsi="微软雅黑" w:eastAsia="微软雅黑"/>
                <w:color w:val="auto"/>
                <w:sz w:val="18"/>
                <w:szCs w:val="18"/>
                <w:highlight w:val="none"/>
              </w:rPr>
              <w:t>名称</w:t>
            </w:r>
          </w:p>
        </w:tc>
        <w:tc>
          <w:tcPr>
            <w:tcW w:w="2410" w:type="dxa"/>
            <w:tcBorders>
              <w:top w:val="single" w:color="auto" w:sz="4" w:space="0"/>
              <w:left w:val="single" w:color="auto" w:sz="4" w:space="0"/>
              <w:bottom w:val="single" w:color="auto" w:sz="2" w:space="0"/>
              <w:right w:val="single" w:color="auto" w:sz="4" w:space="0"/>
            </w:tcBorders>
            <w:vAlign w:val="center"/>
          </w:tcPr>
          <w:p>
            <w:pPr>
              <w:snapToGrid w:val="0"/>
              <w:spacing w:line="360" w:lineRule="auto"/>
              <w:jc w:val="center"/>
              <w:rPr>
                <w:rFonts w:ascii="微软雅黑" w:hAnsi="微软雅黑" w:eastAsia="微软雅黑"/>
                <w:color w:val="auto"/>
                <w:sz w:val="18"/>
                <w:szCs w:val="18"/>
                <w:highlight w:val="none"/>
              </w:rPr>
            </w:pPr>
            <w:r>
              <w:rPr>
                <w:rFonts w:hint="eastAsia" w:ascii="微软雅黑" w:hAnsi="微软雅黑" w:eastAsia="微软雅黑"/>
                <w:color w:val="auto"/>
                <w:sz w:val="18"/>
                <w:szCs w:val="18"/>
                <w:highlight w:val="none"/>
              </w:rPr>
              <w:t>规格型号</w:t>
            </w:r>
          </w:p>
        </w:tc>
        <w:tc>
          <w:tcPr>
            <w:tcW w:w="1134"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r>
              <w:rPr>
                <w:rFonts w:hint="eastAsia" w:ascii="微软雅黑" w:hAnsi="微软雅黑" w:eastAsia="微软雅黑"/>
                <w:color w:val="auto"/>
                <w:sz w:val="18"/>
                <w:szCs w:val="18"/>
                <w:highlight w:val="none"/>
              </w:rPr>
              <w:t>产地</w:t>
            </w:r>
          </w:p>
        </w:tc>
        <w:tc>
          <w:tcPr>
            <w:tcW w:w="1076" w:type="dxa"/>
            <w:tcBorders>
              <w:top w:val="single" w:color="auto" w:sz="4" w:space="0"/>
              <w:left w:val="single" w:color="auto" w:sz="4" w:space="0"/>
              <w:bottom w:val="single" w:color="auto" w:sz="2" w:space="0"/>
              <w:right w:val="single" w:color="auto" w:sz="4" w:space="0"/>
            </w:tcBorders>
          </w:tcPr>
          <w:p>
            <w:pPr>
              <w:snapToGrid w:val="0"/>
              <w:spacing w:line="360" w:lineRule="auto"/>
              <w:jc w:val="center"/>
              <w:rPr>
                <w:rFonts w:ascii="微软雅黑" w:hAnsi="微软雅黑" w:eastAsia="微软雅黑"/>
                <w:color w:val="auto"/>
                <w:sz w:val="18"/>
                <w:szCs w:val="18"/>
                <w:highlight w:val="none"/>
              </w:rPr>
            </w:pPr>
            <w:r>
              <w:rPr>
                <w:rFonts w:hint="eastAsia" w:ascii="微软雅黑" w:hAnsi="微软雅黑" w:eastAsia="微软雅黑"/>
                <w:color w:val="auto"/>
                <w:sz w:val="18"/>
                <w:szCs w:val="18"/>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r>
              <w:rPr>
                <w:rFonts w:ascii="微软雅黑" w:hAnsi="微软雅黑" w:eastAsia="微软雅黑"/>
                <w:color w:val="auto"/>
                <w:sz w:val="18"/>
                <w:szCs w:val="18"/>
                <w:highlight w:val="none"/>
              </w:rPr>
              <w:t>1</w:t>
            </w:r>
          </w:p>
        </w:tc>
        <w:tc>
          <w:tcPr>
            <w:tcW w:w="3011" w:type="dxa"/>
            <w:tcBorders>
              <w:top w:val="single" w:color="auto" w:sz="2"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2410" w:type="dxa"/>
            <w:tcBorders>
              <w:top w:val="single" w:color="auto" w:sz="2"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1134"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p>
        </w:tc>
        <w:tc>
          <w:tcPr>
            <w:tcW w:w="1076" w:type="dxa"/>
            <w:tcBorders>
              <w:top w:val="single" w:color="auto" w:sz="2"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r>
              <w:rPr>
                <w:rFonts w:ascii="微软雅黑" w:hAnsi="微软雅黑" w:eastAsia="微软雅黑"/>
                <w:color w:val="auto"/>
                <w:sz w:val="18"/>
                <w:szCs w:val="18"/>
                <w:highlight w:val="none"/>
              </w:rPr>
              <w:t>2</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r>
              <w:rPr>
                <w:rFonts w:ascii="微软雅黑" w:hAnsi="微软雅黑" w:eastAsia="微软雅黑"/>
                <w:color w:val="auto"/>
                <w:sz w:val="18"/>
                <w:szCs w:val="18"/>
                <w:highlight w:val="none"/>
              </w:rPr>
              <w:t>3</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r>
              <w:rPr>
                <w:rFonts w:ascii="微软雅黑" w:hAnsi="微软雅黑" w:eastAsia="微软雅黑"/>
                <w:color w:val="auto"/>
                <w:sz w:val="18"/>
                <w:szCs w:val="18"/>
                <w:highlight w:val="none"/>
              </w:rPr>
              <w:t>4</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r>
              <w:rPr>
                <w:rFonts w:ascii="微软雅黑" w:hAnsi="微软雅黑" w:eastAsia="微软雅黑"/>
                <w:color w:val="auto"/>
                <w:sz w:val="18"/>
                <w:szCs w:val="18"/>
                <w:highlight w:val="none"/>
              </w:rPr>
              <w:t>5</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r>
              <w:rPr>
                <w:rFonts w:ascii="微软雅黑" w:hAnsi="微软雅黑" w:eastAsia="微软雅黑"/>
                <w:color w:val="auto"/>
                <w:sz w:val="18"/>
                <w:szCs w:val="18"/>
                <w:highlight w:val="none"/>
              </w:rPr>
              <w:t>6</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 w:val="18"/>
                <w:szCs w:val="18"/>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rPr>
                <w:rFonts w:ascii="微软雅黑" w:hAnsi="微软雅黑" w:eastAsia="微软雅黑"/>
                <w:color w:val="auto"/>
                <w:sz w:val="18"/>
                <w:szCs w:val="18"/>
                <w:highlight w:val="none"/>
              </w:rPr>
            </w:pPr>
          </w:p>
        </w:tc>
        <w:tc>
          <w:tcPr>
            <w:tcW w:w="3011" w:type="dxa"/>
            <w:tcBorders>
              <w:top w:val="single" w:color="auto" w:sz="6" w:space="0"/>
              <w:left w:val="single" w:color="auto" w:sz="2" w:space="0"/>
              <w:bottom w:val="single" w:color="auto" w:sz="2" w:space="0"/>
              <w:right w:val="single" w:color="auto" w:sz="4" w:space="0"/>
            </w:tcBorders>
            <w:vAlign w:val="center"/>
          </w:tcPr>
          <w:p>
            <w:pPr>
              <w:snapToGrid w:val="0"/>
              <w:spacing w:line="360" w:lineRule="auto"/>
              <w:rPr>
                <w:rFonts w:ascii="微软雅黑" w:hAnsi="微软雅黑" w:eastAsia="微软雅黑"/>
                <w:color w:val="auto"/>
                <w:sz w:val="18"/>
                <w:szCs w:val="18"/>
                <w:highlight w:val="none"/>
              </w:rPr>
            </w:pPr>
          </w:p>
        </w:tc>
        <w:tc>
          <w:tcPr>
            <w:tcW w:w="2410" w:type="dxa"/>
            <w:tcBorders>
              <w:top w:val="single" w:color="auto" w:sz="6" w:space="0"/>
              <w:left w:val="single" w:color="auto" w:sz="4" w:space="0"/>
              <w:bottom w:val="single" w:color="auto" w:sz="2" w:space="0"/>
              <w:right w:val="single" w:color="auto" w:sz="6" w:space="0"/>
            </w:tcBorders>
            <w:vAlign w:val="center"/>
          </w:tcPr>
          <w:p>
            <w:pPr>
              <w:snapToGrid w:val="0"/>
              <w:spacing w:line="360" w:lineRule="auto"/>
              <w:rPr>
                <w:rFonts w:ascii="微软雅黑" w:hAnsi="微软雅黑" w:eastAsia="微软雅黑"/>
                <w:color w:val="auto"/>
                <w:sz w:val="18"/>
                <w:szCs w:val="18"/>
                <w:highlight w:val="none"/>
              </w:rPr>
            </w:pPr>
          </w:p>
        </w:tc>
        <w:tc>
          <w:tcPr>
            <w:tcW w:w="1134" w:type="dxa"/>
            <w:tcBorders>
              <w:top w:val="single" w:color="auto" w:sz="6" w:space="0"/>
              <w:left w:val="single" w:color="auto" w:sz="6" w:space="0"/>
              <w:bottom w:val="single" w:color="auto" w:sz="2" w:space="0"/>
              <w:right w:val="single" w:color="auto" w:sz="6" w:space="0"/>
            </w:tcBorders>
            <w:tcMar>
              <w:top w:w="15" w:type="dxa"/>
              <w:left w:w="15" w:type="dxa"/>
              <w:bottom w:w="0" w:type="dxa"/>
              <w:right w:w="15" w:type="dxa"/>
            </w:tcMar>
            <w:vAlign w:val="center"/>
          </w:tcPr>
          <w:p>
            <w:pPr>
              <w:snapToGrid w:val="0"/>
              <w:spacing w:line="360" w:lineRule="auto"/>
              <w:rPr>
                <w:rFonts w:ascii="微软雅黑" w:hAnsi="微软雅黑" w:eastAsia="微软雅黑"/>
                <w:color w:val="auto"/>
                <w:sz w:val="18"/>
                <w:szCs w:val="18"/>
                <w:highlight w:val="none"/>
              </w:rPr>
            </w:pPr>
          </w:p>
        </w:tc>
        <w:tc>
          <w:tcPr>
            <w:tcW w:w="1076" w:type="dxa"/>
            <w:tcBorders>
              <w:top w:val="single" w:color="auto" w:sz="6" w:space="0"/>
              <w:left w:val="single" w:color="auto" w:sz="6" w:space="0"/>
              <w:bottom w:val="single" w:color="auto" w:sz="2" w:space="0"/>
              <w:right w:val="single" w:color="auto" w:sz="6" w:space="0"/>
            </w:tcBorders>
          </w:tcPr>
          <w:p>
            <w:pPr>
              <w:snapToGrid w:val="0"/>
              <w:spacing w:line="360" w:lineRule="auto"/>
              <w:rPr>
                <w:rFonts w:ascii="微软雅黑" w:hAnsi="微软雅黑" w:eastAsia="微软雅黑"/>
                <w:color w:val="auto"/>
                <w:sz w:val="18"/>
                <w:szCs w:val="18"/>
                <w:highlight w:val="none"/>
              </w:rPr>
            </w:pPr>
          </w:p>
        </w:tc>
      </w:tr>
    </w:tbl>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pStyle w:val="30"/>
        <w:snapToGrid w:val="0"/>
        <w:spacing w:beforeLines="0" w:afterLines="0" w:line="360" w:lineRule="auto"/>
        <w:rPr>
          <w:rFonts w:asciiTheme="minorEastAsia" w:hAnsiTheme="minorEastAsia" w:eastAsiaTheme="minorEastAsia"/>
          <w:b/>
          <w:color w:val="auto"/>
          <w:sz w:val="21"/>
          <w:szCs w:val="21"/>
          <w:highlight w:val="none"/>
        </w:rPr>
      </w:pPr>
    </w:p>
    <w:p>
      <w:pPr>
        <w:rPr>
          <w:rFonts w:hint="eastAsia"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br w:type="page"/>
      </w:r>
    </w:p>
    <w:p>
      <w:pPr>
        <w:pStyle w:val="30"/>
        <w:snapToGrid w:val="0"/>
        <w:spacing w:beforeLines="0" w:afterLines="0" w:line="360" w:lineRule="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10、</w:t>
      </w:r>
    </w:p>
    <w:p>
      <w:pPr>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（工程、服务）</w:t>
      </w:r>
    </w:p>
    <w:p>
      <w:pPr>
        <w:spacing w:line="360" w:lineRule="auto"/>
        <w:rPr>
          <w:rFonts w:ascii="仿宋" w:hAnsi="仿宋" w:eastAsia="仿宋"/>
          <w:color w:val="auto"/>
          <w:highlight w:val="none"/>
        </w:rPr>
      </w:pPr>
    </w:p>
    <w:p>
      <w:pPr>
        <w:spacing w:line="360" w:lineRule="auto"/>
        <w:ind w:firstLine="270" w:firstLineChars="15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u w:val="single"/>
        </w:rPr>
        <w:t>（标的名称）</w:t>
      </w:r>
      <w:r>
        <w:rPr>
          <w:rFonts w:hint="eastAsia" w:ascii="宋体" w:hAnsi="宋体" w:eastAsia="宋体" w:cs="宋体"/>
          <w:color w:val="auto"/>
          <w:sz w:val="18"/>
          <w:szCs w:val="18"/>
          <w:highlight w:val="none"/>
        </w:rPr>
        <w:t>，属于</w:t>
      </w:r>
      <w:r>
        <w:rPr>
          <w:rFonts w:hint="eastAsia" w:ascii="宋体" w:hAnsi="宋体" w:eastAsia="宋体" w:cs="宋体"/>
          <w:color w:val="auto"/>
          <w:sz w:val="18"/>
          <w:szCs w:val="18"/>
          <w:highlight w:val="none"/>
          <w:u w:val="single"/>
        </w:rPr>
        <w:t>（采购文件中明确的所属行业）</w:t>
      </w:r>
      <w:r>
        <w:rPr>
          <w:rFonts w:hint="eastAsia" w:ascii="宋体" w:hAnsi="宋体" w:eastAsia="宋体" w:cs="宋体"/>
          <w:color w:val="auto"/>
          <w:sz w:val="18"/>
          <w:szCs w:val="18"/>
          <w:highlight w:val="none"/>
        </w:rPr>
        <w:t xml:space="preserve"> ；承建（承接）企业为 </w:t>
      </w:r>
      <w:r>
        <w:rPr>
          <w:rFonts w:hint="eastAsia" w:ascii="宋体" w:hAnsi="宋体" w:eastAsia="宋体" w:cs="宋体"/>
          <w:color w:val="auto"/>
          <w:sz w:val="18"/>
          <w:szCs w:val="18"/>
          <w:highlight w:val="none"/>
          <w:u w:val="single"/>
        </w:rPr>
        <w:t>（企业名称）</w:t>
      </w:r>
      <w:r>
        <w:rPr>
          <w:rFonts w:hint="eastAsia" w:ascii="宋体" w:hAnsi="宋体" w:eastAsia="宋体" w:cs="宋体"/>
          <w:color w:val="auto"/>
          <w:sz w:val="18"/>
          <w:szCs w:val="18"/>
          <w:highlight w:val="none"/>
        </w:rPr>
        <w:t xml:space="preserve"> ，从业人员人，营业收入为万元，资产总额为万元属于</w:t>
      </w:r>
      <w:r>
        <w:rPr>
          <w:rFonts w:hint="eastAsia" w:ascii="宋体" w:hAnsi="宋体" w:eastAsia="宋体" w:cs="宋体"/>
          <w:color w:val="auto"/>
          <w:sz w:val="18"/>
          <w:szCs w:val="18"/>
          <w:highlight w:val="none"/>
          <w:u w:val="single"/>
        </w:rPr>
        <w:t xml:space="preserve"> （中型企业、小型企业、微型企业） </w:t>
      </w:r>
      <w:r>
        <w:rPr>
          <w:rFonts w:hint="eastAsia" w:ascii="宋体" w:hAnsi="宋体" w:eastAsia="宋体" w:cs="宋体"/>
          <w:color w:val="auto"/>
          <w:sz w:val="18"/>
          <w:szCs w:val="18"/>
          <w:highlight w:val="none"/>
        </w:rPr>
        <w:t>；</w:t>
      </w:r>
    </w:p>
    <w:p>
      <w:pPr>
        <w:spacing w:line="360" w:lineRule="auto"/>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u w:val="single"/>
        </w:rPr>
        <w:t>（标的名称）</w:t>
      </w:r>
      <w:r>
        <w:rPr>
          <w:rFonts w:hint="eastAsia" w:ascii="宋体" w:hAnsi="宋体" w:eastAsia="宋体" w:cs="宋体"/>
          <w:color w:val="auto"/>
          <w:sz w:val="18"/>
          <w:szCs w:val="18"/>
          <w:highlight w:val="none"/>
        </w:rPr>
        <w:t>，属于</w:t>
      </w:r>
      <w:r>
        <w:rPr>
          <w:rFonts w:hint="eastAsia" w:ascii="宋体" w:hAnsi="宋体" w:eastAsia="宋体" w:cs="宋体"/>
          <w:color w:val="auto"/>
          <w:sz w:val="18"/>
          <w:szCs w:val="18"/>
          <w:highlight w:val="none"/>
          <w:u w:val="single"/>
        </w:rPr>
        <w:t>（采购文件中明确的所属行业）</w:t>
      </w:r>
      <w:r>
        <w:rPr>
          <w:rFonts w:hint="eastAsia" w:ascii="宋体" w:hAnsi="宋体" w:eastAsia="宋体" w:cs="宋体"/>
          <w:color w:val="auto"/>
          <w:sz w:val="18"/>
          <w:szCs w:val="18"/>
          <w:highlight w:val="none"/>
        </w:rPr>
        <w:t xml:space="preserve"> ；承建（承接）企业为 </w:t>
      </w:r>
      <w:r>
        <w:rPr>
          <w:rFonts w:hint="eastAsia" w:ascii="宋体" w:hAnsi="宋体" w:eastAsia="宋体" w:cs="宋体"/>
          <w:color w:val="auto"/>
          <w:sz w:val="18"/>
          <w:szCs w:val="18"/>
          <w:highlight w:val="none"/>
          <w:u w:val="single"/>
        </w:rPr>
        <w:t>（企业名称）</w:t>
      </w:r>
      <w:r>
        <w:rPr>
          <w:rFonts w:hint="eastAsia" w:ascii="宋体" w:hAnsi="宋体" w:eastAsia="宋体" w:cs="宋体"/>
          <w:color w:val="auto"/>
          <w:sz w:val="18"/>
          <w:szCs w:val="18"/>
          <w:highlight w:val="none"/>
        </w:rPr>
        <w:t xml:space="preserve"> ，从业人员人，营业收入为万元，资产总额为万元属于</w:t>
      </w:r>
      <w:r>
        <w:rPr>
          <w:rFonts w:hint="eastAsia" w:ascii="宋体" w:hAnsi="宋体" w:eastAsia="宋体" w:cs="宋体"/>
          <w:color w:val="auto"/>
          <w:sz w:val="18"/>
          <w:szCs w:val="18"/>
          <w:highlight w:val="none"/>
          <w:u w:val="single"/>
        </w:rPr>
        <w:t xml:space="preserve"> （中型企业、小型企业、微型企业） </w:t>
      </w:r>
      <w:r>
        <w:rPr>
          <w:rFonts w:hint="eastAsia" w:ascii="宋体" w:hAnsi="宋体" w:eastAsia="宋体" w:cs="宋体"/>
          <w:color w:val="auto"/>
          <w:sz w:val="18"/>
          <w:szCs w:val="18"/>
          <w:highlight w:val="none"/>
        </w:rPr>
        <w:t>；</w:t>
      </w:r>
    </w:p>
    <w:p>
      <w:pPr>
        <w:spacing w:line="360" w:lineRule="auto"/>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p>
      <w:pPr>
        <w:spacing w:line="360" w:lineRule="auto"/>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以上企业，不属于大企业的分支机构，不存在控股股东为大企业的情形，也不存在与大企业的负责人为同一人的情形。</w:t>
      </w:r>
    </w:p>
    <w:p>
      <w:pPr>
        <w:spacing w:line="360" w:lineRule="auto"/>
        <w:ind w:firstLine="360" w:firstLineChars="20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投标人名称（</w:t>
      </w:r>
      <w:r>
        <w:rPr>
          <w:rFonts w:hint="eastAsia" w:ascii="宋体" w:hAnsi="宋体" w:eastAsia="宋体" w:cs="宋体"/>
          <w:color w:val="auto"/>
          <w:sz w:val="18"/>
          <w:szCs w:val="18"/>
          <w:highlight w:val="none"/>
          <w:lang w:eastAsia="zh-CN"/>
        </w:rPr>
        <w:t>盖章</w:t>
      </w:r>
      <w:r>
        <w:rPr>
          <w:rFonts w:hint="eastAsia" w:ascii="宋体" w:hAnsi="宋体" w:eastAsia="宋体" w:cs="宋体"/>
          <w:color w:val="auto"/>
          <w:sz w:val="18"/>
          <w:szCs w:val="18"/>
          <w:highlight w:val="none"/>
        </w:rPr>
        <w:t>）：</w:t>
      </w:r>
    </w:p>
    <w:p>
      <w:pPr>
        <w:spacing w:line="360" w:lineRule="auto"/>
        <w:ind w:right="1120" w:firstLine="5850" w:firstLineChars="3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日期：</w:t>
      </w:r>
    </w:p>
    <w:p>
      <w:pPr>
        <w:pStyle w:val="30"/>
        <w:spacing w:beforeLines="0" w:afterLines="0" w:line="360" w:lineRule="auto"/>
        <w:ind w:firstLine="420"/>
        <w:jc w:val="center"/>
        <w:outlineLvl w:val="3"/>
        <w:rPr>
          <w:rFonts w:hint="eastAsia" w:ascii="宋体" w:hAnsi="宋体" w:eastAsia="宋体" w:cs="宋体"/>
          <w:color w:val="auto"/>
          <w:spacing w:val="20"/>
          <w:sz w:val="18"/>
          <w:szCs w:val="18"/>
          <w:highlight w:val="none"/>
        </w:rPr>
      </w:pPr>
      <w:r>
        <w:rPr>
          <w:rFonts w:hint="eastAsia" w:ascii="宋体" w:hAnsi="宋体" w:eastAsia="宋体" w:cs="宋体"/>
          <w:b/>
          <w:color w:val="auto"/>
          <w:sz w:val="18"/>
          <w:szCs w:val="18"/>
          <w:highlight w:val="none"/>
        </w:rPr>
        <w:t>从业人员、营业收入、资产总额填报上一年度数据，无上一年度数据的新成立企业可不填报。</w:t>
      </w:r>
    </w:p>
    <w:p>
      <w:pPr>
        <w:widowControl/>
        <w:spacing w:line="360" w:lineRule="auto"/>
        <w:jc w:val="left"/>
        <w:rPr>
          <w:rFonts w:asciiTheme="minorEastAsia" w:hAnsiTheme="minorEastAsia" w:eastAsiaTheme="minorEastAsia"/>
          <w:b/>
          <w:color w:val="auto"/>
          <w:sz w:val="18"/>
          <w:szCs w:val="18"/>
          <w:highlight w:val="none"/>
        </w:rPr>
      </w:pPr>
    </w:p>
    <w:p>
      <w:pPr>
        <w:widowControl/>
        <w:spacing w:line="360" w:lineRule="auto"/>
        <w:jc w:val="left"/>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11、</w:t>
      </w:r>
    </w:p>
    <w:p>
      <w:pPr>
        <w:widowControl/>
        <w:spacing w:line="360" w:lineRule="auto"/>
        <w:jc w:val="center"/>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残疾人福利性单位声明函</w:t>
      </w:r>
      <w:r>
        <w:rPr>
          <w:rFonts w:hint="eastAsia" w:asciiTheme="minorEastAsia" w:hAnsiTheme="minorEastAsia" w:eastAsiaTheme="minorEastAsia"/>
          <w:b/>
          <w:bCs/>
          <w:color w:val="auto"/>
          <w:sz w:val="18"/>
          <w:szCs w:val="18"/>
          <w:highlight w:val="none"/>
        </w:rPr>
        <w:t>（附件10）</w:t>
      </w:r>
    </w:p>
    <w:p>
      <w:pPr>
        <w:widowControl/>
        <w:spacing w:line="360" w:lineRule="auto"/>
        <w:ind w:firstLine="360" w:firstLineChars="200"/>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jc w:val="lef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  本单位对上述声明的真实性负责。如有虚假，将依法承担相应责任</w:t>
      </w:r>
    </w:p>
    <w:p>
      <w:pPr>
        <w:spacing w:line="360" w:lineRule="auto"/>
        <w:ind w:firstLine="360" w:firstLineChars="200"/>
        <w:rPr>
          <w:rFonts w:asciiTheme="minorEastAsia" w:hAnsiTheme="minorEastAsia" w:eastAsiaTheme="minorEastAsia"/>
          <w:color w:val="auto"/>
          <w:sz w:val="18"/>
          <w:szCs w:val="18"/>
          <w:highlight w:val="none"/>
        </w:rPr>
      </w:pPr>
    </w:p>
    <w:p>
      <w:pPr>
        <w:spacing w:line="360" w:lineRule="auto"/>
        <w:ind w:firstLine="4950" w:firstLineChars="2250"/>
        <w:rPr>
          <w:rFonts w:asciiTheme="minorEastAsia" w:hAnsiTheme="minorEastAsia" w:eastAsiaTheme="minorEastAsia"/>
          <w:color w:val="auto"/>
          <w:spacing w:val="20"/>
          <w:sz w:val="18"/>
          <w:szCs w:val="18"/>
          <w:highlight w:val="none"/>
          <w:u w:val="single"/>
        </w:rPr>
      </w:pPr>
      <w:r>
        <w:rPr>
          <w:rFonts w:hint="eastAsia" w:asciiTheme="minorEastAsia" w:hAnsiTheme="minorEastAsia" w:eastAsiaTheme="minorEastAsia"/>
          <w:color w:val="auto"/>
          <w:spacing w:val="20"/>
          <w:sz w:val="18"/>
          <w:szCs w:val="18"/>
          <w:highlight w:val="none"/>
        </w:rPr>
        <w:t>投标人盖章：</w:t>
      </w:r>
    </w:p>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18"/>
          <w:szCs w:val="18"/>
          <w:highlight w:val="none"/>
        </w:rPr>
        <w:t xml:space="preserve">                                                        日        期：</w:t>
      </w:r>
    </w:p>
    <w:p>
      <w:pPr>
        <w:snapToGrid w:val="0"/>
        <w:spacing w:line="360" w:lineRule="auto"/>
        <w:rPr>
          <w:rFonts w:asciiTheme="minorEastAsia" w:hAnsiTheme="minorEastAsia" w:eastAsiaTheme="minorEastAsia"/>
          <w:color w:val="auto"/>
          <w:spacing w:val="20"/>
          <w:szCs w:val="21"/>
          <w:highlight w:val="none"/>
        </w:rPr>
      </w:pPr>
    </w:p>
    <w:p>
      <w:pPr>
        <w:pStyle w:val="48"/>
        <w:spacing w:line="360" w:lineRule="auto"/>
        <w:ind w:left="0" w:leftChars="0" w:firstLine="0" w:firstLineChars="0"/>
        <w:rPr>
          <w:rFonts w:hAnsi="宋体"/>
          <w:b/>
          <w:bCs/>
          <w:color w:val="auto"/>
          <w:szCs w:val="21"/>
          <w:highlight w:val="none"/>
        </w:rPr>
      </w:pPr>
    </w:p>
    <w:p>
      <w:pPr>
        <w:pStyle w:val="48"/>
        <w:spacing w:line="360" w:lineRule="auto"/>
        <w:ind w:left="0" w:leftChars="0" w:firstLine="0" w:firstLineChars="0"/>
        <w:rPr>
          <w:rFonts w:hAnsi="宋体"/>
          <w:b/>
          <w:bCs/>
          <w:color w:val="auto"/>
          <w:szCs w:val="21"/>
          <w:highlight w:val="none"/>
        </w:rPr>
      </w:pPr>
    </w:p>
    <w:p>
      <w:pPr>
        <w:pStyle w:val="48"/>
        <w:spacing w:line="360" w:lineRule="auto"/>
        <w:ind w:left="0" w:leftChars="0" w:firstLine="0" w:firstLineChars="0"/>
        <w:rPr>
          <w:rFonts w:hAnsi="宋体"/>
          <w:b/>
          <w:bCs/>
          <w:color w:val="auto"/>
          <w:szCs w:val="21"/>
          <w:highlight w:val="none"/>
        </w:rPr>
      </w:pPr>
    </w:p>
    <w:p>
      <w:pPr>
        <w:rPr>
          <w:rFonts w:hint="eastAsia"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br w:type="page"/>
      </w: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12.</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投标函</w:t>
      </w:r>
      <w:r>
        <w:rPr>
          <w:rFonts w:hint="eastAsia" w:asciiTheme="minorEastAsia" w:hAnsiTheme="minorEastAsia" w:eastAsiaTheme="minorEastAsia"/>
          <w:b/>
          <w:bCs/>
          <w:color w:val="auto"/>
          <w:szCs w:val="21"/>
          <w:highlight w:val="none"/>
        </w:rPr>
        <w:t>（附件11）</w:t>
      </w:r>
    </w:p>
    <w:p>
      <w:pPr>
        <w:adjustRightInd w:val="0"/>
        <w:snapToGrid w:val="0"/>
        <w:spacing w:line="360" w:lineRule="auto"/>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rPr>
        <w:t>致：</w:t>
      </w:r>
      <w:r>
        <w:rPr>
          <w:rFonts w:hint="eastAsia" w:asciiTheme="minorEastAsia" w:hAnsiTheme="minorEastAsia" w:eastAsiaTheme="minorEastAsia"/>
          <w:color w:val="auto"/>
          <w:sz w:val="18"/>
          <w:szCs w:val="18"/>
          <w:highlight w:val="none"/>
          <w:lang w:eastAsia="zh-CN"/>
        </w:rPr>
        <w:t>嘉兴市秀洲区人民政府新城街道办事处</w:t>
      </w:r>
    </w:p>
    <w:p>
      <w:pPr>
        <w:adjustRightInd w:val="0"/>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根据贵方为的</w:t>
      </w:r>
      <w:r>
        <w:rPr>
          <w:rFonts w:hint="eastAsia" w:asciiTheme="minorEastAsia" w:hAnsiTheme="minorEastAsia" w:eastAsiaTheme="minorEastAsia"/>
          <w:color w:val="auto"/>
          <w:sz w:val="18"/>
          <w:szCs w:val="18"/>
          <w:highlight w:val="none"/>
          <w:u w:val="single"/>
          <w:lang w:eastAsia="zh-CN"/>
        </w:rPr>
        <w:t>新城街道2024年度区域绿化养护项目</w:t>
      </w:r>
      <w:r>
        <w:rPr>
          <w:rFonts w:hint="eastAsia" w:asciiTheme="minorEastAsia" w:hAnsiTheme="minorEastAsia" w:eastAsiaTheme="minorEastAsia"/>
          <w:color w:val="auto"/>
          <w:sz w:val="18"/>
          <w:szCs w:val="18"/>
          <w:highlight w:val="none"/>
        </w:rPr>
        <w:t>招</w:t>
      </w:r>
      <w:r>
        <w:rPr>
          <w:rFonts w:asciiTheme="minorEastAsia" w:hAnsiTheme="minorEastAsia" w:eastAsiaTheme="minorEastAsia"/>
          <w:color w:val="auto"/>
          <w:sz w:val="18"/>
          <w:szCs w:val="18"/>
          <w:highlight w:val="none"/>
        </w:rPr>
        <w:t>标</w:t>
      </w:r>
      <w:r>
        <w:rPr>
          <w:rFonts w:hint="eastAsia" w:asciiTheme="minorEastAsia" w:hAnsiTheme="minorEastAsia" w:eastAsiaTheme="minorEastAsia"/>
          <w:color w:val="auto"/>
          <w:sz w:val="18"/>
          <w:szCs w:val="18"/>
          <w:highlight w:val="none"/>
        </w:rPr>
        <w:t>公告</w:t>
      </w:r>
      <w:r>
        <w:rPr>
          <w:rFonts w:asciiTheme="minorEastAsia" w:hAnsiTheme="minorEastAsia" w:eastAsiaTheme="minorEastAsia"/>
          <w:color w:val="auto"/>
          <w:sz w:val="18"/>
          <w:szCs w:val="18"/>
          <w:highlight w:val="none"/>
        </w:rPr>
        <w:t>，签字代表____________________（</w:t>
      </w:r>
      <w:r>
        <w:rPr>
          <w:rFonts w:hint="eastAsia" w:asciiTheme="minorEastAsia" w:hAnsiTheme="minorEastAsia" w:eastAsiaTheme="minorEastAsia"/>
          <w:color w:val="auto"/>
          <w:sz w:val="18"/>
          <w:szCs w:val="18"/>
          <w:highlight w:val="none"/>
        </w:rPr>
        <w:t>法人</w:t>
      </w:r>
      <w:r>
        <w:rPr>
          <w:rFonts w:asciiTheme="minorEastAsia" w:hAnsiTheme="minorEastAsia" w:eastAsiaTheme="minorEastAsia"/>
          <w:color w:val="auto"/>
          <w:sz w:val="18"/>
          <w:szCs w:val="18"/>
          <w:highlight w:val="none"/>
        </w:rPr>
        <w:t>全名）经正式授权</w:t>
      </w:r>
      <w:r>
        <w:rPr>
          <w:rFonts w:hint="eastAsia" w:asciiTheme="minorEastAsia" w:hAnsiTheme="minorEastAsia" w:eastAsiaTheme="minorEastAsia"/>
          <w:color w:val="auto"/>
          <w:sz w:val="18"/>
          <w:szCs w:val="18"/>
          <w:highlight w:val="none"/>
        </w:rPr>
        <w:t>（被授权人）</w:t>
      </w:r>
      <w:r>
        <w:rPr>
          <w:rFonts w:asciiTheme="minorEastAsia" w:hAnsiTheme="minorEastAsia" w:eastAsiaTheme="minorEastAsia"/>
          <w:color w:val="auto"/>
          <w:sz w:val="18"/>
          <w:szCs w:val="18"/>
          <w:highlight w:val="none"/>
        </w:rPr>
        <w:t>并代表投标</w:t>
      </w:r>
      <w:r>
        <w:rPr>
          <w:rFonts w:hint="eastAsia" w:asciiTheme="minorEastAsia" w:hAnsiTheme="minorEastAsia" w:eastAsiaTheme="minorEastAsia"/>
          <w:color w:val="auto"/>
          <w:sz w:val="18"/>
          <w:szCs w:val="18"/>
          <w:highlight w:val="none"/>
        </w:rPr>
        <w:t>人</w:t>
      </w:r>
      <w:r>
        <w:rPr>
          <w:rFonts w:asciiTheme="minorEastAsia" w:hAnsiTheme="minorEastAsia" w:eastAsiaTheme="minorEastAsia"/>
          <w:color w:val="auto"/>
          <w:sz w:val="18"/>
          <w:szCs w:val="18"/>
          <w:highlight w:val="none"/>
        </w:rPr>
        <w:t>________________________________________（投标</w:t>
      </w:r>
      <w:r>
        <w:rPr>
          <w:rFonts w:hint="eastAsia" w:asciiTheme="minorEastAsia" w:hAnsiTheme="minorEastAsia" w:eastAsiaTheme="minorEastAsia"/>
          <w:color w:val="auto"/>
          <w:sz w:val="18"/>
          <w:szCs w:val="18"/>
          <w:highlight w:val="none"/>
        </w:rPr>
        <w:t>人</w:t>
      </w:r>
      <w:r>
        <w:rPr>
          <w:rFonts w:asciiTheme="minorEastAsia" w:hAnsiTheme="minorEastAsia" w:eastAsiaTheme="minorEastAsia"/>
          <w:color w:val="auto"/>
          <w:sz w:val="18"/>
          <w:szCs w:val="18"/>
          <w:highlight w:val="none"/>
        </w:rPr>
        <w:t>名称）提交</w:t>
      </w:r>
      <w:r>
        <w:rPr>
          <w:rFonts w:hint="eastAsia" w:asciiTheme="minorEastAsia" w:hAnsiTheme="minorEastAsia" w:eastAsiaTheme="minorEastAsia"/>
          <w:color w:val="auto"/>
          <w:sz w:val="18"/>
          <w:szCs w:val="18"/>
          <w:highlight w:val="none"/>
        </w:rPr>
        <w:t>投标文件、开标过程中的工作</w:t>
      </w:r>
      <w:r>
        <w:rPr>
          <w:rFonts w:asciiTheme="minorEastAsia" w:hAnsiTheme="minorEastAsia" w:eastAsiaTheme="minorEastAsia"/>
          <w:color w:val="auto"/>
          <w:sz w:val="18"/>
          <w:szCs w:val="18"/>
          <w:highlight w:val="none"/>
        </w:rPr>
        <w:t>。</w:t>
      </w:r>
    </w:p>
    <w:p>
      <w:pPr>
        <w:adjustRightInd w:val="0"/>
        <w:snapToGrid w:val="0"/>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据此函，</w:t>
      </w:r>
      <w:r>
        <w:rPr>
          <w:rFonts w:hint="eastAsia" w:asciiTheme="minorEastAsia" w:hAnsiTheme="minorEastAsia" w:eastAsiaTheme="minorEastAsia"/>
          <w:color w:val="auto"/>
          <w:sz w:val="18"/>
          <w:szCs w:val="18"/>
          <w:highlight w:val="none"/>
        </w:rPr>
        <w:t>签字代表宣布同意如下：</w:t>
      </w:r>
    </w:p>
    <w:p>
      <w:pPr>
        <w:adjustRightInd w:val="0"/>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adjustRightInd w:val="0"/>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2、投标人在投标之前已经与贵方进行了充分的沟通，完全理解并接受招标文件的各项规定和要求，对招标文件的合理性、合法性不再有异议。</w:t>
      </w:r>
    </w:p>
    <w:p>
      <w:pPr>
        <w:adjustRightInd w:val="0"/>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3、本投标有效期自开标日起 90个日历天</w:t>
      </w:r>
      <w:r>
        <w:rPr>
          <w:rFonts w:asciiTheme="minorEastAsia" w:hAnsiTheme="minorEastAsia" w:eastAsiaTheme="minorEastAsia"/>
          <w:color w:val="auto"/>
          <w:sz w:val="18"/>
          <w:szCs w:val="18"/>
          <w:highlight w:val="none"/>
        </w:rPr>
        <w:t>。</w:t>
      </w:r>
    </w:p>
    <w:p>
      <w:pPr>
        <w:adjustRightInd w:val="0"/>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4、如中标，本投标文件至本项目合同履行完毕止均保持有效，本投标人将按“招标文件”及政府采购法律、法规的规定履行合同责任和义务。</w:t>
      </w:r>
    </w:p>
    <w:p>
      <w:pPr>
        <w:adjustRightInd w:val="0"/>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5、投标人同意按照贵方要求提供与投标有关的一切数据或资料，并保证其真实性、合法性。</w:t>
      </w:r>
    </w:p>
    <w:p>
      <w:pPr>
        <w:adjustRightInd w:val="0"/>
        <w:snapToGrid w:val="0"/>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6、与本投标有关的一切正式往来信函请寄：</w:t>
      </w:r>
    </w:p>
    <w:p>
      <w:pPr>
        <w:adjustRightInd w:val="0"/>
        <w:snapToGrid w:val="0"/>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地址：</w:t>
      </w:r>
      <w:r>
        <w:rPr>
          <w:rFonts w:asciiTheme="minorEastAsia" w:hAnsiTheme="minorEastAsia" w:eastAsiaTheme="minorEastAsia"/>
          <w:color w:val="auto"/>
          <w:sz w:val="18"/>
          <w:szCs w:val="18"/>
          <w:highlight w:val="none"/>
        </w:rPr>
        <w:t>____________________邮编：__________</w:t>
      </w:r>
      <w:r>
        <w:rPr>
          <w:rFonts w:hint="eastAsia" w:asciiTheme="minorEastAsia" w:hAnsiTheme="minorEastAsia" w:eastAsiaTheme="minorEastAsia"/>
          <w:color w:val="auto"/>
          <w:sz w:val="18"/>
          <w:szCs w:val="18"/>
          <w:highlight w:val="none"/>
        </w:rPr>
        <w:t xml:space="preserve">   电话：</w:t>
      </w:r>
      <w:r>
        <w:rPr>
          <w:rFonts w:asciiTheme="minorEastAsia" w:hAnsiTheme="minorEastAsia" w:eastAsiaTheme="minorEastAsia"/>
          <w:color w:val="auto"/>
          <w:sz w:val="18"/>
          <w:szCs w:val="18"/>
          <w:highlight w:val="none"/>
        </w:rPr>
        <w:t>______________</w:t>
      </w:r>
    </w:p>
    <w:p>
      <w:pPr>
        <w:adjustRightInd w:val="0"/>
        <w:snapToGrid w:val="0"/>
        <w:spacing w:line="360" w:lineRule="auto"/>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传真：______________</w:t>
      </w:r>
      <w:r>
        <w:rPr>
          <w:rFonts w:hint="eastAsia" w:asciiTheme="minorEastAsia" w:hAnsiTheme="minorEastAsia" w:eastAsiaTheme="minorEastAsia"/>
          <w:color w:val="auto"/>
          <w:sz w:val="18"/>
          <w:szCs w:val="18"/>
          <w:highlight w:val="none"/>
        </w:rPr>
        <w:t>投标人代表姓名</w:t>
      </w:r>
      <w:r>
        <w:rPr>
          <w:rFonts w:asciiTheme="minorEastAsia" w:hAnsiTheme="minorEastAsia" w:eastAsiaTheme="minorEastAsia"/>
          <w:color w:val="auto"/>
          <w:sz w:val="18"/>
          <w:szCs w:val="18"/>
          <w:highlight w:val="none"/>
        </w:rPr>
        <w:t xml:space="preserve"> ___________ 职务：______________</w:t>
      </w:r>
    </w:p>
    <w:p>
      <w:pPr>
        <w:adjustRightInd w:val="0"/>
        <w:snapToGrid w:val="0"/>
        <w:spacing w:line="360" w:lineRule="auto"/>
        <w:rPr>
          <w:rFonts w:asciiTheme="minorEastAsia" w:hAnsiTheme="minorEastAsia" w:eastAsiaTheme="minorEastAsia"/>
          <w:color w:val="auto"/>
          <w:sz w:val="18"/>
          <w:szCs w:val="18"/>
          <w:highlight w:val="none"/>
        </w:rPr>
      </w:pPr>
    </w:p>
    <w:p>
      <w:pPr>
        <w:adjustRightInd w:val="0"/>
        <w:snapToGrid w:val="0"/>
        <w:spacing w:line="360" w:lineRule="auto"/>
        <w:rPr>
          <w:rFonts w:asciiTheme="minorEastAsia" w:hAnsiTheme="minorEastAsia" w:eastAsiaTheme="minorEastAsia"/>
          <w:color w:val="auto"/>
          <w:sz w:val="18"/>
          <w:szCs w:val="18"/>
          <w:highlight w:val="none"/>
        </w:rPr>
      </w:pPr>
    </w:p>
    <w:p>
      <w:pPr>
        <w:adjustRightInd w:val="0"/>
        <w:snapToGrid w:val="0"/>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投标人名称</w:t>
      </w:r>
      <w:r>
        <w:rPr>
          <w:rFonts w:asciiTheme="minorEastAsia" w:hAnsiTheme="minorEastAsia" w:eastAsiaTheme="minorEastAsia"/>
          <w:color w:val="auto"/>
          <w:sz w:val="18"/>
          <w:szCs w:val="18"/>
          <w:highlight w:val="none"/>
        </w:rPr>
        <w:t>(盖章):___________________</w:t>
      </w:r>
    </w:p>
    <w:p>
      <w:pPr>
        <w:adjustRightInd w:val="0"/>
        <w:snapToGrid w:val="0"/>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 xml:space="preserve">开户银行：   </w:t>
      </w:r>
    </w:p>
    <w:p>
      <w:pPr>
        <w:adjustRightInd w:val="0"/>
        <w:snapToGrid w:val="0"/>
        <w:spacing w:line="360" w:lineRule="auto"/>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银行帐号：</w:t>
      </w:r>
    </w:p>
    <w:p>
      <w:pPr>
        <w:spacing w:beforeLines="50" w:line="360" w:lineRule="auto"/>
        <w:ind w:firstLine="1210" w:firstLineChars="550"/>
        <w:rPr>
          <w:rFonts w:asciiTheme="minorEastAsia" w:hAnsiTheme="minorEastAsia" w:eastAsiaTheme="minorEastAsia"/>
          <w:color w:val="auto"/>
          <w:spacing w:val="20"/>
          <w:sz w:val="18"/>
          <w:szCs w:val="18"/>
          <w:highlight w:val="none"/>
        </w:rPr>
      </w:pPr>
    </w:p>
    <w:p>
      <w:pPr>
        <w:spacing w:beforeLines="50" w:line="360" w:lineRule="auto"/>
        <w:ind w:firstLine="1210" w:firstLineChars="550"/>
        <w:rPr>
          <w:rFonts w:asciiTheme="minorEastAsia" w:hAnsiTheme="minorEastAsia" w:eastAsiaTheme="minorEastAsia"/>
          <w:color w:val="auto"/>
          <w:sz w:val="18"/>
          <w:szCs w:val="18"/>
          <w:highlight w:val="none"/>
        </w:rPr>
      </w:pPr>
      <w:r>
        <w:rPr>
          <w:rFonts w:asciiTheme="minorEastAsia" w:hAnsiTheme="minorEastAsia" w:eastAsiaTheme="minorEastAsia"/>
          <w:color w:val="auto"/>
          <w:spacing w:val="20"/>
          <w:sz w:val="18"/>
          <w:szCs w:val="18"/>
          <w:highlight w:val="none"/>
        </w:rPr>
        <w:t>法定代表人或委托代理人</w:t>
      </w:r>
      <w:r>
        <w:rPr>
          <w:rFonts w:hint="eastAsia" w:asciiTheme="minorEastAsia" w:hAnsiTheme="minorEastAsia" w:eastAsiaTheme="minorEastAsia"/>
          <w:color w:val="auto"/>
          <w:spacing w:val="20"/>
          <w:sz w:val="18"/>
          <w:szCs w:val="18"/>
          <w:highlight w:val="none"/>
        </w:rPr>
        <w:t>签名（或盖章）：</w:t>
      </w:r>
    </w:p>
    <w:p>
      <w:pPr>
        <w:spacing w:line="360" w:lineRule="auto"/>
        <w:ind w:firstLine="440" w:firstLineChars="200"/>
        <w:rPr>
          <w:rFonts w:asciiTheme="minorEastAsia" w:hAnsiTheme="minorEastAsia" w:eastAsiaTheme="minorEastAsia"/>
          <w:color w:val="auto"/>
          <w:spacing w:val="20"/>
          <w:sz w:val="18"/>
          <w:szCs w:val="18"/>
          <w:highlight w:val="none"/>
          <w:u w:val="single"/>
        </w:rPr>
      </w:pPr>
      <w:r>
        <w:rPr>
          <w:rFonts w:hint="eastAsia" w:asciiTheme="minorEastAsia" w:hAnsiTheme="minorEastAsia" w:eastAsiaTheme="minorEastAsia"/>
          <w:color w:val="auto"/>
          <w:spacing w:val="20"/>
          <w:sz w:val="18"/>
          <w:szCs w:val="18"/>
          <w:highlight w:val="none"/>
        </w:rPr>
        <w:t xml:space="preserve">                            投标人盖章：</w:t>
      </w:r>
    </w:p>
    <w:p>
      <w:pPr>
        <w:spacing w:line="360" w:lineRule="auto"/>
        <w:ind w:firstLine="44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 w:val="18"/>
          <w:szCs w:val="18"/>
          <w:highlight w:val="none"/>
        </w:rPr>
        <w:t xml:space="preserve">                            日     期：</w:t>
      </w:r>
    </w:p>
    <w:p>
      <w:pPr>
        <w:spacing w:line="360" w:lineRule="auto"/>
        <w:ind w:firstLine="527" w:firstLineChars="250"/>
        <w:jc w:val="center"/>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pStyle w:val="48"/>
        <w:ind w:firstLine="404"/>
        <w:rPr>
          <w:color w:val="auto"/>
          <w:highlight w:val="none"/>
        </w:rPr>
      </w:pPr>
    </w:p>
    <w:p>
      <w:pPr>
        <w:rPr>
          <w:rFonts w:hint="eastAsia"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br w:type="page"/>
      </w: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13、</w:t>
      </w:r>
    </w:p>
    <w:p>
      <w:pPr>
        <w:snapToGrid w:val="0"/>
        <w:spacing w:line="360" w:lineRule="auto"/>
        <w:jc w:val="center"/>
        <w:outlineLvl w:val="0"/>
        <w:rPr>
          <w:rFonts w:asciiTheme="minorEastAsia" w:hAnsiTheme="minorEastAsia" w:eastAsiaTheme="minorEastAsia"/>
          <w:b/>
          <w:color w:val="auto"/>
          <w:szCs w:val="21"/>
          <w:highlight w:val="none"/>
        </w:rPr>
      </w:pPr>
      <w:bookmarkStart w:id="203" w:name="_Toc11295"/>
      <w:r>
        <w:rPr>
          <w:rFonts w:hint="eastAsia" w:asciiTheme="minorEastAsia" w:hAnsiTheme="minorEastAsia" w:eastAsiaTheme="minorEastAsia"/>
          <w:b/>
          <w:color w:val="auto"/>
          <w:szCs w:val="21"/>
          <w:highlight w:val="none"/>
        </w:rPr>
        <w:t>开标一览表（附件12）</w:t>
      </w:r>
      <w:bookmarkEnd w:id="203"/>
    </w:p>
    <w:p>
      <w:pPr>
        <w:adjustRightInd w:val="0"/>
        <w:spacing w:line="360" w:lineRule="auto"/>
        <w:jc w:val="center"/>
        <w:rPr>
          <w:rFonts w:cs="Arial" w:asciiTheme="minorEastAsia" w:hAnsiTheme="minorEastAsia" w:eastAsiaTheme="minorEastAsia"/>
          <w:color w:val="auto"/>
          <w:szCs w:val="21"/>
          <w:highlight w:val="none"/>
        </w:rPr>
      </w:pPr>
    </w:p>
    <w:tbl>
      <w:tblPr>
        <w:tblStyle w:val="49"/>
        <w:tblW w:w="8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2222"/>
        <w:gridCol w:w="204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615" w:type="dxa"/>
            <w:vAlign w:val="center"/>
          </w:tcPr>
          <w:p>
            <w:pPr>
              <w:adjustRightInd w:val="0"/>
              <w:spacing w:line="360" w:lineRule="auto"/>
              <w:jc w:val="center"/>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项目名称</w:t>
            </w:r>
          </w:p>
        </w:tc>
        <w:tc>
          <w:tcPr>
            <w:tcW w:w="2222" w:type="dxa"/>
            <w:vAlign w:val="center"/>
          </w:tcPr>
          <w:p>
            <w:pPr>
              <w:adjustRightInd w:val="0"/>
              <w:spacing w:line="360" w:lineRule="auto"/>
              <w:jc w:val="center"/>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投标报价（万元）</w:t>
            </w:r>
          </w:p>
        </w:tc>
        <w:tc>
          <w:tcPr>
            <w:tcW w:w="2046" w:type="dxa"/>
            <w:vAlign w:val="center"/>
          </w:tcPr>
          <w:p>
            <w:pPr>
              <w:adjustRightInd w:val="0"/>
              <w:spacing w:line="360" w:lineRule="auto"/>
              <w:jc w:val="center"/>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项目负责人</w:t>
            </w:r>
          </w:p>
        </w:tc>
        <w:tc>
          <w:tcPr>
            <w:tcW w:w="1807" w:type="dxa"/>
            <w:vAlign w:val="center"/>
          </w:tcPr>
          <w:p>
            <w:pPr>
              <w:adjustRightInd w:val="0"/>
              <w:spacing w:line="360" w:lineRule="auto"/>
              <w:jc w:val="center"/>
              <w:rPr>
                <w:rFonts w:cs="Arial" w:asciiTheme="minorEastAsia" w:hAnsiTheme="minorEastAsia" w:eastAsiaTheme="minorEastAsia"/>
                <w:b/>
                <w:color w:val="auto"/>
                <w:sz w:val="18"/>
                <w:szCs w:val="18"/>
                <w:highlight w:val="none"/>
              </w:rPr>
            </w:pPr>
            <w:r>
              <w:rPr>
                <w:rFonts w:hint="eastAsia" w:cs="Arial" w:asciiTheme="minorEastAsia" w:hAnsiTheme="minorEastAsia" w:eastAsiaTheme="minorEastAsia"/>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615" w:type="dxa"/>
            <w:vAlign w:val="center"/>
          </w:tcPr>
          <w:p>
            <w:pPr>
              <w:adjustRightInd w:val="0"/>
              <w:spacing w:line="360" w:lineRule="auto"/>
              <w:jc w:val="center"/>
              <w:rPr>
                <w:rFonts w:hint="eastAsia" w:cs="Arial" w:asciiTheme="minorEastAsia" w:hAnsiTheme="minorEastAsia" w:eastAsiaTheme="minorEastAsia"/>
                <w:color w:val="auto"/>
                <w:sz w:val="18"/>
                <w:szCs w:val="18"/>
                <w:highlight w:val="none"/>
                <w:lang w:eastAsia="zh-CN"/>
              </w:rPr>
            </w:pPr>
            <w:r>
              <w:rPr>
                <w:rFonts w:hint="eastAsia" w:cs="Arial" w:asciiTheme="minorEastAsia" w:hAnsiTheme="minorEastAsia" w:eastAsiaTheme="minorEastAsia"/>
                <w:color w:val="auto"/>
                <w:sz w:val="18"/>
                <w:szCs w:val="18"/>
                <w:highlight w:val="none"/>
                <w:lang w:eastAsia="zh-CN"/>
              </w:rPr>
              <w:t>新城街道2024年度区域绿化养护项目</w:t>
            </w:r>
          </w:p>
        </w:tc>
        <w:tc>
          <w:tcPr>
            <w:tcW w:w="2222" w:type="dxa"/>
            <w:vAlign w:val="center"/>
          </w:tcPr>
          <w:p>
            <w:pPr>
              <w:adjustRightInd w:val="0"/>
              <w:spacing w:line="360" w:lineRule="auto"/>
              <w:jc w:val="center"/>
              <w:rPr>
                <w:rFonts w:cs="Arial" w:asciiTheme="minorEastAsia" w:hAnsiTheme="minorEastAsia" w:eastAsiaTheme="minorEastAsia"/>
                <w:color w:val="auto"/>
                <w:sz w:val="18"/>
                <w:szCs w:val="18"/>
                <w:highlight w:val="none"/>
              </w:rPr>
            </w:pPr>
          </w:p>
        </w:tc>
        <w:tc>
          <w:tcPr>
            <w:tcW w:w="2046" w:type="dxa"/>
            <w:vAlign w:val="center"/>
          </w:tcPr>
          <w:p>
            <w:pPr>
              <w:adjustRightInd w:val="0"/>
              <w:spacing w:line="360" w:lineRule="auto"/>
              <w:jc w:val="center"/>
              <w:rPr>
                <w:rFonts w:cs="Arial" w:asciiTheme="minorEastAsia" w:hAnsiTheme="minorEastAsia" w:eastAsiaTheme="minorEastAsia"/>
                <w:color w:val="auto"/>
                <w:sz w:val="18"/>
                <w:szCs w:val="18"/>
                <w:highlight w:val="none"/>
              </w:rPr>
            </w:pPr>
          </w:p>
        </w:tc>
        <w:tc>
          <w:tcPr>
            <w:tcW w:w="1807" w:type="dxa"/>
            <w:vAlign w:val="center"/>
          </w:tcPr>
          <w:p>
            <w:pPr>
              <w:adjustRightInd w:val="0"/>
              <w:spacing w:line="360" w:lineRule="auto"/>
              <w:jc w:val="center"/>
              <w:rPr>
                <w:rFonts w:hint="eastAsia" w:cs="Arial" w:asciiTheme="minorEastAsia" w:hAnsiTheme="minorEastAsia" w:eastAsiaTheme="minorEastAsia"/>
                <w:color w:val="auto"/>
                <w:sz w:val="18"/>
                <w:szCs w:val="18"/>
                <w:highlight w:val="none"/>
                <w:lang w:eastAsia="zh-CN"/>
              </w:rPr>
            </w:pPr>
            <w:r>
              <w:rPr>
                <w:rFonts w:hint="eastAsia" w:cs="Arial" w:asciiTheme="minorEastAsia" w:hAnsiTheme="minorEastAsia" w:eastAsiaTheme="minorEastAsia"/>
                <w:b/>
                <w:bCs/>
                <w:color w:val="auto"/>
                <w:sz w:val="18"/>
                <w:szCs w:val="18"/>
                <w:highlight w:val="none"/>
                <w:lang w:eastAsia="zh-CN"/>
              </w:rPr>
              <w:t>（填标段一或标段二或标段三或标段四或标段五或标段六）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690" w:type="dxa"/>
            <w:gridSpan w:val="4"/>
            <w:vAlign w:val="center"/>
          </w:tcPr>
          <w:p>
            <w:pPr>
              <w:adjustRightInd w:val="0"/>
              <w:spacing w:line="360" w:lineRule="auto"/>
              <w:rPr>
                <w:rFonts w:cs="Arial" w:asciiTheme="minorEastAsia" w:hAnsiTheme="minorEastAsia" w:eastAsiaTheme="minorEastAsia"/>
                <w:color w:val="auto"/>
                <w:sz w:val="18"/>
                <w:szCs w:val="18"/>
                <w:highlight w:val="none"/>
              </w:rPr>
            </w:pPr>
            <w:r>
              <w:rPr>
                <w:rFonts w:hint="eastAsia" w:cs="Arial" w:asciiTheme="minorEastAsia" w:hAnsiTheme="minorEastAsia" w:eastAsiaTheme="minorEastAsia"/>
                <w:color w:val="auto"/>
                <w:sz w:val="18"/>
                <w:szCs w:val="18"/>
                <w:highlight w:val="none"/>
              </w:rPr>
              <w:t xml:space="preserve">人民币大写：                               </w:t>
            </w:r>
          </w:p>
        </w:tc>
      </w:tr>
    </w:tbl>
    <w:p>
      <w:pPr>
        <w:spacing w:line="360" w:lineRule="auto"/>
        <w:rPr>
          <w:rFonts w:asciiTheme="minorEastAsia" w:hAnsiTheme="minorEastAsia" w:eastAsiaTheme="minorEastAsia"/>
          <w:b/>
          <w:color w:val="auto"/>
          <w:sz w:val="18"/>
          <w:szCs w:val="18"/>
          <w:highlight w:val="none"/>
        </w:rPr>
      </w:pPr>
    </w:p>
    <w:p>
      <w:pPr>
        <w:adjustRightInd w:val="0"/>
        <w:spacing w:line="360" w:lineRule="auto"/>
        <w:rPr>
          <w:rFonts w:asciiTheme="minorEastAsia" w:hAnsiTheme="minorEastAsia" w:eastAsiaTheme="minorEastAsia"/>
          <w:color w:val="auto"/>
          <w:sz w:val="18"/>
          <w:szCs w:val="18"/>
          <w:highlight w:val="none"/>
        </w:rPr>
      </w:pPr>
    </w:p>
    <w:p>
      <w:pPr>
        <w:spacing w:beforeLines="50" w:line="360" w:lineRule="auto"/>
        <w:ind w:firstLine="1210" w:firstLineChars="550"/>
        <w:rPr>
          <w:rFonts w:asciiTheme="minorEastAsia" w:hAnsiTheme="minorEastAsia" w:eastAsiaTheme="minorEastAsia"/>
          <w:color w:val="auto"/>
          <w:sz w:val="18"/>
          <w:szCs w:val="18"/>
          <w:highlight w:val="none"/>
        </w:rPr>
      </w:pPr>
      <w:r>
        <w:rPr>
          <w:rFonts w:asciiTheme="minorEastAsia" w:hAnsiTheme="minorEastAsia" w:eastAsiaTheme="minorEastAsia"/>
          <w:color w:val="auto"/>
          <w:spacing w:val="20"/>
          <w:sz w:val="18"/>
          <w:szCs w:val="18"/>
          <w:highlight w:val="none"/>
        </w:rPr>
        <w:t>法定代表人或委托代理人</w:t>
      </w:r>
      <w:r>
        <w:rPr>
          <w:rFonts w:hint="eastAsia" w:asciiTheme="minorEastAsia" w:hAnsiTheme="minorEastAsia" w:eastAsiaTheme="minorEastAsia"/>
          <w:color w:val="auto"/>
          <w:spacing w:val="20"/>
          <w:sz w:val="18"/>
          <w:szCs w:val="18"/>
          <w:highlight w:val="none"/>
        </w:rPr>
        <w:t>签名（或盖章）：</w:t>
      </w:r>
    </w:p>
    <w:p>
      <w:pPr>
        <w:spacing w:line="360" w:lineRule="auto"/>
        <w:ind w:firstLine="440" w:firstLineChars="200"/>
        <w:rPr>
          <w:rFonts w:asciiTheme="minorEastAsia" w:hAnsiTheme="minorEastAsia" w:eastAsiaTheme="minorEastAsia"/>
          <w:color w:val="auto"/>
          <w:spacing w:val="20"/>
          <w:sz w:val="18"/>
          <w:szCs w:val="18"/>
          <w:highlight w:val="none"/>
          <w:u w:val="single"/>
        </w:rPr>
      </w:pPr>
      <w:r>
        <w:rPr>
          <w:rFonts w:hint="eastAsia" w:asciiTheme="minorEastAsia" w:hAnsiTheme="minorEastAsia" w:eastAsiaTheme="minorEastAsia"/>
          <w:color w:val="auto"/>
          <w:spacing w:val="20"/>
          <w:sz w:val="18"/>
          <w:szCs w:val="18"/>
          <w:highlight w:val="none"/>
        </w:rPr>
        <w:t xml:space="preserve">                            投标人盖章：</w:t>
      </w:r>
    </w:p>
    <w:p>
      <w:pPr>
        <w:spacing w:line="360" w:lineRule="auto"/>
        <w:ind w:firstLine="44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 w:val="18"/>
          <w:szCs w:val="18"/>
          <w:highlight w:val="none"/>
        </w:rPr>
        <w:t xml:space="preserve">                            日     期：</w:t>
      </w:r>
    </w:p>
    <w:p>
      <w:pPr>
        <w:rPr>
          <w:rFonts w:hint="eastAsia"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br w:type="page"/>
      </w: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13、</w:t>
      </w:r>
    </w:p>
    <w:p>
      <w:pPr>
        <w:pStyle w:val="48"/>
        <w:spacing w:line="360" w:lineRule="auto"/>
        <w:ind w:firstLine="404"/>
        <w:rPr>
          <w:color w:val="auto"/>
          <w:highlight w:val="none"/>
        </w:rPr>
      </w:pPr>
    </w:p>
    <w:p>
      <w:pPr>
        <w:spacing w:line="360" w:lineRule="auto"/>
        <w:jc w:val="center"/>
        <w:rPr>
          <w:rFonts w:hint="eastAsia" w:ascii="宋体" w:hAnsi="宋体"/>
          <w:b/>
          <w:color w:val="auto"/>
          <w:spacing w:val="20"/>
          <w:szCs w:val="21"/>
          <w:highlight w:val="none"/>
        </w:rPr>
      </w:pPr>
      <w:r>
        <w:rPr>
          <w:rFonts w:hint="eastAsia" w:ascii="宋体" w:hAnsi="宋体"/>
          <w:b/>
          <w:color w:val="auto"/>
          <w:spacing w:val="20"/>
          <w:szCs w:val="21"/>
          <w:highlight w:val="none"/>
        </w:rPr>
        <w:t>分项报价明细表</w:t>
      </w:r>
    </w:p>
    <w:tbl>
      <w:tblPr>
        <w:tblStyle w:val="49"/>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84"/>
        <w:gridCol w:w="4278"/>
        <w:gridCol w:w="592"/>
        <w:gridCol w:w="787"/>
        <w:gridCol w:w="96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jc w:val="center"/>
        </w:trPr>
        <w:tc>
          <w:tcPr>
            <w:tcW w:w="10200" w:type="dxa"/>
            <w:gridSpan w:val="6"/>
            <w:tcBorders>
              <w:top w:val="nil"/>
              <w:left w:val="nil"/>
              <w:bottom w:val="single" w:color="000000" w:sz="8" w:space="0"/>
              <w:right w:val="nil"/>
            </w:tcBorders>
            <w:shd w:val="clear" w:color="auto" w:fill="auto"/>
            <w:noWrap/>
            <w:vAlign w:val="top"/>
          </w:tcPr>
          <w:p>
            <w:pPr>
              <w:jc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color w:val="auto"/>
                <w:sz w:val="28"/>
                <w:szCs w:val="28"/>
                <w:highlight w:val="none"/>
              </w:rPr>
              <w:br w:type="page"/>
            </w:r>
            <w:r>
              <w:rPr>
                <w:rFonts w:hint="eastAsia" w:ascii="宋体" w:hAnsi="宋体" w:eastAsia="宋体" w:cs="宋体"/>
                <w:b/>
                <w:bCs/>
                <w:i w:val="0"/>
                <w:iCs w:val="0"/>
                <w:color w:val="000000"/>
                <w:kern w:val="0"/>
                <w:sz w:val="28"/>
                <w:szCs w:val="28"/>
                <w:highlight w:val="none"/>
                <w:u w:val="none"/>
                <w:lang w:val="en-US" w:eastAsia="zh-CN" w:bidi="ar"/>
              </w:rPr>
              <w:t>一标段养护工程量清单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jc w:val="center"/>
        </w:trPr>
        <w:tc>
          <w:tcPr>
            <w:tcW w:w="258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427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59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78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96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996"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258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君特口袋公园、永泰广场西侧口袋公园、品质提升—中山西路工程、品质提升—新平路、新秀路、亚厦路、蓬莱路工程绿化养护</w:t>
            </w:r>
          </w:p>
        </w:tc>
        <w:tc>
          <w:tcPr>
            <w:tcW w:w="42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59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78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12563.1</w:t>
            </w:r>
          </w:p>
        </w:tc>
        <w:tc>
          <w:tcPr>
            <w:tcW w:w="9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绿地养护</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1、种类：绿地养护，含乔灌木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226565.32</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行道树</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1、种类：行道树Φ20-25cm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棵</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4175</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区域草花</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1679.24</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中山西路花箱草花</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p>
            <w:pPr>
              <w:keepNext w:val="0"/>
              <w:keepLines w:val="0"/>
              <w:widowControl/>
              <w:numPr>
                <w:ilvl w:val="0"/>
                <w:numId w:val="0"/>
              </w:numPr>
              <w:suppressLineNumbers w:val="0"/>
              <w:jc w:val="left"/>
              <w:textAlignment w:val="center"/>
              <w:rPr>
                <w:rFonts w:hint="default" w:eastAsia="宋体"/>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5、花箱规格：26</w:t>
            </w:r>
            <w:r>
              <w:rPr>
                <w:rFonts w:hint="eastAsia" w:ascii="宋体" w:hAnsi="宋体" w:cs="宋体"/>
                <w:i w:val="0"/>
                <w:iCs w:val="0"/>
                <w:color w:val="000000"/>
                <w:kern w:val="0"/>
                <w:sz w:val="18"/>
                <w:szCs w:val="18"/>
                <w:highlight w:val="none"/>
                <w:u w:val="none"/>
                <w:lang w:val="en-US" w:eastAsia="zh-CN" w:bidi="ar"/>
              </w:rPr>
              <w:t>cm*</w:t>
            </w:r>
            <w:r>
              <w:rPr>
                <w:rFonts w:hint="eastAsia" w:ascii="宋体" w:hAnsi="宋体" w:eastAsia="宋体" w:cs="宋体"/>
                <w:i w:val="0"/>
                <w:iCs w:val="0"/>
                <w:color w:val="000000"/>
                <w:kern w:val="0"/>
                <w:sz w:val="18"/>
                <w:szCs w:val="18"/>
                <w:highlight w:val="none"/>
                <w:u w:val="none"/>
                <w:lang w:val="en-US" w:eastAsia="zh-CN" w:bidi="ar"/>
              </w:rPr>
              <w:t>62</w:t>
            </w:r>
            <w:r>
              <w:rPr>
                <w:rFonts w:hint="eastAsia" w:ascii="宋体" w:hAnsi="宋体" w:cs="宋体"/>
                <w:i w:val="0"/>
                <w:iCs w:val="0"/>
                <w:color w:val="000000"/>
                <w:kern w:val="0"/>
                <w:sz w:val="18"/>
                <w:szCs w:val="18"/>
                <w:highlight w:val="none"/>
                <w:u w:val="none"/>
                <w:lang w:val="en-US" w:eastAsia="zh-CN" w:bidi="ar"/>
              </w:rPr>
              <w:t>c</w:t>
            </w:r>
            <w:r>
              <w:rPr>
                <w:rFonts w:hint="eastAsia" w:ascii="宋体" w:hAnsi="宋体" w:eastAsia="宋体" w:cs="宋体"/>
                <w:i w:val="0"/>
                <w:iCs w:val="0"/>
                <w:color w:val="000000"/>
                <w:kern w:val="0"/>
                <w:sz w:val="18"/>
                <w:szCs w:val="18"/>
                <w:highlight w:val="none"/>
                <w:u w:val="none"/>
                <w:lang w:val="en-US" w:eastAsia="zh-CN" w:bidi="ar"/>
              </w:rPr>
              <w:t>m</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个</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1916</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殷秀大桥草花</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8"/>
              </w:numPr>
              <w:suppressLineNumbers w:val="0"/>
              <w:jc w:val="left"/>
              <w:textAlignment w:val="center"/>
              <w:rPr>
                <w:rFonts w:hint="eastAsia"/>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种类：时令草花（精品苗木）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2、单位面积株数：一组花箱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4、元旦：一叶兰（18株）、一品红（10株）、雏菊（8株）、花叶蔓L40（36株）（红、粉色系）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5、五.一：一叶兰（18株）、羽扇豆（8株）、蓝花鼠尾草（14株）、金叶番薯藤（24株）（蓝色系）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6、七.一：变叶木H45P30（4株）、天竺葵（8株）、秋海棠（8株）、金叶番薯藤L40（24株）（红、粉色系）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7、中秋、国庆：变叶木H45P30（4株）、一串红（14株）、万寿菊（8株）、花叶蔓L40（36株）（红、黄色系）</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8、不限于上述品种</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9、轻质种植基质（泥炭30%、园土40%、珍珠岩10%、蛭石10%、有机肥10%）约0.24m³/组</w:t>
            </w:r>
          </w:p>
          <w:p>
            <w:pPr>
              <w:pStyle w:val="22"/>
              <w:ind w:left="0" w:leftChars="0" w:firstLine="0" w:firstLineChars="0"/>
              <w:rPr>
                <w:rFonts w:hint="eastAsia"/>
                <w:highlight w:val="none"/>
                <w:lang w:val="en-US" w:eastAsia="zh-CN"/>
              </w:rPr>
            </w:pPr>
            <w:r>
              <w:rPr>
                <w:rFonts w:hint="eastAsia" w:ascii="宋体" w:hAnsi="宋体" w:cs="宋体"/>
                <w:i w:val="0"/>
                <w:iCs w:val="0"/>
                <w:color w:val="000000"/>
                <w:kern w:val="0"/>
                <w:sz w:val="18"/>
                <w:szCs w:val="18"/>
                <w:highlight w:val="none"/>
                <w:u w:val="none"/>
                <w:lang w:val="en-US" w:eastAsia="zh-CN" w:bidi="ar"/>
              </w:rPr>
              <w:t>花箱更换、修复：1</w:t>
            </w:r>
            <w:r>
              <w:rPr>
                <w:rFonts w:hint="eastAsia" w:ascii="宋体" w:hAnsi="宋体" w:eastAsia="宋体" w:cs="宋体"/>
                <w:i w:val="0"/>
                <w:iCs w:val="0"/>
                <w:color w:val="000000"/>
                <w:kern w:val="0"/>
                <w:sz w:val="18"/>
                <w:szCs w:val="18"/>
                <w:highlight w:val="none"/>
                <w:u w:val="none"/>
                <w:lang w:val="en-US" w:eastAsia="zh-CN" w:bidi="ar"/>
              </w:rPr>
              <w:t>、高密度PVC材料花盆；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2、黑色内镜PVC雕刻件；</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3、黑色PVC底座表面烤漆；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4、高花箱590*590*950mm；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5、矮花箱490*490*725mm；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6、两个为一组，参考效果图及实地踏勘</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7、损坏的修复、损毁的更换</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组</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106</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秀洲大桥月季养护</w:t>
            </w:r>
          </w:p>
        </w:tc>
        <w:tc>
          <w:tcPr>
            <w:tcW w:w="42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9"/>
              </w:numPr>
              <w:suppressLineNumbers w:val="0"/>
              <w:jc w:val="left"/>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种类：月季</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cs="宋体"/>
                <w:i w:val="0"/>
                <w:iCs w:val="0"/>
                <w:color w:val="000000"/>
                <w:kern w:val="0"/>
                <w:sz w:val="18"/>
                <w:szCs w:val="18"/>
                <w:highlight w:val="none"/>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59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株</w:t>
            </w:r>
          </w:p>
        </w:tc>
        <w:tc>
          <w:tcPr>
            <w:tcW w:w="7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5884</w:t>
            </w:r>
          </w:p>
        </w:tc>
        <w:tc>
          <w:tcPr>
            <w:tcW w:w="9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99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204" w:type="dxa"/>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99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jc w:val="center"/>
        </w:trPr>
        <w:tc>
          <w:tcPr>
            <w:tcW w:w="10200"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cs="Calibri"/>
                <w:b/>
                <w:bCs/>
                <w:i w:val="0"/>
                <w:iCs w:val="0"/>
                <w:color w:val="000000"/>
                <w:kern w:val="0"/>
                <w:sz w:val="18"/>
                <w:szCs w:val="18"/>
                <w:highlight w:val="none"/>
                <w:u w:val="none"/>
                <w:lang w:val="en-US" w:eastAsia="zh-CN" w:bidi="ar"/>
              </w:rPr>
              <w:t>上述范围涉及的</w:t>
            </w:r>
            <w:r>
              <w:rPr>
                <w:rFonts w:hint="eastAsia" w:ascii="宋体" w:hAnsi="宋体" w:cs="宋体"/>
                <w:b/>
                <w:bCs/>
                <w:i w:val="0"/>
                <w:iCs w:val="0"/>
                <w:color w:val="000000"/>
                <w:kern w:val="0"/>
                <w:sz w:val="18"/>
                <w:szCs w:val="18"/>
                <w:highlight w:val="none"/>
                <w:u w:val="none"/>
                <w:lang w:val="en-US" w:eastAsia="zh-CN" w:bidi="ar"/>
              </w:rPr>
              <w:t>所有绿化、草花养护均</w:t>
            </w:r>
            <w:r>
              <w:rPr>
                <w:rFonts w:hint="eastAsia" w:ascii="宋体" w:hAnsi="宋体" w:eastAsia="宋体" w:cs="宋体"/>
                <w:b/>
                <w:bCs/>
                <w:i w:val="0"/>
                <w:iCs w:val="0"/>
                <w:color w:val="000000"/>
                <w:kern w:val="0"/>
                <w:sz w:val="18"/>
                <w:szCs w:val="18"/>
                <w:highlight w:val="none"/>
                <w:u w:val="none"/>
                <w:lang w:val="en-US" w:eastAsia="zh-CN" w:bidi="ar"/>
              </w:rPr>
              <w:t>包含日常保洁工作，标段内类公园</w:t>
            </w:r>
            <w:r>
              <w:rPr>
                <w:rFonts w:hint="eastAsia" w:ascii="宋体" w:hAnsi="宋体" w:cs="宋体"/>
                <w:b/>
                <w:bCs/>
                <w:i w:val="0"/>
                <w:iCs w:val="0"/>
                <w:color w:val="000000"/>
                <w:kern w:val="0"/>
                <w:sz w:val="18"/>
                <w:szCs w:val="18"/>
                <w:highlight w:val="none"/>
                <w:u w:val="none"/>
                <w:lang w:val="en-US" w:eastAsia="zh-CN" w:bidi="ar"/>
              </w:rPr>
              <w:t>涉及的</w:t>
            </w:r>
            <w:r>
              <w:rPr>
                <w:rFonts w:hint="eastAsia" w:ascii="宋体" w:hAnsi="宋体" w:eastAsia="宋体" w:cs="宋体"/>
                <w:b/>
                <w:bCs/>
                <w:i w:val="0"/>
                <w:iCs w:val="0"/>
                <w:color w:val="000000"/>
                <w:kern w:val="0"/>
                <w:sz w:val="18"/>
                <w:szCs w:val="18"/>
                <w:highlight w:val="none"/>
                <w:u w:val="none"/>
                <w:lang w:val="en-US" w:eastAsia="zh-CN" w:bidi="ar"/>
              </w:rPr>
              <w:t>铺装与设施包含日常维修养护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spacing w:line="360" w:lineRule="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注：报价时按全费用综合单价考虑（含保险（人员保险、财产保险等）税金、规费、管理费、安全文明费、利润等一切为完成本项目涉及的费用），具体数量按实际发生量结算。</w:t>
      </w:r>
    </w:p>
    <w:p>
      <w:pPr>
        <w:pStyle w:val="30"/>
        <w:tabs>
          <w:tab w:val="left" w:pos="1200"/>
        </w:tabs>
        <w:spacing w:before="120" w:after="120" w:line="360" w:lineRule="auto"/>
        <w:ind w:firstLine="540" w:firstLineChars="300"/>
        <w:rPr>
          <w:rFonts w:hAnsi="宋体"/>
          <w:color w:val="auto"/>
          <w:sz w:val="18"/>
          <w:szCs w:val="18"/>
          <w:highlight w:val="none"/>
        </w:rPr>
      </w:pPr>
      <w:r>
        <w:rPr>
          <w:rFonts w:hint="eastAsia" w:hAnsi="宋体" w:cs="宋体"/>
          <w:color w:val="auto"/>
          <w:sz w:val="18"/>
          <w:szCs w:val="18"/>
          <w:highlight w:val="none"/>
          <w:lang w:val="en-US" w:eastAsia="zh-CN"/>
        </w:rPr>
        <w:t>结算时单价按投标时全费用单位计，不因任何因素变更。</w:t>
      </w:r>
    </w:p>
    <w:p>
      <w:pPr>
        <w:spacing w:line="360" w:lineRule="auto"/>
        <w:ind w:firstLine="3740" w:firstLineChars="1700"/>
        <w:rPr>
          <w:rFonts w:ascii="宋体" w:hAnsi="宋体"/>
          <w:color w:val="auto"/>
          <w:spacing w:val="20"/>
          <w:sz w:val="18"/>
          <w:szCs w:val="18"/>
          <w:highlight w:val="none"/>
          <w:u w:val="single"/>
        </w:rPr>
      </w:pPr>
      <w:r>
        <w:rPr>
          <w:rFonts w:ascii="宋体" w:hAnsi="宋体"/>
          <w:color w:val="auto"/>
          <w:spacing w:val="20"/>
          <w:sz w:val="18"/>
          <w:szCs w:val="18"/>
          <w:highlight w:val="none"/>
        </w:rPr>
        <w:t>法定代表人或委托代理人</w:t>
      </w:r>
      <w:r>
        <w:rPr>
          <w:rFonts w:hint="eastAsia" w:ascii="宋体" w:hAnsi="宋体"/>
          <w:color w:val="auto"/>
          <w:spacing w:val="20"/>
          <w:sz w:val="18"/>
          <w:szCs w:val="18"/>
          <w:highlight w:val="none"/>
        </w:rPr>
        <w:t>签名：</w:t>
      </w:r>
    </w:p>
    <w:p>
      <w:pPr>
        <w:spacing w:line="360" w:lineRule="auto"/>
        <w:ind w:firstLine="440" w:firstLineChars="200"/>
        <w:rPr>
          <w:rFonts w:ascii="宋体" w:hAnsi="宋体"/>
          <w:color w:val="auto"/>
          <w:spacing w:val="20"/>
          <w:sz w:val="18"/>
          <w:szCs w:val="18"/>
          <w:highlight w:val="none"/>
          <w:u w:val="single"/>
        </w:rPr>
      </w:pPr>
      <w:r>
        <w:rPr>
          <w:rFonts w:hint="eastAsia" w:ascii="宋体" w:hAnsi="宋体"/>
          <w:color w:val="auto"/>
          <w:spacing w:val="20"/>
          <w:sz w:val="18"/>
          <w:szCs w:val="18"/>
          <w:highlight w:val="none"/>
        </w:rPr>
        <w:t xml:space="preserve">                      </w:t>
      </w:r>
      <w:r>
        <w:rPr>
          <w:rFonts w:hint="eastAsia" w:ascii="宋体" w:hAnsi="宋体"/>
          <w:color w:val="auto"/>
          <w:spacing w:val="20"/>
          <w:sz w:val="18"/>
          <w:szCs w:val="18"/>
          <w:highlight w:val="none"/>
          <w:lang w:val="en-US" w:eastAsia="zh-CN"/>
        </w:rPr>
        <w:t xml:space="preserve">  </w:t>
      </w:r>
      <w:r>
        <w:rPr>
          <w:rFonts w:hint="eastAsia" w:ascii="宋体" w:hAnsi="宋体"/>
          <w:color w:val="auto"/>
          <w:spacing w:val="20"/>
          <w:sz w:val="18"/>
          <w:szCs w:val="18"/>
          <w:highlight w:val="none"/>
        </w:rPr>
        <w:t xml:space="preserve">              投标单位盖章：</w:t>
      </w:r>
    </w:p>
    <w:p>
      <w:pPr>
        <w:rPr>
          <w:rFonts w:hint="eastAsia" w:ascii="宋体" w:hAnsi="宋体" w:cs="宋体"/>
          <w:b/>
          <w:bCs/>
          <w:color w:val="auto"/>
          <w:sz w:val="28"/>
          <w:szCs w:val="28"/>
          <w:highlight w:val="none"/>
          <w:lang w:eastAsia="zh-CN"/>
        </w:rPr>
      </w:pPr>
      <w:r>
        <w:rPr>
          <w:rFonts w:hint="eastAsia" w:ascii="宋体" w:hAnsi="宋体"/>
          <w:color w:val="auto"/>
          <w:sz w:val="18"/>
          <w:szCs w:val="18"/>
          <w:highlight w:val="none"/>
        </w:rPr>
        <w:t xml:space="preserve">                                     </w:t>
      </w: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 xml:space="preserve">    日        期：</w:t>
      </w:r>
    </w:p>
    <w:p>
      <w:pPr>
        <w:pStyle w:val="2"/>
        <w:rPr>
          <w:rFonts w:hint="eastAsia"/>
          <w:highlight w:val="none"/>
          <w:lang w:eastAsia="zh-CN"/>
        </w:rPr>
      </w:pPr>
    </w:p>
    <w:p>
      <w:pPr>
        <w:keepNext w:val="0"/>
        <w:keepLines w:val="0"/>
        <w:widowControl/>
        <w:suppressLineNumbers w:val="0"/>
        <w:jc w:val="center"/>
        <w:textAlignment w:val="top"/>
        <w:rPr>
          <w:rFonts w:hint="eastAsia" w:ascii="宋体" w:hAnsi="宋体" w:eastAsia="宋体" w:cs="宋体"/>
          <w:b/>
          <w:bCs/>
          <w:i w:val="0"/>
          <w:iCs w:val="0"/>
          <w:color w:val="000000"/>
          <w:kern w:val="0"/>
          <w:sz w:val="32"/>
          <w:szCs w:val="32"/>
          <w:highlight w:val="none"/>
          <w:u w:val="none"/>
          <w:lang w:val="en-US" w:eastAsia="zh-CN" w:bidi="ar"/>
        </w:rPr>
      </w:pPr>
      <w:r>
        <w:rPr>
          <w:rFonts w:hint="eastAsia" w:ascii="宋体" w:hAnsi="宋体" w:eastAsia="宋体" w:cs="宋体"/>
          <w:b/>
          <w:bCs/>
          <w:i w:val="0"/>
          <w:iCs w:val="0"/>
          <w:color w:val="000000"/>
          <w:kern w:val="0"/>
          <w:sz w:val="32"/>
          <w:szCs w:val="32"/>
          <w:highlight w:val="none"/>
          <w:u w:val="none"/>
          <w:lang w:val="en-US" w:eastAsia="zh-CN" w:bidi="ar"/>
        </w:rPr>
        <w:br w:type="page"/>
      </w:r>
    </w:p>
    <w:tbl>
      <w:tblPr>
        <w:tblStyle w:val="49"/>
        <w:tblW w:w="98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40"/>
        <w:gridCol w:w="3725"/>
        <w:gridCol w:w="724"/>
        <w:gridCol w:w="988"/>
        <w:gridCol w:w="734"/>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846"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二标段养护工程量清单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294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37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72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9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7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7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294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大德路北延伸段小公园、景尚雅苑东小公园、东升西路（秀洲大道—新塍塘）绿化养护</w:t>
            </w:r>
          </w:p>
        </w:tc>
        <w:tc>
          <w:tcPr>
            <w:tcW w:w="3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7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98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107418</w:t>
            </w:r>
          </w:p>
        </w:tc>
        <w:tc>
          <w:tcPr>
            <w:tcW w:w="73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294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东升西路（秀洲大道—新塍塘）绿化养护</w:t>
            </w:r>
          </w:p>
        </w:tc>
        <w:tc>
          <w:tcPr>
            <w:tcW w:w="37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2、养护期：一年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7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c>
          <w:tcPr>
            <w:tcW w:w="98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74076</w:t>
            </w:r>
          </w:p>
        </w:tc>
        <w:tc>
          <w:tcPr>
            <w:tcW w:w="73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绿地养护</w:t>
            </w:r>
          </w:p>
        </w:tc>
        <w:tc>
          <w:tcPr>
            <w:tcW w:w="37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1、种类：绿地养护，含乔灌木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9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230637.74</w:t>
            </w:r>
          </w:p>
        </w:tc>
        <w:tc>
          <w:tcPr>
            <w:tcW w:w="73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行道树</w:t>
            </w:r>
          </w:p>
        </w:tc>
        <w:tc>
          <w:tcPr>
            <w:tcW w:w="37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1、种类：行道树Φ20-25cm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p>
        </w:tc>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棵</w:t>
            </w:r>
          </w:p>
        </w:tc>
        <w:tc>
          <w:tcPr>
            <w:tcW w:w="9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4532</w:t>
            </w:r>
          </w:p>
        </w:tc>
        <w:tc>
          <w:tcPr>
            <w:tcW w:w="73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区域草花</w:t>
            </w:r>
          </w:p>
        </w:tc>
        <w:tc>
          <w:tcPr>
            <w:tcW w:w="37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9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2587.5</w:t>
            </w:r>
          </w:p>
        </w:tc>
        <w:tc>
          <w:tcPr>
            <w:tcW w:w="73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月季养护</w:t>
            </w:r>
          </w:p>
        </w:tc>
        <w:tc>
          <w:tcPr>
            <w:tcW w:w="37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1、种类：月季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株</w:t>
            </w:r>
          </w:p>
        </w:tc>
        <w:tc>
          <w:tcPr>
            <w:tcW w:w="9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12222</w:t>
            </w:r>
          </w:p>
        </w:tc>
        <w:tc>
          <w:tcPr>
            <w:tcW w:w="73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73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11" w:type="dxa"/>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0" w:hRule="atLeast"/>
          <w:jc w:val="center"/>
        </w:trPr>
        <w:tc>
          <w:tcPr>
            <w:tcW w:w="9846"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cs="Calibri"/>
                <w:b/>
                <w:bCs/>
                <w:i w:val="0"/>
                <w:iCs w:val="0"/>
                <w:color w:val="000000"/>
                <w:kern w:val="0"/>
                <w:sz w:val="18"/>
                <w:szCs w:val="18"/>
                <w:highlight w:val="none"/>
                <w:u w:val="none"/>
                <w:lang w:val="en-US" w:eastAsia="zh-CN" w:bidi="ar"/>
              </w:rPr>
              <w:t>上述范围涉及的</w:t>
            </w:r>
            <w:r>
              <w:rPr>
                <w:rFonts w:hint="eastAsia" w:ascii="宋体" w:hAnsi="宋体" w:cs="宋体"/>
                <w:b/>
                <w:bCs/>
                <w:i w:val="0"/>
                <w:iCs w:val="0"/>
                <w:color w:val="000000"/>
                <w:kern w:val="0"/>
                <w:sz w:val="18"/>
                <w:szCs w:val="18"/>
                <w:highlight w:val="none"/>
                <w:u w:val="none"/>
                <w:lang w:val="en-US" w:eastAsia="zh-CN" w:bidi="ar"/>
              </w:rPr>
              <w:t>所有绿化、草花养护均</w:t>
            </w:r>
            <w:r>
              <w:rPr>
                <w:rFonts w:hint="eastAsia" w:ascii="宋体" w:hAnsi="宋体" w:eastAsia="宋体" w:cs="宋体"/>
                <w:b/>
                <w:bCs/>
                <w:i w:val="0"/>
                <w:iCs w:val="0"/>
                <w:color w:val="000000"/>
                <w:kern w:val="0"/>
                <w:sz w:val="18"/>
                <w:szCs w:val="18"/>
                <w:highlight w:val="none"/>
                <w:u w:val="none"/>
                <w:lang w:val="en-US" w:eastAsia="zh-CN" w:bidi="ar"/>
              </w:rPr>
              <w:t>包含日常保洁工作，标段内</w:t>
            </w:r>
            <w:r>
              <w:rPr>
                <w:rFonts w:hint="eastAsia" w:ascii="宋体" w:hAnsi="宋体" w:cs="宋体"/>
                <w:b/>
                <w:bCs/>
                <w:i w:val="0"/>
                <w:iCs w:val="0"/>
                <w:color w:val="000000"/>
                <w:kern w:val="0"/>
                <w:sz w:val="18"/>
                <w:szCs w:val="18"/>
                <w:highlight w:val="none"/>
                <w:u w:val="none"/>
                <w:lang w:val="en-US" w:eastAsia="zh-CN" w:bidi="ar"/>
              </w:rPr>
              <w:t>所有</w:t>
            </w:r>
            <w:r>
              <w:rPr>
                <w:rFonts w:hint="eastAsia" w:ascii="宋体" w:hAnsi="宋体" w:eastAsia="宋体" w:cs="宋体"/>
                <w:b/>
                <w:bCs/>
                <w:i w:val="0"/>
                <w:iCs w:val="0"/>
                <w:color w:val="000000"/>
                <w:kern w:val="0"/>
                <w:sz w:val="18"/>
                <w:szCs w:val="18"/>
                <w:highlight w:val="none"/>
                <w:u w:val="none"/>
                <w:lang w:val="en-US" w:eastAsia="zh-CN" w:bidi="ar"/>
              </w:rPr>
              <w:t>公园</w:t>
            </w:r>
            <w:r>
              <w:rPr>
                <w:rFonts w:hint="eastAsia" w:ascii="宋体" w:hAnsi="宋体" w:cs="宋体"/>
                <w:b/>
                <w:bCs/>
                <w:i w:val="0"/>
                <w:iCs w:val="0"/>
                <w:color w:val="000000"/>
                <w:kern w:val="0"/>
                <w:sz w:val="18"/>
                <w:szCs w:val="18"/>
                <w:highlight w:val="none"/>
                <w:u w:val="none"/>
                <w:lang w:val="en-US" w:eastAsia="zh-CN" w:bidi="ar"/>
              </w:rPr>
              <w:t>涉及的</w:t>
            </w:r>
            <w:r>
              <w:rPr>
                <w:rFonts w:hint="eastAsia" w:ascii="宋体" w:hAnsi="宋体" w:eastAsia="宋体" w:cs="宋体"/>
                <w:b/>
                <w:bCs/>
                <w:i w:val="0"/>
                <w:iCs w:val="0"/>
                <w:color w:val="000000"/>
                <w:kern w:val="0"/>
                <w:sz w:val="18"/>
                <w:szCs w:val="18"/>
                <w:highlight w:val="none"/>
                <w:u w:val="none"/>
                <w:lang w:val="en-US" w:eastAsia="zh-CN" w:bidi="ar"/>
              </w:rPr>
              <w:t>铺装与设施包含日常维修养护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spacing w:line="360" w:lineRule="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注：报价时按全费用综合单价考虑（含保险（人员保险、财产保险等）税金、规费、管理费、安全文明费、利润等一切为完成本项目涉及的费用），具体数量按实际发生量结算。</w:t>
      </w:r>
    </w:p>
    <w:p>
      <w:pPr>
        <w:pStyle w:val="30"/>
        <w:tabs>
          <w:tab w:val="left" w:pos="1200"/>
        </w:tabs>
        <w:spacing w:before="120" w:after="120" w:line="360" w:lineRule="auto"/>
        <w:ind w:firstLine="540" w:firstLineChars="300"/>
        <w:rPr>
          <w:rFonts w:hAnsi="宋体"/>
          <w:color w:val="auto"/>
          <w:sz w:val="18"/>
          <w:szCs w:val="18"/>
          <w:highlight w:val="none"/>
        </w:rPr>
      </w:pPr>
      <w:r>
        <w:rPr>
          <w:rFonts w:hint="eastAsia" w:hAnsi="宋体" w:cs="宋体"/>
          <w:color w:val="auto"/>
          <w:sz w:val="18"/>
          <w:szCs w:val="18"/>
          <w:highlight w:val="none"/>
          <w:lang w:val="en-US" w:eastAsia="zh-CN"/>
        </w:rPr>
        <w:t>结算时单价按投标时全费用单位计，不因任何因素变更。</w:t>
      </w:r>
    </w:p>
    <w:p>
      <w:pPr>
        <w:spacing w:line="360" w:lineRule="auto"/>
        <w:ind w:firstLine="3740" w:firstLineChars="1700"/>
        <w:rPr>
          <w:rFonts w:ascii="宋体" w:hAnsi="宋体"/>
          <w:color w:val="auto"/>
          <w:spacing w:val="20"/>
          <w:sz w:val="18"/>
          <w:szCs w:val="18"/>
          <w:highlight w:val="none"/>
          <w:u w:val="single"/>
        </w:rPr>
      </w:pPr>
      <w:r>
        <w:rPr>
          <w:rFonts w:ascii="宋体" w:hAnsi="宋体"/>
          <w:color w:val="auto"/>
          <w:spacing w:val="20"/>
          <w:sz w:val="18"/>
          <w:szCs w:val="18"/>
          <w:highlight w:val="none"/>
        </w:rPr>
        <w:t>法定代表人或委托代理人</w:t>
      </w:r>
      <w:r>
        <w:rPr>
          <w:rFonts w:hint="eastAsia" w:ascii="宋体" w:hAnsi="宋体"/>
          <w:color w:val="auto"/>
          <w:spacing w:val="20"/>
          <w:sz w:val="18"/>
          <w:szCs w:val="18"/>
          <w:highlight w:val="none"/>
        </w:rPr>
        <w:t>签名：</w:t>
      </w:r>
    </w:p>
    <w:p>
      <w:pPr>
        <w:spacing w:line="360" w:lineRule="auto"/>
        <w:ind w:firstLine="440" w:firstLineChars="200"/>
        <w:rPr>
          <w:rFonts w:ascii="宋体" w:hAnsi="宋体"/>
          <w:color w:val="auto"/>
          <w:spacing w:val="20"/>
          <w:sz w:val="18"/>
          <w:szCs w:val="18"/>
          <w:highlight w:val="none"/>
          <w:u w:val="single"/>
        </w:rPr>
      </w:pPr>
      <w:r>
        <w:rPr>
          <w:rFonts w:hint="eastAsia" w:ascii="宋体" w:hAnsi="宋体"/>
          <w:color w:val="auto"/>
          <w:spacing w:val="20"/>
          <w:sz w:val="18"/>
          <w:szCs w:val="18"/>
          <w:highlight w:val="none"/>
        </w:rPr>
        <w:t xml:space="preserve">                      </w:t>
      </w:r>
      <w:r>
        <w:rPr>
          <w:rFonts w:hint="eastAsia" w:ascii="宋体" w:hAnsi="宋体"/>
          <w:color w:val="auto"/>
          <w:spacing w:val="20"/>
          <w:sz w:val="18"/>
          <w:szCs w:val="18"/>
          <w:highlight w:val="none"/>
          <w:lang w:val="en-US" w:eastAsia="zh-CN"/>
        </w:rPr>
        <w:t xml:space="preserve">  </w:t>
      </w:r>
      <w:r>
        <w:rPr>
          <w:rFonts w:hint="eastAsia" w:ascii="宋体" w:hAnsi="宋体"/>
          <w:color w:val="auto"/>
          <w:spacing w:val="20"/>
          <w:sz w:val="18"/>
          <w:szCs w:val="18"/>
          <w:highlight w:val="none"/>
        </w:rPr>
        <w:t xml:space="preserve">              投标单位盖章：</w:t>
      </w:r>
    </w:p>
    <w:p>
      <w:pPr>
        <w:rPr>
          <w:rFonts w:hint="eastAsia" w:ascii="宋体" w:hAnsi="宋体" w:cs="宋体"/>
          <w:b/>
          <w:bCs/>
          <w:color w:val="auto"/>
          <w:sz w:val="28"/>
          <w:szCs w:val="28"/>
          <w:highlight w:val="none"/>
          <w:lang w:eastAsia="zh-CN"/>
        </w:rPr>
      </w:pPr>
      <w:r>
        <w:rPr>
          <w:rFonts w:hint="eastAsia" w:ascii="宋体" w:hAnsi="宋体"/>
          <w:color w:val="auto"/>
          <w:sz w:val="18"/>
          <w:szCs w:val="18"/>
          <w:highlight w:val="none"/>
        </w:rPr>
        <w:t xml:space="preserve">                                     </w:t>
      </w: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 xml:space="preserve">    日        期：</w:t>
      </w:r>
    </w:p>
    <w:p>
      <w:pPr>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br w:type="page"/>
      </w:r>
    </w:p>
    <w:p>
      <w:pPr>
        <w:rPr>
          <w:rFonts w:hint="eastAsia" w:ascii="宋体" w:hAnsi="宋体" w:cs="宋体"/>
          <w:b/>
          <w:bCs/>
          <w:color w:val="auto"/>
          <w:sz w:val="28"/>
          <w:szCs w:val="28"/>
          <w:highlight w:val="none"/>
          <w:lang w:eastAsia="zh-CN"/>
        </w:rPr>
      </w:pPr>
    </w:p>
    <w:tbl>
      <w:tblPr>
        <w:tblStyle w:val="49"/>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93"/>
        <w:gridCol w:w="1485"/>
        <w:gridCol w:w="702"/>
        <w:gridCol w:w="1198"/>
        <w:gridCol w:w="1130"/>
        <w:gridCol w:w="1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745"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三标段养护工程量清单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76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116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11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秀洲生态公园绿化养护</w:t>
            </w:r>
          </w:p>
        </w:tc>
        <w:tc>
          <w:tcPr>
            <w:tcW w:w="151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179298</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春晓公园绿化养护</w:t>
            </w:r>
          </w:p>
        </w:tc>
        <w:tc>
          <w:tcPr>
            <w:tcW w:w="15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1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92529</w:t>
            </w:r>
          </w:p>
        </w:tc>
        <w:tc>
          <w:tcPr>
            <w:tcW w:w="0" w:type="auto"/>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秀清公园（北区块）绿化养护</w:t>
            </w:r>
          </w:p>
        </w:tc>
        <w:tc>
          <w:tcPr>
            <w:tcW w:w="15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1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25300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jc w:val="center"/>
        </w:trPr>
        <w:tc>
          <w:tcPr>
            <w:tcW w:w="8745"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ascii="宋体" w:hAnsi="宋体" w:eastAsia="宋体" w:cs="宋体"/>
                <w:b/>
                <w:bCs/>
                <w:i w:val="0"/>
                <w:iCs w:val="0"/>
                <w:color w:val="000000"/>
                <w:kern w:val="0"/>
                <w:sz w:val="18"/>
                <w:szCs w:val="18"/>
                <w:highlight w:val="none"/>
                <w:u w:val="none"/>
                <w:lang w:val="en-US" w:eastAsia="zh-CN" w:bidi="ar"/>
              </w:rPr>
              <w:t>标段内除春晓公园绿化养护不纳入日常保洁外秀洲生态公园绿化养护</w:t>
            </w:r>
            <w:r>
              <w:rPr>
                <w:rFonts w:hint="eastAsia" w:ascii="宋体" w:hAnsi="宋体" w:cs="宋体"/>
                <w:b/>
                <w:bCs/>
                <w:i w:val="0"/>
                <w:iCs w:val="0"/>
                <w:color w:val="000000"/>
                <w:kern w:val="0"/>
                <w:sz w:val="18"/>
                <w:szCs w:val="18"/>
                <w:highlight w:val="none"/>
                <w:u w:val="none"/>
                <w:lang w:val="en-US" w:eastAsia="zh-CN" w:bidi="ar"/>
              </w:rPr>
              <w:t>及秀清公园（北区块）绿化养护均</w:t>
            </w:r>
            <w:r>
              <w:rPr>
                <w:rFonts w:hint="eastAsia" w:ascii="宋体" w:hAnsi="宋体" w:eastAsia="宋体" w:cs="宋体"/>
                <w:b/>
                <w:bCs/>
                <w:i w:val="0"/>
                <w:iCs w:val="0"/>
                <w:color w:val="000000"/>
                <w:kern w:val="0"/>
                <w:sz w:val="18"/>
                <w:szCs w:val="18"/>
                <w:highlight w:val="none"/>
                <w:u w:val="none"/>
                <w:lang w:val="en-US" w:eastAsia="zh-CN" w:bidi="ar"/>
              </w:rPr>
              <w:t>包含日常保洁工作，标段内</w:t>
            </w:r>
            <w:r>
              <w:rPr>
                <w:rFonts w:hint="eastAsia" w:ascii="宋体" w:hAnsi="宋体" w:cs="宋体"/>
                <w:b/>
                <w:bCs/>
                <w:i w:val="0"/>
                <w:iCs w:val="0"/>
                <w:color w:val="000000"/>
                <w:kern w:val="0"/>
                <w:sz w:val="18"/>
                <w:szCs w:val="18"/>
                <w:highlight w:val="none"/>
                <w:u w:val="none"/>
                <w:lang w:val="en-US" w:eastAsia="zh-CN" w:bidi="ar"/>
              </w:rPr>
              <w:t>所有</w:t>
            </w:r>
            <w:r>
              <w:rPr>
                <w:rFonts w:hint="eastAsia" w:ascii="宋体" w:hAnsi="宋体" w:eastAsia="宋体" w:cs="宋体"/>
                <w:b/>
                <w:bCs/>
                <w:i w:val="0"/>
                <w:iCs w:val="0"/>
                <w:color w:val="000000"/>
                <w:kern w:val="0"/>
                <w:sz w:val="18"/>
                <w:szCs w:val="18"/>
                <w:highlight w:val="none"/>
                <w:u w:val="none"/>
                <w:lang w:val="en-US" w:eastAsia="zh-CN" w:bidi="ar"/>
              </w:rPr>
              <w:t>公园</w:t>
            </w:r>
            <w:r>
              <w:rPr>
                <w:rFonts w:hint="eastAsia" w:ascii="宋体" w:hAnsi="宋体" w:cs="宋体"/>
                <w:b/>
                <w:bCs/>
                <w:i w:val="0"/>
                <w:iCs w:val="0"/>
                <w:color w:val="000000"/>
                <w:kern w:val="0"/>
                <w:sz w:val="18"/>
                <w:szCs w:val="18"/>
                <w:highlight w:val="none"/>
                <w:u w:val="none"/>
                <w:lang w:val="en-US" w:eastAsia="zh-CN" w:bidi="ar"/>
              </w:rPr>
              <w:t>涉及的</w:t>
            </w:r>
            <w:r>
              <w:rPr>
                <w:rFonts w:hint="eastAsia" w:ascii="宋体" w:hAnsi="宋体" w:eastAsia="宋体" w:cs="宋体"/>
                <w:b/>
                <w:bCs/>
                <w:i w:val="0"/>
                <w:iCs w:val="0"/>
                <w:color w:val="000000"/>
                <w:kern w:val="0"/>
                <w:sz w:val="18"/>
                <w:szCs w:val="18"/>
                <w:highlight w:val="none"/>
                <w:u w:val="none"/>
                <w:lang w:val="en-US" w:eastAsia="zh-CN" w:bidi="ar"/>
              </w:rPr>
              <w:t>铺装与设施包含日常维修养护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spacing w:line="360" w:lineRule="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注：报价时按全费用综合单价考虑（含保险（人员保险、财产保险等）税金、规费、管理费、安全文明费、利润等一切为完成本项目涉及的费用），具体数量按实际发生量结算。</w:t>
      </w:r>
    </w:p>
    <w:p>
      <w:pPr>
        <w:pStyle w:val="30"/>
        <w:tabs>
          <w:tab w:val="left" w:pos="1200"/>
        </w:tabs>
        <w:spacing w:before="120" w:after="120" w:line="360" w:lineRule="auto"/>
        <w:ind w:firstLine="540" w:firstLineChars="300"/>
        <w:rPr>
          <w:rFonts w:hAnsi="宋体"/>
          <w:color w:val="auto"/>
          <w:sz w:val="18"/>
          <w:szCs w:val="18"/>
          <w:highlight w:val="none"/>
        </w:rPr>
      </w:pPr>
      <w:r>
        <w:rPr>
          <w:rFonts w:hint="eastAsia" w:hAnsi="宋体" w:cs="宋体"/>
          <w:color w:val="auto"/>
          <w:sz w:val="18"/>
          <w:szCs w:val="18"/>
          <w:highlight w:val="none"/>
          <w:lang w:val="en-US" w:eastAsia="zh-CN"/>
        </w:rPr>
        <w:t>结算时单价按投标时全费用单位计，不因任何因素变更。</w:t>
      </w:r>
    </w:p>
    <w:p>
      <w:pPr>
        <w:spacing w:line="360" w:lineRule="auto"/>
        <w:ind w:firstLine="3740" w:firstLineChars="1700"/>
        <w:rPr>
          <w:rFonts w:ascii="宋体" w:hAnsi="宋体"/>
          <w:color w:val="auto"/>
          <w:spacing w:val="20"/>
          <w:sz w:val="18"/>
          <w:szCs w:val="18"/>
          <w:highlight w:val="none"/>
          <w:u w:val="single"/>
        </w:rPr>
      </w:pPr>
      <w:r>
        <w:rPr>
          <w:rFonts w:ascii="宋体" w:hAnsi="宋体"/>
          <w:color w:val="auto"/>
          <w:spacing w:val="20"/>
          <w:sz w:val="18"/>
          <w:szCs w:val="18"/>
          <w:highlight w:val="none"/>
        </w:rPr>
        <w:t>法定代表人或委托代理人</w:t>
      </w:r>
      <w:r>
        <w:rPr>
          <w:rFonts w:hint="eastAsia" w:ascii="宋体" w:hAnsi="宋体"/>
          <w:color w:val="auto"/>
          <w:spacing w:val="20"/>
          <w:sz w:val="18"/>
          <w:szCs w:val="18"/>
          <w:highlight w:val="none"/>
        </w:rPr>
        <w:t>签名：</w:t>
      </w:r>
    </w:p>
    <w:p>
      <w:pPr>
        <w:spacing w:line="360" w:lineRule="auto"/>
        <w:ind w:firstLine="440" w:firstLineChars="200"/>
        <w:rPr>
          <w:rFonts w:ascii="宋体" w:hAnsi="宋体"/>
          <w:color w:val="auto"/>
          <w:spacing w:val="20"/>
          <w:sz w:val="18"/>
          <w:szCs w:val="18"/>
          <w:highlight w:val="none"/>
          <w:u w:val="single"/>
        </w:rPr>
      </w:pPr>
      <w:r>
        <w:rPr>
          <w:rFonts w:hint="eastAsia" w:ascii="宋体" w:hAnsi="宋体"/>
          <w:color w:val="auto"/>
          <w:spacing w:val="20"/>
          <w:sz w:val="18"/>
          <w:szCs w:val="18"/>
          <w:highlight w:val="none"/>
        </w:rPr>
        <w:t xml:space="preserve">                      </w:t>
      </w:r>
      <w:r>
        <w:rPr>
          <w:rFonts w:hint="eastAsia" w:ascii="宋体" w:hAnsi="宋体"/>
          <w:color w:val="auto"/>
          <w:spacing w:val="20"/>
          <w:sz w:val="18"/>
          <w:szCs w:val="18"/>
          <w:highlight w:val="none"/>
          <w:lang w:val="en-US" w:eastAsia="zh-CN"/>
        </w:rPr>
        <w:t xml:space="preserve">  </w:t>
      </w:r>
      <w:r>
        <w:rPr>
          <w:rFonts w:hint="eastAsia" w:ascii="宋体" w:hAnsi="宋体"/>
          <w:color w:val="auto"/>
          <w:spacing w:val="20"/>
          <w:sz w:val="18"/>
          <w:szCs w:val="18"/>
          <w:highlight w:val="none"/>
        </w:rPr>
        <w:t xml:space="preserve">              投标单位盖章：</w:t>
      </w:r>
    </w:p>
    <w:p>
      <w:pPr>
        <w:rPr>
          <w:rFonts w:hint="eastAsia" w:ascii="宋体" w:hAnsi="宋体" w:cs="宋体"/>
          <w:b/>
          <w:bCs/>
          <w:color w:val="auto"/>
          <w:sz w:val="28"/>
          <w:szCs w:val="28"/>
          <w:highlight w:val="none"/>
          <w:lang w:eastAsia="zh-CN"/>
        </w:rPr>
      </w:pPr>
      <w:r>
        <w:rPr>
          <w:rFonts w:hint="eastAsia" w:ascii="宋体" w:hAnsi="宋体"/>
          <w:color w:val="auto"/>
          <w:sz w:val="18"/>
          <w:szCs w:val="18"/>
          <w:highlight w:val="none"/>
        </w:rPr>
        <w:t xml:space="preserve">                                     </w:t>
      </w: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 xml:space="preserve">    日        期：</w:t>
      </w:r>
    </w:p>
    <w:p>
      <w:pPr>
        <w:keepNext w:val="0"/>
        <w:keepLines w:val="0"/>
        <w:widowControl/>
        <w:suppressLineNumbers w:val="0"/>
        <w:jc w:val="center"/>
        <w:textAlignment w:val="top"/>
        <w:rPr>
          <w:rFonts w:hint="eastAsia" w:ascii="宋体" w:hAnsi="宋体" w:eastAsia="宋体" w:cs="宋体"/>
          <w:b/>
          <w:bCs/>
          <w:i w:val="0"/>
          <w:iCs w:val="0"/>
          <w:color w:val="000000"/>
          <w:kern w:val="0"/>
          <w:sz w:val="32"/>
          <w:szCs w:val="32"/>
          <w:highlight w:val="none"/>
          <w:u w:val="none"/>
          <w:lang w:val="en-US" w:eastAsia="zh-CN" w:bidi="ar"/>
        </w:rPr>
      </w:pPr>
      <w:r>
        <w:rPr>
          <w:rFonts w:hint="eastAsia" w:ascii="宋体" w:hAnsi="宋体" w:eastAsia="宋体" w:cs="宋体"/>
          <w:b/>
          <w:bCs/>
          <w:i w:val="0"/>
          <w:iCs w:val="0"/>
          <w:color w:val="000000"/>
          <w:kern w:val="0"/>
          <w:sz w:val="32"/>
          <w:szCs w:val="32"/>
          <w:highlight w:val="none"/>
          <w:u w:val="none"/>
          <w:lang w:val="en-US" w:eastAsia="zh-CN" w:bidi="ar"/>
        </w:rPr>
        <w:br w:type="page"/>
      </w:r>
    </w:p>
    <w:tbl>
      <w:tblPr>
        <w:tblStyle w:val="49"/>
        <w:tblW w:w="97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55"/>
        <w:gridCol w:w="2655"/>
        <w:gridCol w:w="1080"/>
        <w:gridCol w:w="1080"/>
        <w:gridCol w:w="108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765"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四标段养护工程量清单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12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绿化养护</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65411.59</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行道树</w:t>
            </w:r>
          </w:p>
        </w:tc>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1、种类：行道树Φ20-25cm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棵</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5" w:hRule="atLeast"/>
          <w:jc w:val="center"/>
        </w:trPr>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区政府广场、嘉业阳光城区域草花</w:t>
            </w:r>
          </w:p>
        </w:tc>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1.种类：精品草花；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3.清明节前后-4月中旬：百日草（红色），H20cm，P15cm，64株/㎡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4.4月中旬-7月中旬：超级风仙“桑蓓斯”（猩红色、橙色），H25cm，P20cm，49株/㎡；                              5.7月中旬-9月下旬：百日草（红色），H20cm，P15cm，64株/㎡；                                             6.9月-11月：大花海棠“比哥”（绿叶红色花、铜叶猩红花），H30-40cm，P30-40cm，36株/㎡；                                                      7.12月下旬-清明节前后：角堇”珍品”（绯红），H15cm，P15cm，64株/㎡</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1811.2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秀洲公园、江南摩尔区域草花</w:t>
            </w:r>
          </w:p>
        </w:tc>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223.56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655"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江南摩尔广场</w:t>
            </w:r>
            <w:r>
              <w:rPr>
                <w:rFonts w:hint="eastAsia" w:ascii="宋体" w:hAnsi="宋体" w:eastAsia="宋体" w:cs="宋体"/>
                <w:i w:val="0"/>
                <w:iCs w:val="0"/>
                <w:color w:val="000000"/>
                <w:kern w:val="0"/>
                <w:sz w:val="18"/>
                <w:szCs w:val="18"/>
                <w:highlight w:val="none"/>
                <w:u w:val="none"/>
                <w:lang w:val="en-US" w:eastAsia="zh-CN" w:bidi="ar"/>
              </w:rPr>
              <w:t>花箱草花</w:t>
            </w:r>
          </w:p>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（规格1）</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1、种类：时令草花</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2、保证花箱满栽，一年种五季</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3、养护期：一年</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4、含花箱整理、维修、更换</w:t>
            </w:r>
          </w:p>
          <w:p>
            <w:pPr>
              <w:pStyle w:val="58"/>
              <w:rPr>
                <w:rFonts w:hint="default" w:eastAsia="宋体"/>
                <w:highlight w:val="none"/>
                <w:lang w:val="en-US" w:eastAsia="zh-CN"/>
              </w:rPr>
            </w:pPr>
            <w:r>
              <w:rPr>
                <w:rFonts w:hint="eastAsia" w:ascii="宋体" w:hAnsi="宋体" w:cs="宋体"/>
                <w:i w:val="0"/>
                <w:iCs w:val="0"/>
                <w:color w:val="000000"/>
                <w:sz w:val="18"/>
                <w:szCs w:val="18"/>
                <w:highlight w:val="none"/>
                <w:u w:val="none"/>
                <w:lang w:val="en-US" w:eastAsia="zh-CN"/>
              </w:rPr>
              <w:t>5、花箱规格：30cm*80cm</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只</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360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655"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江南摩尔广场</w:t>
            </w:r>
            <w:r>
              <w:rPr>
                <w:rFonts w:hint="eastAsia" w:ascii="宋体" w:hAnsi="宋体" w:eastAsia="宋体" w:cs="宋体"/>
                <w:i w:val="0"/>
                <w:iCs w:val="0"/>
                <w:color w:val="000000"/>
                <w:kern w:val="0"/>
                <w:sz w:val="18"/>
                <w:szCs w:val="18"/>
                <w:highlight w:val="none"/>
                <w:u w:val="none"/>
                <w:lang w:val="en-US" w:eastAsia="zh-CN" w:bidi="ar"/>
              </w:rPr>
              <w:t>花箱草花</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（规格2）</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1、种类：时令草花</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2、保证花箱满栽，一年种五季</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3、养护期：一年</w:t>
            </w:r>
          </w:p>
          <w:p>
            <w:pPr>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4、含花箱整理、维修、更换</w:t>
            </w:r>
          </w:p>
          <w:p>
            <w:pPr>
              <w:pStyle w:val="58"/>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5、花箱规格30cm*100cm</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只</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180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655"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水生植物养护</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1、种类：水生植物</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w:t>
            </w:r>
            <w:r>
              <w:rPr>
                <w:rFonts w:hint="eastAsia" w:ascii="宋体" w:hAnsi="宋体" w:cs="宋体"/>
                <w:i w:val="0"/>
                <w:iCs w:val="0"/>
                <w:color w:val="000000"/>
                <w:kern w:val="0"/>
                <w:sz w:val="18"/>
                <w:szCs w:val="18"/>
                <w:highlight w:val="none"/>
                <w:u w:val="none"/>
                <w:lang w:val="en-US" w:eastAsia="zh-CN" w:bidi="ar"/>
              </w:rPr>
              <w:t>定期水体清理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21046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655"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垂直绿化养护</w:t>
            </w:r>
          </w:p>
        </w:tc>
        <w:tc>
          <w:tcPr>
            <w:tcW w:w="2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1、种类：垂直绿化</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3" w:hRule="atLeast"/>
          <w:jc w:val="center"/>
        </w:trPr>
        <w:tc>
          <w:tcPr>
            <w:tcW w:w="9765"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ascii="宋体" w:hAnsi="宋体" w:eastAsia="宋体" w:cs="宋体"/>
                <w:b/>
                <w:bCs/>
                <w:i w:val="0"/>
                <w:iCs w:val="0"/>
                <w:color w:val="000000"/>
                <w:kern w:val="0"/>
                <w:sz w:val="18"/>
                <w:szCs w:val="18"/>
                <w:highlight w:val="none"/>
                <w:u w:val="none"/>
                <w:lang w:val="en-US" w:eastAsia="zh-CN" w:bidi="ar"/>
              </w:rPr>
              <w:t>标段</w:t>
            </w:r>
            <w:r>
              <w:rPr>
                <w:rFonts w:hint="eastAsia" w:ascii="宋体" w:hAnsi="宋体" w:cs="宋体"/>
                <w:b/>
                <w:bCs/>
                <w:i w:val="0"/>
                <w:iCs w:val="0"/>
                <w:color w:val="000000"/>
                <w:kern w:val="0"/>
                <w:sz w:val="18"/>
                <w:szCs w:val="18"/>
                <w:highlight w:val="none"/>
                <w:u w:val="none"/>
                <w:lang w:val="en-US" w:eastAsia="zh-CN" w:bidi="ar"/>
              </w:rPr>
              <w:t>内所有内容均</w:t>
            </w:r>
            <w:r>
              <w:rPr>
                <w:rFonts w:hint="eastAsia" w:ascii="宋体" w:hAnsi="宋体" w:eastAsia="宋体" w:cs="宋体"/>
                <w:b/>
                <w:bCs/>
                <w:i w:val="0"/>
                <w:iCs w:val="0"/>
                <w:color w:val="000000"/>
                <w:kern w:val="0"/>
                <w:sz w:val="18"/>
                <w:szCs w:val="18"/>
                <w:highlight w:val="none"/>
                <w:u w:val="none"/>
                <w:lang w:val="en-US" w:eastAsia="zh-CN" w:bidi="ar"/>
              </w:rPr>
              <w:t>不包含日常保洁工作，标段内</w:t>
            </w:r>
            <w:r>
              <w:rPr>
                <w:rFonts w:hint="eastAsia" w:ascii="宋体" w:hAnsi="宋体" w:cs="宋体"/>
                <w:b/>
                <w:bCs/>
                <w:i w:val="0"/>
                <w:iCs w:val="0"/>
                <w:color w:val="000000"/>
                <w:kern w:val="0"/>
                <w:sz w:val="18"/>
                <w:szCs w:val="18"/>
                <w:highlight w:val="none"/>
                <w:u w:val="none"/>
                <w:lang w:val="en-US" w:eastAsia="zh-CN" w:bidi="ar"/>
              </w:rPr>
              <w:t>仅</w:t>
            </w:r>
            <w:r>
              <w:rPr>
                <w:rFonts w:hint="eastAsia" w:ascii="宋体" w:hAnsi="宋体" w:eastAsia="宋体" w:cs="宋体"/>
                <w:b/>
                <w:bCs/>
                <w:i w:val="0"/>
                <w:iCs w:val="0"/>
                <w:color w:val="000000"/>
                <w:kern w:val="0"/>
                <w:sz w:val="18"/>
                <w:szCs w:val="18"/>
                <w:highlight w:val="none"/>
                <w:u w:val="none"/>
                <w:lang w:val="en-US" w:eastAsia="zh-CN" w:bidi="ar"/>
              </w:rPr>
              <w:t>秀洲公园铺装与设施纳入日常维修养护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spacing w:line="360" w:lineRule="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注：报价时按全费用综合单价考虑（含保险（人员保险、财产保险等）税金、规费、管理费、安全文明费、利润等一切为完成本项目涉及的费用），具体数量按实际发生量结算。</w:t>
      </w:r>
    </w:p>
    <w:p>
      <w:pPr>
        <w:pStyle w:val="30"/>
        <w:tabs>
          <w:tab w:val="left" w:pos="1200"/>
        </w:tabs>
        <w:spacing w:before="120" w:after="120" w:line="360" w:lineRule="auto"/>
        <w:ind w:firstLine="540" w:firstLineChars="300"/>
        <w:rPr>
          <w:rFonts w:hAnsi="宋体"/>
          <w:color w:val="auto"/>
          <w:sz w:val="18"/>
          <w:szCs w:val="18"/>
          <w:highlight w:val="none"/>
        </w:rPr>
      </w:pPr>
      <w:r>
        <w:rPr>
          <w:rFonts w:hint="eastAsia" w:hAnsi="宋体" w:cs="宋体"/>
          <w:color w:val="auto"/>
          <w:sz w:val="18"/>
          <w:szCs w:val="18"/>
          <w:highlight w:val="none"/>
          <w:lang w:val="en-US" w:eastAsia="zh-CN"/>
        </w:rPr>
        <w:t>结算时单价按投标时全费用单位计，不因任何因素变更。</w:t>
      </w:r>
    </w:p>
    <w:p>
      <w:pPr>
        <w:spacing w:line="360" w:lineRule="auto"/>
        <w:ind w:firstLine="3740" w:firstLineChars="1700"/>
        <w:rPr>
          <w:rFonts w:ascii="宋体" w:hAnsi="宋体"/>
          <w:color w:val="auto"/>
          <w:spacing w:val="20"/>
          <w:sz w:val="18"/>
          <w:szCs w:val="18"/>
          <w:highlight w:val="none"/>
          <w:u w:val="single"/>
        </w:rPr>
      </w:pPr>
      <w:r>
        <w:rPr>
          <w:rFonts w:ascii="宋体" w:hAnsi="宋体"/>
          <w:color w:val="auto"/>
          <w:spacing w:val="20"/>
          <w:sz w:val="18"/>
          <w:szCs w:val="18"/>
          <w:highlight w:val="none"/>
        </w:rPr>
        <w:t>法定代表人或委托代理人</w:t>
      </w:r>
      <w:r>
        <w:rPr>
          <w:rFonts w:hint="eastAsia" w:ascii="宋体" w:hAnsi="宋体"/>
          <w:color w:val="auto"/>
          <w:spacing w:val="20"/>
          <w:sz w:val="18"/>
          <w:szCs w:val="18"/>
          <w:highlight w:val="none"/>
        </w:rPr>
        <w:t>签名：</w:t>
      </w:r>
    </w:p>
    <w:p>
      <w:pPr>
        <w:spacing w:line="360" w:lineRule="auto"/>
        <w:ind w:firstLine="440" w:firstLineChars="200"/>
        <w:rPr>
          <w:rFonts w:ascii="宋体" w:hAnsi="宋体"/>
          <w:color w:val="auto"/>
          <w:spacing w:val="20"/>
          <w:sz w:val="18"/>
          <w:szCs w:val="18"/>
          <w:highlight w:val="none"/>
          <w:u w:val="single"/>
        </w:rPr>
      </w:pPr>
      <w:r>
        <w:rPr>
          <w:rFonts w:hint="eastAsia" w:ascii="宋体" w:hAnsi="宋体"/>
          <w:color w:val="auto"/>
          <w:spacing w:val="20"/>
          <w:sz w:val="18"/>
          <w:szCs w:val="18"/>
          <w:highlight w:val="none"/>
        </w:rPr>
        <w:t xml:space="preserve">                      </w:t>
      </w:r>
      <w:r>
        <w:rPr>
          <w:rFonts w:hint="eastAsia" w:ascii="宋体" w:hAnsi="宋体"/>
          <w:color w:val="auto"/>
          <w:spacing w:val="20"/>
          <w:sz w:val="18"/>
          <w:szCs w:val="18"/>
          <w:highlight w:val="none"/>
          <w:lang w:val="en-US" w:eastAsia="zh-CN"/>
        </w:rPr>
        <w:t xml:space="preserve">  </w:t>
      </w:r>
      <w:r>
        <w:rPr>
          <w:rFonts w:hint="eastAsia" w:ascii="宋体" w:hAnsi="宋体"/>
          <w:color w:val="auto"/>
          <w:spacing w:val="20"/>
          <w:sz w:val="18"/>
          <w:szCs w:val="18"/>
          <w:highlight w:val="none"/>
        </w:rPr>
        <w:t xml:space="preserve">              投标单位盖章：</w:t>
      </w:r>
    </w:p>
    <w:p>
      <w:pPr>
        <w:rPr>
          <w:rFonts w:hint="eastAsia" w:ascii="宋体" w:hAnsi="宋体" w:cs="宋体"/>
          <w:b/>
          <w:bCs/>
          <w:color w:val="auto"/>
          <w:sz w:val="28"/>
          <w:szCs w:val="28"/>
          <w:highlight w:val="none"/>
          <w:lang w:eastAsia="zh-CN"/>
        </w:rPr>
      </w:pPr>
      <w:r>
        <w:rPr>
          <w:rFonts w:hint="eastAsia" w:ascii="宋体" w:hAnsi="宋体"/>
          <w:color w:val="auto"/>
          <w:sz w:val="18"/>
          <w:szCs w:val="18"/>
          <w:highlight w:val="none"/>
        </w:rPr>
        <w:t xml:space="preserve">                                     </w:t>
      </w: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 xml:space="preserve">    日        期：</w:t>
      </w:r>
    </w:p>
    <w:p>
      <w:pPr>
        <w:rPr>
          <w:rFonts w:hint="eastAsia" w:ascii="宋体" w:hAnsi="宋体" w:cs="宋体"/>
          <w:b/>
          <w:bCs/>
          <w:color w:val="auto"/>
          <w:sz w:val="28"/>
          <w:szCs w:val="28"/>
          <w:highlight w:val="none"/>
          <w:lang w:eastAsia="zh-CN"/>
        </w:rPr>
      </w:pPr>
    </w:p>
    <w:p>
      <w:pPr>
        <w:keepNext w:val="0"/>
        <w:keepLines w:val="0"/>
        <w:widowControl/>
        <w:suppressLineNumbers w:val="0"/>
        <w:jc w:val="center"/>
        <w:textAlignment w:val="top"/>
        <w:rPr>
          <w:rFonts w:hint="eastAsia" w:ascii="宋体" w:hAnsi="宋体" w:eastAsia="宋体" w:cs="宋体"/>
          <w:b/>
          <w:bCs/>
          <w:i w:val="0"/>
          <w:iCs w:val="0"/>
          <w:color w:val="000000"/>
          <w:kern w:val="0"/>
          <w:sz w:val="32"/>
          <w:szCs w:val="32"/>
          <w:highlight w:val="none"/>
          <w:u w:val="none"/>
          <w:lang w:val="en-US" w:eastAsia="zh-CN" w:bidi="ar"/>
        </w:rPr>
      </w:pPr>
      <w:r>
        <w:rPr>
          <w:rFonts w:hint="eastAsia" w:ascii="宋体" w:hAnsi="宋体" w:eastAsia="宋体" w:cs="宋体"/>
          <w:b/>
          <w:bCs/>
          <w:i w:val="0"/>
          <w:iCs w:val="0"/>
          <w:color w:val="000000"/>
          <w:kern w:val="0"/>
          <w:sz w:val="32"/>
          <w:szCs w:val="32"/>
          <w:highlight w:val="none"/>
          <w:u w:val="none"/>
          <w:lang w:val="en-US" w:eastAsia="zh-CN" w:bidi="ar"/>
        </w:rPr>
        <w:br w:type="page"/>
      </w:r>
    </w:p>
    <w:tbl>
      <w:tblPr>
        <w:tblStyle w:val="49"/>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1657"/>
        <w:gridCol w:w="742"/>
        <w:gridCol w:w="1649"/>
        <w:gridCol w:w="1300"/>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745"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五标段养护工程量清单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95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164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136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16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绿化养护</w:t>
            </w:r>
          </w:p>
        </w:tc>
        <w:tc>
          <w:tcPr>
            <w:tcW w:w="1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1、种类：绿化养护，含乔灌木</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3、含场地整理</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221266.9</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区域草花</w:t>
            </w:r>
          </w:p>
        </w:tc>
        <w:tc>
          <w:tcPr>
            <w:tcW w:w="18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1731.72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金盛花苑南侧</w:t>
            </w:r>
            <w:r>
              <w:rPr>
                <w:rFonts w:hint="eastAsia" w:ascii="宋体" w:hAnsi="宋体" w:eastAsia="宋体" w:cs="宋体"/>
                <w:i w:val="0"/>
                <w:iCs w:val="0"/>
                <w:color w:val="000000"/>
                <w:kern w:val="0"/>
                <w:sz w:val="18"/>
                <w:szCs w:val="18"/>
                <w:highlight w:val="none"/>
                <w:u w:val="none"/>
                <w:lang w:val="en-US" w:eastAsia="zh-CN" w:bidi="ar"/>
              </w:rPr>
              <w:t>籽播草花</w:t>
            </w:r>
          </w:p>
        </w:tc>
        <w:tc>
          <w:tcPr>
            <w:tcW w:w="18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2、单位面积株数：64株/㎡，一年种三季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6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17250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jc w:val="center"/>
        </w:trPr>
        <w:tc>
          <w:tcPr>
            <w:tcW w:w="8745"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w:t>
            </w:r>
            <w:r>
              <w:rPr>
                <w:rFonts w:hint="eastAsia" w:cs="Calibri"/>
                <w:b/>
                <w:bCs/>
                <w:i w:val="0"/>
                <w:iCs w:val="0"/>
                <w:color w:val="000000"/>
                <w:kern w:val="0"/>
                <w:sz w:val="18"/>
                <w:szCs w:val="18"/>
                <w:highlight w:val="none"/>
                <w:u w:val="none"/>
                <w:lang w:val="en-US" w:eastAsia="zh-CN" w:bidi="ar"/>
              </w:rPr>
              <w:t>上述范围涉及的</w:t>
            </w:r>
            <w:r>
              <w:rPr>
                <w:rFonts w:hint="eastAsia" w:ascii="宋体" w:hAnsi="宋体" w:cs="宋体"/>
                <w:b/>
                <w:bCs/>
                <w:i w:val="0"/>
                <w:iCs w:val="0"/>
                <w:color w:val="000000"/>
                <w:kern w:val="0"/>
                <w:sz w:val="18"/>
                <w:szCs w:val="18"/>
                <w:highlight w:val="none"/>
                <w:u w:val="none"/>
                <w:lang w:val="en-US" w:eastAsia="zh-CN" w:bidi="ar"/>
              </w:rPr>
              <w:t>所有绿化、草花养护均</w:t>
            </w:r>
            <w:r>
              <w:rPr>
                <w:rFonts w:hint="eastAsia" w:ascii="宋体" w:hAnsi="宋体" w:eastAsia="宋体" w:cs="宋体"/>
                <w:b/>
                <w:bCs/>
                <w:i w:val="0"/>
                <w:iCs w:val="0"/>
                <w:color w:val="000000"/>
                <w:kern w:val="0"/>
                <w:sz w:val="18"/>
                <w:szCs w:val="18"/>
                <w:highlight w:val="none"/>
                <w:u w:val="none"/>
                <w:lang w:val="en-US" w:eastAsia="zh-CN" w:bidi="ar"/>
              </w:rPr>
              <w:t>包含日常保洁工作，标段内</w:t>
            </w:r>
            <w:r>
              <w:rPr>
                <w:rFonts w:hint="eastAsia" w:ascii="宋体" w:hAnsi="宋体" w:cs="宋体"/>
                <w:b/>
                <w:bCs/>
                <w:i w:val="0"/>
                <w:iCs w:val="0"/>
                <w:color w:val="000000"/>
                <w:kern w:val="0"/>
                <w:sz w:val="18"/>
                <w:szCs w:val="18"/>
                <w:highlight w:val="none"/>
                <w:u w:val="none"/>
                <w:lang w:val="en-US" w:eastAsia="zh-CN" w:bidi="ar"/>
              </w:rPr>
              <w:t>所有</w:t>
            </w:r>
            <w:r>
              <w:rPr>
                <w:rFonts w:hint="eastAsia" w:ascii="宋体" w:hAnsi="宋体" w:eastAsia="宋体" w:cs="宋体"/>
                <w:b/>
                <w:bCs/>
                <w:i w:val="0"/>
                <w:iCs w:val="0"/>
                <w:color w:val="000000"/>
                <w:kern w:val="0"/>
                <w:sz w:val="18"/>
                <w:szCs w:val="18"/>
                <w:highlight w:val="none"/>
                <w:u w:val="none"/>
                <w:lang w:val="en-US" w:eastAsia="zh-CN" w:bidi="ar"/>
              </w:rPr>
              <w:t>公园</w:t>
            </w:r>
            <w:r>
              <w:rPr>
                <w:rFonts w:hint="eastAsia" w:ascii="宋体" w:hAnsi="宋体" w:cs="宋体"/>
                <w:b/>
                <w:bCs/>
                <w:i w:val="0"/>
                <w:iCs w:val="0"/>
                <w:color w:val="000000"/>
                <w:kern w:val="0"/>
                <w:sz w:val="18"/>
                <w:szCs w:val="18"/>
                <w:highlight w:val="none"/>
                <w:u w:val="none"/>
                <w:lang w:val="en-US" w:eastAsia="zh-CN" w:bidi="ar"/>
              </w:rPr>
              <w:t>涉及的</w:t>
            </w:r>
            <w:r>
              <w:rPr>
                <w:rFonts w:hint="eastAsia" w:ascii="宋体" w:hAnsi="宋体" w:eastAsia="宋体" w:cs="宋体"/>
                <w:b/>
                <w:bCs/>
                <w:i w:val="0"/>
                <w:iCs w:val="0"/>
                <w:color w:val="000000"/>
                <w:kern w:val="0"/>
                <w:sz w:val="18"/>
                <w:szCs w:val="18"/>
                <w:highlight w:val="none"/>
                <w:u w:val="none"/>
                <w:lang w:val="en-US" w:eastAsia="zh-CN" w:bidi="ar"/>
              </w:rPr>
              <w:t>铺装与设施包含日常维修养护</w:t>
            </w:r>
            <w:r>
              <w:rPr>
                <w:rFonts w:hint="eastAsia" w:ascii="宋体" w:hAnsi="宋体" w:cs="宋体"/>
                <w:b/>
                <w:bCs/>
                <w:i w:val="0"/>
                <w:iCs w:val="0"/>
                <w:color w:val="000000"/>
                <w:kern w:val="0"/>
                <w:sz w:val="18"/>
                <w:szCs w:val="18"/>
                <w:highlight w:val="none"/>
                <w:u w:val="none"/>
                <w:lang w:val="en-US" w:eastAsia="zh-CN" w:bidi="ar"/>
              </w:rPr>
              <w:t>及更换</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default" w:ascii="Calibri" w:hAnsi="Calibri" w:eastAsia="宋体" w:cs="Calibri"/>
                <w:b/>
                <w:bCs/>
                <w:i w:val="0"/>
                <w:iCs w:val="0"/>
                <w:color w:val="000000"/>
                <w:kern w:val="0"/>
                <w:sz w:val="18"/>
                <w:szCs w:val="18"/>
                <w:highlight w:val="none"/>
                <w:u w:val="none"/>
                <w:lang w:val="en-US" w:eastAsia="zh-CN" w:bidi="ar"/>
              </w:rPr>
              <w:t>5..</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tc>
      </w:tr>
    </w:tbl>
    <w:p>
      <w:pPr>
        <w:spacing w:line="360" w:lineRule="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注：报价时按全费用综合单价考虑（含保险（人员保险、财产保险等）税金、规费、管理费、安全文明费、利润等一切为完成本项目涉及的费用），具体数量按实际发生量结算。</w:t>
      </w:r>
    </w:p>
    <w:p>
      <w:pPr>
        <w:pStyle w:val="30"/>
        <w:tabs>
          <w:tab w:val="left" w:pos="1200"/>
        </w:tabs>
        <w:spacing w:before="120" w:after="120" w:line="360" w:lineRule="auto"/>
        <w:ind w:firstLine="540" w:firstLineChars="300"/>
        <w:rPr>
          <w:rFonts w:hAnsi="宋体"/>
          <w:color w:val="auto"/>
          <w:sz w:val="18"/>
          <w:szCs w:val="18"/>
          <w:highlight w:val="none"/>
        </w:rPr>
      </w:pPr>
      <w:r>
        <w:rPr>
          <w:rFonts w:hint="eastAsia" w:hAnsi="宋体" w:cs="宋体"/>
          <w:color w:val="auto"/>
          <w:sz w:val="18"/>
          <w:szCs w:val="18"/>
          <w:highlight w:val="none"/>
          <w:lang w:val="en-US" w:eastAsia="zh-CN"/>
        </w:rPr>
        <w:t>结算时单价按投标时全费用单位计，不因任何因素变更。</w:t>
      </w:r>
    </w:p>
    <w:p>
      <w:pPr>
        <w:spacing w:line="360" w:lineRule="auto"/>
        <w:ind w:firstLine="3740" w:firstLineChars="1700"/>
        <w:rPr>
          <w:rFonts w:ascii="宋体" w:hAnsi="宋体"/>
          <w:color w:val="auto"/>
          <w:spacing w:val="20"/>
          <w:sz w:val="18"/>
          <w:szCs w:val="18"/>
          <w:highlight w:val="none"/>
          <w:u w:val="single"/>
        </w:rPr>
      </w:pPr>
      <w:r>
        <w:rPr>
          <w:rFonts w:ascii="宋体" w:hAnsi="宋体"/>
          <w:color w:val="auto"/>
          <w:spacing w:val="20"/>
          <w:sz w:val="18"/>
          <w:szCs w:val="18"/>
          <w:highlight w:val="none"/>
        </w:rPr>
        <w:t>法定代表人或委托代理人</w:t>
      </w:r>
      <w:r>
        <w:rPr>
          <w:rFonts w:hint="eastAsia" w:ascii="宋体" w:hAnsi="宋体"/>
          <w:color w:val="auto"/>
          <w:spacing w:val="20"/>
          <w:sz w:val="18"/>
          <w:szCs w:val="18"/>
          <w:highlight w:val="none"/>
        </w:rPr>
        <w:t>签名：</w:t>
      </w:r>
    </w:p>
    <w:p>
      <w:pPr>
        <w:spacing w:line="360" w:lineRule="auto"/>
        <w:ind w:firstLine="440" w:firstLineChars="200"/>
        <w:rPr>
          <w:rFonts w:ascii="宋体" w:hAnsi="宋体"/>
          <w:color w:val="auto"/>
          <w:spacing w:val="20"/>
          <w:sz w:val="18"/>
          <w:szCs w:val="18"/>
          <w:highlight w:val="none"/>
          <w:u w:val="single"/>
        </w:rPr>
      </w:pPr>
      <w:r>
        <w:rPr>
          <w:rFonts w:hint="eastAsia" w:ascii="宋体" w:hAnsi="宋体"/>
          <w:color w:val="auto"/>
          <w:spacing w:val="20"/>
          <w:sz w:val="18"/>
          <w:szCs w:val="18"/>
          <w:highlight w:val="none"/>
        </w:rPr>
        <w:t xml:space="preserve">                      </w:t>
      </w:r>
      <w:r>
        <w:rPr>
          <w:rFonts w:hint="eastAsia" w:ascii="宋体" w:hAnsi="宋体"/>
          <w:color w:val="auto"/>
          <w:spacing w:val="20"/>
          <w:sz w:val="18"/>
          <w:szCs w:val="18"/>
          <w:highlight w:val="none"/>
          <w:lang w:val="en-US" w:eastAsia="zh-CN"/>
        </w:rPr>
        <w:t xml:space="preserve">  </w:t>
      </w:r>
      <w:r>
        <w:rPr>
          <w:rFonts w:hint="eastAsia" w:ascii="宋体" w:hAnsi="宋体"/>
          <w:color w:val="auto"/>
          <w:spacing w:val="20"/>
          <w:sz w:val="18"/>
          <w:szCs w:val="18"/>
          <w:highlight w:val="none"/>
        </w:rPr>
        <w:t xml:space="preserve">              投标单位盖章：</w:t>
      </w:r>
    </w:p>
    <w:p>
      <w:pPr>
        <w:rPr>
          <w:rFonts w:hint="eastAsia" w:ascii="宋体" w:hAnsi="宋体" w:cs="宋体"/>
          <w:b/>
          <w:bCs/>
          <w:color w:val="auto"/>
          <w:sz w:val="28"/>
          <w:szCs w:val="28"/>
          <w:highlight w:val="none"/>
          <w:lang w:eastAsia="zh-CN"/>
        </w:rPr>
      </w:pPr>
      <w:r>
        <w:rPr>
          <w:rFonts w:hint="eastAsia" w:ascii="宋体" w:hAnsi="宋体"/>
          <w:color w:val="auto"/>
          <w:sz w:val="18"/>
          <w:szCs w:val="18"/>
          <w:highlight w:val="none"/>
        </w:rPr>
        <w:t xml:space="preserve">                                     </w:t>
      </w: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 xml:space="preserve">    日        期：</w:t>
      </w:r>
    </w:p>
    <w:p>
      <w:pPr>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br w:type="page"/>
      </w:r>
    </w:p>
    <w:p>
      <w:pPr>
        <w:rPr>
          <w:rFonts w:hint="eastAsia" w:ascii="宋体" w:hAnsi="宋体" w:cs="宋体"/>
          <w:b/>
          <w:bCs/>
          <w:color w:val="auto"/>
          <w:sz w:val="28"/>
          <w:szCs w:val="28"/>
          <w:highlight w:val="none"/>
          <w:lang w:eastAsia="zh-CN"/>
        </w:rPr>
      </w:pPr>
    </w:p>
    <w:tbl>
      <w:tblPr>
        <w:tblStyle w:val="49"/>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55"/>
        <w:gridCol w:w="1740"/>
        <w:gridCol w:w="1080"/>
        <w:gridCol w:w="1080"/>
        <w:gridCol w:w="108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745" w:type="dxa"/>
            <w:gridSpan w:val="6"/>
            <w:tcBorders>
              <w:top w:val="nil"/>
              <w:left w:val="nil"/>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六标段养护工程量清单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养护内容</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全费用单价（元）</w:t>
            </w:r>
          </w:p>
        </w:tc>
        <w:tc>
          <w:tcPr>
            <w:tcW w:w="11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全费用</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2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殷秀路绿地、杭州塘与北郊河东岸绿化养护</w:t>
            </w:r>
          </w:p>
        </w:tc>
        <w:tc>
          <w:tcPr>
            <w:tcW w:w="1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种类：绿化养护，含乔灌木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2、籽播草花一年按三季进行更换及养护</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、含场地整理</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115979.7</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殷秀路及洪高路绿道绿化养护</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种类：绿化养护，含乔灌木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2、花镜、地被的草花更换及养护</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3、籽播草花一年按三季进行更换及养护</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、养护期：</w:t>
            </w:r>
            <w:r>
              <w:rPr>
                <w:rFonts w:hint="eastAsia" w:ascii="宋体" w:hAnsi="宋体" w:cs="宋体"/>
                <w:i w:val="0"/>
                <w:iCs w:val="0"/>
                <w:color w:val="000000"/>
                <w:kern w:val="0"/>
                <w:sz w:val="18"/>
                <w:szCs w:val="18"/>
                <w:highlight w:val="none"/>
                <w:u w:val="none"/>
                <w:lang w:val="en-US" w:eastAsia="zh-CN" w:bidi="ar"/>
              </w:rPr>
              <w:t>2024年1月17日至2024年12月31日</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CN" w:bidi="ar"/>
              </w:rPr>
              <w:t>、含场地整理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141076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2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区域草花</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1、种类：时令草花</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2、单位面积株数：64株/㎡，一年种五季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3、养护期：一年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4、含场地整理</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5"/>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全费用合计金额</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jc w:val="center"/>
        </w:trPr>
        <w:tc>
          <w:tcPr>
            <w:tcW w:w="8745" w:type="dxa"/>
            <w:gridSpan w:val="6"/>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注</w:t>
            </w:r>
            <w:r>
              <w:rPr>
                <w:rFonts w:ascii="Calibri" w:hAnsi="Calibri" w:eastAsia="宋体" w:cs="Calibri"/>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投标报价为</w:t>
            </w:r>
            <w:r>
              <w:rPr>
                <w:rFonts w:ascii="Calibri" w:hAnsi="Calibri" w:eastAsia="宋体" w:cs="Calibri"/>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年全费用综合总价</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含规费、税金及养护期内所有苗木绿化缺损、坏死补植</w:t>
            </w:r>
            <w:r>
              <w:rPr>
                <w:rFonts w:ascii="Calibri" w:hAnsi="Calibri" w:eastAsia="宋体" w:cs="Calibri"/>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等一切费用，报价包含了人工费、材料费、机械费、利润、税金、其他风险费等一切费用，今后一律不得调整，请投标单位综合考虑自身实力以及市场材料、人工费等一切风险。</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所有工程量按实际发生量核算。</w:t>
            </w:r>
          </w:p>
          <w:p>
            <w:pPr>
              <w:keepNext w:val="0"/>
              <w:keepLines w:val="0"/>
              <w:widowControl/>
              <w:suppressLineNumbers w:val="0"/>
              <w:jc w:val="left"/>
              <w:textAlignment w:val="top"/>
              <w:rPr>
                <w:rFonts w:hint="default" w:ascii="Calibri" w:hAnsi="Calibri" w:eastAsia="宋体" w:cs="Calibri"/>
                <w:i w:val="0"/>
                <w:iCs w:val="0"/>
                <w:color w:val="000000"/>
                <w:sz w:val="18"/>
                <w:szCs w:val="18"/>
                <w:highlight w:val="none"/>
                <w:u w:val="none"/>
              </w:rPr>
            </w:pPr>
            <w:r>
              <w:rPr>
                <w:rFonts w:ascii="Calibri" w:hAnsi="Calibri" w:eastAsia="宋体" w:cs="Calibri"/>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本工程养护提升要求详见后附招标要求。</w:t>
            </w:r>
          </w:p>
          <w:p>
            <w:pPr>
              <w:keepNext w:val="0"/>
              <w:keepLines w:val="0"/>
              <w:widowControl/>
              <w:suppressLineNumbers w:val="0"/>
              <w:jc w:val="left"/>
              <w:textAlignment w:val="top"/>
              <w:rPr>
                <w:rFonts w:hint="default" w:ascii="Calibri" w:hAnsi="Calibri" w:eastAsia="宋体" w:cs="Calibri"/>
                <w:b/>
                <w:bCs/>
                <w:i w:val="0"/>
                <w:iCs w:val="0"/>
                <w:color w:val="000000"/>
                <w:sz w:val="18"/>
                <w:szCs w:val="18"/>
                <w:highlight w:val="none"/>
                <w:u w:val="none"/>
              </w:rPr>
            </w:pPr>
            <w:r>
              <w:rPr>
                <w:rFonts w:hint="default" w:ascii="Calibri" w:hAnsi="Calibri" w:eastAsia="宋体" w:cs="Calibri"/>
                <w:b/>
                <w:bCs/>
                <w:i w:val="0"/>
                <w:iCs w:val="0"/>
                <w:color w:val="000000"/>
                <w:kern w:val="0"/>
                <w:sz w:val="18"/>
                <w:szCs w:val="18"/>
                <w:highlight w:val="none"/>
                <w:u w:val="none"/>
                <w:lang w:val="en-US" w:eastAsia="zh-CN" w:bidi="ar"/>
              </w:rPr>
              <w:t>4殷秀路绿地、杭州塘与北郊河东岸绿化养护</w:t>
            </w:r>
            <w:r>
              <w:rPr>
                <w:rFonts w:hint="eastAsia" w:ascii="宋体" w:hAnsi="宋体" w:eastAsia="宋体" w:cs="宋体"/>
                <w:b/>
                <w:bCs/>
                <w:i w:val="0"/>
                <w:iCs w:val="0"/>
                <w:color w:val="000000"/>
                <w:kern w:val="0"/>
                <w:sz w:val="18"/>
                <w:szCs w:val="18"/>
                <w:highlight w:val="none"/>
                <w:u w:val="none"/>
                <w:lang w:val="en-US" w:eastAsia="zh-CN" w:bidi="ar"/>
              </w:rPr>
              <w:t>包含日常保洁工作，标段内</w:t>
            </w:r>
            <w:r>
              <w:rPr>
                <w:rFonts w:hint="eastAsia" w:ascii="宋体" w:hAnsi="宋体" w:cs="宋体"/>
                <w:b/>
                <w:bCs/>
                <w:i w:val="0"/>
                <w:iCs w:val="0"/>
                <w:color w:val="000000"/>
                <w:kern w:val="0"/>
                <w:sz w:val="18"/>
                <w:szCs w:val="18"/>
                <w:highlight w:val="none"/>
                <w:u w:val="none"/>
                <w:lang w:val="en-US" w:eastAsia="zh-CN" w:bidi="ar"/>
              </w:rPr>
              <w:t>所有区域的</w:t>
            </w:r>
            <w:r>
              <w:rPr>
                <w:rFonts w:hint="eastAsia" w:ascii="宋体" w:hAnsi="宋体" w:eastAsia="宋体" w:cs="宋体"/>
                <w:b/>
                <w:bCs/>
                <w:i w:val="0"/>
                <w:iCs w:val="0"/>
                <w:color w:val="000000"/>
                <w:kern w:val="0"/>
                <w:sz w:val="18"/>
                <w:szCs w:val="18"/>
                <w:highlight w:val="none"/>
                <w:u w:val="none"/>
                <w:lang w:val="en-US" w:eastAsia="zh-CN" w:bidi="ar"/>
              </w:rPr>
              <w:t>铺装与设施</w:t>
            </w:r>
            <w:r>
              <w:rPr>
                <w:rFonts w:hint="eastAsia" w:ascii="宋体" w:hAnsi="宋体" w:cs="宋体"/>
                <w:b/>
                <w:bCs/>
                <w:i w:val="0"/>
                <w:iCs w:val="0"/>
                <w:color w:val="000000"/>
                <w:kern w:val="0"/>
                <w:sz w:val="18"/>
                <w:szCs w:val="18"/>
                <w:highlight w:val="none"/>
                <w:u w:val="none"/>
                <w:lang w:val="en-US" w:eastAsia="zh-CN" w:bidi="ar"/>
              </w:rPr>
              <w:t>均</w:t>
            </w:r>
            <w:r>
              <w:rPr>
                <w:rFonts w:hint="eastAsia" w:ascii="宋体" w:hAnsi="宋体" w:eastAsia="宋体" w:cs="宋体"/>
                <w:b/>
                <w:bCs/>
                <w:i w:val="0"/>
                <w:iCs w:val="0"/>
                <w:color w:val="000000"/>
                <w:kern w:val="0"/>
                <w:sz w:val="18"/>
                <w:szCs w:val="18"/>
                <w:highlight w:val="none"/>
                <w:u w:val="none"/>
                <w:lang w:val="en-US" w:eastAsia="zh-CN" w:bidi="ar"/>
              </w:rPr>
              <w:t>包含日常维修养护。</w:t>
            </w:r>
          </w:p>
          <w:p>
            <w:pPr>
              <w:keepNext w:val="0"/>
              <w:keepLines w:val="0"/>
              <w:widowControl/>
              <w:suppressLineNumbers w:val="0"/>
              <w:jc w:val="left"/>
              <w:textAlignment w:val="top"/>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5.</w:t>
            </w:r>
            <w:r>
              <w:rPr>
                <w:rFonts w:hint="default" w:ascii="Calibri" w:hAnsi="Calibri" w:eastAsia="宋体" w:cs="Calibri"/>
                <w:b/>
                <w:bCs/>
                <w:i w:val="0"/>
                <w:iCs w:val="0"/>
                <w:color w:val="000000"/>
                <w:kern w:val="0"/>
                <w:sz w:val="18"/>
                <w:szCs w:val="18"/>
                <w:highlight w:val="none"/>
                <w:u w:val="none"/>
                <w:lang w:val="en-US" w:eastAsia="zh-CN" w:bidi="ar"/>
              </w:rPr>
              <w:t>.</w:t>
            </w:r>
            <w:r>
              <w:rPr>
                <w:rFonts w:hint="eastAsia" w:ascii="宋体" w:hAnsi="宋体" w:eastAsia="宋体" w:cs="宋体"/>
                <w:b/>
                <w:bCs/>
                <w:i w:val="0"/>
                <w:iCs w:val="0"/>
                <w:color w:val="000000"/>
                <w:kern w:val="0"/>
                <w:sz w:val="18"/>
                <w:szCs w:val="18"/>
                <w:highlight w:val="none"/>
                <w:u w:val="none"/>
                <w:lang w:val="en-US" w:eastAsia="zh-CN" w:bidi="ar"/>
              </w:rPr>
              <w:t>多标段投标的仅须提供该标段的</w:t>
            </w:r>
            <w:r>
              <w:rPr>
                <w:rFonts w:hint="eastAsia" w:ascii="宋体" w:hAnsi="宋体" w:cs="宋体"/>
                <w:b/>
                <w:bCs/>
                <w:i w:val="0"/>
                <w:iCs w:val="0"/>
                <w:color w:val="000000"/>
                <w:kern w:val="0"/>
                <w:sz w:val="18"/>
                <w:szCs w:val="18"/>
                <w:highlight w:val="none"/>
                <w:u w:val="none"/>
                <w:lang w:val="en-US" w:eastAsia="zh-CN" w:bidi="ar"/>
              </w:rPr>
              <w:t>工程量清单报价表</w:t>
            </w:r>
            <w:r>
              <w:rPr>
                <w:rFonts w:hint="eastAsia" w:ascii="宋体" w:hAnsi="宋体" w:eastAsia="宋体" w:cs="宋体"/>
                <w:b/>
                <w:bCs/>
                <w:i w:val="0"/>
                <w:iCs w:val="0"/>
                <w:color w:val="000000"/>
                <w:kern w:val="0"/>
                <w:sz w:val="18"/>
                <w:szCs w:val="18"/>
                <w:highlight w:val="none"/>
                <w:u w:val="none"/>
                <w:lang w:val="en-US" w:eastAsia="zh-CN" w:bidi="ar"/>
              </w:rPr>
              <w:t>。</w:t>
            </w:r>
          </w:p>
          <w:p>
            <w:pPr>
              <w:keepNext w:val="0"/>
              <w:keepLines w:val="0"/>
              <w:widowControl/>
              <w:suppressLineNumbers w:val="0"/>
              <w:jc w:val="left"/>
              <w:textAlignment w:val="top"/>
              <w:rPr>
                <w:rFonts w:hint="eastAsia" w:ascii="宋体" w:hAnsi="宋体" w:cs="宋体"/>
                <w:b/>
                <w:bCs/>
                <w:i w:val="0"/>
                <w:iCs w:val="0"/>
                <w:color w:val="000000"/>
                <w:kern w:val="0"/>
                <w:sz w:val="18"/>
                <w:szCs w:val="18"/>
                <w:highlight w:val="none"/>
                <w:u w:val="none"/>
                <w:lang w:val="en-US" w:eastAsia="zh-CN" w:bidi="ar"/>
              </w:rPr>
            </w:pPr>
            <w:r>
              <w:rPr>
                <w:rFonts w:hint="eastAsia" w:ascii="宋体" w:hAnsi="宋体" w:cs="宋体"/>
                <w:b/>
                <w:bCs/>
                <w:i w:val="0"/>
                <w:iCs w:val="0"/>
                <w:color w:val="000000"/>
                <w:kern w:val="0"/>
                <w:sz w:val="18"/>
                <w:szCs w:val="18"/>
                <w:highlight w:val="none"/>
                <w:u w:val="none"/>
                <w:lang w:val="en-US" w:eastAsia="zh-CN" w:bidi="ar"/>
              </w:rPr>
              <w:t>6.因实施期间招标人或上级部门调整保洁养护范围内，则按最新要求执行。</w:t>
            </w:r>
          </w:p>
          <w:p>
            <w:pPr>
              <w:pStyle w:val="58"/>
              <w:rPr>
                <w:rFonts w:hint="default"/>
                <w:highlight w:val="none"/>
                <w:lang w:val="en-US" w:eastAsia="zh-CN"/>
              </w:rPr>
            </w:pPr>
            <w:r>
              <w:rPr>
                <w:rFonts w:hint="eastAsia" w:ascii="宋体" w:hAnsi="宋体" w:cs="宋体"/>
                <w:b/>
                <w:bCs/>
                <w:i w:val="0"/>
                <w:iCs w:val="0"/>
                <w:color w:val="000000"/>
                <w:kern w:val="0"/>
                <w:sz w:val="18"/>
                <w:szCs w:val="18"/>
                <w:highlight w:val="none"/>
                <w:u w:val="none"/>
                <w:lang w:val="en-US" w:eastAsia="zh-CN" w:bidi="ar"/>
              </w:rPr>
              <w:t>7.殷秀路及洪高路绿道绿化养护部分原养护截止时间为2024年1月16日，故本标段养护期于2024年1月17日开始计，综合单价已在投标时考虑。</w:t>
            </w:r>
          </w:p>
        </w:tc>
      </w:tr>
    </w:tbl>
    <w:p>
      <w:pPr>
        <w:pStyle w:val="2"/>
        <w:rPr>
          <w:rFonts w:hint="eastAsia"/>
          <w:highlight w:val="none"/>
        </w:rPr>
      </w:pPr>
    </w:p>
    <w:p>
      <w:pPr>
        <w:spacing w:line="360" w:lineRule="auto"/>
        <w:ind w:firstLine="360" w:firstLineChars="200"/>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注：报价时按全费用综合单价考虑（含保险（人员保险、财产保险等）税金、规费、管理费、安全文明费、利润等一切为完成本项目涉及的费用），具体数量按实际发生量结算。</w:t>
      </w:r>
    </w:p>
    <w:p>
      <w:pPr>
        <w:pStyle w:val="30"/>
        <w:tabs>
          <w:tab w:val="left" w:pos="1200"/>
        </w:tabs>
        <w:spacing w:before="120" w:after="120" w:line="360" w:lineRule="auto"/>
        <w:ind w:firstLine="540" w:firstLineChars="300"/>
        <w:rPr>
          <w:rFonts w:hAnsi="宋体"/>
          <w:color w:val="auto"/>
          <w:sz w:val="18"/>
          <w:szCs w:val="18"/>
          <w:highlight w:val="none"/>
        </w:rPr>
      </w:pPr>
      <w:r>
        <w:rPr>
          <w:rFonts w:hint="eastAsia" w:hAnsi="宋体" w:cs="宋体"/>
          <w:color w:val="auto"/>
          <w:sz w:val="18"/>
          <w:szCs w:val="18"/>
          <w:highlight w:val="none"/>
          <w:lang w:val="en-US" w:eastAsia="zh-CN"/>
        </w:rPr>
        <w:t>结算时单价按投标时全费用单位计，不因任何因素变更。</w:t>
      </w:r>
    </w:p>
    <w:p>
      <w:pPr>
        <w:spacing w:line="360" w:lineRule="auto"/>
        <w:ind w:firstLine="3740" w:firstLineChars="1700"/>
        <w:rPr>
          <w:rFonts w:ascii="宋体" w:hAnsi="宋体"/>
          <w:color w:val="auto"/>
          <w:spacing w:val="20"/>
          <w:sz w:val="18"/>
          <w:szCs w:val="18"/>
          <w:highlight w:val="none"/>
          <w:u w:val="single"/>
        </w:rPr>
      </w:pPr>
      <w:r>
        <w:rPr>
          <w:rFonts w:ascii="宋体" w:hAnsi="宋体"/>
          <w:color w:val="auto"/>
          <w:spacing w:val="20"/>
          <w:sz w:val="18"/>
          <w:szCs w:val="18"/>
          <w:highlight w:val="none"/>
        </w:rPr>
        <w:t>法定代表人或委托代理人</w:t>
      </w:r>
      <w:r>
        <w:rPr>
          <w:rFonts w:hint="eastAsia" w:ascii="宋体" w:hAnsi="宋体"/>
          <w:color w:val="auto"/>
          <w:spacing w:val="20"/>
          <w:sz w:val="18"/>
          <w:szCs w:val="18"/>
          <w:highlight w:val="none"/>
        </w:rPr>
        <w:t>签名：</w:t>
      </w:r>
    </w:p>
    <w:p>
      <w:pPr>
        <w:spacing w:line="360" w:lineRule="auto"/>
        <w:ind w:firstLine="440" w:firstLineChars="200"/>
        <w:rPr>
          <w:rFonts w:ascii="宋体" w:hAnsi="宋体"/>
          <w:color w:val="auto"/>
          <w:spacing w:val="20"/>
          <w:sz w:val="18"/>
          <w:szCs w:val="18"/>
          <w:highlight w:val="none"/>
          <w:u w:val="single"/>
        </w:rPr>
      </w:pPr>
      <w:r>
        <w:rPr>
          <w:rFonts w:hint="eastAsia" w:ascii="宋体" w:hAnsi="宋体"/>
          <w:color w:val="auto"/>
          <w:spacing w:val="20"/>
          <w:sz w:val="18"/>
          <w:szCs w:val="18"/>
          <w:highlight w:val="none"/>
        </w:rPr>
        <w:t xml:space="preserve">                              </w:t>
      </w:r>
      <w:r>
        <w:rPr>
          <w:rFonts w:hint="eastAsia" w:ascii="宋体" w:hAnsi="宋体"/>
          <w:color w:val="auto"/>
          <w:spacing w:val="20"/>
          <w:sz w:val="18"/>
          <w:szCs w:val="18"/>
          <w:highlight w:val="none"/>
          <w:lang w:val="en-US" w:eastAsia="zh-CN"/>
        </w:rPr>
        <w:t xml:space="preserve">  </w:t>
      </w:r>
      <w:r>
        <w:rPr>
          <w:rFonts w:hint="eastAsia" w:ascii="宋体" w:hAnsi="宋体"/>
          <w:color w:val="auto"/>
          <w:spacing w:val="20"/>
          <w:sz w:val="18"/>
          <w:szCs w:val="18"/>
          <w:highlight w:val="none"/>
        </w:rPr>
        <w:t xml:space="preserve">      投标单位盖章：</w:t>
      </w:r>
    </w:p>
    <w:p>
      <w:pPr>
        <w:spacing w:line="360" w:lineRule="auto"/>
        <w:ind w:firstLine="450" w:firstLineChars="250"/>
        <w:jc w:val="center"/>
        <w:rPr>
          <w:rFonts w:ascii="宋体" w:hAnsi="宋体"/>
          <w:b/>
          <w:color w:val="auto"/>
          <w:szCs w:val="21"/>
          <w:highlight w:val="none"/>
        </w:rPr>
      </w:pPr>
      <w:r>
        <w:rPr>
          <w:rFonts w:hint="eastAsia" w:ascii="宋体" w:hAnsi="宋体"/>
          <w:color w:val="auto"/>
          <w:sz w:val="18"/>
          <w:szCs w:val="18"/>
          <w:highlight w:val="none"/>
        </w:rPr>
        <w:t xml:space="preserve">                                         日        期：</w:t>
      </w:r>
    </w:p>
    <w:p>
      <w:pPr>
        <w:rPr>
          <w:rFonts w:ascii="宋体" w:hAnsi="宋体"/>
          <w:b/>
          <w:color w:val="auto"/>
          <w:szCs w:val="21"/>
          <w:highlight w:val="none"/>
        </w:rPr>
      </w:pPr>
      <w:r>
        <w:rPr>
          <w:rFonts w:ascii="宋体" w:hAnsi="宋体"/>
          <w:b/>
          <w:color w:val="auto"/>
          <w:szCs w:val="21"/>
          <w:highlight w:val="none"/>
        </w:rPr>
        <w:br w:type="page"/>
      </w:r>
    </w:p>
    <w:p>
      <w:pPr>
        <w:snapToGrid w:val="0"/>
        <w:spacing w:line="360" w:lineRule="auto"/>
        <w:rPr>
          <w:color w:val="auto"/>
          <w:highlight w:val="none"/>
        </w:rPr>
      </w:pPr>
      <w:r>
        <w:rPr>
          <w:rFonts w:hint="eastAsia" w:asciiTheme="minorEastAsia" w:hAnsiTheme="minorEastAsia" w:eastAsiaTheme="minorEastAsia"/>
          <w:b/>
          <w:color w:val="auto"/>
          <w:szCs w:val="21"/>
          <w:highlight w:val="none"/>
        </w:rPr>
        <w:t>1</w:t>
      </w:r>
      <w:r>
        <w:rPr>
          <w:rFonts w:hint="eastAsia" w:asciiTheme="minorEastAsia" w:hAnsiTheme="minorEastAsia" w:eastAsiaTheme="minorEastAsia"/>
          <w:b/>
          <w:color w:val="auto"/>
          <w:szCs w:val="21"/>
          <w:highlight w:val="none"/>
          <w:lang w:val="en-US" w:eastAsia="zh-CN"/>
        </w:rPr>
        <w:t>4</w:t>
      </w:r>
      <w:r>
        <w:rPr>
          <w:rFonts w:hint="eastAsia" w:asciiTheme="minorEastAsia" w:hAnsiTheme="minorEastAsia" w:eastAsiaTheme="minorEastAsia"/>
          <w:b/>
          <w:color w:val="auto"/>
          <w:szCs w:val="21"/>
          <w:highlight w:val="none"/>
        </w:rPr>
        <w:t>、</w:t>
      </w:r>
    </w:p>
    <w:p>
      <w:pPr>
        <w:jc w:val="center"/>
        <w:rPr>
          <w:rFonts w:hint="eastAsia" w:ascii="宋体" w:hAnsi="宋体"/>
          <w:b/>
          <w:color w:val="auto"/>
          <w:spacing w:val="20"/>
          <w:szCs w:val="21"/>
          <w:highlight w:val="none"/>
          <w:lang w:eastAsia="zh-CN"/>
        </w:rPr>
      </w:pPr>
      <w:r>
        <w:rPr>
          <w:rFonts w:hint="eastAsia" w:ascii="宋体" w:hAnsi="宋体"/>
          <w:b/>
          <w:color w:val="auto"/>
          <w:spacing w:val="20"/>
          <w:szCs w:val="21"/>
          <w:highlight w:val="none"/>
          <w:lang w:eastAsia="zh-CN"/>
        </w:rPr>
        <w:t>承诺函</w:t>
      </w:r>
    </w:p>
    <w:p>
      <w:pPr>
        <w:spacing w:line="360" w:lineRule="auto"/>
        <w:ind w:firstLine="420" w:firstLineChars="200"/>
        <w:rPr>
          <w:rFonts w:hint="eastAsia" w:ascii="宋体" w:hAnsi="宋体" w:cs="宋体"/>
          <w:color w:val="auto"/>
          <w:sz w:val="21"/>
          <w:szCs w:val="21"/>
          <w:highlight w:val="none"/>
          <w:lang w:val="en-US" w:eastAsia="zh-CN"/>
        </w:rPr>
      </w:pPr>
    </w:p>
    <w:p>
      <w:pPr>
        <w:spacing w:line="360" w:lineRule="auto"/>
        <w:ind w:firstLine="360" w:firstLineChars="200"/>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我公司承诺在中标后按不低于招标文件：</w:t>
      </w:r>
      <w:r>
        <w:rPr>
          <w:rFonts w:hint="eastAsia" w:hAnsi="宋体" w:cs="宋体"/>
          <w:bCs/>
          <w:color w:val="auto"/>
          <w:sz w:val="18"/>
          <w:szCs w:val="18"/>
          <w:highlight w:val="none"/>
          <w:lang w:val="en-US" w:eastAsia="zh-CN"/>
        </w:rPr>
        <w:t>一标段养护、巡查及保洁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35</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（其中保洁人员不少于12人、巡查不少于2人）；二标段养护、巡查及保洁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49</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（其中保洁人员不少于16人、巡查不少于3人）；三标段养护、巡查及保洁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42</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（其中保洁人员不少于10人、巡查不少于2人）；</w:t>
      </w:r>
      <w:r>
        <w:rPr>
          <w:rFonts w:hint="eastAsia" w:hAnsi="宋体" w:cs="宋体"/>
          <w:b/>
          <w:bCs w:val="0"/>
          <w:color w:val="auto"/>
          <w:sz w:val="18"/>
          <w:szCs w:val="18"/>
          <w:highlight w:val="none"/>
          <w:lang w:val="en-US" w:eastAsia="zh-CN"/>
        </w:rPr>
        <w:t>四标段养护、巡查</w:t>
      </w:r>
      <w:r>
        <w:rPr>
          <w:rFonts w:hint="eastAsia" w:ascii="宋体" w:hAnsi="宋体" w:eastAsia="宋体" w:cs="宋体"/>
          <w:b/>
          <w:bCs w:val="0"/>
          <w:color w:val="auto"/>
          <w:sz w:val="18"/>
          <w:szCs w:val="18"/>
          <w:highlight w:val="none"/>
          <w:lang w:val="en-US" w:eastAsia="zh-CN"/>
        </w:rPr>
        <w:t>人员每日不少于</w:t>
      </w:r>
      <w:r>
        <w:rPr>
          <w:rFonts w:hint="eastAsia" w:hAnsi="宋体" w:cs="宋体"/>
          <w:b/>
          <w:bCs w:val="0"/>
          <w:color w:val="auto"/>
          <w:sz w:val="18"/>
          <w:szCs w:val="18"/>
          <w:highlight w:val="none"/>
          <w:lang w:val="en-US" w:eastAsia="zh-CN"/>
        </w:rPr>
        <w:t>18</w:t>
      </w:r>
      <w:r>
        <w:rPr>
          <w:rFonts w:hint="eastAsia" w:ascii="宋体" w:hAnsi="宋体" w:eastAsia="宋体" w:cs="宋体"/>
          <w:b/>
          <w:bCs w:val="0"/>
          <w:color w:val="auto"/>
          <w:sz w:val="18"/>
          <w:szCs w:val="18"/>
          <w:highlight w:val="none"/>
          <w:lang w:val="en-US" w:eastAsia="zh-CN"/>
        </w:rPr>
        <w:t>人</w:t>
      </w:r>
      <w:r>
        <w:rPr>
          <w:rFonts w:hint="eastAsia" w:hAnsi="宋体" w:cs="宋体"/>
          <w:b/>
          <w:bCs w:val="0"/>
          <w:color w:val="auto"/>
          <w:sz w:val="18"/>
          <w:szCs w:val="18"/>
          <w:highlight w:val="none"/>
          <w:lang w:val="en-US" w:eastAsia="zh-CN"/>
        </w:rPr>
        <w:t>，其中巡查不少于2人</w:t>
      </w:r>
      <w:r>
        <w:rPr>
          <w:rFonts w:hint="eastAsia" w:hAnsi="宋体" w:cs="宋体"/>
          <w:bCs/>
          <w:color w:val="auto"/>
          <w:sz w:val="18"/>
          <w:szCs w:val="18"/>
          <w:highlight w:val="none"/>
          <w:lang w:val="en-US" w:eastAsia="zh-CN"/>
        </w:rPr>
        <w:t>；五标段养护、巡查及保洁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34</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（其中保洁人员不少于11人、巡查不少于2人）；六标段养护、巡查及保洁</w:t>
      </w:r>
      <w:r>
        <w:rPr>
          <w:rFonts w:hint="eastAsia" w:ascii="宋体" w:hAnsi="宋体" w:eastAsia="宋体" w:cs="宋体"/>
          <w:bCs/>
          <w:color w:val="auto"/>
          <w:sz w:val="18"/>
          <w:szCs w:val="18"/>
          <w:highlight w:val="none"/>
          <w:lang w:val="en-US" w:eastAsia="zh-CN"/>
        </w:rPr>
        <w:t>人员</w:t>
      </w:r>
      <w:r>
        <w:rPr>
          <w:rFonts w:hint="eastAsia" w:hAnsi="宋体" w:cs="宋体"/>
          <w:bCs/>
          <w:color w:val="auto"/>
          <w:sz w:val="18"/>
          <w:szCs w:val="18"/>
          <w:highlight w:val="none"/>
          <w:lang w:val="en-US" w:eastAsia="zh-CN"/>
        </w:rPr>
        <w:t>每日</w:t>
      </w:r>
      <w:r>
        <w:rPr>
          <w:rFonts w:hint="eastAsia" w:ascii="宋体" w:hAnsi="宋体" w:eastAsia="宋体" w:cs="宋体"/>
          <w:bCs/>
          <w:color w:val="auto"/>
          <w:sz w:val="18"/>
          <w:szCs w:val="18"/>
          <w:highlight w:val="none"/>
          <w:lang w:val="en-US" w:eastAsia="zh-CN"/>
        </w:rPr>
        <w:t>不少于</w:t>
      </w:r>
      <w:r>
        <w:rPr>
          <w:rFonts w:hint="eastAsia" w:hAnsi="宋体" w:cs="宋体"/>
          <w:bCs/>
          <w:color w:val="auto"/>
          <w:sz w:val="18"/>
          <w:szCs w:val="18"/>
          <w:highlight w:val="none"/>
          <w:lang w:val="en-US" w:eastAsia="zh-CN"/>
        </w:rPr>
        <w:t>37</w:t>
      </w:r>
      <w:r>
        <w:rPr>
          <w:rFonts w:hint="eastAsia" w:ascii="宋体" w:hAnsi="宋体" w:eastAsia="宋体" w:cs="宋体"/>
          <w:bCs/>
          <w:color w:val="auto"/>
          <w:sz w:val="18"/>
          <w:szCs w:val="18"/>
          <w:highlight w:val="none"/>
          <w:lang w:val="en-US" w:eastAsia="zh-CN"/>
        </w:rPr>
        <w:t>人</w:t>
      </w:r>
      <w:r>
        <w:rPr>
          <w:rFonts w:hint="eastAsia" w:hAnsi="宋体" w:cs="宋体"/>
          <w:bCs/>
          <w:color w:val="auto"/>
          <w:sz w:val="18"/>
          <w:szCs w:val="18"/>
          <w:highlight w:val="none"/>
          <w:lang w:val="en-US" w:eastAsia="zh-CN"/>
        </w:rPr>
        <w:t>（其中保洁人员不少于8人、巡查不少于2人）</w:t>
      </w:r>
      <w:r>
        <w:rPr>
          <w:rFonts w:hint="eastAsia" w:ascii="宋体" w:hAnsi="宋体" w:cs="宋体"/>
          <w:color w:val="auto"/>
          <w:sz w:val="18"/>
          <w:szCs w:val="18"/>
          <w:highlight w:val="none"/>
          <w:lang w:val="en-US" w:eastAsia="zh-CN"/>
        </w:rPr>
        <w:t>的人员要求到位，否则我司自愿接受相关处罚扣款，人员到位严重不足的，我司自愿解除合同，并赔偿相关损失。</w:t>
      </w:r>
    </w:p>
    <w:p>
      <w:pPr>
        <w:pStyle w:val="4"/>
        <w:outlineLvl w:val="9"/>
        <w:rPr>
          <w:rFonts w:hint="eastAsia" w:ascii="宋体" w:hAnsi="宋体" w:cs="宋体"/>
          <w:color w:val="auto"/>
          <w:sz w:val="18"/>
          <w:szCs w:val="18"/>
          <w:highlight w:val="none"/>
          <w:lang w:val="en-US" w:eastAsia="zh-CN"/>
        </w:rPr>
      </w:pPr>
    </w:p>
    <w:p>
      <w:pPr>
        <w:spacing w:beforeLines="50" w:line="360" w:lineRule="auto"/>
        <w:ind w:firstLine="1210" w:firstLineChars="550"/>
        <w:jc w:val="right"/>
        <w:rPr>
          <w:rFonts w:asciiTheme="minorEastAsia" w:hAnsiTheme="minorEastAsia" w:eastAsiaTheme="minorEastAsia"/>
          <w:color w:val="auto"/>
          <w:sz w:val="18"/>
          <w:szCs w:val="18"/>
          <w:highlight w:val="none"/>
        </w:rPr>
      </w:pPr>
      <w:r>
        <w:rPr>
          <w:rFonts w:asciiTheme="minorEastAsia" w:hAnsiTheme="minorEastAsia" w:eastAsiaTheme="minorEastAsia"/>
          <w:color w:val="auto"/>
          <w:spacing w:val="20"/>
          <w:sz w:val="18"/>
          <w:szCs w:val="18"/>
          <w:highlight w:val="none"/>
        </w:rPr>
        <w:t>法定代表人或委托代理人</w:t>
      </w:r>
      <w:r>
        <w:rPr>
          <w:rFonts w:hint="eastAsia" w:asciiTheme="minorEastAsia" w:hAnsiTheme="minorEastAsia" w:eastAsiaTheme="minorEastAsia"/>
          <w:color w:val="auto"/>
          <w:spacing w:val="20"/>
          <w:sz w:val="18"/>
          <w:szCs w:val="18"/>
          <w:highlight w:val="none"/>
        </w:rPr>
        <w:t>签名（或盖章）：</w:t>
      </w:r>
    </w:p>
    <w:p>
      <w:pPr>
        <w:spacing w:line="360" w:lineRule="auto"/>
        <w:ind w:firstLine="440" w:firstLineChars="200"/>
        <w:jc w:val="right"/>
        <w:rPr>
          <w:rFonts w:asciiTheme="minorEastAsia" w:hAnsiTheme="minorEastAsia" w:eastAsiaTheme="minorEastAsia"/>
          <w:color w:val="auto"/>
          <w:spacing w:val="20"/>
          <w:sz w:val="18"/>
          <w:szCs w:val="18"/>
          <w:highlight w:val="none"/>
          <w:u w:val="single"/>
        </w:rPr>
      </w:pPr>
      <w:r>
        <w:rPr>
          <w:rFonts w:hint="eastAsia" w:asciiTheme="minorEastAsia" w:hAnsiTheme="minorEastAsia" w:eastAsiaTheme="minorEastAsia"/>
          <w:color w:val="auto"/>
          <w:spacing w:val="20"/>
          <w:sz w:val="18"/>
          <w:szCs w:val="18"/>
          <w:highlight w:val="none"/>
        </w:rPr>
        <w:t xml:space="preserve">                            投标人盖章：</w:t>
      </w:r>
    </w:p>
    <w:p>
      <w:pPr>
        <w:jc w:val="right"/>
        <w:rPr>
          <w:rFonts w:hint="eastAsia"/>
          <w:color w:val="auto"/>
          <w:sz w:val="18"/>
          <w:szCs w:val="18"/>
          <w:highlight w:val="none"/>
          <w:lang w:eastAsia="zh-CN"/>
        </w:rPr>
      </w:pPr>
      <w:r>
        <w:rPr>
          <w:rFonts w:hint="eastAsia" w:asciiTheme="minorEastAsia" w:hAnsiTheme="minorEastAsia" w:eastAsiaTheme="minorEastAsia"/>
          <w:color w:val="auto"/>
          <w:spacing w:val="20"/>
          <w:sz w:val="18"/>
          <w:szCs w:val="18"/>
          <w:highlight w:val="none"/>
        </w:rPr>
        <w:t xml:space="preserve">                            日     期：</w:t>
      </w:r>
    </w:p>
    <w:p>
      <w:pPr>
        <w:rPr>
          <w:rFonts w:hint="eastAsia" w:cs="Times New Roman" w:asciiTheme="minorEastAsia" w:hAnsiTheme="minorEastAsia"/>
          <w:b/>
          <w:color w:val="auto"/>
          <w:spacing w:val="0"/>
          <w:szCs w:val="21"/>
          <w:highlight w:val="none"/>
          <w:lang w:eastAsia="zh-CN"/>
        </w:rPr>
      </w:pPr>
      <w:r>
        <w:rPr>
          <w:rFonts w:hint="eastAsia" w:cs="Times New Roman" w:asciiTheme="minorEastAsia" w:hAnsiTheme="minorEastAsia"/>
          <w:b/>
          <w:color w:val="auto"/>
          <w:spacing w:val="0"/>
          <w:szCs w:val="21"/>
          <w:highlight w:val="none"/>
          <w:lang w:eastAsia="zh-CN"/>
        </w:rPr>
        <w:br w:type="page"/>
      </w:r>
    </w:p>
    <w:p>
      <w:pPr>
        <w:pStyle w:val="48"/>
        <w:ind w:left="0" w:leftChars="0" w:firstLine="0" w:firstLineChars="0"/>
        <w:jc w:val="center"/>
        <w:outlineLvl w:val="0"/>
        <w:rPr>
          <w:rFonts w:hint="eastAsia" w:cs="Times New Roman" w:asciiTheme="minorEastAsia" w:hAnsiTheme="minorEastAsia" w:eastAsiaTheme="minorEastAsia"/>
          <w:b/>
          <w:color w:val="auto"/>
          <w:spacing w:val="0"/>
          <w:szCs w:val="21"/>
          <w:highlight w:val="none"/>
          <w:lang w:eastAsia="zh-CN"/>
        </w:rPr>
      </w:pPr>
      <w:bookmarkStart w:id="204" w:name="_Toc20046"/>
      <w:r>
        <w:rPr>
          <w:rFonts w:hint="eastAsia" w:cs="Times New Roman" w:asciiTheme="minorEastAsia" w:hAnsiTheme="minorEastAsia"/>
          <w:b/>
          <w:color w:val="auto"/>
          <w:spacing w:val="0"/>
          <w:szCs w:val="21"/>
          <w:highlight w:val="none"/>
          <w:lang w:eastAsia="zh-CN"/>
        </w:rPr>
        <w:t>其他投标人认为需要递交的资料</w:t>
      </w:r>
      <w:bookmarkEnd w:id="204"/>
    </w:p>
    <w:p>
      <w:pPr>
        <w:pStyle w:val="48"/>
        <w:ind w:left="0" w:leftChars="0" w:firstLine="0" w:firstLineChars="0"/>
        <w:jc w:val="center"/>
        <w:rPr>
          <w:color w:val="auto"/>
          <w:highlight w:val="none"/>
        </w:rPr>
      </w:pPr>
      <w:r>
        <w:rPr>
          <w:rFonts w:hint="eastAsia"/>
          <w:color w:val="auto"/>
          <w:highlight w:val="none"/>
        </w:rPr>
        <w:t>（格式自拟）</w:t>
      </w:r>
    </w:p>
    <w:bookmarkEnd w:id="205"/>
    <w:sectPr>
      <w:footerReference r:id="rId7" w:type="default"/>
      <w:footerReference r:id="rId8" w:type="even"/>
      <w:pgSz w:w="11906" w:h="16838"/>
      <w:pgMar w:top="1440" w:right="1797" w:bottom="1440" w:left="1797"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Light">
    <w:altName w:val="黑体"/>
    <w:panose1 w:val="020B0502040204020203"/>
    <w:charset w:val="7A"/>
    <w:family w:val="swiss"/>
    <w:pitch w:val="default"/>
    <w:sig w:usb0="00000000" w:usb1="0000000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Songti SC Regular">
    <w:altName w:val="微软雅黑"/>
    <w:panose1 w:val="00000000000000000000"/>
    <w:charset w:val="50"/>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72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53"/>
      </w:rPr>
    </w:pPr>
    <w:r>
      <w:fldChar w:fldCharType="begin"/>
    </w:r>
    <w:r>
      <w:rPr>
        <w:rStyle w:val="53"/>
      </w:rPr>
      <w:instrText xml:space="preserve">PAGE  </w:instrText>
    </w:r>
    <w:r>
      <w:fldChar w:fldCharType="end"/>
    </w:r>
  </w:p>
  <w:p>
    <w:pPr>
      <w:pStyle w:val="3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9415B"/>
    <w:multiLevelType w:val="singleLevel"/>
    <w:tmpl w:val="B2A9415B"/>
    <w:lvl w:ilvl="0" w:tentative="0">
      <w:start w:val="5"/>
      <w:numFmt w:val="chineseCounting"/>
      <w:suff w:val="space"/>
      <w:lvlText w:val="第%1章"/>
      <w:lvlJc w:val="left"/>
      <w:rPr>
        <w:rFonts w:hint="eastAsia"/>
      </w:rPr>
    </w:lvl>
  </w:abstractNum>
  <w:abstractNum w:abstractNumId="1">
    <w:nsid w:val="BD20D57D"/>
    <w:multiLevelType w:val="singleLevel"/>
    <w:tmpl w:val="BD20D57D"/>
    <w:lvl w:ilvl="0" w:tentative="0">
      <w:start w:val="1"/>
      <w:numFmt w:val="decimal"/>
      <w:suff w:val="nothing"/>
      <w:lvlText w:val="%1、"/>
      <w:lvlJc w:val="left"/>
    </w:lvl>
  </w:abstractNum>
  <w:abstractNum w:abstractNumId="2">
    <w:nsid w:val="F858F82F"/>
    <w:multiLevelType w:val="singleLevel"/>
    <w:tmpl w:val="F858F82F"/>
    <w:lvl w:ilvl="0" w:tentative="0">
      <w:start w:val="1"/>
      <w:numFmt w:val="decimal"/>
      <w:suff w:val="nothing"/>
      <w:lvlText w:val="%1、"/>
      <w:lvlJc w:val="left"/>
    </w:lvl>
  </w:abstractNum>
  <w:abstractNum w:abstractNumId="3">
    <w:nsid w:val="FFFFFF7F"/>
    <w:multiLevelType w:val="singleLevel"/>
    <w:tmpl w:val="FFFFFF7F"/>
    <w:lvl w:ilvl="0" w:tentative="0">
      <w:start w:val="1"/>
      <w:numFmt w:val="decimal"/>
      <w:pStyle w:val="13"/>
      <w:lvlText w:val="%1."/>
      <w:lvlJc w:val="left"/>
      <w:pPr>
        <w:tabs>
          <w:tab w:val="left" w:pos="780"/>
        </w:tabs>
        <w:ind w:left="780" w:leftChars="200" w:hanging="360" w:hangingChars="200"/>
      </w:pPr>
    </w:lvl>
  </w:abstractNum>
  <w:abstractNum w:abstractNumId="4">
    <w:nsid w:val="00000002"/>
    <w:multiLevelType w:val="multilevel"/>
    <w:tmpl w:val="00000002"/>
    <w:lvl w:ilvl="0" w:tentative="0">
      <w:start w:val="1"/>
      <w:numFmt w:val="bullet"/>
      <w:pStyle w:val="32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2"/>
    <w:multiLevelType w:val="singleLevel"/>
    <w:tmpl w:val="00000012"/>
    <w:lvl w:ilvl="0" w:tentative="0">
      <w:start w:val="1"/>
      <w:numFmt w:val="decimal"/>
      <w:pStyle w:val="25"/>
      <w:lvlText w:val="%1."/>
      <w:lvlJc w:val="left"/>
      <w:pPr>
        <w:tabs>
          <w:tab w:val="left" w:pos="1200"/>
        </w:tabs>
        <w:ind w:left="1200" w:hanging="360"/>
      </w:pPr>
    </w:lvl>
  </w:abstractNum>
  <w:abstractNum w:abstractNumId="6">
    <w:nsid w:val="0C827B20"/>
    <w:multiLevelType w:val="multilevel"/>
    <w:tmpl w:val="0C827B20"/>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D7D4806"/>
    <w:multiLevelType w:val="singleLevel"/>
    <w:tmpl w:val="0D7D4806"/>
    <w:lvl w:ilvl="0" w:tentative="0">
      <w:start w:val="1"/>
      <w:numFmt w:val="decimal"/>
      <w:suff w:val="nothing"/>
      <w:lvlText w:val="%1、"/>
      <w:lvlJc w:val="left"/>
    </w:lvl>
  </w:abstractNum>
  <w:abstractNum w:abstractNumId="8">
    <w:nsid w:val="1B89059A"/>
    <w:multiLevelType w:val="multilevel"/>
    <w:tmpl w:val="1B89059A"/>
    <w:lvl w:ilvl="0" w:tentative="0">
      <w:start w:val="1"/>
      <w:numFmt w:val="decimal"/>
      <w:pStyle w:val="22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DDBAD9B"/>
    <w:multiLevelType w:val="singleLevel"/>
    <w:tmpl w:val="2DDBAD9B"/>
    <w:lvl w:ilvl="0" w:tentative="0">
      <w:start w:val="1"/>
      <w:numFmt w:val="decimal"/>
      <w:suff w:val="nothing"/>
      <w:lvlText w:val="%1、"/>
      <w:lvlJc w:val="left"/>
    </w:lvl>
  </w:abstractNum>
  <w:abstractNum w:abstractNumId="10">
    <w:nsid w:val="3F28AE5C"/>
    <w:multiLevelType w:val="singleLevel"/>
    <w:tmpl w:val="3F28AE5C"/>
    <w:lvl w:ilvl="0" w:tentative="0">
      <w:start w:val="2"/>
      <w:numFmt w:val="chineseCounting"/>
      <w:suff w:val="space"/>
      <w:lvlText w:val="第%1章"/>
      <w:lvlJc w:val="left"/>
      <w:rPr>
        <w:rFonts w:hint="eastAsia"/>
      </w:rPr>
    </w:lvl>
  </w:abstractNum>
  <w:abstractNum w:abstractNumId="11">
    <w:nsid w:val="4D7A8D78"/>
    <w:multiLevelType w:val="singleLevel"/>
    <w:tmpl w:val="4D7A8D78"/>
    <w:lvl w:ilvl="0" w:tentative="0">
      <w:start w:val="1"/>
      <w:numFmt w:val="decimal"/>
      <w:suff w:val="nothing"/>
      <w:lvlText w:val="%1、"/>
      <w:lvlJc w:val="left"/>
    </w:lvl>
  </w:abstractNum>
  <w:abstractNum w:abstractNumId="12">
    <w:nsid w:val="61C45857"/>
    <w:multiLevelType w:val="multilevel"/>
    <w:tmpl w:val="61C45857"/>
    <w:lvl w:ilvl="0" w:tentative="0">
      <w:start w:val="1"/>
      <w:numFmt w:val="none"/>
      <w:lvlText w:val="一、"/>
      <w:lvlJc w:val="left"/>
      <w:pPr>
        <w:tabs>
          <w:tab w:val="left" w:pos="962"/>
        </w:tabs>
        <w:ind w:left="962" w:hanging="480"/>
      </w:pPr>
      <w:rPr>
        <w:rFonts w:hint="eastAsia"/>
      </w:rPr>
    </w:lvl>
    <w:lvl w:ilvl="1" w:tentative="0">
      <w:start w:val="1"/>
      <w:numFmt w:val="decimal"/>
      <w:lvlText w:val="(%2)"/>
      <w:lvlJc w:val="left"/>
      <w:pPr>
        <w:tabs>
          <w:tab w:val="left" w:pos="1262"/>
        </w:tabs>
        <w:ind w:left="1262" w:hanging="360"/>
      </w:pPr>
      <w:rPr>
        <w:rFonts w:hint="eastAsia"/>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3">
    <w:nsid w:val="663B4382"/>
    <w:multiLevelType w:val="multilevel"/>
    <w:tmpl w:val="663B4382"/>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960"/>
        </w:tabs>
        <w:ind w:left="960" w:hanging="420"/>
      </w:pPr>
      <w:rPr>
        <w:color w:val="auto"/>
      </w:rPr>
    </w:lvl>
    <w:lvl w:ilvl="2" w:tentative="0">
      <w:start w:val="1"/>
      <w:numFmt w:val="decimal"/>
      <w:pStyle w:val="342"/>
      <w:lvlText w:val="3.%3"/>
      <w:lvlJc w:val="left"/>
      <w:pPr>
        <w:tabs>
          <w:tab w:val="left" w:pos="0"/>
        </w:tabs>
        <w:ind w:left="454" w:hanging="454"/>
      </w:p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400"/>
        </w:tabs>
        <w:ind w:left="2400" w:hanging="7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C1349CD"/>
    <w:multiLevelType w:val="multilevel"/>
    <w:tmpl w:val="7C1349CD"/>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9"/>
  </w:num>
  <w:num w:numId="9">
    <w:abstractNumId w:val="11"/>
  </w:num>
  <w:num w:numId="10">
    <w:abstractNumId w:val="7"/>
  </w:num>
  <w:num w:numId="11">
    <w:abstractNumId w:val="1"/>
  </w:num>
  <w:num w:numId="12">
    <w:abstractNumId w:val="0"/>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YjJlNDk5ZWQ2NTFjOGE2MDFiN2I1Y2E2NGJjMTAifQ=="/>
  </w:docVars>
  <w:rsids>
    <w:rsidRoot w:val="00E84DDF"/>
    <w:rsid w:val="000006D6"/>
    <w:rsid w:val="000007C1"/>
    <w:rsid w:val="00000F42"/>
    <w:rsid w:val="00004784"/>
    <w:rsid w:val="0000497C"/>
    <w:rsid w:val="00004BA8"/>
    <w:rsid w:val="0000547D"/>
    <w:rsid w:val="000054D5"/>
    <w:rsid w:val="00005717"/>
    <w:rsid w:val="0000574F"/>
    <w:rsid w:val="00005FBD"/>
    <w:rsid w:val="0000660E"/>
    <w:rsid w:val="00006C34"/>
    <w:rsid w:val="00007ED6"/>
    <w:rsid w:val="00007FD8"/>
    <w:rsid w:val="00010B37"/>
    <w:rsid w:val="00011484"/>
    <w:rsid w:val="00012B75"/>
    <w:rsid w:val="00012D19"/>
    <w:rsid w:val="0001481D"/>
    <w:rsid w:val="00015250"/>
    <w:rsid w:val="000153B6"/>
    <w:rsid w:val="0001696B"/>
    <w:rsid w:val="00016EFA"/>
    <w:rsid w:val="00017078"/>
    <w:rsid w:val="00017139"/>
    <w:rsid w:val="00020463"/>
    <w:rsid w:val="0002203B"/>
    <w:rsid w:val="000236DE"/>
    <w:rsid w:val="000243BD"/>
    <w:rsid w:val="0002453B"/>
    <w:rsid w:val="00025095"/>
    <w:rsid w:val="00026117"/>
    <w:rsid w:val="0002734E"/>
    <w:rsid w:val="000279E1"/>
    <w:rsid w:val="00030323"/>
    <w:rsid w:val="000306C5"/>
    <w:rsid w:val="00030781"/>
    <w:rsid w:val="00033A3A"/>
    <w:rsid w:val="00034DFB"/>
    <w:rsid w:val="000350DF"/>
    <w:rsid w:val="0003593F"/>
    <w:rsid w:val="00037FBA"/>
    <w:rsid w:val="00040353"/>
    <w:rsid w:val="000406D5"/>
    <w:rsid w:val="0004112D"/>
    <w:rsid w:val="000442D0"/>
    <w:rsid w:val="000448B0"/>
    <w:rsid w:val="00044A78"/>
    <w:rsid w:val="00046C1A"/>
    <w:rsid w:val="00046F7F"/>
    <w:rsid w:val="0004736C"/>
    <w:rsid w:val="0004775A"/>
    <w:rsid w:val="0005038C"/>
    <w:rsid w:val="000512FA"/>
    <w:rsid w:val="0005189A"/>
    <w:rsid w:val="00051AFD"/>
    <w:rsid w:val="00051C7F"/>
    <w:rsid w:val="00052543"/>
    <w:rsid w:val="00052A69"/>
    <w:rsid w:val="00053E79"/>
    <w:rsid w:val="00054F19"/>
    <w:rsid w:val="00055974"/>
    <w:rsid w:val="00056BD6"/>
    <w:rsid w:val="000574E3"/>
    <w:rsid w:val="0006115B"/>
    <w:rsid w:val="0006636F"/>
    <w:rsid w:val="0006714A"/>
    <w:rsid w:val="00067695"/>
    <w:rsid w:val="000703C3"/>
    <w:rsid w:val="0007121F"/>
    <w:rsid w:val="000721E0"/>
    <w:rsid w:val="00072A26"/>
    <w:rsid w:val="00072C4D"/>
    <w:rsid w:val="00073A40"/>
    <w:rsid w:val="00073B10"/>
    <w:rsid w:val="000775ED"/>
    <w:rsid w:val="000776C8"/>
    <w:rsid w:val="00080C78"/>
    <w:rsid w:val="0008153D"/>
    <w:rsid w:val="0008271D"/>
    <w:rsid w:val="00082751"/>
    <w:rsid w:val="000854C7"/>
    <w:rsid w:val="000860E4"/>
    <w:rsid w:val="000864E4"/>
    <w:rsid w:val="00086AE8"/>
    <w:rsid w:val="00087AF2"/>
    <w:rsid w:val="00090646"/>
    <w:rsid w:val="000908F0"/>
    <w:rsid w:val="00094180"/>
    <w:rsid w:val="00094F35"/>
    <w:rsid w:val="0009506D"/>
    <w:rsid w:val="00096C10"/>
    <w:rsid w:val="00097418"/>
    <w:rsid w:val="000A0A78"/>
    <w:rsid w:val="000A0B92"/>
    <w:rsid w:val="000A0DAA"/>
    <w:rsid w:val="000A1F84"/>
    <w:rsid w:val="000A2D6C"/>
    <w:rsid w:val="000A4D2D"/>
    <w:rsid w:val="000A4E11"/>
    <w:rsid w:val="000A5264"/>
    <w:rsid w:val="000A7432"/>
    <w:rsid w:val="000B0171"/>
    <w:rsid w:val="000B12FB"/>
    <w:rsid w:val="000B1905"/>
    <w:rsid w:val="000B24C0"/>
    <w:rsid w:val="000B3409"/>
    <w:rsid w:val="000B38B1"/>
    <w:rsid w:val="000B39B4"/>
    <w:rsid w:val="000B3E91"/>
    <w:rsid w:val="000B50F8"/>
    <w:rsid w:val="000B5C0B"/>
    <w:rsid w:val="000B62CB"/>
    <w:rsid w:val="000B6594"/>
    <w:rsid w:val="000B679E"/>
    <w:rsid w:val="000C062A"/>
    <w:rsid w:val="000C0B77"/>
    <w:rsid w:val="000C13B5"/>
    <w:rsid w:val="000C1DC3"/>
    <w:rsid w:val="000C1FDC"/>
    <w:rsid w:val="000C2B91"/>
    <w:rsid w:val="000C2E3C"/>
    <w:rsid w:val="000C4769"/>
    <w:rsid w:val="000C5926"/>
    <w:rsid w:val="000C5C4C"/>
    <w:rsid w:val="000C68AF"/>
    <w:rsid w:val="000D0D9C"/>
    <w:rsid w:val="000D0F7D"/>
    <w:rsid w:val="000D1611"/>
    <w:rsid w:val="000D20F5"/>
    <w:rsid w:val="000D2925"/>
    <w:rsid w:val="000D2CC2"/>
    <w:rsid w:val="000D355A"/>
    <w:rsid w:val="000D730E"/>
    <w:rsid w:val="000D7584"/>
    <w:rsid w:val="000D7946"/>
    <w:rsid w:val="000D79AD"/>
    <w:rsid w:val="000D7FE8"/>
    <w:rsid w:val="000E026B"/>
    <w:rsid w:val="000E02B0"/>
    <w:rsid w:val="000E0887"/>
    <w:rsid w:val="000E130D"/>
    <w:rsid w:val="000E1367"/>
    <w:rsid w:val="000E17E0"/>
    <w:rsid w:val="000E36F3"/>
    <w:rsid w:val="000E4311"/>
    <w:rsid w:val="000E6EA1"/>
    <w:rsid w:val="000E7016"/>
    <w:rsid w:val="000F00D5"/>
    <w:rsid w:val="000F06F5"/>
    <w:rsid w:val="000F0F10"/>
    <w:rsid w:val="000F11B9"/>
    <w:rsid w:val="000F1D13"/>
    <w:rsid w:val="000F2856"/>
    <w:rsid w:val="000F2E81"/>
    <w:rsid w:val="000F32C5"/>
    <w:rsid w:val="000F34A9"/>
    <w:rsid w:val="000F3E6E"/>
    <w:rsid w:val="000F3F81"/>
    <w:rsid w:val="000F45B8"/>
    <w:rsid w:val="000F46D5"/>
    <w:rsid w:val="000F5C07"/>
    <w:rsid w:val="00100C8B"/>
    <w:rsid w:val="00101883"/>
    <w:rsid w:val="001032A9"/>
    <w:rsid w:val="00103A0A"/>
    <w:rsid w:val="00103EBB"/>
    <w:rsid w:val="0010432C"/>
    <w:rsid w:val="0010475B"/>
    <w:rsid w:val="001048CE"/>
    <w:rsid w:val="00104BF1"/>
    <w:rsid w:val="00105407"/>
    <w:rsid w:val="0010593F"/>
    <w:rsid w:val="00105D08"/>
    <w:rsid w:val="00105F41"/>
    <w:rsid w:val="00106196"/>
    <w:rsid w:val="00106325"/>
    <w:rsid w:val="00107334"/>
    <w:rsid w:val="00107925"/>
    <w:rsid w:val="00107B1A"/>
    <w:rsid w:val="00107F4C"/>
    <w:rsid w:val="00110001"/>
    <w:rsid w:val="0011069B"/>
    <w:rsid w:val="0011115C"/>
    <w:rsid w:val="0011147B"/>
    <w:rsid w:val="001126B1"/>
    <w:rsid w:val="001126E5"/>
    <w:rsid w:val="0011274A"/>
    <w:rsid w:val="001128B0"/>
    <w:rsid w:val="00114A2E"/>
    <w:rsid w:val="00115B11"/>
    <w:rsid w:val="0011668B"/>
    <w:rsid w:val="001168E1"/>
    <w:rsid w:val="00117D33"/>
    <w:rsid w:val="00120F7B"/>
    <w:rsid w:val="00121288"/>
    <w:rsid w:val="00121B6F"/>
    <w:rsid w:val="0012666B"/>
    <w:rsid w:val="001267AA"/>
    <w:rsid w:val="00126875"/>
    <w:rsid w:val="0012694D"/>
    <w:rsid w:val="00126FC5"/>
    <w:rsid w:val="00130192"/>
    <w:rsid w:val="001301C5"/>
    <w:rsid w:val="00130725"/>
    <w:rsid w:val="00131B61"/>
    <w:rsid w:val="00131E3E"/>
    <w:rsid w:val="00132B8E"/>
    <w:rsid w:val="00133278"/>
    <w:rsid w:val="0013352C"/>
    <w:rsid w:val="00134008"/>
    <w:rsid w:val="001341DF"/>
    <w:rsid w:val="001361FE"/>
    <w:rsid w:val="00136C35"/>
    <w:rsid w:val="0014246C"/>
    <w:rsid w:val="00142EBC"/>
    <w:rsid w:val="00142F5E"/>
    <w:rsid w:val="001437F0"/>
    <w:rsid w:val="00144BEA"/>
    <w:rsid w:val="0014503B"/>
    <w:rsid w:val="00145AAF"/>
    <w:rsid w:val="001463AC"/>
    <w:rsid w:val="00146400"/>
    <w:rsid w:val="0014725B"/>
    <w:rsid w:val="00147E87"/>
    <w:rsid w:val="00150673"/>
    <w:rsid w:val="00150936"/>
    <w:rsid w:val="00150C28"/>
    <w:rsid w:val="00151420"/>
    <w:rsid w:val="00151891"/>
    <w:rsid w:val="00152B1B"/>
    <w:rsid w:val="00152E79"/>
    <w:rsid w:val="00154D37"/>
    <w:rsid w:val="0015546E"/>
    <w:rsid w:val="00155FF4"/>
    <w:rsid w:val="001562FF"/>
    <w:rsid w:val="001568BA"/>
    <w:rsid w:val="00157202"/>
    <w:rsid w:val="001649F3"/>
    <w:rsid w:val="00164AF6"/>
    <w:rsid w:val="00166BAB"/>
    <w:rsid w:val="001670D2"/>
    <w:rsid w:val="00167282"/>
    <w:rsid w:val="00167E16"/>
    <w:rsid w:val="001702BE"/>
    <w:rsid w:val="00170404"/>
    <w:rsid w:val="00171A20"/>
    <w:rsid w:val="001737F8"/>
    <w:rsid w:val="00175C43"/>
    <w:rsid w:val="00175F92"/>
    <w:rsid w:val="00176C72"/>
    <w:rsid w:val="00176EA3"/>
    <w:rsid w:val="00176F39"/>
    <w:rsid w:val="00177C05"/>
    <w:rsid w:val="00180AC1"/>
    <w:rsid w:val="00182295"/>
    <w:rsid w:val="00182317"/>
    <w:rsid w:val="00182995"/>
    <w:rsid w:val="0018332B"/>
    <w:rsid w:val="0018379A"/>
    <w:rsid w:val="00183CDF"/>
    <w:rsid w:val="00183F6F"/>
    <w:rsid w:val="001845A5"/>
    <w:rsid w:val="00184BFA"/>
    <w:rsid w:val="00185F77"/>
    <w:rsid w:val="00186E75"/>
    <w:rsid w:val="001870B8"/>
    <w:rsid w:val="00187113"/>
    <w:rsid w:val="00187732"/>
    <w:rsid w:val="00187E57"/>
    <w:rsid w:val="0019023B"/>
    <w:rsid w:val="00190726"/>
    <w:rsid w:val="001911AC"/>
    <w:rsid w:val="001920B1"/>
    <w:rsid w:val="00192241"/>
    <w:rsid w:val="001933FB"/>
    <w:rsid w:val="00193A4E"/>
    <w:rsid w:val="001956D9"/>
    <w:rsid w:val="00196739"/>
    <w:rsid w:val="001972CF"/>
    <w:rsid w:val="001976F2"/>
    <w:rsid w:val="00197893"/>
    <w:rsid w:val="00197A93"/>
    <w:rsid w:val="001A0209"/>
    <w:rsid w:val="001A274C"/>
    <w:rsid w:val="001A3566"/>
    <w:rsid w:val="001A3635"/>
    <w:rsid w:val="001A3837"/>
    <w:rsid w:val="001A39AA"/>
    <w:rsid w:val="001A3E31"/>
    <w:rsid w:val="001A4B28"/>
    <w:rsid w:val="001A4DEA"/>
    <w:rsid w:val="001A4F43"/>
    <w:rsid w:val="001A6324"/>
    <w:rsid w:val="001A6466"/>
    <w:rsid w:val="001A6E3E"/>
    <w:rsid w:val="001A7E6D"/>
    <w:rsid w:val="001B0006"/>
    <w:rsid w:val="001B0C96"/>
    <w:rsid w:val="001B34DA"/>
    <w:rsid w:val="001B3C76"/>
    <w:rsid w:val="001B42D3"/>
    <w:rsid w:val="001B4F93"/>
    <w:rsid w:val="001B5272"/>
    <w:rsid w:val="001B6187"/>
    <w:rsid w:val="001B735B"/>
    <w:rsid w:val="001B7E2B"/>
    <w:rsid w:val="001C16A8"/>
    <w:rsid w:val="001C23BE"/>
    <w:rsid w:val="001C3759"/>
    <w:rsid w:val="001C4D28"/>
    <w:rsid w:val="001C609E"/>
    <w:rsid w:val="001C70B8"/>
    <w:rsid w:val="001D1850"/>
    <w:rsid w:val="001D1FF0"/>
    <w:rsid w:val="001D229A"/>
    <w:rsid w:val="001D2E59"/>
    <w:rsid w:val="001D31CB"/>
    <w:rsid w:val="001D33E0"/>
    <w:rsid w:val="001D44E2"/>
    <w:rsid w:val="001D53A3"/>
    <w:rsid w:val="001D5A62"/>
    <w:rsid w:val="001D66E6"/>
    <w:rsid w:val="001D76F7"/>
    <w:rsid w:val="001D7F61"/>
    <w:rsid w:val="001E09D9"/>
    <w:rsid w:val="001E0ABA"/>
    <w:rsid w:val="001E0D12"/>
    <w:rsid w:val="001E1313"/>
    <w:rsid w:val="001E18BB"/>
    <w:rsid w:val="001E24E8"/>
    <w:rsid w:val="001E2D73"/>
    <w:rsid w:val="001E402D"/>
    <w:rsid w:val="001E48D2"/>
    <w:rsid w:val="001E4D05"/>
    <w:rsid w:val="001E57B9"/>
    <w:rsid w:val="001F0045"/>
    <w:rsid w:val="001F0E4E"/>
    <w:rsid w:val="001F184B"/>
    <w:rsid w:val="001F4807"/>
    <w:rsid w:val="001F601C"/>
    <w:rsid w:val="001F670D"/>
    <w:rsid w:val="001F7840"/>
    <w:rsid w:val="001F7A46"/>
    <w:rsid w:val="002026D3"/>
    <w:rsid w:val="00202CF4"/>
    <w:rsid w:val="00203CD7"/>
    <w:rsid w:val="002044AA"/>
    <w:rsid w:val="002069C1"/>
    <w:rsid w:val="002071AE"/>
    <w:rsid w:val="002078F2"/>
    <w:rsid w:val="00207A5D"/>
    <w:rsid w:val="00207D92"/>
    <w:rsid w:val="00212A79"/>
    <w:rsid w:val="00212CAF"/>
    <w:rsid w:val="00213398"/>
    <w:rsid w:val="00213E5D"/>
    <w:rsid w:val="00213FD1"/>
    <w:rsid w:val="00214B2F"/>
    <w:rsid w:val="00216C72"/>
    <w:rsid w:val="00216DE6"/>
    <w:rsid w:val="00217D41"/>
    <w:rsid w:val="00220052"/>
    <w:rsid w:val="002202BA"/>
    <w:rsid w:val="00221369"/>
    <w:rsid w:val="00225021"/>
    <w:rsid w:val="0022579A"/>
    <w:rsid w:val="00225BCD"/>
    <w:rsid w:val="00226154"/>
    <w:rsid w:val="00226B69"/>
    <w:rsid w:val="00226B89"/>
    <w:rsid w:val="00226CEA"/>
    <w:rsid w:val="00230DF5"/>
    <w:rsid w:val="002322A0"/>
    <w:rsid w:val="00232874"/>
    <w:rsid w:val="0023390A"/>
    <w:rsid w:val="002342DE"/>
    <w:rsid w:val="002350EA"/>
    <w:rsid w:val="002355B4"/>
    <w:rsid w:val="002357C6"/>
    <w:rsid w:val="00236BBA"/>
    <w:rsid w:val="002375F9"/>
    <w:rsid w:val="00241126"/>
    <w:rsid w:val="00241335"/>
    <w:rsid w:val="00241E77"/>
    <w:rsid w:val="00242494"/>
    <w:rsid w:val="002438D5"/>
    <w:rsid w:val="00245B47"/>
    <w:rsid w:val="00245D41"/>
    <w:rsid w:val="0024782E"/>
    <w:rsid w:val="002507F6"/>
    <w:rsid w:val="00254E99"/>
    <w:rsid w:val="00254FFD"/>
    <w:rsid w:val="00256A23"/>
    <w:rsid w:val="00260A56"/>
    <w:rsid w:val="00260C34"/>
    <w:rsid w:val="0026153F"/>
    <w:rsid w:val="002616BB"/>
    <w:rsid w:val="00262834"/>
    <w:rsid w:val="00263AD4"/>
    <w:rsid w:val="002642F6"/>
    <w:rsid w:val="00264513"/>
    <w:rsid w:val="002650BA"/>
    <w:rsid w:val="002661C0"/>
    <w:rsid w:val="002675D7"/>
    <w:rsid w:val="00267D03"/>
    <w:rsid w:val="00270195"/>
    <w:rsid w:val="002713BB"/>
    <w:rsid w:val="00272B28"/>
    <w:rsid w:val="00272CCE"/>
    <w:rsid w:val="00272FC5"/>
    <w:rsid w:val="0027384F"/>
    <w:rsid w:val="00273FB9"/>
    <w:rsid w:val="002740A4"/>
    <w:rsid w:val="002741D8"/>
    <w:rsid w:val="002744BA"/>
    <w:rsid w:val="002745F8"/>
    <w:rsid w:val="00276DEC"/>
    <w:rsid w:val="00284528"/>
    <w:rsid w:val="00285B7F"/>
    <w:rsid w:val="00286666"/>
    <w:rsid w:val="00286DF7"/>
    <w:rsid w:val="00287A67"/>
    <w:rsid w:val="00290F46"/>
    <w:rsid w:val="00291947"/>
    <w:rsid w:val="00292C6A"/>
    <w:rsid w:val="00293AD5"/>
    <w:rsid w:val="00293EA7"/>
    <w:rsid w:val="00294D16"/>
    <w:rsid w:val="002953A4"/>
    <w:rsid w:val="00295934"/>
    <w:rsid w:val="00295EA4"/>
    <w:rsid w:val="00296275"/>
    <w:rsid w:val="00296D8D"/>
    <w:rsid w:val="002A0D16"/>
    <w:rsid w:val="002A3318"/>
    <w:rsid w:val="002A4353"/>
    <w:rsid w:val="002A472B"/>
    <w:rsid w:val="002A5162"/>
    <w:rsid w:val="002A552D"/>
    <w:rsid w:val="002A5D1A"/>
    <w:rsid w:val="002A5F67"/>
    <w:rsid w:val="002A6895"/>
    <w:rsid w:val="002A7584"/>
    <w:rsid w:val="002B0600"/>
    <w:rsid w:val="002B0E03"/>
    <w:rsid w:val="002B135E"/>
    <w:rsid w:val="002B1D35"/>
    <w:rsid w:val="002B211B"/>
    <w:rsid w:val="002B484C"/>
    <w:rsid w:val="002B516C"/>
    <w:rsid w:val="002B542F"/>
    <w:rsid w:val="002C0DDE"/>
    <w:rsid w:val="002C12E2"/>
    <w:rsid w:val="002C14A7"/>
    <w:rsid w:val="002C197B"/>
    <w:rsid w:val="002C23E2"/>
    <w:rsid w:val="002C29A7"/>
    <w:rsid w:val="002C2B4F"/>
    <w:rsid w:val="002C40A7"/>
    <w:rsid w:val="002C52E1"/>
    <w:rsid w:val="002C5F0E"/>
    <w:rsid w:val="002C6775"/>
    <w:rsid w:val="002C6E91"/>
    <w:rsid w:val="002C7659"/>
    <w:rsid w:val="002D14EF"/>
    <w:rsid w:val="002D15FB"/>
    <w:rsid w:val="002D1D7C"/>
    <w:rsid w:val="002D2808"/>
    <w:rsid w:val="002D2C22"/>
    <w:rsid w:val="002D2C78"/>
    <w:rsid w:val="002D33A0"/>
    <w:rsid w:val="002D362E"/>
    <w:rsid w:val="002D3F64"/>
    <w:rsid w:val="002D4894"/>
    <w:rsid w:val="002D4E17"/>
    <w:rsid w:val="002D63CC"/>
    <w:rsid w:val="002D788C"/>
    <w:rsid w:val="002D7E49"/>
    <w:rsid w:val="002E0C3F"/>
    <w:rsid w:val="002E0FA0"/>
    <w:rsid w:val="002E10FD"/>
    <w:rsid w:val="002E2AC7"/>
    <w:rsid w:val="002E338E"/>
    <w:rsid w:val="002E3FEC"/>
    <w:rsid w:val="002E4221"/>
    <w:rsid w:val="002E5B56"/>
    <w:rsid w:val="002E71E5"/>
    <w:rsid w:val="002E76B2"/>
    <w:rsid w:val="002F0EA5"/>
    <w:rsid w:val="002F206C"/>
    <w:rsid w:val="002F38FA"/>
    <w:rsid w:val="002F428C"/>
    <w:rsid w:val="002F45F8"/>
    <w:rsid w:val="002F4B33"/>
    <w:rsid w:val="002F4D31"/>
    <w:rsid w:val="002F563F"/>
    <w:rsid w:val="002F5A6D"/>
    <w:rsid w:val="002F709B"/>
    <w:rsid w:val="002F719A"/>
    <w:rsid w:val="002F72C4"/>
    <w:rsid w:val="002F7FF0"/>
    <w:rsid w:val="003007E9"/>
    <w:rsid w:val="003018D6"/>
    <w:rsid w:val="00302B2D"/>
    <w:rsid w:val="00302E28"/>
    <w:rsid w:val="0030422F"/>
    <w:rsid w:val="003045DB"/>
    <w:rsid w:val="00304644"/>
    <w:rsid w:val="00304707"/>
    <w:rsid w:val="00304DC3"/>
    <w:rsid w:val="0030521F"/>
    <w:rsid w:val="0030656D"/>
    <w:rsid w:val="00306CAE"/>
    <w:rsid w:val="003106B2"/>
    <w:rsid w:val="0031088C"/>
    <w:rsid w:val="00310C53"/>
    <w:rsid w:val="00310E84"/>
    <w:rsid w:val="00311441"/>
    <w:rsid w:val="003118B2"/>
    <w:rsid w:val="00312B0D"/>
    <w:rsid w:val="00313044"/>
    <w:rsid w:val="003137C3"/>
    <w:rsid w:val="00315A20"/>
    <w:rsid w:val="00316739"/>
    <w:rsid w:val="00316D59"/>
    <w:rsid w:val="0031772D"/>
    <w:rsid w:val="00321069"/>
    <w:rsid w:val="003223FE"/>
    <w:rsid w:val="00322503"/>
    <w:rsid w:val="00322C66"/>
    <w:rsid w:val="00322EB8"/>
    <w:rsid w:val="0032376C"/>
    <w:rsid w:val="00323E8C"/>
    <w:rsid w:val="00324B62"/>
    <w:rsid w:val="00324CC5"/>
    <w:rsid w:val="00325616"/>
    <w:rsid w:val="00325C5B"/>
    <w:rsid w:val="00326832"/>
    <w:rsid w:val="00330293"/>
    <w:rsid w:val="0033126E"/>
    <w:rsid w:val="00331FB8"/>
    <w:rsid w:val="00333C2A"/>
    <w:rsid w:val="00333F71"/>
    <w:rsid w:val="0033496D"/>
    <w:rsid w:val="00334D8F"/>
    <w:rsid w:val="00334DC6"/>
    <w:rsid w:val="00335669"/>
    <w:rsid w:val="00335F6A"/>
    <w:rsid w:val="00336DF8"/>
    <w:rsid w:val="00340D54"/>
    <w:rsid w:val="003427F1"/>
    <w:rsid w:val="003434E6"/>
    <w:rsid w:val="0034354F"/>
    <w:rsid w:val="0034428A"/>
    <w:rsid w:val="00345E61"/>
    <w:rsid w:val="00346B1D"/>
    <w:rsid w:val="00347729"/>
    <w:rsid w:val="0035037F"/>
    <w:rsid w:val="003504DD"/>
    <w:rsid w:val="003505FB"/>
    <w:rsid w:val="00351B35"/>
    <w:rsid w:val="00353080"/>
    <w:rsid w:val="00353FCF"/>
    <w:rsid w:val="003548CC"/>
    <w:rsid w:val="00354D50"/>
    <w:rsid w:val="00354E8A"/>
    <w:rsid w:val="003570D2"/>
    <w:rsid w:val="00357542"/>
    <w:rsid w:val="0035769C"/>
    <w:rsid w:val="00357C73"/>
    <w:rsid w:val="00357E24"/>
    <w:rsid w:val="00360D62"/>
    <w:rsid w:val="003626AC"/>
    <w:rsid w:val="00363199"/>
    <w:rsid w:val="003647F1"/>
    <w:rsid w:val="003655B2"/>
    <w:rsid w:val="003656B2"/>
    <w:rsid w:val="00365797"/>
    <w:rsid w:val="003666B0"/>
    <w:rsid w:val="003679D2"/>
    <w:rsid w:val="00370BAC"/>
    <w:rsid w:val="0037228F"/>
    <w:rsid w:val="00372AB4"/>
    <w:rsid w:val="00373016"/>
    <w:rsid w:val="00373997"/>
    <w:rsid w:val="003745E4"/>
    <w:rsid w:val="0037460A"/>
    <w:rsid w:val="00374B58"/>
    <w:rsid w:val="00374DD4"/>
    <w:rsid w:val="00375B22"/>
    <w:rsid w:val="00375F24"/>
    <w:rsid w:val="00376278"/>
    <w:rsid w:val="00376536"/>
    <w:rsid w:val="00376572"/>
    <w:rsid w:val="00376ADE"/>
    <w:rsid w:val="00377E6C"/>
    <w:rsid w:val="0038146F"/>
    <w:rsid w:val="003815A9"/>
    <w:rsid w:val="0038164B"/>
    <w:rsid w:val="00381AD5"/>
    <w:rsid w:val="00382291"/>
    <w:rsid w:val="0038307F"/>
    <w:rsid w:val="0038399A"/>
    <w:rsid w:val="0038417A"/>
    <w:rsid w:val="00384C13"/>
    <w:rsid w:val="00385B77"/>
    <w:rsid w:val="00385BD6"/>
    <w:rsid w:val="00385CDD"/>
    <w:rsid w:val="00386763"/>
    <w:rsid w:val="00386C7C"/>
    <w:rsid w:val="003871C9"/>
    <w:rsid w:val="00390B41"/>
    <w:rsid w:val="00391288"/>
    <w:rsid w:val="00391D08"/>
    <w:rsid w:val="003938F1"/>
    <w:rsid w:val="00394F1D"/>
    <w:rsid w:val="003954C5"/>
    <w:rsid w:val="003960BB"/>
    <w:rsid w:val="00397F80"/>
    <w:rsid w:val="003A035E"/>
    <w:rsid w:val="003A0B0E"/>
    <w:rsid w:val="003A0FCD"/>
    <w:rsid w:val="003A1691"/>
    <w:rsid w:val="003A246F"/>
    <w:rsid w:val="003A2985"/>
    <w:rsid w:val="003A2BA8"/>
    <w:rsid w:val="003A313F"/>
    <w:rsid w:val="003A4CD7"/>
    <w:rsid w:val="003A5AE9"/>
    <w:rsid w:val="003A72EF"/>
    <w:rsid w:val="003A7F9F"/>
    <w:rsid w:val="003B0176"/>
    <w:rsid w:val="003B026E"/>
    <w:rsid w:val="003B0423"/>
    <w:rsid w:val="003B0721"/>
    <w:rsid w:val="003B0C7A"/>
    <w:rsid w:val="003B287D"/>
    <w:rsid w:val="003B389A"/>
    <w:rsid w:val="003B4317"/>
    <w:rsid w:val="003B60B2"/>
    <w:rsid w:val="003B79C7"/>
    <w:rsid w:val="003B7FB4"/>
    <w:rsid w:val="003C0207"/>
    <w:rsid w:val="003C083E"/>
    <w:rsid w:val="003C3DB1"/>
    <w:rsid w:val="003C3E45"/>
    <w:rsid w:val="003C4CFB"/>
    <w:rsid w:val="003C56F0"/>
    <w:rsid w:val="003C6DE8"/>
    <w:rsid w:val="003C6E2D"/>
    <w:rsid w:val="003D0059"/>
    <w:rsid w:val="003D0186"/>
    <w:rsid w:val="003D37BA"/>
    <w:rsid w:val="003D42BB"/>
    <w:rsid w:val="003D5151"/>
    <w:rsid w:val="003D53BA"/>
    <w:rsid w:val="003D7B8E"/>
    <w:rsid w:val="003E0424"/>
    <w:rsid w:val="003E195F"/>
    <w:rsid w:val="003E1F35"/>
    <w:rsid w:val="003E21B2"/>
    <w:rsid w:val="003E4AE5"/>
    <w:rsid w:val="003E598E"/>
    <w:rsid w:val="003E6061"/>
    <w:rsid w:val="003E6471"/>
    <w:rsid w:val="003E6723"/>
    <w:rsid w:val="003E733B"/>
    <w:rsid w:val="003E7CF4"/>
    <w:rsid w:val="003F01A5"/>
    <w:rsid w:val="003F0418"/>
    <w:rsid w:val="003F0493"/>
    <w:rsid w:val="003F1060"/>
    <w:rsid w:val="003F2CDA"/>
    <w:rsid w:val="003F2DCC"/>
    <w:rsid w:val="003F3384"/>
    <w:rsid w:val="003F3BF4"/>
    <w:rsid w:val="003F4C5E"/>
    <w:rsid w:val="003F4E65"/>
    <w:rsid w:val="003F543A"/>
    <w:rsid w:val="00400F02"/>
    <w:rsid w:val="00401170"/>
    <w:rsid w:val="0040129F"/>
    <w:rsid w:val="00402720"/>
    <w:rsid w:val="00403909"/>
    <w:rsid w:val="004039A3"/>
    <w:rsid w:val="00404E4B"/>
    <w:rsid w:val="00405A57"/>
    <w:rsid w:val="00410716"/>
    <w:rsid w:val="004109CE"/>
    <w:rsid w:val="00413902"/>
    <w:rsid w:val="004145DD"/>
    <w:rsid w:val="0041595B"/>
    <w:rsid w:val="0041601C"/>
    <w:rsid w:val="00416032"/>
    <w:rsid w:val="004168EC"/>
    <w:rsid w:val="00417A77"/>
    <w:rsid w:val="00417B61"/>
    <w:rsid w:val="00420D19"/>
    <w:rsid w:val="0042167D"/>
    <w:rsid w:val="00421D0F"/>
    <w:rsid w:val="00422A39"/>
    <w:rsid w:val="00422C25"/>
    <w:rsid w:val="00423295"/>
    <w:rsid w:val="00424242"/>
    <w:rsid w:val="00425923"/>
    <w:rsid w:val="00425F86"/>
    <w:rsid w:val="00426D91"/>
    <w:rsid w:val="004301DB"/>
    <w:rsid w:val="004307C4"/>
    <w:rsid w:val="00430B68"/>
    <w:rsid w:val="0043326A"/>
    <w:rsid w:val="004334A8"/>
    <w:rsid w:val="0043379D"/>
    <w:rsid w:val="00433967"/>
    <w:rsid w:val="004345D2"/>
    <w:rsid w:val="004356AB"/>
    <w:rsid w:val="00435F42"/>
    <w:rsid w:val="004369F3"/>
    <w:rsid w:val="00436C95"/>
    <w:rsid w:val="00437A5C"/>
    <w:rsid w:val="004406B4"/>
    <w:rsid w:val="00440FC0"/>
    <w:rsid w:val="004432DF"/>
    <w:rsid w:val="0044392C"/>
    <w:rsid w:val="00443988"/>
    <w:rsid w:val="00443A0B"/>
    <w:rsid w:val="00444543"/>
    <w:rsid w:val="00444C89"/>
    <w:rsid w:val="00444F33"/>
    <w:rsid w:val="00445006"/>
    <w:rsid w:val="00446905"/>
    <w:rsid w:val="00446D7E"/>
    <w:rsid w:val="00447274"/>
    <w:rsid w:val="00447482"/>
    <w:rsid w:val="00450827"/>
    <w:rsid w:val="00451C24"/>
    <w:rsid w:val="004524FB"/>
    <w:rsid w:val="004532B1"/>
    <w:rsid w:val="004554FA"/>
    <w:rsid w:val="00455E37"/>
    <w:rsid w:val="00456069"/>
    <w:rsid w:val="004574E8"/>
    <w:rsid w:val="004603FA"/>
    <w:rsid w:val="00462725"/>
    <w:rsid w:val="00464C97"/>
    <w:rsid w:val="004654E4"/>
    <w:rsid w:val="004657C1"/>
    <w:rsid w:val="0047031C"/>
    <w:rsid w:val="00470E06"/>
    <w:rsid w:val="00470EBE"/>
    <w:rsid w:val="0047107B"/>
    <w:rsid w:val="0047137E"/>
    <w:rsid w:val="00471DB9"/>
    <w:rsid w:val="00472697"/>
    <w:rsid w:val="004764A5"/>
    <w:rsid w:val="004768D1"/>
    <w:rsid w:val="00477B2E"/>
    <w:rsid w:val="00477E47"/>
    <w:rsid w:val="00477F1B"/>
    <w:rsid w:val="0048081A"/>
    <w:rsid w:val="004818D7"/>
    <w:rsid w:val="00481F32"/>
    <w:rsid w:val="004844E1"/>
    <w:rsid w:val="00484B85"/>
    <w:rsid w:val="00484C3C"/>
    <w:rsid w:val="00485E3D"/>
    <w:rsid w:val="00486E0A"/>
    <w:rsid w:val="00487E10"/>
    <w:rsid w:val="00490EF9"/>
    <w:rsid w:val="004910D9"/>
    <w:rsid w:val="00492469"/>
    <w:rsid w:val="00492A0F"/>
    <w:rsid w:val="004932AE"/>
    <w:rsid w:val="004955CF"/>
    <w:rsid w:val="004960BD"/>
    <w:rsid w:val="004979A6"/>
    <w:rsid w:val="004A0C68"/>
    <w:rsid w:val="004A2BFB"/>
    <w:rsid w:val="004A378C"/>
    <w:rsid w:val="004A395D"/>
    <w:rsid w:val="004A3BC9"/>
    <w:rsid w:val="004A5911"/>
    <w:rsid w:val="004A7168"/>
    <w:rsid w:val="004A77E1"/>
    <w:rsid w:val="004A7FDB"/>
    <w:rsid w:val="004B020C"/>
    <w:rsid w:val="004B16BC"/>
    <w:rsid w:val="004B1A61"/>
    <w:rsid w:val="004B260E"/>
    <w:rsid w:val="004B2818"/>
    <w:rsid w:val="004B3CE5"/>
    <w:rsid w:val="004B5123"/>
    <w:rsid w:val="004B5842"/>
    <w:rsid w:val="004B5A2E"/>
    <w:rsid w:val="004B788C"/>
    <w:rsid w:val="004B7DEB"/>
    <w:rsid w:val="004B7EAD"/>
    <w:rsid w:val="004C05AB"/>
    <w:rsid w:val="004C06F0"/>
    <w:rsid w:val="004C0BBB"/>
    <w:rsid w:val="004C1841"/>
    <w:rsid w:val="004C1A3E"/>
    <w:rsid w:val="004C1E2D"/>
    <w:rsid w:val="004C215D"/>
    <w:rsid w:val="004C39A8"/>
    <w:rsid w:val="004C39C6"/>
    <w:rsid w:val="004C3C01"/>
    <w:rsid w:val="004C3F76"/>
    <w:rsid w:val="004C4125"/>
    <w:rsid w:val="004C4FEC"/>
    <w:rsid w:val="004C5590"/>
    <w:rsid w:val="004C5F35"/>
    <w:rsid w:val="004C6B47"/>
    <w:rsid w:val="004D1141"/>
    <w:rsid w:val="004D177F"/>
    <w:rsid w:val="004D1935"/>
    <w:rsid w:val="004D1C27"/>
    <w:rsid w:val="004D1D70"/>
    <w:rsid w:val="004D200A"/>
    <w:rsid w:val="004D2C81"/>
    <w:rsid w:val="004D3A51"/>
    <w:rsid w:val="004D3C57"/>
    <w:rsid w:val="004D3C61"/>
    <w:rsid w:val="004D5BAF"/>
    <w:rsid w:val="004D5ECB"/>
    <w:rsid w:val="004D6328"/>
    <w:rsid w:val="004E0E13"/>
    <w:rsid w:val="004E2F75"/>
    <w:rsid w:val="004E58A6"/>
    <w:rsid w:val="004E72A3"/>
    <w:rsid w:val="004E7E6F"/>
    <w:rsid w:val="004F038B"/>
    <w:rsid w:val="004F066D"/>
    <w:rsid w:val="004F0828"/>
    <w:rsid w:val="004F0F9D"/>
    <w:rsid w:val="004F193F"/>
    <w:rsid w:val="004F1BF1"/>
    <w:rsid w:val="004F2167"/>
    <w:rsid w:val="004F2B82"/>
    <w:rsid w:val="004F39A4"/>
    <w:rsid w:val="004F5A57"/>
    <w:rsid w:val="004F5E85"/>
    <w:rsid w:val="004F63D3"/>
    <w:rsid w:val="00500443"/>
    <w:rsid w:val="00500A06"/>
    <w:rsid w:val="00501035"/>
    <w:rsid w:val="0050168C"/>
    <w:rsid w:val="00502CF0"/>
    <w:rsid w:val="005031BC"/>
    <w:rsid w:val="00504773"/>
    <w:rsid w:val="0050503A"/>
    <w:rsid w:val="00505261"/>
    <w:rsid w:val="005052E0"/>
    <w:rsid w:val="005057D4"/>
    <w:rsid w:val="00505986"/>
    <w:rsid w:val="0050686D"/>
    <w:rsid w:val="00507D87"/>
    <w:rsid w:val="0051051A"/>
    <w:rsid w:val="00511AB4"/>
    <w:rsid w:val="005134D0"/>
    <w:rsid w:val="00514A01"/>
    <w:rsid w:val="00514D1E"/>
    <w:rsid w:val="00517DE9"/>
    <w:rsid w:val="0052020C"/>
    <w:rsid w:val="005216E6"/>
    <w:rsid w:val="00521EFD"/>
    <w:rsid w:val="0052215D"/>
    <w:rsid w:val="00523916"/>
    <w:rsid w:val="00524891"/>
    <w:rsid w:val="005251EA"/>
    <w:rsid w:val="0052540C"/>
    <w:rsid w:val="00527A0F"/>
    <w:rsid w:val="00527A67"/>
    <w:rsid w:val="0053102E"/>
    <w:rsid w:val="0053196A"/>
    <w:rsid w:val="005327EF"/>
    <w:rsid w:val="0053336D"/>
    <w:rsid w:val="0053382A"/>
    <w:rsid w:val="00535342"/>
    <w:rsid w:val="005362A5"/>
    <w:rsid w:val="005363F9"/>
    <w:rsid w:val="005369AA"/>
    <w:rsid w:val="00536B9B"/>
    <w:rsid w:val="00536F87"/>
    <w:rsid w:val="005374E6"/>
    <w:rsid w:val="005403B9"/>
    <w:rsid w:val="00540484"/>
    <w:rsid w:val="00540DFC"/>
    <w:rsid w:val="005412C9"/>
    <w:rsid w:val="00543498"/>
    <w:rsid w:val="00543B0F"/>
    <w:rsid w:val="005445CB"/>
    <w:rsid w:val="00544601"/>
    <w:rsid w:val="005448FA"/>
    <w:rsid w:val="005449AF"/>
    <w:rsid w:val="005451CC"/>
    <w:rsid w:val="0054533C"/>
    <w:rsid w:val="00546507"/>
    <w:rsid w:val="00546B98"/>
    <w:rsid w:val="0054772E"/>
    <w:rsid w:val="00547DDC"/>
    <w:rsid w:val="0055013C"/>
    <w:rsid w:val="005501D1"/>
    <w:rsid w:val="005504B4"/>
    <w:rsid w:val="00550805"/>
    <w:rsid w:val="0055150C"/>
    <w:rsid w:val="00551634"/>
    <w:rsid w:val="005521BE"/>
    <w:rsid w:val="00552AF3"/>
    <w:rsid w:val="00552E09"/>
    <w:rsid w:val="00552E11"/>
    <w:rsid w:val="005531C2"/>
    <w:rsid w:val="005532AD"/>
    <w:rsid w:val="00553611"/>
    <w:rsid w:val="005555DC"/>
    <w:rsid w:val="00560313"/>
    <w:rsid w:val="00560C8C"/>
    <w:rsid w:val="00560CF4"/>
    <w:rsid w:val="0056107E"/>
    <w:rsid w:val="00561403"/>
    <w:rsid w:val="005619FB"/>
    <w:rsid w:val="005623B3"/>
    <w:rsid w:val="0056269C"/>
    <w:rsid w:val="005632E7"/>
    <w:rsid w:val="005640CC"/>
    <w:rsid w:val="00564734"/>
    <w:rsid w:val="00564B5E"/>
    <w:rsid w:val="00564C83"/>
    <w:rsid w:val="0056512A"/>
    <w:rsid w:val="0056561A"/>
    <w:rsid w:val="00565F95"/>
    <w:rsid w:val="0056643F"/>
    <w:rsid w:val="00566506"/>
    <w:rsid w:val="00566A8F"/>
    <w:rsid w:val="0056734B"/>
    <w:rsid w:val="00567981"/>
    <w:rsid w:val="00567B7B"/>
    <w:rsid w:val="00567C62"/>
    <w:rsid w:val="00567CD1"/>
    <w:rsid w:val="00570ED2"/>
    <w:rsid w:val="005719F7"/>
    <w:rsid w:val="005724D8"/>
    <w:rsid w:val="005727A7"/>
    <w:rsid w:val="0057280F"/>
    <w:rsid w:val="00573088"/>
    <w:rsid w:val="0057331F"/>
    <w:rsid w:val="005745D9"/>
    <w:rsid w:val="005753CE"/>
    <w:rsid w:val="0057558F"/>
    <w:rsid w:val="00575779"/>
    <w:rsid w:val="005762F4"/>
    <w:rsid w:val="00577A2F"/>
    <w:rsid w:val="00577CCD"/>
    <w:rsid w:val="00577FC6"/>
    <w:rsid w:val="00582052"/>
    <w:rsid w:val="00582ABD"/>
    <w:rsid w:val="00584527"/>
    <w:rsid w:val="00584AA7"/>
    <w:rsid w:val="00586632"/>
    <w:rsid w:val="005904B4"/>
    <w:rsid w:val="00591555"/>
    <w:rsid w:val="00591995"/>
    <w:rsid w:val="0059262E"/>
    <w:rsid w:val="00592B37"/>
    <w:rsid w:val="005930AB"/>
    <w:rsid w:val="005938F7"/>
    <w:rsid w:val="00593BC4"/>
    <w:rsid w:val="00595C0C"/>
    <w:rsid w:val="00595E0B"/>
    <w:rsid w:val="005961EF"/>
    <w:rsid w:val="00596BBE"/>
    <w:rsid w:val="005A0488"/>
    <w:rsid w:val="005A1B49"/>
    <w:rsid w:val="005A216A"/>
    <w:rsid w:val="005A2CA3"/>
    <w:rsid w:val="005A2F01"/>
    <w:rsid w:val="005A3D45"/>
    <w:rsid w:val="005A5070"/>
    <w:rsid w:val="005A5586"/>
    <w:rsid w:val="005A5F6B"/>
    <w:rsid w:val="005A6AD9"/>
    <w:rsid w:val="005A6EA5"/>
    <w:rsid w:val="005A7AE8"/>
    <w:rsid w:val="005B0102"/>
    <w:rsid w:val="005B01B3"/>
    <w:rsid w:val="005B0B19"/>
    <w:rsid w:val="005B2D05"/>
    <w:rsid w:val="005B4191"/>
    <w:rsid w:val="005B5521"/>
    <w:rsid w:val="005B5A8A"/>
    <w:rsid w:val="005B63BC"/>
    <w:rsid w:val="005B652B"/>
    <w:rsid w:val="005B6637"/>
    <w:rsid w:val="005C1994"/>
    <w:rsid w:val="005C2156"/>
    <w:rsid w:val="005C2E7D"/>
    <w:rsid w:val="005C3C65"/>
    <w:rsid w:val="005C3D0E"/>
    <w:rsid w:val="005C4EA2"/>
    <w:rsid w:val="005C5490"/>
    <w:rsid w:val="005C590C"/>
    <w:rsid w:val="005C7588"/>
    <w:rsid w:val="005C79AA"/>
    <w:rsid w:val="005D1054"/>
    <w:rsid w:val="005D151A"/>
    <w:rsid w:val="005D1F26"/>
    <w:rsid w:val="005D2BF5"/>
    <w:rsid w:val="005D2EBC"/>
    <w:rsid w:val="005D33B2"/>
    <w:rsid w:val="005D363F"/>
    <w:rsid w:val="005D3B44"/>
    <w:rsid w:val="005D4299"/>
    <w:rsid w:val="005D4C08"/>
    <w:rsid w:val="005D4E58"/>
    <w:rsid w:val="005D7E1A"/>
    <w:rsid w:val="005E2E8A"/>
    <w:rsid w:val="005E353A"/>
    <w:rsid w:val="005E7654"/>
    <w:rsid w:val="005E7F6C"/>
    <w:rsid w:val="005F1CC6"/>
    <w:rsid w:val="005F2115"/>
    <w:rsid w:val="005F27AC"/>
    <w:rsid w:val="005F2EB9"/>
    <w:rsid w:val="005F2F58"/>
    <w:rsid w:val="005F3931"/>
    <w:rsid w:val="005F42FB"/>
    <w:rsid w:val="005F4E15"/>
    <w:rsid w:val="005F52C6"/>
    <w:rsid w:val="005F57D9"/>
    <w:rsid w:val="005F5D23"/>
    <w:rsid w:val="005F5D9A"/>
    <w:rsid w:val="005F5E6D"/>
    <w:rsid w:val="005F618F"/>
    <w:rsid w:val="005F7190"/>
    <w:rsid w:val="00600601"/>
    <w:rsid w:val="00601472"/>
    <w:rsid w:val="00601566"/>
    <w:rsid w:val="00601781"/>
    <w:rsid w:val="0060384B"/>
    <w:rsid w:val="00604386"/>
    <w:rsid w:val="00604CA1"/>
    <w:rsid w:val="00605CE4"/>
    <w:rsid w:val="0060659E"/>
    <w:rsid w:val="00607182"/>
    <w:rsid w:val="006077B1"/>
    <w:rsid w:val="006106D6"/>
    <w:rsid w:val="00612012"/>
    <w:rsid w:val="00613A67"/>
    <w:rsid w:val="00613BEC"/>
    <w:rsid w:val="0061645B"/>
    <w:rsid w:val="0061775D"/>
    <w:rsid w:val="006179B4"/>
    <w:rsid w:val="00620951"/>
    <w:rsid w:val="0062102D"/>
    <w:rsid w:val="00621914"/>
    <w:rsid w:val="00621988"/>
    <w:rsid w:val="00622DE5"/>
    <w:rsid w:val="00623BED"/>
    <w:rsid w:val="0062554F"/>
    <w:rsid w:val="006270A0"/>
    <w:rsid w:val="00627309"/>
    <w:rsid w:val="00627818"/>
    <w:rsid w:val="006304A2"/>
    <w:rsid w:val="00631449"/>
    <w:rsid w:val="0063188D"/>
    <w:rsid w:val="00632007"/>
    <w:rsid w:val="0063448C"/>
    <w:rsid w:val="00634C0B"/>
    <w:rsid w:val="00634DE5"/>
    <w:rsid w:val="00635163"/>
    <w:rsid w:val="006369F2"/>
    <w:rsid w:val="00640DF4"/>
    <w:rsid w:val="00642594"/>
    <w:rsid w:val="00642ACA"/>
    <w:rsid w:val="00644159"/>
    <w:rsid w:val="006446B6"/>
    <w:rsid w:val="0064568F"/>
    <w:rsid w:val="006479BC"/>
    <w:rsid w:val="00650349"/>
    <w:rsid w:val="00650865"/>
    <w:rsid w:val="00650EAD"/>
    <w:rsid w:val="00651A2B"/>
    <w:rsid w:val="00651A6B"/>
    <w:rsid w:val="00652BBB"/>
    <w:rsid w:val="00653F67"/>
    <w:rsid w:val="006544D0"/>
    <w:rsid w:val="0065451D"/>
    <w:rsid w:val="006553A4"/>
    <w:rsid w:val="0065628E"/>
    <w:rsid w:val="00656FBF"/>
    <w:rsid w:val="00663E86"/>
    <w:rsid w:val="0066425B"/>
    <w:rsid w:val="006642B7"/>
    <w:rsid w:val="00664738"/>
    <w:rsid w:val="00666C85"/>
    <w:rsid w:val="00670329"/>
    <w:rsid w:val="00672B57"/>
    <w:rsid w:val="00672EC7"/>
    <w:rsid w:val="006737F5"/>
    <w:rsid w:val="006743B7"/>
    <w:rsid w:val="00674418"/>
    <w:rsid w:val="00674A21"/>
    <w:rsid w:val="006772E4"/>
    <w:rsid w:val="006773CF"/>
    <w:rsid w:val="00677F40"/>
    <w:rsid w:val="00680815"/>
    <w:rsid w:val="00680F9A"/>
    <w:rsid w:val="00681B56"/>
    <w:rsid w:val="00682534"/>
    <w:rsid w:val="00683CAB"/>
    <w:rsid w:val="0068526E"/>
    <w:rsid w:val="00685E11"/>
    <w:rsid w:val="00687709"/>
    <w:rsid w:val="006903A6"/>
    <w:rsid w:val="006905E5"/>
    <w:rsid w:val="00690870"/>
    <w:rsid w:val="00691CA4"/>
    <w:rsid w:val="00692493"/>
    <w:rsid w:val="006926EE"/>
    <w:rsid w:val="006927CC"/>
    <w:rsid w:val="00692E8E"/>
    <w:rsid w:val="00693596"/>
    <w:rsid w:val="006936A4"/>
    <w:rsid w:val="006941EA"/>
    <w:rsid w:val="0069451C"/>
    <w:rsid w:val="00696AA6"/>
    <w:rsid w:val="006A1402"/>
    <w:rsid w:val="006A28AF"/>
    <w:rsid w:val="006A3247"/>
    <w:rsid w:val="006A5433"/>
    <w:rsid w:val="006A5B28"/>
    <w:rsid w:val="006A6180"/>
    <w:rsid w:val="006A61CE"/>
    <w:rsid w:val="006A6CC8"/>
    <w:rsid w:val="006A7DFF"/>
    <w:rsid w:val="006A7FE9"/>
    <w:rsid w:val="006A7FF7"/>
    <w:rsid w:val="006B026D"/>
    <w:rsid w:val="006B07C0"/>
    <w:rsid w:val="006B0CD3"/>
    <w:rsid w:val="006B195C"/>
    <w:rsid w:val="006B1A41"/>
    <w:rsid w:val="006B34AA"/>
    <w:rsid w:val="006B361C"/>
    <w:rsid w:val="006B424D"/>
    <w:rsid w:val="006B44F6"/>
    <w:rsid w:val="006B5827"/>
    <w:rsid w:val="006B60AA"/>
    <w:rsid w:val="006B6135"/>
    <w:rsid w:val="006B63D2"/>
    <w:rsid w:val="006B7FC5"/>
    <w:rsid w:val="006C0EB4"/>
    <w:rsid w:val="006C367A"/>
    <w:rsid w:val="006D073E"/>
    <w:rsid w:val="006D0B43"/>
    <w:rsid w:val="006D2D57"/>
    <w:rsid w:val="006D3B39"/>
    <w:rsid w:val="006D4A61"/>
    <w:rsid w:val="006D4D09"/>
    <w:rsid w:val="006D5582"/>
    <w:rsid w:val="006D62A6"/>
    <w:rsid w:val="006D6813"/>
    <w:rsid w:val="006D7709"/>
    <w:rsid w:val="006E1C56"/>
    <w:rsid w:val="006E2521"/>
    <w:rsid w:val="006E2C2B"/>
    <w:rsid w:val="006E5524"/>
    <w:rsid w:val="006E56B8"/>
    <w:rsid w:val="006F0032"/>
    <w:rsid w:val="006F2084"/>
    <w:rsid w:val="006F6A42"/>
    <w:rsid w:val="006F6A8B"/>
    <w:rsid w:val="006F6D30"/>
    <w:rsid w:val="006F7635"/>
    <w:rsid w:val="00700D6D"/>
    <w:rsid w:val="0070148C"/>
    <w:rsid w:val="007017C5"/>
    <w:rsid w:val="00705178"/>
    <w:rsid w:val="00705641"/>
    <w:rsid w:val="00705AAD"/>
    <w:rsid w:val="00705D50"/>
    <w:rsid w:val="00705D82"/>
    <w:rsid w:val="0070635B"/>
    <w:rsid w:val="00706E4D"/>
    <w:rsid w:val="00706E77"/>
    <w:rsid w:val="0070740E"/>
    <w:rsid w:val="0070778A"/>
    <w:rsid w:val="007106E6"/>
    <w:rsid w:val="00710737"/>
    <w:rsid w:val="007108B5"/>
    <w:rsid w:val="00713357"/>
    <w:rsid w:val="00713701"/>
    <w:rsid w:val="0071613A"/>
    <w:rsid w:val="00717FCC"/>
    <w:rsid w:val="00720F26"/>
    <w:rsid w:val="00721584"/>
    <w:rsid w:val="00721AB5"/>
    <w:rsid w:val="00722172"/>
    <w:rsid w:val="00722D20"/>
    <w:rsid w:val="00723C00"/>
    <w:rsid w:val="00724545"/>
    <w:rsid w:val="00726E96"/>
    <w:rsid w:val="007307D3"/>
    <w:rsid w:val="00730D2C"/>
    <w:rsid w:val="00731047"/>
    <w:rsid w:val="00731B24"/>
    <w:rsid w:val="00732256"/>
    <w:rsid w:val="00733171"/>
    <w:rsid w:val="00733505"/>
    <w:rsid w:val="00733C1D"/>
    <w:rsid w:val="00734AD6"/>
    <w:rsid w:val="00734B2F"/>
    <w:rsid w:val="00736ECA"/>
    <w:rsid w:val="00741CE0"/>
    <w:rsid w:val="00741DAA"/>
    <w:rsid w:val="00742A73"/>
    <w:rsid w:val="00743D2A"/>
    <w:rsid w:val="00743D49"/>
    <w:rsid w:val="00745489"/>
    <w:rsid w:val="00745E82"/>
    <w:rsid w:val="00747125"/>
    <w:rsid w:val="00747194"/>
    <w:rsid w:val="007506F5"/>
    <w:rsid w:val="00750D29"/>
    <w:rsid w:val="00750F3D"/>
    <w:rsid w:val="007510B8"/>
    <w:rsid w:val="00751452"/>
    <w:rsid w:val="0075199F"/>
    <w:rsid w:val="00753136"/>
    <w:rsid w:val="0075436A"/>
    <w:rsid w:val="00754437"/>
    <w:rsid w:val="0075641B"/>
    <w:rsid w:val="0075664D"/>
    <w:rsid w:val="0075680C"/>
    <w:rsid w:val="00756DC3"/>
    <w:rsid w:val="00761888"/>
    <w:rsid w:val="00761F0F"/>
    <w:rsid w:val="00762145"/>
    <w:rsid w:val="007624FD"/>
    <w:rsid w:val="007628BB"/>
    <w:rsid w:val="0076360E"/>
    <w:rsid w:val="0076627A"/>
    <w:rsid w:val="007675D7"/>
    <w:rsid w:val="00767870"/>
    <w:rsid w:val="007709FA"/>
    <w:rsid w:val="00770A2F"/>
    <w:rsid w:val="0077137B"/>
    <w:rsid w:val="00771CC7"/>
    <w:rsid w:val="007720FF"/>
    <w:rsid w:val="0077304E"/>
    <w:rsid w:val="00773200"/>
    <w:rsid w:val="007737F1"/>
    <w:rsid w:val="00773C1A"/>
    <w:rsid w:val="00773F0E"/>
    <w:rsid w:val="00773F24"/>
    <w:rsid w:val="00774041"/>
    <w:rsid w:val="00774638"/>
    <w:rsid w:val="007757BC"/>
    <w:rsid w:val="00775CD3"/>
    <w:rsid w:val="007771AD"/>
    <w:rsid w:val="00777CC9"/>
    <w:rsid w:val="00781D3C"/>
    <w:rsid w:val="00782859"/>
    <w:rsid w:val="00782BEF"/>
    <w:rsid w:val="007832CB"/>
    <w:rsid w:val="00783882"/>
    <w:rsid w:val="00783976"/>
    <w:rsid w:val="00784A8A"/>
    <w:rsid w:val="00784A95"/>
    <w:rsid w:val="00784FBD"/>
    <w:rsid w:val="00786C2D"/>
    <w:rsid w:val="00791498"/>
    <w:rsid w:val="007917E1"/>
    <w:rsid w:val="007918A3"/>
    <w:rsid w:val="00791C4B"/>
    <w:rsid w:val="00791DA2"/>
    <w:rsid w:val="00792C1B"/>
    <w:rsid w:val="0079369E"/>
    <w:rsid w:val="00793EB2"/>
    <w:rsid w:val="0079493D"/>
    <w:rsid w:val="00794F31"/>
    <w:rsid w:val="007958CA"/>
    <w:rsid w:val="00795F8F"/>
    <w:rsid w:val="00796E28"/>
    <w:rsid w:val="007A023C"/>
    <w:rsid w:val="007A0797"/>
    <w:rsid w:val="007A21BA"/>
    <w:rsid w:val="007A48F3"/>
    <w:rsid w:val="007A4AE4"/>
    <w:rsid w:val="007A4EBD"/>
    <w:rsid w:val="007B04D1"/>
    <w:rsid w:val="007B06B5"/>
    <w:rsid w:val="007B2432"/>
    <w:rsid w:val="007B2757"/>
    <w:rsid w:val="007B4C3C"/>
    <w:rsid w:val="007B52B5"/>
    <w:rsid w:val="007B6C50"/>
    <w:rsid w:val="007B7DCA"/>
    <w:rsid w:val="007B7F84"/>
    <w:rsid w:val="007C0A32"/>
    <w:rsid w:val="007C0CA1"/>
    <w:rsid w:val="007C1092"/>
    <w:rsid w:val="007C1CC8"/>
    <w:rsid w:val="007C1D1C"/>
    <w:rsid w:val="007C1E55"/>
    <w:rsid w:val="007C2E69"/>
    <w:rsid w:val="007C3710"/>
    <w:rsid w:val="007C39F3"/>
    <w:rsid w:val="007C6497"/>
    <w:rsid w:val="007C6C0F"/>
    <w:rsid w:val="007C7244"/>
    <w:rsid w:val="007C74B2"/>
    <w:rsid w:val="007C79AE"/>
    <w:rsid w:val="007C7A8B"/>
    <w:rsid w:val="007D076A"/>
    <w:rsid w:val="007D162B"/>
    <w:rsid w:val="007D1C2E"/>
    <w:rsid w:val="007D26F6"/>
    <w:rsid w:val="007D2C29"/>
    <w:rsid w:val="007D2EE6"/>
    <w:rsid w:val="007D3718"/>
    <w:rsid w:val="007D37EA"/>
    <w:rsid w:val="007D4098"/>
    <w:rsid w:val="007D445E"/>
    <w:rsid w:val="007D49FC"/>
    <w:rsid w:val="007D4F54"/>
    <w:rsid w:val="007D7C49"/>
    <w:rsid w:val="007E27DC"/>
    <w:rsid w:val="007E2A8F"/>
    <w:rsid w:val="007E4036"/>
    <w:rsid w:val="007E4400"/>
    <w:rsid w:val="007E4D79"/>
    <w:rsid w:val="007E5910"/>
    <w:rsid w:val="007E5E1B"/>
    <w:rsid w:val="007E73B1"/>
    <w:rsid w:val="007E7E6E"/>
    <w:rsid w:val="007F010E"/>
    <w:rsid w:val="007F0B09"/>
    <w:rsid w:val="007F0D52"/>
    <w:rsid w:val="007F1057"/>
    <w:rsid w:val="007F189B"/>
    <w:rsid w:val="007F2F06"/>
    <w:rsid w:val="007F350F"/>
    <w:rsid w:val="007F3708"/>
    <w:rsid w:val="007F3CAC"/>
    <w:rsid w:val="007F42C2"/>
    <w:rsid w:val="007F49DF"/>
    <w:rsid w:val="007F52B2"/>
    <w:rsid w:val="007F6FBB"/>
    <w:rsid w:val="007F752D"/>
    <w:rsid w:val="0080075C"/>
    <w:rsid w:val="00802774"/>
    <w:rsid w:val="00802C13"/>
    <w:rsid w:val="00803DAB"/>
    <w:rsid w:val="00804B06"/>
    <w:rsid w:val="0080668F"/>
    <w:rsid w:val="00806EB8"/>
    <w:rsid w:val="00810FEF"/>
    <w:rsid w:val="008119A3"/>
    <w:rsid w:val="00811A07"/>
    <w:rsid w:val="00813342"/>
    <w:rsid w:val="008133A5"/>
    <w:rsid w:val="00813BF7"/>
    <w:rsid w:val="00814116"/>
    <w:rsid w:val="008143F5"/>
    <w:rsid w:val="008156B1"/>
    <w:rsid w:val="008176EE"/>
    <w:rsid w:val="00817B9D"/>
    <w:rsid w:val="008210ED"/>
    <w:rsid w:val="0082261B"/>
    <w:rsid w:val="0082469A"/>
    <w:rsid w:val="00825967"/>
    <w:rsid w:val="00827691"/>
    <w:rsid w:val="008307AA"/>
    <w:rsid w:val="00830D1F"/>
    <w:rsid w:val="00830DFB"/>
    <w:rsid w:val="0083138D"/>
    <w:rsid w:val="0083187B"/>
    <w:rsid w:val="0083267B"/>
    <w:rsid w:val="00832AA8"/>
    <w:rsid w:val="00832B3A"/>
    <w:rsid w:val="00833719"/>
    <w:rsid w:val="00833C2E"/>
    <w:rsid w:val="00834C48"/>
    <w:rsid w:val="00835E6D"/>
    <w:rsid w:val="00836295"/>
    <w:rsid w:val="00836B26"/>
    <w:rsid w:val="00837A0F"/>
    <w:rsid w:val="00837AFB"/>
    <w:rsid w:val="00841241"/>
    <w:rsid w:val="00841F1E"/>
    <w:rsid w:val="008420EC"/>
    <w:rsid w:val="00843160"/>
    <w:rsid w:val="0084417D"/>
    <w:rsid w:val="0084472E"/>
    <w:rsid w:val="00844F1E"/>
    <w:rsid w:val="00845EBF"/>
    <w:rsid w:val="00845EE9"/>
    <w:rsid w:val="00847D24"/>
    <w:rsid w:val="00850C87"/>
    <w:rsid w:val="00850F98"/>
    <w:rsid w:val="00851057"/>
    <w:rsid w:val="00851197"/>
    <w:rsid w:val="0085179A"/>
    <w:rsid w:val="00851D2C"/>
    <w:rsid w:val="00851E1C"/>
    <w:rsid w:val="00852075"/>
    <w:rsid w:val="00852242"/>
    <w:rsid w:val="00854273"/>
    <w:rsid w:val="00854BB2"/>
    <w:rsid w:val="00855630"/>
    <w:rsid w:val="00855E5F"/>
    <w:rsid w:val="00856494"/>
    <w:rsid w:val="00856A62"/>
    <w:rsid w:val="00856EC1"/>
    <w:rsid w:val="0085724B"/>
    <w:rsid w:val="008608F7"/>
    <w:rsid w:val="00862679"/>
    <w:rsid w:val="00863A58"/>
    <w:rsid w:val="00864349"/>
    <w:rsid w:val="008644E0"/>
    <w:rsid w:val="0086579D"/>
    <w:rsid w:val="00865920"/>
    <w:rsid w:val="00866073"/>
    <w:rsid w:val="00871598"/>
    <w:rsid w:val="0087224A"/>
    <w:rsid w:val="0087276E"/>
    <w:rsid w:val="0087432C"/>
    <w:rsid w:val="00874ADB"/>
    <w:rsid w:val="008773C1"/>
    <w:rsid w:val="008777FE"/>
    <w:rsid w:val="00881402"/>
    <w:rsid w:val="00883BA0"/>
    <w:rsid w:val="0088451E"/>
    <w:rsid w:val="008846D8"/>
    <w:rsid w:val="00885CB0"/>
    <w:rsid w:val="00886522"/>
    <w:rsid w:val="008877DB"/>
    <w:rsid w:val="008920A1"/>
    <w:rsid w:val="008928EE"/>
    <w:rsid w:val="008937B9"/>
    <w:rsid w:val="00894619"/>
    <w:rsid w:val="00894E65"/>
    <w:rsid w:val="00895722"/>
    <w:rsid w:val="008959A5"/>
    <w:rsid w:val="008A174C"/>
    <w:rsid w:val="008A17C7"/>
    <w:rsid w:val="008A276F"/>
    <w:rsid w:val="008A298A"/>
    <w:rsid w:val="008A35CC"/>
    <w:rsid w:val="008A3BAC"/>
    <w:rsid w:val="008A561E"/>
    <w:rsid w:val="008A5DFB"/>
    <w:rsid w:val="008A6641"/>
    <w:rsid w:val="008A70B4"/>
    <w:rsid w:val="008B024C"/>
    <w:rsid w:val="008B2834"/>
    <w:rsid w:val="008B2E03"/>
    <w:rsid w:val="008B37B0"/>
    <w:rsid w:val="008B7447"/>
    <w:rsid w:val="008B78F0"/>
    <w:rsid w:val="008B7957"/>
    <w:rsid w:val="008C2BE9"/>
    <w:rsid w:val="008C2C30"/>
    <w:rsid w:val="008C3B3D"/>
    <w:rsid w:val="008C4262"/>
    <w:rsid w:val="008C4904"/>
    <w:rsid w:val="008C5716"/>
    <w:rsid w:val="008C6C8D"/>
    <w:rsid w:val="008C7CD6"/>
    <w:rsid w:val="008D1464"/>
    <w:rsid w:val="008D20B9"/>
    <w:rsid w:val="008D24FD"/>
    <w:rsid w:val="008D3D9B"/>
    <w:rsid w:val="008D589F"/>
    <w:rsid w:val="008D6866"/>
    <w:rsid w:val="008D6900"/>
    <w:rsid w:val="008D6E50"/>
    <w:rsid w:val="008D6F5F"/>
    <w:rsid w:val="008E2314"/>
    <w:rsid w:val="008E497A"/>
    <w:rsid w:val="008E5040"/>
    <w:rsid w:val="008E552A"/>
    <w:rsid w:val="008F14CB"/>
    <w:rsid w:val="008F22BB"/>
    <w:rsid w:val="008F2CA3"/>
    <w:rsid w:val="008F2FA8"/>
    <w:rsid w:val="008F2FCE"/>
    <w:rsid w:val="008F4249"/>
    <w:rsid w:val="008F52A7"/>
    <w:rsid w:val="008F5D03"/>
    <w:rsid w:val="008F662B"/>
    <w:rsid w:val="008F668C"/>
    <w:rsid w:val="008F7692"/>
    <w:rsid w:val="009018C0"/>
    <w:rsid w:val="00901BE9"/>
    <w:rsid w:val="00902C14"/>
    <w:rsid w:val="00903196"/>
    <w:rsid w:val="00903274"/>
    <w:rsid w:val="00907A43"/>
    <w:rsid w:val="00910460"/>
    <w:rsid w:val="00911C23"/>
    <w:rsid w:val="00912D7D"/>
    <w:rsid w:val="00912E37"/>
    <w:rsid w:val="00913329"/>
    <w:rsid w:val="00913FFB"/>
    <w:rsid w:val="00915B60"/>
    <w:rsid w:val="00916194"/>
    <w:rsid w:val="00916DE7"/>
    <w:rsid w:val="0091713A"/>
    <w:rsid w:val="00920BB3"/>
    <w:rsid w:val="00920C68"/>
    <w:rsid w:val="009218B1"/>
    <w:rsid w:val="00922065"/>
    <w:rsid w:val="00922681"/>
    <w:rsid w:val="00923BAB"/>
    <w:rsid w:val="00923BE4"/>
    <w:rsid w:val="00924DAC"/>
    <w:rsid w:val="00925365"/>
    <w:rsid w:val="009258E3"/>
    <w:rsid w:val="00925B09"/>
    <w:rsid w:val="009271B8"/>
    <w:rsid w:val="009274EE"/>
    <w:rsid w:val="00927F32"/>
    <w:rsid w:val="00930A86"/>
    <w:rsid w:val="00930CC5"/>
    <w:rsid w:val="00930D90"/>
    <w:rsid w:val="00931463"/>
    <w:rsid w:val="00931734"/>
    <w:rsid w:val="00931A43"/>
    <w:rsid w:val="00932C2F"/>
    <w:rsid w:val="0093300B"/>
    <w:rsid w:val="0093351C"/>
    <w:rsid w:val="00934259"/>
    <w:rsid w:val="00934D30"/>
    <w:rsid w:val="00940179"/>
    <w:rsid w:val="00941B6E"/>
    <w:rsid w:val="00942545"/>
    <w:rsid w:val="0094448C"/>
    <w:rsid w:val="009448DA"/>
    <w:rsid w:val="00945FE4"/>
    <w:rsid w:val="0094680E"/>
    <w:rsid w:val="00946F72"/>
    <w:rsid w:val="00950DC1"/>
    <w:rsid w:val="009517C1"/>
    <w:rsid w:val="00952494"/>
    <w:rsid w:val="009527F2"/>
    <w:rsid w:val="0095296A"/>
    <w:rsid w:val="00953174"/>
    <w:rsid w:val="0095371D"/>
    <w:rsid w:val="00953A22"/>
    <w:rsid w:val="00954549"/>
    <w:rsid w:val="0095582B"/>
    <w:rsid w:val="00956E8A"/>
    <w:rsid w:val="00960628"/>
    <w:rsid w:val="00961A14"/>
    <w:rsid w:val="00961A22"/>
    <w:rsid w:val="009627E5"/>
    <w:rsid w:val="00962B36"/>
    <w:rsid w:val="00962B91"/>
    <w:rsid w:val="00962C86"/>
    <w:rsid w:val="00962E6D"/>
    <w:rsid w:val="0096360F"/>
    <w:rsid w:val="00963DBD"/>
    <w:rsid w:val="00964286"/>
    <w:rsid w:val="00964E80"/>
    <w:rsid w:val="009663B7"/>
    <w:rsid w:val="0096688A"/>
    <w:rsid w:val="00970231"/>
    <w:rsid w:val="00970423"/>
    <w:rsid w:val="00970BB8"/>
    <w:rsid w:val="00970EB3"/>
    <w:rsid w:val="00971383"/>
    <w:rsid w:val="00972DD4"/>
    <w:rsid w:val="00972E4C"/>
    <w:rsid w:val="009731B8"/>
    <w:rsid w:val="009737A1"/>
    <w:rsid w:val="009745F9"/>
    <w:rsid w:val="009756C7"/>
    <w:rsid w:val="00975FAF"/>
    <w:rsid w:val="0097629F"/>
    <w:rsid w:val="00976A34"/>
    <w:rsid w:val="00977138"/>
    <w:rsid w:val="00977346"/>
    <w:rsid w:val="00977361"/>
    <w:rsid w:val="00980C43"/>
    <w:rsid w:val="00980DF6"/>
    <w:rsid w:val="009829A6"/>
    <w:rsid w:val="009835EF"/>
    <w:rsid w:val="009878DC"/>
    <w:rsid w:val="00990B11"/>
    <w:rsid w:val="009915AE"/>
    <w:rsid w:val="00992943"/>
    <w:rsid w:val="00992A4B"/>
    <w:rsid w:val="00993C05"/>
    <w:rsid w:val="009943A7"/>
    <w:rsid w:val="00995C43"/>
    <w:rsid w:val="00995C4D"/>
    <w:rsid w:val="009961EC"/>
    <w:rsid w:val="009963DA"/>
    <w:rsid w:val="009963FE"/>
    <w:rsid w:val="009975A4"/>
    <w:rsid w:val="009979D6"/>
    <w:rsid w:val="009A1EF3"/>
    <w:rsid w:val="009A3841"/>
    <w:rsid w:val="009A3B26"/>
    <w:rsid w:val="009A43D6"/>
    <w:rsid w:val="009A43FD"/>
    <w:rsid w:val="009A47E6"/>
    <w:rsid w:val="009A53B2"/>
    <w:rsid w:val="009A56F9"/>
    <w:rsid w:val="009A5CC4"/>
    <w:rsid w:val="009B125C"/>
    <w:rsid w:val="009B1A2C"/>
    <w:rsid w:val="009B1B1D"/>
    <w:rsid w:val="009B228A"/>
    <w:rsid w:val="009B42AE"/>
    <w:rsid w:val="009B4FBB"/>
    <w:rsid w:val="009B6F7A"/>
    <w:rsid w:val="009B7579"/>
    <w:rsid w:val="009B75E8"/>
    <w:rsid w:val="009B7CA8"/>
    <w:rsid w:val="009C0AC7"/>
    <w:rsid w:val="009C17B9"/>
    <w:rsid w:val="009C1B73"/>
    <w:rsid w:val="009C2C1A"/>
    <w:rsid w:val="009C33A8"/>
    <w:rsid w:val="009C4392"/>
    <w:rsid w:val="009C4D2C"/>
    <w:rsid w:val="009C5431"/>
    <w:rsid w:val="009C5EB8"/>
    <w:rsid w:val="009C7313"/>
    <w:rsid w:val="009C785D"/>
    <w:rsid w:val="009D1531"/>
    <w:rsid w:val="009D19E6"/>
    <w:rsid w:val="009D3444"/>
    <w:rsid w:val="009D4047"/>
    <w:rsid w:val="009D5F98"/>
    <w:rsid w:val="009D62E1"/>
    <w:rsid w:val="009D69D6"/>
    <w:rsid w:val="009E01F4"/>
    <w:rsid w:val="009E0663"/>
    <w:rsid w:val="009E0862"/>
    <w:rsid w:val="009E1277"/>
    <w:rsid w:val="009E3483"/>
    <w:rsid w:val="009E35C4"/>
    <w:rsid w:val="009E40F3"/>
    <w:rsid w:val="009E4CE4"/>
    <w:rsid w:val="009E60EF"/>
    <w:rsid w:val="009E632C"/>
    <w:rsid w:val="009E6753"/>
    <w:rsid w:val="009E7BA5"/>
    <w:rsid w:val="009F0486"/>
    <w:rsid w:val="009F0626"/>
    <w:rsid w:val="009F08F1"/>
    <w:rsid w:val="009F30FE"/>
    <w:rsid w:val="009F31B9"/>
    <w:rsid w:val="009F6011"/>
    <w:rsid w:val="009F645F"/>
    <w:rsid w:val="009F67DF"/>
    <w:rsid w:val="009F755E"/>
    <w:rsid w:val="00A001A8"/>
    <w:rsid w:val="00A00E01"/>
    <w:rsid w:val="00A02E98"/>
    <w:rsid w:val="00A03AA5"/>
    <w:rsid w:val="00A0538A"/>
    <w:rsid w:val="00A05A76"/>
    <w:rsid w:val="00A06115"/>
    <w:rsid w:val="00A06597"/>
    <w:rsid w:val="00A06811"/>
    <w:rsid w:val="00A06985"/>
    <w:rsid w:val="00A128BA"/>
    <w:rsid w:val="00A15C37"/>
    <w:rsid w:val="00A16B4F"/>
    <w:rsid w:val="00A20A20"/>
    <w:rsid w:val="00A212FD"/>
    <w:rsid w:val="00A24749"/>
    <w:rsid w:val="00A26143"/>
    <w:rsid w:val="00A26728"/>
    <w:rsid w:val="00A2687C"/>
    <w:rsid w:val="00A2784A"/>
    <w:rsid w:val="00A300C1"/>
    <w:rsid w:val="00A30AB0"/>
    <w:rsid w:val="00A30F23"/>
    <w:rsid w:val="00A30FC7"/>
    <w:rsid w:val="00A312F4"/>
    <w:rsid w:val="00A316B1"/>
    <w:rsid w:val="00A31911"/>
    <w:rsid w:val="00A32F01"/>
    <w:rsid w:val="00A333E8"/>
    <w:rsid w:val="00A33AF8"/>
    <w:rsid w:val="00A34179"/>
    <w:rsid w:val="00A3463C"/>
    <w:rsid w:val="00A34EE5"/>
    <w:rsid w:val="00A357BF"/>
    <w:rsid w:val="00A3591A"/>
    <w:rsid w:val="00A36D12"/>
    <w:rsid w:val="00A36F38"/>
    <w:rsid w:val="00A37793"/>
    <w:rsid w:val="00A37989"/>
    <w:rsid w:val="00A37F0C"/>
    <w:rsid w:val="00A42537"/>
    <w:rsid w:val="00A43AD0"/>
    <w:rsid w:val="00A44C82"/>
    <w:rsid w:val="00A45BEA"/>
    <w:rsid w:val="00A46EA3"/>
    <w:rsid w:val="00A47547"/>
    <w:rsid w:val="00A475D7"/>
    <w:rsid w:val="00A47FFA"/>
    <w:rsid w:val="00A5052B"/>
    <w:rsid w:val="00A50FF6"/>
    <w:rsid w:val="00A51718"/>
    <w:rsid w:val="00A523B7"/>
    <w:rsid w:val="00A52473"/>
    <w:rsid w:val="00A52540"/>
    <w:rsid w:val="00A53F06"/>
    <w:rsid w:val="00A54355"/>
    <w:rsid w:val="00A54A4A"/>
    <w:rsid w:val="00A54E0A"/>
    <w:rsid w:val="00A55071"/>
    <w:rsid w:val="00A55EE7"/>
    <w:rsid w:val="00A562DB"/>
    <w:rsid w:val="00A56313"/>
    <w:rsid w:val="00A56FCE"/>
    <w:rsid w:val="00A573D3"/>
    <w:rsid w:val="00A57E59"/>
    <w:rsid w:val="00A6074E"/>
    <w:rsid w:val="00A60A29"/>
    <w:rsid w:val="00A616B6"/>
    <w:rsid w:val="00A61E96"/>
    <w:rsid w:val="00A62B77"/>
    <w:rsid w:val="00A6373A"/>
    <w:rsid w:val="00A65A86"/>
    <w:rsid w:val="00A662DF"/>
    <w:rsid w:val="00A675B4"/>
    <w:rsid w:val="00A67BB8"/>
    <w:rsid w:val="00A67F51"/>
    <w:rsid w:val="00A713B2"/>
    <w:rsid w:val="00A7223E"/>
    <w:rsid w:val="00A7230D"/>
    <w:rsid w:val="00A72C4E"/>
    <w:rsid w:val="00A736E9"/>
    <w:rsid w:val="00A76953"/>
    <w:rsid w:val="00A770FC"/>
    <w:rsid w:val="00A77420"/>
    <w:rsid w:val="00A806A1"/>
    <w:rsid w:val="00A83116"/>
    <w:rsid w:val="00A83486"/>
    <w:rsid w:val="00A83C17"/>
    <w:rsid w:val="00A8698D"/>
    <w:rsid w:val="00A87F54"/>
    <w:rsid w:val="00A903EC"/>
    <w:rsid w:val="00A9646D"/>
    <w:rsid w:val="00A9710F"/>
    <w:rsid w:val="00A97724"/>
    <w:rsid w:val="00AA03E5"/>
    <w:rsid w:val="00AA07C7"/>
    <w:rsid w:val="00AA102B"/>
    <w:rsid w:val="00AA1817"/>
    <w:rsid w:val="00AA1DC3"/>
    <w:rsid w:val="00AA22E6"/>
    <w:rsid w:val="00AA3236"/>
    <w:rsid w:val="00AA35F1"/>
    <w:rsid w:val="00AA4573"/>
    <w:rsid w:val="00AA4C8B"/>
    <w:rsid w:val="00AA6820"/>
    <w:rsid w:val="00AA70BE"/>
    <w:rsid w:val="00AB2D11"/>
    <w:rsid w:val="00AB3490"/>
    <w:rsid w:val="00AB3EB2"/>
    <w:rsid w:val="00AB4D4E"/>
    <w:rsid w:val="00AB579D"/>
    <w:rsid w:val="00AB5AFC"/>
    <w:rsid w:val="00AB5BF7"/>
    <w:rsid w:val="00AB6133"/>
    <w:rsid w:val="00AB62EB"/>
    <w:rsid w:val="00AB705A"/>
    <w:rsid w:val="00AB77F3"/>
    <w:rsid w:val="00AC2F74"/>
    <w:rsid w:val="00AC57C1"/>
    <w:rsid w:val="00AC630D"/>
    <w:rsid w:val="00AC68AE"/>
    <w:rsid w:val="00AD0126"/>
    <w:rsid w:val="00AD0D4B"/>
    <w:rsid w:val="00AD146F"/>
    <w:rsid w:val="00AD1F1D"/>
    <w:rsid w:val="00AD2050"/>
    <w:rsid w:val="00AD2F27"/>
    <w:rsid w:val="00AD3165"/>
    <w:rsid w:val="00AD3AD0"/>
    <w:rsid w:val="00AD47B1"/>
    <w:rsid w:val="00AD5A82"/>
    <w:rsid w:val="00AD7652"/>
    <w:rsid w:val="00AD76D1"/>
    <w:rsid w:val="00AD775F"/>
    <w:rsid w:val="00AE125F"/>
    <w:rsid w:val="00AE1278"/>
    <w:rsid w:val="00AE1718"/>
    <w:rsid w:val="00AE2CA5"/>
    <w:rsid w:val="00AE560C"/>
    <w:rsid w:val="00AE67B5"/>
    <w:rsid w:val="00AE7BA5"/>
    <w:rsid w:val="00AF01BD"/>
    <w:rsid w:val="00AF08A9"/>
    <w:rsid w:val="00AF272C"/>
    <w:rsid w:val="00AF2FEF"/>
    <w:rsid w:val="00AF33AA"/>
    <w:rsid w:val="00AF3540"/>
    <w:rsid w:val="00AF4693"/>
    <w:rsid w:val="00AF53F7"/>
    <w:rsid w:val="00AF61F3"/>
    <w:rsid w:val="00B008B1"/>
    <w:rsid w:val="00B01F92"/>
    <w:rsid w:val="00B02F55"/>
    <w:rsid w:val="00B030A1"/>
    <w:rsid w:val="00B035C1"/>
    <w:rsid w:val="00B045E4"/>
    <w:rsid w:val="00B0502D"/>
    <w:rsid w:val="00B0625F"/>
    <w:rsid w:val="00B06A90"/>
    <w:rsid w:val="00B07E5D"/>
    <w:rsid w:val="00B10B8D"/>
    <w:rsid w:val="00B11664"/>
    <w:rsid w:val="00B12D95"/>
    <w:rsid w:val="00B133AF"/>
    <w:rsid w:val="00B14769"/>
    <w:rsid w:val="00B151A1"/>
    <w:rsid w:val="00B162D6"/>
    <w:rsid w:val="00B16638"/>
    <w:rsid w:val="00B170F0"/>
    <w:rsid w:val="00B224EA"/>
    <w:rsid w:val="00B23E41"/>
    <w:rsid w:val="00B2467D"/>
    <w:rsid w:val="00B2537D"/>
    <w:rsid w:val="00B2626F"/>
    <w:rsid w:val="00B271F7"/>
    <w:rsid w:val="00B2726F"/>
    <w:rsid w:val="00B301A8"/>
    <w:rsid w:val="00B318F4"/>
    <w:rsid w:val="00B325B3"/>
    <w:rsid w:val="00B34381"/>
    <w:rsid w:val="00B34902"/>
    <w:rsid w:val="00B36CEA"/>
    <w:rsid w:val="00B37522"/>
    <w:rsid w:val="00B37A3B"/>
    <w:rsid w:val="00B37E07"/>
    <w:rsid w:val="00B4055B"/>
    <w:rsid w:val="00B413A0"/>
    <w:rsid w:val="00B414F8"/>
    <w:rsid w:val="00B42570"/>
    <w:rsid w:val="00B42D64"/>
    <w:rsid w:val="00B4364E"/>
    <w:rsid w:val="00B5039E"/>
    <w:rsid w:val="00B505E7"/>
    <w:rsid w:val="00B507B9"/>
    <w:rsid w:val="00B50C07"/>
    <w:rsid w:val="00B516C8"/>
    <w:rsid w:val="00B523CE"/>
    <w:rsid w:val="00B53FA0"/>
    <w:rsid w:val="00B54305"/>
    <w:rsid w:val="00B554ED"/>
    <w:rsid w:val="00B578F2"/>
    <w:rsid w:val="00B60E21"/>
    <w:rsid w:val="00B6103D"/>
    <w:rsid w:val="00B61527"/>
    <w:rsid w:val="00B63336"/>
    <w:rsid w:val="00B63C0B"/>
    <w:rsid w:val="00B65911"/>
    <w:rsid w:val="00B65C88"/>
    <w:rsid w:val="00B6619F"/>
    <w:rsid w:val="00B67BA7"/>
    <w:rsid w:val="00B708B0"/>
    <w:rsid w:val="00B7155C"/>
    <w:rsid w:val="00B716CF"/>
    <w:rsid w:val="00B71B04"/>
    <w:rsid w:val="00B72950"/>
    <w:rsid w:val="00B729BE"/>
    <w:rsid w:val="00B72F39"/>
    <w:rsid w:val="00B73043"/>
    <w:rsid w:val="00B7374F"/>
    <w:rsid w:val="00B7401B"/>
    <w:rsid w:val="00B75960"/>
    <w:rsid w:val="00B76220"/>
    <w:rsid w:val="00B769B0"/>
    <w:rsid w:val="00B7712F"/>
    <w:rsid w:val="00B77356"/>
    <w:rsid w:val="00B80F24"/>
    <w:rsid w:val="00B81A8F"/>
    <w:rsid w:val="00B81DBA"/>
    <w:rsid w:val="00B81FAA"/>
    <w:rsid w:val="00B821E9"/>
    <w:rsid w:val="00B84B7A"/>
    <w:rsid w:val="00B85E94"/>
    <w:rsid w:val="00B90B09"/>
    <w:rsid w:val="00B92563"/>
    <w:rsid w:val="00B93DFC"/>
    <w:rsid w:val="00B93FCA"/>
    <w:rsid w:val="00B946F2"/>
    <w:rsid w:val="00B94C0C"/>
    <w:rsid w:val="00B94D77"/>
    <w:rsid w:val="00B9552A"/>
    <w:rsid w:val="00B96A0C"/>
    <w:rsid w:val="00B9779F"/>
    <w:rsid w:val="00BA0740"/>
    <w:rsid w:val="00BA0C27"/>
    <w:rsid w:val="00BA14CC"/>
    <w:rsid w:val="00BA1915"/>
    <w:rsid w:val="00BA2E31"/>
    <w:rsid w:val="00BA397B"/>
    <w:rsid w:val="00BA4141"/>
    <w:rsid w:val="00BA4334"/>
    <w:rsid w:val="00BA441B"/>
    <w:rsid w:val="00BA476E"/>
    <w:rsid w:val="00BA51EE"/>
    <w:rsid w:val="00BA5E77"/>
    <w:rsid w:val="00BA6B93"/>
    <w:rsid w:val="00BA6FA4"/>
    <w:rsid w:val="00BA74D9"/>
    <w:rsid w:val="00BA767C"/>
    <w:rsid w:val="00BA7EEE"/>
    <w:rsid w:val="00BB01A8"/>
    <w:rsid w:val="00BB09A2"/>
    <w:rsid w:val="00BB1170"/>
    <w:rsid w:val="00BB1DEF"/>
    <w:rsid w:val="00BB1EB3"/>
    <w:rsid w:val="00BB2CB4"/>
    <w:rsid w:val="00BB32C9"/>
    <w:rsid w:val="00BB3400"/>
    <w:rsid w:val="00BB4ECF"/>
    <w:rsid w:val="00BB6005"/>
    <w:rsid w:val="00BB64AC"/>
    <w:rsid w:val="00BB6521"/>
    <w:rsid w:val="00BB74C7"/>
    <w:rsid w:val="00BB7C22"/>
    <w:rsid w:val="00BB7E82"/>
    <w:rsid w:val="00BC0E59"/>
    <w:rsid w:val="00BC13F7"/>
    <w:rsid w:val="00BC1B88"/>
    <w:rsid w:val="00BC1D9B"/>
    <w:rsid w:val="00BC221E"/>
    <w:rsid w:val="00BC227C"/>
    <w:rsid w:val="00BC3047"/>
    <w:rsid w:val="00BC3C74"/>
    <w:rsid w:val="00BC4139"/>
    <w:rsid w:val="00BC4254"/>
    <w:rsid w:val="00BC46C6"/>
    <w:rsid w:val="00BC546B"/>
    <w:rsid w:val="00BC5837"/>
    <w:rsid w:val="00BC6A74"/>
    <w:rsid w:val="00BC7688"/>
    <w:rsid w:val="00BC7C9B"/>
    <w:rsid w:val="00BD0857"/>
    <w:rsid w:val="00BD0943"/>
    <w:rsid w:val="00BD14E5"/>
    <w:rsid w:val="00BD260D"/>
    <w:rsid w:val="00BD31E0"/>
    <w:rsid w:val="00BD34B7"/>
    <w:rsid w:val="00BD35FC"/>
    <w:rsid w:val="00BD391A"/>
    <w:rsid w:val="00BD3938"/>
    <w:rsid w:val="00BD54C1"/>
    <w:rsid w:val="00BD63AA"/>
    <w:rsid w:val="00BD74AF"/>
    <w:rsid w:val="00BE0500"/>
    <w:rsid w:val="00BE1639"/>
    <w:rsid w:val="00BE24C3"/>
    <w:rsid w:val="00BE28B8"/>
    <w:rsid w:val="00BE29F1"/>
    <w:rsid w:val="00BE2DB0"/>
    <w:rsid w:val="00BE344A"/>
    <w:rsid w:val="00BE4CC6"/>
    <w:rsid w:val="00BE755A"/>
    <w:rsid w:val="00BE7D34"/>
    <w:rsid w:val="00BF00AF"/>
    <w:rsid w:val="00BF1BED"/>
    <w:rsid w:val="00BF2A60"/>
    <w:rsid w:val="00BF2CB9"/>
    <w:rsid w:val="00BF3944"/>
    <w:rsid w:val="00BF5273"/>
    <w:rsid w:val="00BF58A0"/>
    <w:rsid w:val="00BF6256"/>
    <w:rsid w:val="00BF6421"/>
    <w:rsid w:val="00BF7046"/>
    <w:rsid w:val="00BF7B4E"/>
    <w:rsid w:val="00C01125"/>
    <w:rsid w:val="00C01886"/>
    <w:rsid w:val="00C01F44"/>
    <w:rsid w:val="00C02078"/>
    <w:rsid w:val="00C02B68"/>
    <w:rsid w:val="00C0496E"/>
    <w:rsid w:val="00C04CEA"/>
    <w:rsid w:val="00C04D3D"/>
    <w:rsid w:val="00C0503C"/>
    <w:rsid w:val="00C05170"/>
    <w:rsid w:val="00C05649"/>
    <w:rsid w:val="00C0566A"/>
    <w:rsid w:val="00C05DD6"/>
    <w:rsid w:val="00C07C8C"/>
    <w:rsid w:val="00C07FDD"/>
    <w:rsid w:val="00C1166F"/>
    <w:rsid w:val="00C129F7"/>
    <w:rsid w:val="00C13C82"/>
    <w:rsid w:val="00C14D67"/>
    <w:rsid w:val="00C1544B"/>
    <w:rsid w:val="00C15A9A"/>
    <w:rsid w:val="00C1717D"/>
    <w:rsid w:val="00C21DDF"/>
    <w:rsid w:val="00C22824"/>
    <w:rsid w:val="00C22B93"/>
    <w:rsid w:val="00C2389A"/>
    <w:rsid w:val="00C239AB"/>
    <w:rsid w:val="00C25062"/>
    <w:rsid w:val="00C25BD3"/>
    <w:rsid w:val="00C2619F"/>
    <w:rsid w:val="00C2649C"/>
    <w:rsid w:val="00C268B4"/>
    <w:rsid w:val="00C27349"/>
    <w:rsid w:val="00C30296"/>
    <w:rsid w:val="00C302A1"/>
    <w:rsid w:val="00C309AF"/>
    <w:rsid w:val="00C3145C"/>
    <w:rsid w:val="00C31E7A"/>
    <w:rsid w:val="00C32AD0"/>
    <w:rsid w:val="00C32ED9"/>
    <w:rsid w:val="00C33195"/>
    <w:rsid w:val="00C3545E"/>
    <w:rsid w:val="00C35E71"/>
    <w:rsid w:val="00C3625D"/>
    <w:rsid w:val="00C372CD"/>
    <w:rsid w:val="00C3758F"/>
    <w:rsid w:val="00C37F0B"/>
    <w:rsid w:val="00C40662"/>
    <w:rsid w:val="00C40AB7"/>
    <w:rsid w:val="00C41048"/>
    <w:rsid w:val="00C4203D"/>
    <w:rsid w:val="00C423BA"/>
    <w:rsid w:val="00C42871"/>
    <w:rsid w:val="00C43A26"/>
    <w:rsid w:val="00C44285"/>
    <w:rsid w:val="00C4485C"/>
    <w:rsid w:val="00C45E24"/>
    <w:rsid w:val="00C4629B"/>
    <w:rsid w:val="00C4767A"/>
    <w:rsid w:val="00C51781"/>
    <w:rsid w:val="00C51849"/>
    <w:rsid w:val="00C5286E"/>
    <w:rsid w:val="00C53381"/>
    <w:rsid w:val="00C54214"/>
    <w:rsid w:val="00C5466E"/>
    <w:rsid w:val="00C547F8"/>
    <w:rsid w:val="00C57C72"/>
    <w:rsid w:val="00C64130"/>
    <w:rsid w:val="00C646B5"/>
    <w:rsid w:val="00C65B7F"/>
    <w:rsid w:val="00C65C01"/>
    <w:rsid w:val="00C6728B"/>
    <w:rsid w:val="00C67CEE"/>
    <w:rsid w:val="00C71764"/>
    <w:rsid w:val="00C7373E"/>
    <w:rsid w:val="00C73CD4"/>
    <w:rsid w:val="00C73E0F"/>
    <w:rsid w:val="00C74A21"/>
    <w:rsid w:val="00C75DAD"/>
    <w:rsid w:val="00C76490"/>
    <w:rsid w:val="00C77C6B"/>
    <w:rsid w:val="00C81AFF"/>
    <w:rsid w:val="00C8227A"/>
    <w:rsid w:val="00C8348D"/>
    <w:rsid w:val="00C860EF"/>
    <w:rsid w:val="00C86D0A"/>
    <w:rsid w:val="00C87179"/>
    <w:rsid w:val="00C91870"/>
    <w:rsid w:val="00C93024"/>
    <w:rsid w:val="00C9394A"/>
    <w:rsid w:val="00C95EBC"/>
    <w:rsid w:val="00C96392"/>
    <w:rsid w:val="00C976A0"/>
    <w:rsid w:val="00C97EC3"/>
    <w:rsid w:val="00CA093B"/>
    <w:rsid w:val="00CA0E38"/>
    <w:rsid w:val="00CA1519"/>
    <w:rsid w:val="00CA207E"/>
    <w:rsid w:val="00CA230C"/>
    <w:rsid w:val="00CA2AB8"/>
    <w:rsid w:val="00CA3C59"/>
    <w:rsid w:val="00CA3F92"/>
    <w:rsid w:val="00CA5B5D"/>
    <w:rsid w:val="00CA6CCE"/>
    <w:rsid w:val="00CA7A43"/>
    <w:rsid w:val="00CB02E5"/>
    <w:rsid w:val="00CB1CC9"/>
    <w:rsid w:val="00CB1D5B"/>
    <w:rsid w:val="00CB3E1B"/>
    <w:rsid w:val="00CB420B"/>
    <w:rsid w:val="00CB43A6"/>
    <w:rsid w:val="00CB49BE"/>
    <w:rsid w:val="00CB4B44"/>
    <w:rsid w:val="00CB5E40"/>
    <w:rsid w:val="00CB7255"/>
    <w:rsid w:val="00CB7F58"/>
    <w:rsid w:val="00CC19F2"/>
    <w:rsid w:val="00CC383B"/>
    <w:rsid w:val="00CC4F61"/>
    <w:rsid w:val="00CC5100"/>
    <w:rsid w:val="00CC55FE"/>
    <w:rsid w:val="00CC6428"/>
    <w:rsid w:val="00CC6EBC"/>
    <w:rsid w:val="00CC72F0"/>
    <w:rsid w:val="00CC7EC8"/>
    <w:rsid w:val="00CD1F25"/>
    <w:rsid w:val="00CD21B7"/>
    <w:rsid w:val="00CD2A94"/>
    <w:rsid w:val="00CD2DF9"/>
    <w:rsid w:val="00CD30E1"/>
    <w:rsid w:val="00CD311D"/>
    <w:rsid w:val="00CD65E3"/>
    <w:rsid w:val="00CD6AF0"/>
    <w:rsid w:val="00CE03F0"/>
    <w:rsid w:val="00CE0D0E"/>
    <w:rsid w:val="00CE115F"/>
    <w:rsid w:val="00CE1D25"/>
    <w:rsid w:val="00CE288C"/>
    <w:rsid w:val="00CE480A"/>
    <w:rsid w:val="00CE5263"/>
    <w:rsid w:val="00CE60C7"/>
    <w:rsid w:val="00CE6A5D"/>
    <w:rsid w:val="00CE6FE0"/>
    <w:rsid w:val="00CE7D4F"/>
    <w:rsid w:val="00CE7DC7"/>
    <w:rsid w:val="00CF008B"/>
    <w:rsid w:val="00CF0714"/>
    <w:rsid w:val="00CF2077"/>
    <w:rsid w:val="00CF22E7"/>
    <w:rsid w:val="00CF25FC"/>
    <w:rsid w:val="00CF2CEA"/>
    <w:rsid w:val="00CF2F14"/>
    <w:rsid w:val="00CF35DB"/>
    <w:rsid w:val="00CF3642"/>
    <w:rsid w:val="00CF5BAF"/>
    <w:rsid w:val="00CF6113"/>
    <w:rsid w:val="00CF7148"/>
    <w:rsid w:val="00D00DC5"/>
    <w:rsid w:val="00D00E92"/>
    <w:rsid w:val="00D00FA9"/>
    <w:rsid w:val="00D0204C"/>
    <w:rsid w:val="00D02BF0"/>
    <w:rsid w:val="00D04078"/>
    <w:rsid w:val="00D063A7"/>
    <w:rsid w:val="00D10A62"/>
    <w:rsid w:val="00D11505"/>
    <w:rsid w:val="00D115B1"/>
    <w:rsid w:val="00D117E6"/>
    <w:rsid w:val="00D11823"/>
    <w:rsid w:val="00D11B3C"/>
    <w:rsid w:val="00D121BB"/>
    <w:rsid w:val="00D13CBE"/>
    <w:rsid w:val="00D14400"/>
    <w:rsid w:val="00D15733"/>
    <w:rsid w:val="00D158F7"/>
    <w:rsid w:val="00D16198"/>
    <w:rsid w:val="00D1638E"/>
    <w:rsid w:val="00D16739"/>
    <w:rsid w:val="00D16FF2"/>
    <w:rsid w:val="00D17622"/>
    <w:rsid w:val="00D17BA9"/>
    <w:rsid w:val="00D211ED"/>
    <w:rsid w:val="00D21CA2"/>
    <w:rsid w:val="00D2558D"/>
    <w:rsid w:val="00D25BB7"/>
    <w:rsid w:val="00D26424"/>
    <w:rsid w:val="00D2682E"/>
    <w:rsid w:val="00D27AED"/>
    <w:rsid w:val="00D3081F"/>
    <w:rsid w:val="00D31160"/>
    <w:rsid w:val="00D31BC9"/>
    <w:rsid w:val="00D32288"/>
    <w:rsid w:val="00D32836"/>
    <w:rsid w:val="00D32C27"/>
    <w:rsid w:val="00D33D26"/>
    <w:rsid w:val="00D340F0"/>
    <w:rsid w:val="00D34C73"/>
    <w:rsid w:val="00D3501F"/>
    <w:rsid w:val="00D35401"/>
    <w:rsid w:val="00D35558"/>
    <w:rsid w:val="00D36385"/>
    <w:rsid w:val="00D36588"/>
    <w:rsid w:val="00D37449"/>
    <w:rsid w:val="00D40079"/>
    <w:rsid w:val="00D40369"/>
    <w:rsid w:val="00D42182"/>
    <w:rsid w:val="00D42C8E"/>
    <w:rsid w:val="00D4543D"/>
    <w:rsid w:val="00D4591E"/>
    <w:rsid w:val="00D476AB"/>
    <w:rsid w:val="00D50904"/>
    <w:rsid w:val="00D509B5"/>
    <w:rsid w:val="00D50BB2"/>
    <w:rsid w:val="00D51401"/>
    <w:rsid w:val="00D51736"/>
    <w:rsid w:val="00D51AFE"/>
    <w:rsid w:val="00D52B28"/>
    <w:rsid w:val="00D53BD2"/>
    <w:rsid w:val="00D54078"/>
    <w:rsid w:val="00D54721"/>
    <w:rsid w:val="00D54B04"/>
    <w:rsid w:val="00D54D88"/>
    <w:rsid w:val="00D54F4D"/>
    <w:rsid w:val="00D55465"/>
    <w:rsid w:val="00D60F3E"/>
    <w:rsid w:val="00D611B2"/>
    <w:rsid w:val="00D619C7"/>
    <w:rsid w:val="00D622D2"/>
    <w:rsid w:val="00D6251F"/>
    <w:rsid w:val="00D63256"/>
    <w:rsid w:val="00D633E8"/>
    <w:rsid w:val="00D63CAA"/>
    <w:rsid w:val="00D64773"/>
    <w:rsid w:val="00D653FF"/>
    <w:rsid w:val="00D65839"/>
    <w:rsid w:val="00D65C04"/>
    <w:rsid w:val="00D65C7B"/>
    <w:rsid w:val="00D6617F"/>
    <w:rsid w:val="00D66FDA"/>
    <w:rsid w:val="00D675D3"/>
    <w:rsid w:val="00D70AA0"/>
    <w:rsid w:val="00D71A19"/>
    <w:rsid w:val="00D727D7"/>
    <w:rsid w:val="00D74229"/>
    <w:rsid w:val="00D74C62"/>
    <w:rsid w:val="00D76415"/>
    <w:rsid w:val="00D7680D"/>
    <w:rsid w:val="00D771F9"/>
    <w:rsid w:val="00D77729"/>
    <w:rsid w:val="00D80B96"/>
    <w:rsid w:val="00D8106D"/>
    <w:rsid w:val="00D8182B"/>
    <w:rsid w:val="00D81A33"/>
    <w:rsid w:val="00D81F9F"/>
    <w:rsid w:val="00D82EC8"/>
    <w:rsid w:val="00D836FE"/>
    <w:rsid w:val="00D83E28"/>
    <w:rsid w:val="00D83F36"/>
    <w:rsid w:val="00D843D6"/>
    <w:rsid w:val="00D86700"/>
    <w:rsid w:val="00D90E22"/>
    <w:rsid w:val="00D91577"/>
    <w:rsid w:val="00D917CC"/>
    <w:rsid w:val="00D917D7"/>
    <w:rsid w:val="00D91E2C"/>
    <w:rsid w:val="00D91F3C"/>
    <w:rsid w:val="00D932FB"/>
    <w:rsid w:val="00D9407E"/>
    <w:rsid w:val="00D94590"/>
    <w:rsid w:val="00D94AC1"/>
    <w:rsid w:val="00D9505D"/>
    <w:rsid w:val="00D95449"/>
    <w:rsid w:val="00D961AC"/>
    <w:rsid w:val="00DA0553"/>
    <w:rsid w:val="00DA112F"/>
    <w:rsid w:val="00DA1DC7"/>
    <w:rsid w:val="00DA252C"/>
    <w:rsid w:val="00DA289C"/>
    <w:rsid w:val="00DA2DD8"/>
    <w:rsid w:val="00DA39F9"/>
    <w:rsid w:val="00DA49A7"/>
    <w:rsid w:val="00DA4A7F"/>
    <w:rsid w:val="00DA4C1F"/>
    <w:rsid w:val="00DA593F"/>
    <w:rsid w:val="00DB0950"/>
    <w:rsid w:val="00DB0BDE"/>
    <w:rsid w:val="00DB146A"/>
    <w:rsid w:val="00DB4729"/>
    <w:rsid w:val="00DB4DAA"/>
    <w:rsid w:val="00DB5AA4"/>
    <w:rsid w:val="00DB5CD1"/>
    <w:rsid w:val="00DB6506"/>
    <w:rsid w:val="00DB72E3"/>
    <w:rsid w:val="00DB78BB"/>
    <w:rsid w:val="00DB7FF4"/>
    <w:rsid w:val="00DC01AF"/>
    <w:rsid w:val="00DC092A"/>
    <w:rsid w:val="00DC1DDB"/>
    <w:rsid w:val="00DC20BD"/>
    <w:rsid w:val="00DC4464"/>
    <w:rsid w:val="00DC59B6"/>
    <w:rsid w:val="00DC6F74"/>
    <w:rsid w:val="00DC6FA8"/>
    <w:rsid w:val="00DC7337"/>
    <w:rsid w:val="00DC7D30"/>
    <w:rsid w:val="00DC7E6C"/>
    <w:rsid w:val="00DD022B"/>
    <w:rsid w:val="00DD07C4"/>
    <w:rsid w:val="00DD09B3"/>
    <w:rsid w:val="00DD1B20"/>
    <w:rsid w:val="00DD30E5"/>
    <w:rsid w:val="00DD3811"/>
    <w:rsid w:val="00DD3BD2"/>
    <w:rsid w:val="00DD48CE"/>
    <w:rsid w:val="00DD5571"/>
    <w:rsid w:val="00DD6600"/>
    <w:rsid w:val="00DD69A3"/>
    <w:rsid w:val="00DD724E"/>
    <w:rsid w:val="00DE0180"/>
    <w:rsid w:val="00DE081F"/>
    <w:rsid w:val="00DE2698"/>
    <w:rsid w:val="00DE36FD"/>
    <w:rsid w:val="00DE3738"/>
    <w:rsid w:val="00DE40C8"/>
    <w:rsid w:val="00DE5B16"/>
    <w:rsid w:val="00DE602F"/>
    <w:rsid w:val="00DE6F79"/>
    <w:rsid w:val="00DE79C0"/>
    <w:rsid w:val="00DE7F76"/>
    <w:rsid w:val="00DF039F"/>
    <w:rsid w:val="00DF0A20"/>
    <w:rsid w:val="00DF0B80"/>
    <w:rsid w:val="00DF138D"/>
    <w:rsid w:val="00DF203A"/>
    <w:rsid w:val="00DF2E1E"/>
    <w:rsid w:val="00DF33ED"/>
    <w:rsid w:val="00DF3472"/>
    <w:rsid w:val="00DF4115"/>
    <w:rsid w:val="00DF4986"/>
    <w:rsid w:val="00DF4BF8"/>
    <w:rsid w:val="00DF4C83"/>
    <w:rsid w:val="00DF4F0B"/>
    <w:rsid w:val="00DF50CF"/>
    <w:rsid w:val="00DF5585"/>
    <w:rsid w:val="00DF61A6"/>
    <w:rsid w:val="00DF6678"/>
    <w:rsid w:val="00DF73EC"/>
    <w:rsid w:val="00DF740C"/>
    <w:rsid w:val="00E01458"/>
    <w:rsid w:val="00E01F55"/>
    <w:rsid w:val="00E0213F"/>
    <w:rsid w:val="00E0513F"/>
    <w:rsid w:val="00E05940"/>
    <w:rsid w:val="00E0599F"/>
    <w:rsid w:val="00E05C63"/>
    <w:rsid w:val="00E0622E"/>
    <w:rsid w:val="00E070A7"/>
    <w:rsid w:val="00E109A3"/>
    <w:rsid w:val="00E10F86"/>
    <w:rsid w:val="00E112E9"/>
    <w:rsid w:val="00E13489"/>
    <w:rsid w:val="00E1363C"/>
    <w:rsid w:val="00E13CA5"/>
    <w:rsid w:val="00E13DC4"/>
    <w:rsid w:val="00E14052"/>
    <w:rsid w:val="00E1633B"/>
    <w:rsid w:val="00E17130"/>
    <w:rsid w:val="00E179BC"/>
    <w:rsid w:val="00E2017B"/>
    <w:rsid w:val="00E210D0"/>
    <w:rsid w:val="00E226C1"/>
    <w:rsid w:val="00E22DAE"/>
    <w:rsid w:val="00E23AE9"/>
    <w:rsid w:val="00E23C52"/>
    <w:rsid w:val="00E2477F"/>
    <w:rsid w:val="00E24E3C"/>
    <w:rsid w:val="00E25DB1"/>
    <w:rsid w:val="00E26D85"/>
    <w:rsid w:val="00E300FA"/>
    <w:rsid w:val="00E316FB"/>
    <w:rsid w:val="00E319DD"/>
    <w:rsid w:val="00E31D1C"/>
    <w:rsid w:val="00E32069"/>
    <w:rsid w:val="00E329CE"/>
    <w:rsid w:val="00E329ED"/>
    <w:rsid w:val="00E33139"/>
    <w:rsid w:val="00E33702"/>
    <w:rsid w:val="00E353BC"/>
    <w:rsid w:val="00E353D0"/>
    <w:rsid w:val="00E35404"/>
    <w:rsid w:val="00E35DD4"/>
    <w:rsid w:val="00E36F78"/>
    <w:rsid w:val="00E4105F"/>
    <w:rsid w:val="00E41807"/>
    <w:rsid w:val="00E41CE0"/>
    <w:rsid w:val="00E41E13"/>
    <w:rsid w:val="00E42546"/>
    <w:rsid w:val="00E43761"/>
    <w:rsid w:val="00E4388F"/>
    <w:rsid w:val="00E43ED3"/>
    <w:rsid w:val="00E461FD"/>
    <w:rsid w:val="00E46A83"/>
    <w:rsid w:val="00E502CE"/>
    <w:rsid w:val="00E506BC"/>
    <w:rsid w:val="00E5149A"/>
    <w:rsid w:val="00E515BF"/>
    <w:rsid w:val="00E51EC1"/>
    <w:rsid w:val="00E525A5"/>
    <w:rsid w:val="00E5261F"/>
    <w:rsid w:val="00E52A4F"/>
    <w:rsid w:val="00E52E8F"/>
    <w:rsid w:val="00E53FCB"/>
    <w:rsid w:val="00E545DB"/>
    <w:rsid w:val="00E55591"/>
    <w:rsid w:val="00E56228"/>
    <w:rsid w:val="00E57356"/>
    <w:rsid w:val="00E578CC"/>
    <w:rsid w:val="00E610BF"/>
    <w:rsid w:val="00E61B6B"/>
    <w:rsid w:val="00E61CB3"/>
    <w:rsid w:val="00E61DB3"/>
    <w:rsid w:val="00E620EE"/>
    <w:rsid w:val="00E62EF1"/>
    <w:rsid w:val="00E639FB"/>
    <w:rsid w:val="00E67953"/>
    <w:rsid w:val="00E702C3"/>
    <w:rsid w:val="00E70737"/>
    <w:rsid w:val="00E716AB"/>
    <w:rsid w:val="00E72C43"/>
    <w:rsid w:val="00E73128"/>
    <w:rsid w:val="00E736C3"/>
    <w:rsid w:val="00E741F1"/>
    <w:rsid w:val="00E74547"/>
    <w:rsid w:val="00E75B4C"/>
    <w:rsid w:val="00E75CCC"/>
    <w:rsid w:val="00E763DC"/>
    <w:rsid w:val="00E7721F"/>
    <w:rsid w:val="00E7726D"/>
    <w:rsid w:val="00E80F60"/>
    <w:rsid w:val="00E83F12"/>
    <w:rsid w:val="00E84D9F"/>
    <w:rsid w:val="00E84DDF"/>
    <w:rsid w:val="00E84EB1"/>
    <w:rsid w:val="00E857DB"/>
    <w:rsid w:val="00E85C6F"/>
    <w:rsid w:val="00E85FB0"/>
    <w:rsid w:val="00E86BBC"/>
    <w:rsid w:val="00E87E9A"/>
    <w:rsid w:val="00E91309"/>
    <w:rsid w:val="00E91559"/>
    <w:rsid w:val="00E92798"/>
    <w:rsid w:val="00E92BAA"/>
    <w:rsid w:val="00E9392F"/>
    <w:rsid w:val="00E939CA"/>
    <w:rsid w:val="00E93B3B"/>
    <w:rsid w:val="00E948C1"/>
    <w:rsid w:val="00E9517E"/>
    <w:rsid w:val="00E958A1"/>
    <w:rsid w:val="00EA0DCD"/>
    <w:rsid w:val="00EA185A"/>
    <w:rsid w:val="00EA1B53"/>
    <w:rsid w:val="00EA343F"/>
    <w:rsid w:val="00EA401B"/>
    <w:rsid w:val="00EA4224"/>
    <w:rsid w:val="00EA59B7"/>
    <w:rsid w:val="00EA60A9"/>
    <w:rsid w:val="00EA63CE"/>
    <w:rsid w:val="00EB034C"/>
    <w:rsid w:val="00EB0405"/>
    <w:rsid w:val="00EB1AE4"/>
    <w:rsid w:val="00EB2AEF"/>
    <w:rsid w:val="00EB3067"/>
    <w:rsid w:val="00EB35D1"/>
    <w:rsid w:val="00EB37C1"/>
    <w:rsid w:val="00EB3D1F"/>
    <w:rsid w:val="00EB3D80"/>
    <w:rsid w:val="00EB5552"/>
    <w:rsid w:val="00EB6484"/>
    <w:rsid w:val="00EB6F19"/>
    <w:rsid w:val="00EB6FAA"/>
    <w:rsid w:val="00EB7821"/>
    <w:rsid w:val="00EC02C4"/>
    <w:rsid w:val="00EC0BD2"/>
    <w:rsid w:val="00EC18A6"/>
    <w:rsid w:val="00EC2790"/>
    <w:rsid w:val="00EC2EDF"/>
    <w:rsid w:val="00EC32B6"/>
    <w:rsid w:val="00EC365C"/>
    <w:rsid w:val="00EC3962"/>
    <w:rsid w:val="00EC3EA8"/>
    <w:rsid w:val="00EC46E9"/>
    <w:rsid w:val="00EC5C45"/>
    <w:rsid w:val="00EC650A"/>
    <w:rsid w:val="00EC6BC3"/>
    <w:rsid w:val="00EC6D8F"/>
    <w:rsid w:val="00EC6E1D"/>
    <w:rsid w:val="00EC72EB"/>
    <w:rsid w:val="00EC74EA"/>
    <w:rsid w:val="00EC7EE9"/>
    <w:rsid w:val="00ED0979"/>
    <w:rsid w:val="00ED0BDE"/>
    <w:rsid w:val="00ED12DE"/>
    <w:rsid w:val="00ED1B4A"/>
    <w:rsid w:val="00ED1D32"/>
    <w:rsid w:val="00ED1EC4"/>
    <w:rsid w:val="00ED23AF"/>
    <w:rsid w:val="00ED3099"/>
    <w:rsid w:val="00ED3327"/>
    <w:rsid w:val="00ED338B"/>
    <w:rsid w:val="00ED4208"/>
    <w:rsid w:val="00ED5902"/>
    <w:rsid w:val="00ED6C78"/>
    <w:rsid w:val="00ED7A8B"/>
    <w:rsid w:val="00ED7EB3"/>
    <w:rsid w:val="00EE0744"/>
    <w:rsid w:val="00EE16C0"/>
    <w:rsid w:val="00EE1722"/>
    <w:rsid w:val="00EE1FB0"/>
    <w:rsid w:val="00EE2564"/>
    <w:rsid w:val="00EE3FA2"/>
    <w:rsid w:val="00EE47A6"/>
    <w:rsid w:val="00EE4DC6"/>
    <w:rsid w:val="00EE5041"/>
    <w:rsid w:val="00EE6691"/>
    <w:rsid w:val="00EF03B7"/>
    <w:rsid w:val="00EF0614"/>
    <w:rsid w:val="00EF0B92"/>
    <w:rsid w:val="00EF0DC3"/>
    <w:rsid w:val="00EF1A67"/>
    <w:rsid w:val="00EF1A99"/>
    <w:rsid w:val="00EF4062"/>
    <w:rsid w:val="00EF4B1E"/>
    <w:rsid w:val="00EF5C1A"/>
    <w:rsid w:val="00EF66C4"/>
    <w:rsid w:val="00EF720F"/>
    <w:rsid w:val="00EF74BC"/>
    <w:rsid w:val="00EF7719"/>
    <w:rsid w:val="00F0028C"/>
    <w:rsid w:val="00F01A2F"/>
    <w:rsid w:val="00F01DE2"/>
    <w:rsid w:val="00F01E7B"/>
    <w:rsid w:val="00F02136"/>
    <w:rsid w:val="00F0238E"/>
    <w:rsid w:val="00F029D2"/>
    <w:rsid w:val="00F03373"/>
    <w:rsid w:val="00F04695"/>
    <w:rsid w:val="00F04CD9"/>
    <w:rsid w:val="00F04D00"/>
    <w:rsid w:val="00F05E42"/>
    <w:rsid w:val="00F0625E"/>
    <w:rsid w:val="00F1182A"/>
    <w:rsid w:val="00F1207D"/>
    <w:rsid w:val="00F12DAA"/>
    <w:rsid w:val="00F14038"/>
    <w:rsid w:val="00F151A2"/>
    <w:rsid w:val="00F15EE1"/>
    <w:rsid w:val="00F15FB0"/>
    <w:rsid w:val="00F1608A"/>
    <w:rsid w:val="00F16A83"/>
    <w:rsid w:val="00F17698"/>
    <w:rsid w:val="00F17918"/>
    <w:rsid w:val="00F17958"/>
    <w:rsid w:val="00F1796A"/>
    <w:rsid w:val="00F21206"/>
    <w:rsid w:val="00F225F5"/>
    <w:rsid w:val="00F22DF9"/>
    <w:rsid w:val="00F2358C"/>
    <w:rsid w:val="00F23D91"/>
    <w:rsid w:val="00F24E04"/>
    <w:rsid w:val="00F27A5C"/>
    <w:rsid w:val="00F30365"/>
    <w:rsid w:val="00F31B2D"/>
    <w:rsid w:val="00F32242"/>
    <w:rsid w:val="00F3466C"/>
    <w:rsid w:val="00F36F47"/>
    <w:rsid w:val="00F408E3"/>
    <w:rsid w:val="00F428F9"/>
    <w:rsid w:val="00F44915"/>
    <w:rsid w:val="00F4509A"/>
    <w:rsid w:val="00F46BBA"/>
    <w:rsid w:val="00F46EAE"/>
    <w:rsid w:val="00F47472"/>
    <w:rsid w:val="00F47FA3"/>
    <w:rsid w:val="00F508B3"/>
    <w:rsid w:val="00F52791"/>
    <w:rsid w:val="00F53889"/>
    <w:rsid w:val="00F5479B"/>
    <w:rsid w:val="00F550F5"/>
    <w:rsid w:val="00F55A21"/>
    <w:rsid w:val="00F55DCF"/>
    <w:rsid w:val="00F56001"/>
    <w:rsid w:val="00F57B06"/>
    <w:rsid w:val="00F57E48"/>
    <w:rsid w:val="00F61128"/>
    <w:rsid w:val="00F61341"/>
    <w:rsid w:val="00F6236C"/>
    <w:rsid w:val="00F62FD7"/>
    <w:rsid w:val="00F63D45"/>
    <w:rsid w:val="00F63ED7"/>
    <w:rsid w:val="00F643AF"/>
    <w:rsid w:val="00F65145"/>
    <w:rsid w:val="00F652B9"/>
    <w:rsid w:val="00F6635C"/>
    <w:rsid w:val="00F67691"/>
    <w:rsid w:val="00F67AC9"/>
    <w:rsid w:val="00F67AD8"/>
    <w:rsid w:val="00F718E6"/>
    <w:rsid w:val="00F7195A"/>
    <w:rsid w:val="00F719A6"/>
    <w:rsid w:val="00F723C6"/>
    <w:rsid w:val="00F72931"/>
    <w:rsid w:val="00F72FFF"/>
    <w:rsid w:val="00F74332"/>
    <w:rsid w:val="00F75370"/>
    <w:rsid w:val="00F76D4C"/>
    <w:rsid w:val="00F82D8F"/>
    <w:rsid w:val="00F83FB7"/>
    <w:rsid w:val="00F84894"/>
    <w:rsid w:val="00F85537"/>
    <w:rsid w:val="00F8557E"/>
    <w:rsid w:val="00F869B6"/>
    <w:rsid w:val="00F86C73"/>
    <w:rsid w:val="00F87600"/>
    <w:rsid w:val="00F904B2"/>
    <w:rsid w:val="00F92737"/>
    <w:rsid w:val="00F92983"/>
    <w:rsid w:val="00F92C16"/>
    <w:rsid w:val="00F93175"/>
    <w:rsid w:val="00F945A3"/>
    <w:rsid w:val="00F94ED0"/>
    <w:rsid w:val="00F95286"/>
    <w:rsid w:val="00F9557A"/>
    <w:rsid w:val="00F95982"/>
    <w:rsid w:val="00F970CD"/>
    <w:rsid w:val="00F970DD"/>
    <w:rsid w:val="00FA1E81"/>
    <w:rsid w:val="00FA201B"/>
    <w:rsid w:val="00FA2909"/>
    <w:rsid w:val="00FA2DB6"/>
    <w:rsid w:val="00FA2E49"/>
    <w:rsid w:val="00FA310C"/>
    <w:rsid w:val="00FA6BB2"/>
    <w:rsid w:val="00FA6C10"/>
    <w:rsid w:val="00FA7600"/>
    <w:rsid w:val="00FA7DB4"/>
    <w:rsid w:val="00FB116C"/>
    <w:rsid w:val="00FB1188"/>
    <w:rsid w:val="00FB1916"/>
    <w:rsid w:val="00FB1CDE"/>
    <w:rsid w:val="00FB29B9"/>
    <w:rsid w:val="00FB31BF"/>
    <w:rsid w:val="00FB361D"/>
    <w:rsid w:val="00FB4679"/>
    <w:rsid w:val="00FB4B60"/>
    <w:rsid w:val="00FB56C9"/>
    <w:rsid w:val="00FB62CB"/>
    <w:rsid w:val="00FB68A4"/>
    <w:rsid w:val="00FB68F8"/>
    <w:rsid w:val="00FB7332"/>
    <w:rsid w:val="00FB747E"/>
    <w:rsid w:val="00FB7610"/>
    <w:rsid w:val="00FB7D28"/>
    <w:rsid w:val="00FC00E4"/>
    <w:rsid w:val="00FC072C"/>
    <w:rsid w:val="00FC1A11"/>
    <w:rsid w:val="00FC28D0"/>
    <w:rsid w:val="00FC311A"/>
    <w:rsid w:val="00FC3852"/>
    <w:rsid w:val="00FC3ABF"/>
    <w:rsid w:val="00FC4263"/>
    <w:rsid w:val="00FC4BC1"/>
    <w:rsid w:val="00FC5396"/>
    <w:rsid w:val="00FC6962"/>
    <w:rsid w:val="00FC7F79"/>
    <w:rsid w:val="00FD04D7"/>
    <w:rsid w:val="00FD0E07"/>
    <w:rsid w:val="00FD1908"/>
    <w:rsid w:val="00FD2227"/>
    <w:rsid w:val="00FD28E4"/>
    <w:rsid w:val="00FD3076"/>
    <w:rsid w:val="00FD4A2A"/>
    <w:rsid w:val="00FD4C0C"/>
    <w:rsid w:val="00FD5DB4"/>
    <w:rsid w:val="00FD5E7D"/>
    <w:rsid w:val="00FD6DEB"/>
    <w:rsid w:val="00FD7BC7"/>
    <w:rsid w:val="00FE1171"/>
    <w:rsid w:val="00FE19F7"/>
    <w:rsid w:val="00FE1CD5"/>
    <w:rsid w:val="00FE235A"/>
    <w:rsid w:val="00FE2846"/>
    <w:rsid w:val="00FE3DCB"/>
    <w:rsid w:val="00FE471A"/>
    <w:rsid w:val="00FE4AC1"/>
    <w:rsid w:val="00FE51AA"/>
    <w:rsid w:val="00FE53E0"/>
    <w:rsid w:val="00FE63AA"/>
    <w:rsid w:val="00FF035E"/>
    <w:rsid w:val="00FF0A15"/>
    <w:rsid w:val="00FF1430"/>
    <w:rsid w:val="00FF225F"/>
    <w:rsid w:val="00FF4428"/>
    <w:rsid w:val="00FF44B6"/>
    <w:rsid w:val="00FF46DA"/>
    <w:rsid w:val="00FF4770"/>
    <w:rsid w:val="00FF52F7"/>
    <w:rsid w:val="00FF5A4F"/>
    <w:rsid w:val="00FF5AA9"/>
    <w:rsid w:val="00FF5ADB"/>
    <w:rsid w:val="00FF61D4"/>
    <w:rsid w:val="00FF663E"/>
    <w:rsid w:val="00FF66EE"/>
    <w:rsid w:val="00FF78CC"/>
    <w:rsid w:val="01A156F8"/>
    <w:rsid w:val="040D2D33"/>
    <w:rsid w:val="04442270"/>
    <w:rsid w:val="055D3D7E"/>
    <w:rsid w:val="06117F79"/>
    <w:rsid w:val="0662732E"/>
    <w:rsid w:val="068A5FDB"/>
    <w:rsid w:val="06B57A35"/>
    <w:rsid w:val="073C4DF9"/>
    <w:rsid w:val="074D1FB6"/>
    <w:rsid w:val="0774357C"/>
    <w:rsid w:val="07D55FEF"/>
    <w:rsid w:val="085632C3"/>
    <w:rsid w:val="08A57F5F"/>
    <w:rsid w:val="0903319F"/>
    <w:rsid w:val="0A506CB7"/>
    <w:rsid w:val="0A572864"/>
    <w:rsid w:val="0AF55A98"/>
    <w:rsid w:val="0BD73B39"/>
    <w:rsid w:val="0C8A04B3"/>
    <w:rsid w:val="0D0E115E"/>
    <w:rsid w:val="0D386E82"/>
    <w:rsid w:val="0E162E63"/>
    <w:rsid w:val="0E3B5D80"/>
    <w:rsid w:val="0F9509ED"/>
    <w:rsid w:val="0FCE5D2A"/>
    <w:rsid w:val="100844EC"/>
    <w:rsid w:val="10B46A31"/>
    <w:rsid w:val="10C15B55"/>
    <w:rsid w:val="121A54B0"/>
    <w:rsid w:val="122C2B25"/>
    <w:rsid w:val="12B205B0"/>
    <w:rsid w:val="12CC71EE"/>
    <w:rsid w:val="13AE28A6"/>
    <w:rsid w:val="13CD7354"/>
    <w:rsid w:val="141B03CC"/>
    <w:rsid w:val="14A003D1"/>
    <w:rsid w:val="14E13731"/>
    <w:rsid w:val="15DC4C07"/>
    <w:rsid w:val="1603288D"/>
    <w:rsid w:val="17E13C1A"/>
    <w:rsid w:val="1A0B2424"/>
    <w:rsid w:val="1B3E72A5"/>
    <w:rsid w:val="1C38044D"/>
    <w:rsid w:val="1C3A194F"/>
    <w:rsid w:val="1CF22438"/>
    <w:rsid w:val="1D2D24D6"/>
    <w:rsid w:val="1D8C3ACE"/>
    <w:rsid w:val="1DB22AF9"/>
    <w:rsid w:val="1E541A70"/>
    <w:rsid w:val="1E8C30B2"/>
    <w:rsid w:val="1E932147"/>
    <w:rsid w:val="1F272F08"/>
    <w:rsid w:val="1F41426C"/>
    <w:rsid w:val="20072DF7"/>
    <w:rsid w:val="21BB015D"/>
    <w:rsid w:val="22334556"/>
    <w:rsid w:val="23D33E51"/>
    <w:rsid w:val="24096964"/>
    <w:rsid w:val="24FB5382"/>
    <w:rsid w:val="24FB6F38"/>
    <w:rsid w:val="24FE58C3"/>
    <w:rsid w:val="251A54A9"/>
    <w:rsid w:val="262829DF"/>
    <w:rsid w:val="277E764F"/>
    <w:rsid w:val="27D72F9E"/>
    <w:rsid w:val="28BA6F34"/>
    <w:rsid w:val="29B32078"/>
    <w:rsid w:val="2C4E0743"/>
    <w:rsid w:val="2C6A166B"/>
    <w:rsid w:val="2DC07ADD"/>
    <w:rsid w:val="2E541BEB"/>
    <w:rsid w:val="2E774DC8"/>
    <w:rsid w:val="2FA26D23"/>
    <w:rsid w:val="3008200E"/>
    <w:rsid w:val="3072481E"/>
    <w:rsid w:val="31321F99"/>
    <w:rsid w:val="31914739"/>
    <w:rsid w:val="31E23903"/>
    <w:rsid w:val="32FC3CC0"/>
    <w:rsid w:val="34603CB7"/>
    <w:rsid w:val="35672368"/>
    <w:rsid w:val="35837B4B"/>
    <w:rsid w:val="35D703D8"/>
    <w:rsid w:val="371A713B"/>
    <w:rsid w:val="38DF6D5E"/>
    <w:rsid w:val="39012615"/>
    <w:rsid w:val="39E4717E"/>
    <w:rsid w:val="3A2A4E8A"/>
    <w:rsid w:val="3A9638A2"/>
    <w:rsid w:val="3AFA6B2D"/>
    <w:rsid w:val="3CB029DD"/>
    <w:rsid w:val="3D624A2B"/>
    <w:rsid w:val="3DCC1E5F"/>
    <w:rsid w:val="3EAE2050"/>
    <w:rsid w:val="3F041AD9"/>
    <w:rsid w:val="3FB303FC"/>
    <w:rsid w:val="40AE5091"/>
    <w:rsid w:val="423B4E6C"/>
    <w:rsid w:val="43F3458A"/>
    <w:rsid w:val="44440133"/>
    <w:rsid w:val="45B31A61"/>
    <w:rsid w:val="45CF2F6F"/>
    <w:rsid w:val="45D34FB6"/>
    <w:rsid w:val="46245A13"/>
    <w:rsid w:val="46DD4550"/>
    <w:rsid w:val="46E3608D"/>
    <w:rsid w:val="47033A9A"/>
    <w:rsid w:val="479E4F15"/>
    <w:rsid w:val="48CA6795"/>
    <w:rsid w:val="4941085B"/>
    <w:rsid w:val="4962008B"/>
    <w:rsid w:val="49DA6407"/>
    <w:rsid w:val="49FA03B9"/>
    <w:rsid w:val="4C0B019B"/>
    <w:rsid w:val="4C104692"/>
    <w:rsid w:val="4C231F8F"/>
    <w:rsid w:val="4C811519"/>
    <w:rsid w:val="4D285099"/>
    <w:rsid w:val="4D5D1394"/>
    <w:rsid w:val="4D7A63D4"/>
    <w:rsid w:val="4DC105B9"/>
    <w:rsid w:val="4E5E6ACE"/>
    <w:rsid w:val="4EA3285D"/>
    <w:rsid w:val="4FD17D78"/>
    <w:rsid w:val="502F2AFF"/>
    <w:rsid w:val="5062649A"/>
    <w:rsid w:val="52394071"/>
    <w:rsid w:val="52BE47B3"/>
    <w:rsid w:val="52D34A56"/>
    <w:rsid w:val="533C2574"/>
    <w:rsid w:val="534A49DB"/>
    <w:rsid w:val="540154EC"/>
    <w:rsid w:val="549661BE"/>
    <w:rsid w:val="54D90D6B"/>
    <w:rsid w:val="54F5408A"/>
    <w:rsid w:val="5678553B"/>
    <w:rsid w:val="56C95F43"/>
    <w:rsid w:val="57673C54"/>
    <w:rsid w:val="578F46AB"/>
    <w:rsid w:val="58552D55"/>
    <w:rsid w:val="586357E1"/>
    <w:rsid w:val="586F29A3"/>
    <w:rsid w:val="59841B2F"/>
    <w:rsid w:val="5A835EEC"/>
    <w:rsid w:val="5BE60354"/>
    <w:rsid w:val="5C467737"/>
    <w:rsid w:val="5C4917CB"/>
    <w:rsid w:val="5C5A4637"/>
    <w:rsid w:val="5D035D66"/>
    <w:rsid w:val="5D3A60F6"/>
    <w:rsid w:val="610A4A53"/>
    <w:rsid w:val="618D0DDA"/>
    <w:rsid w:val="61924C82"/>
    <w:rsid w:val="61D651BA"/>
    <w:rsid w:val="6238577C"/>
    <w:rsid w:val="62E86106"/>
    <w:rsid w:val="63593E54"/>
    <w:rsid w:val="65321727"/>
    <w:rsid w:val="654020E2"/>
    <w:rsid w:val="67E75A9C"/>
    <w:rsid w:val="67F50CA9"/>
    <w:rsid w:val="684D717D"/>
    <w:rsid w:val="68686AEA"/>
    <w:rsid w:val="692D52EC"/>
    <w:rsid w:val="69C2222A"/>
    <w:rsid w:val="6A4E2C73"/>
    <w:rsid w:val="6ACA7F96"/>
    <w:rsid w:val="6B564F76"/>
    <w:rsid w:val="6B5F7381"/>
    <w:rsid w:val="6EB34C7A"/>
    <w:rsid w:val="6EC1338F"/>
    <w:rsid w:val="711E7D37"/>
    <w:rsid w:val="71947DA3"/>
    <w:rsid w:val="72E90C5B"/>
    <w:rsid w:val="7338355D"/>
    <w:rsid w:val="73E63CEC"/>
    <w:rsid w:val="7461442E"/>
    <w:rsid w:val="76D966E8"/>
    <w:rsid w:val="77B25407"/>
    <w:rsid w:val="79627ECB"/>
    <w:rsid w:val="79A31922"/>
    <w:rsid w:val="7A950FFF"/>
    <w:rsid w:val="7C7F141A"/>
    <w:rsid w:val="7DC114FB"/>
    <w:rsid w:val="7E264CCF"/>
    <w:rsid w:val="7E61579F"/>
    <w:rsid w:val="7EDE60CE"/>
    <w:rsid w:val="7EF276B7"/>
    <w:rsid w:val="7F840320"/>
    <w:rsid w:val="BEFE6508"/>
    <w:rsid w:val="FB9F87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1"/>
    <w:qFormat/>
    <w:uiPriority w:val="9"/>
    <w:pPr>
      <w:keepNext/>
      <w:keepLines/>
      <w:spacing w:before="340" w:after="330" w:line="578" w:lineRule="auto"/>
      <w:jc w:val="center"/>
      <w:outlineLvl w:val="0"/>
    </w:pPr>
    <w:rPr>
      <w:b/>
      <w:bCs/>
      <w:kern w:val="44"/>
      <w:sz w:val="32"/>
      <w:szCs w:val="44"/>
      <w:lang w:val="zh-CN"/>
    </w:rPr>
  </w:style>
  <w:style w:type="paragraph" w:styleId="4">
    <w:name w:val="heading 2"/>
    <w:basedOn w:val="1"/>
    <w:next w:val="1"/>
    <w:link w:val="62"/>
    <w:qFormat/>
    <w:uiPriority w:val="9"/>
    <w:pPr>
      <w:keepNext/>
      <w:keepLines/>
      <w:spacing w:before="260" w:after="260" w:line="416" w:lineRule="auto"/>
      <w:outlineLvl w:val="1"/>
    </w:pPr>
    <w:rPr>
      <w:rFonts w:ascii="Arial" w:hAnsi="Arial" w:eastAsia="黑体"/>
      <w:b/>
      <w:bCs/>
      <w:sz w:val="32"/>
      <w:szCs w:val="32"/>
      <w:lang w:val="zh-CN"/>
    </w:rPr>
  </w:style>
  <w:style w:type="paragraph" w:styleId="5">
    <w:name w:val="heading 3"/>
    <w:basedOn w:val="1"/>
    <w:next w:val="1"/>
    <w:link w:val="63"/>
    <w:qFormat/>
    <w:uiPriority w:val="9"/>
    <w:pPr>
      <w:keepNext/>
      <w:keepLines/>
      <w:spacing w:before="260" w:after="260" w:line="416" w:lineRule="auto"/>
      <w:outlineLvl w:val="2"/>
    </w:pPr>
    <w:rPr>
      <w:b/>
      <w:bCs/>
      <w:sz w:val="32"/>
      <w:szCs w:val="32"/>
      <w:lang w:val="zh-CN"/>
    </w:rPr>
  </w:style>
  <w:style w:type="paragraph" w:styleId="6">
    <w:name w:val="heading 4"/>
    <w:basedOn w:val="1"/>
    <w:next w:val="1"/>
    <w:link w:val="64"/>
    <w:qFormat/>
    <w:uiPriority w:val="0"/>
    <w:pPr>
      <w:keepNext/>
      <w:keepLines/>
      <w:spacing w:before="280" w:after="290" w:line="374" w:lineRule="auto"/>
      <w:outlineLvl w:val="3"/>
    </w:pPr>
    <w:rPr>
      <w:rFonts w:ascii="Arial" w:hAnsi="Arial" w:eastAsia="黑体"/>
      <w:b/>
      <w:bCs/>
      <w:kern w:val="0"/>
      <w:sz w:val="28"/>
      <w:szCs w:val="28"/>
      <w:lang w:val="zh-CN"/>
    </w:rPr>
  </w:style>
  <w:style w:type="paragraph" w:styleId="7">
    <w:name w:val="heading 5"/>
    <w:basedOn w:val="1"/>
    <w:next w:val="1"/>
    <w:link w:val="65"/>
    <w:qFormat/>
    <w:uiPriority w:val="0"/>
    <w:pPr>
      <w:keepNext/>
      <w:keepLines/>
      <w:tabs>
        <w:tab w:val="left" w:pos="1701"/>
      </w:tabs>
      <w:spacing w:before="280" w:after="290" w:line="360" w:lineRule="auto"/>
      <w:outlineLvl w:val="4"/>
    </w:pPr>
    <w:rPr>
      <w:rFonts w:ascii="楷体_GB2312" w:eastAsia="楷体_GB2312"/>
      <w:b/>
      <w:bCs/>
      <w:kern w:val="0"/>
      <w:sz w:val="24"/>
      <w:szCs w:val="28"/>
      <w:lang w:val="zh-CN"/>
    </w:rPr>
  </w:style>
  <w:style w:type="paragraph" w:styleId="8">
    <w:name w:val="heading 6"/>
    <w:basedOn w:val="7"/>
    <w:next w:val="1"/>
    <w:link w:val="66"/>
    <w:qFormat/>
    <w:uiPriority w:val="0"/>
    <w:pPr>
      <w:keepNext w:val="0"/>
      <w:keepLines w:val="0"/>
      <w:tabs>
        <w:tab w:val="left" w:pos="2940"/>
        <w:tab w:val="clear" w:pos="1701"/>
      </w:tabs>
      <w:adjustRightInd w:val="0"/>
      <w:spacing w:before="0" w:after="0" w:line="400" w:lineRule="exact"/>
      <w:textAlignment w:val="baseline"/>
      <w:outlineLvl w:val="5"/>
    </w:pPr>
    <w:rPr>
      <w:rFonts w:ascii="Calibri" w:eastAsia="宋体"/>
      <w:b w:val="0"/>
      <w:bCs w:val="0"/>
      <w:szCs w:val="20"/>
    </w:rPr>
  </w:style>
  <w:style w:type="paragraph" w:styleId="9">
    <w:name w:val="heading 7"/>
    <w:basedOn w:val="8"/>
    <w:next w:val="1"/>
    <w:link w:val="67"/>
    <w:qFormat/>
    <w:uiPriority w:val="0"/>
    <w:pPr>
      <w:tabs>
        <w:tab w:val="left" w:pos="3360"/>
        <w:tab w:val="clear" w:pos="2940"/>
      </w:tabs>
      <w:outlineLvl w:val="6"/>
    </w:pPr>
  </w:style>
  <w:style w:type="paragraph" w:styleId="10">
    <w:name w:val="heading 8"/>
    <w:basedOn w:val="9"/>
    <w:next w:val="1"/>
    <w:link w:val="68"/>
    <w:qFormat/>
    <w:uiPriority w:val="0"/>
    <w:pPr>
      <w:tabs>
        <w:tab w:val="left" w:pos="3780"/>
        <w:tab w:val="clear" w:pos="3360"/>
      </w:tabs>
      <w:outlineLvl w:val="7"/>
    </w:pPr>
  </w:style>
  <w:style w:type="paragraph" w:styleId="11">
    <w:name w:val="heading 9"/>
    <w:basedOn w:val="10"/>
    <w:next w:val="1"/>
    <w:link w:val="69"/>
    <w:qFormat/>
    <w:uiPriority w:val="0"/>
    <w:pPr>
      <w:tabs>
        <w:tab w:val="left" w:pos="480"/>
        <w:tab w:val="left" w:pos="4200"/>
        <w:tab w:val="clear" w:pos="3780"/>
      </w:tabs>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2">
    <w:name w:val="无间距1"/>
    <w:qFormat/>
    <w:uiPriority w:val="0"/>
    <w:pPr>
      <w:widowControl w:val="0"/>
      <w:jc w:val="both"/>
    </w:pPr>
    <w:rPr>
      <w:rFonts w:ascii="Calibri" w:hAnsi="Calibri" w:eastAsia="微软雅黑 Light" w:cs="Times New Roman"/>
      <w:kern w:val="2"/>
      <w:sz w:val="24"/>
      <w:szCs w:val="22"/>
      <w:lang w:val="en-US" w:eastAsia="zh-CN" w:bidi="ar-SA"/>
    </w:rPr>
  </w:style>
  <w:style w:type="paragraph" w:styleId="12">
    <w:name w:val="toc 7"/>
    <w:basedOn w:val="1"/>
    <w:next w:val="1"/>
    <w:unhideWhenUsed/>
    <w:qFormat/>
    <w:uiPriority w:val="0"/>
    <w:pPr>
      <w:ind w:left="2520" w:leftChars="1200"/>
    </w:pPr>
    <w:rPr>
      <w:rFonts w:cs="宋体"/>
      <w:sz w:val="24"/>
    </w:rPr>
  </w:style>
  <w:style w:type="paragraph" w:styleId="13">
    <w:name w:val="List Number 2"/>
    <w:basedOn w:val="1"/>
    <w:semiHidden/>
    <w:unhideWhenUsed/>
    <w:qFormat/>
    <w:uiPriority w:val="99"/>
    <w:pPr>
      <w:numPr>
        <w:ilvl w:val="0"/>
        <w:numId w:val="1"/>
      </w:numPr>
      <w:contextualSpacing/>
    </w:pPr>
  </w:style>
  <w:style w:type="paragraph" w:styleId="14">
    <w:name w:val="table of authorities"/>
    <w:basedOn w:val="1"/>
    <w:next w:val="1"/>
    <w:unhideWhenUsed/>
    <w:qFormat/>
    <w:uiPriority w:val="0"/>
    <w:pPr>
      <w:ind w:left="420" w:leftChars="200"/>
    </w:pPr>
  </w:style>
  <w:style w:type="paragraph" w:styleId="15">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6">
    <w:name w:val="Normal Indent"/>
    <w:basedOn w:val="1"/>
    <w:link w:val="70"/>
    <w:qFormat/>
    <w:uiPriority w:val="0"/>
    <w:pPr>
      <w:ind w:firstLine="420"/>
    </w:pPr>
    <w:rPr>
      <w:rFonts w:asciiTheme="minorHAnsi" w:hAnsiTheme="minorHAnsi" w:cstheme="minorBidi"/>
      <w:szCs w:val="22"/>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71"/>
    <w:qFormat/>
    <w:uiPriority w:val="0"/>
    <w:rPr>
      <w:rFonts w:ascii="宋体" w:hAnsiTheme="minorHAnsi" w:eastAsiaTheme="minorEastAsia" w:cstheme="minorBidi"/>
      <w:sz w:val="18"/>
      <w:szCs w:val="18"/>
    </w:rPr>
  </w:style>
  <w:style w:type="paragraph" w:styleId="19">
    <w:name w:val="annotation text"/>
    <w:basedOn w:val="1"/>
    <w:link w:val="72"/>
    <w:unhideWhenUsed/>
    <w:qFormat/>
    <w:uiPriority w:val="0"/>
    <w:pPr>
      <w:jc w:val="left"/>
    </w:pPr>
  </w:style>
  <w:style w:type="paragraph" w:styleId="20">
    <w:name w:val="Body Text 3"/>
    <w:basedOn w:val="1"/>
    <w:link w:val="73"/>
    <w:qFormat/>
    <w:uiPriority w:val="0"/>
    <w:pPr>
      <w:snapToGrid w:val="0"/>
      <w:spacing w:before="50" w:after="50"/>
    </w:pPr>
    <w:rPr>
      <w:rFonts w:hAnsi="宋体" w:eastAsia="仿宋_GB2312" w:asciiTheme="minorHAnsi" w:cstheme="minorBidi"/>
      <w:b/>
      <w:bCs/>
      <w:sz w:val="24"/>
      <w:szCs w:val="22"/>
    </w:rPr>
  </w:style>
  <w:style w:type="paragraph" w:styleId="21">
    <w:name w:val="Body Text"/>
    <w:basedOn w:val="1"/>
    <w:next w:val="22"/>
    <w:link w:val="74"/>
    <w:qFormat/>
    <w:uiPriority w:val="0"/>
    <w:pPr>
      <w:spacing w:after="120"/>
    </w:pPr>
    <w:rPr>
      <w:rFonts w:asciiTheme="minorHAnsi" w:hAnsiTheme="minorHAnsi" w:eastAsiaTheme="minorEastAsia" w:cstheme="minorBidi"/>
      <w:sz w:val="28"/>
    </w:rPr>
  </w:style>
  <w:style w:type="paragraph" w:styleId="22">
    <w:name w:val="Body Text First Indent"/>
    <w:basedOn w:val="21"/>
    <w:next w:val="23"/>
    <w:link w:val="367"/>
    <w:unhideWhenUsed/>
    <w:qFormat/>
    <w:uiPriority w:val="99"/>
    <w:pPr>
      <w:ind w:firstLine="420" w:firstLineChars="100"/>
    </w:pPr>
    <w:rPr>
      <w:rFonts w:ascii="Calibri" w:hAnsi="Calibri" w:eastAsia="宋体" w:cs="Times New Roman"/>
      <w:kern w:val="0"/>
      <w:sz w:val="21"/>
    </w:rPr>
  </w:style>
  <w:style w:type="paragraph" w:styleId="23">
    <w:name w:val="toc 6"/>
    <w:basedOn w:val="1"/>
    <w:next w:val="1"/>
    <w:unhideWhenUsed/>
    <w:qFormat/>
    <w:uiPriority w:val="0"/>
    <w:pPr>
      <w:ind w:left="2100" w:leftChars="1000"/>
    </w:pPr>
    <w:rPr>
      <w:rFonts w:cs="宋体"/>
      <w:sz w:val="24"/>
    </w:rPr>
  </w:style>
  <w:style w:type="paragraph" w:styleId="24">
    <w:name w:val="Body Text Indent"/>
    <w:basedOn w:val="1"/>
    <w:link w:val="59"/>
    <w:unhideWhenUsed/>
    <w:qFormat/>
    <w:uiPriority w:val="99"/>
    <w:pPr>
      <w:spacing w:after="120"/>
      <w:ind w:left="420" w:leftChars="200"/>
    </w:pPr>
  </w:style>
  <w:style w:type="paragraph" w:styleId="25">
    <w:name w:val="List Number 3"/>
    <w:basedOn w:val="1"/>
    <w:qFormat/>
    <w:uiPriority w:val="0"/>
    <w:pPr>
      <w:numPr>
        <w:ilvl w:val="0"/>
        <w:numId w:val="2"/>
      </w:numPr>
    </w:pPr>
  </w:style>
  <w:style w:type="paragraph" w:styleId="26">
    <w:name w:val="List 2"/>
    <w:basedOn w:val="1"/>
    <w:qFormat/>
    <w:uiPriority w:val="0"/>
    <w:pPr>
      <w:ind w:left="100" w:leftChars="200" w:hanging="200" w:hangingChars="200"/>
    </w:pPr>
    <w:rPr>
      <w:sz w:val="28"/>
    </w:rPr>
  </w:style>
  <w:style w:type="paragraph" w:styleId="27">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28">
    <w:name w:val="toc 5"/>
    <w:basedOn w:val="1"/>
    <w:next w:val="1"/>
    <w:unhideWhenUsed/>
    <w:qFormat/>
    <w:uiPriority w:val="0"/>
    <w:pPr>
      <w:ind w:left="1680" w:leftChars="800"/>
    </w:pPr>
    <w:rPr>
      <w:rFonts w:cs="宋体"/>
      <w:sz w:val="24"/>
    </w:rPr>
  </w:style>
  <w:style w:type="paragraph" w:styleId="29">
    <w:name w:val="toc 3"/>
    <w:basedOn w:val="1"/>
    <w:next w:val="1"/>
    <w:unhideWhenUsed/>
    <w:qFormat/>
    <w:uiPriority w:val="39"/>
    <w:pPr>
      <w:ind w:left="840" w:leftChars="400"/>
    </w:pPr>
    <w:rPr>
      <w:rFonts w:cs="宋体"/>
      <w:sz w:val="24"/>
    </w:rPr>
  </w:style>
  <w:style w:type="paragraph" w:styleId="30">
    <w:name w:val="Plain Text"/>
    <w:basedOn w:val="1"/>
    <w:next w:val="1"/>
    <w:link w:val="75"/>
    <w:qFormat/>
    <w:uiPriority w:val="0"/>
    <w:pPr>
      <w:spacing w:beforeLines="50" w:afterLines="50" w:line="400" w:lineRule="exact"/>
    </w:pPr>
    <w:rPr>
      <w:rFonts w:ascii="宋体" w:hAnsi="Courier New" w:cstheme="minorBidi"/>
      <w:sz w:val="24"/>
    </w:rPr>
  </w:style>
  <w:style w:type="paragraph" w:styleId="31">
    <w:name w:val="toc 8"/>
    <w:basedOn w:val="1"/>
    <w:next w:val="1"/>
    <w:unhideWhenUsed/>
    <w:qFormat/>
    <w:uiPriority w:val="0"/>
    <w:pPr>
      <w:ind w:left="2940" w:leftChars="1400"/>
    </w:pPr>
    <w:rPr>
      <w:rFonts w:cs="宋体"/>
      <w:sz w:val="24"/>
    </w:rPr>
  </w:style>
  <w:style w:type="paragraph" w:styleId="32">
    <w:name w:val="Date"/>
    <w:basedOn w:val="1"/>
    <w:next w:val="1"/>
    <w:link w:val="76"/>
    <w:qFormat/>
    <w:uiPriority w:val="0"/>
    <w:pPr>
      <w:ind w:left="2500" w:leftChars="2500"/>
    </w:pPr>
    <w:rPr>
      <w:rFonts w:eastAsia="楷体_GB2312" w:asciiTheme="minorHAnsi" w:hAnsiTheme="minorHAnsi" w:cstheme="minorBidi"/>
      <w:sz w:val="32"/>
      <w:szCs w:val="22"/>
    </w:rPr>
  </w:style>
  <w:style w:type="paragraph" w:styleId="33">
    <w:name w:val="Body Text Indent 2"/>
    <w:basedOn w:val="1"/>
    <w:link w:val="77"/>
    <w:qFormat/>
    <w:uiPriority w:val="0"/>
    <w:pPr>
      <w:snapToGrid w:val="0"/>
      <w:ind w:firstLine="542" w:firstLineChars="225"/>
    </w:pPr>
    <w:rPr>
      <w:rFonts w:ascii="仿宋_GB2312" w:hAnsi="宋体" w:cs="Arial" w:eastAsiaTheme="minorEastAsia"/>
      <w:b/>
      <w:bCs/>
      <w:color w:val="000000"/>
      <w:sz w:val="24"/>
    </w:rPr>
  </w:style>
  <w:style w:type="paragraph" w:styleId="34">
    <w:name w:val="Balloon Text"/>
    <w:basedOn w:val="1"/>
    <w:link w:val="78"/>
    <w:qFormat/>
    <w:uiPriority w:val="99"/>
    <w:rPr>
      <w:rFonts w:asciiTheme="minorHAnsi" w:hAnsiTheme="minorHAnsi" w:eastAsiaTheme="minorEastAsia" w:cstheme="minorBidi"/>
      <w:sz w:val="18"/>
      <w:szCs w:val="18"/>
    </w:rPr>
  </w:style>
  <w:style w:type="paragraph" w:styleId="35">
    <w:name w:val="footer"/>
    <w:basedOn w:val="1"/>
    <w:link w:val="79"/>
    <w:qFormat/>
    <w:uiPriority w:val="99"/>
    <w:pPr>
      <w:tabs>
        <w:tab w:val="center" w:pos="4153"/>
        <w:tab w:val="right" w:pos="8306"/>
      </w:tabs>
      <w:snapToGrid w:val="0"/>
      <w:jc w:val="left"/>
    </w:pPr>
    <w:rPr>
      <w:rFonts w:eastAsia="黑体" w:asciiTheme="minorHAnsi" w:hAnsiTheme="minorHAnsi" w:cstheme="minorBidi"/>
      <w:snapToGrid w:val="0"/>
      <w:sz w:val="18"/>
      <w:szCs w:val="18"/>
    </w:rPr>
  </w:style>
  <w:style w:type="paragraph" w:styleId="36">
    <w:name w:val="header"/>
    <w:basedOn w:val="1"/>
    <w:link w:val="80"/>
    <w:qFormat/>
    <w:uiPriority w:val="0"/>
    <w:pPr>
      <w:pBdr>
        <w:bottom w:val="single" w:color="auto" w:sz="6" w:space="1"/>
      </w:pBdr>
      <w:tabs>
        <w:tab w:val="center" w:pos="4153"/>
        <w:tab w:val="right" w:pos="8306"/>
      </w:tabs>
      <w:snapToGrid w:val="0"/>
      <w:jc w:val="center"/>
    </w:pPr>
    <w:rPr>
      <w:rFonts w:eastAsia="仿宋_GB2312" w:asciiTheme="minorHAnsi" w:hAnsiTheme="minorHAnsi" w:cstheme="minorBidi"/>
      <w:sz w:val="18"/>
      <w:szCs w:val="22"/>
    </w:rPr>
  </w:style>
  <w:style w:type="paragraph" w:styleId="37">
    <w:name w:val="toc 1"/>
    <w:basedOn w:val="1"/>
    <w:next w:val="1"/>
    <w:qFormat/>
    <w:uiPriority w:val="39"/>
  </w:style>
  <w:style w:type="paragraph" w:styleId="38">
    <w:name w:val="toc 4"/>
    <w:basedOn w:val="1"/>
    <w:next w:val="1"/>
    <w:unhideWhenUsed/>
    <w:qFormat/>
    <w:uiPriority w:val="0"/>
    <w:pPr>
      <w:ind w:left="1260" w:leftChars="600"/>
    </w:pPr>
    <w:rPr>
      <w:rFonts w:cs="宋体"/>
      <w:sz w:val="24"/>
    </w:rPr>
  </w:style>
  <w:style w:type="paragraph" w:styleId="39">
    <w:name w:val="Subtitle"/>
    <w:basedOn w:val="1"/>
    <w:next w:val="1"/>
    <w:link w:val="81"/>
    <w:qFormat/>
    <w:uiPriority w:val="0"/>
    <w:pPr>
      <w:jc w:val="left"/>
    </w:pPr>
    <w:rPr>
      <w:rFonts w:ascii="Cambria" w:hAnsi="Cambria" w:cs="宋体" w:eastAsiaTheme="minorEastAsia"/>
      <w:bCs/>
      <w:kern w:val="28"/>
      <w:sz w:val="18"/>
      <w:szCs w:val="32"/>
    </w:rPr>
  </w:style>
  <w:style w:type="paragraph" w:styleId="40">
    <w:name w:val="List"/>
    <w:basedOn w:val="1"/>
    <w:link w:val="358"/>
    <w:qFormat/>
    <w:uiPriority w:val="0"/>
    <w:pPr>
      <w:ind w:left="200" w:hanging="200" w:hangingChars="200"/>
    </w:pPr>
    <w:rPr>
      <w:sz w:val="28"/>
    </w:rPr>
  </w:style>
  <w:style w:type="paragraph" w:styleId="41">
    <w:name w:val="Body Text Indent 3"/>
    <w:basedOn w:val="1"/>
    <w:link w:val="82"/>
    <w:qFormat/>
    <w:uiPriority w:val="0"/>
    <w:pPr>
      <w:snapToGrid w:val="0"/>
      <w:ind w:firstLine="480" w:firstLineChars="200"/>
      <w:jc w:val="left"/>
    </w:pPr>
    <w:rPr>
      <w:rFonts w:ascii="仿宋_GB2312" w:hAnsi="宋体" w:eastAsia="仿宋_GB2312" w:cstheme="minorBidi"/>
      <w:color w:val="000000"/>
      <w:sz w:val="24"/>
    </w:rPr>
  </w:style>
  <w:style w:type="paragraph" w:styleId="42">
    <w:name w:val="toc 2"/>
    <w:basedOn w:val="1"/>
    <w:next w:val="1"/>
    <w:qFormat/>
    <w:uiPriority w:val="39"/>
    <w:pPr>
      <w:ind w:left="420" w:leftChars="200"/>
    </w:pPr>
  </w:style>
  <w:style w:type="paragraph" w:styleId="43">
    <w:name w:val="toc 9"/>
    <w:basedOn w:val="1"/>
    <w:next w:val="1"/>
    <w:unhideWhenUsed/>
    <w:qFormat/>
    <w:uiPriority w:val="0"/>
    <w:pPr>
      <w:ind w:left="3360" w:leftChars="1600"/>
    </w:pPr>
    <w:rPr>
      <w:rFonts w:cs="宋体"/>
      <w:sz w:val="24"/>
    </w:rPr>
  </w:style>
  <w:style w:type="paragraph" w:styleId="44">
    <w:name w:val="Body Text 2"/>
    <w:basedOn w:val="1"/>
    <w:link w:val="83"/>
    <w:qFormat/>
    <w:uiPriority w:val="0"/>
    <w:pPr>
      <w:widowControl/>
      <w:snapToGrid w:val="0"/>
      <w:spacing w:before="50" w:afterLines="50" w:line="400" w:lineRule="exact"/>
      <w:jc w:val="left"/>
    </w:pPr>
    <w:rPr>
      <w:rFonts w:ascii="宋体" w:hAnsi="宋体" w:eastAsiaTheme="minorEastAsia" w:cstheme="minorBidi"/>
      <w:color w:val="000000"/>
      <w:sz w:val="24"/>
    </w:rPr>
  </w:style>
  <w:style w:type="paragraph" w:styleId="4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6">
    <w:name w:val="Title"/>
    <w:basedOn w:val="1"/>
    <w:next w:val="1"/>
    <w:link w:val="84"/>
    <w:qFormat/>
    <w:uiPriority w:val="0"/>
    <w:pPr>
      <w:spacing w:before="240" w:after="60"/>
      <w:jc w:val="center"/>
      <w:outlineLvl w:val="0"/>
    </w:pPr>
    <w:rPr>
      <w:rFonts w:ascii="Calibri Light" w:hAnsi="Calibri Light" w:eastAsiaTheme="minorEastAsia" w:cstheme="minorBidi"/>
      <w:b/>
      <w:bCs/>
      <w:sz w:val="32"/>
      <w:szCs w:val="32"/>
    </w:rPr>
  </w:style>
  <w:style w:type="paragraph" w:styleId="47">
    <w:name w:val="annotation subject"/>
    <w:basedOn w:val="19"/>
    <w:next w:val="19"/>
    <w:link w:val="85"/>
    <w:qFormat/>
    <w:uiPriority w:val="0"/>
    <w:rPr>
      <w:rFonts w:asciiTheme="minorHAnsi" w:hAnsiTheme="minorHAnsi" w:eastAsiaTheme="minorEastAsia" w:cstheme="minorBidi"/>
      <w:b/>
      <w:bCs/>
    </w:rPr>
  </w:style>
  <w:style w:type="paragraph" w:styleId="48">
    <w:name w:val="Body Text First Indent 2"/>
    <w:basedOn w:val="24"/>
    <w:link w:val="60"/>
    <w:qFormat/>
    <w:uiPriority w:val="0"/>
    <w:pPr>
      <w:ind w:firstLine="420" w:firstLineChars="200"/>
    </w:pPr>
    <w:rPr>
      <w:rFonts w:ascii="宋体" w:hAnsi="Courier New" w:eastAsiaTheme="minorEastAsia" w:cstheme="minorBidi"/>
      <w:spacing w:val="-4"/>
    </w:rPr>
  </w:style>
  <w:style w:type="table" w:styleId="50">
    <w:name w:val="Table Grid"/>
    <w:basedOn w:val="4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qFormat/>
    <w:uiPriority w:val="22"/>
    <w:rPr>
      <w:b/>
      <w:bCs/>
    </w:rPr>
  </w:style>
  <w:style w:type="character" w:styleId="53">
    <w:name w:val="page number"/>
    <w:basedOn w:val="51"/>
    <w:qFormat/>
    <w:uiPriority w:val="0"/>
  </w:style>
  <w:style w:type="character" w:styleId="54">
    <w:name w:val="FollowedHyperlink"/>
    <w:qFormat/>
    <w:uiPriority w:val="0"/>
    <w:rPr>
      <w:color w:val="800080"/>
      <w:u w:val="single"/>
    </w:rPr>
  </w:style>
  <w:style w:type="character" w:styleId="55">
    <w:name w:val="Emphasis"/>
    <w:qFormat/>
    <w:uiPriority w:val="20"/>
    <w:rPr>
      <w:i/>
      <w:iCs/>
    </w:rPr>
  </w:style>
  <w:style w:type="character" w:styleId="56">
    <w:name w:val="Hyperlink"/>
    <w:qFormat/>
    <w:uiPriority w:val="99"/>
    <w:rPr>
      <w:color w:val="0000FF"/>
      <w:u w:val="single"/>
    </w:rPr>
  </w:style>
  <w:style w:type="character" w:styleId="57">
    <w:name w:val="annotation reference"/>
    <w:qFormat/>
    <w:uiPriority w:val="0"/>
    <w:rPr>
      <w:sz w:val="21"/>
      <w:szCs w:val="21"/>
    </w:rPr>
  </w:style>
  <w:style w:type="paragraph" w:customStyle="1" w:styleId="58">
    <w:name w:val="首行缩进"/>
    <w:basedOn w:val="1"/>
    <w:qFormat/>
    <w:uiPriority w:val="0"/>
    <w:rPr>
      <w:lang w:val="zh-CN"/>
    </w:rPr>
  </w:style>
  <w:style w:type="character" w:customStyle="1" w:styleId="59">
    <w:name w:val="正文文本缩进 Char3"/>
    <w:basedOn w:val="51"/>
    <w:link w:val="24"/>
    <w:qFormat/>
    <w:uiPriority w:val="99"/>
    <w:rPr>
      <w:rFonts w:ascii="Calibri" w:hAnsi="Calibri" w:eastAsia="宋体" w:cs="Times New Roman"/>
      <w:szCs w:val="24"/>
    </w:rPr>
  </w:style>
  <w:style w:type="character" w:customStyle="1" w:styleId="60">
    <w:name w:val="正文首行缩进 2 Char2"/>
    <w:link w:val="48"/>
    <w:qFormat/>
    <w:uiPriority w:val="0"/>
    <w:rPr>
      <w:rFonts w:ascii="宋体" w:hAnsi="Courier New"/>
      <w:spacing w:val="-4"/>
      <w:szCs w:val="24"/>
    </w:rPr>
  </w:style>
  <w:style w:type="character" w:customStyle="1" w:styleId="61">
    <w:name w:val="标题 1 Char1"/>
    <w:link w:val="3"/>
    <w:qFormat/>
    <w:uiPriority w:val="0"/>
    <w:rPr>
      <w:rFonts w:ascii="Calibri" w:hAnsi="Calibri" w:eastAsia="宋体" w:cs="Times New Roman"/>
      <w:b/>
      <w:bCs/>
      <w:kern w:val="44"/>
      <w:sz w:val="32"/>
      <w:szCs w:val="44"/>
      <w:lang w:val="zh-CN" w:eastAsia="zh-CN"/>
    </w:rPr>
  </w:style>
  <w:style w:type="character" w:customStyle="1" w:styleId="62">
    <w:name w:val="标题 2 Char2"/>
    <w:link w:val="4"/>
    <w:qFormat/>
    <w:uiPriority w:val="9"/>
    <w:rPr>
      <w:rFonts w:ascii="Arial" w:hAnsi="Arial" w:eastAsia="黑体" w:cs="Times New Roman"/>
      <w:b/>
      <w:bCs/>
      <w:sz w:val="32"/>
      <w:szCs w:val="32"/>
      <w:lang w:val="zh-CN" w:eastAsia="zh-CN"/>
    </w:rPr>
  </w:style>
  <w:style w:type="character" w:customStyle="1" w:styleId="63">
    <w:name w:val="标题 3 Char1"/>
    <w:link w:val="5"/>
    <w:qFormat/>
    <w:uiPriority w:val="9"/>
    <w:rPr>
      <w:rFonts w:ascii="Calibri" w:hAnsi="Calibri" w:eastAsia="宋体" w:cs="Times New Roman"/>
      <w:b/>
      <w:bCs/>
      <w:sz w:val="32"/>
      <w:szCs w:val="32"/>
      <w:lang w:val="zh-CN" w:eastAsia="zh-CN"/>
    </w:rPr>
  </w:style>
  <w:style w:type="character" w:customStyle="1" w:styleId="64">
    <w:name w:val="标题 4 Char1"/>
    <w:link w:val="6"/>
    <w:qFormat/>
    <w:uiPriority w:val="0"/>
    <w:rPr>
      <w:rFonts w:ascii="Arial" w:hAnsi="Arial" w:eastAsia="黑体" w:cs="Times New Roman"/>
      <w:b/>
      <w:bCs/>
      <w:kern w:val="0"/>
      <w:sz w:val="28"/>
      <w:szCs w:val="28"/>
      <w:lang w:val="zh-CN" w:eastAsia="zh-CN"/>
    </w:rPr>
  </w:style>
  <w:style w:type="character" w:customStyle="1" w:styleId="65">
    <w:name w:val="标题 5 Char1"/>
    <w:link w:val="7"/>
    <w:qFormat/>
    <w:uiPriority w:val="0"/>
    <w:rPr>
      <w:rFonts w:ascii="楷体_GB2312" w:hAnsi="Calibri" w:eastAsia="楷体_GB2312" w:cs="Times New Roman"/>
      <w:b/>
      <w:bCs/>
      <w:kern w:val="0"/>
      <w:sz w:val="24"/>
      <w:szCs w:val="28"/>
      <w:lang w:val="zh-CN" w:eastAsia="zh-CN"/>
    </w:rPr>
  </w:style>
  <w:style w:type="character" w:customStyle="1" w:styleId="66">
    <w:name w:val="标题 6 Char1"/>
    <w:link w:val="8"/>
    <w:qFormat/>
    <w:uiPriority w:val="0"/>
    <w:rPr>
      <w:rFonts w:ascii="Calibri" w:hAnsi="Calibri" w:eastAsia="宋体" w:cs="Times New Roman"/>
      <w:kern w:val="0"/>
      <w:sz w:val="24"/>
      <w:szCs w:val="20"/>
      <w:lang w:val="zh-CN" w:eastAsia="zh-CN"/>
    </w:rPr>
  </w:style>
  <w:style w:type="character" w:customStyle="1" w:styleId="67">
    <w:name w:val="标题 7 Char1"/>
    <w:link w:val="9"/>
    <w:qFormat/>
    <w:uiPriority w:val="0"/>
    <w:rPr>
      <w:rFonts w:ascii="Calibri" w:hAnsi="Calibri" w:eastAsia="宋体" w:cs="Times New Roman"/>
      <w:kern w:val="0"/>
      <w:sz w:val="24"/>
      <w:szCs w:val="20"/>
      <w:lang w:val="zh-CN" w:eastAsia="zh-CN"/>
    </w:rPr>
  </w:style>
  <w:style w:type="character" w:customStyle="1" w:styleId="68">
    <w:name w:val="标题 8 Char1"/>
    <w:link w:val="10"/>
    <w:qFormat/>
    <w:uiPriority w:val="0"/>
    <w:rPr>
      <w:rFonts w:ascii="Calibri" w:hAnsi="Calibri" w:eastAsia="宋体" w:cs="Times New Roman"/>
      <w:kern w:val="0"/>
      <w:sz w:val="24"/>
      <w:szCs w:val="20"/>
      <w:lang w:val="zh-CN" w:eastAsia="zh-CN"/>
    </w:rPr>
  </w:style>
  <w:style w:type="character" w:customStyle="1" w:styleId="69">
    <w:name w:val="标题 9 Char1"/>
    <w:link w:val="11"/>
    <w:qFormat/>
    <w:uiPriority w:val="0"/>
    <w:rPr>
      <w:rFonts w:ascii="Calibri" w:hAnsi="Calibri" w:eastAsia="宋体" w:cs="Times New Roman"/>
      <w:kern w:val="0"/>
      <w:sz w:val="24"/>
      <w:szCs w:val="20"/>
      <w:lang w:val="zh-CN" w:eastAsia="zh-CN"/>
    </w:rPr>
  </w:style>
  <w:style w:type="character" w:customStyle="1" w:styleId="70">
    <w:name w:val="正文缩进 Char1"/>
    <w:link w:val="16"/>
    <w:qFormat/>
    <w:uiPriority w:val="0"/>
    <w:rPr>
      <w:rFonts w:eastAsia="宋体"/>
    </w:rPr>
  </w:style>
  <w:style w:type="character" w:customStyle="1" w:styleId="71">
    <w:name w:val="文档结构图 Char3"/>
    <w:link w:val="18"/>
    <w:qFormat/>
    <w:uiPriority w:val="0"/>
    <w:rPr>
      <w:rFonts w:ascii="宋体"/>
      <w:sz w:val="18"/>
      <w:szCs w:val="18"/>
    </w:rPr>
  </w:style>
  <w:style w:type="character" w:customStyle="1" w:styleId="72">
    <w:name w:val="批注文字 Char3"/>
    <w:basedOn w:val="51"/>
    <w:link w:val="19"/>
    <w:semiHidden/>
    <w:qFormat/>
    <w:uiPriority w:val="99"/>
    <w:rPr>
      <w:rFonts w:ascii="Calibri" w:hAnsi="Calibri" w:eastAsia="宋体" w:cs="Times New Roman"/>
      <w:szCs w:val="24"/>
    </w:rPr>
  </w:style>
  <w:style w:type="character" w:customStyle="1" w:styleId="73">
    <w:name w:val="正文文本 3 Char3"/>
    <w:link w:val="20"/>
    <w:qFormat/>
    <w:uiPriority w:val="0"/>
    <w:rPr>
      <w:rFonts w:hAnsi="宋体" w:eastAsia="仿宋_GB2312"/>
      <w:b/>
      <w:bCs/>
      <w:sz w:val="24"/>
    </w:rPr>
  </w:style>
  <w:style w:type="character" w:customStyle="1" w:styleId="74">
    <w:name w:val="正文文本 Char3"/>
    <w:link w:val="21"/>
    <w:qFormat/>
    <w:uiPriority w:val="0"/>
    <w:rPr>
      <w:sz w:val="28"/>
      <w:szCs w:val="24"/>
    </w:rPr>
  </w:style>
  <w:style w:type="character" w:customStyle="1" w:styleId="75">
    <w:name w:val="纯文本 Char5"/>
    <w:link w:val="30"/>
    <w:qFormat/>
    <w:uiPriority w:val="0"/>
    <w:rPr>
      <w:rFonts w:ascii="宋体" w:hAnsi="Courier New" w:eastAsia="宋体"/>
      <w:sz w:val="24"/>
      <w:szCs w:val="24"/>
    </w:rPr>
  </w:style>
  <w:style w:type="character" w:customStyle="1" w:styleId="76">
    <w:name w:val="日期 Char3"/>
    <w:link w:val="32"/>
    <w:qFormat/>
    <w:uiPriority w:val="0"/>
    <w:rPr>
      <w:rFonts w:eastAsia="楷体_GB2312"/>
      <w:sz w:val="32"/>
    </w:rPr>
  </w:style>
  <w:style w:type="character" w:customStyle="1" w:styleId="77">
    <w:name w:val="正文文本缩进 2 Char3"/>
    <w:link w:val="33"/>
    <w:qFormat/>
    <w:uiPriority w:val="0"/>
    <w:rPr>
      <w:rFonts w:ascii="仿宋_GB2312" w:hAnsi="宋体" w:cs="Arial"/>
      <w:b/>
      <w:bCs/>
      <w:color w:val="000000"/>
      <w:sz w:val="24"/>
      <w:szCs w:val="24"/>
    </w:rPr>
  </w:style>
  <w:style w:type="character" w:customStyle="1" w:styleId="78">
    <w:name w:val="批注框文本 Char3"/>
    <w:link w:val="34"/>
    <w:qFormat/>
    <w:locked/>
    <w:uiPriority w:val="99"/>
    <w:rPr>
      <w:sz w:val="18"/>
      <w:szCs w:val="18"/>
    </w:rPr>
  </w:style>
  <w:style w:type="character" w:customStyle="1" w:styleId="79">
    <w:name w:val="页脚 Char3"/>
    <w:link w:val="35"/>
    <w:qFormat/>
    <w:locked/>
    <w:uiPriority w:val="99"/>
    <w:rPr>
      <w:rFonts w:eastAsia="黑体"/>
      <w:snapToGrid w:val="0"/>
      <w:sz w:val="18"/>
      <w:szCs w:val="18"/>
    </w:rPr>
  </w:style>
  <w:style w:type="character" w:customStyle="1" w:styleId="80">
    <w:name w:val="页眉 Char3"/>
    <w:link w:val="36"/>
    <w:qFormat/>
    <w:uiPriority w:val="99"/>
    <w:rPr>
      <w:rFonts w:eastAsia="仿宋_GB2312"/>
      <w:sz w:val="18"/>
    </w:rPr>
  </w:style>
  <w:style w:type="character" w:customStyle="1" w:styleId="81">
    <w:name w:val="副标题 Char3"/>
    <w:link w:val="39"/>
    <w:qFormat/>
    <w:uiPriority w:val="0"/>
    <w:rPr>
      <w:rFonts w:ascii="Cambria" w:hAnsi="Cambria" w:cs="宋体"/>
      <w:bCs/>
      <w:kern w:val="28"/>
      <w:sz w:val="18"/>
      <w:szCs w:val="32"/>
    </w:rPr>
  </w:style>
  <w:style w:type="character" w:customStyle="1" w:styleId="82">
    <w:name w:val="正文文本缩进 3 Char3"/>
    <w:link w:val="41"/>
    <w:qFormat/>
    <w:uiPriority w:val="0"/>
    <w:rPr>
      <w:rFonts w:ascii="仿宋_GB2312" w:hAnsi="宋体" w:eastAsia="仿宋_GB2312"/>
      <w:color w:val="000000"/>
      <w:sz w:val="24"/>
      <w:szCs w:val="24"/>
    </w:rPr>
  </w:style>
  <w:style w:type="character" w:customStyle="1" w:styleId="83">
    <w:name w:val="正文文本 2 Char3"/>
    <w:link w:val="44"/>
    <w:qFormat/>
    <w:uiPriority w:val="0"/>
    <w:rPr>
      <w:rFonts w:ascii="宋体" w:hAnsi="宋体"/>
      <w:color w:val="000000"/>
      <w:sz w:val="24"/>
      <w:szCs w:val="24"/>
    </w:rPr>
  </w:style>
  <w:style w:type="character" w:customStyle="1" w:styleId="84">
    <w:name w:val="标题 Char4"/>
    <w:link w:val="46"/>
    <w:qFormat/>
    <w:uiPriority w:val="0"/>
    <w:rPr>
      <w:rFonts w:ascii="Calibri Light" w:hAnsi="Calibri Light"/>
      <w:b/>
      <w:bCs/>
      <w:sz w:val="32"/>
      <w:szCs w:val="32"/>
    </w:rPr>
  </w:style>
  <w:style w:type="character" w:customStyle="1" w:styleId="85">
    <w:name w:val="批注主题 Char4"/>
    <w:link w:val="47"/>
    <w:qFormat/>
    <w:uiPriority w:val="0"/>
    <w:rPr>
      <w:b/>
      <w:bCs/>
      <w:szCs w:val="24"/>
    </w:rPr>
  </w:style>
  <w:style w:type="character" w:customStyle="1" w:styleId="86">
    <w:name w:val="标题 1 Char"/>
    <w:basedOn w:val="51"/>
    <w:qFormat/>
    <w:uiPriority w:val="9"/>
    <w:rPr>
      <w:rFonts w:ascii="Calibri" w:hAnsi="Calibri" w:eastAsia="宋体" w:cs="Times New Roman"/>
      <w:b/>
      <w:bCs/>
      <w:kern w:val="44"/>
      <w:sz w:val="44"/>
      <w:szCs w:val="44"/>
    </w:rPr>
  </w:style>
  <w:style w:type="character" w:customStyle="1" w:styleId="87">
    <w:name w:val="标题 2 Char"/>
    <w:basedOn w:val="51"/>
    <w:qFormat/>
    <w:uiPriority w:val="9"/>
    <w:rPr>
      <w:rFonts w:asciiTheme="majorHAnsi" w:hAnsiTheme="majorHAnsi" w:eastAsiaTheme="majorEastAsia" w:cstheme="majorBidi"/>
      <w:b/>
      <w:bCs/>
      <w:sz w:val="32"/>
      <w:szCs w:val="32"/>
    </w:rPr>
  </w:style>
  <w:style w:type="character" w:customStyle="1" w:styleId="88">
    <w:name w:val="标题 3 Char"/>
    <w:basedOn w:val="51"/>
    <w:qFormat/>
    <w:uiPriority w:val="9"/>
    <w:rPr>
      <w:rFonts w:ascii="Calibri" w:hAnsi="Calibri" w:eastAsia="宋体" w:cs="Times New Roman"/>
      <w:b/>
      <w:bCs/>
      <w:sz w:val="32"/>
      <w:szCs w:val="32"/>
    </w:rPr>
  </w:style>
  <w:style w:type="character" w:customStyle="1" w:styleId="89">
    <w:name w:val="标题 4 Char"/>
    <w:basedOn w:val="51"/>
    <w:qFormat/>
    <w:uiPriority w:val="0"/>
    <w:rPr>
      <w:rFonts w:asciiTheme="majorHAnsi" w:hAnsiTheme="majorHAnsi" w:eastAsiaTheme="majorEastAsia" w:cstheme="majorBidi"/>
      <w:b/>
      <w:bCs/>
      <w:sz w:val="28"/>
      <w:szCs w:val="28"/>
    </w:rPr>
  </w:style>
  <w:style w:type="character" w:customStyle="1" w:styleId="90">
    <w:name w:val="标题 5 Char"/>
    <w:basedOn w:val="51"/>
    <w:qFormat/>
    <w:uiPriority w:val="0"/>
    <w:rPr>
      <w:rFonts w:ascii="Calibri" w:hAnsi="Calibri" w:eastAsia="宋体" w:cs="Times New Roman"/>
      <w:b/>
      <w:bCs/>
      <w:sz w:val="28"/>
      <w:szCs w:val="28"/>
    </w:rPr>
  </w:style>
  <w:style w:type="character" w:customStyle="1" w:styleId="91">
    <w:name w:val="标题 6 Char"/>
    <w:basedOn w:val="51"/>
    <w:qFormat/>
    <w:uiPriority w:val="0"/>
    <w:rPr>
      <w:rFonts w:asciiTheme="majorHAnsi" w:hAnsiTheme="majorHAnsi" w:eastAsiaTheme="majorEastAsia" w:cstheme="majorBidi"/>
      <w:b/>
      <w:bCs/>
      <w:sz w:val="24"/>
      <w:szCs w:val="24"/>
    </w:rPr>
  </w:style>
  <w:style w:type="character" w:customStyle="1" w:styleId="92">
    <w:name w:val="标题 7 Char"/>
    <w:basedOn w:val="51"/>
    <w:qFormat/>
    <w:uiPriority w:val="0"/>
    <w:rPr>
      <w:rFonts w:ascii="Calibri" w:hAnsi="Calibri" w:eastAsia="宋体" w:cs="Times New Roman"/>
      <w:b/>
      <w:bCs/>
      <w:sz w:val="24"/>
      <w:szCs w:val="24"/>
    </w:rPr>
  </w:style>
  <w:style w:type="character" w:customStyle="1" w:styleId="93">
    <w:name w:val="标题 8 Char"/>
    <w:basedOn w:val="51"/>
    <w:qFormat/>
    <w:uiPriority w:val="0"/>
    <w:rPr>
      <w:rFonts w:asciiTheme="majorHAnsi" w:hAnsiTheme="majorHAnsi" w:eastAsiaTheme="majorEastAsia" w:cstheme="majorBidi"/>
      <w:sz w:val="24"/>
      <w:szCs w:val="24"/>
    </w:rPr>
  </w:style>
  <w:style w:type="character" w:customStyle="1" w:styleId="94">
    <w:name w:val="标题 9 Char"/>
    <w:basedOn w:val="51"/>
    <w:qFormat/>
    <w:uiPriority w:val="0"/>
    <w:rPr>
      <w:rFonts w:asciiTheme="majorHAnsi" w:hAnsiTheme="majorHAnsi" w:eastAsiaTheme="majorEastAsia" w:cstheme="majorBidi"/>
      <w:szCs w:val="21"/>
    </w:rPr>
  </w:style>
  <w:style w:type="character" w:customStyle="1" w:styleId="95">
    <w:name w:val="纯文本 字符"/>
    <w:qFormat/>
    <w:uiPriority w:val="0"/>
    <w:rPr>
      <w:rFonts w:ascii="宋体" w:hAnsi="Courier New" w:eastAsia="宋体"/>
      <w:kern w:val="2"/>
      <w:sz w:val="21"/>
      <w:lang w:val="en-US" w:eastAsia="zh-CN" w:bidi="ar-SA"/>
    </w:rPr>
  </w:style>
  <w:style w:type="character" w:customStyle="1" w:styleId="96">
    <w:name w:val="列出段落 Char1"/>
    <w:link w:val="97"/>
    <w:qFormat/>
    <w:uiPriority w:val="34"/>
    <w:rPr>
      <w:rFonts w:ascii="Calibri" w:hAnsi="Calibri"/>
      <w:sz w:val="24"/>
    </w:rPr>
  </w:style>
  <w:style w:type="paragraph" w:styleId="97">
    <w:name w:val="List Paragraph"/>
    <w:basedOn w:val="1"/>
    <w:link w:val="96"/>
    <w:qFormat/>
    <w:uiPriority w:val="34"/>
    <w:pPr>
      <w:spacing w:line="360" w:lineRule="auto"/>
      <w:ind w:firstLine="420" w:firstLineChars="200"/>
    </w:pPr>
    <w:rPr>
      <w:rFonts w:eastAsiaTheme="minorEastAsia" w:cstheme="minorBidi"/>
      <w:sz w:val="24"/>
      <w:szCs w:val="22"/>
    </w:rPr>
  </w:style>
  <w:style w:type="character" w:customStyle="1" w:styleId="98">
    <w:name w:val="日期 Char1"/>
    <w:qFormat/>
    <w:uiPriority w:val="0"/>
    <w:rPr>
      <w:kern w:val="2"/>
      <w:sz w:val="21"/>
      <w:szCs w:val="24"/>
    </w:rPr>
  </w:style>
  <w:style w:type="character" w:customStyle="1" w:styleId="99">
    <w:name w:val="正文文本 Char1"/>
    <w:qFormat/>
    <w:uiPriority w:val="0"/>
    <w:rPr>
      <w:kern w:val="2"/>
      <w:sz w:val="21"/>
      <w:szCs w:val="24"/>
    </w:rPr>
  </w:style>
  <w:style w:type="character" w:customStyle="1" w:styleId="100">
    <w:name w:val="para1"/>
    <w:qFormat/>
    <w:uiPriority w:val="99"/>
    <w:rPr>
      <w:rFonts w:hint="default" w:ascii="Arial" w:hAnsi="Arial" w:cs="Arial"/>
      <w:sz w:val="18"/>
      <w:szCs w:val="18"/>
    </w:rPr>
  </w:style>
  <w:style w:type="character" w:customStyle="1" w:styleId="101">
    <w:name w:val="页脚 Char"/>
    <w:qFormat/>
    <w:locked/>
    <w:uiPriority w:val="99"/>
    <w:rPr>
      <w:rFonts w:eastAsia="黑体"/>
      <w:snapToGrid w:val="0"/>
      <w:sz w:val="18"/>
      <w:szCs w:val="18"/>
    </w:rPr>
  </w:style>
  <w:style w:type="character" w:customStyle="1" w:styleId="102">
    <w:name w:val="font31"/>
    <w:qFormat/>
    <w:uiPriority w:val="0"/>
    <w:rPr>
      <w:rFonts w:hint="default" w:ascii="Times New Roman" w:hAnsi="Times New Roman" w:cs="Times New Roman"/>
      <w:b/>
      <w:color w:val="000000"/>
      <w:sz w:val="24"/>
      <w:szCs w:val="24"/>
      <w:u w:val="none"/>
    </w:rPr>
  </w:style>
  <w:style w:type="character" w:customStyle="1" w:styleId="103">
    <w:name w:val="font91"/>
    <w:basedOn w:val="51"/>
    <w:qFormat/>
    <w:uiPriority w:val="0"/>
    <w:rPr>
      <w:rFonts w:hint="eastAsia" w:ascii="宋体" w:hAnsi="宋体" w:eastAsia="宋体" w:cs="宋体"/>
      <w:b/>
      <w:color w:val="000000"/>
      <w:sz w:val="24"/>
      <w:szCs w:val="24"/>
      <w:u w:val="none"/>
    </w:rPr>
  </w:style>
  <w:style w:type="character" w:customStyle="1" w:styleId="104">
    <w:name w:val="文档结构图 Char1"/>
    <w:semiHidden/>
    <w:qFormat/>
    <w:uiPriority w:val="99"/>
    <w:rPr>
      <w:rFonts w:hint="eastAsia" w:ascii="宋体" w:hAnsi="宋体" w:eastAsia="宋体"/>
      <w:kern w:val="2"/>
      <w:sz w:val="18"/>
      <w:szCs w:val="18"/>
    </w:rPr>
  </w:style>
  <w:style w:type="character" w:customStyle="1" w:styleId="105">
    <w:name w:val="正文2 Char Char"/>
    <w:qFormat/>
    <w:uiPriority w:val="0"/>
    <w:rPr>
      <w:rFonts w:hint="default" w:ascii="Times New Roman" w:hAnsi="Times New Roman" w:cs="Times New Roman"/>
      <w:kern w:val="2"/>
      <w:sz w:val="24"/>
    </w:rPr>
  </w:style>
  <w:style w:type="character" w:customStyle="1" w:styleId="106">
    <w:name w:val="批注主题 Char"/>
    <w:qFormat/>
    <w:uiPriority w:val="0"/>
    <w:rPr>
      <w:b/>
      <w:bCs/>
      <w:kern w:val="2"/>
      <w:sz w:val="21"/>
      <w:szCs w:val="24"/>
    </w:rPr>
  </w:style>
  <w:style w:type="character" w:customStyle="1" w:styleId="107">
    <w:name w:val="正文文本缩进 2 Char1"/>
    <w:qFormat/>
    <w:uiPriority w:val="0"/>
    <w:rPr>
      <w:kern w:val="2"/>
      <w:sz w:val="21"/>
      <w:szCs w:val="24"/>
    </w:rPr>
  </w:style>
  <w:style w:type="character" w:customStyle="1" w:styleId="108">
    <w:name w:val="huei12b1"/>
    <w:qFormat/>
    <w:uiPriority w:val="0"/>
    <w:rPr>
      <w:b/>
      <w:bCs/>
      <w:color w:val="333333"/>
      <w:sz w:val="20"/>
      <w:szCs w:val="20"/>
    </w:rPr>
  </w:style>
  <w:style w:type="character" w:customStyle="1" w:styleId="109">
    <w:name w:val="标题 3 字符1"/>
    <w:qFormat/>
    <w:uiPriority w:val="0"/>
    <w:rPr>
      <w:b/>
      <w:bCs/>
      <w:kern w:val="2"/>
      <w:sz w:val="32"/>
      <w:szCs w:val="32"/>
    </w:rPr>
  </w:style>
  <w:style w:type="character" w:customStyle="1" w:styleId="110">
    <w:name w:val="font61"/>
    <w:basedOn w:val="51"/>
    <w:qFormat/>
    <w:uiPriority w:val="0"/>
    <w:rPr>
      <w:rFonts w:hint="default" w:ascii="Times New Roman" w:hAnsi="Times New Roman" w:cs="Times New Roman"/>
      <w:color w:val="000000"/>
      <w:sz w:val="24"/>
      <w:szCs w:val="24"/>
      <w:u w:val="none"/>
    </w:rPr>
  </w:style>
  <w:style w:type="character" w:customStyle="1" w:styleId="111">
    <w:name w:val="font81"/>
    <w:basedOn w:val="51"/>
    <w:qFormat/>
    <w:uiPriority w:val="0"/>
    <w:rPr>
      <w:rFonts w:hint="default" w:ascii="Times New Roman" w:hAnsi="Times New Roman" w:cs="Times New Roman"/>
      <w:b/>
      <w:color w:val="000000"/>
      <w:sz w:val="24"/>
      <w:szCs w:val="24"/>
      <w:u w:val="none"/>
    </w:rPr>
  </w:style>
  <w:style w:type="character" w:customStyle="1" w:styleId="112">
    <w:name w:val="纯文本 字符1"/>
    <w:qFormat/>
    <w:uiPriority w:val="0"/>
    <w:rPr>
      <w:rFonts w:ascii="宋体" w:hAnsi="Courier New" w:eastAsia="宋体"/>
      <w:kern w:val="2"/>
      <w:sz w:val="24"/>
      <w:szCs w:val="24"/>
      <w:lang w:val="en-US" w:eastAsia="zh-CN" w:bidi="ar-SA"/>
    </w:rPr>
  </w:style>
  <w:style w:type="character" w:customStyle="1" w:styleId="113">
    <w:name w:val="font41"/>
    <w:qFormat/>
    <w:uiPriority w:val="0"/>
    <w:rPr>
      <w:rFonts w:ascii="Arial" w:hAnsi="Arial" w:cs="Arial"/>
      <w:color w:val="333333"/>
      <w:sz w:val="18"/>
      <w:szCs w:val="18"/>
      <w:u w:val="none"/>
    </w:rPr>
  </w:style>
  <w:style w:type="character" w:customStyle="1" w:styleId="114">
    <w:name w:val="标题 Char"/>
    <w:qFormat/>
    <w:uiPriority w:val="0"/>
    <w:rPr>
      <w:rFonts w:ascii="Cambria" w:hAnsi="Cambria" w:cs="Times New Roman"/>
      <w:b/>
      <w:bCs/>
      <w:kern w:val="2"/>
      <w:sz w:val="32"/>
      <w:szCs w:val="32"/>
    </w:rPr>
  </w:style>
  <w:style w:type="character" w:customStyle="1" w:styleId="115">
    <w:name w:val="页脚 Char1"/>
    <w:semiHidden/>
    <w:qFormat/>
    <w:uiPriority w:val="99"/>
    <w:rPr>
      <w:kern w:val="2"/>
      <w:sz w:val="18"/>
      <w:szCs w:val="18"/>
    </w:rPr>
  </w:style>
  <w:style w:type="character" w:customStyle="1" w:styleId="116">
    <w:name w:val="无"/>
    <w:qFormat/>
    <w:uiPriority w:val="0"/>
  </w:style>
  <w:style w:type="character" w:customStyle="1" w:styleId="117">
    <w:name w:val="标题 Char1"/>
    <w:qFormat/>
    <w:uiPriority w:val="10"/>
    <w:rPr>
      <w:rFonts w:ascii="Cambria" w:hAnsi="Cambria" w:cs="Times New Roman"/>
      <w:b/>
      <w:bCs/>
      <w:kern w:val="2"/>
      <w:sz w:val="32"/>
      <w:szCs w:val="32"/>
    </w:rPr>
  </w:style>
  <w:style w:type="character" w:customStyle="1" w:styleId="118">
    <w:name w:val="纯文本 Char2"/>
    <w:qFormat/>
    <w:uiPriority w:val="0"/>
    <w:rPr>
      <w:rFonts w:hint="eastAsia" w:ascii="宋体" w:hAnsi="Courier New" w:eastAsia="宋体" w:cs="Courier New"/>
      <w:kern w:val="2"/>
      <w:sz w:val="21"/>
      <w:szCs w:val="21"/>
    </w:rPr>
  </w:style>
  <w:style w:type="character" w:customStyle="1" w:styleId="119">
    <w:name w:val="批注主题 Char2"/>
    <w:qFormat/>
    <w:uiPriority w:val="0"/>
    <w:rPr>
      <w:b/>
      <w:bCs/>
      <w:kern w:val="2"/>
      <w:sz w:val="21"/>
      <w:szCs w:val="24"/>
    </w:rPr>
  </w:style>
  <w:style w:type="character" w:customStyle="1" w:styleId="120">
    <w:name w:val="列出段落 Char"/>
    <w:qFormat/>
    <w:uiPriority w:val="34"/>
    <w:rPr>
      <w:rFonts w:ascii="Calibri" w:hAnsi="Calibri"/>
      <w:kern w:val="2"/>
      <w:sz w:val="24"/>
      <w:szCs w:val="22"/>
    </w:rPr>
  </w:style>
  <w:style w:type="character" w:customStyle="1" w:styleId="121">
    <w:name w:val="批注主题 Char1"/>
    <w:qFormat/>
    <w:uiPriority w:val="0"/>
    <w:rPr>
      <w:b/>
      <w:bCs/>
      <w:kern w:val="2"/>
      <w:sz w:val="21"/>
      <w:szCs w:val="24"/>
    </w:rPr>
  </w:style>
  <w:style w:type="character" w:customStyle="1" w:styleId="122">
    <w:name w:val="批注文字 Char1"/>
    <w:qFormat/>
    <w:uiPriority w:val="0"/>
    <w:rPr>
      <w:kern w:val="2"/>
      <w:sz w:val="21"/>
      <w:szCs w:val="24"/>
    </w:rPr>
  </w:style>
  <w:style w:type="character" w:customStyle="1" w:styleId="123">
    <w:name w:val="段落行文 Char"/>
    <w:link w:val="124"/>
    <w:qFormat/>
    <w:locked/>
    <w:uiPriority w:val="0"/>
    <w:rPr>
      <w:rFonts w:ascii="仿宋_GB2312" w:eastAsia="仿宋_GB2312"/>
      <w:sz w:val="24"/>
      <w:szCs w:val="24"/>
    </w:rPr>
  </w:style>
  <w:style w:type="paragraph" w:customStyle="1" w:styleId="124">
    <w:name w:val="段落行文"/>
    <w:basedOn w:val="1"/>
    <w:link w:val="123"/>
    <w:qFormat/>
    <w:uiPriority w:val="0"/>
    <w:pPr>
      <w:adjustRightInd w:val="0"/>
      <w:snapToGrid w:val="0"/>
      <w:spacing w:line="480" w:lineRule="auto"/>
      <w:ind w:firstLine="480" w:firstLineChars="200"/>
    </w:pPr>
    <w:rPr>
      <w:rFonts w:ascii="仿宋_GB2312" w:eastAsia="仿宋_GB2312" w:hAnsiTheme="minorHAnsi" w:cstheme="minorBidi"/>
      <w:sz w:val="24"/>
    </w:rPr>
  </w:style>
  <w:style w:type="character" w:customStyle="1" w:styleId="125">
    <w:name w:val="标题 Char2"/>
    <w:qFormat/>
    <w:uiPriority w:val="0"/>
    <w:rPr>
      <w:rFonts w:ascii="Calibri Light" w:hAnsi="Calibri Light"/>
      <w:b/>
      <w:bCs/>
      <w:kern w:val="2"/>
      <w:sz w:val="32"/>
      <w:szCs w:val="32"/>
    </w:rPr>
  </w:style>
  <w:style w:type="character" w:customStyle="1" w:styleId="126">
    <w:name w:val="未处理的提及1"/>
    <w:unhideWhenUsed/>
    <w:qFormat/>
    <w:uiPriority w:val="99"/>
    <w:rPr>
      <w:color w:val="605E5C"/>
      <w:shd w:val="clear" w:color="auto" w:fill="E1DFDD"/>
    </w:rPr>
  </w:style>
  <w:style w:type="character" w:customStyle="1" w:styleId="127">
    <w:name w:val="Char Char"/>
    <w:qFormat/>
    <w:uiPriority w:val="0"/>
    <w:rPr>
      <w:rFonts w:ascii="宋体" w:hAnsi="Courier New" w:eastAsia="楷体_GB2312"/>
      <w:kern w:val="2"/>
      <w:sz w:val="26"/>
      <w:lang w:val="en-US" w:eastAsia="zh-CN" w:bidi="ar-SA"/>
    </w:rPr>
  </w:style>
  <w:style w:type="character" w:customStyle="1" w:styleId="128">
    <w:name w:val="font11"/>
    <w:qFormat/>
    <w:uiPriority w:val="0"/>
    <w:rPr>
      <w:rFonts w:hint="eastAsia" w:ascii="宋体" w:hAnsi="宋体" w:eastAsia="宋体" w:cs="宋体"/>
      <w:color w:val="000000"/>
      <w:sz w:val="24"/>
      <w:szCs w:val="24"/>
      <w:u w:val="none"/>
    </w:rPr>
  </w:style>
  <w:style w:type="character" w:customStyle="1" w:styleId="129">
    <w:name w:val="批注文字 Char"/>
    <w:qFormat/>
    <w:uiPriority w:val="0"/>
    <w:rPr>
      <w:kern w:val="2"/>
      <w:sz w:val="21"/>
      <w:szCs w:val="24"/>
    </w:rPr>
  </w:style>
  <w:style w:type="character" w:customStyle="1" w:styleId="130">
    <w:name w:val="正文文本缩进 3 Char"/>
    <w:qFormat/>
    <w:uiPriority w:val="0"/>
    <w:rPr>
      <w:rFonts w:ascii="仿宋_GB2312" w:hAnsi="宋体" w:eastAsia="仿宋_GB2312"/>
      <w:color w:val="000000"/>
      <w:kern w:val="2"/>
      <w:sz w:val="24"/>
      <w:szCs w:val="24"/>
    </w:rPr>
  </w:style>
  <w:style w:type="character" w:customStyle="1" w:styleId="131">
    <w:name w:val="正文文本缩进 Char1"/>
    <w:qFormat/>
    <w:uiPriority w:val="99"/>
    <w:rPr>
      <w:kern w:val="2"/>
      <w:sz w:val="21"/>
      <w:szCs w:val="24"/>
    </w:rPr>
  </w:style>
  <w:style w:type="character" w:customStyle="1" w:styleId="132">
    <w:name w:val="无间隔 Char"/>
    <w:link w:val="133"/>
    <w:qFormat/>
    <w:locked/>
    <w:uiPriority w:val="1"/>
    <w:rPr>
      <w:rFonts w:ascii="楷体_GB2312" w:eastAsia="楷体_GB2312"/>
      <w:sz w:val="24"/>
    </w:rPr>
  </w:style>
  <w:style w:type="paragraph" w:customStyle="1" w:styleId="133">
    <w:name w:val="无间隔11"/>
    <w:link w:val="132"/>
    <w:qFormat/>
    <w:uiPriority w:val="1"/>
    <w:pPr>
      <w:widowControl w:val="0"/>
      <w:jc w:val="both"/>
    </w:pPr>
    <w:rPr>
      <w:rFonts w:ascii="楷体_GB2312" w:eastAsia="楷体_GB2312" w:hAnsiTheme="minorHAnsi" w:cstheme="minorBidi"/>
      <w:kern w:val="2"/>
      <w:sz w:val="24"/>
      <w:szCs w:val="22"/>
      <w:lang w:val="en-US" w:eastAsia="zh-CN" w:bidi="ar-SA"/>
    </w:rPr>
  </w:style>
  <w:style w:type="character" w:customStyle="1" w:styleId="134">
    <w:name w:val="正文文本缩进 字符"/>
    <w:qFormat/>
    <w:uiPriority w:val="0"/>
    <w:rPr>
      <w:rFonts w:ascii="宋体" w:hAnsi="Courier New"/>
      <w:spacing w:val="-4"/>
      <w:kern w:val="2"/>
      <w:sz w:val="18"/>
    </w:rPr>
  </w:style>
  <w:style w:type="character" w:customStyle="1" w:styleId="135">
    <w:name w:val="正文文本 2 Char"/>
    <w:qFormat/>
    <w:uiPriority w:val="0"/>
    <w:rPr>
      <w:rFonts w:ascii="宋体" w:hAnsi="宋体"/>
      <w:color w:val="000000"/>
      <w:kern w:val="2"/>
      <w:sz w:val="24"/>
      <w:szCs w:val="24"/>
    </w:rPr>
  </w:style>
  <w:style w:type="character" w:customStyle="1" w:styleId="136">
    <w:name w:val="纯文本 Char Char Char2"/>
    <w:qFormat/>
    <w:locked/>
    <w:uiPriority w:val="0"/>
    <w:rPr>
      <w:rFonts w:ascii="宋体" w:hAnsi="Courier New" w:eastAsia="宋体"/>
      <w:kern w:val="2"/>
      <w:sz w:val="21"/>
      <w:szCs w:val="20"/>
      <w:lang w:val="en-US" w:eastAsia="zh-CN" w:bidi="ar-SA"/>
    </w:rPr>
  </w:style>
  <w:style w:type="character" w:customStyle="1" w:styleId="137">
    <w:name w:val="正文首行缩进 2 Char"/>
    <w:qFormat/>
    <w:uiPriority w:val="0"/>
    <w:rPr>
      <w:rFonts w:ascii="宋体" w:hAnsi="Courier New"/>
      <w:spacing w:val="-4"/>
      <w:kern w:val="2"/>
      <w:sz w:val="21"/>
      <w:szCs w:val="24"/>
    </w:rPr>
  </w:style>
  <w:style w:type="character" w:customStyle="1" w:styleId="138">
    <w:name w:val="正文文本 3 Char1"/>
    <w:qFormat/>
    <w:uiPriority w:val="0"/>
    <w:rPr>
      <w:kern w:val="2"/>
      <w:sz w:val="16"/>
      <w:szCs w:val="16"/>
    </w:rPr>
  </w:style>
  <w:style w:type="character" w:customStyle="1" w:styleId="139">
    <w:name w:val="正文文本缩进 Char2"/>
    <w:qFormat/>
    <w:uiPriority w:val="0"/>
    <w:rPr>
      <w:rFonts w:ascii="宋体" w:hAnsi="Courier New"/>
      <w:spacing w:val="-4"/>
      <w:kern w:val="2"/>
      <w:sz w:val="18"/>
    </w:rPr>
  </w:style>
  <w:style w:type="character" w:customStyle="1" w:styleId="140">
    <w:name w:val="页眉 Char1"/>
    <w:semiHidden/>
    <w:qFormat/>
    <w:uiPriority w:val="99"/>
    <w:rPr>
      <w:kern w:val="2"/>
      <w:sz w:val="18"/>
      <w:szCs w:val="18"/>
    </w:rPr>
  </w:style>
  <w:style w:type="character" w:customStyle="1" w:styleId="141">
    <w:name w:val="页眉 Char"/>
    <w:qFormat/>
    <w:uiPriority w:val="99"/>
    <w:rPr>
      <w:rFonts w:eastAsia="仿宋_GB2312"/>
      <w:kern w:val="2"/>
      <w:sz w:val="18"/>
    </w:rPr>
  </w:style>
  <w:style w:type="character" w:customStyle="1" w:styleId="142">
    <w:name w:val="font21"/>
    <w:qFormat/>
    <w:uiPriority w:val="0"/>
    <w:rPr>
      <w:rFonts w:ascii="Arial" w:hAnsi="Arial" w:cs="Arial"/>
      <w:color w:val="333333"/>
      <w:sz w:val="18"/>
      <w:szCs w:val="18"/>
      <w:u w:val="none"/>
    </w:rPr>
  </w:style>
  <w:style w:type="character" w:customStyle="1" w:styleId="143">
    <w:name w:val="正文文本 3 Char"/>
    <w:qFormat/>
    <w:uiPriority w:val="0"/>
    <w:rPr>
      <w:rFonts w:hAnsi="宋体" w:eastAsia="仿宋_GB2312"/>
      <w:b/>
      <w:bCs/>
      <w:kern w:val="2"/>
      <w:sz w:val="24"/>
    </w:rPr>
  </w:style>
  <w:style w:type="character" w:customStyle="1" w:styleId="144">
    <w:name w:val="文档结构图 Char"/>
    <w:qFormat/>
    <w:uiPriority w:val="0"/>
    <w:rPr>
      <w:rFonts w:ascii="宋体"/>
      <w:kern w:val="2"/>
      <w:sz w:val="18"/>
      <w:szCs w:val="18"/>
    </w:rPr>
  </w:style>
  <w:style w:type="character" w:customStyle="1" w:styleId="145">
    <w:name w:val="纯文本 Char"/>
    <w:qFormat/>
    <w:uiPriority w:val="99"/>
    <w:rPr>
      <w:rFonts w:ascii="宋体" w:hAnsi="Courier New" w:eastAsia="宋体"/>
      <w:kern w:val="2"/>
      <w:sz w:val="24"/>
      <w:szCs w:val="24"/>
      <w:lang w:val="en-US" w:eastAsia="zh-CN" w:bidi="ar-SA"/>
    </w:rPr>
  </w:style>
  <w:style w:type="character" w:customStyle="1" w:styleId="146">
    <w:name w:val="批注框文本 Char"/>
    <w:qFormat/>
    <w:locked/>
    <w:uiPriority w:val="99"/>
    <w:rPr>
      <w:kern w:val="2"/>
      <w:sz w:val="18"/>
      <w:szCs w:val="18"/>
    </w:rPr>
  </w:style>
  <w:style w:type="character" w:customStyle="1" w:styleId="147">
    <w:name w:val="纯文本 Char1_0"/>
    <w:link w:val="148"/>
    <w:qFormat/>
    <w:uiPriority w:val="0"/>
    <w:rPr>
      <w:rFonts w:ascii="宋体" w:hAnsi="Courier New"/>
    </w:rPr>
  </w:style>
  <w:style w:type="paragraph" w:customStyle="1" w:styleId="148">
    <w:name w:val="纯文本_0"/>
    <w:basedOn w:val="1"/>
    <w:link w:val="147"/>
    <w:qFormat/>
    <w:uiPriority w:val="0"/>
    <w:rPr>
      <w:rFonts w:ascii="宋体" w:hAnsi="Courier New" w:eastAsiaTheme="minorEastAsia" w:cstheme="minorBidi"/>
      <w:szCs w:val="22"/>
    </w:rPr>
  </w:style>
  <w:style w:type="character" w:customStyle="1" w:styleId="149">
    <w:name w:val="apple-converted-space"/>
    <w:qFormat/>
    <w:uiPriority w:val="0"/>
  </w:style>
  <w:style w:type="character" w:customStyle="1" w:styleId="150">
    <w:name w:val="正文文本缩进 Char"/>
    <w:qFormat/>
    <w:uiPriority w:val="99"/>
    <w:rPr>
      <w:rFonts w:ascii="宋体" w:hAnsi="Courier New"/>
      <w:spacing w:val="-4"/>
      <w:kern w:val="2"/>
      <w:sz w:val="18"/>
    </w:rPr>
  </w:style>
  <w:style w:type="character" w:customStyle="1" w:styleId="151">
    <w:name w:val="批注文字 字符"/>
    <w:qFormat/>
    <w:uiPriority w:val="0"/>
    <w:rPr>
      <w:kern w:val="2"/>
      <w:sz w:val="21"/>
    </w:rPr>
  </w:style>
  <w:style w:type="character" w:customStyle="1" w:styleId="152">
    <w:name w:val="标题 2 Char1"/>
    <w:qFormat/>
    <w:uiPriority w:val="0"/>
    <w:rPr>
      <w:rFonts w:ascii="Arial" w:hAnsi="Arial" w:eastAsia="黑体"/>
      <w:b/>
      <w:bCs/>
      <w:kern w:val="2"/>
      <w:sz w:val="32"/>
      <w:szCs w:val="32"/>
    </w:rPr>
  </w:style>
  <w:style w:type="character" w:customStyle="1" w:styleId="153">
    <w:name w:val="gheadertext1"/>
    <w:qFormat/>
    <w:uiPriority w:val="0"/>
    <w:rPr>
      <w:rFonts w:hint="default" w:ascii="Arial" w:hAnsi="Arial" w:cs="Arial"/>
      <w:b/>
      <w:bCs/>
      <w:color w:val="005E00"/>
      <w:sz w:val="26"/>
      <w:szCs w:val="26"/>
    </w:rPr>
  </w:style>
  <w:style w:type="character" w:customStyle="1" w:styleId="154">
    <w:name w:val="纯文本 Char3"/>
    <w:qFormat/>
    <w:uiPriority w:val="0"/>
    <w:rPr>
      <w:rFonts w:ascii="宋体" w:hAnsi="Courier New" w:eastAsia="宋体"/>
      <w:kern w:val="2"/>
      <w:sz w:val="24"/>
      <w:szCs w:val="24"/>
      <w:lang w:val="en-US" w:eastAsia="zh-CN" w:bidi="ar-SA"/>
    </w:rPr>
  </w:style>
  <w:style w:type="character" w:customStyle="1" w:styleId="155">
    <w:name w:val="正文文本 Char"/>
    <w:qFormat/>
    <w:uiPriority w:val="0"/>
    <w:rPr>
      <w:kern w:val="2"/>
      <w:sz w:val="28"/>
      <w:szCs w:val="24"/>
    </w:rPr>
  </w:style>
  <w:style w:type="character" w:customStyle="1" w:styleId="156">
    <w:name w:val="副标题 Char1"/>
    <w:qFormat/>
    <w:uiPriority w:val="0"/>
    <w:rPr>
      <w:rFonts w:hint="default" w:ascii="Cambria" w:hAnsi="Cambria" w:cs="Times New Roman"/>
      <w:b/>
      <w:bCs/>
      <w:kern w:val="28"/>
      <w:sz w:val="32"/>
      <w:szCs w:val="32"/>
    </w:rPr>
  </w:style>
  <w:style w:type="character" w:customStyle="1" w:styleId="157">
    <w:name w:val="font121"/>
    <w:qFormat/>
    <w:uiPriority w:val="0"/>
    <w:rPr>
      <w:rFonts w:hint="eastAsia" w:ascii="宋体" w:hAnsi="宋体" w:eastAsia="宋体" w:cs="宋体"/>
      <w:color w:val="FF0000"/>
      <w:sz w:val="20"/>
      <w:szCs w:val="20"/>
      <w:u w:val="none"/>
    </w:rPr>
  </w:style>
  <w:style w:type="character" w:customStyle="1" w:styleId="158">
    <w:name w:val="unnamed1"/>
    <w:basedOn w:val="51"/>
    <w:qFormat/>
    <w:uiPriority w:val="0"/>
  </w:style>
  <w:style w:type="character" w:customStyle="1" w:styleId="159">
    <w:name w:val="正文2 Char"/>
    <w:link w:val="160"/>
    <w:qFormat/>
    <w:locked/>
    <w:uiPriority w:val="0"/>
    <w:rPr>
      <w:sz w:val="24"/>
    </w:rPr>
  </w:style>
  <w:style w:type="paragraph" w:customStyle="1" w:styleId="160">
    <w:name w:val="正文2"/>
    <w:basedOn w:val="1"/>
    <w:link w:val="159"/>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161">
    <w:name w:val="正文文本缩进 2 Char"/>
    <w:qFormat/>
    <w:uiPriority w:val="0"/>
    <w:rPr>
      <w:rFonts w:ascii="仿宋_GB2312" w:hAnsi="宋体" w:cs="Arial"/>
      <w:b/>
      <w:bCs/>
      <w:color w:val="000000"/>
      <w:kern w:val="2"/>
      <w:sz w:val="24"/>
      <w:szCs w:val="24"/>
    </w:rPr>
  </w:style>
  <w:style w:type="character" w:customStyle="1" w:styleId="162">
    <w:name w:val="正文文本 Char Char"/>
    <w:qFormat/>
    <w:uiPriority w:val="0"/>
    <w:rPr>
      <w:kern w:val="2"/>
      <w:sz w:val="28"/>
      <w:szCs w:val="24"/>
    </w:rPr>
  </w:style>
  <w:style w:type="character" w:customStyle="1" w:styleId="163">
    <w:name w:val="标准正文格式 Char Char"/>
    <w:link w:val="164"/>
    <w:qFormat/>
    <w:uiPriority w:val="0"/>
    <w:rPr>
      <w:rFonts w:ascii="宋体" w:eastAsia="仿宋_GB2312" w:cs="宋体"/>
      <w:color w:val="000000"/>
      <w:sz w:val="24"/>
    </w:rPr>
  </w:style>
  <w:style w:type="paragraph" w:customStyle="1" w:styleId="164">
    <w:name w:val="标准正文格式"/>
    <w:basedOn w:val="1"/>
    <w:link w:val="163"/>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szCs w:val="22"/>
    </w:rPr>
  </w:style>
  <w:style w:type="character" w:customStyle="1" w:styleId="165">
    <w:name w:val="font51"/>
    <w:basedOn w:val="51"/>
    <w:qFormat/>
    <w:uiPriority w:val="0"/>
    <w:rPr>
      <w:rFonts w:ascii="Arial" w:hAnsi="Arial" w:cs="Arial"/>
      <w:color w:val="333333"/>
      <w:sz w:val="18"/>
      <w:szCs w:val="18"/>
      <w:u w:val="none"/>
    </w:rPr>
  </w:style>
  <w:style w:type="character" w:customStyle="1" w:styleId="166">
    <w:name w:val="标书正文 Char Char"/>
    <w:link w:val="167"/>
    <w:qFormat/>
    <w:uiPriority w:val="0"/>
    <w:rPr>
      <w:color w:val="000000"/>
      <w:sz w:val="24"/>
    </w:rPr>
  </w:style>
  <w:style w:type="paragraph" w:customStyle="1" w:styleId="167">
    <w:name w:val="标书正文"/>
    <w:basedOn w:val="1"/>
    <w:link w:val="166"/>
    <w:qFormat/>
    <w:uiPriority w:val="0"/>
    <w:pPr>
      <w:spacing w:line="360" w:lineRule="auto"/>
      <w:ind w:firstLine="200" w:firstLineChars="200"/>
      <w:jc w:val="left"/>
    </w:pPr>
    <w:rPr>
      <w:rFonts w:asciiTheme="minorHAnsi" w:hAnsiTheme="minorHAnsi" w:eastAsiaTheme="minorEastAsia" w:cstheme="minorBidi"/>
      <w:color w:val="000000"/>
      <w:sz w:val="24"/>
      <w:szCs w:val="22"/>
    </w:rPr>
  </w:style>
  <w:style w:type="character" w:customStyle="1" w:styleId="168">
    <w:name w:val="c lh15"/>
    <w:qFormat/>
    <w:uiPriority w:val="0"/>
    <w:rPr>
      <w:sz w:val="28"/>
      <w:szCs w:val="20"/>
    </w:rPr>
  </w:style>
  <w:style w:type="character" w:customStyle="1" w:styleId="169">
    <w:name w:val="style1"/>
    <w:qFormat/>
    <w:uiPriority w:val="0"/>
    <w:rPr>
      <w:sz w:val="28"/>
      <w:szCs w:val="20"/>
    </w:rPr>
  </w:style>
  <w:style w:type="character" w:customStyle="1" w:styleId="170">
    <w:name w:val="批注框文本 Char1"/>
    <w:semiHidden/>
    <w:qFormat/>
    <w:uiPriority w:val="99"/>
    <w:rPr>
      <w:kern w:val="2"/>
      <w:sz w:val="18"/>
      <w:szCs w:val="18"/>
    </w:rPr>
  </w:style>
  <w:style w:type="character" w:customStyle="1" w:styleId="171">
    <w:name w:val="lineb1"/>
    <w:qFormat/>
    <w:uiPriority w:val="0"/>
  </w:style>
  <w:style w:type="character" w:customStyle="1" w:styleId="172">
    <w:name w:val="zbggmain style9"/>
    <w:basedOn w:val="51"/>
    <w:qFormat/>
    <w:uiPriority w:val="0"/>
  </w:style>
  <w:style w:type="character" w:customStyle="1" w:styleId="173">
    <w:name w:val="正文文本 2 Char1"/>
    <w:qFormat/>
    <w:uiPriority w:val="0"/>
    <w:rPr>
      <w:kern w:val="2"/>
      <w:sz w:val="21"/>
      <w:szCs w:val="24"/>
    </w:rPr>
  </w:style>
  <w:style w:type="character" w:customStyle="1" w:styleId="174">
    <w:name w:val="font71"/>
    <w:basedOn w:val="51"/>
    <w:qFormat/>
    <w:uiPriority w:val="0"/>
    <w:rPr>
      <w:rFonts w:hint="default" w:ascii="Times New Roman" w:hAnsi="Times New Roman" w:cs="Times New Roman"/>
      <w:color w:val="000000"/>
      <w:sz w:val="24"/>
      <w:szCs w:val="24"/>
      <w:u w:val="none"/>
    </w:rPr>
  </w:style>
  <w:style w:type="character" w:customStyle="1" w:styleId="175">
    <w:name w:val="书籍标题1"/>
    <w:qFormat/>
    <w:uiPriority w:val="33"/>
    <w:rPr>
      <w:rFonts w:eastAsia="Songti SC Regular"/>
      <w:bCs/>
      <w:smallCaps/>
      <w:spacing w:val="5"/>
      <w:sz w:val="32"/>
    </w:rPr>
  </w:style>
  <w:style w:type="character" w:customStyle="1" w:styleId="176">
    <w:name w:val="副标题 Char"/>
    <w:qFormat/>
    <w:uiPriority w:val="0"/>
    <w:rPr>
      <w:rFonts w:ascii="Cambria" w:hAnsi="Cambria" w:cs="宋体"/>
      <w:bCs/>
      <w:kern w:val="28"/>
      <w:sz w:val="18"/>
      <w:szCs w:val="32"/>
    </w:rPr>
  </w:style>
  <w:style w:type="character" w:customStyle="1" w:styleId="177">
    <w:name w:val="正文缩进 字符1"/>
    <w:qFormat/>
    <w:uiPriority w:val="0"/>
    <w:rPr>
      <w:rFonts w:eastAsia="宋体"/>
      <w:kern w:val="2"/>
      <w:sz w:val="21"/>
      <w:lang w:val="en-US" w:eastAsia="zh-CN" w:bidi="ar-SA"/>
    </w:rPr>
  </w:style>
  <w:style w:type="character" w:customStyle="1" w:styleId="178">
    <w:name w:val="apple-style-span"/>
    <w:qFormat/>
    <w:uiPriority w:val="0"/>
  </w:style>
  <w:style w:type="character" w:customStyle="1" w:styleId="179">
    <w:name w:val="正文文本缩进 3 Char1"/>
    <w:qFormat/>
    <w:uiPriority w:val="0"/>
    <w:rPr>
      <w:kern w:val="2"/>
      <w:sz w:val="16"/>
      <w:szCs w:val="16"/>
    </w:rPr>
  </w:style>
  <w:style w:type="character" w:customStyle="1" w:styleId="180">
    <w:name w:val="正文文本缩进 字符1"/>
    <w:qFormat/>
    <w:uiPriority w:val="0"/>
    <w:rPr>
      <w:rFonts w:ascii="宋体" w:hAnsi="Courier New"/>
      <w:spacing w:val="-4"/>
      <w:kern w:val="2"/>
      <w:sz w:val="18"/>
    </w:rPr>
  </w:style>
  <w:style w:type="character" w:customStyle="1" w:styleId="181">
    <w:name w:val="font112"/>
    <w:qFormat/>
    <w:uiPriority w:val="0"/>
    <w:rPr>
      <w:rFonts w:hint="eastAsia" w:ascii="宋体" w:hAnsi="宋体" w:eastAsia="宋体" w:cs="宋体"/>
      <w:color w:val="000000"/>
      <w:sz w:val="20"/>
      <w:szCs w:val="20"/>
      <w:u w:val="none"/>
    </w:rPr>
  </w:style>
  <w:style w:type="character" w:customStyle="1" w:styleId="182">
    <w:name w:val="表正文 Char"/>
    <w:qFormat/>
    <w:uiPriority w:val="0"/>
    <w:rPr>
      <w:rFonts w:eastAsia="宋体"/>
      <w:kern w:val="2"/>
      <w:sz w:val="21"/>
      <w:lang w:val="en-US" w:eastAsia="zh-CN" w:bidi="ar-SA"/>
    </w:rPr>
  </w:style>
  <w:style w:type="character" w:customStyle="1" w:styleId="183">
    <w:name w:val="标题 1 Char Char"/>
    <w:qFormat/>
    <w:uiPriority w:val="0"/>
    <w:rPr>
      <w:rFonts w:eastAsia="宋体"/>
      <w:b/>
      <w:spacing w:val="-2"/>
      <w:sz w:val="24"/>
      <w:lang w:val="en-US" w:eastAsia="zh-CN" w:bidi="ar-SA"/>
    </w:rPr>
  </w:style>
  <w:style w:type="character" w:customStyle="1" w:styleId="184">
    <w:name w:val="style8"/>
    <w:qFormat/>
    <w:uiPriority w:val="0"/>
    <w:rPr>
      <w:sz w:val="28"/>
      <w:szCs w:val="20"/>
    </w:rPr>
  </w:style>
  <w:style w:type="character" w:customStyle="1" w:styleId="185">
    <w:name w:val="日期 Char"/>
    <w:qFormat/>
    <w:uiPriority w:val="0"/>
    <w:rPr>
      <w:rFonts w:eastAsia="楷体_GB2312"/>
      <w:kern w:val="2"/>
      <w:sz w:val="32"/>
    </w:rPr>
  </w:style>
  <w:style w:type="character" w:customStyle="1" w:styleId="186">
    <w:name w:val="正文缩进 Char"/>
    <w:qFormat/>
    <w:uiPriority w:val="0"/>
    <w:rPr>
      <w:rFonts w:eastAsia="宋体"/>
      <w:kern w:val="2"/>
      <w:sz w:val="21"/>
      <w:lang w:val="en-US" w:eastAsia="zh-CN" w:bidi="ar-SA"/>
    </w:rPr>
  </w:style>
  <w:style w:type="character" w:customStyle="1" w:styleId="187">
    <w:name w:val="批注文字 Char2"/>
    <w:qFormat/>
    <w:uiPriority w:val="0"/>
    <w:rPr>
      <w:kern w:val="2"/>
      <w:sz w:val="21"/>
    </w:rPr>
  </w:style>
  <w:style w:type="character" w:customStyle="1" w:styleId="188">
    <w:name w:val="论文正文样式 Char Char"/>
    <w:link w:val="189"/>
    <w:qFormat/>
    <w:locked/>
    <w:uiPriority w:val="0"/>
    <w:rPr>
      <w:szCs w:val="21"/>
    </w:rPr>
  </w:style>
  <w:style w:type="paragraph" w:customStyle="1" w:styleId="189">
    <w:name w:val="论文正文样式"/>
    <w:basedOn w:val="1"/>
    <w:link w:val="188"/>
    <w:qFormat/>
    <w:uiPriority w:val="0"/>
    <w:pPr>
      <w:spacing w:line="360" w:lineRule="auto"/>
    </w:pPr>
    <w:rPr>
      <w:rFonts w:asciiTheme="minorHAnsi" w:hAnsiTheme="minorHAnsi" w:eastAsiaTheme="minorEastAsia" w:cstheme="minorBidi"/>
      <w:szCs w:val="21"/>
    </w:rPr>
  </w:style>
  <w:style w:type="character" w:customStyle="1" w:styleId="190">
    <w:name w:val="纯文本 Char1"/>
    <w:qFormat/>
    <w:uiPriority w:val="0"/>
    <w:rPr>
      <w:rFonts w:ascii="宋体" w:hAnsi="Courier New" w:eastAsia="宋体"/>
      <w:kern w:val="2"/>
      <w:sz w:val="24"/>
      <w:szCs w:val="24"/>
      <w:lang w:val="en-US" w:eastAsia="zh-CN" w:bidi="ar-SA"/>
    </w:rPr>
  </w:style>
  <w:style w:type="character" w:customStyle="1" w:styleId="191">
    <w:name w:val="font01"/>
    <w:qFormat/>
    <w:uiPriority w:val="0"/>
    <w:rPr>
      <w:rFonts w:hint="eastAsia" w:ascii="宋体" w:hAnsi="宋体" w:eastAsia="宋体" w:cs="宋体"/>
      <w:b/>
      <w:color w:val="000000"/>
      <w:sz w:val="24"/>
      <w:szCs w:val="24"/>
      <w:u w:val="none"/>
    </w:rPr>
  </w:style>
  <w:style w:type="character" w:customStyle="1" w:styleId="192">
    <w:name w:val="论文正文样式 Char"/>
    <w:qFormat/>
    <w:uiPriority w:val="0"/>
    <w:rPr>
      <w:rFonts w:hint="default" w:ascii="Times New Roman" w:hAnsi="Times New Roman" w:cs="Times New Roman"/>
      <w:kern w:val="2"/>
      <w:sz w:val="21"/>
      <w:szCs w:val="21"/>
    </w:rPr>
  </w:style>
  <w:style w:type="character" w:customStyle="1" w:styleId="193">
    <w:name w:val="书籍标题111"/>
    <w:qFormat/>
    <w:uiPriority w:val="33"/>
    <w:rPr>
      <w:rFonts w:eastAsia="Songti SC Regular"/>
      <w:bCs/>
      <w:smallCaps/>
      <w:spacing w:val="5"/>
      <w:sz w:val="32"/>
    </w:rPr>
  </w:style>
  <w:style w:type="paragraph" w:customStyle="1" w:styleId="19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FF"/>
      <w:kern w:val="0"/>
      <w:sz w:val="20"/>
      <w:szCs w:val="20"/>
    </w:rPr>
  </w:style>
  <w:style w:type="paragraph" w:customStyle="1" w:styleId="196">
    <w:name w:val="Default"/>
    <w:qFormat/>
    <w:uiPriority w:val="0"/>
    <w:pPr>
      <w:widowControl w:val="0"/>
      <w:autoSpaceDE w:val="0"/>
      <w:autoSpaceDN w:val="0"/>
      <w:adjustRightInd w:val="0"/>
      <w:spacing w:before="120" w:after="120"/>
    </w:pPr>
    <w:rPr>
      <w:rFonts w:ascii="宋体" w:hAnsi="Calibri" w:eastAsia="宋体" w:cs="宋体"/>
      <w:color w:val="000000"/>
      <w:sz w:val="24"/>
      <w:szCs w:val="24"/>
      <w:lang w:val="en-US" w:eastAsia="zh-CN" w:bidi="ar-SA"/>
    </w:rPr>
  </w:style>
  <w:style w:type="paragraph" w:customStyle="1" w:styleId="197">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198">
    <w:name w:val="列出段落2"/>
    <w:basedOn w:val="1"/>
    <w:qFormat/>
    <w:uiPriority w:val="0"/>
    <w:pPr>
      <w:ind w:firstLine="420" w:firstLineChars="200"/>
    </w:pPr>
    <w:rPr>
      <w:rFonts w:cs="宋体"/>
      <w:sz w:val="24"/>
      <w:szCs w:val="22"/>
    </w:rPr>
  </w:style>
  <w:style w:type="paragraph" w:customStyle="1" w:styleId="19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character" w:customStyle="1" w:styleId="200">
    <w:name w:val="正文首行缩进 2 Char1"/>
    <w:basedOn w:val="59"/>
    <w:qFormat/>
    <w:uiPriority w:val="0"/>
    <w:rPr>
      <w:rFonts w:ascii="Calibri" w:hAnsi="Calibri" w:eastAsia="宋体" w:cs="Times New Roman"/>
      <w:szCs w:val="24"/>
    </w:rPr>
  </w:style>
  <w:style w:type="paragraph" w:customStyle="1" w:styleId="20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20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3">
    <w:name w:val="font7"/>
    <w:basedOn w:val="1"/>
    <w:qFormat/>
    <w:uiPriority w:val="0"/>
    <w:pPr>
      <w:widowControl/>
      <w:spacing w:before="100" w:beforeAutospacing="1" w:after="100" w:afterAutospacing="1"/>
      <w:jc w:val="left"/>
    </w:pPr>
    <w:rPr>
      <w:rFonts w:ascii="宋体" w:hAnsi="宋体" w:cs="宋体"/>
      <w:color w:val="0000FF"/>
      <w:kern w:val="0"/>
      <w:sz w:val="20"/>
      <w:szCs w:val="20"/>
    </w:rPr>
  </w:style>
  <w:style w:type="character" w:customStyle="1" w:styleId="204">
    <w:name w:val="批注主题 Char3"/>
    <w:basedOn w:val="72"/>
    <w:semiHidden/>
    <w:qFormat/>
    <w:uiPriority w:val="99"/>
    <w:rPr>
      <w:rFonts w:ascii="Calibri" w:hAnsi="Calibri" w:eastAsia="宋体" w:cs="Times New Roman"/>
      <w:b/>
      <w:bCs/>
      <w:szCs w:val="24"/>
    </w:rPr>
  </w:style>
  <w:style w:type="paragraph" w:styleId="205">
    <w:name w:val="No Spacing"/>
    <w:qFormat/>
    <w:uiPriority w:val="1"/>
    <w:rPr>
      <w:rFonts w:ascii="Calibri" w:hAnsi="Calibri" w:eastAsia="宋体" w:cs="宋体"/>
      <w:sz w:val="22"/>
      <w:szCs w:val="22"/>
      <w:lang w:val="en-US" w:eastAsia="zh-CN" w:bidi="ar-SA"/>
    </w:rPr>
  </w:style>
  <w:style w:type="paragraph" w:customStyle="1" w:styleId="20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FF"/>
      <w:kern w:val="0"/>
      <w:sz w:val="20"/>
      <w:szCs w:val="20"/>
    </w:rPr>
  </w:style>
  <w:style w:type="character" w:customStyle="1" w:styleId="207">
    <w:name w:val="正文文本 Char2"/>
    <w:basedOn w:val="51"/>
    <w:semiHidden/>
    <w:qFormat/>
    <w:uiPriority w:val="99"/>
    <w:rPr>
      <w:rFonts w:ascii="Calibri" w:hAnsi="Calibri" w:eastAsia="宋体" w:cs="Times New Roman"/>
      <w:szCs w:val="24"/>
    </w:rPr>
  </w:style>
  <w:style w:type="paragraph" w:customStyle="1" w:styleId="208">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character" w:customStyle="1" w:styleId="209">
    <w:name w:val="正文文本缩进 3 Char2"/>
    <w:basedOn w:val="51"/>
    <w:semiHidden/>
    <w:qFormat/>
    <w:uiPriority w:val="99"/>
    <w:rPr>
      <w:rFonts w:ascii="Calibri" w:hAnsi="Calibri" w:eastAsia="宋体" w:cs="Times New Roman"/>
      <w:sz w:val="16"/>
      <w:szCs w:val="16"/>
    </w:rPr>
  </w:style>
  <w:style w:type="paragraph" w:customStyle="1" w:styleId="210">
    <w:name w:val="Char Char Char Char"/>
    <w:basedOn w:val="1"/>
    <w:qFormat/>
    <w:uiPriority w:val="99"/>
    <w:pPr>
      <w:widowControl/>
      <w:jc w:val="left"/>
    </w:pPr>
    <w:rPr>
      <w:rFonts w:cs="宋体"/>
      <w:kern w:val="0"/>
      <w:sz w:val="24"/>
    </w:rPr>
  </w:style>
  <w:style w:type="paragraph" w:customStyle="1" w:styleId="211">
    <w:name w:val="Char Char Char Char Char Char Char1"/>
    <w:basedOn w:val="1"/>
    <w:qFormat/>
    <w:uiPriority w:val="0"/>
    <w:rPr>
      <w:rFonts w:ascii="Arial" w:hAnsi="Arial" w:cs="Arial"/>
      <w:szCs w:val="21"/>
    </w:rPr>
  </w:style>
  <w:style w:type="paragraph" w:customStyle="1" w:styleId="212">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3">
    <w:name w:val="样式1"/>
    <w:basedOn w:val="1"/>
    <w:qFormat/>
    <w:uiPriority w:val="99"/>
    <w:pPr>
      <w:tabs>
        <w:tab w:val="left" w:pos="709"/>
        <w:tab w:val="left" w:pos="6780"/>
      </w:tabs>
      <w:adjustRightInd w:val="0"/>
      <w:ind w:left="6780" w:leftChars="400" w:hanging="360" w:hangingChars="200"/>
      <w:textAlignment w:val="baseline"/>
    </w:pPr>
    <w:rPr>
      <w:rFonts w:ascii="宋体" w:hAnsi="宋体" w:cs="宋体"/>
      <w:kern w:val="0"/>
      <w:szCs w:val="21"/>
    </w:rPr>
  </w:style>
  <w:style w:type="paragraph" w:customStyle="1" w:styleId="21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15">
    <w:name w:val="正文缩进1"/>
    <w:basedOn w:val="1"/>
    <w:next w:val="24"/>
    <w:qFormat/>
    <w:uiPriority w:val="0"/>
    <w:pPr>
      <w:autoSpaceDE w:val="0"/>
      <w:autoSpaceDN w:val="0"/>
      <w:adjustRightInd w:val="0"/>
      <w:snapToGrid w:val="0"/>
      <w:spacing w:after="120" w:line="360" w:lineRule="auto"/>
      <w:ind w:left="420" w:firstLine="480"/>
    </w:pPr>
    <w:rPr>
      <w:rFonts w:cs="宋体"/>
      <w:sz w:val="24"/>
      <w:szCs w:val="20"/>
    </w:rPr>
  </w:style>
  <w:style w:type="character" w:customStyle="1" w:styleId="216">
    <w:name w:val="批注框文本 Char2"/>
    <w:basedOn w:val="51"/>
    <w:semiHidden/>
    <w:qFormat/>
    <w:uiPriority w:val="99"/>
    <w:rPr>
      <w:rFonts w:ascii="Calibri" w:hAnsi="Calibri" w:eastAsia="宋体" w:cs="Times New Roman"/>
      <w:sz w:val="18"/>
      <w:szCs w:val="18"/>
    </w:rPr>
  </w:style>
  <w:style w:type="paragraph" w:customStyle="1" w:styleId="217">
    <w:name w:val="xl11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1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kern w:val="0"/>
      <w:sz w:val="20"/>
      <w:szCs w:val="20"/>
    </w:rPr>
  </w:style>
  <w:style w:type="character" w:customStyle="1" w:styleId="219">
    <w:name w:val="文档结构图 Char2"/>
    <w:basedOn w:val="51"/>
    <w:semiHidden/>
    <w:qFormat/>
    <w:uiPriority w:val="99"/>
    <w:rPr>
      <w:rFonts w:ascii="宋体" w:hAnsi="Calibri" w:eastAsia="宋体" w:cs="Times New Roman"/>
      <w:sz w:val="18"/>
      <w:szCs w:val="18"/>
    </w:rPr>
  </w:style>
  <w:style w:type="character" w:customStyle="1" w:styleId="220">
    <w:name w:val="日期 Char2"/>
    <w:basedOn w:val="51"/>
    <w:semiHidden/>
    <w:qFormat/>
    <w:uiPriority w:val="99"/>
    <w:rPr>
      <w:rFonts w:ascii="Calibri" w:hAnsi="Calibri" w:eastAsia="宋体" w:cs="Times New Roman"/>
      <w:szCs w:val="24"/>
    </w:rPr>
  </w:style>
  <w:style w:type="paragraph" w:customStyle="1" w:styleId="221">
    <w:name w:val="Char Char12"/>
    <w:basedOn w:val="1"/>
    <w:qFormat/>
    <w:uiPriority w:val="0"/>
    <w:rPr>
      <w:szCs w:val="21"/>
    </w:rPr>
  </w:style>
  <w:style w:type="paragraph" w:customStyle="1" w:styleId="222">
    <w:name w:val="Char2"/>
    <w:basedOn w:val="1"/>
    <w:qFormat/>
    <w:uiPriority w:val="0"/>
    <w:pPr>
      <w:numPr>
        <w:ilvl w:val="0"/>
        <w:numId w:val="3"/>
      </w:numPr>
      <w:tabs>
        <w:tab w:val="left" w:pos="1200"/>
        <w:tab w:val="clear" w:pos="420"/>
      </w:tabs>
    </w:pPr>
    <w:rPr>
      <w:rFonts w:cs="宋体"/>
      <w:sz w:val="24"/>
    </w:rPr>
  </w:style>
  <w:style w:type="paragraph" w:customStyle="1" w:styleId="223">
    <w:name w:val="XH BodyTextV1"/>
    <w:basedOn w:val="1"/>
    <w:qFormat/>
    <w:uiPriority w:val="0"/>
    <w:pPr>
      <w:spacing w:after="120" w:line="288" w:lineRule="auto"/>
      <w:jc w:val="left"/>
    </w:pPr>
    <w:rPr>
      <w:rFonts w:cs="宋体"/>
      <w:b/>
      <w:color w:val="FF0000"/>
      <w:sz w:val="24"/>
      <w:szCs w:val="22"/>
    </w:rPr>
  </w:style>
  <w:style w:type="character" w:customStyle="1" w:styleId="224">
    <w:name w:val="正文文本 3 Char2"/>
    <w:basedOn w:val="51"/>
    <w:semiHidden/>
    <w:qFormat/>
    <w:uiPriority w:val="99"/>
    <w:rPr>
      <w:rFonts w:ascii="Calibri" w:hAnsi="Calibri" w:eastAsia="宋体" w:cs="Times New Roman"/>
      <w:sz w:val="16"/>
      <w:szCs w:val="16"/>
    </w:rPr>
  </w:style>
  <w:style w:type="paragraph" w:customStyle="1" w:styleId="225">
    <w:name w:val="正文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2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228">
    <w:name w:val="样式 仿宋_GB2312 五号 黑色 行距: 单倍行距"/>
    <w:basedOn w:val="1"/>
    <w:qFormat/>
    <w:uiPriority w:val="0"/>
    <w:pPr>
      <w:snapToGrid w:val="0"/>
    </w:pPr>
    <w:rPr>
      <w:rFonts w:ascii="仿宋_GB2312" w:eastAsia="仿宋_GB2312" w:cs="宋体"/>
      <w:color w:val="000000"/>
      <w:sz w:val="24"/>
      <w:szCs w:val="20"/>
    </w:rPr>
  </w:style>
  <w:style w:type="paragraph" w:customStyle="1" w:styleId="22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230">
    <w:name w:val="页眉 Char2"/>
    <w:basedOn w:val="51"/>
    <w:semiHidden/>
    <w:qFormat/>
    <w:uiPriority w:val="99"/>
    <w:rPr>
      <w:rFonts w:ascii="Calibri" w:hAnsi="Calibri" w:eastAsia="宋体" w:cs="Times New Roman"/>
      <w:sz w:val="18"/>
      <w:szCs w:val="18"/>
    </w:rPr>
  </w:style>
  <w:style w:type="paragraph" w:customStyle="1" w:styleId="23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232">
    <w:name w:val="Char Char Char Char Char Char"/>
    <w:basedOn w:val="1"/>
    <w:qFormat/>
    <w:uiPriority w:val="0"/>
    <w:pPr>
      <w:ind w:firstLine="200" w:firstLineChars="200"/>
    </w:pPr>
  </w:style>
  <w:style w:type="character" w:customStyle="1" w:styleId="233">
    <w:name w:val="页脚 Char2"/>
    <w:basedOn w:val="51"/>
    <w:semiHidden/>
    <w:qFormat/>
    <w:uiPriority w:val="99"/>
    <w:rPr>
      <w:rFonts w:ascii="Calibri" w:hAnsi="Calibri" w:eastAsia="宋体" w:cs="Times New Roman"/>
      <w:sz w:val="18"/>
      <w:szCs w:val="18"/>
    </w:rPr>
  </w:style>
  <w:style w:type="paragraph" w:customStyle="1" w:styleId="234">
    <w:name w:val="Table Text"/>
    <w:basedOn w:val="1"/>
    <w:qFormat/>
    <w:uiPriority w:val="0"/>
    <w:pPr>
      <w:topLinePunct/>
      <w:adjustRightInd w:val="0"/>
      <w:snapToGrid w:val="0"/>
      <w:spacing w:before="80" w:after="80" w:line="240" w:lineRule="atLeast"/>
      <w:jc w:val="left"/>
    </w:pPr>
    <w:rPr>
      <w:rFonts w:cs="Arial"/>
      <w:kern w:val="0"/>
      <w:sz w:val="24"/>
      <w:szCs w:val="21"/>
    </w:rPr>
  </w:style>
  <w:style w:type="character" w:customStyle="1" w:styleId="235">
    <w:name w:val="正文文本缩进 2 Char2"/>
    <w:basedOn w:val="51"/>
    <w:semiHidden/>
    <w:qFormat/>
    <w:uiPriority w:val="99"/>
    <w:rPr>
      <w:rFonts w:ascii="Calibri" w:hAnsi="Calibri" w:eastAsia="宋体" w:cs="Times New Roman"/>
      <w:szCs w:val="24"/>
    </w:rPr>
  </w:style>
  <w:style w:type="paragraph" w:customStyle="1" w:styleId="2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color w:val="000000"/>
      <w:kern w:val="0"/>
      <w:sz w:val="20"/>
      <w:szCs w:val="20"/>
    </w:rPr>
  </w:style>
  <w:style w:type="character" w:customStyle="1" w:styleId="237">
    <w:name w:val="纯文本 Char4"/>
    <w:basedOn w:val="51"/>
    <w:qFormat/>
    <w:uiPriority w:val="0"/>
    <w:rPr>
      <w:rFonts w:ascii="宋体" w:hAnsi="Courier New" w:eastAsia="宋体" w:cs="Courier New"/>
      <w:szCs w:val="21"/>
    </w:rPr>
  </w:style>
  <w:style w:type="paragraph" w:customStyle="1" w:styleId="238">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9">
    <w:name w:val="Char Char1 Char1"/>
    <w:basedOn w:val="1"/>
    <w:qFormat/>
    <w:uiPriority w:val="0"/>
    <w:pPr>
      <w:tabs>
        <w:tab w:val="left" w:pos="360"/>
      </w:tabs>
    </w:pPr>
    <w:rPr>
      <w:rFonts w:cs="宋体"/>
      <w:sz w:val="24"/>
    </w:rPr>
  </w:style>
  <w:style w:type="paragraph" w:customStyle="1" w:styleId="240">
    <w:name w:val="xl93"/>
    <w:basedOn w:val="1"/>
    <w:qFormat/>
    <w:uiPriority w:val="0"/>
    <w:pPr>
      <w:widowControl/>
      <w:spacing w:before="100" w:beforeAutospacing="1" w:after="100" w:afterAutospacing="1"/>
      <w:jc w:val="left"/>
    </w:pPr>
    <w:rPr>
      <w:rFonts w:ascii="宋体" w:hAnsi="宋体" w:cs="宋体"/>
      <w:color w:val="0000FF"/>
      <w:kern w:val="0"/>
      <w:sz w:val="24"/>
    </w:rPr>
  </w:style>
  <w:style w:type="character" w:customStyle="1" w:styleId="241">
    <w:name w:val="副标题 Char2"/>
    <w:basedOn w:val="51"/>
    <w:qFormat/>
    <w:uiPriority w:val="11"/>
    <w:rPr>
      <w:rFonts w:eastAsia="宋体" w:asciiTheme="majorHAnsi" w:hAnsiTheme="majorHAnsi" w:cstheme="majorBidi"/>
      <w:b/>
      <w:bCs/>
      <w:kern w:val="28"/>
      <w:sz w:val="32"/>
      <w:szCs w:val="32"/>
    </w:rPr>
  </w:style>
  <w:style w:type="paragraph" w:customStyle="1" w:styleId="242">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3">
    <w:name w:val="样式 首行缩进:  2 字符 段后: 0.5 行"/>
    <w:basedOn w:val="1"/>
    <w:qFormat/>
    <w:uiPriority w:val="0"/>
    <w:pPr>
      <w:spacing w:line="360" w:lineRule="auto"/>
      <w:ind w:firstLine="480" w:firstLineChars="200"/>
    </w:pPr>
    <w:rPr>
      <w:rFonts w:ascii="宋体" w:hAnsi="宋体" w:cs="宋体"/>
      <w:sz w:val="24"/>
    </w:rPr>
  </w:style>
  <w:style w:type="character" w:customStyle="1" w:styleId="244">
    <w:name w:val="标题 Char3"/>
    <w:basedOn w:val="51"/>
    <w:qFormat/>
    <w:uiPriority w:val="10"/>
    <w:rPr>
      <w:rFonts w:eastAsia="宋体" w:asciiTheme="majorHAnsi" w:hAnsiTheme="majorHAnsi" w:cstheme="majorBidi"/>
      <w:b/>
      <w:bCs/>
      <w:sz w:val="32"/>
      <w:szCs w:val="32"/>
    </w:rPr>
  </w:style>
  <w:style w:type="paragraph" w:customStyle="1" w:styleId="245">
    <w:name w:val="正文段"/>
    <w:basedOn w:val="1"/>
    <w:qFormat/>
    <w:uiPriority w:val="0"/>
    <w:pPr>
      <w:widowControl/>
      <w:snapToGrid w:val="0"/>
      <w:spacing w:afterLines="50"/>
      <w:ind w:firstLine="200" w:firstLineChars="200"/>
    </w:pPr>
    <w:rPr>
      <w:kern w:val="0"/>
      <w:sz w:val="24"/>
      <w:szCs w:val="20"/>
    </w:rPr>
  </w:style>
  <w:style w:type="paragraph" w:customStyle="1" w:styleId="246">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7">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24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49">
    <w:name w:val="Char1"/>
    <w:basedOn w:val="1"/>
    <w:qFormat/>
    <w:uiPriority w:val="99"/>
    <w:rPr>
      <w:rFonts w:ascii="仿宋_GB2312" w:eastAsia="仿宋_GB2312"/>
      <w:b/>
      <w:sz w:val="32"/>
      <w:szCs w:val="32"/>
    </w:rPr>
  </w:style>
  <w:style w:type="paragraph" w:customStyle="1" w:styleId="25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character" w:customStyle="1" w:styleId="251">
    <w:name w:val="正文文本 2 Char2"/>
    <w:basedOn w:val="51"/>
    <w:semiHidden/>
    <w:qFormat/>
    <w:uiPriority w:val="99"/>
    <w:rPr>
      <w:rFonts w:ascii="Calibri" w:hAnsi="Calibri" w:eastAsia="宋体" w:cs="Times New Roman"/>
      <w:szCs w:val="24"/>
    </w:rPr>
  </w:style>
  <w:style w:type="paragraph" w:customStyle="1" w:styleId="252">
    <w:name w:val="无间隔1"/>
    <w:qFormat/>
    <w:uiPriority w:val="0"/>
    <w:rPr>
      <w:rFonts w:ascii="Calibri" w:hAnsi="Calibri" w:eastAsia="宋体" w:cs="Times New Roman"/>
      <w:sz w:val="22"/>
      <w:szCs w:val="22"/>
      <w:lang w:val="en-US" w:eastAsia="zh-CN" w:bidi="ar-SA"/>
    </w:rPr>
  </w:style>
  <w:style w:type="paragraph" w:customStyle="1" w:styleId="2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5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000000"/>
      <w:kern w:val="0"/>
      <w:sz w:val="20"/>
      <w:szCs w:val="20"/>
    </w:rPr>
  </w:style>
  <w:style w:type="paragraph" w:customStyle="1" w:styleId="25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56">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57">
    <w:name w:val="Char Char Char Char Char Char1"/>
    <w:basedOn w:val="1"/>
    <w:qFormat/>
    <w:uiPriority w:val="0"/>
    <w:pPr>
      <w:widowControl/>
      <w:spacing w:after="160" w:line="240" w:lineRule="exact"/>
      <w:jc w:val="left"/>
    </w:pPr>
    <w:rPr>
      <w:kern w:val="0"/>
      <w:szCs w:val="20"/>
    </w:rPr>
  </w:style>
  <w:style w:type="paragraph" w:customStyle="1" w:styleId="25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59">
    <w:name w:val="样式 标题4 + 首行缩进:  1.47 字符"/>
    <w:basedOn w:val="1"/>
    <w:qFormat/>
    <w:uiPriority w:val="0"/>
    <w:pPr>
      <w:keepNext/>
      <w:keepLines/>
      <w:spacing w:before="60" w:after="60" w:line="377" w:lineRule="auto"/>
      <w:ind w:firstLine="147" w:firstLineChars="147"/>
      <w:outlineLvl w:val="3"/>
    </w:pPr>
    <w:rPr>
      <w:rFonts w:ascii="Arial" w:hAnsi="Arial" w:cs="宋体"/>
      <w:b/>
      <w:bCs/>
      <w:sz w:val="24"/>
      <w:szCs w:val="20"/>
    </w:rPr>
  </w:style>
  <w:style w:type="paragraph" w:customStyle="1" w:styleId="2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3">
    <w:name w:val="段落样式"/>
    <w:basedOn w:val="1"/>
    <w:qFormat/>
    <w:uiPriority w:val="0"/>
    <w:pPr>
      <w:spacing w:line="360" w:lineRule="auto"/>
    </w:pPr>
    <w:rPr>
      <w:rFonts w:cs="宋体"/>
      <w:sz w:val="24"/>
      <w:szCs w:val="20"/>
    </w:rPr>
  </w:style>
  <w:style w:type="paragraph" w:customStyle="1" w:styleId="264">
    <w:name w:val="Char Char1 Char"/>
    <w:basedOn w:val="1"/>
    <w:qFormat/>
    <w:uiPriority w:val="0"/>
    <w:pPr>
      <w:tabs>
        <w:tab w:val="left" w:pos="360"/>
      </w:tabs>
    </w:pPr>
    <w:rPr>
      <w:rFonts w:cs="宋体"/>
      <w:sz w:val="24"/>
    </w:rPr>
  </w:style>
  <w:style w:type="paragraph" w:customStyle="1" w:styleId="2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66">
    <w:name w:val="列出段落1"/>
    <w:basedOn w:val="1"/>
    <w:qFormat/>
    <w:uiPriority w:val="99"/>
    <w:pPr>
      <w:ind w:firstLine="420" w:firstLineChars="200"/>
    </w:pPr>
    <w:rPr>
      <w:rFonts w:cs="宋体"/>
      <w:sz w:val="24"/>
      <w:szCs w:val="22"/>
    </w:rPr>
  </w:style>
  <w:style w:type="paragraph" w:customStyle="1" w:styleId="267">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6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6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70">
    <w:name w:val="Char Char Char Char Char Char Char"/>
    <w:basedOn w:val="1"/>
    <w:qFormat/>
    <w:uiPriority w:val="0"/>
    <w:rPr>
      <w:rFonts w:cs="宋体"/>
      <w:sz w:val="24"/>
      <w:szCs w:val="21"/>
    </w:rPr>
  </w:style>
  <w:style w:type="paragraph" w:customStyle="1" w:styleId="271">
    <w:name w:val="Char Char Char Char1"/>
    <w:basedOn w:val="1"/>
    <w:qFormat/>
    <w:uiPriority w:val="0"/>
    <w:pPr>
      <w:widowControl/>
      <w:jc w:val="left"/>
    </w:pPr>
    <w:rPr>
      <w:rFonts w:cs="宋体"/>
      <w:kern w:val="0"/>
      <w:sz w:val="24"/>
    </w:rPr>
  </w:style>
  <w:style w:type="paragraph" w:customStyle="1" w:styleId="272">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73">
    <w:name w:val="TOC 标题1"/>
    <w:basedOn w:val="3"/>
    <w:next w:val="1"/>
    <w:qFormat/>
    <w:uiPriority w:val="0"/>
    <w:pPr>
      <w:widowControl/>
      <w:spacing w:before="480" w:after="0" w:line="276" w:lineRule="auto"/>
      <w:jc w:val="left"/>
      <w:outlineLvl w:val="9"/>
    </w:pPr>
    <w:rPr>
      <w:rFonts w:ascii="Cambria" w:hAnsi="Cambria" w:cs="宋体"/>
      <w:color w:val="365F91"/>
      <w:kern w:val="0"/>
      <w:sz w:val="28"/>
      <w:szCs w:val="28"/>
    </w:rPr>
  </w:style>
  <w:style w:type="paragraph" w:customStyle="1" w:styleId="274">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7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7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77">
    <w:name w:val="列出段落11"/>
    <w:basedOn w:val="1"/>
    <w:qFormat/>
    <w:uiPriority w:val="0"/>
    <w:pPr>
      <w:ind w:firstLine="420" w:firstLineChars="200"/>
    </w:pPr>
    <w:rPr>
      <w:rFonts w:cs="宋体"/>
      <w:sz w:val="24"/>
    </w:rPr>
  </w:style>
  <w:style w:type="paragraph" w:customStyle="1" w:styleId="27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 w:val="18"/>
      <w:szCs w:val="18"/>
    </w:rPr>
  </w:style>
  <w:style w:type="paragraph" w:customStyle="1" w:styleId="28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281">
    <w:name w:val="xl11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82">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83">
    <w:name w:val="_Style 192"/>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8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8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87">
    <w:name w:val="*正文"/>
    <w:basedOn w:val="1"/>
    <w:qFormat/>
    <w:uiPriority w:val="0"/>
    <w:pPr>
      <w:spacing w:line="360" w:lineRule="auto"/>
      <w:ind w:firstLine="480" w:firstLineChars="200"/>
    </w:pPr>
    <w:rPr>
      <w:rFonts w:cs="仿宋_GB2312"/>
      <w:sz w:val="24"/>
    </w:rPr>
  </w:style>
  <w:style w:type="paragraph" w:customStyle="1" w:styleId="28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9">
    <w:name w:val="Char Char2"/>
    <w:basedOn w:val="18"/>
    <w:semiHidden/>
    <w:qFormat/>
    <w:uiPriority w:val="0"/>
    <w:pPr>
      <w:shd w:val="clear" w:color="auto" w:fill="000080"/>
      <w:jc w:val="left"/>
    </w:pPr>
    <w:rPr>
      <w:rFonts w:ascii="Tahoma" w:hAnsi="Tahoma" w:cs="Tahoma"/>
      <w:kern w:val="0"/>
      <w:szCs w:val="24"/>
    </w:rPr>
  </w:style>
  <w:style w:type="paragraph" w:customStyle="1" w:styleId="29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2">
    <w:name w:val="font8"/>
    <w:basedOn w:val="1"/>
    <w:qFormat/>
    <w:uiPriority w:val="0"/>
    <w:pPr>
      <w:widowControl/>
      <w:spacing w:before="100" w:beforeAutospacing="1" w:after="100" w:afterAutospacing="1"/>
      <w:jc w:val="left"/>
    </w:pPr>
    <w:rPr>
      <w:rFonts w:cs="宋体"/>
      <w:color w:val="0000FF"/>
      <w:kern w:val="0"/>
      <w:sz w:val="20"/>
      <w:szCs w:val="20"/>
    </w:rPr>
  </w:style>
  <w:style w:type="paragraph" w:customStyle="1" w:styleId="293">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29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5">
    <w:name w:val="默认段落字体 Para Char Char Char Char Char Char Char Char Char1 Char Char Char Char"/>
    <w:basedOn w:val="1"/>
    <w:qFormat/>
    <w:uiPriority w:val="0"/>
    <w:rPr>
      <w:rFonts w:ascii="Tahoma" w:hAnsi="Tahoma"/>
      <w:sz w:val="24"/>
      <w:szCs w:val="20"/>
    </w:rPr>
  </w:style>
  <w:style w:type="paragraph" w:customStyle="1" w:styleId="29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97">
    <w:name w:val="xl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98">
    <w:name w:val="Char4"/>
    <w:basedOn w:val="1"/>
    <w:qFormat/>
    <w:uiPriority w:val="0"/>
    <w:rPr>
      <w:rFonts w:ascii="仿宋_GB2312" w:eastAsia="仿宋_GB2312" w:cs="宋体"/>
      <w:b/>
      <w:sz w:val="32"/>
      <w:szCs w:val="32"/>
    </w:rPr>
  </w:style>
  <w:style w:type="paragraph" w:customStyle="1" w:styleId="299">
    <w:name w:val="1"/>
    <w:basedOn w:val="3"/>
    <w:qFormat/>
    <w:uiPriority w:val="0"/>
    <w:pPr>
      <w:adjustRightInd w:val="0"/>
      <w:snapToGrid w:val="0"/>
      <w:spacing w:before="240" w:after="240" w:line="348" w:lineRule="auto"/>
    </w:pPr>
    <w:rPr>
      <w:rFonts w:cs="宋体"/>
    </w:rPr>
  </w:style>
  <w:style w:type="paragraph" w:customStyle="1" w:styleId="30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0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0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3">
    <w:name w:val="纯文本2"/>
    <w:basedOn w:val="1"/>
    <w:qFormat/>
    <w:uiPriority w:val="0"/>
    <w:pPr>
      <w:adjustRightInd w:val="0"/>
      <w:textAlignment w:val="baseline"/>
    </w:pPr>
    <w:rPr>
      <w:rFonts w:ascii="宋体" w:hAnsi="Courier New" w:eastAsia="楷体_GB2312" w:cs="宋体"/>
      <w:sz w:val="26"/>
      <w:szCs w:val="20"/>
    </w:rPr>
  </w:style>
  <w:style w:type="paragraph" w:customStyle="1" w:styleId="304">
    <w:name w:val="1 Char Char Char Char"/>
    <w:basedOn w:val="1"/>
    <w:qFormat/>
    <w:uiPriority w:val="0"/>
    <w:rPr>
      <w:rFonts w:ascii="Tahoma" w:hAnsi="Tahoma"/>
      <w:sz w:val="24"/>
      <w:szCs w:val="20"/>
    </w:rPr>
  </w:style>
  <w:style w:type="paragraph" w:customStyle="1" w:styleId="305">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7">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kern w:val="0"/>
      <w:sz w:val="24"/>
      <w:szCs w:val="21"/>
    </w:rPr>
  </w:style>
  <w:style w:type="paragraph" w:customStyle="1" w:styleId="308">
    <w:name w:val="字元 字元"/>
    <w:basedOn w:val="1"/>
    <w:qFormat/>
    <w:uiPriority w:val="0"/>
    <w:pPr>
      <w:widowControl/>
      <w:spacing w:after="160" w:line="240" w:lineRule="exact"/>
      <w:jc w:val="left"/>
    </w:pPr>
    <w:rPr>
      <w:rFonts w:cs="宋体"/>
      <w:sz w:val="28"/>
      <w:szCs w:val="20"/>
    </w:rPr>
  </w:style>
  <w:style w:type="paragraph" w:customStyle="1" w:styleId="309">
    <w:name w:val="xl8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cs="宋体"/>
      <w:kern w:val="0"/>
      <w:sz w:val="24"/>
      <w:szCs w:val="21"/>
    </w:rPr>
  </w:style>
  <w:style w:type="paragraph" w:customStyle="1" w:styleId="310">
    <w:name w:val="Char Char Char Char Char Char Char Char Char"/>
    <w:basedOn w:val="1"/>
    <w:qFormat/>
    <w:uiPriority w:val="0"/>
    <w:rPr>
      <w:rFonts w:cs="宋体"/>
    </w:rPr>
  </w:style>
  <w:style w:type="paragraph" w:customStyle="1" w:styleId="311">
    <w:name w:val="Char Char Char1 Char Char Char Char"/>
    <w:basedOn w:val="1"/>
    <w:qFormat/>
    <w:uiPriority w:val="0"/>
    <w:pPr>
      <w:widowControl/>
      <w:spacing w:after="160" w:line="240" w:lineRule="exact"/>
      <w:jc w:val="left"/>
    </w:pPr>
  </w:style>
  <w:style w:type="paragraph" w:customStyle="1" w:styleId="31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313">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4">
    <w:name w:val="表格"/>
    <w:basedOn w:val="1"/>
    <w:qFormat/>
    <w:uiPriority w:val="0"/>
    <w:pPr>
      <w:spacing w:line="400" w:lineRule="exact"/>
    </w:pPr>
    <w:rPr>
      <w:rFonts w:cs="宋体"/>
      <w:sz w:val="24"/>
    </w:rPr>
  </w:style>
  <w:style w:type="paragraph" w:customStyle="1" w:styleId="315">
    <w:name w:val="纯文本1"/>
    <w:basedOn w:val="1"/>
    <w:qFormat/>
    <w:uiPriority w:val="0"/>
    <w:pPr>
      <w:adjustRightInd w:val="0"/>
      <w:textAlignment w:val="baseline"/>
    </w:pPr>
    <w:rPr>
      <w:rFonts w:ascii="宋体" w:hAnsi="Courier New" w:eastAsia="楷体_GB2312" w:cs="宋体"/>
      <w:sz w:val="26"/>
      <w:szCs w:val="20"/>
    </w:rPr>
  </w:style>
  <w:style w:type="paragraph" w:customStyle="1" w:styleId="316">
    <w:name w:val="正文－恩普"/>
    <w:basedOn w:val="16"/>
    <w:qFormat/>
    <w:uiPriority w:val="0"/>
    <w:pPr>
      <w:widowControl/>
      <w:spacing w:afterLines="50" w:line="360" w:lineRule="auto"/>
      <w:ind w:firstLine="480" w:firstLineChars="200"/>
      <w:jc w:val="left"/>
    </w:pPr>
    <w:rPr>
      <w:rFonts w:cs="宋体"/>
      <w:sz w:val="24"/>
    </w:rPr>
  </w:style>
  <w:style w:type="paragraph" w:customStyle="1" w:styleId="317">
    <w:name w:val="Char"/>
    <w:basedOn w:val="3"/>
    <w:qFormat/>
    <w:uiPriority w:val="0"/>
    <w:pPr>
      <w:adjustRightInd w:val="0"/>
      <w:snapToGrid w:val="0"/>
      <w:spacing w:before="240" w:after="240" w:line="348" w:lineRule="auto"/>
    </w:pPr>
  </w:style>
  <w:style w:type="paragraph" w:customStyle="1" w:styleId="318">
    <w:name w:val="Char21"/>
    <w:basedOn w:val="1"/>
    <w:qFormat/>
    <w:uiPriority w:val="0"/>
    <w:pPr>
      <w:tabs>
        <w:tab w:val="left" w:pos="360"/>
      </w:tabs>
      <w:ind w:left="360" w:hanging="360" w:hangingChars="200"/>
    </w:pPr>
    <w:rPr>
      <w:rFonts w:cs="宋体"/>
      <w:sz w:val="24"/>
    </w:rPr>
  </w:style>
  <w:style w:type="paragraph" w:customStyle="1" w:styleId="31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320">
    <w:name w:val="Char31"/>
    <w:basedOn w:val="1"/>
    <w:qFormat/>
    <w:uiPriority w:val="0"/>
    <w:pPr>
      <w:tabs>
        <w:tab w:val="left" w:pos="360"/>
      </w:tabs>
    </w:pPr>
  </w:style>
  <w:style w:type="paragraph" w:customStyle="1" w:styleId="32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23">
    <w:name w:val="_Style 42"/>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4">
    <w:name w:val="正文1"/>
    <w:qFormat/>
    <w:uiPriority w:val="0"/>
    <w:pPr>
      <w:widowControl w:val="0"/>
      <w:jc w:val="both"/>
    </w:pPr>
    <w:rPr>
      <w:rFonts w:hint="eastAsia" w:ascii="Calibri" w:hAnsi="Calibri" w:eastAsia="宋体" w:cs="宋体"/>
      <w:kern w:val="2"/>
      <w:sz w:val="21"/>
      <w:lang w:val="en-US" w:eastAsia="zh-CN" w:bidi="ar-SA"/>
    </w:rPr>
  </w:style>
  <w:style w:type="paragraph" w:customStyle="1" w:styleId="325">
    <w:name w:val="列表内容"/>
    <w:basedOn w:val="1"/>
    <w:next w:val="1"/>
    <w:qFormat/>
    <w:uiPriority w:val="0"/>
    <w:pPr>
      <w:widowControl/>
      <w:numPr>
        <w:ilvl w:val="0"/>
        <w:numId w:val="4"/>
      </w:numPr>
      <w:jc w:val="left"/>
    </w:pPr>
    <w:rPr>
      <w:rFonts w:cs="宋体"/>
      <w:kern w:val="0"/>
      <w:sz w:val="18"/>
      <w:szCs w:val="20"/>
    </w:rPr>
  </w:style>
  <w:style w:type="paragraph" w:customStyle="1" w:styleId="32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宋体"/>
      <w:kern w:val="0"/>
      <w:sz w:val="24"/>
    </w:rPr>
  </w:style>
  <w:style w:type="paragraph" w:customStyle="1" w:styleId="327">
    <w:name w:val="默认段落字体 Para Char Char Char Char"/>
    <w:basedOn w:val="1"/>
    <w:qFormat/>
    <w:uiPriority w:val="0"/>
  </w:style>
  <w:style w:type="paragraph" w:customStyle="1" w:styleId="328">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32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3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31">
    <w:name w:val="标题6"/>
    <w:basedOn w:val="1"/>
    <w:next w:val="3"/>
    <w:qFormat/>
    <w:uiPriority w:val="0"/>
    <w:pPr>
      <w:widowControl/>
      <w:snapToGrid w:val="0"/>
      <w:spacing w:beforeLines="50" w:afterLines="50" w:line="520" w:lineRule="atLeast"/>
      <w:ind w:firstLine="200" w:firstLineChars="200"/>
    </w:pPr>
    <w:rPr>
      <w:rFonts w:cs="Arial"/>
      <w:b/>
      <w:sz w:val="24"/>
    </w:rPr>
  </w:style>
  <w:style w:type="paragraph" w:customStyle="1" w:styleId="332">
    <w:name w:val="--规划正文"/>
    <w:basedOn w:val="1"/>
    <w:qFormat/>
    <w:uiPriority w:val="0"/>
    <w:pPr>
      <w:widowControl/>
      <w:suppressAutoHyphens/>
      <w:spacing w:line="360" w:lineRule="auto"/>
      <w:ind w:firstLine="200"/>
      <w:jc w:val="left"/>
    </w:pPr>
    <w:rPr>
      <w:kern w:val="1"/>
      <w:szCs w:val="20"/>
      <w:lang w:eastAsia="ar-SA"/>
    </w:rPr>
  </w:style>
  <w:style w:type="paragraph" w:customStyle="1" w:styleId="33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34">
    <w:name w:val="Char11"/>
    <w:basedOn w:val="1"/>
    <w:qFormat/>
    <w:uiPriority w:val="0"/>
    <w:pPr>
      <w:widowControl/>
      <w:spacing w:after="160" w:line="240" w:lineRule="exact"/>
      <w:jc w:val="left"/>
    </w:pPr>
    <w:rPr>
      <w:rFonts w:ascii="Verdana" w:hAnsi="Verdana" w:cs="宋体"/>
      <w:kern w:val="0"/>
      <w:sz w:val="20"/>
      <w:szCs w:val="20"/>
      <w:lang w:eastAsia="en-US"/>
    </w:rPr>
  </w:style>
  <w:style w:type="paragraph" w:customStyle="1" w:styleId="335">
    <w:name w:val="Char Char7 Char Char Char Char"/>
    <w:basedOn w:val="1"/>
    <w:qFormat/>
    <w:uiPriority w:val="0"/>
    <w:pPr>
      <w:spacing w:line="360" w:lineRule="auto"/>
      <w:ind w:firstLine="200" w:firstLineChars="200"/>
    </w:pPr>
    <w:rPr>
      <w:rFonts w:ascii="Tahoma" w:hAnsi="Tahoma" w:eastAsia="楷体_GB2312" w:cs="宋体"/>
      <w:sz w:val="24"/>
      <w:szCs w:val="20"/>
    </w:rPr>
  </w:style>
  <w:style w:type="paragraph" w:customStyle="1" w:styleId="336">
    <w:name w:val="正文3"/>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3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338">
    <w:name w:val="p19"/>
    <w:basedOn w:val="1"/>
    <w:qFormat/>
    <w:uiPriority w:val="0"/>
    <w:pPr>
      <w:widowControl/>
      <w:spacing w:line="300" w:lineRule="auto"/>
      <w:jc w:val="left"/>
    </w:pPr>
    <w:rPr>
      <w:rFonts w:ascii="Arial" w:hAnsi="Arial" w:cs="Arial"/>
      <w:kern w:val="0"/>
      <w:szCs w:val="21"/>
    </w:rPr>
  </w:style>
  <w:style w:type="paragraph" w:customStyle="1" w:styleId="339">
    <w:name w:val="样式 样式 宋体 + 首行缩进:  2 字符"/>
    <w:basedOn w:val="1"/>
    <w:qFormat/>
    <w:uiPriority w:val="0"/>
    <w:pPr>
      <w:spacing w:line="360" w:lineRule="auto"/>
      <w:ind w:firstLine="560" w:firstLineChars="200"/>
      <w:jc w:val="left"/>
    </w:pPr>
    <w:rPr>
      <w:rFonts w:ascii="仿宋_GB2312" w:hAnsi="仿宋" w:eastAsia="仿宋_GB2312" w:cs="宋体"/>
      <w:sz w:val="28"/>
      <w:szCs w:val="20"/>
    </w:rPr>
  </w:style>
  <w:style w:type="paragraph" w:customStyle="1" w:styleId="340">
    <w:name w:val="正文文字2"/>
    <w:basedOn w:val="21"/>
    <w:qFormat/>
    <w:uiPriority w:val="0"/>
    <w:pPr>
      <w:adjustRightInd w:val="0"/>
      <w:spacing w:after="60" w:line="360" w:lineRule="atLeast"/>
      <w:ind w:left="72" w:leftChars="30" w:right="72" w:rightChars="30"/>
      <w:jc w:val="center"/>
    </w:pPr>
    <w:rPr>
      <w:rFonts w:ascii="Arial" w:eastAsia="黑体"/>
      <w:kern w:val="0"/>
      <w:sz w:val="21"/>
      <w:szCs w:val="20"/>
    </w:rPr>
  </w:style>
  <w:style w:type="paragraph" w:customStyle="1" w:styleId="341">
    <w:name w:val="Char3"/>
    <w:basedOn w:val="1"/>
    <w:qFormat/>
    <w:uiPriority w:val="0"/>
    <w:pPr>
      <w:widowControl/>
      <w:spacing w:after="160" w:line="240" w:lineRule="exact"/>
      <w:jc w:val="left"/>
    </w:pPr>
    <w:rPr>
      <w:rFonts w:ascii="Verdana" w:hAnsi="Verdana" w:eastAsia="仿宋_GB2312" w:cs="宋体"/>
      <w:kern w:val="0"/>
      <w:sz w:val="24"/>
      <w:szCs w:val="20"/>
      <w:lang w:eastAsia="en-US"/>
    </w:rPr>
  </w:style>
  <w:style w:type="paragraph" w:customStyle="1" w:styleId="342">
    <w:name w:val="样式 标题 3 + 小四 非加粗 段前: 0 磅 段后: 0 磅 行距: 单倍行距"/>
    <w:basedOn w:val="5"/>
    <w:qFormat/>
    <w:uiPriority w:val="0"/>
    <w:pPr>
      <w:keepNext w:val="0"/>
      <w:keepLines w:val="0"/>
      <w:numPr>
        <w:ilvl w:val="2"/>
        <w:numId w:val="5"/>
      </w:numPr>
      <w:spacing w:before="120" w:after="120" w:line="240" w:lineRule="auto"/>
      <w:jc w:val="left"/>
    </w:pPr>
    <w:rPr>
      <w:rFonts w:cs="宋体"/>
      <w:b w:val="0"/>
      <w:bCs w:val="0"/>
      <w:color w:val="000000"/>
      <w:kern w:val="0"/>
      <w:sz w:val="24"/>
      <w:szCs w:val="20"/>
    </w:rPr>
  </w:style>
  <w:style w:type="paragraph" w:customStyle="1" w:styleId="343">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4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4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46">
    <w:name w:val="Table Paragraph"/>
    <w:basedOn w:val="1"/>
    <w:qFormat/>
    <w:uiPriority w:val="1"/>
    <w:rPr>
      <w:rFonts w:ascii="宋体" w:hAnsi="宋体" w:cs="宋体"/>
      <w:sz w:val="24"/>
      <w:lang w:val="zh-CN" w:bidi="zh-CN"/>
    </w:rPr>
  </w:style>
  <w:style w:type="paragraph" w:customStyle="1" w:styleId="347">
    <w:name w:val="纯文本3"/>
    <w:basedOn w:val="1"/>
    <w:qFormat/>
    <w:uiPriority w:val="0"/>
    <w:pPr>
      <w:adjustRightInd w:val="0"/>
      <w:textAlignment w:val="baseline"/>
    </w:pPr>
    <w:rPr>
      <w:rFonts w:ascii="宋体" w:hAnsi="Courier New" w:eastAsia="楷体_GB2312"/>
      <w:sz w:val="26"/>
      <w:szCs w:val="20"/>
    </w:rPr>
  </w:style>
  <w:style w:type="paragraph" w:customStyle="1" w:styleId="34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49">
    <w:name w:val="Char Char Char Char Char Char Char2"/>
    <w:basedOn w:val="1"/>
    <w:qFormat/>
    <w:uiPriority w:val="0"/>
    <w:rPr>
      <w:szCs w:val="21"/>
    </w:rPr>
  </w:style>
  <w:style w:type="paragraph" w:customStyle="1" w:styleId="350">
    <w:name w:val="Char Char Char Char Char Char Char Char Char Char"/>
    <w:basedOn w:val="1"/>
    <w:qFormat/>
    <w:uiPriority w:val="0"/>
    <w:pPr>
      <w:widowControl/>
      <w:spacing w:after="160" w:line="360" w:lineRule="auto"/>
      <w:jc w:val="left"/>
    </w:pPr>
    <w:rPr>
      <w:rFonts w:ascii="Verdana" w:hAnsi="Verdana" w:cs="Verdana"/>
      <w:kern w:val="0"/>
      <w:sz w:val="24"/>
      <w:szCs w:val="21"/>
      <w:lang w:eastAsia="en-US"/>
    </w:rPr>
  </w:style>
  <w:style w:type="table" w:customStyle="1" w:styleId="351">
    <w:name w:val="网格型1"/>
    <w:basedOn w:val="4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2">
    <w:name w:val="List Paragraph1"/>
    <w:basedOn w:val="1"/>
    <w:qFormat/>
    <w:uiPriority w:val="0"/>
    <w:pPr>
      <w:ind w:firstLine="420" w:firstLineChars="200"/>
    </w:pPr>
    <w:rPr>
      <w:szCs w:val="22"/>
    </w:rPr>
  </w:style>
  <w:style w:type="character" w:customStyle="1" w:styleId="353">
    <w:name w:val="NormalCharacter"/>
    <w:qFormat/>
    <w:uiPriority w:val="0"/>
  </w:style>
  <w:style w:type="paragraph" w:customStyle="1" w:styleId="354">
    <w:name w:val="TOC 标题3"/>
    <w:basedOn w:val="3"/>
    <w:next w:val="1"/>
    <w:unhideWhenUsed/>
    <w:qFormat/>
    <w:uiPriority w:val="39"/>
    <w:pPr>
      <w:widowControl/>
      <w:spacing w:before="480" w:after="0" w:line="276" w:lineRule="auto"/>
      <w:jc w:val="left"/>
      <w:outlineLvl w:val="9"/>
    </w:pPr>
    <w:rPr>
      <w:rFonts w:ascii="Cambria" w:hAnsi="Cambria"/>
      <w:color w:val="365F91"/>
      <w:kern w:val="0"/>
      <w:sz w:val="28"/>
      <w:szCs w:val="28"/>
      <w:lang w:val="en-US"/>
    </w:rPr>
  </w:style>
  <w:style w:type="character" w:customStyle="1" w:styleId="355">
    <w:name w:val="fontstyle01"/>
    <w:basedOn w:val="51"/>
    <w:qFormat/>
    <w:uiPriority w:val="0"/>
    <w:rPr>
      <w:rFonts w:hint="eastAsia" w:ascii="宋体" w:hAnsi="宋体" w:eastAsia="宋体"/>
      <w:color w:val="000000"/>
      <w:sz w:val="24"/>
      <w:szCs w:val="24"/>
    </w:rPr>
  </w:style>
  <w:style w:type="character" w:customStyle="1" w:styleId="356">
    <w:name w:val="fontstyle11"/>
    <w:basedOn w:val="51"/>
    <w:qFormat/>
    <w:uiPriority w:val="0"/>
    <w:rPr>
      <w:rFonts w:hint="default" w:ascii="Arial" w:hAnsi="Arial" w:cs="Arial"/>
      <w:color w:val="000000"/>
      <w:sz w:val="24"/>
      <w:szCs w:val="24"/>
    </w:rPr>
  </w:style>
  <w:style w:type="character" w:customStyle="1" w:styleId="357">
    <w:name w:val="fontstyle31"/>
    <w:basedOn w:val="51"/>
    <w:qFormat/>
    <w:uiPriority w:val="0"/>
    <w:rPr>
      <w:rFonts w:hint="default" w:ascii="Times New Roman" w:hAnsi="Times New Roman" w:cs="Times New Roman"/>
      <w:color w:val="000000"/>
      <w:sz w:val="18"/>
      <w:szCs w:val="18"/>
    </w:rPr>
  </w:style>
  <w:style w:type="character" w:customStyle="1" w:styleId="358">
    <w:name w:val="列表 Char"/>
    <w:link w:val="40"/>
    <w:qFormat/>
    <w:uiPriority w:val="0"/>
    <w:rPr>
      <w:rFonts w:ascii="Calibri" w:hAnsi="Calibri"/>
      <w:kern w:val="2"/>
      <w:sz w:val="28"/>
      <w:szCs w:val="24"/>
    </w:rPr>
  </w:style>
  <w:style w:type="character" w:customStyle="1" w:styleId="359">
    <w:name w:val="书籍标题11"/>
    <w:qFormat/>
    <w:uiPriority w:val="33"/>
    <w:rPr>
      <w:rFonts w:eastAsia="Songti SC Regular"/>
      <w:bCs/>
      <w:smallCaps/>
      <w:spacing w:val="5"/>
      <w:sz w:val="32"/>
    </w:rPr>
  </w:style>
  <w:style w:type="character" w:customStyle="1" w:styleId="360">
    <w:name w:val="UserStyle_117"/>
    <w:link w:val="361"/>
    <w:qFormat/>
    <w:uiPriority w:val="0"/>
    <w:rPr>
      <w:rFonts w:ascii="宋体" w:hAnsi="Courier New"/>
      <w:sz w:val="24"/>
      <w:szCs w:val="24"/>
    </w:rPr>
  </w:style>
  <w:style w:type="paragraph" w:customStyle="1" w:styleId="361">
    <w:name w:val="PlainText"/>
    <w:basedOn w:val="1"/>
    <w:link w:val="360"/>
    <w:qFormat/>
    <w:uiPriority w:val="0"/>
    <w:pPr>
      <w:widowControl/>
      <w:spacing w:before="156" w:after="156" w:line="400" w:lineRule="exact"/>
      <w:textAlignment w:val="baseline"/>
    </w:pPr>
    <w:rPr>
      <w:rFonts w:ascii="宋体" w:hAnsi="Courier New"/>
      <w:kern w:val="0"/>
      <w:sz w:val="24"/>
    </w:rPr>
  </w:style>
  <w:style w:type="character" w:customStyle="1" w:styleId="362">
    <w:name w:val="Char Char7"/>
    <w:qFormat/>
    <w:uiPriority w:val="0"/>
    <w:rPr>
      <w:rFonts w:ascii="Times New Roman" w:hAnsi="Times New Roman" w:eastAsia="宋体" w:cs="Times New Roman"/>
      <w:szCs w:val="24"/>
    </w:rPr>
  </w:style>
  <w:style w:type="paragraph" w:customStyle="1" w:styleId="363">
    <w:name w:val="2"/>
    <w:qFormat/>
    <w:uiPriority w:val="0"/>
    <w:rPr>
      <w:rFonts w:ascii="Times New Roman" w:hAnsi="Times New Roman" w:eastAsia="宋体" w:cs="Times New Roman"/>
      <w:lang w:val="en-US" w:eastAsia="zh-CN" w:bidi="ar-SA"/>
    </w:rPr>
  </w:style>
  <w:style w:type="paragraph" w:customStyle="1" w:styleId="364">
    <w:name w:val="Char Char4"/>
    <w:basedOn w:val="1"/>
    <w:qFormat/>
    <w:uiPriority w:val="0"/>
    <w:pPr>
      <w:widowControl/>
      <w:spacing w:after="160" w:line="240" w:lineRule="exact"/>
      <w:jc w:val="left"/>
    </w:pPr>
    <w:rPr>
      <w:rFonts w:ascii="Times New Roman" w:hAnsi="Times New Roman"/>
      <w:sz w:val="28"/>
      <w:szCs w:val="20"/>
    </w:rPr>
  </w:style>
  <w:style w:type="paragraph" w:customStyle="1" w:styleId="365">
    <w:name w:val="样式3"/>
    <w:basedOn w:val="1"/>
    <w:qFormat/>
    <w:uiPriority w:val="99"/>
    <w:pPr>
      <w:ind w:hanging="132"/>
    </w:pPr>
    <w:rPr>
      <w:rFonts w:ascii="Times New Roman" w:hAnsi="Times New Roman"/>
    </w:rPr>
  </w:style>
  <w:style w:type="paragraph" w:customStyle="1" w:styleId="366">
    <w:name w:val="样式2"/>
    <w:basedOn w:val="1"/>
    <w:qFormat/>
    <w:uiPriority w:val="99"/>
    <w:pPr>
      <w:tabs>
        <w:tab w:val="left" w:pos="420"/>
      </w:tabs>
      <w:ind w:left="420" w:hanging="132"/>
      <w:jc w:val="center"/>
    </w:pPr>
    <w:rPr>
      <w:rFonts w:ascii="Times New Roman" w:hAnsi="Times New Roman"/>
      <w:szCs w:val="21"/>
    </w:rPr>
  </w:style>
  <w:style w:type="character" w:customStyle="1" w:styleId="367">
    <w:name w:val="正文首行缩进 Char"/>
    <w:basedOn w:val="74"/>
    <w:link w:val="22"/>
    <w:qFormat/>
    <w:uiPriority w:val="99"/>
    <w:rPr>
      <w:rFonts w:ascii="Calibri" w:hAnsi="Calibri"/>
      <w:sz w:val="21"/>
      <w:szCs w:val="24"/>
    </w:rPr>
  </w:style>
  <w:style w:type="character" w:customStyle="1" w:styleId="368">
    <w:name w:val="fontstyle21"/>
    <w:basedOn w:val="51"/>
    <w:qFormat/>
    <w:uiPriority w:val="0"/>
    <w:rPr>
      <w:rFonts w:hint="default" w:ascii="Arial" w:hAnsi="Arial" w:cs="Arial"/>
      <w:color w:val="000000"/>
      <w:sz w:val="24"/>
      <w:szCs w:val="24"/>
    </w:rPr>
  </w:style>
  <w:style w:type="paragraph" w:customStyle="1" w:styleId="369">
    <w:name w:val="标准正文"/>
    <w:basedOn w:val="1"/>
    <w:qFormat/>
    <w:uiPriority w:val="0"/>
    <w:pPr>
      <w:spacing w:line="360" w:lineRule="auto"/>
      <w:ind w:firstLine="200" w:firstLineChars="200"/>
    </w:pPr>
    <w:rPr>
      <w:sz w:val="24"/>
      <w:szCs w:val="20"/>
    </w:rPr>
  </w:style>
  <w:style w:type="paragraph" w:customStyle="1" w:styleId="37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71">
    <w:name w:val="WPSOffice手动目录 1"/>
    <w:qFormat/>
    <w:uiPriority w:val="0"/>
    <w:pPr>
      <w:ind w:leftChars="0"/>
    </w:pPr>
    <w:rPr>
      <w:rFonts w:ascii="Times New Roman" w:hAnsi="Times New Roman" w:eastAsia="宋体" w:cs="Times New Roman"/>
      <w:sz w:val="20"/>
      <w:szCs w:val="20"/>
    </w:rPr>
  </w:style>
  <w:style w:type="paragraph" w:customStyle="1" w:styleId="372">
    <w:name w:val="Char Char Char"/>
    <w:basedOn w:val="1"/>
    <w:qFormat/>
    <w:uiPriority w:val="0"/>
    <w:rPr>
      <w:szCs w:val="24"/>
    </w:rPr>
  </w:style>
  <w:style w:type="character" w:customStyle="1" w:styleId="373">
    <w:name w:val="font101"/>
    <w:basedOn w:val="51"/>
    <w:qFormat/>
    <w:uiPriority w:val="0"/>
    <w:rPr>
      <w:rFonts w:hint="default" w:ascii="Times New Roman" w:hAnsi="Times New Roman" w:cs="Times New Roman"/>
      <w:color w:val="auto"/>
      <w:sz w:val="24"/>
      <w:szCs w:val="24"/>
      <w:u w:val="none"/>
    </w:rPr>
  </w:style>
  <w:style w:type="character" w:customStyle="1" w:styleId="374">
    <w:name w:val="font111"/>
    <w:basedOn w:val="51"/>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75</Pages>
  <Words>51272</Words>
  <Characters>55388</Characters>
  <Lines>200</Lines>
  <Paragraphs>56</Paragraphs>
  <TotalTime>10</TotalTime>
  <ScaleCrop>false</ScaleCrop>
  <LinksUpToDate>false</LinksUpToDate>
  <CharactersWithSpaces>57413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嘉兴市银建工程咨询评估有限公司</dc:creator>
  <cp:lastModifiedBy>Administrator</cp:lastModifiedBy>
  <cp:lastPrinted>2022-02-07T03:01:00Z</cp:lastPrinted>
  <dcterms:created xsi:type="dcterms:W3CDTF">2022-02-07T10:18:00Z</dcterms:created>
  <dcterms:modified xsi:type="dcterms:W3CDTF">2023-12-06T11:13:46Z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AC726B5F65084A95AB73322E73D64026</vt:lpwstr>
  </property>
  <property fmtid="{D5CDD505-2E9C-101B-9397-08002B2CF9AE}" pid="4" name="woTemplateTypoMode" linkTarget="0">
    <vt:lpwstr>web</vt:lpwstr>
  </property>
  <property fmtid="{D5CDD505-2E9C-101B-9397-08002B2CF9AE}" pid="5" name="woTemplate" linkTarget="0">
    <vt:i4>1</vt:i4>
  </property>
  <property fmtid="{D5CDD505-2E9C-101B-9397-08002B2CF9AE}" pid="6" name="commondata">
    <vt:lpwstr>eyJoZGlkIjoiMmE1ZTg2ZDFjNjIzYTlkOGY4N2RhNTQ1ZWI3NzA3MmQifQ==</vt:lpwstr>
  </property>
</Properties>
</file>