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rPr>
          <w:rFonts w:asciiTheme="minorEastAsia" w:hAnsiTheme="minorEastAsia" w:eastAsiaTheme="minorEastAsia"/>
          <w:b/>
          <w:bCs/>
          <w:color w:val="auto"/>
          <w:spacing w:val="-4"/>
          <w:szCs w:val="21"/>
          <w:highlight w:val="none"/>
        </w:rPr>
      </w:pPr>
      <w:bookmarkStart w:id="205" w:name="_GoBack"/>
    </w:p>
    <w:p>
      <w:pPr>
        <w:spacing w:line="360" w:lineRule="auto"/>
        <w:rPr>
          <w:rFonts w:asciiTheme="minorEastAsia" w:hAnsiTheme="minorEastAsia" w:eastAsiaTheme="minorEastAsia"/>
          <w:b/>
          <w:color w:val="auto"/>
          <w:szCs w:val="21"/>
          <w:highlight w:val="none"/>
        </w:rPr>
      </w:pPr>
    </w:p>
    <w:p>
      <w:pPr>
        <w:spacing w:beforeLines="50" w:line="360" w:lineRule="auto"/>
        <w:jc w:val="center"/>
        <w:outlineLvl w:val="0"/>
        <w:rPr>
          <w:rFonts w:hint="eastAsia" w:asciiTheme="minorEastAsia" w:hAnsiTheme="minorEastAsia" w:eastAsiaTheme="minorEastAsia"/>
          <w:b/>
          <w:color w:val="auto"/>
          <w:sz w:val="44"/>
          <w:szCs w:val="44"/>
          <w:highlight w:val="none"/>
          <w:lang w:eastAsia="zh-CN"/>
        </w:rPr>
      </w:pPr>
      <w:bookmarkStart w:id="0" w:name="_Toc18831"/>
      <w:r>
        <w:rPr>
          <w:rFonts w:hint="eastAsia" w:asciiTheme="minorEastAsia" w:hAnsiTheme="minorEastAsia" w:eastAsiaTheme="minorEastAsia"/>
          <w:b/>
          <w:color w:val="auto"/>
          <w:sz w:val="44"/>
          <w:szCs w:val="44"/>
          <w:highlight w:val="none"/>
          <w:lang w:eastAsia="zh-CN"/>
        </w:rPr>
        <w:t>新城街道2024年度区域绿化养护项目</w:t>
      </w:r>
      <w:bookmarkEnd w:id="0"/>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 w:val="44"/>
          <w:szCs w:val="44"/>
          <w:highlight w:val="none"/>
        </w:rPr>
      </w:pPr>
    </w:p>
    <w:p>
      <w:pPr>
        <w:spacing w:line="360" w:lineRule="auto"/>
        <w:jc w:val="center"/>
        <w:outlineLvl w:val="0"/>
        <w:rPr>
          <w:rFonts w:asciiTheme="minorEastAsia" w:hAnsiTheme="minorEastAsia" w:eastAsiaTheme="minorEastAsia"/>
          <w:b/>
          <w:color w:val="auto"/>
          <w:sz w:val="44"/>
          <w:szCs w:val="44"/>
          <w:highlight w:val="none"/>
        </w:rPr>
      </w:pPr>
      <w:bookmarkStart w:id="1" w:name="_Toc3336"/>
      <w:r>
        <w:rPr>
          <w:rFonts w:hint="eastAsia" w:asciiTheme="minorEastAsia" w:hAnsiTheme="minorEastAsia" w:eastAsiaTheme="minorEastAsia"/>
          <w:b/>
          <w:color w:val="auto"/>
          <w:sz w:val="44"/>
          <w:szCs w:val="44"/>
          <w:highlight w:val="none"/>
        </w:rPr>
        <w:t>公开招标文件</w:t>
      </w:r>
      <w:bookmarkEnd w:id="1"/>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pStyle w:val="48"/>
        <w:ind w:firstLine="404"/>
        <w:rPr>
          <w:color w:val="auto"/>
          <w:highlight w:val="none"/>
        </w:rPr>
      </w:pPr>
    </w:p>
    <w:p>
      <w:pPr>
        <w:pStyle w:val="30"/>
        <w:spacing w:before="120" w:after="120" w:line="360" w:lineRule="auto"/>
        <w:ind w:firstLine="562" w:firstLineChars="200"/>
        <w:outlineLvl w:val="0"/>
        <w:rPr>
          <w:rStyle w:val="56"/>
          <w:rFonts w:hint="eastAsia" w:asciiTheme="minorEastAsia" w:hAnsiTheme="minorEastAsia" w:eastAsiaTheme="minorEastAsia"/>
          <w:b/>
          <w:color w:val="auto"/>
          <w:sz w:val="28"/>
          <w:szCs w:val="28"/>
          <w:highlight w:val="none"/>
          <w:u w:val="none"/>
        </w:rPr>
      </w:pPr>
      <w:bookmarkStart w:id="2" w:name="_Toc15408"/>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CN"/>
        </w:rPr>
        <w:t>银建-JXYJ（2023）68号</w:t>
      </w:r>
      <w:bookmarkEnd w:id="2"/>
      <w:r>
        <w:rPr>
          <w:rStyle w:val="56"/>
          <w:rFonts w:hint="eastAsia" w:asciiTheme="minorEastAsia" w:hAnsiTheme="minorEastAsia" w:eastAsiaTheme="minorEastAsia"/>
          <w:b/>
          <w:color w:val="auto"/>
          <w:sz w:val="28"/>
          <w:szCs w:val="28"/>
          <w:highlight w:val="none"/>
          <w:u w:val="none"/>
        </w:rPr>
        <w:t xml:space="preserve"> </w:t>
      </w:r>
    </w:p>
    <w:p>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CN"/>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CN"/>
        </w:rPr>
        <w:t>嘉兴市秀洲区人民政府新城街道办事处</w:t>
      </w:r>
    </w:p>
    <w:p>
      <w:pPr>
        <w:pStyle w:val="30"/>
        <w:spacing w:before="120" w:after="120" w:line="360" w:lineRule="auto"/>
        <w:ind w:firstLine="562" w:firstLineChars="200"/>
        <w:outlineLvl w:val="0"/>
        <w:rPr>
          <w:rStyle w:val="56"/>
          <w:rFonts w:asciiTheme="minorEastAsia" w:hAnsiTheme="minorEastAsia" w:eastAsiaTheme="minorEastAsia"/>
          <w:b/>
          <w:color w:val="auto"/>
          <w:sz w:val="28"/>
          <w:szCs w:val="28"/>
          <w:highlight w:val="none"/>
          <w:u w:val="none"/>
        </w:rPr>
      </w:pPr>
      <w:bookmarkStart w:id="3" w:name="_Toc9908"/>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bookmarkEnd w:id="3"/>
    </w:p>
    <w:p>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3</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11</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28</w:t>
      </w:r>
      <w:r>
        <w:rPr>
          <w:rFonts w:asciiTheme="minorEastAsia" w:hAnsiTheme="minorEastAsia" w:eastAsiaTheme="minorEastAsia"/>
          <w:b/>
          <w:bCs/>
          <w:color w:val="auto"/>
          <w:w w:val="95"/>
          <w:sz w:val="28"/>
          <w:szCs w:val="28"/>
          <w:highlight w:val="none"/>
        </w:rPr>
        <w:t>日</w:t>
      </w: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p>
      <w:pPr>
        <w:pStyle w:val="30"/>
        <w:spacing w:beforeLines="0" w:afterLines="0" w:line="360" w:lineRule="auto"/>
        <w:rPr>
          <w:rFonts w:asciiTheme="minorEastAsia" w:hAnsiTheme="minorEastAsia" w:eastAsiaTheme="minorEastAsia"/>
          <w:color w:val="auto"/>
          <w:sz w:val="21"/>
          <w:szCs w:val="21"/>
          <w:highlight w:val="none"/>
        </w:rPr>
      </w:pPr>
    </w:p>
    <w:sdt>
      <w:sdtPr>
        <w:rPr>
          <w:rFonts w:ascii="宋体" w:hAnsi="宋体" w:eastAsia="宋体" w:cs="Times New Roman"/>
          <w:b/>
          <w:bCs/>
          <w:kern w:val="2"/>
          <w:sz w:val="21"/>
          <w:szCs w:val="24"/>
          <w:highlight w:val="none"/>
          <w:lang w:val="en-US" w:eastAsia="zh-CN" w:bidi="ar-SA"/>
        </w:rPr>
        <w:id w:val="147479095"/>
        <w15:color w:val="DBDBDB"/>
        <w:docPartObj>
          <w:docPartGallery w:val="Table of Contents"/>
          <w:docPartUnique/>
        </w:docPartObj>
      </w:sdtPr>
      <w:sdtEndPr>
        <w:rPr>
          <w:rFonts w:asciiTheme="minorEastAsia" w:hAnsiTheme="minorEastAsia" w:eastAsiaTheme="minorEastAsia" w:cstheme="minorBidi"/>
          <w:b/>
          <w:bCs/>
          <w:color w:val="auto"/>
          <w:kern w:val="2"/>
          <w:sz w:val="24"/>
          <w:szCs w:val="21"/>
          <w:highlight w:val="none"/>
          <w:lang w:val="en-US" w:eastAsia="zh-CN" w:bidi="ar-SA"/>
        </w:rPr>
      </w:sdtEndPr>
      <w:sdtContent>
        <w:p>
          <w:pPr>
            <w:spacing w:before="0" w:beforeLines="0" w:after="0" w:afterLines="0" w:line="240" w:lineRule="auto"/>
            <w:ind w:left="0" w:leftChars="0" w:right="0" w:rightChars="0" w:firstLine="0" w:firstLineChars="0"/>
            <w:jc w:val="center"/>
            <w:rPr>
              <w:b/>
              <w:bCs/>
              <w:highlight w:val="none"/>
            </w:rPr>
          </w:pPr>
          <w:r>
            <w:rPr>
              <w:rFonts w:ascii="宋体" w:hAnsi="宋体" w:eastAsia="宋体"/>
              <w:b/>
              <w:bCs/>
              <w:sz w:val="21"/>
              <w:highlight w:val="none"/>
            </w:rPr>
            <w:t>目录</w:t>
          </w:r>
        </w:p>
        <w:p>
          <w:pPr>
            <w:pStyle w:val="371"/>
            <w:tabs>
              <w:tab w:val="right" w:leader="dot" w:pos="8820"/>
            </w:tabs>
            <w:rPr>
              <w:highlight w:val="none"/>
            </w:rPr>
          </w:pPr>
          <w:r>
            <w:rPr>
              <w:rFonts w:asciiTheme="minorEastAsia" w:hAnsiTheme="minorEastAsia" w:eastAsiaTheme="minorEastAsia"/>
              <w:b/>
              <w:color w:val="auto"/>
              <w:sz w:val="21"/>
              <w:szCs w:val="21"/>
              <w:highlight w:val="none"/>
            </w:rPr>
            <w:fldChar w:fldCharType="begin"/>
          </w:r>
          <w:r>
            <w:rPr>
              <w:rFonts w:asciiTheme="minorEastAsia" w:hAnsiTheme="minorEastAsia" w:eastAsiaTheme="minorEastAsia"/>
              <w:b/>
              <w:color w:val="auto"/>
              <w:sz w:val="21"/>
              <w:szCs w:val="21"/>
              <w:highlight w:val="none"/>
            </w:rPr>
            <w:instrText xml:space="preserve">TOC \o "1-1" \h \u </w:instrText>
          </w:r>
          <w:r>
            <w:rPr>
              <w:rFonts w:asciiTheme="minorEastAsia" w:hAnsiTheme="minorEastAsia" w:eastAsiaTheme="minorEastAsia"/>
              <w:b/>
              <w:color w:val="auto"/>
              <w:sz w:val="21"/>
              <w:szCs w:val="21"/>
              <w:highlight w:val="none"/>
            </w:rPr>
            <w:fldChar w:fldCharType="separate"/>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_Toc4389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8"/>
              <w:highlight w:val="none"/>
            </w:rPr>
            <w:t>第一章 公开招标采购公告</w:t>
          </w:r>
          <w:r>
            <w:rPr>
              <w:highlight w:val="none"/>
            </w:rPr>
            <w:tab/>
          </w:r>
          <w:r>
            <w:rPr>
              <w:highlight w:val="none"/>
            </w:rPr>
            <w:fldChar w:fldCharType="begin"/>
          </w:r>
          <w:r>
            <w:rPr>
              <w:highlight w:val="none"/>
            </w:rPr>
            <w:instrText xml:space="preserve"> PAGEREF _Toc4389 \h </w:instrText>
          </w:r>
          <w:r>
            <w:rPr>
              <w:highlight w:val="none"/>
            </w:rPr>
            <w:fldChar w:fldCharType="separate"/>
          </w:r>
          <w:r>
            <w:rPr>
              <w:highlight w:val="none"/>
            </w:rPr>
            <w:t>1</w:t>
          </w:r>
          <w:r>
            <w:rPr>
              <w:highlight w:val="none"/>
            </w:rPr>
            <w:fldChar w:fldCharType="end"/>
          </w:r>
          <w:r>
            <w:rPr>
              <w:rFonts w:asciiTheme="minorEastAsia" w:hAnsiTheme="minorEastAsia" w:eastAsiaTheme="minorEastAsia"/>
              <w:color w:val="auto"/>
              <w:szCs w:val="21"/>
              <w:highlight w:val="none"/>
            </w:rPr>
            <w:fldChar w:fldCharType="end"/>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_Toc24075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 xml:space="preserve">第二章 </w:t>
          </w:r>
          <w:r>
            <w:rPr>
              <w:rFonts w:hint="eastAsia" w:asciiTheme="minorEastAsia" w:hAnsiTheme="minorEastAsia" w:eastAsiaTheme="minorEastAsia"/>
              <w:szCs w:val="30"/>
              <w:highlight w:val="none"/>
            </w:rPr>
            <w:t>招标需求</w:t>
          </w:r>
          <w:r>
            <w:rPr>
              <w:highlight w:val="none"/>
            </w:rPr>
            <w:tab/>
          </w:r>
          <w:r>
            <w:rPr>
              <w:highlight w:val="none"/>
            </w:rPr>
            <w:fldChar w:fldCharType="begin"/>
          </w:r>
          <w:r>
            <w:rPr>
              <w:highlight w:val="none"/>
            </w:rPr>
            <w:instrText xml:space="preserve"> PAGEREF _Toc24075 \h </w:instrText>
          </w:r>
          <w:r>
            <w:rPr>
              <w:highlight w:val="none"/>
            </w:rPr>
            <w:fldChar w:fldCharType="separate"/>
          </w:r>
          <w:r>
            <w:rPr>
              <w:highlight w:val="none"/>
            </w:rPr>
            <w:t>5</w:t>
          </w:r>
          <w:r>
            <w:rPr>
              <w:highlight w:val="none"/>
            </w:rPr>
            <w:fldChar w:fldCharType="end"/>
          </w:r>
          <w:r>
            <w:rPr>
              <w:rFonts w:asciiTheme="minorEastAsia" w:hAnsiTheme="minorEastAsia" w:eastAsiaTheme="minorEastAsia"/>
              <w:color w:val="auto"/>
              <w:szCs w:val="21"/>
              <w:highlight w:val="none"/>
            </w:rPr>
            <w:fldChar w:fldCharType="end"/>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_Toc7035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第三章 供应商须知</w:t>
          </w:r>
          <w:r>
            <w:rPr>
              <w:highlight w:val="none"/>
            </w:rPr>
            <w:tab/>
          </w:r>
          <w:r>
            <w:rPr>
              <w:highlight w:val="none"/>
            </w:rPr>
            <w:fldChar w:fldCharType="begin"/>
          </w:r>
          <w:r>
            <w:rPr>
              <w:highlight w:val="none"/>
            </w:rPr>
            <w:instrText xml:space="preserve"> PAGEREF _Toc7035 \h </w:instrText>
          </w:r>
          <w:r>
            <w:rPr>
              <w:highlight w:val="none"/>
            </w:rPr>
            <w:fldChar w:fldCharType="separate"/>
          </w:r>
          <w:r>
            <w:rPr>
              <w:highlight w:val="none"/>
            </w:rPr>
            <w:t>34</w:t>
          </w:r>
          <w:r>
            <w:rPr>
              <w:highlight w:val="none"/>
            </w:rPr>
            <w:fldChar w:fldCharType="end"/>
          </w:r>
          <w:r>
            <w:rPr>
              <w:rFonts w:asciiTheme="minorEastAsia" w:hAnsiTheme="minorEastAsia" w:eastAsiaTheme="minorEastAsia"/>
              <w:color w:val="auto"/>
              <w:szCs w:val="21"/>
              <w:highlight w:val="none"/>
            </w:rPr>
            <w:fldChar w:fldCharType="end"/>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_Toc9826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第四章 评分办法及评分标准</w:t>
          </w:r>
          <w:r>
            <w:rPr>
              <w:highlight w:val="none"/>
            </w:rPr>
            <w:tab/>
          </w:r>
          <w:r>
            <w:rPr>
              <w:highlight w:val="none"/>
            </w:rPr>
            <w:fldChar w:fldCharType="begin"/>
          </w:r>
          <w:r>
            <w:rPr>
              <w:highlight w:val="none"/>
            </w:rPr>
            <w:instrText xml:space="preserve"> PAGEREF _Toc9826 \h </w:instrText>
          </w:r>
          <w:r>
            <w:rPr>
              <w:highlight w:val="none"/>
            </w:rPr>
            <w:fldChar w:fldCharType="separate"/>
          </w:r>
          <w:r>
            <w:rPr>
              <w:highlight w:val="none"/>
            </w:rPr>
            <w:t>44</w:t>
          </w:r>
          <w:r>
            <w:rPr>
              <w:highlight w:val="none"/>
            </w:rPr>
            <w:fldChar w:fldCharType="end"/>
          </w:r>
          <w:r>
            <w:rPr>
              <w:rFonts w:asciiTheme="minorEastAsia" w:hAnsiTheme="minorEastAsia" w:eastAsiaTheme="minorEastAsia"/>
              <w:color w:val="auto"/>
              <w:szCs w:val="21"/>
              <w:highlight w:val="none"/>
            </w:rPr>
            <w:fldChar w:fldCharType="end"/>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_Toc32670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 xml:space="preserve">第五章 </w:t>
          </w:r>
          <w:r>
            <w:rPr>
              <w:rFonts w:hint="eastAsia" w:asciiTheme="minorEastAsia" w:hAnsiTheme="minorEastAsia" w:eastAsiaTheme="minorEastAsia"/>
              <w:szCs w:val="30"/>
              <w:highlight w:val="none"/>
            </w:rPr>
            <w:t>嘉兴市政府采购合同（指引）</w:t>
          </w:r>
          <w:r>
            <w:rPr>
              <w:highlight w:val="none"/>
            </w:rPr>
            <w:tab/>
          </w:r>
          <w:r>
            <w:rPr>
              <w:highlight w:val="none"/>
            </w:rPr>
            <w:fldChar w:fldCharType="begin"/>
          </w:r>
          <w:r>
            <w:rPr>
              <w:highlight w:val="none"/>
            </w:rPr>
            <w:instrText xml:space="preserve"> PAGEREF _Toc32670 \h </w:instrText>
          </w:r>
          <w:r>
            <w:rPr>
              <w:highlight w:val="none"/>
            </w:rPr>
            <w:fldChar w:fldCharType="separate"/>
          </w:r>
          <w:r>
            <w:rPr>
              <w:highlight w:val="none"/>
            </w:rPr>
            <w:t>46</w:t>
          </w:r>
          <w:r>
            <w:rPr>
              <w:highlight w:val="none"/>
            </w:rPr>
            <w:fldChar w:fldCharType="end"/>
          </w:r>
          <w:r>
            <w:rPr>
              <w:rFonts w:asciiTheme="minorEastAsia" w:hAnsiTheme="minorEastAsia" w:eastAsiaTheme="minorEastAsia"/>
              <w:color w:val="auto"/>
              <w:szCs w:val="21"/>
              <w:highlight w:val="none"/>
            </w:rPr>
            <w:fldChar w:fldCharType="end"/>
          </w:r>
        </w:p>
        <w:p>
          <w:pPr>
            <w:pStyle w:val="371"/>
            <w:tabs>
              <w:tab w:val="right" w:leader="dot" w:pos="8820"/>
            </w:tabs>
            <w:rPr>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szCs w:val="21"/>
              <w:highlight w:val="none"/>
            </w:rPr>
            <w:instrText xml:space="preserve"> HYPERLINK \l _Toc25577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30"/>
              <w:highlight w:val="none"/>
            </w:rPr>
            <w:t>第六章  投标文件格式</w:t>
          </w:r>
          <w:r>
            <w:rPr>
              <w:highlight w:val="none"/>
            </w:rPr>
            <w:tab/>
          </w:r>
          <w:r>
            <w:rPr>
              <w:highlight w:val="none"/>
            </w:rPr>
            <w:fldChar w:fldCharType="begin"/>
          </w:r>
          <w:r>
            <w:rPr>
              <w:highlight w:val="none"/>
            </w:rPr>
            <w:instrText xml:space="preserve"> PAGEREF _Toc25577 \h </w:instrText>
          </w:r>
          <w:r>
            <w:rPr>
              <w:highlight w:val="none"/>
            </w:rPr>
            <w:fldChar w:fldCharType="separate"/>
          </w:r>
          <w:r>
            <w:rPr>
              <w:highlight w:val="none"/>
            </w:rPr>
            <w:t>53</w:t>
          </w:r>
          <w:r>
            <w:rPr>
              <w:highlight w:val="none"/>
            </w:rPr>
            <w:fldChar w:fldCharType="end"/>
          </w:r>
          <w:r>
            <w:rPr>
              <w:rFonts w:asciiTheme="minorEastAsia" w:hAnsiTheme="minorEastAsia" w:eastAsiaTheme="minorEastAsia"/>
              <w:color w:val="auto"/>
              <w:szCs w:val="21"/>
              <w:highlight w:val="none"/>
            </w:rPr>
            <w:fldChar w:fldCharType="end"/>
          </w:r>
        </w:p>
        <w:p>
          <w:pPr>
            <w:pStyle w:val="30"/>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Cs w:val="21"/>
              <w:highlight w:val="none"/>
            </w:rPr>
            <w:fldChar w:fldCharType="end"/>
          </w:r>
        </w:p>
      </w:sdtContent>
    </w:sdt>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pStyle w:val="30"/>
        <w:spacing w:beforeLines="0" w:afterLines="0" w:line="360" w:lineRule="auto"/>
        <w:jc w:val="center"/>
        <w:rPr>
          <w:rFonts w:asciiTheme="minorEastAsia" w:hAnsiTheme="minorEastAsia" w:eastAsiaTheme="minorEastAsia"/>
          <w:b/>
          <w:color w:val="auto"/>
          <w:sz w:val="21"/>
          <w:szCs w:val="21"/>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pPr>
        <w:pStyle w:val="48"/>
        <w:ind w:firstLine="404"/>
        <w:rPr>
          <w:color w:val="auto"/>
          <w:highlight w:val="none"/>
        </w:rPr>
      </w:pPr>
    </w:p>
    <w:p>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4" w:name="_Toc4389"/>
      <w:bookmarkStart w:id="5" w:name="_Toc13774"/>
      <w:r>
        <w:rPr>
          <w:rFonts w:hint="eastAsia" w:asciiTheme="minorEastAsia" w:hAnsiTheme="minorEastAsia" w:eastAsiaTheme="minorEastAsia"/>
          <w:b/>
          <w:color w:val="auto"/>
          <w:sz w:val="28"/>
          <w:szCs w:val="28"/>
          <w:highlight w:val="none"/>
        </w:rPr>
        <w:t>第一章 公开招标采购公告</w:t>
      </w:r>
      <w:bookmarkEnd w:id="4"/>
      <w:bookmarkEnd w:id="5"/>
    </w:p>
    <w:p>
      <w:pPr>
        <w:pStyle w:val="245"/>
        <w:spacing w:afterLines="0" w:line="360" w:lineRule="auto"/>
        <w:ind w:firstLine="42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根据《中华人民共和国政府采购法》、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中华人民共和国政府采购法实施条例</w:t>
      </w:r>
      <w:r>
        <w:rPr>
          <w:rFonts w:hint="eastAsia" w:asciiTheme="minorEastAsia" w:hAnsiTheme="minorEastAsia" w:eastAsiaTheme="minorEastAsia"/>
          <w:color w:val="auto"/>
          <w:sz w:val="18"/>
          <w:szCs w:val="18"/>
          <w:highlight w:val="none"/>
        </w:rPr>
        <w:t>》和</w:t>
      </w:r>
      <w:r>
        <w:rPr>
          <w:rFonts w:asciiTheme="minorEastAsia" w:hAnsiTheme="minorEastAsia" w:eastAsiaTheme="minorEastAsia"/>
          <w:color w:val="auto"/>
          <w:sz w:val="18"/>
          <w:szCs w:val="18"/>
          <w:highlight w:val="none"/>
        </w:rPr>
        <w:t>《政府采购货物和服务招标投标管理办法》</w:t>
      </w:r>
      <w:r>
        <w:rPr>
          <w:rFonts w:hint="eastAsia" w:asciiTheme="minorEastAsia" w:hAnsiTheme="minorEastAsia" w:eastAsiaTheme="minorEastAsia"/>
          <w:color w:val="auto"/>
          <w:sz w:val="18"/>
          <w:szCs w:val="18"/>
          <w:highlight w:val="none"/>
        </w:rPr>
        <w:t>、《浙江省</w:t>
      </w:r>
      <w:r>
        <w:rPr>
          <w:rFonts w:asciiTheme="minorEastAsia" w:hAnsiTheme="minorEastAsia" w:eastAsiaTheme="minorEastAsia"/>
          <w:color w:val="auto"/>
          <w:sz w:val="18"/>
          <w:szCs w:val="18"/>
          <w:highlight w:val="none"/>
        </w:rPr>
        <w:t>政府采购项目电子交易管理暂行办法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等规定</w:t>
      </w:r>
      <w:r>
        <w:rPr>
          <w:rFonts w:hint="eastAsia" w:asciiTheme="minorEastAsia" w:hAnsiTheme="minorEastAsia" w:eastAsiaTheme="minorEastAsia"/>
          <w:color w:val="auto"/>
          <w:sz w:val="18"/>
          <w:szCs w:val="18"/>
          <w:highlight w:val="none"/>
        </w:rPr>
        <w:t>，嘉兴市银建工程咨询评估有限公司受采购人委托，经</w:t>
      </w:r>
      <w:r>
        <w:rPr>
          <w:rFonts w:hint="eastAsia" w:asciiTheme="minorEastAsia" w:hAnsiTheme="minorEastAsia" w:eastAsiaTheme="minorEastAsia"/>
          <w:color w:val="auto"/>
          <w:sz w:val="18"/>
          <w:szCs w:val="18"/>
          <w:highlight w:val="none"/>
          <w:u w:val="single"/>
          <w:lang w:eastAsia="zh-CN"/>
        </w:rPr>
        <w:t>嘉兴市秀洲区财政局临[2023]3680号</w:t>
      </w:r>
      <w:r>
        <w:rPr>
          <w:rFonts w:hint="eastAsia" w:asciiTheme="minorEastAsia" w:hAnsiTheme="minorEastAsia" w:eastAsiaTheme="minorEastAsia"/>
          <w:color w:val="auto"/>
          <w:sz w:val="18"/>
          <w:szCs w:val="18"/>
          <w:highlight w:val="none"/>
        </w:rPr>
        <w:t>确认书批准，现就下列项目</w:t>
      </w:r>
      <w:r>
        <w:rPr>
          <w:rFonts w:asciiTheme="minorEastAsia" w:hAnsiTheme="minorEastAsia" w:eastAsiaTheme="minorEastAsia"/>
          <w:color w:val="auto"/>
          <w:sz w:val="18"/>
          <w:szCs w:val="18"/>
          <w:highlight w:val="none"/>
        </w:rPr>
        <w:t>进行</w:t>
      </w:r>
      <w:r>
        <w:rPr>
          <w:rFonts w:asciiTheme="minorEastAsia" w:hAnsiTheme="minorEastAsia" w:eastAsiaTheme="minorEastAsia"/>
          <w:color w:val="auto"/>
          <w:sz w:val="18"/>
          <w:szCs w:val="18"/>
          <w:highlight w:val="none"/>
          <w:u w:val="single"/>
        </w:rPr>
        <w:t>公开招标</w:t>
      </w:r>
      <w:r>
        <w:rPr>
          <w:rFonts w:asciiTheme="minorEastAsia" w:hAnsiTheme="minorEastAsia" w:eastAsiaTheme="minorEastAsia"/>
          <w:color w:val="auto"/>
          <w:sz w:val="18"/>
          <w:szCs w:val="18"/>
          <w:highlight w:val="none"/>
        </w:rPr>
        <w:t>采购，</w:t>
      </w:r>
      <w:r>
        <w:rPr>
          <w:rFonts w:hint="eastAsia" w:asciiTheme="minorEastAsia" w:hAnsiTheme="minorEastAsia" w:eastAsiaTheme="minorEastAsia"/>
          <w:color w:val="auto"/>
          <w:sz w:val="18"/>
          <w:szCs w:val="18"/>
          <w:highlight w:val="none"/>
        </w:rPr>
        <w:t>欢迎合格供应商前来投标，现将有关事项公告如下：</w:t>
      </w:r>
    </w:p>
    <w:p>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color w:val="auto"/>
          <w:sz w:val="18"/>
          <w:szCs w:val="18"/>
          <w:highlight w:val="none"/>
        </w:rPr>
        <w:t>一、</w:t>
      </w:r>
      <w:r>
        <w:rPr>
          <w:rFonts w:hint="eastAsia" w:cs="Arial" w:asciiTheme="minorEastAsia" w:hAnsiTheme="minorEastAsia" w:eastAsiaTheme="minorEastAsia"/>
          <w:b/>
          <w:bCs/>
          <w:color w:val="auto"/>
          <w:sz w:val="18"/>
          <w:szCs w:val="18"/>
          <w:highlight w:val="none"/>
        </w:rPr>
        <w:t>项目编号：</w:t>
      </w:r>
      <w:r>
        <w:rPr>
          <w:rFonts w:hint="eastAsia" w:cs="Arial" w:asciiTheme="minorEastAsia" w:hAnsiTheme="minorEastAsia" w:eastAsiaTheme="minorEastAsia"/>
          <w:color w:val="auto"/>
          <w:sz w:val="18"/>
          <w:szCs w:val="18"/>
          <w:highlight w:val="none"/>
          <w:lang w:eastAsia="zh-CN"/>
        </w:rPr>
        <w:t>银建-JXYJ（2023）68号</w:t>
      </w:r>
    </w:p>
    <w:p>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color w:val="auto"/>
          <w:sz w:val="18"/>
          <w:szCs w:val="18"/>
          <w:highlight w:val="none"/>
        </w:rPr>
        <w:t>二、</w:t>
      </w:r>
      <w:r>
        <w:rPr>
          <w:rFonts w:hint="eastAsia" w:cs="Arial" w:asciiTheme="minorEastAsia" w:hAnsiTheme="minorEastAsia" w:eastAsiaTheme="minorEastAsia"/>
          <w:b/>
          <w:color w:val="auto"/>
          <w:sz w:val="18"/>
          <w:szCs w:val="18"/>
          <w:highlight w:val="none"/>
        </w:rPr>
        <w:t>采购组织类型：</w:t>
      </w:r>
      <w:r>
        <w:rPr>
          <w:rStyle w:val="52"/>
          <w:rFonts w:hint="eastAsia" w:asciiTheme="minorEastAsia" w:hAnsiTheme="minorEastAsia" w:eastAsiaTheme="minorEastAsia"/>
          <w:b w:val="0"/>
          <w:color w:val="auto"/>
          <w:sz w:val="18"/>
          <w:szCs w:val="18"/>
          <w:highlight w:val="none"/>
        </w:rPr>
        <w:t>分散采购</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rPr>
        <w:t>三、采购方式：</w:t>
      </w:r>
      <w:r>
        <w:rPr>
          <w:rFonts w:hint="eastAsia" w:cs="Arial" w:asciiTheme="minorEastAsia" w:hAnsiTheme="minorEastAsia" w:eastAsiaTheme="minorEastAsia"/>
          <w:color w:val="auto"/>
          <w:sz w:val="18"/>
          <w:szCs w:val="18"/>
          <w:highlight w:val="none"/>
        </w:rPr>
        <w:t>公开招标</w:t>
      </w:r>
    </w:p>
    <w:p>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color w:val="auto"/>
          <w:sz w:val="18"/>
          <w:szCs w:val="18"/>
          <w:highlight w:val="none"/>
        </w:rPr>
        <w:t>四、招标项目:</w:t>
      </w:r>
      <w:r>
        <w:rPr>
          <w:rFonts w:hint="eastAsia" w:cs="Arial" w:asciiTheme="minorEastAsia" w:hAnsiTheme="minorEastAsia" w:eastAsiaTheme="minorEastAsia"/>
          <w:color w:val="auto"/>
          <w:sz w:val="18"/>
          <w:szCs w:val="18"/>
          <w:highlight w:val="none"/>
        </w:rPr>
        <w:t xml:space="preserve"> </w:t>
      </w:r>
      <w:r>
        <w:rPr>
          <w:rFonts w:hint="eastAsia" w:cs="Arial" w:asciiTheme="minorEastAsia" w:hAnsiTheme="minorEastAsia" w:eastAsiaTheme="minorEastAsia"/>
          <w:color w:val="auto"/>
          <w:sz w:val="18"/>
          <w:szCs w:val="18"/>
          <w:highlight w:val="none"/>
          <w:lang w:eastAsia="zh-CN"/>
        </w:rPr>
        <w:t>新城街道2024年度区域绿化养护项目</w:t>
      </w:r>
    </w:p>
    <w:p>
      <w:pPr>
        <w:snapToGrid w:val="0"/>
        <w:spacing w:line="360" w:lineRule="auto"/>
        <w:rPr>
          <w:rFonts w:hint="eastAsia" w:cs="Arial" w:asciiTheme="minorEastAsia" w:hAnsiTheme="minorEastAsia" w:eastAsiaTheme="minorEastAsia"/>
          <w:b/>
          <w:color w:val="auto"/>
          <w:sz w:val="18"/>
          <w:szCs w:val="18"/>
          <w:highlight w:val="none"/>
          <w:lang w:val="en-US" w:eastAsia="zh-CN"/>
        </w:rPr>
      </w:pPr>
      <w:r>
        <w:rPr>
          <w:rFonts w:hint="eastAsia" w:cs="Arial" w:asciiTheme="minorEastAsia" w:hAnsiTheme="minorEastAsia" w:eastAsiaTheme="minorEastAsia"/>
          <w:b/>
          <w:color w:val="auto"/>
          <w:sz w:val="18"/>
          <w:szCs w:val="18"/>
          <w:highlight w:val="none"/>
        </w:rPr>
        <w:t>五、采购预算：</w:t>
      </w:r>
      <w:r>
        <w:rPr>
          <w:rFonts w:hint="eastAsia" w:cs="Arial" w:asciiTheme="minorEastAsia" w:hAnsiTheme="minorEastAsia" w:eastAsiaTheme="minorEastAsia"/>
          <w:b w:val="0"/>
          <w:bCs/>
          <w:color w:val="auto"/>
          <w:sz w:val="18"/>
          <w:szCs w:val="18"/>
          <w:highlight w:val="none"/>
        </w:rPr>
        <w:t>25194826.45</w:t>
      </w:r>
      <w:r>
        <w:rPr>
          <w:rFonts w:hint="eastAsia" w:cs="Arial" w:asciiTheme="minorEastAsia" w:hAnsiTheme="minorEastAsia" w:eastAsiaTheme="minorEastAsia"/>
          <w:b w:val="0"/>
          <w:bCs/>
          <w:color w:val="auto"/>
          <w:sz w:val="18"/>
          <w:szCs w:val="18"/>
          <w:highlight w:val="none"/>
          <w:lang w:eastAsia="zh-CN"/>
        </w:rPr>
        <w:t>元。</w:t>
      </w:r>
      <w:r>
        <w:rPr>
          <w:rFonts w:hint="eastAsia" w:cs="Arial" w:asciiTheme="minorEastAsia" w:hAnsiTheme="minorEastAsia" w:eastAsiaTheme="minorEastAsia"/>
          <w:b/>
          <w:color w:val="auto"/>
          <w:sz w:val="18"/>
          <w:szCs w:val="18"/>
          <w:highlight w:val="none"/>
          <w:lang w:eastAsia="zh-CN"/>
        </w:rPr>
        <w:t>控制总价为：</w:t>
      </w:r>
      <w:r>
        <w:rPr>
          <w:rFonts w:hint="eastAsia" w:cs="Arial" w:asciiTheme="minorEastAsia" w:hAnsiTheme="minorEastAsia" w:eastAsiaTheme="minorEastAsia"/>
          <w:color w:val="auto"/>
          <w:sz w:val="18"/>
          <w:szCs w:val="18"/>
          <w:highlight w:val="none"/>
          <w:lang w:val="en-US" w:eastAsia="zh-CN"/>
        </w:rPr>
        <w:t>22365030.2389</w:t>
      </w:r>
      <w:r>
        <w:rPr>
          <w:rFonts w:hint="eastAsia" w:cs="Arial" w:asciiTheme="minorEastAsia" w:hAnsiTheme="minorEastAsia" w:eastAsiaTheme="minorEastAsia"/>
          <w:color w:val="auto"/>
          <w:sz w:val="18"/>
          <w:szCs w:val="18"/>
          <w:highlight w:val="none"/>
        </w:rPr>
        <w:t>元</w:t>
      </w:r>
      <w:r>
        <w:rPr>
          <w:rFonts w:hint="eastAsia" w:cs="Arial" w:asciiTheme="minorEastAsia" w:hAnsiTheme="minorEastAsia" w:eastAsiaTheme="minorEastAsia"/>
          <w:color w:val="auto"/>
          <w:sz w:val="18"/>
          <w:szCs w:val="18"/>
          <w:highlight w:val="none"/>
          <w:lang w:eastAsia="zh-CN"/>
        </w:rPr>
        <w:t>，其中标段一：</w:t>
      </w:r>
      <w:r>
        <w:rPr>
          <w:rFonts w:hint="eastAsia" w:cs="Arial" w:asciiTheme="minorEastAsia" w:hAnsiTheme="minorEastAsia" w:eastAsiaTheme="minorEastAsia"/>
          <w:color w:val="auto"/>
          <w:sz w:val="18"/>
          <w:szCs w:val="18"/>
          <w:highlight w:val="none"/>
          <w:lang w:val="en-US" w:eastAsia="zh-CN"/>
        </w:rPr>
        <w:t>3718512.56元，标段二：4332871.44元，标段三：3380466元</w:t>
      </w:r>
      <w:r>
        <w:rPr>
          <w:rFonts w:hint="eastAsia" w:cs="Arial" w:asciiTheme="minorEastAsia" w:hAnsiTheme="minorEastAsia" w:eastAsiaTheme="minorEastAsia"/>
          <w:color w:val="auto"/>
          <w:sz w:val="18"/>
          <w:szCs w:val="18"/>
          <w:highlight w:val="none"/>
          <w:lang w:eastAsia="zh-CN"/>
        </w:rPr>
        <w:t>，标段四：</w:t>
      </w:r>
      <w:r>
        <w:rPr>
          <w:rFonts w:hint="eastAsia" w:cs="Arial" w:asciiTheme="minorEastAsia" w:hAnsiTheme="minorEastAsia" w:eastAsiaTheme="minorEastAsia"/>
          <w:color w:val="auto"/>
          <w:sz w:val="18"/>
          <w:szCs w:val="18"/>
          <w:highlight w:val="none"/>
          <w:lang w:val="en-US" w:eastAsia="zh-CN"/>
        </w:rPr>
        <w:t>3688584.28元，标段五：3647577.4元，标段六：3597018.5589元</w:t>
      </w:r>
      <w:r>
        <w:rPr>
          <w:rFonts w:hint="eastAsia" w:cs="Arial" w:asciiTheme="minorEastAsia" w:hAnsiTheme="minorEastAsia" w:eastAsiaTheme="minorEastAsia"/>
          <w:color w:val="auto"/>
          <w:sz w:val="18"/>
          <w:szCs w:val="18"/>
          <w:highlight w:val="none"/>
          <w:lang w:eastAsia="zh-CN"/>
        </w:rPr>
        <w:t>。</w:t>
      </w:r>
    </w:p>
    <w:p>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rPr>
        <w:t>六、招标采购内容：</w:t>
      </w:r>
    </w:p>
    <w:tbl>
      <w:tblPr>
        <w:tblStyle w:val="49"/>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68"/>
        <w:gridCol w:w="2261"/>
        <w:gridCol w:w="1789"/>
        <w:gridCol w:w="297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2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服务期</w:t>
            </w:r>
          </w:p>
        </w:tc>
        <w:tc>
          <w:tcPr>
            <w:tcW w:w="1789" w:type="dxa"/>
            <w:tcBorders>
              <w:top w:val="single" w:color="auto" w:sz="4" w:space="0"/>
              <w:left w:val="single" w:color="auto" w:sz="4" w:space="0"/>
              <w:bottom w:val="single" w:color="auto" w:sz="4" w:space="0"/>
              <w:right w:val="single" w:color="auto" w:sz="4" w:space="0"/>
            </w:tcBorders>
            <w:vAlign w:val="top"/>
          </w:tcPr>
          <w:p>
            <w:pPr>
              <w:snapToGrid w:val="0"/>
              <w:spacing w:line="430" w:lineRule="exact"/>
              <w:jc w:val="center"/>
              <w:rPr>
                <w:rFonts w:hint="eastAsia" w:asciiTheme="minorEastAsia" w:hAnsiTheme="minorEastAsia" w:eastAsiaTheme="minorEastAsia"/>
                <w:b/>
                <w:color w:val="auto"/>
                <w:sz w:val="18"/>
                <w:szCs w:val="18"/>
                <w:highlight w:val="none"/>
                <w:lang w:eastAsia="zh-CN"/>
              </w:rPr>
            </w:pPr>
            <w:r>
              <w:rPr>
                <w:rFonts w:hint="eastAsia" w:ascii="微软雅黑" w:hAnsi="微软雅黑" w:eastAsia="微软雅黑"/>
                <w:b/>
                <w:bCs/>
                <w:color w:val="auto"/>
                <w:sz w:val="18"/>
                <w:szCs w:val="18"/>
                <w:highlight w:val="none"/>
                <w:lang w:eastAsia="zh-CN"/>
              </w:rPr>
              <w:t>控制价</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b/>
                <w:color w:val="auto"/>
                <w:sz w:val="18"/>
                <w:szCs w:val="18"/>
                <w:highlight w:val="none"/>
                <w:lang w:eastAsia="zh-CN"/>
              </w:rPr>
              <w:t>范围</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b/>
                <w:color w:val="auto"/>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36" w:type="dxa"/>
            <w:gridSpan w:val="2"/>
            <w:tcBorders>
              <w:top w:val="single" w:color="auto" w:sz="4" w:space="0"/>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新城街道2024年度区域绿化养护项目</w:t>
            </w:r>
          </w:p>
        </w:tc>
        <w:tc>
          <w:tcPr>
            <w:tcW w:w="2261"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eastAsia="zh-CN"/>
              </w:rPr>
              <w:t>自签订合同之日起至</w:t>
            </w:r>
            <w:r>
              <w:rPr>
                <w:rFonts w:hint="eastAsia" w:asciiTheme="minorEastAsia" w:hAnsiTheme="minorEastAsia" w:eastAsiaTheme="minorEastAsia"/>
                <w:color w:val="auto"/>
                <w:sz w:val="18"/>
                <w:szCs w:val="18"/>
                <w:highlight w:val="none"/>
                <w:lang w:val="en-US" w:eastAsia="zh-CN"/>
              </w:rPr>
              <w:t>2024年12月31日</w:t>
            </w:r>
            <w:r>
              <w:rPr>
                <w:rFonts w:hint="eastAsia" w:asciiTheme="minorEastAsia" w:hAnsiTheme="minorEastAsia" w:eastAsiaTheme="minorEastAsia"/>
                <w:color w:val="auto"/>
                <w:sz w:val="18"/>
                <w:szCs w:val="18"/>
                <w:highlight w:val="none"/>
                <w:lang w:eastAsia="zh-CN"/>
              </w:rPr>
              <w:t>，年度考核优秀经招标人最终确认可续签至202</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lang w:eastAsia="zh-CN"/>
              </w:rPr>
              <w:t>年12月31日。</w:t>
            </w:r>
            <w:r>
              <w:rPr>
                <w:rFonts w:hint="eastAsia" w:asciiTheme="minorEastAsia" w:hAnsiTheme="minorEastAsia" w:eastAsiaTheme="minorEastAsia"/>
                <w:color w:val="auto"/>
                <w:sz w:val="18"/>
                <w:szCs w:val="18"/>
                <w:highlight w:val="none"/>
                <w:lang w:val="en-US" w:eastAsia="zh-CN"/>
              </w:rPr>
              <w:t>2025年年度</w:t>
            </w:r>
            <w:r>
              <w:rPr>
                <w:rFonts w:hint="eastAsia" w:asciiTheme="minorEastAsia" w:hAnsiTheme="minorEastAsia" w:eastAsiaTheme="minorEastAsia"/>
                <w:color w:val="auto"/>
                <w:sz w:val="18"/>
                <w:szCs w:val="18"/>
                <w:highlight w:val="none"/>
                <w:lang w:eastAsia="zh-CN"/>
              </w:rPr>
              <w:t>考核优秀经招标人最终确认可续签至202</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lang w:eastAsia="zh-CN"/>
              </w:rPr>
              <w:t>年12月31日。最多续签</w:t>
            </w:r>
            <w:r>
              <w:rPr>
                <w:rFonts w:hint="eastAsia" w:asciiTheme="minorEastAsia" w:hAnsiTheme="minorEastAsia" w:eastAsiaTheme="minorEastAsia"/>
                <w:color w:val="auto"/>
                <w:sz w:val="18"/>
                <w:szCs w:val="18"/>
                <w:highlight w:val="none"/>
                <w:lang w:val="en-US" w:eastAsia="zh-CN"/>
              </w:rPr>
              <w:t>2年</w:t>
            </w: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lang w:val="en-US" w:eastAsia="zh-CN"/>
              </w:rPr>
              <w:t>22365030.2389</w:t>
            </w:r>
            <w:r>
              <w:rPr>
                <w:rFonts w:hint="eastAsia" w:cs="Arial" w:asciiTheme="minorEastAsia" w:hAnsiTheme="minorEastAsia" w:eastAsiaTheme="minorEastAsia"/>
                <w:color w:val="auto"/>
                <w:sz w:val="18"/>
                <w:szCs w:val="18"/>
                <w:highlight w:val="none"/>
              </w:rPr>
              <w:t>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39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本项目划分六个标段，每个投标人只允许中最多1个标项。</w:t>
            </w:r>
          </w:p>
          <w:p>
            <w:pPr>
              <w:pStyle w:val="58"/>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restart"/>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其中</w:t>
            </w: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标段一</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3718512.56元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君特口袋公园、永泰广场西侧口袋公园、品质提升—中山西路工程、品质提升—新平路、新秀路、亚厦路、蓬莱路工程</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标段二</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4332871.44元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大德路北延伸段小公园</w:t>
            </w:r>
            <w:r>
              <w:rPr>
                <w:rFonts w:hint="eastAsia" w:asciiTheme="minorEastAsia" w:hAnsiTheme="minorEastAsia" w:eastAsiaTheme="minorEastAsia"/>
                <w:color w:val="auto"/>
                <w:sz w:val="18"/>
                <w:szCs w:val="18"/>
                <w:highlight w:val="none"/>
                <w:lang w:eastAsia="zh-CN"/>
              </w:rPr>
              <w:t>、景尚雅苑东小公园、东升西路（秀洲大道—新塍塘）</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标段三</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3380466元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秀洲生态公园</w:t>
            </w:r>
            <w:r>
              <w:rPr>
                <w:rFonts w:hint="eastAsia" w:asciiTheme="minorEastAsia" w:hAnsiTheme="minorEastAsia" w:eastAsiaTheme="minorEastAsia"/>
                <w:color w:val="auto"/>
                <w:sz w:val="18"/>
                <w:szCs w:val="18"/>
                <w:highlight w:val="none"/>
                <w:lang w:eastAsia="zh-CN"/>
              </w:rPr>
              <w:t>、秀清公园（北区块）、春晓公园</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标段四</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3688584.28元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区政府广场、嘉业阳光城、秀洲公园、江南摩尔</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continue"/>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标段五</w:t>
            </w:r>
          </w:p>
        </w:tc>
        <w:tc>
          <w:tcPr>
            <w:tcW w:w="2261"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3647577.4元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风筝公园一期、风筝公园二期、金盛花园南侧</w:t>
            </w:r>
          </w:p>
        </w:tc>
        <w:tc>
          <w:tcPr>
            <w:tcW w:w="13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8" w:type="dxa"/>
            <w:vMerge w:val="continue"/>
            <w:tcBorders>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p>
        </w:tc>
        <w:tc>
          <w:tcPr>
            <w:tcW w:w="1468" w:type="dxa"/>
            <w:tcBorders>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标段六</w:t>
            </w:r>
          </w:p>
        </w:tc>
        <w:tc>
          <w:tcPr>
            <w:tcW w:w="2261"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c>
          <w:tcPr>
            <w:tcW w:w="178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cs="Arial" w:asciiTheme="minorEastAsia" w:hAnsiTheme="minorEastAsia" w:eastAsiaTheme="minorEastAsia"/>
                <w:color w:val="auto"/>
                <w:sz w:val="18"/>
                <w:szCs w:val="18"/>
                <w:highlight w:val="none"/>
                <w:lang w:val="en-US" w:eastAsia="zh-CN"/>
              </w:rPr>
            </w:pPr>
            <w:r>
              <w:rPr>
                <w:rFonts w:hint="eastAsia" w:cs="Arial" w:asciiTheme="minorEastAsia" w:hAnsiTheme="minorEastAsia" w:eastAsiaTheme="minorEastAsia"/>
                <w:color w:val="auto"/>
                <w:sz w:val="18"/>
                <w:szCs w:val="18"/>
                <w:highlight w:val="none"/>
                <w:lang w:val="en-US" w:eastAsia="zh-CN"/>
              </w:rPr>
              <w:t>3597018.5589元</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殷秀路绿地、殷秀路及洪高路绿道、杭州塘与北郊河东岸绿地</w:t>
            </w:r>
          </w:p>
        </w:tc>
        <w:tc>
          <w:tcPr>
            <w:tcW w:w="139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 w:val="18"/>
                <w:szCs w:val="18"/>
                <w:highlight w:val="none"/>
                <w:lang w:eastAsia="zh-CN"/>
              </w:rPr>
            </w:pPr>
          </w:p>
        </w:tc>
      </w:tr>
    </w:tbl>
    <w:p>
      <w:pPr>
        <w:spacing w:line="360" w:lineRule="auto"/>
        <w:rPr>
          <w:rFonts w:hint="default" w:cs="Arial" w:asciiTheme="minorEastAsia" w:hAnsiTheme="minorEastAsia" w:eastAsiaTheme="minorEastAsia"/>
          <w:b/>
          <w:bCs/>
          <w:color w:val="auto"/>
          <w:sz w:val="18"/>
          <w:szCs w:val="18"/>
          <w:highlight w:val="none"/>
          <w:lang w:val="en-US" w:eastAsia="zh-CN"/>
        </w:rPr>
      </w:pPr>
      <w:r>
        <w:rPr>
          <w:rFonts w:hint="eastAsia" w:cs="Arial" w:asciiTheme="minorEastAsia" w:hAnsiTheme="minorEastAsia" w:eastAsiaTheme="minorEastAsia"/>
          <w:b/>
          <w:bCs/>
          <w:color w:val="auto"/>
          <w:sz w:val="18"/>
          <w:szCs w:val="18"/>
          <w:highlight w:val="none"/>
          <w:lang w:val="en-US" w:eastAsia="zh-CN"/>
        </w:rPr>
        <w:t>注：若某一标段的中标候选人在公示期间因质疑、投诉等原因导致本标段重新招标的，则仅对该标段重新招标，其他标段不再变动或重新招标。</w:t>
      </w:r>
    </w:p>
    <w:p>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rPr>
        <w:t>七、合格供应商的资格要求</w:t>
      </w:r>
    </w:p>
    <w:p>
      <w:pPr>
        <w:wordWrap w:val="0"/>
        <w:spacing w:line="360" w:lineRule="auto"/>
        <w:ind w:firstLine="482"/>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 xml:space="preserve">    2.落实政府采购政策需满足的资格要求：</w:t>
      </w:r>
    </w:p>
    <w:sdt>
      <w:sdtPr>
        <w:rPr>
          <w:rFonts w:hint="eastAsia" w:ascii="宋体" w:hAnsi="宋体" w:eastAsia="宋体" w:cs="宋体"/>
          <w:color w:val="auto"/>
          <w:kern w:val="0"/>
          <w:sz w:val="18"/>
          <w:szCs w:val="18"/>
          <w:highlight w:val="none"/>
        </w:rPr>
        <w:id w:val="-1024704304"/>
      </w:sdtPr>
      <w:sdtEndPr>
        <w:rPr>
          <w:rFonts w:hint="eastAsia" w:ascii="宋体" w:hAnsi="宋体" w:eastAsia="宋体" w:cs="宋体"/>
          <w:color w:val="auto"/>
          <w:kern w:val="0"/>
          <w:sz w:val="18"/>
          <w:szCs w:val="18"/>
          <w:highlight w:val="none"/>
        </w:rPr>
      </w:sdtEndPr>
      <w:sdtContent>
        <w:p>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 xml:space="preserve">无； </w:t>
          </w:r>
        </w:p>
        <w:p>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r>
            <w:rPr>
              <w:rFonts w:hint="eastAsia" w:ascii="宋体" w:hAnsi="宋体" w:eastAsia="宋体" w:cs="宋体"/>
              <w:color w:val="auto"/>
              <w:kern w:val="0"/>
              <w:sz w:val="18"/>
              <w:szCs w:val="18"/>
              <w:highlight w:val="none"/>
            </w:rPr>
            <w:t>专</w:t>
          </w:r>
          <w:r>
            <w:rPr>
              <w:rFonts w:hint="eastAsia" w:ascii="宋体" w:hAnsi="宋体" w:eastAsia="宋体" w:cs="宋体"/>
              <w:color w:val="auto"/>
              <w:sz w:val="18"/>
              <w:szCs w:val="18"/>
              <w:highlight w:val="none"/>
            </w:rPr>
            <w:t>门面向中小企业</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924730588"/>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货物全部由符合政策要求的中小企业制造，提供中小企业声明函；</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152604937"/>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货物全部由符合政策要求的小微企业制造，提供中小企业声明函；</w:t>
          </w:r>
        </w:p>
        <w:p>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333685401"/>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服务全部由符合政策要求的中小企业承接，提供中小企业声明函；</w:t>
          </w:r>
        </w:p>
        <w:p>
          <w:pPr>
            <w:spacing w:line="360" w:lineRule="auto"/>
            <w:ind w:firstLine="720" w:firstLineChars="400"/>
            <w:rPr>
              <w:rFonts w:hint="eastAsia" w:ascii="宋体" w:hAnsi="宋体" w:eastAsia="宋体" w:cs="宋体"/>
              <w:color w:val="auto"/>
              <w:kern w:val="0"/>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2141025358"/>
              <w:showingPlcHdr/>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服务全部由符合政策要求的小微企业承接，提供中小企业声明函；</w:t>
          </w:r>
        </w:p>
      </w:sdtContent>
    </w:sdt>
    <w:p>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要求以联合体形式参加，提供联合协议和中小企业声明函，联合协议中中小企业合同</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金额应当达到%，小微企业合同金额应当达到%;如果供应商本身提供所有标的均由中小企业制造、承建或承接，视同符合了资格条件，无需再与其他中小企业组成联合体参加政府采购活动，无需提供联合协议；</w:t>
      </w:r>
    </w:p>
    <w:p>
      <w:pPr>
        <w:spacing w:line="360" w:lineRule="auto"/>
        <w:ind w:firstLine="360" w:firstLineChars="200"/>
        <w:rPr>
          <w:rFonts w:hint="eastAsia" w:ascii="宋体" w:hAnsi="宋体" w:eastAsia="宋体" w:cs="宋体"/>
          <w:b/>
          <w:bCs/>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3.本项目的特定资格要求：</w:t>
      </w:r>
      <w:r>
        <w:rPr>
          <w:rFonts w:hint="eastAsia" w:ascii="宋体" w:hAnsi="宋体" w:eastAsia="宋体" w:cs="宋体"/>
          <w:color w:val="auto"/>
          <w:sz w:val="18"/>
          <w:szCs w:val="18"/>
          <w:highlight w:val="none"/>
          <w:u w:val="single"/>
        </w:rPr>
        <w:t xml:space="preserve"> </w:t>
      </w:r>
      <w:r>
        <w:rPr>
          <w:rFonts w:hint="eastAsia" w:ascii="宋体" w:hAnsi="宋体" w:cs="宋体"/>
          <w:b/>
          <w:bCs/>
          <w:color w:val="auto"/>
          <w:sz w:val="18"/>
          <w:szCs w:val="18"/>
          <w:highlight w:val="none"/>
          <w:u w:val="single"/>
          <w:lang w:val="en-US" w:eastAsia="zh-CN"/>
        </w:rPr>
        <w:t>项目负责人具有园林绿化相关专业工程师及以上职称</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pPr>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4.单位负责人为同一人或者存在直接控股、管理关系的不同供应商，不得参加同一合同项下的政府采购活动；</w:t>
      </w:r>
    </w:p>
    <w:p>
      <w:pPr>
        <w:snapToGrid w:val="0"/>
        <w:spacing w:line="360" w:lineRule="auto"/>
        <w:rPr>
          <w:rFonts w:cs="Arial" w:asciiTheme="minorEastAsia" w:hAnsiTheme="minorEastAsia" w:eastAsiaTheme="minorEastAsia"/>
          <w:color w:val="auto"/>
          <w:sz w:val="18"/>
          <w:szCs w:val="18"/>
          <w:highlight w:val="none"/>
        </w:rPr>
      </w:pPr>
      <w:r>
        <w:rPr>
          <w:rFonts w:hint="eastAsia" w:ascii="宋体" w:hAnsi="宋体" w:eastAsia="宋体" w:cs="宋体"/>
          <w:color w:val="auto"/>
          <w:sz w:val="18"/>
          <w:szCs w:val="18"/>
          <w:highlight w:val="none"/>
        </w:rPr>
        <w:t>5.除单一来源采购项目外，为采购项目提供整体设计、规范编制或者项目管理、监理、检测等服务的供应商，不得再参加该采购项目的其他采购活动</w:t>
      </w:r>
    </w:p>
    <w:p>
      <w:pPr>
        <w:snapToGrid w:val="0"/>
        <w:spacing w:line="360" w:lineRule="auto"/>
        <w:ind w:firstLine="361" w:firstLineChars="200"/>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6.</w:t>
      </w:r>
      <w:r>
        <w:rPr>
          <w:rFonts w:hint="eastAsia" w:cs="Arial" w:asciiTheme="minorEastAsia" w:hAnsiTheme="minorEastAsia" w:eastAsiaTheme="minorEastAsia"/>
          <w:b/>
          <w:color w:val="auto"/>
          <w:sz w:val="18"/>
          <w:szCs w:val="18"/>
          <w:highlight w:val="none"/>
        </w:rPr>
        <w:t>本项目</w:t>
      </w:r>
      <w:r>
        <w:rPr>
          <w:rFonts w:hint="eastAsia" w:cs="Arial" w:asciiTheme="minorEastAsia" w:hAnsiTheme="minorEastAsia" w:eastAsiaTheme="minorEastAsia"/>
          <w:b/>
          <w:color w:val="auto"/>
          <w:sz w:val="18"/>
          <w:szCs w:val="18"/>
          <w:highlight w:val="none"/>
          <w:lang w:eastAsia="zh-CN"/>
        </w:rPr>
        <w:t>不</w:t>
      </w:r>
      <w:r>
        <w:rPr>
          <w:rFonts w:hint="eastAsia" w:cs="Arial" w:asciiTheme="minorEastAsia" w:hAnsiTheme="minorEastAsia" w:eastAsiaTheme="minorEastAsia"/>
          <w:b/>
          <w:color w:val="auto"/>
          <w:sz w:val="18"/>
          <w:szCs w:val="18"/>
          <w:highlight w:val="none"/>
        </w:rPr>
        <w:t>接受联合体投标。</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bCs/>
          <w:color w:val="auto"/>
          <w:sz w:val="18"/>
          <w:szCs w:val="18"/>
          <w:highlight w:val="none"/>
          <w:lang w:eastAsia="zh-CN"/>
        </w:rPr>
        <w:t>八</w:t>
      </w:r>
      <w:r>
        <w:rPr>
          <w:rFonts w:hint="eastAsia" w:cs="Arial" w:asciiTheme="minorEastAsia" w:hAnsiTheme="minorEastAsia" w:eastAsiaTheme="minorEastAsia"/>
          <w:b/>
          <w:bCs/>
          <w:color w:val="auto"/>
          <w:sz w:val="18"/>
          <w:szCs w:val="18"/>
          <w:highlight w:val="none"/>
        </w:rPr>
        <w:t>、投标说明</w:t>
      </w:r>
      <w:r>
        <w:rPr>
          <w:rFonts w:hint="eastAsia" w:cs="Arial" w:asciiTheme="minorEastAsia" w:hAnsiTheme="minorEastAsia" w:eastAsiaTheme="minorEastAsia"/>
          <w:color w:val="auto"/>
          <w:sz w:val="18"/>
          <w:szCs w:val="18"/>
          <w:highlight w:val="none"/>
        </w:rPr>
        <w:t>：</w:t>
      </w:r>
    </w:p>
    <w:p>
      <w:pPr>
        <w:spacing w:line="360" w:lineRule="auto"/>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１、本项目按照《浙江省财政厅关于印发浙江省政府采购项电子交易管理暂行办法的通知》实行电子交易。</w:t>
      </w:r>
    </w:p>
    <w:p>
      <w:pPr>
        <w:spacing w:line="360" w:lineRule="auto"/>
        <w:rPr>
          <w:rFonts w:hint="eastAsia" w:ascii="宋体" w:hAnsi="宋体" w:eastAsia="宋体" w:cs="宋体"/>
          <w:b/>
          <w:color w:val="auto"/>
          <w:szCs w:val="21"/>
          <w:highlight w:val="none"/>
        </w:rPr>
      </w:pPr>
      <w:r>
        <w:rPr>
          <w:rFonts w:cs="宋体" w:asciiTheme="minorEastAsia" w:hAnsiTheme="minorEastAsia" w:eastAsiaTheme="minorEastAsia"/>
          <w:b/>
          <w:color w:val="auto"/>
          <w:kern w:val="0"/>
          <w:sz w:val="18"/>
          <w:szCs w:val="18"/>
          <w:highlight w:val="none"/>
        </w:rPr>
        <w:t>2</w:t>
      </w:r>
      <w:r>
        <w:rPr>
          <w:rFonts w:hint="eastAsia" w:cs="宋体" w:asciiTheme="minorEastAsia" w:hAnsiTheme="minorEastAsia" w:eastAsiaTheme="minorEastAsia"/>
          <w:b/>
          <w:color w:val="auto"/>
          <w:kern w:val="0"/>
          <w:sz w:val="18"/>
          <w:szCs w:val="18"/>
          <w:highlight w:val="none"/>
        </w:rPr>
        <w:t>、</w:t>
      </w:r>
      <w:r>
        <w:rPr>
          <w:rFonts w:hint="eastAsia" w:ascii="宋体" w:hAnsi="宋体" w:eastAsia="宋体" w:cs="宋体"/>
          <w:b/>
          <w:color w:val="auto"/>
          <w:szCs w:val="21"/>
          <w:highlight w:val="none"/>
        </w:rPr>
        <w:t>获取招标文件</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时间：</w:t>
      </w:r>
      <w:r>
        <w:rPr>
          <w:rFonts w:hint="eastAsia" w:ascii="宋体" w:hAnsi="宋体" w:eastAsia="宋体" w:cs="宋体"/>
          <w:color w:val="auto"/>
          <w:sz w:val="18"/>
          <w:szCs w:val="18"/>
          <w:highlight w:val="none"/>
        </w:rPr>
        <w:t>/至</w:t>
      </w:r>
      <w:r>
        <w:rPr>
          <w:rFonts w:hint="eastAsia" w:ascii="宋体" w:hAnsi="宋体" w:cs="宋体"/>
          <w:color w:val="auto"/>
          <w:sz w:val="18"/>
          <w:szCs w:val="18"/>
          <w:highlight w:val="none"/>
          <w:u w:val="single"/>
          <w:lang w:eastAsia="zh-CN"/>
        </w:rPr>
        <w:t>2023年</w:t>
      </w:r>
      <w:r>
        <w:rPr>
          <w:rFonts w:hint="eastAsia" w:ascii="宋体" w:hAnsi="宋体" w:cs="宋体"/>
          <w:color w:val="auto"/>
          <w:sz w:val="18"/>
          <w:szCs w:val="18"/>
          <w:highlight w:val="none"/>
          <w:u w:val="single"/>
          <w:lang w:val="en-US" w:eastAsia="zh-CN"/>
        </w:rPr>
        <w:t>12</w:t>
      </w:r>
      <w:r>
        <w:rPr>
          <w:rFonts w:hint="eastAsia" w:ascii="宋体" w:hAnsi="宋体" w:cs="宋体"/>
          <w:color w:val="auto"/>
          <w:sz w:val="18"/>
          <w:szCs w:val="18"/>
          <w:highlight w:val="none"/>
          <w:u w:val="single"/>
          <w:lang w:eastAsia="zh-CN"/>
        </w:rPr>
        <w:t>月</w:t>
      </w:r>
      <w:r>
        <w:rPr>
          <w:rFonts w:hint="eastAsia" w:ascii="宋体" w:hAnsi="宋体" w:cs="宋体"/>
          <w:color w:val="auto"/>
          <w:sz w:val="18"/>
          <w:szCs w:val="18"/>
          <w:highlight w:val="none"/>
          <w:u w:val="single"/>
          <w:lang w:val="en-US" w:eastAsia="zh-CN"/>
        </w:rPr>
        <w:t>27</w:t>
      </w:r>
      <w:r>
        <w:rPr>
          <w:rFonts w:hint="eastAsia" w:ascii="宋体" w:hAnsi="宋体" w:cs="宋体"/>
          <w:color w:val="auto"/>
          <w:sz w:val="18"/>
          <w:szCs w:val="18"/>
          <w:highlight w:val="none"/>
          <w:u w:val="single"/>
          <w:lang w:eastAsia="zh-CN"/>
        </w:rPr>
        <w:t>日</w:t>
      </w:r>
      <w:r>
        <w:rPr>
          <w:rFonts w:hint="eastAsia" w:ascii="宋体" w:hAnsi="宋体" w:eastAsia="宋体" w:cs="宋体"/>
          <w:color w:val="auto"/>
          <w:sz w:val="18"/>
          <w:szCs w:val="18"/>
          <w:highlight w:val="none"/>
        </w:rPr>
        <w:t>，每天上午00:00至12:00 ，下午12:00至23:59（北京时间，线上获取法定节假日均可，线下获取文件法定节假日除外）</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地点（网址）：</w:t>
      </w:r>
      <w:r>
        <w:rPr>
          <w:rFonts w:hint="eastAsia" w:ascii="宋体" w:hAnsi="宋体" w:eastAsia="宋体" w:cs="宋体"/>
          <w:color w:val="auto"/>
          <w:sz w:val="18"/>
          <w:szCs w:val="18"/>
          <w:highlight w:val="none"/>
        </w:rPr>
        <w:t xml:space="preserve">政采云平台（https://www.zcygov.cn/） </w:t>
      </w:r>
    </w:p>
    <w:p>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方式：</w:t>
      </w:r>
      <w:r>
        <w:rPr>
          <w:rFonts w:hint="eastAsia" w:ascii="宋体" w:hAnsi="宋体" w:eastAsia="宋体" w:cs="宋体"/>
          <w:color w:val="auto"/>
          <w:sz w:val="18"/>
          <w:szCs w:val="18"/>
          <w:highlight w:val="none"/>
        </w:rPr>
        <w:t>供应商登录政采云平台https://www.zcygov.cn/在线申请获取采购文件（进入“项目采购”应用，在获取采购文件菜单中选择项目，申请获取采购文件）。</w:t>
      </w:r>
    </w:p>
    <w:p>
      <w:pPr>
        <w:spacing w:line="360" w:lineRule="auto"/>
        <w:jc w:val="left"/>
        <w:rPr>
          <w:rFonts w:asciiTheme="minorEastAsia" w:hAnsiTheme="minorEastAsia" w:eastAsiaTheme="minorEastAsia"/>
          <w:b/>
          <w:color w:val="auto"/>
          <w:sz w:val="18"/>
          <w:szCs w:val="18"/>
          <w:highlight w:val="none"/>
          <w:shd w:val="clear" w:color="auto" w:fill="FFFFFF"/>
        </w:rPr>
      </w:pPr>
      <w:r>
        <w:rPr>
          <w:rFonts w:hint="eastAsia" w:ascii="宋体" w:hAnsi="宋体" w:eastAsia="宋体" w:cs="宋体"/>
          <w:b/>
          <w:color w:val="auto"/>
          <w:sz w:val="18"/>
          <w:szCs w:val="18"/>
          <w:highlight w:val="none"/>
        </w:rPr>
        <w:t>售价（元）：</w:t>
      </w:r>
      <w:r>
        <w:rPr>
          <w:rFonts w:hint="eastAsia" w:ascii="宋体" w:hAnsi="宋体" w:eastAsia="宋体" w:cs="宋体"/>
          <w:color w:val="auto"/>
          <w:sz w:val="18"/>
          <w:szCs w:val="18"/>
          <w:highlight w:val="none"/>
        </w:rPr>
        <w:t xml:space="preserve">0 </w:t>
      </w:r>
    </w:p>
    <w:p>
      <w:pPr>
        <w:pStyle w:val="196"/>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lang w:val="en-US" w:eastAsia="zh-CN"/>
        </w:rPr>
        <w:t>3</w:t>
      </w:r>
      <w:r>
        <w:rPr>
          <w:rFonts w:hint="eastAsia" w:asciiTheme="minorEastAsia" w:hAnsiTheme="minorEastAsia" w:eastAsiaTheme="minorEastAsia"/>
          <w:b/>
          <w:color w:val="auto"/>
          <w:sz w:val="18"/>
          <w:szCs w:val="18"/>
          <w:highlight w:val="none"/>
        </w:rPr>
        <w:t>、投标文件</w:t>
      </w:r>
      <w:r>
        <w:rPr>
          <w:rFonts w:asciiTheme="minorEastAsia" w:hAnsiTheme="minorEastAsia" w:eastAsiaTheme="minorEastAsia"/>
          <w:b/>
          <w:color w:val="auto"/>
          <w:sz w:val="18"/>
          <w:szCs w:val="18"/>
          <w:highlight w:val="none"/>
        </w:rPr>
        <w:t>制作</w:t>
      </w:r>
      <w:r>
        <w:rPr>
          <w:rFonts w:hint="eastAsia" w:asciiTheme="minorEastAsia" w:hAnsiTheme="minorEastAsia" w:eastAsiaTheme="minorEastAsia"/>
          <w:b/>
          <w:color w:val="auto"/>
          <w:sz w:val="18"/>
          <w:szCs w:val="18"/>
          <w:highlight w:val="none"/>
        </w:rPr>
        <w:t>注意事项</w:t>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lang w:val="en-US" w:eastAsia="zh-CN"/>
        </w:rPr>
        <w:t>3</w:t>
      </w:r>
      <w:r>
        <w:rPr>
          <w:rFonts w:hint="eastAsia" w:asciiTheme="minorEastAsia" w:hAnsiTheme="minorEastAsia" w:eastAsiaTheme="minorEastAsia"/>
          <w:color w:val="auto"/>
          <w:sz w:val="18"/>
          <w:szCs w:val="18"/>
          <w:highlight w:val="none"/>
          <w:shd w:val="clear" w:color="auto" w:fill="FFFFFF"/>
        </w:rPr>
        <w:t>.1供应商将政采云电子交易客户端下载、安装完成后，可通过账号密码或CA登录客户端进行投标文件制作。</w:t>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lang w:val="en-US" w:eastAsia="zh-CN"/>
        </w:rPr>
        <w:t>3</w:t>
      </w:r>
      <w:r>
        <w:rPr>
          <w:rFonts w:hint="eastAsia" w:asciiTheme="minorEastAsia" w:hAnsiTheme="minorEastAsia" w:eastAsiaTheme="minorEastAsia"/>
          <w:color w:val="auto"/>
          <w:sz w:val="18"/>
          <w:szCs w:val="18"/>
          <w:highlight w:val="none"/>
          <w:shd w:val="clear" w:color="auto" w:fill="FFFFFF"/>
        </w:rPr>
        <w:t>.2电子交易操作指南：</w:t>
      </w:r>
      <w:r>
        <w:rPr>
          <w:color w:val="auto"/>
          <w:sz w:val="18"/>
          <w:szCs w:val="18"/>
          <w:highlight w:val="none"/>
        </w:rPr>
        <w:fldChar w:fldCharType="begin"/>
      </w:r>
      <w:r>
        <w:rPr>
          <w:color w:val="auto"/>
          <w:sz w:val="18"/>
          <w:szCs w:val="18"/>
          <w:highlight w:val="none"/>
        </w:rPr>
        <w:instrText xml:space="preserve"> HYPERLINK "https://help.zcygov.cn/web/site_2/2018/12-28/2573.html"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https://help.zcygov.cn/web/site_2/2018/12-28/2573.html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《CA申领操作指南》：</w:t>
      </w:r>
      <w:r>
        <w:rPr>
          <w:color w:val="auto"/>
          <w:sz w:val="18"/>
          <w:szCs w:val="18"/>
          <w:highlight w:val="none"/>
        </w:rPr>
        <w:fldChar w:fldCharType="begin"/>
      </w:r>
      <w:r>
        <w:rPr>
          <w:color w:val="auto"/>
          <w:sz w:val="18"/>
          <w:szCs w:val="18"/>
          <w:highlight w:val="none"/>
        </w:rPr>
        <w:instrText xml:space="preserve"> HYPERLINK "https://help.zcygov.cn/web/site_2/2018/11-29/2452.html"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https://help.zcygov.cn/web/site_2/2018/11-29/2452.html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《CA管理操作指南》：</w:t>
      </w:r>
      <w:r>
        <w:rPr>
          <w:color w:val="auto"/>
          <w:sz w:val="18"/>
          <w:szCs w:val="18"/>
          <w:highlight w:val="none"/>
        </w:rPr>
        <w:fldChar w:fldCharType="begin"/>
      </w:r>
      <w:r>
        <w:rPr>
          <w:color w:val="auto"/>
          <w:sz w:val="18"/>
          <w:szCs w:val="18"/>
          <w:highlight w:val="none"/>
        </w:rPr>
        <w:instrText xml:space="preserve"> HYPERLINK "https://help.zcygov.cn/web/site_2/2019/08-20/3405.html"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https://help.zcygov.cn/web/site_2/2019/08-20/3405.html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《CA驱动和申领流程》</w:t>
      </w:r>
      <w:r>
        <w:rPr>
          <w:color w:val="auto"/>
          <w:sz w:val="18"/>
          <w:szCs w:val="18"/>
          <w:highlight w:val="none"/>
        </w:rPr>
        <w:fldChar w:fldCharType="begin"/>
      </w:r>
      <w:r>
        <w:rPr>
          <w:color w:val="auto"/>
          <w:sz w:val="18"/>
          <w:szCs w:val="18"/>
          <w:highlight w:val="none"/>
        </w:rPr>
        <w:instrText xml:space="preserve"> HYPERLINK "http://www.zjzfcg.gov.cn/bidClientTemplate/2019-05-27/12945.html" \t "_blank" </w:instrText>
      </w:r>
      <w:r>
        <w:rPr>
          <w:color w:val="auto"/>
          <w:sz w:val="18"/>
          <w:szCs w:val="18"/>
          <w:highlight w:val="none"/>
        </w:rPr>
        <w:fldChar w:fldCharType="separate"/>
      </w:r>
      <w:r>
        <w:rPr>
          <w:rStyle w:val="56"/>
          <w:rFonts w:hint="eastAsia" w:asciiTheme="minorEastAsia" w:hAnsiTheme="minorEastAsia" w:eastAsiaTheme="minorEastAsia"/>
          <w:color w:val="auto"/>
          <w:sz w:val="18"/>
          <w:szCs w:val="18"/>
          <w:highlight w:val="none"/>
          <w:shd w:val="clear" w:color="auto" w:fill="FFFFFF"/>
        </w:rPr>
        <w:t>http://www.zjzfcg.gov.cn/bidClientTemplate/2019-05-27/12945.html</w:t>
      </w:r>
      <w:r>
        <w:rPr>
          <w:rStyle w:val="56"/>
          <w:rFonts w:hint="eastAsia" w:asciiTheme="minorEastAsia" w:hAnsiTheme="minorEastAsia" w:eastAsiaTheme="minorEastAsia"/>
          <w:color w:val="auto"/>
          <w:sz w:val="18"/>
          <w:szCs w:val="18"/>
          <w:highlight w:val="none"/>
          <w:shd w:val="clear" w:color="auto" w:fill="FFFFFF"/>
        </w:rPr>
        <w:fldChar w:fldCharType="end"/>
      </w:r>
    </w:p>
    <w:p>
      <w:pPr>
        <w:spacing w:beforeLines="50" w:afterLines="50" w:line="360" w:lineRule="auto"/>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rPr>
        <w:t>注：</w:t>
      </w:r>
      <w:r>
        <w:rPr>
          <w:rFonts w:hint="eastAsia" w:asciiTheme="minorEastAsia" w:hAnsiTheme="minorEastAsia" w:eastAsiaTheme="minorEastAsia"/>
          <w:color w:val="auto"/>
          <w:sz w:val="18"/>
          <w:szCs w:val="18"/>
          <w:highlight w:val="none"/>
          <w:shd w:val="clear" w:color="auto" w:fill="FFFFFF"/>
        </w:rPr>
        <w:t>ＣＡ证书遗失补办、延期、解锁、质保等业务可以在联连客户端上进行操作；使用政采云投标客户端时，建议使用WIN7及以上操作系统。</w:t>
      </w:r>
    </w:p>
    <w:p>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lang w:eastAsia="zh-CN"/>
        </w:rPr>
        <w:t>九</w:t>
      </w:r>
      <w:r>
        <w:rPr>
          <w:rFonts w:hint="eastAsia" w:cs="Arial" w:asciiTheme="minorEastAsia" w:hAnsiTheme="minorEastAsia" w:eastAsiaTheme="minorEastAsia"/>
          <w:b/>
          <w:color w:val="auto"/>
          <w:sz w:val="18"/>
          <w:szCs w:val="18"/>
          <w:highlight w:val="none"/>
        </w:rPr>
        <w:t>、投标截止时间及提交注意事项</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１、投标截止时间</w:t>
      </w:r>
      <w:r>
        <w:rPr>
          <w:rFonts w:hint="eastAsia" w:cs="Arial"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shd w:val="clear" w:color="auto" w:fill="FFFFFF"/>
          <w:lang w:eastAsia="zh-CN"/>
        </w:rPr>
        <w:t>2023年12月27日</w:t>
      </w:r>
      <w:r>
        <w:rPr>
          <w:rFonts w:hint="eastAsia" w:cs="宋体" w:asciiTheme="minorEastAsia" w:hAnsiTheme="minorEastAsia" w:eastAsiaTheme="minorEastAsia"/>
          <w:b/>
          <w:bCs/>
          <w:color w:val="auto"/>
          <w:kern w:val="0"/>
          <w:sz w:val="18"/>
          <w:szCs w:val="18"/>
          <w:highlight w:val="none"/>
          <w:lang w:val="en-US" w:eastAsia="zh-CN"/>
        </w:rPr>
        <w:t>9</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3</w:t>
      </w:r>
      <w:r>
        <w:rPr>
          <w:rFonts w:hint="eastAsia" w:cs="宋体" w:asciiTheme="minorEastAsia" w:hAnsiTheme="minorEastAsia" w:eastAsiaTheme="minorEastAsia"/>
          <w:b/>
          <w:bCs/>
          <w:color w:val="auto"/>
          <w:kern w:val="0"/>
          <w:sz w:val="18"/>
          <w:szCs w:val="18"/>
          <w:highlight w:val="none"/>
        </w:rPr>
        <w:t>0分整</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２、投标文件提交注意事项</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2.1供应商进行电子投标应安装客户端软件，并按照招标文件和电子交易平台的要求编制并加密投标文件。供应商未按规定加密的投标文件，代理机构应当拒收。</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2.3电子标文件制作，但如遇因应商电子投标文件解密失败等情况造成无效标，后果由供应商自负。</w:t>
      </w:r>
    </w:p>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bCs/>
          <w:color w:val="auto"/>
          <w:sz w:val="18"/>
          <w:szCs w:val="18"/>
          <w:highlight w:val="none"/>
        </w:rPr>
        <w:t>十、开标时间及地点</w:t>
      </w:r>
      <w:r>
        <w:rPr>
          <w:rFonts w:hint="eastAsia" w:cs="Arial" w:asciiTheme="minorEastAsia" w:hAnsiTheme="minorEastAsia" w:eastAsiaTheme="minorEastAsia"/>
          <w:color w:val="auto"/>
          <w:sz w:val="18"/>
          <w:szCs w:val="18"/>
          <w:highlight w:val="none"/>
        </w:rPr>
        <w:t>：</w:t>
      </w:r>
    </w:p>
    <w:p>
      <w:pPr>
        <w:snapToGrid w:val="0"/>
        <w:spacing w:line="360" w:lineRule="auto"/>
        <w:jc w:val="left"/>
        <w:rPr>
          <w:rFonts w:hint="eastAsia"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本次招标将于</w:t>
      </w:r>
      <w:r>
        <w:rPr>
          <w:rFonts w:hint="eastAsia" w:asciiTheme="minorEastAsia" w:hAnsiTheme="minorEastAsia" w:eastAsiaTheme="minorEastAsia"/>
          <w:b/>
          <w:color w:val="auto"/>
          <w:sz w:val="18"/>
          <w:szCs w:val="18"/>
          <w:highlight w:val="none"/>
          <w:shd w:val="clear" w:color="auto" w:fill="FFFFFF"/>
          <w:lang w:eastAsia="zh-CN"/>
        </w:rPr>
        <w:t>2023年12月27日</w:t>
      </w:r>
      <w:r>
        <w:rPr>
          <w:rFonts w:hint="eastAsia" w:cs="宋体" w:asciiTheme="minorEastAsia" w:hAnsiTheme="minorEastAsia" w:eastAsiaTheme="minorEastAsia"/>
          <w:b/>
          <w:bCs/>
          <w:color w:val="auto"/>
          <w:kern w:val="0"/>
          <w:sz w:val="18"/>
          <w:szCs w:val="18"/>
          <w:highlight w:val="none"/>
          <w:lang w:val="en-US" w:eastAsia="zh-CN"/>
        </w:rPr>
        <w:t>9</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3</w:t>
      </w:r>
      <w:r>
        <w:rPr>
          <w:rFonts w:hint="eastAsia" w:cs="宋体" w:asciiTheme="minorEastAsia" w:hAnsiTheme="minorEastAsia" w:eastAsiaTheme="minorEastAsia"/>
          <w:b/>
          <w:bCs/>
          <w:color w:val="auto"/>
          <w:kern w:val="0"/>
          <w:sz w:val="18"/>
          <w:szCs w:val="18"/>
          <w:highlight w:val="none"/>
        </w:rPr>
        <w:t>0分整</w:t>
      </w:r>
      <w:r>
        <w:rPr>
          <w:rFonts w:hint="eastAsia" w:cs="Arial" w:asciiTheme="minorEastAsia" w:hAnsiTheme="minorEastAsia" w:eastAsiaTheme="minorEastAsia"/>
          <w:color w:val="auto"/>
          <w:sz w:val="18"/>
          <w:szCs w:val="18"/>
          <w:highlight w:val="none"/>
        </w:rPr>
        <w:t>在</w:t>
      </w:r>
      <w:r>
        <w:rPr>
          <w:rFonts w:hint="eastAsia" w:ascii="宋体" w:hAnsi="宋体" w:cs="Arial" w:eastAsiaTheme="minorEastAsia"/>
          <w:color w:val="auto"/>
          <w:sz w:val="18"/>
          <w:szCs w:val="18"/>
          <w:highlight w:val="none"/>
        </w:rPr>
        <w:t>嘉兴市银建工程咨询评估有限公司</w:t>
      </w:r>
      <w:r>
        <w:rPr>
          <w:rFonts w:hint="eastAsia" w:ascii="宋体" w:hAnsi="宋体" w:cs="Arial"/>
          <w:color w:val="auto"/>
          <w:sz w:val="18"/>
          <w:szCs w:val="18"/>
          <w:highlight w:val="none"/>
        </w:rPr>
        <w:t>（嘉兴市洪兴路2399号宝地大厦150</w:t>
      </w:r>
      <w:r>
        <w:rPr>
          <w:rFonts w:hint="eastAsia" w:ascii="宋体" w:hAnsi="宋体" w:cs="Arial"/>
          <w:color w:val="auto"/>
          <w:sz w:val="18"/>
          <w:szCs w:val="18"/>
          <w:highlight w:val="none"/>
          <w:lang w:val="en-US" w:eastAsia="zh-CN"/>
        </w:rPr>
        <w:t>6</w:t>
      </w:r>
      <w:r>
        <w:rPr>
          <w:rFonts w:hint="eastAsia" w:ascii="宋体" w:hAnsi="宋体" w:cs="Arial"/>
          <w:color w:val="auto"/>
          <w:sz w:val="18"/>
          <w:szCs w:val="18"/>
          <w:highlight w:val="none"/>
        </w:rPr>
        <w:t>室）</w:t>
      </w:r>
      <w:r>
        <w:rPr>
          <w:rFonts w:hint="eastAsia" w:ascii="宋体" w:hAnsi="宋体" w:cs="Arial"/>
          <w:color w:val="auto"/>
          <w:sz w:val="18"/>
          <w:szCs w:val="18"/>
          <w:highlight w:val="none"/>
          <w:lang w:eastAsia="zh-CN"/>
        </w:rPr>
        <w:t>开标</w:t>
      </w:r>
      <w:r>
        <w:rPr>
          <w:rFonts w:hint="eastAsia" w:cs="Arial"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u w:val="single"/>
        </w:rPr>
        <w:t>供应商无需到开标现场，但须准时在线参加，直至评审结束</w:t>
      </w:r>
      <w:r>
        <w:rPr>
          <w:rFonts w:hint="eastAsia" w:asciiTheme="minorEastAsia" w:hAnsiTheme="minorEastAsia" w:eastAsiaTheme="minorEastAsia"/>
          <w:b/>
          <w:color w:val="auto"/>
          <w:sz w:val="18"/>
          <w:szCs w:val="18"/>
          <w:highlight w:val="none"/>
        </w:rPr>
        <w:t>。</w:t>
      </w:r>
      <w:r>
        <w:rPr>
          <w:rFonts w:hint="eastAsia" w:cs="Arial" w:asciiTheme="minorEastAsia" w:hAnsiTheme="minorEastAsia" w:eastAsiaTheme="minorEastAsia"/>
          <w:color w:val="auto"/>
          <w:sz w:val="18"/>
          <w:szCs w:val="18"/>
          <w:highlight w:val="none"/>
        </w:rPr>
        <w:t>开标时间后半小时内（</w:t>
      </w:r>
      <w:r>
        <w:rPr>
          <w:rFonts w:hint="eastAsia" w:asciiTheme="minorEastAsia" w:hAnsiTheme="minorEastAsia" w:eastAsiaTheme="minorEastAsia"/>
          <w:b/>
          <w:color w:val="auto"/>
          <w:sz w:val="18"/>
          <w:szCs w:val="18"/>
          <w:highlight w:val="none"/>
          <w:shd w:val="clear" w:color="auto" w:fill="FFFFFF"/>
          <w:lang w:eastAsia="zh-CN"/>
        </w:rPr>
        <w:t>2023年12月27日</w:t>
      </w:r>
      <w:r>
        <w:rPr>
          <w:rFonts w:hint="eastAsia" w:cs="宋体" w:asciiTheme="minorEastAsia" w:hAnsiTheme="minorEastAsia" w:eastAsiaTheme="minorEastAsia"/>
          <w:b/>
          <w:bCs/>
          <w:color w:val="auto"/>
          <w:kern w:val="0"/>
          <w:sz w:val="18"/>
          <w:szCs w:val="18"/>
          <w:highlight w:val="none"/>
        </w:rPr>
        <w:t>1</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时</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0分</w:t>
      </w:r>
      <w:r>
        <w:rPr>
          <w:rFonts w:hint="eastAsia" w:cs="Arial" w:asciiTheme="minorEastAsia" w:hAnsiTheme="minorEastAsia" w:eastAsiaTheme="minorEastAsia"/>
          <w:b/>
          <w:color w:val="auto"/>
          <w:sz w:val="18"/>
          <w:szCs w:val="18"/>
          <w:highlight w:val="none"/>
        </w:rPr>
        <w:t>前</w:t>
      </w:r>
      <w:r>
        <w:rPr>
          <w:rFonts w:hint="eastAsia" w:cs="Arial" w:asciiTheme="minorEastAsia" w:hAnsiTheme="minorEastAsia" w:eastAsiaTheme="minorEastAsia"/>
          <w:color w:val="auto"/>
          <w:sz w:val="18"/>
          <w:szCs w:val="18"/>
          <w:highlight w:val="none"/>
        </w:rPr>
        <w:t>）</w:t>
      </w:r>
      <w:r>
        <w:rPr>
          <w:rFonts w:cs="Arial" w:asciiTheme="minorEastAsia" w:hAnsiTheme="minorEastAsia" w:eastAsiaTheme="minorEastAsia"/>
          <w:color w:val="auto"/>
          <w:sz w:val="18"/>
          <w:szCs w:val="18"/>
          <w:highlight w:val="none"/>
        </w:rPr>
        <w:t>供应商可以登录“</w:t>
      </w:r>
      <w:r>
        <w:rPr>
          <w:rFonts w:hint="eastAsia" w:cs="Arial" w:asciiTheme="minorEastAsia" w:hAnsiTheme="minorEastAsia" w:eastAsiaTheme="minorEastAsia"/>
          <w:color w:val="auto"/>
          <w:sz w:val="18"/>
          <w:szCs w:val="18"/>
          <w:highlight w:val="none"/>
        </w:rPr>
        <w:t>政采云</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平台</w:t>
      </w:r>
      <w:r>
        <w:rPr>
          <w:rFonts w:cs="Arial" w:asciiTheme="minorEastAsia" w:hAnsiTheme="minorEastAsia" w:eastAsiaTheme="minorEastAsia"/>
          <w:color w:val="auto"/>
          <w:sz w:val="18"/>
          <w:szCs w:val="18"/>
          <w:highlight w:val="none"/>
        </w:rPr>
        <w:t>，用“</w:t>
      </w:r>
      <w:r>
        <w:rPr>
          <w:rFonts w:hint="eastAsia" w:cs="Arial" w:asciiTheme="minorEastAsia" w:hAnsiTheme="minorEastAsia" w:eastAsiaTheme="minorEastAsia"/>
          <w:color w:val="auto"/>
          <w:sz w:val="18"/>
          <w:szCs w:val="18"/>
          <w:highlight w:val="none"/>
        </w:rPr>
        <w:t>项目采购-开标评标</w:t>
      </w:r>
      <w:r>
        <w:rPr>
          <w:rFonts w:cs="Arial" w:asciiTheme="minorEastAsia" w:hAnsiTheme="minorEastAsia" w:eastAsiaTheme="minorEastAsia"/>
          <w:color w:val="auto"/>
          <w:sz w:val="18"/>
          <w:szCs w:val="18"/>
          <w:highlight w:val="none"/>
        </w:rPr>
        <w:t>”功能</w:t>
      </w:r>
      <w:r>
        <w:rPr>
          <w:rFonts w:hint="eastAsia" w:cs="Arial" w:asciiTheme="minorEastAsia" w:hAnsiTheme="minorEastAsia" w:eastAsiaTheme="minorEastAsia"/>
          <w:color w:val="auto"/>
          <w:sz w:val="18"/>
          <w:szCs w:val="18"/>
          <w:highlight w:val="none"/>
        </w:rPr>
        <w:t>进行解密投标文件</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若供应商在规定时间内（</w:t>
      </w:r>
      <w:r>
        <w:rPr>
          <w:rFonts w:hint="eastAsia" w:asciiTheme="minorEastAsia" w:hAnsiTheme="minorEastAsia" w:eastAsiaTheme="minorEastAsia"/>
          <w:b/>
          <w:color w:val="auto"/>
          <w:sz w:val="18"/>
          <w:szCs w:val="18"/>
          <w:highlight w:val="none"/>
          <w:shd w:val="clear" w:color="auto" w:fill="FFFFFF"/>
          <w:lang w:eastAsia="zh-CN"/>
        </w:rPr>
        <w:t>2023年12月27日</w:t>
      </w:r>
      <w:r>
        <w:rPr>
          <w:rFonts w:hint="eastAsia" w:cs="宋体" w:asciiTheme="minorEastAsia" w:hAnsiTheme="minorEastAsia" w:eastAsiaTheme="minorEastAsia"/>
          <w:b/>
          <w:bCs/>
          <w:color w:val="auto"/>
          <w:kern w:val="0"/>
          <w:sz w:val="18"/>
          <w:szCs w:val="18"/>
          <w:highlight w:val="none"/>
        </w:rPr>
        <w:t>1</w:t>
      </w:r>
      <w:r>
        <w:rPr>
          <w:rFonts w:hint="eastAsia" w:cs="宋体" w:asciiTheme="minorEastAsia" w:hAnsiTheme="minorEastAsia" w:eastAsiaTheme="minorEastAsia"/>
          <w:b/>
          <w:bCs/>
          <w:color w:val="auto"/>
          <w:kern w:val="0"/>
          <w:sz w:val="18"/>
          <w:szCs w:val="18"/>
          <w:highlight w:val="none"/>
          <w:lang w:val="en-US" w:eastAsia="zh-CN"/>
        </w:rPr>
        <w:t>0</w:t>
      </w:r>
      <w:r>
        <w:rPr>
          <w:rFonts w:hint="eastAsia" w:cs="宋体" w:asciiTheme="minorEastAsia" w:hAnsiTheme="minorEastAsia" w:eastAsiaTheme="minorEastAsia"/>
          <w:b/>
          <w:bCs/>
          <w:color w:val="auto"/>
          <w:kern w:val="0"/>
          <w:sz w:val="18"/>
          <w:szCs w:val="18"/>
          <w:highlight w:val="none"/>
        </w:rPr>
        <w:t>时</w:t>
      </w:r>
      <w:r>
        <w:rPr>
          <w:rFonts w:hint="eastAsia" w:asciiTheme="minorEastAsia" w:hAnsiTheme="minorEastAsia" w:eastAsiaTheme="minorEastAsia"/>
          <w:b/>
          <w:color w:val="auto"/>
          <w:sz w:val="18"/>
          <w:szCs w:val="18"/>
          <w:highlight w:val="none"/>
          <w:shd w:val="clear" w:color="auto" w:fill="FFFFFF"/>
          <w:lang w:val="en-US" w:eastAsia="zh-CN"/>
        </w:rPr>
        <w:t>0</w:t>
      </w:r>
      <w:r>
        <w:rPr>
          <w:rFonts w:hint="eastAsia" w:asciiTheme="minorEastAsia" w:hAnsiTheme="minorEastAsia" w:eastAsiaTheme="minorEastAsia"/>
          <w:b/>
          <w:color w:val="auto"/>
          <w:sz w:val="18"/>
          <w:szCs w:val="18"/>
          <w:highlight w:val="none"/>
          <w:shd w:val="clear" w:color="auto" w:fill="FFFFFF"/>
        </w:rPr>
        <w:t>0分前</w:t>
      </w:r>
      <w:r>
        <w:rPr>
          <w:rFonts w:hint="eastAsia" w:cs="Arial" w:asciiTheme="minorEastAsia" w:hAnsiTheme="minorEastAsia" w:eastAsiaTheme="minorEastAsia"/>
          <w:color w:val="auto"/>
          <w:sz w:val="18"/>
          <w:szCs w:val="18"/>
          <w:highlight w:val="none"/>
        </w:rPr>
        <w:t>）投</w:t>
      </w:r>
      <w:r>
        <w:rPr>
          <w:rFonts w:cs="Arial" w:asciiTheme="minorEastAsia" w:hAnsiTheme="minorEastAsia" w:eastAsiaTheme="minorEastAsia"/>
          <w:color w:val="auto"/>
          <w:sz w:val="18"/>
          <w:szCs w:val="18"/>
          <w:highlight w:val="none"/>
        </w:rPr>
        <w:t>标文件</w:t>
      </w:r>
      <w:r>
        <w:rPr>
          <w:rFonts w:hint="eastAsia" w:cs="Arial" w:asciiTheme="minorEastAsia" w:hAnsiTheme="minorEastAsia" w:eastAsiaTheme="minorEastAsia"/>
          <w:color w:val="auto"/>
          <w:sz w:val="18"/>
          <w:szCs w:val="18"/>
          <w:highlight w:val="none"/>
        </w:rPr>
        <w:t>无法解密或解密失败</w:t>
      </w:r>
      <w:r>
        <w:rPr>
          <w:rFonts w:cs="Arial" w:asciiTheme="minorEastAsia" w:hAnsiTheme="minorEastAsia" w:eastAsiaTheme="minorEastAsia"/>
          <w:color w:val="auto"/>
          <w:sz w:val="18"/>
          <w:szCs w:val="18"/>
          <w:highlight w:val="none"/>
        </w:rPr>
        <w:t>（含未</w:t>
      </w:r>
      <w:r>
        <w:rPr>
          <w:rFonts w:hint="eastAsia" w:cs="Arial" w:asciiTheme="minorEastAsia" w:hAnsiTheme="minorEastAsia" w:eastAsiaTheme="minorEastAsia"/>
          <w:color w:val="auto"/>
          <w:sz w:val="18"/>
          <w:szCs w:val="18"/>
          <w:highlight w:val="none"/>
        </w:rPr>
        <w:t>提交</w:t>
      </w:r>
      <w:r>
        <w:rPr>
          <w:rFonts w:cs="Arial" w:asciiTheme="minorEastAsia" w:hAnsiTheme="minorEastAsia" w:eastAsiaTheme="minorEastAsia"/>
          <w:color w:val="auto"/>
          <w:sz w:val="18"/>
          <w:szCs w:val="18"/>
          <w:highlight w:val="none"/>
        </w:rPr>
        <w:t>），</w:t>
      </w:r>
      <w:r>
        <w:rPr>
          <w:rFonts w:hint="eastAsia" w:cs="Arial" w:asciiTheme="minorEastAsia" w:hAnsiTheme="minorEastAsia" w:eastAsiaTheme="minorEastAsia"/>
          <w:color w:val="auto"/>
          <w:sz w:val="18"/>
          <w:szCs w:val="18"/>
          <w:highlight w:val="none"/>
        </w:rPr>
        <w:t>则投标无效。</w:t>
      </w:r>
    </w:p>
    <w:p>
      <w:pPr>
        <w:spacing w:line="360" w:lineRule="auto"/>
        <w:rPr>
          <w:rFonts w:hint="eastAsia" w:ascii="宋体" w:hAnsi="宋体" w:eastAsia="宋体" w:cs="宋体"/>
          <w:b/>
          <w:color w:val="auto"/>
          <w:sz w:val="18"/>
          <w:szCs w:val="18"/>
          <w:highlight w:val="none"/>
        </w:rPr>
      </w:pPr>
      <w:r>
        <w:rPr>
          <w:rFonts w:hint="eastAsia"/>
          <w:b/>
          <w:bCs/>
          <w:color w:val="auto"/>
          <w:sz w:val="18"/>
          <w:szCs w:val="18"/>
          <w:highlight w:val="none"/>
          <w:lang w:eastAsia="zh-CN"/>
        </w:rPr>
        <w:t>十一、</w:t>
      </w:r>
      <w:r>
        <w:rPr>
          <w:rFonts w:hint="eastAsia" w:ascii="宋体" w:hAnsi="宋体" w:eastAsia="宋体" w:cs="宋体"/>
          <w:b/>
          <w:color w:val="auto"/>
          <w:sz w:val="18"/>
          <w:szCs w:val="18"/>
          <w:highlight w:val="none"/>
        </w:rPr>
        <w:t>其他补充事宜</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4.其他事项：</w:t>
      </w:r>
    </w:p>
    <w:p>
      <w:pPr>
        <w:wordWrap w:val="0"/>
        <w:spacing w:line="360" w:lineRule="auto"/>
        <w:ind w:firstLine="361" w:firstLineChars="200"/>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4.2需要落实的政府采购政策：包括节约资源、保护环境、支持创新、促进中小企业发展等。详见招标文件的第二部分总则。</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4.3电子招投标的说明：</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①电子招投标：本项目以数据电文形式，依托“政府采购云平台（www.zcygov.cn）”进行招投标活动，不接受纸质投标文件；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③招标文件的获取：使用账号登录或者使用CA登录政采云平台；进入“项目采购”应用，在获取采购文件菜单中选择项目，获取招标文件；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④投标文件的制作：在“政采云电子交易客户端”中完成“填写基本信息”、“导入投标文件”、“标书关联”、“标书检查”、“电子签名”、“生成电子标书”等操作；</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⑤采购人、采购机构将依托政采云平台完成本项目的电子交易活动，平台不接受未按上述方式获取招标文件的供应商进行投标活动；</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⑥对未按上述方式获取招标文件的供应商对该文件提出的质疑，采购人或采购代理机构将不予处理；</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⑦不提供招标文件纸质版；</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Style w:val="48"/>
        <w:ind w:left="0" w:leftChars="0" w:firstLine="0" w:firstLineChars="0"/>
        <w:rPr>
          <w:rFonts w:hint="eastAsia" w:eastAsiaTheme="minorEastAsia"/>
          <w:b/>
          <w:bCs/>
          <w:color w:val="auto"/>
          <w:sz w:val="18"/>
          <w:szCs w:val="18"/>
          <w:highlight w:val="none"/>
          <w:lang w:eastAsia="zh-CN"/>
        </w:rPr>
      </w:pPr>
      <w:r>
        <w:rPr>
          <w:rFonts w:hint="eastAsia" w:ascii="宋体" w:hAnsi="宋体" w:eastAsia="宋体" w:cs="宋体"/>
          <w:color w:val="auto"/>
          <w:sz w:val="18"/>
          <w:szCs w:val="18"/>
          <w:highlight w:val="none"/>
        </w:rPr>
        <w:t>⑩具体操作指南：详见政采云平台“服务中心-帮助文档-项目采购-操作流程-电子招投标-政府采购项目电子交易管理操作指南-供应商”。</w:t>
      </w:r>
    </w:p>
    <w:p>
      <w:pPr>
        <w:pStyle w:val="48"/>
        <w:ind w:left="0" w:leftChars="0" w:firstLine="0" w:firstLineChars="0"/>
        <w:rPr>
          <w:b/>
          <w:bCs/>
          <w:color w:val="auto"/>
          <w:sz w:val="18"/>
          <w:szCs w:val="18"/>
          <w:highlight w:val="none"/>
        </w:rPr>
      </w:pPr>
      <w:r>
        <w:rPr>
          <w:rFonts w:hint="eastAsia"/>
          <w:b/>
          <w:bCs/>
          <w:color w:val="auto"/>
          <w:sz w:val="18"/>
          <w:szCs w:val="18"/>
          <w:highlight w:val="none"/>
        </w:rPr>
        <w:t>十二、业务咨询：</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w:t>
      </w:r>
      <w:r>
        <w:rPr>
          <w:rFonts w:hint="eastAsia" w:cs="Arial" w:asciiTheme="minorEastAsia" w:hAnsiTheme="minorEastAsia" w:eastAsiaTheme="minorEastAsia"/>
          <w:b w:val="0"/>
          <w:bCs/>
          <w:color w:val="auto"/>
          <w:sz w:val="18"/>
          <w:szCs w:val="18"/>
          <w:highlight w:val="none"/>
          <w:lang w:eastAsia="zh-CN"/>
        </w:rPr>
        <w:t>嘉兴市秀洲区人民政府新城街道办事处</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w:t>
      </w:r>
      <w:r>
        <w:rPr>
          <w:rFonts w:hint="eastAsia" w:cs="Arial" w:asciiTheme="minorEastAsia" w:hAnsiTheme="minorEastAsia" w:eastAsiaTheme="minorEastAsia"/>
          <w:b w:val="0"/>
          <w:bCs/>
          <w:color w:val="auto"/>
          <w:sz w:val="18"/>
          <w:szCs w:val="18"/>
          <w:highlight w:val="none"/>
          <w:lang w:val="zh-CN"/>
        </w:rPr>
        <w:t>浙江省嘉兴市秀洲区东升西路1581号秀宏大楼</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王先生</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项目联系方式（询问）：0573-</w:t>
      </w:r>
      <w:r>
        <w:rPr>
          <w:rFonts w:hint="eastAsia" w:cs="Arial" w:asciiTheme="minorEastAsia" w:hAnsiTheme="minorEastAsia" w:eastAsiaTheme="minorEastAsia"/>
          <w:b w:val="0"/>
          <w:bCs/>
          <w:color w:val="auto"/>
          <w:sz w:val="18"/>
          <w:szCs w:val="18"/>
          <w:highlight w:val="none"/>
          <w:lang w:val="en-US" w:eastAsia="zh-CN"/>
        </w:rPr>
        <w:t>82712276</w:t>
      </w:r>
    </w:p>
    <w:p>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质疑联系人：</w:t>
      </w:r>
      <w:r>
        <w:rPr>
          <w:rFonts w:hint="eastAsia" w:cs="Arial" w:asciiTheme="minorEastAsia" w:hAnsiTheme="minorEastAsia" w:eastAsiaTheme="minorEastAsia"/>
          <w:b w:val="0"/>
          <w:bCs/>
          <w:color w:val="auto"/>
          <w:sz w:val="18"/>
          <w:szCs w:val="18"/>
          <w:highlight w:val="none"/>
          <w:lang w:eastAsia="zh-CN"/>
        </w:rPr>
        <w:t>叶</w:t>
      </w:r>
      <w:r>
        <w:rPr>
          <w:rFonts w:hint="eastAsia" w:cs="Arial" w:asciiTheme="minorEastAsia" w:hAnsiTheme="minorEastAsia" w:eastAsiaTheme="minorEastAsia"/>
          <w:b w:val="0"/>
          <w:bCs/>
          <w:color w:val="auto"/>
          <w:sz w:val="18"/>
          <w:szCs w:val="18"/>
          <w:highlight w:val="none"/>
          <w:lang w:val="en-US" w:eastAsia="zh-CN"/>
        </w:rPr>
        <w:t>先生</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质疑联系方式：0573-</w:t>
      </w:r>
      <w:r>
        <w:rPr>
          <w:rFonts w:hint="eastAsia" w:cs="Arial" w:asciiTheme="minorEastAsia" w:hAnsiTheme="minorEastAsia" w:eastAsiaTheme="minorEastAsia"/>
          <w:b w:val="0"/>
          <w:bCs/>
          <w:color w:val="auto"/>
          <w:sz w:val="18"/>
          <w:szCs w:val="18"/>
          <w:highlight w:val="none"/>
          <w:lang w:val="en-US" w:eastAsia="zh-CN"/>
        </w:rPr>
        <w:t>82710582</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2、采购代理机构信息</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嘉兴市银建工程咨询评估有限公司</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 </w:t>
      </w:r>
      <w:r>
        <w:rPr>
          <w:rFonts w:hint="eastAsia" w:cs="Arial" w:asciiTheme="minorEastAsia" w:hAnsiTheme="minorEastAsia" w:eastAsiaTheme="minorEastAsia"/>
          <w:b w:val="0"/>
          <w:bCs/>
          <w:color w:val="auto"/>
          <w:sz w:val="18"/>
          <w:szCs w:val="18"/>
          <w:highlight w:val="none"/>
          <w:lang w:eastAsia="zh-CN"/>
        </w:rPr>
        <w:t>嘉兴市秀洲区洪兴路239</w:t>
      </w:r>
      <w:r>
        <w:rPr>
          <w:rFonts w:hint="eastAsia" w:cs="Arial" w:asciiTheme="minorEastAsia" w:hAnsiTheme="minorEastAsia" w:eastAsiaTheme="minorEastAsia"/>
          <w:b w:val="0"/>
          <w:bCs/>
          <w:color w:val="auto"/>
          <w:sz w:val="18"/>
          <w:szCs w:val="18"/>
          <w:highlight w:val="none"/>
          <w:lang w:val="en-US" w:eastAsia="zh-CN"/>
        </w:rPr>
        <w:t>9</w:t>
      </w:r>
      <w:r>
        <w:rPr>
          <w:rFonts w:hint="eastAsia" w:cs="Arial" w:asciiTheme="minorEastAsia" w:hAnsiTheme="minorEastAsia" w:eastAsiaTheme="minorEastAsia"/>
          <w:b w:val="0"/>
          <w:bCs/>
          <w:color w:val="auto"/>
          <w:sz w:val="18"/>
          <w:szCs w:val="18"/>
          <w:highlight w:val="none"/>
          <w:lang w:eastAsia="zh-CN"/>
        </w:rPr>
        <w:t>号宝地大厦</w:t>
      </w:r>
      <w:r>
        <w:rPr>
          <w:rFonts w:hint="eastAsia" w:cs="Arial" w:asciiTheme="minorEastAsia" w:hAnsiTheme="minorEastAsia" w:eastAsiaTheme="minorEastAsia"/>
          <w:b w:val="0"/>
          <w:bCs/>
          <w:color w:val="auto"/>
          <w:sz w:val="18"/>
          <w:szCs w:val="18"/>
          <w:highlight w:val="none"/>
          <w:lang w:val="en-US" w:eastAsia="zh-CN"/>
        </w:rPr>
        <w:t>1205</w:t>
      </w:r>
      <w:r>
        <w:rPr>
          <w:rFonts w:hint="eastAsia" w:cs="Arial" w:asciiTheme="minorEastAsia" w:hAnsiTheme="minorEastAsia" w:eastAsiaTheme="minorEastAsia"/>
          <w:b w:val="0"/>
          <w:bCs/>
          <w:color w:val="auto"/>
          <w:sz w:val="18"/>
          <w:szCs w:val="18"/>
          <w:highlight w:val="none"/>
          <w:lang w:eastAsia="zh-CN"/>
        </w:rPr>
        <w:t>室</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eastAsia="zh-CN"/>
        </w:rPr>
        <w:t>李祺琛</w:t>
      </w:r>
    </w:p>
    <w:p>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 xml:space="preserve">项目联系方式（询问）： </w:t>
      </w:r>
      <w:r>
        <w:rPr>
          <w:rFonts w:hint="eastAsia" w:cs="Arial" w:asciiTheme="minorEastAsia" w:hAnsiTheme="minorEastAsia" w:eastAsiaTheme="minorEastAsia"/>
          <w:b w:val="0"/>
          <w:bCs/>
          <w:color w:val="auto"/>
          <w:sz w:val="18"/>
          <w:szCs w:val="18"/>
          <w:highlight w:val="none"/>
          <w:lang w:val="en-US" w:eastAsia="zh-CN"/>
        </w:rPr>
        <w:t>18006615280</w:t>
      </w:r>
    </w:p>
    <w:p>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3、同级政府采购监督管理部门</w:t>
      </w:r>
    </w:p>
    <w:p>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 xml:space="preserve">名    称： 嘉兴市秀洲区财政局 </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监督投诉电话：0573-8272008</w:t>
      </w:r>
      <w:r>
        <w:rPr>
          <w:rFonts w:hint="eastAsia" w:cs="Arial" w:asciiTheme="minorEastAsia" w:hAnsiTheme="minorEastAsia" w:eastAsiaTheme="minorEastAsia"/>
          <w:b w:val="0"/>
          <w:bCs/>
          <w:color w:val="auto"/>
          <w:sz w:val="18"/>
          <w:szCs w:val="18"/>
          <w:highlight w:val="none"/>
          <w:lang w:val="en-US" w:eastAsia="zh-CN"/>
        </w:rPr>
        <w:t>5</w:t>
      </w:r>
    </w:p>
    <w:p>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lang w:val="en-US" w:eastAsia="zh-CN"/>
        </w:rPr>
        <w:t>联  系  人：宋女士</w:t>
      </w:r>
    </w:p>
    <w:p>
      <w:pPr>
        <w:snapToGrid w:val="0"/>
        <w:spacing w:line="360" w:lineRule="auto"/>
        <w:jc w:val="right"/>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采购</w:t>
      </w:r>
      <w:r>
        <w:rPr>
          <w:rFonts w:asciiTheme="minorEastAsia" w:hAnsiTheme="minorEastAsia" w:eastAsiaTheme="minorEastAsia"/>
          <w:color w:val="auto"/>
          <w:sz w:val="18"/>
          <w:szCs w:val="18"/>
          <w:highlight w:val="none"/>
        </w:rPr>
        <w:t>单位：</w:t>
      </w:r>
      <w:r>
        <w:rPr>
          <w:rFonts w:hint="eastAsia" w:asciiTheme="minorEastAsia" w:hAnsiTheme="minorEastAsia" w:eastAsiaTheme="minorEastAsia"/>
          <w:color w:val="auto"/>
          <w:sz w:val="18"/>
          <w:szCs w:val="18"/>
          <w:highlight w:val="none"/>
          <w:lang w:eastAsia="zh-CN"/>
        </w:rPr>
        <w:t>嘉兴市秀洲区人民政府新城街道办事处</w:t>
      </w:r>
    </w:p>
    <w:p>
      <w:pPr>
        <w:snapToGrid w:val="0"/>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代理机构：嘉兴市银建工程咨询评估有限公司</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w:t>
      </w:r>
      <w:r>
        <w:rPr>
          <w:rFonts w:asciiTheme="minorEastAsia" w:hAnsiTheme="minorEastAsia" w:eastAsiaTheme="minorEastAsia"/>
          <w:color w:val="auto"/>
          <w:sz w:val="18"/>
          <w:szCs w:val="18"/>
          <w:highlight w:val="none"/>
        </w:rPr>
        <w:t>202</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年</w:t>
      </w:r>
      <w:r>
        <w:rPr>
          <w:rFonts w:hint="eastAsia" w:asciiTheme="minorEastAsia" w:hAnsiTheme="minorEastAsia" w:eastAsiaTheme="minorEastAsia"/>
          <w:color w:val="auto"/>
          <w:sz w:val="18"/>
          <w:szCs w:val="18"/>
          <w:highlight w:val="none"/>
          <w:lang w:val="en-US" w:eastAsia="zh-CN"/>
        </w:rPr>
        <w:t>12</w:t>
      </w:r>
      <w:r>
        <w:rPr>
          <w:rFonts w:asciiTheme="minorEastAsia" w:hAnsiTheme="minorEastAsia" w:eastAsiaTheme="minorEastAsia"/>
          <w:color w:val="auto"/>
          <w:sz w:val="18"/>
          <w:szCs w:val="18"/>
          <w:highlight w:val="none"/>
        </w:rPr>
        <w:t>月</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日</w:t>
      </w: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numPr>
          <w:ilvl w:val="0"/>
          <w:numId w:val="6"/>
        </w:numPr>
        <w:snapToGrid w:val="0"/>
        <w:spacing w:beforeLines="50" w:afterLines="50" w:line="360" w:lineRule="auto"/>
        <w:ind w:left="238"/>
        <w:jc w:val="center"/>
        <w:outlineLvl w:val="0"/>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w:t>
      </w:r>
      <w:bookmarkStart w:id="6" w:name="_Toc19796"/>
      <w:bookmarkStart w:id="7" w:name="_Toc24075"/>
      <w:r>
        <w:rPr>
          <w:rFonts w:hint="eastAsia" w:asciiTheme="minorEastAsia" w:hAnsiTheme="minorEastAsia" w:eastAsiaTheme="minorEastAsia"/>
          <w:b/>
          <w:color w:val="auto"/>
          <w:sz w:val="30"/>
          <w:szCs w:val="30"/>
          <w:highlight w:val="none"/>
        </w:rPr>
        <w:t>招标需求</w:t>
      </w:r>
      <w:bookmarkEnd w:id="6"/>
      <w:bookmarkEnd w:id="7"/>
      <w:bookmarkStart w:id="8" w:name="_Toc406402986"/>
    </w:p>
    <w:p>
      <w:pPr>
        <w:pStyle w:val="48"/>
        <w:numPr>
          <w:ilvl w:val="0"/>
          <w:numId w:val="0"/>
        </w:numPr>
        <w:rPr>
          <w:rFonts w:hint="default" w:eastAsiaTheme="minorEastAsia"/>
          <w:color w:val="auto"/>
          <w:sz w:val="18"/>
          <w:szCs w:val="18"/>
          <w:highlight w:val="none"/>
          <w:lang w:val="en-US" w:eastAsia="zh-CN"/>
        </w:rPr>
      </w:pPr>
      <w:r>
        <w:rPr>
          <w:rFonts w:hint="eastAsia"/>
          <w:color w:val="auto"/>
          <w:sz w:val="18"/>
          <w:szCs w:val="18"/>
          <w:highlight w:val="none"/>
          <w:lang w:val="en-US" w:eastAsia="zh-CN"/>
        </w:rPr>
        <w:t>一、项目概况</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新城街道</w:t>
      </w:r>
      <w:r>
        <w:rPr>
          <w:rFonts w:hint="eastAsia" w:ascii="宋体" w:hAnsi="宋体" w:cs="宋体"/>
          <w:color w:val="auto"/>
          <w:sz w:val="18"/>
          <w:szCs w:val="18"/>
          <w:highlight w:val="none"/>
          <w:lang w:val="en-US" w:eastAsia="zh-CN"/>
        </w:rPr>
        <w:t>部分</w:t>
      </w:r>
      <w:r>
        <w:rPr>
          <w:rFonts w:hint="eastAsia" w:ascii="宋体" w:hAnsi="宋体" w:eastAsia="宋体" w:cs="宋体"/>
          <w:color w:val="auto"/>
          <w:sz w:val="18"/>
          <w:szCs w:val="18"/>
          <w:highlight w:val="none"/>
          <w:lang w:val="en-US" w:eastAsia="zh-CN"/>
        </w:rPr>
        <w:t>区域内的</w:t>
      </w:r>
      <w:r>
        <w:rPr>
          <w:rFonts w:hint="eastAsia" w:ascii="宋体" w:hAnsi="宋体" w:cs="宋体"/>
          <w:color w:val="auto"/>
          <w:sz w:val="18"/>
          <w:szCs w:val="18"/>
          <w:highlight w:val="none"/>
          <w:lang w:val="en-US" w:eastAsia="zh-CN"/>
        </w:rPr>
        <w:t>绿地、</w:t>
      </w:r>
      <w:r>
        <w:rPr>
          <w:rFonts w:hint="eastAsia" w:ascii="宋体" w:hAnsi="宋体" w:eastAsia="宋体" w:cs="宋体"/>
          <w:color w:val="auto"/>
          <w:sz w:val="18"/>
          <w:szCs w:val="18"/>
          <w:highlight w:val="none"/>
          <w:lang w:val="en-US" w:eastAsia="zh-CN"/>
        </w:rPr>
        <w:t>乔灌木、行道树养护，时令草花种植及日常养护</w:t>
      </w:r>
      <w:r>
        <w:rPr>
          <w:rFonts w:hint="eastAsia" w:ascii="宋体" w:hAnsi="宋体" w:cs="宋体"/>
          <w:color w:val="auto"/>
          <w:sz w:val="18"/>
          <w:szCs w:val="18"/>
          <w:highlight w:val="none"/>
          <w:lang w:val="en-US" w:eastAsia="zh-CN"/>
        </w:rPr>
        <w:t>（详见清单）。</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w:t>
      </w:r>
      <w:r>
        <w:rPr>
          <w:rFonts w:hint="eastAsia" w:ascii="宋体" w:hAnsi="宋体" w:eastAsia="宋体" w:cs="宋体"/>
          <w:color w:val="auto"/>
          <w:sz w:val="18"/>
          <w:szCs w:val="18"/>
          <w:highlight w:val="none"/>
          <w:lang w:val="en-US" w:eastAsia="zh-CN"/>
        </w:rPr>
        <w:t>发生量结算。</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结算时单价按投标时全费用单位计，不因任何因素变更。</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标段大致范围：一标：东至昌盛中路-西至秀清港-南至杭州塘-北至新塍塘；二标：东至北郊河、西至常台高速（乍嘉苏高速）、南至新塍塘、北至嘉塍公路；三标：三个公园（秀洲生态公园、秀清公园（北区块）、春晓公园）；四标：东至新秀路、西至新洲路、南至中山西路、北至长虹路；五标：东至秀园路、西至常台高速（乍嘉苏高速）、南至新塍塘、北至环秀路移植片林；六标：杭州塘与北郊河东岸绿道（东至昌盛路、北至春晓公园） 殷秀路洪高路绿道（南至秀清港南段、西至秀清港北段）。</w:t>
      </w:r>
    </w:p>
    <w:p>
      <w:pPr>
        <w:pStyle w:val="48"/>
        <w:numPr>
          <w:ilvl w:val="0"/>
          <w:numId w:val="0"/>
        </w:numPr>
        <w:ind w:left="388" w:leftChars="0"/>
        <w:rPr>
          <w:rFonts w:hint="eastAsia" w:ascii="宋体" w:hAnsi="宋体" w:eastAsia="宋体" w:cs="宋体"/>
          <w:b/>
          <w:color w:val="auto"/>
          <w:sz w:val="18"/>
          <w:szCs w:val="18"/>
          <w:highlight w:val="none"/>
        </w:rPr>
      </w:pPr>
      <w:r>
        <w:rPr>
          <w:rFonts w:hint="eastAsia" w:hAnsi="宋体" w:eastAsia="宋体" w:cs="宋体"/>
          <w:b/>
          <w:color w:val="auto"/>
          <w:sz w:val="18"/>
          <w:szCs w:val="18"/>
          <w:highlight w:val="none"/>
          <w:lang w:eastAsia="zh-CN"/>
        </w:rPr>
        <w:t>二、技术</w:t>
      </w:r>
      <w:r>
        <w:rPr>
          <w:rFonts w:hint="eastAsia" w:ascii="宋体" w:hAnsi="宋体" w:eastAsia="宋体" w:cs="宋体"/>
          <w:b/>
          <w:color w:val="auto"/>
          <w:sz w:val="18"/>
          <w:szCs w:val="18"/>
          <w:highlight w:val="none"/>
        </w:rPr>
        <w:t>条款</w:t>
      </w:r>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9" w:name="_Toc25899"/>
      <w:bookmarkStart w:id="10" w:name="_Toc29724"/>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养护服务清单</w:t>
      </w:r>
      <w:r>
        <w:rPr>
          <w:rFonts w:hint="default" w:ascii="宋体" w:hAnsi="宋体" w:eastAsia="宋体" w:cs="宋体"/>
          <w:bCs/>
          <w:color w:val="auto"/>
          <w:sz w:val="18"/>
          <w:szCs w:val="18"/>
          <w:highlight w:val="none"/>
          <w:lang w:val="en-US" w:eastAsia="zh-CN"/>
        </w:rPr>
        <w:t>中只描述了完成本分项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应有的主要工作内容，但投标人填报的</w:t>
      </w:r>
      <w:r>
        <w:rPr>
          <w:rFonts w:hint="eastAsia" w:hAnsi="宋体" w:cs="宋体"/>
          <w:bCs/>
          <w:color w:val="auto"/>
          <w:sz w:val="18"/>
          <w:szCs w:val="18"/>
          <w:highlight w:val="none"/>
          <w:lang w:val="en-US" w:eastAsia="zh-CN"/>
        </w:rPr>
        <w:t>全费用</w:t>
      </w:r>
      <w:r>
        <w:rPr>
          <w:rFonts w:hint="default" w:ascii="宋体" w:hAnsi="宋体" w:eastAsia="宋体" w:cs="宋体"/>
          <w:bCs/>
          <w:color w:val="auto"/>
          <w:sz w:val="18"/>
          <w:szCs w:val="18"/>
          <w:highlight w:val="none"/>
          <w:lang w:val="en-US" w:eastAsia="zh-CN"/>
        </w:rPr>
        <w:t>综合单价应是包含了分项计量范围内的所有工作内容的价格，无论本分项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有无明确列项或表示，只要是为完成该分项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所需要做的工作和为了满足该分项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的完整性所需要做的工作，均视为该分项</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所包含的内容。投标人在填写每一项的</w:t>
      </w:r>
      <w:r>
        <w:rPr>
          <w:rFonts w:hint="eastAsia" w:hAnsi="宋体" w:cs="宋体"/>
          <w:bCs/>
          <w:color w:val="auto"/>
          <w:sz w:val="18"/>
          <w:szCs w:val="18"/>
          <w:highlight w:val="none"/>
          <w:lang w:val="en-US" w:eastAsia="zh-CN"/>
        </w:rPr>
        <w:t>全费用</w:t>
      </w:r>
      <w:r>
        <w:rPr>
          <w:rFonts w:hint="default" w:ascii="宋体" w:hAnsi="宋体" w:eastAsia="宋体" w:cs="宋体"/>
          <w:bCs/>
          <w:color w:val="auto"/>
          <w:sz w:val="18"/>
          <w:szCs w:val="18"/>
          <w:highlight w:val="none"/>
          <w:lang w:val="en-US" w:eastAsia="zh-CN"/>
        </w:rPr>
        <w:t>综合单价和合价时应结合</w:t>
      </w:r>
      <w:r>
        <w:rPr>
          <w:rFonts w:hint="eastAsia" w:hAnsi="宋体" w:cs="宋体"/>
          <w:bCs/>
          <w:color w:val="auto"/>
          <w:sz w:val="18"/>
          <w:szCs w:val="18"/>
          <w:highlight w:val="none"/>
          <w:lang w:val="en-US" w:eastAsia="zh-CN"/>
        </w:rPr>
        <w:t>所有</w:t>
      </w:r>
      <w:r>
        <w:rPr>
          <w:rFonts w:hint="default" w:ascii="宋体" w:hAnsi="宋体" w:eastAsia="宋体" w:cs="宋体"/>
          <w:bCs/>
          <w:color w:val="auto"/>
          <w:sz w:val="18"/>
          <w:szCs w:val="18"/>
          <w:highlight w:val="none"/>
          <w:lang w:val="en-US" w:eastAsia="zh-CN"/>
        </w:rPr>
        <w:t>情况进行报价。</w:t>
      </w:r>
      <w:bookmarkEnd w:id="9"/>
      <w:bookmarkEnd w:id="1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1" w:name="_Toc797"/>
      <w:bookmarkStart w:id="12" w:name="_Toc5968"/>
      <w:r>
        <w:rPr>
          <w:rFonts w:hint="eastAsia" w:hAnsi="宋体" w:cs="宋体"/>
          <w:bCs/>
          <w:color w:val="auto"/>
          <w:sz w:val="18"/>
          <w:szCs w:val="18"/>
          <w:highlight w:val="none"/>
          <w:lang w:val="en-US" w:eastAsia="zh-CN"/>
        </w:rPr>
        <w:t>2、</w:t>
      </w:r>
      <w:r>
        <w:rPr>
          <w:rFonts w:hint="default" w:ascii="宋体" w:hAnsi="宋体" w:eastAsia="宋体" w:cs="宋体"/>
          <w:bCs/>
          <w:color w:val="auto"/>
          <w:sz w:val="18"/>
          <w:szCs w:val="18"/>
          <w:highlight w:val="none"/>
          <w:lang w:val="en-US" w:eastAsia="zh-CN"/>
        </w:rPr>
        <w:t>投标人认为必须或可能发生的费用应全部考虑在报价中，未在报价中体现的视作已综合在单价中或已全部优惠。</w:t>
      </w:r>
      <w:bookmarkEnd w:id="11"/>
      <w:bookmarkEnd w:id="1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3" w:name="_Toc14036"/>
      <w:bookmarkStart w:id="14" w:name="_Toc10864"/>
      <w:r>
        <w:rPr>
          <w:rFonts w:hint="eastAsia" w:hAnsi="宋体" w:cs="宋体"/>
          <w:bCs/>
          <w:color w:val="auto"/>
          <w:sz w:val="18"/>
          <w:szCs w:val="18"/>
          <w:highlight w:val="none"/>
          <w:lang w:val="en-US" w:eastAsia="zh-CN"/>
        </w:rPr>
        <w:t>3</w:t>
      </w:r>
      <w:r>
        <w:rPr>
          <w:rFonts w:hint="default" w:ascii="宋体" w:hAnsi="宋体" w:eastAsia="宋体" w:cs="宋体"/>
          <w:bCs/>
          <w:color w:val="auto"/>
          <w:sz w:val="18"/>
          <w:szCs w:val="18"/>
          <w:highlight w:val="none"/>
          <w:lang w:val="en-US" w:eastAsia="zh-CN"/>
        </w:rPr>
        <w:t>、投标人应按清单中列出的</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项目填报单价和合价。每一项目只允许有一个报价。任何有选择的报价不予接受，投标人未填单价或合价的</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，在实施后，招标人将不予支付，并视作该项费用已包括在其它有价款的单价或合价内。</w:t>
      </w:r>
      <w:bookmarkEnd w:id="13"/>
      <w:bookmarkEnd w:id="1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5" w:name="_Toc13321"/>
      <w:bookmarkStart w:id="16" w:name="_Toc31035"/>
      <w:r>
        <w:rPr>
          <w:rFonts w:hint="eastAsia" w:hAnsi="宋体" w:cs="宋体"/>
          <w:bCs/>
          <w:color w:val="auto"/>
          <w:sz w:val="18"/>
          <w:szCs w:val="18"/>
          <w:highlight w:val="none"/>
          <w:lang w:val="en-US" w:eastAsia="zh-CN"/>
        </w:rPr>
        <w:t>4</w:t>
      </w:r>
      <w:r>
        <w:rPr>
          <w:rFonts w:hint="default" w:ascii="宋体" w:hAnsi="宋体" w:eastAsia="宋体" w:cs="宋体"/>
          <w:bCs/>
          <w:color w:val="auto"/>
          <w:sz w:val="18"/>
          <w:szCs w:val="18"/>
          <w:highlight w:val="none"/>
          <w:lang w:val="en-US" w:eastAsia="zh-CN"/>
        </w:rPr>
        <w:t>、本</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用水、用电由</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方自行解决，所需水、电、电讯线路、临时场地、临时设施搭设、临时道路由承包人完成，发包方做好配合及协调工作，所发生的一切费用由</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方自行考虑按市场价计入投标报价中。养护服务期用水、用电涨价风险因素一并考虑计入报价。</w:t>
      </w:r>
      <w:bookmarkEnd w:id="15"/>
      <w:bookmarkEnd w:id="1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7" w:name="_Toc18129"/>
      <w:bookmarkStart w:id="18" w:name="_Toc25279"/>
      <w:r>
        <w:rPr>
          <w:rFonts w:hint="eastAsia" w:hAnsi="宋体" w:cs="宋体"/>
          <w:bCs/>
          <w:color w:val="auto"/>
          <w:sz w:val="18"/>
          <w:szCs w:val="18"/>
          <w:highlight w:val="none"/>
          <w:lang w:val="en-US" w:eastAsia="zh-CN"/>
        </w:rPr>
        <w:t>5</w:t>
      </w:r>
      <w:r>
        <w:rPr>
          <w:rFonts w:hint="default" w:ascii="宋体" w:hAnsi="宋体" w:eastAsia="宋体" w:cs="宋体"/>
          <w:bCs/>
          <w:color w:val="auto"/>
          <w:sz w:val="18"/>
          <w:szCs w:val="18"/>
          <w:highlight w:val="none"/>
          <w:lang w:val="en-US" w:eastAsia="zh-CN"/>
        </w:rPr>
        <w:t>、投标人在填报价格及费用时应充分考虑国家现行技术标准、规范等要求</w:t>
      </w:r>
      <w:r>
        <w:rPr>
          <w:rFonts w:hint="eastAsia" w:hAnsi="宋体" w:cs="宋体"/>
          <w:bCs/>
          <w:color w:val="auto"/>
          <w:sz w:val="18"/>
          <w:szCs w:val="18"/>
          <w:highlight w:val="none"/>
          <w:lang w:val="en-US" w:eastAsia="zh-CN"/>
        </w:rPr>
        <w:t>并同时满足业主方要求</w:t>
      </w:r>
      <w:r>
        <w:rPr>
          <w:rFonts w:hint="default" w:ascii="宋体" w:hAnsi="宋体" w:eastAsia="宋体" w:cs="宋体"/>
          <w:bCs/>
          <w:color w:val="auto"/>
          <w:sz w:val="18"/>
          <w:szCs w:val="18"/>
          <w:highlight w:val="none"/>
          <w:lang w:val="en-US" w:eastAsia="zh-CN"/>
        </w:rPr>
        <w:t>，工程质量检测（包括所有原材料、成品、半成品进场复试）等按</w:t>
      </w:r>
      <w:r>
        <w:rPr>
          <w:rFonts w:hint="eastAsia" w:hAnsi="宋体" w:cs="宋体"/>
          <w:bCs/>
          <w:color w:val="auto"/>
          <w:sz w:val="18"/>
          <w:szCs w:val="18"/>
          <w:highlight w:val="none"/>
          <w:lang w:val="en-US" w:eastAsia="zh-CN"/>
        </w:rPr>
        <w:t>发包人</w:t>
      </w:r>
      <w:r>
        <w:rPr>
          <w:rFonts w:hint="default" w:ascii="宋体" w:hAnsi="宋体" w:eastAsia="宋体" w:cs="宋体"/>
          <w:bCs/>
          <w:color w:val="auto"/>
          <w:sz w:val="18"/>
          <w:szCs w:val="18"/>
          <w:highlight w:val="none"/>
          <w:lang w:val="en-US" w:eastAsia="zh-CN"/>
        </w:rPr>
        <w:t>、验收规范要求送检，所需一切费用计入投标报价内。</w:t>
      </w:r>
      <w:bookmarkEnd w:id="17"/>
      <w:bookmarkEnd w:id="18"/>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19" w:name="_Toc22367"/>
      <w:bookmarkStart w:id="20" w:name="_Toc30412"/>
      <w:r>
        <w:rPr>
          <w:rFonts w:hint="eastAsia" w:hAnsi="宋体" w:cs="宋体"/>
          <w:bCs/>
          <w:color w:val="auto"/>
          <w:sz w:val="18"/>
          <w:szCs w:val="18"/>
          <w:highlight w:val="none"/>
          <w:lang w:val="en-US" w:eastAsia="zh-CN"/>
        </w:rPr>
        <w:t>6</w:t>
      </w:r>
      <w:r>
        <w:rPr>
          <w:rFonts w:hint="default" w:ascii="宋体" w:hAnsi="宋体" w:eastAsia="宋体" w:cs="宋体"/>
          <w:bCs/>
          <w:color w:val="auto"/>
          <w:sz w:val="18"/>
          <w:szCs w:val="18"/>
          <w:highlight w:val="none"/>
          <w:lang w:val="en-US" w:eastAsia="zh-CN"/>
        </w:rPr>
        <w:t>、养护单位必须确保养护区域内</w:t>
      </w:r>
      <w:r>
        <w:rPr>
          <w:rFonts w:hint="eastAsia" w:hAnsi="宋体" w:cs="宋体"/>
          <w:bCs/>
          <w:color w:val="auto"/>
          <w:sz w:val="18"/>
          <w:szCs w:val="18"/>
          <w:highlight w:val="none"/>
          <w:lang w:val="en-US" w:eastAsia="zh-CN"/>
        </w:rPr>
        <w:t>保洁工作，</w:t>
      </w:r>
      <w:r>
        <w:rPr>
          <w:rFonts w:hint="default" w:ascii="宋体" w:hAnsi="宋体" w:eastAsia="宋体" w:cs="宋体"/>
          <w:bCs/>
          <w:color w:val="auto"/>
          <w:sz w:val="18"/>
          <w:szCs w:val="18"/>
          <w:highlight w:val="none"/>
          <w:lang w:val="en-US" w:eastAsia="zh-CN"/>
        </w:rPr>
        <w:t>路面、</w:t>
      </w:r>
      <w:r>
        <w:rPr>
          <w:rFonts w:hint="eastAsia" w:hAnsi="宋体" w:cs="宋体"/>
          <w:bCs/>
          <w:color w:val="auto"/>
          <w:sz w:val="18"/>
          <w:szCs w:val="18"/>
          <w:highlight w:val="none"/>
          <w:lang w:val="en-US" w:eastAsia="zh-CN"/>
        </w:rPr>
        <w:t>绿地、</w:t>
      </w:r>
      <w:r>
        <w:rPr>
          <w:rFonts w:hint="default" w:ascii="宋体" w:hAnsi="宋体" w:eastAsia="宋体" w:cs="宋体"/>
          <w:bCs/>
          <w:color w:val="auto"/>
          <w:sz w:val="18"/>
          <w:szCs w:val="18"/>
          <w:highlight w:val="none"/>
          <w:lang w:val="en-US" w:eastAsia="zh-CN"/>
        </w:rPr>
        <w:t>行道树穴清洁、干净，做到无果皮纸屑、</w:t>
      </w:r>
      <w:r>
        <w:rPr>
          <w:rFonts w:hint="eastAsia" w:hAnsi="宋体" w:cs="宋体"/>
          <w:bCs/>
          <w:color w:val="auto"/>
          <w:sz w:val="18"/>
          <w:szCs w:val="18"/>
          <w:highlight w:val="none"/>
          <w:lang w:val="en-US" w:eastAsia="zh-CN"/>
        </w:rPr>
        <w:t>无枯枝落叶、</w:t>
      </w:r>
      <w:r>
        <w:rPr>
          <w:rFonts w:hint="default" w:ascii="宋体" w:hAnsi="宋体" w:eastAsia="宋体" w:cs="宋体"/>
          <w:bCs/>
          <w:color w:val="auto"/>
          <w:sz w:val="18"/>
          <w:szCs w:val="18"/>
          <w:highlight w:val="none"/>
          <w:lang w:val="en-US" w:eastAsia="zh-CN"/>
        </w:rPr>
        <w:t>无积水积泥、无堆积杂物；对于养护期内所有苗木绿化缺损、坏死均由养护单位负责及时补种；养护区域公园、绿地内大乔木养护按照业主方要求每年至少修剪1次；行道树按要求修剪，并做到不遮挡交通信号灯、指示牌和路灯等；养护范围内小乔及花灌木养护按照业主方养护要求</w:t>
      </w:r>
      <w:r>
        <w:rPr>
          <w:rFonts w:hint="eastAsia" w:hAnsi="宋体" w:cs="宋体"/>
          <w:bCs/>
          <w:color w:val="auto"/>
          <w:sz w:val="18"/>
          <w:szCs w:val="18"/>
          <w:highlight w:val="none"/>
          <w:lang w:val="en-US" w:eastAsia="zh-CN"/>
        </w:rPr>
        <w:t>定时</w:t>
      </w:r>
      <w:r>
        <w:rPr>
          <w:rFonts w:hint="default" w:ascii="宋体" w:hAnsi="宋体" w:eastAsia="宋体" w:cs="宋体"/>
          <w:bCs/>
          <w:color w:val="auto"/>
          <w:sz w:val="18"/>
          <w:szCs w:val="18"/>
          <w:highlight w:val="none"/>
          <w:lang w:val="en-US" w:eastAsia="zh-CN"/>
        </w:rPr>
        <w:t>修剪</w:t>
      </w:r>
      <w:r>
        <w:rPr>
          <w:rFonts w:hint="eastAsia" w:hAnsi="宋体" w:cs="宋体"/>
          <w:bCs/>
          <w:color w:val="auto"/>
          <w:sz w:val="18"/>
          <w:szCs w:val="18"/>
          <w:highlight w:val="none"/>
          <w:lang w:val="en-US" w:eastAsia="zh-CN"/>
        </w:rPr>
        <w:t>，保持修剪平整度一致</w:t>
      </w:r>
      <w:r>
        <w:rPr>
          <w:rFonts w:hint="default" w:ascii="宋体" w:hAnsi="宋体" w:eastAsia="宋体" w:cs="宋体"/>
          <w:bCs/>
          <w:color w:val="auto"/>
          <w:sz w:val="18"/>
          <w:szCs w:val="18"/>
          <w:highlight w:val="none"/>
          <w:lang w:val="en-US" w:eastAsia="zh-CN"/>
        </w:rPr>
        <w:t>；养护区域内若出现违章搭建及无证占绿、乱种植等现象，养护单位必须当场予以制止，并清理干净、恢复原样，相关一切工作均由养护单位负责处理。投标单位须将以上涉及的一切费用等综合考虑，并计入报价。</w:t>
      </w:r>
      <w:bookmarkEnd w:id="19"/>
      <w:bookmarkEnd w:id="2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1" w:name="_Toc21171"/>
      <w:bookmarkStart w:id="22" w:name="_Toc4620"/>
      <w:r>
        <w:rPr>
          <w:rFonts w:hint="eastAsia" w:hAnsi="宋体" w:cs="宋体"/>
          <w:bCs/>
          <w:color w:val="auto"/>
          <w:sz w:val="18"/>
          <w:szCs w:val="18"/>
          <w:highlight w:val="none"/>
          <w:lang w:val="en-US" w:eastAsia="zh-CN"/>
        </w:rPr>
        <w:t>7</w:t>
      </w:r>
      <w:r>
        <w:rPr>
          <w:rFonts w:hint="default" w:ascii="宋体" w:hAnsi="宋体" w:eastAsia="宋体" w:cs="宋体"/>
          <w:bCs/>
          <w:color w:val="auto"/>
          <w:sz w:val="18"/>
          <w:szCs w:val="18"/>
          <w:highlight w:val="none"/>
          <w:lang w:val="en-US" w:eastAsia="zh-CN"/>
        </w:rPr>
        <w:t>、若养护服务过程中遇到与其他项目需交叉</w:t>
      </w:r>
      <w:r>
        <w:rPr>
          <w:rFonts w:hint="eastAsia" w:hAnsi="宋体" w:cs="宋体"/>
          <w:bCs/>
          <w:color w:val="auto"/>
          <w:sz w:val="18"/>
          <w:szCs w:val="18"/>
          <w:highlight w:val="none"/>
          <w:lang w:val="en-US" w:eastAsia="zh-CN"/>
        </w:rPr>
        <w:t>实施</w:t>
      </w:r>
      <w:r>
        <w:rPr>
          <w:rFonts w:hint="default" w:ascii="宋体" w:hAnsi="宋体" w:eastAsia="宋体" w:cs="宋体"/>
          <w:bCs/>
          <w:color w:val="auto"/>
          <w:sz w:val="18"/>
          <w:szCs w:val="18"/>
          <w:highlight w:val="none"/>
          <w:lang w:val="en-US" w:eastAsia="zh-CN"/>
        </w:rPr>
        <w:t>的，由承包人自行协调处理，投标报价时综合考虑该因素。</w:t>
      </w:r>
      <w:bookmarkEnd w:id="21"/>
      <w:bookmarkEnd w:id="2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3" w:name="_Toc20211"/>
      <w:bookmarkStart w:id="24" w:name="_Toc21058"/>
      <w:r>
        <w:rPr>
          <w:rFonts w:hint="eastAsia" w:hAnsi="宋体" w:cs="宋体"/>
          <w:bCs/>
          <w:color w:val="auto"/>
          <w:sz w:val="18"/>
          <w:szCs w:val="18"/>
          <w:highlight w:val="none"/>
          <w:lang w:val="en-US" w:eastAsia="zh-CN"/>
        </w:rPr>
        <w:t>8</w:t>
      </w:r>
      <w:r>
        <w:rPr>
          <w:rFonts w:hint="default" w:ascii="宋体" w:hAnsi="宋体" w:eastAsia="宋体" w:cs="宋体"/>
          <w:bCs/>
          <w:color w:val="auto"/>
          <w:sz w:val="18"/>
          <w:szCs w:val="18"/>
          <w:highlight w:val="none"/>
          <w:lang w:val="en-US" w:eastAsia="zh-CN"/>
        </w:rPr>
        <w:t>、凡养护服务过程中涉及需要坐标点、水准点定位的，投标单位须在投标报价中综合考虑。</w:t>
      </w:r>
      <w:bookmarkEnd w:id="23"/>
      <w:bookmarkEnd w:id="2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5" w:name="_Toc28650"/>
      <w:bookmarkStart w:id="26" w:name="_Toc21292"/>
      <w:r>
        <w:rPr>
          <w:rFonts w:hint="eastAsia" w:hAnsi="宋体" w:cs="宋体"/>
          <w:bCs/>
          <w:color w:val="auto"/>
          <w:sz w:val="18"/>
          <w:szCs w:val="18"/>
          <w:highlight w:val="none"/>
          <w:lang w:val="en-US" w:eastAsia="zh-CN"/>
        </w:rPr>
        <w:t>9</w:t>
      </w:r>
      <w:r>
        <w:rPr>
          <w:rFonts w:hint="default" w:ascii="宋体" w:hAnsi="宋体" w:eastAsia="宋体" w:cs="宋体"/>
          <w:bCs/>
          <w:color w:val="auto"/>
          <w:sz w:val="18"/>
          <w:szCs w:val="18"/>
          <w:highlight w:val="none"/>
          <w:lang w:val="en-US" w:eastAsia="zh-CN"/>
        </w:rPr>
        <w:t>、养护工作必须精细，养护期内所有苗木绿化缺损，坏死均由中标方负责及时补种，涉及的一切费用已包含在投标报价中。</w:t>
      </w:r>
      <w:bookmarkEnd w:id="25"/>
      <w:bookmarkEnd w:id="2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7" w:name="_Toc27278"/>
      <w:bookmarkStart w:id="28" w:name="_Toc25983"/>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0</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按省、市现行规范养护标准（包括但不限于以下内容）</w:t>
      </w:r>
      <w:r>
        <w:rPr>
          <w:rFonts w:hint="default" w:ascii="宋体" w:hAnsi="宋体" w:eastAsia="宋体" w:cs="宋体"/>
          <w:bCs/>
          <w:color w:val="auto"/>
          <w:sz w:val="18"/>
          <w:szCs w:val="18"/>
          <w:highlight w:val="none"/>
          <w:lang w:val="en-US" w:eastAsia="zh-CN"/>
        </w:rPr>
        <w:t>所有苗木及花草在保活养护期内：①保证苗木、花草成活率100%，无病株、无死株；②发现病株、死株及时按原标准更换；③绿化区域内无明显杂草，发现杂草及时清除；④做好树木防台、防旱、防寒、防虫、防雪、除雪等工作；⑤保持绿化草坪的纯度，及时修剪并长期保持合理的高度</w:t>
      </w:r>
      <w:r>
        <w:rPr>
          <w:rFonts w:hint="eastAsia" w:hAnsi="宋体" w:cs="宋体"/>
          <w:bCs/>
          <w:color w:val="auto"/>
          <w:sz w:val="18"/>
          <w:szCs w:val="18"/>
          <w:highlight w:val="none"/>
          <w:lang w:val="en-US" w:eastAsia="zh-CN"/>
        </w:rPr>
        <w:t>；⑥对养护区域内的柳絮和杨絮进行治理（按嘉兴市园林市政管理服务中心《关于对杨柳树飘絮开展治理工作的函》执行</w:t>
      </w:r>
      <w:r>
        <w:rPr>
          <w:rFonts w:hint="default" w:ascii="宋体" w:hAnsi="宋体" w:eastAsia="宋体" w:cs="宋体"/>
          <w:bCs/>
          <w:color w:val="auto"/>
          <w:sz w:val="18"/>
          <w:szCs w:val="18"/>
          <w:highlight w:val="none"/>
          <w:lang w:val="en-US" w:eastAsia="zh-CN"/>
        </w:rPr>
        <w:t>。</w:t>
      </w:r>
      <w:bookmarkEnd w:id="27"/>
      <w:bookmarkEnd w:id="28"/>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29" w:name="_Toc17915"/>
      <w:bookmarkStart w:id="30" w:name="_Toc8774"/>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、养护服务期间，应确保</w:t>
      </w:r>
      <w:r>
        <w:rPr>
          <w:rFonts w:hint="eastAsia" w:hAnsi="宋体" w:cs="宋体"/>
          <w:bCs/>
          <w:color w:val="auto"/>
          <w:sz w:val="18"/>
          <w:szCs w:val="18"/>
          <w:highlight w:val="none"/>
          <w:lang w:val="en-US" w:eastAsia="zh-CN"/>
        </w:rPr>
        <w:t>养护服务</w:t>
      </w:r>
      <w:r>
        <w:rPr>
          <w:rFonts w:hint="default" w:ascii="宋体" w:hAnsi="宋体" w:eastAsia="宋体" w:cs="宋体"/>
          <w:bCs/>
          <w:color w:val="auto"/>
          <w:sz w:val="18"/>
          <w:szCs w:val="18"/>
          <w:highlight w:val="none"/>
          <w:lang w:val="en-US" w:eastAsia="zh-CN"/>
        </w:rPr>
        <w:t>人员和通行人员的安全，道路养护服务范围要求作安全隔离处理，现场养护服务作业人员要求穿带反光安全工作服，设置必要的道路通行疏导指挥人员、必要的通行导示、导向牌等，安排专人清理道路上的抛洒物，费用包含在投标报价内。</w:t>
      </w:r>
      <w:bookmarkEnd w:id="29"/>
      <w:bookmarkEnd w:id="3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1" w:name="_Toc29477"/>
      <w:bookmarkStart w:id="32" w:name="_Toc14304"/>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2</w:t>
      </w:r>
      <w:r>
        <w:rPr>
          <w:rFonts w:hint="default" w:ascii="宋体" w:hAnsi="宋体" w:eastAsia="宋体" w:cs="宋体"/>
          <w:bCs/>
          <w:color w:val="auto"/>
          <w:sz w:val="18"/>
          <w:szCs w:val="18"/>
          <w:highlight w:val="none"/>
          <w:lang w:val="en-US" w:eastAsia="zh-CN"/>
        </w:rPr>
        <w:t>、本养护服务所有材料、设备、配件均由承包人采购，其质量必须符合</w:t>
      </w:r>
      <w:r>
        <w:rPr>
          <w:rFonts w:hint="eastAsia" w:hAnsi="宋体" w:cs="宋体"/>
          <w:bCs/>
          <w:color w:val="auto"/>
          <w:sz w:val="18"/>
          <w:szCs w:val="18"/>
          <w:highlight w:val="none"/>
          <w:lang w:val="en-US" w:eastAsia="zh-CN"/>
        </w:rPr>
        <w:t>发包人和验收</w:t>
      </w:r>
      <w:r>
        <w:rPr>
          <w:rFonts w:hint="default" w:ascii="宋体" w:hAnsi="宋体" w:eastAsia="宋体" w:cs="宋体"/>
          <w:bCs/>
          <w:color w:val="auto"/>
          <w:sz w:val="18"/>
          <w:szCs w:val="18"/>
          <w:highlight w:val="none"/>
          <w:lang w:val="en-US" w:eastAsia="zh-CN"/>
        </w:rPr>
        <w:t>规范要求，进场前必须报发包人审批，未经批准的材料不得进场</w:t>
      </w:r>
      <w:r>
        <w:rPr>
          <w:rFonts w:hint="eastAsia" w:hAnsi="宋体" w:cs="宋体"/>
          <w:bCs/>
          <w:color w:val="auto"/>
          <w:sz w:val="18"/>
          <w:szCs w:val="18"/>
          <w:highlight w:val="none"/>
          <w:lang w:val="en-US" w:eastAsia="zh-CN"/>
        </w:rPr>
        <w:t>实施</w:t>
      </w:r>
      <w:r>
        <w:rPr>
          <w:rFonts w:hint="default" w:ascii="宋体" w:hAnsi="宋体" w:eastAsia="宋体" w:cs="宋体"/>
          <w:bCs/>
          <w:color w:val="auto"/>
          <w:sz w:val="18"/>
          <w:szCs w:val="18"/>
          <w:highlight w:val="none"/>
          <w:lang w:val="en-US" w:eastAsia="zh-CN"/>
        </w:rPr>
        <w:t>，否则一切损失由承包人负责。</w:t>
      </w:r>
      <w:bookmarkEnd w:id="31"/>
      <w:bookmarkEnd w:id="3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3" w:name="_Toc14890"/>
      <w:bookmarkStart w:id="34" w:name="_Toc23985"/>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3</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范围内的道路、绿化修复、移植复原、除草、场地平整、部分区块垃圾清运出场及土方造坡整理所发生的费用由承包方承担，所需费用计入报价内。承包方</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中应做好绿地周边与已建道路、绿道内园建设施的保护，因</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造成损坏的，均要求无条件原样恢复。</w:t>
      </w:r>
      <w:bookmarkEnd w:id="33"/>
      <w:bookmarkEnd w:id="3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5" w:name="_Toc14204"/>
      <w:bookmarkStart w:id="36" w:name="_Toc6413"/>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4</w:t>
      </w:r>
      <w:r>
        <w:rPr>
          <w:rFonts w:hint="default" w:ascii="宋体" w:hAnsi="宋体" w:eastAsia="宋体" w:cs="宋体"/>
          <w:bCs/>
          <w:color w:val="auto"/>
          <w:sz w:val="18"/>
          <w:szCs w:val="18"/>
          <w:highlight w:val="none"/>
          <w:lang w:val="en-US" w:eastAsia="zh-CN"/>
        </w:rPr>
        <w:t>、养护范围内的生长良好的暖季型草坪入冬尚未枯黄前，追播寿命短的冷季型草种子，使冷、暖两类植物的绿色期在同一块草坪地块内先后衔接，基本实现草坪的周年常绿。</w:t>
      </w:r>
      <w:bookmarkEnd w:id="35"/>
      <w:bookmarkEnd w:id="3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7" w:name="_Toc11159"/>
      <w:bookmarkStart w:id="38" w:name="_Toc32382"/>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5</w:t>
      </w:r>
      <w:r>
        <w:rPr>
          <w:rFonts w:hint="default" w:ascii="宋体" w:hAnsi="宋体" w:eastAsia="宋体" w:cs="宋体"/>
          <w:bCs/>
          <w:color w:val="auto"/>
          <w:sz w:val="18"/>
          <w:szCs w:val="18"/>
          <w:highlight w:val="none"/>
          <w:lang w:val="en-US" w:eastAsia="zh-CN"/>
        </w:rPr>
        <w:t>、投标人应充分考虑养护服务进出场、大型机械进出场的费用和安全防护费用，包括市政、市容、环保、交通、治安等，计入</w:t>
      </w:r>
      <w:r>
        <w:rPr>
          <w:rFonts w:hint="eastAsia" w:hAnsi="宋体" w:cs="宋体"/>
          <w:bCs/>
          <w:color w:val="auto"/>
          <w:sz w:val="18"/>
          <w:szCs w:val="18"/>
          <w:highlight w:val="none"/>
          <w:lang w:val="en-US" w:eastAsia="zh-CN"/>
        </w:rPr>
        <w:t>投标</w:t>
      </w:r>
      <w:r>
        <w:rPr>
          <w:rFonts w:hint="default" w:ascii="宋体" w:hAnsi="宋体" w:eastAsia="宋体" w:cs="宋体"/>
          <w:bCs/>
          <w:color w:val="auto"/>
          <w:sz w:val="18"/>
          <w:szCs w:val="18"/>
          <w:highlight w:val="none"/>
          <w:lang w:val="en-US" w:eastAsia="zh-CN"/>
        </w:rPr>
        <w:t>费用中，今后一概不作调整。</w:t>
      </w:r>
      <w:bookmarkEnd w:id="37"/>
      <w:bookmarkEnd w:id="38"/>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39" w:name="_Toc396891429"/>
      <w:bookmarkStart w:id="40" w:name="_Toc8575"/>
      <w:bookmarkStart w:id="41" w:name="_Toc28111"/>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6</w:t>
      </w:r>
      <w:r>
        <w:rPr>
          <w:rFonts w:hint="default" w:ascii="宋体" w:hAnsi="宋体" w:eastAsia="宋体" w:cs="宋体"/>
          <w:bCs/>
          <w:color w:val="auto"/>
          <w:sz w:val="18"/>
          <w:szCs w:val="18"/>
          <w:highlight w:val="none"/>
          <w:lang w:val="en-US" w:eastAsia="zh-CN"/>
        </w:rPr>
        <w:t>、</w:t>
      </w:r>
      <w:bookmarkEnd w:id="39"/>
      <w:r>
        <w:rPr>
          <w:rFonts w:hint="default" w:ascii="宋体" w:hAnsi="宋体" w:eastAsia="宋体" w:cs="宋体"/>
          <w:bCs/>
          <w:color w:val="auto"/>
          <w:sz w:val="18"/>
          <w:szCs w:val="18"/>
          <w:highlight w:val="none"/>
          <w:lang w:val="en-US" w:eastAsia="zh-CN"/>
        </w:rPr>
        <w:t>招标范围内的道路、绿化带等全覆盖区域，按时按点做好清洁、保洁巡查等工作。</w:t>
      </w:r>
      <w:bookmarkEnd w:id="40"/>
      <w:bookmarkEnd w:id="41"/>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42" w:name="_Toc17872"/>
      <w:bookmarkStart w:id="43" w:name="_Toc20061"/>
      <w:r>
        <w:rPr>
          <w:rFonts w:hint="default" w:ascii="宋体" w:hAnsi="宋体" w:eastAsia="宋体" w:cs="宋体"/>
          <w:bCs/>
          <w:color w:val="auto"/>
          <w:sz w:val="18"/>
          <w:szCs w:val="18"/>
          <w:highlight w:val="none"/>
          <w:lang w:val="en-US" w:eastAsia="zh-CN"/>
        </w:rPr>
        <w:t>1</w:t>
      </w:r>
      <w:r>
        <w:rPr>
          <w:rFonts w:hint="eastAsia" w:hAnsi="宋体" w:cs="宋体"/>
          <w:bCs/>
          <w:color w:val="auto"/>
          <w:sz w:val="18"/>
          <w:szCs w:val="18"/>
          <w:highlight w:val="none"/>
          <w:lang w:val="en-US" w:eastAsia="zh-CN"/>
        </w:rPr>
        <w:t>7</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期间引起的扰民（包括：行车、噪音、污染、损坏居民物品等影响民众生活的因素）由此产生的费用由各单位在投标报价时综合考虑后计入报价内。</w:t>
      </w:r>
      <w:bookmarkEnd w:id="42"/>
      <w:bookmarkEnd w:id="43"/>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44" w:name="_Toc4271"/>
      <w:bookmarkStart w:id="45" w:name="_Toc14558"/>
      <w:r>
        <w:rPr>
          <w:rFonts w:hint="eastAsia" w:hAnsi="宋体" w:cs="宋体"/>
          <w:bCs/>
          <w:color w:val="auto"/>
          <w:sz w:val="18"/>
          <w:szCs w:val="18"/>
          <w:highlight w:val="none"/>
          <w:lang w:val="en-US" w:eastAsia="zh-CN"/>
        </w:rPr>
        <w:t>18</w:t>
      </w:r>
      <w:r>
        <w:rPr>
          <w:rFonts w:hint="default" w:ascii="宋体" w:hAnsi="宋体" w:eastAsia="宋体" w:cs="宋体"/>
          <w:bCs/>
          <w:color w:val="auto"/>
          <w:sz w:val="18"/>
          <w:szCs w:val="18"/>
          <w:highlight w:val="none"/>
          <w:lang w:val="en-US" w:eastAsia="zh-CN"/>
        </w:rPr>
        <w:t>、承包人在</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中应注意对</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区域内原有设施及各类公用管线、井盖的保护保护，今后因承包人</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原因造成损坏的，承包人应及时修复并承担一切费用；如不及时修复的，招标人将请专业单位进行修复,费用从承包人</w:t>
      </w:r>
      <w:r>
        <w:rPr>
          <w:rFonts w:hint="eastAsia" w:hAnsi="宋体" w:cs="宋体"/>
          <w:bCs/>
          <w:color w:val="auto"/>
          <w:sz w:val="18"/>
          <w:szCs w:val="18"/>
          <w:highlight w:val="none"/>
          <w:lang w:val="en-US" w:eastAsia="zh-CN"/>
        </w:rPr>
        <w:t>合同</w:t>
      </w:r>
      <w:r>
        <w:rPr>
          <w:rFonts w:hint="default" w:ascii="宋体" w:hAnsi="宋体" w:eastAsia="宋体" w:cs="宋体"/>
          <w:bCs/>
          <w:color w:val="auto"/>
          <w:sz w:val="18"/>
          <w:szCs w:val="18"/>
          <w:highlight w:val="none"/>
          <w:lang w:val="en-US" w:eastAsia="zh-CN"/>
        </w:rPr>
        <w:t>款中直接扣除。</w:t>
      </w:r>
      <w:bookmarkEnd w:id="44"/>
      <w:bookmarkEnd w:id="45"/>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46" w:name="_Toc27339"/>
      <w:bookmarkStart w:id="47" w:name="_Toc19920"/>
      <w:r>
        <w:rPr>
          <w:rFonts w:hint="eastAsia" w:hAnsi="宋体" w:cs="宋体"/>
          <w:bCs/>
          <w:color w:val="auto"/>
          <w:sz w:val="18"/>
          <w:szCs w:val="18"/>
          <w:highlight w:val="none"/>
          <w:lang w:val="en-US" w:eastAsia="zh-CN"/>
        </w:rPr>
        <w:t>19</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区域内绿化等修补及现有苗木（含行道树）迁移等工作由投标人承担，所需费用由投标人应充分考虑后计入报价内。</w:t>
      </w:r>
      <w:bookmarkEnd w:id="46"/>
      <w:bookmarkEnd w:id="47"/>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48" w:name="_Toc17857"/>
      <w:bookmarkStart w:id="49" w:name="_Toc26319"/>
      <w:r>
        <w:rPr>
          <w:rFonts w:hint="default"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0</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养护实施</w:t>
      </w:r>
      <w:r>
        <w:rPr>
          <w:rFonts w:hint="default" w:ascii="宋体" w:hAnsi="宋体" w:eastAsia="宋体" w:cs="宋体"/>
          <w:bCs/>
          <w:color w:val="auto"/>
          <w:sz w:val="18"/>
          <w:szCs w:val="18"/>
          <w:highlight w:val="none"/>
          <w:lang w:val="en-US" w:eastAsia="zh-CN"/>
        </w:rPr>
        <w:t>车辆必须按项目所在地综合行政执法部门的规定办理通行证，缴纳相关保证金，并在规定时间规定线路内通行，投标单位在报价中考虑相关的费用。</w:t>
      </w:r>
      <w:bookmarkEnd w:id="48"/>
      <w:bookmarkEnd w:id="49"/>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0" w:name="_Toc27826"/>
      <w:bookmarkStart w:id="51" w:name="_Toc21696"/>
      <w:r>
        <w:rPr>
          <w:rFonts w:hint="default"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1</w:t>
      </w:r>
      <w:r>
        <w:rPr>
          <w:rFonts w:hint="default" w:ascii="宋体" w:hAnsi="宋体" w:eastAsia="宋体" w:cs="宋体"/>
          <w:bCs/>
          <w:color w:val="auto"/>
          <w:sz w:val="18"/>
          <w:szCs w:val="18"/>
          <w:highlight w:val="none"/>
          <w:lang w:val="en-US" w:eastAsia="zh-CN"/>
        </w:rPr>
        <w:t>、</w:t>
      </w:r>
      <w:r>
        <w:rPr>
          <w:rFonts w:hint="eastAsia" w:hAnsi="宋体" w:cs="宋体"/>
          <w:bCs/>
          <w:color w:val="auto"/>
          <w:sz w:val="18"/>
          <w:szCs w:val="18"/>
          <w:highlight w:val="none"/>
          <w:lang w:val="en-US" w:eastAsia="zh-CN"/>
        </w:rPr>
        <w:t>若实施期间发生大型传染性疾病的，</w:t>
      </w:r>
      <w:r>
        <w:rPr>
          <w:rFonts w:hint="default" w:ascii="宋体" w:hAnsi="宋体" w:eastAsia="宋体" w:cs="宋体"/>
          <w:bCs/>
          <w:color w:val="auto"/>
          <w:sz w:val="18"/>
          <w:szCs w:val="18"/>
          <w:highlight w:val="none"/>
          <w:lang w:val="en-US" w:eastAsia="zh-CN"/>
        </w:rPr>
        <w:t>承包人</w:t>
      </w:r>
      <w:r>
        <w:rPr>
          <w:rFonts w:hint="eastAsia" w:hAnsi="宋体" w:cs="宋体"/>
          <w:bCs/>
          <w:color w:val="auto"/>
          <w:sz w:val="18"/>
          <w:szCs w:val="18"/>
          <w:highlight w:val="none"/>
          <w:lang w:val="en-US" w:eastAsia="zh-CN"/>
        </w:rPr>
        <w:t>须按</w:t>
      </w:r>
      <w:r>
        <w:rPr>
          <w:rFonts w:hint="default" w:ascii="宋体" w:hAnsi="宋体" w:eastAsia="宋体" w:cs="宋体"/>
          <w:bCs/>
          <w:color w:val="auto"/>
          <w:sz w:val="18"/>
          <w:szCs w:val="18"/>
          <w:highlight w:val="none"/>
          <w:lang w:val="en-US" w:eastAsia="zh-CN"/>
        </w:rPr>
        <w:t>相关文件实施</w:t>
      </w:r>
      <w:r>
        <w:rPr>
          <w:rFonts w:hint="eastAsia" w:hAnsi="宋体" w:cs="宋体"/>
          <w:bCs/>
          <w:color w:val="auto"/>
          <w:sz w:val="18"/>
          <w:szCs w:val="18"/>
          <w:highlight w:val="none"/>
          <w:lang w:val="en-US" w:eastAsia="zh-CN"/>
        </w:rPr>
        <w:t>养护</w:t>
      </w:r>
      <w:r>
        <w:rPr>
          <w:rFonts w:hint="default" w:ascii="宋体" w:hAnsi="宋体" w:eastAsia="宋体" w:cs="宋体"/>
          <w:bCs/>
          <w:color w:val="auto"/>
          <w:sz w:val="18"/>
          <w:szCs w:val="18"/>
          <w:highlight w:val="none"/>
          <w:lang w:val="en-US" w:eastAsia="zh-CN"/>
        </w:rPr>
        <w:t>，该部分费用已包含在投标报价中，不再另行支付。</w:t>
      </w:r>
      <w:bookmarkEnd w:id="50"/>
      <w:bookmarkEnd w:id="51"/>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lang w:val="en-US" w:eastAsia="zh-CN"/>
        </w:rPr>
      </w:pPr>
      <w:bookmarkStart w:id="52" w:name="_Toc13386"/>
      <w:bookmarkStart w:id="53" w:name="_Toc24270"/>
      <w:r>
        <w:rPr>
          <w:rFonts w:hint="eastAsia" w:hAnsi="宋体" w:cs="宋体"/>
          <w:bCs/>
          <w:color w:val="auto"/>
          <w:sz w:val="18"/>
          <w:szCs w:val="18"/>
          <w:highlight w:val="none"/>
          <w:lang w:val="en-US" w:eastAsia="zh-CN"/>
        </w:rPr>
        <w:t>22</w:t>
      </w:r>
      <w:r>
        <w:rPr>
          <w:rFonts w:hint="eastAsia" w:ascii="宋体" w:hAnsi="宋体" w:eastAsia="宋体" w:cs="宋体"/>
          <w:bCs/>
          <w:color w:val="auto"/>
          <w:sz w:val="18"/>
          <w:szCs w:val="18"/>
          <w:highlight w:val="none"/>
          <w:lang w:val="en-US" w:eastAsia="zh-CN"/>
        </w:rPr>
        <w:t>、养护单位须按月足额发放人员工资，不得存在苛扣、漏发情况，否则按考核办法扣分罚款。</w:t>
      </w:r>
      <w:bookmarkEnd w:id="52"/>
      <w:bookmarkEnd w:id="53"/>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lang w:val="en-US" w:eastAsia="zh-CN"/>
        </w:rPr>
      </w:pPr>
      <w:bookmarkStart w:id="54" w:name="_Toc2291"/>
      <w:r>
        <w:rPr>
          <w:rFonts w:hint="eastAsia"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3</w:t>
      </w:r>
      <w:r>
        <w:rPr>
          <w:rFonts w:hint="eastAsia" w:ascii="宋体" w:hAnsi="宋体" w:eastAsia="宋体" w:cs="宋体"/>
          <w:bCs/>
          <w:color w:val="auto"/>
          <w:sz w:val="18"/>
          <w:szCs w:val="18"/>
          <w:highlight w:val="none"/>
          <w:lang w:val="en-US" w:eastAsia="zh-CN"/>
        </w:rPr>
        <w:t>、与本项目养护相关的器械自行配备，费用包含在投标总价中。</w:t>
      </w:r>
      <w:bookmarkEnd w:id="54"/>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5" w:name="_Toc9672"/>
      <w:r>
        <w:rPr>
          <w:rFonts w:hint="eastAsia" w:hAnsi="宋体" w:cs="宋体"/>
          <w:bCs/>
          <w:color w:val="auto"/>
          <w:sz w:val="18"/>
          <w:szCs w:val="18"/>
          <w:highlight w:val="none"/>
          <w:lang w:val="en-US" w:eastAsia="zh-CN"/>
        </w:rPr>
        <w:t>24、</w:t>
      </w:r>
      <w:r>
        <w:rPr>
          <w:rFonts w:hint="default" w:ascii="宋体" w:hAnsi="宋体" w:eastAsia="宋体" w:cs="宋体"/>
          <w:bCs/>
          <w:color w:val="auto"/>
          <w:sz w:val="18"/>
          <w:szCs w:val="18"/>
          <w:highlight w:val="none"/>
          <w:lang w:val="en-US" w:eastAsia="zh-CN"/>
        </w:rPr>
        <w:t>人员配备要求</w:t>
      </w:r>
      <w:bookmarkEnd w:id="55"/>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6" w:name="_Toc24818"/>
      <w:r>
        <w:rPr>
          <w:rFonts w:hint="eastAsia" w:hAnsi="宋体" w:cs="宋体"/>
          <w:bCs/>
          <w:color w:val="auto"/>
          <w:sz w:val="18"/>
          <w:szCs w:val="18"/>
          <w:highlight w:val="none"/>
          <w:lang w:val="en-US" w:eastAsia="zh-CN"/>
        </w:rPr>
        <w:t>25.</w:t>
      </w:r>
      <w:r>
        <w:rPr>
          <w:rFonts w:hint="default" w:ascii="宋体" w:hAnsi="宋体" w:eastAsia="宋体" w:cs="宋体"/>
          <w:bCs/>
          <w:color w:val="auto"/>
          <w:sz w:val="18"/>
          <w:szCs w:val="18"/>
          <w:highlight w:val="none"/>
          <w:lang w:val="en-US" w:eastAsia="zh-CN"/>
        </w:rPr>
        <w:t>1、本项目人员配备采用定量定员的模式，乙方必须按要求配足。</w:t>
      </w:r>
      <w:bookmarkEnd w:id="56"/>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7" w:name="_Toc4134"/>
      <w:r>
        <w:rPr>
          <w:rFonts w:hint="eastAsia" w:ascii="宋体" w:hAnsi="宋体" w:eastAsia="宋体" w:cs="宋体"/>
          <w:bCs/>
          <w:color w:val="auto"/>
          <w:sz w:val="18"/>
          <w:szCs w:val="18"/>
          <w:highlight w:val="none"/>
          <w:lang w:val="en-US" w:eastAsia="zh-CN"/>
        </w:rPr>
        <w:t>25.</w:t>
      </w:r>
      <w:r>
        <w:rPr>
          <w:rFonts w:hint="default"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人员要求：一标段养护、巡查及保洁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35</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（其中保洁人员不少于12人、巡查不少于2人）；二标段养护、巡查及保洁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49</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（其中保洁人员不少于16人、巡查不少于3人）；三标段养护、巡查及保洁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42</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（其中保洁人员不少于10人、巡查不少于2人）；</w:t>
      </w:r>
      <w:r>
        <w:rPr>
          <w:rFonts w:hint="eastAsia" w:hAnsi="宋体" w:cs="宋体"/>
          <w:b/>
          <w:bCs w:val="0"/>
          <w:color w:val="auto"/>
          <w:sz w:val="18"/>
          <w:szCs w:val="18"/>
          <w:highlight w:val="none"/>
          <w:lang w:val="en-US" w:eastAsia="zh-CN"/>
        </w:rPr>
        <w:t>四标段养护、巡查</w:t>
      </w:r>
      <w:r>
        <w:rPr>
          <w:rFonts w:hint="eastAsia" w:ascii="宋体" w:hAnsi="宋体" w:eastAsia="宋体" w:cs="宋体"/>
          <w:b/>
          <w:bCs w:val="0"/>
          <w:color w:val="auto"/>
          <w:sz w:val="18"/>
          <w:szCs w:val="18"/>
          <w:highlight w:val="none"/>
          <w:lang w:val="en-US" w:eastAsia="zh-CN"/>
        </w:rPr>
        <w:t>人员每日不少于</w:t>
      </w:r>
      <w:r>
        <w:rPr>
          <w:rFonts w:hint="eastAsia" w:hAnsi="宋体" w:cs="宋体"/>
          <w:b/>
          <w:bCs w:val="0"/>
          <w:color w:val="auto"/>
          <w:sz w:val="18"/>
          <w:szCs w:val="18"/>
          <w:highlight w:val="none"/>
          <w:lang w:val="en-US" w:eastAsia="zh-CN"/>
        </w:rPr>
        <w:t>18</w:t>
      </w:r>
      <w:r>
        <w:rPr>
          <w:rFonts w:hint="eastAsia" w:ascii="宋体" w:hAnsi="宋体" w:eastAsia="宋体" w:cs="宋体"/>
          <w:b/>
          <w:bCs w:val="0"/>
          <w:color w:val="auto"/>
          <w:sz w:val="18"/>
          <w:szCs w:val="18"/>
          <w:highlight w:val="none"/>
          <w:lang w:val="en-US" w:eastAsia="zh-CN"/>
        </w:rPr>
        <w:t>人</w:t>
      </w:r>
      <w:r>
        <w:rPr>
          <w:rFonts w:hint="eastAsia" w:hAnsi="宋体" w:cs="宋体"/>
          <w:b/>
          <w:bCs w:val="0"/>
          <w:color w:val="auto"/>
          <w:sz w:val="18"/>
          <w:szCs w:val="18"/>
          <w:highlight w:val="none"/>
          <w:lang w:val="en-US" w:eastAsia="zh-CN"/>
        </w:rPr>
        <w:t>，其中巡查不少于2人</w:t>
      </w:r>
      <w:r>
        <w:rPr>
          <w:rFonts w:hint="eastAsia" w:hAnsi="宋体" w:cs="宋体"/>
          <w:bCs/>
          <w:color w:val="auto"/>
          <w:sz w:val="18"/>
          <w:szCs w:val="18"/>
          <w:highlight w:val="none"/>
          <w:lang w:val="en-US" w:eastAsia="zh-CN"/>
        </w:rPr>
        <w:t>；五标段养护、巡查及保洁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34</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（其中保洁人员不少于11人、巡查不少于2人）；六标段养护、巡查及保洁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37</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（其中保洁人员不少于8人、巡查不少于2人）</w:t>
      </w:r>
      <w:r>
        <w:rPr>
          <w:rFonts w:hint="eastAsia" w:ascii="宋体" w:hAnsi="宋体" w:eastAsia="宋体" w:cs="宋体"/>
          <w:bCs/>
          <w:color w:val="auto"/>
          <w:sz w:val="18"/>
          <w:szCs w:val="18"/>
          <w:highlight w:val="none"/>
          <w:lang w:val="en-US" w:eastAsia="zh-CN"/>
        </w:rPr>
        <w:t>。</w:t>
      </w:r>
      <w:bookmarkEnd w:id="57"/>
    </w:p>
    <w:p>
      <w:pPr>
        <w:pStyle w:val="30"/>
        <w:snapToGrid w:val="0"/>
        <w:spacing w:before="0" w:beforeLines="0" w:after="0" w:afterLines="0" w:line="500" w:lineRule="exact"/>
        <w:ind w:firstLine="360" w:firstLineChars="200"/>
        <w:outlineLvl w:val="0"/>
        <w:rPr>
          <w:rFonts w:hint="default" w:ascii="宋体" w:hAnsi="宋体" w:eastAsia="宋体" w:cs="宋体"/>
          <w:bCs/>
          <w:color w:val="FF0000"/>
          <w:sz w:val="18"/>
          <w:szCs w:val="18"/>
          <w:highlight w:val="none"/>
          <w:lang w:val="en-US" w:eastAsia="zh-CN"/>
        </w:rPr>
      </w:pPr>
      <w:bookmarkStart w:id="58" w:name="_Toc24416"/>
      <w:r>
        <w:rPr>
          <w:rFonts w:hint="eastAsia" w:hAnsi="宋体" w:cs="宋体"/>
          <w:bCs/>
          <w:color w:val="FF0000"/>
          <w:sz w:val="18"/>
          <w:szCs w:val="18"/>
          <w:highlight w:val="none"/>
          <w:lang w:val="en-US" w:eastAsia="zh-CN"/>
        </w:rPr>
        <w:t>25.3</w:t>
      </w:r>
      <w:r>
        <w:rPr>
          <w:rFonts w:hint="default" w:ascii="宋体" w:hAnsi="宋体" w:eastAsia="宋体" w:cs="宋体"/>
          <w:bCs/>
          <w:color w:val="FF0000"/>
          <w:sz w:val="18"/>
          <w:szCs w:val="18"/>
          <w:highlight w:val="none"/>
          <w:lang w:val="en-US" w:eastAsia="zh-CN"/>
        </w:rPr>
        <w:t>、检查时如发现养护人员配备不足：</w:t>
      </w:r>
      <w:bookmarkEnd w:id="58"/>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59" w:name="_Toc7773"/>
      <w:r>
        <w:rPr>
          <w:rFonts w:hint="default" w:ascii="宋体" w:hAnsi="宋体" w:eastAsia="宋体" w:cs="宋体"/>
          <w:bCs/>
          <w:color w:val="auto"/>
          <w:sz w:val="18"/>
          <w:szCs w:val="18"/>
          <w:highlight w:val="none"/>
          <w:lang w:val="en-US" w:eastAsia="zh-CN"/>
        </w:rPr>
        <w:t>1）每少一名人员扣除当月养护经费1800元，</w:t>
      </w:r>
      <w:r>
        <w:rPr>
          <w:rFonts w:hint="eastAsia" w:hAnsi="宋体" w:cs="宋体"/>
          <w:bCs/>
          <w:color w:val="auto"/>
          <w:sz w:val="18"/>
          <w:szCs w:val="18"/>
          <w:highlight w:val="none"/>
          <w:lang w:val="en-US" w:eastAsia="zh-CN"/>
        </w:rPr>
        <w:t>在季度结算时一并扣除</w:t>
      </w:r>
      <w:r>
        <w:rPr>
          <w:rFonts w:hint="default" w:ascii="宋体" w:hAnsi="宋体" w:eastAsia="宋体" w:cs="宋体"/>
          <w:bCs/>
          <w:color w:val="auto"/>
          <w:sz w:val="18"/>
          <w:szCs w:val="18"/>
          <w:highlight w:val="none"/>
          <w:lang w:val="en-US" w:eastAsia="zh-CN"/>
        </w:rPr>
        <w:t>。</w:t>
      </w:r>
      <w:bookmarkEnd w:id="59"/>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60" w:name="_Toc20951"/>
      <w:r>
        <w:rPr>
          <w:rFonts w:hint="eastAsia" w:hAnsi="宋体" w:cs="宋体"/>
          <w:bCs/>
          <w:color w:val="auto"/>
          <w:sz w:val="18"/>
          <w:szCs w:val="18"/>
          <w:highlight w:val="none"/>
          <w:lang w:val="en-US" w:eastAsia="zh-CN"/>
        </w:rPr>
        <w:t>2</w:t>
      </w:r>
      <w:r>
        <w:rPr>
          <w:rFonts w:hint="default" w:ascii="宋体" w:hAnsi="宋体" w:eastAsia="宋体" w:cs="宋体"/>
          <w:bCs/>
          <w:color w:val="auto"/>
          <w:sz w:val="18"/>
          <w:szCs w:val="18"/>
          <w:highlight w:val="none"/>
          <w:lang w:val="en-US" w:eastAsia="zh-CN"/>
        </w:rPr>
        <w:t>）人员配备少于规定数量的70%时，扣除当月养护费。</w:t>
      </w:r>
      <w:bookmarkEnd w:id="60"/>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61" w:name="_Toc17100"/>
      <w:r>
        <w:rPr>
          <w:rFonts w:hint="eastAsia" w:hAnsi="宋体" w:cs="宋体"/>
          <w:bCs/>
          <w:color w:val="auto"/>
          <w:sz w:val="18"/>
          <w:szCs w:val="18"/>
          <w:highlight w:val="none"/>
          <w:lang w:val="en-US" w:eastAsia="zh-CN"/>
        </w:rPr>
        <w:t>25.4</w:t>
      </w:r>
      <w:r>
        <w:rPr>
          <w:rFonts w:hint="default" w:ascii="宋体" w:hAnsi="宋体" w:eastAsia="宋体" w:cs="宋体"/>
          <w:bCs/>
          <w:color w:val="auto"/>
          <w:sz w:val="18"/>
          <w:szCs w:val="18"/>
          <w:highlight w:val="none"/>
          <w:lang w:val="en-US" w:eastAsia="zh-CN"/>
        </w:rPr>
        <w:t>、暴雨天等不适宜养护作业时，乙方可暂停养护一线作业，必须按排不少于3名男性养护人员随时处置各类事务；平时应建立不少于5人的应急队伍</w:t>
      </w:r>
      <w:r>
        <w:rPr>
          <w:rFonts w:hint="eastAsia" w:hAnsi="宋体" w:cs="宋体"/>
          <w:bCs/>
          <w:color w:val="auto"/>
          <w:sz w:val="18"/>
          <w:szCs w:val="18"/>
          <w:highlight w:val="none"/>
          <w:lang w:val="en-US" w:eastAsia="zh-CN"/>
        </w:rPr>
        <w:t>及应急设备</w:t>
      </w:r>
      <w:r>
        <w:rPr>
          <w:rFonts w:hint="default" w:ascii="宋体" w:hAnsi="宋体" w:eastAsia="宋体" w:cs="宋体"/>
          <w:bCs/>
          <w:color w:val="auto"/>
          <w:sz w:val="18"/>
          <w:szCs w:val="18"/>
          <w:highlight w:val="none"/>
          <w:lang w:val="en-US" w:eastAsia="zh-CN"/>
        </w:rPr>
        <w:t>，24小时应对各类突发事件。</w:t>
      </w:r>
      <w:bookmarkEnd w:id="61"/>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62" w:name="_Toc30647"/>
      <w:r>
        <w:rPr>
          <w:rFonts w:hint="eastAsia" w:hAnsi="宋体" w:cs="宋体"/>
          <w:bCs/>
          <w:color w:val="auto"/>
          <w:sz w:val="18"/>
          <w:szCs w:val="18"/>
          <w:highlight w:val="none"/>
          <w:lang w:val="en-US" w:eastAsia="zh-CN"/>
        </w:rPr>
        <w:t>25.5</w:t>
      </w:r>
      <w:r>
        <w:rPr>
          <w:rFonts w:hint="default" w:ascii="宋体" w:hAnsi="宋体" w:eastAsia="宋体" w:cs="宋体"/>
          <w:bCs/>
          <w:color w:val="auto"/>
          <w:sz w:val="18"/>
          <w:szCs w:val="18"/>
          <w:highlight w:val="none"/>
          <w:lang w:val="en-US" w:eastAsia="zh-CN"/>
        </w:rPr>
        <w:t>、必须落实专人，每天巡查不少于2次，原则上安排在8:00-10:00、14:00-16:00，对巡查中发现的问题原则上当天处理完毕，苗木损坏、设施破损等须立即通知甲方管理人员处理。未及时发现或上报造成的损失由乙方自行承担，如交通事故造成损坏的，根据交警部门处理意见处理，现场由乙方恢复原状，费用</w:t>
      </w:r>
      <w:r>
        <w:rPr>
          <w:rFonts w:hint="eastAsia" w:hAnsi="宋体" w:cs="宋体"/>
          <w:bCs/>
          <w:color w:val="auto"/>
          <w:sz w:val="18"/>
          <w:szCs w:val="18"/>
          <w:highlight w:val="none"/>
          <w:lang w:val="en-US" w:eastAsia="zh-CN"/>
        </w:rPr>
        <w:t>在季度结算时一并扣除</w:t>
      </w:r>
      <w:r>
        <w:rPr>
          <w:rFonts w:hint="default" w:ascii="宋体" w:hAnsi="宋体" w:eastAsia="宋体" w:cs="宋体"/>
          <w:bCs/>
          <w:color w:val="auto"/>
          <w:sz w:val="18"/>
          <w:szCs w:val="18"/>
          <w:highlight w:val="none"/>
          <w:lang w:val="en-US" w:eastAsia="zh-CN"/>
        </w:rPr>
        <w:t>。</w:t>
      </w:r>
      <w:bookmarkEnd w:id="62"/>
    </w:p>
    <w:p>
      <w:pPr>
        <w:pStyle w:val="30"/>
        <w:snapToGrid w:val="0"/>
        <w:spacing w:before="0" w:beforeLines="0" w:after="0" w:afterLines="0" w:line="500" w:lineRule="exact"/>
        <w:ind w:firstLine="360" w:firstLineChars="200"/>
        <w:outlineLvl w:val="0"/>
        <w:rPr>
          <w:rFonts w:hint="default" w:ascii="宋体" w:hAnsi="宋体" w:eastAsia="宋体" w:cs="宋体"/>
          <w:bCs/>
          <w:color w:val="auto"/>
          <w:sz w:val="18"/>
          <w:szCs w:val="18"/>
          <w:highlight w:val="none"/>
          <w:lang w:val="en-US" w:eastAsia="zh-CN"/>
        </w:rPr>
      </w:pPr>
      <w:bookmarkStart w:id="63" w:name="_Toc963"/>
      <w:r>
        <w:rPr>
          <w:rFonts w:hint="eastAsia" w:hAnsi="宋体" w:cs="宋体"/>
          <w:bCs/>
          <w:color w:val="auto"/>
          <w:sz w:val="18"/>
          <w:szCs w:val="18"/>
          <w:highlight w:val="none"/>
          <w:lang w:val="en-US" w:eastAsia="zh-CN"/>
        </w:rPr>
        <w:t>25.6</w:t>
      </w:r>
      <w:r>
        <w:rPr>
          <w:rFonts w:hint="default" w:ascii="宋体" w:hAnsi="宋体" w:eastAsia="宋体" w:cs="宋体"/>
          <w:bCs/>
          <w:color w:val="auto"/>
          <w:sz w:val="18"/>
          <w:szCs w:val="18"/>
          <w:highlight w:val="none"/>
          <w:lang w:val="en-US" w:eastAsia="zh-CN"/>
        </w:rPr>
        <w:t>、中标单位</w:t>
      </w:r>
      <w:r>
        <w:rPr>
          <w:rFonts w:hint="eastAsia" w:hAnsi="宋体" w:cs="宋体"/>
          <w:bCs/>
          <w:color w:val="auto"/>
          <w:sz w:val="18"/>
          <w:szCs w:val="18"/>
          <w:highlight w:val="none"/>
          <w:lang w:val="en-US" w:eastAsia="zh-CN"/>
        </w:rPr>
        <w:t>（除四标段外）</w:t>
      </w:r>
      <w:r>
        <w:rPr>
          <w:rFonts w:hint="default" w:ascii="宋体" w:hAnsi="宋体" w:eastAsia="宋体" w:cs="宋体"/>
          <w:bCs/>
          <w:color w:val="auto"/>
          <w:sz w:val="18"/>
          <w:szCs w:val="18"/>
          <w:highlight w:val="none"/>
          <w:lang w:val="en-US" w:eastAsia="zh-CN"/>
        </w:rPr>
        <w:t>须做好区域内的日常卫生保洁工作，保洁时间</w:t>
      </w:r>
      <w:r>
        <w:rPr>
          <w:rFonts w:hint="eastAsia" w:hAnsi="宋体" w:cs="宋体"/>
          <w:bCs/>
          <w:color w:val="auto"/>
          <w:sz w:val="18"/>
          <w:szCs w:val="18"/>
          <w:highlight w:val="none"/>
          <w:lang w:val="en-US" w:eastAsia="zh-CN"/>
        </w:rPr>
        <w:t>参照《嘉兴市城市精细化管理保洁作业时间要求》</w:t>
      </w:r>
      <w:r>
        <w:rPr>
          <w:rFonts w:hint="default" w:ascii="宋体" w:hAnsi="宋体" w:eastAsia="宋体" w:cs="宋体"/>
          <w:bCs/>
          <w:color w:val="auto"/>
          <w:sz w:val="18"/>
          <w:szCs w:val="18"/>
          <w:highlight w:val="none"/>
          <w:lang w:val="en-US" w:eastAsia="zh-CN"/>
        </w:rPr>
        <w:t>，如出现较多垃圾时必须增派人员突击清除。</w:t>
      </w:r>
      <w:bookmarkEnd w:id="63"/>
    </w:p>
    <w:p>
      <w:pPr>
        <w:pStyle w:val="30"/>
        <w:snapToGrid w:val="0"/>
        <w:spacing w:before="0" w:beforeLines="0" w:after="0" w:afterLines="0" w:line="500" w:lineRule="exact"/>
        <w:ind w:firstLine="360" w:firstLineChars="200"/>
        <w:outlineLvl w:val="0"/>
        <w:rPr>
          <w:rFonts w:hint="default"/>
          <w:color w:val="auto"/>
          <w:sz w:val="18"/>
          <w:szCs w:val="18"/>
          <w:highlight w:val="none"/>
          <w:lang w:val="en-US" w:eastAsia="zh-CN"/>
        </w:rPr>
      </w:pPr>
      <w:bookmarkStart w:id="64" w:name="_Toc22688"/>
      <w:r>
        <w:rPr>
          <w:rFonts w:hint="eastAsia" w:ascii="宋体" w:hAnsi="宋体" w:eastAsia="宋体" w:cs="宋体"/>
          <w:bCs/>
          <w:color w:val="auto"/>
          <w:sz w:val="18"/>
          <w:szCs w:val="18"/>
          <w:highlight w:val="none"/>
          <w:lang w:val="en-US" w:eastAsia="zh-CN"/>
        </w:rPr>
        <w:t>2</w:t>
      </w:r>
      <w:r>
        <w:rPr>
          <w:rFonts w:hint="eastAsia" w:hAnsi="宋体" w:cs="宋体"/>
          <w:bCs/>
          <w:color w:val="auto"/>
          <w:sz w:val="18"/>
          <w:szCs w:val="18"/>
          <w:highlight w:val="none"/>
          <w:lang w:val="en-US" w:eastAsia="zh-CN"/>
        </w:rPr>
        <w:t>6</w:t>
      </w:r>
      <w:r>
        <w:rPr>
          <w:rFonts w:hint="eastAsia" w:ascii="宋体" w:hAnsi="宋体" w:eastAsia="宋体" w:cs="宋体"/>
          <w:bCs/>
          <w:color w:val="auto"/>
          <w:sz w:val="18"/>
          <w:szCs w:val="18"/>
          <w:highlight w:val="none"/>
          <w:lang w:val="en-US" w:eastAsia="zh-CN"/>
        </w:rPr>
        <w:t>、养护单位须有应急</w:t>
      </w:r>
      <w:r>
        <w:rPr>
          <w:rFonts w:hint="eastAsia" w:hAnsi="宋体" w:cs="宋体"/>
          <w:bCs/>
          <w:color w:val="auto"/>
          <w:sz w:val="18"/>
          <w:szCs w:val="18"/>
          <w:highlight w:val="none"/>
          <w:lang w:val="en-US" w:eastAsia="zh-CN"/>
        </w:rPr>
        <w:t>处理相关设施设备</w:t>
      </w:r>
      <w:r>
        <w:rPr>
          <w:rFonts w:hint="eastAsia" w:ascii="宋体" w:hAnsi="宋体" w:eastAsia="宋体" w:cs="宋体"/>
          <w:bCs/>
          <w:color w:val="auto"/>
          <w:sz w:val="18"/>
          <w:szCs w:val="18"/>
          <w:highlight w:val="none"/>
          <w:lang w:val="en-US" w:eastAsia="zh-CN"/>
        </w:rPr>
        <w:t>的仓库，常备应急设备、</w:t>
      </w:r>
      <w:r>
        <w:rPr>
          <w:rFonts w:hint="eastAsia" w:hAnsi="宋体" w:cs="宋体"/>
          <w:bCs/>
          <w:color w:val="auto"/>
          <w:sz w:val="18"/>
          <w:szCs w:val="18"/>
          <w:highlight w:val="none"/>
          <w:lang w:val="en-US" w:eastAsia="zh-CN"/>
        </w:rPr>
        <w:t>车辆及</w:t>
      </w:r>
      <w:r>
        <w:rPr>
          <w:rFonts w:hint="eastAsia" w:ascii="宋体" w:hAnsi="宋体" w:eastAsia="宋体" w:cs="宋体"/>
          <w:bCs/>
          <w:color w:val="auto"/>
          <w:sz w:val="18"/>
          <w:szCs w:val="18"/>
          <w:highlight w:val="none"/>
          <w:lang w:val="en-US" w:eastAsia="zh-CN"/>
        </w:rPr>
        <w:t>防倒伏的支架</w:t>
      </w:r>
      <w:r>
        <w:rPr>
          <w:rFonts w:hint="eastAsia" w:hAnsi="宋体" w:cs="宋体"/>
          <w:bCs/>
          <w:color w:val="auto"/>
          <w:sz w:val="18"/>
          <w:szCs w:val="18"/>
          <w:highlight w:val="none"/>
          <w:lang w:val="en-US" w:eastAsia="zh-CN"/>
        </w:rPr>
        <w:t>（数量应</w:t>
      </w:r>
      <w:r>
        <w:rPr>
          <w:rFonts w:hint="eastAsia" w:ascii="宋体" w:hAnsi="宋体" w:eastAsia="宋体" w:cs="宋体"/>
          <w:bCs/>
          <w:color w:val="auto"/>
          <w:sz w:val="18"/>
          <w:szCs w:val="18"/>
          <w:highlight w:val="none"/>
          <w:lang w:val="en-US" w:eastAsia="zh-CN"/>
        </w:rPr>
        <w:t>满足应急突发所需</w:t>
      </w:r>
      <w:r>
        <w:rPr>
          <w:rFonts w:hint="eastAsia" w:hAnsi="宋体" w:cs="宋体"/>
          <w:bCs/>
          <w:color w:val="auto"/>
          <w:sz w:val="18"/>
          <w:szCs w:val="18"/>
          <w:highlight w:val="none"/>
          <w:lang w:val="en-US" w:eastAsia="zh-CN"/>
        </w:rPr>
        <w:t>）</w:t>
      </w:r>
      <w:bookmarkEnd w:id="64"/>
    </w:p>
    <w:p>
      <w:pPr>
        <w:pStyle w:val="30"/>
        <w:snapToGrid w:val="0"/>
        <w:spacing w:before="0" w:beforeLines="0" w:after="0" w:afterLines="0" w:line="500" w:lineRule="exact"/>
        <w:ind w:firstLine="361" w:firstLineChars="200"/>
        <w:outlineLvl w:val="0"/>
        <w:rPr>
          <w:rFonts w:hint="eastAsia" w:ascii="宋体" w:hAnsi="宋体" w:eastAsia="宋体" w:cs="宋体"/>
          <w:b/>
          <w:color w:val="auto"/>
          <w:sz w:val="18"/>
          <w:szCs w:val="18"/>
          <w:highlight w:val="none"/>
        </w:rPr>
      </w:pPr>
      <w:bookmarkStart w:id="65" w:name="_Toc23319"/>
      <w:bookmarkStart w:id="66" w:name="_Toc14666"/>
      <w:bookmarkStart w:id="67" w:name="_Toc3313"/>
      <w:bookmarkStart w:id="68" w:name="_Toc17078"/>
      <w:r>
        <w:rPr>
          <w:rFonts w:hint="eastAsia" w:hAnsi="宋体" w:cs="宋体"/>
          <w:b/>
          <w:color w:val="auto"/>
          <w:sz w:val="18"/>
          <w:szCs w:val="18"/>
          <w:highlight w:val="none"/>
          <w:lang w:val="en-US" w:eastAsia="zh-CN"/>
        </w:rPr>
        <w:t>四</w:t>
      </w:r>
      <w:r>
        <w:rPr>
          <w:rFonts w:hint="eastAsia" w:ascii="宋体" w:hAnsi="宋体" w:eastAsia="宋体" w:cs="宋体"/>
          <w:b/>
          <w:color w:val="auto"/>
          <w:sz w:val="18"/>
          <w:szCs w:val="18"/>
          <w:highlight w:val="none"/>
          <w:lang w:val="en-US" w:eastAsia="zh-CN"/>
        </w:rPr>
        <w:t>、</w:t>
      </w:r>
      <w:r>
        <w:rPr>
          <w:rFonts w:hint="eastAsia" w:ascii="宋体" w:hAnsi="宋体" w:eastAsia="宋体" w:cs="宋体"/>
          <w:b/>
          <w:color w:val="auto"/>
          <w:sz w:val="18"/>
          <w:szCs w:val="18"/>
          <w:highlight w:val="none"/>
        </w:rPr>
        <w:t>商务条款</w:t>
      </w:r>
      <w:bookmarkEnd w:id="65"/>
      <w:bookmarkEnd w:id="66"/>
      <w:bookmarkEnd w:id="67"/>
      <w:bookmarkEnd w:id="68"/>
    </w:p>
    <w:p>
      <w:pPr>
        <w:pStyle w:val="30"/>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69" w:name="_Toc1259"/>
      <w:bookmarkStart w:id="70" w:name="_Toc17563"/>
      <w:bookmarkStart w:id="71" w:name="_Toc16197"/>
      <w:bookmarkStart w:id="72" w:name="_Toc3935"/>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一</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服务期</w:t>
      </w:r>
      <w:r>
        <w:rPr>
          <w:rFonts w:hint="eastAsia" w:ascii="宋体" w:hAnsi="宋体" w:eastAsia="宋体" w:cs="宋体"/>
          <w:bCs/>
          <w:color w:val="auto"/>
          <w:sz w:val="18"/>
          <w:szCs w:val="18"/>
          <w:highlight w:val="none"/>
          <w:lang w:eastAsia="zh-CN"/>
        </w:rPr>
        <w:t>限：</w:t>
      </w:r>
      <w:r>
        <w:rPr>
          <w:rFonts w:hint="eastAsia" w:asciiTheme="minorEastAsia" w:hAnsiTheme="minorEastAsia" w:eastAsiaTheme="minorEastAsia"/>
          <w:color w:val="auto"/>
          <w:sz w:val="18"/>
          <w:szCs w:val="18"/>
          <w:highlight w:val="none"/>
          <w:lang w:eastAsia="zh-CN"/>
        </w:rPr>
        <w:t>自签订合同之日起至</w:t>
      </w:r>
      <w:r>
        <w:rPr>
          <w:rFonts w:hint="eastAsia" w:asciiTheme="minorEastAsia" w:hAnsiTheme="minorEastAsia" w:eastAsiaTheme="minorEastAsia"/>
          <w:color w:val="auto"/>
          <w:sz w:val="18"/>
          <w:szCs w:val="18"/>
          <w:highlight w:val="none"/>
          <w:lang w:val="en-US" w:eastAsia="zh-CN"/>
        </w:rPr>
        <w:t>2024年12月31日</w:t>
      </w:r>
      <w:r>
        <w:rPr>
          <w:rFonts w:hint="eastAsia" w:asciiTheme="minorEastAsia" w:hAnsiTheme="minorEastAsia" w:eastAsiaTheme="minorEastAsia"/>
          <w:color w:val="auto"/>
          <w:sz w:val="18"/>
          <w:szCs w:val="18"/>
          <w:highlight w:val="none"/>
          <w:lang w:eastAsia="zh-CN"/>
        </w:rPr>
        <w:t>，年度考核优秀经招标人最终确认可续签至202</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lang w:eastAsia="zh-CN"/>
        </w:rPr>
        <w:t>年12月31日。</w:t>
      </w:r>
      <w:r>
        <w:rPr>
          <w:rFonts w:hint="eastAsia" w:asciiTheme="minorEastAsia" w:hAnsiTheme="minorEastAsia" w:eastAsiaTheme="minorEastAsia"/>
          <w:color w:val="auto"/>
          <w:sz w:val="18"/>
          <w:szCs w:val="18"/>
          <w:highlight w:val="none"/>
          <w:lang w:val="en-US" w:eastAsia="zh-CN"/>
        </w:rPr>
        <w:t>2025年年度</w:t>
      </w:r>
      <w:r>
        <w:rPr>
          <w:rFonts w:hint="eastAsia" w:asciiTheme="minorEastAsia" w:hAnsiTheme="minorEastAsia" w:eastAsiaTheme="minorEastAsia"/>
          <w:color w:val="auto"/>
          <w:sz w:val="18"/>
          <w:szCs w:val="18"/>
          <w:highlight w:val="none"/>
          <w:lang w:eastAsia="zh-CN"/>
        </w:rPr>
        <w:t>考核优秀经招标人最终确认可续签至202</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lang w:eastAsia="zh-CN"/>
        </w:rPr>
        <w:t>年12月31日。最多续签</w:t>
      </w:r>
      <w:r>
        <w:rPr>
          <w:rFonts w:hint="eastAsia" w:asciiTheme="minorEastAsia" w:hAnsiTheme="minorEastAsia" w:eastAsiaTheme="minorEastAsia"/>
          <w:color w:val="auto"/>
          <w:sz w:val="18"/>
          <w:szCs w:val="18"/>
          <w:highlight w:val="none"/>
          <w:lang w:val="en-US" w:eastAsia="zh-CN"/>
        </w:rPr>
        <w:t>2年</w:t>
      </w:r>
      <w:r>
        <w:rPr>
          <w:rFonts w:hint="eastAsia" w:hAnsi="宋体" w:cs="宋体"/>
          <w:b w:val="0"/>
          <w:bCs/>
          <w:color w:val="auto"/>
          <w:sz w:val="18"/>
          <w:szCs w:val="18"/>
          <w:highlight w:val="none"/>
          <w:lang w:eastAsia="zh-CN"/>
        </w:rPr>
        <w:t>。</w:t>
      </w:r>
      <w:bookmarkEnd w:id="69"/>
      <w:bookmarkEnd w:id="70"/>
      <w:bookmarkEnd w:id="71"/>
      <w:bookmarkEnd w:id="72"/>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73" w:name="_Toc24147"/>
      <w:bookmarkStart w:id="74" w:name="_Toc3853"/>
      <w:bookmarkStart w:id="75" w:name="_Toc17593"/>
      <w:bookmarkStart w:id="76" w:name="_Toc31188"/>
      <w:r>
        <w:rPr>
          <w:rFonts w:hint="eastAsia" w:ascii="宋体" w:hAnsi="宋体" w:eastAsia="宋体" w:cs="宋体"/>
          <w:bCs/>
          <w:color w:val="auto"/>
          <w:sz w:val="18"/>
          <w:szCs w:val="18"/>
          <w:highlight w:val="none"/>
          <w:lang w:eastAsia="zh-CN"/>
        </w:rPr>
        <w:t>（二）履约保证金：</w:t>
      </w:r>
      <w:r>
        <w:rPr>
          <w:rFonts w:hint="eastAsia" w:hAnsi="宋体" w:cs="宋体"/>
          <w:bCs/>
          <w:color w:val="auto"/>
          <w:sz w:val="18"/>
          <w:szCs w:val="18"/>
          <w:highlight w:val="none"/>
          <w:lang w:eastAsia="zh-CN"/>
        </w:rPr>
        <w:t>签订合同价的</w:t>
      </w:r>
      <w:r>
        <w:rPr>
          <w:rFonts w:hint="eastAsia" w:hAnsi="宋体" w:cs="宋体"/>
          <w:bCs/>
          <w:color w:val="auto"/>
          <w:sz w:val="18"/>
          <w:szCs w:val="18"/>
          <w:highlight w:val="none"/>
          <w:lang w:val="en-US" w:eastAsia="zh-CN"/>
        </w:rPr>
        <w:t>1%，养护期结束后15日内无息退回</w:t>
      </w:r>
      <w:r>
        <w:rPr>
          <w:rFonts w:hint="eastAsia" w:ascii="宋体" w:hAnsi="宋体" w:eastAsia="宋体" w:cs="宋体"/>
          <w:bCs/>
          <w:color w:val="auto"/>
          <w:sz w:val="18"/>
          <w:szCs w:val="18"/>
          <w:highlight w:val="none"/>
          <w:lang w:eastAsia="zh-CN"/>
        </w:rPr>
        <w:t>。</w:t>
      </w:r>
      <w:bookmarkEnd w:id="73"/>
      <w:bookmarkEnd w:id="74"/>
      <w:bookmarkEnd w:id="75"/>
      <w:bookmarkEnd w:id="76"/>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77" w:name="_Toc13717"/>
      <w:r>
        <w:rPr>
          <w:rFonts w:hint="eastAsia" w:ascii="宋体" w:hAnsi="宋体" w:eastAsia="宋体" w:cs="宋体"/>
          <w:bCs/>
          <w:color w:val="auto"/>
          <w:sz w:val="18"/>
          <w:szCs w:val="18"/>
          <w:highlight w:val="none"/>
          <w:lang w:eastAsia="zh-CN"/>
        </w:rPr>
        <w:t>履约担保形式：现金（电汇或银行汇票形式）或银行保函或保险机构保证保险保单或融资担保公司保函</w:t>
      </w:r>
      <w:bookmarkEnd w:id="77"/>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78" w:name="_Toc2980"/>
      <w:r>
        <w:rPr>
          <w:rFonts w:hint="eastAsia" w:ascii="宋体" w:hAnsi="宋体" w:eastAsia="宋体" w:cs="宋体"/>
          <w:bCs/>
          <w:color w:val="auto"/>
          <w:sz w:val="18"/>
          <w:szCs w:val="18"/>
          <w:highlight w:val="none"/>
          <w:lang w:eastAsia="zh-CN"/>
        </w:rPr>
        <w:t>采用银行保函时，出具履约担保的银行级别：国有或股份制商业银行县（区、市）级支行及以上银行。</w:t>
      </w:r>
      <w:bookmarkEnd w:id="78"/>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79" w:name="_Toc15725"/>
      <w:r>
        <w:rPr>
          <w:rFonts w:hint="eastAsia" w:ascii="宋体" w:hAnsi="宋体" w:eastAsia="宋体" w:cs="宋体"/>
          <w:bCs/>
          <w:color w:val="auto"/>
          <w:sz w:val="18"/>
          <w:szCs w:val="18"/>
          <w:highlight w:val="none"/>
          <w:lang w:eastAsia="zh-CN"/>
        </w:rPr>
        <w:t>采用保险机构保证保险保单时，保险机构保证保险保单的格式和内容须事先征得发包人同意。</w:t>
      </w:r>
      <w:bookmarkEnd w:id="79"/>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lang w:eastAsia="zh-CN"/>
        </w:rPr>
      </w:pPr>
      <w:bookmarkStart w:id="80" w:name="_Toc23647"/>
      <w:r>
        <w:rPr>
          <w:rFonts w:hint="eastAsia" w:ascii="宋体" w:hAnsi="宋体" w:eastAsia="宋体" w:cs="宋体"/>
          <w:bCs/>
          <w:color w:val="auto"/>
          <w:sz w:val="18"/>
          <w:szCs w:val="18"/>
          <w:highlight w:val="none"/>
          <w:lang w:eastAsia="zh-CN"/>
        </w:rPr>
        <w:t>采用融资担保公司保函时，融资担保公司保函的格式和内容须事先征得发包人同意。</w:t>
      </w:r>
      <w:bookmarkEnd w:id="80"/>
    </w:p>
    <w:p>
      <w:pPr>
        <w:pStyle w:val="30"/>
        <w:numPr>
          <w:ilvl w:val="0"/>
          <w:numId w:val="0"/>
        </w:numPr>
        <w:snapToGrid w:val="0"/>
        <w:spacing w:before="0" w:beforeLines="0" w:after="0" w:afterLines="0" w:line="500" w:lineRule="exact"/>
        <w:ind w:firstLine="180" w:firstLineChars="100"/>
        <w:outlineLvl w:val="0"/>
        <w:rPr>
          <w:rFonts w:hint="eastAsia" w:ascii="宋体" w:hAnsi="宋体" w:eastAsia="宋体" w:cs="宋体"/>
          <w:bCs/>
          <w:color w:val="auto"/>
          <w:sz w:val="18"/>
          <w:szCs w:val="18"/>
          <w:highlight w:val="none"/>
        </w:rPr>
      </w:pPr>
      <w:bookmarkStart w:id="81" w:name="_Toc9234"/>
      <w:bookmarkStart w:id="82" w:name="_Toc24157"/>
      <w:bookmarkStart w:id="83" w:name="_Toc31903"/>
      <w:bookmarkStart w:id="84" w:name="_Toc12818"/>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三</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付款方式：</w:t>
      </w:r>
      <w:bookmarkEnd w:id="81"/>
      <w:bookmarkEnd w:id="82"/>
      <w:bookmarkEnd w:id="83"/>
      <w:bookmarkEnd w:id="84"/>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85" w:name="_Toc13838"/>
      <w:bookmarkStart w:id="86" w:name="_Toc27407"/>
      <w:r>
        <w:rPr>
          <w:rFonts w:hint="eastAsia" w:ascii="宋体" w:hAnsi="宋体" w:eastAsia="宋体" w:cs="宋体"/>
          <w:bCs/>
          <w:color w:val="auto"/>
          <w:sz w:val="18"/>
          <w:szCs w:val="18"/>
          <w:highlight w:val="none"/>
        </w:rPr>
        <w:t>1、政策性条款：</w:t>
      </w:r>
      <w:bookmarkEnd w:id="85"/>
      <w:bookmarkEnd w:id="86"/>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87" w:name="_Toc6457"/>
      <w:bookmarkStart w:id="88" w:name="_Toc23752"/>
      <w:r>
        <w:rPr>
          <w:rFonts w:hint="eastAsia" w:ascii="宋体" w:hAnsi="宋体" w:eastAsia="宋体" w:cs="宋体"/>
          <w:bCs/>
          <w:color w:val="auto"/>
          <w:sz w:val="18"/>
          <w:szCs w:val="18"/>
          <w:highlight w:val="none"/>
        </w:rPr>
        <w:t>根据[浙财采监〔2020〕3号]规定：</w:t>
      </w:r>
      <w:bookmarkEnd w:id="87"/>
      <w:bookmarkEnd w:id="88"/>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89" w:name="_Toc7151"/>
      <w:bookmarkStart w:id="90" w:name="_Toc4291"/>
      <w:r>
        <w:rPr>
          <w:rFonts w:hint="eastAsia" w:ascii="宋体" w:hAnsi="宋体" w:eastAsia="宋体" w:cs="宋体"/>
          <w:bCs/>
          <w:color w:val="auto"/>
          <w:sz w:val="18"/>
          <w:szCs w:val="18"/>
          <w:highlight w:val="none"/>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w:t>
      </w:r>
      <w:bookmarkEnd w:id="89"/>
      <w:bookmarkEnd w:id="90"/>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91" w:name="_Toc3675"/>
      <w:bookmarkStart w:id="92" w:name="_Toc31696"/>
      <w:r>
        <w:rPr>
          <w:rFonts w:hint="eastAsia" w:ascii="宋体" w:hAnsi="宋体" w:eastAsia="宋体" w:cs="宋体"/>
          <w:bCs/>
          <w:color w:val="auto"/>
          <w:sz w:val="18"/>
          <w:szCs w:val="18"/>
          <w:highlight w:val="none"/>
        </w:rPr>
        <w:t>（2）、政府采购预付款应在合同生效以及具备实施条件后15日内支付。项目分年安排预算的，第二年预付时间为次年相对应月份，以此类推；当年度预付款尚未扣回的，次年不重复安排。</w:t>
      </w:r>
      <w:bookmarkEnd w:id="91"/>
      <w:bookmarkEnd w:id="92"/>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93" w:name="_Toc2527"/>
      <w:bookmarkStart w:id="94" w:name="_Toc32348"/>
      <w:r>
        <w:rPr>
          <w:rFonts w:hint="eastAsia" w:ascii="宋体" w:hAnsi="宋体" w:eastAsia="宋体" w:cs="宋体"/>
          <w:bCs/>
          <w:color w:val="auto"/>
          <w:sz w:val="18"/>
          <w:szCs w:val="18"/>
          <w:highlight w:val="none"/>
        </w:rPr>
        <w:t>（3）、各采购单位可根据项目特点、供应商信用等情况，决定是否要求供应商提交银行、保险公司等金融机构出具的预付款保函或其他担保措施。</w:t>
      </w:r>
      <w:bookmarkEnd w:id="93"/>
      <w:bookmarkEnd w:id="94"/>
    </w:p>
    <w:p>
      <w:pPr>
        <w:pStyle w:val="30"/>
        <w:numPr>
          <w:ilvl w:val="0"/>
          <w:numId w:val="0"/>
        </w:numPr>
        <w:snapToGrid w:val="0"/>
        <w:spacing w:before="0" w:beforeLines="0" w:after="0" w:afterLines="0" w:line="500" w:lineRule="exact"/>
        <w:ind w:firstLine="360" w:firstLineChars="200"/>
        <w:outlineLvl w:val="0"/>
        <w:rPr>
          <w:rFonts w:hint="eastAsia" w:ascii="宋体" w:hAnsi="宋体" w:eastAsia="宋体" w:cs="宋体"/>
          <w:color w:val="auto"/>
          <w:sz w:val="18"/>
          <w:szCs w:val="18"/>
          <w:highlight w:val="none"/>
        </w:rPr>
      </w:pPr>
      <w:bookmarkStart w:id="95" w:name="_Toc6062"/>
      <w:bookmarkStart w:id="96" w:name="_Toc10611"/>
      <w:bookmarkStart w:id="97" w:name="_Toc26078"/>
      <w:bookmarkStart w:id="98" w:name="_Toc24970"/>
      <w:r>
        <w:rPr>
          <w:rFonts w:hint="eastAsia" w:hAnsi="宋体" w:cs="宋体"/>
          <w:color w:val="auto"/>
          <w:sz w:val="18"/>
          <w:szCs w:val="18"/>
          <w:highlight w:val="none"/>
          <w:lang w:val="en-US" w:eastAsia="zh-CN"/>
        </w:rPr>
        <w:t>2、合同签订后7个工作日内支付合同价款的20%作为预付款；剩余价款</w:t>
      </w:r>
      <w:r>
        <w:rPr>
          <w:rFonts w:hint="eastAsia" w:ascii="宋体" w:hAnsi="宋体" w:eastAsia="宋体" w:cs="宋体"/>
          <w:color w:val="auto"/>
          <w:sz w:val="18"/>
          <w:szCs w:val="18"/>
          <w:highlight w:val="none"/>
        </w:rPr>
        <w:t>每</w:t>
      </w:r>
      <w:r>
        <w:rPr>
          <w:rFonts w:hint="eastAsia" w:hAnsi="宋体" w:cs="宋体"/>
          <w:color w:val="auto"/>
          <w:sz w:val="18"/>
          <w:szCs w:val="18"/>
          <w:highlight w:val="none"/>
          <w:lang w:val="en-US" w:eastAsia="zh-CN"/>
        </w:rPr>
        <w:t>季度</w:t>
      </w:r>
      <w:r>
        <w:rPr>
          <w:rFonts w:hint="eastAsia" w:ascii="宋体" w:hAnsi="宋体" w:eastAsia="宋体" w:cs="宋体"/>
          <w:color w:val="auto"/>
          <w:sz w:val="18"/>
          <w:szCs w:val="18"/>
          <w:highlight w:val="none"/>
        </w:rPr>
        <w:t>结算一次，按照实际考核结果扣款后在次月支付费用（须开税务发票）。</w:t>
      </w:r>
      <w:bookmarkEnd w:id="95"/>
      <w:bookmarkEnd w:id="96"/>
      <w:bookmarkEnd w:id="97"/>
      <w:bookmarkEnd w:id="98"/>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99" w:name="_Toc17445"/>
      <w:bookmarkStart w:id="100" w:name="_Toc17179"/>
      <w:bookmarkStart w:id="101" w:name="_Toc13835"/>
      <w:bookmarkStart w:id="102" w:name="_Toc5564"/>
      <w:r>
        <w:rPr>
          <w:rFonts w:hint="eastAsia" w:ascii="宋体" w:hAnsi="宋体" w:eastAsia="宋体" w:cs="宋体"/>
          <w:bCs/>
          <w:color w:val="auto"/>
          <w:sz w:val="18"/>
          <w:szCs w:val="18"/>
          <w:highlight w:val="none"/>
          <w:lang w:val="en-US" w:eastAsia="zh-CN"/>
        </w:rPr>
        <w:t>十</w:t>
      </w:r>
      <w:r>
        <w:rPr>
          <w:rFonts w:hint="eastAsia" w:ascii="宋体" w:hAnsi="宋体" w:eastAsia="宋体" w:cs="宋体"/>
          <w:bCs/>
          <w:color w:val="auto"/>
          <w:sz w:val="18"/>
          <w:szCs w:val="18"/>
          <w:highlight w:val="none"/>
        </w:rPr>
        <w:t>、考核</w:t>
      </w:r>
      <w:bookmarkEnd w:id="99"/>
      <w:bookmarkEnd w:id="100"/>
      <w:bookmarkEnd w:id="101"/>
      <w:bookmarkEnd w:id="102"/>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103" w:name="_Toc119"/>
      <w:bookmarkStart w:id="104" w:name="_Toc15351"/>
      <w:bookmarkStart w:id="105" w:name="_Toc13502"/>
      <w:bookmarkStart w:id="106" w:name="_Toc17766"/>
      <w:r>
        <w:rPr>
          <w:rFonts w:hint="eastAsia" w:ascii="宋体" w:hAnsi="宋体" w:eastAsia="宋体" w:cs="宋体"/>
          <w:bCs/>
          <w:color w:val="auto"/>
          <w:sz w:val="18"/>
          <w:szCs w:val="18"/>
          <w:highlight w:val="none"/>
        </w:rPr>
        <w:t>按招标内容及要求及考核办法执行。</w:t>
      </w:r>
      <w:bookmarkEnd w:id="103"/>
      <w:bookmarkEnd w:id="104"/>
      <w:bookmarkEnd w:id="105"/>
      <w:bookmarkEnd w:id="106"/>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107" w:name="_Toc3820"/>
      <w:bookmarkStart w:id="108" w:name="_Toc7508"/>
      <w:bookmarkStart w:id="109" w:name="_Toc14410"/>
      <w:bookmarkStart w:id="110" w:name="_Toc24918"/>
      <w:r>
        <w:rPr>
          <w:rFonts w:hint="eastAsia" w:ascii="宋体" w:hAnsi="宋体" w:eastAsia="宋体" w:cs="宋体"/>
          <w:bCs/>
          <w:color w:val="auto"/>
          <w:sz w:val="18"/>
          <w:szCs w:val="18"/>
          <w:highlight w:val="none"/>
          <w:lang w:val="en-US" w:eastAsia="zh-CN"/>
        </w:rPr>
        <w:t>十一</w:t>
      </w:r>
      <w:r>
        <w:rPr>
          <w:rFonts w:hint="eastAsia" w:ascii="宋体" w:hAnsi="宋体" w:eastAsia="宋体" w:cs="宋体"/>
          <w:bCs/>
          <w:color w:val="auto"/>
          <w:sz w:val="18"/>
          <w:szCs w:val="18"/>
          <w:highlight w:val="none"/>
        </w:rPr>
        <w:t>、其他说明</w:t>
      </w:r>
      <w:bookmarkEnd w:id="107"/>
      <w:bookmarkEnd w:id="108"/>
      <w:bookmarkEnd w:id="109"/>
      <w:bookmarkEnd w:id="110"/>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111" w:name="_Toc9593"/>
      <w:bookmarkStart w:id="112" w:name="_Toc24158"/>
      <w:bookmarkStart w:id="113" w:name="_Toc16293"/>
      <w:bookmarkStart w:id="114" w:name="_Toc7593"/>
      <w:r>
        <w:rPr>
          <w:rFonts w:hint="eastAsia" w:ascii="宋体" w:hAnsi="宋体" w:eastAsia="宋体" w:cs="宋体"/>
          <w:bCs/>
          <w:color w:val="auto"/>
          <w:sz w:val="18"/>
          <w:szCs w:val="18"/>
          <w:highlight w:val="none"/>
        </w:rPr>
        <w:t>1、在中标通知书发出后</w:t>
      </w:r>
      <w:r>
        <w:rPr>
          <w:rFonts w:hint="eastAsia" w:ascii="宋体" w:hAnsi="宋体" w:eastAsia="宋体" w:cs="宋体"/>
          <w:bCs/>
          <w:color w:val="auto"/>
          <w:sz w:val="18"/>
          <w:szCs w:val="18"/>
          <w:highlight w:val="none"/>
          <w:lang w:val="en-US" w:eastAsia="zh-CN"/>
        </w:rPr>
        <w:t>30天内</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凭投标承诺到位</w:t>
      </w:r>
      <w:r>
        <w:rPr>
          <w:rFonts w:hint="eastAsia" w:ascii="宋体" w:hAnsi="宋体" w:eastAsia="宋体" w:cs="宋体"/>
          <w:bCs/>
          <w:color w:val="auto"/>
          <w:sz w:val="18"/>
          <w:szCs w:val="18"/>
          <w:highlight w:val="none"/>
          <w:lang w:eastAsia="zh-CN"/>
        </w:rPr>
        <w:t>的</w:t>
      </w:r>
      <w:r>
        <w:rPr>
          <w:rFonts w:hint="eastAsia" w:ascii="宋体" w:hAnsi="宋体" w:eastAsia="宋体" w:cs="宋体"/>
          <w:bCs/>
          <w:color w:val="auto"/>
          <w:sz w:val="18"/>
          <w:szCs w:val="18"/>
          <w:highlight w:val="none"/>
          <w:lang w:val="en-US" w:eastAsia="zh-CN"/>
        </w:rPr>
        <w:t>人员名单和</w:t>
      </w:r>
      <w:r>
        <w:rPr>
          <w:rFonts w:hint="eastAsia" w:ascii="宋体" w:hAnsi="宋体" w:eastAsia="宋体" w:cs="宋体"/>
          <w:bCs/>
          <w:color w:val="auto"/>
          <w:sz w:val="18"/>
          <w:szCs w:val="18"/>
          <w:highlight w:val="none"/>
          <w:lang w:eastAsia="zh-CN"/>
        </w:rPr>
        <w:t>机械设备（</w:t>
      </w:r>
      <w:r>
        <w:rPr>
          <w:rFonts w:hint="eastAsia" w:ascii="宋体" w:hAnsi="宋体" w:eastAsia="宋体" w:cs="宋体"/>
          <w:bCs/>
          <w:color w:val="auto"/>
          <w:sz w:val="18"/>
          <w:szCs w:val="18"/>
          <w:highlight w:val="none"/>
          <w:lang w:val="en-US" w:eastAsia="zh-CN"/>
        </w:rPr>
        <w:t>附自有或租赁相关证明文件</w:t>
      </w:r>
      <w:r>
        <w:rPr>
          <w:rFonts w:hint="eastAsia" w:ascii="宋体" w:hAnsi="宋体" w:eastAsia="宋体" w:cs="宋体"/>
          <w:bCs/>
          <w:color w:val="auto"/>
          <w:sz w:val="18"/>
          <w:szCs w:val="18"/>
          <w:highlight w:val="none"/>
          <w:lang w:eastAsia="zh-CN"/>
        </w:rPr>
        <w:t>）清单与</w:t>
      </w:r>
      <w:r>
        <w:rPr>
          <w:rFonts w:hint="eastAsia" w:ascii="宋体" w:hAnsi="宋体" w:eastAsia="宋体" w:cs="宋体"/>
          <w:bCs/>
          <w:color w:val="auto"/>
          <w:sz w:val="18"/>
          <w:szCs w:val="18"/>
          <w:highlight w:val="none"/>
        </w:rPr>
        <w:t>采购人签订合同，</w:t>
      </w:r>
      <w:r>
        <w:rPr>
          <w:rFonts w:hint="eastAsia" w:ascii="宋体" w:hAnsi="宋体" w:eastAsia="宋体" w:cs="宋体"/>
          <w:bCs/>
          <w:color w:val="auto"/>
          <w:sz w:val="18"/>
          <w:szCs w:val="18"/>
          <w:highlight w:val="none"/>
          <w:lang w:eastAsia="zh-CN"/>
        </w:rPr>
        <w:t>如在规定时间内未提供或提供不全或拒不签合同的，</w:t>
      </w:r>
      <w:r>
        <w:rPr>
          <w:rFonts w:hint="eastAsia" w:ascii="宋体" w:hAnsi="宋体" w:eastAsia="宋体" w:cs="宋体"/>
          <w:bCs/>
          <w:color w:val="auto"/>
          <w:sz w:val="18"/>
          <w:szCs w:val="18"/>
          <w:highlight w:val="none"/>
        </w:rPr>
        <w:t>采购人有权取消</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的中标资格，报财政部门备案后推荐排序居次的中标候选人为</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，或重新招标。</w:t>
      </w:r>
      <w:bookmarkEnd w:id="111"/>
      <w:bookmarkEnd w:id="112"/>
      <w:bookmarkEnd w:id="113"/>
      <w:bookmarkEnd w:id="114"/>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115" w:name="_Toc21031"/>
      <w:bookmarkStart w:id="116" w:name="_Toc27921"/>
      <w:bookmarkStart w:id="117" w:name="_Toc18979"/>
      <w:bookmarkStart w:id="118" w:name="_Toc17788"/>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招用工作人员必须按《劳动法》有关规定执行，为工人办理社会保险、职工意外伤害保险等，保障休息休假权利。</w:t>
      </w:r>
      <w:bookmarkEnd w:id="115"/>
      <w:bookmarkEnd w:id="116"/>
      <w:bookmarkStart w:id="119" w:name="_Toc24411"/>
      <w:bookmarkStart w:id="120" w:name="_Toc17657"/>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中标单位</w:t>
      </w:r>
      <w:r>
        <w:rPr>
          <w:rFonts w:hint="eastAsia" w:ascii="宋体" w:hAnsi="宋体" w:eastAsia="宋体" w:cs="宋体"/>
          <w:bCs/>
          <w:color w:val="auto"/>
          <w:sz w:val="18"/>
          <w:szCs w:val="18"/>
          <w:highlight w:val="none"/>
        </w:rPr>
        <w:t>应将保洁人员的分工情况、作息时间、排班计划等告知采购单位。</w:t>
      </w:r>
      <w:bookmarkEnd w:id="117"/>
      <w:bookmarkEnd w:id="118"/>
      <w:bookmarkEnd w:id="119"/>
      <w:bookmarkEnd w:id="120"/>
    </w:p>
    <w:p>
      <w:pPr>
        <w:pStyle w:val="30"/>
        <w:snapToGrid w:val="0"/>
        <w:spacing w:before="0" w:beforeLines="0" w:after="0" w:afterLines="0" w:line="500" w:lineRule="exact"/>
        <w:ind w:firstLine="360" w:firstLineChars="200"/>
        <w:outlineLvl w:val="0"/>
        <w:rPr>
          <w:rFonts w:hint="eastAsia" w:ascii="宋体" w:hAnsi="宋体" w:eastAsia="宋体" w:cs="宋体"/>
          <w:bCs/>
          <w:color w:val="auto"/>
          <w:sz w:val="18"/>
          <w:szCs w:val="18"/>
          <w:highlight w:val="none"/>
        </w:rPr>
      </w:pPr>
      <w:bookmarkStart w:id="121" w:name="_Toc20496"/>
      <w:r>
        <w:rPr>
          <w:rFonts w:hint="eastAsia" w:hAnsi="宋体" w:cs="宋体"/>
          <w:bCs/>
          <w:color w:val="auto"/>
          <w:sz w:val="18"/>
          <w:szCs w:val="18"/>
          <w:highlight w:val="none"/>
          <w:lang w:val="en-US" w:eastAsia="zh-CN"/>
        </w:rPr>
        <w:t>3、各标段中标单位在合同签订后应与管理方或管理方委托的第三方对各自区域内的草花、行道树等其他养护内容进行分路段进行明确、清楚的测量，后期实施时将依据上述资料进行养护实施。</w:t>
      </w:r>
      <w:bookmarkEnd w:id="121"/>
      <w:r>
        <w:rPr>
          <w:rFonts w:hint="eastAsia" w:ascii="宋体" w:hAnsi="宋体" w:eastAsia="宋体" w:cs="宋体"/>
          <w:bCs/>
          <w:color w:val="auto"/>
          <w:sz w:val="18"/>
          <w:szCs w:val="18"/>
          <w:highlight w:val="none"/>
        </w:rPr>
        <w:t xml:space="preserve">  </w:t>
      </w:r>
    </w:p>
    <w:p>
      <w:pP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br w:type="page"/>
      </w:r>
    </w:p>
    <w:p>
      <w:pPr>
        <w:jc w:val="center"/>
        <w:rPr>
          <w:rFonts w:hint="eastAsia" w:ascii="宋体" w:hAnsi="宋体" w:eastAsia="宋体" w:cs="宋体"/>
          <w:color w:val="auto"/>
          <w:sz w:val="18"/>
          <w:szCs w:val="18"/>
          <w:highlight w:val="none"/>
          <w:lang w:eastAsia="zh-CN"/>
        </w:rPr>
      </w:pPr>
      <w:bookmarkStart w:id="122" w:name="_Toc476"/>
      <w:r>
        <w:rPr>
          <w:rFonts w:hint="eastAsia" w:ascii="宋体" w:hAnsi="宋体" w:eastAsia="宋体" w:cs="宋体"/>
          <w:b/>
          <w:bCs/>
          <w:color w:val="auto"/>
          <w:sz w:val="28"/>
          <w:szCs w:val="28"/>
          <w:highlight w:val="none"/>
          <w:lang w:eastAsia="zh-CN"/>
        </w:rPr>
        <w:t>养护清单</w:t>
      </w:r>
    </w:p>
    <w:tbl>
      <w:tblPr>
        <w:tblStyle w:val="49"/>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4"/>
        <w:gridCol w:w="4278"/>
        <w:gridCol w:w="592"/>
        <w:gridCol w:w="787"/>
        <w:gridCol w:w="96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0200" w:type="dxa"/>
            <w:gridSpan w:val="6"/>
            <w:tcBorders>
              <w:top w:val="nil"/>
              <w:left w:val="nil"/>
              <w:bottom w:val="single" w:color="000000" w:sz="8" w:space="0"/>
              <w:right w:val="nil"/>
            </w:tcBorders>
            <w:shd w:val="clear" w:color="auto" w:fill="auto"/>
            <w:noWrap/>
            <w:vAlign w:val="top"/>
          </w:tcPr>
          <w:p>
            <w:pPr>
              <w:jc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color w:val="auto"/>
                <w:sz w:val="28"/>
                <w:szCs w:val="28"/>
                <w:highlight w:val="none"/>
              </w:rPr>
              <w:br w:type="page"/>
            </w:r>
            <w:r>
              <w:rPr>
                <w:rFonts w:hint="eastAsia" w:ascii="宋体" w:hAnsi="宋体" w:eastAsia="宋体" w:cs="宋体"/>
                <w:b/>
                <w:bCs/>
                <w:i w:val="0"/>
                <w:iCs w:val="0"/>
                <w:color w:val="000000"/>
                <w:kern w:val="0"/>
                <w:sz w:val="28"/>
                <w:szCs w:val="28"/>
                <w:highlight w:val="none"/>
                <w:u w:val="none"/>
                <w:lang w:val="en-US" w:eastAsia="zh-CN" w:bidi="ar"/>
              </w:rPr>
              <w:t>一标段养护工程量清单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25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27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5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7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9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99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5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君特口袋公园、永泰广场西侧口袋公园、品质提升—中山西路工程、品质提升—新平路、新秀路、亚厦路、蓬莱路工程绿化养护</w:t>
            </w:r>
          </w:p>
        </w:tc>
        <w:tc>
          <w:tcPr>
            <w:tcW w:w="42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12563.1</w:t>
            </w:r>
          </w:p>
        </w:tc>
        <w:tc>
          <w:tcPr>
            <w:tcW w:w="96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绿地养护</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1、种类：绿地养护，含乔灌木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226565.32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4175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1679.24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中山西路花箱草花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p>
            <w:pPr>
              <w:keepNext w:val="0"/>
              <w:keepLines w:val="0"/>
              <w:widowControl/>
              <w:numPr>
                <w:ilvl w:val="0"/>
                <w:numId w:val="0"/>
              </w:numPr>
              <w:suppressLineNumbers w:val="0"/>
              <w:jc w:val="left"/>
              <w:textAlignment w:val="center"/>
              <w:rPr>
                <w:rFonts w:hint="default" w:eastAsia="宋体"/>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5、花箱规格：26</w:t>
            </w:r>
            <w:r>
              <w:rPr>
                <w:rFonts w:hint="eastAsia" w:ascii="宋体" w:hAnsi="宋体" w:cs="宋体"/>
                <w:i w:val="0"/>
                <w:iCs w:val="0"/>
                <w:color w:val="000000"/>
                <w:kern w:val="0"/>
                <w:sz w:val="18"/>
                <w:szCs w:val="18"/>
                <w:highlight w:val="none"/>
                <w:u w:val="none"/>
                <w:lang w:val="en-US" w:eastAsia="zh-CN" w:bidi="ar"/>
              </w:rPr>
              <w:t>cm*</w:t>
            </w:r>
            <w:r>
              <w:rPr>
                <w:rFonts w:hint="eastAsia" w:ascii="宋体" w:hAnsi="宋体" w:eastAsia="宋体" w:cs="宋体"/>
                <w:i w:val="0"/>
                <w:iCs w:val="0"/>
                <w:color w:val="000000"/>
                <w:kern w:val="0"/>
                <w:sz w:val="18"/>
                <w:szCs w:val="18"/>
                <w:highlight w:val="none"/>
                <w:u w:val="none"/>
                <w:lang w:val="en-US" w:eastAsia="zh-CN" w:bidi="ar"/>
              </w:rPr>
              <w:t>62</w:t>
            </w:r>
            <w:r>
              <w:rPr>
                <w:rFonts w:hint="eastAsia" w:ascii="宋体" w:hAnsi="宋体" w:cs="宋体"/>
                <w:i w:val="0"/>
                <w:iCs w:val="0"/>
                <w:color w:val="000000"/>
                <w:kern w:val="0"/>
                <w:sz w:val="18"/>
                <w:szCs w:val="18"/>
                <w:highlight w:val="none"/>
                <w:u w:val="none"/>
                <w:lang w:val="en-US" w:eastAsia="zh-CN" w:bidi="ar"/>
              </w:rPr>
              <w:t>c</w:t>
            </w:r>
            <w:r>
              <w:rPr>
                <w:rFonts w:hint="eastAsia" w:ascii="宋体" w:hAnsi="宋体" w:eastAsia="宋体" w:cs="宋体"/>
                <w:i w:val="0"/>
                <w:iCs w:val="0"/>
                <w:color w:val="000000"/>
                <w:kern w:val="0"/>
                <w:sz w:val="18"/>
                <w:szCs w:val="18"/>
                <w:highlight w:val="none"/>
                <w:u w:val="none"/>
                <w:lang w:val="en-US" w:eastAsia="zh-CN" w:bidi="ar"/>
              </w:rPr>
              <w:t>m</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个</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殷秀大桥草花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8"/>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种类：时令草花（精品苗木）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2、单位面积株数：一组花箱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4、元旦：一叶兰（18株）、一品红（10株）、雏菊（8株）、花叶蔓L40（36株）（红、粉色系）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5、五.一：一叶兰（18株）、羽扇豆（8株）、蓝花鼠尾草（14株）、金叶番薯藤（24株）（蓝色系）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6、七.一：变叶木H45P30（4株）、天竺葵（8株）、秋海棠（8株）、金叶番薯藤L40（24株）（红、粉色系）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7、中秋、国庆：变叶木H45P30（4株）、一串红（14株）、万寿菊（8株）、花叶蔓L40（36株）（红、黄色系）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8、不限于上述品种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9、轻质种植基质（泥炭30%、园土40%、珍珠岩10%、蛭石10%、有机肥10%）约0.24m³/组</w:t>
            </w:r>
          </w:p>
          <w:p>
            <w:pPr>
              <w:pStyle w:val="22"/>
              <w:ind w:left="0" w:leftChars="0" w:firstLine="0" w:firstLineChars="0"/>
              <w:rPr>
                <w:rFonts w:hint="eastAsia"/>
                <w:highlight w:val="none"/>
                <w:lang w:val="en-US" w:eastAsia="zh-CN"/>
              </w:rPr>
            </w:pPr>
            <w:r>
              <w:rPr>
                <w:rFonts w:hint="eastAsia" w:ascii="宋体" w:hAnsi="宋体" w:cs="宋体"/>
                <w:i w:val="0"/>
                <w:iCs w:val="0"/>
                <w:color w:val="000000"/>
                <w:kern w:val="0"/>
                <w:sz w:val="18"/>
                <w:szCs w:val="18"/>
                <w:highlight w:val="none"/>
                <w:u w:val="none"/>
                <w:lang w:val="en-US" w:eastAsia="zh-CN" w:bidi="ar"/>
              </w:rPr>
              <w:t>花箱更换、修复：1</w:t>
            </w:r>
            <w:r>
              <w:rPr>
                <w:rFonts w:hint="eastAsia" w:ascii="宋体" w:hAnsi="宋体" w:eastAsia="宋体" w:cs="宋体"/>
                <w:i w:val="0"/>
                <w:iCs w:val="0"/>
                <w:color w:val="000000"/>
                <w:kern w:val="0"/>
                <w:sz w:val="18"/>
                <w:szCs w:val="18"/>
                <w:highlight w:val="none"/>
                <w:u w:val="none"/>
                <w:lang w:val="en-US" w:eastAsia="zh-CN" w:bidi="ar"/>
              </w:rPr>
              <w:t>、高密度PVC材料花盆；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2、黑色内镜PVC雕刻件；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3、黑色PVC底座表面烤漆；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4、高花箱590*590*950mm；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5、矮花箱490*490*725mm；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6、两个为一组，参考效果图及实地踏勘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7、损坏的修复、损毁的更换</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组</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秀洲大桥月季养护</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种类：月季</w:t>
            </w:r>
            <w:r>
              <w:rPr>
                <w:rFonts w:hint="eastAsia" w:ascii="宋体" w:hAnsi="宋体" w:cs="宋体"/>
                <w:i w:val="0"/>
                <w:iCs w:val="0"/>
                <w:color w:val="000000"/>
                <w:kern w:val="0"/>
                <w:sz w:val="18"/>
                <w:szCs w:val="18"/>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cs="宋体"/>
                <w:i w:val="0"/>
                <w:iCs w:val="0"/>
                <w:color w:val="000000"/>
                <w:kern w:val="0"/>
                <w:sz w:val="18"/>
                <w:szCs w:val="18"/>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04" w:type="dxa"/>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10200"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包含日常保洁工作，标段内类公园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rPr>
          <w:rFonts w:hint="eastAsia" w:ascii="宋体" w:hAnsi="宋体" w:cs="宋体"/>
          <w:b/>
          <w:bCs/>
          <w:color w:val="auto"/>
          <w:sz w:val="28"/>
          <w:szCs w:val="28"/>
          <w:highlight w:val="none"/>
          <w:lang w:eastAsia="zh-CN"/>
        </w:rPr>
      </w:pPr>
    </w:p>
    <w:tbl>
      <w:tblPr>
        <w:tblStyle w:val="49"/>
        <w:tblW w:w="9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0"/>
        <w:gridCol w:w="3725"/>
        <w:gridCol w:w="724"/>
        <w:gridCol w:w="988"/>
        <w:gridCol w:w="734"/>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46"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二标段养护工程量清单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7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9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73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7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大德路北延伸段小公园、景尚雅苑东小公园、东升西路（秀洲大道—新塍塘）绿化养护</w:t>
            </w:r>
          </w:p>
        </w:tc>
        <w:tc>
          <w:tcPr>
            <w:tcW w:w="37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107418</w:t>
            </w:r>
          </w:p>
        </w:tc>
        <w:tc>
          <w:tcPr>
            <w:tcW w:w="7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东升西路（秀洲大道—新塍塘）绿化养护</w:t>
            </w:r>
          </w:p>
        </w:tc>
        <w:tc>
          <w:tcPr>
            <w:tcW w:w="37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2、养护期：一年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74076</w:t>
            </w:r>
          </w:p>
        </w:tc>
        <w:tc>
          <w:tcPr>
            <w:tcW w:w="7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绿地养护</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1、种类：绿地养护，含乔灌木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230637.74</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4532</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2587.5</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月季养护</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1、种类：月季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12222</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11" w:type="dxa"/>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9846"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rPr>
          <w:rFonts w:hint="eastAsia" w:ascii="宋体" w:hAnsi="宋体" w:cs="宋体"/>
          <w:b/>
          <w:bCs/>
          <w:color w:val="auto"/>
          <w:sz w:val="28"/>
          <w:szCs w:val="28"/>
          <w:highlight w:val="none"/>
          <w:lang w:eastAsia="zh-CN"/>
        </w:rPr>
      </w:pP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3"/>
        <w:gridCol w:w="1485"/>
        <w:gridCol w:w="702"/>
        <w:gridCol w:w="1198"/>
        <w:gridCol w:w="1130"/>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三标段养护工程量清单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1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1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1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秀洲生态公园绿化养护</w:t>
            </w:r>
          </w:p>
        </w:tc>
        <w:tc>
          <w:tcPr>
            <w:tcW w:w="1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179298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春晓公园绿化养护</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92529</w:t>
            </w: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秀清公园（北区块）绿化养护</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ascii="宋体" w:hAnsi="宋体" w:eastAsia="宋体" w:cs="宋体"/>
                <w:b/>
                <w:bCs/>
                <w:i w:val="0"/>
                <w:iCs w:val="0"/>
                <w:color w:val="000000"/>
                <w:kern w:val="0"/>
                <w:sz w:val="18"/>
                <w:szCs w:val="18"/>
                <w:highlight w:val="none"/>
                <w:u w:val="none"/>
                <w:lang w:val="en-US" w:eastAsia="zh-CN" w:bidi="ar"/>
              </w:rPr>
              <w:t>标段内除春晓公园绿化养护不纳入日常保洁外秀洲生态公园绿化养护</w:t>
            </w:r>
            <w:r>
              <w:rPr>
                <w:rFonts w:hint="eastAsia" w:ascii="宋体" w:hAnsi="宋体" w:cs="宋体"/>
                <w:b/>
                <w:bCs/>
                <w:i w:val="0"/>
                <w:iCs w:val="0"/>
                <w:color w:val="000000"/>
                <w:kern w:val="0"/>
                <w:sz w:val="18"/>
                <w:szCs w:val="18"/>
                <w:highlight w:val="none"/>
                <w:u w:val="none"/>
                <w:lang w:val="en-US" w:eastAsia="zh-CN" w:bidi="ar"/>
              </w:rPr>
              <w:t>及秀清公园（北区块）绿化养护均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tbl>
      <w:tblPr>
        <w:tblStyle w:val="49"/>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2655"/>
        <w:gridCol w:w="1080"/>
        <w:gridCol w:w="1080"/>
        <w:gridCol w:w="10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6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四标段养护工程量清单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65411.59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区政府广场、嘉业阳光城区域草花</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1.种类：精品草花；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3.清明节前后-4月中旬：百日草（红色），H20cm，P15cm，64株/㎡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4.4月中旬-7月中旬：超级风仙“桑蓓斯”（猩红色、橙色），H25cm，P20cm，49株/㎡；                              5.7月中旬-9月下旬：百日草（红色），H20cm，P15cm，64株/㎡；                                             6.9月-11月：大花海棠“比哥”（绿叶红色花、铜叶猩红花），H30-40cm，P30-40cm，36株/㎡；                                                      7.12月下旬-清明节前后：角堇”珍品”（绯红），H15cm，P15cm，64株/㎡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秀洲公园、江南摩尔区域草花</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江南摩尔广场</w:t>
            </w:r>
            <w:r>
              <w:rPr>
                <w:rFonts w:hint="eastAsia" w:ascii="宋体" w:hAnsi="宋体" w:eastAsia="宋体" w:cs="宋体"/>
                <w:i w:val="0"/>
                <w:iCs w:val="0"/>
                <w:color w:val="000000"/>
                <w:kern w:val="0"/>
                <w:sz w:val="18"/>
                <w:szCs w:val="18"/>
                <w:highlight w:val="none"/>
                <w:u w:val="none"/>
                <w:lang w:val="en-US" w:eastAsia="zh-CN" w:bidi="ar"/>
              </w:rPr>
              <w:t>花箱草花</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（规格1）</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1、种类：时令草花</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2、保证花箱满栽，一年种五季</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3、养护期：一年</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4、含花箱整理、维修、更换</w:t>
            </w:r>
          </w:p>
          <w:p>
            <w:pPr>
              <w:pStyle w:val="58"/>
              <w:rPr>
                <w:rFonts w:hint="default" w:eastAsia="宋体"/>
                <w:highlight w:val="none"/>
                <w:lang w:val="en-US" w:eastAsia="zh-CN"/>
              </w:rPr>
            </w:pPr>
            <w:r>
              <w:rPr>
                <w:rFonts w:hint="eastAsia" w:ascii="宋体" w:hAnsi="宋体" w:cs="宋体"/>
                <w:i w:val="0"/>
                <w:iCs w:val="0"/>
                <w:color w:val="000000"/>
                <w:sz w:val="18"/>
                <w:szCs w:val="18"/>
                <w:highlight w:val="none"/>
                <w:u w:val="none"/>
                <w:lang w:val="en-US" w:eastAsia="zh-CN"/>
              </w:rPr>
              <w:t>5、花箱规格：30cm*80cm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360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江南摩尔广场</w:t>
            </w:r>
            <w:r>
              <w:rPr>
                <w:rFonts w:hint="eastAsia" w:ascii="宋体" w:hAnsi="宋体" w:eastAsia="宋体" w:cs="宋体"/>
                <w:i w:val="0"/>
                <w:iCs w:val="0"/>
                <w:color w:val="000000"/>
                <w:kern w:val="0"/>
                <w:sz w:val="18"/>
                <w:szCs w:val="18"/>
                <w:highlight w:val="none"/>
                <w:u w:val="none"/>
                <w:lang w:val="en-US" w:eastAsia="zh-CN" w:bidi="ar"/>
              </w:rPr>
              <w:t>花箱草花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（规格2）</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1、种类：时令草花</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2、保证花箱满栽，一年种五季</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3、养护期：一年</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4、含花箱整理、维修、更换</w:t>
            </w:r>
          </w:p>
          <w:p>
            <w:pPr>
              <w:pStyle w:val="58"/>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5、花箱规格30cm*100cm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水生植物养护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1、种类：水生植物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w:t>
            </w:r>
            <w:r>
              <w:rPr>
                <w:rFonts w:hint="eastAsia" w:ascii="宋体" w:hAnsi="宋体" w:cs="宋体"/>
                <w:i w:val="0"/>
                <w:iCs w:val="0"/>
                <w:color w:val="000000"/>
                <w:kern w:val="0"/>
                <w:sz w:val="18"/>
                <w:szCs w:val="18"/>
                <w:highlight w:val="none"/>
                <w:u w:val="none"/>
                <w:lang w:val="en-US" w:eastAsia="zh-CN" w:bidi="ar"/>
              </w:rPr>
              <w:t>定期水体清理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21046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垂直绿化养护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1、种类：垂直绿化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jc w:val="center"/>
        </w:trPr>
        <w:tc>
          <w:tcPr>
            <w:tcW w:w="976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ascii="宋体" w:hAnsi="宋体" w:eastAsia="宋体" w:cs="宋体"/>
                <w:b/>
                <w:bCs/>
                <w:i w:val="0"/>
                <w:iCs w:val="0"/>
                <w:color w:val="000000"/>
                <w:kern w:val="0"/>
                <w:sz w:val="18"/>
                <w:szCs w:val="18"/>
                <w:highlight w:val="none"/>
                <w:u w:val="none"/>
                <w:lang w:val="en-US" w:eastAsia="zh-CN" w:bidi="ar"/>
              </w:rPr>
              <w:t>标段</w:t>
            </w:r>
            <w:r>
              <w:rPr>
                <w:rFonts w:hint="eastAsia" w:ascii="宋体" w:hAnsi="宋体" w:cs="宋体"/>
                <w:b/>
                <w:bCs/>
                <w:i w:val="0"/>
                <w:iCs w:val="0"/>
                <w:color w:val="000000"/>
                <w:kern w:val="0"/>
                <w:sz w:val="18"/>
                <w:szCs w:val="18"/>
                <w:highlight w:val="none"/>
                <w:u w:val="none"/>
                <w:lang w:val="en-US" w:eastAsia="zh-CN" w:bidi="ar"/>
              </w:rPr>
              <w:t>内所有内容均</w:t>
            </w:r>
            <w:r>
              <w:rPr>
                <w:rFonts w:hint="eastAsia" w:ascii="宋体" w:hAnsi="宋体" w:eastAsia="宋体" w:cs="宋体"/>
                <w:b/>
                <w:bCs/>
                <w:i w:val="0"/>
                <w:iCs w:val="0"/>
                <w:color w:val="000000"/>
                <w:kern w:val="0"/>
                <w:sz w:val="18"/>
                <w:szCs w:val="18"/>
                <w:highlight w:val="none"/>
                <w:u w:val="none"/>
                <w:lang w:val="en-US" w:eastAsia="zh-CN" w:bidi="ar"/>
              </w:rPr>
              <w:t>不包含日常保洁工作，标段内</w:t>
            </w:r>
            <w:r>
              <w:rPr>
                <w:rFonts w:hint="eastAsia" w:ascii="宋体" w:hAnsi="宋体" w:cs="宋体"/>
                <w:b/>
                <w:bCs/>
                <w:i w:val="0"/>
                <w:iCs w:val="0"/>
                <w:color w:val="000000"/>
                <w:kern w:val="0"/>
                <w:sz w:val="18"/>
                <w:szCs w:val="18"/>
                <w:highlight w:val="none"/>
                <w:u w:val="none"/>
                <w:lang w:val="en-US" w:eastAsia="zh-CN" w:bidi="ar"/>
              </w:rPr>
              <w:t>仅</w:t>
            </w:r>
            <w:r>
              <w:rPr>
                <w:rFonts w:hint="eastAsia" w:ascii="宋体" w:hAnsi="宋体" w:eastAsia="宋体" w:cs="宋体"/>
                <w:b/>
                <w:bCs/>
                <w:i w:val="0"/>
                <w:iCs w:val="0"/>
                <w:color w:val="000000"/>
                <w:kern w:val="0"/>
                <w:sz w:val="18"/>
                <w:szCs w:val="18"/>
                <w:highlight w:val="none"/>
                <w:u w:val="none"/>
                <w:lang w:val="en-US" w:eastAsia="zh-CN" w:bidi="ar"/>
              </w:rPr>
              <w:t>秀洲公园铺装与设施纳入日常维修养护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657"/>
        <w:gridCol w:w="742"/>
        <w:gridCol w:w="1649"/>
        <w:gridCol w:w="1300"/>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五标段养护工程量清单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6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3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6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绿化养护</w:t>
            </w:r>
          </w:p>
        </w:tc>
        <w:tc>
          <w:tcPr>
            <w:tcW w:w="18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221266.9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18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1731.72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金盛花苑南侧</w:t>
            </w:r>
            <w:r>
              <w:rPr>
                <w:rFonts w:hint="eastAsia" w:ascii="宋体" w:hAnsi="宋体" w:eastAsia="宋体" w:cs="宋体"/>
                <w:i w:val="0"/>
                <w:iCs w:val="0"/>
                <w:color w:val="000000"/>
                <w:kern w:val="0"/>
                <w:sz w:val="18"/>
                <w:szCs w:val="18"/>
                <w:highlight w:val="none"/>
                <w:u w:val="none"/>
                <w:lang w:val="en-US" w:eastAsia="zh-CN" w:bidi="ar"/>
              </w:rPr>
              <w:t>籽播草花</w:t>
            </w:r>
          </w:p>
        </w:tc>
        <w:tc>
          <w:tcPr>
            <w:tcW w:w="18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2、单位面积株数：64株/㎡，一年种三季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rPr>
          <w:rFonts w:hint="eastAsia" w:ascii="宋体" w:hAnsi="宋体" w:cs="宋体"/>
          <w:b/>
          <w:bCs/>
          <w:color w:val="auto"/>
          <w:sz w:val="28"/>
          <w:szCs w:val="28"/>
          <w:highlight w:val="none"/>
          <w:lang w:eastAsia="zh-CN"/>
        </w:rPr>
      </w:pP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1740"/>
        <w:gridCol w:w="1080"/>
        <w:gridCol w:w="1080"/>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六标段养护工程量清单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1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殷秀路绿地、杭州塘与北郊河东岸绿化养护</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种类：绿化养护，含乔灌木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2、籽播草花一年按三季进行更换及养护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115979.7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殷秀路及洪高路绿道绿化养护</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种类：绿化养护，含乔灌木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2、花镜、地被的草花更换及养护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3、籽播草花一年按三季进行更换及养护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、养护期：</w:t>
            </w:r>
            <w:r>
              <w:rPr>
                <w:rFonts w:hint="eastAsia" w:ascii="宋体" w:hAnsi="宋体" w:cs="宋体"/>
                <w:i w:val="0"/>
                <w:iCs w:val="0"/>
                <w:color w:val="000000"/>
                <w:kern w:val="0"/>
                <w:sz w:val="18"/>
                <w:szCs w:val="18"/>
                <w:highlight w:val="none"/>
                <w:u w:val="none"/>
                <w:lang w:val="en-US" w:eastAsia="zh-CN" w:bidi="ar"/>
              </w:rPr>
              <w:t>2024年1月17日至2024年12月31日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4殷秀路绿地、杭州塘与北郊河东岸绿化养护</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所有区域的</w:t>
            </w:r>
            <w:r>
              <w:rPr>
                <w:rFonts w:hint="eastAsia" w:ascii="宋体" w:hAnsi="宋体" w:eastAsia="宋体" w:cs="宋体"/>
                <w:b/>
                <w:bCs/>
                <w:i w:val="0"/>
                <w:iCs w:val="0"/>
                <w:color w:val="000000"/>
                <w:kern w:val="0"/>
                <w:sz w:val="18"/>
                <w:szCs w:val="18"/>
                <w:highlight w:val="none"/>
                <w:u w:val="none"/>
                <w:lang w:val="en-US" w:eastAsia="zh-CN" w:bidi="ar"/>
              </w:rPr>
              <w:t>铺装与设施</w:t>
            </w:r>
            <w:r>
              <w:rPr>
                <w:rFonts w:hint="eastAsia" w:ascii="宋体" w:hAnsi="宋体" w:cs="宋体"/>
                <w:b/>
                <w:bCs/>
                <w:i w:val="0"/>
                <w:iCs w:val="0"/>
                <w:color w:val="000000"/>
                <w:kern w:val="0"/>
                <w:sz w:val="18"/>
                <w:szCs w:val="18"/>
                <w:highlight w:val="none"/>
                <w:u w:val="none"/>
                <w:lang w:val="en-US" w:eastAsia="zh-CN" w:bidi="ar"/>
              </w:rPr>
              <w:t>均</w:t>
            </w:r>
            <w:r>
              <w:rPr>
                <w:rFonts w:hint="eastAsia" w:ascii="宋体" w:hAnsi="宋体" w:eastAsia="宋体" w:cs="宋体"/>
                <w:b/>
                <w:bCs/>
                <w:i w:val="0"/>
                <w:iCs w:val="0"/>
                <w:color w:val="000000"/>
                <w:kern w:val="0"/>
                <w:sz w:val="18"/>
                <w:szCs w:val="18"/>
                <w:highlight w:val="none"/>
                <w:u w:val="none"/>
                <w:lang w:val="en-US" w:eastAsia="zh-CN" w:bidi="ar"/>
              </w:rPr>
              <w:t>包含日常维修养护。</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5.</w:t>
            </w:r>
            <w:r>
              <w:rPr>
                <w:rFonts w:hint="default" w:ascii="Calibri" w:hAnsi="Calibri" w:eastAsia="宋体" w:cs="Calibri"/>
                <w:b/>
                <w:bCs/>
                <w:i w:val="0"/>
                <w:iCs w:val="0"/>
                <w:color w:val="000000"/>
                <w:kern w:val="0"/>
                <w:sz w:val="18"/>
                <w:szCs w:val="18"/>
                <w:highlight w:val="none"/>
                <w:u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p>
            <w:pPr>
              <w:pStyle w:val="58"/>
              <w:rPr>
                <w:rFonts w:hint="default"/>
                <w:highlight w:val="none"/>
                <w:lang w:val="en-US" w:eastAsia="zh-CN"/>
              </w:rPr>
            </w:pPr>
            <w:r>
              <w:rPr>
                <w:rFonts w:hint="eastAsia" w:ascii="宋体" w:hAnsi="宋体" w:cs="宋体"/>
                <w:b/>
                <w:bCs/>
                <w:i w:val="0"/>
                <w:iCs w:val="0"/>
                <w:color w:val="000000"/>
                <w:kern w:val="0"/>
                <w:sz w:val="18"/>
                <w:szCs w:val="18"/>
                <w:highlight w:val="none"/>
                <w:u w:val="none"/>
                <w:lang w:val="en-US" w:eastAsia="zh-CN" w:bidi="ar"/>
              </w:rPr>
              <w:t>7.殷秀路及洪高路绿道绿化养护部分原养护截止时间为2024年1月16日，故本标段养护期于2024年1月17日开始计，综合单价已在投标时考虑。</w:t>
            </w:r>
          </w:p>
        </w:tc>
      </w:tr>
    </w:tbl>
    <w:p>
      <w:pPr>
        <w:rPr>
          <w:rFonts w:hint="eastAsia" w:ascii="宋体" w:hAnsi="宋体" w:cs="宋体"/>
          <w:b/>
          <w:bCs/>
          <w:color w:val="auto"/>
          <w:sz w:val="28"/>
          <w:szCs w:val="28"/>
          <w:highlight w:val="none"/>
          <w:lang w:eastAsia="zh-CN"/>
        </w:rPr>
      </w:pP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养护标准</w:t>
      </w:r>
    </w:p>
    <w:p>
      <w:pPr>
        <w:widowControl/>
        <w:spacing w:line="560" w:lineRule="exact"/>
        <w:ind w:firstLine="361" w:firstLineChars="20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嘉兴市区城市绿</w:t>
      </w:r>
      <w:r>
        <w:rPr>
          <w:rFonts w:hint="eastAsia" w:ascii="宋体" w:hAnsi="宋体" w:eastAsia="宋体" w:cs="宋体"/>
          <w:b/>
          <w:bCs/>
          <w:kern w:val="0"/>
          <w:sz w:val="18"/>
          <w:szCs w:val="18"/>
          <w:highlight w:val="none"/>
          <w:lang w:eastAsia="zh-CN"/>
        </w:rPr>
        <w:t>化</w:t>
      </w:r>
      <w:r>
        <w:rPr>
          <w:rFonts w:hint="eastAsia" w:ascii="宋体" w:hAnsi="宋体" w:eastAsia="宋体" w:cs="宋体"/>
          <w:b/>
          <w:bCs/>
          <w:kern w:val="0"/>
          <w:sz w:val="18"/>
          <w:szCs w:val="18"/>
          <w:highlight w:val="none"/>
        </w:rPr>
        <w:t>养护标准</w:t>
      </w:r>
      <w:bookmarkStart w:id="123" w:name="_Toc156725167"/>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1.总则</w:t>
      </w:r>
      <w:bookmarkEnd w:id="123"/>
    </w:p>
    <w:p>
      <w:pPr>
        <w:widowControl/>
        <w:spacing w:line="560" w:lineRule="exact"/>
        <w:ind w:firstLine="360" w:firstLineChars="200"/>
        <w:jc w:val="left"/>
        <w:outlineLvl w:val="0"/>
        <w:rPr>
          <w:rFonts w:hint="eastAsia" w:ascii="宋体" w:hAnsi="宋体" w:eastAsia="宋体" w:cs="宋体"/>
          <w:color w:val="000000"/>
          <w:kern w:val="0"/>
          <w:sz w:val="18"/>
          <w:szCs w:val="18"/>
          <w:highlight w:val="none"/>
        </w:rPr>
      </w:pPr>
      <w:bookmarkStart w:id="124" w:name="_Toc8411"/>
      <w:r>
        <w:rPr>
          <w:rFonts w:hint="eastAsia" w:ascii="宋体" w:hAnsi="宋体" w:eastAsia="宋体" w:cs="宋体"/>
          <w:color w:val="000000"/>
          <w:kern w:val="0"/>
          <w:sz w:val="18"/>
          <w:szCs w:val="18"/>
          <w:highlight w:val="none"/>
        </w:rPr>
        <w:t>1.1  为加强嘉兴市区城市绿地养护的管理，提高绿地养护质量，进一步强化园林行业规范管理，促进园林绿化事业可持续发展,根据国家和省、市有关法律、法规，结合本市实际情况，特制订本标准。</w:t>
      </w:r>
      <w:bookmarkEnd w:id="124"/>
      <w:r>
        <w:rPr>
          <w:rFonts w:hint="eastAsia" w:ascii="宋体" w:hAnsi="宋体" w:eastAsia="宋体" w:cs="宋体"/>
          <w:color w:val="000000"/>
          <w:kern w:val="0"/>
          <w:sz w:val="18"/>
          <w:szCs w:val="18"/>
          <w:highlight w:val="none"/>
        </w:rPr>
        <w:t xml:space="preserve"> </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  本标准适用于嘉兴市城市规划区范围内公园绿地、道路绿地、滨河绿地、防护绿地、风景林地、古树名木、行道树等的养护。单位、居住区附属绿地及其他绿地可参照本标准执行。</w:t>
      </w:r>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2.城市绿地、行道树等级标准</w:t>
      </w:r>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2.1 城市绿地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城市绿地按其功能、类型、建设标准和植物配置情况分为</w:t>
      </w:r>
      <w:r>
        <w:rPr>
          <w:rFonts w:hint="eastAsia" w:ascii="宋体" w:hAnsi="宋体" w:cs="宋体"/>
          <w:color w:val="000000"/>
          <w:kern w:val="0"/>
          <w:sz w:val="18"/>
          <w:szCs w:val="18"/>
          <w:highlight w:val="none"/>
          <w:lang w:eastAsia="zh-CN"/>
        </w:rPr>
        <w:t>精细化绿地、</w:t>
      </w:r>
      <w:r>
        <w:rPr>
          <w:rFonts w:hint="eastAsia" w:ascii="宋体" w:hAnsi="宋体" w:eastAsia="宋体" w:cs="宋体"/>
          <w:color w:val="000000"/>
          <w:kern w:val="0"/>
          <w:sz w:val="18"/>
          <w:szCs w:val="18"/>
          <w:highlight w:val="none"/>
        </w:rPr>
        <w:t>一级、二级、三级绿地，具体划分标准如下：</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2.1.1一级绿地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2.1.1.1 绿地位于城市建成区生活和交通中心区域，绿化综合功能的发挥较为显著。</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2.1.1.2 绿地类型主要为广场、公园、古树名木、街旁绿地、游园、生态绿道，快速路、主干道、次干道绿化带等，</w:t>
      </w:r>
      <w:r>
        <w:rPr>
          <w:rFonts w:hint="eastAsia" w:ascii="宋体" w:hAnsi="宋体" w:eastAsia="宋体" w:cs="宋体"/>
          <w:color w:val="000000"/>
          <w:sz w:val="18"/>
          <w:szCs w:val="18"/>
          <w:highlight w:val="none"/>
        </w:rPr>
        <w:t>绿化盖率95%以上,绿带宽度8M以上,面积400M</w:t>
      </w:r>
      <w:r>
        <w:rPr>
          <w:rFonts w:hint="eastAsia" w:ascii="宋体" w:hAnsi="宋体" w:eastAsia="宋体" w:cs="宋体"/>
          <w:color w:val="000000"/>
          <w:sz w:val="18"/>
          <w:szCs w:val="18"/>
          <w:highlight w:val="none"/>
          <w:vertAlign w:val="superscript"/>
        </w:rPr>
        <w:t>2</w:t>
      </w:r>
      <w:r>
        <w:rPr>
          <w:rFonts w:hint="eastAsia" w:ascii="宋体" w:hAnsi="宋体" w:eastAsia="宋体" w:cs="宋体"/>
          <w:color w:val="000000"/>
          <w:sz w:val="18"/>
          <w:szCs w:val="18"/>
          <w:highlight w:val="none"/>
        </w:rPr>
        <w:t>以上的绿地。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2.1.1.3 绿地内园路、园灯、园椅、园林小品、灌溉、卫生、围护、导游图、指示牌、植物识别牌等设施较为完善，建设标准</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较高。</w:t>
      </w:r>
    </w:p>
    <w:p>
      <w:pPr>
        <w:widowControl/>
        <w:spacing w:line="560" w:lineRule="exact"/>
        <w:ind w:firstLine="645"/>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2.1.1.4 绿化种植形式丰富，乔灌花草合理配置，绿地景观要求高、效果好。</w:t>
      </w:r>
    </w:p>
    <w:p>
      <w:pPr>
        <w:widowControl/>
        <w:spacing w:line="560" w:lineRule="exact"/>
        <w:ind w:firstLine="645"/>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2.1.1.5 重要节假日和大型活动期间有一定数量草花布置。</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2.1.2 二级绿地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2.1.2.1 绿地位于绿地位于城市交通和生活次要地区，绿化功能发挥较为明显。</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2.1.2.2 绿地类型主要为</w:t>
      </w:r>
      <w:r>
        <w:rPr>
          <w:rFonts w:hint="eastAsia" w:ascii="宋体" w:hAnsi="宋体" w:eastAsia="宋体" w:cs="宋体"/>
          <w:color w:val="000000"/>
          <w:sz w:val="18"/>
          <w:szCs w:val="18"/>
          <w:highlight w:val="none"/>
        </w:rPr>
        <w:t>小游园、</w:t>
      </w:r>
      <w:r>
        <w:rPr>
          <w:rFonts w:hint="eastAsia" w:ascii="宋体" w:hAnsi="宋体" w:eastAsia="宋体" w:cs="宋体"/>
          <w:color w:val="000000"/>
          <w:kern w:val="0"/>
          <w:sz w:val="18"/>
          <w:szCs w:val="18"/>
          <w:highlight w:val="none"/>
        </w:rPr>
        <w:t>街旁绿地、游园、生态绿道、零星绿地、湿地、支路绿化带等，</w:t>
      </w:r>
      <w:r>
        <w:rPr>
          <w:rFonts w:hint="eastAsia" w:ascii="宋体" w:hAnsi="宋体" w:eastAsia="宋体" w:cs="宋体"/>
          <w:color w:val="000000"/>
          <w:sz w:val="18"/>
          <w:szCs w:val="18"/>
          <w:highlight w:val="none"/>
        </w:rPr>
        <w:t>具有园路等一般设施，绿化覆盖率90%以上。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2.1.2.3 绿化种植形式较为丰富，植物配置合理，景观效果较好。</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2.1.3 三级绿地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2.1.3.1 </w:t>
      </w:r>
      <w:r>
        <w:rPr>
          <w:rFonts w:hint="eastAsia" w:ascii="宋体" w:hAnsi="宋体" w:eastAsia="宋体" w:cs="宋体"/>
          <w:color w:val="000000"/>
          <w:sz w:val="18"/>
          <w:szCs w:val="18"/>
          <w:highlight w:val="none"/>
        </w:rPr>
        <w:t>绿地位于城市外围或近郊，位置较为偏远，绿地功能较为单一，</w:t>
      </w:r>
      <w:r>
        <w:rPr>
          <w:rFonts w:hint="eastAsia" w:ascii="宋体" w:hAnsi="宋体" w:eastAsia="宋体" w:cs="宋体"/>
          <w:color w:val="000000"/>
          <w:kern w:val="0"/>
          <w:sz w:val="18"/>
          <w:szCs w:val="18"/>
          <w:highlight w:val="none"/>
        </w:rPr>
        <w:t>对城市生态环境质量和生物多样性保护有直接影响的绿地。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2.1.3.2 </w:t>
      </w:r>
      <w:r>
        <w:rPr>
          <w:rFonts w:hint="eastAsia" w:ascii="宋体" w:hAnsi="宋体" w:eastAsia="宋体" w:cs="宋体"/>
          <w:color w:val="000000"/>
          <w:sz w:val="18"/>
          <w:szCs w:val="18"/>
          <w:highlight w:val="none"/>
        </w:rPr>
        <w:t>绿地类型主要为除一、二级绿地以外的滨河林带、街旁绿地、</w:t>
      </w:r>
      <w:r>
        <w:rPr>
          <w:rFonts w:hint="eastAsia" w:ascii="宋体" w:hAnsi="宋体" w:eastAsia="宋体" w:cs="宋体"/>
          <w:color w:val="000000"/>
          <w:kern w:val="0"/>
          <w:sz w:val="18"/>
          <w:szCs w:val="18"/>
          <w:highlight w:val="none"/>
        </w:rPr>
        <w:t>零星绿地、</w:t>
      </w:r>
      <w:r>
        <w:rPr>
          <w:rFonts w:hint="eastAsia" w:ascii="宋体" w:hAnsi="宋体" w:eastAsia="宋体" w:cs="宋体"/>
          <w:color w:val="000000"/>
          <w:sz w:val="18"/>
          <w:szCs w:val="18"/>
          <w:highlight w:val="none"/>
        </w:rPr>
        <w:t>道路林带、</w:t>
      </w:r>
      <w:r>
        <w:rPr>
          <w:rFonts w:hint="eastAsia" w:ascii="宋体" w:hAnsi="宋体" w:eastAsia="宋体" w:cs="宋体"/>
          <w:color w:val="000000"/>
          <w:kern w:val="0"/>
          <w:sz w:val="18"/>
          <w:szCs w:val="18"/>
          <w:highlight w:val="none"/>
        </w:rPr>
        <w:t>城市绿化隔离带、垃圾填埋场恢复绿地</w:t>
      </w:r>
      <w:r>
        <w:rPr>
          <w:rFonts w:hint="eastAsia" w:ascii="宋体" w:hAnsi="宋体" w:eastAsia="宋体" w:cs="宋体"/>
          <w:color w:val="000000"/>
          <w:sz w:val="18"/>
          <w:szCs w:val="18"/>
          <w:highlight w:val="none"/>
        </w:rPr>
        <w:t>等，一般为无园路等设施的半开放或非开放型绿地。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2.1.3.3 绿地功能较为单一，绿地基本能有植物覆盖。</w:t>
      </w:r>
    </w:p>
    <w:p>
      <w:pPr>
        <w:widowControl/>
        <w:spacing w:line="560" w:lineRule="exact"/>
        <w:ind w:firstLine="361" w:firstLineChars="200"/>
        <w:jc w:val="left"/>
        <w:rPr>
          <w:rFonts w:hint="eastAsia" w:ascii="宋体" w:hAnsi="宋体" w:eastAsia="宋体" w:cs="宋体"/>
          <w:b/>
          <w:bCs/>
          <w:color w:val="000000"/>
          <w:sz w:val="18"/>
          <w:szCs w:val="18"/>
          <w:highlight w:val="none"/>
        </w:rPr>
      </w:pPr>
      <w:r>
        <w:rPr>
          <w:rFonts w:hint="eastAsia" w:ascii="宋体" w:hAnsi="宋体" w:eastAsia="宋体" w:cs="宋体"/>
          <w:b/>
          <w:bCs/>
          <w:color w:val="000000"/>
          <w:sz w:val="18"/>
          <w:szCs w:val="18"/>
          <w:highlight w:val="none"/>
        </w:rPr>
        <w:t>2.2 行道树</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行道树按其胸径规格分为五个基本等级：</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2.2.1 一级行道树：胸径40cm以上。</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2.2.2 二级行道树：胸径25cm --40cm。</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2.2.3 三级行道树：胸径15cm --25cm。</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2.2.4 四级行道树：胸径10cm --15cm。</w:t>
      </w:r>
    </w:p>
    <w:p>
      <w:pPr>
        <w:widowControl/>
        <w:spacing w:line="560" w:lineRule="exact"/>
        <w:ind w:firstLine="360" w:firstLineChars="200"/>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2.2.5 五级行道树：胸径10cm以下（不含10cm）。</w:t>
      </w:r>
    </w:p>
    <w:p>
      <w:pPr>
        <w:widowControl/>
        <w:spacing w:line="560" w:lineRule="exact"/>
        <w:ind w:firstLine="361" w:firstLineChars="200"/>
        <w:jc w:val="left"/>
        <w:outlineLvl w:val="0"/>
        <w:rPr>
          <w:rFonts w:hint="eastAsia" w:ascii="宋体" w:hAnsi="宋体" w:eastAsia="宋体" w:cs="宋体"/>
          <w:b/>
          <w:bCs/>
          <w:color w:val="000000"/>
          <w:kern w:val="36"/>
          <w:sz w:val="18"/>
          <w:szCs w:val="18"/>
          <w:highlight w:val="none"/>
        </w:rPr>
      </w:pPr>
      <w:bookmarkStart w:id="125" w:name="_Toc156725169"/>
      <w:bookmarkStart w:id="126" w:name="_Toc14550"/>
      <w:r>
        <w:rPr>
          <w:rFonts w:hint="eastAsia" w:ascii="宋体" w:hAnsi="宋体" w:eastAsia="宋体" w:cs="宋体"/>
          <w:b/>
          <w:bCs/>
          <w:color w:val="000000"/>
          <w:kern w:val="36"/>
          <w:sz w:val="18"/>
          <w:szCs w:val="18"/>
          <w:highlight w:val="none"/>
        </w:rPr>
        <w:t>3.城市绿地养护标准</w:t>
      </w:r>
      <w:bookmarkEnd w:id="125"/>
      <w:bookmarkEnd w:id="126"/>
    </w:p>
    <w:p>
      <w:pPr>
        <w:widowControl/>
        <w:spacing w:line="560" w:lineRule="exact"/>
        <w:ind w:firstLine="361" w:firstLineChars="200"/>
        <w:jc w:val="left"/>
        <w:outlineLvl w:val="0"/>
        <w:rPr>
          <w:rFonts w:hint="eastAsia" w:ascii="宋体" w:hAnsi="宋体" w:eastAsia="宋体" w:cs="宋体"/>
          <w:b/>
          <w:color w:val="000000"/>
          <w:kern w:val="0"/>
          <w:sz w:val="18"/>
          <w:szCs w:val="18"/>
          <w:highlight w:val="none"/>
        </w:rPr>
      </w:pPr>
      <w:bookmarkStart w:id="127" w:name="_Toc32254"/>
      <w:r>
        <w:rPr>
          <w:rFonts w:hint="eastAsia" w:ascii="宋体" w:hAnsi="宋体" w:eastAsia="宋体" w:cs="宋体"/>
          <w:b/>
          <w:color w:val="000000"/>
          <w:kern w:val="0"/>
          <w:sz w:val="18"/>
          <w:szCs w:val="18"/>
          <w:highlight w:val="none"/>
        </w:rPr>
        <w:t>3.1 总体标准</w:t>
      </w:r>
      <w:bookmarkEnd w:id="127"/>
    </w:p>
    <w:p>
      <w:pPr>
        <w:widowControl/>
        <w:spacing w:line="560" w:lineRule="exact"/>
        <w:ind w:firstLine="360" w:firstLineChars="200"/>
        <w:jc w:val="left"/>
        <w:rPr>
          <w:rFonts w:hint="eastAsia" w:ascii="宋体" w:hAnsi="宋体" w:eastAsia="宋体" w:cs="宋体"/>
          <w:b/>
          <w:bCs/>
          <w:color w:val="000000"/>
          <w:kern w:val="36"/>
          <w:sz w:val="18"/>
          <w:szCs w:val="18"/>
          <w:highlight w:val="none"/>
        </w:rPr>
      </w:pPr>
      <w:r>
        <w:rPr>
          <w:rFonts w:hint="eastAsia" w:ascii="宋体" w:hAnsi="宋体" w:eastAsia="宋体" w:cs="宋体"/>
          <w:color w:val="000000"/>
          <w:kern w:val="0"/>
          <w:sz w:val="18"/>
          <w:szCs w:val="18"/>
          <w:highlight w:val="none"/>
        </w:rPr>
        <w:t>绿化养护技术措施完善，建有工种齐全和固定的养护队伍，科学实施养护养资料档案管理科学有序。养护要随着植物生长的各个阶段，不断进行调整与充实；根据设计意图，使植物群落结构合理，层次丰富，季相分明；植物生长旺盛，黄土不露天；保持植株清洁，绿地总体景观好。具体内容包括园林植物养护、设施维护、土肥标准、病虫害防治标准、卫生标准及管理标准。</w:t>
      </w:r>
    </w:p>
    <w:p>
      <w:pPr>
        <w:widowControl/>
        <w:spacing w:line="560" w:lineRule="exact"/>
        <w:ind w:firstLine="361" w:firstLineChars="200"/>
        <w:jc w:val="left"/>
        <w:outlineLvl w:val="0"/>
        <w:rPr>
          <w:rFonts w:hint="eastAsia" w:ascii="宋体" w:hAnsi="宋体" w:eastAsia="宋体" w:cs="宋体"/>
          <w:b/>
          <w:bCs/>
          <w:color w:val="000000"/>
          <w:kern w:val="36"/>
          <w:sz w:val="18"/>
          <w:szCs w:val="18"/>
          <w:highlight w:val="none"/>
        </w:rPr>
      </w:pPr>
      <w:bookmarkStart w:id="128" w:name="_Toc17070"/>
      <w:r>
        <w:rPr>
          <w:rFonts w:hint="eastAsia" w:ascii="宋体" w:hAnsi="宋体" w:eastAsia="宋体" w:cs="宋体"/>
          <w:b/>
          <w:bCs/>
          <w:color w:val="000000"/>
          <w:kern w:val="36"/>
          <w:sz w:val="18"/>
          <w:szCs w:val="18"/>
          <w:highlight w:val="none"/>
        </w:rPr>
        <w:t>3.2 一级绿地养护标准</w:t>
      </w:r>
      <w:bookmarkEnd w:id="128"/>
    </w:p>
    <w:p>
      <w:pPr>
        <w:widowControl/>
        <w:spacing w:line="560" w:lineRule="exact"/>
        <w:ind w:firstLine="361" w:firstLineChars="200"/>
        <w:jc w:val="left"/>
        <w:rPr>
          <w:rFonts w:hint="eastAsia" w:ascii="宋体" w:hAnsi="宋体" w:eastAsia="宋体" w:cs="宋体"/>
          <w:b/>
          <w:bCs/>
          <w:color w:val="000000"/>
          <w:kern w:val="36"/>
          <w:sz w:val="18"/>
          <w:szCs w:val="18"/>
          <w:highlight w:val="none"/>
        </w:rPr>
      </w:pPr>
      <w:r>
        <w:rPr>
          <w:rFonts w:hint="eastAsia" w:ascii="宋体" w:hAnsi="宋体" w:eastAsia="宋体" w:cs="宋体"/>
          <w:b/>
          <w:color w:val="000000"/>
          <w:kern w:val="0"/>
          <w:sz w:val="18"/>
          <w:szCs w:val="18"/>
          <w:highlight w:val="none"/>
        </w:rPr>
        <w:t>3.2.1 园林植物养护标准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3.2.1.1 植物生长健壮，长势良好，乔灌木成活率98%以上，乔灌木保存率100%，无缺、死株。</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3.2.1.2 按乔灌木生长习性进行定期科学修剪，不影响行人交通安全。乔木分枝点合适，主侧枝分布匀称，内膛不乱，通风透光；修剪有型、疏密适度，剪口平滑。乔灌木无歪斜，无倒伏现象；无枯枝死杈，无徒长枝、病虫枝、过密枝、枯枝、伤损枝；</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叶片大小、颜色正常。花灌木开花应适时，株形丰满，修剪及时、</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准确。</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3.2.1.3 色块、绿篱等枝叶茂密，整齐一致，完好率98%以上；适期修剪，曲线润畅，轮廓明显，球类修剪圆整；绿篱及色</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块无死亡、空缺，无脱脚现象；新生枝不得超过10cm。</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3.2.1.4 宿根植物及时翻种、断根、间苗。</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3.2.1.5 草坪及地被植物整齐一致，边缘线清晰（及时切边），生长茂盛且覆盖率98 %以上，草坪适时修剪，高度保持在10cm之内。草坪无黄化现象，无杂草、无斑秃、无裸露地面。草坪绿色期：冷季型草坪不得少于300天，暖季型草坪不得少于210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3.2.1.6 时花按设计精心养护，花期整齐，花量饱满，轮廓清晰、整齐美观。花坛、花带株行距适宜，无倒伏、无残缺。</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3.2.1.7 棚架、假山、墙面、围栏（墙）、桥体上的藤蔓植物及垂直绿化生长茂盛，并根据不同植物的攀缘特点，及时采取相应的技术措施，及时清除枯枝，疏删老弱藤蔓。</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3.2.1.8 水湿生植物生长控制得当，无枯叶、病虫叶，进入休眠期后及时收割。</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3.2.1.9 绿地内无大型和缠绕性、攀缘性杂草，零星区域的杂草控制在5％以下，且</w:t>
      </w:r>
      <w:r>
        <w:rPr>
          <w:rFonts w:hint="eastAsia" w:ascii="宋体" w:hAnsi="宋体" w:eastAsia="宋体" w:cs="宋体"/>
          <w:color w:val="000000"/>
          <w:sz w:val="18"/>
          <w:szCs w:val="18"/>
          <w:highlight w:val="none"/>
        </w:rPr>
        <w:t>无15cm以上杂草</w:t>
      </w:r>
      <w:r>
        <w:rPr>
          <w:rFonts w:hint="eastAsia" w:ascii="宋体" w:hAnsi="宋体" w:eastAsia="宋体" w:cs="宋体"/>
          <w:color w:val="000000"/>
          <w:kern w:val="0"/>
          <w:sz w:val="18"/>
          <w:szCs w:val="18"/>
          <w:highlight w:val="none"/>
        </w:rPr>
        <w:t>。</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3.2.2 设施维护标准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3.2.2.1 绿地附属设施完好、分布合理、放置整齐、保持清洁。</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3.2.2.2 亭廊阁、栏杆、櫈椅、果皮箱、路灯、井盖等园林</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建（构）筑物、附属设施、游乐设施安全可靠，定期维护修缮，保持完好率98%以上；园林设施无明显锈斑、油漆剥落现象，每二年粉刷油漆一次。</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3.2.2.3 园路、铺装、侧石、花坛完好、美观，无大面积破</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损，完好率98%以上；园路、铺装表面无积水、无淤泥。</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3.2.2.4 各类标识牌、宣传牌设置合理，醒目、规范，定期清洗，破损后应及时维修，绿道标线要保持清晰，及时更新。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3.2.2.5 供水、供电、排水、喷灌等管网设施维护良好；照明设施纳入城市照明管理体系进行统一管理，景观灯保持清洁完好，及时更换破损灯具，定期检查电路情况，保证照明，完好率95%以上；保持绿地内管理设施及地下管线和窨井盖的完整，对损坏的要及时进行修复。</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3.2.2.6 树木支撑规范有效，统一，无断桩，坏桩。悬挂容器必须安全、完好、整洁、美观。</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3.2.3 土肥标准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3.2.3.1 土壤疏松，根据植物生长特性及时施肥，充分利用有机肥，也可施复合肥，增强土壤肥力（要求一年施肥二次以上）。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3.2.3.2 土壤理化性状应符合下列要求：pH值为6.0—7.0之间；石砾粒径≤5cm（高架挂箱石砾粒径≤2cm），含量≤8%；有机质含量≥25g/kg。</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3.2.3.3 高架挂箱基质每年松土一次施肥二次，每三年更换</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一次基质。</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3.2.3.4 根据天气情况和植物特性，适时浇水，及时抗旱排涝，无缺水枯死植株，无积水。</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bCs/>
          <w:color w:val="000000"/>
          <w:kern w:val="0"/>
          <w:sz w:val="18"/>
          <w:szCs w:val="18"/>
          <w:highlight w:val="none"/>
        </w:rPr>
        <w:t>3.2.4 病虫害防</w:t>
      </w:r>
      <w:r>
        <w:rPr>
          <w:rFonts w:hint="eastAsia" w:ascii="宋体" w:hAnsi="宋体" w:eastAsia="宋体" w:cs="宋体"/>
          <w:b/>
          <w:color w:val="000000"/>
          <w:kern w:val="0"/>
          <w:sz w:val="18"/>
          <w:szCs w:val="18"/>
          <w:highlight w:val="none"/>
        </w:rPr>
        <w:t>治标准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3.2.4.1 提倡生物防治和综合防治，以防为主。病虫害控制</w:t>
      </w:r>
    </w:p>
    <w:p>
      <w:pPr>
        <w:widowControl/>
        <w:spacing w:line="560" w:lineRule="exact"/>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及时，对园林景观无影响。枝叶受害率应小于8%；树干受害率</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应小于3%。</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3.2.4.2 无加拿大一枝黄花等有害植物及影响生长的附着物。</w:t>
      </w:r>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3.2.5 卫生标准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3.2.5.1 绿地整洁，地面卫生，无垃圾杂物，墙面无涂刻、无张贴，建（构）筑物上无蛛网。</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3.2.5.2 绿地内水体整洁卫生，无异味、无漂浮杂物、无植物残体、无杂生水生植物。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3.2.5.3 植草浅沟、拦污雨水口、LID生态排水沟、简易格栅井（或拦污渗漏井）应定期清理垃圾，清理垃圾间隔时间不得大于1个月。</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3.2.5.4 垃圾日产日清，保洁及时，无焚烧垃圾、树叶现</w:t>
      </w:r>
      <w:r>
        <w:rPr>
          <w:rFonts w:hint="eastAsia" w:ascii="宋体" w:hAnsi="宋体" w:eastAsia="宋体" w:cs="宋体"/>
          <w:color w:val="000000"/>
          <w:sz w:val="18"/>
          <w:szCs w:val="18"/>
          <w:highlight w:val="none"/>
          <w:shd w:val="clear" w:color="auto" w:fill="FFFFFF"/>
        </w:rPr>
        <w:t>象。</w:t>
      </w:r>
      <w:r>
        <w:rPr>
          <w:rFonts w:hint="eastAsia" w:ascii="宋体" w:hAnsi="宋体" w:eastAsia="宋体" w:cs="宋体"/>
          <w:color w:val="000000"/>
          <w:kern w:val="0"/>
          <w:sz w:val="18"/>
          <w:szCs w:val="18"/>
          <w:highlight w:val="none"/>
        </w:rPr>
        <w:t>无卫生死角，厕所无积垢，无明显异味。</w:t>
      </w:r>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3.2.6 管理标准</w:t>
      </w:r>
    </w:p>
    <w:p>
      <w:pPr>
        <w:widowControl/>
        <w:spacing w:line="560" w:lineRule="exact"/>
        <w:ind w:firstLine="360"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color w:val="000000"/>
          <w:kern w:val="0"/>
          <w:sz w:val="18"/>
          <w:szCs w:val="18"/>
          <w:highlight w:val="none"/>
        </w:rPr>
        <w:t>3.2.6.1 绿地管理制度全面落实，台账档案资料完整、详尽；巡查人员、养护人员到岗到位，实行日常巡查；工作人员统一着</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装，执牌上岗；按实际情况，配置必要的秩序管理员。</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3.2.6.3 生态绿道桥梁养护管理包括新建桥梁、部分改造利</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用桥梁（由原管养单位管理），按照《城市桥梁养护技术规范</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CJJ99－2003》Ⅴ类城市桥梁养护管理标准进行养护。</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3.2.6.4 生态绿道沿线服务系统设施维护（服务中心、驿站运营、餐饮零售等）按照属地原则由责任单位负责，实行市场化运作，做到规范服务管理，禁止私自设摊。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3.2.6.5 各类绿地基本完整，无违章侵占绿、破坏绿化现象；无明显堆物、堆料、搭棚；无违法建设、无违规设摊项目。管理秩序良好，无停放车辆、进入车辆现象；无乱堆乱放、晾晒衣物现象。</w:t>
      </w:r>
    </w:p>
    <w:p>
      <w:pPr>
        <w:widowControl/>
        <w:spacing w:line="560" w:lineRule="exact"/>
        <w:ind w:firstLine="361" w:firstLineChars="200"/>
        <w:jc w:val="left"/>
        <w:outlineLvl w:val="0"/>
        <w:rPr>
          <w:rFonts w:hint="eastAsia" w:ascii="宋体" w:hAnsi="宋体" w:eastAsia="宋体" w:cs="宋体"/>
          <w:b/>
          <w:bCs/>
          <w:color w:val="000000"/>
          <w:kern w:val="36"/>
          <w:sz w:val="18"/>
          <w:szCs w:val="18"/>
          <w:highlight w:val="none"/>
        </w:rPr>
      </w:pPr>
      <w:bookmarkStart w:id="129" w:name="_Toc17877"/>
      <w:bookmarkStart w:id="130" w:name="_Toc156725170"/>
      <w:bookmarkStart w:id="131" w:name="_Toc156725171"/>
      <w:r>
        <w:rPr>
          <w:rFonts w:hint="eastAsia" w:ascii="宋体" w:hAnsi="宋体" w:eastAsia="宋体" w:cs="宋体"/>
          <w:b/>
          <w:bCs/>
          <w:color w:val="000000"/>
          <w:kern w:val="36"/>
          <w:sz w:val="18"/>
          <w:szCs w:val="18"/>
          <w:highlight w:val="none"/>
        </w:rPr>
        <w:t>3.3 二级绿地养护标准</w:t>
      </w:r>
      <w:bookmarkEnd w:id="129"/>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bCs/>
          <w:color w:val="000000"/>
          <w:kern w:val="0"/>
          <w:sz w:val="18"/>
          <w:szCs w:val="18"/>
          <w:highlight w:val="none"/>
        </w:rPr>
        <w:t>3.3.1 园林植物养</w:t>
      </w:r>
      <w:r>
        <w:rPr>
          <w:rFonts w:hint="eastAsia" w:ascii="宋体" w:hAnsi="宋体" w:eastAsia="宋体" w:cs="宋体"/>
          <w:b/>
          <w:color w:val="000000"/>
          <w:kern w:val="0"/>
          <w:sz w:val="18"/>
          <w:szCs w:val="18"/>
          <w:highlight w:val="none"/>
        </w:rPr>
        <w:t>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3.3.1.1 植物生长良好，乔灌木成活率98%以上，乔灌木保存率99%，无死株，缺株。</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3.3.1.2 按乔灌木生长习性进行定期科学修剪，不影响行人交通安全。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3.3.1.3 色块、绿篱等枝叶茂密，整齐一致，完好率95%以上；适期修剪，曲线润畅，轮廓明显，球类修剪圆整；绿篱及色块无死亡、空缺，无脱脚现象；新生枝不得超过10cm。</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3.3.1.4 宿根植物及时翻种、断根、间苗。</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3.3.1.5 草坪及地被植物整齐一致，边缘线清晰（及时切边），生长茂盛且覆盖率95%以上，草坪适时修剪，高度保持在10cm之内。草坪无黄化现象，无杂草、无斑秃、无裸露地面。草坪绿色期：冷季型草坪不得少于300天，暖季型草坪不得少于200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3.3.1.6 时花按设计精心养护，花期整齐，花量饱满，轮廓清晰、整齐美观。花坛、花带株行距适宜，无倒伏、无残缺。</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3.3.1.7 棚架、假山、墙面、围栏（墙）、桥体上的藤蔓植物及垂直绿化生长茂盛，并根据不同植物的攀缘特点，及时采取相应的技术措施，及时清除枯枝，疏删老弱藤蔓。</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3.3.1.8 水湿生植物生长控制得当，无枯叶、病虫叶，进入休眠期后及时收割。</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3.3.1.9 绿地内无大型和缠绕性、攀缘性杂草，零星区域的杂草控制在10％以下，且无15cm以上杂草。</w:t>
      </w:r>
    </w:p>
    <w:p>
      <w:pPr>
        <w:widowControl/>
        <w:spacing w:line="560" w:lineRule="exact"/>
        <w:ind w:firstLine="361"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3.3.2 设施维护标准</w:t>
      </w:r>
    </w:p>
    <w:p>
      <w:pPr>
        <w:widowControl/>
        <w:spacing w:line="560" w:lineRule="exact"/>
        <w:ind w:firstLine="360" w:firstLineChars="200"/>
        <w:jc w:val="left"/>
        <w:rPr>
          <w:rFonts w:hint="eastAsia" w:ascii="宋体" w:hAnsi="宋体" w:eastAsia="宋体" w:cs="宋体"/>
          <w:b/>
          <w:bCs/>
          <w:color w:val="000000"/>
          <w:kern w:val="0"/>
          <w:sz w:val="18"/>
          <w:szCs w:val="18"/>
          <w:highlight w:val="none"/>
        </w:rPr>
      </w:pPr>
      <w:r>
        <w:rPr>
          <w:rFonts w:hint="eastAsia" w:ascii="宋体" w:hAnsi="宋体" w:eastAsia="宋体" w:cs="宋体"/>
          <w:color w:val="000000"/>
          <w:kern w:val="0"/>
          <w:sz w:val="18"/>
          <w:szCs w:val="18"/>
          <w:highlight w:val="none"/>
        </w:rPr>
        <w:t>3.3.2.1 绿地附属设施完好、分布合理、放置整齐、保持清</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洁。</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3.3.2.2 亭廊阁、栏杆、櫈椅、果皮箱、路灯、井盖和牌示等园林建（构）筑物、附属设施、游乐设施安全可靠，定期维护修缮，保持完好率95%以上；园林设施无明显锈斑、油漆剥落现象，每二年粉刷油漆一次。</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3.3.2.3 园路、铺装、侧石、花坛完好、美观，无大面积破损，完好率95%以上；园路、铺装表面无积水、无淤泥。</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3.3.2.4 各类标识牌、宣传牌设置合理，醒目、规范，定期清洗，破损后应及时维修，绿道标线要保持清晰，及时更新。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3.3.2.5 供水、供电、排水、喷灌等管网设施维护良好；照明设施纳入城市照明管理体系进行统一管理，景观灯保持清洁完好，及时更换破损灯具，定期检查电路情况，保证照明，完好率90%以上；保持绿地内管理设施及地下管线和窨井盖的完整，对损坏的要及时进行修复。</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3.3.2.6 树木支撑规范有效，统一，无断桩，坏桩。悬挂容器必须安全、完好、整洁、美观。</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3.3.3 土肥标准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3.3.3.1 土壤疏松，根据植物生长特性及时施肥，充分利用有机肥，也可施复合肥，增强土壤肥力（要求一年施肥二次以上）。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3.3.3.2 土壤理化性状应符合下列要求：pH值为6.0—7.0之间；石砾粒径≤5cm（高架挂箱石砾粒径≤2cm），含量≤8%；有机质含量≥25g/kg。</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3.3.3.3 高架挂箱基质每年松土一次施肥二次，每三年更换</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一次基质。</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3.3.3.4 根据天气情况和植物特性，适时浇水，及时抗旱排涝，无缺水枯死植株，无积水。</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3.3.4 病虫害防治标准</w:t>
      </w:r>
    </w:p>
    <w:p>
      <w:pPr>
        <w:widowControl/>
        <w:spacing w:line="560" w:lineRule="exact"/>
        <w:ind w:firstLine="354" w:firstLineChars="196"/>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 xml:space="preserve">3.3.4.1 </w:t>
      </w:r>
      <w:r>
        <w:rPr>
          <w:rFonts w:hint="eastAsia" w:ascii="宋体" w:hAnsi="宋体" w:eastAsia="宋体" w:cs="宋体"/>
          <w:color w:val="000000"/>
          <w:kern w:val="0"/>
          <w:sz w:val="18"/>
          <w:szCs w:val="18"/>
          <w:highlight w:val="none"/>
        </w:rPr>
        <w:t>提倡生物防治和综合防治，以防为主。病虫害控制及时，对园林景观无影响。枝叶受害率应小于10%；树干受害率应小于5%。</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 xml:space="preserve">3.3.4.2 </w:t>
      </w:r>
      <w:r>
        <w:rPr>
          <w:rFonts w:hint="eastAsia" w:ascii="宋体" w:hAnsi="宋体" w:eastAsia="宋体" w:cs="宋体"/>
          <w:color w:val="000000"/>
          <w:kern w:val="0"/>
          <w:sz w:val="18"/>
          <w:szCs w:val="18"/>
          <w:highlight w:val="none"/>
        </w:rPr>
        <w:t>无加拿大一枝黄花等有害植物及影响生长的附着物。</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3.3.5 卫生标准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3.3.5.1 绿地整洁，地面卫生，无垃圾杂物，墙面无涂刻、无张贴，建（构）筑物上无蛛网。</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3.3.5.2 绿地内水体整洁卫生，无异味、无漂浮杂物、无植物残体、无杂生水生植物。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3.3.5.3 植草浅沟、拦污雨水口、LID生态排水沟、简易格栅井（或拦污渗漏井）应定期清理垃圾，清理垃圾间隔时间不得大于1个月。</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3.3.5.4 垃圾日产日清，保洁及时；无焚烧垃圾、树叶现象；无卫生死角，厕所无积垢，无明显异味。</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3.3.6 管理标准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3.3.6.1 绿地管理制度全面落实，台账档案资料完整、详尽；巡查人员、养护人员到岗到位，实行日常巡查；工作人员统一着</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装，执牌上岗；按实际情况，配置必要的秩序管理员。</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3.3.6.3 生态绿道桥梁养护管理包括新建桥梁、部分改造利用桥梁（由原管养单位管理），按照《城市桥梁养护技术规范CJJ99－2003》Ⅴ类城市桥梁养护管理标准进行养护。</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3.3.6.4 生态绿道沿线服务系统设施维护（服务中心、驿站运营、餐饮零售等）按照属地原则由责任单位负责，实行市场化</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运作，做到规范服务管理，禁止私自设摊。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3.3.6.5 各类绿地基本完整，无违章侵占绿、破坏绿化现象；无明显堆物、堆料、搭棚；无违法建设、无违规设摊项目。管理秩序良好，无停放车辆、进入车辆现象；无乱堆乱放、晾晒衣物现象。</w:t>
      </w:r>
    </w:p>
    <w:p>
      <w:pPr>
        <w:widowControl/>
        <w:spacing w:line="560" w:lineRule="exact"/>
        <w:ind w:firstLine="361" w:firstLineChars="200"/>
        <w:jc w:val="left"/>
        <w:outlineLvl w:val="0"/>
        <w:rPr>
          <w:rFonts w:hint="eastAsia" w:ascii="宋体" w:hAnsi="宋体" w:eastAsia="宋体" w:cs="宋体"/>
          <w:b/>
          <w:bCs/>
          <w:color w:val="000000"/>
          <w:kern w:val="36"/>
          <w:sz w:val="18"/>
          <w:szCs w:val="18"/>
          <w:highlight w:val="none"/>
        </w:rPr>
      </w:pPr>
      <w:bookmarkStart w:id="132" w:name="_Toc24485"/>
      <w:r>
        <w:rPr>
          <w:rFonts w:hint="eastAsia" w:ascii="宋体" w:hAnsi="宋体" w:eastAsia="宋体" w:cs="宋体"/>
          <w:b/>
          <w:bCs/>
          <w:color w:val="000000"/>
          <w:kern w:val="36"/>
          <w:sz w:val="18"/>
          <w:szCs w:val="18"/>
          <w:highlight w:val="none"/>
        </w:rPr>
        <w:t>3.4 三级绿地养护标准</w:t>
      </w:r>
      <w:bookmarkEnd w:id="132"/>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3.4.1 园林植物养护标准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3.4.1.1 植物生长良好，无死株，乔灌木成活率95%以上，乔灌木保存率98%。</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3.4.1.2 按乔灌木生长习性进行定期科学修剪，不影响行人交通安全。乔木分枝点合适，主侧枝分布匀称，内膛不乱，通风透光；修剪有型、疏密适度，剪口平滑。乔灌木无歪斜，无倒伏现象；无枯枝死杈，无徒长枝、病虫枝、过密枝、枯枝、伤损枝；叶片大小、颜色正常。花灌木开花应适时，株形丰满，修剪及时、准确。</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3.4.1.3 色块、绿篱等枝叶茂密，整齐一致，完好率90%以上；适期修剪保持形态，曲线润畅，轮廓明显，球类修剪圆整；绿篱及色块无死亡、空缺，无脱脚现象；新生枝不得超过10cm。</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3.4.1.4 宿根植物及时翻种、断根、间苗。</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3.4.1.5 草坪及地被植物整齐一致，边缘线清晰（及时切边），生长茂盛且覆盖率90 %以上，草坪适时修剪，高度保持在10cm之内。草坪无黄化现象，无杂草、无斑秃、无裸露地面。草坪绿色期：冷季型草坪不得少于270天，暖季型草坪不得少于180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3.4.1.6 时花按设计精心养护，花期整齐，花量饱满，轮廓清晰、整齐美观。花坛、花带株行距适宜，无倒伏、无残缺。</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3.4.1.7 棚架、假山、墙面、围栏（墙）、桥体上的藤蔓植物及垂直绿化生长茂盛，并根据不同植物的攀缘特点，及时采取相应的技术措施，及时清除枯枝，疏删老弱藤蔓。</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3.4.1.8 水湿生植物生长控制得当，无枯叶、病虫叶，进入休眠期后及时收割。</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3.4.1.9 绿地内无大型和缠绕性、攀缘性杂草，零星区域的</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杂草控制在15％以下，且无15cm以上杂草。</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3.4.2 设施维护标准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3.4.2.1 绿地附属设施完好、分布合理、放置整齐、保持清洁。</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3.4.2.2 亭廊阁、栏杆、櫈椅、果皮箱、路灯、井盖和牌示等园林建（构）筑物、附属设施、游乐设施安全可靠，定期维护修缮，保持完好率90%以上；园林设施无明显锈斑、油漆剥落现象，每二年粉刷油漆一次。</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3.4.2.3 园路、铺装、侧石、花坛完好、美观，无大面积破损，完好率90%以上；园路、铺装表面无积水、无淤泥。</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3.4.2.4 各类标识牌、宣传牌设置合理，醒目、规范，定期</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清洗，破损后应及时维修，绿道标线要保持清晰，及时更新。</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3.4.2.5 供水、供电、排水、喷灌等管网设施维护良好；照</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明设施纳入城市照明管理体系进行统一管理，景观灯保持清洁完好，及时更换破损灯具，定期检查电路情况，保证照明，完好率90%以上；保持绿地内管理设施及地下管线和窨井盖的完整，对损坏的要及时进行修复。</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3.4.2.6 树木支撑规范有效，统一，无断桩，坏桩。悬挂容器必须安全、完好、整洁、美观。</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3.4.3 土肥标准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3.4.3.1 土壤疏松，根据植物生长特性及时施肥，充分利用有机肥，也可施复合肥，增强土壤肥力（要求一年施肥二次以上）。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3.4.3.2 土壤理化性状应符合下列要求：pH值为6.0—7.0</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之间；石砾粒径≤5cm（高架挂箱石砾粒径≤2cm），含量≤8%；有机质含量≥25g/kg。</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3.4.3.3 高架挂箱基质每年松土一次施肥二次，每三年更换一次基质。</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3.4.3.4 根据天气情况和植物特性，适时浇水，及时抗旱排涝，无缺水枯死植株，无积水。</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3.4.4 病虫害防治标准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3.4.4.1 提倡生物防治和综合防治，以防为主。病虫害控制及时，对园林景观无影响。枝叶受害率应小于15%；树干受害率应小于10%。</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3.4.4.2 无加拿大一枝黄花等有害植物及影响生长的附着</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物。</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3.4.5 卫生标准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3.4.5.1 绿地整洁，地面卫生，无垃圾杂物，墙面无涂刻、无张贴，建（构）筑物上无蛛网。</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3.4.5.2 绿地内水体整洁卫生，无异味、无漂浮杂物、无植物残体、无杂生水生植物。</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3.4.5.3 植草浅沟、拦污雨水口、LID生态排水沟、简易格栅井（或拦污渗漏井）应定期清理垃圾，清理垃圾间隔时间不得大于1个月。</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3.4.5.4 垃圾日产日清，保洁及时；无焚烧垃圾、树叶现象；</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无卫生死角，厕所无积垢，无明显异味。</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3.4.6 管理标准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3.4.6.1 绿地管理制度全面落实，台账档案资料完整、详尽；巡查人员、养护人员到岗到位，实行日常巡查；工作人员统一着装，执牌上岗；按实际情况，配置必要的秩序管理员。</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3.4.6.2 养护人员要提高安全防范意识，严格按照相关操作规程，进行规范、文明、安全作业，特别是道路绿化（包括高架绿化）作业，行道树修剪等的高空作业、园林机械的安全使用、农药的安全使用、安全用电用水及园林绿化防火等。</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3.4.6.3 生态绿道桥梁养护管理包括新建桥梁、部分改造利用桥梁（由原管养单位管理），按照《城市桥梁养护技术规范CJJ99－2003》Ⅴ类城市桥梁养护管理标准进行养护。</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3.4.6.4 生态绿道沿线服务系统设施维护（服务中心、驿站</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运营、餐饮零售等）按照属地原则由责任单位负责，实行市场化运作，做到规范服务管理，禁止私自设摊。</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3.4.6.5 各类绿地基本完整，无违章侵占绿、破坏绿化现象；无明显堆物、堆料、搭棚；无违法建设、无违规设摊项目。管理秩序良好，无停放车辆、进入车辆现象；无乱堆乱放、晾晒衣物现象。</w:t>
      </w:r>
    </w:p>
    <w:p>
      <w:pPr>
        <w:widowControl/>
        <w:spacing w:line="560" w:lineRule="exact"/>
        <w:ind w:firstLine="354" w:firstLineChars="196"/>
        <w:jc w:val="left"/>
        <w:outlineLvl w:val="0"/>
        <w:rPr>
          <w:rFonts w:hint="eastAsia" w:ascii="宋体" w:hAnsi="宋体" w:eastAsia="宋体" w:cs="宋体"/>
          <w:b/>
          <w:bCs/>
          <w:color w:val="000000"/>
          <w:kern w:val="36"/>
          <w:sz w:val="18"/>
          <w:szCs w:val="18"/>
          <w:highlight w:val="none"/>
        </w:rPr>
      </w:pPr>
      <w:bookmarkStart w:id="133" w:name="_Toc9111"/>
      <w:r>
        <w:rPr>
          <w:rFonts w:hint="eastAsia" w:ascii="宋体" w:hAnsi="宋体" w:eastAsia="宋体" w:cs="宋体"/>
          <w:b/>
          <w:bCs/>
          <w:color w:val="000000"/>
          <w:kern w:val="36"/>
          <w:sz w:val="18"/>
          <w:szCs w:val="18"/>
          <w:highlight w:val="none"/>
        </w:rPr>
        <w:t>4.行道树（含隔离带乔木）养护标准</w:t>
      </w:r>
      <w:bookmarkEnd w:id="133"/>
    </w:p>
    <w:p>
      <w:pPr>
        <w:widowControl/>
        <w:spacing w:line="560" w:lineRule="exact"/>
        <w:ind w:firstLine="354" w:firstLineChars="196"/>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 总体标准</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行道树养护的整体质量，内容包括植株生长、树木存活率、</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设施维护、土肥标准、病虫害防治标准及管理标准等。</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4.1.1 养护质量</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4.1.1.1 按行道树生长习性定期、科学修剪，乔木分枝点合适，主侧枝分布匀称，内膛不乱，通风透光；修剪有型、疏密适度，剪口平滑。</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4.1.1.2 树干挺直，无歪斜，无倒伏现象，对倾斜树木要控制倾斜度，及时纠偏，逐渐扶正。</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4.1.1.3 叶片健康，在正常条件下不黄叶，不焦叶，不卷叶； 植株无徒长枝、病虫枝、过密枝、并生枝、交叉枝、下垂枝、枯枝、伤损枝、碰线枝；及时抹芽刷白。</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4.1.1.4 行道树具有一定的遮荫观赏效果。选用的品种、规格相对统一，并突出乡土树种。枯死树木及时清除，补植树木品种、规格（树高一致，胸径误差≤20%）与原有树种应保持一致，并全冠种植。</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4.1.1.5 有防强风措施，对危树及时采取修枝、加固或申报更换等措施。</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4.1.1.6 遇灾害性天气应根据气象部门灾害预警及时响应启动《灾害性天气应急抢险预案》组织抢险工作。</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4.1.2 树木存活率</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行道树存活率99%以上，行道树保存率100%。无死株、无缺株。</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4.1.3 设施维护</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4.1.3.1 树穴、侧石安全、平整、美观、完好，发现破损及</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时修复。</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4.1.3.2 树木支撑规范、统一，无断桩、坏桩，扎缚规范有效，有一定的防强风措施。</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4.1.4 土肥标准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4.1.4.1 种植土低于容器（或侧石）上沿3cm；土壤应具有一定的透水、透气、保肥能力；每年冬季施有机肥一次；石砾含量中，其粒径≤3cm，含量≤5%；pH值为6.0—7.0之间；有效土层(长、宽、深)≥100cm；有机质含量≥25g/kg。</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4.1.4.2 根据天气情况和植物特性，适时浇水，及时抗旱排涝，无缺水枯死植株，无积水。</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4.1.5 病虫害防治标准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4.1.5.1 提倡生物防治和综合防治，以防为主。病虫害控制及时，对道路景观无影响。枝叶受害率应小于8%；树干受害率应小于5%。</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4.1.5.2 无加拿大一枝黄花等有害植物及影响生长的附着物。</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4.1.6 管理标准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4.1.6.1 树穴有平整盖板、铺设鹅卵石或种植地被植物，土壤不裸露。无杂草、建筑垃圾和其它杂物，树干无钉子、铁丝等破坏树木生长的东西。</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4.1.6.2 管理制度全面落实，档案资料完整、详尽，对行道树的基础资料、变更情况及时记录入档；工作人员统一着装，养</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护作业时必须穿着有反光条的工作服，做到安全文明作业，尽量减少对行车的干扰。</w:t>
      </w:r>
    </w:p>
    <w:p>
      <w:pPr>
        <w:widowControl/>
        <w:spacing w:line="560" w:lineRule="exact"/>
        <w:ind w:firstLine="354" w:firstLineChars="196"/>
        <w:jc w:val="left"/>
        <w:outlineLvl w:val="0"/>
        <w:rPr>
          <w:rFonts w:hint="eastAsia" w:ascii="宋体" w:hAnsi="宋体" w:eastAsia="宋体" w:cs="宋体"/>
          <w:b/>
          <w:bCs/>
          <w:color w:val="000000"/>
          <w:kern w:val="36"/>
          <w:sz w:val="18"/>
          <w:szCs w:val="18"/>
          <w:highlight w:val="none"/>
        </w:rPr>
      </w:pPr>
      <w:bookmarkStart w:id="134" w:name="_Toc29200"/>
      <w:r>
        <w:rPr>
          <w:rFonts w:hint="eastAsia" w:ascii="宋体" w:hAnsi="宋体" w:eastAsia="宋体" w:cs="宋体"/>
          <w:b/>
          <w:bCs/>
          <w:color w:val="000000"/>
          <w:kern w:val="36"/>
          <w:sz w:val="18"/>
          <w:szCs w:val="18"/>
          <w:highlight w:val="none"/>
        </w:rPr>
        <w:t>5.草花时花养护标准</w:t>
      </w:r>
      <w:bookmarkEnd w:id="134"/>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5.1 布置效果</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 xml:space="preserve">5.1.1 </w:t>
      </w:r>
      <w:r>
        <w:rPr>
          <w:rFonts w:hint="eastAsia" w:ascii="宋体" w:hAnsi="宋体" w:eastAsia="宋体" w:cs="宋体"/>
          <w:color w:val="000000"/>
          <w:kern w:val="0"/>
          <w:sz w:val="18"/>
          <w:szCs w:val="18"/>
          <w:highlight w:val="none"/>
        </w:rPr>
        <w:t>按设计精心养护，有全年用花计划，做到四季有花，全年观赏期应不少于340天。</w:t>
      </w:r>
    </w:p>
    <w:p>
      <w:pPr>
        <w:widowControl/>
        <w:spacing w:line="560" w:lineRule="exact"/>
        <w:ind w:firstLine="361" w:firstLineChars="200"/>
        <w:jc w:val="left"/>
        <w:rPr>
          <w:rFonts w:hint="eastAsia" w:ascii="宋体" w:hAnsi="宋体" w:eastAsia="宋体" w:cs="宋体"/>
          <w:color w:val="000000"/>
          <w:kern w:val="0"/>
          <w:sz w:val="18"/>
          <w:szCs w:val="18"/>
          <w:highlight w:val="none"/>
        </w:rPr>
      </w:pPr>
      <w:r>
        <w:rPr>
          <w:rFonts w:hint="eastAsia" w:ascii="宋体" w:hAnsi="宋体" w:eastAsia="宋体" w:cs="宋体"/>
          <w:b/>
          <w:color w:val="000000"/>
          <w:kern w:val="0"/>
          <w:sz w:val="18"/>
          <w:szCs w:val="18"/>
          <w:highlight w:val="none"/>
        </w:rPr>
        <w:t xml:space="preserve">5.1.2 </w:t>
      </w:r>
      <w:r>
        <w:rPr>
          <w:rFonts w:hint="eastAsia" w:ascii="宋体" w:hAnsi="宋体" w:eastAsia="宋体" w:cs="宋体"/>
          <w:color w:val="000000"/>
          <w:kern w:val="0"/>
          <w:sz w:val="18"/>
          <w:szCs w:val="18"/>
          <w:highlight w:val="none"/>
        </w:rPr>
        <w:t>株型、花期整齐，花色艳丽，花量饱满，轮廓清晰，整齐美观，布置效果良好。草花覆盖率达98%以上；草花株行距适宜，无明显黄土裸露现象。</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5.2 草花质量</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5.2.1 时花要求80%以上采用以f1代种子繁育的优质花苗。同一批草花应统一规格，同一品种株高、花色、冠径、花期等无明显差异。</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5.2.2 花卉生长健壮，抗病力强，无明显病虫害，无枯黄叶，根系完好，无严重损伤。</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5.2.3 开花及时，盛花期符合观赏要求。禁用无花苗和已过盛花期的花苗。</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5.2.4 无倒伏、无残缺，无枯枝残花，无杂草垃圾。</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5.3 设施维护标准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花坛、花钵等园林设施应保持清洁完好。</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5.4 土肥标准</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5.4.1 更换草花时，必须深耕细耙，要去除土层20cm内的</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石块、草屑、残茎和落叶等杂物，苗床高度不得高于侧石或花钵边缘，并施足基肥。严禁肥料污染花、叶，公园、景点、重要路段的绿地禁用有异味的肥料。</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5.4.2 根据天气情况和草花生长习性，及时抗旱浇水、抗涝排水，无干黄、死亡现象。</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5.5病虫害防治标准</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做好病虫害的防治工作，经常检查、及时防治，无明显病虫害，不影响时花观赏效果。</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5.6卫生标准</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应及时清除杂草，及时清除残花败叶。无垃圾、杂物、建筑废弃物，无卫生死角。垃圾日产日清，保洁及时；无焚烧垃圾、树叶现象。</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5.7 管理标准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5.7.1 草花管理制度全面落实，台账档案资料完整、详尽；巡查人员、养护人员到岗到位，实行日常巡查；工作人员统一着装，执牌上岗。</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5.7.2 绿地基本完整，无违章侵占、破坏现象；无明显堆物、堆料、搭棚；无违法建设、无违规设摊项目。</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5.7.3 秩序良好，无停放车辆、进入车辆现象；无乱堆乱放、晾晒衣物现象。</w:t>
      </w:r>
    </w:p>
    <w:p>
      <w:pPr>
        <w:widowControl/>
        <w:spacing w:line="560" w:lineRule="exact"/>
        <w:ind w:firstLine="361" w:firstLineChars="200"/>
        <w:jc w:val="left"/>
        <w:outlineLvl w:val="0"/>
        <w:rPr>
          <w:rFonts w:hint="eastAsia" w:ascii="宋体" w:hAnsi="宋体" w:eastAsia="宋体" w:cs="宋体"/>
          <w:b/>
          <w:bCs/>
          <w:color w:val="000000"/>
          <w:kern w:val="36"/>
          <w:sz w:val="18"/>
          <w:szCs w:val="18"/>
          <w:highlight w:val="none"/>
        </w:rPr>
      </w:pPr>
      <w:bookmarkStart w:id="135" w:name="_Toc156725172"/>
      <w:bookmarkStart w:id="136" w:name="_Toc3181"/>
      <w:r>
        <w:rPr>
          <w:rFonts w:hint="eastAsia" w:ascii="宋体" w:hAnsi="宋体" w:eastAsia="宋体" w:cs="宋体"/>
          <w:b/>
          <w:bCs/>
          <w:color w:val="000000"/>
          <w:kern w:val="36"/>
          <w:sz w:val="18"/>
          <w:szCs w:val="18"/>
          <w:highlight w:val="none"/>
        </w:rPr>
        <w:t>6.古树名木（保护树木）养护标准</w:t>
      </w:r>
      <w:bookmarkEnd w:id="135"/>
      <w:bookmarkEnd w:id="136"/>
    </w:p>
    <w:bookmarkEnd w:id="130"/>
    <w:bookmarkEnd w:id="131"/>
    <w:p>
      <w:pPr>
        <w:widowControl/>
        <w:spacing w:line="560" w:lineRule="exact"/>
        <w:ind w:firstLine="361" w:firstLineChars="200"/>
        <w:jc w:val="left"/>
        <w:outlineLvl w:val="0"/>
        <w:rPr>
          <w:rFonts w:hint="eastAsia" w:ascii="宋体" w:hAnsi="宋体" w:eastAsia="宋体" w:cs="宋体"/>
          <w:b/>
          <w:color w:val="000000"/>
          <w:kern w:val="0"/>
          <w:sz w:val="18"/>
          <w:szCs w:val="18"/>
          <w:highlight w:val="none"/>
        </w:rPr>
      </w:pPr>
      <w:bookmarkStart w:id="137" w:name="_Toc28143"/>
      <w:r>
        <w:rPr>
          <w:rFonts w:hint="eastAsia" w:ascii="宋体" w:hAnsi="宋体" w:eastAsia="宋体" w:cs="宋体"/>
          <w:b/>
          <w:color w:val="000000"/>
          <w:kern w:val="0"/>
          <w:sz w:val="18"/>
          <w:szCs w:val="18"/>
          <w:highlight w:val="none"/>
        </w:rPr>
        <w:t>6.1总体标准</w:t>
      </w:r>
      <w:bookmarkEnd w:id="137"/>
    </w:p>
    <w:p>
      <w:pPr>
        <w:widowControl/>
        <w:spacing w:line="560" w:lineRule="exact"/>
        <w:ind w:firstLine="360" w:firstLineChars="200"/>
        <w:jc w:val="left"/>
        <w:outlineLvl w:val="0"/>
        <w:rPr>
          <w:rFonts w:hint="eastAsia" w:ascii="宋体" w:hAnsi="宋体" w:eastAsia="宋体" w:cs="宋体"/>
          <w:color w:val="000000"/>
          <w:kern w:val="0"/>
          <w:sz w:val="18"/>
          <w:szCs w:val="18"/>
          <w:highlight w:val="none"/>
        </w:rPr>
      </w:pPr>
      <w:bookmarkStart w:id="138" w:name="_Toc12750"/>
      <w:r>
        <w:rPr>
          <w:rFonts w:hint="eastAsia" w:ascii="宋体" w:hAnsi="宋体" w:eastAsia="宋体" w:cs="宋体"/>
          <w:color w:val="000000"/>
          <w:kern w:val="0"/>
          <w:sz w:val="18"/>
          <w:szCs w:val="18"/>
          <w:highlight w:val="none"/>
        </w:rPr>
        <w:t>古树名木（保护树木）应有档案和养护技术措施并按计划实施养护，效果良好。具体内容有养护质量、设施维护、土肥标准、病虫害防治标准及管理标准。</w:t>
      </w:r>
      <w:bookmarkEnd w:id="138"/>
    </w:p>
    <w:p>
      <w:pPr>
        <w:widowControl/>
        <w:spacing w:line="560" w:lineRule="exact"/>
        <w:ind w:firstLine="361" w:firstLineChars="200"/>
        <w:jc w:val="left"/>
        <w:outlineLvl w:val="0"/>
        <w:rPr>
          <w:rFonts w:hint="eastAsia" w:ascii="宋体" w:hAnsi="宋体" w:eastAsia="宋体" w:cs="宋体"/>
          <w:b/>
          <w:color w:val="000000"/>
          <w:kern w:val="0"/>
          <w:sz w:val="18"/>
          <w:szCs w:val="18"/>
          <w:highlight w:val="none"/>
        </w:rPr>
      </w:pPr>
      <w:bookmarkStart w:id="139" w:name="_Toc32368"/>
      <w:r>
        <w:rPr>
          <w:rFonts w:hint="eastAsia" w:ascii="宋体" w:hAnsi="宋体" w:eastAsia="宋体" w:cs="宋体"/>
          <w:b/>
          <w:color w:val="000000"/>
          <w:kern w:val="0"/>
          <w:sz w:val="18"/>
          <w:szCs w:val="18"/>
          <w:highlight w:val="none"/>
        </w:rPr>
        <w:t>6.1.1养护质量</w:t>
      </w:r>
      <w:bookmarkEnd w:id="139"/>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6.1.1.1 植株树冠较为丰满、完整、茂盛，具有较好的遮荫及观赏效果。叶片正常，在正常条件下不黄叶，不焦叶，不卷叶。</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6.1.1.2 植株无病虫枝、下垂枝、枯枝、伤损枝、碰线枝；对倾斜树木要控制倾斜度，并逐渐扶正。</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6.1.1.3 严禁在树体上钉钉子、绕铁丝、挂杂物或作为施工的支撑点。严禁攀折、刮蹭和刻划树皮等伤害古树的行为。</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6.1.1.4 有防强风措施，对有倾倒、劈裂或折断的危树及时采取修枝、支撑、加固等措施，遇灾害性天气及时组织进行抢扶。</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6.1.2设施维护</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6.1.2.1 树木有保护标牌，因地制宜地设置围栏保护古树。</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6.1.2.2 树池有硬质边埂，边埂应平整、美观。</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6.1.2.3 支撑不稳或倾斜的古树名木须使用木料、钢材或砌筑假山石等方法支撑，支撑部位要垫胶垫或棕丝保护树干表皮。</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6.1.3 土肥标准</w:t>
      </w:r>
    </w:p>
    <w:p>
      <w:pPr>
        <w:widowControl/>
        <w:spacing w:line="560" w:lineRule="exact"/>
        <w:ind w:firstLine="360"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color w:val="000000"/>
          <w:kern w:val="0"/>
          <w:sz w:val="18"/>
          <w:szCs w:val="18"/>
          <w:highlight w:val="none"/>
        </w:rPr>
        <w:t>6.1.3.1 栽培基质应具有一定的透水、透气、保肥能力，通</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过测定土壤和古树名木枝叶的养分含量，对缺少养分的古树有针对性的施肥，切忌盲目使用化肥和施浓肥。施肥时可在树冠垂直投影的外侧挖开放射沟施肥，或在树冠投影下的根系分布区内用</w:t>
      </w:r>
    </w:p>
    <w:p>
      <w:pPr>
        <w:widowControl/>
        <w:spacing w:line="56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穴施法施肥。</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6.1.3.2 树木生长环境处地下水位高，应设渗水井或铺设排水设施。雨季及时排除树木根系区的积水。</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6.1.4 病虫害防治标准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要求古树名木植物整体无病虫害危害迹象，定期刷白，做好防蛀防腐处理。</w:t>
      </w:r>
    </w:p>
    <w:p>
      <w:pPr>
        <w:widowControl/>
        <w:spacing w:line="560" w:lineRule="exact"/>
        <w:ind w:firstLine="361" w:firstLineChars="200"/>
        <w:jc w:val="left"/>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rPr>
        <w:t>6.1.5 管理标准</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6.1.5.1 保持古树及周围环境的清洁，严禁在古树根系分布范围内，严禁厨房或厕所等有污染气体、液体的设施和排放污水的渗沟，严禁在树下设置临时设施、堆放污染古树根系、土壤的物品，树池内无杂草、垃圾和其它杂物，树干无钉子、铁丝、挂杂物等破坏树木生长的物质。</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6.1.5.2 需修剪的古树名木应制定修剪方案，报主管部门批准。古树树体上的伤疤或空洞应及时填充修补防腐。</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6.1.5.3 古树复壮事先应制定严格的方案，报请主管部门审查，经批准后方可实施。</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6.1.5.4 古树移植工程必须事先制定施工技术方案，组织专家评审，报请主管部门审查，经批准后由具有二级或二级以上的园林绿化施工资质的企业承担，并在园林监查部门监督下实施。移后要落实养护管理责任制，及时制定养护方案，并进行跟踪管理，确保质量。</w:t>
      </w:r>
    </w:p>
    <w:p>
      <w:pPr>
        <w:widowControl/>
        <w:spacing w:line="560" w:lineRule="exact"/>
        <w:ind w:firstLine="360" w:firstLineChars="20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6.1.5.5 管理制度全面落实，电子和纸质档案资料完整、详尽，对古树名木的基础资料、变更情况及时记录入档。</w:t>
      </w:r>
    </w:p>
    <w:p>
      <w:pPr>
        <w:widowControl/>
        <w:spacing w:line="560" w:lineRule="exact"/>
        <w:ind w:firstLine="361" w:firstLineChars="200"/>
        <w:jc w:val="left"/>
        <w:rPr>
          <w:rFonts w:hint="eastAsia" w:ascii="宋体" w:hAnsi="宋体" w:eastAsia="宋体" w:cs="宋体"/>
          <w:b/>
          <w:bCs/>
          <w:color w:val="000000"/>
          <w:kern w:val="0"/>
          <w:sz w:val="18"/>
          <w:szCs w:val="18"/>
          <w:highlight w:val="none"/>
          <w:lang w:val="en-US" w:eastAsia="zh-CN"/>
        </w:rPr>
      </w:pPr>
      <w:r>
        <w:rPr>
          <w:rFonts w:hint="eastAsia" w:ascii="宋体" w:hAnsi="宋体" w:cs="宋体"/>
          <w:b/>
          <w:bCs/>
          <w:color w:val="000000"/>
          <w:kern w:val="0"/>
          <w:sz w:val="18"/>
          <w:szCs w:val="18"/>
          <w:highlight w:val="none"/>
          <w:lang w:val="en-US" w:eastAsia="zh-CN"/>
        </w:rPr>
        <w:t>7.1精细化管理标准</w:t>
      </w:r>
      <w:r>
        <w:rPr>
          <w:rFonts w:hint="eastAsia" w:ascii="宋体" w:hAnsi="宋体" w:eastAsia="宋体" w:cs="宋体"/>
          <w:b/>
          <w:bCs/>
          <w:color w:val="000000"/>
          <w:kern w:val="0"/>
          <w:sz w:val="18"/>
          <w:szCs w:val="18"/>
          <w:highlight w:val="none"/>
          <w:lang w:val="en-US" w:eastAsia="zh-CN"/>
        </w:rPr>
        <w:t xml:space="preserve"> </w:t>
      </w:r>
    </w:p>
    <w:p>
      <w:pPr>
        <w:widowControl/>
        <w:spacing w:line="560" w:lineRule="exact"/>
        <w:ind w:firstLine="360" w:firstLineChars="200"/>
        <w:jc w:val="left"/>
        <w:rPr>
          <w:rFonts w:hint="default" w:ascii="宋体" w:hAnsi="宋体" w:eastAsia="宋体" w:cs="宋体"/>
          <w:b w:val="0"/>
          <w:bCs w:val="0"/>
          <w:color w:val="000000"/>
          <w:kern w:val="0"/>
          <w:sz w:val="18"/>
          <w:szCs w:val="18"/>
          <w:highlight w:val="none"/>
          <w:lang w:val="en-US" w:eastAsia="zh-CN"/>
        </w:rPr>
      </w:pPr>
      <w:r>
        <w:rPr>
          <w:rFonts w:hint="eastAsia" w:ascii="宋体" w:hAnsi="宋体" w:cs="宋体"/>
          <w:b w:val="0"/>
          <w:bCs w:val="0"/>
          <w:color w:val="000000"/>
          <w:kern w:val="0"/>
          <w:sz w:val="18"/>
          <w:szCs w:val="18"/>
          <w:highlight w:val="none"/>
          <w:lang w:val="en-US" w:eastAsia="zh-CN"/>
        </w:rPr>
        <w:t>7.1.1精细化管理标准参见</w:t>
      </w:r>
      <w:r>
        <w:rPr>
          <w:rFonts w:hint="eastAsia" w:ascii="宋体" w:hAnsi="宋体" w:eastAsia="宋体" w:cs="宋体"/>
          <w:color w:val="000000"/>
          <w:kern w:val="0"/>
          <w:sz w:val="18"/>
          <w:szCs w:val="18"/>
          <w:highlight w:val="none"/>
          <w:lang w:val="en-US" w:eastAsia="zh-CN"/>
        </w:rPr>
        <w:t>嘉兴市城市管理委员会发布的</w:t>
      </w:r>
      <w:r>
        <w:rPr>
          <w:rFonts w:hint="eastAsia" w:ascii="宋体" w:hAnsi="宋体" w:cs="宋体"/>
          <w:b w:val="0"/>
          <w:bCs w:val="0"/>
          <w:color w:val="000000"/>
          <w:kern w:val="0"/>
          <w:sz w:val="18"/>
          <w:szCs w:val="18"/>
          <w:highlight w:val="none"/>
          <w:lang w:val="en-US" w:eastAsia="zh-CN"/>
        </w:rPr>
        <w:t>《嘉兴市城市精细化管理标准》</w:t>
      </w:r>
    </w:p>
    <w:p>
      <w:pPr>
        <w:widowControl/>
        <w:spacing w:line="560" w:lineRule="exact"/>
        <w:ind w:firstLine="361" w:firstLineChars="200"/>
        <w:jc w:val="left"/>
        <w:rPr>
          <w:rFonts w:hint="default" w:ascii="宋体" w:hAnsi="宋体" w:eastAsia="宋体" w:cs="宋体"/>
          <w:b/>
          <w:bCs/>
          <w:color w:val="000000"/>
          <w:kern w:val="0"/>
          <w:sz w:val="18"/>
          <w:szCs w:val="18"/>
          <w:highlight w:val="none"/>
          <w:lang w:val="en-US" w:eastAsia="zh-CN"/>
        </w:rPr>
      </w:pPr>
      <w:r>
        <w:rPr>
          <w:rFonts w:hint="eastAsia" w:ascii="宋体" w:hAnsi="宋体" w:cs="宋体"/>
          <w:b/>
          <w:bCs/>
          <w:color w:val="000000"/>
          <w:kern w:val="0"/>
          <w:sz w:val="18"/>
          <w:szCs w:val="18"/>
          <w:highlight w:val="none"/>
          <w:lang w:val="en-US" w:eastAsia="zh-CN"/>
        </w:rPr>
        <w:t>8.1其他要求</w:t>
      </w:r>
    </w:p>
    <w:p>
      <w:pPr>
        <w:widowControl/>
        <w:spacing w:line="560" w:lineRule="exact"/>
        <w:ind w:firstLine="360" w:firstLineChars="200"/>
        <w:jc w:val="left"/>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8.1.1</w:t>
      </w:r>
      <w:r>
        <w:rPr>
          <w:rFonts w:hint="eastAsia" w:ascii="宋体" w:hAnsi="宋体" w:eastAsia="宋体" w:cs="宋体"/>
          <w:color w:val="000000"/>
          <w:kern w:val="0"/>
          <w:sz w:val="18"/>
          <w:szCs w:val="18"/>
          <w:highlight w:val="none"/>
          <w:lang w:val="en-US" w:eastAsia="zh-CN"/>
        </w:rPr>
        <w:t>若招标人或上级主管单位要求按照嘉兴市园林市政管理服务中心颁发的关于征求《嘉兴市公共绿地等级分类标准（征求意见稿）》或最终实施稿或在实施期间</w:t>
      </w:r>
      <w:r>
        <w:rPr>
          <w:rFonts w:hint="eastAsia" w:ascii="宋体" w:hAnsi="宋体" w:eastAsia="宋体" w:cs="宋体"/>
          <w:color w:val="000000"/>
          <w:kern w:val="0"/>
          <w:sz w:val="18"/>
          <w:szCs w:val="18"/>
          <w:highlight w:val="none"/>
          <w:lang w:val="en-US" w:eastAsia="zh-CN"/>
        </w:rPr>
        <w:t>颁发的其他最新文件，中标人须无条件满足要求，因此引起的费用不再另行增加、支付。</w:t>
      </w:r>
    </w:p>
    <w:p>
      <w:pPr>
        <w:widowControl/>
        <w:spacing w:line="560" w:lineRule="exact"/>
        <w:ind w:firstLine="360" w:firstLineChars="200"/>
        <w:jc w:val="left"/>
        <w:rPr>
          <w:rFonts w:hint="default" w:ascii="宋体" w:hAnsi="宋体" w:eastAsia="宋体" w:cs="宋体"/>
          <w:color w:val="000000"/>
          <w:kern w:val="0"/>
          <w:sz w:val="18"/>
          <w:szCs w:val="18"/>
          <w:highlight w:val="none"/>
          <w:lang w:val="en-US" w:eastAsia="zh-CN"/>
        </w:rPr>
      </w:pPr>
    </w:p>
    <w:p>
      <w:pPr>
        <w:widowControl/>
        <w:jc w:val="center"/>
        <w:textAlignment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br w:type="page"/>
      </w:r>
    </w:p>
    <w:tbl>
      <w:tblPr>
        <w:tblStyle w:val="49"/>
        <w:tblpPr w:leftFromText="180" w:rightFromText="180" w:vertAnchor="text" w:horzAnchor="page" w:tblpX="1061" w:tblpY="849"/>
        <w:tblOverlap w:val="never"/>
        <w:tblW w:w="9803" w:type="dxa"/>
        <w:tblInd w:w="0" w:type="dxa"/>
        <w:tblLayout w:type="fixed"/>
        <w:tblCellMar>
          <w:top w:w="0" w:type="dxa"/>
          <w:left w:w="0" w:type="dxa"/>
          <w:bottom w:w="0" w:type="dxa"/>
          <w:right w:w="0" w:type="dxa"/>
        </w:tblCellMar>
      </w:tblPr>
      <w:tblGrid>
        <w:gridCol w:w="525"/>
        <w:gridCol w:w="818"/>
        <w:gridCol w:w="562"/>
        <w:gridCol w:w="3758"/>
        <w:gridCol w:w="720"/>
        <w:gridCol w:w="3420"/>
      </w:tblGrid>
      <w:tr>
        <w:tblPrEx>
          <w:tblCellMar>
            <w:top w:w="0" w:type="dxa"/>
            <w:left w:w="0" w:type="dxa"/>
            <w:bottom w:w="0" w:type="dxa"/>
            <w:right w:w="0" w:type="dxa"/>
          </w:tblCellMar>
        </w:tblPrEx>
        <w:trPr>
          <w:trHeight w:val="405" w:hRule="atLeast"/>
        </w:trPr>
        <w:tc>
          <w:tcPr>
            <w:tcW w:w="9803"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b/>
                <w:bCs/>
                <w:kern w:val="0"/>
                <w:sz w:val="18"/>
                <w:szCs w:val="18"/>
                <w:highlight w:val="none"/>
              </w:rPr>
              <w:t>绿化养护质量评分标准</w:t>
            </w:r>
          </w:p>
        </w:tc>
      </w:tr>
      <w:tr>
        <w:tblPrEx>
          <w:tblCellMar>
            <w:top w:w="0" w:type="dxa"/>
            <w:left w:w="0" w:type="dxa"/>
            <w:bottom w:w="0" w:type="dxa"/>
            <w:right w:w="0" w:type="dxa"/>
          </w:tblCellMar>
        </w:tblPrEx>
        <w:trPr>
          <w:trHeight w:val="510" w:hRule="atLeast"/>
        </w:trPr>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序号</w:t>
            </w:r>
          </w:p>
        </w:tc>
        <w:tc>
          <w:tcPr>
            <w:tcW w:w="513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养护质量标准</w:t>
            </w:r>
          </w:p>
        </w:tc>
        <w:tc>
          <w:tcPr>
            <w:tcW w:w="7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标准分</w:t>
            </w:r>
          </w:p>
        </w:tc>
        <w:tc>
          <w:tcPr>
            <w:tcW w:w="34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考 核 标 准</w:t>
            </w:r>
          </w:p>
        </w:tc>
      </w:tr>
      <w:tr>
        <w:tblPrEx>
          <w:tblCellMar>
            <w:top w:w="0" w:type="dxa"/>
            <w:left w:w="0" w:type="dxa"/>
            <w:bottom w:w="0" w:type="dxa"/>
            <w:right w:w="0" w:type="dxa"/>
          </w:tblCellMar>
        </w:tblPrEx>
        <w:trPr>
          <w:trHeight w:val="2295" w:hRule="atLeast"/>
        </w:trPr>
        <w:tc>
          <w:tcPr>
            <w:tcW w:w="52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1</w:t>
            </w:r>
          </w:p>
        </w:tc>
        <w:tc>
          <w:tcPr>
            <w:tcW w:w="8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植</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物</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养</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护</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质</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量</w:t>
            </w:r>
          </w:p>
        </w:tc>
        <w:tc>
          <w:tcPr>
            <w:tcW w:w="5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总体质量</w:t>
            </w: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abs>
                <w:tab w:val="left" w:pos="3743"/>
              </w:tabs>
              <w:spacing w:line="260" w:lineRule="exact"/>
              <w:ind w:right="21" w:rightChars="1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植物生长健壮，长势良好。</w:t>
            </w:r>
            <w:r>
              <w:rPr>
                <w:rFonts w:hint="eastAsia" w:ascii="宋体" w:hAnsi="宋体" w:eastAsia="宋体" w:cs="宋体"/>
                <w:kern w:val="0"/>
                <w:sz w:val="18"/>
                <w:szCs w:val="18"/>
                <w:highlight w:val="none"/>
              </w:rPr>
              <w:br w:type="textWrapping"/>
            </w:r>
            <w:r>
              <w:rPr>
                <w:rFonts w:hint="eastAsia" w:ascii="宋体" w:hAnsi="宋体" w:cs="宋体"/>
                <w:kern w:val="0"/>
                <w:sz w:val="18"/>
                <w:szCs w:val="18"/>
                <w:highlight w:val="none"/>
                <w:lang w:eastAsia="zh-CN"/>
              </w:rPr>
              <w:t>精细化：</w:t>
            </w:r>
            <w:r>
              <w:rPr>
                <w:rFonts w:hint="eastAsia" w:ascii="宋体" w:hAnsi="宋体" w:eastAsia="宋体" w:cs="宋体"/>
                <w:kern w:val="0"/>
                <w:sz w:val="18"/>
                <w:szCs w:val="18"/>
                <w:highlight w:val="none"/>
              </w:rPr>
              <w:t>乔灌木成活率98%以上，乔灌木保存率100%</w:t>
            </w:r>
            <w:r>
              <w:rPr>
                <w:rFonts w:hint="eastAsia" w:ascii="宋体" w:hAnsi="宋体" w:eastAsia="宋体" w:cs="宋体"/>
                <w:kern w:val="0"/>
                <w:sz w:val="18"/>
                <w:szCs w:val="18"/>
                <w:highlight w:val="none"/>
                <w:lang w:eastAsia="zh-CN"/>
              </w:rPr>
              <w:t>，无缺、死株</w:t>
            </w:r>
            <w:r>
              <w:rPr>
                <w:rFonts w:hint="eastAsia" w:ascii="宋体" w:hAnsi="宋体" w:eastAsia="宋体" w:cs="宋体"/>
                <w:kern w:val="0"/>
                <w:sz w:val="18"/>
                <w:szCs w:val="18"/>
                <w:highlight w:val="none"/>
              </w:rPr>
              <w:t>；绿篱、色块完好率98%以上；</w:t>
            </w:r>
            <w:r>
              <w:rPr>
                <w:rFonts w:hint="eastAsia" w:ascii="宋体" w:hAnsi="宋体" w:eastAsia="宋体" w:cs="宋体"/>
                <w:kern w:val="0"/>
                <w:sz w:val="18"/>
                <w:szCs w:val="18"/>
                <w:highlight w:val="none"/>
                <w:lang w:val="en-US" w:eastAsia="zh-CN"/>
              </w:rPr>
              <w:t>适期修剪，曲线润畅，轮廓明显，球类修剪圆整；绿篱及色块无死亡、空缺，新建工程无脱脚现象。</w:t>
            </w:r>
          </w:p>
          <w:p>
            <w:pPr>
              <w:widowControl/>
              <w:tabs>
                <w:tab w:val="left" w:pos="3743"/>
              </w:tabs>
              <w:spacing w:line="260" w:lineRule="exact"/>
              <w:ind w:right="21" w:rightChars="10"/>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草坪及地被植物整齐一致，覆盖率98 %以</w:t>
            </w:r>
            <w:r>
              <w:rPr>
                <w:rFonts w:hint="eastAsia" w:ascii="宋体" w:hAnsi="宋体" w:eastAsia="宋体" w:cs="宋体"/>
                <w:kern w:val="0"/>
                <w:sz w:val="18"/>
                <w:szCs w:val="18"/>
                <w:highlight w:val="none"/>
                <w:lang w:val="en-US" w:eastAsia="zh-CN"/>
              </w:rPr>
              <w:t>上，草坪适时修剪，高度保持在 10cm 之内。草坪无黄化现象，无杂草、无斑秃、无裸露地面。草坪绿色期：冷季型草坪不得少于 300 天，暖季型草坪不得少于 210 天。</w:t>
            </w:r>
          </w:p>
          <w:p>
            <w:pPr>
              <w:widowControl/>
              <w:tabs>
                <w:tab w:val="left" w:pos="3743"/>
              </w:tabs>
              <w:spacing w:line="260" w:lineRule="exact"/>
              <w:ind w:right="21" w:rightChars="10"/>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一级：乔灌木成活率98%以上，乔灌木保存率100%；绿篱、色块完好率98%以上；草坪及地被植物整齐一致，覆盖率98 %以上。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二级：乔灌木成活率98%以上，乔灌木保存率99%；绿篱、色块完好率95%以上；草坪及地被植物整齐一致，覆盖率95 %以上。</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三级：乔灌木成活率95%以上，乔灌木保存率98%；绿篱、色块完好率90%以上；草坪及地被植物整齐一致，覆盖率90%以上。</w:t>
            </w: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植物长势一般,植物成活率、保存率、完好率、覆盖率未达到养护要求的，每低于1个百分点扣1分；在原有保存率的基础上，每增长1个百分点，加2分</w:t>
            </w:r>
          </w:p>
        </w:tc>
      </w:tr>
      <w:tr>
        <w:tblPrEx>
          <w:tblCellMar>
            <w:top w:w="0" w:type="dxa"/>
            <w:left w:w="0" w:type="dxa"/>
            <w:bottom w:w="0" w:type="dxa"/>
            <w:right w:w="0" w:type="dxa"/>
          </w:tblCellMar>
        </w:tblPrEx>
        <w:trPr>
          <w:trHeight w:val="57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乔灌木(含行道树、古树名木)</w:t>
            </w: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按树木生长习性进行修剪：修剪整齐、留枝均匀、疏密适度，剪口平滑</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修剪不及时发现一株扣1分；出现因修剪而产生的树皮拉伤现象每处扣1分</w:t>
            </w:r>
          </w:p>
        </w:tc>
      </w:tr>
      <w:tr>
        <w:tblPrEx>
          <w:tblCellMar>
            <w:top w:w="0" w:type="dxa"/>
            <w:left w:w="0" w:type="dxa"/>
            <w:bottom w:w="0" w:type="dxa"/>
            <w:right w:w="0" w:type="dxa"/>
          </w:tblCellMar>
        </w:tblPrEx>
        <w:trPr>
          <w:trHeight w:val="1058"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行道树、绿地内乔灌木无死树、死株现象；古树名木保护完好，无死株现象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发现有死树、死株未及时清除的每处扣</w:t>
            </w:r>
            <w:r>
              <w:rPr>
                <w:rStyle w:val="111"/>
                <w:rFonts w:hint="eastAsia" w:ascii="宋体" w:hAnsi="宋体" w:eastAsia="宋体" w:cs="宋体"/>
                <w:color w:val="000000"/>
                <w:sz w:val="18"/>
                <w:szCs w:val="18"/>
                <w:highlight w:val="none"/>
              </w:rPr>
              <w:t>1</w:t>
            </w:r>
            <w:r>
              <w:rPr>
                <w:rFonts w:hint="eastAsia" w:ascii="宋体" w:hAnsi="宋体" w:eastAsia="宋体" w:cs="宋体"/>
                <w:color w:val="000000"/>
                <w:kern w:val="0"/>
                <w:sz w:val="18"/>
                <w:szCs w:val="18"/>
                <w:highlight w:val="none"/>
              </w:rPr>
              <w:t>分；死亡苗木未及时补种的每处扣</w:t>
            </w:r>
            <w:r>
              <w:rPr>
                <w:rStyle w:val="111"/>
                <w:rFonts w:hint="eastAsia" w:ascii="宋体" w:hAnsi="宋体" w:eastAsia="宋体" w:cs="宋体"/>
                <w:color w:val="000000"/>
                <w:sz w:val="18"/>
                <w:szCs w:val="18"/>
                <w:highlight w:val="none"/>
              </w:rPr>
              <w:t>1</w:t>
            </w:r>
            <w:r>
              <w:rPr>
                <w:rFonts w:hint="eastAsia" w:ascii="宋体" w:hAnsi="宋体" w:eastAsia="宋体" w:cs="宋体"/>
                <w:color w:val="000000"/>
                <w:kern w:val="0"/>
                <w:sz w:val="18"/>
                <w:szCs w:val="18"/>
                <w:highlight w:val="none"/>
              </w:rPr>
              <w:t>分；补种苗木达不到原规格的每处扣</w:t>
            </w:r>
            <w:r>
              <w:rPr>
                <w:rStyle w:val="111"/>
                <w:rFonts w:hint="eastAsia" w:ascii="宋体" w:hAnsi="宋体" w:eastAsia="宋体" w:cs="宋体"/>
                <w:color w:val="000000"/>
                <w:sz w:val="18"/>
                <w:szCs w:val="18"/>
                <w:highlight w:val="none"/>
              </w:rPr>
              <w:t>1</w:t>
            </w:r>
            <w:r>
              <w:rPr>
                <w:rFonts w:hint="eastAsia" w:ascii="宋体" w:hAnsi="宋体" w:eastAsia="宋体" w:cs="宋体"/>
                <w:color w:val="000000"/>
                <w:kern w:val="0"/>
                <w:sz w:val="18"/>
                <w:szCs w:val="18"/>
                <w:highlight w:val="none"/>
              </w:rPr>
              <w:t>分；古树名木发现死株每处扣</w:t>
            </w:r>
            <w:r>
              <w:rPr>
                <w:rStyle w:val="111"/>
                <w:rFonts w:hint="eastAsia" w:ascii="宋体" w:hAnsi="宋体" w:eastAsia="宋体" w:cs="宋体"/>
                <w:color w:val="000000"/>
                <w:sz w:val="18"/>
                <w:szCs w:val="18"/>
                <w:highlight w:val="none"/>
              </w:rPr>
              <w:t>10</w:t>
            </w:r>
            <w:r>
              <w:rPr>
                <w:rFonts w:hint="eastAsia" w:ascii="宋体" w:hAnsi="宋体" w:eastAsia="宋体" w:cs="宋体"/>
                <w:color w:val="000000"/>
                <w:kern w:val="0"/>
                <w:sz w:val="18"/>
                <w:szCs w:val="18"/>
                <w:highlight w:val="none"/>
              </w:rPr>
              <w:t>分</w:t>
            </w:r>
          </w:p>
        </w:tc>
      </w:tr>
      <w:tr>
        <w:tblPrEx>
          <w:tblCellMar>
            <w:top w:w="0" w:type="dxa"/>
            <w:left w:w="0" w:type="dxa"/>
            <w:bottom w:w="0" w:type="dxa"/>
            <w:right w:w="0" w:type="dxa"/>
          </w:tblCellMar>
        </w:tblPrEx>
        <w:trPr>
          <w:trHeight w:val="33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植株无歪斜、倒伏现象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歪斜、倒伏植株不及时扶正的每处扣1分</w:t>
            </w:r>
          </w:p>
        </w:tc>
      </w:tr>
      <w:tr>
        <w:tblPrEx>
          <w:tblCellMar>
            <w:top w:w="0" w:type="dxa"/>
            <w:left w:w="0" w:type="dxa"/>
            <w:bottom w:w="0" w:type="dxa"/>
            <w:right w:w="0" w:type="dxa"/>
          </w:tblCellMar>
        </w:tblPrEx>
        <w:trPr>
          <w:trHeight w:val="434"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树上无藤蔓、钉子，铁丝、电线等捆绑物及杂物</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发现树上有藤蔓、钉子，铁丝、电线等捆绑物及杂物处扣1分</w:t>
            </w:r>
          </w:p>
        </w:tc>
      </w:tr>
      <w:tr>
        <w:tblPrEx>
          <w:tblCellMar>
            <w:top w:w="0" w:type="dxa"/>
            <w:left w:w="0" w:type="dxa"/>
            <w:bottom w:w="0" w:type="dxa"/>
            <w:right w:w="0" w:type="dxa"/>
          </w:tblCellMar>
        </w:tblPrEx>
        <w:trPr>
          <w:trHeight w:val="51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行道树、古树名木、绿地内乔灌木无断枝、死枝及明显枯枝现象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绿地内发现有断枝、死枝、枯枝每处扣0.5分</w:t>
            </w:r>
          </w:p>
        </w:tc>
      </w:tr>
      <w:tr>
        <w:tblPrEx>
          <w:tblCellMar>
            <w:top w:w="0" w:type="dxa"/>
            <w:left w:w="0" w:type="dxa"/>
            <w:bottom w:w="0" w:type="dxa"/>
            <w:right w:w="0" w:type="dxa"/>
          </w:tblCellMar>
        </w:tblPrEx>
        <w:trPr>
          <w:trHeight w:val="40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w:t>
            </w:r>
            <w:r>
              <w:rPr>
                <w:rFonts w:hint="eastAsia" w:ascii="宋体" w:hAnsi="宋体" w:eastAsia="宋体" w:cs="宋体"/>
                <w:color w:val="000000"/>
                <w:kern w:val="0"/>
                <w:sz w:val="18"/>
                <w:szCs w:val="18"/>
                <w:highlight w:val="none"/>
              </w:rPr>
              <w:t>年</w:t>
            </w:r>
            <w:r>
              <w:rPr>
                <w:rStyle w:val="111"/>
                <w:rFonts w:hint="eastAsia" w:ascii="宋体" w:hAnsi="宋体" w:eastAsia="宋体" w:cs="宋体"/>
                <w:color w:val="000000"/>
                <w:sz w:val="18"/>
                <w:szCs w:val="18"/>
                <w:highlight w:val="none"/>
              </w:rPr>
              <w:t>11</w:t>
            </w:r>
            <w:r>
              <w:rPr>
                <w:rFonts w:hint="eastAsia" w:ascii="宋体" w:hAnsi="宋体" w:eastAsia="宋体" w:cs="宋体"/>
                <w:color w:val="000000"/>
                <w:kern w:val="0"/>
                <w:sz w:val="18"/>
                <w:szCs w:val="18"/>
                <w:highlight w:val="none"/>
              </w:rPr>
              <w:t>月完成树木</w:t>
            </w:r>
            <w:r>
              <w:rPr>
                <w:rFonts w:hint="eastAsia" w:ascii="宋体" w:hAnsi="宋体" w:eastAsia="宋体" w:cs="宋体"/>
                <w:kern w:val="0"/>
                <w:sz w:val="18"/>
                <w:szCs w:val="18"/>
                <w:highlight w:val="none"/>
              </w:rPr>
              <w:t>冬季涂白</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涂白季节不涂白此项不得分</w:t>
            </w:r>
          </w:p>
        </w:tc>
      </w:tr>
      <w:tr>
        <w:tblPrEx>
          <w:tblCellMar>
            <w:top w:w="0" w:type="dxa"/>
            <w:left w:w="0" w:type="dxa"/>
            <w:bottom w:w="0" w:type="dxa"/>
            <w:right w:w="0" w:type="dxa"/>
          </w:tblCellMar>
        </w:tblPrEx>
        <w:trPr>
          <w:trHeight w:val="821"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色块、绿篱、球类(含高挂箱)</w:t>
            </w: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花灌木修剪及时、准确；色块、绿篱适期修剪，曲线润畅，轮廓明显，球类修剪圆整</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10%色块面积的枝条超过10cm，每处扣1分；色块灌木高度不一，曲线不流畅的，每次扣1分；观感质量达不到要求每处扣0.5分</w:t>
            </w:r>
          </w:p>
        </w:tc>
      </w:tr>
      <w:tr>
        <w:tblPrEx>
          <w:tblCellMar>
            <w:top w:w="0" w:type="dxa"/>
            <w:left w:w="0" w:type="dxa"/>
            <w:bottom w:w="0" w:type="dxa"/>
            <w:right w:w="0" w:type="dxa"/>
          </w:tblCellMar>
        </w:tblPrEx>
        <w:trPr>
          <w:trHeight w:val="836"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球类无缺株，绿篱及色块无死亡、空缺，无脱脚现象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灌木球类有缺株的每处扣1分，绿篱及色块有死亡、空缺的每1m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扣0.5分，有脱脚现象每处扣0.5分</w:t>
            </w:r>
          </w:p>
        </w:tc>
      </w:tr>
      <w:tr>
        <w:tblPrEx>
          <w:tblCellMar>
            <w:top w:w="0" w:type="dxa"/>
            <w:left w:w="0" w:type="dxa"/>
            <w:bottom w:w="0" w:type="dxa"/>
            <w:right w:w="0" w:type="dxa"/>
          </w:tblCellMar>
        </w:tblPrEx>
        <w:trPr>
          <w:trHeight w:val="9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无杂草、无苗木生长不良现象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色块、绿篱内杂草未拔除，每1m2扣0.5分、苗木明显生长不良每1m2扣0.5分</w:t>
            </w:r>
          </w:p>
        </w:tc>
      </w:tr>
      <w:tr>
        <w:tblPrEx>
          <w:tblCellMar>
            <w:top w:w="0" w:type="dxa"/>
            <w:left w:w="0" w:type="dxa"/>
            <w:bottom w:w="0" w:type="dxa"/>
            <w:right w:w="0" w:type="dxa"/>
          </w:tblCellMar>
        </w:tblPrEx>
        <w:trPr>
          <w:trHeight w:val="876"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草坪、地被</w:t>
            </w: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草坪、地被应长势良好，无黄化现象；草坪适时修剪，边缘清晰（切边整齐）</w:t>
            </w:r>
          </w:p>
        </w:tc>
        <w:tc>
          <w:tcPr>
            <w:tcW w:w="72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草坪有黄化现象大于1 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每1m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扣1分，草坪未及时修剪每处扣1分（草坪高度控制在10cm以内</w:t>
            </w:r>
            <w:r>
              <w:rPr>
                <w:rStyle w:val="373"/>
                <w:rFonts w:hint="eastAsia" w:ascii="宋体" w:hAnsi="宋体" w:eastAsia="宋体" w:cs="宋体"/>
                <w:sz w:val="18"/>
                <w:szCs w:val="18"/>
                <w:highlight w:val="none"/>
              </w:rPr>
              <w:t>.</w:t>
            </w:r>
            <w:r>
              <w:rPr>
                <w:rFonts w:hint="eastAsia" w:ascii="宋体" w:hAnsi="宋体" w:eastAsia="宋体" w:cs="宋体"/>
                <w:kern w:val="0"/>
                <w:sz w:val="18"/>
                <w:szCs w:val="18"/>
                <w:highlight w:val="none"/>
              </w:rPr>
              <w:t>）</w:t>
            </w:r>
          </w:p>
        </w:tc>
      </w:tr>
      <w:tr>
        <w:tblPrEx>
          <w:tblCellMar>
            <w:top w:w="0" w:type="dxa"/>
            <w:left w:w="0" w:type="dxa"/>
            <w:bottom w:w="0" w:type="dxa"/>
            <w:right w:w="0" w:type="dxa"/>
          </w:tblCellMar>
        </w:tblPrEx>
        <w:trPr>
          <w:trHeight w:val="9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无杂草</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草坪、地被杂草未拔除，每1m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扣0.5分</w:t>
            </w: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草坪、地被无空缺，如有空缺应及时重播或重铺</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草坪、地被空缺面积超0.5m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每处扣1分，超2 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 xml:space="preserve"> 每处扣2分</w:t>
            </w:r>
          </w:p>
        </w:tc>
      </w:tr>
      <w:tr>
        <w:tblPrEx>
          <w:tblCellMar>
            <w:top w:w="0" w:type="dxa"/>
            <w:left w:w="0" w:type="dxa"/>
            <w:bottom w:w="0" w:type="dxa"/>
            <w:right w:w="0" w:type="dxa"/>
          </w:tblCellMar>
        </w:tblPrEx>
        <w:trPr>
          <w:trHeight w:val="585" w:hRule="atLeast"/>
        </w:trPr>
        <w:tc>
          <w:tcPr>
            <w:tcW w:w="52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56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7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干旱天气及时浇水，无因管理不善引起草坪、地被死亡</w:t>
            </w:r>
          </w:p>
        </w:tc>
        <w:tc>
          <w:tcPr>
            <w:tcW w:w="72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干旱天气及时浇水，因管理不善引起草坪、地被死亡的，每1m</w:t>
            </w:r>
            <w:r>
              <w:rPr>
                <w:rStyle w:val="103"/>
                <w:rFonts w:hint="eastAsia" w:ascii="宋体" w:hAnsi="宋体" w:eastAsia="宋体" w:cs="宋体"/>
                <w:sz w:val="18"/>
                <w:szCs w:val="18"/>
                <w:highlight w:val="none"/>
                <w:vertAlign w:val="superscript"/>
              </w:rPr>
              <w:t>2</w:t>
            </w:r>
            <w:r>
              <w:rPr>
                <w:rFonts w:hint="eastAsia" w:ascii="宋体" w:hAnsi="宋体" w:eastAsia="宋体" w:cs="宋体"/>
                <w:kern w:val="0"/>
                <w:sz w:val="18"/>
                <w:szCs w:val="18"/>
                <w:highlight w:val="none"/>
              </w:rPr>
              <w:t>扣1分</w:t>
            </w:r>
          </w:p>
        </w:tc>
      </w:tr>
      <w:tr>
        <w:tblPrEx>
          <w:tblCellMar>
            <w:top w:w="0" w:type="dxa"/>
            <w:left w:w="0" w:type="dxa"/>
            <w:bottom w:w="0" w:type="dxa"/>
            <w:right w:w="0" w:type="dxa"/>
          </w:tblCellMar>
        </w:tblPrEx>
        <w:trPr>
          <w:trHeight w:val="1066" w:hRule="atLeast"/>
        </w:trPr>
        <w:tc>
          <w:tcPr>
            <w:tcW w:w="52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2</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设施维护</w:t>
            </w:r>
          </w:p>
        </w:tc>
        <w:tc>
          <w:tcPr>
            <w:tcW w:w="43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园林建筑、小品、厕所等屋面、墙面、天花板等无渗漏；门窗、隔离板、灯具、洁具、水阀、电闸、电路等完好有效。</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园林建筑、小品、厕所等屋面、墙面、天花板等有渗漏每处扣0.5分；门窗、隔离板、灯具、洁具、水阀、电闸等有缺损，电路老化每处扣0.5分</w:t>
            </w:r>
          </w:p>
        </w:tc>
      </w:tr>
      <w:tr>
        <w:tblPrEx>
          <w:tblCellMar>
            <w:top w:w="0" w:type="dxa"/>
            <w:left w:w="0" w:type="dxa"/>
            <w:bottom w:w="0" w:type="dxa"/>
            <w:right w:w="0" w:type="dxa"/>
          </w:tblCellMar>
        </w:tblPrEx>
        <w:trPr>
          <w:trHeight w:val="555" w:hRule="atLeast"/>
        </w:trPr>
        <w:tc>
          <w:tcPr>
            <w:tcW w:w="52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公园绿地用电、用水、游乐和消防设施定期检查，确保安全运行</w:t>
            </w:r>
          </w:p>
        </w:tc>
        <w:tc>
          <w:tcPr>
            <w:tcW w:w="72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发现安全隐患，扣2分</w:t>
            </w:r>
          </w:p>
        </w:tc>
      </w:tr>
      <w:tr>
        <w:tblPrEx>
          <w:tblCellMar>
            <w:top w:w="0" w:type="dxa"/>
            <w:left w:w="0" w:type="dxa"/>
            <w:bottom w:w="0" w:type="dxa"/>
            <w:right w:w="0" w:type="dxa"/>
          </w:tblCellMar>
        </w:tblPrEx>
        <w:trPr>
          <w:trHeight w:val="570" w:hRule="atLeast"/>
        </w:trPr>
        <w:tc>
          <w:tcPr>
            <w:tcW w:w="52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公园、绿地内路灯设施完好，正常照明，发现照明问题，及时联系相关部门进行修复</w:t>
            </w:r>
          </w:p>
        </w:tc>
        <w:tc>
          <w:tcPr>
            <w:tcW w:w="72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未及时发现、上报照明问题，扣2分</w:t>
            </w:r>
          </w:p>
        </w:tc>
      </w:tr>
      <w:tr>
        <w:tblPrEx>
          <w:tblCellMar>
            <w:top w:w="0" w:type="dxa"/>
            <w:left w:w="0" w:type="dxa"/>
            <w:bottom w:w="0" w:type="dxa"/>
            <w:right w:w="0" w:type="dxa"/>
          </w:tblCellMar>
        </w:tblPrEx>
        <w:trPr>
          <w:trHeight w:val="690" w:hRule="atLeast"/>
        </w:trPr>
        <w:tc>
          <w:tcPr>
            <w:tcW w:w="52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指示牌、园路、园椅、石凳、花坛、古树名木维护设施等园林设施安全，保持完好率符合绿地养护标准，发现问题及时修复</w:t>
            </w:r>
          </w:p>
        </w:tc>
        <w:tc>
          <w:tcPr>
            <w:tcW w:w="72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园林设施损坏，限期维修，不及时修复的，发现一处扣0.5分</w:t>
            </w:r>
          </w:p>
        </w:tc>
      </w:tr>
      <w:tr>
        <w:tblPrEx>
          <w:tblCellMar>
            <w:top w:w="0" w:type="dxa"/>
            <w:left w:w="0" w:type="dxa"/>
            <w:bottom w:w="0" w:type="dxa"/>
            <w:right w:w="0" w:type="dxa"/>
          </w:tblCellMar>
        </w:tblPrEx>
        <w:trPr>
          <w:trHeight w:val="585" w:hRule="atLeast"/>
        </w:trPr>
        <w:tc>
          <w:tcPr>
            <w:tcW w:w="52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园林建筑、小品等设施无尘土、蛛网、废弃物等</w:t>
            </w:r>
          </w:p>
        </w:tc>
        <w:tc>
          <w:tcPr>
            <w:tcW w:w="72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园林建筑、小品等设施有尘土、蛛网、废弃物等，每处扣0.5分</w:t>
            </w:r>
          </w:p>
        </w:tc>
      </w:tr>
      <w:tr>
        <w:tblPrEx>
          <w:tblCellMar>
            <w:top w:w="0" w:type="dxa"/>
            <w:left w:w="0" w:type="dxa"/>
            <w:bottom w:w="0" w:type="dxa"/>
            <w:right w:w="0" w:type="dxa"/>
          </w:tblCellMar>
        </w:tblPrEx>
        <w:trPr>
          <w:trHeight w:val="645" w:hRule="atLeast"/>
        </w:trPr>
        <w:tc>
          <w:tcPr>
            <w:tcW w:w="52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亭、廊、花架及其它园林建构筑、小品等，每两年粉刷油漆一次</w:t>
            </w:r>
          </w:p>
        </w:tc>
        <w:tc>
          <w:tcPr>
            <w:tcW w:w="72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不粉刷油漆此项不得分</w:t>
            </w:r>
          </w:p>
        </w:tc>
      </w:tr>
      <w:tr>
        <w:tblPrEx>
          <w:tblCellMar>
            <w:top w:w="0" w:type="dxa"/>
            <w:left w:w="0" w:type="dxa"/>
            <w:bottom w:w="0" w:type="dxa"/>
            <w:right w:w="0" w:type="dxa"/>
          </w:tblCellMar>
        </w:tblPrEx>
        <w:trPr>
          <w:trHeight w:val="780" w:hRule="atLeast"/>
        </w:trPr>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3</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土肥管理</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根据植物生长特性及时施肥，充分利用有机肥，也可施复合肥，增强土壤肥力；绿地施肥一年不少于二次，每次施肥前应报园林管理处验收、备案</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绿地施肥期不施肥，此项不得分</w:t>
            </w:r>
          </w:p>
        </w:tc>
      </w:tr>
      <w:tr>
        <w:tblPrEx>
          <w:tblCellMar>
            <w:top w:w="0" w:type="dxa"/>
            <w:left w:w="0" w:type="dxa"/>
            <w:bottom w:w="0" w:type="dxa"/>
            <w:right w:w="0" w:type="dxa"/>
          </w:tblCellMar>
        </w:tblPrEx>
        <w:trPr>
          <w:trHeight w:val="75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高架挂箱基质每年松土一次施肥二次，每三年更换一次基质。</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高架挂箱未按要求松土，扣2分；未按要求施肥，扣3分；未按要求换土扣2分</w:t>
            </w:r>
          </w:p>
        </w:tc>
      </w:tr>
      <w:tr>
        <w:tblPrEx>
          <w:tblCellMar>
            <w:top w:w="0" w:type="dxa"/>
            <w:left w:w="0" w:type="dxa"/>
            <w:bottom w:w="0" w:type="dxa"/>
            <w:right w:w="0" w:type="dxa"/>
          </w:tblCellMar>
        </w:tblPrEx>
        <w:trPr>
          <w:trHeight w:val="867"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根据天气情况和植物特性，适时浇水，及时抗旱、抗涝排水，无缺水枯死植株，无积水。</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未及时抗旱浇水、排涝，导致植物枯死，发生涝害，扣5分</w:t>
            </w:r>
          </w:p>
        </w:tc>
      </w:tr>
      <w:tr>
        <w:tblPrEx>
          <w:tblCellMar>
            <w:top w:w="0" w:type="dxa"/>
            <w:left w:w="0" w:type="dxa"/>
            <w:bottom w:w="0" w:type="dxa"/>
            <w:right w:w="0" w:type="dxa"/>
          </w:tblCellMar>
        </w:tblPrEx>
        <w:trPr>
          <w:trHeight w:val="1300" w:hRule="atLeast"/>
        </w:trPr>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4</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病虫害防治</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提倡生物防治和综合防治；控制及时，无明显病虫害，对园林景观无影响，枝叶、树干受害率符合养护标准要求</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白蚁危害未上报</w:t>
            </w:r>
            <w:r>
              <w:rPr>
                <w:rFonts w:hint="eastAsia" w:ascii="宋体" w:hAnsi="宋体" w:eastAsia="宋体" w:cs="宋体"/>
                <w:color w:val="000000"/>
                <w:kern w:val="0"/>
                <w:sz w:val="18"/>
                <w:szCs w:val="18"/>
                <w:highlight w:val="none"/>
              </w:rPr>
              <w:t>的，每处扣2分；出现蚧壳虫、蚜虫、蛾类、天牛等重点害虫危害症状，每处扣1分；其他明显病害每处扣0.5分，出现</w:t>
            </w:r>
            <w:r>
              <w:rPr>
                <w:rStyle w:val="111"/>
                <w:rFonts w:hint="eastAsia" w:ascii="宋体" w:hAnsi="宋体" w:eastAsia="宋体" w:cs="宋体"/>
                <w:color w:val="000000"/>
                <w:sz w:val="18"/>
                <w:szCs w:val="18"/>
                <w:highlight w:val="none"/>
              </w:rPr>
              <w:t>100 m</w:t>
            </w:r>
            <w:r>
              <w:rPr>
                <w:rStyle w:val="374"/>
                <w:rFonts w:hint="eastAsia" w:ascii="宋体" w:hAnsi="宋体" w:eastAsia="宋体" w:cs="宋体"/>
                <w:color w:val="000000"/>
                <w:sz w:val="18"/>
                <w:szCs w:val="18"/>
                <w:highlight w:val="none"/>
                <w:vertAlign w:val="superscript"/>
              </w:rPr>
              <w:t>2</w:t>
            </w:r>
            <w:r>
              <w:rPr>
                <w:rFonts w:hint="eastAsia" w:ascii="宋体" w:hAnsi="宋体" w:eastAsia="宋体" w:cs="宋体"/>
                <w:color w:val="000000"/>
                <w:kern w:val="0"/>
                <w:sz w:val="18"/>
                <w:szCs w:val="18"/>
                <w:highlight w:val="none"/>
              </w:rPr>
              <w:t>以上病虫害的，每处扣</w:t>
            </w:r>
            <w:r>
              <w:rPr>
                <w:rStyle w:val="111"/>
                <w:rFonts w:hint="eastAsia" w:ascii="宋体" w:hAnsi="宋体" w:eastAsia="宋体" w:cs="宋体"/>
                <w:color w:val="000000"/>
                <w:sz w:val="18"/>
                <w:szCs w:val="18"/>
                <w:highlight w:val="none"/>
              </w:rPr>
              <w:t>5</w:t>
            </w:r>
            <w:r>
              <w:rPr>
                <w:rFonts w:hint="eastAsia" w:ascii="宋体" w:hAnsi="宋体" w:eastAsia="宋体" w:cs="宋体"/>
                <w:color w:val="000000"/>
                <w:kern w:val="0"/>
                <w:sz w:val="18"/>
                <w:szCs w:val="18"/>
                <w:highlight w:val="none"/>
              </w:rPr>
              <w:t>分</w:t>
            </w:r>
          </w:p>
        </w:tc>
      </w:tr>
      <w:tr>
        <w:tblPrEx>
          <w:tblCellMar>
            <w:top w:w="0" w:type="dxa"/>
            <w:left w:w="0" w:type="dxa"/>
            <w:bottom w:w="0" w:type="dxa"/>
            <w:right w:w="0" w:type="dxa"/>
          </w:tblCellMar>
        </w:tblPrEx>
        <w:trPr>
          <w:trHeight w:val="57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无加拿大一枝黄花等有害植物及影响生长的附着物</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发现加拿大一枝黄花等有害植物扣5分</w:t>
            </w:r>
          </w:p>
        </w:tc>
      </w:tr>
      <w:tr>
        <w:tblPrEx>
          <w:tblCellMar>
            <w:top w:w="0" w:type="dxa"/>
            <w:left w:w="0" w:type="dxa"/>
            <w:bottom w:w="0" w:type="dxa"/>
            <w:right w:w="0" w:type="dxa"/>
          </w:tblCellMar>
        </w:tblPrEx>
        <w:trPr>
          <w:trHeight w:val="475" w:hRule="atLeast"/>
        </w:trPr>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5</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卫生、保洁</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绿化</w:t>
            </w:r>
            <w:r>
              <w:rPr>
                <w:rFonts w:hint="eastAsia" w:ascii="宋体" w:hAnsi="宋体" w:eastAsia="宋体" w:cs="宋体"/>
                <w:kern w:val="0"/>
                <w:sz w:val="18"/>
                <w:szCs w:val="18"/>
                <w:highlight w:val="none"/>
              </w:rPr>
              <w:t>日保洁时间</w:t>
            </w:r>
            <w:r>
              <w:rPr>
                <w:rFonts w:hint="eastAsia" w:hAnsi="宋体" w:cs="宋体"/>
                <w:bCs/>
                <w:color w:val="auto"/>
                <w:sz w:val="18"/>
                <w:szCs w:val="18"/>
                <w:highlight w:val="none"/>
                <w:lang w:val="en-US" w:eastAsia="zh-CN"/>
              </w:rPr>
              <w:t>不低于《嘉兴市城市精细化管理保洁作业时间要求》</w:t>
            </w:r>
            <w:r>
              <w:rPr>
                <w:rFonts w:hint="eastAsia" w:ascii="宋体" w:hAnsi="宋体" w:eastAsia="宋体" w:cs="宋体"/>
                <w:kern w:val="0"/>
                <w:sz w:val="18"/>
                <w:szCs w:val="18"/>
                <w:highlight w:val="none"/>
                <w:lang w:eastAsia="zh-CN"/>
              </w:rPr>
              <w:t>；绿化内、公园绿地（绿道）</w:t>
            </w:r>
            <w:r>
              <w:rPr>
                <w:rFonts w:hint="eastAsia" w:ascii="宋体" w:hAnsi="宋体" w:eastAsia="宋体" w:cs="宋体"/>
                <w:kern w:val="0"/>
                <w:sz w:val="18"/>
                <w:szCs w:val="18"/>
                <w:highlight w:val="none"/>
              </w:rPr>
              <w:t>无烟蒂、果壳、纸巾</w:t>
            </w:r>
            <w:r>
              <w:rPr>
                <w:rFonts w:hint="eastAsia" w:ascii="宋体" w:hAnsi="宋体" w:eastAsia="宋体" w:cs="宋体"/>
                <w:kern w:val="0"/>
                <w:sz w:val="18"/>
                <w:szCs w:val="18"/>
                <w:highlight w:val="none"/>
                <w:lang w:eastAsia="zh-CN"/>
              </w:rPr>
              <w:t>、水瓶等垃圾杂物；无砖头石块等</w:t>
            </w:r>
            <w:r>
              <w:rPr>
                <w:rFonts w:hint="eastAsia" w:ascii="宋体" w:hAnsi="宋体" w:eastAsia="宋体" w:cs="宋体"/>
                <w:kern w:val="0"/>
                <w:sz w:val="18"/>
                <w:szCs w:val="18"/>
                <w:highlight w:val="none"/>
              </w:rPr>
              <w:t>建筑垃圾</w:t>
            </w:r>
            <w:r>
              <w:rPr>
                <w:rFonts w:hint="eastAsia" w:ascii="宋体" w:hAnsi="宋体" w:eastAsia="宋体" w:cs="宋体"/>
                <w:kern w:val="0"/>
                <w:sz w:val="18"/>
                <w:szCs w:val="18"/>
                <w:highlight w:val="none"/>
                <w:lang w:eastAsia="zh-CN"/>
              </w:rPr>
              <w:t>。</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发现未做到，每处扣</w:t>
            </w:r>
            <w:r>
              <w:rPr>
                <w:rFonts w:hint="eastAsia" w:ascii="宋体" w:hAnsi="宋体" w:eastAsia="宋体" w:cs="宋体"/>
                <w:kern w:val="0"/>
                <w:sz w:val="18"/>
                <w:szCs w:val="18"/>
                <w:highlight w:val="none"/>
                <w:lang w:val="en-US" w:eastAsia="zh-CN"/>
              </w:rPr>
              <w:t>0.5</w:t>
            </w:r>
            <w:r>
              <w:rPr>
                <w:rFonts w:hint="eastAsia" w:ascii="宋体" w:hAnsi="宋体" w:eastAsia="宋体" w:cs="宋体"/>
                <w:kern w:val="0"/>
                <w:sz w:val="18"/>
                <w:szCs w:val="18"/>
                <w:highlight w:val="none"/>
                <w:lang w:eastAsia="zh-CN"/>
              </w:rPr>
              <w:t>分</w:t>
            </w:r>
          </w:p>
        </w:tc>
      </w:tr>
      <w:tr>
        <w:tblPrEx>
          <w:tblCellMar>
            <w:top w:w="0" w:type="dxa"/>
            <w:left w:w="0" w:type="dxa"/>
            <w:bottom w:w="0" w:type="dxa"/>
            <w:right w:w="0" w:type="dxa"/>
          </w:tblCellMar>
        </w:tblPrEx>
        <w:trPr>
          <w:trHeight w:val="735"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cs="宋体"/>
                <w:kern w:val="0"/>
                <w:sz w:val="18"/>
                <w:szCs w:val="18"/>
                <w:highlight w:val="none"/>
                <w:lang w:val="en-US" w:eastAsia="zh-CN"/>
              </w:rPr>
              <w:t>范围内无焚烧现象，</w:t>
            </w:r>
            <w:r>
              <w:rPr>
                <w:rFonts w:hint="eastAsia" w:ascii="宋体" w:hAnsi="宋体" w:eastAsia="宋体" w:cs="宋体"/>
                <w:kern w:val="0"/>
                <w:sz w:val="18"/>
                <w:szCs w:val="18"/>
                <w:highlight w:val="none"/>
                <w:lang w:eastAsia="zh-CN"/>
              </w:rPr>
              <w:t>绿化内断枝、树桩、落花落叶落果等及时清理，修剪的枝叶规范处置，日产日清不乱堆乱放。</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有发现焚烧现象扣2分；</w:t>
            </w:r>
            <w:r>
              <w:rPr>
                <w:rFonts w:hint="eastAsia" w:ascii="宋体" w:hAnsi="宋体" w:eastAsia="宋体" w:cs="宋体"/>
                <w:kern w:val="0"/>
                <w:sz w:val="18"/>
                <w:szCs w:val="18"/>
                <w:highlight w:val="none"/>
                <w:lang w:eastAsia="zh-CN"/>
              </w:rPr>
              <w:t>绿化垃圾清理不及时、乱堆放等，每处扣</w:t>
            </w:r>
            <w:r>
              <w:rPr>
                <w:rFonts w:hint="eastAsia" w:ascii="宋体" w:hAnsi="宋体" w:eastAsia="宋体" w:cs="宋体"/>
                <w:kern w:val="0"/>
                <w:sz w:val="18"/>
                <w:szCs w:val="18"/>
                <w:highlight w:val="none"/>
                <w:lang w:val="en-US" w:eastAsia="zh-CN"/>
              </w:rPr>
              <w:t>0.5分</w:t>
            </w:r>
          </w:p>
        </w:tc>
      </w:tr>
      <w:tr>
        <w:tblPrEx>
          <w:tblCellMar>
            <w:top w:w="0" w:type="dxa"/>
            <w:left w:w="0" w:type="dxa"/>
            <w:bottom w:w="0" w:type="dxa"/>
            <w:right w:w="0" w:type="dxa"/>
          </w:tblCellMar>
        </w:tblPrEx>
        <w:trPr>
          <w:trHeight w:val="795"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公园绿地（绿道）内</w:t>
            </w:r>
            <w:r>
              <w:rPr>
                <w:rFonts w:hint="eastAsia" w:ascii="宋体" w:hAnsi="宋体" w:eastAsia="宋体" w:cs="宋体"/>
                <w:kern w:val="0"/>
                <w:sz w:val="18"/>
                <w:szCs w:val="18"/>
                <w:highlight w:val="none"/>
              </w:rPr>
              <w:t>无乱贴、乱画现象，</w:t>
            </w:r>
            <w:r>
              <w:rPr>
                <w:rFonts w:hint="eastAsia" w:ascii="宋体" w:hAnsi="宋体" w:eastAsia="宋体" w:cs="宋体"/>
                <w:kern w:val="0"/>
                <w:sz w:val="18"/>
                <w:szCs w:val="18"/>
                <w:highlight w:val="none"/>
                <w:lang w:eastAsia="zh-CN"/>
              </w:rPr>
              <w:t>果壳箱日产日清分类收运，垃圾无满溢，果壳箱定期擦洗，无积尘污垢。</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发现未做到，每处扣</w:t>
            </w:r>
            <w:r>
              <w:rPr>
                <w:rFonts w:hint="eastAsia" w:ascii="宋体" w:hAnsi="宋体" w:eastAsia="宋体" w:cs="宋体"/>
                <w:kern w:val="0"/>
                <w:sz w:val="18"/>
                <w:szCs w:val="18"/>
                <w:highlight w:val="none"/>
                <w:lang w:val="en-US" w:eastAsia="zh-CN"/>
              </w:rPr>
              <w:t>0.5分</w:t>
            </w:r>
          </w:p>
        </w:tc>
      </w:tr>
      <w:tr>
        <w:tblPrEx>
          <w:tblCellMar>
            <w:top w:w="0" w:type="dxa"/>
            <w:left w:w="0" w:type="dxa"/>
            <w:bottom w:w="0" w:type="dxa"/>
            <w:right w:w="0" w:type="dxa"/>
          </w:tblCellMar>
        </w:tblPrEx>
        <w:trPr>
          <w:trHeight w:val="619"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公园</w:t>
            </w:r>
            <w:r>
              <w:rPr>
                <w:rFonts w:hint="eastAsia" w:ascii="宋体" w:hAnsi="宋体" w:eastAsia="宋体" w:cs="宋体"/>
                <w:kern w:val="0"/>
                <w:sz w:val="18"/>
                <w:szCs w:val="18"/>
                <w:highlight w:val="none"/>
              </w:rPr>
              <w:t>绿地内</w:t>
            </w:r>
            <w:r>
              <w:rPr>
                <w:rFonts w:hint="eastAsia" w:ascii="宋体" w:hAnsi="宋体" w:eastAsia="宋体" w:cs="宋体"/>
                <w:kern w:val="0"/>
                <w:sz w:val="18"/>
                <w:szCs w:val="18"/>
                <w:highlight w:val="none"/>
                <w:lang w:val="en-US" w:eastAsia="zh-CN"/>
              </w:rPr>
              <w:t>(绿道）</w:t>
            </w:r>
            <w:r>
              <w:rPr>
                <w:rFonts w:hint="eastAsia" w:ascii="宋体" w:hAnsi="宋体" w:eastAsia="宋体" w:cs="宋体"/>
                <w:kern w:val="0"/>
                <w:sz w:val="18"/>
                <w:szCs w:val="18"/>
                <w:highlight w:val="none"/>
              </w:rPr>
              <w:t>水体整洁卫生，无异味、无漂浮杂物。植草浅沟、拦污雨水口、LID生态排水沟、简易格栅井（或拦污渗漏井）无落叶垃圾堵塞。</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绿地水体不洁，每处扣</w:t>
            </w:r>
            <w:r>
              <w:rPr>
                <w:rFonts w:hint="eastAsia" w:ascii="宋体" w:hAnsi="宋体" w:eastAsia="宋体" w:cs="宋体"/>
                <w:kern w:val="0"/>
                <w:sz w:val="18"/>
                <w:szCs w:val="18"/>
                <w:highlight w:val="none"/>
                <w:lang w:val="en-US" w:eastAsia="zh-CN"/>
              </w:rPr>
              <w:t>0.5</w:t>
            </w:r>
            <w:r>
              <w:rPr>
                <w:rFonts w:hint="eastAsia" w:ascii="宋体" w:hAnsi="宋体" w:eastAsia="宋体" w:cs="宋体"/>
                <w:kern w:val="0"/>
                <w:sz w:val="18"/>
                <w:szCs w:val="18"/>
                <w:highlight w:val="none"/>
                <w:lang w:eastAsia="zh-CN"/>
              </w:rPr>
              <w:t>分；植草浅沟、拦污雨水口、LID生态排水沟、简易格栅井（或拦污渗漏井）有落叶垃圾堵塞，每处扣</w:t>
            </w:r>
            <w:r>
              <w:rPr>
                <w:rFonts w:hint="eastAsia" w:ascii="宋体" w:hAnsi="宋体" w:eastAsia="宋体" w:cs="宋体"/>
                <w:kern w:val="0"/>
                <w:sz w:val="18"/>
                <w:szCs w:val="18"/>
                <w:highlight w:val="none"/>
                <w:lang w:val="en-US" w:eastAsia="zh-CN"/>
              </w:rPr>
              <w:t>0.5</w:t>
            </w:r>
            <w:r>
              <w:rPr>
                <w:rFonts w:hint="eastAsia" w:ascii="宋体" w:hAnsi="宋体" w:eastAsia="宋体" w:cs="宋体"/>
                <w:kern w:val="0"/>
                <w:sz w:val="18"/>
                <w:szCs w:val="18"/>
                <w:highlight w:val="none"/>
                <w:lang w:eastAsia="zh-CN"/>
              </w:rPr>
              <w:t>分</w:t>
            </w:r>
          </w:p>
        </w:tc>
      </w:tr>
      <w:tr>
        <w:tblPrEx>
          <w:tblCellMar>
            <w:top w:w="0" w:type="dxa"/>
            <w:left w:w="0" w:type="dxa"/>
            <w:bottom w:w="0" w:type="dxa"/>
            <w:right w:w="0" w:type="dxa"/>
          </w:tblCellMar>
        </w:tblPrEx>
        <w:trPr>
          <w:trHeight w:val="598" w:hRule="atLeast"/>
        </w:trPr>
        <w:tc>
          <w:tcPr>
            <w:tcW w:w="52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6</w:t>
            </w:r>
          </w:p>
        </w:tc>
        <w:tc>
          <w:tcPr>
            <w:tcW w:w="8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绿地保护</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有故意被破坏现象及时制止或及时上报</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未及时制止或上报的扣2分</w:t>
            </w:r>
          </w:p>
        </w:tc>
      </w:tr>
      <w:tr>
        <w:tblPrEx>
          <w:tblCellMar>
            <w:top w:w="0" w:type="dxa"/>
            <w:left w:w="0" w:type="dxa"/>
            <w:bottom w:w="0" w:type="dxa"/>
            <w:right w:w="0" w:type="dxa"/>
          </w:tblCellMar>
        </w:tblPrEx>
        <w:trPr>
          <w:trHeight w:val="82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绿地内无停放车辆、进入车辆现象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有在绿地内停放车辆、进入车辆每次扣0.5分，及时向有关执法部门举报的可不扣分</w:t>
            </w: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绿地、园路、铺装上无设摊现象</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违章设置悬挂物、广告等现象。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有设摊</w:t>
            </w:r>
            <w:r>
              <w:rPr>
                <w:rFonts w:hint="eastAsia" w:ascii="宋体" w:hAnsi="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违章设置悬挂物、广告等现象</w:t>
            </w:r>
            <w:r>
              <w:rPr>
                <w:rFonts w:hint="eastAsia" w:ascii="宋体" w:hAnsi="宋体" w:eastAsia="宋体" w:cs="宋体"/>
                <w:kern w:val="0"/>
                <w:sz w:val="18"/>
                <w:szCs w:val="18"/>
                <w:highlight w:val="none"/>
              </w:rPr>
              <w:t>每处扣0.5分，及时向有关执法部门举报的可不扣分</w:t>
            </w:r>
          </w:p>
        </w:tc>
      </w:tr>
      <w:tr>
        <w:tblPrEx>
          <w:tblCellMar>
            <w:top w:w="0" w:type="dxa"/>
            <w:left w:w="0" w:type="dxa"/>
            <w:bottom w:w="0" w:type="dxa"/>
            <w:right w:w="0" w:type="dxa"/>
          </w:tblCellMar>
        </w:tblPrEx>
        <w:trPr>
          <w:trHeight w:val="43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无绿地内违章设置悬挂物、广告现象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有违章设置广告现象每处扣0.5分</w:t>
            </w:r>
          </w:p>
        </w:tc>
      </w:tr>
      <w:tr>
        <w:tblPrEx>
          <w:tblCellMar>
            <w:top w:w="0" w:type="dxa"/>
            <w:left w:w="0" w:type="dxa"/>
            <w:bottom w:w="0" w:type="dxa"/>
            <w:right w:w="0" w:type="dxa"/>
          </w:tblCellMar>
        </w:tblPrEx>
        <w:trPr>
          <w:trHeight w:val="52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无乱堆乱放乱涂乱画乱钉乱刻，晾晒衣服等现象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有无乱堆乱放乱涂乱画乱钉乱刻，晾衣服现象每处扣0.5分</w:t>
            </w:r>
          </w:p>
        </w:tc>
      </w:tr>
      <w:tr>
        <w:tblPrEx>
          <w:tblCellMar>
            <w:top w:w="0" w:type="dxa"/>
            <w:left w:w="0" w:type="dxa"/>
            <w:bottom w:w="0" w:type="dxa"/>
            <w:right w:w="0" w:type="dxa"/>
          </w:tblCellMar>
        </w:tblPrEx>
        <w:trPr>
          <w:trHeight w:val="705"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无侵占绿地、破坏绿地等现象</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有侵占绿地、破坏绿地的现象每处扣0.5分，及时向有关执法部门举报的可不扣分</w:t>
            </w:r>
          </w:p>
        </w:tc>
      </w:tr>
      <w:tr>
        <w:tblPrEx>
          <w:tblCellMar>
            <w:top w:w="0" w:type="dxa"/>
            <w:left w:w="0" w:type="dxa"/>
            <w:bottom w:w="0" w:type="dxa"/>
            <w:right w:w="0" w:type="dxa"/>
          </w:tblCellMar>
        </w:tblPrEx>
        <w:trPr>
          <w:trHeight w:val="705" w:hRule="atLeast"/>
        </w:trPr>
        <w:tc>
          <w:tcPr>
            <w:tcW w:w="52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发现未经审批、擅自开挖、修剪砍伐等占绿毁绿现象</w:t>
            </w: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未及时劝阻、上报的每次扣1分</w:t>
            </w:r>
          </w:p>
        </w:tc>
      </w:tr>
      <w:tr>
        <w:tblPrEx>
          <w:tblCellMar>
            <w:top w:w="0" w:type="dxa"/>
            <w:left w:w="0" w:type="dxa"/>
            <w:bottom w:w="0" w:type="dxa"/>
            <w:right w:w="0" w:type="dxa"/>
          </w:tblCellMar>
        </w:tblPrEx>
        <w:trPr>
          <w:trHeight w:val="720" w:hRule="atLeast"/>
        </w:trPr>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7</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养护人员</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项目主管、巡查人员、养护人员（按合同要求人数）到位</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项目主管、巡查人员不到位，每少一人次扣1分；养护人员不到位，每少一人次扣0.5分</w:t>
            </w:r>
          </w:p>
        </w:tc>
      </w:tr>
      <w:tr>
        <w:tblPrEx>
          <w:tblCellMar>
            <w:top w:w="0" w:type="dxa"/>
            <w:left w:w="0" w:type="dxa"/>
            <w:bottom w:w="0" w:type="dxa"/>
            <w:right w:w="0" w:type="dxa"/>
          </w:tblCellMar>
        </w:tblPrEx>
        <w:trPr>
          <w:trHeight w:val="60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巡查质量（按照</w:t>
            </w:r>
            <w:r>
              <w:rPr>
                <w:rFonts w:hint="eastAsia" w:ascii="宋体" w:hAnsi="宋体" w:eastAsia="宋体" w:cs="宋体"/>
                <w:kern w:val="0"/>
                <w:sz w:val="18"/>
                <w:szCs w:val="18"/>
                <w:highlight w:val="none"/>
                <w:lang w:eastAsia="zh-CN"/>
              </w:rPr>
              <w:t>行业</w:t>
            </w:r>
            <w:r>
              <w:rPr>
                <w:rFonts w:hint="eastAsia" w:ascii="宋体" w:hAnsi="宋体" w:eastAsia="宋体" w:cs="宋体"/>
                <w:kern w:val="0"/>
                <w:sz w:val="18"/>
                <w:szCs w:val="18"/>
                <w:highlight w:val="none"/>
              </w:rPr>
              <w:t>规程，规范、文明、安全</w:t>
            </w:r>
            <w:r>
              <w:rPr>
                <w:rFonts w:hint="eastAsia" w:ascii="宋体" w:hAnsi="宋体" w:cs="宋体"/>
                <w:kern w:val="0"/>
                <w:sz w:val="18"/>
                <w:szCs w:val="18"/>
                <w:highlight w:val="none"/>
                <w:lang w:val="en-US" w:eastAsia="zh-CN"/>
              </w:rPr>
              <w:t>开展巡查</w:t>
            </w:r>
            <w:r>
              <w:rPr>
                <w:rFonts w:hint="eastAsia" w:ascii="宋体" w:hAnsi="宋体" w:eastAsia="宋体" w:cs="宋体"/>
                <w:kern w:val="0"/>
                <w:sz w:val="18"/>
                <w:szCs w:val="18"/>
                <w:highlight w:val="none"/>
                <w:lang w:eastAsia="zh-CN"/>
              </w:rPr>
              <w:t>养护</w:t>
            </w:r>
            <w:r>
              <w:rPr>
                <w:rFonts w:hint="eastAsia" w:ascii="宋体" w:hAnsi="宋体" w:eastAsia="宋体" w:cs="宋体"/>
                <w:kern w:val="0"/>
                <w:sz w:val="18"/>
                <w:szCs w:val="18"/>
                <w:highlight w:val="none"/>
              </w:rPr>
              <w:t>作业）</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未及时发现问题的，每次扣0.5分</w:t>
            </w:r>
          </w:p>
        </w:tc>
      </w:tr>
      <w:tr>
        <w:tblPrEx>
          <w:tblCellMar>
            <w:top w:w="0" w:type="dxa"/>
            <w:left w:w="0" w:type="dxa"/>
            <w:bottom w:w="0" w:type="dxa"/>
            <w:right w:w="0" w:type="dxa"/>
          </w:tblCellMar>
        </w:tblPrEx>
        <w:trPr>
          <w:trHeight w:val="465"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18"/>
                <w:szCs w:val="18"/>
                <w:highlight w:val="none"/>
                <w:lang w:val="en-US" w:eastAsia="zh-CN"/>
              </w:rPr>
            </w:pPr>
            <w:r>
              <w:rPr>
                <w:rFonts w:hint="eastAsia" w:ascii="宋体" w:hAnsi="宋体" w:cs="宋体"/>
                <w:kern w:val="0"/>
                <w:sz w:val="18"/>
                <w:szCs w:val="18"/>
                <w:highlight w:val="none"/>
                <w:lang w:val="en-US" w:eastAsia="zh-CN"/>
              </w:rPr>
              <w:t>巡查人员、养护人员统一着装、整洁得体</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不穿标志服</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着装不整洁</w:t>
            </w:r>
            <w:r>
              <w:rPr>
                <w:rFonts w:hint="eastAsia" w:ascii="宋体" w:hAnsi="宋体" w:eastAsia="宋体" w:cs="宋体"/>
                <w:kern w:val="0"/>
                <w:sz w:val="18"/>
                <w:szCs w:val="18"/>
                <w:highlight w:val="none"/>
              </w:rPr>
              <w:t>， 每人次扣100元</w:t>
            </w:r>
          </w:p>
        </w:tc>
      </w:tr>
      <w:tr>
        <w:tblPrEx>
          <w:tblCellMar>
            <w:top w:w="0" w:type="dxa"/>
            <w:left w:w="0" w:type="dxa"/>
            <w:bottom w:w="0" w:type="dxa"/>
            <w:right w:w="0" w:type="dxa"/>
          </w:tblCellMar>
        </w:tblPrEx>
        <w:trPr>
          <w:trHeight w:val="750" w:hRule="atLeast"/>
        </w:trPr>
        <w:tc>
          <w:tcPr>
            <w:tcW w:w="52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8</w:t>
            </w:r>
          </w:p>
        </w:tc>
        <w:tc>
          <w:tcPr>
            <w:tcW w:w="81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管理标准</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安全文明生产作业及绿地养护管理制度健全。实行日常巡查，用相机记录工作内容并</w:t>
            </w:r>
            <w:r>
              <w:rPr>
                <w:rFonts w:hint="eastAsia" w:ascii="宋体" w:hAnsi="宋体" w:cs="宋体"/>
                <w:kern w:val="0"/>
                <w:sz w:val="18"/>
                <w:szCs w:val="18"/>
                <w:highlight w:val="none"/>
                <w:lang w:val="en-US" w:eastAsia="zh-CN"/>
              </w:rPr>
              <w:t>每周报送督查整改对比照片（问题）不少于20个。</w:t>
            </w:r>
          </w:p>
        </w:tc>
        <w:tc>
          <w:tcPr>
            <w:tcW w:w="72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4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养护日历及记录不及时，</w:t>
            </w:r>
            <w:r>
              <w:rPr>
                <w:rFonts w:hint="eastAsia" w:ascii="宋体" w:hAnsi="宋体" w:cs="宋体"/>
                <w:kern w:val="0"/>
                <w:sz w:val="18"/>
                <w:szCs w:val="18"/>
                <w:highlight w:val="none"/>
                <w:lang w:val="en-US" w:eastAsia="zh-CN"/>
              </w:rPr>
              <w:t>未在每月月底前报送当月的工作总结及下个月的养护计划和重点的（包括但不限于日常的工作量，用工用料以清单形式提供并提供相关凭证），</w:t>
            </w:r>
            <w:r>
              <w:rPr>
                <w:rFonts w:hint="eastAsia" w:ascii="宋体" w:hAnsi="宋体" w:eastAsia="宋体" w:cs="宋体"/>
                <w:kern w:val="0"/>
                <w:sz w:val="18"/>
                <w:szCs w:val="18"/>
                <w:highlight w:val="none"/>
              </w:rPr>
              <w:t>上报不全，每次扣0.5分；无管护台帐，不得分。无养护计划、现场管理乱，发现一次扣1分；无故替开会一次扣0.5分；养护管理责任人经常变更不明确，扣1分；无相机记录工作内容，此项不得分；不及时完成主管部门交办任务，扣1分；发生安全事故不得分</w:t>
            </w:r>
          </w:p>
        </w:tc>
      </w:tr>
      <w:tr>
        <w:tblPrEx>
          <w:tblCellMar>
            <w:top w:w="0" w:type="dxa"/>
            <w:left w:w="0" w:type="dxa"/>
            <w:bottom w:w="0" w:type="dxa"/>
            <w:right w:w="0" w:type="dxa"/>
          </w:tblCellMar>
        </w:tblPrEx>
        <w:trPr>
          <w:trHeight w:val="54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工作有台账、记录全、内容实，及时反馈</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按主管部门要求，准时参加会议，完成交办任务</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每月2号前报送上月整改情况</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宋体" w:hAnsi="宋体" w:eastAsia="宋体" w:cs="宋体"/>
                <w:sz w:val="18"/>
                <w:szCs w:val="18"/>
                <w:highlight w:val="none"/>
                <w:lang w:val="en-US" w:eastAsia="zh-CN"/>
              </w:rPr>
            </w:pPr>
            <w:r>
              <w:rPr>
                <w:rFonts w:hint="eastAsia" w:ascii="宋体" w:hAnsi="宋体" w:cs="宋体"/>
                <w:kern w:val="0"/>
                <w:sz w:val="18"/>
                <w:szCs w:val="18"/>
                <w:highlight w:val="none"/>
                <w:lang w:val="en-US" w:eastAsia="zh-CN"/>
              </w:rPr>
              <w:t>未及时报送整改情况的每次扣1分；应整改而未及时整改的</w:t>
            </w:r>
            <w:r>
              <w:rPr>
                <w:rFonts w:hint="eastAsia" w:ascii="宋体" w:hAnsi="宋体" w:cs="宋体"/>
                <w:sz w:val="18"/>
                <w:szCs w:val="18"/>
                <w:highlight w:val="none"/>
                <w:lang w:val="en-US" w:eastAsia="zh-CN"/>
              </w:rPr>
              <w:t>每次扣2分</w:t>
            </w: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每天进行人员智慧化考勤，并上报考勤情况</w:t>
            </w:r>
          </w:p>
        </w:tc>
        <w:tc>
          <w:tcPr>
            <w:tcW w:w="720" w:type="dxa"/>
            <w:vMerge w:val="restart"/>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未考勤的</w:t>
            </w:r>
            <w:r>
              <w:rPr>
                <w:rFonts w:hint="eastAsia" w:ascii="宋体" w:hAnsi="宋体" w:cs="宋体"/>
                <w:color w:val="FF0000"/>
                <w:kern w:val="0"/>
                <w:sz w:val="18"/>
                <w:szCs w:val="18"/>
                <w:highlight w:val="none"/>
                <w:lang w:val="en-US" w:eastAsia="zh-CN"/>
              </w:rPr>
              <w:t>每</w:t>
            </w:r>
            <w:r>
              <w:rPr>
                <w:rFonts w:hint="eastAsia" w:ascii="宋体" w:hAnsi="宋体" w:cs="宋体"/>
                <w:kern w:val="0"/>
                <w:sz w:val="18"/>
                <w:szCs w:val="18"/>
                <w:highlight w:val="none"/>
                <w:lang w:val="en-US" w:eastAsia="zh-CN"/>
              </w:rPr>
              <w:t>人扣0.1分；未及时上报考勤情况的扣0.3分。</w:t>
            </w: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cs="宋体"/>
                <w:kern w:val="0"/>
                <w:sz w:val="18"/>
                <w:szCs w:val="18"/>
                <w:highlight w:val="none"/>
                <w:lang w:val="en-US" w:eastAsia="zh-CN"/>
              </w:rPr>
            </w:pPr>
            <w:r>
              <w:rPr>
                <w:rFonts w:hint="default" w:ascii="宋体" w:hAnsi="宋体" w:cs="宋体"/>
                <w:kern w:val="0"/>
                <w:sz w:val="18"/>
                <w:szCs w:val="18"/>
                <w:highlight w:val="none"/>
                <w:lang w:val="en-US" w:eastAsia="zh-CN"/>
              </w:rPr>
              <w:t>每月对月度养护计划落实情况进行检查</w:t>
            </w:r>
          </w:p>
        </w:tc>
        <w:tc>
          <w:tcPr>
            <w:tcW w:w="72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未按计划落实月度养护的，</w:t>
            </w:r>
            <w:r>
              <w:rPr>
                <w:rFonts w:hint="eastAsia" w:ascii="宋体" w:hAnsi="宋体" w:cs="宋体"/>
                <w:color w:val="FF0000"/>
                <w:kern w:val="0"/>
                <w:sz w:val="18"/>
                <w:szCs w:val="18"/>
                <w:highlight w:val="none"/>
                <w:lang w:val="en-US" w:eastAsia="zh-CN"/>
              </w:rPr>
              <w:t>每项内容扣1分</w:t>
            </w:r>
          </w:p>
        </w:tc>
      </w:tr>
      <w:tr>
        <w:tblPrEx>
          <w:tblCellMar>
            <w:top w:w="0" w:type="dxa"/>
            <w:left w:w="0" w:type="dxa"/>
            <w:bottom w:w="0" w:type="dxa"/>
            <w:right w:w="0" w:type="dxa"/>
          </w:tblCellMar>
        </w:tblPrEx>
        <w:trPr>
          <w:trHeight w:val="600" w:hRule="atLeast"/>
        </w:trPr>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9</w:t>
            </w:r>
          </w:p>
        </w:tc>
        <w:tc>
          <w:tcPr>
            <w:tcW w:w="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社会监督</w:t>
            </w: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群众来信、来电、来访举报，属实</w:t>
            </w:r>
          </w:p>
        </w:tc>
        <w:tc>
          <w:tcPr>
            <w:tcW w:w="7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每次扣1分</w:t>
            </w:r>
          </w:p>
        </w:tc>
      </w:tr>
      <w:tr>
        <w:tblPrEx>
          <w:tblCellMar>
            <w:top w:w="0" w:type="dxa"/>
            <w:left w:w="0" w:type="dxa"/>
            <w:bottom w:w="0" w:type="dxa"/>
            <w:right w:w="0" w:type="dxa"/>
          </w:tblCellMar>
        </w:tblPrEx>
        <w:trPr>
          <w:trHeight w:val="600" w:hRule="atLeast"/>
        </w:trPr>
        <w:tc>
          <w:tcPr>
            <w:tcW w:w="52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kern w:val="0"/>
                <w:sz w:val="18"/>
                <w:szCs w:val="18"/>
                <w:highlight w:val="none"/>
              </w:rPr>
            </w:pPr>
          </w:p>
        </w:tc>
        <w:tc>
          <w:tcPr>
            <w:tcW w:w="818"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kern w:val="0"/>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社区参与考评，具体考评标准以街道下发考评标准为准，及时上报并整改</w:t>
            </w:r>
          </w:p>
        </w:tc>
        <w:tc>
          <w:tcPr>
            <w:tcW w:w="72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kern w:val="0"/>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kern w:val="0"/>
                <w:sz w:val="18"/>
                <w:szCs w:val="18"/>
                <w:highlight w:val="none"/>
              </w:rPr>
            </w:pPr>
            <w:r>
              <w:rPr>
                <w:rFonts w:hint="eastAsia" w:ascii="宋体" w:hAnsi="宋体" w:cs="宋体"/>
                <w:kern w:val="0"/>
                <w:sz w:val="18"/>
                <w:szCs w:val="18"/>
                <w:highlight w:val="none"/>
                <w:lang w:val="en-US" w:eastAsia="zh-CN"/>
              </w:rPr>
              <w:t>未及时上报或整改，</w:t>
            </w:r>
            <w:r>
              <w:rPr>
                <w:rFonts w:hint="eastAsia" w:ascii="宋体" w:hAnsi="宋体" w:eastAsia="宋体" w:cs="宋体"/>
                <w:kern w:val="0"/>
                <w:sz w:val="18"/>
                <w:szCs w:val="18"/>
                <w:highlight w:val="none"/>
              </w:rPr>
              <w:t>每次扣</w:t>
            </w:r>
            <w:r>
              <w:rPr>
                <w:rFonts w:hint="eastAsia" w:ascii="宋体" w:hAnsi="宋体" w:cs="宋体"/>
                <w:kern w:val="0"/>
                <w:sz w:val="18"/>
                <w:szCs w:val="18"/>
                <w:highlight w:val="none"/>
                <w:lang w:val="en-US" w:eastAsia="zh-CN"/>
              </w:rPr>
              <w:t>0.5</w:t>
            </w:r>
            <w:r>
              <w:rPr>
                <w:rFonts w:hint="eastAsia" w:ascii="宋体" w:hAnsi="宋体" w:eastAsia="宋体" w:cs="宋体"/>
                <w:kern w:val="0"/>
                <w:sz w:val="18"/>
                <w:szCs w:val="18"/>
                <w:highlight w:val="none"/>
              </w:rPr>
              <w:t>分</w:t>
            </w:r>
          </w:p>
        </w:tc>
      </w:tr>
      <w:tr>
        <w:tblPrEx>
          <w:tblCellMar>
            <w:top w:w="0" w:type="dxa"/>
            <w:left w:w="0" w:type="dxa"/>
            <w:bottom w:w="0" w:type="dxa"/>
            <w:right w:w="0" w:type="dxa"/>
          </w:tblCellMar>
        </w:tblPrEx>
        <w:trPr>
          <w:trHeight w:val="60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媒体曝光，属实</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每次扣2分</w:t>
            </w:r>
          </w:p>
        </w:tc>
      </w:tr>
      <w:tr>
        <w:tblPrEx>
          <w:tblCellMar>
            <w:top w:w="0" w:type="dxa"/>
            <w:left w:w="0" w:type="dxa"/>
            <w:bottom w:w="0" w:type="dxa"/>
            <w:right w:w="0" w:type="dxa"/>
          </w:tblCellMar>
        </w:tblPrEx>
        <w:trPr>
          <w:trHeight w:val="60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对市长电话交办单、数字城管联系单等</w:t>
            </w:r>
            <w:r>
              <w:rPr>
                <w:rFonts w:hint="eastAsia" w:ascii="宋体" w:hAnsi="宋体" w:eastAsia="宋体" w:cs="宋体"/>
                <w:sz w:val="18"/>
                <w:szCs w:val="18"/>
                <w:highlight w:val="none"/>
                <w:lang w:eastAsia="zh-CN"/>
              </w:rPr>
              <w:t>派单</w:t>
            </w:r>
            <w:r>
              <w:rPr>
                <w:rFonts w:hint="eastAsia" w:ascii="宋体" w:hAnsi="宋体" w:eastAsia="宋体" w:cs="宋体"/>
                <w:sz w:val="18"/>
                <w:szCs w:val="18"/>
                <w:highlight w:val="none"/>
              </w:rPr>
              <w:t>及时</w:t>
            </w:r>
            <w:r>
              <w:rPr>
                <w:rFonts w:hint="eastAsia" w:ascii="宋体" w:hAnsi="宋体" w:eastAsia="宋体" w:cs="宋体"/>
                <w:sz w:val="18"/>
                <w:szCs w:val="18"/>
                <w:highlight w:val="none"/>
                <w:lang w:eastAsia="zh-CN"/>
              </w:rPr>
              <w:t>、高质量</w:t>
            </w:r>
            <w:r>
              <w:rPr>
                <w:rFonts w:hint="eastAsia" w:ascii="宋体" w:hAnsi="宋体" w:eastAsia="宋体" w:cs="宋体"/>
                <w:sz w:val="18"/>
                <w:szCs w:val="18"/>
                <w:highlight w:val="none"/>
              </w:rPr>
              <w:t>整改反馈</w:t>
            </w:r>
            <w:r>
              <w:rPr>
                <w:rFonts w:hint="eastAsia" w:ascii="宋体" w:hAnsi="宋体" w:eastAsia="宋体" w:cs="宋体"/>
                <w:sz w:val="18"/>
                <w:szCs w:val="18"/>
                <w:highlight w:val="none"/>
                <w:lang w:eastAsia="zh-CN"/>
              </w:rPr>
              <w:t>，按期处理率</w:t>
            </w:r>
            <w:r>
              <w:rPr>
                <w:rFonts w:hint="eastAsia" w:ascii="宋体" w:hAnsi="宋体" w:eastAsia="宋体" w:cs="宋体"/>
                <w:sz w:val="18"/>
                <w:szCs w:val="18"/>
                <w:highlight w:val="none"/>
                <w:lang w:val="en-US" w:eastAsia="zh-CN"/>
              </w:rPr>
              <w:t>100%。</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每月末统计，按期处理率低于</w:t>
            </w:r>
            <w:r>
              <w:rPr>
                <w:rFonts w:hint="eastAsia" w:ascii="宋体" w:hAnsi="宋体" w:eastAsia="宋体" w:cs="宋体"/>
                <w:sz w:val="18"/>
                <w:szCs w:val="18"/>
                <w:highlight w:val="none"/>
                <w:lang w:val="en-US" w:eastAsia="zh-CN"/>
              </w:rPr>
              <w:t>100%，月度扣1分，低于95%，月度扣2分，以此类推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反馈准确率</w:t>
            </w:r>
            <w:r>
              <w:rPr>
                <w:rFonts w:hint="eastAsia" w:ascii="宋体" w:hAnsi="宋体" w:eastAsia="宋体" w:cs="宋体"/>
                <w:sz w:val="18"/>
                <w:szCs w:val="18"/>
                <w:highlight w:val="none"/>
                <w:lang w:eastAsia="zh-CN"/>
              </w:rPr>
              <w:t>低于</w:t>
            </w:r>
            <w:r>
              <w:rPr>
                <w:rFonts w:hint="eastAsia" w:ascii="宋体" w:hAnsi="宋体" w:eastAsia="宋体" w:cs="宋体"/>
                <w:sz w:val="18"/>
                <w:szCs w:val="18"/>
                <w:highlight w:val="none"/>
                <w:lang w:val="en-US" w:eastAsia="zh-CN"/>
              </w:rPr>
              <w:t>99.5%，扣1分，</w:t>
            </w:r>
            <w:r>
              <w:rPr>
                <w:rFonts w:hint="eastAsia" w:ascii="宋体" w:hAnsi="宋体" w:eastAsia="宋体" w:cs="宋体"/>
                <w:sz w:val="18"/>
                <w:szCs w:val="18"/>
                <w:highlight w:val="none"/>
                <w:lang w:eastAsia="zh-CN"/>
              </w:rPr>
              <w:t>低于</w:t>
            </w:r>
            <w:r>
              <w:rPr>
                <w:rFonts w:hint="eastAsia" w:ascii="宋体" w:hAnsi="宋体" w:eastAsia="宋体" w:cs="宋体"/>
                <w:sz w:val="18"/>
                <w:szCs w:val="18"/>
                <w:highlight w:val="none"/>
                <w:lang w:val="en-US" w:eastAsia="zh-CN"/>
              </w:rPr>
              <w:t>99%，扣2分，</w:t>
            </w:r>
            <w:r>
              <w:rPr>
                <w:rFonts w:hint="eastAsia" w:ascii="宋体" w:hAnsi="宋体" w:eastAsia="宋体" w:cs="宋体"/>
                <w:sz w:val="18"/>
                <w:szCs w:val="18"/>
                <w:highlight w:val="none"/>
                <w:lang w:eastAsia="zh-CN"/>
              </w:rPr>
              <w:t>以此类推，</w:t>
            </w:r>
            <w:r>
              <w:rPr>
                <w:rFonts w:hint="eastAsia" w:ascii="宋体" w:hAnsi="宋体" w:eastAsia="宋体" w:cs="宋体"/>
                <w:sz w:val="18"/>
                <w:szCs w:val="18"/>
                <w:highlight w:val="none"/>
                <w:lang w:val="en-US" w:eastAsia="zh-CN"/>
              </w:rPr>
              <w:t>如案件反馈存在弄虚作假，扣5分</w:t>
            </w:r>
          </w:p>
        </w:tc>
      </w:tr>
      <w:tr>
        <w:tblPrEx>
          <w:tblCellMar>
            <w:top w:w="0" w:type="dxa"/>
            <w:left w:w="0" w:type="dxa"/>
            <w:bottom w:w="0" w:type="dxa"/>
            <w:right w:w="0" w:type="dxa"/>
          </w:tblCellMar>
        </w:tblPrEx>
        <w:trPr>
          <w:trHeight w:val="600" w:hRule="atLeast"/>
        </w:trPr>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43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val="en-US" w:eastAsia="zh-CN"/>
              </w:rPr>
              <w:t>区级及以上</w:t>
            </w:r>
            <w:r>
              <w:rPr>
                <w:rFonts w:hint="eastAsia" w:ascii="宋体" w:hAnsi="宋体" w:eastAsia="宋体" w:cs="宋体"/>
                <w:kern w:val="0"/>
                <w:sz w:val="18"/>
                <w:szCs w:val="18"/>
                <w:highlight w:val="none"/>
              </w:rPr>
              <w:t>相关部门表扬，属实</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区级及以上相关部门通报、批评，属实</w:t>
            </w:r>
          </w:p>
        </w:tc>
        <w:tc>
          <w:tcPr>
            <w:tcW w:w="7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val="en-US" w:eastAsia="zh-CN"/>
              </w:rPr>
              <w:t>表扬</w:t>
            </w:r>
            <w:r>
              <w:rPr>
                <w:rFonts w:hint="eastAsia" w:ascii="宋体" w:hAnsi="宋体" w:eastAsia="宋体" w:cs="宋体"/>
                <w:kern w:val="0"/>
                <w:sz w:val="18"/>
                <w:szCs w:val="18"/>
                <w:highlight w:val="none"/>
              </w:rPr>
              <w:t>加2分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通报、批评</w:t>
            </w:r>
            <w:r>
              <w:rPr>
                <w:rFonts w:hint="eastAsia" w:ascii="宋体" w:hAnsi="宋体" w:eastAsia="宋体" w:cs="宋体"/>
                <w:kern w:val="0"/>
                <w:sz w:val="18"/>
                <w:szCs w:val="18"/>
                <w:highlight w:val="none"/>
              </w:rPr>
              <w:t>每次扣2分</w:t>
            </w:r>
          </w:p>
        </w:tc>
      </w:tr>
      <w:tr>
        <w:tblPrEx>
          <w:tblCellMar>
            <w:top w:w="0" w:type="dxa"/>
            <w:left w:w="0" w:type="dxa"/>
            <w:bottom w:w="0" w:type="dxa"/>
            <w:right w:w="0" w:type="dxa"/>
          </w:tblCellMar>
        </w:tblPrEx>
        <w:trPr>
          <w:trHeight w:val="1185" w:hRule="atLeast"/>
        </w:trPr>
        <w:tc>
          <w:tcPr>
            <w:tcW w:w="9803"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注：1、整改期限按天气、整改的内容由</w:t>
            </w:r>
            <w:r>
              <w:rPr>
                <w:rFonts w:hint="eastAsia" w:ascii="宋体" w:hAnsi="宋体" w:cs="宋体"/>
                <w:kern w:val="0"/>
                <w:sz w:val="18"/>
                <w:szCs w:val="18"/>
                <w:highlight w:val="none"/>
                <w:lang w:eastAsia="zh-CN"/>
              </w:rPr>
              <w:t>招标人或相关部门</w:t>
            </w:r>
            <w:r>
              <w:rPr>
                <w:rFonts w:hint="eastAsia" w:ascii="宋体" w:hAnsi="宋体" w:eastAsia="宋体" w:cs="宋体"/>
                <w:kern w:val="0"/>
                <w:sz w:val="18"/>
                <w:szCs w:val="18"/>
                <w:highlight w:val="none"/>
              </w:rPr>
              <w:t>界定。2、养护单位每日填写自查表并上报</w:t>
            </w:r>
            <w:r>
              <w:rPr>
                <w:rFonts w:hint="eastAsia" w:ascii="宋体" w:hAnsi="宋体" w:eastAsia="宋体" w:cs="宋体"/>
                <w:b/>
                <w:bCs/>
                <w:kern w:val="0"/>
                <w:sz w:val="18"/>
                <w:szCs w:val="18"/>
                <w:highlight w:val="none"/>
              </w:rPr>
              <w:t>。对于养护单位先于</w:t>
            </w:r>
            <w:r>
              <w:rPr>
                <w:rFonts w:hint="eastAsia" w:ascii="宋体" w:hAnsi="宋体" w:cs="宋体"/>
                <w:b/>
                <w:bCs/>
                <w:kern w:val="0"/>
                <w:sz w:val="18"/>
                <w:szCs w:val="18"/>
                <w:highlight w:val="none"/>
                <w:lang w:eastAsia="zh-CN"/>
              </w:rPr>
              <w:t>招标人</w:t>
            </w:r>
            <w:r>
              <w:rPr>
                <w:rFonts w:hint="eastAsia" w:ascii="宋体" w:hAnsi="宋体" w:eastAsia="宋体" w:cs="宋体"/>
                <w:b/>
                <w:bCs/>
                <w:kern w:val="0"/>
                <w:sz w:val="18"/>
                <w:szCs w:val="18"/>
                <w:highlight w:val="none"/>
              </w:rPr>
              <w:t>工作人员发现问题的并在自查表上填明已经上报</w:t>
            </w:r>
            <w:r>
              <w:rPr>
                <w:rFonts w:hint="eastAsia" w:ascii="宋体" w:hAnsi="宋体" w:cs="宋体"/>
                <w:b/>
                <w:bCs/>
                <w:kern w:val="0"/>
                <w:sz w:val="18"/>
                <w:szCs w:val="18"/>
                <w:highlight w:val="none"/>
                <w:lang w:eastAsia="zh-CN"/>
              </w:rPr>
              <w:t>招标人</w:t>
            </w:r>
            <w:r>
              <w:rPr>
                <w:rFonts w:hint="eastAsia" w:ascii="宋体" w:hAnsi="宋体" w:eastAsia="宋体" w:cs="宋体"/>
                <w:b/>
                <w:bCs/>
                <w:kern w:val="0"/>
                <w:sz w:val="18"/>
                <w:szCs w:val="18"/>
                <w:highlight w:val="none"/>
              </w:rPr>
              <w:t>的，可不扣分。3、灾害性天气、突发事件应根据</w:t>
            </w:r>
            <w:r>
              <w:rPr>
                <w:rFonts w:hint="eastAsia" w:ascii="宋体" w:hAnsi="宋体" w:cs="宋体"/>
                <w:b/>
                <w:bCs/>
                <w:kern w:val="0"/>
                <w:sz w:val="18"/>
                <w:szCs w:val="18"/>
                <w:highlight w:val="none"/>
                <w:lang w:eastAsia="zh-CN"/>
              </w:rPr>
              <w:t>招标人</w:t>
            </w:r>
            <w:r>
              <w:rPr>
                <w:rFonts w:hint="eastAsia" w:ascii="宋体" w:hAnsi="宋体" w:eastAsia="宋体" w:cs="宋体"/>
                <w:b/>
                <w:bCs/>
                <w:kern w:val="0"/>
                <w:sz w:val="18"/>
                <w:szCs w:val="18"/>
                <w:highlight w:val="none"/>
              </w:rPr>
              <w:t>要求及时响应，响应不及时的，当季考核评定为不合格</w:t>
            </w:r>
            <w:r>
              <w:rPr>
                <w:rFonts w:hint="eastAsia" w:ascii="宋体" w:hAnsi="宋体" w:eastAsia="宋体" w:cs="宋体"/>
                <w:kern w:val="0"/>
                <w:sz w:val="18"/>
                <w:szCs w:val="18"/>
                <w:highlight w:val="none"/>
              </w:rPr>
              <w:t>。4、养护绿地内涉及绿化审批项目的应根据要求做好苗木迁移。6、养护合同的条款要求均是考核前置条件，未按合同履行的，考核评定为不合格。</w:t>
            </w:r>
          </w:p>
        </w:tc>
      </w:tr>
      <w:bookmarkEnd w:id="122"/>
    </w:tbl>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pPr>
        <w:rPr>
          <w:rFonts w:hint="eastAsia" w:ascii="宋体" w:hAnsi="宋体" w:eastAsia="宋体" w:cs="宋体"/>
          <w:color w:val="auto"/>
          <w:sz w:val="18"/>
          <w:szCs w:val="18"/>
          <w:highlight w:val="none"/>
        </w:rPr>
      </w:pPr>
    </w:p>
    <w:tbl>
      <w:tblPr>
        <w:tblStyle w:val="49"/>
        <w:tblW w:w="9420" w:type="dxa"/>
        <w:tblInd w:w="0" w:type="dxa"/>
        <w:tblLayout w:type="fixed"/>
        <w:tblCellMar>
          <w:top w:w="0" w:type="dxa"/>
          <w:left w:w="0" w:type="dxa"/>
          <w:bottom w:w="0" w:type="dxa"/>
          <w:right w:w="0" w:type="dxa"/>
        </w:tblCellMar>
      </w:tblPr>
      <w:tblGrid>
        <w:gridCol w:w="580"/>
        <w:gridCol w:w="1235"/>
        <w:gridCol w:w="3185"/>
        <w:gridCol w:w="775"/>
        <w:gridCol w:w="3645"/>
      </w:tblGrid>
      <w:tr>
        <w:tblPrEx>
          <w:tblCellMar>
            <w:top w:w="0" w:type="dxa"/>
            <w:left w:w="0" w:type="dxa"/>
            <w:bottom w:w="0" w:type="dxa"/>
            <w:right w:w="0" w:type="dxa"/>
          </w:tblCellMar>
        </w:tblPrEx>
        <w:trPr>
          <w:trHeight w:val="615" w:hRule="atLeast"/>
        </w:trPr>
        <w:tc>
          <w:tcPr>
            <w:tcW w:w="9420" w:type="dxa"/>
            <w:gridSpan w:val="5"/>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草花养护质量评分标准</w:t>
            </w:r>
          </w:p>
        </w:tc>
      </w:tr>
      <w:tr>
        <w:tblPrEx>
          <w:tblCellMar>
            <w:top w:w="0" w:type="dxa"/>
            <w:left w:w="0" w:type="dxa"/>
            <w:bottom w:w="0" w:type="dxa"/>
            <w:right w:w="0" w:type="dxa"/>
          </w:tblCellMar>
        </w:tblPrEx>
        <w:trPr>
          <w:trHeight w:val="465" w:hRule="atLeast"/>
        </w:trPr>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序号</w:t>
            </w:r>
          </w:p>
        </w:tc>
        <w:tc>
          <w:tcPr>
            <w:tcW w:w="442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养护质量标准</w:t>
            </w:r>
          </w:p>
        </w:tc>
        <w:tc>
          <w:tcPr>
            <w:tcW w:w="7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标准分</w:t>
            </w:r>
          </w:p>
        </w:tc>
        <w:tc>
          <w:tcPr>
            <w:tcW w:w="36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考 核 标 准</w:t>
            </w:r>
          </w:p>
        </w:tc>
      </w:tr>
      <w:tr>
        <w:tblPrEx>
          <w:tblCellMar>
            <w:top w:w="0" w:type="dxa"/>
            <w:left w:w="0" w:type="dxa"/>
            <w:bottom w:w="0" w:type="dxa"/>
            <w:right w:w="0" w:type="dxa"/>
          </w:tblCellMar>
        </w:tblPrEx>
        <w:trPr>
          <w:trHeight w:val="465" w:hRule="atLeast"/>
        </w:trPr>
        <w:tc>
          <w:tcPr>
            <w:tcW w:w="580"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1</w:t>
            </w:r>
          </w:p>
        </w:tc>
        <w:tc>
          <w:tcPr>
            <w:tcW w:w="1235"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草花更换</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按照招标文件和养护合同要求进行布置</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面积未达到招标文件要求，每处扣2分</w:t>
            </w:r>
          </w:p>
        </w:tc>
      </w:tr>
      <w:tr>
        <w:tblPrEx>
          <w:tblCellMar>
            <w:top w:w="0" w:type="dxa"/>
            <w:left w:w="0" w:type="dxa"/>
            <w:bottom w:w="0" w:type="dxa"/>
            <w:right w:w="0" w:type="dxa"/>
          </w:tblCellMar>
        </w:tblPrEx>
        <w:trPr>
          <w:trHeight w:val="975" w:hRule="atLeast"/>
        </w:trPr>
        <w:tc>
          <w:tcPr>
            <w:tcW w:w="580"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每年整体换花应不少于</w:t>
            </w:r>
            <w:r>
              <w:rPr>
                <w:rFonts w:hint="eastAsia" w:ascii="宋体" w:hAnsi="宋体" w:cs="宋体"/>
                <w:kern w:val="0"/>
                <w:sz w:val="18"/>
                <w:szCs w:val="18"/>
                <w:highlight w:val="none"/>
                <w:lang w:val="en-US" w:eastAsia="zh-CN"/>
              </w:rPr>
              <w:t>5</w:t>
            </w:r>
            <w:r>
              <w:rPr>
                <w:rFonts w:hint="eastAsia" w:ascii="宋体" w:hAnsi="宋体" w:eastAsia="宋体" w:cs="宋体"/>
                <w:kern w:val="0"/>
                <w:sz w:val="18"/>
                <w:szCs w:val="18"/>
                <w:highlight w:val="none"/>
              </w:rPr>
              <w:t>次，做到四季有花。全年观赏期应不少于340天。每次换花期绿地表面裸露时间不得超过3天</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时花更换每少1次，扣5分；观赏期不符合要求，每少10天，扣2分</w:t>
            </w:r>
          </w:p>
        </w:tc>
      </w:tr>
      <w:tr>
        <w:tblPrEx>
          <w:tblCellMar>
            <w:top w:w="0" w:type="dxa"/>
            <w:left w:w="0" w:type="dxa"/>
            <w:bottom w:w="0" w:type="dxa"/>
            <w:right w:w="0" w:type="dxa"/>
          </w:tblCellMar>
        </w:tblPrEx>
        <w:trPr>
          <w:trHeight w:val="1050" w:hRule="atLeast"/>
        </w:trPr>
        <w:tc>
          <w:tcPr>
            <w:tcW w:w="580"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2</w:t>
            </w:r>
          </w:p>
        </w:tc>
        <w:tc>
          <w:tcPr>
            <w:tcW w:w="1235"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草花质量</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时花要求80%以上采用优质花苗；株型整齐，统一规格，同一品种株高、花色、冠径、花期等无明显差异。</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时花种苗不符合要求，每处扣2分；株型、花期有明细差异，每处扣2分</w:t>
            </w:r>
          </w:p>
        </w:tc>
      </w:tr>
      <w:tr>
        <w:tblPrEx>
          <w:tblCellMar>
            <w:top w:w="0" w:type="dxa"/>
            <w:left w:w="0" w:type="dxa"/>
            <w:bottom w:w="0" w:type="dxa"/>
            <w:right w:w="0" w:type="dxa"/>
          </w:tblCellMar>
        </w:tblPrEx>
        <w:trPr>
          <w:trHeight w:val="915" w:hRule="atLeast"/>
        </w:trPr>
        <w:tc>
          <w:tcPr>
            <w:tcW w:w="580"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时花矮壮，生长健壮，开花及时，花量饱满，轮廓清晰、整齐美观；无倒伏、无残缺</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花卉植株生长不健壮，花色不艳丽，每处扣1分；采用无花苗或已过盛花期的花苗，每处扣2分；有缺株倒伏、残花，每处扣1分</w:t>
            </w:r>
          </w:p>
        </w:tc>
      </w:tr>
      <w:tr>
        <w:tblPrEx>
          <w:tblCellMar>
            <w:top w:w="0" w:type="dxa"/>
            <w:left w:w="0" w:type="dxa"/>
            <w:bottom w:w="0" w:type="dxa"/>
            <w:right w:w="0" w:type="dxa"/>
          </w:tblCellMar>
        </w:tblPrEx>
        <w:trPr>
          <w:trHeight w:val="615" w:hRule="atLeast"/>
        </w:trPr>
        <w:tc>
          <w:tcPr>
            <w:tcW w:w="580"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草花覆盖率达98%以上；草花株行距适宜，无明显黄土裸露现象</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草花覆盖率不足98%，株行距不适宜，造成黄土裸露，每处扣2分</w:t>
            </w:r>
          </w:p>
        </w:tc>
      </w:tr>
      <w:tr>
        <w:tblPrEx>
          <w:tblCellMar>
            <w:top w:w="0" w:type="dxa"/>
            <w:left w:w="0" w:type="dxa"/>
            <w:bottom w:w="0" w:type="dxa"/>
            <w:right w:w="0" w:type="dxa"/>
          </w:tblCellMar>
        </w:tblPrEx>
        <w:trPr>
          <w:trHeight w:val="987" w:hRule="atLeast"/>
        </w:trPr>
        <w:tc>
          <w:tcPr>
            <w:tcW w:w="580"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3</w:t>
            </w:r>
          </w:p>
        </w:tc>
        <w:tc>
          <w:tcPr>
            <w:tcW w:w="123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土肥管理</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换花时，必须深耕细耙，要去除土层20cm内的石块、草屑、残茎和落叶等杂物，苗床高度不得高于侧石或花钵边缘，并施足基肥。</w:t>
            </w:r>
          </w:p>
        </w:tc>
        <w:tc>
          <w:tcPr>
            <w:tcW w:w="775"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未进行深耕翻种，每处扣2分；种植床高于侧石、花钵边缘或绿地平面，每处扣1分；未施基肥，扣2分</w:t>
            </w:r>
          </w:p>
        </w:tc>
      </w:tr>
      <w:tr>
        <w:tblPrEx>
          <w:tblCellMar>
            <w:top w:w="0" w:type="dxa"/>
            <w:left w:w="0" w:type="dxa"/>
            <w:bottom w:w="0" w:type="dxa"/>
            <w:right w:w="0" w:type="dxa"/>
          </w:tblCellMar>
        </w:tblPrEx>
        <w:trPr>
          <w:trHeight w:val="547" w:hRule="atLeast"/>
        </w:trPr>
        <w:tc>
          <w:tcPr>
            <w:tcW w:w="580"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及时抗旱浇水、抗涝排水，无干黄、死亡现象</w:t>
            </w:r>
          </w:p>
        </w:tc>
        <w:tc>
          <w:tcPr>
            <w:tcW w:w="77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有干黄死亡现象每处扣1分；不及时抗旱排涝，扣2分</w:t>
            </w:r>
          </w:p>
        </w:tc>
      </w:tr>
      <w:tr>
        <w:tblPrEx>
          <w:tblCellMar>
            <w:top w:w="0" w:type="dxa"/>
            <w:left w:w="0" w:type="dxa"/>
            <w:bottom w:w="0" w:type="dxa"/>
            <w:right w:w="0" w:type="dxa"/>
          </w:tblCellMar>
        </w:tblPrEx>
        <w:trPr>
          <w:trHeight w:val="314" w:hRule="atLeast"/>
        </w:trPr>
        <w:tc>
          <w:tcPr>
            <w:tcW w:w="58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4</w:t>
            </w:r>
          </w:p>
        </w:tc>
        <w:tc>
          <w:tcPr>
            <w:tcW w:w="12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病虫害防治</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无明显病虫害，不影响观赏效果</w:t>
            </w:r>
          </w:p>
        </w:tc>
        <w:tc>
          <w:tcPr>
            <w:tcW w:w="7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有明显病虫害，影响景观的，每处扣2分</w:t>
            </w:r>
          </w:p>
        </w:tc>
      </w:tr>
      <w:tr>
        <w:tblPrEx>
          <w:tblCellMar>
            <w:top w:w="0" w:type="dxa"/>
            <w:left w:w="0" w:type="dxa"/>
            <w:bottom w:w="0" w:type="dxa"/>
            <w:right w:w="0" w:type="dxa"/>
          </w:tblCellMar>
        </w:tblPrEx>
        <w:trPr>
          <w:trHeight w:val="540" w:hRule="atLeast"/>
        </w:trPr>
        <w:tc>
          <w:tcPr>
            <w:tcW w:w="5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5</w:t>
            </w:r>
          </w:p>
        </w:tc>
        <w:tc>
          <w:tcPr>
            <w:tcW w:w="123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卫生、保洁</w:t>
            </w:r>
          </w:p>
        </w:tc>
        <w:tc>
          <w:tcPr>
            <w:tcW w:w="3185" w:type="dxa"/>
            <w:tcBorders>
              <w:top w:val="nil"/>
              <w:left w:val="nil"/>
              <w:bottom w:val="nil"/>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eastAsia="zh-CN"/>
              </w:rPr>
              <w:t>绿化</w:t>
            </w:r>
            <w:r>
              <w:rPr>
                <w:rFonts w:hint="eastAsia" w:ascii="宋体" w:hAnsi="宋体" w:eastAsia="宋体" w:cs="宋体"/>
                <w:kern w:val="0"/>
                <w:sz w:val="18"/>
                <w:szCs w:val="18"/>
                <w:highlight w:val="none"/>
              </w:rPr>
              <w:t>日保洁时间不</w:t>
            </w:r>
            <w:r>
              <w:rPr>
                <w:rFonts w:hint="eastAsia" w:ascii="宋体" w:hAnsi="宋体" w:cs="宋体"/>
                <w:kern w:val="0"/>
                <w:sz w:val="18"/>
                <w:szCs w:val="18"/>
                <w:highlight w:val="none"/>
                <w:lang w:eastAsia="zh-CN"/>
              </w:rPr>
              <w:t>低于</w:t>
            </w:r>
            <w:r>
              <w:rPr>
                <w:rFonts w:hint="eastAsia" w:hAnsi="宋体" w:cs="宋体"/>
                <w:bCs/>
                <w:color w:val="auto"/>
                <w:sz w:val="18"/>
                <w:szCs w:val="18"/>
                <w:highlight w:val="none"/>
                <w:lang w:val="en-US" w:eastAsia="zh-CN"/>
              </w:rPr>
              <w:t>参照《嘉兴市城市精细化管理保洁作业时间要求》</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rPr>
              <w:t>无烟蒂、果壳、纸巾</w:t>
            </w:r>
            <w:r>
              <w:rPr>
                <w:rFonts w:hint="eastAsia" w:ascii="宋体" w:hAnsi="宋体" w:eastAsia="宋体" w:cs="宋体"/>
                <w:kern w:val="0"/>
                <w:sz w:val="18"/>
                <w:szCs w:val="18"/>
                <w:highlight w:val="none"/>
                <w:lang w:eastAsia="zh-CN"/>
              </w:rPr>
              <w:t>、水瓶等垃圾杂物；无砖头石块等</w:t>
            </w:r>
            <w:r>
              <w:rPr>
                <w:rFonts w:hint="eastAsia" w:ascii="宋体" w:hAnsi="宋体" w:eastAsia="宋体" w:cs="宋体"/>
                <w:kern w:val="0"/>
                <w:sz w:val="18"/>
                <w:szCs w:val="18"/>
                <w:highlight w:val="none"/>
              </w:rPr>
              <w:t>建筑垃圾</w:t>
            </w:r>
            <w:r>
              <w:rPr>
                <w:rFonts w:hint="eastAsia" w:ascii="宋体" w:hAnsi="宋体" w:eastAsia="宋体" w:cs="宋体"/>
                <w:kern w:val="0"/>
                <w:sz w:val="18"/>
                <w:szCs w:val="18"/>
                <w:highlight w:val="none"/>
                <w:lang w:eastAsia="zh-CN"/>
              </w:rPr>
              <w:t>。</w:t>
            </w:r>
          </w:p>
        </w:tc>
        <w:tc>
          <w:tcPr>
            <w:tcW w:w="77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eastAsia="zh-CN"/>
              </w:rPr>
              <w:t>发现未做到，每处扣</w:t>
            </w:r>
            <w:r>
              <w:rPr>
                <w:rFonts w:hint="eastAsia" w:ascii="宋体" w:hAnsi="宋体" w:eastAsia="宋体" w:cs="宋体"/>
                <w:kern w:val="0"/>
                <w:sz w:val="18"/>
                <w:szCs w:val="18"/>
                <w:highlight w:val="none"/>
                <w:lang w:val="en-US" w:eastAsia="zh-CN"/>
              </w:rPr>
              <w:t>0.5</w:t>
            </w:r>
            <w:r>
              <w:rPr>
                <w:rFonts w:hint="eastAsia" w:ascii="宋体" w:hAnsi="宋体" w:eastAsia="宋体" w:cs="宋体"/>
                <w:kern w:val="0"/>
                <w:sz w:val="18"/>
                <w:szCs w:val="18"/>
                <w:highlight w:val="none"/>
                <w:lang w:eastAsia="zh-CN"/>
              </w:rPr>
              <w:t>分</w:t>
            </w:r>
          </w:p>
        </w:tc>
      </w:tr>
      <w:tr>
        <w:tblPrEx>
          <w:tblCellMar>
            <w:top w:w="0" w:type="dxa"/>
            <w:left w:w="0" w:type="dxa"/>
            <w:bottom w:w="0" w:type="dxa"/>
            <w:right w:w="0" w:type="dxa"/>
          </w:tblCellMar>
        </w:tblPrEx>
        <w:trPr>
          <w:trHeight w:val="48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范围内无焚烧现象，</w:t>
            </w:r>
            <w:r>
              <w:rPr>
                <w:rFonts w:hint="eastAsia" w:ascii="宋体" w:hAnsi="宋体" w:cs="宋体"/>
                <w:kern w:val="0"/>
                <w:sz w:val="18"/>
                <w:szCs w:val="18"/>
                <w:highlight w:val="none"/>
                <w:lang w:eastAsia="zh-CN"/>
              </w:rPr>
              <w:t>垃圾</w:t>
            </w:r>
            <w:r>
              <w:rPr>
                <w:rFonts w:hint="eastAsia" w:ascii="宋体" w:hAnsi="宋体" w:eastAsia="宋体" w:cs="宋体"/>
                <w:kern w:val="0"/>
                <w:sz w:val="18"/>
                <w:szCs w:val="18"/>
                <w:highlight w:val="none"/>
                <w:lang w:eastAsia="zh-CN"/>
              </w:rPr>
              <w:t>等及时清理，日产日清不乱堆乱放。</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有发现焚烧现象扣2分；</w:t>
            </w:r>
            <w:r>
              <w:rPr>
                <w:rFonts w:hint="eastAsia" w:ascii="宋体" w:hAnsi="宋体" w:eastAsia="宋体" w:cs="宋体"/>
                <w:kern w:val="0"/>
                <w:sz w:val="18"/>
                <w:szCs w:val="18"/>
                <w:highlight w:val="none"/>
                <w:lang w:eastAsia="zh-CN"/>
              </w:rPr>
              <w:t>垃圾清理不及时、乱堆放等，每处扣</w:t>
            </w:r>
            <w:r>
              <w:rPr>
                <w:rFonts w:hint="eastAsia" w:ascii="宋体" w:hAnsi="宋体" w:eastAsia="宋体" w:cs="宋体"/>
                <w:kern w:val="0"/>
                <w:sz w:val="18"/>
                <w:szCs w:val="18"/>
                <w:highlight w:val="none"/>
                <w:lang w:val="en-US" w:eastAsia="zh-CN"/>
              </w:rPr>
              <w:t>0.5分</w:t>
            </w:r>
          </w:p>
        </w:tc>
      </w:tr>
      <w:tr>
        <w:tblPrEx>
          <w:tblCellMar>
            <w:top w:w="0" w:type="dxa"/>
            <w:left w:w="0" w:type="dxa"/>
            <w:bottom w:w="0" w:type="dxa"/>
            <w:right w:w="0" w:type="dxa"/>
          </w:tblCellMar>
        </w:tblPrEx>
        <w:trPr>
          <w:trHeight w:val="75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无垃圾、杂物、无卫生死角</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发现有垃圾、杂物、建筑废弃物每处扣</w:t>
            </w:r>
            <w:r>
              <w:rPr>
                <w:rStyle w:val="110"/>
                <w:rFonts w:hint="eastAsia" w:ascii="宋体" w:hAnsi="宋体" w:eastAsia="宋体" w:cs="宋体"/>
                <w:sz w:val="18"/>
                <w:szCs w:val="18"/>
                <w:highlight w:val="none"/>
              </w:rPr>
              <w:t>0.5</w:t>
            </w:r>
            <w:r>
              <w:rPr>
                <w:rStyle w:val="165"/>
                <w:rFonts w:hint="eastAsia" w:ascii="宋体" w:hAnsi="宋体" w:eastAsia="宋体" w:cs="宋体"/>
                <w:sz w:val="18"/>
                <w:szCs w:val="18"/>
                <w:highlight w:val="none"/>
              </w:rPr>
              <w:t>分；垃圾拾后乱放每处扣</w:t>
            </w:r>
            <w:r>
              <w:rPr>
                <w:rStyle w:val="110"/>
                <w:rFonts w:hint="eastAsia" w:ascii="宋体" w:hAnsi="宋体" w:eastAsia="宋体" w:cs="宋体"/>
                <w:sz w:val="18"/>
                <w:szCs w:val="18"/>
                <w:highlight w:val="none"/>
              </w:rPr>
              <w:t>1</w:t>
            </w:r>
            <w:r>
              <w:rPr>
                <w:rStyle w:val="165"/>
                <w:rFonts w:hint="eastAsia" w:ascii="宋体" w:hAnsi="宋体" w:eastAsia="宋体" w:cs="宋体"/>
                <w:sz w:val="18"/>
                <w:szCs w:val="18"/>
                <w:highlight w:val="none"/>
              </w:rPr>
              <w:t>分；当天未及时清运每处扣</w:t>
            </w:r>
            <w:r>
              <w:rPr>
                <w:rStyle w:val="110"/>
                <w:rFonts w:hint="eastAsia" w:ascii="宋体" w:hAnsi="宋体" w:eastAsia="宋体" w:cs="宋体"/>
                <w:sz w:val="18"/>
                <w:szCs w:val="18"/>
                <w:highlight w:val="none"/>
              </w:rPr>
              <w:t>1</w:t>
            </w:r>
            <w:r>
              <w:rPr>
                <w:rStyle w:val="165"/>
                <w:rFonts w:hint="eastAsia" w:ascii="宋体" w:hAnsi="宋体" w:eastAsia="宋体" w:cs="宋体"/>
                <w:sz w:val="18"/>
                <w:szCs w:val="18"/>
                <w:highlight w:val="none"/>
              </w:rPr>
              <w:t>分</w:t>
            </w:r>
          </w:p>
        </w:tc>
      </w:tr>
      <w:tr>
        <w:tblPrEx>
          <w:tblCellMar>
            <w:top w:w="0" w:type="dxa"/>
            <w:left w:w="0" w:type="dxa"/>
            <w:bottom w:w="0" w:type="dxa"/>
            <w:right w:w="0" w:type="dxa"/>
          </w:tblCellMar>
        </w:tblPrEx>
        <w:trPr>
          <w:trHeight w:val="525" w:hRule="atLeast"/>
        </w:trPr>
        <w:tc>
          <w:tcPr>
            <w:tcW w:w="5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6</w:t>
            </w:r>
          </w:p>
        </w:tc>
        <w:tc>
          <w:tcPr>
            <w:tcW w:w="123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草花保护</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无侵占、破坏现象</w:t>
            </w:r>
          </w:p>
        </w:tc>
        <w:tc>
          <w:tcPr>
            <w:tcW w:w="775"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有侵占、破坏的现象每处扣</w:t>
            </w:r>
            <w:r>
              <w:rPr>
                <w:rStyle w:val="110"/>
                <w:rFonts w:hint="eastAsia" w:ascii="宋体" w:hAnsi="宋体" w:eastAsia="宋体" w:cs="宋体"/>
                <w:color w:val="000000"/>
                <w:sz w:val="18"/>
                <w:szCs w:val="18"/>
                <w:highlight w:val="none"/>
              </w:rPr>
              <w:t>0.5</w:t>
            </w:r>
            <w:r>
              <w:rPr>
                <w:rStyle w:val="165"/>
                <w:rFonts w:hint="eastAsia" w:ascii="宋体" w:hAnsi="宋体" w:eastAsia="宋体" w:cs="宋体"/>
                <w:color w:val="000000"/>
                <w:sz w:val="18"/>
                <w:szCs w:val="18"/>
                <w:highlight w:val="none"/>
              </w:rPr>
              <w:t>分，</w:t>
            </w:r>
            <w:r>
              <w:rPr>
                <w:rStyle w:val="174"/>
                <w:rFonts w:hint="eastAsia" w:ascii="宋体" w:hAnsi="宋体" w:eastAsia="宋体" w:cs="宋体"/>
                <w:color w:val="000000"/>
                <w:sz w:val="18"/>
                <w:szCs w:val="18"/>
                <w:highlight w:val="none"/>
              </w:rPr>
              <w:t>及时向有关执法部门举报的可不扣分</w:t>
            </w:r>
          </w:p>
        </w:tc>
      </w:tr>
      <w:tr>
        <w:tblPrEx>
          <w:tblCellMar>
            <w:top w:w="0" w:type="dxa"/>
            <w:left w:w="0" w:type="dxa"/>
            <w:bottom w:w="0" w:type="dxa"/>
            <w:right w:w="0" w:type="dxa"/>
          </w:tblCellMar>
        </w:tblPrEx>
        <w:trPr>
          <w:trHeight w:val="51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无停放车辆、进入车辆现象</w:t>
            </w:r>
          </w:p>
        </w:tc>
        <w:tc>
          <w:tcPr>
            <w:tcW w:w="77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有停放车辆、进入车辆每次扣</w:t>
            </w:r>
            <w:r>
              <w:rPr>
                <w:rStyle w:val="110"/>
                <w:rFonts w:hint="eastAsia" w:ascii="宋体" w:hAnsi="宋体" w:eastAsia="宋体" w:cs="宋体"/>
                <w:color w:val="000000"/>
                <w:sz w:val="18"/>
                <w:szCs w:val="18"/>
                <w:highlight w:val="none"/>
              </w:rPr>
              <w:t>0.5</w:t>
            </w:r>
            <w:r>
              <w:rPr>
                <w:rStyle w:val="165"/>
                <w:rFonts w:hint="eastAsia" w:ascii="宋体" w:hAnsi="宋体" w:eastAsia="宋体" w:cs="宋体"/>
                <w:color w:val="000000"/>
                <w:sz w:val="18"/>
                <w:szCs w:val="18"/>
                <w:highlight w:val="none"/>
              </w:rPr>
              <w:t>分，及时向有关执法部门举报的可不扣分</w:t>
            </w:r>
          </w:p>
        </w:tc>
      </w:tr>
      <w:tr>
        <w:tblPrEx>
          <w:tblCellMar>
            <w:top w:w="0" w:type="dxa"/>
            <w:left w:w="0" w:type="dxa"/>
            <w:bottom w:w="0" w:type="dxa"/>
            <w:right w:w="0" w:type="dxa"/>
          </w:tblCellMar>
        </w:tblPrEx>
        <w:trPr>
          <w:trHeight w:val="615"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无设摊现象</w:t>
            </w:r>
          </w:p>
        </w:tc>
        <w:tc>
          <w:tcPr>
            <w:tcW w:w="77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有设摊现象每处扣</w:t>
            </w:r>
            <w:r>
              <w:rPr>
                <w:rStyle w:val="110"/>
                <w:rFonts w:hint="eastAsia" w:ascii="宋体" w:hAnsi="宋体" w:eastAsia="宋体" w:cs="宋体"/>
                <w:sz w:val="18"/>
                <w:szCs w:val="18"/>
                <w:highlight w:val="none"/>
              </w:rPr>
              <w:t>0.5</w:t>
            </w:r>
            <w:r>
              <w:rPr>
                <w:rStyle w:val="165"/>
                <w:rFonts w:hint="eastAsia" w:ascii="宋体" w:hAnsi="宋体" w:eastAsia="宋体" w:cs="宋体"/>
                <w:sz w:val="18"/>
                <w:szCs w:val="18"/>
                <w:highlight w:val="none"/>
              </w:rPr>
              <w:t>分，及时向有关执法部门举报的可不扣分</w:t>
            </w:r>
          </w:p>
        </w:tc>
      </w:tr>
      <w:tr>
        <w:tblPrEx>
          <w:tblCellMar>
            <w:top w:w="0" w:type="dxa"/>
            <w:left w:w="0" w:type="dxa"/>
            <w:bottom w:w="0" w:type="dxa"/>
            <w:right w:w="0" w:type="dxa"/>
          </w:tblCellMar>
        </w:tblPrEx>
        <w:trPr>
          <w:trHeight w:val="42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无违章设置悬挂物、广告现象</w:t>
            </w:r>
          </w:p>
        </w:tc>
        <w:tc>
          <w:tcPr>
            <w:tcW w:w="775"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有违章设置广告现象每处扣</w:t>
            </w:r>
            <w:r>
              <w:rPr>
                <w:rStyle w:val="110"/>
                <w:rFonts w:hint="eastAsia" w:ascii="宋体" w:hAnsi="宋体" w:eastAsia="宋体" w:cs="宋体"/>
                <w:sz w:val="18"/>
                <w:szCs w:val="18"/>
                <w:highlight w:val="none"/>
              </w:rPr>
              <w:t>0.5</w:t>
            </w:r>
            <w:r>
              <w:rPr>
                <w:rStyle w:val="165"/>
                <w:rFonts w:hint="eastAsia" w:ascii="宋体" w:hAnsi="宋体" w:eastAsia="宋体" w:cs="宋体"/>
                <w:sz w:val="18"/>
                <w:szCs w:val="18"/>
                <w:highlight w:val="none"/>
              </w:rPr>
              <w:t>分</w:t>
            </w:r>
          </w:p>
        </w:tc>
      </w:tr>
      <w:tr>
        <w:tblPrEx>
          <w:tblCellMar>
            <w:top w:w="0" w:type="dxa"/>
            <w:left w:w="0" w:type="dxa"/>
            <w:bottom w:w="0" w:type="dxa"/>
            <w:right w:w="0"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无乱堆乱放、晾晒衣服等现象</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有无乱堆乱放、晾衣服现象每处扣</w:t>
            </w:r>
            <w:r>
              <w:rPr>
                <w:rStyle w:val="110"/>
                <w:rFonts w:hint="eastAsia" w:ascii="宋体" w:hAnsi="宋体" w:eastAsia="宋体" w:cs="宋体"/>
                <w:sz w:val="18"/>
                <w:szCs w:val="18"/>
                <w:highlight w:val="none"/>
              </w:rPr>
              <w:t>0.5</w:t>
            </w:r>
            <w:r>
              <w:rPr>
                <w:rStyle w:val="165"/>
                <w:rFonts w:hint="eastAsia" w:ascii="宋体" w:hAnsi="宋体" w:eastAsia="宋体" w:cs="宋体"/>
                <w:sz w:val="18"/>
                <w:szCs w:val="18"/>
                <w:highlight w:val="none"/>
              </w:rPr>
              <w:t>分</w:t>
            </w:r>
          </w:p>
        </w:tc>
      </w:tr>
      <w:tr>
        <w:tblPrEx>
          <w:tblCellMar>
            <w:top w:w="0" w:type="dxa"/>
            <w:left w:w="0" w:type="dxa"/>
            <w:bottom w:w="0" w:type="dxa"/>
            <w:right w:w="0" w:type="dxa"/>
          </w:tblCellMar>
        </w:tblPrEx>
        <w:trPr>
          <w:trHeight w:val="630" w:hRule="atLeast"/>
        </w:trPr>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7</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设施维护</w:t>
            </w:r>
          </w:p>
        </w:tc>
        <w:tc>
          <w:tcPr>
            <w:tcW w:w="3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花坛、花钵等园林设施无破损</w:t>
            </w:r>
          </w:p>
        </w:tc>
        <w:tc>
          <w:tcPr>
            <w:tcW w:w="7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园林设施破损，每处扣1分</w:t>
            </w:r>
          </w:p>
        </w:tc>
      </w:tr>
      <w:tr>
        <w:tblPrEx>
          <w:tblCellMar>
            <w:top w:w="0" w:type="dxa"/>
            <w:left w:w="0" w:type="dxa"/>
            <w:bottom w:w="0" w:type="dxa"/>
            <w:right w:w="0" w:type="dxa"/>
          </w:tblCellMar>
        </w:tblPrEx>
        <w:trPr>
          <w:trHeight w:val="675" w:hRule="atLeast"/>
        </w:trPr>
        <w:tc>
          <w:tcPr>
            <w:tcW w:w="5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8</w:t>
            </w:r>
          </w:p>
        </w:tc>
        <w:tc>
          <w:tcPr>
            <w:tcW w:w="12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养护人员</w:t>
            </w:r>
          </w:p>
        </w:tc>
        <w:tc>
          <w:tcPr>
            <w:tcW w:w="318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项目主管、巡查人员、养护人员（按合同要求人数）到位</w:t>
            </w:r>
          </w:p>
        </w:tc>
        <w:tc>
          <w:tcPr>
            <w:tcW w:w="7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10分</w:t>
            </w:r>
          </w:p>
        </w:tc>
        <w:tc>
          <w:tcPr>
            <w:tcW w:w="36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项目主管、巡查人员不到位，每少一人次扣1分；养护人员不到位，每少一人次扣0.5分</w:t>
            </w:r>
          </w:p>
        </w:tc>
      </w:tr>
      <w:tr>
        <w:tblPrEx>
          <w:tblCellMar>
            <w:top w:w="0" w:type="dxa"/>
            <w:left w:w="0" w:type="dxa"/>
            <w:bottom w:w="0" w:type="dxa"/>
            <w:right w:w="0" w:type="dxa"/>
          </w:tblCellMar>
        </w:tblPrEx>
        <w:trPr>
          <w:trHeight w:val="45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巡查质量（按照</w:t>
            </w:r>
            <w:r>
              <w:rPr>
                <w:rFonts w:hint="eastAsia" w:ascii="宋体" w:hAnsi="宋体" w:eastAsia="宋体" w:cs="宋体"/>
                <w:kern w:val="0"/>
                <w:sz w:val="18"/>
                <w:szCs w:val="18"/>
                <w:highlight w:val="none"/>
                <w:lang w:eastAsia="zh-CN"/>
              </w:rPr>
              <w:t>行业</w:t>
            </w:r>
            <w:r>
              <w:rPr>
                <w:rFonts w:hint="eastAsia" w:ascii="宋体" w:hAnsi="宋体" w:eastAsia="宋体" w:cs="宋体"/>
                <w:kern w:val="0"/>
                <w:sz w:val="18"/>
                <w:szCs w:val="18"/>
                <w:highlight w:val="none"/>
              </w:rPr>
              <w:t>规程，规范、文明、安全</w:t>
            </w:r>
            <w:r>
              <w:rPr>
                <w:rFonts w:hint="eastAsia" w:ascii="宋体" w:hAnsi="宋体" w:cs="宋体"/>
                <w:kern w:val="0"/>
                <w:sz w:val="18"/>
                <w:szCs w:val="18"/>
                <w:highlight w:val="none"/>
                <w:lang w:val="en-US" w:eastAsia="zh-CN"/>
              </w:rPr>
              <w:t>开展巡查</w:t>
            </w:r>
            <w:r>
              <w:rPr>
                <w:rFonts w:hint="eastAsia" w:ascii="宋体" w:hAnsi="宋体" w:eastAsia="宋体" w:cs="宋体"/>
                <w:kern w:val="0"/>
                <w:sz w:val="18"/>
                <w:szCs w:val="18"/>
                <w:highlight w:val="none"/>
                <w:lang w:eastAsia="zh-CN"/>
              </w:rPr>
              <w:t>养护</w:t>
            </w:r>
            <w:r>
              <w:rPr>
                <w:rFonts w:hint="eastAsia" w:ascii="宋体" w:hAnsi="宋体" w:eastAsia="宋体" w:cs="宋体"/>
                <w:kern w:val="0"/>
                <w:sz w:val="18"/>
                <w:szCs w:val="18"/>
                <w:highlight w:val="none"/>
              </w:rPr>
              <w:t>作业）</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未及时发现问题的，每次扣0.5分</w:t>
            </w:r>
          </w:p>
        </w:tc>
      </w:tr>
      <w:tr>
        <w:tblPrEx>
          <w:tblCellMar>
            <w:top w:w="0" w:type="dxa"/>
            <w:left w:w="0" w:type="dxa"/>
            <w:bottom w:w="0" w:type="dxa"/>
            <w:right w:w="0"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巡查人员、养护人员统一着装、整洁得体</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不穿标志服</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着装不整洁</w:t>
            </w:r>
            <w:r>
              <w:rPr>
                <w:rFonts w:hint="eastAsia" w:ascii="宋体" w:hAnsi="宋体" w:eastAsia="宋体" w:cs="宋体"/>
                <w:kern w:val="0"/>
                <w:sz w:val="18"/>
                <w:szCs w:val="18"/>
                <w:highlight w:val="none"/>
              </w:rPr>
              <w:t>， 每人次扣100元</w:t>
            </w:r>
          </w:p>
        </w:tc>
      </w:tr>
      <w:tr>
        <w:tblPrEx>
          <w:tblCellMar>
            <w:top w:w="0" w:type="dxa"/>
            <w:left w:w="0" w:type="dxa"/>
            <w:bottom w:w="0" w:type="dxa"/>
            <w:right w:w="0" w:type="dxa"/>
          </w:tblCellMar>
        </w:tblPrEx>
        <w:trPr>
          <w:trHeight w:val="720" w:hRule="atLeast"/>
        </w:trPr>
        <w:tc>
          <w:tcPr>
            <w:tcW w:w="580"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9</w:t>
            </w:r>
          </w:p>
        </w:tc>
        <w:tc>
          <w:tcPr>
            <w:tcW w:w="1235"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管理标准</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安全文明生产作业及绿地养护管理制度健全。实行日常巡查，用相机记录工作内容并</w:t>
            </w:r>
            <w:r>
              <w:rPr>
                <w:rFonts w:hint="eastAsia" w:ascii="宋体" w:hAnsi="宋体" w:cs="宋体"/>
                <w:kern w:val="0"/>
                <w:sz w:val="18"/>
                <w:szCs w:val="18"/>
                <w:highlight w:val="none"/>
                <w:lang w:val="en-US" w:eastAsia="zh-CN"/>
              </w:rPr>
              <w:t>每周报送督查整改对比照片（问题）不少于20个。</w:t>
            </w:r>
          </w:p>
        </w:tc>
        <w:tc>
          <w:tcPr>
            <w:tcW w:w="775" w:type="dxa"/>
            <w:vMerge w:val="restart"/>
            <w:tcBorders>
              <w:top w:val="nil"/>
              <w:left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养护日历及记录不及时，</w:t>
            </w:r>
            <w:r>
              <w:rPr>
                <w:rFonts w:hint="eastAsia" w:ascii="宋体" w:hAnsi="宋体" w:cs="宋体"/>
                <w:kern w:val="0"/>
                <w:sz w:val="18"/>
                <w:szCs w:val="18"/>
                <w:highlight w:val="none"/>
                <w:lang w:val="en-US" w:eastAsia="zh-CN"/>
              </w:rPr>
              <w:t>未在每月月底前报送当月的工作总结及下个月的养护计划和重点的（包括但不限于日常的工作量，用工用料以清单形式提供并提供相关凭证），</w:t>
            </w:r>
            <w:r>
              <w:rPr>
                <w:rFonts w:hint="eastAsia" w:ascii="宋体" w:hAnsi="宋体" w:eastAsia="宋体" w:cs="宋体"/>
                <w:kern w:val="0"/>
                <w:sz w:val="18"/>
                <w:szCs w:val="18"/>
                <w:highlight w:val="none"/>
              </w:rPr>
              <w:t>上报不全，每次扣0.5分；无管护台帐，不得分。无养护计划、现场管理乱，发现一次扣1分；无故替开会一次扣0.5分；养护管理责任人经常变更不明确，扣1分；无相机记录工作内容，此项不得分；不及时完成主管部门交办任务，扣1分；发生安全事故不得分</w:t>
            </w:r>
          </w:p>
        </w:tc>
      </w:tr>
      <w:tr>
        <w:tblPrEx>
          <w:tblCellMar>
            <w:top w:w="0" w:type="dxa"/>
            <w:left w:w="0" w:type="dxa"/>
            <w:bottom w:w="0" w:type="dxa"/>
            <w:right w:w="0" w:type="dxa"/>
          </w:tblCellMar>
        </w:tblPrEx>
        <w:trPr>
          <w:trHeight w:val="540" w:hRule="atLeast"/>
        </w:trPr>
        <w:tc>
          <w:tcPr>
            <w:tcW w:w="58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工作有台账、记录全、内容实，及时反馈</w:t>
            </w:r>
          </w:p>
        </w:tc>
        <w:tc>
          <w:tcPr>
            <w:tcW w:w="775" w:type="dxa"/>
            <w:vMerge w:val="continue"/>
            <w:tcBorders>
              <w:left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r>
      <w:tr>
        <w:tblPrEx>
          <w:tblCellMar>
            <w:top w:w="0" w:type="dxa"/>
            <w:left w:w="0" w:type="dxa"/>
            <w:bottom w:w="0" w:type="dxa"/>
            <w:right w:w="0" w:type="dxa"/>
          </w:tblCellMar>
        </w:tblPrEx>
        <w:trPr>
          <w:trHeight w:val="615" w:hRule="atLeast"/>
        </w:trPr>
        <w:tc>
          <w:tcPr>
            <w:tcW w:w="58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按主管部门要求，准时参加会议，完成交办任务</w:t>
            </w:r>
          </w:p>
        </w:tc>
        <w:tc>
          <w:tcPr>
            <w:tcW w:w="775" w:type="dxa"/>
            <w:vMerge w:val="continue"/>
            <w:tcBorders>
              <w:left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r>
      <w:tr>
        <w:tblPrEx>
          <w:tblCellMar>
            <w:top w:w="0" w:type="dxa"/>
            <w:left w:w="0" w:type="dxa"/>
            <w:bottom w:w="0" w:type="dxa"/>
            <w:right w:w="0" w:type="dxa"/>
          </w:tblCellMar>
        </w:tblPrEx>
        <w:trPr>
          <w:trHeight w:val="615" w:hRule="atLeast"/>
        </w:trPr>
        <w:tc>
          <w:tcPr>
            <w:tcW w:w="580"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rPr>
            </w:pPr>
            <w:r>
              <w:rPr>
                <w:rFonts w:hint="eastAsia" w:ascii="宋体" w:hAnsi="宋体" w:cs="宋体"/>
                <w:kern w:val="0"/>
                <w:sz w:val="18"/>
                <w:szCs w:val="18"/>
                <w:highlight w:val="none"/>
                <w:lang w:val="en-US" w:eastAsia="zh-CN"/>
              </w:rPr>
              <w:t>每月2号前报送上月整改情况</w:t>
            </w:r>
          </w:p>
        </w:tc>
        <w:tc>
          <w:tcPr>
            <w:tcW w:w="775" w:type="dxa"/>
            <w:vMerge w:val="continue"/>
            <w:tcBorders>
              <w:left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未及时报送整改情况的每次扣1分；应整改而未及时整改的</w:t>
            </w:r>
            <w:r>
              <w:rPr>
                <w:rFonts w:hint="eastAsia" w:ascii="宋体" w:hAnsi="宋体" w:cs="宋体"/>
                <w:sz w:val="18"/>
                <w:szCs w:val="18"/>
                <w:highlight w:val="none"/>
                <w:lang w:val="en-US" w:eastAsia="zh-CN"/>
              </w:rPr>
              <w:t>每次扣2分</w:t>
            </w:r>
          </w:p>
        </w:tc>
      </w:tr>
      <w:tr>
        <w:tblPrEx>
          <w:tblCellMar>
            <w:top w:w="0" w:type="dxa"/>
            <w:left w:w="0" w:type="dxa"/>
            <w:bottom w:w="0" w:type="dxa"/>
            <w:right w:w="0" w:type="dxa"/>
          </w:tblCellMar>
        </w:tblPrEx>
        <w:trPr>
          <w:trHeight w:val="615" w:hRule="atLeast"/>
        </w:trPr>
        <w:tc>
          <w:tcPr>
            <w:tcW w:w="58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每天进行人员智慧化考勤，并上报考勤情况</w:t>
            </w:r>
          </w:p>
        </w:tc>
        <w:tc>
          <w:tcPr>
            <w:tcW w:w="775"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6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未考勤的</w:t>
            </w:r>
            <w:r>
              <w:rPr>
                <w:rFonts w:hint="eastAsia" w:ascii="宋体" w:hAnsi="宋体" w:cs="宋体"/>
                <w:color w:val="FF0000"/>
                <w:kern w:val="0"/>
                <w:sz w:val="18"/>
                <w:szCs w:val="18"/>
                <w:highlight w:val="none"/>
                <w:lang w:val="en-US" w:eastAsia="zh-CN"/>
              </w:rPr>
              <w:t>每</w:t>
            </w:r>
            <w:r>
              <w:rPr>
                <w:rFonts w:hint="eastAsia" w:ascii="宋体" w:hAnsi="宋体" w:cs="宋体"/>
                <w:kern w:val="0"/>
                <w:sz w:val="18"/>
                <w:szCs w:val="18"/>
                <w:highlight w:val="none"/>
                <w:lang w:val="en-US" w:eastAsia="zh-CN"/>
              </w:rPr>
              <w:t>人扣0.1分；未及时上报考勤情况的扣0.3分。</w:t>
            </w:r>
          </w:p>
        </w:tc>
      </w:tr>
      <w:tr>
        <w:tblPrEx>
          <w:tblCellMar>
            <w:top w:w="0" w:type="dxa"/>
            <w:left w:w="0" w:type="dxa"/>
            <w:bottom w:w="0" w:type="dxa"/>
            <w:right w:w="0" w:type="dxa"/>
          </w:tblCellMar>
        </w:tblPrEx>
        <w:trPr>
          <w:trHeight w:val="615" w:hRule="atLeast"/>
        </w:trPr>
        <w:tc>
          <w:tcPr>
            <w:tcW w:w="58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18"/>
                <w:szCs w:val="18"/>
                <w:highlight w:val="none"/>
                <w:lang w:val="en-US" w:eastAsia="zh-CN"/>
              </w:rPr>
            </w:pPr>
            <w:r>
              <w:rPr>
                <w:rFonts w:hint="default" w:ascii="宋体" w:hAnsi="宋体" w:cs="宋体"/>
                <w:kern w:val="0"/>
                <w:sz w:val="18"/>
                <w:szCs w:val="18"/>
                <w:highlight w:val="none"/>
                <w:lang w:val="en-US" w:eastAsia="zh-CN"/>
              </w:rPr>
              <w:t>每月对月度养护计划落实情况进行检查</w:t>
            </w:r>
          </w:p>
        </w:tc>
        <w:tc>
          <w:tcPr>
            <w:tcW w:w="775" w:type="dxa"/>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64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未按计划落实月度养护的，</w:t>
            </w:r>
            <w:r>
              <w:rPr>
                <w:rFonts w:hint="eastAsia" w:ascii="宋体" w:hAnsi="宋体" w:cs="宋体"/>
                <w:color w:val="FF0000"/>
                <w:kern w:val="0"/>
                <w:sz w:val="18"/>
                <w:szCs w:val="18"/>
                <w:highlight w:val="none"/>
                <w:lang w:val="en-US" w:eastAsia="zh-CN"/>
              </w:rPr>
              <w:t>每项内容扣1分</w:t>
            </w:r>
          </w:p>
        </w:tc>
      </w:tr>
      <w:tr>
        <w:tblPrEx>
          <w:tblCellMar>
            <w:top w:w="0" w:type="dxa"/>
            <w:left w:w="0" w:type="dxa"/>
            <w:bottom w:w="0" w:type="dxa"/>
            <w:right w:w="0" w:type="dxa"/>
          </w:tblCellMar>
        </w:tblPrEx>
        <w:trPr>
          <w:trHeight w:val="615" w:hRule="atLeast"/>
        </w:trPr>
        <w:tc>
          <w:tcPr>
            <w:tcW w:w="58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sz w:val="18"/>
                <w:szCs w:val="18"/>
                <w:highlight w:val="none"/>
              </w:rPr>
            </w:pPr>
            <w:r>
              <w:rPr>
                <w:rFonts w:hint="eastAsia" w:ascii="宋体" w:hAnsi="宋体" w:eastAsia="宋体" w:cs="宋体"/>
                <w:b/>
                <w:kern w:val="0"/>
                <w:sz w:val="18"/>
                <w:szCs w:val="18"/>
                <w:highlight w:val="none"/>
              </w:rPr>
              <w:t>10</w:t>
            </w:r>
          </w:p>
        </w:tc>
        <w:tc>
          <w:tcPr>
            <w:tcW w:w="123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社会监督</w:t>
            </w: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群众来信、来电、来访举报，属实</w:t>
            </w:r>
          </w:p>
        </w:tc>
        <w:tc>
          <w:tcPr>
            <w:tcW w:w="77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5分</w:t>
            </w: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每次扣1分</w:t>
            </w:r>
          </w:p>
        </w:tc>
      </w:tr>
      <w:tr>
        <w:tblPrEx>
          <w:tblCellMar>
            <w:top w:w="0" w:type="dxa"/>
            <w:left w:w="0" w:type="dxa"/>
            <w:bottom w:w="0" w:type="dxa"/>
            <w:right w:w="0" w:type="dxa"/>
          </w:tblCellMar>
        </w:tblPrEx>
        <w:trPr>
          <w:trHeight w:val="615" w:hRule="atLeast"/>
        </w:trPr>
        <w:tc>
          <w:tcPr>
            <w:tcW w:w="58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kern w:val="0"/>
                <w:sz w:val="18"/>
                <w:szCs w:val="18"/>
                <w:highlight w:val="none"/>
              </w:rPr>
            </w:pPr>
          </w:p>
        </w:tc>
        <w:tc>
          <w:tcPr>
            <w:tcW w:w="123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kern w:val="0"/>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社区参与考评，具体考评标准以街道下发考评标准为准，及时上报并整改</w:t>
            </w:r>
          </w:p>
        </w:tc>
        <w:tc>
          <w:tcPr>
            <w:tcW w:w="77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kern w:val="0"/>
                <w:sz w:val="18"/>
                <w:szCs w:val="18"/>
                <w:highlight w:val="none"/>
                <w:lang w:val="en-US" w:eastAsia="zh-CN" w:bidi="ar-SA"/>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未及时上报或整改，</w:t>
            </w:r>
            <w:r>
              <w:rPr>
                <w:rFonts w:hint="eastAsia" w:ascii="宋体" w:hAnsi="宋体" w:eastAsia="宋体" w:cs="宋体"/>
                <w:kern w:val="0"/>
                <w:sz w:val="18"/>
                <w:szCs w:val="18"/>
                <w:highlight w:val="none"/>
              </w:rPr>
              <w:t>每次扣</w:t>
            </w:r>
            <w:r>
              <w:rPr>
                <w:rFonts w:hint="eastAsia" w:ascii="宋体" w:hAnsi="宋体" w:cs="宋体"/>
                <w:kern w:val="0"/>
                <w:sz w:val="18"/>
                <w:szCs w:val="18"/>
                <w:highlight w:val="none"/>
                <w:lang w:val="en-US" w:eastAsia="zh-CN"/>
              </w:rPr>
              <w:t>0.5</w:t>
            </w:r>
            <w:r>
              <w:rPr>
                <w:rFonts w:hint="eastAsia" w:ascii="宋体" w:hAnsi="宋体" w:eastAsia="宋体" w:cs="宋体"/>
                <w:kern w:val="0"/>
                <w:sz w:val="18"/>
                <w:szCs w:val="18"/>
                <w:highlight w:val="none"/>
              </w:rPr>
              <w:t>分</w:t>
            </w:r>
          </w:p>
        </w:tc>
      </w:tr>
      <w:tr>
        <w:tblPrEx>
          <w:tblCellMar>
            <w:top w:w="0" w:type="dxa"/>
            <w:left w:w="0" w:type="dxa"/>
            <w:bottom w:w="0" w:type="dxa"/>
            <w:right w:w="0" w:type="dxa"/>
          </w:tblCellMar>
        </w:tblPrEx>
        <w:trPr>
          <w:trHeight w:val="285"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媒体曝光，属实</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每次扣2分</w:t>
            </w:r>
          </w:p>
        </w:tc>
      </w:tr>
      <w:tr>
        <w:tblPrEx>
          <w:tblCellMar>
            <w:top w:w="0" w:type="dxa"/>
            <w:left w:w="0" w:type="dxa"/>
            <w:bottom w:w="0" w:type="dxa"/>
            <w:right w:w="0" w:type="dxa"/>
          </w:tblCellMar>
        </w:tblPrEx>
        <w:trPr>
          <w:trHeight w:val="465"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对市长电话交办单、数字城管联系单等</w:t>
            </w:r>
            <w:r>
              <w:rPr>
                <w:rFonts w:hint="eastAsia" w:ascii="宋体" w:hAnsi="宋体" w:eastAsia="宋体" w:cs="宋体"/>
                <w:sz w:val="18"/>
                <w:szCs w:val="18"/>
                <w:highlight w:val="none"/>
                <w:lang w:eastAsia="zh-CN"/>
              </w:rPr>
              <w:t>派单</w:t>
            </w:r>
            <w:r>
              <w:rPr>
                <w:rFonts w:hint="eastAsia" w:ascii="宋体" w:hAnsi="宋体" w:eastAsia="宋体" w:cs="宋体"/>
                <w:sz w:val="18"/>
                <w:szCs w:val="18"/>
                <w:highlight w:val="none"/>
              </w:rPr>
              <w:t>及时</w:t>
            </w:r>
            <w:r>
              <w:rPr>
                <w:rFonts w:hint="eastAsia" w:ascii="宋体" w:hAnsi="宋体" w:eastAsia="宋体" w:cs="宋体"/>
                <w:sz w:val="18"/>
                <w:szCs w:val="18"/>
                <w:highlight w:val="none"/>
                <w:lang w:eastAsia="zh-CN"/>
              </w:rPr>
              <w:t>、高质量</w:t>
            </w:r>
            <w:r>
              <w:rPr>
                <w:rFonts w:hint="eastAsia" w:ascii="宋体" w:hAnsi="宋体" w:eastAsia="宋体" w:cs="宋体"/>
                <w:sz w:val="18"/>
                <w:szCs w:val="18"/>
                <w:highlight w:val="none"/>
              </w:rPr>
              <w:t>整改反馈</w:t>
            </w:r>
            <w:r>
              <w:rPr>
                <w:rFonts w:hint="eastAsia" w:ascii="宋体" w:hAnsi="宋体" w:eastAsia="宋体" w:cs="宋体"/>
                <w:sz w:val="18"/>
                <w:szCs w:val="18"/>
                <w:highlight w:val="none"/>
                <w:lang w:eastAsia="zh-CN"/>
              </w:rPr>
              <w:t>，按期处理率</w:t>
            </w:r>
            <w:r>
              <w:rPr>
                <w:rFonts w:hint="eastAsia" w:ascii="宋体" w:hAnsi="宋体" w:eastAsia="宋体" w:cs="宋体"/>
                <w:sz w:val="18"/>
                <w:szCs w:val="18"/>
                <w:highlight w:val="none"/>
                <w:lang w:val="en-US" w:eastAsia="zh-CN"/>
              </w:rPr>
              <w:t>100%。</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每月末统计，按期处理率低于</w:t>
            </w:r>
            <w:r>
              <w:rPr>
                <w:rFonts w:hint="eastAsia" w:ascii="宋体" w:hAnsi="宋体" w:eastAsia="宋体" w:cs="宋体"/>
                <w:sz w:val="18"/>
                <w:szCs w:val="18"/>
                <w:highlight w:val="none"/>
                <w:lang w:val="en-US" w:eastAsia="zh-CN"/>
              </w:rPr>
              <w:t>100%，月度扣1分，低于95%，月度扣2分，以此类推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反馈准确率</w:t>
            </w:r>
            <w:r>
              <w:rPr>
                <w:rFonts w:hint="eastAsia" w:ascii="宋体" w:hAnsi="宋体" w:eastAsia="宋体" w:cs="宋体"/>
                <w:sz w:val="18"/>
                <w:szCs w:val="18"/>
                <w:highlight w:val="none"/>
                <w:lang w:eastAsia="zh-CN"/>
              </w:rPr>
              <w:t>低于</w:t>
            </w:r>
            <w:r>
              <w:rPr>
                <w:rFonts w:hint="eastAsia" w:ascii="宋体" w:hAnsi="宋体" w:eastAsia="宋体" w:cs="宋体"/>
                <w:sz w:val="18"/>
                <w:szCs w:val="18"/>
                <w:highlight w:val="none"/>
                <w:lang w:val="en-US" w:eastAsia="zh-CN"/>
              </w:rPr>
              <w:t>99.5%，扣1分，</w:t>
            </w:r>
            <w:r>
              <w:rPr>
                <w:rFonts w:hint="eastAsia" w:ascii="宋体" w:hAnsi="宋体" w:eastAsia="宋体" w:cs="宋体"/>
                <w:sz w:val="18"/>
                <w:szCs w:val="18"/>
                <w:highlight w:val="none"/>
                <w:lang w:eastAsia="zh-CN"/>
              </w:rPr>
              <w:t>低于</w:t>
            </w:r>
            <w:r>
              <w:rPr>
                <w:rFonts w:hint="eastAsia" w:ascii="宋体" w:hAnsi="宋体" w:eastAsia="宋体" w:cs="宋体"/>
                <w:sz w:val="18"/>
                <w:szCs w:val="18"/>
                <w:highlight w:val="none"/>
                <w:lang w:val="en-US" w:eastAsia="zh-CN"/>
              </w:rPr>
              <w:t>99%，扣2分，</w:t>
            </w:r>
            <w:r>
              <w:rPr>
                <w:rFonts w:hint="eastAsia" w:ascii="宋体" w:hAnsi="宋体" w:eastAsia="宋体" w:cs="宋体"/>
                <w:sz w:val="18"/>
                <w:szCs w:val="18"/>
                <w:highlight w:val="none"/>
                <w:lang w:eastAsia="zh-CN"/>
              </w:rPr>
              <w:t>以此类推，</w:t>
            </w:r>
            <w:r>
              <w:rPr>
                <w:rFonts w:hint="eastAsia" w:ascii="宋体" w:hAnsi="宋体" w:eastAsia="宋体" w:cs="宋体"/>
                <w:sz w:val="18"/>
                <w:szCs w:val="18"/>
                <w:highlight w:val="none"/>
                <w:lang w:val="en-US" w:eastAsia="zh-CN"/>
              </w:rPr>
              <w:t>如案件反馈存在弄虚作假，扣5分</w:t>
            </w:r>
          </w:p>
        </w:tc>
      </w:tr>
      <w:tr>
        <w:tblPrEx>
          <w:tblCellMar>
            <w:top w:w="0" w:type="dxa"/>
            <w:left w:w="0" w:type="dxa"/>
            <w:bottom w:w="0" w:type="dxa"/>
            <w:right w:w="0" w:type="dxa"/>
          </w:tblCellMar>
        </w:tblPrEx>
        <w:trPr>
          <w:trHeight w:val="285" w:hRule="atLeast"/>
        </w:trPr>
        <w:tc>
          <w:tcPr>
            <w:tcW w:w="58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sz w:val="18"/>
                <w:szCs w:val="18"/>
                <w:highlight w:val="none"/>
              </w:rPr>
            </w:pPr>
          </w:p>
        </w:tc>
        <w:tc>
          <w:tcPr>
            <w:tcW w:w="123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sz w:val="18"/>
                <w:szCs w:val="18"/>
                <w:highlight w:val="none"/>
              </w:rPr>
            </w:pPr>
          </w:p>
        </w:tc>
        <w:tc>
          <w:tcPr>
            <w:tcW w:w="31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区级及以上</w:t>
            </w:r>
            <w:r>
              <w:rPr>
                <w:rFonts w:hint="eastAsia" w:ascii="宋体" w:hAnsi="宋体" w:eastAsia="宋体" w:cs="宋体"/>
                <w:kern w:val="0"/>
                <w:sz w:val="18"/>
                <w:szCs w:val="18"/>
                <w:highlight w:val="none"/>
              </w:rPr>
              <w:t>相关部门表扬，属实</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区级及以上相关部门通报、批评，属实</w:t>
            </w:r>
          </w:p>
        </w:tc>
        <w:tc>
          <w:tcPr>
            <w:tcW w:w="77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80" w:lineRule="exact"/>
              <w:jc w:val="center"/>
              <w:rPr>
                <w:rFonts w:hint="eastAsia" w:ascii="宋体" w:hAnsi="宋体" w:eastAsia="宋体" w:cs="宋体"/>
                <w:sz w:val="18"/>
                <w:szCs w:val="18"/>
                <w:highlight w:val="none"/>
              </w:rPr>
            </w:pPr>
          </w:p>
        </w:tc>
        <w:tc>
          <w:tcPr>
            <w:tcW w:w="36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表扬</w:t>
            </w:r>
            <w:r>
              <w:rPr>
                <w:rFonts w:hint="eastAsia" w:ascii="宋体" w:hAnsi="宋体" w:eastAsia="宋体" w:cs="宋体"/>
                <w:kern w:val="0"/>
                <w:sz w:val="18"/>
                <w:szCs w:val="18"/>
                <w:highlight w:val="none"/>
              </w:rPr>
              <w:t>加2分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通报、批评</w:t>
            </w:r>
            <w:r>
              <w:rPr>
                <w:rFonts w:hint="eastAsia" w:ascii="宋体" w:hAnsi="宋体" w:eastAsia="宋体" w:cs="宋体"/>
                <w:kern w:val="0"/>
                <w:sz w:val="18"/>
                <w:szCs w:val="18"/>
                <w:highlight w:val="none"/>
              </w:rPr>
              <w:t>每次扣2分</w:t>
            </w:r>
          </w:p>
        </w:tc>
      </w:tr>
      <w:tr>
        <w:tblPrEx>
          <w:tblCellMar>
            <w:top w:w="0" w:type="dxa"/>
            <w:left w:w="0" w:type="dxa"/>
            <w:bottom w:w="0" w:type="dxa"/>
            <w:right w:w="0" w:type="dxa"/>
          </w:tblCellMar>
        </w:tblPrEx>
        <w:trPr>
          <w:trHeight w:val="1500" w:hRule="atLeast"/>
        </w:trPr>
        <w:tc>
          <w:tcPr>
            <w:tcW w:w="9420"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注</w:t>
            </w:r>
            <w:r>
              <w:rPr>
                <w:rFonts w:hint="eastAsia" w:ascii="宋体" w:hAnsi="宋体" w:eastAsia="宋体" w:cs="宋体"/>
                <w:color w:val="000000"/>
                <w:kern w:val="0"/>
                <w:sz w:val="18"/>
                <w:szCs w:val="18"/>
                <w:highlight w:val="none"/>
              </w:rPr>
              <w:t>：</w:t>
            </w:r>
            <w:r>
              <w:rPr>
                <w:rStyle w:val="174"/>
                <w:rFonts w:hint="eastAsia" w:ascii="宋体" w:hAnsi="宋体" w:eastAsia="宋体" w:cs="宋体"/>
                <w:color w:val="000000"/>
                <w:sz w:val="18"/>
                <w:szCs w:val="18"/>
                <w:highlight w:val="none"/>
              </w:rPr>
              <w:t>1、整改期限按天气、整改的内容由</w:t>
            </w:r>
            <w:r>
              <w:rPr>
                <w:rFonts w:hint="eastAsia" w:ascii="宋体" w:hAnsi="宋体" w:cs="宋体"/>
                <w:kern w:val="0"/>
                <w:sz w:val="18"/>
                <w:szCs w:val="18"/>
                <w:highlight w:val="none"/>
                <w:lang w:eastAsia="zh-CN"/>
              </w:rPr>
              <w:t>招标人或相关部门</w:t>
            </w:r>
            <w:r>
              <w:rPr>
                <w:rStyle w:val="174"/>
                <w:rFonts w:hint="eastAsia" w:ascii="宋体" w:hAnsi="宋体" w:eastAsia="宋体" w:cs="宋体"/>
                <w:color w:val="000000"/>
                <w:sz w:val="18"/>
                <w:szCs w:val="18"/>
                <w:highlight w:val="none"/>
              </w:rPr>
              <w:t>界定。</w:t>
            </w:r>
            <w:r>
              <w:rPr>
                <w:rStyle w:val="165"/>
                <w:rFonts w:hint="eastAsia" w:ascii="宋体" w:hAnsi="宋体" w:eastAsia="宋体" w:cs="宋体"/>
                <w:color w:val="000000"/>
                <w:sz w:val="18"/>
                <w:szCs w:val="18"/>
                <w:highlight w:val="none"/>
              </w:rPr>
              <w:t>2、养护单位每日填写自查表并上报。</w:t>
            </w:r>
            <w:r>
              <w:rPr>
                <w:rStyle w:val="165"/>
                <w:rFonts w:hint="eastAsia" w:ascii="宋体" w:hAnsi="宋体" w:eastAsia="宋体" w:cs="宋体"/>
                <w:b/>
                <w:bCs/>
                <w:color w:val="000000"/>
                <w:sz w:val="18"/>
                <w:szCs w:val="18"/>
                <w:highlight w:val="none"/>
              </w:rPr>
              <w:t>对于养护单位先于</w:t>
            </w:r>
            <w:r>
              <w:rPr>
                <w:rFonts w:hint="eastAsia" w:ascii="宋体" w:hAnsi="宋体" w:cs="宋体"/>
                <w:b/>
                <w:bCs/>
                <w:kern w:val="0"/>
                <w:sz w:val="18"/>
                <w:szCs w:val="18"/>
                <w:highlight w:val="none"/>
                <w:lang w:eastAsia="zh-CN"/>
              </w:rPr>
              <w:t>招标人</w:t>
            </w:r>
            <w:r>
              <w:rPr>
                <w:rStyle w:val="165"/>
                <w:rFonts w:hint="eastAsia" w:ascii="宋体" w:hAnsi="宋体" w:eastAsia="宋体" w:cs="宋体"/>
                <w:b/>
                <w:bCs/>
                <w:color w:val="000000"/>
                <w:sz w:val="18"/>
                <w:szCs w:val="18"/>
                <w:highlight w:val="none"/>
              </w:rPr>
              <w:t>工作人员发现问题的并在自查表上填明已经上报</w:t>
            </w:r>
            <w:r>
              <w:rPr>
                <w:rFonts w:hint="eastAsia" w:ascii="宋体" w:hAnsi="宋体" w:cs="宋体"/>
                <w:b/>
                <w:bCs/>
                <w:kern w:val="0"/>
                <w:sz w:val="18"/>
                <w:szCs w:val="18"/>
                <w:highlight w:val="none"/>
                <w:lang w:eastAsia="zh-CN"/>
              </w:rPr>
              <w:t>招标人</w:t>
            </w:r>
            <w:r>
              <w:rPr>
                <w:rStyle w:val="165"/>
                <w:rFonts w:hint="eastAsia" w:ascii="宋体" w:hAnsi="宋体" w:eastAsia="宋体" w:cs="宋体"/>
                <w:b/>
                <w:bCs/>
                <w:color w:val="000000"/>
                <w:sz w:val="18"/>
                <w:szCs w:val="18"/>
                <w:highlight w:val="none"/>
              </w:rPr>
              <w:t>的，可不扣分。</w:t>
            </w:r>
            <w:r>
              <w:rPr>
                <w:rStyle w:val="174"/>
                <w:rFonts w:hint="eastAsia" w:ascii="宋体" w:hAnsi="宋体" w:eastAsia="宋体" w:cs="宋体"/>
                <w:b/>
                <w:bCs/>
                <w:color w:val="000000"/>
                <w:sz w:val="18"/>
                <w:szCs w:val="18"/>
                <w:highlight w:val="none"/>
              </w:rPr>
              <w:t>3、灾害性天气、突发事件应根据</w:t>
            </w:r>
            <w:r>
              <w:rPr>
                <w:rFonts w:hint="eastAsia" w:ascii="宋体" w:hAnsi="宋体" w:cs="宋体"/>
                <w:b/>
                <w:bCs/>
                <w:kern w:val="0"/>
                <w:sz w:val="18"/>
                <w:szCs w:val="18"/>
                <w:highlight w:val="none"/>
                <w:lang w:eastAsia="zh-CN"/>
              </w:rPr>
              <w:t>招标人</w:t>
            </w:r>
            <w:r>
              <w:rPr>
                <w:rStyle w:val="174"/>
                <w:rFonts w:hint="eastAsia" w:ascii="宋体" w:hAnsi="宋体" w:eastAsia="宋体" w:cs="宋体"/>
                <w:b/>
                <w:bCs/>
                <w:color w:val="000000"/>
                <w:sz w:val="18"/>
                <w:szCs w:val="18"/>
                <w:highlight w:val="none"/>
              </w:rPr>
              <w:t>要求及时响应，响应不及时的，当</w:t>
            </w:r>
            <w:r>
              <w:rPr>
                <w:rStyle w:val="174"/>
                <w:rFonts w:hint="eastAsia" w:ascii="宋体" w:hAnsi="宋体" w:cs="宋体"/>
                <w:b/>
                <w:bCs/>
                <w:color w:val="000000"/>
                <w:sz w:val="18"/>
                <w:szCs w:val="18"/>
                <w:highlight w:val="none"/>
                <w:lang w:eastAsia="zh-CN"/>
              </w:rPr>
              <w:t>月</w:t>
            </w:r>
            <w:r>
              <w:rPr>
                <w:rStyle w:val="174"/>
                <w:rFonts w:hint="eastAsia" w:ascii="宋体" w:hAnsi="宋体" w:eastAsia="宋体" w:cs="宋体"/>
                <w:b/>
                <w:bCs/>
                <w:color w:val="000000"/>
                <w:sz w:val="18"/>
                <w:szCs w:val="18"/>
                <w:highlight w:val="none"/>
              </w:rPr>
              <w:t>考核</w:t>
            </w:r>
            <w:r>
              <w:rPr>
                <w:rStyle w:val="165"/>
                <w:rFonts w:hint="eastAsia" w:ascii="宋体" w:hAnsi="宋体" w:eastAsia="宋体" w:cs="宋体"/>
                <w:b/>
                <w:bCs/>
                <w:color w:val="000000"/>
                <w:sz w:val="18"/>
                <w:szCs w:val="18"/>
                <w:highlight w:val="none"/>
              </w:rPr>
              <w:t>评定为</w:t>
            </w:r>
            <w:r>
              <w:rPr>
                <w:rStyle w:val="174"/>
                <w:rFonts w:hint="eastAsia" w:ascii="宋体" w:hAnsi="宋体" w:eastAsia="宋体" w:cs="宋体"/>
                <w:b/>
                <w:bCs/>
                <w:color w:val="000000"/>
                <w:sz w:val="18"/>
                <w:szCs w:val="18"/>
                <w:highlight w:val="none"/>
              </w:rPr>
              <w:t>不合格。</w:t>
            </w:r>
            <w:r>
              <w:rPr>
                <w:rStyle w:val="165"/>
                <w:rFonts w:hint="eastAsia" w:ascii="宋体" w:hAnsi="宋体" w:eastAsia="宋体" w:cs="宋体"/>
                <w:color w:val="000000"/>
                <w:sz w:val="18"/>
                <w:szCs w:val="18"/>
                <w:highlight w:val="none"/>
              </w:rPr>
              <w:t>4、全年换花计划按时上报，每次换花前一周将计划上报</w:t>
            </w:r>
            <w:r>
              <w:rPr>
                <w:rFonts w:hint="eastAsia" w:ascii="宋体" w:hAnsi="宋体" w:cs="宋体"/>
                <w:kern w:val="0"/>
                <w:sz w:val="18"/>
                <w:szCs w:val="18"/>
                <w:highlight w:val="none"/>
                <w:lang w:eastAsia="zh-CN"/>
              </w:rPr>
              <w:t>招标人</w:t>
            </w:r>
            <w:r>
              <w:rPr>
                <w:rStyle w:val="165"/>
                <w:rFonts w:hint="eastAsia" w:ascii="宋体" w:hAnsi="宋体" w:eastAsia="宋体" w:cs="宋体"/>
                <w:color w:val="000000"/>
                <w:sz w:val="18"/>
                <w:szCs w:val="18"/>
                <w:highlight w:val="none"/>
              </w:rPr>
              <w:t>。5、养护合同的条款要求均是考核前置条件，未按合同履行的，考核评定为不合格。</w:t>
            </w:r>
          </w:p>
        </w:tc>
      </w:tr>
    </w:tbl>
    <w:p>
      <w:pPr>
        <w:rPr>
          <w:rFonts w:hint="eastAsia"/>
          <w:highlight w:val="none"/>
        </w:rPr>
      </w:pPr>
    </w:p>
    <w:p>
      <w:pPr>
        <w:adjustRightInd w:val="0"/>
        <w:snapToGrid w:val="0"/>
        <w:spacing w:line="340" w:lineRule="atLeast"/>
        <w:jc w:val="both"/>
        <w:rPr>
          <w:rFonts w:hint="eastAsia" w:ascii="宋体" w:hAnsi="宋体" w:cs="宋体"/>
          <w:color w:val="auto"/>
          <w:sz w:val="18"/>
          <w:szCs w:val="18"/>
          <w:highlight w:val="none"/>
        </w:rPr>
      </w:pPr>
      <w:r>
        <w:rPr>
          <w:rFonts w:hint="eastAsia" w:ascii="宋体" w:hAnsi="宋体" w:cs="宋体"/>
          <w:color w:val="auto"/>
          <w:sz w:val="18"/>
          <w:szCs w:val="18"/>
          <w:highlight w:val="none"/>
        </w:rPr>
        <w:t>备注：1、苗木施肥一年不少于三次，每年4月底、6月底、10月底之前完成追肥工作，施肥量以化肥为例：乔灌木25－50克/棵、绿篱色块8－10克/平方、草坪地被6－7克/平方、四季花卉每季不少于二次、每次8－10克/平方。</w:t>
      </w:r>
    </w:p>
    <w:p>
      <w:pPr>
        <w:ind w:firstLine="360" w:firstLineChars="200"/>
        <w:rPr>
          <w:rFonts w:hint="eastAsia"/>
          <w:color w:val="auto"/>
          <w:sz w:val="18"/>
          <w:szCs w:val="18"/>
          <w:highlight w:val="none"/>
        </w:rPr>
      </w:pPr>
      <w:r>
        <w:rPr>
          <w:rFonts w:hint="eastAsia" w:ascii="宋体" w:hAnsi="宋体" w:cs="宋体"/>
          <w:color w:val="auto"/>
          <w:sz w:val="18"/>
          <w:szCs w:val="18"/>
          <w:highlight w:val="none"/>
        </w:rPr>
        <w:t>2、推广使用有机肥，用量是化肥的20-50倍，具体施肥工作报园林处审核同意后方可实施。</w:t>
      </w:r>
    </w:p>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考核要求：</w:t>
      </w:r>
    </w:p>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w:t>
      </w:r>
      <w:r>
        <w:rPr>
          <w:rFonts w:hint="eastAsia" w:ascii="宋体" w:hAnsi="宋体" w:cs="宋体"/>
          <w:color w:val="auto"/>
          <w:sz w:val="18"/>
          <w:szCs w:val="18"/>
          <w:highlight w:val="none"/>
          <w:lang w:eastAsia="zh-CN"/>
        </w:rPr>
        <w:t>月</w:t>
      </w:r>
      <w:r>
        <w:rPr>
          <w:rFonts w:hint="eastAsia" w:ascii="宋体" w:hAnsi="宋体" w:eastAsia="宋体" w:cs="宋体"/>
          <w:color w:val="auto"/>
          <w:sz w:val="18"/>
          <w:szCs w:val="18"/>
          <w:highlight w:val="none"/>
          <w:lang w:eastAsia="zh-CN"/>
        </w:rPr>
        <w:t>嘉兴市秀洲区人民政府新城街道办事处</w:t>
      </w:r>
      <w:r>
        <w:rPr>
          <w:rFonts w:hint="eastAsia" w:ascii="宋体" w:hAnsi="宋体" w:eastAsia="宋体" w:cs="宋体"/>
          <w:color w:val="auto"/>
          <w:sz w:val="18"/>
          <w:szCs w:val="18"/>
          <w:highlight w:val="none"/>
        </w:rPr>
        <w:t>根据当</w:t>
      </w:r>
      <w:r>
        <w:rPr>
          <w:rFonts w:hint="eastAsia" w:ascii="宋体" w:hAnsi="宋体" w:cs="宋体"/>
          <w:color w:val="auto"/>
          <w:sz w:val="18"/>
          <w:szCs w:val="18"/>
          <w:highlight w:val="none"/>
          <w:lang w:eastAsia="zh-CN"/>
        </w:rPr>
        <w:t>月</w:t>
      </w:r>
      <w:r>
        <w:rPr>
          <w:rFonts w:hint="eastAsia" w:ascii="宋体" w:hAnsi="宋体" w:eastAsia="宋体" w:cs="宋体"/>
          <w:color w:val="auto"/>
          <w:sz w:val="18"/>
          <w:szCs w:val="18"/>
          <w:highlight w:val="none"/>
        </w:rPr>
        <w:t>暗查、明查情况进行汇总打分，得出该标段的当</w:t>
      </w:r>
      <w:r>
        <w:rPr>
          <w:rFonts w:hint="eastAsia" w:ascii="宋体" w:hAnsi="宋体" w:cs="宋体"/>
          <w:color w:val="auto"/>
          <w:sz w:val="18"/>
          <w:szCs w:val="18"/>
          <w:highlight w:val="none"/>
          <w:lang w:eastAsia="zh-CN"/>
        </w:rPr>
        <w:t>月</w:t>
      </w:r>
      <w:r>
        <w:rPr>
          <w:rFonts w:hint="eastAsia" w:ascii="宋体" w:hAnsi="宋体" w:eastAsia="宋体" w:cs="宋体"/>
          <w:color w:val="auto"/>
          <w:sz w:val="18"/>
          <w:szCs w:val="18"/>
          <w:highlight w:val="none"/>
        </w:rPr>
        <w:t>考核分，考核分与</w:t>
      </w:r>
      <w:r>
        <w:rPr>
          <w:rFonts w:hint="eastAsia" w:ascii="宋体" w:hAnsi="宋体" w:cs="宋体"/>
          <w:color w:val="auto"/>
          <w:sz w:val="18"/>
          <w:szCs w:val="18"/>
          <w:highlight w:val="none"/>
          <w:lang w:val="en-US" w:eastAsia="zh-CN"/>
        </w:rPr>
        <w:t>月</w:t>
      </w:r>
      <w:r>
        <w:rPr>
          <w:rFonts w:hint="eastAsia" w:ascii="宋体" w:hAnsi="宋体" w:eastAsia="宋体" w:cs="宋体"/>
          <w:color w:val="auto"/>
          <w:sz w:val="18"/>
          <w:szCs w:val="18"/>
          <w:highlight w:val="none"/>
        </w:rPr>
        <w:t>度养护费挂钩。考核实行百分制。考核分值及评分标准详见</w:t>
      </w:r>
      <w:r>
        <w:rPr>
          <w:rFonts w:hint="eastAsia" w:ascii="宋体" w:hAnsi="宋体" w:eastAsia="宋体" w:cs="宋体"/>
          <w:color w:val="auto"/>
          <w:sz w:val="18"/>
          <w:szCs w:val="18"/>
          <w:highlight w:val="none"/>
          <w:lang w:eastAsia="zh-CN"/>
        </w:rPr>
        <w:t>上表</w:t>
      </w:r>
      <w:r>
        <w:rPr>
          <w:rFonts w:hint="eastAsia" w:ascii="宋体" w:hAnsi="宋体" w:eastAsia="宋体" w:cs="宋体"/>
          <w:color w:val="auto"/>
          <w:sz w:val="18"/>
          <w:szCs w:val="18"/>
          <w:highlight w:val="none"/>
        </w:rPr>
        <w:t>。</w:t>
      </w:r>
    </w:p>
    <w:p>
      <w:pPr>
        <w:spacing w:line="260" w:lineRule="exact"/>
        <w:ind w:firstLine="360" w:firstLineChars="200"/>
        <w:rPr>
          <w:rFonts w:hint="default" w:ascii="宋体" w:hAnsi="宋体" w:cs="宋体"/>
          <w:color w:val="auto"/>
          <w:sz w:val="18"/>
          <w:szCs w:val="18"/>
          <w:highlight w:val="none"/>
          <w:lang w:val="en-US" w:eastAsia="zh-CN"/>
        </w:rPr>
      </w:pPr>
      <w:r>
        <w:rPr>
          <w:rFonts w:hint="eastAsia" w:ascii="宋体" w:hAnsi="宋体" w:eastAsia="宋体" w:cs="宋体"/>
          <w:color w:val="auto"/>
          <w:sz w:val="18"/>
          <w:szCs w:val="18"/>
          <w:highlight w:val="none"/>
        </w:rPr>
        <w:t>2、考核结果汇总及运用：根据</w:t>
      </w:r>
      <w:r>
        <w:rPr>
          <w:rFonts w:hint="eastAsia" w:ascii="宋体" w:hAnsi="宋体" w:cs="宋体"/>
          <w:color w:val="auto"/>
          <w:sz w:val="18"/>
          <w:szCs w:val="18"/>
          <w:highlight w:val="none"/>
          <w:lang w:val="en-US" w:eastAsia="zh-CN"/>
        </w:rPr>
        <w:t>街道</w:t>
      </w:r>
      <w:r>
        <w:rPr>
          <w:rFonts w:hint="eastAsia" w:ascii="宋体" w:hAnsi="宋体" w:eastAsia="宋体" w:cs="宋体"/>
          <w:color w:val="auto"/>
          <w:sz w:val="18"/>
          <w:szCs w:val="18"/>
          <w:highlight w:val="none"/>
        </w:rPr>
        <w:t>考核结果，</w:t>
      </w:r>
      <w:r>
        <w:rPr>
          <w:rFonts w:hint="eastAsia" w:ascii="宋体" w:hAnsi="宋体" w:cs="宋体"/>
          <w:color w:val="auto"/>
          <w:sz w:val="18"/>
          <w:szCs w:val="18"/>
          <w:highlight w:val="none"/>
          <w:lang w:val="en-US" w:eastAsia="zh-CN"/>
        </w:rPr>
        <w:t>95分以上不扣款，95分以下</w:t>
      </w:r>
      <w:r>
        <w:rPr>
          <w:rFonts w:hint="eastAsia" w:ascii="宋体" w:hAnsi="宋体" w:eastAsia="宋体" w:cs="宋体"/>
          <w:color w:val="auto"/>
          <w:sz w:val="18"/>
          <w:szCs w:val="18"/>
          <w:highlight w:val="none"/>
        </w:rPr>
        <w:t>每降低</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分，当</w:t>
      </w:r>
      <w:r>
        <w:rPr>
          <w:rFonts w:hint="eastAsia" w:ascii="宋体" w:hAnsi="宋体" w:cs="宋体"/>
          <w:color w:val="auto"/>
          <w:sz w:val="18"/>
          <w:szCs w:val="18"/>
          <w:highlight w:val="none"/>
          <w:lang w:val="en-US" w:eastAsia="zh-CN"/>
        </w:rPr>
        <w:t>月</w:t>
      </w:r>
      <w:r>
        <w:rPr>
          <w:rFonts w:hint="eastAsia" w:ascii="宋体" w:hAnsi="宋体" w:eastAsia="宋体" w:cs="宋体"/>
          <w:color w:val="auto"/>
          <w:sz w:val="18"/>
          <w:szCs w:val="18"/>
          <w:highlight w:val="none"/>
        </w:rPr>
        <w:t>养护费扣</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00</w:t>
      </w:r>
      <w:r>
        <w:rPr>
          <w:rFonts w:hint="eastAsia" w:ascii="宋体" w:hAnsi="宋体" w:cs="宋体"/>
          <w:color w:val="auto"/>
          <w:sz w:val="18"/>
          <w:szCs w:val="18"/>
          <w:highlight w:val="none"/>
          <w:lang w:val="en-US" w:eastAsia="zh-CN"/>
        </w:rPr>
        <w:t>0</w:t>
      </w:r>
      <w:r>
        <w:rPr>
          <w:rFonts w:hint="eastAsia" w:ascii="宋体" w:hAnsi="宋体" w:eastAsia="宋体" w:cs="宋体"/>
          <w:color w:val="auto"/>
          <w:sz w:val="18"/>
          <w:szCs w:val="18"/>
          <w:highlight w:val="none"/>
        </w:rPr>
        <w:t>元</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月</w:t>
      </w:r>
      <w:r>
        <w:rPr>
          <w:rFonts w:hint="eastAsia" w:ascii="宋体" w:hAnsi="宋体" w:cs="宋体"/>
          <w:color w:val="auto"/>
          <w:sz w:val="18"/>
          <w:szCs w:val="18"/>
          <w:highlight w:val="none"/>
          <w:lang w:eastAsia="zh-CN"/>
        </w:rPr>
        <w:t>度考核分在</w:t>
      </w:r>
      <w:r>
        <w:rPr>
          <w:rFonts w:hint="eastAsia" w:ascii="宋体" w:hAnsi="宋体" w:cs="宋体"/>
          <w:color w:val="auto"/>
          <w:sz w:val="18"/>
          <w:szCs w:val="18"/>
          <w:highlight w:val="none"/>
          <w:lang w:val="en-US" w:eastAsia="zh-CN"/>
        </w:rPr>
        <w:t>60分以下的为不合格，发包人有权直接解除合同，并要求承包人赔偿相应损失</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考核扣款在本季度付款时一并扣除。</w:t>
      </w:r>
      <w:r>
        <w:rPr>
          <w:rFonts w:hint="eastAsia" w:ascii="宋体" w:hAnsi="宋体" w:cs="宋体"/>
          <w:color w:val="FF0000"/>
          <w:sz w:val="18"/>
          <w:szCs w:val="18"/>
          <w:highlight w:val="none"/>
          <w:lang w:eastAsia="zh-CN"/>
        </w:rPr>
        <w:t>（扣款金额</w:t>
      </w:r>
      <w:r>
        <w:rPr>
          <w:rFonts w:hint="eastAsia" w:ascii="宋体" w:hAnsi="宋体" w:cs="宋体"/>
          <w:color w:val="FF0000"/>
          <w:sz w:val="18"/>
          <w:szCs w:val="18"/>
          <w:highlight w:val="none"/>
          <w:lang w:val="en-US" w:eastAsia="zh-CN"/>
        </w:rPr>
        <w:t>=（扣分总分值-5分</w:t>
      </w:r>
      <w:r>
        <w:rPr>
          <w:rFonts w:hint="eastAsia" w:ascii="宋体" w:hAnsi="宋体" w:cs="宋体"/>
          <w:color w:val="FF0000"/>
          <w:sz w:val="18"/>
          <w:szCs w:val="18"/>
          <w:highlight w:val="none"/>
          <w:lang w:eastAsia="zh-CN"/>
        </w:rPr>
        <w:t>）</w:t>
      </w:r>
      <w:r>
        <w:rPr>
          <w:rFonts w:hint="eastAsia" w:ascii="宋体" w:hAnsi="宋体" w:cs="宋体"/>
          <w:color w:val="FF0000"/>
          <w:sz w:val="18"/>
          <w:szCs w:val="18"/>
          <w:highlight w:val="none"/>
          <w:lang w:val="en-US" w:eastAsia="zh-CN"/>
        </w:rPr>
        <w:t>*1000元，扣分总分值为非整数，按非整数直接计算）</w:t>
      </w:r>
    </w:p>
    <w:p>
      <w:pPr>
        <w:pStyle w:val="58"/>
        <w:ind w:firstLine="360" w:firstLineChars="200"/>
        <w:rPr>
          <w:rFonts w:hint="default"/>
          <w:highlight w:val="none"/>
          <w:lang w:val="en-US" w:eastAsia="zh-CN"/>
        </w:rPr>
      </w:pPr>
      <w:r>
        <w:rPr>
          <w:rFonts w:hint="eastAsia" w:ascii="宋体" w:hAnsi="宋体" w:cs="宋体"/>
          <w:color w:val="auto"/>
          <w:sz w:val="18"/>
          <w:szCs w:val="18"/>
          <w:highlight w:val="none"/>
          <w:lang w:val="en-US" w:eastAsia="zh-CN"/>
        </w:rPr>
        <w:t>3、年度考核结果为街道月度平均分，年度考核90分及以上的视为考核优秀，年度90分及以上经业主最终确认同意允许续签。</w:t>
      </w:r>
    </w:p>
    <w:p>
      <w:pPr>
        <w:ind w:firstLine="36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市城管委、区城管委和区园林市政管理服务中心对街道辖区范围内巡查、考核发现存在任何相关问题对街道进行处罚、扣分的；市城管委每一个问题扣1000元，区城管委和区园林市政管理服务中心每扣1分，则所扣分标段按每分1000元进行扣款。当月区园林市政管理服务中心对两街道绿化考评结果位于前三名的（含并列前三），当月养护费全额拨款，不再进行扣款（包括因市城管委、区城管委和区园林市政管理服务中心扣分扣款及街道考核扣分扣款）。若区园林市政管理服务中心对两街道绿化考评结果单个标段年度累计位于后三名（含并列后三名）3次以上的不再续签。（如市级、区级考核管理部门在执行期间调整的，按调整的部门考核管理意见为准）。</w:t>
      </w:r>
    </w:p>
    <w:p>
      <w:pPr>
        <w:ind w:firstLine="360"/>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5、市、区部门考核仅作为每个月扣款依据，不纳入街道月度及年度考核依据。</w:t>
      </w:r>
      <w:r>
        <w:rPr>
          <w:rFonts w:hint="eastAsia" w:ascii="宋体" w:hAnsi="宋体" w:cs="宋体"/>
          <w:color w:val="auto"/>
          <w:sz w:val="18"/>
          <w:szCs w:val="18"/>
          <w:highlight w:val="none"/>
          <w:lang w:eastAsia="zh-CN"/>
        </w:rPr>
        <w:br w:type="page"/>
      </w:r>
    </w:p>
    <w:p>
      <w:pPr>
        <w:spacing w:line="260" w:lineRule="exact"/>
        <w:ind w:firstLine="360" w:firstLineChars="200"/>
        <w:rPr>
          <w:rFonts w:hint="eastAsia" w:ascii="宋体" w:hAnsi="宋体" w:cs="宋体"/>
          <w:color w:val="auto"/>
          <w:sz w:val="18"/>
          <w:szCs w:val="18"/>
          <w:highlight w:val="none"/>
          <w:lang w:val="en-US" w:eastAsia="zh-CN"/>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pgNumType w:fmt="decimal" w:start="1"/>
          <w:cols w:space="720" w:num="1"/>
        </w:sectPr>
      </w:pPr>
    </w:p>
    <w:tbl>
      <w:tblPr>
        <w:tblStyle w:val="49"/>
        <w:tblW w:w="14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8"/>
        <w:gridCol w:w="4496"/>
        <w:gridCol w:w="4588"/>
        <w:gridCol w:w="2279"/>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32"/>
                <w:szCs w:val="32"/>
                <w:highlight w:val="none"/>
                <w:u w:val="none"/>
                <w:lang w:val="en-US" w:eastAsia="zh-CN" w:bidi="ar"/>
              </w:rPr>
              <w:t>新城街道绿化养护等级划分（暂定）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养护等级</w:t>
            </w:r>
          </w:p>
        </w:tc>
        <w:tc>
          <w:tcPr>
            <w:tcW w:w="4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公园绿地</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道路绿地</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生态防护绿地</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精细化</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秀洲公园、秀清公园、春晓文化公园、区政府广场周边、摩尔广场、杭州塘北侧与北郊河东侧绿道、北郊河西侧绿道</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中山西路、秀洲大道、秀园路、洪兴西路、新安路、长虹路、蓬莱路、新洲路</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18"/>
                <w:szCs w:val="18"/>
                <w:highlight w:val="none"/>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生态公园、新塍绿道、嘉业阳光城东侧绿地、新洲路东侧绿地（中山路-吉杨路）、320国道匝道绿地、君特口袋公园、吴越路东侧绿地、东升西路两侧绿地</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东升西路、亚厦路、洪殷路、吉杨路、启蒙路、吴越路、新秀路、盛西路、洪波路、佳园路、洪高路、殷秀路、明日路、聚贤路、新平路、启智路</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highlight w:val="none"/>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风筝公园一期、风筝公园二期、摩尔公馆东绿地、中山保健品市场两侧绿地、殷秀路西侧绿地、启智路西侧绿地、洪高路南侧绿地、江南传媒周边绿化</w:t>
            </w:r>
          </w:p>
        </w:tc>
        <w:tc>
          <w:tcPr>
            <w:tcW w:w="4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大德路、木桥港路、新塍塘路、秀丽路、思家路、东港路、九里路、望仙路、金盾路、清涟路、成秀路、秀湖路、环秀路</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highlight w:val="none"/>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大德路北延伸段小公园、景尚雅苑东小公园</w:t>
            </w:r>
          </w:p>
        </w:tc>
        <w:tc>
          <w:tcPr>
            <w:tcW w:w="4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雁泾港路、义庄路、秀圣路、秀庄路</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亚厦风和苑西侧片林、嘉业阳光城西侧片林、雁泾港路北侧片林</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r>
    </w:tbl>
    <w:p>
      <w:pPr>
        <w:spacing w:line="260" w:lineRule="exact"/>
        <w:ind w:firstLine="360" w:firstLineChars="200"/>
        <w:rPr>
          <w:rFonts w:hint="eastAsia" w:ascii="宋体" w:hAnsi="宋体" w:cs="宋体"/>
          <w:color w:val="auto"/>
          <w:sz w:val="18"/>
          <w:szCs w:val="18"/>
          <w:highlight w:val="none"/>
          <w:lang w:val="en-US" w:eastAsia="zh-CN"/>
        </w:rPr>
        <w:sectPr>
          <w:pgSz w:w="16840" w:h="11910" w:orient="landscape"/>
          <w:pgMar w:top="1080" w:right="980" w:bottom="1200" w:left="800" w:header="857" w:footer="1004"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sz w:val="18"/>
          <w:szCs w:val="18"/>
          <w:highlight w:val="none"/>
          <w:lang w:val="en-US" w:eastAsia="zh-CN"/>
        </w:rPr>
        <w:t>注：若在实施期间招标人或上级部门对上表等级划分有修正的，按最新修正的等级类别执行，因此引起的费用增加已包含在投标总价中，不再另行支付。</w:t>
      </w: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140" w:name="_Toc7035"/>
      <w:r>
        <w:rPr>
          <w:rFonts w:hint="eastAsia" w:asciiTheme="minorEastAsia" w:hAnsiTheme="minorEastAsia" w:eastAsiaTheme="minorEastAsia"/>
          <w:b/>
          <w:color w:val="auto"/>
          <w:sz w:val="30"/>
          <w:szCs w:val="30"/>
          <w:highlight w:val="none"/>
        </w:rPr>
        <w:t>第三章 供应商须知</w:t>
      </w:r>
      <w:bookmarkEnd w:id="140"/>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电子交易注意事项</w:t>
      </w:r>
    </w:p>
    <w:p>
      <w:pPr>
        <w:spacing w:line="360" w:lineRule="auto"/>
        <w:ind w:firstLine="180" w:firstLineChars="100"/>
        <w:jc w:val="left"/>
        <w:rPr>
          <w:rFonts w:cs="宋体" w:asciiTheme="minorEastAsia" w:hAnsiTheme="minorEastAsia" w:eastAsiaTheme="minorEastAsia"/>
          <w:color w:val="auto"/>
          <w:sz w:val="18"/>
          <w:szCs w:val="18"/>
          <w:highlight w:val="none"/>
          <w:shd w:val="clear" w:color="auto" w:fill="FFFFFF"/>
        </w:rPr>
      </w:pPr>
      <w:r>
        <w:rPr>
          <w:rFonts w:hint="eastAsia" w:cs="宋体" w:asciiTheme="minorEastAsia" w:hAnsiTheme="minorEastAsia" w:eastAsiaTheme="minorEastAsia"/>
          <w:color w:val="auto"/>
          <w:sz w:val="18"/>
          <w:szCs w:val="18"/>
          <w:highlight w:val="none"/>
          <w:shd w:val="clear" w:color="auto" w:fill="FFFFFF"/>
        </w:rPr>
        <w:t>　政府采购项目电子交易活动适用《浙江省政府采购项目电子交易管理暂行办法》，现将相关注意事项告知如下：</w:t>
      </w:r>
    </w:p>
    <w:p>
      <w:pPr>
        <w:spacing w:line="360" w:lineRule="auto"/>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　1.代理机构按照招标文件规定的时间通过电子交易平台组织开标、开启投标文件，所有供应商均应当准时在线参加，直至评审结束。</w:t>
      </w:r>
    </w:p>
    <w:p>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2.投标文件未按时解密，供应商如提供备份投标文件的，以符合要求的备份投标文件作为依据，否则视为投标文件撤回。投标文件已按时解密的，备份投标文件自动失效。</w:t>
      </w:r>
    </w:p>
    <w:p>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3.采购过程中出现以下情形，导致电子交易平台无法正常运行，或者无法保证电子交易的公平、公正和安全时，代理机构可中止电子交易活动：</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（一）电子交易平台发生故障而无法登录访问的； </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（二）电子交易平台应用或数据库出现错误，不能进行正常操作的；</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（三）电子交易平台发现严重安全漏洞，有潜在泄密危险的；</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（四）病毒发作导致不能进行正常操作的； </w:t>
      </w:r>
    </w:p>
    <w:p>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（五）其他无法保证电子交易的公平、公正和安全的情况。</w:t>
      </w:r>
    </w:p>
    <w:p>
      <w:pPr>
        <w:pStyle w:val="45"/>
        <w:spacing w:beforeAutospacing="0" w:afterAutospacing="0" w:line="360" w:lineRule="auto"/>
        <w:ind w:firstLine="48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45"/>
        <w:spacing w:beforeAutospacing="0" w:afterAutospacing="0" w:line="360" w:lineRule="auto"/>
        <w:ind w:firstLine="480"/>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30"/>
        <w:snapToGrid w:val="0"/>
        <w:spacing w:before="120" w:after="120" w:line="360" w:lineRule="auto"/>
        <w:ind w:firstLine="361" w:firstLineChars="200"/>
        <w:rPr>
          <w:rFonts w:cs="宋体" w:asciiTheme="minorEastAsia" w:hAnsiTheme="minorEastAsia" w:eastAsiaTheme="minorEastAsia"/>
          <w:b/>
          <w:color w:val="auto"/>
          <w:kern w:val="0"/>
          <w:sz w:val="18"/>
          <w:szCs w:val="18"/>
          <w:highlight w:val="none"/>
          <w:shd w:val="clear" w:color="auto" w:fill="FFFFFF"/>
        </w:rPr>
      </w:pPr>
      <w:r>
        <w:rPr>
          <w:rFonts w:hint="eastAsia" w:cs="宋体" w:asciiTheme="minorEastAsia" w:hAnsiTheme="minorEastAsia" w:eastAsiaTheme="minorEastAsia"/>
          <w:b/>
          <w:color w:val="auto"/>
          <w:kern w:val="0"/>
          <w:sz w:val="18"/>
          <w:szCs w:val="18"/>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18"/>
          <w:szCs w:val="18"/>
          <w:highlight w:val="none"/>
          <w:shd w:val="clear" w:color="auto" w:fill="FFFFFF"/>
        </w:rPr>
        <w:t>。　　　　　</w:t>
      </w:r>
    </w:p>
    <w:p>
      <w:pPr>
        <w:spacing w:line="260" w:lineRule="exact"/>
        <w:ind w:firstLine="361" w:firstLineChars="200"/>
        <w:rPr>
          <w:rFonts w:hint="eastAsia" w:ascii="宋体" w:hAnsi="宋体" w:cs="宋体"/>
          <w:color w:val="auto"/>
          <w:sz w:val="18"/>
          <w:szCs w:val="18"/>
          <w:highlight w:val="none"/>
          <w:lang w:val="en-US" w:eastAsia="zh-CN"/>
        </w:rPr>
        <w:sectPr>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r>
        <w:rPr>
          <w:rFonts w:hint="eastAsia" w:cs="宋体" w:asciiTheme="minorEastAsia" w:hAnsiTheme="minorEastAsia" w:eastAsiaTheme="minorEastAsia"/>
          <w:b/>
          <w:color w:val="auto"/>
          <w:kern w:val="0"/>
          <w:sz w:val="18"/>
          <w:szCs w:val="18"/>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8"/>
    <w:p>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color w:val="auto"/>
                <w:sz w:val="18"/>
                <w:szCs w:val="18"/>
                <w:highlight w:val="none"/>
              </w:rPr>
              <w:t>项目名称：</w:t>
            </w:r>
            <w:r>
              <w:rPr>
                <w:rFonts w:hint="eastAsia" w:asciiTheme="minorEastAsia" w:hAnsiTheme="minorEastAsia" w:eastAsiaTheme="minorEastAsia"/>
                <w:bCs/>
                <w:color w:val="auto"/>
                <w:sz w:val="18"/>
                <w:szCs w:val="18"/>
                <w:highlight w:val="none"/>
                <w:lang w:eastAsia="zh-CN"/>
              </w:rPr>
              <w:t>新城街道2024年度区域绿化养护项目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采购内容：</w:t>
            </w:r>
            <w:r>
              <w:rPr>
                <w:rFonts w:asciiTheme="minorEastAsia" w:hAnsiTheme="minorEastAsia" w:eastAsiaTheme="minorEastAsia"/>
                <w:bCs/>
                <w:color w:val="auto"/>
                <w:sz w:val="18"/>
                <w:szCs w:val="18"/>
                <w:highlight w:val="none"/>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投标报价及费用：</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、本项目投标应以人民币报价；</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现场踏勘：无</w:t>
            </w:r>
            <w:r>
              <w:rPr>
                <w:rFonts w:asciiTheme="minorEastAsia" w:hAnsiTheme="minorEastAsia" w:eastAsiaTheme="minor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开标时间及地点：</w:t>
            </w:r>
            <w:r>
              <w:rPr>
                <w:rFonts w:hint="eastAsia" w:cs="Arial" w:asciiTheme="minorEastAsia" w:hAnsiTheme="minorEastAsia" w:eastAsiaTheme="minorEastAsia"/>
                <w:b/>
                <w:color w:val="auto"/>
                <w:sz w:val="18"/>
                <w:szCs w:val="18"/>
                <w:highlight w:val="none"/>
                <w:lang w:eastAsia="zh-CN"/>
              </w:rPr>
              <w:t>2023年12月27日</w:t>
            </w:r>
            <w:r>
              <w:rPr>
                <w:rFonts w:hint="eastAsia" w:cs="Arial" w:asciiTheme="minorEastAsia" w:hAnsiTheme="minorEastAsia" w:eastAsiaTheme="minorEastAsia"/>
                <w:b/>
                <w:color w:val="auto"/>
                <w:sz w:val="18"/>
                <w:szCs w:val="18"/>
                <w:highlight w:val="none"/>
                <w:lang w:val="en-US" w:eastAsia="zh-CN"/>
              </w:rPr>
              <w:t>9</w:t>
            </w:r>
            <w:r>
              <w:rPr>
                <w:rFonts w:cs="Arial" w:asciiTheme="minorEastAsia" w:hAnsiTheme="minorEastAsia" w:eastAsiaTheme="minorEastAsia"/>
                <w:b/>
                <w:color w:val="auto"/>
                <w:sz w:val="18"/>
                <w:szCs w:val="18"/>
                <w:highlight w:val="none"/>
              </w:rPr>
              <w:t>时</w:t>
            </w:r>
            <w:r>
              <w:rPr>
                <w:rFonts w:hint="eastAsia" w:cs="Arial" w:asciiTheme="minorEastAsia" w:hAnsiTheme="minorEastAsia" w:eastAsiaTheme="minorEastAsia"/>
                <w:b/>
                <w:color w:val="auto"/>
                <w:sz w:val="18"/>
                <w:szCs w:val="18"/>
                <w:highlight w:val="none"/>
                <w:lang w:val="en-US" w:eastAsia="zh-CN"/>
              </w:rPr>
              <w:t>3</w:t>
            </w:r>
            <w:r>
              <w:rPr>
                <w:rFonts w:hint="eastAsia" w:cs="Arial" w:asciiTheme="minorEastAsia" w:hAnsiTheme="minorEastAsia" w:eastAsiaTheme="minorEastAsia"/>
                <w:b/>
                <w:color w:val="auto"/>
                <w:sz w:val="18"/>
                <w:szCs w:val="18"/>
                <w:highlight w:val="none"/>
              </w:rPr>
              <w:t>0</w:t>
            </w:r>
            <w:r>
              <w:rPr>
                <w:rFonts w:cs="Arial" w:asciiTheme="minorEastAsia" w:hAnsiTheme="minorEastAsia" w:eastAsiaTheme="minorEastAsia"/>
                <w:b/>
                <w:color w:val="auto"/>
                <w:sz w:val="18"/>
                <w:szCs w:val="18"/>
                <w:highlight w:val="none"/>
              </w:rPr>
              <w:t>分</w:t>
            </w:r>
            <w:r>
              <w:rPr>
                <w:rFonts w:hint="eastAsia" w:ascii="宋体" w:hAnsi="宋体" w:cs="Arial" w:eastAsiaTheme="minorEastAsia"/>
                <w:color w:val="auto"/>
                <w:sz w:val="18"/>
                <w:szCs w:val="18"/>
                <w:highlight w:val="none"/>
              </w:rPr>
              <w:t>嘉兴市银建工程咨询评估有限公司</w:t>
            </w:r>
            <w:r>
              <w:rPr>
                <w:rFonts w:hint="eastAsia" w:ascii="宋体" w:hAnsi="宋体" w:cs="Arial"/>
                <w:color w:val="auto"/>
                <w:sz w:val="18"/>
                <w:szCs w:val="18"/>
                <w:highlight w:val="none"/>
              </w:rPr>
              <w:t>（嘉兴市洪兴路2399号宝地大厦1506室）</w:t>
            </w:r>
            <w:r>
              <w:rPr>
                <w:rFonts w:hint="eastAsia" w:cs="Arial" w:asciiTheme="minorEastAsia" w:hAnsiTheme="minorEastAsia" w:eastAsiaTheme="minorEastAsia"/>
                <w:color w:val="auto"/>
                <w:sz w:val="18"/>
                <w:szCs w:val="18"/>
                <w:highlight w:val="none"/>
              </w:rPr>
              <w:t>。</w:t>
            </w:r>
            <w:r>
              <w:rPr>
                <w:rFonts w:hint="eastAsia" w:cs="Arial" w:asciiTheme="minorEastAsia" w:hAnsiTheme="minorEastAsia" w:eastAsiaTheme="minorEastAsia"/>
                <w:b/>
                <w:color w:val="auto"/>
                <w:sz w:val="18"/>
                <w:szCs w:val="18"/>
                <w:highlight w:val="none"/>
                <w:u w:val="singl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中标公告及中标通知书：中标公告发布于上述媒体，</w:t>
            </w:r>
            <w:r>
              <w:rPr>
                <w:rFonts w:hint="eastAsia" w:cs="宋体" w:asciiTheme="minorEastAsia" w:hAnsiTheme="minorEastAsia" w:eastAsiaTheme="minorEastAsia"/>
                <w:color w:val="auto"/>
                <w:kern w:val="0"/>
                <w:sz w:val="18"/>
                <w:szCs w:val="18"/>
                <w:highlight w:val="none"/>
              </w:rPr>
              <w:t>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履约保证金:</w:t>
            </w:r>
            <w:r>
              <w:rPr>
                <w:rFonts w:hint="eastAsia" w:cs="宋体" w:asciiTheme="minorEastAsia" w:hAnsiTheme="minorEastAsia" w:eastAsiaTheme="minorEastAsia"/>
                <w:color w:val="auto"/>
                <w:sz w:val="18"/>
                <w:szCs w:val="18"/>
                <w:highlight w:val="none"/>
              </w:rPr>
              <w:t xml:space="preserve"> </w:t>
            </w:r>
            <w:r>
              <w:rPr>
                <w:rFonts w:hint="eastAsia" w:cs="宋体" w:asciiTheme="minorEastAsia" w:hAnsiTheme="minorEastAsia" w:eastAsiaTheme="minorEastAsia"/>
                <w:color w:val="auto"/>
                <w:sz w:val="18"/>
                <w:szCs w:val="18"/>
                <w:highlight w:val="none"/>
                <w:lang w:eastAsia="zh-CN"/>
              </w:rPr>
              <w:t>签订合同价的</w:t>
            </w:r>
            <w:r>
              <w:rPr>
                <w:rFonts w:hint="eastAsia" w:cs="宋体" w:asciiTheme="minorEastAsia" w:hAnsiTheme="minorEastAsia" w:eastAsiaTheme="minorEastAsia"/>
                <w:color w:val="auto"/>
                <w:sz w:val="18"/>
                <w:szCs w:val="18"/>
                <w:highlight w:val="none"/>
                <w:lang w:val="en-US" w:eastAsia="zh-CN"/>
              </w:rPr>
              <w:t>1%</w:t>
            </w:r>
            <w:r>
              <w:rPr>
                <w:rFonts w:hint="eastAsia" w:cs="宋体" w:asciiTheme="minorEastAsia" w:hAnsiTheme="minorEastAsia" w:eastAsiaTheme="minorEastAsia"/>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签订合同时间：中标通知书发出后10日内。</w:t>
            </w:r>
            <w:r>
              <w:rPr>
                <w:rFonts w:hint="eastAsia" w:cs="宋体" w:asciiTheme="minorEastAsia" w:hAnsiTheme="minorEastAsia" w:eastAsiaTheme="minorEastAsia"/>
                <w:color w:val="auto"/>
                <w:kern w:val="0"/>
                <w:sz w:val="18"/>
                <w:szCs w:val="18"/>
                <w:highlight w:val="none"/>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最高限价：</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标段一：3718512.56元</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标段二：4332871.44元</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标段三：3380466元</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标段四：3688584.28元</w:t>
            </w:r>
          </w:p>
          <w:p>
            <w:pPr>
              <w:autoSpaceDE w:val="0"/>
              <w:autoSpaceDN w:val="0"/>
              <w:snapToGrid w:val="0"/>
              <w:spacing w:line="360" w:lineRule="auto"/>
              <w:textAlignment w:val="bottom"/>
              <w:rPr>
                <w:rFonts w:hint="eastAsia" w:asciiTheme="minorEastAsia" w:hAnsiTheme="minorEastAsia" w:eastAsiaTheme="minorEastAsia"/>
                <w:b/>
                <w:color w:val="auto"/>
                <w:sz w:val="18"/>
                <w:szCs w:val="18"/>
                <w:highlight w:val="none"/>
                <w:lang w:val="en-US" w:eastAsia="zh-CN"/>
              </w:rPr>
            </w:pPr>
            <w:r>
              <w:rPr>
                <w:rFonts w:hint="eastAsia" w:asciiTheme="minorEastAsia" w:hAnsiTheme="minorEastAsia" w:eastAsiaTheme="minorEastAsia"/>
                <w:b/>
                <w:color w:val="auto"/>
                <w:sz w:val="18"/>
                <w:szCs w:val="18"/>
                <w:highlight w:val="none"/>
                <w:lang w:val="en-US" w:eastAsia="zh-CN"/>
              </w:rPr>
              <w:t>标段五：3647577.4元</w:t>
            </w:r>
          </w:p>
          <w:p>
            <w:pPr>
              <w:pStyle w:val="21"/>
              <w:rPr>
                <w:rFonts w:hint="eastAsia"/>
                <w:highlight w:val="none"/>
              </w:rPr>
            </w:pPr>
            <w:r>
              <w:rPr>
                <w:rFonts w:hint="eastAsia" w:asciiTheme="minorEastAsia" w:hAnsiTheme="minorEastAsia" w:eastAsiaTheme="minorEastAsia"/>
                <w:b/>
                <w:color w:val="auto"/>
                <w:sz w:val="18"/>
                <w:szCs w:val="18"/>
                <w:highlight w:val="none"/>
                <w:lang w:val="en-US" w:eastAsia="zh-CN"/>
              </w:rPr>
              <w:t>标段</w:t>
            </w:r>
            <w:r>
              <w:rPr>
                <w:rFonts w:hint="eastAsia" w:asciiTheme="minorEastAsia" w:hAnsiTheme="minorEastAsia"/>
                <w:b/>
                <w:color w:val="auto"/>
                <w:sz w:val="18"/>
                <w:szCs w:val="18"/>
                <w:highlight w:val="none"/>
                <w:lang w:val="en-US" w:eastAsia="zh-CN"/>
              </w:rPr>
              <w:t>六</w:t>
            </w:r>
            <w:r>
              <w:rPr>
                <w:rFonts w:hint="eastAsia" w:asciiTheme="minorEastAsia" w:hAnsiTheme="minorEastAsia" w:eastAsiaTheme="minorEastAsia"/>
                <w:b/>
                <w:color w:val="auto"/>
                <w:sz w:val="18"/>
                <w:szCs w:val="18"/>
                <w:highlight w:val="none"/>
                <w:lang w:val="en-US" w:eastAsia="zh-CN"/>
              </w:rPr>
              <w:t>：</w:t>
            </w:r>
            <w:r>
              <w:rPr>
                <w:rFonts w:hint="eastAsia" w:asciiTheme="minorEastAsia" w:hAnsiTheme="minorEastAsia"/>
                <w:b/>
                <w:color w:val="auto"/>
                <w:sz w:val="18"/>
                <w:szCs w:val="18"/>
                <w:highlight w:val="none"/>
                <w:lang w:val="en-US" w:eastAsia="zh-CN"/>
              </w:rPr>
              <w:t>3597018.5589</w:t>
            </w:r>
            <w:r>
              <w:rPr>
                <w:rFonts w:hint="eastAsia" w:asciiTheme="minorEastAsia" w:hAnsiTheme="minorEastAsia" w:eastAsiaTheme="minorEastAsia"/>
                <w:b/>
                <w:color w:val="auto"/>
                <w:sz w:val="18"/>
                <w:szCs w:val="18"/>
                <w:highlight w:val="none"/>
                <w:lang w:val="en-US" w:eastAsia="zh-CN"/>
              </w:rPr>
              <w:t>元</w:t>
            </w:r>
          </w:p>
          <w:p>
            <w:pPr>
              <w:autoSpaceDE w:val="0"/>
              <w:autoSpaceDN w:val="0"/>
              <w:snapToGrid w:val="0"/>
              <w:spacing w:line="360" w:lineRule="auto"/>
              <w:textAlignment w:val="bottom"/>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高于最高限价作废标处理。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投标文件有效期：</w:t>
            </w:r>
            <w:r>
              <w:rPr>
                <w:rFonts w:hint="eastAsia" w:cs="Arial" w:asciiTheme="minorEastAsia" w:hAnsiTheme="minorEastAsia" w:eastAsiaTheme="minorEastAsia"/>
                <w:color w:val="auto"/>
                <w:sz w:val="18"/>
                <w:szCs w:val="18"/>
                <w:highlight w:val="none"/>
                <w:u w:val="single"/>
              </w:rPr>
              <w:t>90</w:t>
            </w:r>
            <w:r>
              <w:rPr>
                <w:rFonts w:hint="eastAsia" w:cs="Arial" w:asciiTheme="minorEastAsia" w:hAnsiTheme="minorEastAsia" w:eastAsiaTheme="minorEastAsia"/>
                <w:color w:val="auto"/>
                <w:sz w:val="18"/>
                <w:szCs w:val="18"/>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信用记录：</w:t>
            </w:r>
            <w:r>
              <w:rPr>
                <w:rFonts w:hint="eastAsia" w:cs="Arial" w:asciiTheme="minorEastAsia" w:hAnsiTheme="minorEastAsia" w:eastAsiaTheme="minorEastAsia"/>
                <w:color w:val="auto"/>
                <w:sz w:val="18"/>
                <w:szCs w:val="1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政府采购节能环保产品：无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rPr>
              <w:t>标的：</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u w:val="single"/>
                <w:lang w:eastAsia="zh-CN"/>
              </w:rPr>
              <w:t>新城街道2024年度区域绿化养护项目</w:t>
            </w:r>
            <w:r>
              <w:rPr>
                <w:rFonts w:hint="eastAsia" w:ascii="宋体" w:hAnsi="宋体" w:eastAsia="宋体" w:cs="宋体"/>
                <w:color w:val="auto"/>
                <w:kern w:val="0"/>
                <w:sz w:val="18"/>
                <w:szCs w:val="18"/>
                <w:highlight w:val="none"/>
                <w:u w:val="single"/>
              </w:rPr>
              <w:t xml:space="preserve"> </w:t>
            </w:r>
            <w:r>
              <w:rPr>
                <w:rFonts w:hint="eastAsia" w:ascii="宋体" w:hAnsi="宋体" w:eastAsia="宋体" w:cs="宋体"/>
                <w:color w:val="auto"/>
                <w:kern w:val="0"/>
                <w:sz w:val="18"/>
                <w:szCs w:val="18"/>
                <w:highlight w:val="none"/>
              </w:rPr>
              <w:t>，属于</w:t>
            </w:r>
            <w:r>
              <w:rPr>
                <w:rFonts w:hint="eastAsia" w:ascii="宋体" w:hAnsi="宋体" w:eastAsia="宋体" w:cs="宋体"/>
                <w:color w:val="auto"/>
                <w:kern w:val="0"/>
                <w:sz w:val="18"/>
                <w:szCs w:val="18"/>
                <w:highlight w:val="none"/>
                <w:u w:val="single"/>
              </w:rPr>
              <w:t>（十六）其他未列明行业</w:t>
            </w:r>
            <w:r>
              <w:rPr>
                <w:rFonts w:hint="eastAsia" w:ascii="宋体" w:hAnsi="宋体" w:eastAsia="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解释：本招标文件的解释权属于采购单位。</w:t>
            </w:r>
          </w:p>
        </w:tc>
      </w:tr>
    </w:tbl>
    <w:p>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pPr>
        <w:snapToGrid w:val="0"/>
        <w:spacing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asciiTheme="minorEastAsia" w:hAnsiTheme="minorEastAsia" w:eastAsiaTheme="minorEastAsia"/>
          <w:b/>
          <w:color w:val="auto"/>
          <w:sz w:val="18"/>
          <w:szCs w:val="18"/>
          <w:highlight w:val="none"/>
        </w:rPr>
        <w:t xml:space="preserve"> 适用范围</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本招标文件适用于该项目的招标、投标、评标、定标、验收、合同履约、付款等行为（法律、法规另有规定的，从其规定）。</w:t>
      </w:r>
    </w:p>
    <w:p>
      <w:pPr>
        <w:snapToGrid w:val="0"/>
        <w:spacing w:beforeLines="50" w:line="360" w:lineRule="auto"/>
        <w:ind w:firstLine="266" w:firstLineChars="147"/>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（二）定义</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招标采购人系指组织本次招标的</w:t>
      </w:r>
      <w:r>
        <w:rPr>
          <w:rFonts w:hint="eastAsia" w:asciiTheme="minorEastAsia" w:hAnsiTheme="minorEastAsia" w:eastAsiaTheme="minorEastAsia"/>
          <w:color w:val="auto"/>
          <w:sz w:val="18"/>
          <w:szCs w:val="18"/>
          <w:highlight w:val="none"/>
        </w:rPr>
        <w:t>嘉兴市银建工程咨询评估有限公司（“招标人”）</w:t>
      </w:r>
      <w:r>
        <w:rPr>
          <w:rFonts w:asciiTheme="minorEastAsia" w:hAnsiTheme="minorEastAsia" w:eastAsiaTheme="minorEastAsia"/>
          <w:color w:val="auto"/>
          <w:sz w:val="18"/>
          <w:szCs w:val="18"/>
          <w:highlight w:val="none"/>
        </w:rPr>
        <w:t>和采购</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供应商”系指向采购人提交投标文件的单位或个人。</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“产品”系指供方按招标文件规定，须向采购人提供的一切设备、保险、税金、备品备件、工具、手册及其它有关技术资料和材料。</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“服务”系指招标文件规定供应商须承担的安装、调试、技术协助、校准、培训、技术指导以及其他类似的义务。</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“项目”系指供应商按招标文件规定向采购人提供的产品和服务。</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“书面形式”包括信函、传真、电报等。</w:t>
      </w:r>
    </w:p>
    <w:p>
      <w:pPr>
        <w:snapToGrid w:val="0"/>
        <w:spacing w:line="360" w:lineRule="auto"/>
        <w:ind w:left="615" w:leftChars="250" w:hanging="90" w:hangingChars="5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“▲”系指实质性要求条款</w:t>
      </w:r>
      <w:r>
        <w:rPr>
          <w:rFonts w:hint="eastAsia" w:asciiTheme="minorEastAsia" w:hAnsiTheme="minorEastAsia" w:eastAsiaTheme="minorEastAsia"/>
          <w:color w:val="auto"/>
          <w:sz w:val="18"/>
          <w:szCs w:val="18"/>
          <w:highlight w:val="none"/>
        </w:rPr>
        <w:t>，不满足实行性要求条款的投标文件无效。</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（三）采购方式</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本次招标采用</w:t>
      </w:r>
      <w:r>
        <w:rPr>
          <w:rFonts w:asciiTheme="minorEastAsia" w:hAnsiTheme="minorEastAsia" w:eastAsiaTheme="minorEastAsia"/>
          <w:b/>
          <w:color w:val="auto"/>
          <w:sz w:val="18"/>
          <w:szCs w:val="18"/>
          <w:highlight w:val="none"/>
          <w:u w:val="single"/>
        </w:rPr>
        <w:t>公开</w:t>
      </w:r>
      <w:r>
        <w:rPr>
          <w:rFonts w:hint="eastAsia" w:asciiTheme="minorEastAsia" w:hAnsiTheme="minorEastAsia" w:eastAsiaTheme="minorEastAsia"/>
          <w:b/>
          <w:color w:val="auto"/>
          <w:sz w:val="18"/>
          <w:szCs w:val="18"/>
          <w:highlight w:val="none"/>
          <w:u w:val="single"/>
        </w:rPr>
        <w:t>招标</w:t>
      </w:r>
      <w:r>
        <w:rPr>
          <w:rFonts w:hint="eastAsia" w:asciiTheme="minorEastAsia" w:hAnsiTheme="minorEastAsia" w:eastAsiaTheme="minorEastAsia"/>
          <w:color w:val="auto"/>
          <w:sz w:val="18"/>
          <w:szCs w:val="18"/>
          <w:highlight w:val="none"/>
        </w:rPr>
        <w:t>采购方式</w:t>
      </w:r>
      <w:r>
        <w:rPr>
          <w:rFonts w:asciiTheme="minorEastAsia" w:hAnsiTheme="minorEastAsia" w:eastAsiaTheme="minorEastAsia"/>
          <w:color w:val="auto"/>
          <w:sz w:val="18"/>
          <w:szCs w:val="18"/>
          <w:highlight w:val="none"/>
        </w:rPr>
        <w:t>进行。</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（四）投标委托</w:t>
      </w:r>
    </w:p>
    <w:p>
      <w:pPr>
        <w:pStyle w:val="24"/>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如供应商代表不是法定代表人，须有法定代表人出具的授权委托书（格式</w:t>
      </w:r>
      <w:r>
        <w:rPr>
          <w:rFonts w:hint="eastAsia" w:asciiTheme="minorEastAsia" w:hAnsiTheme="minorEastAsia" w:eastAsiaTheme="minorEastAsia"/>
          <w:color w:val="auto"/>
          <w:sz w:val="18"/>
          <w:szCs w:val="18"/>
          <w:highlight w:val="none"/>
        </w:rPr>
        <w:t>详</w:t>
      </w:r>
      <w:r>
        <w:rPr>
          <w:rFonts w:asciiTheme="minorEastAsia" w:hAnsiTheme="minorEastAsia" w:eastAsiaTheme="minorEastAsia"/>
          <w:color w:val="auto"/>
          <w:sz w:val="18"/>
          <w:szCs w:val="18"/>
          <w:highlight w:val="none"/>
        </w:rPr>
        <w:t>见第</w:t>
      </w:r>
      <w:r>
        <w:rPr>
          <w:rFonts w:hint="eastAsia" w:asciiTheme="minorEastAsia" w:hAnsiTheme="minorEastAsia" w:eastAsiaTheme="minorEastAsia"/>
          <w:color w:val="auto"/>
          <w:sz w:val="18"/>
          <w:szCs w:val="18"/>
          <w:highlight w:val="none"/>
        </w:rPr>
        <w:t>六章</w:t>
      </w:r>
      <w:r>
        <w:rPr>
          <w:rFonts w:asciiTheme="minorEastAsia" w:hAnsiTheme="minorEastAsia" w:eastAsiaTheme="minorEastAsia"/>
          <w:color w:val="auto"/>
          <w:sz w:val="18"/>
          <w:szCs w:val="18"/>
          <w:highlight w:val="none"/>
        </w:rPr>
        <w:t>）。</w:t>
      </w:r>
    </w:p>
    <w:p>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（五）投标费用</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不论投标结果如何，供应商均应自行承担所有与投标有关的全部费用（招标文件有相反规定除外）。</w:t>
      </w:r>
    </w:p>
    <w:p>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（六）联合体投标</w:t>
      </w:r>
    </w:p>
    <w:p>
      <w:pPr>
        <w:snapToGrid w:val="0"/>
        <w:spacing w:line="360" w:lineRule="auto"/>
        <w:ind w:firstLine="542" w:firstLineChars="300"/>
        <w:jc w:val="left"/>
        <w:rPr>
          <w:rFonts w:cs="Arial" w:asciiTheme="minorEastAsia" w:hAnsiTheme="minorEastAsia" w:eastAsiaTheme="minorEastAsia"/>
          <w:b/>
          <w:color w:val="auto"/>
          <w:sz w:val="18"/>
          <w:szCs w:val="18"/>
          <w:highlight w:val="none"/>
          <w:u w:val="single"/>
        </w:rPr>
      </w:pPr>
      <w:r>
        <w:rPr>
          <w:rFonts w:hint="eastAsia" w:cs="Arial" w:asciiTheme="minorEastAsia" w:hAnsiTheme="minorEastAsia" w:eastAsiaTheme="minorEastAsia"/>
          <w:b/>
          <w:color w:val="auto"/>
          <w:sz w:val="18"/>
          <w:szCs w:val="18"/>
          <w:highlight w:val="none"/>
          <w:u w:val="single"/>
        </w:rPr>
        <w:t>本项目不接受联合体投标。</w:t>
      </w:r>
    </w:p>
    <w:p>
      <w:pPr>
        <w:snapToGrid w:val="0"/>
        <w:spacing w:beforeLines="50" w:line="360" w:lineRule="auto"/>
        <w:ind w:firstLine="354" w:firstLineChars="196"/>
        <w:rPr>
          <w:rFonts w:cs="宋体" w:asciiTheme="minorEastAsia" w:hAnsiTheme="minorEastAsia" w:eastAsiaTheme="minorEastAsia"/>
          <w:b/>
          <w:color w:val="auto"/>
          <w:kern w:val="0"/>
          <w:sz w:val="18"/>
          <w:szCs w:val="18"/>
          <w:highlight w:val="none"/>
        </w:rPr>
      </w:pPr>
      <w:r>
        <w:rPr>
          <w:rFonts w:hint="eastAsia" w:asciiTheme="minorEastAsia" w:hAnsiTheme="minorEastAsia" w:eastAsiaTheme="minorEastAsia"/>
          <w:b/>
          <w:color w:val="auto"/>
          <w:sz w:val="18"/>
          <w:szCs w:val="18"/>
          <w:highlight w:val="none"/>
        </w:rPr>
        <w:t>（七）</w:t>
      </w:r>
      <w:r>
        <w:rPr>
          <w:rFonts w:hint="eastAsia" w:cs="宋体" w:asciiTheme="minorEastAsia" w:hAnsiTheme="minorEastAsia" w:eastAsiaTheme="minorEastAsia"/>
          <w:b/>
          <w:color w:val="auto"/>
          <w:kern w:val="0"/>
          <w:sz w:val="18"/>
          <w:szCs w:val="18"/>
          <w:highlight w:val="none"/>
        </w:rPr>
        <w:t>转包与分包</w:t>
      </w:r>
    </w:p>
    <w:p>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本项目不允许转包。</w:t>
      </w:r>
    </w:p>
    <w:p>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2</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本项目不可以分包</w:t>
      </w:r>
      <w:r>
        <w:rPr>
          <w:rFonts w:hint="eastAsia" w:cs="宋体" w:asciiTheme="minorEastAsia" w:hAnsiTheme="minorEastAsia" w:eastAsiaTheme="minorEastAsia"/>
          <w:color w:val="auto"/>
          <w:kern w:val="0"/>
          <w:sz w:val="18"/>
          <w:szCs w:val="18"/>
          <w:highlight w:val="none"/>
        </w:rPr>
        <w:t>。</w:t>
      </w:r>
    </w:p>
    <w:p>
      <w:pPr>
        <w:snapToGrid w:val="0"/>
        <w:spacing w:beforeLines="50"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（八）是否允许采购进口产品</w:t>
      </w:r>
    </w:p>
    <w:p>
      <w:pPr>
        <w:snapToGrid w:val="0"/>
        <w:spacing w:beforeLines="50" w:line="360" w:lineRule="auto"/>
        <w:ind w:firstLine="352" w:firstLineChars="196"/>
        <w:jc w:val="left"/>
        <w:outlineLvl w:val="1"/>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不</w:t>
      </w:r>
      <w:r>
        <w:rPr>
          <w:rFonts w:cs="宋体" w:asciiTheme="minorEastAsia" w:hAnsiTheme="minorEastAsia" w:eastAsiaTheme="minorEastAsia"/>
          <w:color w:val="auto"/>
          <w:kern w:val="0"/>
          <w:sz w:val="18"/>
          <w:szCs w:val="18"/>
          <w:highlight w:val="none"/>
        </w:rPr>
        <w:t>允许</w:t>
      </w:r>
      <w:r>
        <w:rPr>
          <w:rFonts w:hint="eastAsia" w:cs="宋体" w:asciiTheme="minorEastAsia" w:hAnsiTheme="minorEastAsia" w:eastAsiaTheme="minorEastAsia"/>
          <w:color w:val="auto"/>
          <w:kern w:val="0"/>
          <w:sz w:val="18"/>
          <w:szCs w:val="18"/>
          <w:highlight w:val="none"/>
        </w:rPr>
        <w:t>采购进口产品。</w:t>
      </w:r>
    </w:p>
    <w:p>
      <w:pPr>
        <w:snapToGrid w:val="0"/>
        <w:spacing w:beforeLines="50" w:line="360" w:lineRule="auto"/>
        <w:ind w:firstLine="352" w:firstLineChars="196"/>
        <w:jc w:val="left"/>
        <w:outlineLvl w:val="1"/>
        <w:rPr>
          <w:rFonts w:asciiTheme="minorEastAsia" w:hAnsiTheme="minorEastAsia" w:eastAsiaTheme="minorEastAsia"/>
          <w:b/>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rPr>
        <w:t>（九）特别说明：</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供应商投标所使用的资格、信誉、荣誉、业绩与企业认证必须为本法人所拥有。供应商投标所使用的采购项目实施人员必须为本法人员工（或必须为本法人或控股公司正式员工）。</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供应商应仔细阅读招标文件的所有内容，按照招标文件的要求提交投标文件，并对所提供的全部资料的真实性承担法律责任。</w:t>
      </w:r>
    </w:p>
    <w:p>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且民事赔偿并不免除违法供应商的行政与刑事责任。</w:t>
      </w:r>
    </w:p>
    <w:p>
      <w:pPr>
        <w:pStyle w:val="30"/>
        <w:snapToGrid w:val="0"/>
        <w:spacing w:beforeLines="0" w:afterLines="0" w:line="360" w:lineRule="auto"/>
        <w:ind w:firstLine="354" w:firstLineChars="196"/>
        <w:outlineLvl w:val="1"/>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w:t>
      </w:r>
      <w:r>
        <w:rPr>
          <w:rFonts w:hint="eastAsia" w:asciiTheme="minorEastAsia" w:hAnsiTheme="minorEastAsia" w:eastAsiaTheme="minorEastAsia"/>
          <w:b/>
          <w:bCs/>
          <w:color w:val="auto"/>
          <w:sz w:val="18"/>
          <w:szCs w:val="18"/>
          <w:highlight w:val="none"/>
        </w:rPr>
        <w:t>十</w:t>
      </w:r>
      <w:r>
        <w:rPr>
          <w:rFonts w:asciiTheme="minorEastAsia" w:hAnsiTheme="minorEastAsia" w:eastAsiaTheme="minorEastAsia"/>
          <w:b/>
          <w:bCs/>
          <w:color w:val="auto"/>
          <w:sz w:val="18"/>
          <w:szCs w:val="18"/>
          <w:highlight w:val="none"/>
        </w:rPr>
        <w:t>）质疑和投诉</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 供应商须在法定质疑期内一次性提出针对同一采购程序环节的质疑.</w:t>
      </w:r>
    </w:p>
    <w:p>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 xml:space="preserve"> 供应商认为代理机构在质疑答复程序中启用的调查和复评等程序，在该程序操作过程未明显违反法律禁止性规定时，不得提出疑义。</w:t>
      </w:r>
    </w:p>
    <w:p>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4</w:t>
      </w:r>
      <w:r>
        <w:rPr>
          <w:rFonts w:hint="eastAsia" w:asciiTheme="minorEastAsia" w:hAnsiTheme="minorEastAsia" w:eastAsiaTheme="minorEastAsia"/>
          <w:bCs/>
          <w:color w:val="auto"/>
          <w:sz w:val="18"/>
          <w:szCs w:val="18"/>
          <w:highlight w:val="none"/>
        </w:rPr>
        <w:t>.质疑和投诉应当满足《政府采购质疑和投诉办法》（中华人民共和国财政部令第94号）要求。</w:t>
      </w:r>
    </w:p>
    <w:p>
      <w:pPr>
        <w:pStyle w:val="30"/>
        <w:snapToGrid w:val="0"/>
        <w:spacing w:before="120" w:after="120" w:line="360" w:lineRule="auto"/>
        <w:ind w:firstLine="354" w:firstLineChars="196"/>
        <w:jc w:val="center"/>
        <w:outlineLvl w:val="9"/>
        <w:rPr>
          <w:rFonts w:asciiTheme="minorEastAsia" w:hAnsiTheme="minorEastAsia" w:eastAsiaTheme="minorEastAsia"/>
          <w:b/>
          <w:color w:val="auto"/>
          <w:sz w:val="18"/>
          <w:szCs w:val="18"/>
          <w:highlight w:val="none"/>
        </w:rPr>
      </w:pPr>
      <w:bookmarkStart w:id="141" w:name="_Toc406402987"/>
      <w:bookmarkStart w:id="142" w:name="_Toc406402943"/>
    </w:p>
    <w:p>
      <w:pPr>
        <w:pStyle w:val="30"/>
        <w:snapToGrid w:val="0"/>
        <w:spacing w:before="120" w:after="120" w:line="360" w:lineRule="auto"/>
        <w:ind w:firstLine="354" w:firstLineChars="196"/>
        <w:jc w:val="center"/>
        <w:outlineLvl w:val="0"/>
        <w:rPr>
          <w:rFonts w:asciiTheme="minorEastAsia" w:hAnsiTheme="minorEastAsia" w:eastAsiaTheme="minorEastAsia"/>
          <w:b/>
          <w:color w:val="auto"/>
          <w:sz w:val="18"/>
          <w:szCs w:val="18"/>
          <w:highlight w:val="none"/>
        </w:rPr>
      </w:pPr>
      <w:bookmarkStart w:id="143" w:name="_Toc26804"/>
      <w:bookmarkStart w:id="144" w:name="_Toc6261"/>
      <w:r>
        <w:rPr>
          <w:rFonts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招标文件</w:t>
      </w:r>
      <w:bookmarkEnd w:id="141"/>
      <w:bookmarkEnd w:id="142"/>
      <w:bookmarkEnd w:id="143"/>
      <w:bookmarkEnd w:id="144"/>
    </w:p>
    <w:p>
      <w:pPr>
        <w:snapToGrid w:val="0"/>
        <w:spacing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（一）招标文件的构成。本招标文件由以下部份组成：</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招标公告</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招标需求</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供应商须知</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评标办法及标准</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合同主要条款</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投标文件格式</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7.本项目</w:t>
      </w:r>
      <w:r>
        <w:rPr>
          <w:rFonts w:asciiTheme="minorEastAsia" w:hAnsiTheme="minorEastAsia" w:eastAsiaTheme="minorEastAsia"/>
          <w:color w:val="auto"/>
          <w:sz w:val="18"/>
          <w:szCs w:val="18"/>
          <w:highlight w:val="none"/>
        </w:rPr>
        <w:t>招标文件</w:t>
      </w:r>
      <w:r>
        <w:rPr>
          <w:rFonts w:hint="eastAsia" w:asciiTheme="minorEastAsia" w:hAnsiTheme="minorEastAsia" w:eastAsiaTheme="minorEastAsia"/>
          <w:color w:val="auto"/>
          <w:sz w:val="18"/>
          <w:szCs w:val="18"/>
          <w:highlight w:val="none"/>
        </w:rPr>
        <w:t>的</w:t>
      </w:r>
      <w:r>
        <w:rPr>
          <w:rFonts w:asciiTheme="minorEastAsia" w:hAnsiTheme="minorEastAsia" w:eastAsiaTheme="minorEastAsia"/>
          <w:color w:val="auto"/>
          <w:sz w:val="18"/>
          <w:szCs w:val="18"/>
          <w:highlight w:val="none"/>
        </w:rPr>
        <w:t>澄清、答复、修改、补充的内容</w:t>
      </w:r>
    </w:p>
    <w:p>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（二）供应商的风险</w:t>
      </w:r>
    </w:p>
    <w:p>
      <w:pPr>
        <w:pStyle w:val="41"/>
        <w:spacing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供应商没有按照招标文件要求提供全部资料，或者供应商没有对招标文件在各方面作出实质性响应是供应商的风险，并可能导致其投标为无效标。</w:t>
      </w:r>
    </w:p>
    <w:p>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（三）招标文件的澄清与修改</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bCs/>
          <w:color w:val="auto"/>
          <w:sz w:val="18"/>
          <w:szCs w:val="18"/>
          <w:highlight w:val="none"/>
        </w:rPr>
        <w:t>供应商应认真阅读本招标文件，发现其中有误或有不合理要求的，</w:t>
      </w:r>
      <w:r>
        <w:rPr>
          <w:rFonts w:hint="eastAsia" w:asciiTheme="minorEastAsia" w:hAnsiTheme="minorEastAsia" w:eastAsiaTheme="minorEastAsia"/>
          <w:bCs/>
          <w:color w:val="auto"/>
          <w:sz w:val="18"/>
          <w:szCs w:val="18"/>
          <w:highlight w:val="none"/>
        </w:rPr>
        <w:t>可</w:t>
      </w:r>
      <w:r>
        <w:rPr>
          <w:rFonts w:asciiTheme="minorEastAsia" w:hAnsiTheme="minorEastAsia" w:eastAsiaTheme="minorEastAsia"/>
          <w:bCs/>
          <w:color w:val="auto"/>
          <w:sz w:val="18"/>
          <w:szCs w:val="18"/>
          <w:highlight w:val="none"/>
        </w:rPr>
        <w:t>要求招标采购人澄清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招标采购人</w:t>
      </w:r>
      <w:r>
        <w:rPr>
          <w:rFonts w:asciiTheme="minorEastAsia" w:hAnsiTheme="minorEastAsia" w:eastAsiaTheme="minorEastAsia"/>
          <w:color w:val="auto"/>
          <w:sz w:val="18"/>
          <w:szCs w:val="18"/>
          <w:highlight w:val="none"/>
        </w:rPr>
        <w:t>对已发出的招标文件进行必要澄清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修改的，应当在招标文件要求提交投标文件截止</w:t>
      </w:r>
      <w:r>
        <w:rPr>
          <w:rFonts w:hint="eastAsia" w:asciiTheme="minorEastAsia" w:hAnsiTheme="minorEastAsia" w:eastAsiaTheme="minorEastAsia"/>
          <w:color w:val="auto"/>
          <w:sz w:val="18"/>
          <w:szCs w:val="18"/>
          <w:highlight w:val="none"/>
        </w:rPr>
        <w:t>十</w:t>
      </w:r>
      <w:r>
        <w:rPr>
          <w:rFonts w:asciiTheme="minorEastAsia" w:hAnsiTheme="minorEastAsia" w:eastAsiaTheme="minorEastAsia"/>
          <w:color w:val="auto"/>
          <w:sz w:val="18"/>
          <w:szCs w:val="18"/>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18"/>
          <w:szCs w:val="18"/>
          <w:highlight w:val="none"/>
        </w:rPr>
        <w:t>获取</w:t>
      </w:r>
      <w:r>
        <w:rPr>
          <w:rFonts w:asciiTheme="minorEastAsia" w:hAnsiTheme="minorEastAsia" w:eastAsiaTheme="minorEastAsia"/>
          <w:color w:val="auto"/>
          <w:sz w:val="18"/>
          <w:szCs w:val="18"/>
          <w:highlight w:val="none"/>
        </w:rPr>
        <w:t>人。</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招标文件澄清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修改的内容为招标文件的组成部分。当招标文件与澄清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修改就同一内容的表述不一致时，以最后发出的书面文件为准。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3.对</w:t>
      </w:r>
      <w:r>
        <w:rPr>
          <w:rFonts w:asciiTheme="minorEastAsia" w:hAnsiTheme="minorEastAsia" w:eastAsiaTheme="minorEastAsia"/>
          <w:color w:val="auto"/>
          <w:sz w:val="18"/>
          <w:szCs w:val="18"/>
          <w:highlight w:val="none"/>
        </w:rPr>
        <w:t>招标文件的澄清、答复、修改或补充都应该通过</w:t>
      </w:r>
      <w:r>
        <w:rPr>
          <w:rFonts w:hint="eastAsia" w:asciiTheme="minorEastAsia" w:hAnsiTheme="minorEastAsia" w:eastAsiaTheme="minorEastAsia"/>
          <w:color w:val="auto"/>
          <w:sz w:val="18"/>
          <w:szCs w:val="18"/>
          <w:highlight w:val="none"/>
        </w:rPr>
        <w:t>代理机构</w:t>
      </w:r>
      <w:r>
        <w:rPr>
          <w:rFonts w:asciiTheme="minorEastAsia" w:hAnsiTheme="minorEastAsia" w:eastAsiaTheme="minorEastAsia"/>
          <w:color w:val="auto"/>
          <w:sz w:val="18"/>
          <w:szCs w:val="18"/>
          <w:highlight w:val="none"/>
        </w:rPr>
        <w:t>以法定形式发布，采购人非通过本机构，不得擅自澄清、答复、修改或补充招标文件。</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p>
    <w:p>
      <w:pPr>
        <w:pStyle w:val="30"/>
        <w:snapToGrid w:val="0"/>
        <w:spacing w:before="120" w:after="120" w:line="360" w:lineRule="auto"/>
        <w:ind w:firstLine="354" w:firstLineChars="196"/>
        <w:jc w:val="center"/>
        <w:outlineLvl w:val="1"/>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三、投标文件的编制</w:t>
      </w:r>
    </w:p>
    <w:p>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本项目所涉投标文件格式请详见第六章，未给出的格式请自拟。资信商务及技术文件中不得出现报价，否则投标文件将被视为无效。</w:t>
      </w:r>
    </w:p>
    <w:p>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总体要求</w:t>
      </w:r>
      <w:r>
        <w:rPr>
          <w:rFonts w:asciiTheme="minorEastAsia" w:hAnsiTheme="minorEastAsia" w:eastAsiaTheme="minorEastAsia"/>
          <w:b/>
          <w:color w:val="auto"/>
          <w:sz w:val="18"/>
          <w:szCs w:val="18"/>
          <w:highlight w:val="none"/>
        </w:rPr>
        <w:t>：</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投标文件及供应商与采购有关的来往通知，函件和文件均应使用中文。</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供应商应按本文件中提供的文件格式、内容和要求制作投标文件。</w:t>
      </w:r>
    </w:p>
    <w:p>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145" w:name="_Toc406402944"/>
      <w:bookmarkStart w:id="146" w:name="_Toc22673"/>
      <w:bookmarkStart w:id="147" w:name="_Toc406402988"/>
      <w:bookmarkStart w:id="148" w:name="_Toc20077"/>
      <w:r>
        <w:rPr>
          <w:rFonts w:hint="eastAsia" w:asciiTheme="minorEastAsia" w:hAnsiTheme="minorEastAsia" w:eastAsiaTheme="minorEastAsia"/>
          <w:b/>
          <w:color w:val="auto"/>
          <w:sz w:val="18"/>
          <w:szCs w:val="18"/>
          <w:highlight w:val="none"/>
        </w:rPr>
        <w:t>（一）投标文件的组成</w:t>
      </w:r>
      <w:bookmarkEnd w:id="145"/>
      <w:bookmarkEnd w:id="146"/>
      <w:bookmarkEnd w:id="147"/>
      <w:bookmarkEnd w:id="148"/>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电子投标文件和备份投标文件均由资信技术文件、商务报价文件两部份组成。投标文件中所须加盖公章部分均采用CA签章。</w:t>
      </w:r>
    </w:p>
    <w:p>
      <w:pPr>
        <w:snapToGrid w:val="0"/>
        <w:spacing w:beforeLines="50"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1、资信文件：</w:t>
      </w:r>
    </w:p>
    <w:p>
      <w:pPr>
        <w:snapToGrid w:val="0"/>
        <w:spacing w:line="360" w:lineRule="auto"/>
        <w:jc w:val="left"/>
        <w:rPr>
          <w:rFonts w:asciiTheme="minorEastAsia" w:hAnsiTheme="minorEastAsia" w:eastAsiaTheme="minorEastAsia"/>
          <w:color w:val="auto"/>
          <w:sz w:val="18"/>
          <w:szCs w:val="18"/>
          <w:highlight w:val="none"/>
        </w:rPr>
      </w:pPr>
      <w:bookmarkStart w:id="149" w:name="_Toc406402989"/>
      <w:bookmarkStart w:id="150" w:name="_Toc406402945"/>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投标声明书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（附件1）</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）法定代表人授权委托书；</w:t>
      </w:r>
      <w:r>
        <w:rPr>
          <w:rFonts w:hint="eastAsia" w:asciiTheme="minorEastAsia" w:hAnsiTheme="minorEastAsia" w:eastAsiaTheme="minorEastAsia"/>
          <w:color w:val="auto"/>
          <w:sz w:val="18"/>
          <w:szCs w:val="18"/>
          <w:highlight w:val="none"/>
        </w:rPr>
        <w:t>（附件2）</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关于资格的声明函；（附件3）</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）投标人基本情况；</w:t>
      </w:r>
      <w:r>
        <w:rPr>
          <w:rFonts w:hint="eastAsia" w:asciiTheme="minorEastAsia" w:hAnsiTheme="minorEastAsia" w:eastAsiaTheme="minorEastAsia"/>
          <w:color w:val="auto"/>
          <w:sz w:val="18"/>
          <w:szCs w:val="18"/>
          <w:highlight w:val="none"/>
        </w:rPr>
        <w:t>（附件4）</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业绩表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（附件5）</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认证证书情况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（附件6）</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项目组人员配置表（附件7）</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投入设备清单格式；（附件8）</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（9）投标人符合政府采购法第二十二条资格的相关证明文件；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（10）投标人符合特定条件的相关证明文件；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（12）中小企业声明函、残疾人福利性单位声明函及其他符合政策性加分条件的承诺函或证明材料。（附件9、10）</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（13）未尽事宜请各供应商按评分细则制作技术部份。</w:t>
      </w:r>
    </w:p>
    <w:p>
      <w:pPr>
        <w:snapToGrid w:val="0"/>
        <w:spacing w:line="360" w:lineRule="auto"/>
        <w:jc w:val="left"/>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技术文件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eastAsia="zh-CN"/>
        </w:rPr>
        <w:t>投标方案</w:t>
      </w:r>
      <w:r>
        <w:rPr>
          <w:rFonts w:hint="eastAsia" w:asciiTheme="minorEastAsia" w:hAnsiTheme="minorEastAsia" w:eastAsia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（2）服务承诺及质量保障；（格式自拟）</w:t>
      </w:r>
    </w:p>
    <w:p>
      <w:pPr>
        <w:pStyle w:val="48"/>
        <w:ind w:left="0" w:leftChars="0" w:firstLine="0" w:firstLineChars="0"/>
        <w:rPr>
          <w:color w:val="auto"/>
          <w:sz w:val="18"/>
          <w:szCs w:val="18"/>
          <w:highlight w:val="none"/>
        </w:rPr>
      </w:pP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3</w:t>
      </w: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人员配置</w:t>
      </w:r>
      <w:r>
        <w:rPr>
          <w:rFonts w:hint="eastAsia" w:asciiTheme="minorEastAsia" w:hAnsi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合理化建议</w:t>
      </w:r>
      <w:r>
        <w:rPr>
          <w:rFonts w:hint="eastAsia" w:asciiTheme="minorEastAsia" w:hAnsiTheme="minorEastAsia" w:eastAsiaTheme="minorEastAsia"/>
          <w:color w:val="auto"/>
          <w:sz w:val="18"/>
          <w:szCs w:val="18"/>
          <w:highlight w:val="none"/>
        </w:rPr>
        <w:t>；（格式自拟）</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）投标人认为有必要提供的声明及文件资料。</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）未尽事宜请各投标人按评分细则制作。</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（注：复印件应加盖投标人公章）</w:t>
      </w:r>
    </w:p>
    <w:p>
      <w:pPr>
        <w:snapToGrid w:val="0"/>
        <w:spacing w:line="360" w:lineRule="auto"/>
        <w:jc w:val="left"/>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3</w:t>
      </w:r>
      <w:r>
        <w:rPr>
          <w:rFonts w:hint="eastAsia" w:asciiTheme="minorEastAsia" w:hAnsiTheme="minorEastAsia" w:eastAsiaTheme="minorEastAsia"/>
          <w:b/>
          <w:color w:val="auto"/>
          <w:sz w:val="18"/>
          <w:szCs w:val="18"/>
          <w:highlight w:val="none"/>
        </w:rPr>
        <w:t>、商务</w:t>
      </w:r>
      <w:r>
        <w:rPr>
          <w:rFonts w:asciiTheme="minorEastAsia" w:hAnsiTheme="minorEastAsia" w:eastAsiaTheme="minorEastAsia"/>
          <w:b/>
          <w:color w:val="auto"/>
          <w:sz w:val="18"/>
          <w:szCs w:val="18"/>
          <w:highlight w:val="none"/>
        </w:rPr>
        <w:t>报价文件：</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（1）投标函；（附件12）</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）开标一览表；</w:t>
      </w:r>
      <w:r>
        <w:rPr>
          <w:rFonts w:hint="eastAsia" w:asciiTheme="minorEastAsia" w:hAnsiTheme="minorEastAsia" w:eastAsiaTheme="minorEastAsia"/>
          <w:color w:val="auto"/>
          <w:sz w:val="18"/>
          <w:szCs w:val="18"/>
          <w:highlight w:val="none"/>
        </w:rPr>
        <w:t>（附件13）</w:t>
      </w:r>
    </w:p>
    <w:p>
      <w:pPr>
        <w:pStyle w:val="48"/>
        <w:spacing w:line="360" w:lineRule="auto"/>
        <w:ind w:left="0" w:leftChars="0" w:firstLine="0" w:firstLineChars="0"/>
        <w:rPr>
          <w:color w:val="auto"/>
          <w:sz w:val="18"/>
          <w:szCs w:val="18"/>
          <w:highlight w:val="none"/>
        </w:rPr>
      </w:pPr>
      <w:r>
        <w:rPr>
          <w:rFonts w:hint="eastAsia"/>
          <w:color w:val="auto"/>
          <w:sz w:val="18"/>
          <w:szCs w:val="18"/>
          <w:highlight w:val="none"/>
        </w:rPr>
        <w:t>（3）明细报价表</w:t>
      </w:r>
      <w:r>
        <w:rPr>
          <w:rFonts w:asciiTheme="minorEastAsia" w:hAnsiTheme="minorEastAsia"/>
          <w:color w:val="auto"/>
          <w:sz w:val="18"/>
          <w:szCs w:val="18"/>
          <w:highlight w:val="none"/>
        </w:rPr>
        <w:t>；</w:t>
      </w:r>
      <w:r>
        <w:rPr>
          <w:rFonts w:hint="eastAsia" w:asciiTheme="minorEastAsia" w:hAnsiTheme="minorEastAsia"/>
          <w:color w:val="auto"/>
          <w:sz w:val="18"/>
          <w:szCs w:val="18"/>
          <w:highlight w:val="none"/>
        </w:rPr>
        <w:t>（附件14）</w:t>
      </w:r>
    </w:p>
    <w:p>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投标人</w:t>
      </w:r>
      <w:r>
        <w:rPr>
          <w:rFonts w:hint="eastAsia" w:asciiTheme="minorEastAsia" w:hAnsiTheme="minorEastAsia" w:eastAsiaTheme="minorEastAsia"/>
          <w:color w:val="auto"/>
          <w:sz w:val="18"/>
          <w:szCs w:val="18"/>
          <w:highlight w:val="none"/>
        </w:rPr>
        <w:t>针对报价</w:t>
      </w:r>
      <w:r>
        <w:rPr>
          <w:rFonts w:asciiTheme="minorEastAsia" w:hAnsiTheme="minorEastAsia" w:eastAsiaTheme="minorEastAsia"/>
          <w:color w:val="auto"/>
          <w:sz w:val="18"/>
          <w:szCs w:val="18"/>
          <w:highlight w:val="none"/>
        </w:rPr>
        <w:t>需要说明的其他文件和说明</w:t>
      </w:r>
      <w:r>
        <w:rPr>
          <w:rFonts w:hint="eastAsia" w:asciiTheme="minorEastAsia" w:hAnsiTheme="minorEastAsia" w:eastAsiaTheme="minorEastAsia"/>
          <w:color w:val="auto"/>
          <w:sz w:val="18"/>
          <w:szCs w:val="18"/>
          <w:highlight w:val="none"/>
        </w:rPr>
        <w:t>；</w:t>
      </w:r>
    </w:p>
    <w:bookmarkEnd w:id="149"/>
    <w:bookmarkEnd w:id="150"/>
    <w:p>
      <w:pPr>
        <w:snapToGrid w:val="0"/>
        <w:spacing w:line="360" w:lineRule="auto"/>
        <w:jc w:val="left"/>
        <w:rPr>
          <w:rFonts w:asciiTheme="minorEastAsia" w:hAnsiTheme="minorEastAsia" w:eastAsiaTheme="minorEastAsia"/>
          <w:b/>
          <w:color w:val="auto"/>
          <w:sz w:val="18"/>
          <w:szCs w:val="18"/>
          <w:highlight w:val="none"/>
        </w:rPr>
      </w:pPr>
      <w:bookmarkStart w:id="151" w:name="_Toc385854146"/>
      <w:bookmarkStart w:id="152" w:name="_Toc402963117"/>
      <w:bookmarkStart w:id="153" w:name="_Toc385854100"/>
      <w:bookmarkStart w:id="154" w:name="_Toc406402946"/>
      <w:bookmarkStart w:id="155" w:name="_Toc402963084"/>
      <w:bookmarkStart w:id="156" w:name="_Toc406402990"/>
      <w:r>
        <w:rPr>
          <w:rFonts w:asciiTheme="minorEastAsia" w:hAnsiTheme="minorEastAsia" w:eastAsiaTheme="minorEastAsia"/>
          <w:b/>
          <w:color w:val="auto"/>
          <w:sz w:val="18"/>
          <w:szCs w:val="18"/>
          <w:highlight w:val="none"/>
        </w:rPr>
        <w:t>注：</w:t>
      </w:r>
      <w:r>
        <w:rPr>
          <w:rFonts w:hint="eastAsia" w:asciiTheme="minorEastAsia" w:hAnsiTheme="minorEastAsia" w:eastAsiaTheme="minorEastAsia"/>
          <w:b/>
          <w:color w:val="auto"/>
          <w:sz w:val="18"/>
          <w:szCs w:val="18"/>
          <w:highlight w:val="none"/>
        </w:rPr>
        <w:t>1、投标人可根据评分细则按排版自行编制目录。</w:t>
      </w:r>
    </w:p>
    <w:p>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157" w:name="_Toc20732"/>
      <w:bookmarkStart w:id="158" w:name="_Toc27200"/>
      <w:r>
        <w:rPr>
          <w:rFonts w:hint="eastAsia" w:asciiTheme="minorEastAsia" w:hAnsiTheme="minorEastAsia" w:eastAsiaTheme="minorEastAsia"/>
          <w:b/>
          <w:color w:val="auto"/>
          <w:sz w:val="18"/>
          <w:szCs w:val="18"/>
          <w:highlight w:val="none"/>
        </w:rPr>
        <w:t>（二）投标文件的语言及计量</w:t>
      </w:r>
      <w:bookmarkEnd w:id="151"/>
      <w:bookmarkEnd w:id="152"/>
      <w:bookmarkEnd w:id="153"/>
      <w:bookmarkEnd w:id="154"/>
      <w:bookmarkEnd w:id="155"/>
      <w:bookmarkEnd w:id="156"/>
      <w:bookmarkEnd w:id="157"/>
      <w:bookmarkEnd w:id="158"/>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159" w:name="_Toc406402947"/>
      <w:bookmarkStart w:id="160" w:name="_Toc385854101"/>
      <w:bookmarkStart w:id="161" w:name="_Toc402963118"/>
      <w:bookmarkStart w:id="162" w:name="_Toc385854147"/>
      <w:bookmarkStart w:id="163" w:name="_Toc402963085"/>
      <w:bookmarkStart w:id="164" w:name="_Toc27435"/>
      <w:bookmarkStart w:id="165" w:name="_Toc406402991"/>
      <w:bookmarkStart w:id="166" w:name="_Toc20544"/>
      <w:r>
        <w:rPr>
          <w:rFonts w:hint="eastAsia" w:asciiTheme="minorEastAsia" w:hAnsiTheme="minorEastAsia" w:eastAsiaTheme="minorEastAsia"/>
          <w:b/>
          <w:color w:val="auto"/>
          <w:sz w:val="18"/>
          <w:szCs w:val="18"/>
          <w:highlight w:val="none"/>
        </w:rPr>
        <w:t>（三）投标报价</w:t>
      </w:r>
      <w:bookmarkEnd w:id="159"/>
      <w:bookmarkEnd w:id="160"/>
      <w:bookmarkEnd w:id="161"/>
      <w:bookmarkEnd w:id="162"/>
      <w:bookmarkEnd w:id="163"/>
      <w:bookmarkEnd w:id="164"/>
      <w:bookmarkEnd w:id="165"/>
      <w:bookmarkEnd w:id="166"/>
    </w:p>
    <w:p>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投标报价应按招标文件中相关附表格式填写。</w:t>
      </w:r>
    </w:p>
    <w:p>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18"/>
          <w:szCs w:val="18"/>
          <w:highlight w:val="none"/>
        </w:rPr>
        <w:t>和前期方案编制</w:t>
      </w:r>
      <w:r>
        <w:rPr>
          <w:rFonts w:asciiTheme="minorEastAsia" w:hAnsiTheme="minorEastAsia" w:eastAsiaTheme="minorEastAsia"/>
          <w:color w:val="auto"/>
          <w:sz w:val="18"/>
          <w:szCs w:val="18"/>
          <w:highlight w:val="none"/>
        </w:rPr>
        <w:t>等一切税金和费用。</w:t>
      </w:r>
    </w:p>
    <w:p>
      <w:pPr>
        <w:tabs>
          <w:tab w:val="left" w:pos="525"/>
        </w:tabs>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投标文件只允许有一个报价，有选择的</w:t>
      </w:r>
      <w:r>
        <w:rPr>
          <w:rFonts w:hint="eastAsia" w:asciiTheme="minorEastAsia" w:hAnsiTheme="minorEastAsia" w:eastAsiaTheme="minorEastAsia"/>
          <w:color w:val="auto"/>
          <w:sz w:val="18"/>
          <w:szCs w:val="18"/>
          <w:highlight w:val="none"/>
        </w:rPr>
        <w:t>或有条件的</w:t>
      </w:r>
      <w:r>
        <w:rPr>
          <w:rFonts w:asciiTheme="minorEastAsia" w:hAnsiTheme="minorEastAsia" w:eastAsiaTheme="minorEastAsia"/>
          <w:color w:val="auto"/>
          <w:sz w:val="18"/>
          <w:szCs w:val="18"/>
          <w:highlight w:val="none"/>
        </w:rPr>
        <w:t>报价将不予接受。</w:t>
      </w:r>
    </w:p>
    <w:p>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（四）投标文件的有效期</w:t>
      </w:r>
    </w:p>
    <w:p>
      <w:pPr>
        <w:pStyle w:val="15"/>
        <w:widowControl w:val="0"/>
        <w:tabs>
          <w:tab w:val="left" w:pos="4500"/>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自投标截止日起</w:t>
      </w:r>
      <w:r>
        <w:rPr>
          <w:rFonts w:hint="eastAsia" w:asciiTheme="minorEastAsia" w:hAnsiTheme="minorEastAsia" w:eastAsiaTheme="minorEastAsia"/>
          <w:color w:val="auto"/>
          <w:sz w:val="18"/>
          <w:szCs w:val="18"/>
          <w:highlight w:val="none"/>
          <w:u w:val="single"/>
        </w:rPr>
        <w:t>90</w:t>
      </w:r>
      <w:r>
        <w:rPr>
          <w:rFonts w:asciiTheme="minorEastAsia" w:hAnsiTheme="minorEastAsia" w:eastAsiaTheme="minorEastAsia"/>
          <w:color w:val="auto"/>
          <w:sz w:val="18"/>
          <w:szCs w:val="18"/>
          <w:highlight w:val="none"/>
        </w:rPr>
        <w:t>天投标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应保持有效。有效期</w:t>
      </w:r>
      <w:r>
        <w:rPr>
          <w:rFonts w:hint="eastAsia" w:asciiTheme="minorEastAsia" w:hAnsiTheme="minorEastAsia" w:eastAsiaTheme="minorEastAsia"/>
          <w:color w:val="auto"/>
          <w:sz w:val="18"/>
          <w:szCs w:val="18"/>
          <w:highlight w:val="none"/>
        </w:rPr>
        <w:t>不足</w:t>
      </w:r>
      <w:r>
        <w:rPr>
          <w:rFonts w:asciiTheme="minorEastAsia" w:hAnsiTheme="minorEastAsia" w:eastAsiaTheme="minorEastAsia"/>
          <w:color w:val="auto"/>
          <w:sz w:val="18"/>
          <w:szCs w:val="18"/>
          <w:highlight w:val="none"/>
        </w:rPr>
        <w:t>的投标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将被拒绝。</w:t>
      </w:r>
    </w:p>
    <w:p>
      <w:pPr>
        <w:pStyle w:val="15"/>
        <w:widowControl w:val="0"/>
        <w:tabs>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在特殊情况下，招标人可与供应商协商延长投标书的有效期，这种要求和答复均以书面形式进行。</w:t>
      </w:r>
    </w:p>
    <w:p>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167" w:name="_Toc385854102"/>
      <w:bookmarkStart w:id="168" w:name="_Toc406402992"/>
      <w:bookmarkStart w:id="169" w:name="_Toc385854148"/>
      <w:bookmarkStart w:id="170" w:name="_Toc16383"/>
      <w:bookmarkStart w:id="171" w:name="_Toc402963086"/>
      <w:bookmarkStart w:id="172" w:name="_Toc406402948"/>
      <w:bookmarkStart w:id="173" w:name="_Toc402963119"/>
      <w:bookmarkStart w:id="174" w:name="_Toc22981"/>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供应商可拒绝接受延期要求。同意延长有效期的供应商不能修改投标文件。</w:t>
      </w:r>
      <w:bookmarkEnd w:id="167"/>
      <w:bookmarkEnd w:id="168"/>
      <w:bookmarkEnd w:id="169"/>
      <w:bookmarkEnd w:id="170"/>
      <w:bookmarkEnd w:id="171"/>
      <w:bookmarkEnd w:id="172"/>
      <w:bookmarkEnd w:id="173"/>
      <w:bookmarkEnd w:id="174"/>
    </w:p>
    <w:p>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175" w:name="_Toc385854149"/>
      <w:bookmarkStart w:id="176" w:name="_Toc385854103"/>
      <w:bookmarkStart w:id="177" w:name="_Toc406402949"/>
      <w:bookmarkStart w:id="178" w:name="_Toc406402993"/>
      <w:bookmarkStart w:id="179" w:name="_Toc402963087"/>
      <w:bookmarkStart w:id="180" w:name="_Toc3664"/>
      <w:bookmarkStart w:id="181" w:name="_Toc402963120"/>
      <w:bookmarkStart w:id="182" w:name="_Toc4824"/>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中标人的投标文件自开标之日起至合同履行完毕止均应保持有效。</w:t>
      </w:r>
      <w:bookmarkEnd w:id="175"/>
      <w:bookmarkEnd w:id="176"/>
      <w:bookmarkEnd w:id="177"/>
      <w:bookmarkEnd w:id="178"/>
      <w:bookmarkEnd w:id="179"/>
      <w:bookmarkEnd w:id="180"/>
      <w:bookmarkEnd w:id="181"/>
      <w:bookmarkEnd w:id="182"/>
    </w:p>
    <w:p>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183" w:name="_Toc22564"/>
      <w:bookmarkStart w:id="184" w:name="_Toc406402995"/>
      <w:bookmarkStart w:id="185" w:name="_Toc402963089"/>
      <w:bookmarkStart w:id="186" w:name="_Toc385854151"/>
      <w:bookmarkStart w:id="187" w:name="_Toc406402951"/>
      <w:bookmarkStart w:id="188" w:name="_Toc402963122"/>
      <w:bookmarkStart w:id="189" w:name="_Toc385854105"/>
      <w:bookmarkStart w:id="190" w:name="_Toc3623"/>
      <w:r>
        <w:rPr>
          <w:rFonts w:hint="eastAsia" w:asciiTheme="minorEastAsia" w:hAnsiTheme="minorEastAsia" w:eastAsiaTheme="minorEastAsia"/>
          <w:b/>
          <w:color w:val="auto"/>
          <w:sz w:val="18"/>
          <w:szCs w:val="18"/>
          <w:highlight w:val="none"/>
        </w:rPr>
        <w:t>（五）投标文件的签署和份数</w:t>
      </w:r>
      <w:bookmarkEnd w:id="183"/>
      <w:bookmarkEnd w:id="184"/>
      <w:bookmarkEnd w:id="185"/>
      <w:bookmarkEnd w:id="186"/>
      <w:bookmarkEnd w:id="187"/>
      <w:bookmarkEnd w:id="188"/>
      <w:bookmarkEnd w:id="189"/>
      <w:bookmarkEnd w:id="190"/>
    </w:p>
    <w:p>
      <w:pPr>
        <w:snapToGrid w:val="0"/>
        <w:spacing w:beforeLines="50" w:line="360" w:lineRule="auto"/>
        <w:ind w:firstLine="352" w:firstLineChars="196"/>
        <w:jc w:val="left"/>
        <w:outlineLvl w:val="0"/>
        <w:rPr>
          <w:rFonts w:asciiTheme="minorEastAsia" w:hAnsiTheme="minorEastAsia" w:eastAsiaTheme="minorEastAsia"/>
          <w:color w:val="auto"/>
          <w:sz w:val="18"/>
          <w:szCs w:val="18"/>
          <w:highlight w:val="none"/>
        </w:rPr>
      </w:pPr>
      <w:bookmarkStart w:id="191" w:name="_Toc19133"/>
      <w:bookmarkStart w:id="192" w:name="_Toc29271"/>
      <w:r>
        <w:rPr>
          <w:rFonts w:hint="eastAsia" w:asciiTheme="minorEastAsia" w:hAnsiTheme="minorEastAsia" w:eastAsiaTheme="minorEastAsia"/>
          <w:color w:val="auto"/>
          <w:sz w:val="18"/>
          <w:szCs w:val="18"/>
          <w:highlight w:val="none"/>
        </w:rPr>
        <w:t>电子投标文件按政采云平台供应商电子招投标操作指南（网址：https://help.zcygov.cn/web/site_2/2018/12-28/2573.html）及本招标文件规定的格式和顺序编制电子投标文件并进行关联定位。</w:t>
      </w:r>
      <w:bookmarkEnd w:id="191"/>
      <w:bookmarkEnd w:id="192"/>
    </w:p>
    <w:p>
      <w:pPr>
        <w:snapToGrid w:val="0"/>
        <w:spacing w:line="360" w:lineRule="auto"/>
        <w:ind w:firstLine="354" w:firstLineChars="196"/>
        <w:outlineLvl w:val="2"/>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（六）投标无效的情形</w:t>
      </w:r>
    </w:p>
    <w:p>
      <w:pPr>
        <w:snapToGrid w:val="0"/>
        <w:spacing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实质上没有响应招标文件要求的投标将被视为无效投标。供应商修改、补正投标文件后，不影响评标委员会对其投标文件所作的评价和评分结果。</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电子投标文件解密失败的，且未在规定时间内提交</w:t>
      </w:r>
      <w:r>
        <w:rPr>
          <w:rFonts w:hint="eastAsia" w:asciiTheme="minorEastAsia" w:hAnsiTheme="minorEastAsia" w:eastAsiaTheme="minorEastAsia"/>
          <w:b/>
          <w:color w:val="auto"/>
          <w:sz w:val="18"/>
          <w:szCs w:val="18"/>
          <w:highlight w:val="none"/>
        </w:rPr>
        <w:t>有效</w:t>
      </w:r>
      <w:r>
        <w:rPr>
          <w:rFonts w:asciiTheme="minorEastAsia" w:hAnsiTheme="minorEastAsia" w:eastAsiaTheme="minorEastAsia"/>
          <w:b/>
          <w:color w:val="auto"/>
          <w:sz w:val="18"/>
          <w:szCs w:val="18"/>
          <w:highlight w:val="none"/>
        </w:rPr>
        <w:t>备份投标文件的</w:t>
      </w:r>
      <w:r>
        <w:rPr>
          <w:rFonts w:hint="eastAsia" w:asciiTheme="minorEastAsia" w:hAnsiTheme="minorEastAsia" w:eastAsiaTheme="minorEastAsia"/>
          <w:b/>
          <w:color w:val="auto"/>
          <w:sz w:val="18"/>
          <w:szCs w:val="18"/>
          <w:highlight w:val="none"/>
        </w:rPr>
        <w:t>。</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2.</w:t>
      </w:r>
      <w:r>
        <w:rPr>
          <w:rFonts w:hint="eastAsia" w:asciiTheme="minorEastAsia" w:hAnsiTheme="minorEastAsia" w:eastAsiaTheme="minorEastAsia"/>
          <w:b/>
          <w:color w:val="auto"/>
          <w:sz w:val="18"/>
          <w:szCs w:val="18"/>
          <w:highlight w:val="none"/>
        </w:rPr>
        <w:t>没有通过资格审查的，</w:t>
      </w:r>
      <w:r>
        <w:rPr>
          <w:rFonts w:asciiTheme="minorEastAsia" w:hAnsiTheme="minorEastAsia" w:eastAsiaTheme="minorEastAsia"/>
          <w:b/>
          <w:color w:val="auto"/>
          <w:sz w:val="18"/>
          <w:szCs w:val="18"/>
          <w:highlight w:val="none"/>
        </w:rPr>
        <w:t>投标文件将被视为无效。</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w:t>
      </w:r>
      <w:r>
        <w:rPr>
          <w:rFonts w:asciiTheme="minorEastAsia" w:hAnsiTheme="minorEastAsia" w:eastAsiaTheme="minorEastAsia"/>
          <w:b/>
          <w:color w:val="auto"/>
          <w:sz w:val="18"/>
          <w:szCs w:val="18"/>
          <w:highlight w:val="none"/>
        </w:rPr>
        <w:t>在符合性审查和商务评审时，如发现下列情形之一的，投标文件将被视为无效：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r>
        <w:rPr>
          <w:rFonts w:asciiTheme="minorEastAsia" w:hAnsiTheme="minorEastAsia" w:eastAsiaTheme="minorEastAsia"/>
          <w:bCs/>
          <w:color w:val="auto"/>
          <w:sz w:val="18"/>
          <w:szCs w:val="18"/>
          <w:highlight w:val="none"/>
        </w:rPr>
        <w:t>）电子投标文件未按规定要求提供电子签章的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（2）在资信商务技术文件中出现报价的；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资格证明文件不全的，或者不符合招标文件标明的资格要求的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r>
        <w:rPr>
          <w:rFonts w:asciiTheme="minorEastAsia" w:hAnsiTheme="minorEastAsia" w:eastAsiaTheme="minorEastAsia"/>
          <w:bCs/>
          <w:color w:val="auto"/>
          <w:sz w:val="18"/>
          <w:szCs w:val="18"/>
          <w:highlight w:val="none"/>
        </w:rPr>
        <w:t>）投标文件无法定代表人签字</w:t>
      </w:r>
      <w:r>
        <w:rPr>
          <w:rFonts w:hint="eastAsia" w:asciiTheme="minorEastAsia" w:hAnsiTheme="minorEastAsia" w:eastAsiaTheme="minorEastAsia"/>
          <w:bCs/>
          <w:color w:val="auto"/>
          <w:sz w:val="18"/>
          <w:szCs w:val="18"/>
          <w:highlight w:val="none"/>
        </w:rPr>
        <w:t>（或盖章）</w:t>
      </w:r>
      <w:r>
        <w:rPr>
          <w:rFonts w:asciiTheme="minorEastAsia" w:hAnsiTheme="minorEastAsia" w:eastAsiaTheme="minorEastAsia"/>
          <w:bCs/>
          <w:color w:val="auto"/>
          <w:sz w:val="18"/>
          <w:szCs w:val="18"/>
          <w:highlight w:val="none"/>
        </w:rPr>
        <w:t>,或未</w:t>
      </w:r>
      <w:r>
        <w:rPr>
          <w:rFonts w:hint="eastAsia" w:asciiTheme="minorEastAsia" w:hAnsiTheme="minorEastAsia" w:eastAsiaTheme="minorEastAsia"/>
          <w:bCs/>
          <w:color w:val="auto"/>
          <w:sz w:val="18"/>
          <w:szCs w:val="18"/>
          <w:highlight w:val="none"/>
        </w:rPr>
        <w:t>提供法定代表人授权委托书、投标声明书或者填写项目不齐全的；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5</w:t>
      </w: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投标代表人未能出具身份证明或与法定代表人授权委托人身份不符的；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6</w:t>
      </w:r>
      <w:r>
        <w:rPr>
          <w:rFonts w:asciiTheme="minorEastAsia" w:hAnsiTheme="minorEastAsia" w:eastAsiaTheme="minorEastAsia"/>
          <w:bCs/>
          <w:color w:val="auto"/>
          <w:sz w:val="18"/>
          <w:szCs w:val="18"/>
          <w:highlight w:val="none"/>
        </w:rPr>
        <w:t>）投标文件格式不规范、项目不齐全或者内容虚假的；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7</w:t>
      </w:r>
      <w:r>
        <w:rPr>
          <w:rFonts w:asciiTheme="minorEastAsia" w:hAnsiTheme="minorEastAsia" w:eastAsiaTheme="minorEastAsia"/>
          <w:bCs/>
          <w:color w:val="auto"/>
          <w:sz w:val="18"/>
          <w:szCs w:val="18"/>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 w:val="18"/>
          <w:szCs w:val="18"/>
          <w:highlight w:val="none"/>
        </w:rPr>
        <w:t>并</w:t>
      </w:r>
      <w:r>
        <w:rPr>
          <w:rFonts w:asciiTheme="minorEastAsia" w:hAnsiTheme="minorEastAsia" w:eastAsiaTheme="minorEastAsia"/>
          <w:bCs/>
          <w:color w:val="auto"/>
          <w:sz w:val="18"/>
          <w:szCs w:val="18"/>
          <w:highlight w:val="none"/>
        </w:rPr>
        <w:t>允许其当场更正的笔误除外）</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8</w:t>
      </w:r>
      <w:r>
        <w:rPr>
          <w:rFonts w:asciiTheme="minorEastAsia" w:hAnsiTheme="minorEastAsia" w:eastAsiaTheme="minorEastAsia"/>
          <w:bCs/>
          <w:color w:val="auto"/>
          <w:sz w:val="18"/>
          <w:szCs w:val="18"/>
          <w:highlight w:val="none"/>
        </w:rPr>
        <w:t>）投标有效期、交货时间、质保期等商务条款不能满足招标文件要求的；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（9）未实质性</w:t>
      </w:r>
      <w:r>
        <w:rPr>
          <w:rFonts w:asciiTheme="minorEastAsia" w:hAnsiTheme="minorEastAsia" w:eastAsiaTheme="minorEastAsia"/>
          <w:bCs/>
          <w:color w:val="auto"/>
          <w:sz w:val="18"/>
          <w:szCs w:val="18"/>
          <w:highlight w:val="none"/>
        </w:rPr>
        <w:t>响应招标文件要求或者投标文件有招标方不能接受的附加条件的</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（10）不符合本招标文件中的实质性要求条款。</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w:t>
      </w:r>
      <w:r>
        <w:rPr>
          <w:rFonts w:asciiTheme="minorEastAsia" w:hAnsiTheme="minorEastAsia" w:eastAsiaTheme="minorEastAsia"/>
          <w:b/>
          <w:color w:val="auto"/>
          <w:sz w:val="18"/>
          <w:szCs w:val="18"/>
          <w:highlight w:val="none"/>
        </w:rPr>
        <w:t>在技术评审时，如发现下列情形之一的，投标文件将被视为无效：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（1）未提供或未如实提供投标货物的技术参数，或者投标文件标明的响应或偏离与事实不符或虚假投标的；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（2）明显不符合招标文件</w:t>
      </w:r>
      <w:r>
        <w:rPr>
          <w:rFonts w:hint="eastAsia" w:asciiTheme="minorEastAsia" w:hAnsiTheme="minorEastAsia" w:eastAsiaTheme="minorEastAsia"/>
          <w:bCs/>
          <w:color w:val="auto"/>
          <w:sz w:val="18"/>
          <w:szCs w:val="18"/>
          <w:highlight w:val="none"/>
        </w:rPr>
        <w:t>要求</w:t>
      </w:r>
      <w:r>
        <w:rPr>
          <w:rFonts w:asciiTheme="minorEastAsia" w:hAnsiTheme="minorEastAsia" w:eastAsiaTheme="minorEastAsia"/>
          <w:bCs/>
          <w:color w:val="auto"/>
          <w:sz w:val="18"/>
          <w:szCs w:val="18"/>
          <w:highlight w:val="none"/>
        </w:rPr>
        <w:t>的规格型号、质量标准，或者</w:t>
      </w:r>
      <w:r>
        <w:rPr>
          <w:rFonts w:hint="eastAsia" w:asciiTheme="minorEastAsia" w:hAnsiTheme="minorEastAsia" w:eastAsiaTheme="minorEastAsia"/>
          <w:bCs/>
          <w:color w:val="auto"/>
          <w:sz w:val="18"/>
          <w:szCs w:val="18"/>
          <w:highlight w:val="none"/>
        </w:rPr>
        <w:t>与</w:t>
      </w:r>
      <w:r>
        <w:rPr>
          <w:rFonts w:asciiTheme="minorEastAsia" w:hAnsiTheme="minorEastAsia" w:eastAsiaTheme="minorEastAsia"/>
          <w:bCs/>
          <w:color w:val="auto"/>
          <w:sz w:val="18"/>
          <w:szCs w:val="18"/>
          <w:highlight w:val="none"/>
        </w:rPr>
        <w:t>招标文件中标“▲”的技术指标、主要功能项目发生实质性偏离的；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）投标技术方案不明确，存在一个或一个以上备选（替代）投标方案的；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（4）与其他参加本次投标供应商的投标文件（技术文件）的文字表述内容相同连续20行以上或者差错相同2处以上的。</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w:t>
      </w:r>
      <w:r>
        <w:rPr>
          <w:rFonts w:asciiTheme="minorEastAsia" w:hAnsiTheme="minorEastAsia" w:eastAsiaTheme="minorEastAsia"/>
          <w:b/>
          <w:color w:val="auto"/>
          <w:sz w:val="18"/>
          <w:szCs w:val="18"/>
          <w:highlight w:val="none"/>
        </w:rPr>
        <w:t>在报价评审时，如发现下列情形之一的，投标文件将被视为无效：</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（1）未采用人民币报价或者未按照招标文件标明的币种报价的；</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（2）报价超出最高限价</w:t>
      </w:r>
      <w:r>
        <w:rPr>
          <w:rFonts w:hint="eastAsia" w:asciiTheme="minorEastAsia" w:hAnsiTheme="minorEastAsia" w:eastAsiaTheme="minorEastAsia"/>
          <w:bCs/>
          <w:color w:val="auto"/>
          <w:sz w:val="18"/>
          <w:szCs w:val="18"/>
          <w:highlight w:val="none"/>
        </w:rPr>
        <w:t>；</w:t>
      </w:r>
    </w:p>
    <w:p>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 xml:space="preserve">（3）投标报价具有选择性，或者开标价格与投标文件承诺的优惠（折扣）价格不一致的。 </w:t>
      </w:r>
    </w:p>
    <w:p>
      <w:pPr>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bCs/>
          <w:color w:val="auto"/>
          <w:sz w:val="18"/>
          <w:szCs w:val="18"/>
          <w:highlight w:val="none"/>
        </w:rPr>
        <w:t xml:space="preserve">（4） 投标报价明细表总额与开标一览表总价不一致，且高于总价5％的。 </w:t>
      </w:r>
    </w:p>
    <w:p>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6.</w:t>
      </w:r>
      <w:r>
        <w:rPr>
          <w:rFonts w:asciiTheme="minorEastAsia" w:hAnsiTheme="minorEastAsia" w:eastAsiaTheme="minorEastAsia"/>
          <w:b/>
          <w:color w:val="auto"/>
          <w:sz w:val="18"/>
          <w:szCs w:val="18"/>
          <w:highlight w:val="none"/>
        </w:rPr>
        <w:t>被拒绝的投标文件为无效。</w:t>
      </w:r>
    </w:p>
    <w:p>
      <w:pPr>
        <w:pStyle w:val="24"/>
        <w:snapToGrid w:val="0"/>
        <w:spacing w:line="360" w:lineRule="auto"/>
        <w:ind w:firstLine="354" w:firstLineChars="196"/>
        <w:rPr>
          <w:rFonts w:asciiTheme="minorEastAsia" w:hAnsiTheme="minorEastAsia" w:eastAsiaTheme="minorEastAsia"/>
          <w:b/>
          <w:snapToGrid w:val="0"/>
          <w:color w:val="auto"/>
          <w:sz w:val="18"/>
          <w:szCs w:val="18"/>
          <w:highlight w:val="none"/>
        </w:rPr>
      </w:pPr>
    </w:p>
    <w:p>
      <w:pPr>
        <w:pStyle w:val="24"/>
        <w:snapToGrid w:val="0"/>
        <w:spacing w:line="360" w:lineRule="auto"/>
        <w:ind w:firstLine="354" w:firstLineChars="196"/>
        <w:jc w:val="center"/>
        <w:outlineLvl w:val="1"/>
        <w:rPr>
          <w:rFonts w:asciiTheme="minorEastAsia" w:hAnsiTheme="minorEastAsia" w:eastAsiaTheme="minorEastAsia"/>
          <w:b/>
          <w:snapToGrid w:val="0"/>
          <w:color w:val="auto"/>
          <w:sz w:val="18"/>
          <w:szCs w:val="18"/>
          <w:highlight w:val="none"/>
        </w:rPr>
      </w:pPr>
      <w:r>
        <w:rPr>
          <w:rFonts w:hint="eastAsia" w:asciiTheme="minorEastAsia" w:hAnsiTheme="minorEastAsia" w:eastAsiaTheme="minorEastAsia"/>
          <w:b/>
          <w:color w:val="auto"/>
          <w:sz w:val="18"/>
          <w:szCs w:val="18"/>
          <w:highlight w:val="none"/>
        </w:rPr>
        <w:t>四、开标</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1、本项目实行电子开评标，供应商无需到开标现场，但须准时在线参加，直至评审结束。</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2、电子开评标及评审程序</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2.1投标截止时间后的半小时内，由各供应商自行对电子投标文件进行解密（请各供应商务必在规定时间内完成电子投标文件的解密工作。 </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2.2.采购人或代理机构对供应商的资格审查文件进行</w:t>
      </w:r>
      <w:r>
        <w:rPr>
          <w:rFonts w:asciiTheme="minorEastAsia" w:hAnsiTheme="minorEastAsia" w:eastAsiaTheme="minorEastAsia"/>
          <w:color w:val="auto"/>
          <w:sz w:val="18"/>
          <w:szCs w:val="18"/>
          <w:highlight w:val="none"/>
        </w:rPr>
        <w:t>审查；</w:t>
      </w:r>
      <w:r>
        <w:rPr>
          <w:rFonts w:hint="eastAsia" w:asciiTheme="minorEastAsia" w:hAnsiTheme="minorEastAsia" w:eastAsiaTheme="minorEastAsia"/>
          <w:color w:val="auto"/>
          <w:sz w:val="18"/>
          <w:szCs w:val="18"/>
          <w:highlight w:val="none"/>
        </w:rPr>
        <w:t>评标委员会对供应商的资信商务及技术响应文件进行评审；</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2.3评标委员会对报价文件进行评审；</w:t>
      </w:r>
    </w:p>
    <w:p>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评标委员会</w:t>
      </w:r>
      <w:r>
        <w:rPr>
          <w:rFonts w:asciiTheme="minorEastAsia" w:hAnsiTheme="minorEastAsia" w:eastAsiaTheme="minorEastAsia"/>
          <w:color w:val="auto"/>
          <w:sz w:val="18"/>
          <w:szCs w:val="18"/>
          <w:highlight w:val="none"/>
        </w:rPr>
        <w:t>撰写评审报告，推荐中标候选人。</w:t>
      </w:r>
    </w:p>
    <w:p>
      <w:pPr>
        <w:pStyle w:val="30"/>
        <w:snapToGrid w:val="0"/>
        <w:spacing w:beforeLines="0" w:afterLines="0" w:line="360" w:lineRule="auto"/>
        <w:ind w:left="742" w:leftChars="267" w:hanging="181" w:hangingChars="100"/>
        <w:jc w:val="center"/>
        <w:outlineLvl w:val="9"/>
        <w:rPr>
          <w:rFonts w:asciiTheme="minorEastAsia" w:hAnsiTheme="minorEastAsia" w:eastAsiaTheme="minorEastAsia"/>
          <w:b/>
          <w:color w:val="auto"/>
          <w:sz w:val="18"/>
          <w:szCs w:val="18"/>
          <w:highlight w:val="none"/>
        </w:rPr>
      </w:pPr>
    </w:p>
    <w:p>
      <w:pPr>
        <w:pStyle w:val="30"/>
        <w:snapToGrid w:val="0"/>
        <w:spacing w:beforeLines="0" w:afterLines="0" w:line="360" w:lineRule="auto"/>
        <w:ind w:left="742" w:leftChars="267" w:hanging="181" w:hangingChars="100"/>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五、评标</w:t>
      </w:r>
    </w:p>
    <w:p>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（一）组建评标委员会</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评标委员会由采购人代表和评审专家组成，</w:t>
      </w:r>
      <w:r>
        <w:rPr>
          <w:rFonts w:asciiTheme="minorEastAsia" w:hAnsiTheme="minorEastAsia" w:eastAsiaTheme="minorEastAsia"/>
          <w:color w:val="auto"/>
          <w:sz w:val="18"/>
          <w:szCs w:val="18"/>
          <w:highlight w:val="none"/>
        </w:rPr>
        <w:t>政府采购评审专家</w:t>
      </w:r>
      <w:r>
        <w:rPr>
          <w:rFonts w:hint="eastAsia" w:asciiTheme="minorEastAsia" w:hAnsiTheme="minorEastAsia" w:eastAsiaTheme="minorEastAsia"/>
          <w:color w:val="auto"/>
          <w:sz w:val="18"/>
          <w:szCs w:val="18"/>
          <w:highlight w:val="none"/>
          <w:u w:val="single"/>
          <w:lang w:val="en-US" w:eastAsia="zh-CN"/>
        </w:rPr>
        <w:t>5</w:t>
      </w:r>
      <w:r>
        <w:rPr>
          <w:rFonts w:asciiTheme="minorEastAsia" w:hAnsiTheme="minorEastAsia" w:eastAsiaTheme="minorEastAsia"/>
          <w:color w:val="auto"/>
          <w:sz w:val="18"/>
          <w:szCs w:val="18"/>
          <w:highlight w:val="none"/>
        </w:rPr>
        <w:t>人和采购人代表</w:t>
      </w:r>
      <w:r>
        <w:rPr>
          <w:rFonts w:hint="eastAsia" w:asciiTheme="minorEastAsia" w:hAnsiTheme="minorEastAsia" w:eastAsiaTheme="minorEastAsia"/>
          <w:color w:val="auto"/>
          <w:sz w:val="18"/>
          <w:szCs w:val="18"/>
          <w:highlight w:val="none"/>
          <w:u w:val="single"/>
          <w:lang w:val="en-US" w:eastAsia="zh-CN"/>
        </w:rPr>
        <w:t>2</w:t>
      </w:r>
      <w:r>
        <w:rPr>
          <w:rFonts w:asciiTheme="minorEastAsia" w:hAnsiTheme="minorEastAsia" w:eastAsiaTheme="minorEastAsia"/>
          <w:color w:val="auto"/>
          <w:sz w:val="18"/>
          <w:szCs w:val="18"/>
          <w:highlight w:val="none"/>
        </w:rPr>
        <w:t>人,共</w:t>
      </w:r>
      <w:r>
        <w:rPr>
          <w:rFonts w:hint="eastAsia" w:asciiTheme="minorEastAsia" w:hAnsiTheme="minorEastAsia" w:eastAsiaTheme="minorEastAsia"/>
          <w:color w:val="auto"/>
          <w:sz w:val="18"/>
          <w:szCs w:val="18"/>
          <w:highlight w:val="none"/>
          <w:u w:val="single"/>
          <w:lang w:val="en-US" w:eastAsia="zh-CN"/>
        </w:rPr>
        <w:t>7</w:t>
      </w:r>
      <w:r>
        <w:rPr>
          <w:rFonts w:asciiTheme="minorEastAsia" w:hAnsiTheme="minorEastAsia" w:eastAsiaTheme="minorEastAsia"/>
          <w:color w:val="auto"/>
          <w:sz w:val="18"/>
          <w:szCs w:val="18"/>
          <w:highlight w:val="none"/>
        </w:rPr>
        <w:t>人组成。</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评标委员会负责具体评标事务，并独立履行下列职责：</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1、审查、评价投标文件是否符合招标文件的商务、技术等实质性要求;</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2、要求供应商对投标文件有关事项作出澄清或者说明;</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3、对投标文件进行比较和评价;</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4、确定中标候选人名单，以及根据采购人委托直接确定中标人;</w:t>
      </w:r>
    </w:p>
    <w:p>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5、向采购人、代理机构或者有关部门报告评标中发现的违法行为。</w:t>
      </w:r>
    </w:p>
    <w:p>
      <w:pPr>
        <w:widowControl/>
        <w:shd w:val="clear" w:color="auto" w:fill="FFFFFF"/>
        <w:spacing w:line="360" w:lineRule="auto"/>
        <w:ind w:firstLine="361" w:firstLineChars="200"/>
        <w:jc w:val="left"/>
        <w:rPr>
          <w:rFonts w:cs="宋体" w:asciiTheme="minorEastAsia" w:hAnsiTheme="minorEastAsia" w:eastAsiaTheme="minorEastAsia"/>
          <w:b/>
          <w:color w:val="auto"/>
          <w:kern w:val="0"/>
          <w:sz w:val="18"/>
          <w:szCs w:val="18"/>
          <w:highlight w:val="none"/>
          <w:u w:val="single"/>
        </w:rPr>
      </w:pPr>
      <w:r>
        <w:rPr>
          <w:rFonts w:hint="eastAsia" w:cs="宋体" w:asciiTheme="minorEastAsia" w:hAnsiTheme="minorEastAsia" w:eastAsiaTheme="minorEastAsia"/>
          <w:b/>
          <w:color w:val="auto"/>
          <w:kern w:val="0"/>
          <w:sz w:val="18"/>
          <w:szCs w:val="18"/>
          <w:highlight w:val="none"/>
          <w:u w:val="single"/>
        </w:rPr>
        <w:t>除采购人代表、评标现场组织人员外，采购人的其他工作人员以及与评标工作无关的人员不得进入评标现场。</w:t>
      </w:r>
    </w:p>
    <w:p>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（二）评标的方式</w:t>
      </w:r>
    </w:p>
    <w:p>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本项目采用不公开方式评标，评标的依据为招标文件和投标文件。</w:t>
      </w:r>
    </w:p>
    <w:p>
      <w:pPr>
        <w:pStyle w:val="30"/>
        <w:snapToGrid w:val="0"/>
        <w:spacing w:beforeLines="0" w:afterLines="0" w:line="360" w:lineRule="auto"/>
        <w:ind w:left="660" w:leftChars="228" w:hanging="181" w:hangingChars="100"/>
        <w:rPr>
          <w:rFonts w:asciiTheme="minorEastAsia" w:hAnsiTheme="minorEastAsia" w:eastAsiaTheme="minorEastAsia"/>
          <w:b/>
          <w:bCs/>
          <w:color w:val="auto"/>
          <w:sz w:val="18"/>
          <w:szCs w:val="18"/>
          <w:highlight w:val="none"/>
        </w:rPr>
      </w:pPr>
      <w:r>
        <w:rPr>
          <w:rFonts w:asciiTheme="minorEastAsia" w:hAnsiTheme="minorEastAsia" w:eastAsiaTheme="minorEastAsia"/>
          <w:b/>
          <w:color w:val="auto"/>
          <w:sz w:val="18"/>
          <w:szCs w:val="18"/>
          <w:highlight w:val="none"/>
        </w:rPr>
        <w:t>（三）</w:t>
      </w:r>
      <w:r>
        <w:rPr>
          <w:rFonts w:asciiTheme="minorEastAsia" w:hAnsiTheme="minorEastAsia" w:eastAsiaTheme="minorEastAsia"/>
          <w:b/>
          <w:bCs/>
          <w:color w:val="auto"/>
          <w:sz w:val="18"/>
          <w:szCs w:val="18"/>
          <w:highlight w:val="none"/>
        </w:rPr>
        <w:t>评标程序</w:t>
      </w:r>
    </w:p>
    <w:p>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1</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形式审查</w:t>
      </w:r>
    </w:p>
    <w:p>
      <w:pPr>
        <w:snapToGrid w:val="0"/>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形式审查</w:t>
      </w:r>
      <w:r>
        <w:rPr>
          <w:rFonts w:hint="eastAsia" w:asciiTheme="minorEastAsia" w:hAnsiTheme="minorEastAsia" w:eastAsiaTheme="minorEastAsia"/>
          <w:bCs/>
          <w:color w:val="auto"/>
          <w:sz w:val="18"/>
          <w:szCs w:val="18"/>
          <w:highlight w:val="none"/>
        </w:rPr>
        <w:t>包括资格审查（除符合性审查以外的关于供应商资格条件等内容）和符合性审查，即对供应商的资格</w:t>
      </w:r>
      <w:r>
        <w:rPr>
          <w:rFonts w:asciiTheme="minorEastAsia" w:hAnsiTheme="minorEastAsia" w:eastAsiaTheme="minorEastAsia"/>
          <w:bCs/>
          <w:color w:val="auto"/>
          <w:sz w:val="18"/>
          <w:szCs w:val="18"/>
          <w:highlight w:val="none"/>
        </w:rPr>
        <w:t>和投标文件的完整性、合法性等进行审查。</w:t>
      </w:r>
      <w:r>
        <w:rPr>
          <w:rFonts w:hint="eastAsia" w:asciiTheme="minorEastAsia" w:hAnsiTheme="minorEastAsia" w:eastAsiaTheme="minorEastAsia"/>
          <w:bCs/>
          <w:color w:val="auto"/>
          <w:sz w:val="18"/>
          <w:szCs w:val="18"/>
          <w:highlight w:val="none"/>
        </w:rPr>
        <w:t>投标文件形式审查未通过的供应商，其投标文件将不再评审。</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实质审查与比较</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1）评标委员会审查投标文件的实质性内容是否符合招标文件的实质性要求。</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询标</w:t>
      </w:r>
      <w:r>
        <w:rPr>
          <w:rFonts w:hint="eastAsia" w:asciiTheme="minorEastAsia" w:hAnsiTheme="minorEastAsia" w:eastAsiaTheme="minorEastAsia"/>
          <w:color w:val="auto"/>
          <w:sz w:val="18"/>
          <w:szCs w:val="18"/>
          <w:highlight w:val="none"/>
        </w:rPr>
        <w:t>时，供应商代表未到场或者拒绝澄清或者澄清的内容改变了投标文件的实质性内容的，评标委员会有权对该投标文件作出不利于供应商的评判。</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3）各供应商的</w:t>
      </w:r>
      <w:r>
        <w:rPr>
          <w:rFonts w:hint="eastAsia" w:asciiTheme="minorEastAsia" w:hAnsiTheme="minorEastAsia" w:eastAsiaTheme="minorEastAsia"/>
          <w:color w:val="auto"/>
          <w:sz w:val="18"/>
          <w:szCs w:val="18"/>
          <w:highlight w:val="none"/>
        </w:rPr>
        <w:t>资信商务及技术分按照评标委员会成员的独立评分结果汇后的算术平均分计算</w:t>
      </w:r>
      <w:r>
        <w:rPr>
          <w:rFonts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嘉兴市银建工程咨询评估有限公司工作人员协助</w:t>
      </w:r>
      <w:r>
        <w:rPr>
          <w:rFonts w:asciiTheme="minorEastAsia" w:hAnsiTheme="minorEastAsia" w:eastAsiaTheme="minorEastAsia"/>
          <w:color w:val="auto"/>
          <w:sz w:val="18"/>
          <w:szCs w:val="18"/>
          <w:highlight w:val="none"/>
        </w:rPr>
        <w:t>评标委员会根据</w:t>
      </w:r>
      <w:r>
        <w:rPr>
          <w:rFonts w:hint="eastAsia" w:asciiTheme="minorEastAsia" w:hAnsiTheme="minorEastAsia" w:eastAsiaTheme="minorEastAsia"/>
          <w:color w:val="auto"/>
          <w:sz w:val="18"/>
          <w:szCs w:val="18"/>
          <w:highlight w:val="none"/>
        </w:rPr>
        <w:t>本项目的评分标准操作政府采购业务系统，由系统</w:t>
      </w:r>
      <w:r>
        <w:rPr>
          <w:rFonts w:asciiTheme="minorEastAsia" w:hAnsiTheme="minorEastAsia" w:eastAsiaTheme="minorEastAsia"/>
          <w:color w:val="auto"/>
          <w:sz w:val="18"/>
          <w:szCs w:val="18"/>
          <w:highlight w:val="none"/>
        </w:rPr>
        <w:t>计算各供应商的商务报价得分</w:t>
      </w:r>
      <w:r>
        <w:rPr>
          <w:rFonts w:hint="eastAsia"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5）评标委员会完成评标后,评委对各部分得分汇总,</w:t>
      </w:r>
      <w:r>
        <w:rPr>
          <w:rFonts w:hint="eastAsia" w:asciiTheme="minorEastAsia" w:hAnsiTheme="minorEastAsia" w:eastAsiaTheme="minorEastAsia"/>
          <w:color w:val="auto"/>
          <w:sz w:val="18"/>
          <w:szCs w:val="18"/>
          <w:highlight w:val="none"/>
        </w:rPr>
        <w:t>计算</w:t>
      </w:r>
      <w:r>
        <w:rPr>
          <w:rFonts w:asciiTheme="minorEastAsia" w:hAnsiTheme="minorEastAsia" w:eastAsiaTheme="minorEastAsia"/>
          <w:color w:val="auto"/>
          <w:sz w:val="18"/>
          <w:szCs w:val="18"/>
          <w:highlight w:val="none"/>
        </w:rPr>
        <w:t>出本项目</w:t>
      </w:r>
      <w:r>
        <w:rPr>
          <w:rFonts w:hint="eastAsia" w:asciiTheme="minorEastAsia" w:hAnsiTheme="minorEastAsia" w:eastAsiaTheme="minorEastAsia"/>
          <w:color w:val="auto"/>
          <w:sz w:val="18"/>
          <w:szCs w:val="18"/>
          <w:highlight w:val="none"/>
        </w:rPr>
        <w:t>最终得分、性价比、评标价等</w:t>
      </w:r>
      <w:r>
        <w:rPr>
          <w:rFonts w:asciiTheme="minorEastAsia" w:hAnsiTheme="minorEastAsia" w:eastAsiaTheme="minorEastAsia"/>
          <w:color w:val="auto"/>
          <w:sz w:val="18"/>
          <w:szCs w:val="18"/>
          <w:highlight w:val="none"/>
        </w:rPr>
        <w:t>。评标委员会按评标原则推荐中标候选人同时起草评标报告。</w:t>
      </w:r>
    </w:p>
    <w:p>
      <w:pPr>
        <w:snapToGrid w:val="0"/>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（四）澄清问题的形式</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对投标文件中含义不明确、同类问题表述不一致或者有明显文字和计算错误的内容，评标委员会可要求供应商作出必要的澄清、说明或者纠正。</w:t>
      </w:r>
    </w:p>
    <w:p>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2、如果供应商代表拒绝或</w:t>
      </w:r>
      <w:r>
        <w:rPr>
          <w:rFonts w:asciiTheme="minorEastAsia" w:hAnsiTheme="minorEastAsia" w:eastAsiaTheme="minorEastAsia"/>
          <w:color w:val="auto"/>
          <w:sz w:val="18"/>
          <w:szCs w:val="18"/>
          <w:highlight w:val="none"/>
        </w:rPr>
        <w:t>未</w:t>
      </w:r>
      <w:r>
        <w:rPr>
          <w:rFonts w:hint="eastAsia" w:asciiTheme="minorEastAsia" w:hAnsiTheme="minorEastAsia" w:eastAsiaTheme="minorEastAsia"/>
          <w:color w:val="auto"/>
          <w:sz w:val="18"/>
          <w:szCs w:val="18"/>
          <w:highlight w:val="none"/>
        </w:rPr>
        <w:t>按评标委员会要求在“政采云”平台作出在线回复且无其他有效回复方式的，评标委员会可以对其作出无效标处理。</w:t>
      </w:r>
    </w:p>
    <w:p>
      <w:pPr>
        <w:snapToGrid w:val="0"/>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（五）错误修正</w:t>
      </w:r>
    </w:p>
    <w:p>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投标文件如果出现计算或表达上的错误，修正错误的原则如下：</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.开标一览表总价与投标报价明细表汇总数不一致的，</w:t>
      </w:r>
      <w:r>
        <w:rPr>
          <w:rFonts w:hint="eastAsia" w:cs="Arial" w:asciiTheme="minorEastAsia" w:hAnsiTheme="minorEastAsia" w:eastAsiaTheme="minorEastAsia"/>
          <w:color w:val="auto"/>
          <w:kern w:val="0"/>
          <w:sz w:val="18"/>
          <w:szCs w:val="18"/>
          <w:highlight w:val="none"/>
        </w:rPr>
        <w:t>以开标一览表为准；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投标文件的大写金额和小写金额不一致的，以大写金额为准；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总价金额与按单价汇总金额不一致的，以单价金额计算结果为准；</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对不同文字文本投标文件的解释发生异议的，以中文文本为准。</w:t>
      </w:r>
    </w:p>
    <w:p>
      <w:pPr>
        <w:pStyle w:val="30"/>
        <w:snapToGrid w:val="0"/>
        <w:spacing w:beforeLines="0" w:afterLines="0" w:line="360" w:lineRule="auto"/>
        <w:ind w:firstLine="361" w:firstLineChars="200"/>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按上述修正错误的原则及方法调整或修正投标文件的投标报价，供应商同意</w:t>
      </w:r>
      <w:r>
        <w:rPr>
          <w:rFonts w:hint="eastAsia" w:asciiTheme="minorEastAsia" w:hAnsiTheme="minorEastAsia" w:eastAsiaTheme="minorEastAsia"/>
          <w:b/>
          <w:bCs/>
          <w:color w:val="auto"/>
          <w:sz w:val="18"/>
          <w:szCs w:val="18"/>
          <w:highlight w:val="none"/>
        </w:rPr>
        <w:t>并签字确认</w:t>
      </w:r>
      <w:r>
        <w:rPr>
          <w:rFonts w:asciiTheme="minorEastAsia" w:hAnsiTheme="minorEastAsia" w:eastAsiaTheme="minorEastAsia"/>
          <w:b/>
          <w:bCs/>
          <w:color w:val="auto"/>
          <w:sz w:val="18"/>
          <w:szCs w:val="18"/>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18"/>
          <w:szCs w:val="18"/>
          <w:highlight w:val="none"/>
        </w:rPr>
        <w:t>作为无效投标处理</w:t>
      </w:r>
      <w:r>
        <w:rPr>
          <w:rFonts w:asciiTheme="minorEastAsia" w:hAnsiTheme="minorEastAsia" w:eastAsiaTheme="minorEastAsia"/>
          <w:b/>
          <w:bCs/>
          <w:color w:val="auto"/>
          <w:sz w:val="18"/>
          <w:szCs w:val="18"/>
          <w:highlight w:val="none"/>
        </w:rPr>
        <w:t>。</w:t>
      </w:r>
    </w:p>
    <w:p>
      <w:pPr>
        <w:pStyle w:val="30"/>
        <w:tabs>
          <w:tab w:val="left" w:pos="630"/>
        </w:tabs>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（六）评标原则和评标办法</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评标办法。本项目评标办法是</w:t>
      </w:r>
      <w:r>
        <w:rPr>
          <w:rFonts w:hint="eastAsia" w:asciiTheme="minorEastAsia" w:hAnsiTheme="minorEastAsia" w:eastAsiaTheme="minorEastAsia"/>
          <w:color w:val="auto"/>
          <w:sz w:val="18"/>
          <w:szCs w:val="18"/>
          <w:highlight w:val="none"/>
        </w:rPr>
        <w:t xml:space="preserve"> 综合评标法</w:t>
      </w:r>
      <w:r>
        <w:rPr>
          <w:rFonts w:asciiTheme="minorEastAsia" w:hAnsiTheme="minorEastAsia" w:eastAsiaTheme="minorEastAsia"/>
          <w:color w:val="auto"/>
          <w:sz w:val="18"/>
          <w:szCs w:val="18"/>
          <w:highlight w:val="none"/>
        </w:rPr>
        <w:t xml:space="preserve"> ，具体评标内容及评分标准等详见《第四章：评标办法及评分标准》。</w:t>
      </w:r>
    </w:p>
    <w:p>
      <w:pPr>
        <w:pStyle w:val="30"/>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（七）评标过程的监控</w:t>
      </w:r>
    </w:p>
    <w:p>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本项目评标过程实行全程录音、录像监控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供应商在评标过程中所进行的</w:t>
      </w:r>
      <w:r>
        <w:rPr>
          <w:rFonts w:hint="eastAsia" w:asciiTheme="minorEastAsia" w:hAnsiTheme="minorEastAsia" w:eastAsiaTheme="minorEastAsia"/>
          <w:color w:val="auto"/>
          <w:sz w:val="18"/>
          <w:szCs w:val="18"/>
          <w:highlight w:val="none"/>
        </w:rPr>
        <w:t>试</w:t>
      </w:r>
      <w:r>
        <w:rPr>
          <w:rFonts w:asciiTheme="minorEastAsia" w:hAnsiTheme="minorEastAsia" w:eastAsiaTheme="minorEastAsia"/>
          <w:color w:val="auto"/>
          <w:sz w:val="18"/>
          <w:szCs w:val="18"/>
          <w:highlight w:val="none"/>
        </w:rPr>
        <w:t>图影响评标结果的不公正活动，可能导致其投标被拒绝。</w:t>
      </w:r>
    </w:p>
    <w:p>
      <w:pPr>
        <w:pStyle w:val="30"/>
        <w:snapToGrid w:val="0"/>
        <w:spacing w:beforeLines="0" w:afterLines="0" w:line="360" w:lineRule="auto"/>
        <w:outlineLvl w:val="9"/>
        <w:rPr>
          <w:rFonts w:asciiTheme="minorEastAsia" w:hAnsiTheme="minorEastAsia" w:eastAsiaTheme="minorEastAsia"/>
          <w:b/>
          <w:color w:val="auto"/>
          <w:sz w:val="18"/>
          <w:szCs w:val="18"/>
          <w:highlight w:val="none"/>
        </w:rPr>
      </w:pPr>
    </w:p>
    <w:p>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六、定标</w:t>
      </w:r>
    </w:p>
    <w:p>
      <w:pPr>
        <w:pStyle w:val="30"/>
        <w:snapToGrid w:val="0"/>
        <w:spacing w:beforeLines="0" w:afterLines="0"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（一）确定中标人。</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.嘉兴市银建工程咨询评估有限公司</w:t>
      </w:r>
      <w:r>
        <w:rPr>
          <w:rFonts w:asciiTheme="minorEastAsia" w:hAnsiTheme="minorEastAsia" w:eastAsiaTheme="minorEastAsia"/>
          <w:color w:val="auto"/>
          <w:sz w:val="18"/>
          <w:szCs w:val="18"/>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360"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z w:val="18"/>
          <w:szCs w:val="18"/>
          <w:highlight w:val="none"/>
        </w:rPr>
        <w:t>3. 在公告中标结果的同时，代理机构向中标人发出中标通知书。</w:t>
      </w:r>
    </w:p>
    <w:p>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七、合同授予</w:t>
      </w:r>
    </w:p>
    <w:p>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（一）签订合同</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.采购人与</w:t>
      </w:r>
      <w:r>
        <w:rPr>
          <w:rFonts w:asciiTheme="minorEastAsia" w:hAnsiTheme="minorEastAsia" w:eastAsiaTheme="minorEastAsia"/>
          <w:color w:val="auto"/>
          <w:sz w:val="18"/>
          <w:szCs w:val="18"/>
          <w:highlight w:val="none"/>
        </w:rPr>
        <w:t>中标人应</w:t>
      </w:r>
      <w:r>
        <w:rPr>
          <w:rFonts w:hint="eastAsia" w:asciiTheme="minorEastAsia" w:hAnsiTheme="minorEastAsia" w:eastAsiaTheme="minorEastAsia"/>
          <w:color w:val="auto"/>
          <w:sz w:val="18"/>
          <w:szCs w:val="18"/>
          <w:highlight w:val="none"/>
        </w:rPr>
        <w:t>当在《</w:t>
      </w:r>
      <w:r>
        <w:rPr>
          <w:rFonts w:asciiTheme="minorEastAsia" w:hAnsiTheme="minorEastAsia" w:eastAsiaTheme="minorEastAsia"/>
          <w:color w:val="auto"/>
          <w:sz w:val="18"/>
          <w:szCs w:val="18"/>
          <w:highlight w:val="none"/>
        </w:rPr>
        <w:t>中标通知书</w:t>
      </w:r>
      <w:r>
        <w:rPr>
          <w:rFonts w:hint="eastAsia" w:asciiTheme="minorEastAsia" w:hAnsiTheme="minorEastAsia" w:eastAsiaTheme="minorEastAsia"/>
          <w:color w:val="auto"/>
          <w:sz w:val="18"/>
          <w:szCs w:val="18"/>
          <w:highlight w:val="none"/>
        </w:rPr>
        <w:t>》发出之日起30日内签订政府采购合同。同时，代理机构对合同内容进行审查，如发现与采购结果和投标承诺内容不一致的，将予以纠正。</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中标人拖延、拒签合同的,将被取消中标资格</w:t>
      </w:r>
      <w:r>
        <w:rPr>
          <w:rFonts w:hint="eastAsia" w:asciiTheme="minorEastAsia" w:hAnsiTheme="minorEastAsia" w:eastAsiaTheme="minorEastAsia"/>
          <w:color w:val="auto"/>
          <w:sz w:val="18"/>
          <w:szCs w:val="18"/>
          <w:highlight w:val="none"/>
        </w:rPr>
        <w:t>，并报监督管理部门</w:t>
      </w:r>
      <w:r>
        <w:rPr>
          <w:rFonts w:asciiTheme="minorEastAsia" w:hAnsiTheme="minorEastAsia" w:eastAsiaTheme="minorEastAsia"/>
          <w:color w:val="auto"/>
          <w:sz w:val="18"/>
          <w:szCs w:val="18"/>
          <w:highlight w:val="none"/>
        </w:rPr>
        <w:t>。</w:t>
      </w:r>
    </w:p>
    <w:p>
      <w:pPr>
        <w:spacing w:line="360" w:lineRule="auto"/>
        <w:ind w:firstLine="354" w:firstLineChars="19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八、招标代理费</w:t>
      </w:r>
    </w:p>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1.招标代理机构</w:t>
      </w:r>
      <w:r>
        <w:rPr>
          <w:rFonts w:hint="eastAsia" w:asciiTheme="minorEastAsia" w:hAnsiTheme="minorEastAsia" w:eastAsiaTheme="minorEastAsia"/>
          <w:color w:val="auto"/>
          <w:sz w:val="18"/>
          <w:szCs w:val="18"/>
          <w:highlight w:val="none"/>
          <w:lang w:eastAsia="zh-CN"/>
        </w:rPr>
        <w:t>按标段</w:t>
      </w:r>
      <w:r>
        <w:rPr>
          <w:rFonts w:hint="eastAsia" w:asciiTheme="minorEastAsia" w:hAnsiTheme="minorEastAsia" w:eastAsiaTheme="minorEastAsia"/>
          <w:color w:val="auto"/>
          <w:sz w:val="18"/>
          <w:szCs w:val="18"/>
          <w:highlight w:val="none"/>
        </w:rPr>
        <w:t>向中标人收取招标代理服务费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，中标人应在收取《中标通知书》时向采购代理机构交纳招标代理服务费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招标代理</w:t>
      </w:r>
      <w:r>
        <w:rPr>
          <w:rFonts w:hint="eastAsia" w:asciiTheme="minorEastAsia" w:hAnsiTheme="minorEastAsia" w:eastAsiaTheme="minorEastAsia"/>
          <w:color w:val="auto"/>
          <w:sz w:val="18"/>
          <w:szCs w:val="18"/>
          <w:highlight w:val="none"/>
        </w:rPr>
        <w:t>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0.8</w:t>
            </w:r>
            <w:r>
              <w:rPr>
                <w:rFonts w:hint="eastAsia" w:asciiTheme="minorEastAsia" w:hAnsiTheme="minorEastAsia" w:eastAsiaTheme="minorEastAsia"/>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45</w:t>
            </w:r>
            <w:r>
              <w:rPr>
                <w:rFonts w:hint="eastAsia" w:asciiTheme="minorEastAsia" w:hAnsiTheme="minorEastAsia" w:eastAsiaTheme="minorEastAsia"/>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5％</w:t>
            </w:r>
          </w:p>
        </w:tc>
      </w:tr>
    </w:tbl>
    <w:p>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招标代理服务收费按差额定率累进法计算</w:t>
      </w:r>
      <w:r>
        <w:rPr>
          <w:rFonts w:hint="eastAsia" w:asciiTheme="minorEastAsia" w:hAnsiTheme="minorEastAsia" w:eastAsiaTheme="minorEastAsia"/>
          <w:color w:val="auto"/>
          <w:sz w:val="18"/>
          <w:szCs w:val="18"/>
          <w:highlight w:val="none"/>
        </w:rPr>
        <w:t>。</w:t>
      </w:r>
    </w:p>
    <w:p>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2.本项目以服务类招标收费标准收取招标代理服务费服务费，对于招标代理服务费不足6000元的，按6000元计收。招标控制价编制服务费</w:t>
      </w:r>
      <w:r>
        <w:rPr>
          <w:rFonts w:hint="eastAsia" w:asciiTheme="minorEastAsia" w:hAnsiTheme="minorEastAsia" w:eastAsiaTheme="minorEastAsia"/>
          <w:color w:val="auto"/>
          <w:sz w:val="18"/>
          <w:szCs w:val="18"/>
          <w:highlight w:val="none"/>
          <w:lang w:eastAsia="zh-CN"/>
        </w:rPr>
        <w:t>按</w:t>
      </w:r>
      <w:r>
        <w:rPr>
          <w:rFonts w:hint="eastAsia" w:asciiTheme="minorEastAsia" w:hAnsiTheme="minorEastAsia" w:eastAsiaTheme="minorEastAsia"/>
          <w:color w:val="auto"/>
          <w:sz w:val="18"/>
          <w:szCs w:val="18"/>
          <w:highlight w:val="none"/>
        </w:rPr>
        <w:t>《浙江省建设工程造价咨询服务项目及收费指引》的通知(浙建价协[2021]13号计算的</w:t>
      </w:r>
      <w:r>
        <w:rPr>
          <w:rFonts w:hint="eastAsia" w:asciiTheme="minorEastAsia" w:hAnsiTheme="minorEastAsia" w:eastAsiaTheme="minorEastAsia"/>
          <w:color w:val="auto"/>
          <w:sz w:val="18"/>
          <w:szCs w:val="18"/>
          <w:highlight w:val="none"/>
          <w:lang w:eastAsia="zh-CN"/>
        </w:rPr>
        <w:t>标准收取</w:t>
      </w:r>
      <w:r>
        <w:rPr>
          <w:rFonts w:hint="eastAsia" w:asciiTheme="minorEastAsia" w:hAnsiTheme="minorEastAsia" w:eastAsiaTheme="minorEastAsia"/>
          <w:color w:val="auto"/>
          <w:sz w:val="18"/>
          <w:szCs w:val="18"/>
          <w:highlight w:val="none"/>
        </w:rPr>
        <w:t>，以招标控制价为计算基数</w:t>
      </w:r>
      <w:r>
        <w:rPr>
          <w:rFonts w:hint="eastAsia" w:asciiTheme="minorEastAsia" w:hAnsiTheme="minorEastAsia" w:eastAsiaTheme="minorEastAsia"/>
          <w:color w:val="auto"/>
          <w:sz w:val="18"/>
          <w:szCs w:val="18"/>
          <w:highlight w:val="none"/>
          <w:lang w:eastAsia="zh-CN"/>
        </w:rPr>
        <w:t>。</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支付方式：一次性以银行划账、现金或支票的形式支付。</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4.代理费以银行划账方式按下列要求提交：</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户名：嘉兴市银建工程咨询评估有限公司</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开户银行：建行嘉兴分行营业部</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账号：3300 1638 0470 5000 4370</w:t>
      </w:r>
    </w:p>
    <w:p>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支付时间：招标代理服务费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必须在中标人领取《中标通知书》时一次性付清，如果中标人未能按时交纳服务费，采购代理机构/采购人保留追究其责任的权利。</w:t>
      </w:r>
    </w:p>
    <w:p>
      <w:pPr>
        <w:snapToGrid w:val="0"/>
        <w:spacing w:beforeLines="50" w:afterLines="50" w:line="360" w:lineRule="auto"/>
        <w:ind w:left="238" w:firstLine="18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18"/>
          <w:szCs w:val="18"/>
          <w:highlight w:val="none"/>
        </w:rPr>
        <w:t>6.招标代理服务费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不在投标报价中单列。</w:t>
      </w:r>
    </w:p>
    <w:p>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93" w:name="_Toc30563"/>
      <w:bookmarkStart w:id="194" w:name="_Toc9826"/>
      <w:r>
        <w:rPr>
          <w:rFonts w:hint="eastAsia" w:asciiTheme="minorEastAsia" w:hAnsiTheme="minorEastAsia" w:eastAsiaTheme="minorEastAsia"/>
          <w:b/>
          <w:color w:val="auto"/>
          <w:sz w:val="30"/>
          <w:szCs w:val="30"/>
          <w:highlight w:val="none"/>
        </w:rPr>
        <w:t>第四章 评分办法及评分标准</w:t>
      </w:r>
      <w:bookmarkEnd w:id="193"/>
      <w:bookmarkEnd w:id="194"/>
    </w:p>
    <w:p>
      <w:pPr>
        <w:spacing w:beforeLines="50" w:afterLines="50"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为公正、公平、科学地选择中标人，根据《中华人民共和国政府采购法》等有关法律法规的规定，并结合本项目的实际，制定本办法。</w:t>
      </w:r>
    </w:p>
    <w:p>
      <w:pPr>
        <w:spacing w:beforeLines="50" w:afterLines="50" w:line="360" w:lineRule="auto"/>
        <w:ind w:firstLine="361"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b/>
          <w:color w:val="auto"/>
          <w:sz w:val="18"/>
          <w:szCs w:val="18"/>
          <w:highlight w:val="none"/>
        </w:rPr>
        <w:t>一 、总则</w:t>
      </w:r>
    </w:p>
    <w:p>
      <w:pPr>
        <w:spacing w:beforeLines="50" w:afterLines="50" w:line="360" w:lineRule="auto"/>
        <w:ind w:firstLine="360" w:firstLineChars="200"/>
        <w:rPr>
          <w:rFonts w:asciiTheme="minorEastAsia" w:hAnsiTheme="minorEastAsia" w:eastAsiaTheme="minorEastAsia"/>
          <w:color w:val="auto"/>
          <w:sz w:val="18"/>
          <w:szCs w:val="18"/>
          <w:highlight w:val="none"/>
        </w:rPr>
      </w:pPr>
      <w:bookmarkStart w:id="195" w:name="_Toc406402998"/>
      <w:r>
        <w:rPr>
          <w:rFonts w:hint="eastAsia" w:asciiTheme="minorEastAsia" w:hAnsiTheme="minorEastAsia" w:eastAsiaTheme="minorEastAsia"/>
          <w:color w:val="auto"/>
          <w:sz w:val="18"/>
          <w:szCs w:val="18"/>
          <w:highlight w:val="none"/>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beforeLines="50" w:afterLines="50" w:line="360" w:lineRule="auto"/>
        <w:ind w:firstLine="360" w:firstLineChars="200"/>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投标人评标综合得分=商务报价分+资信技术分</w:t>
      </w:r>
      <w:r>
        <w:rPr>
          <w:rFonts w:hint="eastAsia" w:asciiTheme="minorEastAsia" w:hAnsiTheme="minorEastAsia" w:eastAsiaTheme="minorEastAsia"/>
          <w:color w:val="auto"/>
          <w:sz w:val="18"/>
          <w:szCs w:val="18"/>
          <w:highlight w:val="none"/>
          <w:lang w:eastAsia="zh-CN"/>
        </w:rPr>
        <w:t>，每个标段分别打分。</w:t>
      </w:r>
    </w:p>
    <w:p>
      <w:pPr>
        <w:spacing w:beforeLines="50" w:afterLines="5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二、评标内容及标准</w:t>
      </w:r>
    </w:p>
    <w:p>
      <w:pPr>
        <w:spacing w:beforeLines="50" w:afterLines="50"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rPr>
        <w:t>商务报价</w:t>
      </w:r>
      <w:r>
        <w:rPr>
          <w:rFonts w:asciiTheme="minorEastAsia" w:hAnsiTheme="minorEastAsia" w:eastAsiaTheme="minorEastAsia"/>
          <w:b/>
          <w:color w:val="auto"/>
          <w:sz w:val="18"/>
          <w:szCs w:val="18"/>
          <w:highlight w:val="none"/>
        </w:rPr>
        <w:t>分（</w:t>
      </w:r>
      <w:r>
        <w:rPr>
          <w:rFonts w:hint="eastAsia" w:asciiTheme="minorEastAsia" w:hAnsiTheme="minorEastAsia" w:eastAsiaTheme="minorEastAsia"/>
          <w:b/>
          <w:color w:val="auto"/>
          <w:sz w:val="18"/>
          <w:szCs w:val="18"/>
          <w:highlight w:val="none"/>
        </w:rPr>
        <w:t>10分）</w:t>
      </w:r>
    </w:p>
    <w:p>
      <w:pPr>
        <w:pStyle w:val="24"/>
        <w:spacing w:beforeLines="50" w:afterLines="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1.价格分采用低价优先法计算，即满足招标文件要求且投标价格最低的投标报价为评标基准价，其他供应商的价格分按照下列公式计算：</w:t>
      </w:r>
    </w:p>
    <w:p>
      <w:pPr>
        <w:spacing w:beforeLines="50" w:after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价格分=（评标基准价/投标报价）×10%×100</w:t>
      </w:r>
    </w:p>
    <w:p>
      <w:pPr>
        <w:pStyle w:val="24"/>
        <w:spacing w:after="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r>
        <w:rPr>
          <w:rFonts w:asciiTheme="minorEastAsia" w:hAnsiTheme="minorEastAsia" w:eastAsiaTheme="minorEastAsia"/>
          <w:bCs/>
          <w:color w:val="auto"/>
          <w:sz w:val="18"/>
          <w:szCs w:val="18"/>
          <w:highlight w:val="none"/>
        </w:rPr>
        <w:t>扶持政策说明：</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w:t>
      </w:r>
      <w:r>
        <w:rPr>
          <w:rFonts w:hint="eastAsia" w:asciiTheme="minorEastAsia" w:hAnsiTheme="minorEastAsia" w:eastAsiaTheme="minorEastAsia"/>
          <w:bCs/>
          <w:color w:val="auto"/>
          <w:sz w:val="18"/>
          <w:szCs w:val="18"/>
          <w:highlight w:val="none"/>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bCs/>
          <w:color w:val="auto"/>
          <w:sz w:val="18"/>
          <w:szCs w:val="18"/>
          <w:highlight w:val="none"/>
          <w:lang w:val="en-US" w:eastAsia="zh-CN"/>
        </w:rPr>
        <w:t>1</w:t>
      </w:r>
      <w:r>
        <w:rPr>
          <w:rFonts w:hint="eastAsia" w:asciiTheme="minorEastAsia" w:hAnsiTheme="minorEastAsia" w:eastAsiaTheme="minorEastAsia"/>
          <w:bCs/>
          <w:color w:val="auto"/>
          <w:sz w:val="18"/>
          <w:szCs w:val="18"/>
          <w:highlight w:val="none"/>
        </w:rPr>
        <w:t>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w:t>
      </w:r>
      <w:r>
        <w:rPr>
          <w:rFonts w:hint="eastAsia" w:asciiTheme="minorEastAsia" w:hAnsiTheme="minorEastAsia" w:eastAsiaTheme="minorEastAsia"/>
          <w:bCs/>
          <w:color w:val="auto"/>
          <w:sz w:val="18"/>
          <w:szCs w:val="18"/>
          <w:highlight w:val="none"/>
          <w:lang w:val="en-US" w:eastAsia="zh-CN"/>
        </w:rPr>
        <w:t>4</w:t>
      </w:r>
      <w:r>
        <w:rPr>
          <w:rFonts w:hint="eastAsia" w:asciiTheme="minorEastAsia" w:hAnsiTheme="minorEastAsia" w:eastAsiaTheme="minorEastAsia"/>
          <w:bCs/>
          <w:color w:val="auto"/>
          <w:sz w:val="18"/>
          <w:szCs w:val="18"/>
          <w:highlight w:val="none"/>
        </w:rPr>
        <w:t>%的扣除，用扣除后的价格参加评审。组成联合体或者接受分包的小微企业与联合体内其他企业、分包企业之间存在直接控股、管理关系的，不享受价格扣除优惠政策</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 xml:space="preserve">（2）根据《政府采购促进中小企业发展管理办法》（财库 </w:t>
      </w:r>
      <w:r>
        <w:rPr>
          <w:rFonts w:hint="eastAsia" w:asciiTheme="minorEastAsia" w:hAnsiTheme="minorEastAsia" w:eastAsiaTheme="minorEastAsia"/>
          <w:bCs/>
          <w:color w:val="auto"/>
          <w:sz w:val="18"/>
          <w:szCs w:val="18"/>
          <w:highlight w:val="none"/>
        </w:rPr>
        <w:t>【</w:t>
      </w:r>
      <w:r>
        <w:rPr>
          <w:rFonts w:asciiTheme="minorEastAsia" w:hAnsiTheme="minorEastAsia" w:eastAsiaTheme="minorEastAsia"/>
          <w:bCs/>
          <w:color w:val="auto"/>
          <w:sz w:val="18"/>
          <w:szCs w:val="18"/>
          <w:highlight w:val="none"/>
        </w:rPr>
        <w:t>2020</w:t>
      </w:r>
      <w:r>
        <w:rPr>
          <w:rFonts w:hint="eastAsia" w:asciiTheme="minorEastAsia" w:hAnsiTheme="minorEastAsia" w:eastAsiaTheme="minorEastAsia"/>
          <w:bCs/>
          <w:color w:val="auto"/>
          <w:sz w:val="18"/>
          <w:szCs w:val="18"/>
          <w:highlight w:val="none"/>
        </w:rPr>
        <w:t>】</w:t>
      </w:r>
      <w:r>
        <w:rPr>
          <w:rFonts w:asciiTheme="minorEastAsia" w:hAnsiTheme="minorEastAsia" w:eastAsiaTheme="minorEastAsia"/>
          <w:bCs/>
          <w:color w:val="auto"/>
          <w:sz w:val="18"/>
          <w:szCs w:val="18"/>
          <w:highlight w:val="none"/>
        </w:rPr>
        <w:t>46号）的规定</w:t>
      </w:r>
      <w:r>
        <w:rPr>
          <w:rFonts w:hint="eastAsia" w:asciiTheme="minorEastAsia" w:hAnsiTheme="minorEastAsia" w:eastAsiaTheme="minorEastAsia"/>
          <w:bCs/>
          <w:color w:val="auto"/>
          <w:sz w:val="18"/>
          <w:szCs w:val="18"/>
          <w:highlight w:val="none"/>
        </w:rPr>
        <w:t>，小微企业（包括联合体内的小微企业和接受分包的小微企业）参加政府采购活动，应按当出具《中小企业声明函》，否则其报价不予扣除</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Pr>
          <w:rFonts w:asciiTheme="minorEastAsia" w:hAnsiTheme="minorEastAsia" w:eastAsiaTheme="minorEastAsia"/>
          <w:bCs/>
          <w:color w:val="auto"/>
          <w:sz w:val="18"/>
          <w:szCs w:val="18"/>
          <w:highlight w:val="none"/>
        </w:rPr>
        <w:t>。</w:t>
      </w:r>
    </w:p>
    <w:p>
      <w:pPr>
        <w:pStyle w:val="24"/>
        <w:spacing w:after="50" w:line="360" w:lineRule="auto"/>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4"/>
        <w:spacing w:after="50" w:line="360" w:lineRule="auto"/>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4"/>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（二）资信技术分（90分）</w:t>
      </w:r>
    </w:p>
    <w:bookmarkEnd w:id="195"/>
    <w:tbl>
      <w:tblPr>
        <w:tblStyle w:val="49"/>
        <w:tblW w:w="8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8"/>
        <w:gridCol w:w="6946"/>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608" w:type="dxa"/>
            <w:tcBorders>
              <w:top w:val="single" w:color="auto" w:sz="12"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eastAsia="zh-CN"/>
              </w:rPr>
              <w:t>序</w:t>
            </w:r>
            <w:r>
              <w:rPr>
                <w:rFonts w:hint="eastAsia" w:ascii="宋体" w:hAnsi="宋体" w:eastAsia="宋体" w:cs="宋体"/>
                <w:color w:val="auto"/>
                <w:kern w:val="2"/>
                <w:sz w:val="18"/>
                <w:szCs w:val="18"/>
                <w:highlight w:val="none"/>
              </w:rPr>
              <w:t>号</w:t>
            </w:r>
          </w:p>
        </w:tc>
        <w:tc>
          <w:tcPr>
            <w:tcW w:w="6946" w:type="dxa"/>
            <w:tcBorders>
              <w:top w:val="single" w:color="auto" w:sz="12"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firstLine="360" w:firstLineChars="20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评分内容和标准</w:t>
            </w:r>
          </w:p>
        </w:tc>
        <w:tc>
          <w:tcPr>
            <w:tcW w:w="1104" w:type="dxa"/>
            <w:tcBorders>
              <w:top w:val="single" w:color="auto" w:sz="12"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最高分值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608"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6946"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根据</w:t>
            </w:r>
            <w:r>
              <w:rPr>
                <w:rFonts w:hint="eastAsia" w:ascii="宋体" w:hAnsi="宋体" w:eastAsia="宋体" w:cs="宋体"/>
                <w:color w:val="auto"/>
                <w:kern w:val="2"/>
                <w:sz w:val="18"/>
                <w:szCs w:val="18"/>
                <w:highlight w:val="none"/>
                <w:lang w:val="en-US" w:eastAsia="zh-CN"/>
              </w:rPr>
              <w:t>道路</w:t>
            </w:r>
            <w:r>
              <w:rPr>
                <w:rFonts w:hint="eastAsia" w:ascii="宋体" w:hAnsi="宋体" w:eastAsia="宋体" w:cs="宋体"/>
                <w:color w:val="auto"/>
                <w:kern w:val="2"/>
                <w:sz w:val="18"/>
                <w:szCs w:val="18"/>
                <w:highlight w:val="none"/>
                <w:lang w:val="zh-CN" w:eastAsia="zh-CN"/>
              </w:rPr>
              <w:t>分布及养护区域等特点分析、工作总体设想、工作重点等情况酌情评分（</w:t>
            </w:r>
            <w:r>
              <w:rPr>
                <w:rFonts w:hint="eastAsia" w:ascii="宋体" w:hAnsi="宋体" w:eastAsia="宋体" w:cs="宋体"/>
                <w:color w:val="auto"/>
                <w:kern w:val="2"/>
                <w:sz w:val="18"/>
                <w:szCs w:val="18"/>
                <w:highlight w:val="none"/>
                <w:lang w:val="en-US" w:eastAsia="zh-CN"/>
              </w:rPr>
              <w:t>4-9分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608"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w:t>
            </w:r>
          </w:p>
        </w:tc>
        <w:tc>
          <w:tcPr>
            <w:tcW w:w="6946"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default" w:ascii="宋体" w:hAnsi="宋体" w:eastAsia="宋体" w:cs="宋体"/>
                <w:color w:val="auto"/>
                <w:kern w:val="2"/>
                <w:sz w:val="18"/>
                <w:szCs w:val="18"/>
                <w:highlight w:val="none"/>
                <w:lang w:val="en-US" w:eastAsia="zh-CN"/>
              </w:rPr>
            </w:pPr>
            <w:r>
              <w:rPr>
                <w:rFonts w:hint="default" w:ascii="宋体" w:hAnsi="宋体" w:eastAsia="宋体" w:cs="宋体"/>
                <w:color w:val="auto"/>
                <w:kern w:val="2"/>
                <w:sz w:val="18"/>
                <w:szCs w:val="18"/>
                <w:highlight w:val="none"/>
                <w:lang w:val="en-US" w:eastAsia="zh-CN"/>
              </w:rPr>
              <w:t>根据养护日常作业内容，交通工具，养护作业人员详细安排，养护设备配置分配，台帐档案管理，防治病虫害及抗击自然灾害的具体保证措施等酌情评分</w:t>
            </w:r>
            <w:r>
              <w:rPr>
                <w:rFonts w:hint="eastAsia" w:ascii="宋体" w:hAnsi="宋体" w:eastAsia="宋体" w:cs="宋体"/>
                <w:color w:val="auto"/>
                <w:kern w:val="2"/>
                <w:sz w:val="18"/>
                <w:szCs w:val="18"/>
                <w:highlight w:val="none"/>
                <w:lang w:val="zh-CN" w:eastAsia="zh-CN"/>
              </w:rPr>
              <w:t>（</w:t>
            </w:r>
            <w:r>
              <w:rPr>
                <w:rFonts w:hint="eastAsia" w:ascii="宋体" w:hAnsi="宋体" w:eastAsia="宋体" w:cs="宋体"/>
                <w:color w:val="auto"/>
                <w:kern w:val="2"/>
                <w:sz w:val="18"/>
                <w:szCs w:val="18"/>
                <w:highlight w:val="none"/>
                <w:lang w:val="en-US" w:eastAsia="zh-CN"/>
              </w:rPr>
              <w:t>4-8分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08"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3</w:t>
            </w:r>
          </w:p>
        </w:tc>
        <w:tc>
          <w:tcPr>
            <w:tcW w:w="6946"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根据作业质量标准，检查考核办法，作业人员安全教育、劳动保护、安全管理制度，意外事件应急预案等情况酌情评分（4-8分）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6" w:space="0"/>
              <w:left w:val="single" w:color="auto" w:sz="4"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3"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4</w:t>
            </w:r>
          </w:p>
        </w:tc>
        <w:tc>
          <w:tcPr>
            <w:tcW w:w="6946"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left"/>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投标人针对本项目实施的项目进度安排，根据进度安排的科学性（1-3分）、合理性（1-3分）、规范性和可操作性（1-3分），各投标单位比较得分</w:t>
            </w:r>
            <w:r>
              <w:rPr>
                <w:rFonts w:hint="eastAsia" w:ascii="宋体" w:hAnsi="宋体" w:eastAsia="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5</w:t>
            </w:r>
          </w:p>
        </w:tc>
        <w:tc>
          <w:tcPr>
            <w:tcW w:w="6946"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rPr>
            </w:pPr>
            <w:r>
              <w:rPr>
                <w:rFonts w:hint="eastAsia" w:ascii="宋体" w:hAnsi="宋体" w:eastAsia="宋体" w:cs="宋体"/>
                <w:color w:val="auto"/>
                <w:kern w:val="2"/>
                <w:sz w:val="18"/>
                <w:szCs w:val="18"/>
                <w:highlight w:val="none"/>
                <w:lang w:val="zh-CN"/>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rPr>
              <w:t>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6</w:t>
            </w:r>
          </w:p>
        </w:tc>
        <w:tc>
          <w:tcPr>
            <w:tcW w:w="6946"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zh-CN"/>
              </w:rPr>
              <w:t>投标人对</w:t>
            </w:r>
            <w:r>
              <w:rPr>
                <w:rFonts w:hint="eastAsia" w:ascii="宋体" w:hAnsi="宋体" w:cs="宋体"/>
                <w:color w:val="auto"/>
                <w:kern w:val="2"/>
                <w:sz w:val="18"/>
                <w:szCs w:val="18"/>
                <w:highlight w:val="none"/>
                <w:lang w:val="zh-CN"/>
              </w:rPr>
              <w:t>养护服务</w:t>
            </w:r>
            <w:r>
              <w:rPr>
                <w:rFonts w:hint="eastAsia" w:ascii="宋体" w:hAnsi="宋体" w:eastAsia="宋体" w:cs="宋体"/>
                <w:color w:val="auto"/>
                <w:kern w:val="2"/>
                <w:sz w:val="18"/>
                <w:szCs w:val="18"/>
                <w:highlight w:val="none"/>
                <w:lang w:val="zh-CN"/>
              </w:rPr>
              <w:t>质量控制及服务承诺的可实现程度，由专家综合打分</w:t>
            </w:r>
            <w:r>
              <w:rPr>
                <w:rFonts w:hint="eastAsia" w:ascii="宋体" w:hAnsi="宋体" w:cs="宋体"/>
                <w:color w:val="auto"/>
                <w:kern w:val="2"/>
                <w:sz w:val="18"/>
                <w:szCs w:val="18"/>
                <w:highlight w:val="none"/>
                <w:lang w:val="zh-CN"/>
              </w:rPr>
              <w:t>（</w:t>
            </w:r>
            <w:r>
              <w:rPr>
                <w:rFonts w:hint="eastAsia" w:ascii="宋体" w:hAnsi="宋体" w:cs="宋体"/>
                <w:color w:val="auto"/>
                <w:kern w:val="2"/>
                <w:sz w:val="18"/>
                <w:szCs w:val="18"/>
                <w:highlight w:val="none"/>
                <w:lang w:val="en-US" w:eastAsia="zh-CN"/>
              </w:rPr>
              <w:t>4-8分）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7</w:t>
            </w:r>
          </w:p>
        </w:tc>
        <w:tc>
          <w:tcPr>
            <w:tcW w:w="6946"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rPr>
              <w:t>根据投标单位是否有完善的监督自查体系，以及体系的完整性、科学性、可操作性，综合打分（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rPr>
              <w:t>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c>
          <w:tcPr>
            <w:tcW w:w="6946"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根据投标人针对本项目特点提出的研究的重点、难点分析综合打分。（4-8分）</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608" w:type="dxa"/>
            <w:tcBorders>
              <w:top w:val="single" w:color="auto" w:sz="4"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9</w:t>
            </w:r>
          </w:p>
        </w:tc>
        <w:tc>
          <w:tcPr>
            <w:tcW w:w="6946"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提出关于本项目的相关合理化建议，突发情况的处理，酌情打分</w:t>
            </w:r>
            <w:r>
              <w:rPr>
                <w:rFonts w:hint="eastAsia" w:ascii="宋体" w:hAnsi="宋体" w:eastAsia="宋体" w:cs="宋体"/>
                <w:color w:val="auto"/>
                <w:kern w:val="2"/>
                <w:sz w:val="18"/>
                <w:szCs w:val="18"/>
                <w:highlight w:val="none"/>
                <w:lang w:val="zh-CN" w:eastAsia="zh-CN"/>
              </w:rPr>
              <w:t>（4-</w:t>
            </w:r>
            <w:r>
              <w:rPr>
                <w:rFonts w:hint="eastAsia" w:ascii="宋体" w:hAnsi="宋体" w:cs="宋体"/>
                <w:color w:val="auto"/>
                <w:kern w:val="2"/>
                <w:sz w:val="18"/>
                <w:szCs w:val="18"/>
                <w:highlight w:val="none"/>
                <w:lang w:val="en-US" w:eastAsia="zh-CN"/>
              </w:rPr>
              <w:t>8）</w:t>
            </w:r>
            <w:r>
              <w:rPr>
                <w:rFonts w:hint="eastAsia" w:ascii="宋体" w:hAnsi="宋体" w:cs="宋体"/>
                <w:color w:val="auto"/>
                <w:kern w:val="2"/>
                <w:sz w:val="18"/>
                <w:szCs w:val="18"/>
                <w:highlight w:val="none"/>
                <w:lang w:val="zh-CN" w:eastAsia="zh-CN"/>
              </w:rPr>
              <w:t>，不提供不得分。</w:t>
            </w:r>
          </w:p>
        </w:tc>
        <w:tc>
          <w:tcPr>
            <w:tcW w:w="1104" w:type="dxa"/>
            <w:tcBorders>
              <w:top w:val="single" w:color="auto" w:sz="4" w:space="0"/>
              <w:left w:val="single" w:color="auto" w:sz="6" w:space="0"/>
              <w:bottom w:val="single" w:color="auto" w:sz="4"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608" w:type="dxa"/>
            <w:tcBorders>
              <w:top w:val="single" w:color="auto" w:sz="6" w:space="0"/>
              <w:left w:val="single" w:color="auto" w:sz="12" w:space="0"/>
              <w:bottom w:val="single" w:color="auto" w:sz="6"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10</w:t>
            </w:r>
          </w:p>
        </w:tc>
        <w:tc>
          <w:tcPr>
            <w:tcW w:w="6946" w:type="dxa"/>
            <w:tcBorders>
              <w:top w:val="single" w:color="auto" w:sz="6"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投标人自有或租赁登高车（或高空作业平台机械）的有一辆得4分，最高得4分。（投标人自有设备的须提供购买发票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租赁协议复印件及车辆照片。登高车须提供车辆行驶证及车辆照片</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扫描件且车牌一致；高空作业平台机械须提供产品合格证及车辆照片</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扫描件，不提供不得分）</w:t>
            </w:r>
          </w:p>
        </w:tc>
        <w:tc>
          <w:tcPr>
            <w:tcW w:w="1104" w:type="dxa"/>
            <w:tcBorders>
              <w:top w:val="single" w:color="auto" w:sz="6" w:space="0"/>
              <w:left w:val="single" w:color="auto" w:sz="6" w:space="0"/>
              <w:bottom w:val="single" w:color="auto" w:sz="6"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eastAsia"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608"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11</w:t>
            </w:r>
          </w:p>
        </w:tc>
        <w:tc>
          <w:tcPr>
            <w:tcW w:w="6946"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cs="宋体"/>
                <w:strike w:val="0"/>
                <w:dstrike w:val="0"/>
                <w:color w:val="auto"/>
                <w:kern w:val="2"/>
                <w:sz w:val="18"/>
                <w:szCs w:val="18"/>
                <w:highlight w:val="none"/>
                <w:lang w:val="en-US" w:eastAsia="zh-CN"/>
              </w:rPr>
              <w:t>投标人自有或租赁自卸车（或吊车或随车吊）的有一辆得4分，最高得4分。（投标人自有设备的须提供购买发票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608"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12</w:t>
            </w:r>
          </w:p>
        </w:tc>
        <w:tc>
          <w:tcPr>
            <w:tcW w:w="6946"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cs="宋体"/>
                <w:strike w:val="0"/>
                <w:dstrike w:val="0"/>
                <w:color w:val="auto"/>
                <w:kern w:val="2"/>
                <w:sz w:val="18"/>
                <w:szCs w:val="18"/>
                <w:highlight w:val="none"/>
                <w:lang w:val="en-US" w:eastAsia="zh-CN"/>
              </w:rPr>
              <w:t>投标人自有或租赁10吨（及以上）洒水车的有一辆得4分，最高得4分。（投标人自有设备的须提供购买发票</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复印件及车辆照片，租赁的须提供</w:t>
            </w:r>
            <w:r>
              <w:rPr>
                <w:rFonts w:hint="eastAsia" w:ascii="宋体" w:hAnsi="宋体" w:cs="宋体"/>
                <w:b/>
                <w:bCs/>
                <w:strike w:val="0"/>
                <w:dstrike w:val="0"/>
                <w:color w:val="auto"/>
                <w:kern w:val="2"/>
                <w:sz w:val="18"/>
                <w:szCs w:val="18"/>
                <w:highlight w:val="none"/>
                <w:lang w:val="en-US" w:eastAsia="zh-CN"/>
              </w:rPr>
              <w:t>清晰的</w:t>
            </w:r>
            <w:r>
              <w:rPr>
                <w:rFonts w:hint="eastAsia" w:ascii="宋体" w:hAnsi="宋体" w:cs="宋体"/>
                <w:strike w:val="0"/>
                <w:dstrike w:val="0"/>
                <w:color w:val="auto"/>
                <w:kern w:val="2"/>
                <w:sz w:val="18"/>
                <w:szCs w:val="18"/>
                <w:highlight w:val="none"/>
                <w:lang w:val="en-US" w:eastAsia="zh-CN"/>
              </w:rPr>
              <w:t>租赁协议复印件及车辆照片；且需提供洒水车吨量的证明文件，不提供不得分。）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608"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13</w:t>
            </w:r>
          </w:p>
        </w:tc>
        <w:tc>
          <w:tcPr>
            <w:tcW w:w="6946"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zh-CN" w:eastAsia="zh-CN"/>
              </w:rPr>
              <w:t>拟投入本项目项目组成员（除项目负责人外）中每有一人具有园林绿化</w:t>
            </w:r>
            <w:r>
              <w:rPr>
                <w:rFonts w:hint="eastAsia" w:ascii="宋体" w:hAnsi="宋体" w:cs="宋体"/>
                <w:color w:val="auto"/>
                <w:kern w:val="2"/>
                <w:sz w:val="18"/>
                <w:szCs w:val="18"/>
                <w:highlight w:val="none"/>
                <w:lang w:val="en-US" w:eastAsia="zh-CN"/>
              </w:rPr>
              <w:t>相关专业工程师及以上职称的得1分，最高得3分。（提供职称证书复印件及社保缴纳证明原件的复印件或扫描件，不提供不得分）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608" w:type="dxa"/>
            <w:tcBorders>
              <w:top w:val="single" w:color="auto" w:sz="6" w:space="0"/>
              <w:left w:val="single" w:color="auto" w:sz="12" w:space="0"/>
              <w:bottom w:val="single" w:color="auto" w:sz="12" w:space="0"/>
              <w:right w:val="single" w:color="auto" w:sz="6"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14</w:t>
            </w:r>
          </w:p>
        </w:tc>
        <w:tc>
          <w:tcPr>
            <w:tcW w:w="6946"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zh-CN" w:eastAsia="zh-CN"/>
              </w:rPr>
              <w:t>投标人自</w:t>
            </w:r>
            <w:r>
              <w:rPr>
                <w:rFonts w:hint="eastAsia" w:ascii="宋体" w:hAnsi="宋体" w:cs="宋体"/>
                <w:color w:val="auto"/>
                <w:kern w:val="2"/>
                <w:sz w:val="18"/>
                <w:szCs w:val="18"/>
                <w:highlight w:val="none"/>
                <w:lang w:val="en-US" w:eastAsia="zh-CN"/>
              </w:rPr>
              <w:t>2020年1月1日以来承担过类似项目业绩的，每个得1分，最高得1分。（提供中标通知书或合同的扫描件，时间以中标通知书签发时间或合同签订时间为准）</w:t>
            </w:r>
          </w:p>
        </w:tc>
        <w:tc>
          <w:tcPr>
            <w:tcW w:w="1104" w:type="dxa"/>
            <w:tcBorders>
              <w:top w:val="single" w:color="auto" w:sz="6" w:space="0"/>
              <w:left w:val="single" w:color="auto" w:sz="6" w:space="0"/>
              <w:bottom w:val="single" w:color="auto" w:sz="12" w:space="0"/>
              <w:right w:val="single" w:color="auto" w:sz="12" w:space="0"/>
            </w:tcBorders>
            <w:noWrap w:val="0"/>
            <w:vAlign w:val="center"/>
          </w:tcPr>
          <w:p>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w:t>
            </w:r>
          </w:p>
        </w:tc>
      </w:tr>
    </w:tbl>
    <w:p>
      <w:pPr>
        <w:widowControl/>
        <w:numPr>
          <w:ilvl w:val="0"/>
          <w:numId w:val="12"/>
        </w:numPr>
        <w:jc w:val="center"/>
        <w:outlineLvl w:val="0"/>
        <w:rPr>
          <w:rFonts w:hint="eastAsia" w:asciiTheme="minorEastAsia" w:hAnsiTheme="minorEastAsia" w:eastAsiaTheme="minorEastAsia"/>
          <w:b/>
          <w:color w:val="auto"/>
          <w:sz w:val="30"/>
          <w:szCs w:val="30"/>
          <w:highlight w:val="none"/>
        </w:rPr>
      </w:pPr>
      <w:bookmarkStart w:id="196" w:name="_Toc17937"/>
      <w:r>
        <w:rPr>
          <w:rFonts w:hint="eastAsia" w:asciiTheme="minorEastAsia" w:hAnsiTheme="minorEastAsia" w:eastAsiaTheme="minorEastAsia"/>
          <w:b/>
          <w:color w:val="auto"/>
          <w:sz w:val="30"/>
          <w:szCs w:val="30"/>
          <w:highlight w:val="none"/>
        </w:rPr>
        <w:t xml:space="preserve"> </w:t>
      </w:r>
      <w:bookmarkStart w:id="197" w:name="_Toc32670"/>
      <w:r>
        <w:rPr>
          <w:rFonts w:hint="eastAsia" w:asciiTheme="minorEastAsia" w:hAnsiTheme="minorEastAsia" w:eastAsiaTheme="minorEastAsia"/>
          <w:b/>
          <w:color w:val="auto"/>
          <w:sz w:val="30"/>
          <w:szCs w:val="30"/>
          <w:highlight w:val="none"/>
        </w:rPr>
        <w:t>嘉兴市政府采购合同（指引）</w:t>
      </w:r>
      <w:bookmarkEnd w:id="196"/>
      <w:bookmarkEnd w:id="197"/>
    </w:p>
    <w:p>
      <w:pPr>
        <w:widowControl/>
        <w:numPr>
          <w:ilvl w:val="0"/>
          <w:numId w:val="0"/>
        </w:numPr>
        <w:jc w:val="both"/>
        <w:rPr>
          <w:rFonts w:hint="eastAsia" w:asciiTheme="minorEastAsia" w:hAnsiTheme="minorEastAsia" w:eastAsiaTheme="minorEastAsia"/>
          <w:b/>
          <w:color w:val="auto"/>
          <w:sz w:val="30"/>
          <w:szCs w:val="30"/>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招标编号：</w:t>
      </w:r>
      <w:r>
        <w:rPr>
          <w:rFonts w:hint="eastAsia" w:cs="Arial" w:asciiTheme="minorEastAsia" w:hAnsiTheme="minorEastAsia" w:eastAsiaTheme="minorEastAsia"/>
          <w:color w:val="auto"/>
          <w:kern w:val="0"/>
          <w:sz w:val="18"/>
          <w:szCs w:val="18"/>
          <w:highlight w:val="none"/>
          <w:lang w:eastAsia="zh-CN"/>
        </w:rPr>
        <w:t>银建-JXYJ（2023）68号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合同编号：</w:t>
      </w:r>
      <w:r>
        <w:rPr>
          <w:rFonts w:hint="eastAsia" w:cs="Arial" w:asciiTheme="minorEastAsia" w:hAnsiTheme="minorEastAsia" w:eastAsiaTheme="minorEastAsia"/>
          <w:color w:val="auto"/>
          <w:kern w:val="0"/>
          <w:sz w:val="18"/>
          <w:szCs w:val="18"/>
          <w:highlight w:val="none"/>
          <w:lang w:eastAsia="zh-CN"/>
        </w:rPr>
        <w:t>银建-JXYJ（2023）68号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 w:val="18"/>
          <w:szCs w:val="18"/>
          <w:highlight w:val="none"/>
          <w:u w:val="single"/>
          <w:lang w:val="en-US" w:eastAsia="zh-CN"/>
        </w:rPr>
      </w:pPr>
      <w:r>
        <w:rPr>
          <w:rFonts w:hint="eastAsia" w:cs="Arial" w:asciiTheme="minorEastAsia" w:hAnsiTheme="minorEastAsia" w:eastAsiaTheme="minorEastAsia"/>
          <w:color w:val="auto"/>
          <w:kern w:val="0"/>
          <w:sz w:val="18"/>
          <w:szCs w:val="18"/>
          <w:highlight w:val="none"/>
        </w:rPr>
        <w:t>政府采购计划（预算）确认书号</w:t>
      </w:r>
      <w:r>
        <w:rPr>
          <w:rFonts w:hint="eastAsia" w:eastAsiaTheme="minorEastAsia"/>
          <w:color w:val="auto"/>
          <w:sz w:val="18"/>
          <w:szCs w:val="18"/>
          <w:highlight w:val="none"/>
          <w:u w:val="single"/>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采购人（以下称甲方）：</w:t>
      </w:r>
      <w:r>
        <w:rPr>
          <w:rFonts w:hint="eastAsia" w:cs="Arial" w:asciiTheme="minorEastAsia" w:hAnsiTheme="minorEastAsia" w:eastAsiaTheme="minorEastAsia"/>
          <w:color w:val="auto"/>
          <w:kern w:val="0"/>
          <w:sz w:val="18"/>
          <w:szCs w:val="18"/>
          <w:highlight w:val="none"/>
          <w:lang w:eastAsia="zh-CN"/>
        </w:rPr>
        <w:t>嘉兴市秀洲区人民政府新城街道办事处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代理机构：嘉兴市银建工程咨询评估有限公司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firstLineChars="200"/>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根据《中华人民共和国政府采购法》、《民法典》等法律法规的规定，甲乙双方按照</w:t>
      </w:r>
      <w:r>
        <w:rPr>
          <w:rFonts w:hint="eastAsia" w:cs="Arial" w:asciiTheme="minorEastAsia" w:hAnsiTheme="minorEastAsia" w:eastAsiaTheme="minorEastAsia"/>
          <w:color w:val="auto"/>
          <w:sz w:val="18"/>
          <w:szCs w:val="18"/>
          <w:highlight w:val="none"/>
          <w:u w:val="single"/>
          <w:lang w:eastAsia="zh-CN"/>
        </w:rPr>
        <w:t>新城街道2024年度区域绿化养护项目</w:t>
      </w:r>
      <w:r>
        <w:rPr>
          <w:rFonts w:hint="eastAsia" w:cs="Arial" w:asciiTheme="minorEastAsia" w:hAnsiTheme="minorEastAsia" w:eastAsiaTheme="minorEastAsia"/>
          <w:color w:val="auto"/>
          <w:kern w:val="0"/>
          <w:sz w:val="18"/>
          <w:szCs w:val="18"/>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预算金额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采购金额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211"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 w:val="18"/>
                <w:szCs w:val="18"/>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合计</w:t>
            </w: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 w:val="18"/>
                <w:szCs w:val="18"/>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3、本合同付款方式为以下第</w:t>
      </w:r>
      <w:r>
        <w:rPr>
          <w:rFonts w:hint="eastAsia" w:cs="Arial" w:asciiTheme="minorEastAsia" w:hAnsiTheme="minorEastAsia" w:eastAsiaTheme="minorEastAsia"/>
          <w:color w:val="auto"/>
          <w:kern w:val="0"/>
          <w:sz w:val="18"/>
          <w:szCs w:val="18"/>
          <w:highlight w:val="none"/>
          <w:u w:val="single"/>
        </w:rPr>
        <w:t xml:space="preserve">    （2）      </w:t>
      </w:r>
      <w:r>
        <w:rPr>
          <w:rFonts w:hint="eastAsia" w:cs="Arial" w:asciiTheme="minorEastAsia" w:hAnsiTheme="minorEastAsia" w:eastAsiaTheme="minorEastAsia"/>
          <w:color w:val="auto"/>
          <w:kern w:val="0"/>
          <w:sz w:val="18"/>
          <w:szCs w:val="18"/>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（1）本合同项下的采购资金系甲方自行支付，付款程序为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u w:val="single"/>
        </w:rPr>
      </w:pPr>
      <w:r>
        <w:rPr>
          <w:rFonts w:hint="eastAsia" w:cs="Arial" w:asciiTheme="minorEastAsia" w:hAnsiTheme="minorEastAsia" w:eastAsiaTheme="minorEastAsia"/>
          <w:color w:val="auto"/>
          <w:kern w:val="0"/>
          <w:sz w:val="18"/>
          <w:szCs w:val="18"/>
          <w:highlight w:val="none"/>
        </w:rPr>
        <w:t>（2）本合同项下的采购资金须财政直接支付，付款程序为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本合同一式五份，甲乙双方各执二份， 一份送招标代理机构存档。</w:t>
      </w:r>
    </w:p>
    <w:p>
      <w:pPr>
        <w:snapToGrid w:val="0"/>
        <w:spacing w:beforeLines="50" w:afterLines="50" w:line="360" w:lineRule="auto"/>
        <w:jc w:val="center"/>
        <w:outlineLvl w:val="9"/>
        <w:rPr>
          <w:rFonts w:cs="Arial" w:asciiTheme="minorEastAsia" w:hAnsiTheme="minorEastAsia" w:eastAsiaTheme="minorEastAsia"/>
          <w:b/>
          <w:color w:val="auto"/>
          <w:kern w:val="0"/>
          <w:sz w:val="18"/>
          <w:szCs w:val="18"/>
          <w:highlight w:val="none"/>
        </w:rPr>
      </w:pPr>
    </w:p>
    <w:p>
      <w:pPr>
        <w:snapToGrid w:val="0"/>
        <w:spacing w:beforeLines="50" w:afterLines="50" w:line="360" w:lineRule="auto"/>
        <w:jc w:val="center"/>
        <w:outlineLvl w:val="0"/>
        <w:rPr>
          <w:rFonts w:cs="Arial" w:asciiTheme="minorEastAsia" w:hAnsiTheme="minorEastAsia" w:eastAsiaTheme="minorEastAsia"/>
          <w:b/>
          <w:color w:val="auto"/>
          <w:kern w:val="0"/>
          <w:sz w:val="18"/>
          <w:szCs w:val="18"/>
          <w:highlight w:val="none"/>
        </w:rPr>
      </w:pPr>
      <w:bookmarkStart w:id="198" w:name="_Toc30292"/>
      <w:bookmarkStart w:id="199" w:name="_Toc3654"/>
      <w:r>
        <w:rPr>
          <w:rFonts w:hint="eastAsia" w:cs="Arial" w:asciiTheme="minorEastAsia" w:hAnsiTheme="minorEastAsia" w:eastAsiaTheme="minorEastAsia"/>
          <w:b/>
          <w:color w:val="auto"/>
          <w:kern w:val="0"/>
          <w:sz w:val="18"/>
          <w:szCs w:val="18"/>
          <w:highlight w:val="none"/>
        </w:rPr>
        <w:t>二、特殊专用条款部分（双方协商拟定）</w:t>
      </w:r>
      <w:bookmarkEnd w:id="198"/>
      <w:bookmarkEnd w:id="199"/>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甲方：乙方：</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地址：地址：</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法定代表人或被授权人：法定代表人或被授权人：</w:t>
      </w:r>
    </w:p>
    <w:p>
      <w:pPr>
        <w:pStyle w:val="30"/>
        <w:snapToGrid w:val="0"/>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签订地点：</w:t>
      </w:r>
    </w:p>
    <w:p>
      <w:pPr>
        <w:pStyle w:val="30"/>
        <w:snapToGrid w:val="0"/>
        <w:spacing w:before="120" w:after="120" w:line="360" w:lineRule="auto"/>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签订日期：年月日</w:t>
      </w:r>
    </w:p>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br w:type="page"/>
      </w:r>
    </w:p>
    <w:p>
      <w:pPr>
        <w:spacing w:line="360" w:lineRule="auto"/>
        <w:ind w:firstLine="482"/>
        <w:jc w:val="center"/>
        <w:outlineLvl w:val="1"/>
        <w:rPr>
          <w:rFonts w:hint="eastAsia"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合同协议条款</w:t>
      </w:r>
    </w:p>
    <w:p>
      <w:pPr>
        <w:numPr>
          <w:ilvl w:val="0"/>
          <w:numId w:val="13"/>
        </w:num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词语定义合同文件</w:t>
      </w:r>
    </w:p>
    <w:p>
      <w:pPr>
        <w:spacing w:line="360" w:lineRule="auto"/>
        <w:ind w:left="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 词语定义</w:t>
      </w:r>
    </w:p>
    <w:p>
      <w:pPr>
        <w:spacing w:line="360" w:lineRule="auto"/>
        <w:ind w:left="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下列词语除补充条款另有约定外，应具有本条所赋予的定义：</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1.1协议条款：是根据法律、行政法规规定及养护要求的需要订立，通用于本项目实施的条款。</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1.2补充条款：是双方根据有关法律、行政法规规定，结合项目实际情况，经协商达成意见的条款，是对协议条款内容的具体化、补充或修改。</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1.3发包人：指在协议书中约定，被发包人接受的具有</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主体资格的当事人。</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 承包人：指在协议书中约定，被发包人接受的具有</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承包主体资格的当事人。</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1.5项目：</w:t>
      </w:r>
      <w:r>
        <w:rPr>
          <w:rFonts w:hint="eastAsia" w:ascii="宋体" w:hAnsi="宋体" w:cs="宋体"/>
          <w:color w:val="auto"/>
          <w:sz w:val="18"/>
          <w:szCs w:val="18"/>
          <w:highlight w:val="none"/>
          <w:lang w:eastAsia="zh-CN"/>
        </w:rPr>
        <w:t>新城街道2024年度区域绿化养护项目</w:t>
      </w:r>
      <w:r>
        <w:rPr>
          <w:rFonts w:hint="eastAsia" w:ascii="宋体" w:hAnsi="宋体" w:eastAsia="宋体" w:cs="宋体"/>
          <w:color w:val="auto"/>
          <w:sz w:val="18"/>
          <w:szCs w:val="18"/>
          <w:highlight w:val="none"/>
        </w:rPr>
        <w:t>。</w:t>
      </w:r>
    </w:p>
    <w:p>
      <w:pPr>
        <w:spacing w:line="360" w:lineRule="auto"/>
        <w:ind w:left="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1.6月日指日历月日</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 语言文字和适用法律、标准及规范</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2.1语言文字</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本合同文件使用汉语书写和解释、说明。</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2.2适用法律法规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适用中华人民共和国的法律、法规和嘉兴市的地方法规；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2.3适用标准、规范</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综合养护质量规范</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二、双方一般权利和义务</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3 甲方代表</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甲方指派</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为甲方代表，全面负责日常养护作业的管理工作。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4 乙方代表</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4.1乙方指派</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为养护项目负责人，具体负责本养护作业工作，并用书面材料报甲方备案。</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4.2项目负责人等有关人员必须按时参加由甲方召开的养护例会和各种必须参加的会议。</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4.3乙方如需更换项目负责人，应至少提前7天以书面形式通知甲方，并征得甲方同意。后任继续行使合同文件的前任的职权，履行前任的义务。</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4.4甲方可以与乙方协商，建议更换其认为不称职的项目负责人。</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 甲方工作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5.1组织召开养护作业技术交底会。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5.2协助乙方办理养护所需的有关证件，批件等。</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负责乙方的日常养护作业的管理和检查(定期检查和抽查相结合)。每个月约定月底对乙方作出养护工作计划布置和对养护工作进行考核(全年考核不少于12次)，考核按有关养护工作考核标准并结合甲方养护工作计划要求综合进行年终综合考核考评。</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5.4甲方对乙方的养护质量进行检查并进行每月考核，考核结果作为支付养护经费的依据。</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5.5负责合同期间的行政许可审批及协调工作，如遇突发事件，协调乙方在作业过程中与其他管理部门的关系。</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5.6进行绿化养护工作业务指导。</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5.7甲方应作的其他工作，双方在补充条款内约定。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 乙方工作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6.1乙方提交养护工作计划经甲方核定后，由乙方承担日常养护作业。</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6.2做好日、周统计报表，并按时做好月、季、年度上报养护工作完成情况表，按甲方要求及时上报。</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6.3应按甲方提出的以周围建筑物和各种管线的要求落实保护措施；</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6.4建立巡视报告制，每天有专人进行对绿化等设施的巡视，并做好每日巡视记录。发现养护范围内绿化缺损，适时补种，并把结果报告甲方；</w:t>
      </w:r>
    </w:p>
    <w:p>
      <w:pPr>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巡视中发现区域内有违章搭建及无证占绿、乱种植等现象，由乙方负责处理，必须当场予以制止，并清理干净，恢复原样。养护区域内的所有附属设施均由乙方负责维修、安装。</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6.5超出常规小修范围的工作，需提前报甲方审批；</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6.6及时解决来信、来访，并根据甲方要求及时处理；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6.7按时完成甲方交办的其它突击性任务和指令性任务；</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6.8认真做好防台防汛等工作；</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6.9加强法定节假日的正常养护工作；</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6.10清除杂草是一经常性的工作，但除草以春季为一年中的关键，应集中除杂草1-2次。一年中严禁杂草结籽，减少第二年的杂草种原；</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6.11注意病虫害的防治。抓住重点防治时期进行早期预防是其关键。病害以提前预防为主，虫害遵循治早治小的原则，树每年3次以上。药剂种类、浓度根据实际需要确定并报甲方备案，要严格操作规程，使病虫害有明显抑制；树木冬季应刷白，高度为乔木1米，乔状灌木0.5米；</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6.12注意养护区的排灌水。主要是梅雨、台汛和阵雨积水，出现积水时要及时排出，一般积水不得超过4小时，应做好排水沟渠的通畅，灌排设施的完整，结合临时排水等措施进行，避免因积水而造成植物的死亡。灌溉必须根据气候条件的变化灵活掌握。一般来说，春季到初夏，苗木处于旺盛生长期，南方雨水多，只要灌溉三四次即可，初夏如果高温又干旱，必须增加灌水次数，秋季，为了让苗木组织充实和木质化，准备越冬，一般不灌水。冬季，南方不灌水；</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6.13苗木初始补植时需要适当施肥，促进苗木生长，肥料种类、数量由乙方根据实际情况确定并报甲方核准备案，以保持良好生长势；</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因乙方管理不到位而引起的安全事故责任由乙方承担。</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乙方应作的其他工作，双方在补充条款内约定。</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四、养护组织设计</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7 进度计划</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7.1乙方在本合同生效后15天内上报全年养护作业维修计划，并结合季节特点，制定季度、月度养护计划</w:t>
      </w:r>
      <w:r>
        <w:rPr>
          <w:rFonts w:hint="eastAsia" w:ascii="宋体" w:hAnsi="宋体" w:cs="宋体"/>
          <w:color w:val="auto"/>
          <w:sz w:val="18"/>
          <w:szCs w:val="18"/>
          <w:highlight w:val="none"/>
          <w:lang w:eastAsia="zh-CN"/>
        </w:rPr>
        <w:t>（包括但不限于日常的工作量，用工用料以清单形式提供）</w:t>
      </w:r>
      <w:r>
        <w:rPr>
          <w:rFonts w:hint="eastAsia" w:ascii="宋体" w:hAnsi="宋体" w:eastAsia="宋体" w:cs="宋体"/>
          <w:color w:val="auto"/>
          <w:sz w:val="18"/>
          <w:szCs w:val="18"/>
          <w:highlight w:val="none"/>
        </w:rPr>
        <w:t>、材料计划送交甲方。甲方在7天内予以确认。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乙方必须按甲方确认的进度计划组织养护作业，接受甲方对进度的检查、监督。养护作业实际进度与经确认的进度计划不一致时，乙方应按甲方的要求提出改进措施，经甲方代表确认后执行。因乙方的原因导致实际进度与计划进度不符，乙方无权就改进措施提出追加合同价款。</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五、质量与考核</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8 质量标准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养护质量标准参照补充条款约定的质量标准。因乙方原因使养护质量达不到约定的质量标准，乙方承担违约责任。</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9 检查和考核</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9.1乙方应认真按照补充条款中约定的质量标准进行养护，随时接受甲方的检查和考核，为检查和考核提供便利条件。</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9.2对于养护质量或</w:t>
      </w:r>
      <w:r>
        <w:rPr>
          <w:rFonts w:hint="eastAsia" w:ascii="宋体" w:hAnsi="宋体" w:cs="宋体"/>
          <w:color w:val="auto"/>
          <w:sz w:val="18"/>
          <w:szCs w:val="18"/>
          <w:highlight w:val="none"/>
          <w:lang w:eastAsia="zh-CN"/>
        </w:rPr>
        <w:t>养护</w:t>
      </w:r>
      <w:r>
        <w:rPr>
          <w:rFonts w:hint="eastAsia" w:ascii="宋体" w:hAnsi="宋体" w:eastAsia="宋体" w:cs="宋体"/>
          <w:color w:val="auto"/>
          <w:sz w:val="18"/>
          <w:szCs w:val="18"/>
          <w:highlight w:val="none"/>
        </w:rPr>
        <w:t>期不符合要求的，甲方先通知限期整改，乙方逾期不整改的或整改效果不符合要求的，由甲方派其他队伍整改，费用在乙方养护费用中扣除。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9.3甲方按照补充条款中约定的考核办法及奖惩措施进行考核。</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9.4乙方经考核确实不能承担养护作业的，甲方有权无条件单方终止合同。乙方接甲方通知后24小时内必须无条件清退出场，由此造成的损失由乙方承担，原已完成的工作量按实结算。</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9.5甲方结合养护新特点和行业颁布的最新标准，甲方有修改考核标准的权利。</w:t>
      </w:r>
    </w:p>
    <w:p>
      <w:pPr>
        <w:spacing w:line="360" w:lineRule="auto"/>
        <w:ind w:firstLine="482"/>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rPr>
        <w:t>六、安全文明</w:t>
      </w:r>
      <w:r>
        <w:rPr>
          <w:rFonts w:hint="eastAsia" w:ascii="宋体" w:hAnsi="宋体" w:cs="宋体"/>
          <w:b/>
          <w:color w:val="auto"/>
          <w:sz w:val="18"/>
          <w:szCs w:val="18"/>
          <w:highlight w:val="none"/>
          <w:lang w:eastAsia="zh-CN"/>
        </w:rPr>
        <w:t>工作</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 安全文明</w:t>
      </w:r>
      <w:r>
        <w:rPr>
          <w:rFonts w:hint="eastAsia" w:ascii="宋体" w:hAnsi="宋体" w:cs="宋体"/>
          <w:b/>
          <w:color w:val="auto"/>
          <w:sz w:val="18"/>
          <w:szCs w:val="18"/>
          <w:highlight w:val="none"/>
          <w:lang w:eastAsia="zh-CN"/>
        </w:rPr>
        <w:t>工作</w:t>
      </w:r>
      <w:r>
        <w:rPr>
          <w:rFonts w:hint="eastAsia" w:ascii="宋体" w:hAnsi="宋体" w:eastAsia="宋体" w:cs="宋体"/>
          <w:b/>
          <w:color w:val="auto"/>
          <w:sz w:val="18"/>
          <w:szCs w:val="18"/>
          <w:highlight w:val="none"/>
        </w:rPr>
        <w:t>与检查</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10.1乙方应遵循有关规定及行业规范，严格按照操作规程作业，并随时接受甲方或有关部门的监督检查和社会监督，采取必要的安全防护措施，消除事故隐患。</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10.2由于乙方管理不善，引起政府职能部门处罚和限期整改，或安全措施不力造成事故的责任和因此发生的费用，由乙方承担。</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11 安全防护</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11.1养护作业人员应做好各项安全防范措施，必须着装上岗操作。</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12 事故处理</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12.1发生重大伤亡及其他安全事故，乙方就有关规定立即上报有关部门并通知甲方代表，同时按政府有关部门要求处理由事故责任方承担发生的费用。</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七、合同价款与支付</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13 合同价款及调整</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13.1合同价款由甲、乙双方依据中标通知书中的中标价格在协议书内约定。</w:t>
      </w:r>
    </w:p>
    <w:p>
      <w:pPr>
        <w:spacing w:line="360" w:lineRule="auto"/>
        <w:ind w:firstLine="480"/>
        <w:rPr>
          <w:rFonts w:hint="eastAsia" w:ascii="宋体" w:hAnsi="宋体" w:eastAsia="宋体" w:cs="宋体"/>
          <w:b/>
          <w:color w:val="auto"/>
          <w:sz w:val="18"/>
          <w:szCs w:val="18"/>
          <w:highlight w:val="none"/>
          <w:u w:val="single"/>
        </w:rPr>
      </w:pPr>
      <w:r>
        <w:rPr>
          <w:rFonts w:hint="eastAsia" w:ascii="宋体" w:hAnsi="宋体" w:eastAsia="宋体" w:cs="宋体"/>
          <w:color w:val="auto"/>
          <w:sz w:val="18"/>
          <w:szCs w:val="18"/>
          <w:highlight w:val="none"/>
        </w:rPr>
        <w:t>13.2</w:t>
      </w:r>
      <w:r>
        <w:rPr>
          <w:rFonts w:hint="eastAsia" w:ascii="宋体" w:hAnsi="宋体" w:eastAsia="宋体" w:cs="宋体"/>
          <w:b/>
          <w:bCs/>
          <w:color w:val="auto"/>
          <w:sz w:val="18"/>
          <w:szCs w:val="18"/>
          <w:highlight w:val="none"/>
        </w:rPr>
        <w:t>本合同价款采用固定单价合同</w:t>
      </w:r>
      <w:r>
        <w:rPr>
          <w:rFonts w:hint="eastAsia" w:ascii="宋体" w:hAnsi="宋体" w:eastAsia="宋体" w:cs="宋体"/>
          <w:b/>
          <w:color w:val="auto"/>
          <w:sz w:val="18"/>
          <w:szCs w:val="18"/>
          <w:highlight w:val="none"/>
        </w:rPr>
        <w:t>。</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13.3双方约定合同价款的其他调整因素：</w:t>
      </w:r>
    </w:p>
    <w:p>
      <w:pPr>
        <w:spacing w:line="360" w:lineRule="auto"/>
        <w:ind w:firstLine="270" w:firstLineChars="1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(1)合同执行期间如遇政策性调整，以有关管理部门的文件为准。</w:t>
      </w:r>
    </w:p>
    <w:p>
      <w:pPr>
        <w:spacing w:line="360" w:lineRule="auto"/>
        <w:ind w:firstLine="42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(2)双方在补充条款中约定的其他调整因素。</w:t>
      </w:r>
    </w:p>
    <w:p>
      <w:pPr>
        <w:spacing w:line="360" w:lineRule="auto"/>
        <w:ind w:firstLine="48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合同价款的变更由双方以补充合同形式予以确定。</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14 合同价款支付</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甲方根据实际考核结果，每季度支付一次养护费用，在下一个月的月中前支付。</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15履约保证金</w:t>
      </w:r>
    </w:p>
    <w:p>
      <w:pPr>
        <w:spacing w:line="460" w:lineRule="exact"/>
        <w:ind w:firstLine="360" w:firstLineChars="200"/>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见投标人须知前附表</w:t>
      </w:r>
      <w:r>
        <w:rPr>
          <w:rFonts w:hint="eastAsia" w:ascii="宋体" w:hAnsi="宋体" w:eastAsia="宋体" w:cs="宋体"/>
          <w:color w:val="auto"/>
          <w:sz w:val="18"/>
          <w:szCs w:val="18"/>
          <w:highlight w:val="none"/>
        </w:rPr>
        <w:t>。</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八、材料设备供应</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16材料设备供应</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16.1养护维修所需的材料、制品、工具、设备等，原则上均由乙方自行解决，如遇特殊情况，按补充条款约定的方式采购或配备。</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九、违约和争议</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17 违约</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17.1甲方代表不能及时给出很必要指令、确认、批准，不能按合同约定履行自己的各项义务、以及发生其它使合同无法履行的行为，应承担违约责任(包括支付违约导致乙方增加经济支出和从应之日起计算的应支付款项的利息)。</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17.2乙方不能达到所承诺的养护、维修质量标准，乙方按协议条款支付违约金，赔偿因违约给甲方造成的损失。</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17.3因一方违约使合同不能履行，另一方欲终止或解除全部合同，应提前10天通知违约方后，方可终止或解除合同，由违约方承担违约责任。</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18 争议</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18.1甲乙双方因合同发生争议，要求调解、仲裁、起诉的，采用以下一种方式解决：</w:t>
      </w:r>
    </w:p>
    <w:p>
      <w:pPr>
        <w:numPr>
          <w:ilvl w:val="0"/>
          <w:numId w:val="14"/>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甲乙双方协商</w:t>
      </w:r>
    </w:p>
    <w:p>
      <w:pPr>
        <w:numPr>
          <w:ilvl w:val="0"/>
          <w:numId w:val="14"/>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向有管辖权的经济合同仲裁机关申请仲裁；</w:t>
      </w:r>
    </w:p>
    <w:p>
      <w:pPr>
        <w:numPr>
          <w:ilvl w:val="0"/>
          <w:numId w:val="14"/>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向有管辖权的人民法院起诉。</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18.2发生争议后，除出现以下情况的，双方都应继续履行合同，保持养护连续性：</w:t>
      </w:r>
    </w:p>
    <w:p>
      <w:pPr>
        <w:numPr>
          <w:ilvl w:val="0"/>
          <w:numId w:val="15"/>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合同确已无法履行；</w:t>
      </w:r>
    </w:p>
    <w:p>
      <w:pPr>
        <w:numPr>
          <w:ilvl w:val="0"/>
          <w:numId w:val="15"/>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双方协议停止养护作业；</w:t>
      </w:r>
    </w:p>
    <w:p>
      <w:pPr>
        <w:numPr>
          <w:ilvl w:val="0"/>
          <w:numId w:val="15"/>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仲裁机关要求停止养护作业；</w:t>
      </w:r>
    </w:p>
    <w:p>
      <w:pPr>
        <w:numPr>
          <w:ilvl w:val="0"/>
          <w:numId w:val="15"/>
        </w:num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法院要求停止养护作业。</w:t>
      </w:r>
    </w:p>
    <w:p>
      <w:pPr>
        <w:spacing w:line="360" w:lineRule="auto"/>
        <w:ind w:left="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十、合同中止</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19.1承包范围内的养护管理项目，乙方不得采取任何形式实施分包和转包，凡违反此规定的，甲方将立即取消乙方的承包资格，中止养护承包合同的履行，由此产生的一切法律责任和经济损失由乙方承担；</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color w:val="auto"/>
          <w:sz w:val="18"/>
          <w:szCs w:val="18"/>
          <w:highlight w:val="none"/>
        </w:rPr>
        <w:t>19.2</w:t>
      </w:r>
      <w:r>
        <w:rPr>
          <w:rFonts w:hint="eastAsia" w:ascii="宋体" w:hAnsi="宋体" w:eastAsia="宋体" w:cs="宋体"/>
          <w:b/>
          <w:color w:val="auto"/>
          <w:sz w:val="18"/>
          <w:szCs w:val="18"/>
          <w:highlight w:val="none"/>
        </w:rPr>
        <w:t>养护期为</w:t>
      </w:r>
      <w:r>
        <w:rPr>
          <w:rFonts w:hint="eastAsia" w:ascii="宋体" w:hAnsi="宋体" w:eastAsia="宋体" w:cs="宋体"/>
          <w:b/>
          <w:color w:val="auto"/>
          <w:sz w:val="18"/>
          <w:szCs w:val="18"/>
          <w:highlight w:val="none"/>
          <w:lang w:val="en-US" w:eastAsia="zh-CN"/>
        </w:rPr>
        <w:t>1</w:t>
      </w:r>
      <w:r>
        <w:rPr>
          <w:rFonts w:hint="eastAsia" w:ascii="宋体" w:hAnsi="宋体" w:eastAsia="宋体" w:cs="宋体"/>
          <w:b/>
          <w:color w:val="auto"/>
          <w:sz w:val="18"/>
          <w:szCs w:val="18"/>
          <w:highlight w:val="none"/>
        </w:rPr>
        <w:t>年。</w:t>
      </w:r>
    </w:p>
    <w:p>
      <w:pPr>
        <w:spacing w:line="360" w:lineRule="auto"/>
        <w:ind w:firstLine="48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十一、其他</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20.1在本合同执行过程中如遇和国家政策、地方法规的有关规定不符时，按有关政策法规执行。</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20.2如遇自然灾害和不可抗力造成损失的，经双方协商解决。</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20.3本合同如有未尽事宜，双方可通过协商补充协议解决。</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十二、合同生效与终止</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21.1双方在合同协议书中约定合同生效方式。</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21.2双方履行合同全部义务，合同付款支付完毕后，本合同即告终止。</w:t>
      </w:r>
    </w:p>
    <w:p>
      <w:pPr>
        <w:spacing w:line="360" w:lineRule="auto"/>
        <w:ind w:firstLine="482"/>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十三、合同份数</w:t>
      </w:r>
    </w:p>
    <w:p>
      <w:pPr>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22.1本合同正本二份，具有同等效力。由甲方、乙方分别保存一份。</w:t>
      </w:r>
    </w:p>
    <w:p>
      <w:pPr>
        <w:ind w:firstLine="360" w:firstLineChars="200"/>
        <w:rPr>
          <w:rFonts w:hint="eastAsia" w:ascii="宋体" w:hAnsi="宋体" w:eastAsia="宋体" w:cs="宋体"/>
          <w:color w:val="auto"/>
          <w:highlight w:val="none"/>
        </w:rPr>
      </w:pPr>
      <w:r>
        <w:rPr>
          <w:rFonts w:hint="eastAsia" w:ascii="宋体" w:hAnsi="宋体" w:eastAsia="宋体" w:cs="宋体"/>
          <w:color w:val="auto"/>
          <w:sz w:val="18"/>
          <w:szCs w:val="18"/>
          <w:highlight w:val="none"/>
        </w:rPr>
        <w:t>22.2本合同副本六份，由甲乙双方分别保存三份。</w:t>
      </w:r>
    </w:p>
    <w:p>
      <w:pPr>
        <w:pStyle w:val="30"/>
        <w:adjustRightInd w:val="0"/>
        <w:spacing w:before="120" w:after="120" w:line="360" w:lineRule="auto"/>
        <w:rPr>
          <w:rFonts w:asciiTheme="minorEastAsia" w:hAnsiTheme="minorEastAsia" w:eastAsiaTheme="minorEastAsia"/>
          <w:bCs/>
          <w:color w:val="auto"/>
          <w:sz w:val="21"/>
          <w:szCs w:val="21"/>
          <w:highlight w:val="none"/>
        </w:rPr>
      </w:pPr>
    </w:p>
    <w:p>
      <w:pPr>
        <w:pStyle w:val="30"/>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0"/>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按照《政府采购委托汇总确认书》</w:t>
      </w:r>
      <w:r>
        <w:rPr>
          <w:rFonts w:hint="eastAsia" w:cs="宋体" w:asciiTheme="minorEastAsia" w:hAnsiTheme="minorEastAsia" w:eastAsiaTheme="minorEastAsia"/>
          <w:color w:val="auto"/>
          <w:kern w:val="0"/>
          <w:sz w:val="18"/>
          <w:szCs w:val="18"/>
          <w:highlight w:val="none"/>
          <w:lang w:eastAsia="zh-CN"/>
        </w:rPr>
        <w:t>嘉兴市秀洲区财政局</w:t>
      </w:r>
      <w:r>
        <w:rPr>
          <w:color w:val="auto"/>
          <w:sz w:val="18"/>
          <w:szCs w:val="18"/>
          <w:highlight w:val="none"/>
        </w:rPr>
        <w:fldChar w:fldCharType="begin"/>
      </w:r>
      <w:r>
        <w:rPr>
          <w:color w:val="auto"/>
          <w:sz w:val="18"/>
          <w:szCs w:val="18"/>
          <w:highlight w:val="none"/>
        </w:rPr>
        <w:instrText xml:space="preserve"> HYPERLINK "https://pay.zcygov.cn/purchaseplan_front/" \l "/plan/list/detail?id=1000000000002254157&amp;encrypt=bc26d93a1eb531475bc98682ad889359" \t "_blank" </w:instrText>
      </w:r>
      <w:r>
        <w:rPr>
          <w:color w:val="auto"/>
          <w:sz w:val="18"/>
          <w:szCs w:val="18"/>
          <w:highlight w:val="none"/>
        </w:rPr>
        <w:fldChar w:fldCharType="separate"/>
      </w:r>
      <w:r>
        <w:rPr>
          <w:color w:val="auto"/>
          <w:sz w:val="18"/>
          <w:szCs w:val="18"/>
          <w:highlight w:val="none"/>
        </w:rPr>
        <w:fldChar w:fldCharType="end"/>
      </w:r>
      <w:r>
        <w:rPr>
          <w:rFonts w:hint="eastAsia"/>
          <w:color w:val="auto"/>
          <w:sz w:val="18"/>
          <w:szCs w:val="18"/>
          <w:highlight w:val="none"/>
          <w:lang w:eastAsia="zh-CN"/>
        </w:rPr>
        <w:t>临[2023]3680号</w:t>
      </w:r>
      <w:r>
        <w:rPr>
          <w:rFonts w:hint="eastAsia" w:cs="宋体" w:asciiTheme="minorEastAsia" w:hAnsiTheme="minorEastAsia" w:eastAsiaTheme="minorEastAsia"/>
          <w:color w:val="auto"/>
          <w:kern w:val="0"/>
          <w:sz w:val="18"/>
          <w:szCs w:val="18"/>
          <w:highlight w:val="none"/>
        </w:rPr>
        <w:t>，采购编号</w:t>
      </w:r>
      <w:r>
        <w:rPr>
          <w:rFonts w:hint="eastAsia" w:cs="宋体" w:asciiTheme="minorEastAsia" w:hAnsiTheme="minorEastAsia" w:eastAsiaTheme="minorEastAsia"/>
          <w:color w:val="auto"/>
          <w:kern w:val="0"/>
          <w:sz w:val="18"/>
          <w:szCs w:val="18"/>
          <w:highlight w:val="none"/>
          <w:lang w:eastAsia="zh-CN"/>
        </w:rPr>
        <w:t>银建-JXYJ（2023）68号</w:t>
      </w:r>
      <w:r>
        <w:rPr>
          <w:rFonts w:hint="eastAsia" w:cs="宋体" w:asciiTheme="minorEastAsia" w:hAnsiTheme="minorEastAsia" w:eastAsiaTheme="minorEastAsia"/>
          <w:color w:val="auto"/>
          <w:kern w:val="0"/>
          <w:sz w:val="18"/>
          <w:szCs w:val="18"/>
          <w:highlight w:val="none"/>
        </w:rPr>
        <w:t>,合同号：</w:t>
      </w:r>
      <w:r>
        <w:rPr>
          <w:rFonts w:hint="eastAsia" w:cs="宋体" w:asciiTheme="minorEastAsia" w:hAnsiTheme="minorEastAsia" w:eastAsiaTheme="minorEastAsia"/>
          <w:color w:val="auto"/>
          <w:kern w:val="0"/>
          <w:sz w:val="18"/>
          <w:szCs w:val="18"/>
          <w:highlight w:val="none"/>
          <w:lang w:eastAsia="zh-CN"/>
        </w:rPr>
        <w:t>银建-JXYJ（2023）68号</w:t>
      </w:r>
      <w:r>
        <w:rPr>
          <w:rFonts w:hint="eastAsia" w:cs="宋体" w:asciiTheme="minorEastAsia" w:hAnsiTheme="minorEastAsia" w:eastAsiaTheme="minorEastAsia"/>
          <w:color w:val="auto"/>
          <w:kern w:val="0"/>
          <w:sz w:val="18"/>
          <w:szCs w:val="18"/>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采购货物（服务，工程）名称</w:t>
            </w:r>
          </w:p>
        </w:tc>
        <w:tc>
          <w:tcPr>
            <w:tcW w:w="484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规格、型号</w:t>
            </w:r>
          </w:p>
        </w:tc>
        <w:tc>
          <w:tcPr>
            <w:tcW w:w="128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数量</w:t>
            </w:r>
          </w:p>
        </w:tc>
        <w:tc>
          <w:tcPr>
            <w:tcW w:w="160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核定总价</w:t>
            </w:r>
          </w:p>
        </w:tc>
        <w:tc>
          <w:tcPr>
            <w:tcW w:w="17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w:t>
            </w:r>
          </w:p>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6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740" w:type="dxa"/>
            <w:tcBorders>
              <w:top w:val="nil"/>
              <w:left w:val="nil"/>
              <w:bottom w:val="single" w:color="auto" w:sz="4" w:space="0"/>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合计总价款（人民币）</w:t>
            </w:r>
          </w:p>
        </w:tc>
        <w:tc>
          <w:tcPr>
            <w:tcW w:w="9460" w:type="dxa"/>
            <w:gridSpan w:val="4"/>
            <w:tcBorders>
              <w:top w:val="nil"/>
              <w:left w:val="nil"/>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供货单位（盖章）：                     </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采购人（盖章）:</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经办项目负责人：</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项目验收组组长：</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开户银行：</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项目验收组成员（签名）：</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银行帐号：</w:t>
            </w:r>
          </w:p>
        </w:tc>
        <w:tc>
          <w:tcPr>
            <w:tcW w:w="4840" w:type="dxa"/>
            <w:tcBorders>
              <w:top w:val="nil"/>
              <w:left w:val="nil"/>
              <w:bottom w:val="single" w:color="auto" w:sz="4" w:space="0"/>
              <w:right w:val="nil"/>
            </w:tcBorders>
            <w:vAlign w:val="bottom"/>
          </w:tcPr>
          <w:p>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620" w:type="dxa"/>
            <w:gridSpan w:val="3"/>
            <w:tcBorders>
              <w:top w:val="nil"/>
              <w:left w:val="nil"/>
              <w:bottom w:val="single" w:color="auto" w:sz="4" w:space="0"/>
              <w:right w:val="single" w:color="000000" w:sz="4" w:space="0"/>
            </w:tcBorders>
            <w:vAlign w:val="center"/>
          </w:tcPr>
          <w:p>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本单一式四联：第一联采购人留存，第二联作为财政支付凭证，第三联供货单位留存，第四联采购办存档备查。</w:t>
            </w:r>
          </w:p>
        </w:tc>
      </w:tr>
    </w:tbl>
    <w:p>
      <w:pPr>
        <w:pStyle w:val="30"/>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200" w:name="_Toc25577"/>
      <w:bookmarkStart w:id="201" w:name="_Toc530"/>
      <w:r>
        <w:rPr>
          <w:rFonts w:hint="eastAsia" w:asciiTheme="minorEastAsia" w:hAnsiTheme="minorEastAsia" w:eastAsiaTheme="minorEastAsia"/>
          <w:b/>
          <w:color w:val="auto"/>
          <w:sz w:val="30"/>
          <w:szCs w:val="30"/>
          <w:highlight w:val="none"/>
        </w:rPr>
        <w:t>第六章  投标文件格式</w:t>
      </w:r>
      <w:bookmarkEnd w:id="200"/>
      <w:bookmarkEnd w:id="201"/>
    </w:p>
    <w:p>
      <w:pPr>
        <w:snapToGrid w:val="0"/>
        <w:spacing w:line="360" w:lineRule="auto"/>
        <w:jc w:val="center"/>
        <w:outlineLvl w:val="9"/>
        <w:rPr>
          <w:rFonts w:asciiTheme="minorEastAsia" w:hAnsiTheme="minorEastAsia" w:eastAsiaTheme="minorEastAsia"/>
          <w:b/>
          <w:bCs/>
          <w:color w:val="auto"/>
          <w:szCs w:val="21"/>
          <w:highlight w:val="none"/>
        </w:rPr>
      </w:pPr>
    </w:p>
    <w:p>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1.投标文件封面格式：</w:t>
      </w:r>
    </w:p>
    <w:p>
      <w:pPr>
        <w:snapToGrid w:val="0"/>
        <w:spacing w:line="360" w:lineRule="auto"/>
        <w:rPr>
          <w:rFonts w:asciiTheme="minorEastAsia" w:hAnsiTheme="minorEastAsia" w:eastAsiaTheme="minorEastAsia"/>
          <w:b/>
          <w:bCs/>
          <w:color w:val="auto"/>
          <w:sz w:val="18"/>
          <w:szCs w:val="18"/>
          <w:highlight w:val="none"/>
        </w:rPr>
      </w:pPr>
    </w:p>
    <w:p>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资信技术文件</w:t>
      </w: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rPr>
          <w:rFonts w:asciiTheme="minorEastAsia" w:hAnsiTheme="minorEastAsia" w:eastAsiaTheme="minorEastAsia"/>
          <w:b/>
          <w:color w:val="auto"/>
          <w:sz w:val="18"/>
          <w:szCs w:val="18"/>
          <w:highlight w:val="none"/>
        </w:rPr>
      </w:pPr>
    </w:p>
    <w:p>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商务报价文件</w:t>
      </w:r>
    </w:p>
    <w:p>
      <w:pPr>
        <w:snapToGrid w:val="0"/>
        <w:spacing w:line="360" w:lineRule="auto"/>
        <w:rPr>
          <w:rFonts w:asciiTheme="minorEastAsia" w:hAnsiTheme="minorEastAsia" w:eastAsiaTheme="minorEastAsia"/>
          <w:bCs/>
          <w:color w:val="auto"/>
          <w:sz w:val="18"/>
          <w:szCs w:val="18"/>
          <w:highlight w:val="none"/>
        </w:rPr>
      </w:pPr>
    </w:p>
    <w:p>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pPr>
        <w:snapToGrid w:val="0"/>
        <w:spacing w:line="360" w:lineRule="auto"/>
        <w:ind w:firstLine="900" w:firstLineChars="5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年月日</w:t>
      </w:r>
    </w:p>
    <w:p>
      <w:pPr>
        <w:spacing w:line="360" w:lineRule="auto"/>
        <w:rPr>
          <w:rFonts w:asciiTheme="minorEastAsia" w:hAnsiTheme="minorEastAsia" w:eastAsiaTheme="minorEastAsia"/>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嘉兴市秀洲区人民政府新城街道办事处</w:t>
      </w:r>
    </w:p>
    <w:p>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（投标单位名称）系中华人民共和国合法企业，经营地址。</w:t>
      </w:r>
    </w:p>
    <w:p>
      <w:pPr>
        <w:snapToGrid w:val="0"/>
        <w:spacing w:beforeLines="50" w:after="50"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我（姓名）系（投标人名称）的法定代表人，我方愿意参加贵方组织的的投标，为便于贵方公正、择优地确定中标人及其投标产品和服务，我方就本次投标有关事项郑重声明如下：</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我方向贵方提交的所有投标文件、资料都是准确的和真实的。</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我方不是招标单位的附属机构；在获知本项目采购信息后，与招标单位聘请的为此项目提供咨询服务的公司及其附属机构没有任何联系。</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3.我方承诺具有履行合同所必需的设备和专业技术能力； </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我方承诺具有良好的商业信誉和健全的财务会计制度；（附财务报表）（格式自拟） </w:t>
      </w:r>
    </w:p>
    <w:p>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5.我方承诺有依法缴纳税收和社会保障资金的良好记录；（附依法缴纳税费或依法免缴税费的证明）（格式自拟） </w:t>
      </w:r>
    </w:p>
    <w:p>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6.我方承诺参加政府采购活动前三年内，在经营活动中没有重大违法记录；（若有，请如实填写；</w:t>
      </w:r>
      <w:r>
        <w:rPr>
          <w:rFonts w:hint="eastAsia" w:asciiTheme="minorEastAsia" w:hAnsiTheme="minorEastAsia" w:eastAsiaTheme="minorEastAsia"/>
          <w:color w:val="auto"/>
          <w:sz w:val="18"/>
          <w:szCs w:val="18"/>
          <w:highlight w:val="none"/>
          <w:u w:val="single"/>
        </w:rPr>
        <w:t>　　　　　　　　　　　　</w:t>
      </w:r>
    </w:p>
    <w:p>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u w:val="single"/>
        </w:rPr>
        <w:t>　　　　　　　　　　　　　　　　　　　　　　　　　　　　　　　　　　　　</w:t>
      </w:r>
    </w:p>
    <w:p>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以上事项如有虚假或隐瞒，我方愿意承担一切后果，并不再寻求任何旨在减轻或免除法律责任的辩解。</w:t>
      </w:r>
    </w:p>
    <w:p>
      <w:pPr>
        <w:spacing w:line="360" w:lineRule="auto"/>
        <w:ind w:firstLine="452" w:firstLineChars="250"/>
        <w:jc w:val="center"/>
        <w:rPr>
          <w:rFonts w:asciiTheme="minorEastAsia" w:hAnsiTheme="minorEastAsia" w:eastAsiaTheme="minorEastAsia"/>
          <w:b/>
          <w:color w:val="auto"/>
          <w:sz w:val="18"/>
          <w:szCs w:val="18"/>
          <w:highlight w:val="none"/>
        </w:rPr>
      </w:pPr>
    </w:p>
    <w:p>
      <w:pPr>
        <w:spacing w:beforeLines="50" w:line="360" w:lineRule="auto"/>
        <w:ind w:firstLine="1320" w:firstLineChars="6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pStyle w:val="30"/>
        <w:snapToGrid w:val="0"/>
        <w:spacing w:beforeLines="0" w:afterLines="0" w:line="360" w:lineRule="auto"/>
        <w:rPr>
          <w:rFonts w:asciiTheme="minorEastAsia" w:hAnsiTheme="minorEastAsia" w:eastAsiaTheme="minorEastAsia"/>
          <w:color w:val="auto"/>
          <w:sz w:val="21"/>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pPr>
        <w:pStyle w:val="48"/>
        <w:spacing w:line="360" w:lineRule="auto"/>
        <w:ind w:firstLine="404"/>
        <w:rPr>
          <w:color w:val="auto"/>
          <w:highlight w:val="none"/>
        </w:rPr>
      </w:pPr>
    </w:p>
    <w:p>
      <w:pPr>
        <w:snapToGrid w:val="0"/>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Cs/>
          <w:color w:val="auto"/>
          <w:sz w:val="18"/>
          <w:szCs w:val="18"/>
          <w:highlight w:val="none"/>
        </w:rPr>
        <w:t>致：</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嘉兴市秀洲区人民政府新城街道办事处</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（招标采购单位名称）：</w:t>
      </w:r>
    </w:p>
    <w:p>
      <w:pPr>
        <w:snapToGrid w:val="0"/>
        <w:spacing w:line="360" w:lineRule="auto"/>
        <w:ind w:firstLine="540" w:firstLineChars="3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我（姓名）系（投标人名称）的法定代表人，现授权委托本单位在职职工（姓名）以我方的名义参加</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新城街道2024年度区域绿化养护项目</w:t>
      </w:r>
      <w:r>
        <w:rPr>
          <w:rFonts w:hint="eastAsia" w:asciiTheme="minorEastAsia" w:hAnsiTheme="minorEastAsia" w:eastAsiaTheme="minorEastAsia"/>
          <w:color w:val="auto"/>
          <w:sz w:val="18"/>
          <w:szCs w:val="18"/>
          <w:highlight w:val="none"/>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我方对被授权人的签名事项负全部责任。</w:t>
      </w:r>
    </w:p>
    <w:p>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u w:val="single"/>
        </w:rPr>
        <w:t>在撤销授权的书面通知以前，本授权书一直有效。</w:t>
      </w:r>
      <w:r>
        <w:rPr>
          <w:rFonts w:hint="eastAsia" w:asciiTheme="minorEastAsia" w:hAnsiTheme="minorEastAsia" w:eastAsiaTheme="minorEastAsia"/>
          <w:color w:val="auto"/>
          <w:sz w:val="18"/>
          <w:szCs w:val="18"/>
          <w:highlight w:val="none"/>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被授权人无转委托权，特此委托。</w:t>
      </w:r>
    </w:p>
    <w:p>
      <w:pPr>
        <w:snapToGrid w:val="0"/>
        <w:spacing w:line="360" w:lineRule="auto"/>
        <w:rPr>
          <w:rFonts w:asciiTheme="minorEastAsia" w:hAnsiTheme="minorEastAsia" w:eastAsiaTheme="minorEastAsia"/>
          <w:color w:val="auto"/>
          <w:sz w:val="18"/>
          <w:szCs w:val="18"/>
          <w:highlight w:val="none"/>
        </w:rPr>
      </w:pPr>
    </w:p>
    <w:p>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法定代表人签字：                     被授权人签字：</w:t>
      </w:r>
    </w:p>
    <w:p>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法定代表人身份证号：                  被授权人身份证号：</w:t>
      </w:r>
    </w:p>
    <w:p>
      <w:pPr>
        <w:snapToGrid w:val="0"/>
        <w:spacing w:beforeLines="50" w:after="50" w:line="360" w:lineRule="auto"/>
        <w:rPr>
          <w:rFonts w:asciiTheme="minorEastAsia" w:hAnsiTheme="minorEastAsia" w:eastAsiaTheme="minorEastAsia"/>
          <w:color w:val="auto"/>
          <w:sz w:val="18"/>
          <w:szCs w:val="18"/>
          <w:highlight w:val="none"/>
        </w:rPr>
      </w:pPr>
    </w:p>
    <w:p>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法定代表人身份证（正反面）       被授权人身份证（正反面）</w:t>
      </w:r>
    </w:p>
    <w:p>
      <w:pPr>
        <w:snapToGrid w:val="0"/>
        <w:spacing w:line="360" w:lineRule="auto"/>
        <w:rPr>
          <w:rFonts w:asciiTheme="minorEastAsia" w:hAnsiTheme="minorEastAsia" w:eastAsiaTheme="minorEastAsia"/>
          <w:color w:val="auto"/>
          <w:sz w:val="18"/>
          <w:szCs w:val="18"/>
          <w:highlight w:val="none"/>
        </w:rPr>
      </w:pPr>
    </w:p>
    <w:p>
      <w:pPr>
        <w:snapToGrid w:val="0"/>
        <w:spacing w:line="360" w:lineRule="auto"/>
        <w:ind w:firstLine="200"/>
        <w:jc w:val="right"/>
        <w:rPr>
          <w:rFonts w:asciiTheme="minorEastAsia" w:hAnsiTheme="minorEastAsia" w:eastAsiaTheme="minorEastAsia"/>
          <w:color w:val="auto"/>
          <w:sz w:val="18"/>
          <w:szCs w:val="18"/>
          <w:highlight w:val="none"/>
          <w:u w:val="single"/>
        </w:rPr>
      </w:pPr>
    </w:p>
    <w:p>
      <w:pPr>
        <w:spacing w:beforeLines="50" w:line="360" w:lineRule="auto"/>
        <w:rPr>
          <w:rFonts w:asciiTheme="minorEastAsia" w:hAnsiTheme="minorEastAsia" w:eastAsiaTheme="minorEastAsia"/>
          <w:color w:val="auto"/>
          <w:sz w:val="18"/>
          <w:szCs w:val="18"/>
          <w:highlight w:val="none"/>
        </w:rPr>
      </w:pP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pPr>
        <w:snapToGrid w:val="0"/>
        <w:spacing w:line="360" w:lineRule="auto"/>
        <w:ind w:firstLine="210" w:firstLineChars="100"/>
        <w:jc w:val="righ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pPr>
        <w:spacing w:line="360" w:lineRule="auto"/>
        <w:rPr>
          <w:rFonts w:asciiTheme="minorEastAsia" w:hAnsiTheme="minorEastAsia" w:eastAsiaTheme="minorEastAsia"/>
          <w:color w:val="auto"/>
          <w:szCs w:val="21"/>
          <w:highlight w:val="none"/>
        </w:rPr>
      </w:pPr>
    </w:p>
    <w:p>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u w:val="single"/>
          <w:lang w:eastAsia="zh-CN"/>
        </w:rPr>
        <w:t>嘉兴市秀洲区人民政府新城街道办事处</w:t>
      </w:r>
    </w:p>
    <w:p>
      <w:pPr>
        <w:spacing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关于贵方</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新城街道2024年度区域绿化养护项目</w:t>
      </w:r>
      <w:r>
        <w:rPr>
          <w:rFonts w:asciiTheme="minorEastAsia" w:hAnsiTheme="minorEastAsia" w:eastAsiaTheme="minorEastAsia"/>
          <w:color w:val="auto"/>
          <w:sz w:val="18"/>
          <w:szCs w:val="18"/>
          <w:highlight w:val="none"/>
        </w:rPr>
        <w:t>招标</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，本签字人愿意参加投标，提供</w:t>
      </w:r>
      <w:r>
        <w:rPr>
          <w:rFonts w:hint="eastAsia" w:asciiTheme="minorEastAsia" w:hAnsiTheme="minorEastAsia" w:eastAsiaTheme="minorEastAsia"/>
          <w:color w:val="auto"/>
          <w:sz w:val="18"/>
          <w:szCs w:val="18"/>
          <w:highlight w:val="none"/>
        </w:rPr>
        <w:t>招标文件</w:t>
      </w:r>
      <w:r>
        <w:rPr>
          <w:rFonts w:asciiTheme="minorEastAsia" w:hAnsiTheme="minorEastAsia" w:eastAsiaTheme="minorEastAsia"/>
          <w:color w:val="auto"/>
          <w:sz w:val="18"/>
          <w:szCs w:val="18"/>
          <w:highlight w:val="none"/>
        </w:rPr>
        <w:t>规定的</w:t>
      </w:r>
      <w:r>
        <w:rPr>
          <w:rFonts w:hint="eastAsia" w:asciiTheme="minorEastAsia" w:hAnsiTheme="minorEastAsia" w:eastAsiaTheme="minorEastAsia"/>
          <w:color w:val="auto"/>
          <w:sz w:val="18"/>
          <w:szCs w:val="18"/>
          <w:highlight w:val="none"/>
        </w:rPr>
        <w:t>要求及服务，</w:t>
      </w:r>
      <w:r>
        <w:rPr>
          <w:rFonts w:asciiTheme="minorEastAsia" w:hAnsiTheme="minorEastAsia" w:eastAsiaTheme="minorEastAsia"/>
          <w:color w:val="auto"/>
          <w:sz w:val="18"/>
          <w:szCs w:val="18"/>
          <w:highlight w:val="none"/>
        </w:rPr>
        <w:t>并证实提交的下列文件和说明是准确的和真实的</w:t>
      </w:r>
      <w:r>
        <w:rPr>
          <w:rFonts w:hint="eastAsia" w:asciiTheme="minorEastAsia" w:hAnsiTheme="minorEastAsia" w:eastAsiaTheme="minorEastAsia"/>
          <w:color w:val="auto"/>
          <w:sz w:val="18"/>
          <w:szCs w:val="18"/>
          <w:highlight w:val="none"/>
        </w:rPr>
        <w:t>：</w:t>
      </w:r>
    </w:p>
    <w:p>
      <w:pPr>
        <w:spacing w:line="360" w:lineRule="auto"/>
        <w:ind w:firstLine="270" w:firstLineChars="15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投标人概况。</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2、有效期内的法人营业执照副本复印件（加盖公章）、</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3、招标文件要求的相关资格资质证明文件及附件资料复印件（加盖公章）。</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4、投标人认为有必要提供的声明及文件资料。</w:t>
      </w:r>
    </w:p>
    <w:p>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N、</w:t>
      </w:r>
      <w:r>
        <w:rPr>
          <w:rFonts w:asciiTheme="minorEastAsia" w:hAnsiTheme="minorEastAsia" w:eastAsiaTheme="minorEastAsia"/>
          <w:color w:val="auto"/>
          <w:sz w:val="18"/>
          <w:szCs w:val="18"/>
          <w:highlight w:val="none"/>
        </w:rPr>
        <w:t>……</w:t>
      </w:r>
    </w:p>
    <w:p>
      <w:pPr>
        <w:spacing w:beforeLines="50" w:line="360" w:lineRule="auto"/>
        <w:ind w:firstLine="2420" w:firstLineChars="1100"/>
        <w:rPr>
          <w:rFonts w:asciiTheme="minorEastAsia" w:hAnsiTheme="minorEastAsia" w:eastAsiaTheme="minorEastAsia"/>
          <w:color w:val="auto"/>
          <w:spacing w:val="20"/>
          <w:sz w:val="18"/>
          <w:szCs w:val="18"/>
          <w:highlight w:val="none"/>
        </w:rPr>
      </w:pPr>
    </w:p>
    <w:p>
      <w:pPr>
        <w:spacing w:beforeLines="50" w:line="360" w:lineRule="auto"/>
        <w:ind w:firstLine="2420" w:firstLineChars="1100"/>
        <w:rPr>
          <w:rFonts w:asciiTheme="minorEastAsia" w:hAnsiTheme="minorEastAsia" w:eastAsiaTheme="minorEastAsia"/>
          <w:color w:val="auto"/>
          <w:spacing w:val="20"/>
          <w:sz w:val="18"/>
          <w:szCs w:val="18"/>
          <w:highlight w:val="none"/>
        </w:rPr>
      </w:pPr>
    </w:p>
    <w:p>
      <w:pPr>
        <w:spacing w:beforeLines="50" w:line="360" w:lineRule="auto"/>
        <w:ind w:firstLine="2420" w:firstLineChars="11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标</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概</w:t>
            </w:r>
          </w:p>
          <w:p>
            <w:pPr>
              <w:spacing w:line="360" w:lineRule="auto"/>
              <w:jc w:val="center"/>
              <w:rPr>
                <w:rFonts w:asciiTheme="minorEastAsia" w:hAnsiTheme="minorEastAsia" w:eastAsiaTheme="minorEastAsia"/>
                <w:color w:val="auto"/>
                <w:sz w:val="18"/>
                <w:szCs w:val="18"/>
                <w:highlight w:val="none"/>
              </w:rPr>
            </w:pPr>
          </w:p>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况</w:t>
            </w: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公司名称</w:t>
            </w:r>
          </w:p>
        </w:tc>
        <w:tc>
          <w:tcPr>
            <w:tcW w:w="6147" w:type="dxa"/>
            <w:gridSpan w:val="3"/>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p>
        </w:tc>
        <w:tc>
          <w:tcPr>
            <w:tcW w:w="6147" w:type="dxa"/>
            <w:gridSpan w:val="3"/>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经营范围</w:t>
            </w:r>
          </w:p>
        </w:tc>
        <w:tc>
          <w:tcPr>
            <w:tcW w:w="6147" w:type="dxa"/>
            <w:gridSpan w:val="3"/>
            <w:vAlign w:val="center"/>
          </w:tcPr>
          <w:p>
            <w:pPr>
              <w:spacing w:line="360" w:lineRule="auto"/>
              <w:ind w:firstLine="360" w:firstLineChars="200"/>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成立时间</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经济性质</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联系电话</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注册资金</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人员数</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资产总额</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净资产</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是否依法纳税</w:t>
            </w:r>
          </w:p>
        </w:tc>
        <w:tc>
          <w:tcPr>
            <w:tcW w:w="2538" w:type="dxa"/>
            <w:vAlign w:val="center"/>
          </w:tcPr>
          <w:p>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是否参加社保</w:t>
            </w:r>
          </w:p>
        </w:tc>
        <w:tc>
          <w:tcPr>
            <w:tcW w:w="2079" w:type="dxa"/>
            <w:vAlign w:val="center"/>
          </w:tcPr>
          <w:p>
            <w:pPr>
              <w:spacing w:line="360" w:lineRule="auto"/>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Theme="minorEastAsia" w:hAnsiTheme="minorEastAsia" w:eastAsiaTheme="minorEastAsia"/>
                <w:color w:val="auto"/>
                <w:sz w:val="18"/>
                <w:szCs w:val="18"/>
                <w:highlight w:val="none"/>
              </w:rPr>
            </w:pPr>
          </w:p>
        </w:tc>
        <w:tc>
          <w:tcPr>
            <w:tcW w:w="7960" w:type="dxa"/>
            <w:gridSpan w:val="4"/>
          </w:tcPr>
          <w:p>
            <w:pPr>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（单位公章）年   月   日</w:t>
            </w:r>
          </w:p>
        </w:tc>
      </w:tr>
    </w:tbl>
    <w:p>
      <w:pPr>
        <w:spacing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xml:space="preserve">   注：附营业执照。</w:t>
      </w:r>
    </w:p>
    <w:p>
      <w:pPr>
        <w:snapToGrid w:val="0"/>
        <w:spacing w:line="360" w:lineRule="auto"/>
        <w:rPr>
          <w:rFonts w:asciiTheme="minorEastAsia" w:hAnsiTheme="minorEastAsia" w:eastAsiaTheme="minorEastAsia"/>
          <w:b/>
          <w:color w:val="auto"/>
          <w:spacing w:val="20"/>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w:t>
            </w:r>
            <w:r>
              <w:rPr>
                <w:rFonts w:hint="eastAsia" w:asciiTheme="minorEastAsia" w:hAnsiTheme="minorEastAsia" w:eastAsiaTheme="minorEastAsia"/>
                <w:color w:val="auto"/>
                <w:sz w:val="18"/>
                <w:szCs w:val="18"/>
                <w:highlight w:val="none"/>
              </w:rPr>
              <w:t>万元）</w:t>
            </w:r>
          </w:p>
        </w:tc>
        <w:tc>
          <w:tcPr>
            <w:tcW w:w="1720"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合同时间</w:t>
            </w:r>
          </w:p>
        </w:tc>
        <w:tc>
          <w:tcPr>
            <w:tcW w:w="2066" w:type="dxa"/>
            <w:vAlign w:val="center"/>
          </w:tcPr>
          <w:p>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pPr>
              <w:spacing w:line="360" w:lineRule="auto"/>
              <w:ind w:firstLine="450" w:firstLineChars="250"/>
              <w:jc w:val="center"/>
              <w:rPr>
                <w:rFonts w:asciiTheme="minorEastAsia" w:hAnsiTheme="minorEastAsia" w:eastAsiaTheme="minorEastAsia"/>
                <w:color w:val="auto"/>
                <w:sz w:val="18"/>
                <w:szCs w:val="18"/>
                <w:highlight w:val="none"/>
              </w:rPr>
            </w:pPr>
          </w:p>
        </w:tc>
      </w:tr>
    </w:tbl>
    <w:p>
      <w:pPr>
        <w:pStyle w:val="30"/>
        <w:tabs>
          <w:tab w:val="left" w:pos="1200"/>
        </w:tabs>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注：1、以上项目须提供合同复印件加盖单位公章.</w:t>
      </w:r>
    </w:p>
    <w:p>
      <w:pPr>
        <w:pStyle w:val="30"/>
        <w:tabs>
          <w:tab w:val="left" w:pos="1200"/>
        </w:tabs>
        <w:spacing w:before="120" w:after="120" w:line="360" w:lineRule="auto"/>
        <w:ind w:firstLine="36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pStyle w:val="48"/>
        <w:ind w:firstLine="404"/>
        <w:rPr>
          <w:color w:val="auto"/>
          <w:highlight w:val="none"/>
        </w:rPr>
      </w:pPr>
    </w:p>
    <w:p>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序号</w:t>
            </w:r>
          </w:p>
        </w:tc>
        <w:tc>
          <w:tcPr>
            <w:tcW w:w="2321"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名称</w:t>
            </w:r>
          </w:p>
        </w:tc>
        <w:tc>
          <w:tcPr>
            <w:tcW w:w="1900"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获得时间</w:t>
            </w:r>
          </w:p>
        </w:tc>
        <w:tc>
          <w:tcPr>
            <w:tcW w:w="1477"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认证机构</w:t>
            </w:r>
          </w:p>
        </w:tc>
        <w:tc>
          <w:tcPr>
            <w:tcW w:w="1796"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5</w:t>
            </w:r>
          </w:p>
        </w:tc>
        <w:tc>
          <w:tcPr>
            <w:tcW w:w="2321" w:type="dxa"/>
          </w:tcPr>
          <w:p>
            <w:pPr>
              <w:spacing w:line="360" w:lineRule="auto"/>
              <w:rPr>
                <w:rFonts w:asciiTheme="minorEastAsia" w:hAnsiTheme="minorEastAsia" w:eastAsiaTheme="minorEastAsia"/>
                <w:bCs/>
                <w:color w:val="auto"/>
                <w:sz w:val="18"/>
                <w:szCs w:val="18"/>
                <w:highlight w:val="none"/>
              </w:rPr>
            </w:pPr>
          </w:p>
        </w:tc>
        <w:tc>
          <w:tcPr>
            <w:tcW w:w="1900" w:type="dxa"/>
          </w:tcPr>
          <w:p>
            <w:pPr>
              <w:spacing w:line="360" w:lineRule="auto"/>
              <w:rPr>
                <w:rFonts w:asciiTheme="minorEastAsia" w:hAnsiTheme="minorEastAsia" w:eastAsiaTheme="minorEastAsia"/>
                <w:bCs/>
                <w:color w:val="auto"/>
                <w:sz w:val="18"/>
                <w:szCs w:val="18"/>
                <w:highlight w:val="none"/>
              </w:rPr>
            </w:pPr>
          </w:p>
        </w:tc>
        <w:tc>
          <w:tcPr>
            <w:tcW w:w="1477" w:type="dxa"/>
          </w:tcPr>
          <w:p>
            <w:pPr>
              <w:spacing w:line="360" w:lineRule="auto"/>
              <w:rPr>
                <w:rFonts w:asciiTheme="minorEastAsia" w:hAnsiTheme="minorEastAsia" w:eastAsiaTheme="minorEastAsia"/>
                <w:bCs/>
                <w:color w:val="auto"/>
                <w:sz w:val="18"/>
                <w:szCs w:val="18"/>
                <w:highlight w:val="none"/>
              </w:rPr>
            </w:pPr>
          </w:p>
        </w:tc>
        <w:tc>
          <w:tcPr>
            <w:tcW w:w="1796" w:type="dxa"/>
          </w:tcPr>
          <w:p>
            <w:pPr>
              <w:spacing w:line="360" w:lineRule="auto"/>
              <w:rPr>
                <w:rFonts w:asciiTheme="minorEastAsia" w:hAnsiTheme="minorEastAsia" w:eastAsiaTheme="minorEastAsia"/>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p>
        </w:tc>
        <w:tc>
          <w:tcPr>
            <w:tcW w:w="2321" w:type="dxa"/>
          </w:tcPr>
          <w:p>
            <w:pPr>
              <w:spacing w:line="360" w:lineRule="auto"/>
              <w:jc w:val="center"/>
              <w:rPr>
                <w:rFonts w:asciiTheme="minorEastAsia" w:hAnsiTheme="minorEastAsia" w:eastAsiaTheme="minorEastAsia"/>
                <w:bCs/>
                <w:color w:val="auto"/>
                <w:sz w:val="18"/>
                <w:szCs w:val="18"/>
                <w:highlight w:val="none"/>
              </w:rPr>
            </w:pPr>
          </w:p>
        </w:tc>
        <w:tc>
          <w:tcPr>
            <w:tcW w:w="1900" w:type="dxa"/>
          </w:tcPr>
          <w:p>
            <w:pPr>
              <w:spacing w:line="360" w:lineRule="auto"/>
              <w:jc w:val="center"/>
              <w:rPr>
                <w:rFonts w:asciiTheme="minorEastAsia" w:hAnsiTheme="minorEastAsia" w:eastAsiaTheme="minorEastAsia"/>
                <w:bCs/>
                <w:color w:val="auto"/>
                <w:sz w:val="18"/>
                <w:szCs w:val="18"/>
                <w:highlight w:val="none"/>
              </w:rPr>
            </w:pPr>
          </w:p>
        </w:tc>
        <w:tc>
          <w:tcPr>
            <w:tcW w:w="1477" w:type="dxa"/>
          </w:tcPr>
          <w:p>
            <w:pPr>
              <w:spacing w:line="360" w:lineRule="auto"/>
              <w:jc w:val="center"/>
              <w:rPr>
                <w:rFonts w:asciiTheme="minorEastAsia" w:hAnsiTheme="minorEastAsia" w:eastAsiaTheme="minorEastAsia"/>
                <w:bCs/>
                <w:color w:val="auto"/>
                <w:sz w:val="18"/>
                <w:szCs w:val="18"/>
                <w:highlight w:val="none"/>
              </w:rPr>
            </w:pPr>
          </w:p>
        </w:tc>
        <w:tc>
          <w:tcPr>
            <w:tcW w:w="1796" w:type="dxa"/>
          </w:tcPr>
          <w:p>
            <w:pPr>
              <w:spacing w:line="360" w:lineRule="auto"/>
              <w:jc w:val="center"/>
              <w:rPr>
                <w:rFonts w:asciiTheme="minorEastAsia" w:hAnsiTheme="minorEastAsia" w:eastAsiaTheme="minorEastAsia"/>
                <w:bCs/>
                <w:color w:val="auto"/>
                <w:sz w:val="18"/>
                <w:szCs w:val="18"/>
                <w:highlight w:val="none"/>
              </w:rPr>
            </w:pPr>
          </w:p>
        </w:tc>
      </w:tr>
    </w:tbl>
    <w:p>
      <w:pPr>
        <w:pStyle w:val="30"/>
        <w:tabs>
          <w:tab w:val="left" w:pos="1200"/>
        </w:tabs>
        <w:spacing w:before="120" w:after="120" w:line="360" w:lineRule="auto"/>
        <w:ind w:left="766" w:leftChars="22" w:hanging="720" w:hanging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注：1、以上项目须提供证书复印件加盖单位公章。</w:t>
      </w:r>
      <w:bookmarkStart w:id="202" w:name="OLE_LINK7"/>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w:t>
      </w:r>
      <w:bookmarkEnd w:id="202"/>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r>
    </w:tbl>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注：1、上表中行数不够可自加。</w:t>
      </w:r>
    </w:p>
    <w:p>
      <w:pPr>
        <w:adjustRightInd w:val="0"/>
        <w:snapToGrid w:val="0"/>
        <w:spacing w:line="360" w:lineRule="auto"/>
        <w:ind w:firstLine="36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2、注册证书、学历证书、职称证书、社保证明等资料复印件加盖单位公章附后。</w:t>
      </w:r>
    </w:p>
    <w:p>
      <w:pPr>
        <w:snapToGrid w:val="0"/>
        <w:spacing w:line="360" w:lineRule="auto"/>
        <w:ind w:firstLine="200"/>
        <w:jc w:val="right"/>
        <w:rPr>
          <w:rFonts w:asciiTheme="minorEastAsia" w:hAnsiTheme="minorEastAsia" w:eastAsiaTheme="minorEastAsia"/>
          <w:color w:val="auto"/>
          <w:szCs w:val="21"/>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p>
    <w:p>
      <w:pPr>
        <w:pStyle w:val="48"/>
        <w:spacing w:line="360" w:lineRule="auto"/>
        <w:ind w:firstLine="404"/>
        <w:rPr>
          <w:color w:val="auto"/>
          <w:highlight w:val="none"/>
        </w:rPr>
      </w:pPr>
    </w:p>
    <w:p>
      <w:pPr>
        <w:pStyle w:val="48"/>
        <w:spacing w:line="360" w:lineRule="auto"/>
        <w:ind w:firstLine="404"/>
        <w:rPr>
          <w:color w:val="auto"/>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产地</w:t>
            </w:r>
          </w:p>
        </w:tc>
        <w:tc>
          <w:tcPr>
            <w:tcW w:w="1076" w:type="dxa"/>
            <w:tcBorders>
              <w:top w:val="single" w:color="auto" w:sz="4" w:space="0"/>
              <w:left w:val="single" w:color="auto" w:sz="4" w:space="0"/>
              <w:bottom w:val="single" w:color="auto" w:sz="2" w:space="0"/>
              <w:right w:val="single" w:color="auto" w:sz="4" w:space="0"/>
            </w:tcBorders>
          </w:tcPr>
          <w:p>
            <w:pPr>
              <w:snapToGrid w:val="0"/>
              <w:spacing w:line="360" w:lineRule="auto"/>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r>
              <w:rPr>
                <w:rFonts w:ascii="微软雅黑" w:hAnsi="微软雅黑" w:eastAsia="微软雅黑"/>
                <w:color w:val="auto"/>
                <w:sz w:val="18"/>
                <w:szCs w:val="18"/>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 w:val="18"/>
                <w:szCs w:val="18"/>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pPr>
              <w:snapToGrid w:val="0"/>
              <w:spacing w:line="360" w:lineRule="auto"/>
              <w:rPr>
                <w:rFonts w:ascii="微软雅黑" w:hAnsi="微软雅黑" w:eastAsia="微软雅黑"/>
                <w:color w:val="auto"/>
                <w:sz w:val="18"/>
                <w:szCs w:val="18"/>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pPr>
              <w:snapToGrid w:val="0"/>
              <w:spacing w:line="360" w:lineRule="auto"/>
              <w:rPr>
                <w:rFonts w:ascii="微软雅黑" w:hAnsi="微软雅黑" w:eastAsia="微软雅黑"/>
                <w:color w:val="auto"/>
                <w:sz w:val="18"/>
                <w:szCs w:val="18"/>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 w:val="18"/>
                <w:szCs w:val="18"/>
                <w:highlight w:val="none"/>
              </w:rPr>
            </w:pPr>
          </w:p>
        </w:tc>
        <w:tc>
          <w:tcPr>
            <w:tcW w:w="1076" w:type="dxa"/>
            <w:tcBorders>
              <w:top w:val="single" w:color="auto" w:sz="6" w:space="0"/>
              <w:left w:val="single" w:color="auto" w:sz="6" w:space="0"/>
              <w:bottom w:val="single" w:color="auto" w:sz="2" w:space="0"/>
              <w:right w:val="single" w:color="auto" w:sz="6" w:space="0"/>
            </w:tcBorders>
          </w:tcPr>
          <w:p>
            <w:pPr>
              <w:snapToGrid w:val="0"/>
              <w:spacing w:line="360" w:lineRule="auto"/>
              <w:rPr>
                <w:rFonts w:ascii="微软雅黑" w:hAnsi="微软雅黑" w:eastAsia="微软雅黑"/>
                <w:color w:val="auto"/>
                <w:sz w:val="18"/>
                <w:szCs w:val="18"/>
                <w:highlight w:val="none"/>
              </w:rPr>
            </w:pPr>
          </w:p>
        </w:tc>
      </w:tr>
    </w:tbl>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pStyle w:val="30"/>
        <w:snapToGrid w:val="0"/>
        <w:spacing w:beforeLines="0" w:afterLines="0" w:line="360" w:lineRule="auto"/>
        <w:rPr>
          <w:rFonts w:asciiTheme="minorEastAsia" w:hAnsiTheme="minorEastAsia" w:eastAsiaTheme="minorEastAsia"/>
          <w:b/>
          <w:color w:val="auto"/>
          <w:sz w:val="21"/>
          <w:szCs w:val="21"/>
          <w:highlight w:val="none"/>
        </w:rPr>
      </w:pPr>
    </w:p>
    <w:p>
      <w:pP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br w:type="page"/>
      </w:r>
    </w:p>
    <w:p>
      <w:pPr>
        <w:pStyle w:val="30"/>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270" w:firstLineChars="15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u w:val="single"/>
        </w:rPr>
        <w:t>（标的名称）</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u w:val="single"/>
        </w:rPr>
        <w:t>（采购文件中明确的所属行业）</w:t>
      </w:r>
      <w:r>
        <w:rPr>
          <w:rFonts w:hint="eastAsia" w:ascii="宋体" w:hAnsi="宋体" w:eastAsia="宋体" w:cs="宋体"/>
          <w:color w:val="auto"/>
          <w:sz w:val="18"/>
          <w:szCs w:val="18"/>
          <w:highlight w:val="none"/>
        </w:rPr>
        <w:t xml:space="preserve"> ；承建（承接）企业为 </w:t>
      </w:r>
      <w:r>
        <w:rPr>
          <w:rFonts w:hint="eastAsia" w:ascii="宋体" w:hAnsi="宋体" w:eastAsia="宋体" w:cs="宋体"/>
          <w:color w:val="auto"/>
          <w:sz w:val="18"/>
          <w:szCs w:val="18"/>
          <w:highlight w:val="none"/>
          <w:u w:val="single"/>
        </w:rPr>
        <w:t>（企业名称）</w:t>
      </w:r>
      <w:r>
        <w:rPr>
          <w:rFonts w:hint="eastAsia" w:ascii="宋体" w:hAnsi="宋体" w:eastAsia="宋体" w:cs="宋体"/>
          <w:color w:val="auto"/>
          <w:sz w:val="18"/>
          <w:szCs w:val="18"/>
          <w:highlight w:val="none"/>
        </w:rPr>
        <w:t xml:space="preserve"> ，从业人员人，营业收入为万元，资产总额为万元属于</w:t>
      </w:r>
      <w:r>
        <w:rPr>
          <w:rFonts w:hint="eastAsia" w:ascii="宋体" w:hAnsi="宋体" w:eastAsia="宋体" w:cs="宋体"/>
          <w:color w:val="auto"/>
          <w:sz w:val="18"/>
          <w:szCs w:val="18"/>
          <w:highlight w:val="none"/>
          <w:u w:val="single"/>
        </w:rPr>
        <w:t xml:space="preserve"> （中型企业、小型企业、微型企业） </w:t>
      </w: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u w:val="single"/>
        </w:rPr>
        <w:t>（标的名称）</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u w:val="single"/>
        </w:rPr>
        <w:t>（采购文件中明确的所属行业）</w:t>
      </w:r>
      <w:r>
        <w:rPr>
          <w:rFonts w:hint="eastAsia" w:ascii="宋体" w:hAnsi="宋体" w:eastAsia="宋体" w:cs="宋体"/>
          <w:color w:val="auto"/>
          <w:sz w:val="18"/>
          <w:szCs w:val="18"/>
          <w:highlight w:val="none"/>
        </w:rPr>
        <w:t xml:space="preserve"> ；承建（承接）企业为 </w:t>
      </w:r>
      <w:r>
        <w:rPr>
          <w:rFonts w:hint="eastAsia" w:ascii="宋体" w:hAnsi="宋体" w:eastAsia="宋体" w:cs="宋体"/>
          <w:color w:val="auto"/>
          <w:sz w:val="18"/>
          <w:szCs w:val="18"/>
          <w:highlight w:val="none"/>
          <w:u w:val="single"/>
        </w:rPr>
        <w:t>（企业名称）</w:t>
      </w:r>
      <w:r>
        <w:rPr>
          <w:rFonts w:hint="eastAsia" w:ascii="宋体" w:hAnsi="宋体" w:eastAsia="宋体" w:cs="宋体"/>
          <w:color w:val="auto"/>
          <w:sz w:val="18"/>
          <w:szCs w:val="18"/>
          <w:highlight w:val="none"/>
        </w:rPr>
        <w:t xml:space="preserve"> ，从业人员人，营业收入为万元，资产总额为万元属于</w:t>
      </w:r>
      <w:r>
        <w:rPr>
          <w:rFonts w:hint="eastAsia" w:ascii="宋体" w:hAnsi="宋体" w:eastAsia="宋体" w:cs="宋体"/>
          <w:color w:val="auto"/>
          <w:sz w:val="18"/>
          <w:szCs w:val="18"/>
          <w:highlight w:val="none"/>
          <w:u w:val="single"/>
        </w:rPr>
        <w:t xml:space="preserve"> （中型企业、小型企业、微型企业） </w:t>
      </w: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以上企业，不属于大企业的分支机构，不存在控股股东为大企业的情形，也不存在与大企业的负责人为同一人的情形。</w:t>
      </w:r>
    </w:p>
    <w:p>
      <w:p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投标人名称（</w:t>
      </w:r>
      <w:r>
        <w:rPr>
          <w:rFonts w:hint="eastAsia" w:ascii="宋体" w:hAnsi="宋体" w:eastAsia="宋体" w:cs="宋体"/>
          <w:color w:val="auto"/>
          <w:sz w:val="18"/>
          <w:szCs w:val="18"/>
          <w:highlight w:val="none"/>
          <w:lang w:eastAsia="zh-CN"/>
        </w:rPr>
        <w:t>盖章</w:t>
      </w:r>
      <w:r>
        <w:rPr>
          <w:rFonts w:hint="eastAsia" w:ascii="宋体" w:hAnsi="宋体" w:eastAsia="宋体" w:cs="宋体"/>
          <w:color w:val="auto"/>
          <w:sz w:val="18"/>
          <w:szCs w:val="18"/>
          <w:highlight w:val="none"/>
        </w:rPr>
        <w:t>）：</w:t>
      </w:r>
    </w:p>
    <w:p>
      <w:pPr>
        <w:spacing w:line="360" w:lineRule="auto"/>
        <w:ind w:right="1120" w:firstLine="5850" w:firstLineChars="3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pPr>
        <w:pStyle w:val="30"/>
        <w:spacing w:beforeLines="0" w:afterLines="0" w:line="360" w:lineRule="auto"/>
        <w:ind w:firstLine="420"/>
        <w:jc w:val="center"/>
        <w:outlineLvl w:val="3"/>
        <w:rPr>
          <w:rFonts w:hint="eastAsia" w:ascii="宋体" w:hAnsi="宋体" w:eastAsia="宋体" w:cs="宋体"/>
          <w:color w:val="auto"/>
          <w:spacing w:val="20"/>
          <w:sz w:val="18"/>
          <w:szCs w:val="18"/>
          <w:highlight w:val="none"/>
        </w:rPr>
      </w:pPr>
      <w:r>
        <w:rPr>
          <w:rFonts w:hint="eastAsia" w:ascii="宋体" w:hAnsi="宋体" w:eastAsia="宋体" w:cs="宋体"/>
          <w:b/>
          <w:color w:val="auto"/>
          <w:sz w:val="18"/>
          <w:szCs w:val="18"/>
          <w:highlight w:val="none"/>
        </w:rPr>
        <w:t>从业人员、营业收入、资产总额填报上一年度数据，无上一年度数据的新成立企业可不填报。</w:t>
      </w:r>
    </w:p>
    <w:p>
      <w:pPr>
        <w:widowControl/>
        <w:spacing w:line="360" w:lineRule="auto"/>
        <w:jc w:val="left"/>
        <w:rPr>
          <w:rFonts w:asciiTheme="minorEastAsia" w:hAnsiTheme="minorEastAsia" w:eastAsiaTheme="minorEastAsia"/>
          <w:b/>
          <w:color w:val="auto"/>
          <w:sz w:val="18"/>
          <w:szCs w:val="18"/>
          <w:highlight w:val="none"/>
        </w:rPr>
      </w:pPr>
    </w:p>
    <w:p>
      <w:pPr>
        <w:widowControl/>
        <w:spacing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11、</w:t>
      </w:r>
    </w:p>
    <w:p>
      <w:pPr>
        <w:widowControl/>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残疾人福利性单位声明函</w:t>
      </w:r>
      <w:r>
        <w:rPr>
          <w:rFonts w:hint="eastAsia" w:asciiTheme="minorEastAsia" w:hAnsiTheme="minorEastAsia" w:eastAsiaTheme="minorEastAsia"/>
          <w:b/>
          <w:bCs/>
          <w:color w:val="auto"/>
          <w:sz w:val="18"/>
          <w:szCs w:val="18"/>
          <w:highlight w:val="none"/>
        </w:rPr>
        <w:t>（附件10）</w:t>
      </w:r>
    </w:p>
    <w:p>
      <w:pPr>
        <w:widowControl/>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本单位对上述声明的真实性负责。如有虚假，将依法承担相应责任</w:t>
      </w:r>
    </w:p>
    <w:p>
      <w:pPr>
        <w:spacing w:line="360" w:lineRule="auto"/>
        <w:ind w:firstLine="360" w:firstLineChars="200"/>
        <w:rPr>
          <w:rFonts w:asciiTheme="minorEastAsia" w:hAnsiTheme="minorEastAsia" w:eastAsiaTheme="minorEastAsia"/>
          <w:color w:val="auto"/>
          <w:sz w:val="18"/>
          <w:szCs w:val="18"/>
          <w:highlight w:val="none"/>
        </w:rPr>
      </w:pPr>
    </w:p>
    <w:p>
      <w:pPr>
        <w:spacing w:line="360" w:lineRule="auto"/>
        <w:ind w:firstLine="4950" w:firstLineChars="225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投标人盖章：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 xml:space="preserve">                                                        日        期：</w:t>
      </w:r>
    </w:p>
    <w:p>
      <w:pPr>
        <w:snapToGrid w:val="0"/>
        <w:spacing w:line="360" w:lineRule="auto"/>
        <w:rPr>
          <w:rFonts w:asciiTheme="minorEastAsia" w:hAnsiTheme="minorEastAsia" w:eastAsiaTheme="minorEastAsia"/>
          <w:color w:val="auto"/>
          <w:spacing w:val="20"/>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pPr>
        <w:adjustRightInd w:val="0"/>
        <w:snapToGrid w:val="0"/>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嘉兴市秀洲区人民政府新城街道办事处</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根据贵方为的</w:t>
      </w:r>
      <w:r>
        <w:rPr>
          <w:rFonts w:hint="eastAsia" w:asciiTheme="minorEastAsia" w:hAnsiTheme="minorEastAsia" w:eastAsiaTheme="minorEastAsia"/>
          <w:color w:val="auto"/>
          <w:sz w:val="18"/>
          <w:szCs w:val="18"/>
          <w:highlight w:val="none"/>
          <w:u w:val="single"/>
          <w:lang w:eastAsia="zh-CN"/>
        </w:rPr>
        <w:t>新城街道2024年度区域绿化养护项目</w:t>
      </w:r>
      <w:r>
        <w:rPr>
          <w:rFonts w:hint="eastAsia" w:asciiTheme="minorEastAsia" w:hAnsiTheme="minorEastAsia" w:eastAsiaTheme="minorEastAsia"/>
          <w:color w:val="auto"/>
          <w:sz w:val="18"/>
          <w:szCs w:val="18"/>
          <w:highlight w:val="none"/>
        </w:rPr>
        <w:t>招</w:t>
      </w:r>
      <w:r>
        <w:rPr>
          <w:rFonts w:asciiTheme="minorEastAsia" w:hAnsiTheme="minorEastAsia" w:eastAsiaTheme="minorEastAsia"/>
          <w:color w:val="auto"/>
          <w:sz w:val="18"/>
          <w:szCs w:val="18"/>
          <w:highlight w:val="none"/>
        </w:rPr>
        <w:t>标</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，签字代表____________________（</w:t>
      </w:r>
      <w:r>
        <w:rPr>
          <w:rFonts w:hint="eastAsia" w:asciiTheme="minorEastAsia" w:hAnsiTheme="minorEastAsia" w:eastAsiaTheme="minorEastAsia"/>
          <w:color w:val="auto"/>
          <w:sz w:val="18"/>
          <w:szCs w:val="18"/>
          <w:highlight w:val="none"/>
        </w:rPr>
        <w:t>法人</w:t>
      </w:r>
      <w:r>
        <w:rPr>
          <w:rFonts w:asciiTheme="minorEastAsia" w:hAnsiTheme="minorEastAsia" w:eastAsiaTheme="minorEastAsia"/>
          <w:color w:val="auto"/>
          <w:sz w:val="18"/>
          <w:szCs w:val="18"/>
          <w:highlight w:val="none"/>
        </w:rPr>
        <w:t>全名）经正式授权</w:t>
      </w:r>
      <w:r>
        <w:rPr>
          <w:rFonts w:hint="eastAsia" w:asciiTheme="minorEastAsia" w:hAnsiTheme="minorEastAsia" w:eastAsiaTheme="minorEastAsia"/>
          <w:color w:val="auto"/>
          <w:sz w:val="18"/>
          <w:szCs w:val="18"/>
          <w:highlight w:val="none"/>
        </w:rPr>
        <w:t>（被授权人）</w:t>
      </w:r>
      <w:r>
        <w:rPr>
          <w:rFonts w:asciiTheme="minorEastAsia" w:hAnsiTheme="minorEastAsia" w:eastAsiaTheme="minorEastAsia"/>
          <w:color w:val="auto"/>
          <w:sz w:val="18"/>
          <w:szCs w:val="18"/>
          <w:highlight w:val="none"/>
        </w:rPr>
        <w:t>并代表投标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________________________________________（投标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名称）提交</w:t>
      </w:r>
      <w:r>
        <w:rPr>
          <w:rFonts w:hint="eastAsia" w:asciiTheme="minorEastAsia" w:hAnsiTheme="minorEastAsia" w:eastAsiaTheme="minorEastAsia"/>
          <w:color w:val="auto"/>
          <w:sz w:val="18"/>
          <w:szCs w:val="18"/>
          <w:highlight w:val="none"/>
        </w:rPr>
        <w:t>投标文件、开标过程中的工作</w:t>
      </w:r>
      <w:r>
        <w:rPr>
          <w:rFonts w:asciiTheme="minorEastAsia" w:hAnsiTheme="minorEastAsia" w:eastAsiaTheme="minorEastAsia"/>
          <w:color w:val="auto"/>
          <w:sz w:val="18"/>
          <w:szCs w:val="18"/>
          <w:highlight w:val="none"/>
        </w:rPr>
        <w:t>。</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据此函，</w:t>
      </w:r>
      <w:r>
        <w:rPr>
          <w:rFonts w:hint="eastAsia" w:asciiTheme="minorEastAsia" w:hAnsiTheme="minorEastAsia" w:eastAsiaTheme="minorEastAsia"/>
          <w:color w:val="auto"/>
          <w:sz w:val="18"/>
          <w:szCs w:val="18"/>
          <w:highlight w:val="none"/>
        </w:rPr>
        <w:t>签字代表宣布同意如下：</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3、本投标有效期自开标日起 90个日历天</w:t>
      </w:r>
      <w:r>
        <w:rPr>
          <w:rFonts w:asciiTheme="minorEastAsia" w:hAnsiTheme="minorEastAsia" w:eastAsiaTheme="minorEastAsia"/>
          <w:color w:val="auto"/>
          <w:sz w:val="18"/>
          <w:szCs w:val="18"/>
          <w:highlight w:val="none"/>
        </w:rPr>
        <w:t>。</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5、投标人同意按照贵方要求提供与投标有关的一切数据或资料，并保证其真实性、合法性。</w:t>
      </w:r>
    </w:p>
    <w:p>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6、与本投标有关的一切正式往来信函请寄：</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r>
        <w:rPr>
          <w:rFonts w:asciiTheme="minorEastAsia" w:hAnsiTheme="minorEastAsia" w:eastAsiaTheme="minorEastAsia"/>
          <w:color w:val="auto"/>
          <w:sz w:val="18"/>
          <w:szCs w:val="18"/>
          <w:highlight w:val="none"/>
        </w:rPr>
        <w:t>____________________邮编：__________</w:t>
      </w:r>
      <w:r>
        <w:rPr>
          <w:rFonts w:hint="eastAsia" w:asciiTheme="minorEastAsia" w:hAnsiTheme="minorEastAsia" w:eastAsiaTheme="minorEastAsia"/>
          <w:color w:val="auto"/>
          <w:sz w:val="18"/>
          <w:szCs w:val="18"/>
          <w:highlight w:val="none"/>
        </w:rPr>
        <w:t xml:space="preserve">   电话：</w:t>
      </w:r>
      <w:r>
        <w:rPr>
          <w:rFonts w:asciiTheme="minorEastAsia" w:hAnsiTheme="minorEastAsia" w:eastAsiaTheme="minorEastAsia"/>
          <w:color w:val="auto"/>
          <w:sz w:val="18"/>
          <w:szCs w:val="18"/>
          <w:highlight w:val="none"/>
        </w:rPr>
        <w:t>______________</w:t>
      </w:r>
    </w:p>
    <w:p>
      <w:pPr>
        <w:adjustRightInd w:val="0"/>
        <w:snapToGrid w:val="0"/>
        <w:spacing w:line="360" w:lineRule="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传真：______________</w:t>
      </w:r>
      <w:r>
        <w:rPr>
          <w:rFonts w:hint="eastAsia" w:asciiTheme="minorEastAsia" w:hAnsiTheme="minorEastAsia" w:eastAsiaTheme="minorEastAsia"/>
          <w:color w:val="auto"/>
          <w:sz w:val="18"/>
          <w:szCs w:val="18"/>
          <w:highlight w:val="none"/>
        </w:rPr>
        <w:t>投标人代表姓名</w:t>
      </w:r>
      <w:r>
        <w:rPr>
          <w:rFonts w:asciiTheme="minorEastAsia" w:hAnsiTheme="minorEastAsia" w:eastAsiaTheme="minorEastAsia"/>
          <w:color w:val="auto"/>
          <w:sz w:val="18"/>
          <w:szCs w:val="18"/>
          <w:highlight w:val="none"/>
        </w:rPr>
        <w:t xml:space="preserve"> ___________ 职务：______________</w:t>
      </w:r>
    </w:p>
    <w:p>
      <w:pPr>
        <w:adjustRightInd w:val="0"/>
        <w:snapToGrid w:val="0"/>
        <w:spacing w:line="360" w:lineRule="auto"/>
        <w:rPr>
          <w:rFonts w:asciiTheme="minorEastAsia" w:hAnsiTheme="minorEastAsia" w:eastAsiaTheme="minorEastAsia"/>
          <w:color w:val="auto"/>
          <w:sz w:val="18"/>
          <w:szCs w:val="18"/>
          <w:highlight w:val="none"/>
        </w:rPr>
      </w:pPr>
    </w:p>
    <w:p>
      <w:pPr>
        <w:adjustRightInd w:val="0"/>
        <w:snapToGrid w:val="0"/>
        <w:spacing w:line="360" w:lineRule="auto"/>
        <w:rPr>
          <w:rFonts w:asciiTheme="minorEastAsia" w:hAnsiTheme="minorEastAsia" w:eastAsiaTheme="minorEastAsia"/>
          <w:color w:val="auto"/>
          <w:sz w:val="18"/>
          <w:szCs w:val="18"/>
          <w:highlight w:val="none"/>
        </w:rPr>
      </w:pP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投标人名称</w:t>
      </w:r>
      <w:r>
        <w:rPr>
          <w:rFonts w:asciiTheme="minorEastAsia" w:hAnsiTheme="minorEastAsia" w:eastAsiaTheme="minorEastAsia"/>
          <w:color w:val="auto"/>
          <w:sz w:val="18"/>
          <w:szCs w:val="18"/>
          <w:highlight w:val="none"/>
        </w:rPr>
        <w:t>(盖章):___________________</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开户银行：   </w:t>
      </w:r>
    </w:p>
    <w:p>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银行帐号：</w:t>
      </w:r>
    </w:p>
    <w:p>
      <w:pPr>
        <w:spacing w:beforeLines="50" w:line="360" w:lineRule="auto"/>
        <w:ind w:firstLine="1210" w:firstLineChars="550"/>
        <w:rPr>
          <w:rFonts w:asciiTheme="minorEastAsia" w:hAnsiTheme="minorEastAsia" w:eastAsiaTheme="minorEastAsia"/>
          <w:color w:val="auto"/>
          <w:spacing w:val="20"/>
          <w:sz w:val="18"/>
          <w:szCs w:val="18"/>
          <w:highlight w:val="none"/>
        </w:rPr>
      </w:pPr>
    </w:p>
    <w:p>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spacing w:line="360" w:lineRule="auto"/>
        <w:ind w:firstLine="527" w:firstLineChars="250"/>
        <w:jc w:val="center"/>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snapToGrid w:val="0"/>
        <w:spacing w:line="360" w:lineRule="auto"/>
        <w:jc w:val="center"/>
        <w:outlineLvl w:val="0"/>
        <w:rPr>
          <w:rFonts w:asciiTheme="minorEastAsia" w:hAnsiTheme="minorEastAsia" w:eastAsiaTheme="minorEastAsia"/>
          <w:b/>
          <w:color w:val="auto"/>
          <w:szCs w:val="21"/>
          <w:highlight w:val="none"/>
        </w:rPr>
      </w:pPr>
      <w:bookmarkStart w:id="203" w:name="_Toc11295"/>
      <w:r>
        <w:rPr>
          <w:rFonts w:hint="eastAsia" w:asciiTheme="minorEastAsia" w:hAnsiTheme="minorEastAsia" w:eastAsiaTheme="minorEastAsia"/>
          <w:b/>
          <w:color w:val="auto"/>
          <w:szCs w:val="21"/>
          <w:highlight w:val="none"/>
        </w:rPr>
        <w:t>开标一览表（附件12）</w:t>
      </w:r>
      <w:bookmarkEnd w:id="203"/>
    </w:p>
    <w:p>
      <w:pPr>
        <w:adjustRightInd w:val="0"/>
        <w:spacing w:line="360" w:lineRule="auto"/>
        <w:jc w:val="center"/>
        <w:rPr>
          <w:rFonts w:cs="Arial" w:asciiTheme="minorEastAsia" w:hAnsiTheme="minorEastAsia" w:eastAsiaTheme="minorEastAsia"/>
          <w:color w:val="auto"/>
          <w:szCs w:val="21"/>
          <w:highlight w:val="none"/>
        </w:rPr>
      </w:pPr>
    </w:p>
    <w:tbl>
      <w:tblPr>
        <w:tblStyle w:val="49"/>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22"/>
        <w:gridCol w:w="204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项目名称</w:t>
            </w:r>
          </w:p>
        </w:tc>
        <w:tc>
          <w:tcPr>
            <w:tcW w:w="2222"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投标报价（万元）</w:t>
            </w:r>
          </w:p>
        </w:tc>
        <w:tc>
          <w:tcPr>
            <w:tcW w:w="2046"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项目负责人</w:t>
            </w:r>
          </w:p>
        </w:tc>
        <w:tc>
          <w:tcPr>
            <w:tcW w:w="1807" w:type="dxa"/>
            <w:vAlign w:val="center"/>
          </w:tcPr>
          <w:p>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color w:val="auto"/>
                <w:sz w:val="18"/>
                <w:szCs w:val="18"/>
                <w:highlight w:val="none"/>
                <w:lang w:eastAsia="zh-CN"/>
              </w:rPr>
              <w:t>新城街道2024年度区域绿化养护项目</w:t>
            </w:r>
          </w:p>
        </w:tc>
        <w:tc>
          <w:tcPr>
            <w:tcW w:w="2222" w:type="dxa"/>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2046" w:type="dxa"/>
            <w:vAlign w:val="center"/>
          </w:tcPr>
          <w:p>
            <w:pPr>
              <w:adjustRightInd w:val="0"/>
              <w:spacing w:line="360" w:lineRule="auto"/>
              <w:jc w:val="center"/>
              <w:rPr>
                <w:rFonts w:cs="Arial" w:asciiTheme="minorEastAsia" w:hAnsiTheme="minorEastAsia" w:eastAsiaTheme="minorEastAsia"/>
                <w:color w:val="auto"/>
                <w:sz w:val="18"/>
                <w:szCs w:val="18"/>
                <w:highlight w:val="none"/>
              </w:rPr>
            </w:pPr>
          </w:p>
        </w:tc>
        <w:tc>
          <w:tcPr>
            <w:tcW w:w="1807" w:type="dxa"/>
            <w:vAlign w:val="center"/>
          </w:tcPr>
          <w:p>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bCs/>
                <w:color w:val="auto"/>
                <w:sz w:val="18"/>
                <w:szCs w:val="18"/>
                <w:highlight w:val="none"/>
                <w:lang w:eastAsia="zh-CN"/>
              </w:rPr>
              <w:t>（填标段一或标段二或标段三或标段四或标段五或标段六）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pPr>
              <w:adjustRightIn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 xml:space="preserve">人民币大写：                               </w:t>
            </w:r>
          </w:p>
        </w:tc>
      </w:tr>
    </w:tbl>
    <w:p>
      <w:pPr>
        <w:spacing w:line="360" w:lineRule="auto"/>
        <w:rPr>
          <w:rFonts w:asciiTheme="minorEastAsia" w:hAnsiTheme="minorEastAsia" w:eastAsiaTheme="minorEastAsia"/>
          <w:b/>
          <w:color w:val="auto"/>
          <w:sz w:val="18"/>
          <w:szCs w:val="18"/>
          <w:highlight w:val="none"/>
        </w:rPr>
      </w:pPr>
    </w:p>
    <w:p>
      <w:pPr>
        <w:adjustRightInd w:val="0"/>
        <w:spacing w:line="360" w:lineRule="auto"/>
        <w:rPr>
          <w:rFonts w:asciiTheme="minorEastAsia" w:hAnsiTheme="minorEastAsia" w:eastAsiaTheme="minorEastAsia"/>
          <w:color w:val="auto"/>
          <w:sz w:val="18"/>
          <w:szCs w:val="18"/>
          <w:highlight w:val="none"/>
        </w:rPr>
      </w:pPr>
    </w:p>
    <w:p>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pStyle w:val="48"/>
        <w:spacing w:line="360" w:lineRule="auto"/>
        <w:ind w:firstLine="404"/>
        <w:rPr>
          <w:color w:val="auto"/>
          <w:highlight w:val="none"/>
        </w:rPr>
      </w:pPr>
    </w:p>
    <w:p>
      <w:pPr>
        <w:spacing w:line="360" w:lineRule="auto"/>
        <w:jc w:val="center"/>
        <w:rPr>
          <w:rFonts w:hint="eastAsia" w:ascii="宋体" w:hAnsi="宋体"/>
          <w:b/>
          <w:color w:val="auto"/>
          <w:spacing w:val="20"/>
          <w:szCs w:val="21"/>
          <w:highlight w:val="none"/>
        </w:rPr>
      </w:pPr>
      <w:r>
        <w:rPr>
          <w:rFonts w:hint="eastAsia" w:ascii="宋体" w:hAnsi="宋体"/>
          <w:b/>
          <w:color w:val="auto"/>
          <w:spacing w:val="20"/>
          <w:szCs w:val="21"/>
          <w:highlight w:val="none"/>
        </w:rPr>
        <w:t>分项报价明细表</w:t>
      </w:r>
    </w:p>
    <w:tbl>
      <w:tblPr>
        <w:tblStyle w:val="49"/>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4"/>
        <w:gridCol w:w="4278"/>
        <w:gridCol w:w="592"/>
        <w:gridCol w:w="787"/>
        <w:gridCol w:w="96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0200" w:type="dxa"/>
            <w:gridSpan w:val="6"/>
            <w:tcBorders>
              <w:top w:val="nil"/>
              <w:left w:val="nil"/>
              <w:bottom w:val="single" w:color="000000" w:sz="8" w:space="0"/>
              <w:right w:val="nil"/>
            </w:tcBorders>
            <w:shd w:val="clear" w:color="auto" w:fill="auto"/>
            <w:noWrap/>
            <w:vAlign w:val="top"/>
          </w:tcPr>
          <w:p>
            <w:pPr>
              <w:jc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color w:val="auto"/>
                <w:sz w:val="28"/>
                <w:szCs w:val="28"/>
                <w:highlight w:val="none"/>
              </w:rPr>
              <w:br w:type="page"/>
            </w:r>
            <w:r>
              <w:rPr>
                <w:rFonts w:hint="eastAsia" w:ascii="宋体" w:hAnsi="宋体" w:eastAsia="宋体" w:cs="宋体"/>
                <w:b/>
                <w:bCs/>
                <w:i w:val="0"/>
                <w:iCs w:val="0"/>
                <w:color w:val="000000"/>
                <w:kern w:val="0"/>
                <w:sz w:val="28"/>
                <w:szCs w:val="28"/>
                <w:highlight w:val="none"/>
                <w:u w:val="none"/>
                <w:lang w:val="en-US" w:eastAsia="zh-CN" w:bidi="ar"/>
              </w:rPr>
              <w:t>一标段养护工程量清单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25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27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5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7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9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99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58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君特口袋公园、永泰广场西侧口袋公园、品质提升—中山西路工程、品质提升—新平路、新秀路、亚厦路、蓬莱路工程绿化养护</w:t>
            </w:r>
          </w:p>
        </w:tc>
        <w:tc>
          <w:tcPr>
            <w:tcW w:w="42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12563.1</w:t>
            </w:r>
          </w:p>
        </w:tc>
        <w:tc>
          <w:tcPr>
            <w:tcW w:w="96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绿地养护</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1、种类：绿地养护，含乔灌木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226565.32</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4175</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1679.24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中山西路花箱草花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p>
            <w:pPr>
              <w:keepNext w:val="0"/>
              <w:keepLines w:val="0"/>
              <w:widowControl/>
              <w:numPr>
                <w:ilvl w:val="0"/>
                <w:numId w:val="0"/>
              </w:numPr>
              <w:suppressLineNumbers w:val="0"/>
              <w:jc w:val="left"/>
              <w:textAlignment w:val="center"/>
              <w:rPr>
                <w:rFonts w:hint="default" w:eastAsia="宋体"/>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5、花箱规格：26</w:t>
            </w:r>
            <w:r>
              <w:rPr>
                <w:rFonts w:hint="eastAsia" w:ascii="宋体" w:hAnsi="宋体" w:cs="宋体"/>
                <w:i w:val="0"/>
                <w:iCs w:val="0"/>
                <w:color w:val="000000"/>
                <w:kern w:val="0"/>
                <w:sz w:val="18"/>
                <w:szCs w:val="18"/>
                <w:highlight w:val="none"/>
                <w:u w:val="none"/>
                <w:lang w:val="en-US" w:eastAsia="zh-CN" w:bidi="ar"/>
              </w:rPr>
              <w:t>cm*</w:t>
            </w:r>
            <w:r>
              <w:rPr>
                <w:rFonts w:hint="eastAsia" w:ascii="宋体" w:hAnsi="宋体" w:eastAsia="宋体" w:cs="宋体"/>
                <w:i w:val="0"/>
                <w:iCs w:val="0"/>
                <w:color w:val="000000"/>
                <w:kern w:val="0"/>
                <w:sz w:val="18"/>
                <w:szCs w:val="18"/>
                <w:highlight w:val="none"/>
                <w:u w:val="none"/>
                <w:lang w:val="en-US" w:eastAsia="zh-CN" w:bidi="ar"/>
              </w:rPr>
              <w:t>62</w:t>
            </w:r>
            <w:r>
              <w:rPr>
                <w:rFonts w:hint="eastAsia" w:ascii="宋体" w:hAnsi="宋体" w:cs="宋体"/>
                <w:i w:val="0"/>
                <w:iCs w:val="0"/>
                <w:color w:val="000000"/>
                <w:kern w:val="0"/>
                <w:sz w:val="18"/>
                <w:szCs w:val="18"/>
                <w:highlight w:val="none"/>
                <w:u w:val="none"/>
                <w:lang w:val="en-US" w:eastAsia="zh-CN" w:bidi="ar"/>
              </w:rPr>
              <w:t>c</w:t>
            </w:r>
            <w:r>
              <w:rPr>
                <w:rFonts w:hint="eastAsia" w:ascii="宋体" w:hAnsi="宋体" w:eastAsia="宋体" w:cs="宋体"/>
                <w:i w:val="0"/>
                <w:iCs w:val="0"/>
                <w:color w:val="000000"/>
                <w:kern w:val="0"/>
                <w:sz w:val="18"/>
                <w:szCs w:val="18"/>
                <w:highlight w:val="none"/>
                <w:u w:val="none"/>
                <w:lang w:val="en-US" w:eastAsia="zh-CN" w:bidi="ar"/>
              </w:rPr>
              <w:t>m</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个</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殷秀大桥草花</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8"/>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种类：时令草花（精品苗木）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2、单位面积株数：一组花箱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4、元旦：一叶兰（18株）、一品红（10株）、雏菊（8株）、花叶蔓L40（36株）（红、粉色系）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5、五.一：一叶兰（18株）、羽扇豆（8株）、蓝花鼠尾草（14株）、金叶番薯藤（24株）（蓝色系）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6、七.一：变叶木H45P30（4株）、天竺葵（8株）、秋海棠（8株）、金叶番薯藤L40（24株）（红、粉色系）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7、中秋、国庆：变叶木H45P30（4株）、一串红（14株）、万寿菊（8株）、花叶蔓L40（36株）（红、黄色系）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8、不限于上述品种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9、轻质种植基质（泥炭30%、园土40%、珍珠岩10%、蛭石10%、有机肥10%）约0.24m³/组</w:t>
            </w:r>
          </w:p>
          <w:p>
            <w:pPr>
              <w:pStyle w:val="22"/>
              <w:ind w:left="0" w:leftChars="0" w:firstLine="0" w:firstLineChars="0"/>
              <w:rPr>
                <w:rFonts w:hint="eastAsia"/>
                <w:highlight w:val="none"/>
                <w:lang w:val="en-US" w:eastAsia="zh-CN"/>
              </w:rPr>
            </w:pPr>
            <w:r>
              <w:rPr>
                <w:rFonts w:hint="eastAsia" w:ascii="宋体" w:hAnsi="宋体" w:cs="宋体"/>
                <w:i w:val="0"/>
                <w:iCs w:val="0"/>
                <w:color w:val="000000"/>
                <w:kern w:val="0"/>
                <w:sz w:val="18"/>
                <w:szCs w:val="18"/>
                <w:highlight w:val="none"/>
                <w:u w:val="none"/>
                <w:lang w:val="en-US" w:eastAsia="zh-CN" w:bidi="ar"/>
              </w:rPr>
              <w:t>花箱更换、修复：1</w:t>
            </w:r>
            <w:r>
              <w:rPr>
                <w:rFonts w:hint="eastAsia" w:ascii="宋体" w:hAnsi="宋体" w:eastAsia="宋体" w:cs="宋体"/>
                <w:i w:val="0"/>
                <w:iCs w:val="0"/>
                <w:color w:val="000000"/>
                <w:kern w:val="0"/>
                <w:sz w:val="18"/>
                <w:szCs w:val="18"/>
                <w:highlight w:val="none"/>
                <w:u w:val="none"/>
                <w:lang w:val="en-US" w:eastAsia="zh-CN" w:bidi="ar"/>
              </w:rPr>
              <w:t>、高密度PVC材料花盆；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2、黑色内镜PVC雕刻件；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3、黑色PVC底座表面烤漆；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4、高花箱590*590*950mm；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5、矮花箱490*490*725mm；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6、两个为一组，参考效果图及实地踏勘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7、损坏的修复、损毁的更换</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组</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5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秀洲大桥月季养护</w:t>
            </w:r>
          </w:p>
        </w:tc>
        <w:tc>
          <w:tcPr>
            <w:tcW w:w="42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种类：月季</w:t>
            </w:r>
            <w:r>
              <w:rPr>
                <w:rFonts w:hint="eastAsia" w:ascii="宋体" w:hAnsi="宋体" w:cs="宋体"/>
                <w:i w:val="0"/>
                <w:iCs w:val="0"/>
                <w:color w:val="000000"/>
                <w:kern w:val="0"/>
                <w:sz w:val="18"/>
                <w:szCs w:val="18"/>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cs="宋体"/>
                <w:i w:val="0"/>
                <w:iCs w:val="0"/>
                <w:color w:val="000000"/>
                <w:kern w:val="0"/>
                <w:sz w:val="18"/>
                <w:szCs w:val="18"/>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5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7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5884</w:t>
            </w:r>
          </w:p>
        </w:tc>
        <w:tc>
          <w:tcPr>
            <w:tcW w:w="9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04" w:type="dxa"/>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99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jc w:val="center"/>
        </w:trPr>
        <w:tc>
          <w:tcPr>
            <w:tcW w:w="10200"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包含日常保洁工作，标段内类公园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rPr>
          <w:rFonts w:hint="eastAsia" w:ascii="宋体" w:hAnsi="宋体" w:cs="宋体"/>
          <w:b/>
          <w:bCs/>
          <w:color w:val="auto"/>
          <w:sz w:val="28"/>
          <w:szCs w:val="2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日        期：</w:t>
      </w:r>
    </w:p>
    <w:p>
      <w:pPr>
        <w:pStyle w:val="2"/>
        <w:rPr>
          <w:rFonts w:hint="eastAsia"/>
          <w:highlight w:val="none"/>
          <w:lang w:eastAsia="zh-CN"/>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br w:type="page"/>
      </w:r>
    </w:p>
    <w:tbl>
      <w:tblPr>
        <w:tblStyle w:val="49"/>
        <w:tblW w:w="9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0"/>
        <w:gridCol w:w="3725"/>
        <w:gridCol w:w="724"/>
        <w:gridCol w:w="988"/>
        <w:gridCol w:w="734"/>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46"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二标段养护工程量清单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7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9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73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7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大德路北延伸段小公园、景尚雅苑东小公园、东升西路（秀洲大道—新塍塘）绿化养护</w:t>
            </w:r>
          </w:p>
        </w:tc>
        <w:tc>
          <w:tcPr>
            <w:tcW w:w="37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107418</w:t>
            </w:r>
          </w:p>
        </w:tc>
        <w:tc>
          <w:tcPr>
            <w:tcW w:w="7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29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东升西路（秀洲大道—新塍塘）绿化养护</w:t>
            </w:r>
          </w:p>
        </w:tc>
        <w:tc>
          <w:tcPr>
            <w:tcW w:w="37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2、养护期：一年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74076</w:t>
            </w:r>
          </w:p>
        </w:tc>
        <w:tc>
          <w:tcPr>
            <w:tcW w:w="73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绿地养护</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1、种类：绿地养护，含乔灌木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230637.74</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4532</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2587.5</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9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月季养护</w:t>
            </w:r>
          </w:p>
        </w:tc>
        <w:tc>
          <w:tcPr>
            <w:tcW w:w="37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1、种类：月季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7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12222</w:t>
            </w:r>
          </w:p>
        </w:tc>
        <w:tc>
          <w:tcPr>
            <w:tcW w:w="73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7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11" w:type="dxa"/>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9846"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rPr>
          <w:rFonts w:hint="eastAsia" w:ascii="宋体" w:hAnsi="宋体" w:cs="宋体"/>
          <w:b/>
          <w:bCs/>
          <w:color w:val="auto"/>
          <w:sz w:val="28"/>
          <w:szCs w:val="2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日        期：</w:t>
      </w: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rPr>
          <w:rFonts w:hint="eastAsia" w:ascii="宋体" w:hAnsi="宋体" w:cs="宋体"/>
          <w:b/>
          <w:bCs/>
          <w:color w:val="auto"/>
          <w:sz w:val="28"/>
          <w:szCs w:val="28"/>
          <w:highlight w:val="none"/>
          <w:lang w:eastAsia="zh-CN"/>
        </w:rPr>
      </w:pP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3"/>
        <w:gridCol w:w="1485"/>
        <w:gridCol w:w="702"/>
        <w:gridCol w:w="1198"/>
        <w:gridCol w:w="1130"/>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三标段养护工程量清单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7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1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1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1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秀洲生态公园绿化养护</w:t>
            </w:r>
          </w:p>
        </w:tc>
        <w:tc>
          <w:tcPr>
            <w:tcW w:w="15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179298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春晓公园绿化养护</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92529</w:t>
            </w:r>
          </w:p>
        </w:tc>
        <w:tc>
          <w:tcPr>
            <w:tcW w:w="0" w:type="auto"/>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秀清公园（北区块）绿化养护</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1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ascii="宋体" w:hAnsi="宋体" w:eastAsia="宋体" w:cs="宋体"/>
                <w:b/>
                <w:bCs/>
                <w:i w:val="0"/>
                <w:iCs w:val="0"/>
                <w:color w:val="000000"/>
                <w:kern w:val="0"/>
                <w:sz w:val="18"/>
                <w:szCs w:val="18"/>
                <w:highlight w:val="none"/>
                <w:u w:val="none"/>
                <w:lang w:val="en-US" w:eastAsia="zh-CN" w:bidi="ar"/>
              </w:rPr>
              <w:t>标段内除春晓公园绿化养护不纳入日常保洁外秀洲生态公园绿化养护</w:t>
            </w:r>
            <w:r>
              <w:rPr>
                <w:rFonts w:hint="eastAsia" w:ascii="宋体" w:hAnsi="宋体" w:cs="宋体"/>
                <w:b/>
                <w:bCs/>
                <w:i w:val="0"/>
                <w:iCs w:val="0"/>
                <w:color w:val="000000"/>
                <w:kern w:val="0"/>
                <w:sz w:val="18"/>
                <w:szCs w:val="18"/>
                <w:highlight w:val="none"/>
                <w:u w:val="none"/>
                <w:lang w:val="en-US" w:eastAsia="zh-CN" w:bidi="ar"/>
              </w:rPr>
              <w:t>及秀清公园（北区块）绿化养护均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rPr>
          <w:rFonts w:hint="eastAsia" w:ascii="宋体" w:hAnsi="宋体" w:cs="宋体"/>
          <w:b/>
          <w:bCs/>
          <w:color w:val="auto"/>
          <w:sz w:val="28"/>
          <w:szCs w:val="2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日        期：</w:t>
      </w:r>
    </w:p>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br w:type="page"/>
      </w:r>
    </w:p>
    <w:tbl>
      <w:tblPr>
        <w:tblStyle w:val="49"/>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2655"/>
        <w:gridCol w:w="1080"/>
        <w:gridCol w:w="1080"/>
        <w:gridCol w:w="10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76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四标段养护工程量清单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65411.59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行道树</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1、种类：行道树Φ20-25cm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棵</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区政府广场、嘉业阳光城区域草花</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1.种类：精品草花；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3.清明节前后-4月中旬：百日草（红色），H20cm，P15cm，64株/㎡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4.4月中旬-7月中旬：超级风仙“桑蓓斯”（猩红色、橙色），H25cm，P20cm，49株/㎡；                              5.7月中旬-9月下旬：百日草（红色），H20cm，P15cm，64株/㎡；                                             6.9月-11月：大花海棠“比哥”（绿叶红色花、铜叶猩红花），H30-40cm，P30-40cm，36株/㎡；                                                      7.12月下旬-清明节前后：角堇”珍品”（绯红），H15cm，P15cm，64株/㎡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秀洲公园、江南摩尔区域草花</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江南摩尔广场</w:t>
            </w:r>
            <w:r>
              <w:rPr>
                <w:rFonts w:hint="eastAsia" w:ascii="宋体" w:hAnsi="宋体" w:eastAsia="宋体" w:cs="宋体"/>
                <w:i w:val="0"/>
                <w:iCs w:val="0"/>
                <w:color w:val="000000"/>
                <w:kern w:val="0"/>
                <w:sz w:val="18"/>
                <w:szCs w:val="18"/>
                <w:highlight w:val="none"/>
                <w:u w:val="none"/>
                <w:lang w:val="en-US" w:eastAsia="zh-CN" w:bidi="ar"/>
              </w:rPr>
              <w:t>花箱草花</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（规格1）</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1、种类：时令草花</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2、保证花箱满栽，一年种五季</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3、养护期：一年</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4、含花箱整理、维修、更换</w:t>
            </w:r>
          </w:p>
          <w:p>
            <w:pPr>
              <w:pStyle w:val="58"/>
              <w:rPr>
                <w:rFonts w:hint="default" w:eastAsia="宋体"/>
                <w:highlight w:val="none"/>
                <w:lang w:val="en-US" w:eastAsia="zh-CN"/>
              </w:rPr>
            </w:pPr>
            <w:r>
              <w:rPr>
                <w:rFonts w:hint="eastAsia" w:ascii="宋体" w:hAnsi="宋体" w:cs="宋体"/>
                <w:i w:val="0"/>
                <w:iCs w:val="0"/>
                <w:color w:val="000000"/>
                <w:sz w:val="18"/>
                <w:szCs w:val="18"/>
                <w:highlight w:val="none"/>
                <w:u w:val="none"/>
                <w:lang w:val="en-US" w:eastAsia="zh-CN"/>
              </w:rPr>
              <w:t>5、花箱规格：30cm*80cm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360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江南摩尔广场</w:t>
            </w:r>
            <w:r>
              <w:rPr>
                <w:rFonts w:hint="eastAsia" w:ascii="宋体" w:hAnsi="宋体" w:eastAsia="宋体" w:cs="宋体"/>
                <w:i w:val="0"/>
                <w:iCs w:val="0"/>
                <w:color w:val="000000"/>
                <w:kern w:val="0"/>
                <w:sz w:val="18"/>
                <w:szCs w:val="18"/>
                <w:highlight w:val="none"/>
                <w:u w:val="none"/>
                <w:lang w:val="en-US" w:eastAsia="zh-CN" w:bidi="ar"/>
              </w:rPr>
              <w:t>花箱草花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（规格2）</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1、种类：时令草花</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2、保证花箱满栽，一年种五季</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3、养护期：一年</w:t>
            </w:r>
          </w:p>
          <w:p>
            <w:pPr>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4、含花箱整理、维修、更换</w:t>
            </w:r>
          </w:p>
          <w:p>
            <w:pPr>
              <w:pStyle w:val="58"/>
              <w:rPr>
                <w:rFonts w:hint="eastAsia" w:ascii="宋体" w:hAnsi="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5、花箱规格30cm*100cm</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水生植物养护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1、种类：水生植物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w:t>
            </w:r>
            <w:r>
              <w:rPr>
                <w:rFonts w:hint="eastAsia" w:ascii="宋体" w:hAnsi="宋体" w:cs="宋体"/>
                <w:i w:val="0"/>
                <w:iCs w:val="0"/>
                <w:color w:val="000000"/>
                <w:kern w:val="0"/>
                <w:sz w:val="18"/>
                <w:szCs w:val="18"/>
                <w:highlight w:val="none"/>
                <w:u w:val="none"/>
                <w:lang w:val="en-US" w:eastAsia="zh-CN" w:bidi="ar"/>
              </w:rPr>
              <w:t>定期水体清理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21046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55"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垂直绿化养护</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1、种类：垂直绿化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jc w:val="center"/>
        </w:trPr>
        <w:tc>
          <w:tcPr>
            <w:tcW w:w="976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ascii="宋体" w:hAnsi="宋体" w:eastAsia="宋体" w:cs="宋体"/>
                <w:b/>
                <w:bCs/>
                <w:i w:val="0"/>
                <w:iCs w:val="0"/>
                <w:color w:val="000000"/>
                <w:kern w:val="0"/>
                <w:sz w:val="18"/>
                <w:szCs w:val="18"/>
                <w:highlight w:val="none"/>
                <w:u w:val="none"/>
                <w:lang w:val="en-US" w:eastAsia="zh-CN" w:bidi="ar"/>
              </w:rPr>
              <w:t>标段</w:t>
            </w:r>
            <w:r>
              <w:rPr>
                <w:rFonts w:hint="eastAsia" w:ascii="宋体" w:hAnsi="宋体" w:cs="宋体"/>
                <w:b/>
                <w:bCs/>
                <w:i w:val="0"/>
                <w:iCs w:val="0"/>
                <w:color w:val="000000"/>
                <w:kern w:val="0"/>
                <w:sz w:val="18"/>
                <w:szCs w:val="18"/>
                <w:highlight w:val="none"/>
                <w:u w:val="none"/>
                <w:lang w:val="en-US" w:eastAsia="zh-CN" w:bidi="ar"/>
              </w:rPr>
              <w:t>内所有内容均</w:t>
            </w:r>
            <w:r>
              <w:rPr>
                <w:rFonts w:hint="eastAsia" w:ascii="宋体" w:hAnsi="宋体" w:eastAsia="宋体" w:cs="宋体"/>
                <w:b/>
                <w:bCs/>
                <w:i w:val="0"/>
                <w:iCs w:val="0"/>
                <w:color w:val="000000"/>
                <w:kern w:val="0"/>
                <w:sz w:val="18"/>
                <w:szCs w:val="18"/>
                <w:highlight w:val="none"/>
                <w:u w:val="none"/>
                <w:lang w:val="en-US" w:eastAsia="zh-CN" w:bidi="ar"/>
              </w:rPr>
              <w:t>不包含日常保洁工作，标段内</w:t>
            </w:r>
            <w:r>
              <w:rPr>
                <w:rFonts w:hint="eastAsia" w:ascii="宋体" w:hAnsi="宋体" w:cs="宋体"/>
                <w:b/>
                <w:bCs/>
                <w:i w:val="0"/>
                <w:iCs w:val="0"/>
                <w:color w:val="000000"/>
                <w:kern w:val="0"/>
                <w:sz w:val="18"/>
                <w:szCs w:val="18"/>
                <w:highlight w:val="none"/>
                <w:u w:val="none"/>
                <w:lang w:val="en-US" w:eastAsia="zh-CN" w:bidi="ar"/>
              </w:rPr>
              <w:t>仅</w:t>
            </w:r>
            <w:r>
              <w:rPr>
                <w:rFonts w:hint="eastAsia" w:ascii="宋体" w:hAnsi="宋体" w:eastAsia="宋体" w:cs="宋体"/>
                <w:b/>
                <w:bCs/>
                <w:i w:val="0"/>
                <w:iCs w:val="0"/>
                <w:color w:val="000000"/>
                <w:kern w:val="0"/>
                <w:sz w:val="18"/>
                <w:szCs w:val="18"/>
                <w:highlight w:val="none"/>
                <w:u w:val="none"/>
                <w:lang w:val="en-US" w:eastAsia="zh-CN" w:bidi="ar"/>
              </w:rPr>
              <w:t>秀洲公园铺装与设施纳入日常维修养护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rPr>
          <w:rFonts w:hint="eastAsia" w:ascii="宋体" w:hAnsi="宋体" w:cs="宋体"/>
          <w:b/>
          <w:bCs/>
          <w:color w:val="auto"/>
          <w:sz w:val="28"/>
          <w:szCs w:val="2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日        期：</w:t>
      </w:r>
    </w:p>
    <w:p>
      <w:pPr>
        <w:rPr>
          <w:rFonts w:hint="eastAsia" w:ascii="宋体" w:hAnsi="宋体" w:cs="宋体"/>
          <w:b/>
          <w:bCs/>
          <w:color w:val="auto"/>
          <w:sz w:val="28"/>
          <w:szCs w:val="28"/>
          <w:highlight w:val="none"/>
          <w:lang w:eastAsia="zh-CN"/>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br w:type="page"/>
      </w: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657"/>
        <w:gridCol w:w="742"/>
        <w:gridCol w:w="1649"/>
        <w:gridCol w:w="1300"/>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五标段养护工程量清单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9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6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3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6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绿化养护</w:t>
            </w:r>
          </w:p>
        </w:tc>
        <w:tc>
          <w:tcPr>
            <w:tcW w:w="18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1、种类：绿化养护，含乔灌木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221266.9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18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1731.72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金盛花苑南侧</w:t>
            </w:r>
            <w:r>
              <w:rPr>
                <w:rFonts w:hint="eastAsia" w:ascii="宋体" w:hAnsi="宋体" w:eastAsia="宋体" w:cs="宋体"/>
                <w:i w:val="0"/>
                <w:iCs w:val="0"/>
                <w:color w:val="000000"/>
                <w:kern w:val="0"/>
                <w:sz w:val="18"/>
                <w:szCs w:val="18"/>
                <w:highlight w:val="none"/>
                <w:u w:val="none"/>
                <w:lang w:val="en-US" w:eastAsia="zh-CN" w:bidi="ar"/>
              </w:rPr>
              <w:t>籽播草花</w:t>
            </w:r>
          </w:p>
        </w:tc>
        <w:tc>
          <w:tcPr>
            <w:tcW w:w="18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2、单位面积株数：64株/㎡，一年种三季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6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17250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w:t>
            </w:r>
            <w:r>
              <w:rPr>
                <w:rFonts w:hint="eastAsia" w:cs="Calibri"/>
                <w:b/>
                <w:bCs/>
                <w:i w:val="0"/>
                <w:iCs w:val="0"/>
                <w:color w:val="000000"/>
                <w:kern w:val="0"/>
                <w:sz w:val="18"/>
                <w:szCs w:val="18"/>
                <w:highlight w:val="none"/>
                <w:u w:val="none"/>
                <w:lang w:val="en-US" w:eastAsia="zh-CN" w:bidi="ar"/>
              </w:rPr>
              <w:t>上述范围涉及的</w:t>
            </w:r>
            <w:r>
              <w:rPr>
                <w:rFonts w:hint="eastAsia" w:ascii="宋体" w:hAnsi="宋体" w:cs="宋体"/>
                <w:b/>
                <w:bCs/>
                <w:i w:val="0"/>
                <w:iCs w:val="0"/>
                <w:color w:val="000000"/>
                <w:kern w:val="0"/>
                <w:sz w:val="18"/>
                <w:szCs w:val="18"/>
                <w:highlight w:val="none"/>
                <w:u w:val="none"/>
                <w:lang w:val="en-US" w:eastAsia="zh-CN" w:bidi="ar"/>
              </w:rPr>
              <w:t>所有绿化、草花养护均</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w:t>
            </w:r>
            <w:r>
              <w:rPr>
                <w:rFonts w:hint="eastAsia" w:ascii="宋体" w:hAnsi="宋体" w:eastAsia="宋体" w:cs="宋体"/>
                <w:b/>
                <w:bCs/>
                <w:i w:val="0"/>
                <w:iCs w:val="0"/>
                <w:color w:val="000000"/>
                <w:kern w:val="0"/>
                <w:sz w:val="18"/>
                <w:szCs w:val="18"/>
                <w:highlight w:val="none"/>
                <w:u w:val="none"/>
                <w:lang w:val="en-US" w:eastAsia="zh-CN" w:bidi="ar"/>
              </w:rPr>
              <w:t>公园</w:t>
            </w:r>
            <w:r>
              <w:rPr>
                <w:rFonts w:hint="eastAsia" w:ascii="宋体" w:hAnsi="宋体" w:cs="宋体"/>
                <w:b/>
                <w:bCs/>
                <w:i w:val="0"/>
                <w:iCs w:val="0"/>
                <w:color w:val="000000"/>
                <w:kern w:val="0"/>
                <w:sz w:val="18"/>
                <w:szCs w:val="18"/>
                <w:highlight w:val="none"/>
                <w:u w:val="none"/>
                <w:lang w:val="en-US" w:eastAsia="zh-CN" w:bidi="ar"/>
              </w:rPr>
              <w:t>涉及的</w:t>
            </w:r>
            <w:r>
              <w:rPr>
                <w:rFonts w:hint="eastAsia" w:ascii="宋体" w:hAnsi="宋体" w:eastAsia="宋体" w:cs="宋体"/>
                <w:b/>
                <w:bCs/>
                <w:i w:val="0"/>
                <w:iCs w:val="0"/>
                <w:color w:val="000000"/>
                <w:kern w:val="0"/>
                <w:sz w:val="18"/>
                <w:szCs w:val="18"/>
                <w:highlight w:val="none"/>
                <w:u w:val="none"/>
                <w:lang w:val="en-US" w:eastAsia="zh-CN" w:bidi="ar"/>
              </w:rPr>
              <w:t>铺装与设施包含日常维修养护</w:t>
            </w:r>
            <w:r>
              <w:rPr>
                <w:rFonts w:hint="eastAsia" w:ascii="宋体" w:hAnsi="宋体" w:cs="宋体"/>
                <w:b/>
                <w:bCs/>
                <w:i w:val="0"/>
                <w:iCs w:val="0"/>
                <w:color w:val="000000"/>
                <w:kern w:val="0"/>
                <w:sz w:val="18"/>
                <w:szCs w:val="18"/>
                <w:highlight w:val="none"/>
                <w:u w:val="none"/>
                <w:lang w:val="en-US" w:eastAsia="zh-CN" w:bidi="ar"/>
              </w:rPr>
              <w:t>及更换</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default" w:ascii="Calibri" w:hAnsi="Calibri" w:eastAsia="宋体" w:cs="Calibri"/>
                <w:b/>
                <w:bCs/>
                <w:i w:val="0"/>
                <w:iCs w:val="0"/>
                <w:color w:val="000000"/>
                <w:kern w:val="0"/>
                <w:sz w:val="18"/>
                <w:szCs w:val="18"/>
                <w:highlight w:val="none"/>
                <w:u w:val="none"/>
                <w:lang w:val="en-US" w:eastAsia="zh-CN" w:bidi="ar"/>
              </w:rPr>
              <w:t>5..</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tc>
      </w:tr>
    </w:tbl>
    <w:p>
      <w:pPr>
        <w:spacing w:line="360" w:lineRule="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rPr>
          <w:rFonts w:hint="eastAsia" w:ascii="宋体" w:hAnsi="宋体" w:cs="宋体"/>
          <w:b/>
          <w:bCs/>
          <w:color w:val="auto"/>
          <w:sz w:val="28"/>
          <w:szCs w:val="28"/>
          <w:highlight w:val="none"/>
          <w:lang w:eastAsia="zh-CN"/>
        </w:rPr>
      </w:pP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日        期：</w:t>
      </w:r>
    </w:p>
    <w:p>
      <w:pP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br w:type="page"/>
      </w:r>
    </w:p>
    <w:p>
      <w:pPr>
        <w:rPr>
          <w:rFonts w:hint="eastAsia" w:ascii="宋体" w:hAnsi="宋体" w:cs="宋体"/>
          <w:b/>
          <w:bCs/>
          <w:color w:val="auto"/>
          <w:sz w:val="28"/>
          <w:szCs w:val="28"/>
          <w:highlight w:val="none"/>
          <w:lang w:eastAsia="zh-CN"/>
        </w:rPr>
      </w:pPr>
    </w:p>
    <w:tbl>
      <w:tblPr>
        <w:tblStyle w:val="4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1740"/>
        <w:gridCol w:w="1080"/>
        <w:gridCol w:w="1080"/>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745" w:type="dxa"/>
            <w:gridSpan w:val="6"/>
            <w:tcBorders>
              <w:top w:val="nil"/>
              <w:left w:val="nil"/>
              <w:bottom w:val="single" w:color="000000" w:sz="8"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六标段养护工程量清单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养护内容</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全费用单价（元）</w:t>
            </w:r>
          </w:p>
        </w:tc>
        <w:tc>
          <w:tcPr>
            <w:tcW w:w="11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全费用</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殷秀路绿地、杭州塘与北郊河东岸绿化养护</w:t>
            </w:r>
          </w:p>
        </w:tc>
        <w:tc>
          <w:tcPr>
            <w:tcW w:w="17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种类：绿化养护，含乔灌木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2、籽播草花一年按三季进行更换及养护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、含场地整理</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115979.7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殷秀路及洪高路绿道绿化养护</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种类：绿化养护，含乔灌木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2、花镜、地被的草花更换及养护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3、籽播草花一年按三季进行更换及养护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、养护期：</w:t>
            </w:r>
            <w:r>
              <w:rPr>
                <w:rFonts w:hint="eastAsia" w:ascii="宋体" w:hAnsi="宋体" w:cs="宋体"/>
                <w:i w:val="0"/>
                <w:iCs w:val="0"/>
                <w:color w:val="000000"/>
                <w:kern w:val="0"/>
                <w:sz w:val="18"/>
                <w:szCs w:val="18"/>
                <w:highlight w:val="none"/>
                <w:u w:val="none"/>
                <w:lang w:val="en-US" w:eastAsia="zh-CN" w:bidi="ar"/>
              </w:rPr>
              <w:t>2024年1月17日至2024年12月31日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、含场地整理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141076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区域草花</w:t>
            </w:r>
          </w:p>
        </w:tc>
        <w:tc>
          <w:tcPr>
            <w:tcW w:w="17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1、种类：时令草花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2、单位面积株数：64株/㎡，一年种五季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3、养护期：一年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4、含场地整理</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全费用合计金额</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8745"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注</w:t>
            </w:r>
            <w:r>
              <w:rPr>
                <w:rFonts w:ascii="Calibri" w:hAnsi="Calibri" w:eastAsia="宋体" w:cs="Calibri"/>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投标报价为</w:t>
            </w:r>
            <w:r>
              <w:rPr>
                <w:rFonts w:ascii="Calibri" w:hAnsi="Calibri" w:eastAsia="宋体" w:cs="Calibri"/>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年全费用综合总价</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含规费、税金及养护期内所有苗木绿化缺损、坏死补植</w:t>
            </w:r>
            <w:r>
              <w:rPr>
                <w:rFonts w:ascii="Calibri" w:hAnsi="Calibri" w:eastAsia="宋体" w:cs="Calibri"/>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等一切费用，报价包含了人工费、材料费、机械费、利润、税金、其他风险费等一切费用，今后一律不得调整，请投标单位综合考虑自身实力以及市场材料、人工费等一切风险。</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所有工程量按实际发生量核算。</w:t>
            </w:r>
          </w:p>
          <w:p>
            <w:pPr>
              <w:keepNext w:val="0"/>
              <w:keepLines w:val="0"/>
              <w:widowControl/>
              <w:suppressLineNumbers w:val="0"/>
              <w:jc w:val="left"/>
              <w:textAlignment w:val="top"/>
              <w:rPr>
                <w:rFonts w:hint="default" w:ascii="Calibri" w:hAnsi="Calibri" w:eastAsia="宋体" w:cs="Calibri"/>
                <w:i w:val="0"/>
                <w:iCs w:val="0"/>
                <w:color w:val="000000"/>
                <w:sz w:val="18"/>
                <w:szCs w:val="18"/>
                <w:highlight w:val="none"/>
                <w:u w:val="none"/>
              </w:rPr>
            </w:pPr>
            <w:r>
              <w:rPr>
                <w:rFonts w:ascii="Calibri" w:hAnsi="Calibri" w:eastAsia="宋体" w:cs="Calibri"/>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本工程养护提升要求详见后附招标要求。</w:t>
            </w:r>
          </w:p>
          <w:p>
            <w:pPr>
              <w:keepNext w:val="0"/>
              <w:keepLines w:val="0"/>
              <w:widowControl/>
              <w:suppressLineNumbers w:val="0"/>
              <w:jc w:val="left"/>
              <w:textAlignment w:val="top"/>
              <w:rPr>
                <w:rFonts w:hint="default" w:ascii="Calibri" w:hAnsi="Calibri" w:eastAsia="宋体" w:cs="Calibri"/>
                <w:b/>
                <w:bCs/>
                <w:i w:val="0"/>
                <w:iCs w:val="0"/>
                <w:color w:val="000000"/>
                <w:sz w:val="18"/>
                <w:szCs w:val="18"/>
                <w:highlight w:val="none"/>
                <w:u w:val="none"/>
              </w:rPr>
            </w:pPr>
            <w:r>
              <w:rPr>
                <w:rFonts w:hint="default" w:ascii="Calibri" w:hAnsi="Calibri" w:eastAsia="宋体" w:cs="Calibri"/>
                <w:b/>
                <w:bCs/>
                <w:i w:val="0"/>
                <w:iCs w:val="0"/>
                <w:color w:val="000000"/>
                <w:kern w:val="0"/>
                <w:sz w:val="18"/>
                <w:szCs w:val="18"/>
                <w:highlight w:val="none"/>
                <w:u w:val="none"/>
                <w:lang w:val="en-US" w:eastAsia="zh-CN" w:bidi="ar"/>
              </w:rPr>
              <w:t>4殷秀路绿地、杭州塘与北郊河东岸绿化养护</w:t>
            </w:r>
            <w:r>
              <w:rPr>
                <w:rFonts w:hint="eastAsia" w:ascii="宋体" w:hAnsi="宋体" w:eastAsia="宋体" w:cs="宋体"/>
                <w:b/>
                <w:bCs/>
                <w:i w:val="0"/>
                <w:iCs w:val="0"/>
                <w:color w:val="000000"/>
                <w:kern w:val="0"/>
                <w:sz w:val="18"/>
                <w:szCs w:val="18"/>
                <w:highlight w:val="none"/>
                <w:u w:val="none"/>
                <w:lang w:val="en-US" w:eastAsia="zh-CN" w:bidi="ar"/>
              </w:rPr>
              <w:t>包含日常保洁工作，标段内</w:t>
            </w:r>
            <w:r>
              <w:rPr>
                <w:rFonts w:hint="eastAsia" w:ascii="宋体" w:hAnsi="宋体" w:cs="宋体"/>
                <w:b/>
                <w:bCs/>
                <w:i w:val="0"/>
                <w:iCs w:val="0"/>
                <w:color w:val="000000"/>
                <w:kern w:val="0"/>
                <w:sz w:val="18"/>
                <w:szCs w:val="18"/>
                <w:highlight w:val="none"/>
                <w:u w:val="none"/>
                <w:lang w:val="en-US" w:eastAsia="zh-CN" w:bidi="ar"/>
              </w:rPr>
              <w:t>所有区域的</w:t>
            </w:r>
            <w:r>
              <w:rPr>
                <w:rFonts w:hint="eastAsia" w:ascii="宋体" w:hAnsi="宋体" w:eastAsia="宋体" w:cs="宋体"/>
                <w:b/>
                <w:bCs/>
                <w:i w:val="0"/>
                <w:iCs w:val="0"/>
                <w:color w:val="000000"/>
                <w:kern w:val="0"/>
                <w:sz w:val="18"/>
                <w:szCs w:val="18"/>
                <w:highlight w:val="none"/>
                <w:u w:val="none"/>
                <w:lang w:val="en-US" w:eastAsia="zh-CN" w:bidi="ar"/>
              </w:rPr>
              <w:t>铺装与设施</w:t>
            </w:r>
            <w:r>
              <w:rPr>
                <w:rFonts w:hint="eastAsia" w:ascii="宋体" w:hAnsi="宋体" w:cs="宋体"/>
                <w:b/>
                <w:bCs/>
                <w:i w:val="0"/>
                <w:iCs w:val="0"/>
                <w:color w:val="000000"/>
                <w:kern w:val="0"/>
                <w:sz w:val="18"/>
                <w:szCs w:val="18"/>
                <w:highlight w:val="none"/>
                <w:u w:val="none"/>
                <w:lang w:val="en-US" w:eastAsia="zh-CN" w:bidi="ar"/>
              </w:rPr>
              <w:t>均</w:t>
            </w:r>
            <w:r>
              <w:rPr>
                <w:rFonts w:hint="eastAsia" w:ascii="宋体" w:hAnsi="宋体" w:eastAsia="宋体" w:cs="宋体"/>
                <w:b/>
                <w:bCs/>
                <w:i w:val="0"/>
                <w:iCs w:val="0"/>
                <w:color w:val="000000"/>
                <w:kern w:val="0"/>
                <w:sz w:val="18"/>
                <w:szCs w:val="18"/>
                <w:highlight w:val="none"/>
                <w:u w:val="none"/>
                <w:lang w:val="en-US" w:eastAsia="zh-CN" w:bidi="ar"/>
              </w:rPr>
              <w:t>包含日常维修养护。</w:t>
            </w:r>
          </w:p>
          <w:p>
            <w:pPr>
              <w:keepNext w:val="0"/>
              <w:keepLines w:val="0"/>
              <w:widowControl/>
              <w:suppressLineNumbers w:val="0"/>
              <w:jc w:val="left"/>
              <w:textAlignment w:val="top"/>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5.</w:t>
            </w:r>
            <w:r>
              <w:rPr>
                <w:rFonts w:hint="default" w:ascii="Calibri" w:hAnsi="Calibri" w:eastAsia="宋体" w:cs="Calibri"/>
                <w:b/>
                <w:bCs/>
                <w:i w:val="0"/>
                <w:iCs w:val="0"/>
                <w:color w:val="000000"/>
                <w:kern w:val="0"/>
                <w:sz w:val="18"/>
                <w:szCs w:val="18"/>
                <w:highlight w:val="none"/>
                <w:u w:val="none"/>
                <w:lang w:val="en-US" w:eastAsia="zh-CN" w:bidi="ar"/>
              </w:rPr>
              <w:t>.</w:t>
            </w:r>
            <w:r>
              <w:rPr>
                <w:rFonts w:hint="eastAsia" w:ascii="宋体" w:hAnsi="宋体" w:eastAsia="宋体" w:cs="宋体"/>
                <w:b/>
                <w:bCs/>
                <w:i w:val="0"/>
                <w:iCs w:val="0"/>
                <w:color w:val="000000"/>
                <w:kern w:val="0"/>
                <w:sz w:val="18"/>
                <w:szCs w:val="18"/>
                <w:highlight w:val="none"/>
                <w:u w:val="none"/>
                <w:lang w:val="en-US" w:eastAsia="zh-CN" w:bidi="ar"/>
              </w:rPr>
              <w:t>多标段投标的仅须提供该标段的</w:t>
            </w:r>
            <w:r>
              <w:rPr>
                <w:rFonts w:hint="eastAsia" w:ascii="宋体" w:hAnsi="宋体" w:cs="宋体"/>
                <w:b/>
                <w:bCs/>
                <w:i w:val="0"/>
                <w:iCs w:val="0"/>
                <w:color w:val="000000"/>
                <w:kern w:val="0"/>
                <w:sz w:val="18"/>
                <w:szCs w:val="18"/>
                <w:highlight w:val="none"/>
                <w:u w:val="none"/>
                <w:lang w:val="en-US" w:eastAsia="zh-CN" w:bidi="ar"/>
              </w:rPr>
              <w:t>工程量清单报价表</w:t>
            </w:r>
            <w:r>
              <w:rPr>
                <w:rFonts w:hint="eastAsia" w:ascii="宋体" w:hAnsi="宋体" w:eastAsia="宋体" w:cs="宋体"/>
                <w:b/>
                <w:bCs/>
                <w:i w:val="0"/>
                <w:iCs w:val="0"/>
                <w:color w:val="000000"/>
                <w:kern w:val="0"/>
                <w:sz w:val="18"/>
                <w:szCs w:val="18"/>
                <w:highlight w:val="none"/>
                <w:u w:val="none"/>
                <w:lang w:val="en-US" w:eastAsia="zh-CN" w:bidi="ar"/>
              </w:rPr>
              <w:t>。</w:t>
            </w:r>
          </w:p>
          <w:p>
            <w:pPr>
              <w:keepNext w:val="0"/>
              <w:keepLines w:val="0"/>
              <w:widowControl/>
              <w:suppressLineNumbers w:val="0"/>
              <w:jc w:val="left"/>
              <w:textAlignment w:val="top"/>
              <w:rPr>
                <w:rFonts w:hint="eastAsia" w:ascii="宋体" w:hAnsi="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6.因实施期间招标人或上级部门调整保洁养护范围内，则按最新要求执行。</w:t>
            </w:r>
          </w:p>
          <w:p>
            <w:pPr>
              <w:pStyle w:val="58"/>
              <w:rPr>
                <w:rFonts w:hint="default"/>
                <w:highlight w:val="none"/>
                <w:lang w:val="en-US" w:eastAsia="zh-CN"/>
              </w:rPr>
            </w:pPr>
            <w:r>
              <w:rPr>
                <w:rFonts w:hint="eastAsia" w:ascii="宋体" w:hAnsi="宋体" w:cs="宋体"/>
                <w:b/>
                <w:bCs/>
                <w:i w:val="0"/>
                <w:iCs w:val="0"/>
                <w:color w:val="000000"/>
                <w:kern w:val="0"/>
                <w:sz w:val="18"/>
                <w:szCs w:val="18"/>
                <w:highlight w:val="none"/>
                <w:u w:val="none"/>
                <w:lang w:val="en-US" w:eastAsia="zh-CN" w:bidi="ar"/>
              </w:rPr>
              <w:t>7.殷秀路及洪高路绿道绿化养护部分原养护截止时间为2024年1月16日，故本标段养护期于2024年1月17日开始计，综合单价已在投标时考虑。</w:t>
            </w:r>
          </w:p>
        </w:tc>
      </w:tr>
    </w:tbl>
    <w:p>
      <w:pPr>
        <w:pStyle w:val="2"/>
        <w:rPr>
          <w:rFonts w:hint="eastAsia"/>
          <w:highlight w:val="none"/>
        </w:rPr>
      </w:pP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注：报价时按全费用综合单价考虑（含保险（人员保险、财产保险等）税金、规费、管理费、安全文明费、利润等一切为完成本项目涉及的费用），具体数量按实际发生量结算。</w:t>
      </w:r>
    </w:p>
    <w:p>
      <w:pPr>
        <w:pStyle w:val="30"/>
        <w:tabs>
          <w:tab w:val="left" w:pos="1200"/>
        </w:tabs>
        <w:spacing w:before="120" w:after="120" w:line="360" w:lineRule="auto"/>
        <w:ind w:firstLine="540" w:firstLineChars="300"/>
        <w:rPr>
          <w:rFonts w:hAnsi="宋体"/>
          <w:color w:val="auto"/>
          <w:sz w:val="18"/>
          <w:szCs w:val="18"/>
          <w:highlight w:val="none"/>
        </w:rPr>
      </w:pPr>
      <w:r>
        <w:rPr>
          <w:rFonts w:hint="eastAsia" w:hAnsi="宋体" w:cs="宋体"/>
          <w:color w:val="auto"/>
          <w:sz w:val="18"/>
          <w:szCs w:val="18"/>
          <w:highlight w:val="none"/>
          <w:lang w:val="en-US" w:eastAsia="zh-CN"/>
        </w:rPr>
        <w:t>结算时单价按投标时全费用单位计，不因任何因素变更。</w:t>
      </w:r>
    </w:p>
    <w:p>
      <w:pPr>
        <w:spacing w:line="360" w:lineRule="auto"/>
        <w:ind w:firstLine="3740" w:firstLineChars="1700"/>
        <w:rPr>
          <w:rFonts w:ascii="宋体" w:hAnsi="宋体"/>
          <w:color w:val="auto"/>
          <w:spacing w:val="20"/>
          <w:sz w:val="18"/>
          <w:szCs w:val="18"/>
          <w:highlight w:val="none"/>
          <w:u w:val="single"/>
        </w:rPr>
      </w:pPr>
      <w:r>
        <w:rPr>
          <w:rFonts w:ascii="宋体" w:hAnsi="宋体"/>
          <w:color w:val="auto"/>
          <w:spacing w:val="20"/>
          <w:sz w:val="18"/>
          <w:szCs w:val="18"/>
          <w:highlight w:val="none"/>
        </w:rPr>
        <w:t>法定代表人或委托代理人</w:t>
      </w:r>
      <w:r>
        <w:rPr>
          <w:rFonts w:hint="eastAsia" w:ascii="宋体" w:hAnsi="宋体"/>
          <w:color w:val="auto"/>
          <w:spacing w:val="20"/>
          <w:sz w:val="18"/>
          <w:szCs w:val="18"/>
          <w:highlight w:val="none"/>
        </w:rPr>
        <w:t>签名：</w:t>
      </w:r>
    </w:p>
    <w:p>
      <w:pPr>
        <w:spacing w:line="360" w:lineRule="auto"/>
        <w:ind w:firstLine="440" w:firstLineChars="200"/>
        <w:rPr>
          <w:rFonts w:ascii="宋体" w:hAnsi="宋体"/>
          <w:color w:val="auto"/>
          <w:spacing w:val="20"/>
          <w:sz w:val="18"/>
          <w:szCs w:val="18"/>
          <w:highlight w:val="none"/>
          <w:u w:val="single"/>
        </w:rPr>
      </w:pPr>
      <w:r>
        <w:rPr>
          <w:rFonts w:hint="eastAsia" w:ascii="宋体" w:hAnsi="宋体"/>
          <w:color w:val="auto"/>
          <w:spacing w:val="20"/>
          <w:sz w:val="18"/>
          <w:szCs w:val="18"/>
          <w:highlight w:val="none"/>
        </w:rPr>
        <w:t xml:space="preserve">                              </w:t>
      </w:r>
      <w:r>
        <w:rPr>
          <w:rFonts w:hint="eastAsia" w:ascii="宋体" w:hAnsi="宋体"/>
          <w:color w:val="auto"/>
          <w:spacing w:val="20"/>
          <w:sz w:val="18"/>
          <w:szCs w:val="18"/>
          <w:highlight w:val="none"/>
          <w:lang w:val="en-US" w:eastAsia="zh-CN"/>
        </w:rPr>
        <w:t xml:space="preserve">  </w:t>
      </w:r>
      <w:r>
        <w:rPr>
          <w:rFonts w:hint="eastAsia" w:ascii="宋体" w:hAnsi="宋体"/>
          <w:color w:val="auto"/>
          <w:spacing w:val="20"/>
          <w:sz w:val="18"/>
          <w:szCs w:val="18"/>
          <w:highlight w:val="none"/>
        </w:rPr>
        <w:t xml:space="preserve">      投标单位盖章：</w:t>
      </w:r>
    </w:p>
    <w:p>
      <w:pPr>
        <w:spacing w:line="360" w:lineRule="auto"/>
        <w:ind w:firstLine="450" w:firstLineChars="250"/>
        <w:jc w:val="center"/>
        <w:rPr>
          <w:rFonts w:ascii="宋体" w:hAnsi="宋体"/>
          <w:b/>
          <w:color w:val="auto"/>
          <w:szCs w:val="21"/>
          <w:highlight w:val="none"/>
        </w:rPr>
      </w:pPr>
      <w:r>
        <w:rPr>
          <w:rFonts w:hint="eastAsia" w:ascii="宋体" w:hAnsi="宋体"/>
          <w:color w:val="auto"/>
          <w:sz w:val="18"/>
          <w:szCs w:val="18"/>
          <w:highlight w:val="none"/>
        </w:rPr>
        <w:t xml:space="preserve">                                         日        期：</w:t>
      </w:r>
    </w:p>
    <w:p>
      <w:pPr>
        <w:rPr>
          <w:rFonts w:ascii="宋体" w:hAnsi="宋体"/>
          <w:b/>
          <w:color w:val="auto"/>
          <w:szCs w:val="21"/>
          <w:highlight w:val="none"/>
        </w:rPr>
      </w:pPr>
      <w:r>
        <w:rPr>
          <w:rFonts w:ascii="宋体" w:hAnsi="宋体"/>
          <w:b/>
          <w:color w:val="auto"/>
          <w:szCs w:val="21"/>
          <w:highlight w:val="none"/>
        </w:rPr>
        <w:br w:type="page"/>
      </w:r>
    </w:p>
    <w:p>
      <w:pPr>
        <w:snapToGrid w:val="0"/>
        <w:spacing w:line="360" w:lineRule="auto"/>
        <w:rPr>
          <w:color w:val="auto"/>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4</w:t>
      </w:r>
      <w:r>
        <w:rPr>
          <w:rFonts w:hint="eastAsia" w:asciiTheme="minorEastAsia" w:hAnsiTheme="minorEastAsia" w:eastAsiaTheme="minorEastAsia"/>
          <w:b/>
          <w:color w:val="auto"/>
          <w:szCs w:val="21"/>
          <w:highlight w:val="none"/>
        </w:rPr>
        <w:t>、</w:t>
      </w:r>
    </w:p>
    <w:p>
      <w:pPr>
        <w:jc w:val="center"/>
        <w:rPr>
          <w:rFonts w:hint="eastAsia" w:ascii="宋体" w:hAnsi="宋体"/>
          <w:b/>
          <w:color w:val="auto"/>
          <w:spacing w:val="20"/>
          <w:szCs w:val="21"/>
          <w:highlight w:val="none"/>
          <w:lang w:eastAsia="zh-CN"/>
        </w:rPr>
      </w:pPr>
      <w:r>
        <w:rPr>
          <w:rFonts w:hint="eastAsia" w:ascii="宋体" w:hAnsi="宋体"/>
          <w:b/>
          <w:color w:val="auto"/>
          <w:spacing w:val="20"/>
          <w:szCs w:val="21"/>
          <w:highlight w:val="none"/>
          <w:lang w:eastAsia="zh-CN"/>
        </w:rPr>
        <w:t>承诺函</w:t>
      </w:r>
    </w:p>
    <w:p>
      <w:pPr>
        <w:spacing w:line="360" w:lineRule="auto"/>
        <w:ind w:firstLine="420" w:firstLineChars="200"/>
        <w:rPr>
          <w:rFonts w:hint="eastAsia" w:ascii="宋体" w:hAnsi="宋体" w:cs="宋体"/>
          <w:color w:val="auto"/>
          <w:sz w:val="21"/>
          <w:szCs w:val="21"/>
          <w:highlight w:val="none"/>
          <w:lang w:val="en-US" w:eastAsia="zh-CN"/>
        </w:rPr>
      </w:pP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我公司承诺在中标后按不低于招标文件：</w:t>
      </w:r>
      <w:r>
        <w:rPr>
          <w:rFonts w:hint="eastAsia" w:hAnsi="宋体" w:cs="宋体"/>
          <w:bCs/>
          <w:color w:val="auto"/>
          <w:sz w:val="18"/>
          <w:szCs w:val="18"/>
          <w:highlight w:val="none"/>
          <w:lang w:val="en-US" w:eastAsia="zh-CN"/>
        </w:rPr>
        <w:t>一标段养护、巡查及保洁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35</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（其中保洁人员不少于12人、巡查不少于2人）；二标段养护、巡查及保洁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49</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（其中保洁人员不少于16人、巡查不少于3人）；三标段养护、巡查及保洁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42</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（其中保洁人员不少于10人、巡查不少于2人）；</w:t>
      </w:r>
      <w:r>
        <w:rPr>
          <w:rFonts w:hint="eastAsia" w:hAnsi="宋体" w:cs="宋体"/>
          <w:b/>
          <w:bCs w:val="0"/>
          <w:color w:val="auto"/>
          <w:sz w:val="18"/>
          <w:szCs w:val="18"/>
          <w:highlight w:val="none"/>
          <w:lang w:val="en-US" w:eastAsia="zh-CN"/>
        </w:rPr>
        <w:t>四标段养护、巡查</w:t>
      </w:r>
      <w:r>
        <w:rPr>
          <w:rFonts w:hint="eastAsia" w:ascii="宋体" w:hAnsi="宋体" w:eastAsia="宋体" w:cs="宋体"/>
          <w:b/>
          <w:bCs w:val="0"/>
          <w:color w:val="auto"/>
          <w:sz w:val="18"/>
          <w:szCs w:val="18"/>
          <w:highlight w:val="none"/>
          <w:lang w:val="en-US" w:eastAsia="zh-CN"/>
        </w:rPr>
        <w:t>人员每日不少于</w:t>
      </w:r>
      <w:r>
        <w:rPr>
          <w:rFonts w:hint="eastAsia" w:hAnsi="宋体" w:cs="宋体"/>
          <w:b/>
          <w:bCs w:val="0"/>
          <w:color w:val="auto"/>
          <w:sz w:val="18"/>
          <w:szCs w:val="18"/>
          <w:highlight w:val="none"/>
          <w:lang w:val="en-US" w:eastAsia="zh-CN"/>
        </w:rPr>
        <w:t>18</w:t>
      </w:r>
      <w:r>
        <w:rPr>
          <w:rFonts w:hint="eastAsia" w:ascii="宋体" w:hAnsi="宋体" w:eastAsia="宋体" w:cs="宋体"/>
          <w:b/>
          <w:bCs w:val="0"/>
          <w:color w:val="auto"/>
          <w:sz w:val="18"/>
          <w:szCs w:val="18"/>
          <w:highlight w:val="none"/>
          <w:lang w:val="en-US" w:eastAsia="zh-CN"/>
        </w:rPr>
        <w:t>人</w:t>
      </w:r>
      <w:r>
        <w:rPr>
          <w:rFonts w:hint="eastAsia" w:hAnsi="宋体" w:cs="宋体"/>
          <w:b/>
          <w:bCs w:val="0"/>
          <w:color w:val="auto"/>
          <w:sz w:val="18"/>
          <w:szCs w:val="18"/>
          <w:highlight w:val="none"/>
          <w:lang w:val="en-US" w:eastAsia="zh-CN"/>
        </w:rPr>
        <w:t>，其中巡查不少于2人</w:t>
      </w:r>
      <w:r>
        <w:rPr>
          <w:rFonts w:hint="eastAsia" w:hAnsi="宋体" w:cs="宋体"/>
          <w:bCs/>
          <w:color w:val="auto"/>
          <w:sz w:val="18"/>
          <w:szCs w:val="18"/>
          <w:highlight w:val="none"/>
          <w:lang w:val="en-US" w:eastAsia="zh-CN"/>
        </w:rPr>
        <w:t>；五标段养护、巡查及保洁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34</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（其中保洁人员不少于11人、巡查不少于2人）；六标段养护、巡查及保洁</w:t>
      </w:r>
      <w:r>
        <w:rPr>
          <w:rFonts w:hint="eastAsia" w:ascii="宋体" w:hAnsi="宋体" w:eastAsia="宋体" w:cs="宋体"/>
          <w:bCs/>
          <w:color w:val="auto"/>
          <w:sz w:val="18"/>
          <w:szCs w:val="18"/>
          <w:highlight w:val="none"/>
          <w:lang w:val="en-US" w:eastAsia="zh-CN"/>
        </w:rPr>
        <w:t>人员</w:t>
      </w:r>
      <w:r>
        <w:rPr>
          <w:rFonts w:hint="eastAsia" w:hAnsi="宋体" w:cs="宋体"/>
          <w:bCs/>
          <w:color w:val="auto"/>
          <w:sz w:val="18"/>
          <w:szCs w:val="18"/>
          <w:highlight w:val="none"/>
          <w:lang w:val="en-US" w:eastAsia="zh-CN"/>
        </w:rPr>
        <w:t>每日</w:t>
      </w:r>
      <w:r>
        <w:rPr>
          <w:rFonts w:hint="eastAsia" w:ascii="宋体" w:hAnsi="宋体" w:eastAsia="宋体" w:cs="宋体"/>
          <w:bCs/>
          <w:color w:val="auto"/>
          <w:sz w:val="18"/>
          <w:szCs w:val="18"/>
          <w:highlight w:val="none"/>
          <w:lang w:val="en-US" w:eastAsia="zh-CN"/>
        </w:rPr>
        <w:t>不少于</w:t>
      </w:r>
      <w:r>
        <w:rPr>
          <w:rFonts w:hint="eastAsia" w:hAnsi="宋体" w:cs="宋体"/>
          <w:bCs/>
          <w:color w:val="auto"/>
          <w:sz w:val="18"/>
          <w:szCs w:val="18"/>
          <w:highlight w:val="none"/>
          <w:lang w:val="en-US" w:eastAsia="zh-CN"/>
        </w:rPr>
        <w:t>37</w:t>
      </w:r>
      <w:r>
        <w:rPr>
          <w:rFonts w:hint="eastAsia" w:ascii="宋体" w:hAnsi="宋体" w:eastAsia="宋体" w:cs="宋体"/>
          <w:bCs/>
          <w:color w:val="auto"/>
          <w:sz w:val="18"/>
          <w:szCs w:val="18"/>
          <w:highlight w:val="none"/>
          <w:lang w:val="en-US" w:eastAsia="zh-CN"/>
        </w:rPr>
        <w:t>人</w:t>
      </w:r>
      <w:r>
        <w:rPr>
          <w:rFonts w:hint="eastAsia" w:hAnsi="宋体" w:cs="宋体"/>
          <w:bCs/>
          <w:color w:val="auto"/>
          <w:sz w:val="18"/>
          <w:szCs w:val="18"/>
          <w:highlight w:val="none"/>
          <w:lang w:val="en-US" w:eastAsia="zh-CN"/>
        </w:rPr>
        <w:t>（其中保洁人员不少于8人、巡查不少于2人）</w:t>
      </w:r>
      <w:r>
        <w:rPr>
          <w:rFonts w:hint="eastAsia" w:ascii="宋体" w:hAnsi="宋体" w:cs="宋体"/>
          <w:color w:val="auto"/>
          <w:sz w:val="18"/>
          <w:szCs w:val="18"/>
          <w:highlight w:val="none"/>
          <w:lang w:val="en-US" w:eastAsia="zh-CN"/>
        </w:rPr>
        <w:t>的人员要求到位，否则我司自愿接受相关处罚扣款，人员到位严重不足的，我司自愿解除合同，并赔偿相关损失。</w:t>
      </w:r>
    </w:p>
    <w:p>
      <w:pPr>
        <w:pStyle w:val="4"/>
        <w:outlineLvl w:val="9"/>
        <w:rPr>
          <w:rFonts w:hint="eastAsia" w:ascii="宋体" w:hAnsi="宋体" w:cs="宋体"/>
          <w:color w:val="auto"/>
          <w:sz w:val="18"/>
          <w:szCs w:val="18"/>
          <w:highlight w:val="none"/>
          <w:lang w:val="en-US" w:eastAsia="zh-CN"/>
        </w:rPr>
      </w:pPr>
    </w:p>
    <w:p>
      <w:pPr>
        <w:spacing w:beforeLines="50" w:line="360" w:lineRule="auto"/>
        <w:ind w:firstLine="1210" w:firstLineChars="550"/>
        <w:jc w:val="right"/>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pPr>
        <w:spacing w:line="360" w:lineRule="auto"/>
        <w:ind w:firstLine="440" w:firstLineChars="200"/>
        <w:jc w:val="right"/>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pPr>
        <w:jc w:val="right"/>
        <w:rPr>
          <w:rFonts w:hint="eastAsia"/>
          <w:color w:val="auto"/>
          <w:sz w:val="18"/>
          <w:szCs w:val="18"/>
          <w:highlight w:val="none"/>
          <w:lang w:eastAsia="zh-CN"/>
        </w:rPr>
      </w:pPr>
      <w:r>
        <w:rPr>
          <w:rFonts w:hint="eastAsia" w:asciiTheme="minorEastAsia" w:hAnsiTheme="minorEastAsia" w:eastAsiaTheme="minorEastAsia"/>
          <w:color w:val="auto"/>
          <w:spacing w:val="20"/>
          <w:sz w:val="18"/>
          <w:szCs w:val="18"/>
          <w:highlight w:val="none"/>
        </w:rPr>
        <w:t xml:space="preserve">                            日     期：</w:t>
      </w:r>
    </w:p>
    <w:p>
      <w:pPr>
        <w:rPr>
          <w:rFonts w:hint="eastAsia" w:cs="Times New Roman" w:asciiTheme="minorEastAsia" w:hAnsi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br w:type="page"/>
      </w:r>
    </w:p>
    <w:p>
      <w:pPr>
        <w:pStyle w:val="48"/>
        <w:ind w:left="0" w:leftChars="0" w:firstLine="0" w:firstLineChars="0"/>
        <w:jc w:val="center"/>
        <w:outlineLvl w:val="0"/>
        <w:rPr>
          <w:rFonts w:hint="eastAsia" w:cs="Times New Roman" w:asciiTheme="minorEastAsia" w:hAnsiTheme="minorEastAsia" w:eastAsiaTheme="minorEastAsia"/>
          <w:b/>
          <w:color w:val="auto"/>
          <w:spacing w:val="0"/>
          <w:szCs w:val="21"/>
          <w:highlight w:val="none"/>
          <w:lang w:eastAsia="zh-CN"/>
        </w:rPr>
      </w:pPr>
      <w:bookmarkStart w:id="204" w:name="_Toc20046"/>
      <w:r>
        <w:rPr>
          <w:rFonts w:hint="eastAsia" w:cs="Times New Roman" w:asciiTheme="minorEastAsia" w:hAnsiTheme="minorEastAsia"/>
          <w:b/>
          <w:color w:val="auto"/>
          <w:spacing w:val="0"/>
          <w:szCs w:val="21"/>
          <w:highlight w:val="none"/>
          <w:lang w:eastAsia="zh-CN"/>
        </w:rPr>
        <w:t>其他投标人认为需要递交的资料</w:t>
      </w:r>
      <w:bookmarkEnd w:id="204"/>
    </w:p>
    <w:p>
      <w:pPr>
        <w:pStyle w:val="48"/>
        <w:ind w:left="0" w:leftChars="0" w:firstLine="0" w:firstLineChars="0"/>
        <w:jc w:val="center"/>
        <w:rPr>
          <w:color w:val="auto"/>
          <w:highlight w:val="none"/>
        </w:rPr>
      </w:pPr>
      <w:r>
        <w:rPr>
          <w:rFonts w:hint="eastAsia"/>
          <w:color w:val="auto"/>
          <w:highlight w:val="none"/>
        </w:rPr>
        <w:t>（格式自拟）</w:t>
      </w:r>
    </w:p>
    <w:bookmarkEnd w:id="205"/>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7A"/>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ongti SC Regular">
    <w:altName w:val="微软雅黑"/>
    <w:panose1 w:val="00000000000000000000"/>
    <w:charset w:val="50"/>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3"/>
      </w:rPr>
    </w:pPr>
    <w:r>
      <w:fldChar w:fldCharType="begin"/>
    </w:r>
    <w:r>
      <w:rPr>
        <w:rStyle w:val="53"/>
      </w:rPr>
      <w:instrText xml:space="preserve">PAGE  </w:instrText>
    </w:r>
    <w:r>
      <w:fldChar w:fldCharType="end"/>
    </w:r>
  </w:p>
  <w:p>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9415B"/>
    <w:multiLevelType w:val="singleLevel"/>
    <w:tmpl w:val="B2A9415B"/>
    <w:lvl w:ilvl="0" w:tentative="0">
      <w:start w:val="5"/>
      <w:numFmt w:val="chineseCounting"/>
      <w:suff w:val="space"/>
      <w:lvlText w:val="第%1章"/>
      <w:lvlJc w:val="left"/>
      <w:rPr>
        <w:rFonts w:hint="eastAsia"/>
      </w:rPr>
    </w:lvl>
  </w:abstractNum>
  <w:abstractNum w:abstractNumId="1">
    <w:nsid w:val="BD20D57D"/>
    <w:multiLevelType w:val="singleLevel"/>
    <w:tmpl w:val="BD20D57D"/>
    <w:lvl w:ilvl="0" w:tentative="0">
      <w:start w:val="1"/>
      <w:numFmt w:val="decimal"/>
      <w:suff w:val="nothing"/>
      <w:lvlText w:val="%1、"/>
      <w:lvlJc w:val="left"/>
    </w:lvl>
  </w:abstractNum>
  <w:abstractNum w:abstractNumId="2">
    <w:nsid w:val="F858F82F"/>
    <w:multiLevelType w:val="singleLevel"/>
    <w:tmpl w:val="F858F82F"/>
    <w:lvl w:ilvl="0" w:tentative="0">
      <w:start w:val="1"/>
      <w:numFmt w:val="decimal"/>
      <w:suff w:val="nothing"/>
      <w:lvlText w:val="%1、"/>
      <w:lvlJc w:val="left"/>
    </w:lvl>
  </w:abstractNum>
  <w:abstractNum w:abstractNumId="3">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4">
    <w:nsid w:val="00000002"/>
    <w:multiLevelType w:val="multilevel"/>
    <w:tmpl w:val="00000002"/>
    <w:lvl w:ilvl="0" w:tentative="0">
      <w:start w:val="1"/>
      <w:numFmt w:val="bullet"/>
      <w:pStyle w:val="3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2"/>
    <w:multiLevelType w:val="singleLevel"/>
    <w:tmpl w:val="00000012"/>
    <w:lvl w:ilvl="0" w:tentative="0">
      <w:start w:val="1"/>
      <w:numFmt w:val="decimal"/>
      <w:pStyle w:val="25"/>
      <w:lvlText w:val="%1."/>
      <w:lvlJc w:val="left"/>
      <w:pPr>
        <w:tabs>
          <w:tab w:val="left" w:pos="1200"/>
        </w:tabs>
        <w:ind w:left="1200" w:hanging="360"/>
      </w:pPr>
    </w:lvl>
  </w:abstractNum>
  <w:abstractNum w:abstractNumId="6">
    <w:nsid w:val="0C827B20"/>
    <w:multiLevelType w:val="multilevel"/>
    <w:tmpl w:val="0C827B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D7D4806"/>
    <w:multiLevelType w:val="singleLevel"/>
    <w:tmpl w:val="0D7D4806"/>
    <w:lvl w:ilvl="0" w:tentative="0">
      <w:start w:val="1"/>
      <w:numFmt w:val="decimal"/>
      <w:suff w:val="nothing"/>
      <w:lvlText w:val="%1、"/>
      <w:lvlJc w:val="left"/>
    </w:lvl>
  </w:abstractNum>
  <w:abstractNum w:abstractNumId="8">
    <w:nsid w:val="1B89059A"/>
    <w:multiLevelType w:val="multilevel"/>
    <w:tmpl w:val="1B89059A"/>
    <w:lvl w:ilvl="0" w:tentative="0">
      <w:start w:val="1"/>
      <w:numFmt w:val="decimal"/>
      <w:pStyle w:val="22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DDBAD9B"/>
    <w:multiLevelType w:val="singleLevel"/>
    <w:tmpl w:val="2DDBAD9B"/>
    <w:lvl w:ilvl="0" w:tentative="0">
      <w:start w:val="1"/>
      <w:numFmt w:val="decimal"/>
      <w:suff w:val="nothing"/>
      <w:lvlText w:val="%1、"/>
      <w:lvlJc w:val="left"/>
    </w:lvl>
  </w:abstractNum>
  <w:abstractNum w:abstractNumId="10">
    <w:nsid w:val="3F28AE5C"/>
    <w:multiLevelType w:val="singleLevel"/>
    <w:tmpl w:val="3F28AE5C"/>
    <w:lvl w:ilvl="0" w:tentative="0">
      <w:start w:val="2"/>
      <w:numFmt w:val="chineseCounting"/>
      <w:suff w:val="space"/>
      <w:lvlText w:val="第%1章"/>
      <w:lvlJc w:val="left"/>
      <w:rPr>
        <w:rFonts w:hint="eastAsia"/>
      </w:rPr>
    </w:lvl>
  </w:abstractNum>
  <w:abstractNum w:abstractNumId="11">
    <w:nsid w:val="4D7A8D78"/>
    <w:multiLevelType w:val="singleLevel"/>
    <w:tmpl w:val="4D7A8D78"/>
    <w:lvl w:ilvl="0" w:tentative="0">
      <w:start w:val="1"/>
      <w:numFmt w:val="decimal"/>
      <w:suff w:val="nothing"/>
      <w:lvlText w:val="%1、"/>
      <w:lvlJc w:val="left"/>
    </w:lvl>
  </w:abstractNum>
  <w:abstractNum w:abstractNumId="12">
    <w:nsid w:val="61C45857"/>
    <w:multiLevelType w:val="multilevel"/>
    <w:tmpl w:val="61C45857"/>
    <w:lvl w:ilvl="0" w:tentative="0">
      <w:start w:val="1"/>
      <w:numFmt w:val="none"/>
      <w:lvlText w:val="一、"/>
      <w:lvlJc w:val="left"/>
      <w:pPr>
        <w:tabs>
          <w:tab w:val="left" w:pos="962"/>
        </w:tabs>
        <w:ind w:left="962" w:hanging="48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3">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2"/>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C1349CD"/>
    <w:multiLevelType w:val="multilevel"/>
    <w:tmpl w:val="7C1349CD"/>
    <w:lvl w:ilvl="0" w:tentative="0">
      <w:start w:val="1"/>
      <w:numFmt w:val="decimal"/>
      <w:lvlText w:val="(%1)"/>
      <w:lvlJc w:val="left"/>
      <w:pPr>
        <w:tabs>
          <w:tab w:val="left" w:pos="840"/>
        </w:tabs>
        <w:ind w:left="840" w:hanging="36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3"/>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9"/>
  </w:num>
  <w:num w:numId="9">
    <w:abstractNumId w:val="11"/>
  </w:num>
  <w:num w:numId="10">
    <w:abstractNumId w:val="7"/>
  </w:num>
  <w:num w:numId="11">
    <w:abstractNumId w:val="1"/>
  </w:num>
  <w:num w:numId="12">
    <w:abstractNumId w:val="0"/>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jJlNDk5ZWQ2NTFjOGE2MDFiN2I1Y2E2NGJjMTAifQ=="/>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40D2D33"/>
    <w:rsid w:val="04442270"/>
    <w:rsid w:val="055D3D7E"/>
    <w:rsid w:val="06117F79"/>
    <w:rsid w:val="0662732E"/>
    <w:rsid w:val="068A5FDB"/>
    <w:rsid w:val="06B57A35"/>
    <w:rsid w:val="073C4DF9"/>
    <w:rsid w:val="074D1FB6"/>
    <w:rsid w:val="0774357C"/>
    <w:rsid w:val="07D55FEF"/>
    <w:rsid w:val="085632C3"/>
    <w:rsid w:val="08A57F5F"/>
    <w:rsid w:val="0903319F"/>
    <w:rsid w:val="0A506CB7"/>
    <w:rsid w:val="0A572864"/>
    <w:rsid w:val="0AF55A98"/>
    <w:rsid w:val="0BD73B39"/>
    <w:rsid w:val="0C8A04B3"/>
    <w:rsid w:val="0D0E115E"/>
    <w:rsid w:val="0D386E82"/>
    <w:rsid w:val="0E162E63"/>
    <w:rsid w:val="0E3B5D80"/>
    <w:rsid w:val="0F9509ED"/>
    <w:rsid w:val="0FCE5D2A"/>
    <w:rsid w:val="100844EC"/>
    <w:rsid w:val="10B46A31"/>
    <w:rsid w:val="10C15B55"/>
    <w:rsid w:val="121A54B0"/>
    <w:rsid w:val="122C2B25"/>
    <w:rsid w:val="12B205B0"/>
    <w:rsid w:val="12CC71EE"/>
    <w:rsid w:val="13AE28A6"/>
    <w:rsid w:val="13CD7354"/>
    <w:rsid w:val="141B03CC"/>
    <w:rsid w:val="14A003D1"/>
    <w:rsid w:val="14E13731"/>
    <w:rsid w:val="15DC4C07"/>
    <w:rsid w:val="1603288D"/>
    <w:rsid w:val="17E13C1A"/>
    <w:rsid w:val="1A0B2424"/>
    <w:rsid w:val="1B3E72A5"/>
    <w:rsid w:val="1C38044D"/>
    <w:rsid w:val="1C3A194F"/>
    <w:rsid w:val="1CF22438"/>
    <w:rsid w:val="1D2D24D6"/>
    <w:rsid w:val="1D8C3ACE"/>
    <w:rsid w:val="1DB22AF9"/>
    <w:rsid w:val="1E541A70"/>
    <w:rsid w:val="1E8C30B2"/>
    <w:rsid w:val="1E932147"/>
    <w:rsid w:val="1F272F08"/>
    <w:rsid w:val="1F41426C"/>
    <w:rsid w:val="20072DF7"/>
    <w:rsid w:val="21BB015D"/>
    <w:rsid w:val="22334556"/>
    <w:rsid w:val="23D33E51"/>
    <w:rsid w:val="24096964"/>
    <w:rsid w:val="24FB5382"/>
    <w:rsid w:val="24FB6F38"/>
    <w:rsid w:val="24FE58C3"/>
    <w:rsid w:val="251A54A9"/>
    <w:rsid w:val="262829DF"/>
    <w:rsid w:val="277E764F"/>
    <w:rsid w:val="27D72F9E"/>
    <w:rsid w:val="28BA6F34"/>
    <w:rsid w:val="29B32078"/>
    <w:rsid w:val="2C4E0743"/>
    <w:rsid w:val="2C6A166B"/>
    <w:rsid w:val="2DC07ADD"/>
    <w:rsid w:val="2E541BEB"/>
    <w:rsid w:val="2E774DC8"/>
    <w:rsid w:val="2FA26D23"/>
    <w:rsid w:val="3008200E"/>
    <w:rsid w:val="3072481E"/>
    <w:rsid w:val="31321F99"/>
    <w:rsid w:val="31914739"/>
    <w:rsid w:val="31E23903"/>
    <w:rsid w:val="32FC3CC0"/>
    <w:rsid w:val="34603CB7"/>
    <w:rsid w:val="35672368"/>
    <w:rsid w:val="35837B4B"/>
    <w:rsid w:val="35D703D8"/>
    <w:rsid w:val="371A713B"/>
    <w:rsid w:val="38DF6D5E"/>
    <w:rsid w:val="39012615"/>
    <w:rsid w:val="39E4717E"/>
    <w:rsid w:val="3A2A4E8A"/>
    <w:rsid w:val="3A9638A2"/>
    <w:rsid w:val="3AFA6B2D"/>
    <w:rsid w:val="3CB029DD"/>
    <w:rsid w:val="3D624A2B"/>
    <w:rsid w:val="3DCC1E5F"/>
    <w:rsid w:val="3EAE2050"/>
    <w:rsid w:val="3F041AD9"/>
    <w:rsid w:val="3FB303FC"/>
    <w:rsid w:val="40AE5091"/>
    <w:rsid w:val="423B4E6C"/>
    <w:rsid w:val="43F3458A"/>
    <w:rsid w:val="44440133"/>
    <w:rsid w:val="45B31A61"/>
    <w:rsid w:val="45CF2F6F"/>
    <w:rsid w:val="45D34FB6"/>
    <w:rsid w:val="46245A13"/>
    <w:rsid w:val="46DD4550"/>
    <w:rsid w:val="46E3608D"/>
    <w:rsid w:val="47033A9A"/>
    <w:rsid w:val="479E4F15"/>
    <w:rsid w:val="48CA6795"/>
    <w:rsid w:val="4941085B"/>
    <w:rsid w:val="4962008B"/>
    <w:rsid w:val="49DA6407"/>
    <w:rsid w:val="49FA03B9"/>
    <w:rsid w:val="4C0B019B"/>
    <w:rsid w:val="4C104692"/>
    <w:rsid w:val="4C231F8F"/>
    <w:rsid w:val="4C811519"/>
    <w:rsid w:val="4D285099"/>
    <w:rsid w:val="4D5D1394"/>
    <w:rsid w:val="4D7A63D4"/>
    <w:rsid w:val="4DC105B9"/>
    <w:rsid w:val="4E5E6ACE"/>
    <w:rsid w:val="4EA3285D"/>
    <w:rsid w:val="4FD17D78"/>
    <w:rsid w:val="502F2AFF"/>
    <w:rsid w:val="5062649A"/>
    <w:rsid w:val="52394071"/>
    <w:rsid w:val="52BE47B3"/>
    <w:rsid w:val="52D34A56"/>
    <w:rsid w:val="533C2574"/>
    <w:rsid w:val="534A49DB"/>
    <w:rsid w:val="540154EC"/>
    <w:rsid w:val="549661BE"/>
    <w:rsid w:val="54D90D6B"/>
    <w:rsid w:val="54F5408A"/>
    <w:rsid w:val="5678553B"/>
    <w:rsid w:val="56C95F43"/>
    <w:rsid w:val="57673C54"/>
    <w:rsid w:val="578F46AB"/>
    <w:rsid w:val="58552D55"/>
    <w:rsid w:val="586357E1"/>
    <w:rsid w:val="586F29A3"/>
    <w:rsid w:val="59841B2F"/>
    <w:rsid w:val="5A835EEC"/>
    <w:rsid w:val="5BE60354"/>
    <w:rsid w:val="5C467737"/>
    <w:rsid w:val="5C4917CB"/>
    <w:rsid w:val="5C5A4637"/>
    <w:rsid w:val="5D035D66"/>
    <w:rsid w:val="5D3A60F6"/>
    <w:rsid w:val="610A4A53"/>
    <w:rsid w:val="618D0DDA"/>
    <w:rsid w:val="61924C82"/>
    <w:rsid w:val="61D651BA"/>
    <w:rsid w:val="6238577C"/>
    <w:rsid w:val="62E86106"/>
    <w:rsid w:val="63593E54"/>
    <w:rsid w:val="65321727"/>
    <w:rsid w:val="654020E2"/>
    <w:rsid w:val="67E75A9C"/>
    <w:rsid w:val="67F50CA9"/>
    <w:rsid w:val="684D717D"/>
    <w:rsid w:val="68686AEA"/>
    <w:rsid w:val="692D52EC"/>
    <w:rsid w:val="69C2222A"/>
    <w:rsid w:val="6A4E2C73"/>
    <w:rsid w:val="6ACA7F96"/>
    <w:rsid w:val="6B564F76"/>
    <w:rsid w:val="6B5F7381"/>
    <w:rsid w:val="6EB34C7A"/>
    <w:rsid w:val="6EC1338F"/>
    <w:rsid w:val="711E7D37"/>
    <w:rsid w:val="71947DA3"/>
    <w:rsid w:val="72E90C5B"/>
    <w:rsid w:val="7338355D"/>
    <w:rsid w:val="73E63CEC"/>
    <w:rsid w:val="7461442E"/>
    <w:rsid w:val="76D966E8"/>
    <w:rsid w:val="77B25407"/>
    <w:rsid w:val="79627ECB"/>
    <w:rsid w:val="79A31922"/>
    <w:rsid w:val="7A950FFF"/>
    <w:rsid w:val="7C7F141A"/>
    <w:rsid w:val="7DC114FB"/>
    <w:rsid w:val="7E264CCF"/>
    <w:rsid w:val="7E61579F"/>
    <w:rsid w:val="7EDE60CE"/>
    <w:rsid w:val="7EF276B7"/>
    <w:rsid w:val="7F840320"/>
    <w:rsid w:val="BEFE6508"/>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2"/>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3"/>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4"/>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5"/>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6"/>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7"/>
    <w:qFormat/>
    <w:uiPriority w:val="0"/>
    <w:pPr>
      <w:tabs>
        <w:tab w:val="left" w:pos="3360"/>
        <w:tab w:val="clear" w:pos="2940"/>
      </w:tabs>
      <w:outlineLvl w:val="6"/>
    </w:pPr>
  </w:style>
  <w:style w:type="paragraph" w:styleId="10">
    <w:name w:val="heading 8"/>
    <w:basedOn w:val="9"/>
    <w:next w:val="1"/>
    <w:link w:val="68"/>
    <w:qFormat/>
    <w:uiPriority w:val="0"/>
    <w:pPr>
      <w:tabs>
        <w:tab w:val="left" w:pos="3780"/>
        <w:tab w:val="clear" w:pos="3360"/>
      </w:tabs>
      <w:outlineLvl w:val="7"/>
    </w:pPr>
  </w:style>
  <w:style w:type="paragraph" w:styleId="11">
    <w:name w:val="heading 9"/>
    <w:basedOn w:val="10"/>
    <w:next w:val="1"/>
    <w:link w:val="69"/>
    <w:qFormat/>
    <w:uiPriority w:val="0"/>
    <w:pPr>
      <w:tabs>
        <w:tab w:val="left" w:pos="480"/>
        <w:tab w:val="left" w:pos="4200"/>
        <w:tab w:val="clear" w:pos="3780"/>
      </w:tabs>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styleId="12">
    <w:name w:val="toc 7"/>
    <w:basedOn w:val="1"/>
    <w:next w:val="1"/>
    <w:unhideWhenUsed/>
    <w:qFormat/>
    <w:uiPriority w:val="0"/>
    <w:pPr>
      <w:ind w:left="2520" w:leftChars="1200"/>
    </w:pPr>
    <w:rPr>
      <w:rFonts w:cs="宋体"/>
      <w:sz w:val="24"/>
    </w:rPr>
  </w:style>
  <w:style w:type="paragraph" w:styleId="13">
    <w:name w:val="List Number 2"/>
    <w:basedOn w:val="1"/>
    <w:semiHidden/>
    <w:unhideWhenUsed/>
    <w:qFormat/>
    <w:uiPriority w:val="99"/>
    <w:pPr>
      <w:numPr>
        <w:ilvl w:val="0"/>
        <w:numId w:val="1"/>
      </w:numPr>
      <w:contextualSpacing/>
    </w:pPr>
  </w:style>
  <w:style w:type="paragraph" w:styleId="14">
    <w:name w:val="table of authorities"/>
    <w:basedOn w:val="1"/>
    <w:next w:val="1"/>
    <w:unhideWhenUsed/>
    <w:qFormat/>
    <w:uiPriority w:val="0"/>
    <w:pPr>
      <w:ind w:left="420" w:leftChars="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70"/>
    <w:qFormat/>
    <w:uiPriority w:val="0"/>
    <w:pPr>
      <w:ind w:firstLine="420"/>
    </w:pPr>
    <w:rPr>
      <w:rFonts w:asciiTheme="minorHAnsi" w:hAnsiTheme="minorHAnsi" w:cstheme="minorBidi"/>
      <w:szCs w:val="22"/>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1"/>
    <w:qFormat/>
    <w:uiPriority w:val="0"/>
    <w:rPr>
      <w:rFonts w:ascii="宋体" w:hAnsiTheme="minorHAnsi" w:eastAsiaTheme="minorEastAsia" w:cstheme="minorBidi"/>
      <w:sz w:val="18"/>
      <w:szCs w:val="18"/>
    </w:rPr>
  </w:style>
  <w:style w:type="paragraph" w:styleId="19">
    <w:name w:val="annotation text"/>
    <w:basedOn w:val="1"/>
    <w:link w:val="72"/>
    <w:unhideWhenUsed/>
    <w:qFormat/>
    <w:uiPriority w:val="0"/>
    <w:pPr>
      <w:jc w:val="left"/>
    </w:pPr>
  </w:style>
  <w:style w:type="paragraph" w:styleId="20">
    <w:name w:val="Body Text 3"/>
    <w:basedOn w:val="1"/>
    <w:link w:val="73"/>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next w:val="22"/>
    <w:link w:val="74"/>
    <w:qFormat/>
    <w:uiPriority w:val="0"/>
    <w:pPr>
      <w:spacing w:after="120"/>
    </w:pPr>
    <w:rPr>
      <w:rFonts w:asciiTheme="minorHAnsi" w:hAnsiTheme="minorHAnsi" w:eastAsiaTheme="minorEastAsia" w:cstheme="minorBidi"/>
      <w:sz w:val="28"/>
    </w:rPr>
  </w:style>
  <w:style w:type="paragraph" w:styleId="22">
    <w:name w:val="Body Text First Indent"/>
    <w:basedOn w:val="21"/>
    <w:next w:val="23"/>
    <w:link w:val="367"/>
    <w:unhideWhenUsed/>
    <w:qFormat/>
    <w:uiPriority w:val="99"/>
    <w:pPr>
      <w:ind w:firstLine="420" w:firstLineChars="100"/>
    </w:pPr>
    <w:rPr>
      <w:rFonts w:ascii="Calibri" w:hAnsi="Calibri" w:eastAsia="宋体" w:cs="Times New Roman"/>
      <w:kern w:val="0"/>
      <w:sz w:val="21"/>
    </w:rPr>
  </w:style>
  <w:style w:type="paragraph" w:styleId="23">
    <w:name w:val="toc 6"/>
    <w:basedOn w:val="1"/>
    <w:next w:val="1"/>
    <w:unhideWhenUsed/>
    <w:qFormat/>
    <w:uiPriority w:val="0"/>
    <w:pPr>
      <w:ind w:left="2100" w:leftChars="1000"/>
    </w:pPr>
    <w:rPr>
      <w:rFonts w:cs="宋体"/>
      <w:sz w:val="24"/>
    </w:rPr>
  </w:style>
  <w:style w:type="paragraph" w:styleId="24">
    <w:name w:val="Body Text Indent"/>
    <w:basedOn w:val="1"/>
    <w:link w:val="59"/>
    <w:unhideWhenUsed/>
    <w:qFormat/>
    <w:uiPriority w:val="99"/>
    <w:pPr>
      <w:spacing w:after="120"/>
      <w:ind w:left="420" w:leftChars="200"/>
    </w:p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unhideWhenUsed/>
    <w:qFormat/>
    <w:uiPriority w:val="0"/>
    <w:pPr>
      <w:ind w:left="1680" w:leftChars="800"/>
    </w:pPr>
    <w:rPr>
      <w:rFonts w:cs="宋体"/>
      <w:sz w:val="24"/>
    </w:rPr>
  </w:style>
  <w:style w:type="paragraph" w:styleId="29">
    <w:name w:val="toc 3"/>
    <w:basedOn w:val="1"/>
    <w:next w:val="1"/>
    <w:unhideWhenUsed/>
    <w:qFormat/>
    <w:uiPriority w:val="39"/>
    <w:pPr>
      <w:ind w:left="840" w:leftChars="400"/>
    </w:pPr>
    <w:rPr>
      <w:rFonts w:cs="宋体"/>
      <w:sz w:val="24"/>
    </w:rPr>
  </w:style>
  <w:style w:type="paragraph" w:styleId="30">
    <w:name w:val="Plain Text"/>
    <w:basedOn w:val="1"/>
    <w:next w:val="1"/>
    <w:link w:val="75"/>
    <w:qFormat/>
    <w:uiPriority w:val="0"/>
    <w:pPr>
      <w:spacing w:beforeLines="50" w:afterLines="50" w:line="400" w:lineRule="exact"/>
    </w:pPr>
    <w:rPr>
      <w:rFonts w:ascii="宋体" w:hAnsi="Courier New" w:cstheme="minorBidi"/>
      <w:sz w:val="24"/>
    </w:rPr>
  </w:style>
  <w:style w:type="paragraph" w:styleId="31">
    <w:name w:val="toc 8"/>
    <w:basedOn w:val="1"/>
    <w:next w:val="1"/>
    <w:unhideWhenUsed/>
    <w:qFormat/>
    <w:uiPriority w:val="0"/>
    <w:pPr>
      <w:ind w:left="2940" w:leftChars="1400"/>
    </w:pPr>
    <w:rPr>
      <w:rFonts w:cs="宋体"/>
      <w:sz w:val="24"/>
    </w:rPr>
  </w:style>
  <w:style w:type="paragraph" w:styleId="32">
    <w:name w:val="Date"/>
    <w:basedOn w:val="1"/>
    <w:next w:val="1"/>
    <w:link w:val="76"/>
    <w:qFormat/>
    <w:uiPriority w:val="0"/>
    <w:pPr>
      <w:ind w:left="2500" w:leftChars="2500"/>
    </w:pPr>
    <w:rPr>
      <w:rFonts w:eastAsia="楷体_GB2312" w:asciiTheme="minorHAnsi" w:hAnsiTheme="minorHAnsi" w:cstheme="minorBidi"/>
      <w:sz w:val="32"/>
      <w:szCs w:val="22"/>
    </w:rPr>
  </w:style>
  <w:style w:type="paragraph" w:styleId="33">
    <w:name w:val="Body Text Indent 2"/>
    <w:basedOn w:val="1"/>
    <w:link w:val="77"/>
    <w:qFormat/>
    <w:uiPriority w:val="0"/>
    <w:pPr>
      <w:snapToGrid w:val="0"/>
      <w:ind w:firstLine="542" w:firstLineChars="225"/>
    </w:pPr>
    <w:rPr>
      <w:rFonts w:ascii="仿宋_GB2312" w:hAnsi="宋体" w:cs="Arial" w:eastAsiaTheme="minorEastAsia"/>
      <w:b/>
      <w:bCs/>
      <w:color w:val="000000"/>
      <w:sz w:val="24"/>
    </w:rPr>
  </w:style>
  <w:style w:type="paragraph" w:styleId="34">
    <w:name w:val="Balloon Text"/>
    <w:basedOn w:val="1"/>
    <w:link w:val="78"/>
    <w:qFormat/>
    <w:uiPriority w:val="99"/>
    <w:rPr>
      <w:rFonts w:asciiTheme="minorHAnsi" w:hAnsiTheme="minorHAnsi" w:eastAsiaTheme="minorEastAsia" w:cstheme="minorBidi"/>
      <w:sz w:val="18"/>
      <w:szCs w:val="18"/>
    </w:rPr>
  </w:style>
  <w:style w:type="paragraph" w:styleId="35">
    <w:name w:val="footer"/>
    <w:basedOn w:val="1"/>
    <w:link w:val="79"/>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6">
    <w:name w:val="header"/>
    <w:basedOn w:val="1"/>
    <w:link w:val="80"/>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7">
    <w:name w:val="toc 1"/>
    <w:basedOn w:val="1"/>
    <w:next w:val="1"/>
    <w:qFormat/>
    <w:uiPriority w:val="39"/>
  </w:style>
  <w:style w:type="paragraph" w:styleId="38">
    <w:name w:val="toc 4"/>
    <w:basedOn w:val="1"/>
    <w:next w:val="1"/>
    <w:unhideWhenUsed/>
    <w:qFormat/>
    <w:uiPriority w:val="0"/>
    <w:pPr>
      <w:ind w:left="1260" w:leftChars="600"/>
    </w:pPr>
    <w:rPr>
      <w:rFonts w:cs="宋体"/>
      <w:sz w:val="24"/>
    </w:rPr>
  </w:style>
  <w:style w:type="paragraph" w:styleId="39">
    <w:name w:val="Subtitle"/>
    <w:basedOn w:val="1"/>
    <w:next w:val="1"/>
    <w:link w:val="81"/>
    <w:qFormat/>
    <w:uiPriority w:val="0"/>
    <w:pPr>
      <w:jc w:val="left"/>
    </w:pPr>
    <w:rPr>
      <w:rFonts w:ascii="Cambria" w:hAnsi="Cambria" w:cs="宋体" w:eastAsiaTheme="minorEastAsia"/>
      <w:bCs/>
      <w:kern w:val="28"/>
      <w:sz w:val="18"/>
      <w:szCs w:val="32"/>
    </w:rPr>
  </w:style>
  <w:style w:type="paragraph" w:styleId="40">
    <w:name w:val="List"/>
    <w:basedOn w:val="1"/>
    <w:link w:val="358"/>
    <w:qFormat/>
    <w:uiPriority w:val="0"/>
    <w:pPr>
      <w:ind w:left="200" w:hanging="200" w:hangingChars="200"/>
    </w:pPr>
    <w:rPr>
      <w:sz w:val="28"/>
    </w:rPr>
  </w:style>
  <w:style w:type="paragraph" w:styleId="41">
    <w:name w:val="Body Text Indent 3"/>
    <w:basedOn w:val="1"/>
    <w:link w:val="82"/>
    <w:qFormat/>
    <w:uiPriority w:val="0"/>
    <w:pPr>
      <w:snapToGrid w:val="0"/>
      <w:ind w:firstLine="480" w:firstLineChars="200"/>
      <w:jc w:val="left"/>
    </w:pPr>
    <w:rPr>
      <w:rFonts w:ascii="仿宋_GB2312" w:hAnsi="宋体" w:eastAsia="仿宋_GB2312" w:cstheme="minorBidi"/>
      <w:color w:val="000000"/>
      <w:sz w:val="24"/>
    </w:rPr>
  </w:style>
  <w:style w:type="paragraph" w:styleId="42">
    <w:name w:val="toc 2"/>
    <w:basedOn w:val="1"/>
    <w:next w:val="1"/>
    <w:qFormat/>
    <w:uiPriority w:val="39"/>
    <w:pPr>
      <w:ind w:left="420" w:leftChars="200"/>
    </w:pPr>
  </w:style>
  <w:style w:type="paragraph" w:styleId="43">
    <w:name w:val="toc 9"/>
    <w:basedOn w:val="1"/>
    <w:next w:val="1"/>
    <w:unhideWhenUsed/>
    <w:qFormat/>
    <w:uiPriority w:val="0"/>
    <w:pPr>
      <w:ind w:left="3360" w:leftChars="1600"/>
    </w:pPr>
    <w:rPr>
      <w:rFonts w:cs="宋体"/>
      <w:sz w:val="24"/>
    </w:rPr>
  </w:style>
  <w:style w:type="paragraph" w:styleId="44">
    <w:name w:val="Body Text 2"/>
    <w:basedOn w:val="1"/>
    <w:link w:val="83"/>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4"/>
    <w:qFormat/>
    <w:uiPriority w:val="0"/>
    <w:pPr>
      <w:spacing w:before="240" w:after="60"/>
      <w:jc w:val="center"/>
      <w:outlineLvl w:val="0"/>
    </w:pPr>
    <w:rPr>
      <w:rFonts w:ascii="Calibri Light" w:hAnsi="Calibri Light" w:eastAsiaTheme="minorEastAsia" w:cstheme="minorBidi"/>
      <w:b/>
      <w:bCs/>
      <w:sz w:val="32"/>
      <w:szCs w:val="32"/>
    </w:rPr>
  </w:style>
  <w:style w:type="paragraph" w:styleId="47">
    <w:name w:val="annotation subject"/>
    <w:basedOn w:val="19"/>
    <w:next w:val="19"/>
    <w:link w:val="85"/>
    <w:qFormat/>
    <w:uiPriority w:val="0"/>
    <w:rPr>
      <w:rFonts w:asciiTheme="minorHAnsi" w:hAnsiTheme="minorHAnsi" w:eastAsiaTheme="minorEastAsia" w:cstheme="minorBidi"/>
      <w:b/>
      <w:bCs/>
    </w:rPr>
  </w:style>
  <w:style w:type="paragraph" w:styleId="48">
    <w:name w:val="Body Text First Indent 2"/>
    <w:basedOn w:val="24"/>
    <w:link w:val="60"/>
    <w:qFormat/>
    <w:uiPriority w:val="0"/>
    <w:pPr>
      <w:ind w:firstLine="420" w:firstLineChars="200"/>
    </w:pPr>
    <w:rPr>
      <w:rFonts w:ascii="宋体" w:hAnsi="Courier New" w:eastAsiaTheme="minorEastAsia" w:cstheme="minorBidi"/>
      <w:spacing w:val="-4"/>
    </w:rPr>
  </w:style>
  <w:style w:type="table" w:styleId="50">
    <w:name w:val="Table Grid"/>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首行缩进"/>
    <w:basedOn w:val="1"/>
    <w:qFormat/>
    <w:uiPriority w:val="0"/>
    <w:rPr>
      <w:lang w:val="zh-CN"/>
    </w:rPr>
  </w:style>
  <w:style w:type="character" w:customStyle="1" w:styleId="59">
    <w:name w:val="正文文本缩进 Char3"/>
    <w:basedOn w:val="51"/>
    <w:link w:val="24"/>
    <w:qFormat/>
    <w:uiPriority w:val="99"/>
    <w:rPr>
      <w:rFonts w:ascii="Calibri" w:hAnsi="Calibri" w:eastAsia="宋体" w:cs="Times New Roman"/>
      <w:szCs w:val="24"/>
    </w:rPr>
  </w:style>
  <w:style w:type="character" w:customStyle="1" w:styleId="60">
    <w:name w:val="正文首行缩进 2 Char2"/>
    <w:link w:val="48"/>
    <w:qFormat/>
    <w:uiPriority w:val="0"/>
    <w:rPr>
      <w:rFonts w:ascii="宋体" w:hAnsi="Courier New"/>
      <w:spacing w:val="-4"/>
      <w:szCs w:val="24"/>
    </w:rPr>
  </w:style>
  <w:style w:type="character" w:customStyle="1" w:styleId="61">
    <w:name w:val="标题 1 Char1"/>
    <w:link w:val="3"/>
    <w:qFormat/>
    <w:uiPriority w:val="0"/>
    <w:rPr>
      <w:rFonts w:ascii="Calibri" w:hAnsi="Calibri" w:eastAsia="宋体" w:cs="Times New Roman"/>
      <w:b/>
      <w:bCs/>
      <w:kern w:val="44"/>
      <w:sz w:val="32"/>
      <w:szCs w:val="44"/>
      <w:lang w:val="zh-CN" w:eastAsia="zh-CN"/>
    </w:rPr>
  </w:style>
  <w:style w:type="character" w:customStyle="1" w:styleId="62">
    <w:name w:val="标题 2 Char2"/>
    <w:link w:val="4"/>
    <w:qFormat/>
    <w:uiPriority w:val="9"/>
    <w:rPr>
      <w:rFonts w:ascii="Arial" w:hAnsi="Arial" w:eastAsia="黑体" w:cs="Times New Roman"/>
      <w:b/>
      <w:bCs/>
      <w:sz w:val="32"/>
      <w:szCs w:val="32"/>
      <w:lang w:val="zh-CN" w:eastAsia="zh-CN"/>
    </w:rPr>
  </w:style>
  <w:style w:type="character" w:customStyle="1" w:styleId="63">
    <w:name w:val="标题 3 Char1"/>
    <w:link w:val="5"/>
    <w:qFormat/>
    <w:uiPriority w:val="9"/>
    <w:rPr>
      <w:rFonts w:ascii="Calibri" w:hAnsi="Calibri" w:eastAsia="宋体" w:cs="Times New Roman"/>
      <w:b/>
      <w:bCs/>
      <w:sz w:val="32"/>
      <w:szCs w:val="32"/>
      <w:lang w:val="zh-CN" w:eastAsia="zh-CN"/>
    </w:rPr>
  </w:style>
  <w:style w:type="character" w:customStyle="1" w:styleId="64">
    <w:name w:val="标题 4 Char1"/>
    <w:link w:val="6"/>
    <w:qFormat/>
    <w:uiPriority w:val="0"/>
    <w:rPr>
      <w:rFonts w:ascii="Arial" w:hAnsi="Arial" w:eastAsia="黑体" w:cs="Times New Roman"/>
      <w:b/>
      <w:bCs/>
      <w:kern w:val="0"/>
      <w:sz w:val="28"/>
      <w:szCs w:val="28"/>
      <w:lang w:val="zh-CN" w:eastAsia="zh-CN"/>
    </w:rPr>
  </w:style>
  <w:style w:type="character" w:customStyle="1" w:styleId="65">
    <w:name w:val="标题 5 Char1"/>
    <w:link w:val="7"/>
    <w:qFormat/>
    <w:uiPriority w:val="0"/>
    <w:rPr>
      <w:rFonts w:ascii="楷体_GB2312" w:hAnsi="Calibri" w:eastAsia="楷体_GB2312" w:cs="Times New Roman"/>
      <w:b/>
      <w:bCs/>
      <w:kern w:val="0"/>
      <w:sz w:val="24"/>
      <w:szCs w:val="28"/>
      <w:lang w:val="zh-CN" w:eastAsia="zh-CN"/>
    </w:rPr>
  </w:style>
  <w:style w:type="character" w:customStyle="1" w:styleId="66">
    <w:name w:val="标题 6 Char1"/>
    <w:link w:val="8"/>
    <w:qFormat/>
    <w:uiPriority w:val="0"/>
    <w:rPr>
      <w:rFonts w:ascii="Calibri" w:hAnsi="Calibri" w:eastAsia="宋体" w:cs="Times New Roman"/>
      <w:kern w:val="0"/>
      <w:sz w:val="24"/>
      <w:szCs w:val="20"/>
      <w:lang w:val="zh-CN" w:eastAsia="zh-CN"/>
    </w:rPr>
  </w:style>
  <w:style w:type="character" w:customStyle="1" w:styleId="67">
    <w:name w:val="标题 7 Char1"/>
    <w:link w:val="9"/>
    <w:qFormat/>
    <w:uiPriority w:val="0"/>
    <w:rPr>
      <w:rFonts w:ascii="Calibri" w:hAnsi="Calibri" w:eastAsia="宋体" w:cs="Times New Roman"/>
      <w:kern w:val="0"/>
      <w:sz w:val="24"/>
      <w:szCs w:val="20"/>
      <w:lang w:val="zh-CN" w:eastAsia="zh-CN"/>
    </w:rPr>
  </w:style>
  <w:style w:type="character" w:customStyle="1" w:styleId="68">
    <w:name w:val="标题 8 Char1"/>
    <w:link w:val="10"/>
    <w:qFormat/>
    <w:uiPriority w:val="0"/>
    <w:rPr>
      <w:rFonts w:ascii="Calibri" w:hAnsi="Calibri" w:eastAsia="宋体" w:cs="Times New Roman"/>
      <w:kern w:val="0"/>
      <w:sz w:val="24"/>
      <w:szCs w:val="20"/>
      <w:lang w:val="zh-CN" w:eastAsia="zh-CN"/>
    </w:rPr>
  </w:style>
  <w:style w:type="character" w:customStyle="1" w:styleId="69">
    <w:name w:val="标题 9 Char1"/>
    <w:link w:val="11"/>
    <w:qFormat/>
    <w:uiPriority w:val="0"/>
    <w:rPr>
      <w:rFonts w:ascii="Calibri" w:hAnsi="Calibri" w:eastAsia="宋体" w:cs="Times New Roman"/>
      <w:kern w:val="0"/>
      <w:sz w:val="24"/>
      <w:szCs w:val="20"/>
      <w:lang w:val="zh-CN" w:eastAsia="zh-CN"/>
    </w:rPr>
  </w:style>
  <w:style w:type="character" w:customStyle="1" w:styleId="70">
    <w:name w:val="正文缩进 Char1"/>
    <w:link w:val="16"/>
    <w:qFormat/>
    <w:uiPriority w:val="0"/>
    <w:rPr>
      <w:rFonts w:eastAsia="宋体"/>
    </w:rPr>
  </w:style>
  <w:style w:type="character" w:customStyle="1" w:styleId="71">
    <w:name w:val="文档结构图 Char3"/>
    <w:link w:val="18"/>
    <w:qFormat/>
    <w:uiPriority w:val="0"/>
    <w:rPr>
      <w:rFonts w:ascii="宋体"/>
      <w:sz w:val="18"/>
      <w:szCs w:val="18"/>
    </w:rPr>
  </w:style>
  <w:style w:type="character" w:customStyle="1" w:styleId="72">
    <w:name w:val="批注文字 Char3"/>
    <w:basedOn w:val="51"/>
    <w:link w:val="19"/>
    <w:semiHidden/>
    <w:qFormat/>
    <w:uiPriority w:val="99"/>
    <w:rPr>
      <w:rFonts w:ascii="Calibri" w:hAnsi="Calibri" w:eastAsia="宋体" w:cs="Times New Roman"/>
      <w:szCs w:val="24"/>
    </w:rPr>
  </w:style>
  <w:style w:type="character" w:customStyle="1" w:styleId="73">
    <w:name w:val="正文文本 3 Char3"/>
    <w:link w:val="20"/>
    <w:qFormat/>
    <w:uiPriority w:val="0"/>
    <w:rPr>
      <w:rFonts w:hAnsi="宋体" w:eastAsia="仿宋_GB2312"/>
      <w:b/>
      <w:bCs/>
      <w:sz w:val="24"/>
    </w:rPr>
  </w:style>
  <w:style w:type="character" w:customStyle="1" w:styleId="74">
    <w:name w:val="正文文本 Char3"/>
    <w:link w:val="21"/>
    <w:qFormat/>
    <w:uiPriority w:val="0"/>
    <w:rPr>
      <w:sz w:val="28"/>
      <w:szCs w:val="24"/>
    </w:rPr>
  </w:style>
  <w:style w:type="character" w:customStyle="1" w:styleId="75">
    <w:name w:val="纯文本 Char5"/>
    <w:link w:val="30"/>
    <w:qFormat/>
    <w:uiPriority w:val="0"/>
    <w:rPr>
      <w:rFonts w:ascii="宋体" w:hAnsi="Courier New" w:eastAsia="宋体"/>
      <w:sz w:val="24"/>
      <w:szCs w:val="24"/>
    </w:rPr>
  </w:style>
  <w:style w:type="character" w:customStyle="1" w:styleId="76">
    <w:name w:val="日期 Char3"/>
    <w:link w:val="32"/>
    <w:qFormat/>
    <w:uiPriority w:val="0"/>
    <w:rPr>
      <w:rFonts w:eastAsia="楷体_GB2312"/>
      <w:sz w:val="32"/>
    </w:rPr>
  </w:style>
  <w:style w:type="character" w:customStyle="1" w:styleId="77">
    <w:name w:val="正文文本缩进 2 Char3"/>
    <w:link w:val="33"/>
    <w:qFormat/>
    <w:uiPriority w:val="0"/>
    <w:rPr>
      <w:rFonts w:ascii="仿宋_GB2312" w:hAnsi="宋体" w:cs="Arial"/>
      <w:b/>
      <w:bCs/>
      <w:color w:val="000000"/>
      <w:sz w:val="24"/>
      <w:szCs w:val="24"/>
    </w:rPr>
  </w:style>
  <w:style w:type="character" w:customStyle="1" w:styleId="78">
    <w:name w:val="批注框文本 Char3"/>
    <w:link w:val="34"/>
    <w:qFormat/>
    <w:locked/>
    <w:uiPriority w:val="99"/>
    <w:rPr>
      <w:sz w:val="18"/>
      <w:szCs w:val="18"/>
    </w:rPr>
  </w:style>
  <w:style w:type="character" w:customStyle="1" w:styleId="79">
    <w:name w:val="页脚 Char3"/>
    <w:link w:val="35"/>
    <w:qFormat/>
    <w:locked/>
    <w:uiPriority w:val="99"/>
    <w:rPr>
      <w:rFonts w:eastAsia="黑体"/>
      <w:snapToGrid w:val="0"/>
      <w:sz w:val="18"/>
      <w:szCs w:val="18"/>
    </w:rPr>
  </w:style>
  <w:style w:type="character" w:customStyle="1" w:styleId="80">
    <w:name w:val="页眉 Char3"/>
    <w:link w:val="36"/>
    <w:qFormat/>
    <w:uiPriority w:val="99"/>
    <w:rPr>
      <w:rFonts w:eastAsia="仿宋_GB2312"/>
      <w:sz w:val="18"/>
    </w:rPr>
  </w:style>
  <w:style w:type="character" w:customStyle="1" w:styleId="81">
    <w:name w:val="副标题 Char3"/>
    <w:link w:val="39"/>
    <w:qFormat/>
    <w:uiPriority w:val="0"/>
    <w:rPr>
      <w:rFonts w:ascii="Cambria" w:hAnsi="Cambria" w:cs="宋体"/>
      <w:bCs/>
      <w:kern w:val="28"/>
      <w:sz w:val="18"/>
      <w:szCs w:val="32"/>
    </w:rPr>
  </w:style>
  <w:style w:type="character" w:customStyle="1" w:styleId="82">
    <w:name w:val="正文文本缩进 3 Char3"/>
    <w:link w:val="41"/>
    <w:qFormat/>
    <w:uiPriority w:val="0"/>
    <w:rPr>
      <w:rFonts w:ascii="仿宋_GB2312" w:hAnsi="宋体" w:eastAsia="仿宋_GB2312"/>
      <w:color w:val="000000"/>
      <w:sz w:val="24"/>
      <w:szCs w:val="24"/>
    </w:rPr>
  </w:style>
  <w:style w:type="character" w:customStyle="1" w:styleId="83">
    <w:name w:val="正文文本 2 Char3"/>
    <w:link w:val="44"/>
    <w:qFormat/>
    <w:uiPriority w:val="0"/>
    <w:rPr>
      <w:rFonts w:ascii="宋体" w:hAnsi="宋体"/>
      <w:color w:val="000000"/>
      <w:sz w:val="24"/>
      <w:szCs w:val="24"/>
    </w:rPr>
  </w:style>
  <w:style w:type="character" w:customStyle="1" w:styleId="84">
    <w:name w:val="标题 Char4"/>
    <w:link w:val="46"/>
    <w:qFormat/>
    <w:uiPriority w:val="0"/>
    <w:rPr>
      <w:rFonts w:ascii="Calibri Light" w:hAnsi="Calibri Light"/>
      <w:b/>
      <w:bCs/>
      <w:sz w:val="32"/>
      <w:szCs w:val="32"/>
    </w:rPr>
  </w:style>
  <w:style w:type="character" w:customStyle="1" w:styleId="85">
    <w:name w:val="批注主题 Char4"/>
    <w:link w:val="47"/>
    <w:qFormat/>
    <w:uiPriority w:val="0"/>
    <w:rPr>
      <w:b/>
      <w:bCs/>
      <w:szCs w:val="24"/>
    </w:rPr>
  </w:style>
  <w:style w:type="character" w:customStyle="1" w:styleId="86">
    <w:name w:val="标题 1 Char"/>
    <w:basedOn w:val="51"/>
    <w:qFormat/>
    <w:uiPriority w:val="9"/>
    <w:rPr>
      <w:rFonts w:ascii="Calibri" w:hAnsi="Calibri" w:eastAsia="宋体" w:cs="Times New Roman"/>
      <w:b/>
      <w:bCs/>
      <w:kern w:val="44"/>
      <w:sz w:val="44"/>
      <w:szCs w:val="44"/>
    </w:rPr>
  </w:style>
  <w:style w:type="character" w:customStyle="1" w:styleId="87">
    <w:name w:val="标题 2 Char"/>
    <w:basedOn w:val="51"/>
    <w:qFormat/>
    <w:uiPriority w:val="9"/>
    <w:rPr>
      <w:rFonts w:asciiTheme="majorHAnsi" w:hAnsiTheme="majorHAnsi" w:eastAsiaTheme="majorEastAsia" w:cstheme="majorBidi"/>
      <w:b/>
      <w:bCs/>
      <w:sz w:val="32"/>
      <w:szCs w:val="32"/>
    </w:rPr>
  </w:style>
  <w:style w:type="character" w:customStyle="1" w:styleId="88">
    <w:name w:val="标题 3 Char"/>
    <w:basedOn w:val="51"/>
    <w:qFormat/>
    <w:uiPriority w:val="9"/>
    <w:rPr>
      <w:rFonts w:ascii="Calibri" w:hAnsi="Calibri" w:eastAsia="宋体" w:cs="Times New Roman"/>
      <w:b/>
      <w:bCs/>
      <w:sz w:val="32"/>
      <w:szCs w:val="32"/>
    </w:rPr>
  </w:style>
  <w:style w:type="character" w:customStyle="1" w:styleId="89">
    <w:name w:val="标题 4 Char"/>
    <w:basedOn w:val="51"/>
    <w:qFormat/>
    <w:uiPriority w:val="0"/>
    <w:rPr>
      <w:rFonts w:asciiTheme="majorHAnsi" w:hAnsiTheme="majorHAnsi" w:eastAsiaTheme="majorEastAsia" w:cstheme="majorBidi"/>
      <w:b/>
      <w:bCs/>
      <w:sz w:val="28"/>
      <w:szCs w:val="28"/>
    </w:rPr>
  </w:style>
  <w:style w:type="character" w:customStyle="1" w:styleId="90">
    <w:name w:val="标题 5 Char"/>
    <w:basedOn w:val="51"/>
    <w:qFormat/>
    <w:uiPriority w:val="0"/>
    <w:rPr>
      <w:rFonts w:ascii="Calibri" w:hAnsi="Calibri" w:eastAsia="宋体" w:cs="Times New Roman"/>
      <w:b/>
      <w:bCs/>
      <w:sz w:val="28"/>
      <w:szCs w:val="28"/>
    </w:rPr>
  </w:style>
  <w:style w:type="character" w:customStyle="1" w:styleId="91">
    <w:name w:val="标题 6 Char"/>
    <w:basedOn w:val="51"/>
    <w:qFormat/>
    <w:uiPriority w:val="0"/>
    <w:rPr>
      <w:rFonts w:asciiTheme="majorHAnsi" w:hAnsiTheme="majorHAnsi" w:eastAsiaTheme="majorEastAsia" w:cstheme="majorBidi"/>
      <w:b/>
      <w:bCs/>
      <w:sz w:val="24"/>
      <w:szCs w:val="24"/>
    </w:rPr>
  </w:style>
  <w:style w:type="character" w:customStyle="1" w:styleId="92">
    <w:name w:val="标题 7 Char"/>
    <w:basedOn w:val="51"/>
    <w:qFormat/>
    <w:uiPriority w:val="0"/>
    <w:rPr>
      <w:rFonts w:ascii="Calibri" w:hAnsi="Calibri" w:eastAsia="宋体" w:cs="Times New Roman"/>
      <w:b/>
      <w:bCs/>
      <w:sz w:val="24"/>
      <w:szCs w:val="24"/>
    </w:rPr>
  </w:style>
  <w:style w:type="character" w:customStyle="1" w:styleId="93">
    <w:name w:val="标题 8 Char"/>
    <w:basedOn w:val="51"/>
    <w:qFormat/>
    <w:uiPriority w:val="0"/>
    <w:rPr>
      <w:rFonts w:asciiTheme="majorHAnsi" w:hAnsiTheme="majorHAnsi" w:eastAsiaTheme="majorEastAsia" w:cstheme="majorBidi"/>
      <w:sz w:val="24"/>
      <w:szCs w:val="24"/>
    </w:rPr>
  </w:style>
  <w:style w:type="character" w:customStyle="1" w:styleId="94">
    <w:name w:val="标题 9 Char"/>
    <w:basedOn w:val="51"/>
    <w:qFormat/>
    <w:uiPriority w:val="0"/>
    <w:rPr>
      <w:rFonts w:asciiTheme="majorHAnsi" w:hAnsiTheme="majorHAnsi" w:eastAsiaTheme="majorEastAsia" w:cstheme="majorBidi"/>
      <w:szCs w:val="21"/>
    </w:rPr>
  </w:style>
  <w:style w:type="character" w:customStyle="1" w:styleId="95">
    <w:name w:val="纯文本 字符"/>
    <w:qFormat/>
    <w:uiPriority w:val="0"/>
    <w:rPr>
      <w:rFonts w:ascii="宋体" w:hAnsi="Courier New" w:eastAsia="宋体"/>
      <w:kern w:val="2"/>
      <w:sz w:val="21"/>
      <w:lang w:val="en-US" w:eastAsia="zh-CN" w:bidi="ar-SA"/>
    </w:rPr>
  </w:style>
  <w:style w:type="character" w:customStyle="1" w:styleId="96">
    <w:name w:val="列出段落 Char1"/>
    <w:link w:val="97"/>
    <w:qFormat/>
    <w:uiPriority w:val="34"/>
    <w:rPr>
      <w:rFonts w:ascii="Calibri" w:hAnsi="Calibri"/>
      <w:sz w:val="24"/>
    </w:rPr>
  </w:style>
  <w:style w:type="paragraph" w:styleId="97">
    <w:name w:val="List Paragraph"/>
    <w:basedOn w:val="1"/>
    <w:link w:val="96"/>
    <w:qFormat/>
    <w:uiPriority w:val="34"/>
    <w:pPr>
      <w:spacing w:line="360" w:lineRule="auto"/>
      <w:ind w:firstLine="420" w:firstLineChars="200"/>
    </w:pPr>
    <w:rPr>
      <w:rFonts w:eastAsiaTheme="minorEastAsia" w:cstheme="minorBidi"/>
      <w:sz w:val="24"/>
      <w:szCs w:val="22"/>
    </w:rPr>
  </w:style>
  <w:style w:type="character" w:customStyle="1" w:styleId="98">
    <w:name w:val="日期 Char1"/>
    <w:qFormat/>
    <w:uiPriority w:val="0"/>
    <w:rPr>
      <w:kern w:val="2"/>
      <w:sz w:val="21"/>
      <w:szCs w:val="24"/>
    </w:rPr>
  </w:style>
  <w:style w:type="character" w:customStyle="1" w:styleId="99">
    <w:name w:val="正文文本 Char1"/>
    <w:qFormat/>
    <w:uiPriority w:val="0"/>
    <w:rPr>
      <w:kern w:val="2"/>
      <w:sz w:val="21"/>
      <w:szCs w:val="24"/>
    </w:rPr>
  </w:style>
  <w:style w:type="character" w:customStyle="1" w:styleId="100">
    <w:name w:val="para1"/>
    <w:qFormat/>
    <w:uiPriority w:val="99"/>
    <w:rPr>
      <w:rFonts w:hint="default" w:ascii="Arial" w:hAnsi="Arial" w:cs="Arial"/>
      <w:sz w:val="18"/>
      <w:szCs w:val="18"/>
    </w:rPr>
  </w:style>
  <w:style w:type="character" w:customStyle="1" w:styleId="101">
    <w:name w:val="页脚 Char"/>
    <w:qFormat/>
    <w:locked/>
    <w:uiPriority w:val="99"/>
    <w:rPr>
      <w:rFonts w:eastAsia="黑体"/>
      <w:snapToGrid w:val="0"/>
      <w:sz w:val="18"/>
      <w:szCs w:val="18"/>
    </w:rPr>
  </w:style>
  <w:style w:type="character" w:customStyle="1" w:styleId="102">
    <w:name w:val="font31"/>
    <w:qFormat/>
    <w:uiPriority w:val="0"/>
    <w:rPr>
      <w:rFonts w:hint="default" w:ascii="Times New Roman" w:hAnsi="Times New Roman" w:cs="Times New Roman"/>
      <w:b/>
      <w:color w:val="000000"/>
      <w:sz w:val="24"/>
      <w:szCs w:val="24"/>
      <w:u w:val="none"/>
    </w:rPr>
  </w:style>
  <w:style w:type="character" w:customStyle="1" w:styleId="103">
    <w:name w:val="font91"/>
    <w:basedOn w:val="51"/>
    <w:qFormat/>
    <w:uiPriority w:val="0"/>
    <w:rPr>
      <w:rFonts w:hint="eastAsia" w:ascii="宋体" w:hAnsi="宋体" w:eastAsia="宋体" w:cs="宋体"/>
      <w:b/>
      <w:color w:val="000000"/>
      <w:sz w:val="24"/>
      <w:szCs w:val="24"/>
      <w:u w:val="none"/>
    </w:rPr>
  </w:style>
  <w:style w:type="character" w:customStyle="1" w:styleId="104">
    <w:name w:val="文档结构图 Char1"/>
    <w:semiHidden/>
    <w:qFormat/>
    <w:uiPriority w:val="99"/>
    <w:rPr>
      <w:rFonts w:hint="eastAsia" w:ascii="宋体" w:hAnsi="宋体" w:eastAsia="宋体"/>
      <w:kern w:val="2"/>
      <w:sz w:val="18"/>
      <w:szCs w:val="18"/>
    </w:rPr>
  </w:style>
  <w:style w:type="character" w:customStyle="1" w:styleId="105">
    <w:name w:val="正文2 Char Char"/>
    <w:qFormat/>
    <w:uiPriority w:val="0"/>
    <w:rPr>
      <w:rFonts w:hint="default" w:ascii="Times New Roman" w:hAnsi="Times New Roman" w:cs="Times New Roman"/>
      <w:kern w:val="2"/>
      <w:sz w:val="24"/>
    </w:rPr>
  </w:style>
  <w:style w:type="character" w:customStyle="1" w:styleId="106">
    <w:name w:val="批注主题 Char"/>
    <w:qFormat/>
    <w:uiPriority w:val="0"/>
    <w:rPr>
      <w:b/>
      <w:bCs/>
      <w:kern w:val="2"/>
      <w:sz w:val="21"/>
      <w:szCs w:val="24"/>
    </w:rPr>
  </w:style>
  <w:style w:type="character" w:customStyle="1" w:styleId="107">
    <w:name w:val="正文文本缩进 2 Char1"/>
    <w:qFormat/>
    <w:uiPriority w:val="0"/>
    <w:rPr>
      <w:kern w:val="2"/>
      <w:sz w:val="21"/>
      <w:szCs w:val="24"/>
    </w:rPr>
  </w:style>
  <w:style w:type="character" w:customStyle="1" w:styleId="108">
    <w:name w:val="huei12b1"/>
    <w:qFormat/>
    <w:uiPriority w:val="0"/>
    <w:rPr>
      <w:b/>
      <w:bCs/>
      <w:color w:val="333333"/>
      <w:sz w:val="20"/>
      <w:szCs w:val="20"/>
    </w:rPr>
  </w:style>
  <w:style w:type="character" w:customStyle="1" w:styleId="109">
    <w:name w:val="标题 3 字符1"/>
    <w:qFormat/>
    <w:uiPriority w:val="0"/>
    <w:rPr>
      <w:b/>
      <w:bCs/>
      <w:kern w:val="2"/>
      <w:sz w:val="32"/>
      <w:szCs w:val="32"/>
    </w:rPr>
  </w:style>
  <w:style w:type="character" w:customStyle="1" w:styleId="110">
    <w:name w:val="font61"/>
    <w:basedOn w:val="51"/>
    <w:qFormat/>
    <w:uiPriority w:val="0"/>
    <w:rPr>
      <w:rFonts w:hint="default" w:ascii="Times New Roman" w:hAnsi="Times New Roman" w:cs="Times New Roman"/>
      <w:color w:val="000000"/>
      <w:sz w:val="24"/>
      <w:szCs w:val="24"/>
      <w:u w:val="none"/>
    </w:rPr>
  </w:style>
  <w:style w:type="character" w:customStyle="1" w:styleId="111">
    <w:name w:val="font81"/>
    <w:basedOn w:val="51"/>
    <w:qFormat/>
    <w:uiPriority w:val="0"/>
    <w:rPr>
      <w:rFonts w:hint="default" w:ascii="Times New Roman" w:hAnsi="Times New Roman" w:cs="Times New Roman"/>
      <w:b/>
      <w:color w:val="000000"/>
      <w:sz w:val="24"/>
      <w:szCs w:val="24"/>
      <w:u w:val="none"/>
    </w:rPr>
  </w:style>
  <w:style w:type="character" w:customStyle="1" w:styleId="112">
    <w:name w:val="纯文本 字符1"/>
    <w:qFormat/>
    <w:uiPriority w:val="0"/>
    <w:rPr>
      <w:rFonts w:ascii="宋体" w:hAnsi="Courier New" w:eastAsia="宋体"/>
      <w:kern w:val="2"/>
      <w:sz w:val="24"/>
      <w:szCs w:val="24"/>
      <w:lang w:val="en-US" w:eastAsia="zh-CN" w:bidi="ar-SA"/>
    </w:rPr>
  </w:style>
  <w:style w:type="character" w:customStyle="1" w:styleId="113">
    <w:name w:val="font41"/>
    <w:qFormat/>
    <w:uiPriority w:val="0"/>
    <w:rPr>
      <w:rFonts w:ascii="Arial" w:hAnsi="Arial" w:cs="Arial"/>
      <w:color w:val="333333"/>
      <w:sz w:val="18"/>
      <w:szCs w:val="18"/>
      <w:u w:val="none"/>
    </w:rPr>
  </w:style>
  <w:style w:type="character" w:customStyle="1" w:styleId="114">
    <w:name w:val="标题 Char"/>
    <w:qFormat/>
    <w:uiPriority w:val="0"/>
    <w:rPr>
      <w:rFonts w:ascii="Cambria" w:hAnsi="Cambria" w:cs="Times New Roman"/>
      <w:b/>
      <w:bCs/>
      <w:kern w:val="2"/>
      <w:sz w:val="32"/>
      <w:szCs w:val="32"/>
    </w:rPr>
  </w:style>
  <w:style w:type="character" w:customStyle="1" w:styleId="115">
    <w:name w:val="页脚 Char1"/>
    <w:semiHidden/>
    <w:qFormat/>
    <w:uiPriority w:val="99"/>
    <w:rPr>
      <w:kern w:val="2"/>
      <w:sz w:val="18"/>
      <w:szCs w:val="18"/>
    </w:rPr>
  </w:style>
  <w:style w:type="character" w:customStyle="1" w:styleId="116">
    <w:name w:val="无"/>
    <w:qFormat/>
    <w:uiPriority w:val="0"/>
  </w:style>
  <w:style w:type="character" w:customStyle="1" w:styleId="117">
    <w:name w:val="标题 Char1"/>
    <w:qFormat/>
    <w:uiPriority w:val="10"/>
    <w:rPr>
      <w:rFonts w:ascii="Cambria" w:hAnsi="Cambria" w:cs="Times New Roman"/>
      <w:b/>
      <w:bCs/>
      <w:kern w:val="2"/>
      <w:sz w:val="32"/>
      <w:szCs w:val="32"/>
    </w:rPr>
  </w:style>
  <w:style w:type="character" w:customStyle="1" w:styleId="118">
    <w:name w:val="纯文本 Char2"/>
    <w:qFormat/>
    <w:uiPriority w:val="0"/>
    <w:rPr>
      <w:rFonts w:hint="eastAsia" w:ascii="宋体" w:hAnsi="Courier New" w:eastAsia="宋体" w:cs="Courier New"/>
      <w:kern w:val="2"/>
      <w:sz w:val="21"/>
      <w:szCs w:val="21"/>
    </w:rPr>
  </w:style>
  <w:style w:type="character" w:customStyle="1" w:styleId="119">
    <w:name w:val="批注主题 Char2"/>
    <w:qFormat/>
    <w:uiPriority w:val="0"/>
    <w:rPr>
      <w:b/>
      <w:bCs/>
      <w:kern w:val="2"/>
      <w:sz w:val="21"/>
      <w:szCs w:val="24"/>
    </w:rPr>
  </w:style>
  <w:style w:type="character" w:customStyle="1" w:styleId="120">
    <w:name w:val="列出段落 Char"/>
    <w:qFormat/>
    <w:uiPriority w:val="34"/>
    <w:rPr>
      <w:rFonts w:ascii="Calibri" w:hAnsi="Calibri"/>
      <w:kern w:val="2"/>
      <w:sz w:val="24"/>
      <w:szCs w:val="22"/>
    </w:rPr>
  </w:style>
  <w:style w:type="character" w:customStyle="1" w:styleId="121">
    <w:name w:val="批注主题 Char1"/>
    <w:qFormat/>
    <w:uiPriority w:val="0"/>
    <w:rPr>
      <w:b/>
      <w:bCs/>
      <w:kern w:val="2"/>
      <w:sz w:val="21"/>
      <w:szCs w:val="24"/>
    </w:rPr>
  </w:style>
  <w:style w:type="character" w:customStyle="1" w:styleId="122">
    <w:name w:val="批注文字 Char1"/>
    <w:qFormat/>
    <w:uiPriority w:val="0"/>
    <w:rPr>
      <w:kern w:val="2"/>
      <w:sz w:val="21"/>
      <w:szCs w:val="24"/>
    </w:rPr>
  </w:style>
  <w:style w:type="character" w:customStyle="1" w:styleId="123">
    <w:name w:val="段落行文 Char"/>
    <w:link w:val="124"/>
    <w:qFormat/>
    <w:locked/>
    <w:uiPriority w:val="0"/>
    <w:rPr>
      <w:rFonts w:ascii="仿宋_GB2312" w:eastAsia="仿宋_GB2312"/>
      <w:sz w:val="24"/>
      <w:szCs w:val="24"/>
    </w:rPr>
  </w:style>
  <w:style w:type="paragraph" w:customStyle="1" w:styleId="124">
    <w:name w:val="段落行文"/>
    <w:basedOn w:val="1"/>
    <w:link w:val="123"/>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5">
    <w:name w:val="标题 Char2"/>
    <w:qFormat/>
    <w:uiPriority w:val="0"/>
    <w:rPr>
      <w:rFonts w:ascii="Calibri Light" w:hAnsi="Calibri Light"/>
      <w:b/>
      <w:bCs/>
      <w:kern w:val="2"/>
      <w:sz w:val="32"/>
      <w:szCs w:val="32"/>
    </w:rPr>
  </w:style>
  <w:style w:type="character" w:customStyle="1" w:styleId="126">
    <w:name w:val="未处理的提及1"/>
    <w:unhideWhenUsed/>
    <w:qFormat/>
    <w:uiPriority w:val="99"/>
    <w:rPr>
      <w:color w:val="605E5C"/>
      <w:shd w:val="clear" w:color="auto" w:fill="E1DFDD"/>
    </w:rPr>
  </w:style>
  <w:style w:type="character" w:customStyle="1" w:styleId="127">
    <w:name w:val="Char Char"/>
    <w:qFormat/>
    <w:uiPriority w:val="0"/>
    <w:rPr>
      <w:rFonts w:ascii="宋体" w:hAnsi="Courier New" w:eastAsia="楷体_GB2312"/>
      <w:kern w:val="2"/>
      <w:sz w:val="26"/>
      <w:lang w:val="en-US" w:eastAsia="zh-CN" w:bidi="ar-SA"/>
    </w:rPr>
  </w:style>
  <w:style w:type="character" w:customStyle="1" w:styleId="128">
    <w:name w:val="font11"/>
    <w:qFormat/>
    <w:uiPriority w:val="0"/>
    <w:rPr>
      <w:rFonts w:hint="eastAsia" w:ascii="宋体" w:hAnsi="宋体" w:eastAsia="宋体" w:cs="宋体"/>
      <w:color w:val="000000"/>
      <w:sz w:val="24"/>
      <w:szCs w:val="24"/>
      <w:u w:val="none"/>
    </w:rPr>
  </w:style>
  <w:style w:type="character" w:customStyle="1" w:styleId="129">
    <w:name w:val="批注文字 Char"/>
    <w:qFormat/>
    <w:uiPriority w:val="0"/>
    <w:rPr>
      <w:kern w:val="2"/>
      <w:sz w:val="21"/>
      <w:szCs w:val="24"/>
    </w:rPr>
  </w:style>
  <w:style w:type="character" w:customStyle="1" w:styleId="130">
    <w:name w:val="正文文本缩进 3 Char"/>
    <w:qFormat/>
    <w:uiPriority w:val="0"/>
    <w:rPr>
      <w:rFonts w:ascii="仿宋_GB2312" w:hAnsi="宋体" w:eastAsia="仿宋_GB2312"/>
      <w:color w:val="000000"/>
      <w:kern w:val="2"/>
      <w:sz w:val="24"/>
      <w:szCs w:val="24"/>
    </w:rPr>
  </w:style>
  <w:style w:type="character" w:customStyle="1" w:styleId="131">
    <w:name w:val="正文文本缩进 Char1"/>
    <w:qFormat/>
    <w:uiPriority w:val="99"/>
    <w:rPr>
      <w:kern w:val="2"/>
      <w:sz w:val="21"/>
      <w:szCs w:val="24"/>
    </w:rPr>
  </w:style>
  <w:style w:type="character" w:customStyle="1" w:styleId="132">
    <w:name w:val="无间隔 Char"/>
    <w:link w:val="133"/>
    <w:qFormat/>
    <w:locked/>
    <w:uiPriority w:val="1"/>
    <w:rPr>
      <w:rFonts w:ascii="楷体_GB2312" w:eastAsia="楷体_GB2312"/>
      <w:sz w:val="24"/>
    </w:rPr>
  </w:style>
  <w:style w:type="paragraph" w:customStyle="1" w:styleId="133">
    <w:name w:val="无间隔11"/>
    <w:link w:val="132"/>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4">
    <w:name w:val="正文文本缩进 字符"/>
    <w:qFormat/>
    <w:uiPriority w:val="0"/>
    <w:rPr>
      <w:rFonts w:ascii="宋体" w:hAnsi="Courier New"/>
      <w:spacing w:val="-4"/>
      <w:kern w:val="2"/>
      <w:sz w:val="18"/>
    </w:rPr>
  </w:style>
  <w:style w:type="character" w:customStyle="1" w:styleId="135">
    <w:name w:val="正文文本 2 Char"/>
    <w:qFormat/>
    <w:uiPriority w:val="0"/>
    <w:rPr>
      <w:rFonts w:ascii="宋体" w:hAnsi="宋体"/>
      <w:color w:val="000000"/>
      <w:kern w:val="2"/>
      <w:sz w:val="24"/>
      <w:szCs w:val="24"/>
    </w:rPr>
  </w:style>
  <w:style w:type="character" w:customStyle="1" w:styleId="136">
    <w:name w:val="纯文本 Char Char Char2"/>
    <w:qFormat/>
    <w:locked/>
    <w:uiPriority w:val="0"/>
    <w:rPr>
      <w:rFonts w:ascii="宋体" w:hAnsi="Courier New" w:eastAsia="宋体"/>
      <w:kern w:val="2"/>
      <w:sz w:val="21"/>
      <w:szCs w:val="20"/>
      <w:lang w:val="en-US" w:eastAsia="zh-CN" w:bidi="ar-SA"/>
    </w:rPr>
  </w:style>
  <w:style w:type="character" w:customStyle="1" w:styleId="137">
    <w:name w:val="正文首行缩进 2 Char"/>
    <w:qFormat/>
    <w:uiPriority w:val="0"/>
    <w:rPr>
      <w:rFonts w:ascii="宋体" w:hAnsi="Courier New"/>
      <w:spacing w:val="-4"/>
      <w:kern w:val="2"/>
      <w:sz w:val="21"/>
      <w:szCs w:val="24"/>
    </w:rPr>
  </w:style>
  <w:style w:type="character" w:customStyle="1" w:styleId="138">
    <w:name w:val="正文文本 3 Char1"/>
    <w:qFormat/>
    <w:uiPriority w:val="0"/>
    <w:rPr>
      <w:kern w:val="2"/>
      <w:sz w:val="16"/>
      <w:szCs w:val="16"/>
    </w:rPr>
  </w:style>
  <w:style w:type="character" w:customStyle="1" w:styleId="139">
    <w:name w:val="正文文本缩进 Char2"/>
    <w:qFormat/>
    <w:uiPriority w:val="0"/>
    <w:rPr>
      <w:rFonts w:ascii="宋体" w:hAnsi="Courier New"/>
      <w:spacing w:val="-4"/>
      <w:kern w:val="2"/>
      <w:sz w:val="18"/>
    </w:rPr>
  </w:style>
  <w:style w:type="character" w:customStyle="1" w:styleId="140">
    <w:name w:val="页眉 Char1"/>
    <w:semiHidden/>
    <w:qFormat/>
    <w:uiPriority w:val="99"/>
    <w:rPr>
      <w:kern w:val="2"/>
      <w:sz w:val="18"/>
      <w:szCs w:val="18"/>
    </w:rPr>
  </w:style>
  <w:style w:type="character" w:customStyle="1" w:styleId="141">
    <w:name w:val="页眉 Char"/>
    <w:qFormat/>
    <w:uiPriority w:val="99"/>
    <w:rPr>
      <w:rFonts w:eastAsia="仿宋_GB2312"/>
      <w:kern w:val="2"/>
      <w:sz w:val="18"/>
    </w:rPr>
  </w:style>
  <w:style w:type="character" w:customStyle="1" w:styleId="142">
    <w:name w:val="font21"/>
    <w:qFormat/>
    <w:uiPriority w:val="0"/>
    <w:rPr>
      <w:rFonts w:ascii="Arial" w:hAnsi="Arial" w:cs="Arial"/>
      <w:color w:val="333333"/>
      <w:sz w:val="18"/>
      <w:szCs w:val="18"/>
      <w:u w:val="none"/>
    </w:rPr>
  </w:style>
  <w:style w:type="character" w:customStyle="1" w:styleId="143">
    <w:name w:val="正文文本 3 Char"/>
    <w:qFormat/>
    <w:uiPriority w:val="0"/>
    <w:rPr>
      <w:rFonts w:hAnsi="宋体" w:eastAsia="仿宋_GB2312"/>
      <w:b/>
      <w:bCs/>
      <w:kern w:val="2"/>
      <w:sz w:val="24"/>
    </w:rPr>
  </w:style>
  <w:style w:type="character" w:customStyle="1" w:styleId="144">
    <w:name w:val="文档结构图 Char"/>
    <w:qFormat/>
    <w:uiPriority w:val="0"/>
    <w:rPr>
      <w:rFonts w:ascii="宋体"/>
      <w:kern w:val="2"/>
      <w:sz w:val="18"/>
      <w:szCs w:val="18"/>
    </w:rPr>
  </w:style>
  <w:style w:type="character" w:customStyle="1" w:styleId="145">
    <w:name w:val="纯文本 Char"/>
    <w:qFormat/>
    <w:uiPriority w:val="99"/>
    <w:rPr>
      <w:rFonts w:ascii="宋体" w:hAnsi="Courier New" w:eastAsia="宋体"/>
      <w:kern w:val="2"/>
      <w:sz w:val="24"/>
      <w:szCs w:val="24"/>
      <w:lang w:val="en-US" w:eastAsia="zh-CN" w:bidi="ar-SA"/>
    </w:rPr>
  </w:style>
  <w:style w:type="character" w:customStyle="1" w:styleId="146">
    <w:name w:val="批注框文本 Char"/>
    <w:qFormat/>
    <w:locked/>
    <w:uiPriority w:val="99"/>
    <w:rPr>
      <w:kern w:val="2"/>
      <w:sz w:val="18"/>
      <w:szCs w:val="18"/>
    </w:rPr>
  </w:style>
  <w:style w:type="character" w:customStyle="1" w:styleId="147">
    <w:name w:val="纯文本 Char1_0"/>
    <w:link w:val="148"/>
    <w:qFormat/>
    <w:uiPriority w:val="0"/>
    <w:rPr>
      <w:rFonts w:ascii="宋体" w:hAnsi="Courier New"/>
    </w:rPr>
  </w:style>
  <w:style w:type="paragraph" w:customStyle="1" w:styleId="148">
    <w:name w:val="纯文本_0"/>
    <w:basedOn w:val="1"/>
    <w:link w:val="147"/>
    <w:qFormat/>
    <w:uiPriority w:val="0"/>
    <w:rPr>
      <w:rFonts w:ascii="宋体" w:hAnsi="Courier New" w:eastAsiaTheme="minorEastAsia" w:cstheme="minorBidi"/>
      <w:szCs w:val="22"/>
    </w:rPr>
  </w:style>
  <w:style w:type="character" w:customStyle="1" w:styleId="149">
    <w:name w:val="apple-converted-space"/>
    <w:qFormat/>
    <w:uiPriority w:val="0"/>
  </w:style>
  <w:style w:type="character" w:customStyle="1" w:styleId="150">
    <w:name w:val="正文文本缩进 Char"/>
    <w:qFormat/>
    <w:uiPriority w:val="99"/>
    <w:rPr>
      <w:rFonts w:ascii="宋体" w:hAnsi="Courier New"/>
      <w:spacing w:val="-4"/>
      <w:kern w:val="2"/>
      <w:sz w:val="18"/>
    </w:rPr>
  </w:style>
  <w:style w:type="character" w:customStyle="1" w:styleId="151">
    <w:name w:val="批注文字 字符"/>
    <w:qFormat/>
    <w:uiPriority w:val="0"/>
    <w:rPr>
      <w:kern w:val="2"/>
      <w:sz w:val="21"/>
    </w:rPr>
  </w:style>
  <w:style w:type="character" w:customStyle="1" w:styleId="152">
    <w:name w:val="标题 2 Char1"/>
    <w:qFormat/>
    <w:uiPriority w:val="0"/>
    <w:rPr>
      <w:rFonts w:ascii="Arial" w:hAnsi="Arial" w:eastAsia="黑体"/>
      <w:b/>
      <w:bCs/>
      <w:kern w:val="2"/>
      <w:sz w:val="32"/>
      <w:szCs w:val="32"/>
    </w:rPr>
  </w:style>
  <w:style w:type="character" w:customStyle="1" w:styleId="153">
    <w:name w:val="gheadertext1"/>
    <w:qFormat/>
    <w:uiPriority w:val="0"/>
    <w:rPr>
      <w:rFonts w:hint="default" w:ascii="Arial" w:hAnsi="Arial" w:cs="Arial"/>
      <w:b/>
      <w:bCs/>
      <w:color w:val="005E00"/>
      <w:sz w:val="26"/>
      <w:szCs w:val="26"/>
    </w:rPr>
  </w:style>
  <w:style w:type="character" w:customStyle="1" w:styleId="154">
    <w:name w:val="纯文本 Char3"/>
    <w:qFormat/>
    <w:uiPriority w:val="0"/>
    <w:rPr>
      <w:rFonts w:ascii="宋体" w:hAnsi="Courier New" w:eastAsia="宋体"/>
      <w:kern w:val="2"/>
      <w:sz w:val="24"/>
      <w:szCs w:val="24"/>
      <w:lang w:val="en-US" w:eastAsia="zh-CN" w:bidi="ar-SA"/>
    </w:rPr>
  </w:style>
  <w:style w:type="character" w:customStyle="1" w:styleId="155">
    <w:name w:val="正文文本 Char"/>
    <w:qFormat/>
    <w:uiPriority w:val="0"/>
    <w:rPr>
      <w:kern w:val="2"/>
      <w:sz w:val="28"/>
      <w:szCs w:val="24"/>
    </w:rPr>
  </w:style>
  <w:style w:type="character" w:customStyle="1" w:styleId="156">
    <w:name w:val="副标题 Char1"/>
    <w:qFormat/>
    <w:uiPriority w:val="0"/>
    <w:rPr>
      <w:rFonts w:hint="default" w:ascii="Cambria" w:hAnsi="Cambria" w:cs="Times New Roman"/>
      <w:b/>
      <w:bCs/>
      <w:kern w:val="28"/>
      <w:sz w:val="32"/>
      <w:szCs w:val="32"/>
    </w:rPr>
  </w:style>
  <w:style w:type="character" w:customStyle="1" w:styleId="157">
    <w:name w:val="font121"/>
    <w:qFormat/>
    <w:uiPriority w:val="0"/>
    <w:rPr>
      <w:rFonts w:hint="eastAsia" w:ascii="宋体" w:hAnsi="宋体" w:eastAsia="宋体" w:cs="宋体"/>
      <w:color w:val="FF0000"/>
      <w:sz w:val="20"/>
      <w:szCs w:val="20"/>
      <w:u w:val="none"/>
    </w:rPr>
  </w:style>
  <w:style w:type="character" w:customStyle="1" w:styleId="158">
    <w:name w:val="unnamed1"/>
    <w:basedOn w:val="51"/>
    <w:qFormat/>
    <w:uiPriority w:val="0"/>
  </w:style>
  <w:style w:type="character" w:customStyle="1" w:styleId="159">
    <w:name w:val="正文2 Char"/>
    <w:link w:val="160"/>
    <w:qFormat/>
    <w:locked/>
    <w:uiPriority w:val="0"/>
    <w:rPr>
      <w:sz w:val="24"/>
    </w:rPr>
  </w:style>
  <w:style w:type="paragraph" w:customStyle="1" w:styleId="160">
    <w:name w:val="正文2"/>
    <w:basedOn w:val="1"/>
    <w:link w:val="159"/>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1">
    <w:name w:val="正文文本缩进 2 Char"/>
    <w:qFormat/>
    <w:uiPriority w:val="0"/>
    <w:rPr>
      <w:rFonts w:ascii="仿宋_GB2312" w:hAnsi="宋体" w:cs="Arial"/>
      <w:b/>
      <w:bCs/>
      <w:color w:val="000000"/>
      <w:kern w:val="2"/>
      <w:sz w:val="24"/>
      <w:szCs w:val="24"/>
    </w:rPr>
  </w:style>
  <w:style w:type="character" w:customStyle="1" w:styleId="162">
    <w:name w:val="正文文本 Char Char"/>
    <w:qFormat/>
    <w:uiPriority w:val="0"/>
    <w:rPr>
      <w:kern w:val="2"/>
      <w:sz w:val="28"/>
      <w:szCs w:val="24"/>
    </w:rPr>
  </w:style>
  <w:style w:type="character" w:customStyle="1" w:styleId="163">
    <w:name w:val="标准正文格式 Char Char"/>
    <w:link w:val="164"/>
    <w:qFormat/>
    <w:uiPriority w:val="0"/>
    <w:rPr>
      <w:rFonts w:ascii="宋体" w:eastAsia="仿宋_GB2312" w:cs="宋体"/>
      <w:color w:val="000000"/>
      <w:sz w:val="24"/>
    </w:rPr>
  </w:style>
  <w:style w:type="paragraph" w:customStyle="1" w:styleId="164">
    <w:name w:val="标准正文格式"/>
    <w:basedOn w:val="1"/>
    <w:link w:val="16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5">
    <w:name w:val="font51"/>
    <w:basedOn w:val="51"/>
    <w:qFormat/>
    <w:uiPriority w:val="0"/>
    <w:rPr>
      <w:rFonts w:ascii="Arial" w:hAnsi="Arial" w:cs="Arial"/>
      <w:color w:val="333333"/>
      <w:sz w:val="18"/>
      <w:szCs w:val="18"/>
      <w:u w:val="none"/>
    </w:rPr>
  </w:style>
  <w:style w:type="character" w:customStyle="1" w:styleId="166">
    <w:name w:val="标书正文 Char Char"/>
    <w:link w:val="167"/>
    <w:qFormat/>
    <w:uiPriority w:val="0"/>
    <w:rPr>
      <w:color w:val="000000"/>
      <w:sz w:val="24"/>
    </w:rPr>
  </w:style>
  <w:style w:type="paragraph" w:customStyle="1" w:styleId="167">
    <w:name w:val="标书正文"/>
    <w:basedOn w:val="1"/>
    <w:link w:val="166"/>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8">
    <w:name w:val="c lh15"/>
    <w:qFormat/>
    <w:uiPriority w:val="0"/>
    <w:rPr>
      <w:sz w:val="28"/>
      <w:szCs w:val="20"/>
    </w:rPr>
  </w:style>
  <w:style w:type="character" w:customStyle="1" w:styleId="169">
    <w:name w:val="style1"/>
    <w:qFormat/>
    <w:uiPriority w:val="0"/>
    <w:rPr>
      <w:sz w:val="28"/>
      <w:szCs w:val="20"/>
    </w:rPr>
  </w:style>
  <w:style w:type="character" w:customStyle="1" w:styleId="170">
    <w:name w:val="批注框文本 Char1"/>
    <w:semiHidden/>
    <w:qFormat/>
    <w:uiPriority w:val="99"/>
    <w:rPr>
      <w:kern w:val="2"/>
      <w:sz w:val="18"/>
      <w:szCs w:val="18"/>
    </w:rPr>
  </w:style>
  <w:style w:type="character" w:customStyle="1" w:styleId="171">
    <w:name w:val="lineb1"/>
    <w:qFormat/>
    <w:uiPriority w:val="0"/>
  </w:style>
  <w:style w:type="character" w:customStyle="1" w:styleId="172">
    <w:name w:val="zbggmain style9"/>
    <w:basedOn w:val="51"/>
    <w:qFormat/>
    <w:uiPriority w:val="0"/>
  </w:style>
  <w:style w:type="character" w:customStyle="1" w:styleId="173">
    <w:name w:val="正文文本 2 Char1"/>
    <w:qFormat/>
    <w:uiPriority w:val="0"/>
    <w:rPr>
      <w:kern w:val="2"/>
      <w:sz w:val="21"/>
      <w:szCs w:val="24"/>
    </w:rPr>
  </w:style>
  <w:style w:type="character" w:customStyle="1" w:styleId="174">
    <w:name w:val="font71"/>
    <w:basedOn w:val="51"/>
    <w:qFormat/>
    <w:uiPriority w:val="0"/>
    <w:rPr>
      <w:rFonts w:hint="default" w:ascii="Times New Roman" w:hAnsi="Times New Roman" w:cs="Times New Roman"/>
      <w:color w:val="000000"/>
      <w:sz w:val="24"/>
      <w:szCs w:val="24"/>
      <w:u w:val="none"/>
    </w:rPr>
  </w:style>
  <w:style w:type="character" w:customStyle="1" w:styleId="175">
    <w:name w:val="书籍标题1"/>
    <w:qFormat/>
    <w:uiPriority w:val="33"/>
    <w:rPr>
      <w:rFonts w:eastAsia="Songti SC Regular"/>
      <w:bCs/>
      <w:smallCaps/>
      <w:spacing w:val="5"/>
      <w:sz w:val="32"/>
    </w:rPr>
  </w:style>
  <w:style w:type="character" w:customStyle="1" w:styleId="176">
    <w:name w:val="副标题 Char"/>
    <w:qFormat/>
    <w:uiPriority w:val="0"/>
    <w:rPr>
      <w:rFonts w:ascii="Cambria" w:hAnsi="Cambria" w:cs="宋体"/>
      <w:bCs/>
      <w:kern w:val="28"/>
      <w:sz w:val="18"/>
      <w:szCs w:val="32"/>
    </w:rPr>
  </w:style>
  <w:style w:type="character" w:customStyle="1" w:styleId="177">
    <w:name w:val="正文缩进 字符1"/>
    <w:qFormat/>
    <w:uiPriority w:val="0"/>
    <w:rPr>
      <w:rFonts w:eastAsia="宋体"/>
      <w:kern w:val="2"/>
      <w:sz w:val="21"/>
      <w:lang w:val="en-US" w:eastAsia="zh-CN" w:bidi="ar-SA"/>
    </w:rPr>
  </w:style>
  <w:style w:type="character" w:customStyle="1" w:styleId="178">
    <w:name w:val="apple-style-span"/>
    <w:qFormat/>
    <w:uiPriority w:val="0"/>
  </w:style>
  <w:style w:type="character" w:customStyle="1" w:styleId="179">
    <w:name w:val="正文文本缩进 3 Char1"/>
    <w:qFormat/>
    <w:uiPriority w:val="0"/>
    <w:rPr>
      <w:kern w:val="2"/>
      <w:sz w:val="16"/>
      <w:szCs w:val="16"/>
    </w:rPr>
  </w:style>
  <w:style w:type="character" w:customStyle="1" w:styleId="180">
    <w:name w:val="正文文本缩进 字符1"/>
    <w:qFormat/>
    <w:uiPriority w:val="0"/>
    <w:rPr>
      <w:rFonts w:ascii="宋体" w:hAnsi="Courier New"/>
      <w:spacing w:val="-4"/>
      <w:kern w:val="2"/>
      <w:sz w:val="18"/>
    </w:rPr>
  </w:style>
  <w:style w:type="character" w:customStyle="1" w:styleId="181">
    <w:name w:val="font112"/>
    <w:qFormat/>
    <w:uiPriority w:val="0"/>
    <w:rPr>
      <w:rFonts w:hint="eastAsia" w:ascii="宋体" w:hAnsi="宋体" w:eastAsia="宋体" w:cs="宋体"/>
      <w:color w:val="000000"/>
      <w:sz w:val="20"/>
      <w:szCs w:val="20"/>
      <w:u w:val="none"/>
    </w:rPr>
  </w:style>
  <w:style w:type="character" w:customStyle="1" w:styleId="182">
    <w:name w:val="表正文 Char"/>
    <w:qFormat/>
    <w:uiPriority w:val="0"/>
    <w:rPr>
      <w:rFonts w:eastAsia="宋体"/>
      <w:kern w:val="2"/>
      <w:sz w:val="21"/>
      <w:lang w:val="en-US" w:eastAsia="zh-CN" w:bidi="ar-SA"/>
    </w:rPr>
  </w:style>
  <w:style w:type="character" w:customStyle="1" w:styleId="183">
    <w:name w:val="标题 1 Char Char"/>
    <w:qFormat/>
    <w:uiPriority w:val="0"/>
    <w:rPr>
      <w:rFonts w:eastAsia="宋体"/>
      <w:b/>
      <w:spacing w:val="-2"/>
      <w:sz w:val="24"/>
      <w:lang w:val="en-US" w:eastAsia="zh-CN" w:bidi="ar-SA"/>
    </w:rPr>
  </w:style>
  <w:style w:type="character" w:customStyle="1" w:styleId="184">
    <w:name w:val="style8"/>
    <w:qFormat/>
    <w:uiPriority w:val="0"/>
    <w:rPr>
      <w:sz w:val="28"/>
      <w:szCs w:val="20"/>
    </w:rPr>
  </w:style>
  <w:style w:type="character" w:customStyle="1" w:styleId="185">
    <w:name w:val="日期 Char"/>
    <w:qFormat/>
    <w:uiPriority w:val="0"/>
    <w:rPr>
      <w:rFonts w:eastAsia="楷体_GB2312"/>
      <w:kern w:val="2"/>
      <w:sz w:val="32"/>
    </w:rPr>
  </w:style>
  <w:style w:type="character" w:customStyle="1" w:styleId="186">
    <w:name w:val="正文缩进 Char"/>
    <w:qFormat/>
    <w:uiPriority w:val="0"/>
    <w:rPr>
      <w:rFonts w:eastAsia="宋体"/>
      <w:kern w:val="2"/>
      <w:sz w:val="21"/>
      <w:lang w:val="en-US" w:eastAsia="zh-CN" w:bidi="ar-SA"/>
    </w:rPr>
  </w:style>
  <w:style w:type="character" w:customStyle="1" w:styleId="187">
    <w:name w:val="批注文字 Char2"/>
    <w:qFormat/>
    <w:uiPriority w:val="0"/>
    <w:rPr>
      <w:kern w:val="2"/>
      <w:sz w:val="21"/>
    </w:rPr>
  </w:style>
  <w:style w:type="character" w:customStyle="1" w:styleId="188">
    <w:name w:val="论文正文样式 Char Char"/>
    <w:link w:val="189"/>
    <w:qFormat/>
    <w:locked/>
    <w:uiPriority w:val="0"/>
    <w:rPr>
      <w:szCs w:val="21"/>
    </w:rPr>
  </w:style>
  <w:style w:type="paragraph" w:customStyle="1" w:styleId="189">
    <w:name w:val="论文正文样式"/>
    <w:basedOn w:val="1"/>
    <w:link w:val="188"/>
    <w:qFormat/>
    <w:uiPriority w:val="0"/>
    <w:pPr>
      <w:spacing w:line="360" w:lineRule="auto"/>
    </w:pPr>
    <w:rPr>
      <w:rFonts w:asciiTheme="minorHAnsi" w:hAnsiTheme="minorHAnsi" w:eastAsiaTheme="minorEastAsia" w:cstheme="minorBidi"/>
      <w:szCs w:val="21"/>
    </w:rPr>
  </w:style>
  <w:style w:type="character" w:customStyle="1" w:styleId="190">
    <w:name w:val="纯文本 Char1"/>
    <w:qFormat/>
    <w:uiPriority w:val="0"/>
    <w:rPr>
      <w:rFonts w:ascii="宋体" w:hAnsi="Courier New" w:eastAsia="宋体"/>
      <w:kern w:val="2"/>
      <w:sz w:val="24"/>
      <w:szCs w:val="24"/>
      <w:lang w:val="en-US" w:eastAsia="zh-CN" w:bidi="ar-SA"/>
    </w:rPr>
  </w:style>
  <w:style w:type="character" w:customStyle="1" w:styleId="191">
    <w:name w:val="font01"/>
    <w:qFormat/>
    <w:uiPriority w:val="0"/>
    <w:rPr>
      <w:rFonts w:hint="eastAsia" w:ascii="宋体" w:hAnsi="宋体" w:eastAsia="宋体" w:cs="宋体"/>
      <w:b/>
      <w:color w:val="000000"/>
      <w:sz w:val="24"/>
      <w:szCs w:val="24"/>
      <w:u w:val="none"/>
    </w:rPr>
  </w:style>
  <w:style w:type="character" w:customStyle="1" w:styleId="192">
    <w:name w:val="论文正文样式 Char"/>
    <w:qFormat/>
    <w:uiPriority w:val="0"/>
    <w:rPr>
      <w:rFonts w:hint="default" w:ascii="Times New Roman" w:hAnsi="Times New Roman" w:cs="Times New Roman"/>
      <w:kern w:val="2"/>
      <w:sz w:val="21"/>
      <w:szCs w:val="21"/>
    </w:rPr>
  </w:style>
  <w:style w:type="character" w:customStyle="1" w:styleId="193">
    <w:name w:val="书籍标题111"/>
    <w:qFormat/>
    <w:uiPriority w:val="33"/>
    <w:rPr>
      <w:rFonts w:eastAsia="Songti SC Regular"/>
      <w:bCs/>
      <w:smallCaps/>
      <w:spacing w:val="5"/>
      <w:sz w:val="32"/>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6">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8">
    <w:name w:val="列出段落2"/>
    <w:basedOn w:val="1"/>
    <w:qFormat/>
    <w:uiPriority w:val="0"/>
    <w:pPr>
      <w:ind w:firstLine="420" w:firstLineChars="200"/>
    </w:pPr>
    <w:rPr>
      <w:rFonts w:cs="宋体"/>
      <w:sz w:val="24"/>
      <w:szCs w:val="22"/>
    </w:rPr>
  </w:style>
  <w:style w:type="paragraph" w:customStyle="1" w:styleId="1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0">
    <w:name w:val="正文首行缩进 2 Char1"/>
    <w:basedOn w:val="59"/>
    <w:qFormat/>
    <w:uiPriority w:val="0"/>
    <w:rPr>
      <w:rFonts w:ascii="Calibri" w:hAnsi="Calibri" w:eastAsia="宋体" w:cs="Times New Roman"/>
      <w:szCs w:val="24"/>
    </w:rPr>
  </w:style>
  <w:style w:type="paragraph" w:customStyle="1" w:styleId="20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3">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4">
    <w:name w:val="批注主题 Char3"/>
    <w:basedOn w:val="72"/>
    <w:semiHidden/>
    <w:qFormat/>
    <w:uiPriority w:val="99"/>
    <w:rPr>
      <w:rFonts w:ascii="Calibri" w:hAnsi="Calibri" w:eastAsia="宋体" w:cs="Times New Roman"/>
      <w:b/>
      <w:bCs/>
      <w:szCs w:val="24"/>
    </w:rPr>
  </w:style>
  <w:style w:type="paragraph" w:styleId="205">
    <w:name w:val="No Spacing"/>
    <w:qFormat/>
    <w:uiPriority w:val="1"/>
    <w:rPr>
      <w:rFonts w:ascii="Calibri" w:hAnsi="Calibri" w:eastAsia="宋体" w:cs="宋体"/>
      <w:sz w:val="22"/>
      <w:szCs w:val="22"/>
      <w:lang w:val="en-US" w:eastAsia="zh-CN" w:bidi="ar-SA"/>
    </w:rPr>
  </w:style>
  <w:style w:type="paragraph" w:customStyle="1" w:styleId="20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7">
    <w:name w:val="正文文本 Char2"/>
    <w:basedOn w:val="51"/>
    <w:semiHidden/>
    <w:qFormat/>
    <w:uiPriority w:val="99"/>
    <w:rPr>
      <w:rFonts w:ascii="Calibri" w:hAnsi="Calibri" w:eastAsia="宋体" w:cs="Times New Roman"/>
      <w:szCs w:val="24"/>
    </w:rPr>
  </w:style>
  <w:style w:type="paragraph" w:customStyle="1" w:styleId="20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09">
    <w:name w:val="正文文本缩进 3 Char2"/>
    <w:basedOn w:val="51"/>
    <w:semiHidden/>
    <w:qFormat/>
    <w:uiPriority w:val="99"/>
    <w:rPr>
      <w:rFonts w:ascii="Calibri" w:hAnsi="Calibri" w:eastAsia="宋体" w:cs="Times New Roman"/>
      <w:sz w:val="16"/>
      <w:szCs w:val="16"/>
    </w:rPr>
  </w:style>
  <w:style w:type="paragraph" w:customStyle="1" w:styleId="210">
    <w:name w:val="Char Char Char Char"/>
    <w:basedOn w:val="1"/>
    <w:qFormat/>
    <w:uiPriority w:val="99"/>
    <w:pPr>
      <w:widowControl/>
      <w:jc w:val="left"/>
    </w:pPr>
    <w:rPr>
      <w:rFonts w:cs="宋体"/>
      <w:kern w:val="0"/>
      <w:sz w:val="24"/>
    </w:rPr>
  </w:style>
  <w:style w:type="paragraph" w:customStyle="1" w:styleId="211">
    <w:name w:val="Char Char Char Char Char Char Char1"/>
    <w:basedOn w:val="1"/>
    <w:qFormat/>
    <w:uiPriority w:val="0"/>
    <w:rPr>
      <w:rFonts w:ascii="Arial" w:hAnsi="Arial" w:cs="Arial"/>
      <w:szCs w:val="21"/>
    </w:rPr>
  </w:style>
  <w:style w:type="paragraph" w:customStyle="1" w:styleId="21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6">
    <w:name w:val="批注框文本 Char2"/>
    <w:basedOn w:val="51"/>
    <w:semiHidden/>
    <w:qFormat/>
    <w:uiPriority w:val="99"/>
    <w:rPr>
      <w:rFonts w:ascii="Calibri" w:hAnsi="Calibri" w:eastAsia="宋体" w:cs="Times New Roman"/>
      <w:sz w:val="18"/>
      <w:szCs w:val="18"/>
    </w:rPr>
  </w:style>
  <w:style w:type="paragraph" w:customStyle="1" w:styleId="217">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19">
    <w:name w:val="文档结构图 Char2"/>
    <w:basedOn w:val="51"/>
    <w:semiHidden/>
    <w:qFormat/>
    <w:uiPriority w:val="99"/>
    <w:rPr>
      <w:rFonts w:ascii="宋体" w:hAnsi="Calibri" w:eastAsia="宋体" w:cs="Times New Roman"/>
      <w:sz w:val="18"/>
      <w:szCs w:val="18"/>
    </w:rPr>
  </w:style>
  <w:style w:type="character" w:customStyle="1" w:styleId="220">
    <w:name w:val="日期 Char2"/>
    <w:basedOn w:val="51"/>
    <w:semiHidden/>
    <w:qFormat/>
    <w:uiPriority w:val="99"/>
    <w:rPr>
      <w:rFonts w:ascii="Calibri" w:hAnsi="Calibri" w:eastAsia="宋体" w:cs="Times New Roman"/>
      <w:szCs w:val="24"/>
    </w:rPr>
  </w:style>
  <w:style w:type="paragraph" w:customStyle="1" w:styleId="221">
    <w:name w:val="Char Char12"/>
    <w:basedOn w:val="1"/>
    <w:qFormat/>
    <w:uiPriority w:val="0"/>
    <w:rPr>
      <w:szCs w:val="21"/>
    </w:rPr>
  </w:style>
  <w:style w:type="paragraph" w:customStyle="1" w:styleId="222">
    <w:name w:val="Char2"/>
    <w:basedOn w:val="1"/>
    <w:qFormat/>
    <w:uiPriority w:val="0"/>
    <w:pPr>
      <w:numPr>
        <w:ilvl w:val="0"/>
        <w:numId w:val="3"/>
      </w:numPr>
      <w:tabs>
        <w:tab w:val="left" w:pos="1200"/>
        <w:tab w:val="clear" w:pos="420"/>
      </w:tabs>
    </w:pPr>
    <w:rPr>
      <w:rFonts w:cs="宋体"/>
      <w:sz w:val="24"/>
    </w:rPr>
  </w:style>
  <w:style w:type="paragraph" w:customStyle="1" w:styleId="223">
    <w:name w:val="XH BodyTextV1"/>
    <w:basedOn w:val="1"/>
    <w:qFormat/>
    <w:uiPriority w:val="0"/>
    <w:pPr>
      <w:spacing w:after="120" w:line="288" w:lineRule="auto"/>
      <w:jc w:val="left"/>
    </w:pPr>
    <w:rPr>
      <w:rFonts w:cs="宋体"/>
      <w:b/>
      <w:color w:val="FF0000"/>
      <w:sz w:val="24"/>
      <w:szCs w:val="22"/>
    </w:rPr>
  </w:style>
  <w:style w:type="character" w:customStyle="1" w:styleId="224">
    <w:name w:val="正文文本 3 Char2"/>
    <w:basedOn w:val="51"/>
    <w:semiHidden/>
    <w:qFormat/>
    <w:uiPriority w:val="99"/>
    <w:rPr>
      <w:rFonts w:ascii="Calibri" w:hAnsi="Calibri" w:eastAsia="宋体" w:cs="Times New Roman"/>
      <w:sz w:val="16"/>
      <w:szCs w:val="16"/>
    </w:rPr>
  </w:style>
  <w:style w:type="paragraph" w:customStyle="1" w:styleId="225">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8">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0">
    <w:name w:val="页眉 Char2"/>
    <w:basedOn w:val="51"/>
    <w:semiHidden/>
    <w:qFormat/>
    <w:uiPriority w:val="99"/>
    <w:rPr>
      <w:rFonts w:ascii="Calibri" w:hAnsi="Calibri" w:eastAsia="宋体" w:cs="Times New Roman"/>
      <w:sz w:val="18"/>
      <w:szCs w:val="18"/>
    </w:rPr>
  </w:style>
  <w:style w:type="paragraph" w:customStyle="1" w:styleId="23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2">
    <w:name w:val="Char Char Char Char Char Char"/>
    <w:basedOn w:val="1"/>
    <w:qFormat/>
    <w:uiPriority w:val="0"/>
    <w:pPr>
      <w:ind w:firstLine="200" w:firstLineChars="200"/>
    </w:pPr>
  </w:style>
  <w:style w:type="character" w:customStyle="1" w:styleId="233">
    <w:name w:val="页脚 Char2"/>
    <w:basedOn w:val="51"/>
    <w:semiHidden/>
    <w:qFormat/>
    <w:uiPriority w:val="99"/>
    <w:rPr>
      <w:rFonts w:ascii="Calibri" w:hAnsi="Calibri" w:eastAsia="宋体" w:cs="Times New Roman"/>
      <w:sz w:val="18"/>
      <w:szCs w:val="18"/>
    </w:rPr>
  </w:style>
  <w:style w:type="paragraph" w:customStyle="1" w:styleId="234">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35">
    <w:name w:val="正文文本缩进 2 Char2"/>
    <w:basedOn w:val="51"/>
    <w:semiHidden/>
    <w:qFormat/>
    <w:uiPriority w:val="99"/>
    <w:rPr>
      <w:rFonts w:ascii="Calibri" w:hAnsi="Calibri" w:eastAsia="宋体" w:cs="Times New Roman"/>
      <w:szCs w:val="24"/>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7">
    <w:name w:val="纯文本 Char4"/>
    <w:basedOn w:val="51"/>
    <w:qFormat/>
    <w:uiPriority w:val="0"/>
    <w:rPr>
      <w:rFonts w:ascii="宋体" w:hAnsi="Courier New" w:eastAsia="宋体" w:cs="Courier New"/>
      <w:szCs w:val="21"/>
    </w:rPr>
  </w:style>
  <w:style w:type="paragraph" w:customStyle="1" w:styleId="23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9">
    <w:name w:val="Char Char1 Char1"/>
    <w:basedOn w:val="1"/>
    <w:qFormat/>
    <w:uiPriority w:val="0"/>
    <w:pPr>
      <w:tabs>
        <w:tab w:val="left" w:pos="360"/>
      </w:tabs>
    </w:pPr>
    <w:rPr>
      <w:rFonts w:cs="宋体"/>
      <w:sz w:val="24"/>
    </w:rPr>
  </w:style>
  <w:style w:type="paragraph" w:customStyle="1" w:styleId="240">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1">
    <w:name w:val="副标题 Char2"/>
    <w:basedOn w:val="51"/>
    <w:qFormat/>
    <w:uiPriority w:val="11"/>
    <w:rPr>
      <w:rFonts w:eastAsia="宋体" w:asciiTheme="majorHAnsi" w:hAnsiTheme="majorHAnsi" w:cstheme="majorBidi"/>
      <w:b/>
      <w:bCs/>
      <w:kern w:val="28"/>
      <w:sz w:val="32"/>
      <w:szCs w:val="32"/>
    </w:rPr>
  </w:style>
  <w:style w:type="paragraph" w:customStyle="1" w:styleId="24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3">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4">
    <w:name w:val="标题 Char3"/>
    <w:basedOn w:val="51"/>
    <w:qFormat/>
    <w:uiPriority w:val="10"/>
    <w:rPr>
      <w:rFonts w:eastAsia="宋体" w:asciiTheme="majorHAnsi" w:hAnsiTheme="majorHAnsi" w:cstheme="majorBidi"/>
      <w:b/>
      <w:bCs/>
      <w:sz w:val="32"/>
      <w:szCs w:val="32"/>
    </w:rPr>
  </w:style>
  <w:style w:type="paragraph" w:customStyle="1" w:styleId="245">
    <w:name w:val="正文段"/>
    <w:basedOn w:val="1"/>
    <w:qFormat/>
    <w:uiPriority w:val="0"/>
    <w:pPr>
      <w:widowControl/>
      <w:snapToGrid w:val="0"/>
      <w:spacing w:afterLines="50"/>
      <w:ind w:firstLine="200" w:firstLineChars="200"/>
    </w:pPr>
    <w:rPr>
      <w:kern w:val="0"/>
      <w:sz w:val="24"/>
      <w:szCs w:val="20"/>
    </w:rPr>
  </w:style>
  <w:style w:type="paragraph" w:customStyle="1" w:styleId="246">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9">
    <w:name w:val="Char1"/>
    <w:basedOn w:val="1"/>
    <w:qFormat/>
    <w:uiPriority w:val="99"/>
    <w:rPr>
      <w:rFonts w:ascii="仿宋_GB2312" w:eastAsia="仿宋_GB2312"/>
      <w:b/>
      <w:sz w:val="32"/>
      <w:szCs w:val="32"/>
    </w:rPr>
  </w:style>
  <w:style w:type="paragraph" w:customStyle="1" w:styleId="2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1">
    <w:name w:val="正文文本 2 Char2"/>
    <w:basedOn w:val="51"/>
    <w:semiHidden/>
    <w:qFormat/>
    <w:uiPriority w:val="99"/>
    <w:rPr>
      <w:rFonts w:ascii="Calibri" w:hAnsi="Calibri" w:eastAsia="宋体" w:cs="Times New Roman"/>
      <w:szCs w:val="24"/>
    </w:rPr>
  </w:style>
  <w:style w:type="paragraph" w:customStyle="1" w:styleId="252">
    <w:name w:val="无间隔1"/>
    <w:qFormat/>
    <w:uiPriority w:val="0"/>
    <w:rPr>
      <w:rFonts w:ascii="Calibri" w:hAnsi="Calibri" w:eastAsia="宋体" w:cs="Times New Roman"/>
      <w:sz w:val="22"/>
      <w:szCs w:val="22"/>
      <w:lang w:val="en-US" w:eastAsia="zh-CN" w:bidi="ar-SA"/>
    </w:rPr>
  </w:style>
  <w:style w:type="paragraph" w:customStyle="1" w:styleId="2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6">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7">
    <w:name w:val="Char Char Char Char Char Char1"/>
    <w:basedOn w:val="1"/>
    <w:qFormat/>
    <w:uiPriority w:val="0"/>
    <w:pPr>
      <w:widowControl/>
      <w:spacing w:after="160" w:line="240" w:lineRule="exact"/>
      <w:jc w:val="left"/>
    </w:pPr>
    <w:rPr>
      <w:kern w:val="0"/>
      <w:szCs w:val="20"/>
    </w:rPr>
  </w:style>
  <w:style w:type="paragraph" w:customStyle="1" w:styleId="2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59">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3">
    <w:name w:val="段落样式"/>
    <w:basedOn w:val="1"/>
    <w:qFormat/>
    <w:uiPriority w:val="0"/>
    <w:pPr>
      <w:spacing w:line="360" w:lineRule="auto"/>
    </w:pPr>
    <w:rPr>
      <w:rFonts w:cs="宋体"/>
      <w:sz w:val="24"/>
      <w:szCs w:val="20"/>
    </w:rPr>
  </w:style>
  <w:style w:type="paragraph" w:customStyle="1" w:styleId="264">
    <w:name w:val="Char Char1 Char"/>
    <w:basedOn w:val="1"/>
    <w:qFormat/>
    <w:uiPriority w:val="0"/>
    <w:pPr>
      <w:tabs>
        <w:tab w:val="left" w:pos="360"/>
      </w:tabs>
    </w:pPr>
    <w:rPr>
      <w:rFonts w:cs="宋体"/>
      <w:sz w:val="24"/>
    </w:rPr>
  </w:style>
  <w:style w:type="paragraph" w:customStyle="1" w:styleId="2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6">
    <w:name w:val="列出段落1"/>
    <w:basedOn w:val="1"/>
    <w:qFormat/>
    <w:uiPriority w:val="99"/>
    <w:pPr>
      <w:ind w:firstLine="420" w:firstLineChars="200"/>
    </w:pPr>
    <w:rPr>
      <w:rFonts w:cs="宋体"/>
      <w:sz w:val="24"/>
      <w:szCs w:val="22"/>
    </w:rPr>
  </w:style>
  <w:style w:type="paragraph" w:customStyle="1" w:styleId="26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0">
    <w:name w:val="Char Char Char Char Char Char Char"/>
    <w:basedOn w:val="1"/>
    <w:qFormat/>
    <w:uiPriority w:val="0"/>
    <w:rPr>
      <w:rFonts w:cs="宋体"/>
      <w:sz w:val="24"/>
      <w:szCs w:val="21"/>
    </w:rPr>
  </w:style>
  <w:style w:type="paragraph" w:customStyle="1" w:styleId="271">
    <w:name w:val="Char Char Char Char1"/>
    <w:basedOn w:val="1"/>
    <w:qFormat/>
    <w:uiPriority w:val="0"/>
    <w:pPr>
      <w:widowControl/>
      <w:jc w:val="left"/>
    </w:pPr>
    <w:rPr>
      <w:rFonts w:cs="宋体"/>
      <w:kern w:val="0"/>
      <w:sz w:val="24"/>
    </w:rPr>
  </w:style>
  <w:style w:type="paragraph" w:customStyle="1" w:styleId="27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3">
    <w:name w:val="TOC 标题1"/>
    <w:basedOn w:val="3"/>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4">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7">
    <w:name w:val="列出段落11"/>
    <w:basedOn w:val="1"/>
    <w:qFormat/>
    <w:uiPriority w:val="0"/>
    <w:pPr>
      <w:ind w:firstLine="420" w:firstLineChars="200"/>
    </w:pPr>
    <w:rPr>
      <w:rFonts w:cs="宋体"/>
      <w:sz w:val="24"/>
    </w:rPr>
  </w:style>
  <w:style w:type="paragraph" w:customStyle="1" w:styleId="27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1">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2">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3">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7">
    <w:name w:val="*正文"/>
    <w:basedOn w:val="1"/>
    <w:qFormat/>
    <w:uiPriority w:val="0"/>
    <w:pPr>
      <w:spacing w:line="360" w:lineRule="auto"/>
      <w:ind w:firstLine="480" w:firstLineChars="200"/>
    </w:pPr>
    <w:rPr>
      <w:rFonts w:cs="仿宋_GB2312"/>
      <w:sz w:val="24"/>
    </w:rPr>
  </w:style>
  <w:style w:type="paragraph" w:customStyle="1" w:styleId="28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9">
    <w:name w:val="Char Char2"/>
    <w:basedOn w:val="18"/>
    <w:semiHidden/>
    <w:qFormat/>
    <w:uiPriority w:val="0"/>
    <w:pPr>
      <w:shd w:val="clear" w:color="auto" w:fill="000080"/>
      <w:jc w:val="left"/>
    </w:pPr>
    <w:rPr>
      <w:rFonts w:ascii="Tahoma" w:hAnsi="Tahoma" w:cs="Tahoma"/>
      <w:kern w:val="0"/>
      <w:szCs w:val="24"/>
    </w:rPr>
  </w:style>
  <w:style w:type="paragraph" w:customStyle="1" w:styleId="29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3">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5">
    <w:name w:val="默认段落字体 Para Char Char Char Char Char Char Char Char Char1 Char Char Char Char"/>
    <w:basedOn w:val="1"/>
    <w:qFormat/>
    <w:uiPriority w:val="0"/>
    <w:rPr>
      <w:rFonts w:ascii="Tahoma" w:hAnsi="Tahoma"/>
      <w:sz w:val="24"/>
      <w:szCs w:val="20"/>
    </w:rPr>
  </w:style>
  <w:style w:type="paragraph" w:customStyle="1" w:styleId="29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7">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8">
    <w:name w:val="Char4"/>
    <w:basedOn w:val="1"/>
    <w:qFormat/>
    <w:uiPriority w:val="0"/>
    <w:rPr>
      <w:rFonts w:ascii="仿宋_GB2312" w:eastAsia="仿宋_GB2312" w:cs="宋体"/>
      <w:b/>
      <w:sz w:val="32"/>
      <w:szCs w:val="32"/>
    </w:rPr>
  </w:style>
  <w:style w:type="paragraph" w:customStyle="1" w:styleId="299">
    <w:name w:val="1"/>
    <w:basedOn w:val="3"/>
    <w:qFormat/>
    <w:uiPriority w:val="0"/>
    <w:pPr>
      <w:adjustRightInd w:val="0"/>
      <w:snapToGrid w:val="0"/>
      <w:spacing w:before="240" w:after="240" w:line="348" w:lineRule="auto"/>
    </w:pPr>
    <w:rPr>
      <w:rFonts w:cs="宋体"/>
    </w:rPr>
  </w:style>
  <w:style w:type="paragraph" w:customStyle="1" w:styleId="30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3">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4">
    <w:name w:val="1 Char Char Char Char"/>
    <w:basedOn w:val="1"/>
    <w:qFormat/>
    <w:uiPriority w:val="0"/>
    <w:rPr>
      <w:rFonts w:ascii="Tahoma" w:hAnsi="Tahoma"/>
      <w:sz w:val="24"/>
      <w:szCs w:val="20"/>
    </w:rPr>
  </w:style>
  <w:style w:type="paragraph" w:customStyle="1" w:styleId="305">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8">
    <w:name w:val="字元 字元"/>
    <w:basedOn w:val="1"/>
    <w:qFormat/>
    <w:uiPriority w:val="0"/>
    <w:pPr>
      <w:widowControl/>
      <w:spacing w:after="160" w:line="240" w:lineRule="exact"/>
      <w:jc w:val="left"/>
    </w:pPr>
    <w:rPr>
      <w:rFonts w:cs="宋体"/>
      <w:sz w:val="28"/>
      <w:szCs w:val="20"/>
    </w:rPr>
  </w:style>
  <w:style w:type="paragraph" w:customStyle="1" w:styleId="309">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0">
    <w:name w:val="Char Char Char Char Char Char Char Char Char"/>
    <w:basedOn w:val="1"/>
    <w:qFormat/>
    <w:uiPriority w:val="0"/>
    <w:rPr>
      <w:rFonts w:cs="宋体"/>
    </w:rPr>
  </w:style>
  <w:style w:type="paragraph" w:customStyle="1" w:styleId="311">
    <w:name w:val="Char Char Char1 Char Char Char Char"/>
    <w:basedOn w:val="1"/>
    <w:qFormat/>
    <w:uiPriority w:val="0"/>
    <w:pPr>
      <w:widowControl/>
      <w:spacing w:after="160" w:line="240" w:lineRule="exact"/>
      <w:jc w:val="left"/>
    </w:pPr>
  </w:style>
  <w:style w:type="paragraph" w:customStyle="1" w:styleId="31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表格"/>
    <w:basedOn w:val="1"/>
    <w:qFormat/>
    <w:uiPriority w:val="0"/>
    <w:pPr>
      <w:spacing w:line="400" w:lineRule="exact"/>
    </w:pPr>
    <w:rPr>
      <w:rFonts w:cs="宋体"/>
      <w:sz w:val="24"/>
    </w:rPr>
  </w:style>
  <w:style w:type="paragraph" w:customStyle="1" w:styleId="315">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16">
    <w:name w:val="正文－恩普"/>
    <w:basedOn w:val="16"/>
    <w:qFormat/>
    <w:uiPriority w:val="0"/>
    <w:pPr>
      <w:widowControl/>
      <w:spacing w:afterLines="50" w:line="360" w:lineRule="auto"/>
      <w:ind w:firstLine="480" w:firstLineChars="200"/>
      <w:jc w:val="left"/>
    </w:pPr>
    <w:rPr>
      <w:rFonts w:cs="宋体"/>
      <w:sz w:val="24"/>
    </w:rPr>
  </w:style>
  <w:style w:type="paragraph" w:customStyle="1" w:styleId="317">
    <w:name w:val="Char"/>
    <w:basedOn w:val="3"/>
    <w:qFormat/>
    <w:uiPriority w:val="0"/>
    <w:pPr>
      <w:adjustRightInd w:val="0"/>
      <w:snapToGrid w:val="0"/>
      <w:spacing w:before="240" w:after="240" w:line="348" w:lineRule="auto"/>
    </w:pPr>
  </w:style>
  <w:style w:type="paragraph" w:customStyle="1" w:styleId="318">
    <w:name w:val="Char21"/>
    <w:basedOn w:val="1"/>
    <w:qFormat/>
    <w:uiPriority w:val="0"/>
    <w:pPr>
      <w:tabs>
        <w:tab w:val="left" w:pos="360"/>
      </w:tabs>
      <w:ind w:left="360" w:hanging="360" w:hangingChars="200"/>
    </w:pPr>
    <w:rPr>
      <w:rFonts w:cs="宋体"/>
      <w:sz w:val="24"/>
    </w:rPr>
  </w:style>
  <w:style w:type="paragraph" w:customStyle="1" w:styleId="31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0">
    <w:name w:val="Char31"/>
    <w:basedOn w:val="1"/>
    <w:qFormat/>
    <w:uiPriority w:val="0"/>
    <w:pPr>
      <w:tabs>
        <w:tab w:val="left" w:pos="360"/>
      </w:tabs>
    </w:pPr>
  </w:style>
  <w:style w:type="paragraph" w:customStyle="1" w:styleId="3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3">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4">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25">
    <w:name w:val="列表内容"/>
    <w:basedOn w:val="1"/>
    <w:next w:val="1"/>
    <w:qFormat/>
    <w:uiPriority w:val="0"/>
    <w:pPr>
      <w:widowControl/>
      <w:numPr>
        <w:ilvl w:val="0"/>
        <w:numId w:val="4"/>
      </w:numPr>
      <w:jc w:val="left"/>
    </w:pPr>
    <w:rPr>
      <w:rFonts w:cs="宋体"/>
      <w:kern w:val="0"/>
      <w:sz w:val="18"/>
      <w:szCs w:val="20"/>
    </w:rPr>
  </w:style>
  <w:style w:type="paragraph" w:customStyle="1" w:styleId="3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7">
    <w:name w:val="默认段落字体 Para Char Char Char Char"/>
    <w:basedOn w:val="1"/>
    <w:qFormat/>
    <w:uiPriority w:val="0"/>
  </w:style>
  <w:style w:type="paragraph" w:customStyle="1" w:styleId="32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332">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4">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35">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36">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8">
    <w:name w:val="p19"/>
    <w:basedOn w:val="1"/>
    <w:qFormat/>
    <w:uiPriority w:val="0"/>
    <w:pPr>
      <w:widowControl/>
      <w:spacing w:line="300" w:lineRule="auto"/>
      <w:jc w:val="left"/>
    </w:pPr>
    <w:rPr>
      <w:rFonts w:ascii="Arial" w:hAnsi="Arial" w:cs="Arial"/>
      <w:kern w:val="0"/>
      <w:szCs w:val="21"/>
    </w:rPr>
  </w:style>
  <w:style w:type="paragraph" w:customStyle="1" w:styleId="339">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0">
    <w:name w:val="正文文字2"/>
    <w:basedOn w:val="21"/>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1">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2">
    <w:name w:val="样式 标题 3 + 小四 非加粗 段前: 0 磅 段后: 0 磅 行距: 单倍行距"/>
    <w:basedOn w:val="5"/>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3">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6">
    <w:name w:val="Table Paragraph"/>
    <w:basedOn w:val="1"/>
    <w:qFormat/>
    <w:uiPriority w:val="1"/>
    <w:rPr>
      <w:rFonts w:ascii="宋体" w:hAnsi="宋体" w:cs="宋体"/>
      <w:sz w:val="24"/>
      <w:lang w:val="zh-CN" w:bidi="zh-CN"/>
    </w:rPr>
  </w:style>
  <w:style w:type="paragraph" w:customStyle="1" w:styleId="347">
    <w:name w:val="纯文本3"/>
    <w:basedOn w:val="1"/>
    <w:qFormat/>
    <w:uiPriority w:val="0"/>
    <w:pPr>
      <w:adjustRightInd w:val="0"/>
      <w:textAlignment w:val="baseline"/>
    </w:pPr>
    <w:rPr>
      <w:rFonts w:ascii="宋体" w:hAnsi="Courier New" w:eastAsia="楷体_GB2312"/>
      <w:sz w:val="26"/>
      <w:szCs w:val="20"/>
    </w:rPr>
  </w:style>
  <w:style w:type="paragraph" w:customStyle="1" w:styleId="34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9">
    <w:name w:val="Char Char Char Char Char Char Char2"/>
    <w:basedOn w:val="1"/>
    <w:qFormat/>
    <w:uiPriority w:val="0"/>
    <w:rPr>
      <w:szCs w:val="21"/>
    </w:rPr>
  </w:style>
  <w:style w:type="paragraph" w:customStyle="1" w:styleId="350">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51">
    <w:name w:val="网格型1"/>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2">
    <w:name w:val="List Paragraph1"/>
    <w:basedOn w:val="1"/>
    <w:qFormat/>
    <w:uiPriority w:val="0"/>
    <w:pPr>
      <w:ind w:firstLine="420" w:firstLineChars="200"/>
    </w:pPr>
    <w:rPr>
      <w:szCs w:val="22"/>
    </w:rPr>
  </w:style>
  <w:style w:type="character" w:customStyle="1" w:styleId="353">
    <w:name w:val="NormalCharacter"/>
    <w:qFormat/>
    <w:uiPriority w:val="0"/>
  </w:style>
  <w:style w:type="paragraph" w:customStyle="1" w:styleId="354">
    <w:name w:val="TOC 标题3"/>
    <w:basedOn w:val="3"/>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5">
    <w:name w:val="fontstyle01"/>
    <w:basedOn w:val="51"/>
    <w:qFormat/>
    <w:uiPriority w:val="0"/>
    <w:rPr>
      <w:rFonts w:hint="eastAsia" w:ascii="宋体" w:hAnsi="宋体" w:eastAsia="宋体"/>
      <w:color w:val="000000"/>
      <w:sz w:val="24"/>
      <w:szCs w:val="24"/>
    </w:rPr>
  </w:style>
  <w:style w:type="character" w:customStyle="1" w:styleId="356">
    <w:name w:val="fontstyle11"/>
    <w:basedOn w:val="51"/>
    <w:qFormat/>
    <w:uiPriority w:val="0"/>
    <w:rPr>
      <w:rFonts w:hint="default" w:ascii="Arial" w:hAnsi="Arial" w:cs="Arial"/>
      <w:color w:val="000000"/>
      <w:sz w:val="24"/>
      <w:szCs w:val="24"/>
    </w:rPr>
  </w:style>
  <w:style w:type="character" w:customStyle="1" w:styleId="357">
    <w:name w:val="fontstyle31"/>
    <w:basedOn w:val="51"/>
    <w:qFormat/>
    <w:uiPriority w:val="0"/>
    <w:rPr>
      <w:rFonts w:hint="default" w:ascii="Times New Roman" w:hAnsi="Times New Roman" w:cs="Times New Roman"/>
      <w:color w:val="000000"/>
      <w:sz w:val="18"/>
      <w:szCs w:val="18"/>
    </w:rPr>
  </w:style>
  <w:style w:type="character" w:customStyle="1" w:styleId="358">
    <w:name w:val="列表 Char"/>
    <w:link w:val="40"/>
    <w:qFormat/>
    <w:uiPriority w:val="0"/>
    <w:rPr>
      <w:rFonts w:ascii="Calibri" w:hAnsi="Calibri"/>
      <w:kern w:val="2"/>
      <w:sz w:val="28"/>
      <w:szCs w:val="24"/>
    </w:rPr>
  </w:style>
  <w:style w:type="character" w:customStyle="1" w:styleId="359">
    <w:name w:val="书籍标题11"/>
    <w:qFormat/>
    <w:uiPriority w:val="33"/>
    <w:rPr>
      <w:rFonts w:eastAsia="Songti SC Regular"/>
      <w:bCs/>
      <w:smallCaps/>
      <w:spacing w:val="5"/>
      <w:sz w:val="32"/>
    </w:rPr>
  </w:style>
  <w:style w:type="character" w:customStyle="1" w:styleId="360">
    <w:name w:val="UserStyle_117"/>
    <w:link w:val="361"/>
    <w:qFormat/>
    <w:uiPriority w:val="0"/>
    <w:rPr>
      <w:rFonts w:ascii="宋体" w:hAnsi="Courier New"/>
      <w:sz w:val="24"/>
      <w:szCs w:val="24"/>
    </w:rPr>
  </w:style>
  <w:style w:type="paragraph" w:customStyle="1" w:styleId="361">
    <w:name w:val="PlainText"/>
    <w:basedOn w:val="1"/>
    <w:link w:val="360"/>
    <w:qFormat/>
    <w:uiPriority w:val="0"/>
    <w:pPr>
      <w:widowControl/>
      <w:spacing w:before="156" w:after="156" w:line="400" w:lineRule="exact"/>
      <w:textAlignment w:val="baseline"/>
    </w:pPr>
    <w:rPr>
      <w:rFonts w:ascii="宋体" w:hAnsi="Courier New"/>
      <w:kern w:val="0"/>
      <w:sz w:val="24"/>
    </w:rPr>
  </w:style>
  <w:style w:type="character" w:customStyle="1" w:styleId="362">
    <w:name w:val="Char Char7"/>
    <w:qFormat/>
    <w:uiPriority w:val="0"/>
    <w:rPr>
      <w:rFonts w:ascii="Times New Roman" w:hAnsi="Times New Roman" w:eastAsia="宋体" w:cs="Times New Roman"/>
      <w:szCs w:val="24"/>
    </w:rPr>
  </w:style>
  <w:style w:type="paragraph" w:customStyle="1" w:styleId="363">
    <w:name w:val="2"/>
    <w:qFormat/>
    <w:uiPriority w:val="0"/>
    <w:rPr>
      <w:rFonts w:ascii="Times New Roman" w:hAnsi="Times New Roman" w:eastAsia="宋体" w:cs="Times New Roman"/>
      <w:lang w:val="en-US" w:eastAsia="zh-CN" w:bidi="ar-SA"/>
    </w:rPr>
  </w:style>
  <w:style w:type="paragraph" w:customStyle="1" w:styleId="364">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65">
    <w:name w:val="样式3"/>
    <w:basedOn w:val="1"/>
    <w:qFormat/>
    <w:uiPriority w:val="99"/>
    <w:pPr>
      <w:ind w:hanging="132"/>
    </w:pPr>
    <w:rPr>
      <w:rFonts w:ascii="Times New Roman" w:hAnsi="Times New Roman"/>
    </w:rPr>
  </w:style>
  <w:style w:type="paragraph" w:customStyle="1" w:styleId="366">
    <w:name w:val="样式2"/>
    <w:basedOn w:val="1"/>
    <w:qFormat/>
    <w:uiPriority w:val="99"/>
    <w:pPr>
      <w:tabs>
        <w:tab w:val="left" w:pos="420"/>
      </w:tabs>
      <w:ind w:left="420" w:hanging="132"/>
      <w:jc w:val="center"/>
    </w:pPr>
    <w:rPr>
      <w:rFonts w:ascii="Times New Roman" w:hAnsi="Times New Roman"/>
      <w:szCs w:val="21"/>
    </w:rPr>
  </w:style>
  <w:style w:type="character" w:customStyle="1" w:styleId="367">
    <w:name w:val="正文首行缩进 Char"/>
    <w:basedOn w:val="74"/>
    <w:link w:val="22"/>
    <w:qFormat/>
    <w:uiPriority w:val="99"/>
    <w:rPr>
      <w:rFonts w:ascii="Calibri" w:hAnsi="Calibri"/>
      <w:sz w:val="21"/>
      <w:szCs w:val="24"/>
    </w:rPr>
  </w:style>
  <w:style w:type="character" w:customStyle="1" w:styleId="368">
    <w:name w:val="fontstyle21"/>
    <w:basedOn w:val="51"/>
    <w:qFormat/>
    <w:uiPriority w:val="0"/>
    <w:rPr>
      <w:rFonts w:hint="default" w:ascii="Arial" w:hAnsi="Arial" w:cs="Arial"/>
      <w:color w:val="000000"/>
      <w:sz w:val="24"/>
      <w:szCs w:val="24"/>
    </w:rPr>
  </w:style>
  <w:style w:type="paragraph" w:customStyle="1" w:styleId="369">
    <w:name w:val="标准正文"/>
    <w:basedOn w:val="1"/>
    <w:qFormat/>
    <w:uiPriority w:val="0"/>
    <w:pPr>
      <w:spacing w:line="360" w:lineRule="auto"/>
      <w:ind w:firstLine="200" w:firstLineChars="200"/>
    </w:pPr>
    <w:rPr>
      <w:sz w:val="24"/>
      <w:szCs w:val="20"/>
    </w:rPr>
  </w:style>
  <w:style w:type="paragraph" w:customStyle="1" w:styleId="3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1">
    <w:name w:val="WPSOffice手动目录 1"/>
    <w:qFormat/>
    <w:uiPriority w:val="0"/>
    <w:pPr>
      <w:ind w:leftChars="0"/>
    </w:pPr>
    <w:rPr>
      <w:rFonts w:ascii="Times New Roman" w:hAnsi="Times New Roman" w:eastAsia="宋体" w:cs="Times New Roman"/>
      <w:sz w:val="20"/>
      <w:szCs w:val="20"/>
    </w:rPr>
  </w:style>
  <w:style w:type="paragraph" w:customStyle="1" w:styleId="372">
    <w:name w:val="Char Char Char"/>
    <w:basedOn w:val="1"/>
    <w:qFormat/>
    <w:uiPriority w:val="0"/>
    <w:rPr>
      <w:szCs w:val="24"/>
    </w:rPr>
  </w:style>
  <w:style w:type="character" w:customStyle="1" w:styleId="373">
    <w:name w:val="font101"/>
    <w:basedOn w:val="51"/>
    <w:qFormat/>
    <w:uiPriority w:val="0"/>
    <w:rPr>
      <w:rFonts w:hint="default" w:ascii="Times New Roman" w:hAnsi="Times New Roman" w:cs="Times New Roman"/>
      <w:color w:val="auto"/>
      <w:sz w:val="24"/>
      <w:szCs w:val="24"/>
      <w:u w:val="none"/>
    </w:rPr>
  </w:style>
  <w:style w:type="character" w:customStyle="1" w:styleId="374">
    <w:name w:val="font111"/>
    <w:basedOn w:val="5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75</Pages>
  <Words>51272</Words>
  <Characters>55388</Characters>
  <Lines>200</Lines>
  <Paragraphs>56</Paragraphs>
  <TotalTime>10</TotalTime>
  <ScaleCrop>false</ScaleCrop>
  <LinksUpToDate>false</LinksUpToDate>
  <CharactersWithSpaces>57413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嘉兴市银建工程咨询评估有限公司</dc:creator>
  <cp:lastModifiedBy>Administrator</cp:lastModifiedBy>
  <cp:lastPrinted>2022-02-07T03:01:00Z</cp:lastPrinted>
  <dcterms:created xsi:type="dcterms:W3CDTF">2022-02-07T10:18:00Z</dcterms:created>
  <dcterms:modified xsi:type="dcterms:W3CDTF">2023-12-06T11:13:46Z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AC726B5F65084A95AB73322E73D64026</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ies>
</file>