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beforeLines="50" w:line="360" w:lineRule="auto"/>
        <w:jc w:val="center"/>
        <w:rPr>
          <w:rFonts w:hint="eastAsia" w:asciiTheme="minorEastAsia" w:hAnsiTheme="minorEastAsia" w:eastAsiaTheme="minorEastAsia"/>
          <w:b/>
          <w:sz w:val="44"/>
          <w:szCs w:val="44"/>
          <w:highlight w:val="none"/>
          <w:lang w:eastAsia="zh-CN"/>
        </w:rPr>
      </w:pPr>
      <w:r>
        <w:rPr>
          <w:rFonts w:hint="eastAsia" w:asciiTheme="minorEastAsia" w:hAnsiTheme="minorEastAsia" w:eastAsiaTheme="minorEastAsia"/>
          <w:b/>
          <w:sz w:val="44"/>
          <w:szCs w:val="44"/>
          <w:highlight w:val="none"/>
          <w:lang w:eastAsia="zh-CN"/>
        </w:rPr>
        <w:t>嘉兴市秀洲区交通运输局（本级）嘉兴东升西路拟建隧道工程对饮用水水源地生态环境影响研究项目</w:t>
      </w:r>
    </w:p>
    <w:p>
      <w:pPr>
        <w:spacing w:before="120" w:beforeLines="50" w:line="360" w:lineRule="auto"/>
        <w:rPr>
          <w:rFonts w:asciiTheme="minorEastAsia" w:hAnsiTheme="minorEastAsia" w:eastAsiaTheme="minorEastAsia"/>
          <w:b/>
          <w:szCs w:val="21"/>
          <w:highlight w:val="none"/>
        </w:rPr>
      </w:pPr>
    </w:p>
    <w:p>
      <w:pPr>
        <w:spacing w:before="120" w:beforeLines="50" w:line="360" w:lineRule="auto"/>
        <w:rPr>
          <w:rFonts w:asciiTheme="minorEastAsia" w:hAnsiTheme="minorEastAsia" w:eastAsiaTheme="minorEastAsia"/>
          <w:b/>
          <w:szCs w:val="21"/>
          <w:highlight w:val="none"/>
        </w:rPr>
      </w:pPr>
    </w:p>
    <w:p>
      <w:pPr>
        <w:spacing w:before="120" w:beforeLines="50" w:line="360" w:lineRule="auto"/>
        <w:rPr>
          <w:rFonts w:asciiTheme="minorEastAsia" w:hAnsiTheme="minorEastAsia" w:eastAsiaTheme="minorEastAsia"/>
          <w:b/>
          <w:szCs w:val="21"/>
          <w:highlight w:val="none"/>
        </w:rPr>
      </w:pPr>
    </w:p>
    <w:p>
      <w:pPr>
        <w:spacing w:before="120" w:beforeLines="50" w:line="360" w:lineRule="auto"/>
        <w:rPr>
          <w:rFonts w:asciiTheme="minorEastAsia" w:hAnsiTheme="minorEastAsia" w:eastAsiaTheme="minorEastAsia"/>
          <w:b/>
          <w:sz w:val="44"/>
          <w:szCs w:val="44"/>
          <w:highlight w:val="none"/>
        </w:rPr>
      </w:pPr>
    </w:p>
    <w:p>
      <w:pPr>
        <w:spacing w:line="360" w:lineRule="auto"/>
        <w:jc w:val="center"/>
        <w:rPr>
          <w:rFonts w:asciiTheme="minorEastAsia" w:hAnsiTheme="minorEastAsia" w:eastAsiaTheme="minorEastAsia"/>
          <w:b/>
          <w:sz w:val="44"/>
          <w:szCs w:val="44"/>
          <w:highlight w:val="none"/>
        </w:rPr>
      </w:pPr>
      <w:r>
        <w:rPr>
          <w:rFonts w:hint="eastAsia" w:asciiTheme="minorEastAsia" w:hAnsiTheme="minorEastAsia" w:eastAsiaTheme="minorEastAsia"/>
          <w:b/>
          <w:sz w:val="44"/>
          <w:szCs w:val="44"/>
          <w:highlight w:val="none"/>
        </w:rPr>
        <w:t>竞争性磋商</w:t>
      </w:r>
    </w:p>
    <w:p>
      <w:pPr>
        <w:spacing w:line="360" w:lineRule="auto"/>
        <w:jc w:val="center"/>
        <w:rPr>
          <w:rFonts w:asciiTheme="minorEastAsia" w:hAnsiTheme="minorEastAsia" w:eastAsiaTheme="minorEastAsia"/>
          <w:b/>
          <w:sz w:val="44"/>
          <w:szCs w:val="44"/>
          <w:highlight w:val="none"/>
        </w:rPr>
      </w:pPr>
      <w:r>
        <w:rPr>
          <w:rFonts w:hint="eastAsia" w:asciiTheme="minorEastAsia" w:hAnsiTheme="minorEastAsia" w:eastAsiaTheme="minorEastAsia"/>
          <w:b/>
          <w:sz w:val="44"/>
          <w:szCs w:val="44"/>
          <w:highlight w:val="none"/>
        </w:rPr>
        <w:t>（电子招投标）</w:t>
      </w:r>
    </w:p>
    <w:p>
      <w:pPr>
        <w:snapToGrid w:val="0"/>
        <w:spacing w:before="120" w:beforeLines="50" w:line="360" w:lineRule="auto"/>
        <w:rPr>
          <w:rFonts w:asciiTheme="minorEastAsia" w:hAnsiTheme="minorEastAsia" w:eastAsiaTheme="minorEastAsia"/>
          <w:szCs w:val="21"/>
          <w:highlight w:val="none"/>
        </w:rPr>
      </w:pPr>
    </w:p>
    <w:p>
      <w:pPr>
        <w:snapToGrid w:val="0"/>
        <w:spacing w:before="120" w:beforeLines="50" w:line="360" w:lineRule="auto"/>
        <w:rPr>
          <w:rFonts w:asciiTheme="minorEastAsia" w:hAnsiTheme="minorEastAsia" w:eastAsiaTheme="minorEastAsia"/>
          <w:szCs w:val="21"/>
          <w:highlight w:val="none"/>
        </w:rPr>
      </w:pPr>
    </w:p>
    <w:p>
      <w:pPr>
        <w:snapToGrid w:val="0"/>
        <w:spacing w:before="120" w:beforeLines="50" w:line="360" w:lineRule="auto"/>
        <w:rPr>
          <w:rFonts w:asciiTheme="minorEastAsia" w:hAnsiTheme="minorEastAsia" w:eastAsiaTheme="minorEastAsia"/>
          <w:szCs w:val="21"/>
          <w:highlight w:val="none"/>
        </w:rPr>
      </w:pPr>
    </w:p>
    <w:p>
      <w:pPr>
        <w:snapToGrid w:val="0"/>
        <w:spacing w:before="120" w:beforeLines="50" w:line="360" w:lineRule="auto"/>
        <w:rPr>
          <w:rFonts w:asciiTheme="minorEastAsia" w:hAnsiTheme="minorEastAsia" w:eastAsiaTheme="minorEastAsia"/>
          <w:szCs w:val="21"/>
          <w:highlight w:val="none"/>
        </w:rPr>
      </w:pPr>
    </w:p>
    <w:p>
      <w:pPr>
        <w:snapToGrid w:val="0"/>
        <w:spacing w:before="120" w:beforeLines="50" w:line="360" w:lineRule="auto"/>
        <w:rPr>
          <w:rFonts w:asciiTheme="minorEastAsia" w:hAnsiTheme="minorEastAsia" w:eastAsiaTheme="minorEastAsia"/>
          <w:szCs w:val="21"/>
          <w:highlight w:val="none"/>
        </w:rPr>
      </w:pPr>
    </w:p>
    <w:p>
      <w:pPr>
        <w:pStyle w:val="54"/>
        <w:ind w:firstLine="464"/>
        <w:rPr>
          <w:highlight w:val="none"/>
        </w:rPr>
      </w:pPr>
    </w:p>
    <w:p>
      <w:pPr>
        <w:pStyle w:val="31"/>
        <w:spacing w:before="120" w:after="120" w:line="360" w:lineRule="auto"/>
        <w:ind w:firstLine="562" w:firstLineChars="200"/>
        <w:rPr>
          <w:rStyle w:val="67"/>
          <w:rFonts w:asciiTheme="minorEastAsia" w:hAnsiTheme="minorEastAsia" w:eastAsiaTheme="minorEastAsia"/>
          <w:b/>
          <w:color w:val="auto"/>
          <w:sz w:val="28"/>
          <w:szCs w:val="28"/>
          <w:highlight w:val="none"/>
          <w:u w:val="none"/>
        </w:rPr>
      </w:pPr>
      <w:r>
        <w:rPr>
          <w:rStyle w:val="67"/>
          <w:rFonts w:hint="eastAsia" w:asciiTheme="minorEastAsia" w:hAnsiTheme="minorEastAsia" w:eastAsiaTheme="minorEastAsia"/>
          <w:b/>
          <w:color w:val="auto"/>
          <w:sz w:val="28"/>
          <w:szCs w:val="28"/>
          <w:highlight w:val="none"/>
          <w:u w:val="none"/>
        </w:rPr>
        <w:t xml:space="preserve">项目编号：银建-JXYJ-L（2022）41号 </w:t>
      </w:r>
    </w:p>
    <w:p>
      <w:pPr>
        <w:pStyle w:val="31"/>
        <w:spacing w:before="120" w:after="120" w:line="360" w:lineRule="auto"/>
        <w:ind w:firstLine="562" w:firstLineChars="200"/>
        <w:rPr>
          <w:rStyle w:val="67"/>
          <w:rFonts w:asciiTheme="minorEastAsia" w:hAnsiTheme="minorEastAsia" w:eastAsiaTheme="minorEastAsia"/>
          <w:b/>
          <w:color w:val="auto"/>
          <w:sz w:val="28"/>
          <w:szCs w:val="28"/>
          <w:highlight w:val="none"/>
          <w:u w:val="none"/>
        </w:rPr>
      </w:pPr>
      <w:r>
        <w:rPr>
          <w:rStyle w:val="67"/>
          <w:rFonts w:hint="eastAsia" w:asciiTheme="minorEastAsia" w:hAnsiTheme="minorEastAsia" w:eastAsiaTheme="minorEastAsia"/>
          <w:b/>
          <w:color w:val="auto"/>
          <w:sz w:val="28"/>
          <w:szCs w:val="28"/>
          <w:highlight w:val="none"/>
          <w:u w:val="none"/>
        </w:rPr>
        <w:t>采购单位：嘉兴市秀洲区交通运输局</w:t>
      </w:r>
    </w:p>
    <w:p>
      <w:pPr>
        <w:pStyle w:val="31"/>
        <w:spacing w:before="120" w:after="120" w:line="360" w:lineRule="auto"/>
        <w:ind w:firstLine="562" w:firstLineChars="200"/>
        <w:rPr>
          <w:rStyle w:val="67"/>
          <w:rFonts w:asciiTheme="minorEastAsia" w:hAnsiTheme="minorEastAsia" w:eastAsiaTheme="minorEastAsia"/>
          <w:b/>
          <w:color w:val="auto"/>
          <w:sz w:val="28"/>
          <w:szCs w:val="28"/>
          <w:highlight w:val="none"/>
          <w:u w:val="none"/>
        </w:rPr>
      </w:pPr>
      <w:r>
        <w:rPr>
          <w:rStyle w:val="67"/>
          <w:rFonts w:hint="eastAsia" w:asciiTheme="minorEastAsia" w:hAnsiTheme="minorEastAsia" w:eastAsiaTheme="minorEastAsia"/>
          <w:b/>
          <w:color w:val="auto"/>
          <w:sz w:val="28"/>
          <w:szCs w:val="28"/>
          <w:highlight w:val="none"/>
          <w:u w:val="none"/>
        </w:rPr>
        <w:t>采购机构：嘉兴市银建工程咨询评估有限公司</w:t>
      </w:r>
    </w:p>
    <w:p>
      <w:pPr>
        <w:pStyle w:val="31"/>
        <w:spacing w:line="276" w:lineRule="auto"/>
        <w:jc w:val="center"/>
        <w:rPr>
          <w:rFonts w:ascii="微软雅黑" w:hAnsi="微软雅黑" w:eastAsia="微软雅黑"/>
          <w:bCs/>
          <w:w w:val="95"/>
          <w:sz w:val="28"/>
          <w:szCs w:val="28"/>
          <w:highlight w:val="none"/>
        </w:rPr>
      </w:pPr>
      <w:r>
        <w:rPr>
          <w:rFonts w:asciiTheme="minorEastAsia" w:hAnsiTheme="minorEastAsia" w:eastAsiaTheme="minorEastAsia"/>
          <w:b/>
          <w:bCs/>
          <w:w w:val="95"/>
          <w:sz w:val="28"/>
          <w:szCs w:val="28"/>
          <w:highlight w:val="none"/>
        </w:rPr>
        <w:t>202</w:t>
      </w:r>
      <w:r>
        <w:rPr>
          <w:rFonts w:hint="eastAsia" w:asciiTheme="minorEastAsia" w:hAnsiTheme="minorEastAsia" w:eastAsiaTheme="minorEastAsia"/>
          <w:b/>
          <w:bCs/>
          <w:w w:val="95"/>
          <w:sz w:val="28"/>
          <w:szCs w:val="28"/>
          <w:highlight w:val="none"/>
        </w:rPr>
        <w:t>2</w:t>
      </w:r>
      <w:r>
        <w:rPr>
          <w:rFonts w:asciiTheme="minorEastAsia" w:hAnsiTheme="minorEastAsia" w:eastAsiaTheme="minorEastAsia"/>
          <w:b/>
          <w:bCs/>
          <w:w w:val="95"/>
          <w:sz w:val="28"/>
          <w:szCs w:val="28"/>
          <w:highlight w:val="none"/>
        </w:rPr>
        <w:t>年</w:t>
      </w:r>
      <w:r>
        <w:rPr>
          <w:rFonts w:hint="eastAsia" w:asciiTheme="minorEastAsia" w:hAnsiTheme="minorEastAsia" w:eastAsiaTheme="minorEastAsia"/>
          <w:b/>
          <w:bCs/>
          <w:w w:val="95"/>
          <w:sz w:val="28"/>
          <w:szCs w:val="28"/>
          <w:highlight w:val="none"/>
          <w:lang w:val="en-US" w:eastAsia="zh-CN"/>
        </w:rPr>
        <w:t>9</w:t>
      </w:r>
      <w:r>
        <w:rPr>
          <w:rFonts w:asciiTheme="minorEastAsia" w:hAnsiTheme="minorEastAsia" w:eastAsiaTheme="minorEastAsia"/>
          <w:b/>
          <w:bCs/>
          <w:w w:val="95"/>
          <w:sz w:val="28"/>
          <w:szCs w:val="28"/>
          <w:highlight w:val="none"/>
        </w:rPr>
        <w:t>月</w:t>
      </w:r>
      <w:r>
        <w:rPr>
          <w:rFonts w:hint="eastAsia" w:asciiTheme="minorEastAsia" w:hAnsiTheme="minorEastAsia" w:eastAsiaTheme="minorEastAsia"/>
          <w:b/>
          <w:bCs/>
          <w:w w:val="95"/>
          <w:sz w:val="28"/>
          <w:szCs w:val="28"/>
          <w:highlight w:val="none"/>
        </w:rPr>
        <w:t>29</w:t>
      </w:r>
      <w:r>
        <w:rPr>
          <w:rFonts w:asciiTheme="minorEastAsia" w:hAnsiTheme="minorEastAsia" w:eastAsiaTheme="minorEastAsia"/>
          <w:b/>
          <w:bCs/>
          <w:w w:val="95"/>
          <w:sz w:val="28"/>
          <w:szCs w:val="28"/>
          <w:highlight w:val="none"/>
        </w:rPr>
        <w:t>日</w:t>
      </w:r>
    </w:p>
    <w:p>
      <w:pPr>
        <w:snapToGrid w:val="0"/>
        <w:spacing w:line="276" w:lineRule="auto"/>
        <w:ind w:left="-283" w:leftChars="-135"/>
        <w:jc w:val="center"/>
        <w:rPr>
          <w:rFonts w:ascii="微软雅黑" w:hAnsi="微软雅黑" w:eastAsia="微软雅黑"/>
          <w:sz w:val="28"/>
          <w:szCs w:val="28"/>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133" w:bottom="1440" w:left="1797" w:header="851" w:footer="851" w:gutter="0"/>
          <w:cols w:space="720" w:num="1"/>
          <w:docGrid w:linePitch="312" w:charSpace="0"/>
        </w:sectPr>
      </w:pPr>
    </w:p>
    <w:p>
      <w:pPr>
        <w:rPr>
          <w:highlight w:val="none"/>
        </w:rPr>
      </w:pPr>
      <w:bookmarkStart w:id="0" w:name="_Toc192313098"/>
    </w:p>
    <w:p>
      <w:pPr>
        <w:pStyle w:val="149"/>
        <w:spacing w:before="360" w:after="0" w:line="600" w:lineRule="exact"/>
        <w:jc w:val="center"/>
        <w:rPr>
          <w:rFonts w:ascii="微软雅黑" w:hAnsi="微软雅黑"/>
          <w:color w:val="auto"/>
          <w:highlight w:val="none"/>
        </w:rPr>
      </w:pPr>
      <w:r>
        <w:rPr>
          <w:rFonts w:ascii="微软雅黑" w:hAnsi="微软雅黑"/>
          <w:color w:val="auto"/>
          <w:highlight w:val="none"/>
          <w:lang w:val="zh-CN"/>
        </w:rPr>
        <w:t>目录</w:t>
      </w:r>
    </w:p>
    <w:p>
      <w:pPr>
        <w:pStyle w:val="46"/>
        <w:spacing w:beforeLines="0" w:afterLines="0" w:line="600" w:lineRule="exact"/>
        <w:ind w:left="420" w:firstLine="210"/>
        <w:rPr>
          <w:rFonts w:ascii="微软雅黑" w:hAnsi="微软雅黑" w:eastAsia="微软雅黑" w:cstheme="minorBidi"/>
          <w:sz w:val="28"/>
          <w:szCs w:val="28"/>
          <w:highlight w:val="none"/>
        </w:rPr>
      </w:pP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TOC \o "1-3" \h \z \u </w:instrText>
      </w:r>
      <w:r>
        <w:rPr>
          <w:rFonts w:ascii="微软雅黑" w:hAnsi="微软雅黑" w:eastAsia="微软雅黑"/>
          <w:sz w:val="28"/>
          <w:szCs w:val="28"/>
          <w:highlight w:val="none"/>
        </w:rPr>
        <w:fldChar w:fldCharType="separate"/>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"_Toc89266794" </w:instrText>
      </w:r>
      <w:r>
        <w:rPr>
          <w:highlight w:val="none"/>
        </w:rPr>
        <w:fldChar w:fldCharType="separate"/>
      </w:r>
      <w:r>
        <w:rPr>
          <w:rStyle w:val="67"/>
          <w:rFonts w:hint="eastAsia" w:ascii="微软雅黑" w:hAnsi="微软雅黑" w:eastAsia="微软雅黑"/>
          <w:sz w:val="28"/>
          <w:szCs w:val="28"/>
          <w:highlight w:val="none"/>
        </w:rPr>
        <w:t>第一章  竞争性磋商采购公告</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_Toc89266794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2</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"_Toc89266795" </w:instrText>
      </w:r>
      <w:r>
        <w:rPr>
          <w:highlight w:val="none"/>
        </w:rPr>
        <w:fldChar w:fldCharType="separate"/>
      </w:r>
      <w:r>
        <w:rPr>
          <w:rStyle w:val="67"/>
          <w:rFonts w:hint="eastAsia" w:ascii="微软雅黑" w:hAnsi="微软雅黑" w:eastAsia="微软雅黑"/>
          <w:sz w:val="28"/>
          <w:szCs w:val="28"/>
          <w:highlight w:val="none"/>
        </w:rPr>
        <w:t>第二章  供应商须知</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_Toc89266795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7</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"_Toc89266908" </w:instrText>
      </w:r>
      <w:r>
        <w:rPr>
          <w:highlight w:val="none"/>
        </w:rPr>
        <w:fldChar w:fldCharType="separate"/>
      </w:r>
      <w:r>
        <w:rPr>
          <w:rStyle w:val="67"/>
          <w:rFonts w:hint="eastAsia" w:ascii="微软雅黑" w:hAnsi="微软雅黑" w:eastAsia="微软雅黑"/>
          <w:sz w:val="28"/>
          <w:szCs w:val="28"/>
          <w:highlight w:val="none"/>
        </w:rPr>
        <w:t>第三章  磋商项目要求</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_Toc89266908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23</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"_Toc89266909" </w:instrText>
      </w:r>
      <w:r>
        <w:rPr>
          <w:highlight w:val="none"/>
        </w:rPr>
        <w:fldChar w:fldCharType="separate"/>
      </w:r>
      <w:r>
        <w:rPr>
          <w:rStyle w:val="67"/>
          <w:rFonts w:hint="eastAsia" w:ascii="微软雅黑" w:hAnsi="微软雅黑" w:eastAsia="微软雅黑"/>
          <w:sz w:val="28"/>
          <w:szCs w:val="28"/>
          <w:highlight w:val="none"/>
        </w:rPr>
        <w:t>第四章  嘉兴市政府采购合同（指引）</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_Toc89266909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28</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"_Toc89266910" </w:instrText>
      </w:r>
      <w:r>
        <w:rPr>
          <w:highlight w:val="none"/>
        </w:rPr>
        <w:fldChar w:fldCharType="separate"/>
      </w:r>
      <w:r>
        <w:rPr>
          <w:rStyle w:val="67"/>
          <w:rFonts w:hint="eastAsia" w:ascii="微软雅黑" w:hAnsi="微软雅黑" w:eastAsia="微软雅黑"/>
          <w:sz w:val="28"/>
          <w:szCs w:val="28"/>
          <w:highlight w:val="none"/>
        </w:rPr>
        <w:t>第五章  评审办法</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_Toc89266910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33</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pStyle w:val="38"/>
        <w:spacing w:beforeLines="0" w:afterLines="0" w:line="600" w:lineRule="exact"/>
        <w:rPr>
          <w:rFonts w:ascii="微软雅黑" w:hAnsi="微软雅黑" w:eastAsia="微软雅黑" w:cstheme="minorBidi"/>
          <w:color w:val="auto"/>
          <w:sz w:val="28"/>
          <w:szCs w:val="28"/>
          <w:highlight w:val="none"/>
        </w:rPr>
      </w:pPr>
      <w:r>
        <w:rPr>
          <w:highlight w:val="none"/>
        </w:rPr>
        <w:fldChar w:fldCharType="begin"/>
      </w:r>
      <w:r>
        <w:rPr>
          <w:highlight w:val="none"/>
        </w:rPr>
        <w:instrText xml:space="preserve"> HYPERLINK \l "_Toc89266911" </w:instrText>
      </w:r>
      <w:r>
        <w:rPr>
          <w:highlight w:val="none"/>
        </w:rPr>
        <w:fldChar w:fldCharType="separate"/>
      </w:r>
      <w:r>
        <w:rPr>
          <w:rStyle w:val="67"/>
          <w:rFonts w:hint="eastAsia" w:ascii="微软雅黑" w:hAnsi="微软雅黑" w:eastAsia="微软雅黑"/>
          <w:sz w:val="28"/>
          <w:szCs w:val="28"/>
          <w:highlight w:val="none"/>
        </w:rPr>
        <w:t>第六章　磋商相关文件格式</w:t>
      </w:r>
      <w:r>
        <w:rPr>
          <w:rFonts w:ascii="微软雅黑" w:hAnsi="微软雅黑" w:eastAsia="微软雅黑"/>
          <w:sz w:val="28"/>
          <w:szCs w:val="28"/>
          <w:highlight w:val="none"/>
        </w:rPr>
        <w:tab/>
      </w:r>
      <w:r>
        <w:rPr>
          <w:rFonts w:ascii="微软雅黑" w:hAnsi="微软雅黑" w:eastAsia="微软雅黑"/>
          <w:sz w:val="28"/>
          <w:szCs w:val="28"/>
          <w:highlight w:val="none"/>
        </w:rPr>
        <w:fldChar w:fldCharType="begin"/>
      </w:r>
      <w:r>
        <w:rPr>
          <w:rFonts w:ascii="微软雅黑" w:hAnsi="微软雅黑" w:eastAsia="微软雅黑"/>
          <w:sz w:val="28"/>
          <w:szCs w:val="28"/>
          <w:highlight w:val="none"/>
        </w:rPr>
        <w:instrText xml:space="preserve"> PAGEREF _Toc89266911 \h </w:instrText>
      </w:r>
      <w:r>
        <w:rPr>
          <w:rFonts w:ascii="微软雅黑" w:hAnsi="微软雅黑" w:eastAsia="微软雅黑"/>
          <w:sz w:val="28"/>
          <w:szCs w:val="28"/>
          <w:highlight w:val="none"/>
        </w:rPr>
        <w:fldChar w:fldCharType="separate"/>
      </w:r>
      <w:r>
        <w:rPr>
          <w:rFonts w:ascii="微软雅黑" w:hAnsi="微软雅黑" w:eastAsia="微软雅黑"/>
          <w:sz w:val="28"/>
          <w:szCs w:val="28"/>
          <w:highlight w:val="none"/>
        </w:rPr>
        <w:t>33</w:t>
      </w:r>
      <w:r>
        <w:rPr>
          <w:rFonts w:ascii="微软雅黑" w:hAnsi="微软雅黑" w:eastAsia="微软雅黑"/>
          <w:sz w:val="28"/>
          <w:szCs w:val="28"/>
          <w:highlight w:val="none"/>
        </w:rPr>
        <w:fldChar w:fldCharType="end"/>
      </w:r>
      <w:r>
        <w:rPr>
          <w:rFonts w:ascii="微软雅黑" w:hAnsi="微软雅黑" w:eastAsia="微软雅黑"/>
          <w:sz w:val="28"/>
          <w:szCs w:val="28"/>
          <w:highlight w:val="none"/>
        </w:rPr>
        <w:fldChar w:fldCharType="end"/>
      </w:r>
    </w:p>
    <w:p>
      <w:pPr>
        <w:spacing w:after="0" w:line="600" w:lineRule="exact"/>
        <w:rPr>
          <w:highlight w:val="none"/>
        </w:rPr>
      </w:pPr>
      <w:r>
        <w:rPr>
          <w:rFonts w:ascii="微软雅黑" w:hAnsi="微软雅黑" w:eastAsia="微软雅黑"/>
          <w:sz w:val="28"/>
          <w:szCs w:val="28"/>
          <w:highlight w:val="none"/>
        </w:rPr>
        <w:fldChar w:fldCharType="end"/>
      </w:r>
    </w:p>
    <w:p>
      <w:pPr>
        <w:pStyle w:val="3"/>
        <w:numPr>
          <w:ilvl w:val="0"/>
          <w:numId w:val="20"/>
        </w:numPr>
        <w:spacing w:before="360"/>
        <w:jc w:val="center"/>
        <w:rPr>
          <w:highlight w:val="none"/>
        </w:rPr>
      </w:pPr>
      <w:r>
        <w:rPr>
          <w:highlight w:val="none"/>
        </w:rPr>
        <w:br w:type="page"/>
      </w:r>
      <w:bookmarkStart w:id="1" w:name="_Toc89266794"/>
      <w:bookmarkStart w:id="2" w:name="_Toc493699289"/>
      <w:r>
        <w:rPr>
          <w:rFonts w:hint="eastAsia"/>
          <w:highlight w:val="none"/>
        </w:rPr>
        <w:t>竞争性磋商采购公告</w:t>
      </w:r>
      <w:bookmarkEnd w:id="0"/>
      <w:bookmarkEnd w:id="1"/>
      <w:bookmarkEnd w:id="2"/>
    </w:p>
    <w:p>
      <w:pPr>
        <w:spacing w:after="0" w:line="500" w:lineRule="exact"/>
        <w:ind w:firstLine="525" w:firstLineChars="250"/>
        <w:rPr>
          <w:rFonts w:ascii="微软雅黑" w:hAnsi="微软雅黑" w:eastAsia="微软雅黑" w:cs="宋体"/>
          <w:kern w:val="0"/>
          <w:szCs w:val="21"/>
          <w:highlight w:val="none"/>
        </w:rPr>
      </w:pPr>
      <w:r>
        <w:rPr>
          <w:rFonts w:ascii="微软雅黑" w:hAnsi="微软雅黑" w:eastAsia="微软雅黑"/>
          <w:szCs w:val="21"/>
          <w:highlight w:val="none"/>
        </w:rPr>
        <w:t>根据</w:t>
      </w:r>
      <w:r>
        <w:rPr>
          <w:rFonts w:ascii="微软雅黑" w:hAnsi="微软雅黑" w:eastAsia="微软雅黑"/>
          <w:szCs w:val="21"/>
          <w:highlight w:val="none"/>
          <w:u w:val="single"/>
        </w:rPr>
        <w:t>《中华人民共和国政府采购法》、</w:t>
      </w:r>
      <w:r>
        <w:rPr>
          <w:rFonts w:hint="eastAsia" w:ascii="微软雅黑" w:hAnsi="微软雅黑" w:eastAsia="微软雅黑"/>
          <w:szCs w:val="21"/>
          <w:highlight w:val="none"/>
          <w:u w:val="single"/>
        </w:rPr>
        <w:t>《</w:t>
      </w:r>
      <w:r>
        <w:rPr>
          <w:rFonts w:ascii="微软雅黑" w:hAnsi="微软雅黑" w:eastAsia="微软雅黑"/>
          <w:szCs w:val="21"/>
          <w:highlight w:val="none"/>
          <w:u w:val="single"/>
        </w:rPr>
        <w:t>中华人民共和国政府采购法实施条例</w:t>
      </w:r>
      <w:r>
        <w:rPr>
          <w:rFonts w:hint="eastAsia" w:ascii="微软雅黑" w:hAnsi="微软雅黑" w:eastAsia="微软雅黑"/>
          <w:szCs w:val="21"/>
          <w:highlight w:val="none"/>
          <w:u w:val="single"/>
        </w:rPr>
        <w:t>》和</w:t>
      </w:r>
      <w:r>
        <w:rPr>
          <w:rFonts w:ascii="微软雅黑" w:hAnsi="微软雅黑" w:eastAsia="微软雅黑"/>
          <w:szCs w:val="21"/>
          <w:highlight w:val="none"/>
          <w:u w:val="single"/>
        </w:rPr>
        <w:t>《政府采购货物和服务招标投标管理办法》等规</w:t>
      </w:r>
      <w:r>
        <w:rPr>
          <w:rFonts w:ascii="微软雅黑" w:hAnsi="微软雅黑" w:eastAsia="微软雅黑"/>
          <w:szCs w:val="21"/>
          <w:highlight w:val="none"/>
        </w:rPr>
        <w:t>定</w:t>
      </w:r>
      <w:r>
        <w:rPr>
          <w:rFonts w:hint="eastAsia" w:ascii="微软雅黑" w:hAnsi="微软雅黑" w:eastAsia="微软雅黑"/>
          <w:szCs w:val="21"/>
          <w:highlight w:val="none"/>
        </w:rPr>
        <w:t>，嘉兴市银建工程咨询评估有限公司受嘉兴市秀洲区交通运输局的委托，经</w:t>
      </w:r>
      <w:r>
        <w:rPr>
          <w:rFonts w:hint="eastAsia" w:eastAsia="微软雅黑"/>
          <w:color w:val="0000FF"/>
          <w:highlight w:val="none"/>
          <w:lang w:eastAsia="zh-CN"/>
        </w:rPr>
        <w:t>临[2022]2533号</w:t>
      </w:r>
      <w:r>
        <w:rPr>
          <w:rFonts w:hint="eastAsia" w:ascii="微软雅黑" w:hAnsi="微软雅黑" w:eastAsia="微软雅黑"/>
          <w:szCs w:val="21"/>
          <w:highlight w:val="none"/>
        </w:rPr>
        <w:t>确认书批准，现就以下项目</w:t>
      </w:r>
      <w:r>
        <w:rPr>
          <w:rFonts w:ascii="微软雅黑" w:hAnsi="微软雅黑" w:eastAsia="微软雅黑"/>
          <w:szCs w:val="21"/>
          <w:highlight w:val="none"/>
        </w:rPr>
        <w:t>进行</w:t>
      </w:r>
      <w:r>
        <w:rPr>
          <w:rFonts w:hint="eastAsia" w:ascii="微软雅黑" w:hAnsi="微软雅黑" w:eastAsia="微软雅黑"/>
          <w:szCs w:val="21"/>
          <w:highlight w:val="none"/>
        </w:rPr>
        <w:t>竞争性磋商</w:t>
      </w:r>
      <w:r>
        <w:rPr>
          <w:rFonts w:ascii="微软雅黑" w:hAnsi="微软雅黑" w:eastAsia="微软雅黑"/>
          <w:szCs w:val="21"/>
          <w:highlight w:val="none"/>
        </w:rPr>
        <w:t>采购，</w:t>
      </w:r>
      <w:r>
        <w:rPr>
          <w:rFonts w:hint="eastAsia" w:ascii="微软雅黑" w:hAnsi="微软雅黑" w:eastAsia="微软雅黑"/>
          <w:szCs w:val="21"/>
          <w:highlight w:val="none"/>
        </w:rPr>
        <w:t>欢迎国内合格供应商前来投标，现将有有关事项公告如下：</w:t>
      </w:r>
    </w:p>
    <w:p>
      <w:pPr>
        <w:pStyle w:val="4"/>
        <w:spacing w:before="0" w:after="0" w:line="500" w:lineRule="exact"/>
        <w:jc w:val="left"/>
        <w:rPr>
          <w:rFonts w:ascii="微软雅黑" w:hAnsi="微软雅黑" w:eastAsia="微软雅黑"/>
          <w:sz w:val="21"/>
          <w:szCs w:val="21"/>
          <w:highlight w:val="none"/>
        </w:rPr>
      </w:pPr>
      <w:r>
        <w:rPr>
          <w:rFonts w:hint="eastAsia" w:ascii="微软雅黑" w:hAnsi="微软雅黑" w:eastAsia="微软雅黑"/>
          <w:bCs/>
          <w:sz w:val="21"/>
          <w:szCs w:val="21"/>
          <w:highlight w:val="none"/>
        </w:rPr>
        <w:t>一、项目基本情况</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项目编号：银建-JXYJ-L（2022）41号</w:t>
      </w:r>
    </w:p>
    <w:p>
      <w:pPr>
        <w:pStyle w:val="50"/>
        <w:spacing w:before="0" w:beforeAutospacing="0" w:after="0" w:afterAutospacing="0" w:line="500" w:lineRule="exact"/>
        <w:rPr>
          <w:rFonts w:hint="eastAsia" w:ascii="微软雅黑" w:hAnsi="微软雅黑" w:eastAsia="微软雅黑" w:cs="Arial"/>
          <w:sz w:val="21"/>
          <w:szCs w:val="21"/>
          <w:highlight w:val="none"/>
          <w:lang w:eastAsia="zh-CN"/>
        </w:rPr>
      </w:pPr>
      <w:r>
        <w:rPr>
          <w:rFonts w:hint="eastAsia" w:ascii="微软雅黑" w:hAnsi="微软雅黑" w:eastAsia="微软雅黑" w:cs="Arial"/>
          <w:sz w:val="21"/>
          <w:szCs w:val="21"/>
          <w:highlight w:val="none"/>
        </w:rPr>
        <w:t>    项目名称：</w:t>
      </w:r>
      <w:r>
        <w:rPr>
          <w:rFonts w:hint="eastAsia" w:ascii="微软雅黑" w:hAnsi="微软雅黑" w:eastAsia="微软雅黑" w:cs="Arial"/>
          <w:sz w:val="21"/>
          <w:szCs w:val="21"/>
          <w:highlight w:val="none"/>
          <w:lang w:eastAsia="zh-CN"/>
        </w:rPr>
        <w:t>嘉兴市秀洲区交通运输局（本级）嘉兴东升西路拟建隧道工程对饮用水水源地生态环境影响研究项目</w:t>
      </w:r>
    </w:p>
    <w:p>
      <w:pPr>
        <w:pStyle w:val="50"/>
        <w:spacing w:before="0" w:beforeAutospacing="0" w:after="0" w:afterAutospacing="0" w:line="500" w:lineRule="exact"/>
        <w:rPr>
          <w:rFonts w:hint="eastAsia" w:ascii="微软雅黑" w:hAnsi="微软雅黑" w:eastAsia="微软雅黑" w:cs="Arial"/>
          <w:sz w:val="21"/>
          <w:szCs w:val="21"/>
          <w:highlight w:val="none"/>
          <w:lang w:eastAsia="zh-CN"/>
        </w:rPr>
      </w:pPr>
      <w:r>
        <w:rPr>
          <w:rFonts w:hint="eastAsia" w:ascii="微软雅黑" w:hAnsi="微软雅黑" w:eastAsia="微软雅黑" w:cs="Arial"/>
          <w:sz w:val="21"/>
          <w:szCs w:val="21"/>
          <w:highlight w:val="none"/>
        </w:rPr>
        <w:t>    预算金额（</w:t>
      </w:r>
      <w:r>
        <w:rPr>
          <w:rFonts w:hint="eastAsia" w:ascii="微软雅黑" w:hAnsi="微软雅黑" w:eastAsia="微软雅黑" w:cs="Arial"/>
          <w:sz w:val="21"/>
          <w:szCs w:val="21"/>
          <w:highlight w:val="none"/>
          <w:lang w:eastAsia="zh-CN"/>
        </w:rPr>
        <w:t>万</w:t>
      </w:r>
      <w:r>
        <w:rPr>
          <w:rFonts w:hint="eastAsia" w:ascii="微软雅黑" w:hAnsi="微软雅黑" w:eastAsia="微软雅黑" w:cs="Arial"/>
          <w:sz w:val="21"/>
          <w:szCs w:val="21"/>
          <w:highlight w:val="none"/>
        </w:rPr>
        <w:t>元）：</w:t>
      </w:r>
      <w:r>
        <w:rPr>
          <w:rFonts w:hint="eastAsia" w:ascii="微软雅黑" w:hAnsi="微软雅黑" w:eastAsia="微软雅黑" w:cs="Arial"/>
          <w:sz w:val="21"/>
          <w:szCs w:val="21"/>
          <w:highlight w:val="none"/>
          <w:u w:val="single"/>
          <w:lang w:eastAsia="zh-CN"/>
        </w:rPr>
        <w:t>399.0000</w:t>
      </w:r>
    </w:p>
    <w:p>
      <w:pPr>
        <w:pStyle w:val="31"/>
        <w:spacing w:after="0" w:line="500" w:lineRule="exact"/>
        <w:rPr>
          <w:rFonts w:hint="eastAsia" w:ascii="微软雅黑" w:hAnsi="微软雅黑" w:eastAsia="微软雅黑" w:cs="Arial"/>
          <w:szCs w:val="21"/>
          <w:highlight w:val="none"/>
          <w:lang w:eastAsia="zh-CN"/>
        </w:rPr>
      </w:pPr>
      <w:r>
        <w:rPr>
          <w:rFonts w:hint="eastAsia" w:ascii="微软雅黑" w:hAnsi="微软雅黑" w:eastAsia="微软雅黑" w:cs="Arial"/>
          <w:szCs w:val="21"/>
          <w:highlight w:val="none"/>
        </w:rPr>
        <w:t>    招标控制价（</w:t>
      </w:r>
      <w:r>
        <w:rPr>
          <w:rFonts w:hint="eastAsia" w:ascii="微软雅黑" w:hAnsi="微软雅黑" w:eastAsia="微软雅黑" w:cs="Arial"/>
          <w:szCs w:val="21"/>
          <w:highlight w:val="none"/>
          <w:lang w:eastAsia="zh-CN"/>
        </w:rPr>
        <w:t>万</w:t>
      </w:r>
      <w:r>
        <w:rPr>
          <w:rFonts w:hint="eastAsia" w:ascii="微软雅黑" w:hAnsi="微软雅黑" w:eastAsia="微软雅黑" w:cs="Arial"/>
          <w:szCs w:val="21"/>
          <w:highlight w:val="none"/>
        </w:rPr>
        <w:t>元）：</w:t>
      </w:r>
      <w:r>
        <w:rPr>
          <w:rFonts w:hint="eastAsia" w:ascii="微软雅黑" w:hAnsi="微软雅黑" w:eastAsia="微软雅黑" w:cs="Arial"/>
          <w:szCs w:val="21"/>
          <w:highlight w:val="none"/>
          <w:u w:val="single"/>
          <w:lang w:eastAsia="zh-CN"/>
        </w:rPr>
        <w:t>399.0000</w:t>
      </w:r>
    </w:p>
    <w:p>
      <w:pPr>
        <w:pStyle w:val="50"/>
        <w:spacing w:before="0" w:beforeAutospacing="0" w:after="0" w:afterAutospacing="0" w:line="500" w:lineRule="exact"/>
        <w:rPr>
          <w:rFonts w:ascii="微软雅黑" w:hAnsi="微软雅黑" w:eastAsia="微软雅黑" w:cs="Arial"/>
          <w:sz w:val="21"/>
          <w:szCs w:val="21"/>
          <w:highlight w:val="none"/>
        </w:rPr>
      </w:pPr>
      <w:r>
        <w:rPr>
          <w:rStyle w:val="196"/>
          <w:rFonts w:hint="eastAsia" w:ascii="微软雅黑" w:hAnsi="微软雅黑" w:eastAsia="微软雅黑" w:cs="Arial"/>
          <w:sz w:val="21"/>
          <w:szCs w:val="21"/>
          <w:highlight w:val="none"/>
        </w:rPr>
        <w:t>    采购需求：    </w:t>
      </w:r>
      <w:r>
        <w:rPr>
          <w:rStyle w:val="195"/>
          <w:rFonts w:hint="eastAsia" w:ascii="微软雅黑" w:hAnsi="微软雅黑" w:eastAsia="微软雅黑" w:cs="Arial"/>
          <w:sz w:val="21"/>
          <w:szCs w:val="21"/>
          <w:highlight w:val="none"/>
        </w:rPr>
        <w:t>                     </w:t>
      </w:r>
    </w:p>
    <w:tbl>
      <w:tblPr>
        <w:tblStyle w:val="55"/>
        <w:tblW w:w="4549" w:type="pct"/>
        <w:jc w:val="center"/>
        <w:tblLayout w:type="autofit"/>
        <w:tblCellMar>
          <w:top w:w="0" w:type="dxa"/>
          <w:left w:w="108" w:type="dxa"/>
          <w:bottom w:w="0" w:type="dxa"/>
          <w:right w:w="108" w:type="dxa"/>
        </w:tblCellMar>
      </w:tblPr>
      <w:tblGrid>
        <w:gridCol w:w="815"/>
        <w:gridCol w:w="2895"/>
        <w:gridCol w:w="733"/>
        <w:gridCol w:w="749"/>
        <w:gridCol w:w="1950"/>
        <w:gridCol w:w="911"/>
      </w:tblGrid>
      <w:tr>
        <w:tblPrEx>
          <w:tblCellMar>
            <w:top w:w="0" w:type="dxa"/>
            <w:left w:w="108" w:type="dxa"/>
            <w:bottom w:w="0" w:type="dxa"/>
            <w:right w:w="108" w:type="dxa"/>
          </w:tblCellMar>
        </w:tblPrEx>
        <w:trPr>
          <w:jc w:val="center"/>
        </w:trPr>
        <w:tc>
          <w:tcPr>
            <w:tcW w:w="506"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标项序号</w:t>
            </w:r>
          </w:p>
        </w:tc>
        <w:tc>
          <w:tcPr>
            <w:tcW w:w="1797"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标项名称</w:t>
            </w:r>
          </w:p>
        </w:tc>
        <w:tc>
          <w:tcPr>
            <w:tcW w:w="45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数量</w:t>
            </w:r>
          </w:p>
        </w:tc>
        <w:tc>
          <w:tcPr>
            <w:tcW w:w="46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单位</w:t>
            </w:r>
          </w:p>
        </w:tc>
        <w:tc>
          <w:tcPr>
            <w:tcW w:w="1210"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招标控制价(</w:t>
            </w:r>
            <w:r>
              <w:rPr>
                <w:rFonts w:hint="eastAsia" w:ascii="微软雅黑" w:hAnsi="微软雅黑" w:eastAsia="微软雅黑"/>
                <w:szCs w:val="21"/>
                <w:highlight w:val="none"/>
                <w:lang w:eastAsia="zh-CN"/>
              </w:rPr>
              <w:t>万</w:t>
            </w:r>
            <w:r>
              <w:rPr>
                <w:rFonts w:hint="eastAsia" w:ascii="微软雅黑" w:hAnsi="微软雅黑" w:eastAsia="微软雅黑"/>
                <w:szCs w:val="21"/>
                <w:highlight w:val="none"/>
              </w:rPr>
              <w:t>元)</w:t>
            </w:r>
          </w:p>
        </w:tc>
        <w:tc>
          <w:tcPr>
            <w:tcW w:w="56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备注</w:t>
            </w:r>
          </w:p>
        </w:tc>
      </w:tr>
      <w:tr>
        <w:tblPrEx>
          <w:tblCellMar>
            <w:top w:w="0" w:type="dxa"/>
            <w:left w:w="108" w:type="dxa"/>
            <w:bottom w:w="0" w:type="dxa"/>
            <w:right w:w="108" w:type="dxa"/>
          </w:tblCellMar>
        </w:tblPrEx>
        <w:trPr>
          <w:trHeight w:val="855" w:hRule="atLeast"/>
          <w:jc w:val="center"/>
        </w:trPr>
        <w:tc>
          <w:tcPr>
            <w:tcW w:w="506"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w:t>
            </w:r>
          </w:p>
        </w:tc>
        <w:tc>
          <w:tcPr>
            <w:tcW w:w="1797"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left"/>
              <w:rPr>
                <w:rFonts w:hint="eastAsia" w:ascii="微软雅黑" w:hAnsi="微软雅黑" w:eastAsia="微软雅黑"/>
                <w:szCs w:val="21"/>
                <w:highlight w:val="none"/>
                <w:lang w:eastAsia="zh-CN"/>
              </w:rPr>
            </w:pPr>
            <w:r>
              <w:rPr>
                <w:rFonts w:hint="eastAsia" w:ascii="微软雅黑" w:hAnsi="微软雅黑" w:eastAsia="微软雅黑" w:cs="Arial"/>
                <w:szCs w:val="21"/>
                <w:highlight w:val="none"/>
                <w:lang w:eastAsia="zh-CN"/>
              </w:rPr>
              <w:t>嘉兴市秀洲区交通运输局（本级）嘉兴东升西路拟建隧道工程对饮用水水源地生态环境影响研究项目</w:t>
            </w:r>
          </w:p>
        </w:tc>
        <w:tc>
          <w:tcPr>
            <w:tcW w:w="45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w:t>
            </w:r>
          </w:p>
        </w:tc>
        <w:tc>
          <w:tcPr>
            <w:tcW w:w="46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szCs w:val="21"/>
                <w:highlight w:val="none"/>
              </w:rPr>
              <w:t>项</w:t>
            </w:r>
          </w:p>
        </w:tc>
        <w:tc>
          <w:tcPr>
            <w:tcW w:w="1210"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cs="Arial"/>
                <w:szCs w:val="21"/>
                <w:highlight w:val="none"/>
                <w:u w:val="single"/>
              </w:rPr>
            </w:pPr>
            <w:r>
              <w:rPr>
                <w:rFonts w:hint="eastAsia" w:ascii="微软雅黑" w:hAnsi="微软雅黑" w:eastAsia="微软雅黑" w:cs="Arial"/>
                <w:szCs w:val="21"/>
                <w:highlight w:val="none"/>
                <w:u w:val="single"/>
                <w:lang w:eastAsia="zh-CN"/>
              </w:rPr>
              <w:t>399.0000</w:t>
            </w:r>
            <w:r>
              <w:rPr>
                <w:rFonts w:hint="eastAsia" w:ascii="微软雅黑" w:hAnsi="微软雅黑" w:eastAsia="微软雅黑" w:cs="Arial"/>
                <w:szCs w:val="21"/>
                <w:highlight w:val="none"/>
                <w:u w:val="single"/>
              </w:rPr>
              <w:tab/>
            </w:r>
          </w:p>
        </w:tc>
        <w:tc>
          <w:tcPr>
            <w:tcW w:w="565" w:type="pct"/>
            <w:tcBorders>
              <w:top w:val="dashed" w:color="DDDDDD" w:sz="6" w:space="0"/>
              <w:left w:val="dashed" w:color="DDDDDD" w:sz="6" w:space="0"/>
              <w:bottom w:val="dashed" w:color="DDDDDD" w:sz="6" w:space="0"/>
              <w:right w:val="dashed" w:color="DDDDDD" w:sz="6" w:space="0"/>
            </w:tcBorders>
            <w:tcMar>
              <w:top w:w="75" w:type="dxa"/>
              <w:left w:w="150" w:type="dxa"/>
              <w:bottom w:w="75" w:type="dxa"/>
              <w:right w:w="150" w:type="dxa"/>
            </w:tcMar>
            <w:vAlign w:val="center"/>
          </w:tcPr>
          <w:p>
            <w:pPr>
              <w:spacing w:after="0" w:line="500" w:lineRule="exact"/>
              <w:jc w:val="center"/>
              <w:rPr>
                <w:rFonts w:ascii="微软雅黑" w:hAnsi="微软雅黑" w:eastAsia="微软雅黑"/>
                <w:szCs w:val="21"/>
                <w:highlight w:val="none"/>
              </w:rPr>
            </w:pPr>
          </w:p>
        </w:tc>
      </w:tr>
    </w:tbl>
    <w:p>
      <w:pPr>
        <w:pStyle w:val="193"/>
        <w:spacing w:after="0" w:line="500" w:lineRule="exact"/>
        <w:ind w:firstLine="420"/>
        <w:rPr>
          <w:rFonts w:hint="eastAsia" w:ascii="微软雅黑" w:hAnsi="微软雅黑" w:eastAsia="微软雅黑" w:cs="Arial"/>
          <w:sz w:val="21"/>
          <w:szCs w:val="21"/>
          <w:highlight w:val="none"/>
        </w:rPr>
      </w:pPr>
      <w:r>
        <w:rPr>
          <w:rFonts w:hint="eastAsia" w:ascii="微软雅黑" w:hAnsi="微软雅黑" w:eastAsia="微软雅黑" w:cs="Arial"/>
          <w:kern w:val="0"/>
          <w:sz w:val="21"/>
          <w:szCs w:val="21"/>
          <w:highlight w:val="none"/>
          <w:lang w:eastAsia="zh-CN"/>
        </w:rPr>
        <w:t>项目类别：服务类</w:t>
      </w:r>
      <w:r>
        <w:rPr>
          <w:rFonts w:hint="eastAsia" w:ascii="微软雅黑" w:hAnsi="微软雅黑" w:eastAsia="微软雅黑" w:cs="Arial"/>
          <w:kern w:val="0"/>
          <w:sz w:val="21"/>
          <w:szCs w:val="21"/>
          <w:highlight w:val="none"/>
        </w:rPr>
        <w:t>  </w:t>
      </w:r>
      <w:r>
        <w:rPr>
          <w:rFonts w:hint="eastAsia" w:ascii="微软雅黑" w:hAnsi="微软雅黑" w:eastAsia="微软雅黑" w:cs="Arial"/>
          <w:sz w:val="21"/>
          <w:szCs w:val="21"/>
          <w:highlight w:val="none"/>
        </w:rPr>
        <w:t xml:space="preserve">  </w:t>
      </w:r>
    </w:p>
    <w:p>
      <w:pPr>
        <w:pStyle w:val="193"/>
        <w:spacing w:after="0" w:line="500" w:lineRule="exact"/>
        <w:ind w:firstLine="420"/>
        <w:rPr>
          <w:rFonts w:ascii="微软雅黑" w:hAnsi="微软雅黑" w:eastAsia="微软雅黑" w:cs="Arial"/>
          <w:kern w:val="0"/>
          <w:sz w:val="21"/>
          <w:szCs w:val="21"/>
          <w:highlight w:val="none"/>
        </w:rPr>
      </w:pPr>
      <w:r>
        <w:rPr>
          <w:rFonts w:hint="eastAsia" w:ascii="微软雅黑" w:hAnsi="微软雅黑" w:eastAsia="微软雅黑" w:cs="Arial"/>
          <w:sz w:val="21"/>
          <w:szCs w:val="21"/>
          <w:highlight w:val="none"/>
        </w:rPr>
        <w:t>合同履行期限：详见竞争性磋商文件。 </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本项目接受联合体投标（投标时提供联合体协议书）。</w:t>
      </w:r>
    </w:p>
    <w:p>
      <w:pPr>
        <w:pStyle w:val="4"/>
        <w:spacing w:before="0" w:after="0" w:line="500" w:lineRule="exact"/>
        <w:jc w:val="left"/>
        <w:rPr>
          <w:rFonts w:ascii="微软雅黑" w:hAnsi="微软雅黑" w:eastAsia="微软雅黑"/>
          <w:bCs/>
          <w:sz w:val="21"/>
          <w:szCs w:val="21"/>
          <w:highlight w:val="none"/>
        </w:rPr>
      </w:pPr>
      <w:r>
        <w:rPr>
          <w:rFonts w:hint="eastAsia" w:ascii="微软雅黑" w:hAnsi="微软雅黑" w:eastAsia="微软雅黑"/>
          <w:sz w:val="21"/>
          <w:szCs w:val="21"/>
          <w:highlight w:val="none"/>
        </w:rPr>
        <w:t>二、申请人的资格要求：</w:t>
      </w:r>
    </w:p>
    <w:p>
      <w:pPr>
        <w:pStyle w:val="5"/>
        <w:numPr>
          <w:ilvl w:val="0"/>
          <w:numId w:val="21"/>
        </w:numPr>
        <w:spacing w:before="0" w:after="0"/>
        <w:ind w:firstLine="420"/>
        <w:jc w:val="left"/>
        <w:rPr>
          <w:rFonts w:ascii="微软雅黑" w:hAnsi="微软雅黑" w:eastAsia="微软雅黑"/>
          <w:b w:val="0"/>
          <w:sz w:val="21"/>
          <w:szCs w:val="21"/>
          <w:highlight w:val="none"/>
        </w:rPr>
      </w:pPr>
      <w:r>
        <w:rPr>
          <w:rFonts w:hint="eastAsia" w:ascii="微软雅黑" w:hAnsi="微软雅黑" w:eastAsia="微软雅黑" w:cs="Arial"/>
          <w:b w:val="0"/>
          <w:sz w:val="21"/>
          <w:szCs w:val="21"/>
          <w:highlight w:val="none"/>
        </w:rPr>
        <w:t>   </w:t>
      </w:r>
      <w:r>
        <w:rPr>
          <w:rFonts w:ascii="微软雅黑" w:hAnsi="微软雅黑" w:eastAsia="微软雅黑"/>
          <w:b w:val="0"/>
          <w:sz w:val="21"/>
          <w:szCs w:val="21"/>
          <w:highlight w:val="none"/>
        </w:rPr>
        <w:t>满足《中华人民共和国政府采购法》第二十二条规定；</w:t>
      </w:r>
    </w:p>
    <w:p>
      <w:pPr>
        <w:pStyle w:val="5"/>
        <w:numPr>
          <w:ilvl w:val="0"/>
          <w:numId w:val="21"/>
        </w:numPr>
        <w:spacing w:before="0" w:after="0"/>
        <w:ind w:firstLine="420"/>
        <w:jc w:val="left"/>
        <w:rPr>
          <w:rFonts w:ascii="微软雅黑" w:hAnsi="微软雅黑" w:eastAsia="微软雅黑"/>
          <w:b w:val="0"/>
          <w:sz w:val="21"/>
          <w:szCs w:val="21"/>
          <w:highlight w:val="none"/>
        </w:rPr>
      </w:pPr>
      <w:r>
        <w:rPr>
          <w:rFonts w:hint="eastAsia" w:ascii="微软雅黑" w:hAnsi="微软雅黑" w:eastAsia="微软雅黑"/>
          <w:b w:val="0"/>
          <w:sz w:val="21"/>
          <w:szCs w:val="21"/>
          <w:highlight w:val="none"/>
        </w:rPr>
        <w:t>落实政府采购政策需满足的资格要求：</w:t>
      </w:r>
    </w:p>
    <w:p>
      <w:pPr>
        <w:spacing w:after="0" w:line="360" w:lineRule="auto"/>
        <w:ind w:firstLine="420" w:firstLineChars="200"/>
        <w:jc w:val="left"/>
        <w:rPr>
          <w:rFonts w:ascii="微软雅黑" w:hAnsi="微软雅黑" w:eastAsia="微软雅黑"/>
          <w:bCs/>
          <w:szCs w:val="21"/>
          <w:highlight w:val="none"/>
        </w:rPr>
      </w:pPr>
      <w:r>
        <w:rPr>
          <w:rFonts w:ascii="微软雅黑" w:hAnsi="微软雅黑" w:eastAsia="微软雅黑"/>
          <w:bCs/>
          <w:szCs w:val="21"/>
          <w:highlight w:val="none"/>
        </w:rPr>
        <w:t>根据《政府采购促进中小企业发展管理办》（财库 ﹝2020﹞46号）的规定</w:t>
      </w:r>
      <w:r>
        <w:rPr>
          <w:rFonts w:hint="eastAsia" w:ascii="微软雅黑" w:hAnsi="微软雅黑" w:eastAsia="微软雅黑"/>
          <w:bCs/>
          <w:szCs w:val="21"/>
          <w:highlight w:val="none"/>
        </w:rPr>
        <w:t>：本项目为</w:t>
      </w:r>
      <w:r>
        <w:rPr>
          <w:rFonts w:hint="eastAsia" w:ascii="微软雅黑" w:hAnsi="微软雅黑" w:eastAsia="微软雅黑"/>
          <w:bCs/>
          <w:szCs w:val="21"/>
          <w:highlight w:val="none"/>
          <w:lang w:eastAsia="zh-CN"/>
        </w:rPr>
        <w:t>非</w:t>
      </w:r>
      <w:r>
        <w:rPr>
          <w:rFonts w:hint="eastAsia" w:ascii="微软雅黑" w:hAnsi="微软雅黑" w:eastAsia="微软雅黑"/>
          <w:bCs/>
          <w:szCs w:val="21"/>
          <w:highlight w:val="none"/>
        </w:rPr>
        <w:t>专门面向中小企业。 </w:t>
      </w:r>
    </w:p>
    <w:p>
      <w:pPr>
        <w:pStyle w:val="5"/>
        <w:numPr>
          <w:ilvl w:val="0"/>
          <w:numId w:val="21"/>
        </w:numPr>
        <w:spacing w:before="0" w:after="0"/>
        <w:ind w:firstLine="420"/>
        <w:jc w:val="left"/>
        <w:rPr>
          <w:rFonts w:ascii="微软雅黑" w:hAnsi="微软雅黑" w:eastAsia="微软雅黑"/>
          <w:b w:val="0"/>
          <w:sz w:val="21"/>
          <w:szCs w:val="21"/>
          <w:highlight w:val="none"/>
        </w:rPr>
      </w:pPr>
      <w:r>
        <w:rPr>
          <w:rFonts w:hint="eastAsia" w:ascii="微软雅黑" w:hAnsi="微软雅黑" w:eastAsia="微软雅黑"/>
          <w:b w:val="0"/>
          <w:sz w:val="21"/>
          <w:szCs w:val="21"/>
          <w:highlight w:val="none"/>
        </w:rPr>
        <w:t> 本项目的特定资格要求： 无 </w:t>
      </w:r>
    </w:p>
    <w:p>
      <w:pPr>
        <w:pStyle w:val="4"/>
        <w:spacing w:before="0" w:after="0" w:line="500" w:lineRule="exact"/>
        <w:jc w:val="left"/>
        <w:rPr>
          <w:rFonts w:ascii="微软雅黑" w:hAnsi="微软雅黑" w:eastAsia="微软雅黑"/>
          <w:sz w:val="21"/>
          <w:szCs w:val="21"/>
          <w:highlight w:val="none"/>
        </w:rPr>
      </w:pPr>
      <w:r>
        <w:rPr>
          <w:rFonts w:hint="eastAsia" w:ascii="微软雅黑" w:hAnsi="微软雅黑" w:eastAsia="微软雅黑"/>
          <w:bCs/>
          <w:sz w:val="21"/>
          <w:szCs w:val="21"/>
          <w:highlight w:val="none"/>
        </w:rPr>
        <w:t>三、获取竞争性磋商文件</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时间：</w:t>
      </w:r>
      <w:r>
        <w:rPr>
          <w:rFonts w:hint="eastAsia" w:ascii="微软雅黑" w:hAnsi="微软雅黑" w:eastAsia="微软雅黑" w:cs="Arial"/>
          <w:sz w:val="21"/>
          <w:szCs w:val="21"/>
          <w:highlight w:val="none"/>
          <w:u w:val="single"/>
        </w:rPr>
        <w:t> </w:t>
      </w:r>
      <w:r>
        <w:rPr>
          <w:rStyle w:val="195"/>
          <w:rFonts w:hint="eastAsia" w:ascii="微软雅黑" w:hAnsi="微软雅黑" w:eastAsia="微软雅黑" w:cs="Arial"/>
          <w:sz w:val="21"/>
          <w:szCs w:val="21"/>
          <w:highlight w:val="none"/>
          <w:u w:val="single"/>
        </w:rPr>
        <w:t>2022年09月30日</w:t>
      </w:r>
      <w:r>
        <w:rPr>
          <w:rFonts w:hint="eastAsia" w:ascii="微软雅黑" w:hAnsi="微软雅黑" w:eastAsia="微软雅黑" w:cs="Arial"/>
          <w:sz w:val="21"/>
          <w:szCs w:val="21"/>
          <w:highlight w:val="none"/>
          <w:u w:val="single"/>
        </w:rPr>
        <w:t> </w:t>
      </w:r>
      <w:r>
        <w:rPr>
          <w:rFonts w:hint="eastAsia" w:ascii="微软雅黑" w:hAnsi="微软雅黑" w:eastAsia="微软雅黑" w:cs="Arial"/>
          <w:sz w:val="21"/>
          <w:szCs w:val="21"/>
          <w:highlight w:val="none"/>
        </w:rPr>
        <w:t>至 </w:t>
      </w:r>
      <w:r>
        <w:rPr>
          <w:rFonts w:hint="eastAsia" w:ascii="微软雅黑" w:hAnsi="微软雅黑" w:eastAsia="微软雅黑" w:cs="Arial"/>
          <w:sz w:val="21"/>
          <w:szCs w:val="21"/>
          <w:highlight w:val="none"/>
          <w:u w:val="single"/>
        </w:rPr>
        <w:t> </w:t>
      </w:r>
      <w:r>
        <w:rPr>
          <w:rStyle w:val="195"/>
          <w:rFonts w:hint="eastAsia" w:ascii="微软雅黑" w:hAnsi="微软雅黑" w:eastAsia="微软雅黑" w:cs="Arial"/>
          <w:sz w:val="21"/>
          <w:szCs w:val="21"/>
          <w:highlight w:val="none"/>
          <w:u w:val="single"/>
        </w:rPr>
        <w:t>2022年</w:t>
      </w:r>
      <w:r>
        <w:rPr>
          <w:rStyle w:val="195"/>
          <w:rFonts w:hint="eastAsia" w:ascii="微软雅黑" w:hAnsi="微软雅黑" w:eastAsia="微软雅黑" w:cs="Arial"/>
          <w:sz w:val="21"/>
          <w:szCs w:val="21"/>
          <w:highlight w:val="none"/>
          <w:u w:val="single"/>
          <w:lang w:eastAsia="zh-CN"/>
        </w:rPr>
        <w:t>10月12日</w:t>
      </w:r>
      <w:r>
        <w:rPr>
          <w:rFonts w:hint="eastAsia" w:ascii="微软雅黑" w:hAnsi="微软雅黑" w:eastAsia="微软雅黑" w:cs="Arial"/>
          <w:sz w:val="21"/>
          <w:szCs w:val="21"/>
          <w:highlight w:val="none"/>
          <w:u w:val="single"/>
        </w:rPr>
        <w:t> </w:t>
      </w:r>
      <w:r>
        <w:rPr>
          <w:rFonts w:hint="eastAsia" w:ascii="微软雅黑" w:hAnsi="微软雅黑" w:eastAsia="微软雅黑" w:cs="Arial"/>
          <w:sz w:val="21"/>
          <w:szCs w:val="21"/>
          <w:highlight w:val="none"/>
        </w:rPr>
        <w:t>，每天上午</w:t>
      </w:r>
      <w:r>
        <w:rPr>
          <w:rFonts w:hint="eastAsia" w:ascii="微软雅黑" w:hAnsi="微软雅黑" w:eastAsia="微软雅黑" w:cs="Arial"/>
          <w:sz w:val="21"/>
          <w:szCs w:val="21"/>
          <w:highlight w:val="none"/>
          <w:u w:val="single"/>
        </w:rPr>
        <w:t> </w:t>
      </w:r>
      <w:r>
        <w:rPr>
          <w:rStyle w:val="195"/>
          <w:rFonts w:hint="eastAsia" w:ascii="微软雅黑" w:hAnsi="微软雅黑" w:eastAsia="微软雅黑" w:cs="Arial"/>
          <w:sz w:val="21"/>
          <w:szCs w:val="21"/>
          <w:highlight w:val="none"/>
          <w:u w:val="single"/>
        </w:rPr>
        <w:t>00:00至12:00</w:t>
      </w:r>
      <w:r>
        <w:rPr>
          <w:rFonts w:hint="eastAsia" w:ascii="微软雅黑" w:hAnsi="微软雅黑" w:eastAsia="微软雅黑" w:cs="Arial"/>
          <w:sz w:val="21"/>
          <w:szCs w:val="21"/>
          <w:highlight w:val="none"/>
        </w:rPr>
        <w:t> ，下午</w:t>
      </w:r>
      <w:r>
        <w:rPr>
          <w:rFonts w:hint="eastAsia" w:ascii="微软雅黑" w:hAnsi="微软雅黑" w:eastAsia="微软雅黑" w:cs="Arial"/>
          <w:sz w:val="21"/>
          <w:szCs w:val="21"/>
          <w:highlight w:val="none"/>
          <w:u w:val="single"/>
        </w:rPr>
        <w:t> </w:t>
      </w:r>
      <w:r>
        <w:rPr>
          <w:rStyle w:val="195"/>
          <w:rFonts w:hint="eastAsia" w:ascii="微软雅黑" w:hAnsi="微软雅黑" w:eastAsia="微软雅黑" w:cs="Arial"/>
          <w:sz w:val="21"/>
          <w:szCs w:val="21"/>
          <w:highlight w:val="none"/>
          <w:u w:val="single"/>
        </w:rPr>
        <w:t>12:00至23:59</w:t>
      </w:r>
      <w:r>
        <w:rPr>
          <w:rFonts w:hint="eastAsia" w:ascii="微软雅黑" w:hAnsi="微软雅黑" w:eastAsia="微软雅黑" w:cs="Arial"/>
          <w:sz w:val="21"/>
          <w:szCs w:val="21"/>
          <w:highlight w:val="none"/>
          <w:u w:val="single"/>
        </w:rPr>
        <w:t> </w:t>
      </w:r>
      <w:r>
        <w:rPr>
          <w:rFonts w:hint="eastAsia" w:ascii="微软雅黑" w:hAnsi="微软雅黑" w:eastAsia="微软雅黑" w:cs="Arial"/>
          <w:sz w:val="21"/>
          <w:szCs w:val="21"/>
          <w:highlight w:val="none"/>
        </w:rPr>
        <w:t>（北京时间，线上获取法定节假日均可，线下获取文件法定节假日除外）</w:t>
      </w:r>
    </w:p>
    <w:p>
      <w:pPr>
        <w:pStyle w:val="50"/>
        <w:spacing w:before="0" w:beforeAutospacing="0" w:after="0" w:afterAutospacing="0" w:line="500" w:lineRule="exact"/>
        <w:ind w:firstLine="210"/>
        <w:rPr>
          <w:rFonts w:ascii="微软雅黑" w:hAnsi="微软雅黑" w:eastAsia="微软雅黑"/>
          <w:sz w:val="21"/>
          <w:szCs w:val="21"/>
          <w:highlight w:val="none"/>
        </w:rPr>
      </w:pPr>
      <w:r>
        <w:rPr>
          <w:rFonts w:hint="eastAsia" w:ascii="微软雅黑" w:hAnsi="微软雅黑" w:eastAsia="微软雅黑" w:cs="Arial"/>
          <w:sz w:val="21"/>
          <w:szCs w:val="21"/>
          <w:highlight w:val="none"/>
        </w:rPr>
        <w:t>获取方式：</w:t>
      </w:r>
      <w:r>
        <w:rPr>
          <w:rFonts w:hint="eastAsia" w:ascii="微软雅黑" w:hAnsi="微软雅黑" w:eastAsia="微软雅黑"/>
          <w:sz w:val="21"/>
          <w:szCs w:val="21"/>
          <w:highlight w:val="none"/>
        </w:rPr>
        <w:t>供应商登录政采云平台</w:t>
      </w:r>
      <w:r>
        <w:rPr>
          <w:highlight w:val="none"/>
        </w:rPr>
        <w:fldChar w:fldCharType="begin"/>
      </w:r>
      <w:r>
        <w:rPr>
          <w:highlight w:val="none"/>
        </w:rPr>
        <w:instrText xml:space="preserve"> HYPERLINK "https://www.zcygov.cn/" </w:instrText>
      </w:r>
      <w:r>
        <w:rPr>
          <w:highlight w:val="none"/>
        </w:rPr>
        <w:fldChar w:fldCharType="separate"/>
      </w:r>
      <w:r>
        <w:rPr>
          <w:rStyle w:val="67"/>
          <w:rFonts w:hint="eastAsia" w:ascii="微软雅黑" w:hAnsi="微软雅黑" w:eastAsia="微软雅黑"/>
          <w:color w:val="auto"/>
          <w:sz w:val="21"/>
          <w:szCs w:val="21"/>
          <w:highlight w:val="none"/>
        </w:rPr>
        <w:t>https://www.zcygov.cn/</w:t>
      </w:r>
      <w:r>
        <w:rPr>
          <w:rStyle w:val="67"/>
          <w:rFonts w:hint="eastAsia" w:ascii="微软雅黑" w:hAnsi="微软雅黑" w:eastAsia="微软雅黑"/>
          <w:color w:val="auto"/>
          <w:sz w:val="21"/>
          <w:szCs w:val="21"/>
          <w:highlight w:val="none"/>
        </w:rPr>
        <w:fldChar w:fldCharType="end"/>
      </w:r>
    </w:p>
    <w:p>
      <w:pPr>
        <w:pStyle w:val="50"/>
        <w:spacing w:before="0" w:beforeAutospacing="0" w:after="0" w:afterAutospacing="0" w:line="500" w:lineRule="exact"/>
        <w:ind w:firstLine="210"/>
        <w:rPr>
          <w:rFonts w:ascii="微软雅黑" w:hAnsi="微软雅黑" w:eastAsia="微软雅黑"/>
          <w:sz w:val="21"/>
          <w:szCs w:val="21"/>
          <w:highlight w:val="none"/>
        </w:rPr>
      </w:pPr>
      <w:r>
        <w:rPr>
          <w:rFonts w:hint="eastAsia" w:ascii="微软雅黑" w:hAnsi="微软雅黑" w:eastAsia="微软雅黑"/>
          <w:sz w:val="21"/>
          <w:szCs w:val="21"/>
          <w:highlight w:val="none"/>
        </w:rPr>
        <w:t>在线申请获取采购文件（进入“项目采购”应用，在获取采购文件菜单中选择项目，申请获取采购文件）。</w:t>
      </w:r>
    </w:p>
    <w:p>
      <w:pPr>
        <w:pStyle w:val="50"/>
        <w:spacing w:before="0" w:beforeAutospacing="0" w:after="0" w:afterAutospacing="0" w:line="500" w:lineRule="exact"/>
        <w:ind w:firstLine="210"/>
        <w:rPr>
          <w:rFonts w:ascii="微软雅黑" w:hAnsi="微软雅黑" w:eastAsia="微软雅黑" w:cs="Arial"/>
          <w:sz w:val="21"/>
          <w:szCs w:val="21"/>
          <w:highlight w:val="none"/>
        </w:rPr>
      </w:pPr>
      <w:r>
        <w:rPr>
          <w:rFonts w:ascii="微软雅黑" w:hAnsi="微软雅黑" w:eastAsia="微软雅黑" w:cs="Arial"/>
          <w:sz w:val="21"/>
          <w:szCs w:val="21"/>
          <w:highlight w:val="none"/>
        </w:rPr>
        <w:t> 售价（元）：</w:t>
      </w:r>
      <w:r>
        <w:rPr>
          <w:rFonts w:hint="eastAsia" w:ascii="微软雅黑" w:hAnsi="微软雅黑" w:eastAsia="微软雅黑" w:cs="Arial"/>
          <w:sz w:val="21"/>
          <w:szCs w:val="21"/>
          <w:highlight w:val="none"/>
        </w:rPr>
        <w:t>  </w:t>
      </w:r>
      <w:r>
        <w:rPr>
          <w:rFonts w:hint="eastAsia" w:ascii="微软雅黑" w:hAnsi="微软雅黑" w:eastAsia="微软雅黑"/>
          <w:sz w:val="21"/>
          <w:szCs w:val="21"/>
          <w:highlight w:val="none"/>
        </w:rPr>
        <w:t>0</w:t>
      </w:r>
      <w:r>
        <w:rPr>
          <w:rFonts w:hint="eastAsia" w:ascii="微软雅黑" w:hAnsi="微软雅黑" w:eastAsia="微软雅黑" w:cs="Arial"/>
          <w:sz w:val="21"/>
          <w:szCs w:val="21"/>
          <w:highlight w:val="none"/>
        </w:rPr>
        <w:t> </w:t>
      </w:r>
    </w:p>
    <w:p>
      <w:pPr>
        <w:pStyle w:val="4"/>
        <w:spacing w:before="0" w:after="0" w:line="500" w:lineRule="exact"/>
        <w:jc w:val="left"/>
        <w:rPr>
          <w:rFonts w:ascii="微软雅黑" w:hAnsi="微软雅黑" w:eastAsia="微软雅黑"/>
          <w:bCs/>
          <w:sz w:val="21"/>
          <w:szCs w:val="21"/>
          <w:highlight w:val="none"/>
        </w:rPr>
      </w:pPr>
      <w:r>
        <w:rPr>
          <w:rFonts w:hint="eastAsia" w:ascii="微软雅黑" w:hAnsi="微软雅黑" w:eastAsia="微软雅黑"/>
          <w:sz w:val="21"/>
          <w:szCs w:val="21"/>
          <w:highlight w:val="none"/>
        </w:rPr>
        <w:t>四、提交竞争性磋商响应文件截止时间、开标时间和地点</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提交竞争性磋商响应文件截止时间：</w:t>
      </w:r>
      <w:r>
        <w:rPr>
          <w:rStyle w:val="195"/>
          <w:rFonts w:hint="eastAsia" w:ascii="微软雅黑" w:hAnsi="微软雅黑" w:eastAsia="微软雅黑" w:cs="Arial"/>
          <w:sz w:val="21"/>
          <w:szCs w:val="21"/>
          <w:highlight w:val="none"/>
          <w:u w:val="single"/>
        </w:rPr>
        <w:t>2022年</w:t>
      </w:r>
      <w:r>
        <w:rPr>
          <w:rStyle w:val="195"/>
          <w:rFonts w:hint="eastAsia" w:ascii="微软雅黑" w:hAnsi="微软雅黑" w:eastAsia="微软雅黑" w:cs="Arial"/>
          <w:sz w:val="21"/>
          <w:szCs w:val="21"/>
          <w:highlight w:val="none"/>
          <w:u w:val="single"/>
          <w:lang w:eastAsia="zh-CN"/>
        </w:rPr>
        <w:t>10月12日</w:t>
      </w:r>
      <w:r>
        <w:rPr>
          <w:rFonts w:hint="eastAsia" w:ascii="微软雅黑" w:hAnsi="微软雅黑" w:eastAsia="微软雅黑" w:cs="Arial"/>
          <w:sz w:val="21"/>
          <w:szCs w:val="21"/>
          <w:highlight w:val="none"/>
          <w:u w:val="single"/>
        </w:rPr>
        <w:t>14</w:t>
      </w:r>
      <w:r>
        <w:rPr>
          <w:rStyle w:val="195"/>
          <w:rFonts w:hint="eastAsia" w:ascii="微软雅黑" w:hAnsi="微软雅黑" w:eastAsia="微软雅黑" w:cs="Arial"/>
          <w:sz w:val="21"/>
          <w:szCs w:val="21"/>
          <w:highlight w:val="none"/>
          <w:u w:val="single"/>
        </w:rPr>
        <w:t>：00</w:t>
      </w:r>
      <w:r>
        <w:rPr>
          <w:rFonts w:hint="eastAsia" w:ascii="微软雅黑" w:hAnsi="微软雅黑" w:eastAsia="微软雅黑" w:cs="Arial"/>
          <w:sz w:val="21"/>
          <w:szCs w:val="21"/>
          <w:highlight w:val="none"/>
        </w:rPr>
        <w:t>（北京时间）</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投标地点（网址）：</w:t>
      </w:r>
      <w:r>
        <w:rPr>
          <w:rFonts w:hint="eastAsia" w:ascii="微软雅黑" w:hAnsi="微软雅黑" w:eastAsia="微软雅黑" w:cs="Arial"/>
          <w:sz w:val="21"/>
          <w:szCs w:val="21"/>
          <w:highlight w:val="none"/>
          <w:u w:val="single"/>
        </w:rPr>
        <w:t> </w:t>
      </w:r>
      <w:r>
        <w:rPr>
          <w:rStyle w:val="195"/>
          <w:rFonts w:hint="eastAsia" w:ascii="微软雅黑" w:hAnsi="微软雅黑" w:eastAsia="微软雅黑" w:cs="Arial"/>
          <w:sz w:val="21"/>
          <w:szCs w:val="21"/>
          <w:highlight w:val="none"/>
          <w:u w:val="single"/>
        </w:rPr>
        <w:t>“政采云”平台电子投标</w:t>
      </w:r>
      <w:r>
        <w:rPr>
          <w:rFonts w:hint="eastAsia" w:ascii="微软雅黑" w:hAnsi="微软雅黑" w:eastAsia="微软雅黑" w:cs="Arial"/>
          <w:sz w:val="21"/>
          <w:szCs w:val="21"/>
          <w:highlight w:val="none"/>
          <w:u w:val="single"/>
        </w:rPr>
        <w:t> </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开标时间：</w:t>
      </w:r>
      <w:r>
        <w:rPr>
          <w:rStyle w:val="195"/>
          <w:rFonts w:hint="eastAsia" w:ascii="微软雅黑" w:hAnsi="微软雅黑" w:eastAsia="微软雅黑" w:cs="Arial"/>
          <w:sz w:val="21"/>
          <w:szCs w:val="21"/>
          <w:highlight w:val="none"/>
          <w:u w:val="single"/>
        </w:rPr>
        <w:t>2022年</w:t>
      </w:r>
      <w:r>
        <w:rPr>
          <w:rStyle w:val="195"/>
          <w:rFonts w:hint="eastAsia" w:ascii="微软雅黑" w:hAnsi="微软雅黑" w:eastAsia="微软雅黑" w:cs="Arial"/>
          <w:sz w:val="21"/>
          <w:szCs w:val="21"/>
          <w:highlight w:val="none"/>
          <w:u w:val="single"/>
          <w:lang w:eastAsia="zh-CN"/>
        </w:rPr>
        <w:t>10月12日</w:t>
      </w:r>
      <w:r>
        <w:rPr>
          <w:rFonts w:hint="eastAsia" w:ascii="微软雅黑" w:hAnsi="微软雅黑" w:eastAsia="微软雅黑" w:cs="Arial"/>
          <w:sz w:val="21"/>
          <w:szCs w:val="21"/>
          <w:highlight w:val="none"/>
          <w:u w:val="single"/>
        </w:rPr>
        <w:t xml:space="preserve"> 14</w:t>
      </w:r>
      <w:r>
        <w:rPr>
          <w:rStyle w:val="195"/>
          <w:rFonts w:hint="eastAsia" w:ascii="微软雅黑" w:hAnsi="微软雅黑" w:eastAsia="微软雅黑" w:cs="Arial"/>
          <w:sz w:val="21"/>
          <w:szCs w:val="21"/>
          <w:highlight w:val="none"/>
          <w:u w:val="single"/>
        </w:rPr>
        <w:t>：00</w:t>
      </w:r>
      <w:r>
        <w:rPr>
          <w:rStyle w:val="195"/>
          <w:rFonts w:hint="eastAsia" w:ascii="微软雅黑" w:hAnsi="微软雅黑" w:eastAsia="微软雅黑" w:cs="Arial"/>
          <w:sz w:val="21"/>
          <w:szCs w:val="21"/>
          <w:highlight w:val="none"/>
        </w:rPr>
        <w:t>（</w:t>
      </w:r>
      <w:r>
        <w:rPr>
          <w:rFonts w:hint="eastAsia" w:ascii="微软雅黑" w:hAnsi="微软雅黑" w:eastAsia="微软雅黑" w:cs="Arial"/>
          <w:sz w:val="21"/>
          <w:szCs w:val="21"/>
          <w:highlight w:val="none"/>
        </w:rPr>
        <w:t>北京时间</w:t>
      </w:r>
      <w:r>
        <w:rPr>
          <w:rStyle w:val="195"/>
          <w:rFonts w:hint="eastAsia" w:ascii="微软雅黑" w:hAnsi="微软雅黑" w:eastAsia="微软雅黑" w:cs="Arial"/>
          <w:sz w:val="21"/>
          <w:szCs w:val="21"/>
          <w:highlight w:val="none"/>
        </w:rPr>
        <w:t>）</w:t>
      </w:r>
    </w:p>
    <w:p>
      <w:pPr>
        <w:pStyle w:val="50"/>
        <w:spacing w:before="0" w:beforeAutospacing="0" w:after="0" w:afterAutospacing="0" w:line="500" w:lineRule="exact"/>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开标地点（网址）：</w:t>
      </w:r>
      <w:r>
        <w:rPr>
          <w:rFonts w:hint="eastAsia" w:ascii="微软雅黑" w:hAnsi="微软雅黑" w:eastAsia="微软雅黑" w:cs="Arial"/>
          <w:sz w:val="21"/>
          <w:szCs w:val="21"/>
          <w:highlight w:val="none"/>
          <w:u w:val="single"/>
        </w:rPr>
        <w:t>嘉兴市洪兴路2399号宝地大厦1506室开标 </w:t>
      </w:r>
    </w:p>
    <w:p>
      <w:pPr>
        <w:pStyle w:val="4"/>
        <w:spacing w:before="0" w:after="0" w:line="500" w:lineRule="exact"/>
        <w:jc w:val="left"/>
        <w:rPr>
          <w:rFonts w:ascii="微软雅黑" w:hAnsi="微软雅黑" w:eastAsia="微软雅黑"/>
          <w:bCs/>
          <w:sz w:val="21"/>
          <w:szCs w:val="21"/>
          <w:highlight w:val="none"/>
        </w:rPr>
      </w:pPr>
      <w:r>
        <w:rPr>
          <w:rFonts w:hint="eastAsia" w:ascii="微软雅黑" w:hAnsi="微软雅黑" w:eastAsia="微软雅黑"/>
          <w:bCs/>
          <w:sz w:val="21"/>
          <w:szCs w:val="21"/>
          <w:highlight w:val="none"/>
        </w:rPr>
        <w:t>五、公告期限</w:t>
      </w:r>
    </w:p>
    <w:p>
      <w:pPr>
        <w:pStyle w:val="50"/>
        <w:spacing w:before="0" w:beforeAutospacing="0" w:after="0" w:afterAutospacing="0" w:line="500" w:lineRule="exact"/>
        <w:jc w:val="both"/>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自本公告发布之日起3个工作日。</w:t>
      </w:r>
    </w:p>
    <w:p>
      <w:pPr>
        <w:pStyle w:val="4"/>
        <w:spacing w:before="0" w:after="0" w:line="500" w:lineRule="exact"/>
        <w:jc w:val="left"/>
        <w:rPr>
          <w:rFonts w:ascii="微软雅黑" w:hAnsi="微软雅黑" w:eastAsia="微软雅黑"/>
          <w:bCs/>
          <w:sz w:val="21"/>
          <w:szCs w:val="21"/>
          <w:highlight w:val="none"/>
        </w:rPr>
      </w:pPr>
      <w:r>
        <w:rPr>
          <w:rFonts w:hint="eastAsia" w:ascii="微软雅黑" w:hAnsi="微软雅黑" w:eastAsia="微软雅黑"/>
          <w:sz w:val="21"/>
          <w:szCs w:val="21"/>
          <w:highlight w:val="none"/>
        </w:rPr>
        <w:t>六、其他补充事宜</w:t>
      </w:r>
    </w:p>
    <w:p>
      <w:pPr>
        <w:pStyle w:val="50"/>
        <w:spacing w:before="0" w:beforeAutospacing="0" w:after="0" w:afterAutospacing="0" w:line="500" w:lineRule="exact"/>
        <w:ind w:firstLine="21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   </w:t>
      </w:r>
      <w:r>
        <w:rPr>
          <w:rFonts w:ascii="微软雅黑" w:hAnsi="微软雅黑" w:eastAsia="微软雅黑" w:cs="Arial"/>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50"/>
        <w:spacing w:before="0" w:beforeAutospacing="0" w:after="0" w:afterAutospacing="0" w:line="500" w:lineRule="exact"/>
        <w:ind w:left="210" w:leftChars="100"/>
        <w:rPr>
          <w:rFonts w:ascii="微软雅黑" w:hAnsi="微软雅黑" w:eastAsia="微软雅黑"/>
          <w:sz w:val="21"/>
          <w:szCs w:val="21"/>
          <w:highlight w:val="none"/>
        </w:rPr>
      </w:pPr>
      <w:r>
        <w:rPr>
          <w:rFonts w:ascii="微软雅黑" w:hAnsi="微软雅黑" w:eastAsia="微软雅黑" w:cs="Arial"/>
          <w:sz w:val="21"/>
          <w:szCs w:val="21"/>
          <w:highlight w:val="none"/>
        </w:rPr>
        <w:t>   </w:t>
      </w:r>
      <w:r>
        <w:rPr>
          <w:rFonts w:ascii="微软雅黑" w:hAnsi="Arial" w:eastAsia="微软雅黑" w:cs="Arial"/>
          <w:sz w:val="21"/>
          <w:szCs w:val="21"/>
          <w:highlight w:val="none"/>
        </w:rPr>
        <w:t>​</w:t>
      </w:r>
      <w:r>
        <w:rPr>
          <w:rFonts w:ascii="微软雅黑" w:hAnsi="微软雅黑" w:eastAsia="微软雅黑" w:cs="Arial"/>
          <w:sz w:val="21"/>
          <w:szCs w:val="21"/>
          <w:highlight w:val="none"/>
        </w:rPr>
        <w:t>2、本采购项目，中标单位与采购人签订的政府采购合同适用于嘉兴市政府采购贷款政策，简称“政采贷”，具体内容可参阅政府采购贷款流程：</w:t>
      </w:r>
      <w:r>
        <w:rPr>
          <w:highlight w:val="none"/>
        </w:rPr>
        <w:fldChar w:fldCharType="begin"/>
      </w:r>
      <w:r>
        <w:rPr>
          <w:highlight w:val="none"/>
        </w:rPr>
        <w:instrText xml:space="preserve"> HYPERLINK "http://jxszwsjb.jiaxing.gov.cn/zxfw/005012/20181016/7e541bf4-ad29-4286-ace8-d12c1b2c54fc.html" </w:instrText>
      </w:r>
      <w:r>
        <w:rPr>
          <w:highlight w:val="none"/>
        </w:rPr>
        <w:fldChar w:fldCharType="separate"/>
      </w:r>
      <w:r>
        <w:rPr>
          <w:rStyle w:val="67"/>
          <w:rFonts w:ascii="微软雅黑" w:hAnsi="微软雅黑" w:eastAsia="微软雅黑" w:cs="Arial"/>
          <w:color w:val="auto"/>
          <w:sz w:val="21"/>
          <w:szCs w:val="21"/>
          <w:highlight w:val="none"/>
        </w:rPr>
        <w:t>http://jxszwsjb.jiaxing.gov.cn/zxfw/005012/20181016/7e541bf4-ad29-4286-ace8-d12c1b2c54fc.html</w:t>
      </w:r>
      <w:r>
        <w:rPr>
          <w:rStyle w:val="67"/>
          <w:rFonts w:ascii="微软雅黑" w:hAnsi="微软雅黑" w:eastAsia="微软雅黑" w:cs="Arial"/>
          <w:color w:val="auto"/>
          <w:sz w:val="21"/>
          <w:szCs w:val="21"/>
          <w:highlight w:val="none"/>
        </w:rPr>
        <w:fldChar w:fldCharType="end"/>
      </w:r>
    </w:p>
    <w:p>
      <w:pPr>
        <w:pStyle w:val="50"/>
        <w:spacing w:before="0" w:beforeAutospacing="0" w:after="0" w:afterAutospacing="0" w:line="500" w:lineRule="exact"/>
        <w:ind w:left="210" w:leftChars="100"/>
        <w:rPr>
          <w:rFonts w:ascii="微软雅黑" w:hAnsi="微软雅黑" w:eastAsia="微软雅黑" w:cs="Arial"/>
          <w:sz w:val="21"/>
          <w:szCs w:val="21"/>
          <w:highlight w:val="none"/>
        </w:rPr>
      </w:pPr>
      <w:r>
        <w:rPr>
          <w:rFonts w:ascii="微软雅黑" w:hAnsi="微软雅黑" w:eastAsia="微软雅黑" w:cs="Arial"/>
          <w:sz w:val="21"/>
          <w:szCs w:val="21"/>
          <w:highlight w:val="none"/>
        </w:rPr>
        <w:t>3、投标说明：</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3.１、本项目按照《浙江省财政厅关于印发浙江省政府采购项电子交易管理暂行办法的通知》实行电子交易。</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3.2、供应商注册</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3.2.1、注册网址：</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浙江政府采购网：</w:t>
      </w:r>
      <w:r>
        <w:rPr>
          <w:highlight w:val="none"/>
        </w:rPr>
        <w:fldChar w:fldCharType="begin"/>
      </w:r>
      <w:r>
        <w:rPr>
          <w:highlight w:val="none"/>
        </w:rPr>
        <w:instrText xml:space="preserve"> HYPERLINK "https://middle.zcygov.cn/v-settle-front/enter/account?settleCategory=1&amp;entranceType=1" </w:instrText>
      </w:r>
      <w:r>
        <w:rPr>
          <w:highlight w:val="none"/>
        </w:rPr>
        <w:fldChar w:fldCharType="separate"/>
      </w:r>
      <w:r>
        <w:rPr>
          <w:rStyle w:val="67"/>
          <w:rFonts w:ascii="微软雅黑" w:hAnsi="微软雅黑" w:eastAsia="微软雅黑" w:cs="Arial"/>
          <w:color w:val="auto"/>
          <w:sz w:val="21"/>
          <w:szCs w:val="21"/>
          <w:highlight w:val="none"/>
        </w:rPr>
        <w:t>https://middle.zcygov.cn/v-settle-front/enter/account?settleCategory=1&amp;entranceType=1</w:t>
      </w:r>
      <w:r>
        <w:rPr>
          <w:rStyle w:val="67"/>
          <w:rFonts w:ascii="微软雅黑" w:hAnsi="微软雅黑" w:eastAsia="微软雅黑" w:cs="Arial"/>
          <w:color w:val="auto"/>
          <w:sz w:val="21"/>
          <w:szCs w:val="21"/>
          <w:highlight w:val="none"/>
        </w:rPr>
        <w:fldChar w:fldCharType="end"/>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3.2.2、供应商按照《浙江省政府采购供应商注册和诚信管理暂行办法》要求执行。</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4、</w:t>
      </w:r>
      <w:r>
        <w:rPr>
          <w:rFonts w:hint="eastAsia" w:ascii="微软雅黑" w:hAnsi="微软雅黑" w:eastAsia="微软雅黑" w:cs="Arial"/>
          <w:sz w:val="21"/>
          <w:szCs w:val="21"/>
          <w:highlight w:val="none"/>
        </w:rPr>
        <w:t>竞争性磋商响应文件</w:t>
      </w:r>
      <w:r>
        <w:rPr>
          <w:rFonts w:ascii="微软雅黑" w:hAnsi="微软雅黑" w:eastAsia="微软雅黑" w:cs="Arial"/>
          <w:sz w:val="21"/>
          <w:szCs w:val="21"/>
          <w:highlight w:val="none"/>
        </w:rPr>
        <w:t>制作注意事项</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4.1、供应商将政采云电子交易客户端下载、安装完成后，可通过账号密码或CA登录客户端进行</w:t>
      </w:r>
      <w:r>
        <w:rPr>
          <w:rFonts w:hint="eastAsia" w:ascii="微软雅黑" w:hAnsi="微软雅黑" w:eastAsia="微软雅黑" w:cs="Arial"/>
          <w:sz w:val="21"/>
          <w:szCs w:val="21"/>
          <w:highlight w:val="none"/>
        </w:rPr>
        <w:t>竞争性磋商响应文件</w:t>
      </w:r>
      <w:r>
        <w:rPr>
          <w:rFonts w:ascii="微软雅黑" w:hAnsi="微软雅黑" w:eastAsia="微软雅黑" w:cs="Arial"/>
          <w:sz w:val="21"/>
          <w:szCs w:val="21"/>
          <w:highlight w:val="none"/>
        </w:rPr>
        <w:t>制作。</w:t>
      </w:r>
      <w:r>
        <w:rPr>
          <w:rFonts w:ascii="微软雅黑" w:hAnsi="微软雅黑" w:eastAsia="微软雅黑" w:cs="Arial"/>
          <w:sz w:val="21"/>
          <w:szCs w:val="21"/>
          <w:highlight w:val="none"/>
        </w:rPr>
        <w:br w:type="textWrapping"/>
      </w:r>
      <w:r>
        <w:rPr>
          <w:rFonts w:ascii="微软雅黑" w:hAnsi="微软雅黑" w:eastAsia="微软雅黑" w:cs="Arial"/>
          <w:sz w:val="21"/>
          <w:szCs w:val="21"/>
          <w:highlight w:val="none"/>
        </w:rPr>
        <w:t>　　注：供应商先要申领CA，拿到CA后需要在政采云平台进行绑定，CA相关操作可参考《CA申领操作指南》和《CA管理操作指南》。完成CA数字证书办理在资料齐全的情况下预计7个工作日左右，建议供应商获取</w:t>
      </w:r>
      <w:r>
        <w:rPr>
          <w:rFonts w:hint="eastAsia" w:ascii="微软雅黑" w:hAnsi="微软雅黑" w:eastAsia="微软雅黑" w:cs="Arial"/>
          <w:sz w:val="21"/>
          <w:szCs w:val="21"/>
          <w:highlight w:val="none"/>
        </w:rPr>
        <w:t>竞争性磋商文件</w:t>
      </w:r>
      <w:r>
        <w:rPr>
          <w:rFonts w:ascii="微软雅黑" w:hAnsi="微软雅黑" w:eastAsia="微软雅黑" w:cs="Arial"/>
          <w:sz w:val="21"/>
          <w:szCs w:val="21"/>
          <w:highlight w:val="none"/>
        </w:rPr>
        <w:t>后立即办理。　　　</w:t>
      </w:r>
    </w:p>
    <w:p>
      <w:pPr>
        <w:pStyle w:val="50"/>
        <w:spacing w:before="0" w:beforeAutospacing="0" w:after="0" w:afterAutospacing="0" w:line="500" w:lineRule="exact"/>
        <w:ind w:firstLine="420"/>
        <w:rPr>
          <w:rFonts w:ascii="微软雅黑" w:hAnsi="微软雅黑" w:eastAsia="微软雅黑" w:cs="Arial"/>
          <w:sz w:val="21"/>
          <w:szCs w:val="21"/>
          <w:highlight w:val="none"/>
          <w:u w:val="single"/>
        </w:rPr>
      </w:pPr>
      <w:r>
        <w:rPr>
          <w:rFonts w:ascii="微软雅黑" w:hAnsi="微软雅黑" w:eastAsia="微软雅黑" w:cs="Arial"/>
          <w:sz w:val="21"/>
          <w:szCs w:val="21"/>
          <w:highlight w:val="none"/>
        </w:rPr>
        <w:t>4.2、电子交易操作指南：</w:t>
      </w:r>
      <w:r>
        <w:rPr>
          <w:highlight w:val="none"/>
        </w:rPr>
        <w:fldChar w:fldCharType="begin"/>
      </w:r>
      <w:r>
        <w:rPr>
          <w:highlight w:val="none"/>
        </w:rPr>
        <w:instrText xml:space="preserve"> HYPERLINK "https://service.zcygov.cn/" \l "/knowledges/PGP8bW4ByNnJ3A2CyXG_/xg8jI3MBiyELHE-ou3ei?keyword=%E7%94%B5%E5%AD%90%E4%BA%A4%E6%98%93" </w:instrText>
      </w:r>
      <w:r>
        <w:rPr>
          <w:highlight w:val="none"/>
        </w:rPr>
        <w:fldChar w:fldCharType="separate"/>
      </w:r>
      <w:r>
        <w:rPr>
          <w:rStyle w:val="67"/>
          <w:rFonts w:ascii="微软雅黑" w:hAnsi="微软雅黑" w:eastAsia="微软雅黑" w:cs="Arial"/>
          <w:color w:val="auto"/>
          <w:sz w:val="21"/>
          <w:szCs w:val="21"/>
          <w:highlight w:val="none"/>
        </w:rPr>
        <w:t>https://service.zcygov.cn/#/knowledges/PGP8bW4ByNnJ3A2CyXG_/xg8jI3MBiyELHE-ou3ei?keyword=%E7%94%B5%E5%AD%90%E4%BA%A4%E6%98%93</w:t>
      </w:r>
      <w:r>
        <w:rPr>
          <w:rStyle w:val="67"/>
          <w:rFonts w:ascii="微软雅黑" w:hAnsi="微软雅黑" w:eastAsia="微软雅黑" w:cs="Arial"/>
          <w:color w:val="auto"/>
          <w:sz w:val="21"/>
          <w:szCs w:val="21"/>
          <w:highlight w:val="none"/>
        </w:rPr>
        <w:fldChar w:fldCharType="end"/>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如何申请/申领办理CA</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highlight w:val="none"/>
        </w:rPr>
        <w:fldChar w:fldCharType="begin"/>
      </w:r>
      <w:r>
        <w:rPr>
          <w:highlight w:val="none"/>
        </w:rPr>
        <w:instrText xml:space="preserve"> HYPERLINK "https://service.zcygov.cn/" \l "/knowledges/Pmw7VHIByNnJ3A2CbAN_/PXKYt3MByNnJ3A2CyAMX?keyword=CA" </w:instrText>
      </w:r>
      <w:r>
        <w:rPr>
          <w:highlight w:val="none"/>
        </w:rPr>
        <w:fldChar w:fldCharType="separate"/>
      </w:r>
      <w:r>
        <w:rPr>
          <w:rStyle w:val="67"/>
          <w:rFonts w:ascii="微软雅黑" w:hAnsi="微软雅黑" w:eastAsia="微软雅黑" w:cs="Arial"/>
          <w:color w:val="auto"/>
          <w:sz w:val="21"/>
          <w:szCs w:val="21"/>
          <w:highlight w:val="none"/>
        </w:rPr>
        <w:t>https://service.zcygov.cn/#/knowledges/Pmw7VHIByNnJ3A2CbAN_/PXKYt3MByNnJ3A2CyAMX?keyword=CA</w:t>
      </w:r>
      <w:r>
        <w:rPr>
          <w:rStyle w:val="67"/>
          <w:rFonts w:ascii="微软雅黑" w:hAnsi="微软雅黑" w:eastAsia="微软雅黑" w:cs="Arial"/>
          <w:color w:val="auto"/>
          <w:sz w:val="21"/>
          <w:szCs w:val="21"/>
          <w:highlight w:val="none"/>
        </w:rPr>
        <w:fldChar w:fldCharType="end"/>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微软雅黑" w:eastAsia="微软雅黑" w:cs="Arial"/>
          <w:sz w:val="21"/>
          <w:szCs w:val="21"/>
          <w:highlight w:val="none"/>
        </w:rPr>
        <w:t>注：ＣＡ证书遗失补办、延期、解锁、质保等业务可以在联连客户端上进行操作；使用政采云投标客户端时，建议使用WIN7及以上操作系统。</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5、政采云咨询电话：400-881-7190；</w:t>
      </w:r>
    </w:p>
    <w:p>
      <w:pPr>
        <w:pStyle w:val="50"/>
        <w:spacing w:before="0" w:beforeAutospacing="0" w:after="0" w:afterAutospacing="0" w:line="500" w:lineRule="exact"/>
        <w:ind w:firstLine="210"/>
        <w:rPr>
          <w:rFonts w:ascii="微软雅黑" w:hAnsi="微软雅黑" w:eastAsia="微软雅黑"/>
          <w:sz w:val="21"/>
          <w:szCs w:val="21"/>
          <w:highlight w:val="none"/>
        </w:rPr>
      </w:pPr>
      <w:r>
        <w:rPr>
          <w:rFonts w:hint="eastAsia" w:ascii="微软雅黑" w:hAnsi="微软雅黑" w:eastAsia="微软雅黑" w:cs="Arial"/>
          <w:sz w:val="21"/>
          <w:szCs w:val="21"/>
          <w:highlight w:val="none"/>
        </w:rPr>
        <w:t>政采云平台服务中心：</w:t>
      </w:r>
      <w:r>
        <w:rPr>
          <w:highlight w:val="none"/>
        </w:rPr>
        <w:fldChar w:fldCharType="begin"/>
      </w:r>
      <w:r>
        <w:rPr>
          <w:highlight w:val="none"/>
        </w:rPr>
        <w:instrText xml:space="preserve"> HYPERLINK "https://service.zcygov.cn/" \l "/" </w:instrText>
      </w:r>
      <w:r>
        <w:rPr>
          <w:highlight w:val="none"/>
        </w:rPr>
        <w:fldChar w:fldCharType="separate"/>
      </w:r>
      <w:r>
        <w:rPr>
          <w:rStyle w:val="67"/>
          <w:rFonts w:ascii="微软雅黑" w:hAnsi="微软雅黑" w:eastAsia="微软雅黑" w:cs="Arial"/>
          <w:color w:val="auto"/>
          <w:sz w:val="21"/>
          <w:szCs w:val="21"/>
          <w:highlight w:val="none"/>
        </w:rPr>
        <w:t>https://service.zcygov.cn/#/</w:t>
      </w:r>
      <w:r>
        <w:rPr>
          <w:rStyle w:val="67"/>
          <w:rFonts w:ascii="微软雅黑" w:hAnsi="微软雅黑" w:eastAsia="微软雅黑" w:cs="Arial"/>
          <w:color w:val="auto"/>
          <w:sz w:val="21"/>
          <w:szCs w:val="21"/>
          <w:highlight w:val="none"/>
        </w:rPr>
        <w:fldChar w:fldCharType="end"/>
      </w:r>
    </w:p>
    <w:p>
      <w:pPr>
        <w:pStyle w:val="50"/>
        <w:spacing w:before="0" w:beforeAutospacing="0" w:after="0" w:afterAutospacing="0" w:line="500" w:lineRule="exact"/>
        <w:ind w:firstLine="21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6、汇信（ＣＡ）客服电话：400-888-4636</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7、竞争性磋商响应文件提交注意事项：</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ascii="微软雅黑" w:hAnsi="Arial" w:eastAsia="微软雅黑" w:cs="Arial"/>
          <w:sz w:val="21"/>
          <w:szCs w:val="21"/>
          <w:highlight w:val="none"/>
        </w:rPr>
        <w:t>​</w:t>
      </w:r>
      <w:r>
        <w:rPr>
          <w:rFonts w:hint="eastAsia" w:ascii="微软雅黑" w:hAnsi="微软雅黑" w:eastAsia="微软雅黑" w:cs="Arial"/>
          <w:sz w:val="21"/>
          <w:szCs w:val="21"/>
          <w:highlight w:val="none"/>
        </w:rPr>
        <w:t>7.1、供应商进行电子投标应安装客户端软件，并按照竞争性磋商文件和电子交易平台的要求编制并加密竞争性磋商响应文件。供应商未按规定加密的竞争性磋商响应文件，代理机构应当拒收。</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7.2、供应商应当在投标截止时间前完成竞争性磋商响应文件的传输提交，并可以补充、修改或者撤回竞争性磋商响应文件。补充或者修改竞争性磋商响应文件的，应当先行撤回原文件，补充、修改后重新传输提交。投标截止时间前未完成传输的，视为撤回竞争性磋商响应文件。投标截止时间后提交的竞争性磋商响应文件，视为无效。</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7.3、为确保采购项目顺利实施，避免因解密失败导致投标供应商投标无效，供应商在电子交易平台传输提交竞争性磋商响应文件后，将政采云平台上最后生成的具备电子签章的备份电子标文件1份下载至U盘，在投标截止时间前邮寄送达至嘉兴市银建工程咨询评估有限公司（嘉兴市秀洲区洪兴路2399号宝地大厦1503室），联系人：吴垚媛，电话：18105730155，以签收时间为准。快递寄出同时，项目被授权代表须以邮件方式将快递单号、项目名称、公司名称、被授权代表姓名及联系方式等内容（邮件格式为：项目编号+快递单号+公司名称+被授权代表姓名及联系方式）发送至代理机构联系人邮箱（</w:t>
      </w:r>
      <w:r>
        <w:rPr>
          <w:rFonts w:hint="eastAsia" w:cs="Arial"/>
          <w:szCs w:val="21"/>
          <w:highlight w:val="none"/>
        </w:rPr>
        <w:t>646331736@qq.com</w:t>
      </w:r>
      <w:r>
        <w:rPr>
          <w:rFonts w:hint="eastAsia" w:ascii="微软雅黑" w:hAnsi="微软雅黑" w:eastAsia="微软雅黑" w:cs="Arial"/>
          <w:sz w:val="21"/>
          <w:szCs w:val="21"/>
          <w:highlight w:val="none"/>
        </w:rPr>
        <w:t>），以便代理机构查收快递。如供应商选择快递费到付，将被拒收。 </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“备份竞争性磋商响应文件”是指与“电子加密竞争性磋商响应文件”同时生成的数据电文形式的电子文件（备份标书），其他方式编制的备份竞争性磋商响应文件视为无效备份竞争性磋商响应文件。</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cs="Arial"/>
          <w:sz w:val="21"/>
          <w:szCs w:val="21"/>
          <w:highlight w:val="none"/>
        </w:rPr>
        <w:t>7.4、备份电子标文件制作为非强制性，但如遇因应商电子竞争性磋商响应文件解密失败等情况造成无效标，后果由供应商自负。</w:t>
      </w:r>
    </w:p>
    <w:p>
      <w:pPr>
        <w:pStyle w:val="50"/>
        <w:spacing w:before="0" w:beforeAutospacing="0" w:after="0" w:afterAutospacing="0" w:line="500" w:lineRule="exact"/>
        <w:ind w:firstLine="420"/>
        <w:rPr>
          <w:rFonts w:ascii="微软雅黑" w:hAnsi="微软雅黑" w:eastAsia="微软雅黑"/>
          <w:sz w:val="21"/>
          <w:szCs w:val="21"/>
          <w:highlight w:val="none"/>
        </w:rPr>
      </w:pPr>
      <w:r>
        <w:rPr>
          <w:rFonts w:hint="eastAsia" w:ascii="微软雅黑" w:hAnsi="微软雅黑" w:eastAsia="微软雅黑" w:cs="Arial"/>
          <w:sz w:val="21"/>
          <w:szCs w:val="21"/>
          <w:highlight w:val="none"/>
        </w:rPr>
        <w:t>8、</w:t>
      </w:r>
      <w:r>
        <w:rPr>
          <w:rFonts w:hint="eastAsia" w:ascii="微软雅黑" w:hAnsi="微软雅黑" w:eastAsia="微软雅黑"/>
          <w:sz w:val="21"/>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50"/>
        <w:spacing w:before="0" w:beforeAutospacing="0" w:after="0" w:afterAutospacing="0" w:line="500" w:lineRule="exact"/>
        <w:ind w:firstLine="420"/>
        <w:rPr>
          <w:rFonts w:ascii="微软雅黑" w:hAnsi="微软雅黑" w:eastAsia="微软雅黑" w:cs="Arial"/>
          <w:sz w:val="21"/>
          <w:szCs w:val="21"/>
          <w:highlight w:val="none"/>
        </w:rPr>
      </w:pPr>
      <w:r>
        <w:rPr>
          <w:rFonts w:hint="eastAsia" w:ascii="微软雅黑" w:hAnsi="微软雅黑" w:eastAsia="微软雅黑"/>
          <w:sz w:val="21"/>
          <w:szCs w:val="21"/>
          <w:highlight w:val="none"/>
        </w:rPr>
        <w:t xml:space="preserve"> 9、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4"/>
        <w:spacing w:before="0" w:after="0" w:line="500" w:lineRule="exact"/>
        <w:jc w:val="left"/>
        <w:rPr>
          <w:rFonts w:ascii="微软雅黑" w:hAnsi="微软雅黑" w:eastAsia="微软雅黑"/>
          <w:b w:val="0"/>
          <w:sz w:val="21"/>
          <w:szCs w:val="21"/>
          <w:highlight w:val="none"/>
        </w:rPr>
      </w:pPr>
      <w:r>
        <w:rPr>
          <w:rFonts w:hint="eastAsia" w:ascii="微软雅黑" w:hAnsi="微软雅黑" w:eastAsia="微软雅黑"/>
          <w:bCs/>
          <w:sz w:val="21"/>
          <w:szCs w:val="21"/>
          <w:highlight w:val="none"/>
        </w:rPr>
        <w:t>七、对本次招标提出询问、质疑、投诉，请按以下方式联系。</w:t>
      </w:r>
      <w:r>
        <w:rPr>
          <w:rFonts w:hint="eastAsia" w:ascii="微软雅黑" w:hAnsi="微软雅黑" w:eastAsia="微软雅黑"/>
          <w:b w:val="0"/>
          <w:sz w:val="21"/>
          <w:szCs w:val="21"/>
          <w:highlight w:val="none"/>
        </w:rPr>
        <w:t>　　　　　　　　　　　　</w:t>
      </w:r>
    </w:p>
    <w:p>
      <w:pPr>
        <w:spacing w:line="420" w:lineRule="exact"/>
        <w:ind w:firstLine="420" w:firstLineChars="200"/>
        <w:rPr>
          <w:rFonts w:ascii="宋体" w:hAnsi="宋体"/>
          <w:szCs w:val="21"/>
          <w:highlight w:val="none"/>
        </w:rPr>
      </w:pPr>
      <w:r>
        <w:rPr>
          <w:rFonts w:hint="eastAsia" w:ascii="微软雅黑" w:hAnsi="微软雅黑" w:eastAsia="微软雅黑" w:cs="Arial"/>
          <w:szCs w:val="21"/>
          <w:highlight w:val="none"/>
        </w:rPr>
        <w:t> </w:t>
      </w:r>
      <w:r>
        <w:rPr>
          <w:rFonts w:ascii="宋体" w:hAnsi="宋体" w:cs="Arial"/>
          <w:b/>
          <w:szCs w:val="21"/>
          <w:highlight w:val="none"/>
        </w:rPr>
        <w:t>采购方联系方式：</w:t>
      </w:r>
      <w:r>
        <w:rPr>
          <w:rFonts w:ascii="宋体" w:hAnsi="宋体" w:cs="Arial"/>
          <w:szCs w:val="21"/>
          <w:highlight w:val="none"/>
        </w:rPr>
        <w:t>联系人</w:t>
      </w:r>
      <w:r>
        <w:rPr>
          <w:rFonts w:hint="eastAsia" w:ascii="宋体" w:hAnsi="宋体" w:cs="Arial"/>
          <w:szCs w:val="21"/>
          <w:highlight w:val="none"/>
        </w:rPr>
        <w:t>：</w:t>
      </w:r>
      <w:r>
        <w:rPr>
          <w:rFonts w:hint="eastAsia" w:ascii="宋体" w:hAnsi="宋体" w:cs="宋体"/>
          <w:color w:val="000000"/>
          <w:szCs w:val="21"/>
          <w:highlight w:val="none"/>
        </w:rPr>
        <w:t>徐女士             联系电话：0573-82315031</w:t>
      </w:r>
    </w:p>
    <w:p>
      <w:pPr>
        <w:spacing w:line="420" w:lineRule="exact"/>
        <w:ind w:firstLine="422" w:firstLineChars="200"/>
        <w:rPr>
          <w:rFonts w:ascii="宋体" w:hAnsi="宋体" w:cs="Arial"/>
          <w:szCs w:val="21"/>
          <w:highlight w:val="none"/>
        </w:rPr>
      </w:pPr>
      <w:r>
        <w:rPr>
          <w:rFonts w:hint="eastAsia" w:ascii="宋体" w:hAnsi="宋体" w:cs="Arial"/>
          <w:b/>
          <w:szCs w:val="21"/>
          <w:highlight w:val="none"/>
        </w:rPr>
        <w:t>嘉兴市银建工程咨询评估有限公司</w:t>
      </w:r>
      <w:r>
        <w:rPr>
          <w:rFonts w:ascii="宋体" w:hAnsi="宋体" w:cs="Arial"/>
          <w:b/>
          <w:szCs w:val="21"/>
          <w:highlight w:val="none"/>
        </w:rPr>
        <w:t>：</w:t>
      </w:r>
      <w:r>
        <w:rPr>
          <w:rFonts w:ascii="宋体" w:hAnsi="宋体" w:cs="Arial"/>
          <w:szCs w:val="21"/>
          <w:highlight w:val="none"/>
        </w:rPr>
        <w:t xml:space="preserve"> </w:t>
      </w:r>
    </w:p>
    <w:p>
      <w:pPr>
        <w:spacing w:line="420" w:lineRule="exact"/>
        <w:ind w:firstLine="420" w:firstLineChars="200"/>
        <w:rPr>
          <w:rFonts w:ascii="宋体" w:hAnsi="宋体"/>
          <w:szCs w:val="21"/>
          <w:highlight w:val="none"/>
        </w:rPr>
      </w:pPr>
      <w:r>
        <w:rPr>
          <w:rFonts w:ascii="宋体" w:hAnsi="宋体" w:cs="Arial"/>
          <w:szCs w:val="21"/>
          <w:highlight w:val="none"/>
        </w:rPr>
        <w:t xml:space="preserve"> 联系人：</w:t>
      </w:r>
      <w:r>
        <w:rPr>
          <w:rFonts w:hint="eastAsia" w:cs="Arial" w:asciiTheme="minorEastAsia" w:hAnsiTheme="minorEastAsia" w:eastAsiaTheme="minorEastAsia"/>
          <w:bCs/>
          <w:szCs w:val="21"/>
          <w:highlight w:val="none"/>
        </w:rPr>
        <w:t>李先生</w:t>
      </w:r>
      <w:r>
        <w:rPr>
          <w:rFonts w:ascii="宋体" w:hAnsi="宋体"/>
          <w:szCs w:val="21"/>
          <w:highlight w:val="none"/>
        </w:rPr>
        <w:t xml:space="preserve">         联系电话：</w:t>
      </w:r>
      <w:r>
        <w:rPr>
          <w:rFonts w:hint="eastAsia" w:cs="Arial" w:asciiTheme="minorEastAsia" w:hAnsiTheme="minorEastAsia" w:eastAsiaTheme="minorEastAsia"/>
          <w:bCs/>
          <w:szCs w:val="21"/>
          <w:highlight w:val="none"/>
        </w:rPr>
        <w:t>18006615280</w:t>
      </w:r>
    </w:p>
    <w:p>
      <w:pPr>
        <w:spacing w:line="420" w:lineRule="exact"/>
        <w:ind w:firstLine="422" w:firstLineChars="200"/>
        <w:rPr>
          <w:rFonts w:ascii="宋体" w:hAnsi="宋体" w:cs="Arial"/>
          <w:szCs w:val="21"/>
          <w:highlight w:val="none"/>
        </w:rPr>
      </w:pPr>
      <w:r>
        <w:rPr>
          <w:rFonts w:ascii="宋体" w:hAnsi="宋体" w:cs="Arial"/>
          <w:b/>
          <w:szCs w:val="21"/>
          <w:highlight w:val="none"/>
        </w:rPr>
        <w:t>政府采</w:t>
      </w:r>
      <w:r>
        <w:rPr>
          <w:rFonts w:ascii="宋体" w:hAnsi="宋体" w:cs="Arial"/>
          <w:b/>
          <w:bCs/>
          <w:szCs w:val="21"/>
          <w:highlight w:val="none"/>
        </w:rPr>
        <w:t>购行政监管及投诉受理部门：</w:t>
      </w:r>
    </w:p>
    <w:p>
      <w:pPr>
        <w:spacing w:after="0" w:line="500" w:lineRule="exact"/>
        <w:rPr>
          <w:rFonts w:ascii="微软雅黑" w:hAnsi="微软雅黑" w:eastAsia="微软雅黑"/>
          <w:szCs w:val="21"/>
          <w:highlight w:val="none"/>
        </w:rPr>
      </w:pPr>
      <w:r>
        <w:rPr>
          <w:rFonts w:ascii="宋体" w:hAnsi="宋体" w:cs="Arial"/>
          <w:szCs w:val="21"/>
          <w:highlight w:val="none"/>
        </w:rPr>
        <w:t xml:space="preserve">     </w:t>
      </w:r>
      <w:r>
        <w:rPr>
          <w:rFonts w:hint="eastAsia" w:ascii="宋体" w:hAnsi="宋体" w:cs="Arial"/>
          <w:szCs w:val="21"/>
          <w:highlight w:val="none"/>
        </w:rPr>
        <w:t>嘉兴市秀洲区财政局</w:t>
      </w:r>
      <w:r>
        <w:rPr>
          <w:rFonts w:ascii="宋体" w:hAnsi="宋体" w:cs="Arial"/>
          <w:szCs w:val="21"/>
          <w:highlight w:val="none"/>
        </w:rPr>
        <w:t xml:space="preserve">              联系电话：</w:t>
      </w:r>
      <w:r>
        <w:rPr>
          <w:rFonts w:hint="eastAsia" w:ascii="宋体" w:hAnsi="宋体" w:cs="Arial"/>
          <w:szCs w:val="21"/>
          <w:highlight w:val="none"/>
        </w:rPr>
        <w:t>0573-82720086</w:t>
      </w:r>
      <w:r>
        <w:rPr>
          <w:rFonts w:hint="eastAsia" w:ascii="微软雅黑" w:hAnsi="微软雅黑" w:eastAsia="微软雅黑" w:cs="Arial"/>
          <w:szCs w:val="21"/>
          <w:highlight w:val="none"/>
        </w:rPr>
        <w:t>　　　　　　　　</w:t>
      </w:r>
    </w:p>
    <w:p>
      <w:pPr>
        <w:spacing w:line="360" w:lineRule="auto"/>
        <w:rPr>
          <w:rFonts w:ascii="微软雅黑" w:hAnsi="微软雅黑" w:eastAsia="微软雅黑"/>
          <w:szCs w:val="21"/>
          <w:highlight w:val="none"/>
        </w:rPr>
      </w:pPr>
    </w:p>
    <w:p>
      <w:pPr>
        <w:widowControl/>
        <w:snapToGrid w:val="0"/>
        <w:spacing w:line="600" w:lineRule="exact"/>
        <w:ind w:firstLine="420" w:firstLineChars="200"/>
        <w:jc w:val="right"/>
        <w:rPr>
          <w:rFonts w:ascii="微软雅黑" w:hAnsi="微软雅黑" w:eastAsia="微软雅黑" w:cs="Arial"/>
          <w:szCs w:val="21"/>
          <w:highlight w:val="none"/>
        </w:rPr>
      </w:pPr>
    </w:p>
    <w:p>
      <w:pPr>
        <w:pStyle w:val="3"/>
        <w:numPr>
          <w:ilvl w:val="0"/>
          <w:numId w:val="20"/>
        </w:numPr>
        <w:spacing w:before="360"/>
        <w:jc w:val="center"/>
        <w:rPr>
          <w:highlight w:val="none"/>
        </w:rPr>
      </w:pPr>
      <w:bookmarkStart w:id="3" w:name="_Toc493699290"/>
      <w:bookmarkStart w:id="4" w:name="_Toc192313099"/>
      <w:r>
        <w:rPr>
          <w:highlight w:val="none"/>
        </w:rPr>
        <w:br w:type="page"/>
      </w:r>
      <w:bookmarkStart w:id="5" w:name="_Toc89266795"/>
      <w:r>
        <w:rPr>
          <w:rFonts w:hint="eastAsia"/>
          <w:highlight w:val="none"/>
        </w:rPr>
        <w:t>供应商须知</w:t>
      </w:r>
      <w:bookmarkEnd w:id="3"/>
      <w:bookmarkEnd w:id="4"/>
      <w:bookmarkEnd w:id="5"/>
    </w:p>
    <w:p>
      <w:pPr>
        <w:pStyle w:val="4"/>
        <w:spacing w:before="0" w:after="0" w:line="460" w:lineRule="exact"/>
        <w:rPr>
          <w:rFonts w:ascii="微软雅黑" w:hAnsi="微软雅黑" w:eastAsia="微软雅黑"/>
          <w:b w:val="0"/>
          <w:bCs/>
          <w:sz w:val="21"/>
          <w:szCs w:val="21"/>
          <w:highlight w:val="none"/>
        </w:rPr>
      </w:pPr>
      <w:bookmarkStart w:id="6" w:name="_Toc89266796"/>
      <w:bookmarkStart w:id="7" w:name="_Toc40788009"/>
      <w:bookmarkStart w:id="8" w:name="_Toc53062671"/>
      <w:bookmarkStart w:id="9" w:name="_Toc493699291"/>
      <w:r>
        <w:rPr>
          <w:rFonts w:hint="eastAsia" w:ascii="微软雅黑" w:hAnsi="微软雅黑" w:eastAsia="微软雅黑"/>
          <w:bCs/>
          <w:sz w:val="21"/>
          <w:szCs w:val="21"/>
          <w:highlight w:val="none"/>
        </w:rPr>
        <w:t>电子交易注意事项</w:t>
      </w:r>
      <w:bookmarkEnd w:id="6"/>
    </w:p>
    <w:p>
      <w:pPr>
        <w:spacing w:line="460" w:lineRule="exact"/>
        <w:ind w:firstLine="210" w:firstLineChars="100"/>
        <w:jc w:val="left"/>
        <w:rPr>
          <w:rFonts w:ascii="微软雅黑" w:hAnsi="微软雅黑" w:eastAsia="微软雅黑" w:cs="宋体"/>
          <w:szCs w:val="21"/>
          <w:highlight w:val="none"/>
          <w:shd w:val="clear" w:color="auto" w:fill="FFFFFF"/>
        </w:rPr>
      </w:pPr>
      <w:r>
        <w:rPr>
          <w:rFonts w:hint="eastAsia" w:ascii="微软雅黑" w:hAnsi="微软雅黑" w:eastAsia="微软雅黑" w:cs="宋体"/>
          <w:szCs w:val="21"/>
          <w:highlight w:val="none"/>
          <w:shd w:val="clear" w:color="auto" w:fill="FFFFFF"/>
        </w:rPr>
        <w:t>　政府采购项目电子交易活动适用《浙江省政府采购项目电子交易管理暂行办法》，现将相关注意事项告知如下：</w:t>
      </w:r>
    </w:p>
    <w:p>
      <w:pPr>
        <w:spacing w:line="460" w:lineRule="exact"/>
        <w:ind w:firstLine="210" w:firstLineChars="100"/>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　1、代理机构按照竞争性磋商文件规定的时间通过电子交易平台组织开标、开启竞争性磋商响应文件，所有供应商均应当准时在线参加，直至评审结束。</w:t>
      </w:r>
    </w:p>
    <w:p>
      <w:pPr>
        <w:pStyle w:val="50"/>
        <w:spacing w:before="0" w:beforeAutospacing="0" w:after="0" w:afterAutospacing="0" w:line="460" w:lineRule="exact"/>
        <w:ind w:firstLine="210" w:firstLineChars="100"/>
        <w:rPr>
          <w:rFonts w:ascii="微软雅黑" w:hAnsi="微软雅黑" w:eastAsia="微软雅黑" w:cs="Times New Roman"/>
          <w:kern w:val="2"/>
          <w:sz w:val="21"/>
          <w:szCs w:val="21"/>
          <w:highlight w:val="none"/>
        </w:rPr>
      </w:pPr>
      <w:r>
        <w:rPr>
          <w:rFonts w:hint="eastAsia" w:ascii="微软雅黑" w:hAnsi="微软雅黑" w:eastAsia="微软雅黑"/>
          <w:kern w:val="2"/>
          <w:sz w:val="21"/>
          <w:szCs w:val="21"/>
          <w:highlight w:val="none"/>
        </w:rPr>
        <w:t>　2、竞争性磋商响应文件未按时解密，供应商如提供备份竞争性磋商响应文件的，以符合要求的备份竞争性磋商响应文件作为依据，否则视为竞争性磋商响应文件撤回。竞争性磋商响应文件已按时解密的，备份竞争性磋商响应文件自动失效。</w:t>
      </w:r>
    </w:p>
    <w:p>
      <w:pPr>
        <w:pStyle w:val="50"/>
        <w:spacing w:before="0" w:beforeAutospacing="0" w:after="0" w:afterAutospacing="0" w:line="460" w:lineRule="exact"/>
        <w:ind w:firstLine="210" w:firstLineChars="100"/>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　3、采购过程中出现以下情形，导致电子交易平台无法正常运行，或者无法保证电子交易的公平、公正和安全时，代理机构可中止电子交易活动：</w:t>
      </w:r>
    </w:p>
    <w:p>
      <w:pPr>
        <w:pStyle w:val="50"/>
        <w:spacing w:before="0" w:beforeAutospacing="0" w:after="0" w:afterAutospacing="0" w:line="460" w:lineRule="exact"/>
        <w:ind w:firstLine="645"/>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（一）电子交易平台发生故障而无法登录访问的； </w:t>
      </w:r>
    </w:p>
    <w:p>
      <w:pPr>
        <w:pStyle w:val="50"/>
        <w:spacing w:before="0" w:beforeAutospacing="0" w:after="0" w:afterAutospacing="0" w:line="460" w:lineRule="exact"/>
        <w:ind w:firstLine="645"/>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（二）电子交易平台应用或数据库出现错误，不能进行正常操作的；</w:t>
      </w:r>
    </w:p>
    <w:p>
      <w:pPr>
        <w:pStyle w:val="50"/>
        <w:spacing w:before="0" w:beforeAutospacing="0" w:after="0" w:afterAutospacing="0" w:line="460" w:lineRule="exact"/>
        <w:ind w:firstLine="645"/>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（三）电子交易平台发现严重安全漏洞，有潜在泄密危险的；</w:t>
      </w:r>
    </w:p>
    <w:p>
      <w:pPr>
        <w:pStyle w:val="50"/>
        <w:spacing w:before="0" w:beforeAutospacing="0" w:after="0" w:afterAutospacing="0" w:line="460" w:lineRule="exact"/>
        <w:ind w:firstLine="645"/>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（四）病毒发作导致不能进行正常操作的； </w:t>
      </w:r>
    </w:p>
    <w:p>
      <w:pPr>
        <w:pStyle w:val="50"/>
        <w:spacing w:before="0" w:beforeAutospacing="0" w:after="0" w:afterAutospacing="0" w:line="460" w:lineRule="exact"/>
        <w:ind w:firstLine="645"/>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（五）其他无法保证电子交易的公平、公正和安全的情况。</w:t>
      </w:r>
    </w:p>
    <w:p>
      <w:pPr>
        <w:pStyle w:val="50"/>
        <w:spacing w:before="0" w:beforeAutospacing="0" w:after="0" w:afterAutospacing="0" w:line="460" w:lineRule="exact"/>
        <w:ind w:firstLine="480"/>
        <w:rPr>
          <w:rFonts w:ascii="微软雅黑" w:hAnsi="微软雅黑" w:eastAsia="微软雅黑"/>
          <w:kern w:val="2"/>
          <w:sz w:val="21"/>
          <w:szCs w:val="21"/>
          <w:highlight w:val="none"/>
        </w:rPr>
      </w:pPr>
      <w:r>
        <w:rPr>
          <w:rFonts w:hint="eastAsia" w:ascii="微软雅黑" w:hAnsi="微软雅黑" w:eastAsia="微软雅黑"/>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pPr>
        <w:pStyle w:val="50"/>
        <w:numPr>
          <w:ilvl w:val="0"/>
          <w:numId w:val="22"/>
        </w:numPr>
        <w:spacing w:before="0" w:beforeAutospacing="0" w:after="0" w:afterAutospacing="0" w:line="460" w:lineRule="exact"/>
        <w:ind w:firstLine="480"/>
        <w:rPr>
          <w:rFonts w:ascii="微软雅黑" w:hAnsi="微软雅黑" w:eastAsia="微软雅黑"/>
          <w:sz w:val="21"/>
          <w:szCs w:val="21"/>
          <w:highlight w:val="none"/>
          <w:shd w:val="clear" w:color="auto" w:fill="FFFFFF"/>
        </w:rPr>
      </w:pPr>
      <w:r>
        <w:rPr>
          <w:rFonts w:hint="eastAsia" w:ascii="微软雅黑" w:hAnsi="微软雅黑" w:eastAsia="微软雅黑"/>
          <w:sz w:val="21"/>
          <w:szCs w:val="21"/>
          <w:highlight w:val="none"/>
          <w:shd w:val="clear" w:color="auto" w:fill="FFFFFF"/>
        </w:rPr>
        <w:t>评审中需要供应商对竞争性磋商响应文件作出澄清、说明或者补正的，评审小组和供应商应当通过电子交易平台交换数据电文。供应商需在半小时内提交澄清说明或补正，供应商已经明确表示澄清说明或补正完毕的除外。</w:t>
      </w:r>
    </w:p>
    <w:p>
      <w:pPr>
        <w:pStyle w:val="50"/>
        <w:numPr>
          <w:ilvl w:val="0"/>
          <w:numId w:val="22"/>
        </w:numPr>
        <w:spacing w:before="0" w:beforeAutospacing="0" w:after="0" w:afterAutospacing="0" w:line="460" w:lineRule="exact"/>
        <w:ind w:firstLine="480"/>
        <w:rPr>
          <w:rFonts w:ascii="微软雅黑" w:hAnsi="微软雅黑" w:eastAsia="微软雅黑"/>
          <w:b/>
          <w:bCs/>
          <w:sz w:val="21"/>
          <w:szCs w:val="21"/>
          <w:highlight w:val="none"/>
          <w:shd w:val="clear" w:color="auto" w:fill="FFFFFF"/>
        </w:rPr>
      </w:pPr>
      <w:r>
        <w:rPr>
          <w:rFonts w:hint="eastAsia" w:ascii="微软雅黑" w:hAnsi="微软雅黑" w:eastAsia="微软雅黑"/>
          <w:b/>
          <w:bCs/>
          <w:sz w:val="21"/>
          <w:szCs w:val="21"/>
          <w:highlight w:val="none"/>
          <w:shd w:val="clear" w:color="auto" w:fill="FFFFFF"/>
        </w:rPr>
        <w:t>供应商须在代理机构宣布评审结束、产生中标候选人期间时刻关注项目政采云，配合专家组工作，如有询标（澄清、质疑），在30分钟内（具体时间以询标函上规定的时间为准备）通过ＣＡ进行回复。过期不按要求回复，视为默认原竞争性磋商响应文件内容。</w:t>
      </w:r>
    </w:p>
    <w:p>
      <w:pPr>
        <w:spacing w:line="460" w:lineRule="exact"/>
        <w:rPr>
          <w:rFonts w:ascii="微软雅黑" w:hAnsi="微软雅黑" w:eastAsia="微软雅黑" w:cs="宋体"/>
          <w:b/>
          <w:kern w:val="0"/>
          <w:szCs w:val="21"/>
          <w:highlight w:val="none"/>
          <w:shd w:val="pct10" w:color="auto" w:fill="FFFFFF"/>
        </w:rPr>
      </w:pPr>
    </w:p>
    <w:p>
      <w:pPr>
        <w:spacing w:line="460" w:lineRule="exact"/>
        <w:rPr>
          <w:rFonts w:ascii="微软雅黑" w:hAnsi="微软雅黑" w:eastAsia="微软雅黑" w:cs="宋体"/>
          <w:b/>
          <w:kern w:val="0"/>
          <w:szCs w:val="21"/>
          <w:highlight w:val="none"/>
          <w:shd w:val="pct10" w:color="auto" w:fill="FFFFFF"/>
        </w:rPr>
      </w:pPr>
    </w:p>
    <w:p>
      <w:pPr>
        <w:snapToGrid w:val="0"/>
        <w:spacing w:line="460" w:lineRule="exact"/>
        <w:ind w:left="238"/>
        <w:jc w:val="center"/>
        <w:outlineLvl w:val="1"/>
        <w:rPr>
          <w:rFonts w:ascii="微软雅黑" w:hAnsi="微软雅黑" w:eastAsia="微软雅黑"/>
          <w:b/>
          <w:szCs w:val="21"/>
          <w:highlight w:val="none"/>
        </w:rPr>
      </w:pPr>
      <w:bookmarkStart w:id="10" w:name="_Toc89266797"/>
      <w:r>
        <w:rPr>
          <w:rFonts w:hint="eastAsia" w:ascii="微软雅黑" w:hAnsi="微软雅黑" w:eastAsia="微软雅黑"/>
          <w:b/>
          <w:szCs w:val="21"/>
          <w:highlight w:val="none"/>
        </w:rPr>
        <w:t>前附表</w:t>
      </w:r>
      <w:bookmarkEnd w:id="7"/>
      <w:bookmarkEnd w:id="8"/>
      <w:bookmarkEnd w:id="9"/>
      <w:bookmarkEnd w:id="10"/>
    </w:p>
    <w:tbl>
      <w:tblPr>
        <w:tblStyle w:val="55"/>
        <w:tblW w:w="92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0"/>
        <w:gridCol w:w="83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序号</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ind w:firstLine="2625" w:firstLineChars="1250"/>
              <w:rPr>
                <w:rFonts w:ascii="微软雅黑" w:hAnsi="微软雅黑" w:eastAsia="微软雅黑"/>
                <w:szCs w:val="21"/>
                <w:highlight w:val="none"/>
              </w:rPr>
            </w:pPr>
            <w:r>
              <w:rPr>
                <w:rFonts w:hint="eastAsia" w:ascii="微软雅黑" w:hAnsi="微软雅黑" w:eastAsia="微软雅黑"/>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ascii="微软雅黑" w:hAnsi="微软雅黑" w:eastAsia="微软雅黑"/>
                <w:szCs w:val="21"/>
                <w:highlight w:val="none"/>
              </w:rPr>
              <w:t>1</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hint="eastAsia" w:ascii="微软雅黑" w:hAnsi="微软雅黑" w:eastAsia="微软雅黑"/>
                <w:szCs w:val="21"/>
                <w:highlight w:val="none"/>
                <w:lang w:eastAsia="zh-CN"/>
              </w:rPr>
            </w:pPr>
            <w:r>
              <w:rPr>
                <w:rFonts w:hint="eastAsia" w:ascii="微软雅黑" w:hAnsi="微软雅黑" w:eastAsia="微软雅黑"/>
                <w:szCs w:val="21"/>
                <w:highlight w:val="none"/>
              </w:rPr>
              <w:t>项目名称：</w:t>
            </w:r>
            <w:r>
              <w:rPr>
                <w:rStyle w:val="195"/>
                <w:rFonts w:hint="eastAsia" w:ascii="微软雅黑" w:hAnsi="微软雅黑" w:eastAsia="微软雅黑" w:cs="Arial"/>
                <w:szCs w:val="21"/>
                <w:highlight w:val="none"/>
                <w:u w:val="single"/>
                <w:lang w:eastAsia="zh-CN"/>
              </w:rPr>
              <w:t>嘉兴市秀洲区交通运输局（本级）嘉兴东升西路拟建隧道工程对饮用水水源地生态环境影响研究项目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ascii="微软雅黑" w:hAnsi="微软雅黑" w:eastAsia="微软雅黑"/>
                <w:szCs w:val="21"/>
                <w:highlight w:val="none"/>
              </w:rPr>
              <w:t>2</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cs="Arial"/>
                <w:bCs/>
                <w:szCs w:val="21"/>
                <w:highlight w:val="none"/>
              </w:rPr>
            </w:pPr>
            <w:r>
              <w:rPr>
                <w:rFonts w:hint="eastAsia" w:ascii="微软雅黑" w:hAnsi="微软雅黑" w:eastAsia="微软雅黑"/>
                <w:szCs w:val="21"/>
                <w:highlight w:val="none"/>
              </w:rPr>
              <w:t>采购内容：</w:t>
            </w:r>
            <w:r>
              <w:rPr>
                <w:rFonts w:hint="eastAsia" w:ascii="微软雅黑" w:hAnsi="微软雅黑" w:eastAsia="微软雅黑" w:cs="Arial"/>
                <w:bCs/>
                <w:szCs w:val="21"/>
                <w:highlight w:val="none"/>
              </w:rPr>
              <w:t>详见第三章项目需求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ascii="微软雅黑" w:hAnsi="微软雅黑" w:eastAsia="微软雅黑"/>
                <w:szCs w:val="21"/>
                <w:highlight w:val="none"/>
              </w:rPr>
              <w:t>3</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szCs w:val="21"/>
                <w:highlight w:val="none"/>
              </w:rPr>
              <w:t>投标报价及费用：</w:t>
            </w:r>
          </w:p>
          <w:p>
            <w:pPr>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、本项目投标应以人民币报价；</w:t>
            </w:r>
          </w:p>
          <w:p>
            <w:pPr>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4</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b/>
                <w:bCs/>
                <w:szCs w:val="21"/>
                <w:highlight w:val="none"/>
              </w:rPr>
            </w:pPr>
            <w:r>
              <w:rPr>
                <w:rFonts w:hint="eastAsia" w:ascii="微软雅黑" w:hAnsi="微软雅黑" w:eastAsia="微软雅黑"/>
                <w:b/>
                <w:bCs/>
                <w:szCs w:val="21"/>
                <w:highlight w:val="none"/>
              </w:rPr>
              <w:t>预算金额：人民币</w:t>
            </w:r>
            <w:r>
              <w:rPr>
                <w:rFonts w:hint="eastAsia" w:ascii="微软雅黑" w:hAnsi="微软雅黑" w:eastAsia="微软雅黑" w:cs="Arial"/>
                <w:b/>
                <w:bCs/>
                <w:szCs w:val="21"/>
                <w:highlight w:val="none"/>
                <w:u w:val="single"/>
              </w:rPr>
              <w:t>39</w:t>
            </w:r>
            <w:r>
              <w:rPr>
                <w:rFonts w:hint="eastAsia" w:ascii="微软雅黑" w:hAnsi="微软雅黑" w:eastAsia="微软雅黑" w:cs="Arial"/>
                <w:b/>
                <w:bCs/>
                <w:szCs w:val="21"/>
                <w:highlight w:val="none"/>
                <w:u w:val="single"/>
                <w:lang w:val="en-US" w:eastAsia="zh-CN"/>
              </w:rPr>
              <w:t>9.</w:t>
            </w:r>
            <w:r>
              <w:rPr>
                <w:rFonts w:hint="eastAsia" w:ascii="微软雅黑" w:hAnsi="微软雅黑" w:eastAsia="微软雅黑" w:cs="Arial"/>
                <w:b/>
                <w:bCs/>
                <w:szCs w:val="21"/>
                <w:highlight w:val="none"/>
                <w:u w:val="single"/>
              </w:rPr>
              <w:t>0000</w:t>
            </w:r>
            <w:r>
              <w:rPr>
                <w:rFonts w:hint="eastAsia" w:ascii="微软雅黑" w:hAnsi="微软雅黑" w:eastAsia="微软雅黑" w:cs="Arial"/>
                <w:b/>
                <w:bCs/>
                <w:szCs w:val="21"/>
                <w:highlight w:val="none"/>
                <w:lang w:eastAsia="zh-CN"/>
              </w:rPr>
              <w:t>万元</w:t>
            </w:r>
            <w:r>
              <w:rPr>
                <w:rFonts w:hint="eastAsia" w:ascii="微软雅黑" w:hAnsi="微软雅黑" w:eastAsia="微软雅黑" w:cs="Arial"/>
                <w:b/>
                <w:bCs/>
                <w:szCs w:val="21"/>
                <w:highlight w:val="none"/>
              </w:rPr>
              <w:t>（招标控制价：</w:t>
            </w:r>
            <w:r>
              <w:rPr>
                <w:rFonts w:hint="eastAsia" w:ascii="微软雅黑" w:hAnsi="微软雅黑" w:eastAsia="微软雅黑" w:cs="Arial"/>
                <w:b/>
                <w:bCs/>
                <w:szCs w:val="21"/>
                <w:highlight w:val="none"/>
                <w:u w:val="single"/>
              </w:rPr>
              <w:t>39</w:t>
            </w:r>
            <w:r>
              <w:rPr>
                <w:rFonts w:hint="eastAsia" w:ascii="微软雅黑" w:hAnsi="微软雅黑" w:eastAsia="微软雅黑" w:cs="Arial"/>
                <w:b/>
                <w:bCs/>
                <w:szCs w:val="21"/>
                <w:highlight w:val="none"/>
                <w:u w:val="single"/>
                <w:lang w:val="en-US" w:eastAsia="zh-CN"/>
              </w:rPr>
              <w:t>9.</w:t>
            </w:r>
            <w:r>
              <w:rPr>
                <w:rFonts w:hint="eastAsia" w:ascii="微软雅黑" w:hAnsi="微软雅黑" w:eastAsia="微软雅黑" w:cs="Arial"/>
                <w:b/>
                <w:bCs/>
                <w:szCs w:val="21"/>
                <w:highlight w:val="none"/>
                <w:u w:val="single"/>
              </w:rPr>
              <w:t>0000</w:t>
            </w:r>
            <w:r>
              <w:rPr>
                <w:rFonts w:hint="eastAsia" w:ascii="微软雅黑" w:hAnsi="微软雅黑" w:eastAsia="微软雅黑" w:cs="Arial"/>
                <w:b/>
                <w:bCs/>
                <w:szCs w:val="21"/>
                <w:highlight w:val="none"/>
                <w:lang w:eastAsia="zh-CN"/>
              </w:rPr>
              <w:t>万元</w:t>
            </w:r>
            <w:r>
              <w:rPr>
                <w:rFonts w:hint="eastAsia" w:ascii="微软雅黑" w:hAnsi="微软雅黑" w:eastAsia="微软雅黑" w:cs="Arial"/>
                <w:b/>
                <w:bCs/>
                <w:szCs w:val="21"/>
                <w:highlight w:val="none"/>
              </w:rPr>
              <w:t>，</w:t>
            </w:r>
            <w:r>
              <w:rPr>
                <w:rFonts w:hint="eastAsia" w:ascii="微软雅黑" w:hAnsi="微软雅黑" w:eastAsia="微软雅黑"/>
                <w:szCs w:val="21"/>
                <w:highlight w:val="none"/>
              </w:rPr>
              <w:t>凡投标报价超过招标控制价则做无效标处理。</w:t>
            </w:r>
            <w:r>
              <w:rPr>
                <w:rFonts w:hint="eastAsia" w:ascii="微软雅黑" w:hAnsi="微软雅黑" w:eastAsia="微软雅黑" w:cs="Arial"/>
                <w:b/>
                <w:bCs/>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5</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szCs w:val="21"/>
                <w:highlight w:val="none"/>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6</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szCs w:val="21"/>
                <w:highlight w:val="none"/>
              </w:rPr>
              <w:t>现场踏勘：自行踏勘（费用自理）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cs="宋体"/>
                <w:szCs w:val="21"/>
                <w:highlight w:val="none"/>
              </w:rPr>
              <w:t>7</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竞争性磋商响应文件组成：</w:t>
            </w:r>
            <w:r>
              <w:rPr>
                <w:rFonts w:hint="eastAsia" w:ascii="微软雅黑" w:hAnsi="微软雅黑" w:eastAsia="微软雅黑" w:cs="宋体"/>
                <w:bCs/>
                <w:szCs w:val="21"/>
                <w:highlight w:val="none"/>
              </w:rPr>
              <w:t>完整的《竞争性磋商响应文件》由</w:t>
            </w:r>
            <w:r>
              <w:rPr>
                <w:rFonts w:hint="eastAsia" w:ascii="微软雅黑" w:hAnsi="微软雅黑" w:eastAsia="微软雅黑"/>
                <w:b/>
                <w:szCs w:val="21"/>
                <w:highlight w:val="none"/>
              </w:rPr>
              <w:t>资信技术文件及商务报价文件二部份组成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center"/>
              <w:rPr>
                <w:rFonts w:ascii="微软雅黑" w:hAnsi="微软雅黑" w:eastAsia="微软雅黑" w:cs="宋体"/>
                <w:szCs w:val="21"/>
                <w:highlight w:val="none"/>
              </w:rPr>
            </w:pPr>
            <w:r>
              <w:rPr>
                <w:rFonts w:hint="eastAsia" w:ascii="微软雅黑" w:hAnsi="微软雅黑" w:eastAsia="微软雅黑" w:cs="宋体"/>
                <w:szCs w:val="21"/>
                <w:highlight w:val="none"/>
              </w:rPr>
              <w:t>8</w:t>
            </w:r>
          </w:p>
        </w:tc>
        <w:tc>
          <w:tcPr>
            <w:tcW w:w="835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竞争性磋商响应文件的编制：供应商应先安装“政采云电子交易客户端”，并按照本竞争性磋商文件和“政府采购云平台”的要求，通过“政采云电子交易客户端”编制并加密竞争性磋商响应文件。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9</w:t>
            </w:r>
          </w:p>
        </w:tc>
        <w:tc>
          <w:tcPr>
            <w:tcW w:w="835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竞争性磋商响应文件的签章：电子签章。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10</w:t>
            </w:r>
          </w:p>
        </w:tc>
        <w:tc>
          <w:tcPr>
            <w:tcW w:w="835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szCs w:val="21"/>
                <w:highlight w:val="none"/>
              </w:rPr>
              <w:t>竞争性磋商响应文件的形式：</w:t>
            </w:r>
            <w:r>
              <w:rPr>
                <w:rFonts w:hint="eastAsia" w:ascii="微软雅黑" w:hAnsi="MS Gothic" w:eastAsia="MS Gothic" w:cs="MS Gothic"/>
                <w:bCs/>
                <w:szCs w:val="21"/>
                <w:highlight w:val="none"/>
              </w:rPr>
              <w:t>☑</w:t>
            </w:r>
            <w:r>
              <w:rPr>
                <w:rFonts w:hint="eastAsia" w:ascii="微软雅黑" w:hAnsi="微软雅黑" w:eastAsia="微软雅黑" w:cs="微软雅黑"/>
                <w:bCs/>
                <w:szCs w:val="21"/>
                <w:highlight w:val="none"/>
              </w:rPr>
              <w:t>电子竞争性磋商响应文件（包括“电子加密竞争性磋商响应文件”和“备份竞争性磋商响应文件”，在竞争性磋商响应文件编制完成后同时生成）；</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（1）“电子加密竞争性磋商响应文件”是指通过“政采云电子交易客户端”完成竞争性磋商响应文件编制后生成并加密的数据电文形式的竞争性磋商响应文件。</w:t>
            </w:r>
          </w:p>
          <w:p>
            <w:pPr>
              <w:snapToGrid w:val="0"/>
              <w:spacing w:after="0" w:line="500" w:lineRule="exact"/>
              <w:rPr>
                <w:rFonts w:ascii="微软雅黑" w:hAnsi="微软雅黑" w:eastAsia="微软雅黑"/>
                <w:szCs w:val="21"/>
                <w:highlight w:val="none"/>
              </w:rPr>
            </w:pPr>
            <w:r>
              <w:rPr>
                <w:rFonts w:hint="eastAsia" w:ascii="微软雅黑" w:hAnsi="微软雅黑" w:eastAsia="微软雅黑" w:cs="宋体"/>
                <w:bCs/>
                <w:szCs w:val="21"/>
                <w:highlight w:val="none"/>
              </w:rPr>
              <w:t>（2）“备份竞争性磋商响应文件”是指与“电子加密竞争性磋商响应文件”同时生成的数据电文形式的电子文件（备份标书），其他方式编制的备份竞争性磋商响应文件视为无效备份竞争性磋商响应文件。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11</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cs="宋体"/>
                <w:szCs w:val="21"/>
                <w:highlight w:val="none"/>
              </w:rPr>
              <w:t>竞争性磋商响应文件份数：</w:t>
            </w:r>
            <w:r>
              <w:rPr>
                <w:rFonts w:hint="eastAsia" w:ascii="微软雅黑" w:hAnsi="微软雅黑" w:eastAsia="微软雅黑" w:cs="宋体"/>
                <w:bCs/>
                <w:szCs w:val="21"/>
                <w:highlight w:val="none"/>
              </w:rPr>
              <w:t>（1）“电子加密竞争性磋商响应文件”：在线上传递交。（2）“备份竞争性磋商响应文件”：密封包装后（邮寄形式）投标截止时间前递交、一份（邮寄地址：嘉兴市银建工程咨询评估有限公司（嘉兴市秀洲区洪兴路239号宝地大厦1503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12</w:t>
            </w:r>
          </w:p>
        </w:tc>
        <w:tc>
          <w:tcPr>
            <w:tcW w:w="835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竞争性磋商响应文件的上传和递交：</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（1）“电子加密竞争性磋商响应文件”的上传、递交：</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a.投标供应商应在投标截止时间前将“电子加密竞争性磋商响应文件”成功上传递交至“政府采购云平台”，否则投标无效。</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b.“电子加密竞争性磋商响应文件”成功上传递交后，供应商可自行打印竞争性磋商响应文件接收回执。</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（2）“备份竞争性磋商响应文件”的密封包装、递交：</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a、投标供应商在“政府采购云平台”完成“电子加密竞争性磋商响应文件”的上传递交后，还可以（邮寄形式）在投标截止时间前递交以介质（U盘）存储的“备份竞争性磋商响应文件”（一份）；</w:t>
            </w:r>
          </w:p>
          <w:p>
            <w:pPr>
              <w:spacing w:after="0" w:line="500" w:lineRule="exact"/>
              <w:jc w:val="left"/>
              <w:rPr>
                <w:rFonts w:ascii="微软雅黑" w:hAnsi="微软雅黑" w:eastAsia="微软雅黑" w:cs="宋体"/>
                <w:bCs/>
                <w:szCs w:val="21"/>
                <w:highlight w:val="none"/>
              </w:rPr>
            </w:pPr>
            <w:r>
              <w:rPr>
                <w:rFonts w:hint="eastAsia" w:ascii="微软雅黑" w:hAnsi="微软雅黑" w:eastAsia="微软雅黑" w:cs="宋体"/>
                <w:bCs/>
                <w:szCs w:val="21"/>
                <w:highlight w:val="none"/>
              </w:rPr>
              <w:t>b.“备份竞争性磋商响应文件”应当密封包装，并在包装上标注投标项目名称、投标单位名称并加盖公章。没有密封包装或者逾期邮寄送达至上述邮寄地点的“备份竞争性磋商响应文件”将不予接收；</w:t>
            </w:r>
          </w:p>
          <w:p>
            <w:pPr>
              <w:snapToGrid w:val="0"/>
              <w:spacing w:after="0" w:line="500" w:lineRule="exact"/>
              <w:rPr>
                <w:rFonts w:ascii="微软雅黑" w:hAnsi="微软雅黑" w:eastAsia="微软雅黑"/>
                <w:szCs w:val="21"/>
                <w:highlight w:val="none"/>
              </w:rPr>
            </w:pPr>
            <w:r>
              <w:rPr>
                <w:rFonts w:hint="eastAsia" w:ascii="微软雅黑" w:hAnsi="微软雅黑" w:eastAsia="微软雅黑" w:cs="宋体"/>
                <w:bCs/>
                <w:szCs w:val="21"/>
                <w:highlight w:val="none"/>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13</w:t>
            </w:r>
          </w:p>
        </w:tc>
        <w:tc>
          <w:tcPr>
            <w:tcW w:w="8350" w:type="dxa"/>
            <w:tcBorders>
              <w:top w:val="single" w:color="auto" w:sz="4" w:space="0"/>
              <w:left w:val="single" w:color="auto" w:sz="4" w:space="0"/>
              <w:bottom w:val="single" w:color="auto" w:sz="4" w:space="0"/>
              <w:right w:val="single" w:color="auto" w:sz="4" w:space="0"/>
            </w:tcBorders>
            <w:vAlign w:val="center"/>
          </w:tcPr>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电子加密竞争性磋商响应文件的解密和异常情况处理：</w:t>
            </w:r>
          </w:p>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（1）开标后，采购组织机构将向各投标供应商发出“电子加密竞争性磋商响应文件”的解密通知，各投标供应商代表应当在接到解密通知后30分钟内自行完成“电子加密竞争性磋商响应文件”的在线解密。</w:t>
            </w:r>
          </w:p>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2）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传成功后，“电子加密竞争性磋商响应文件”自动失效），否则视为竞争性磋商响应文件撤回。</w:t>
            </w:r>
          </w:p>
          <w:p>
            <w:pPr>
              <w:spacing w:after="0" w:line="500" w:lineRule="exact"/>
              <w:jc w:val="left"/>
              <w:rPr>
                <w:rFonts w:ascii="微软雅黑" w:hAnsi="微软雅黑" w:eastAsia="微软雅黑" w:cs="宋体"/>
                <w:szCs w:val="21"/>
                <w:highlight w:val="none"/>
              </w:rPr>
            </w:pPr>
            <w:r>
              <w:rPr>
                <w:rFonts w:hint="eastAsia" w:ascii="微软雅黑" w:hAnsi="微软雅黑" w:eastAsia="微软雅黑" w:cs="宋体"/>
                <w:szCs w:val="21"/>
                <w:highlight w:val="none"/>
              </w:rPr>
              <w:t>（3）投标截止时间前，投标供应商仅递交了“备份竞争性磋商响应文件”而未将电子加密竞争性磋商响应文件上传至“政府采购云平台”的，投标无效。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14</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szCs w:val="21"/>
                <w:highlight w:val="none"/>
              </w:rPr>
              <w:t>投标截止时间及地点：</w:t>
            </w:r>
            <w:r>
              <w:rPr>
                <w:rStyle w:val="195"/>
                <w:rFonts w:hint="eastAsia" w:ascii="微软雅黑" w:hAnsi="微软雅黑" w:eastAsia="微软雅黑" w:cs="Arial"/>
                <w:szCs w:val="21"/>
                <w:highlight w:val="none"/>
                <w:u w:val="single"/>
              </w:rPr>
              <w:t>2022年</w:t>
            </w:r>
            <w:r>
              <w:rPr>
                <w:rStyle w:val="195"/>
                <w:rFonts w:hint="eastAsia" w:ascii="微软雅黑" w:hAnsi="微软雅黑" w:eastAsia="微软雅黑" w:cs="Arial"/>
                <w:szCs w:val="21"/>
                <w:highlight w:val="none"/>
                <w:u w:val="single"/>
                <w:lang w:eastAsia="zh-CN"/>
              </w:rPr>
              <w:t>10月12日</w:t>
            </w:r>
            <w:r>
              <w:rPr>
                <w:rFonts w:hint="eastAsia" w:ascii="微软雅黑" w:hAnsi="微软雅黑" w:eastAsia="微软雅黑" w:cs="Arial"/>
                <w:szCs w:val="21"/>
                <w:highlight w:val="none"/>
                <w:u w:val="single"/>
              </w:rPr>
              <w:t xml:space="preserve"> 14</w:t>
            </w:r>
            <w:r>
              <w:rPr>
                <w:rStyle w:val="195"/>
                <w:rFonts w:hint="eastAsia" w:ascii="微软雅黑" w:hAnsi="微软雅黑" w:eastAsia="微软雅黑" w:cs="Arial"/>
                <w:szCs w:val="21"/>
                <w:highlight w:val="none"/>
                <w:u w:val="single"/>
              </w:rPr>
              <w:t xml:space="preserve">：00 </w:t>
            </w:r>
            <w:r>
              <w:rPr>
                <w:rFonts w:hint="eastAsia" w:ascii="微软雅黑" w:hAnsi="微软雅黑" w:eastAsia="微软雅黑"/>
                <w:szCs w:val="21"/>
                <w:highlight w:val="none"/>
              </w:rPr>
              <w:t>，政采云线上投标；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15</w:t>
            </w:r>
          </w:p>
        </w:tc>
        <w:tc>
          <w:tcPr>
            <w:tcW w:w="8350" w:type="dxa"/>
            <w:tcBorders>
              <w:top w:val="single" w:color="auto" w:sz="4" w:space="0"/>
              <w:left w:val="single" w:color="auto" w:sz="4" w:space="0"/>
              <w:bottom w:val="single" w:color="auto" w:sz="4" w:space="0"/>
              <w:right w:val="single" w:color="auto" w:sz="4" w:space="0"/>
            </w:tcBorders>
            <w:vAlign w:val="center"/>
          </w:tcPr>
          <w:p>
            <w:pPr>
              <w:widowControl/>
              <w:snapToGrid w:val="0"/>
              <w:spacing w:after="0" w:line="500" w:lineRule="exact"/>
              <w:jc w:val="left"/>
              <w:rPr>
                <w:rFonts w:ascii="微软雅黑" w:hAnsi="微软雅黑" w:eastAsia="微软雅黑"/>
                <w:szCs w:val="21"/>
                <w:highlight w:val="none"/>
              </w:rPr>
            </w:pPr>
            <w:r>
              <w:rPr>
                <w:rFonts w:hint="eastAsia" w:ascii="微软雅黑" w:hAnsi="微软雅黑" w:eastAsia="微软雅黑"/>
                <w:szCs w:val="21"/>
                <w:highlight w:val="none"/>
              </w:rPr>
              <w:t>开标时间及地点：</w:t>
            </w:r>
            <w:r>
              <w:rPr>
                <w:rStyle w:val="195"/>
                <w:rFonts w:hint="eastAsia" w:ascii="微软雅黑" w:hAnsi="微软雅黑" w:eastAsia="微软雅黑" w:cs="Arial"/>
                <w:szCs w:val="21"/>
                <w:highlight w:val="none"/>
                <w:u w:val="single"/>
              </w:rPr>
              <w:t>2022年</w:t>
            </w:r>
            <w:r>
              <w:rPr>
                <w:rStyle w:val="195"/>
                <w:rFonts w:hint="eastAsia" w:ascii="微软雅黑" w:hAnsi="微软雅黑" w:eastAsia="微软雅黑" w:cs="Arial"/>
                <w:szCs w:val="21"/>
                <w:highlight w:val="none"/>
                <w:u w:val="single"/>
                <w:lang w:eastAsia="zh-CN"/>
              </w:rPr>
              <w:t>10月12日</w:t>
            </w:r>
            <w:r>
              <w:rPr>
                <w:rFonts w:hint="eastAsia" w:ascii="微软雅黑" w:hAnsi="微软雅黑" w:eastAsia="微软雅黑" w:cs="Arial"/>
                <w:szCs w:val="21"/>
                <w:highlight w:val="none"/>
                <w:u w:val="single"/>
              </w:rPr>
              <w:t>14</w:t>
            </w:r>
            <w:r>
              <w:rPr>
                <w:rStyle w:val="195"/>
                <w:rFonts w:hint="eastAsia" w:ascii="微软雅黑" w:hAnsi="微软雅黑" w:eastAsia="微软雅黑" w:cs="Arial"/>
                <w:szCs w:val="21"/>
                <w:highlight w:val="none"/>
                <w:u w:val="single"/>
              </w:rPr>
              <w:t xml:space="preserve">：00 </w:t>
            </w:r>
            <w:r>
              <w:rPr>
                <w:rStyle w:val="195"/>
                <w:rFonts w:hint="eastAsia" w:ascii="微软雅黑" w:hAnsi="微软雅黑" w:eastAsia="微软雅黑" w:cs="Arial"/>
                <w:szCs w:val="21"/>
                <w:highlight w:val="none"/>
              </w:rPr>
              <w:t>；</w:t>
            </w:r>
            <w:r>
              <w:rPr>
                <w:rFonts w:hint="eastAsia" w:ascii="微软雅黑" w:hAnsi="微软雅黑" w:eastAsia="微软雅黑" w:cs="宋体"/>
                <w:kern w:val="0"/>
                <w:szCs w:val="21"/>
                <w:highlight w:val="none"/>
              </w:rPr>
              <w:t>嘉兴市洪兴路2399号宝地大厦1506室开标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16</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投标费用：中标单位支付招标代理服务费（收费标准详见竞争性磋商文件）；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17</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18</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评标结果公告：评标结束后</w:t>
            </w:r>
            <w:r>
              <w:rPr>
                <w:rFonts w:ascii="微软雅黑" w:hAnsi="微软雅黑" w:eastAsia="微软雅黑"/>
                <w:szCs w:val="21"/>
                <w:highlight w:val="none"/>
              </w:rPr>
              <w:t>2</w:t>
            </w:r>
            <w:r>
              <w:rPr>
                <w:rFonts w:hint="eastAsia" w:ascii="微软雅黑" w:hAnsi="微软雅黑" w:eastAsia="微软雅黑"/>
                <w:szCs w:val="21"/>
                <w:highlight w:val="none"/>
              </w:rPr>
              <w:t>天内，评标结果公告于</w:t>
            </w:r>
            <w:r>
              <w:rPr>
                <w:rFonts w:hint="eastAsia" w:ascii="微软雅黑" w:hAnsi="微软雅黑" w:eastAsia="微软雅黑" w:cs="Arial"/>
                <w:szCs w:val="21"/>
                <w:highlight w:val="none"/>
              </w:rPr>
              <w:t>浙江政府采购网(</w:t>
            </w:r>
            <w:r>
              <w:rPr>
                <w:rFonts w:ascii="微软雅黑" w:hAnsi="微软雅黑" w:eastAsia="微软雅黑"/>
                <w:szCs w:val="21"/>
                <w:highlight w:val="none"/>
              </w:rPr>
              <w:t>https://zfcg.czt.zj.gov.cn/</w:t>
            </w:r>
            <w:r>
              <w:rPr>
                <w:rFonts w:hint="eastAsia" w:ascii="微软雅黑" w:hAnsi="微软雅黑" w:eastAsia="微软雅黑" w:cs="Arial"/>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19</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中标公告：中标公告发布于上述媒体，公告1个工作日；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20</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履约保证金的收取及退还：本项目不设置履约保证金。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9"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21</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22</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竞争性磋商响应文件有效期：</w:t>
            </w:r>
            <w:r>
              <w:rPr>
                <w:rFonts w:hint="eastAsia" w:ascii="微软雅黑" w:hAnsi="微软雅黑" w:eastAsia="微软雅黑" w:cs="Arial"/>
                <w:szCs w:val="21"/>
                <w:highlight w:val="none"/>
                <w:u w:val="single"/>
              </w:rPr>
              <w:t>60</w:t>
            </w:r>
            <w:r>
              <w:rPr>
                <w:rFonts w:hint="eastAsia" w:ascii="微软雅黑" w:hAnsi="微软雅黑" w:eastAsia="微软雅黑" w:cs="Arial"/>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23</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cs="宋体"/>
                <w:kern w:val="0"/>
                <w:szCs w:val="21"/>
                <w:highlight w:val="none"/>
              </w:rPr>
              <w:t>网上注册：</w:t>
            </w:r>
            <w:r>
              <w:rPr>
                <w:rFonts w:ascii="微软雅黑" w:hAnsi="微软雅黑" w:eastAsia="微软雅黑" w:cs="宋体"/>
                <w:kern w:val="0"/>
                <w:szCs w:val="21"/>
                <w:highlight w:val="none"/>
              </w:rPr>
              <w:br w:type="textWrapping"/>
            </w:r>
            <w:r>
              <w:rPr>
                <w:rFonts w:hint="eastAsia" w:ascii="微软雅黑" w:hAnsi="微软雅黑" w:eastAsia="微软雅黑" w:cs="宋体"/>
                <w:kern w:val="0"/>
                <w:szCs w:val="21"/>
                <w:highlight w:val="none"/>
              </w:rPr>
              <w:t>本项目不接受现场报名，须注册后进行网上报名。在浙江政府采购网进行供应商注册后完成报名；（详情请见第一章公告“七、报名及竞争性磋商文件的获取”）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24</w:t>
            </w:r>
          </w:p>
        </w:tc>
        <w:tc>
          <w:tcPr>
            <w:tcW w:w="835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rPr>
                <w:rFonts w:ascii="微软雅黑" w:hAnsi="微软雅黑" w:eastAsia="微软雅黑"/>
                <w:szCs w:val="21"/>
                <w:highlight w:val="none"/>
              </w:rPr>
            </w:pPr>
            <w:r>
              <w:rPr>
                <w:rFonts w:hint="eastAsia" w:ascii="微软雅黑" w:hAnsi="微软雅黑" w:eastAsia="微软雅黑" w:cs="宋体"/>
                <w:szCs w:val="21"/>
                <w:highlight w:val="none"/>
              </w:rPr>
              <w:t>注：根据</w:t>
            </w:r>
            <w:r>
              <w:rPr>
                <w:rFonts w:ascii="微软雅黑" w:hAnsi="微软雅黑" w:eastAsia="微软雅黑" w:cs="Arial"/>
                <w:szCs w:val="21"/>
                <w:highlight w:val="none"/>
              </w:rPr>
              <w:t>财库</w:t>
            </w:r>
            <w:r>
              <w:rPr>
                <w:rFonts w:hint="eastAsia" w:ascii="微软雅黑" w:hAnsi="微软雅黑" w:eastAsia="微软雅黑" w:cs="Arial"/>
                <w:szCs w:val="21"/>
                <w:highlight w:val="none"/>
              </w:rPr>
              <w:t>（[</w:t>
            </w:r>
            <w:r>
              <w:rPr>
                <w:rFonts w:ascii="微软雅黑" w:hAnsi="微软雅黑" w:eastAsia="微软雅黑" w:cs="Arial"/>
                <w:szCs w:val="21"/>
                <w:highlight w:val="none"/>
              </w:rPr>
              <w:t>2015</w:t>
            </w:r>
            <w:r>
              <w:rPr>
                <w:rFonts w:hint="eastAsia" w:ascii="微软雅黑" w:hAnsi="微软雅黑" w:eastAsia="微软雅黑" w:cs="Arial"/>
                <w:szCs w:val="21"/>
                <w:highlight w:val="none"/>
              </w:rPr>
              <w:t>]</w:t>
            </w:r>
            <w:r>
              <w:rPr>
                <w:rFonts w:ascii="微软雅黑" w:hAnsi="微软雅黑" w:eastAsia="微软雅黑" w:cs="Arial"/>
                <w:szCs w:val="21"/>
                <w:highlight w:val="none"/>
              </w:rPr>
              <w:t xml:space="preserve"> 124号）</w:t>
            </w:r>
            <w:r>
              <w:rPr>
                <w:rFonts w:hint="eastAsia" w:ascii="微软雅黑" w:hAnsi="微软雅黑" w:eastAsia="微软雅黑" w:cs="Arial"/>
                <w:szCs w:val="21"/>
                <w:highlight w:val="none"/>
              </w:rPr>
              <w:t>采用竞争性磋商采购方式采购的政府购买服务项目（含政府和社会资本合作项目），在采购过程中符合要求的供应商（社会资本）只有</w:t>
            </w:r>
            <w:r>
              <w:rPr>
                <w:rFonts w:ascii="微软雅黑" w:hAnsi="微软雅黑" w:eastAsia="微软雅黑" w:cs="Arial"/>
                <w:szCs w:val="21"/>
                <w:highlight w:val="none"/>
              </w:rPr>
              <w:t>2</w:t>
            </w:r>
            <w:r>
              <w:rPr>
                <w:rFonts w:hint="eastAsia" w:ascii="微软雅黑" w:hAnsi="微软雅黑" w:eastAsia="微软雅黑" w:cs="Arial"/>
                <w:szCs w:val="21"/>
                <w:highlight w:val="none"/>
              </w:rPr>
              <w:t>家的，竞争性磋商采购活动可以继续进行</w:t>
            </w:r>
            <w:r>
              <w:rPr>
                <w:rFonts w:ascii="微软雅黑" w:hAnsi="微软雅黑" w:eastAsia="微软雅黑" w:cs="Arial"/>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pPr>
              <w:snapToGrid w:val="0"/>
              <w:spacing w:after="0" w:line="500" w:lineRule="exact"/>
              <w:jc w:val="center"/>
              <w:rPr>
                <w:rFonts w:ascii="微软雅黑" w:hAnsi="微软雅黑" w:eastAsia="微软雅黑"/>
                <w:szCs w:val="21"/>
                <w:highlight w:val="none"/>
              </w:rPr>
            </w:pPr>
            <w:r>
              <w:rPr>
                <w:rFonts w:hint="eastAsia" w:ascii="微软雅黑" w:hAnsi="微软雅黑" w:eastAsia="微软雅黑"/>
                <w:szCs w:val="21"/>
                <w:highlight w:val="none"/>
              </w:rPr>
              <w:t>25</w:t>
            </w:r>
          </w:p>
        </w:tc>
        <w:tc>
          <w:tcPr>
            <w:tcW w:w="835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after="0" w:line="500" w:lineRule="exact"/>
              <w:textAlignment w:val="bottom"/>
              <w:rPr>
                <w:rFonts w:ascii="微软雅黑" w:hAnsi="微软雅黑" w:eastAsia="微软雅黑"/>
                <w:szCs w:val="21"/>
                <w:highlight w:val="none"/>
              </w:rPr>
            </w:pPr>
            <w:r>
              <w:rPr>
                <w:rFonts w:hint="eastAsia" w:ascii="微软雅黑" w:hAnsi="微软雅黑" w:eastAsia="微软雅黑"/>
                <w:szCs w:val="21"/>
                <w:highlight w:val="none"/>
              </w:rPr>
              <w:t>解释：本竞争性磋商文件的解释权属于招标采购单位。</w:t>
            </w:r>
          </w:p>
        </w:tc>
      </w:tr>
    </w:tbl>
    <w:p>
      <w:pPr>
        <w:rPr>
          <w:highlight w:val="none"/>
        </w:rPr>
      </w:pPr>
      <w:bookmarkStart w:id="11" w:name="_Toc493699292"/>
      <w:bookmarkStart w:id="12" w:name="_Toc192313101"/>
    </w:p>
    <w:p>
      <w:pPr>
        <w:pStyle w:val="4"/>
        <w:spacing w:before="0" w:after="0" w:line="480" w:lineRule="exact"/>
        <w:rPr>
          <w:rFonts w:ascii="微软雅黑" w:hAnsi="微软雅黑" w:eastAsia="微软雅黑"/>
          <w:sz w:val="21"/>
          <w:szCs w:val="21"/>
          <w:highlight w:val="none"/>
        </w:rPr>
      </w:pPr>
      <w:bookmarkStart w:id="13" w:name="_Toc53062672"/>
      <w:bookmarkStart w:id="14" w:name="_Toc40788010"/>
      <w:bookmarkStart w:id="15" w:name="_Toc89266798"/>
      <w:r>
        <w:rPr>
          <w:rFonts w:hint="eastAsia" w:ascii="微软雅黑" w:hAnsi="微软雅黑" w:eastAsia="微软雅黑"/>
          <w:sz w:val="21"/>
          <w:szCs w:val="21"/>
          <w:highlight w:val="none"/>
        </w:rPr>
        <w:t>一 总则</w:t>
      </w:r>
      <w:bookmarkEnd w:id="11"/>
      <w:bookmarkEnd w:id="12"/>
      <w:bookmarkEnd w:id="13"/>
      <w:bookmarkEnd w:id="14"/>
      <w:bookmarkEnd w:id="15"/>
    </w:p>
    <w:p>
      <w:pPr>
        <w:snapToGrid w:val="0"/>
        <w:spacing w:after="0" w:line="500" w:lineRule="exact"/>
        <w:ind w:firstLine="420" w:firstLineChars="200"/>
        <w:jc w:val="left"/>
        <w:outlineLvl w:val="1"/>
        <w:rPr>
          <w:rFonts w:ascii="微软雅黑" w:hAnsi="微软雅黑" w:eastAsia="微软雅黑"/>
          <w:b/>
          <w:szCs w:val="21"/>
          <w:highlight w:val="none"/>
        </w:rPr>
      </w:pPr>
      <w:bookmarkStart w:id="16" w:name="_Toc487793381"/>
      <w:bookmarkStart w:id="17" w:name="_Toc177824939"/>
      <w:bookmarkStart w:id="18" w:name="_Toc177824872"/>
      <w:bookmarkStart w:id="19" w:name="_Toc448487530"/>
      <w:bookmarkStart w:id="20" w:name="_Toc40788011"/>
      <w:bookmarkStart w:id="21" w:name="_Toc493082109"/>
      <w:bookmarkStart w:id="22" w:name="_Toc192313102"/>
      <w:bookmarkStart w:id="23" w:name="_Toc493699293"/>
      <w:bookmarkStart w:id="24" w:name="_Toc487802088"/>
      <w:bookmarkStart w:id="25" w:name="_Toc437979771"/>
      <w:bookmarkStart w:id="26" w:name="_Toc53062673"/>
      <w:bookmarkStart w:id="27" w:name="_Toc89266799"/>
      <w:bookmarkStart w:id="28" w:name="_Toc487802019"/>
      <w:bookmarkStart w:id="29" w:name="_Toc177825120"/>
      <w:bookmarkStart w:id="30" w:name="_Toc177870537"/>
      <w:r>
        <w:rPr>
          <w:rFonts w:hint="eastAsia" w:ascii="微软雅黑" w:hAnsi="微软雅黑" w:eastAsia="微软雅黑"/>
          <w:b/>
          <w:szCs w:val="21"/>
          <w:highlight w:val="none"/>
        </w:rPr>
        <w:t>1、适用范围</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p>
      <w:pPr>
        <w:snapToGrid w:val="0"/>
        <w:spacing w:after="0" w:line="500" w:lineRule="exact"/>
        <w:ind w:firstLine="420" w:firstLineChars="200"/>
        <w:jc w:val="left"/>
        <w:outlineLvl w:val="1"/>
        <w:rPr>
          <w:rFonts w:ascii="微软雅黑" w:hAnsi="微软雅黑" w:eastAsia="微软雅黑"/>
          <w:szCs w:val="21"/>
          <w:highlight w:val="none"/>
        </w:rPr>
      </w:pPr>
      <w:bookmarkStart w:id="31" w:name="_Toc40788012"/>
      <w:bookmarkStart w:id="32" w:name="_Toc53062674"/>
      <w:bookmarkStart w:id="33" w:name="_Toc89266800"/>
      <w:r>
        <w:rPr>
          <w:rFonts w:hint="eastAsia" w:ascii="微软雅黑" w:hAnsi="微软雅黑" w:eastAsia="微软雅黑"/>
          <w:szCs w:val="21"/>
          <w:highlight w:val="none"/>
        </w:rPr>
        <w:t>1.1、本磋商文件适用于本项目的磋商。</w:t>
      </w:r>
      <w:bookmarkEnd w:id="31"/>
      <w:bookmarkEnd w:id="32"/>
      <w:bookmarkEnd w:id="33"/>
      <w:bookmarkStart w:id="34" w:name="_Toc487802020"/>
      <w:bookmarkStart w:id="35" w:name="_Toc448487531"/>
      <w:bookmarkStart w:id="36" w:name="_Toc487793382"/>
      <w:bookmarkStart w:id="37" w:name="_Toc493082110"/>
      <w:bookmarkStart w:id="38" w:name="_Toc493699294"/>
      <w:bookmarkStart w:id="39" w:name="_Toc177824940"/>
      <w:bookmarkStart w:id="40" w:name="_Toc192313103"/>
      <w:bookmarkStart w:id="41" w:name="_Toc177870538"/>
      <w:bookmarkStart w:id="42" w:name="_Toc487802089"/>
      <w:bookmarkStart w:id="43" w:name="_Toc177825121"/>
      <w:bookmarkStart w:id="44" w:name="_Toc437979772"/>
      <w:bookmarkStart w:id="45" w:name="_Toc177824873"/>
    </w:p>
    <w:p>
      <w:pPr>
        <w:snapToGrid w:val="0"/>
        <w:spacing w:after="0" w:line="500" w:lineRule="exact"/>
        <w:ind w:firstLine="420" w:firstLineChars="200"/>
        <w:jc w:val="left"/>
        <w:outlineLvl w:val="1"/>
        <w:rPr>
          <w:rFonts w:ascii="微软雅黑" w:hAnsi="微软雅黑" w:eastAsia="微软雅黑"/>
          <w:b/>
          <w:szCs w:val="21"/>
          <w:highlight w:val="none"/>
        </w:rPr>
      </w:pPr>
      <w:bookmarkStart w:id="46" w:name="_Toc89266801"/>
      <w:bookmarkStart w:id="47" w:name="_Toc40788013"/>
      <w:bookmarkStart w:id="48" w:name="_Toc53062675"/>
      <w:r>
        <w:rPr>
          <w:rFonts w:hint="eastAsia" w:ascii="微软雅黑" w:hAnsi="微软雅黑" w:eastAsia="微软雅黑"/>
          <w:b/>
          <w:szCs w:val="21"/>
          <w:highlight w:val="none"/>
        </w:rPr>
        <w:t>2、定义</w:t>
      </w:r>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pPr>
        <w:snapToGrid w:val="0"/>
        <w:spacing w:after="0" w:line="500" w:lineRule="exact"/>
        <w:ind w:firstLine="420" w:firstLineChars="200"/>
        <w:jc w:val="left"/>
        <w:outlineLvl w:val="1"/>
        <w:rPr>
          <w:rFonts w:ascii="微软雅黑" w:hAnsi="微软雅黑" w:eastAsia="微软雅黑"/>
          <w:szCs w:val="21"/>
          <w:highlight w:val="none"/>
        </w:rPr>
      </w:pPr>
      <w:bookmarkStart w:id="49" w:name="_Toc40788014"/>
      <w:bookmarkStart w:id="50" w:name="_Toc89266802"/>
      <w:bookmarkStart w:id="51" w:name="_Toc53062676"/>
      <w:r>
        <w:rPr>
          <w:rFonts w:hint="eastAsia" w:ascii="微软雅黑" w:hAnsi="微软雅黑" w:eastAsia="微软雅黑"/>
          <w:szCs w:val="21"/>
          <w:highlight w:val="none"/>
        </w:rPr>
        <w:t>2.1、“供应商”系指向代理机构提交磋商文件的供应商。</w:t>
      </w:r>
      <w:bookmarkEnd w:id="49"/>
      <w:bookmarkEnd w:id="50"/>
      <w:bookmarkEnd w:id="51"/>
    </w:p>
    <w:p>
      <w:pPr>
        <w:snapToGrid w:val="0"/>
        <w:spacing w:after="0" w:line="500" w:lineRule="exact"/>
        <w:ind w:firstLine="420" w:firstLineChars="200"/>
        <w:jc w:val="left"/>
        <w:outlineLvl w:val="1"/>
        <w:rPr>
          <w:rFonts w:ascii="微软雅黑" w:hAnsi="微软雅黑" w:eastAsia="微软雅黑"/>
          <w:szCs w:val="21"/>
          <w:highlight w:val="none"/>
        </w:rPr>
      </w:pPr>
      <w:bookmarkStart w:id="52" w:name="_Toc53062677"/>
      <w:bookmarkStart w:id="53" w:name="_Toc89266803"/>
      <w:bookmarkStart w:id="54" w:name="_Toc40788015"/>
      <w:r>
        <w:rPr>
          <w:rFonts w:hint="eastAsia" w:ascii="微软雅黑" w:hAnsi="微软雅黑" w:eastAsia="微软雅黑"/>
          <w:szCs w:val="21"/>
          <w:highlight w:val="none"/>
        </w:rPr>
        <w:t>2.2、“产品”系指供方按磋商文件规定，须向采购人提供的一切设备、保险、税金、备品备件、工具、手册及其它有关技术资料和材料。</w:t>
      </w:r>
      <w:bookmarkEnd w:id="52"/>
      <w:bookmarkEnd w:id="53"/>
      <w:bookmarkEnd w:id="54"/>
    </w:p>
    <w:p>
      <w:pPr>
        <w:snapToGrid w:val="0"/>
        <w:spacing w:after="0" w:line="500" w:lineRule="exact"/>
        <w:ind w:firstLine="420" w:firstLineChars="200"/>
        <w:jc w:val="left"/>
        <w:outlineLvl w:val="1"/>
        <w:rPr>
          <w:rFonts w:ascii="微软雅黑" w:hAnsi="微软雅黑" w:eastAsia="微软雅黑"/>
          <w:szCs w:val="21"/>
          <w:highlight w:val="none"/>
        </w:rPr>
      </w:pPr>
      <w:bookmarkStart w:id="55" w:name="_Toc89266804"/>
      <w:bookmarkStart w:id="56" w:name="_Toc40788016"/>
      <w:bookmarkStart w:id="57" w:name="_Toc53062678"/>
      <w:r>
        <w:rPr>
          <w:rFonts w:hint="eastAsia" w:ascii="微软雅黑" w:hAnsi="微软雅黑" w:eastAsia="微软雅黑"/>
          <w:szCs w:val="21"/>
          <w:highlight w:val="none"/>
        </w:rPr>
        <w:t>2.3、“服务”系指磋商文件规定供应商须承担的安装、调试、技术协助、校准、培训、技术指导以及其他类似的义务。</w:t>
      </w:r>
      <w:bookmarkEnd w:id="55"/>
      <w:bookmarkEnd w:id="56"/>
      <w:bookmarkEnd w:id="57"/>
    </w:p>
    <w:p>
      <w:pPr>
        <w:snapToGrid w:val="0"/>
        <w:spacing w:after="0" w:line="500" w:lineRule="exact"/>
        <w:ind w:firstLine="420" w:firstLineChars="200"/>
        <w:jc w:val="left"/>
        <w:outlineLvl w:val="1"/>
        <w:rPr>
          <w:rFonts w:ascii="微软雅黑" w:hAnsi="微软雅黑" w:eastAsia="微软雅黑"/>
          <w:szCs w:val="21"/>
          <w:highlight w:val="none"/>
        </w:rPr>
      </w:pPr>
      <w:bookmarkStart w:id="58" w:name="_Toc40788017"/>
      <w:bookmarkStart w:id="59" w:name="_Toc89266805"/>
      <w:bookmarkStart w:id="60" w:name="_Toc53062679"/>
      <w:r>
        <w:rPr>
          <w:rFonts w:hint="eastAsia" w:ascii="微软雅黑" w:hAnsi="微软雅黑" w:eastAsia="微软雅黑"/>
          <w:szCs w:val="21"/>
          <w:highlight w:val="none"/>
        </w:rPr>
        <w:t>2.4、“项目”系指供应商按磋商文件规定向采购人提供的产品和服务。</w:t>
      </w:r>
      <w:bookmarkEnd w:id="58"/>
      <w:bookmarkEnd w:id="59"/>
      <w:bookmarkEnd w:id="60"/>
    </w:p>
    <w:p>
      <w:pPr>
        <w:snapToGrid w:val="0"/>
        <w:spacing w:after="0" w:line="500" w:lineRule="exact"/>
        <w:ind w:firstLine="420" w:firstLineChars="200"/>
        <w:jc w:val="left"/>
        <w:outlineLvl w:val="1"/>
        <w:rPr>
          <w:rFonts w:ascii="微软雅黑" w:hAnsi="微软雅黑" w:eastAsia="微软雅黑"/>
          <w:szCs w:val="21"/>
          <w:highlight w:val="none"/>
        </w:rPr>
      </w:pPr>
      <w:bookmarkStart w:id="61" w:name="_Toc89266806"/>
      <w:bookmarkStart w:id="62" w:name="_Toc40788018"/>
      <w:bookmarkStart w:id="63" w:name="_Toc53062680"/>
      <w:r>
        <w:rPr>
          <w:rFonts w:hint="eastAsia" w:ascii="微软雅黑" w:hAnsi="微软雅黑" w:eastAsia="微软雅黑"/>
          <w:szCs w:val="21"/>
          <w:highlight w:val="none"/>
        </w:rPr>
        <w:t>2.5、“书面形式”包括信函、传真、电报、电子文档等。</w:t>
      </w:r>
      <w:bookmarkEnd w:id="61"/>
      <w:bookmarkEnd w:id="62"/>
      <w:bookmarkEnd w:id="63"/>
    </w:p>
    <w:p>
      <w:pPr>
        <w:snapToGrid w:val="0"/>
        <w:spacing w:after="0" w:line="500" w:lineRule="exact"/>
        <w:ind w:firstLine="420" w:firstLineChars="200"/>
        <w:jc w:val="left"/>
        <w:outlineLvl w:val="1"/>
        <w:rPr>
          <w:rFonts w:ascii="微软雅黑" w:hAnsi="微软雅黑" w:eastAsia="微软雅黑"/>
          <w:szCs w:val="21"/>
          <w:highlight w:val="none"/>
        </w:rPr>
      </w:pPr>
      <w:bookmarkStart w:id="64" w:name="_Toc53062681"/>
      <w:bookmarkStart w:id="65" w:name="_Toc89266807"/>
      <w:bookmarkStart w:id="66" w:name="_Toc40788019"/>
      <w:r>
        <w:rPr>
          <w:rFonts w:hint="eastAsia" w:ascii="微软雅黑" w:hAnsi="微软雅黑" w:eastAsia="微软雅黑"/>
          <w:szCs w:val="21"/>
          <w:highlight w:val="none"/>
        </w:rPr>
        <w:t>2.6、“▲”系指实质性要求条款。</w:t>
      </w:r>
      <w:bookmarkEnd w:id="64"/>
      <w:bookmarkEnd w:id="65"/>
      <w:bookmarkEnd w:id="66"/>
      <w:bookmarkStart w:id="67" w:name="_Toc493082111"/>
      <w:bookmarkStart w:id="68" w:name="_Toc493699295"/>
      <w:bookmarkStart w:id="69" w:name="_Toc192313104"/>
      <w:bookmarkStart w:id="70" w:name="_Toc177870539"/>
      <w:bookmarkStart w:id="71" w:name="_Toc487802090"/>
      <w:bookmarkStart w:id="72" w:name="_Toc487793383"/>
      <w:bookmarkStart w:id="73" w:name="_Toc487802021"/>
      <w:bookmarkStart w:id="74" w:name="_Toc437979773"/>
      <w:bookmarkStart w:id="75" w:name="_Toc448487532"/>
    </w:p>
    <w:p>
      <w:pPr>
        <w:snapToGrid w:val="0"/>
        <w:spacing w:after="0" w:line="500" w:lineRule="exact"/>
        <w:ind w:firstLine="420" w:firstLineChars="200"/>
        <w:jc w:val="left"/>
        <w:outlineLvl w:val="1"/>
        <w:rPr>
          <w:rFonts w:ascii="微软雅黑" w:hAnsi="微软雅黑" w:eastAsia="微软雅黑"/>
          <w:b/>
          <w:szCs w:val="21"/>
          <w:highlight w:val="none"/>
        </w:rPr>
      </w:pPr>
      <w:bookmarkStart w:id="76" w:name="_Toc40788020"/>
      <w:bookmarkStart w:id="77" w:name="_Toc89266808"/>
      <w:bookmarkStart w:id="78" w:name="_Toc53062682"/>
      <w:r>
        <w:rPr>
          <w:rFonts w:hint="eastAsia" w:ascii="微软雅黑" w:hAnsi="微软雅黑" w:eastAsia="微软雅黑"/>
          <w:b/>
          <w:szCs w:val="21"/>
          <w:highlight w:val="none"/>
        </w:rPr>
        <w:t>3、磋商方式</w:t>
      </w:r>
      <w:bookmarkEnd w:id="67"/>
      <w:bookmarkEnd w:id="68"/>
      <w:bookmarkEnd w:id="69"/>
      <w:bookmarkEnd w:id="70"/>
      <w:bookmarkEnd w:id="71"/>
      <w:bookmarkEnd w:id="72"/>
      <w:bookmarkEnd w:id="73"/>
      <w:bookmarkEnd w:id="74"/>
      <w:bookmarkEnd w:id="75"/>
      <w:bookmarkEnd w:id="76"/>
      <w:bookmarkEnd w:id="77"/>
      <w:bookmarkEnd w:id="78"/>
    </w:p>
    <w:p>
      <w:pPr>
        <w:snapToGrid w:val="0"/>
        <w:spacing w:after="0" w:line="500" w:lineRule="exact"/>
        <w:ind w:firstLine="420" w:firstLineChars="200"/>
        <w:jc w:val="left"/>
        <w:outlineLvl w:val="1"/>
        <w:rPr>
          <w:rFonts w:ascii="微软雅黑" w:hAnsi="微软雅黑" w:eastAsia="微软雅黑"/>
          <w:szCs w:val="21"/>
          <w:highlight w:val="none"/>
        </w:rPr>
      </w:pPr>
      <w:bookmarkStart w:id="79" w:name="_Toc53062683"/>
      <w:bookmarkStart w:id="80" w:name="_Toc89266809"/>
      <w:bookmarkStart w:id="81" w:name="_Toc40788021"/>
      <w:r>
        <w:rPr>
          <w:rFonts w:hint="eastAsia" w:ascii="微软雅黑" w:hAnsi="微软雅黑" w:eastAsia="微软雅黑"/>
          <w:szCs w:val="21"/>
          <w:highlight w:val="none"/>
        </w:rPr>
        <w:t>3.1、本次磋商采用竞争性磋商方式进行。</w:t>
      </w:r>
      <w:bookmarkEnd w:id="79"/>
      <w:bookmarkEnd w:id="80"/>
      <w:bookmarkEnd w:id="81"/>
    </w:p>
    <w:p>
      <w:pPr>
        <w:snapToGrid w:val="0"/>
        <w:spacing w:after="0" w:line="500" w:lineRule="exact"/>
        <w:ind w:firstLine="420" w:firstLineChars="200"/>
        <w:jc w:val="left"/>
        <w:outlineLvl w:val="1"/>
        <w:rPr>
          <w:rFonts w:ascii="微软雅黑" w:hAnsi="微软雅黑" w:eastAsia="微软雅黑"/>
          <w:szCs w:val="21"/>
          <w:highlight w:val="none"/>
        </w:rPr>
      </w:pPr>
      <w:bookmarkStart w:id="82" w:name="_Toc40788022"/>
      <w:bookmarkStart w:id="83" w:name="_Toc53062684"/>
      <w:bookmarkStart w:id="84" w:name="_Toc89266810"/>
      <w:r>
        <w:rPr>
          <w:rFonts w:hint="eastAsia" w:ascii="微软雅黑" w:hAnsi="微软雅黑" w:eastAsia="微软雅黑"/>
          <w:szCs w:val="21"/>
          <w:highlight w:val="none"/>
        </w:rPr>
        <w:t>3.2、本次磋商设定上限价为预算价。</w:t>
      </w:r>
      <w:bookmarkEnd w:id="82"/>
      <w:bookmarkEnd w:id="83"/>
      <w:bookmarkEnd w:id="84"/>
      <w:bookmarkStart w:id="85" w:name="_Toc448487533"/>
      <w:bookmarkStart w:id="86" w:name="_Toc177824941"/>
      <w:bookmarkStart w:id="87" w:name="_Toc493699296"/>
      <w:bookmarkStart w:id="88" w:name="_Toc177824874"/>
      <w:bookmarkStart w:id="89" w:name="_Toc177870540"/>
      <w:bookmarkStart w:id="90" w:name="_Toc192313105"/>
      <w:bookmarkStart w:id="91" w:name="_Toc487793384"/>
      <w:bookmarkStart w:id="92" w:name="_Toc487802022"/>
      <w:bookmarkStart w:id="93" w:name="_Toc487802091"/>
      <w:bookmarkStart w:id="94" w:name="_Toc437979774"/>
      <w:bookmarkStart w:id="95" w:name="_Toc493082112"/>
      <w:bookmarkStart w:id="96" w:name="_Toc177825122"/>
    </w:p>
    <w:p>
      <w:pPr>
        <w:snapToGrid w:val="0"/>
        <w:spacing w:after="0" w:line="500" w:lineRule="exact"/>
        <w:ind w:firstLine="420" w:firstLineChars="200"/>
        <w:jc w:val="left"/>
        <w:outlineLvl w:val="1"/>
        <w:rPr>
          <w:rFonts w:ascii="微软雅黑" w:hAnsi="微软雅黑" w:eastAsia="微软雅黑"/>
          <w:b/>
          <w:szCs w:val="21"/>
          <w:highlight w:val="none"/>
        </w:rPr>
      </w:pPr>
      <w:bookmarkStart w:id="97" w:name="_Toc89266811"/>
      <w:bookmarkStart w:id="98" w:name="_Toc53062685"/>
      <w:bookmarkStart w:id="99" w:name="_Toc40788023"/>
      <w:r>
        <w:rPr>
          <w:rFonts w:hint="eastAsia" w:ascii="微软雅黑" w:hAnsi="微软雅黑" w:eastAsia="微软雅黑"/>
          <w:b/>
          <w:szCs w:val="21"/>
          <w:highlight w:val="none"/>
        </w:rPr>
        <w:t>4、磋商委托</w:t>
      </w:r>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Start w:id="100" w:name="_Toc40788024"/>
      <w:bookmarkStart w:id="101" w:name="_Toc89266812"/>
      <w:bookmarkStart w:id="102" w:name="_Toc53062686"/>
    </w:p>
    <w:p>
      <w:pPr>
        <w:rPr>
          <w:rFonts w:ascii="微软雅黑" w:hAnsi="微软雅黑" w:eastAsia="微软雅黑"/>
          <w:szCs w:val="21"/>
          <w:highlight w:val="none"/>
        </w:rPr>
      </w:pPr>
      <w:r>
        <w:rPr>
          <w:rFonts w:hint="eastAsia" w:ascii="微软雅黑" w:hAnsi="微软雅黑" w:eastAsia="微软雅黑"/>
          <w:szCs w:val="21"/>
          <w:highlight w:val="none"/>
        </w:rPr>
        <w:t xml:space="preserve">    如供应商代表不是法定代表人，须有法定代表人出具的授权委托书。</w:t>
      </w:r>
      <w:bookmarkEnd w:id="100"/>
      <w:bookmarkEnd w:id="101"/>
      <w:bookmarkEnd w:id="102"/>
      <w:bookmarkStart w:id="103" w:name="_Toc177825123"/>
      <w:bookmarkStart w:id="104" w:name="_Toc487802023"/>
      <w:bookmarkStart w:id="105" w:name="_Toc437979775"/>
      <w:bookmarkStart w:id="106" w:name="_Toc177824942"/>
      <w:bookmarkStart w:id="107" w:name="_Toc192313106"/>
      <w:bookmarkStart w:id="108" w:name="_Toc487802092"/>
      <w:bookmarkStart w:id="109" w:name="_Toc177824875"/>
      <w:bookmarkStart w:id="110" w:name="_Toc493082113"/>
      <w:bookmarkStart w:id="111" w:name="_Toc177870541"/>
      <w:bookmarkStart w:id="112" w:name="_Toc493699297"/>
      <w:bookmarkStart w:id="113" w:name="_Toc487793385"/>
      <w:bookmarkStart w:id="114" w:name="_Toc448487534"/>
    </w:p>
    <w:p>
      <w:pPr>
        <w:snapToGrid w:val="0"/>
        <w:spacing w:after="0" w:line="500" w:lineRule="exact"/>
        <w:ind w:firstLine="420" w:firstLineChars="200"/>
        <w:jc w:val="left"/>
        <w:outlineLvl w:val="1"/>
        <w:rPr>
          <w:rFonts w:ascii="微软雅黑" w:hAnsi="微软雅黑" w:eastAsia="微软雅黑"/>
          <w:b/>
          <w:szCs w:val="21"/>
          <w:highlight w:val="none"/>
        </w:rPr>
      </w:pPr>
      <w:bookmarkStart w:id="115" w:name="_Toc89266813"/>
      <w:bookmarkStart w:id="116" w:name="_Toc40788025"/>
      <w:bookmarkStart w:id="117" w:name="_Toc53062687"/>
      <w:r>
        <w:rPr>
          <w:rFonts w:hint="eastAsia" w:ascii="微软雅黑" w:hAnsi="微软雅黑" w:eastAsia="微软雅黑"/>
          <w:b/>
          <w:szCs w:val="21"/>
          <w:highlight w:val="none"/>
        </w:rPr>
        <w:t>5、磋商费用</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不论磋商结果如何，供应商均应自行承担与磋商有关的全部费用。</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6、联合体参与磋商</w:t>
      </w:r>
    </w:p>
    <w:p>
      <w:pPr>
        <w:snapToGrid w:val="0"/>
        <w:spacing w:after="0" w:line="500" w:lineRule="exact"/>
        <w:ind w:firstLine="420" w:firstLineChars="200"/>
        <w:jc w:val="left"/>
        <w:outlineLvl w:val="1"/>
        <w:rPr>
          <w:rFonts w:ascii="微软雅黑" w:hAnsi="微软雅黑" w:eastAsia="微软雅黑" w:cs="Arial"/>
          <w:szCs w:val="21"/>
          <w:highlight w:val="none"/>
        </w:rPr>
      </w:pPr>
      <w:r>
        <w:rPr>
          <w:rFonts w:hint="eastAsia" w:ascii="微软雅黑" w:hAnsi="微软雅黑" w:eastAsia="微软雅黑" w:cs="Arial"/>
          <w:szCs w:val="21"/>
          <w:highlight w:val="none"/>
        </w:rPr>
        <w:t>本项目接受联合体投标（投标时提供联合体协议书）。</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7、关联企业参与磋商</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7.1、本磋商文件所称关联企业,是指存在“关联关系</w:t>
      </w:r>
      <w:r>
        <w:rPr>
          <w:rFonts w:ascii="微软雅黑" w:hAnsi="微软雅黑" w:eastAsia="微软雅黑"/>
          <w:szCs w:val="21"/>
          <w:highlight w:val="none"/>
        </w:rPr>
        <w:t>”</w:t>
      </w:r>
      <w:r>
        <w:rPr>
          <w:rFonts w:hint="eastAsia" w:ascii="微软雅黑" w:hAnsi="微软雅黑" w:eastAsia="微软雅黑"/>
          <w:szCs w:val="21"/>
          <w:highlight w:val="none"/>
        </w:rPr>
        <w:t>的企业;“关联关系</w:t>
      </w:r>
      <w:r>
        <w:rPr>
          <w:rFonts w:ascii="微软雅黑" w:hAnsi="微软雅黑" w:eastAsia="微软雅黑"/>
          <w:szCs w:val="21"/>
          <w:highlight w:val="none"/>
        </w:rPr>
        <w:t>”</w:t>
      </w:r>
      <w:r>
        <w:rPr>
          <w:rFonts w:hint="eastAsia" w:ascii="微软雅黑" w:hAnsi="微软雅黑" w:eastAsia="微软雅黑"/>
          <w:szCs w:val="21"/>
          <w:highlight w:val="none"/>
        </w:rPr>
        <w:t>的界定适用《中华人民共和国公司法》217条之规定。</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7.2、▲关联企业中,法定代表人为同一个的两个及两个以上法人，母公司、全资子公司及其控股公司，都不得同时参加磋商;一经发现，将导致磋商响应同时被拒绝。</w:t>
      </w:r>
    </w:p>
    <w:p>
      <w:pPr>
        <w:snapToGrid w:val="0"/>
        <w:spacing w:after="0" w:line="500" w:lineRule="exact"/>
        <w:ind w:firstLine="420" w:firstLineChars="200"/>
        <w:jc w:val="left"/>
        <w:rPr>
          <w:rFonts w:ascii="微软雅黑" w:hAnsi="微软雅黑" w:eastAsia="微软雅黑" w:cs="宋体"/>
          <w:kern w:val="0"/>
          <w:szCs w:val="21"/>
          <w:highlight w:val="none"/>
        </w:rPr>
      </w:pPr>
      <w:r>
        <w:rPr>
          <w:rFonts w:hint="eastAsia" w:ascii="微软雅黑" w:hAnsi="微软雅黑" w:eastAsia="微软雅黑" w:cs="宋体"/>
          <w:kern w:val="0"/>
          <w:szCs w:val="21"/>
          <w:highlight w:val="none"/>
        </w:rPr>
        <w:t>7.3、多家代理商或经销商参加采购活动，如其中两家或两家以上供应商存在分级代理或代销关系，且提供的是其所代理品牌的产品的，评审时，取其中通过资格审查后的报价最低一家为有效供应商；当报价相同时，则以技术标最优一家为有效供应商；均相同时，由评标委员会集体决定。</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8、转包与分包</w:t>
      </w:r>
    </w:p>
    <w:p>
      <w:pPr>
        <w:snapToGrid w:val="0"/>
        <w:spacing w:after="0" w:line="500" w:lineRule="exact"/>
        <w:ind w:firstLine="420" w:firstLineChars="200"/>
        <w:jc w:val="left"/>
        <w:rPr>
          <w:rFonts w:ascii="微软雅黑" w:hAnsi="微软雅黑" w:eastAsia="微软雅黑" w:cs="宋体"/>
          <w:kern w:val="0"/>
          <w:szCs w:val="21"/>
          <w:highlight w:val="none"/>
        </w:rPr>
      </w:pPr>
      <w:r>
        <w:rPr>
          <w:rFonts w:hint="eastAsia" w:ascii="微软雅黑" w:hAnsi="微软雅黑" w:eastAsia="微软雅黑" w:cs="宋体"/>
          <w:kern w:val="0"/>
          <w:szCs w:val="21"/>
          <w:highlight w:val="none"/>
        </w:rPr>
        <w:t>8.1、本项目不允许转包。</w:t>
      </w:r>
    </w:p>
    <w:p>
      <w:pPr>
        <w:snapToGrid w:val="0"/>
        <w:spacing w:after="0" w:line="500" w:lineRule="exact"/>
        <w:ind w:firstLine="420" w:firstLineChars="200"/>
        <w:jc w:val="left"/>
        <w:rPr>
          <w:rFonts w:ascii="微软雅黑" w:hAnsi="微软雅黑" w:eastAsia="微软雅黑" w:cs="宋体"/>
          <w:kern w:val="0"/>
          <w:szCs w:val="21"/>
          <w:highlight w:val="none"/>
        </w:rPr>
      </w:pPr>
      <w:r>
        <w:rPr>
          <w:rFonts w:hint="eastAsia" w:ascii="微软雅黑" w:hAnsi="微软雅黑" w:eastAsia="微软雅黑" w:cs="宋体"/>
          <w:kern w:val="0"/>
          <w:szCs w:val="21"/>
          <w:highlight w:val="none"/>
        </w:rPr>
        <w:t>8.2、</w:t>
      </w:r>
      <w:bookmarkStart w:id="118" w:name="_Toc493082114"/>
      <w:bookmarkStart w:id="119" w:name="_Toc192313107"/>
      <w:bookmarkStart w:id="120" w:name="_Toc493699298"/>
      <w:bookmarkStart w:id="121" w:name="_Toc448487535"/>
      <w:bookmarkStart w:id="122" w:name="_Toc177870542"/>
      <w:bookmarkStart w:id="123" w:name="_Toc437979776"/>
      <w:bookmarkStart w:id="124" w:name="_Toc487793386"/>
      <w:bookmarkStart w:id="125" w:name="_Toc487802024"/>
      <w:bookmarkStart w:id="126" w:name="_Toc487802093"/>
      <w:r>
        <w:rPr>
          <w:rFonts w:hint="eastAsia" w:ascii="微软雅黑" w:hAnsi="微软雅黑" w:eastAsia="微软雅黑" w:cs="宋体"/>
          <w:kern w:val="0"/>
          <w:szCs w:val="21"/>
          <w:highlight w:val="none"/>
        </w:rPr>
        <w:t>同意将非主体、非关键性的工作分包。接受大中型企业向小微企业分包合理分包。</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9、特别说明：</w:t>
      </w:r>
      <w:bookmarkEnd w:id="118"/>
      <w:bookmarkEnd w:id="119"/>
      <w:bookmarkEnd w:id="120"/>
      <w:bookmarkEnd w:id="121"/>
      <w:bookmarkEnd w:id="122"/>
      <w:bookmarkEnd w:id="123"/>
      <w:bookmarkEnd w:id="124"/>
      <w:bookmarkEnd w:id="125"/>
      <w:bookmarkEnd w:id="126"/>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9.1、▲供应商磋商所使用的资格、信誉、荣誉、业绩与企业认证必须为本法人所拥有。</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9.2、▲供应商磋商不得含有任何虚假材料,否则作无效处理;成交后发现的, 成交供应商须依照《中华人民共和国消费者权益保护法》第49条之规定双倍赔偿采购人。民事上之赔偿不免除作假供应商之行政与刑事责任。</w:t>
      </w:r>
      <w:bookmarkStart w:id="127" w:name="_Toc448487536"/>
      <w:bookmarkStart w:id="128" w:name="_Toc493082115"/>
      <w:bookmarkStart w:id="129" w:name="_Toc487793387"/>
      <w:bookmarkStart w:id="130" w:name="_Toc177870543"/>
      <w:bookmarkStart w:id="131" w:name="_Toc437979777"/>
      <w:bookmarkStart w:id="132" w:name="_Toc192313108"/>
      <w:bookmarkStart w:id="133" w:name="_Toc493699299"/>
      <w:bookmarkStart w:id="134" w:name="_Toc487802094"/>
      <w:bookmarkStart w:id="135" w:name="_Toc487802025"/>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10、质疑</w:t>
      </w:r>
      <w:bookmarkEnd w:id="127"/>
      <w:bookmarkEnd w:id="128"/>
      <w:bookmarkEnd w:id="129"/>
      <w:bookmarkEnd w:id="130"/>
      <w:bookmarkEnd w:id="131"/>
      <w:bookmarkEnd w:id="132"/>
      <w:bookmarkEnd w:id="133"/>
      <w:bookmarkEnd w:id="134"/>
      <w:bookmarkEnd w:id="135"/>
    </w:p>
    <w:p>
      <w:pPr>
        <w:snapToGrid w:val="0"/>
        <w:spacing w:after="0" w:line="500" w:lineRule="exact"/>
        <w:ind w:firstLine="420" w:firstLineChars="200"/>
        <w:jc w:val="left"/>
        <w:rPr>
          <w:rFonts w:ascii="微软雅黑" w:hAnsi="微软雅黑" w:eastAsia="微软雅黑"/>
          <w:bCs/>
          <w:szCs w:val="21"/>
          <w:highlight w:val="none"/>
        </w:rPr>
      </w:pPr>
      <w:r>
        <w:rPr>
          <w:rFonts w:hint="eastAsia" w:ascii="微软雅黑" w:hAnsi="微软雅黑" w:eastAsia="微软雅黑"/>
          <w:bCs/>
          <w:szCs w:val="21"/>
          <w:highlight w:val="none"/>
        </w:rPr>
        <w:t>10.1、供应商认为磋商文件、磋商过程和成交结果使自己的合法权益受到损害的，应当在知道或者应知其权益受到损害之日起七个工作日内，以书面形式向采购人、采购代理机构提出质疑。</w:t>
      </w:r>
    </w:p>
    <w:p>
      <w:pPr>
        <w:snapToGrid w:val="0"/>
        <w:spacing w:after="0" w:line="500" w:lineRule="exact"/>
        <w:ind w:firstLine="420" w:firstLineChars="200"/>
        <w:jc w:val="left"/>
        <w:rPr>
          <w:rFonts w:ascii="微软雅黑" w:hAnsi="微软雅黑" w:eastAsia="微软雅黑"/>
          <w:bCs/>
          <w:szCs w:val="21"/>
          <w:highlight w:val="none"/>
        </w:rPr>
      </w:pPr>
      <w:r>
        <w:rPr>
          <w:rFonts w:hint="eastAsia" w:ascii="微软雅黑" w:hAnsi="微软雅黑" w:eastAsia="微软雅黑"/>
          <w:bCs/>
          <w:szCs w:val="21"/>
          <w:highlight w:val="none"/>
        </w:rPr>
        <w:t>10.2、供应商认可代理机构在质疑答复程序中启用的调查和复评等程序，在该程序操作过程未明显违反法律禁止性规定时，不得提出疑义。</w:t>
      </w:r>
      <w:bookmarkStart w:id="136" w:name="_Toc493699300"/>
      <w:bookmarkStart w:id="137" w:name="_Toc487802095"/>
      <w:bookmarkStart w:id="138" w:name="_Toc192313109"/>
    </w:p>
    <w:p>
      <w:pPr>
        <w:pStyle w:val="4"/>
        <w:spacing w:before="0" w:after="0" w:line="500" w:lineRule="exact"/>
        <w:rPr>
          <w:rFonts w:ascii="微软雅黑" w:hAnsi="微软雅黑" w:eastAsia="微软雅黑"/>
          <w:sz w:val="21"/>
          <w:szCs w:val="21"/>
          <w:highlight w:val="none"/>
        </w:rPr>
      </w:pPr>
      <w:bookmarkStart w:id="139" w:name="_Toc53062688"/>
      <w:bookmarkStart w:id="140" w:name="_Toc89266814"/>
      <w:bookmarkStart w:id="141" w:name="_Toc40788026"/>
      <w:r>
        <w:rPr>
          <w:rFonts w:hint="eastAsia" w:ascii="微软雅黑" w:hAnsi="微软雅黑" w:eastAsia="微软雅黑"/>
          <w:sz w:val="21"/>
          <w:szCs w:val="21"/>
          <w:highlight w:val="none"/>
        </w:rPr>
        <w:t>二 磋商文件</w:t>
      </w:r>
      <w:bookmarkEnd w:id="136"/>
      <w:bookmarkEnd w:id="137"/>
      <w:bookmarkEnd w:id="138"/>
      <w:bookmarkEnd w:id="139"/>
      <w:bookmarkEnd w:id="140"/>
      <w:bookmarkEnd w:id="141"/>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1、磋商文件的构成</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1.1、磋商公告</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1.2、供应商须知</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1.3、磋商项目需求</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1.4、评审办法及标准</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1.5、合同主要条款</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1.6、磋商文件相关文件格式</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2、存在的风险</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供应商没有按照磋商文件要求提供全部资料，或者供应商没有对磋商文件在各方面都作出实质性响应是供应商的风险，并可能导致其磋商被拒绝。</w:t>
      </w:r>
    </w:p>
    <w:p>
      <w:pPr>
        <w:snapToGrid w:val="0"/>
        <w:spacing w:after="0" w:line="500" w:lineRule="exact"/>
        <w:ind w:firstLine="420" w:firstLineChars="200"/>
        <w:jc w:val="left"/>
        <w:outlineLvl w:val="1"/>
        <w:rPr>
          <w:rFonts w:ascii="微软雅黑" w:hAnsi="微软雅黑" w:eastAsia="微软雅黑"/>
          <w:b/>
          <w:szCs w:val="21"/>
          <w:highlight w:val="none"/>
        </w:rPr>
      </w:pPr>
      <w:r>
        <w:rPr>
          <w:rFonts w:hint="eastAsia" w:ascii="微软雅黑" w:hAnsi="微软雅黑" w:eastAsia="微软雅黑"/>
          <w:b/>
          <w:szCs w:val="21"/>
          <w:highlight w:val="none"/>
        </w:rPr>
        <w:t>3、磋商文件的澄清与修改</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3.1、</w:t>
      </w:r>
      <w:r>
        <w:rPr>
          <w:rFonts w:hint="eastAsia" w:ascii="微软雅黑" w:hAnsi="微软雅黑" w:eastAsia="微软雅黑"/>
          <w:bCs/>
          <w:szCs w:val="21"/>
          <w:highlight w:val="none"/>
        </w:rPr>
        <w:t>供应商应认真阅读本磋商文件，发现其中有误或有要求不合理的，供应商必须在在知道或者应当知道之日起三个工作日内以书面形式要求采购代理机构澄清，否则，由此产生的后果由供应商负责</w:t>
      </w:r>
      <w:r>
        <w:rPr>
          <w:rFonts w:hint="eastAsia" w:ascii="微软雅黑" w:hAnsi="微软雅黑" w:eastAsia="微软雅黑"/>
          <w:szCs w:val="21"/>
          <w:highlight w:val="none"/>
        </w:rPr>
        <w:t>。</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3.2、采购代理机构对已发出的磋商文件进行必要澄清或者修改的，应当在财政部门指定的政府采购信息发布媒体上发布更正公告。该澄清或者修改的内容为磋商文件的组成部分。</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3.3、采购代理机构和采购单位可以视采购具体情况，延长提交磋商文件的截止时间和磋商时间，但至少应当在磋商文件要求提交磋商文件的截止时间三日前，在财政部门指定的政府采购信息发布媒体上发布变更公告。</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3.4、磋商文件的澄清或者修改都应该通过本代理机构以法定形式发布，采购人非通过本机构，不得擅自澄清或者修改磋商文件。</w:t>
      </w:r>
      <w:bookmarkStart w:id="142" w:name="_Toc192313110"/>
      <w:bookmarkStart w:id="143" w:name="_Toc493699301"/>
    </w:p>
    <w:p>
      <w:pPr>
        <w:pStyle w:val="4"/>
        <w:spacing w:before="0" w:after="0" w:line="500" w:lineRule="exact"/>
        <w:rPr>
          <w:rFonts w:ascii="微软雅黑" w:hAnsi="微软雅黑" w:eastAsia="微软雅黑"/>
          <w:sz w:val="21"/>
          <w:szCs w:val="21"/>
          <w:highlight w:val="none"/>
        </w:rPr>
      </w:pPr>
      <w:bookmarkStart w:id="144" w:name="_Toc89266815"/>
      <w:bookmarkStart w:id="145" w:name="_Toc40788027"/>
      <w:bookmarkStart w:id="146" w:name="_Toc53062689"/>
      <w:r>
        <w:rPr>
          <w:rFonts w:hint="eastAsia" w:ascii="微软雅黑" w:hAnsi="微软雅黑" w:eastAsia="微软雅黑"/>
          <w:sz w:val="21"/>
          <w:szCs w:val="21"/>
          <w:highlight w:val="none"/>
        </w:rPr>
        <w:t>三 磋商响应文件的编制</w:t>
      </w:r>
      <w:bookmarkEnd w:id="142"/>
      <w:bookmarkEnd w:id="143"/>
      <w:bookmarkEnd w:id="144"/>
      <w:bookmarkEnd w:id="145"/>
      <w:bookmarkEnd w:id="146"/>
    </w:p>
    <w:p>
      <w:pPr>
        <w:rPr>
          <w:rFonts w:ascii="微软雅黑" w:hAnsi="微软雅黑" w:eastAsia="微软雅黑"/>
          <w:b/>
          <w:szCs w:val="21"/>
          <w:highlight w:val="none"/>
        </w:rPr>
      </w:pPr>
      <w:bookmarkStart w:id="147" w:name="_Toc89266816"/>
      <w:bookmarkStart w:id="148" w:name="_Toc40788028"/>
      <w:bookmarkStart w:id="149" w:name="_Toc53062690"/>
      <w:r>
        <w:rPr>
          <w:rFonts w:hint="eastAsia" w:ascii="微软雅黑" w:hAnsi="微软雅黑" w:eastAsia="微软雅黑"/>
          <w:b/>
          <w:szCs w:val="21"/>
          <w:highlight w:val="none"/>
        </w:rPr>
        <w:t xml:space="preserve">   本项目所涉竞争性磋商响应文件格式请详见第六章，未给出的格式请自拟。</w:t>
      </w:r>
      <w:bookmarkEnd w:id="147"/>
      <w:bookmarkEnd w:id="148"/>
      <w:bookmarkEnd w:id="149"/>
    </w:p>
    <w:p>
      <w:pPr>
        <w:pStyle w:val="31"/>
        <w:snapToGrid w:val="0"/>
        <w:spacing w:after="0" w:line="500" w:lineRule="exact"/>
        <w:ind w:firstLine="412" w:firstLineChars="196"/>
        <w:outlineLvl w:val="1"/>
        <w:rPr>
          <w:rFonts w:ascii="微软雅黑" w:hAnsi="微软雅黑" w:eastAsia="微软雅黑" w:cs="宋体"/>
          <w:b/>
          <w:szCs w:val="21"/>
          <w:highlight w:val="none"/>
        </w:rPr>
      </w:pPr>
      <w:bookmarkStart w:id="150" w:name="_Toc53062691"/>
      <w:bookmarkStart w:id="151" w:name="_Toc89266817"/>
      <w:bookmarkStart w:id="152" w:name="_Toc33535357"/>
      <w:bookmarkStart w:id="153" w:name="_Toc40788029"/>
      <w:r>
        <w:rPr>
          <w:rFonts w:hint="eastAsia" w:ascii="微软雅黑" w:hAnsi="微软雅黑" w:eastAsia="微软雅黑" w:cs="宋体"/>
          <w:b/>
          <w:szCs w:val="21"/>
          <w:highlight w:val="none"/>
        </w:rPr>
        <w:t>（一）、总体要求：</w:t>
      </w:r>
      <w:bookmarkEnd w:id="150"/>
      <w:bookmarkEnd w:id="151"/>
      <w:bookmarkEnd w:id="152"/>
      <w:bookmarkEnd w:id="153"/>
    </w:p>
    <w:p>
      <w:pPr>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1.1、供应商</w:t>
      </w:r>
      <w:r>
        <w:rPr>
          <w:rFonts w:ascii="微软雅黑" w:hAnsi="微软雅黑" w:eastAsia="微软雅黑"/>
          <w:szCs w:val="21"/>
          <w:highlight w:val="none"/>
        </w:rPr>
        <w:t>应仔细阅读</w:t>
      </w:r>
      <w:r>
        <w:rPr>
          <w:rFonts w:hint="eastAsia" w:ascii="微软雅黑" w:hAnsi="微软雅黑" w:eastAsia="微软雅黑"/>
          <w:szCs w:val="21"/>
          <w:highlight w:val="none"/>
        </w:rPr>
        <w:t>竞争性磋商文件</w:t>
      </w:r>
      <w:r>
        <w:rPr>
          <w:rFonts w:ascii="微软雅黑" w:hAnsi="微软雅黑" w:eastAsia="微软雅黑"/>
          <w:szCs w:val="21"/>
          <w:highlight w:val="none"/>
        </w:rPr>
        <w:t>的所有内容，按本文件的要求提供</w:t>
      </w:r>
      <w:r>
        <w:rPr>
          <w:rFonts w:hint="eastAsia" w:ascii="微软雅黑" w:hAnsi="微软雅黑" w:eastAsia="微软雅黑"/>
          <w:szCs w:val="21"/>
          <w:highlight w:val="none"/>
        </w:rPr>
        <w:t>竞争性磋商响应文件</w:t>
      </w:r>
      <w:r>
        <w:rPr>
          <w:rFonts w:ascii="微软雅黑" w:hAnsi="微软雅黑" w:eastAsia="微软雅黑"/>
          <w:szCs w:val="21"/>
          <w:highlight w:val="none"/>
        </w:rPr>
        <w:t>，并保证所提供的全部资料的真实性，以使其</w:t>
      </w:r>
      <w:r>
        <w:rPr>
          <w:rFonts w:hint="eastAsia" w:ascii="微软雅黑" w:hAnsi="微软雅黑" w:eastAsia="微软雅黑"/>
          <w:szCs w:val="21"/>
          <w:highlight w:val="none"/>
        </w:rPr>
        <w:t>竞争性磋商响应文件</w:t>
      </w:r>
      <w:r>
        <w:rPr>
          <w:rFonts w:ascii="微软雅黑" w:hAnsi="微软雅黑" w:eastAsia="微软雅黑"/>
          <w:szCs w:val="21"/>
          <w:highlight w:val="none"/>
        </w:rPr>
        <w:t>对</w:t>
      </w:r>
      <w:r>
        <w:rPr>
          <w:rFonts w:hint="eastAsia" w:ascii="微软雅黑" w:hAnsi="微软雅黑" w:eastAsia="微软雅黑"/>
          <w:szCs w:val="21"/>
          <w:highlight w:val="none"/>
        </w:rPr>
        <w:t>竞争性磋商文件</w:t>
      </w:r>
      <w:r>
        <w:rPr>
          <w:rFonts w:ascii="微软雅黑" w:hAnsi="微软雅黑" w:eastAsia="微软雅黑"/>
          <w:szCs w:val="21"/>
          <w:highlight w:val="none"/>
        </w:rPr>
        <w:t>作出实质性响应，否则，</w:t>
      </w:r>
      <w:r>
        <w:rPr>
          <w:rFonts w:hint="eastAsia" w:ascii="微软雅黑" w:hAnsi="微软雅黑" w:eastAsia="微软雅黑"/>
          <w:szCs w:val="21"/>
          <w:highlight w:val="none"/>
        </w:rPr>
        <w:t>竞争性磋商响应文件</w:t>
      </w:r>
      <w:r>
        <w:rPr>
          <w:rFonts w:ascii="微软雅黑" w:hAnsi="微软雅黑" w:eastAsia="微软雅黑"/>
          <w:szCs w:val="21"/>
          <w:highlight w:val="none"/>
        </w:rPr>
        <w:t>可能视为无效</w:t>
      </w:r>
      <w:r>
        <w:rPr>
          <w:rFonts w:hint="eastAsia" w:ascii="微软雅黑" w:hAnsi="微软雅黑" w:eastAsia="微软雅黑"/>
          <w:szCs w:val="21"/>
          <w:highlight w:val="none"/>
        </w:rPr>
        <w:t>竞争性磋商响应文件</w:t>
      </w:r>
      <w:r>
        <w:rPr>
          <w:rFonts w:ascii="微软雅黑" w:hAnsi="微软雅黑" w:eastAsia="微软雅黑"/>
          <w:szCs w:val="21"/>
          <w:highlight w:val="none"/>
        </w:rPr>
        <w:t>。</w:t>
      </w:r>
    </w:p>
    <w:p>
      <w:pPr>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1.2、竞争性磋商响应文件及供应商与采购有关的来往通知，函件和文件均应使用中文。</w:t>
      </w:r>
    </w:p>
    <w:p>
      <w:pPr>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1.3、供应商应按本文件中提供的文件格式、内容和要求制作竞争性磋商响应文件。</w:t>
      </w:r>
    </w:p>
    <w:p>
      <w:pPr>
        <w:spacing w:after="0" w:line="500" w:lineRule="exact"/>
        <w:ind w:firstLine="405"/>
        <w:jc w:val="left"/>
        <w:rPr>
          <w:rFonts w:ascii="微软雅黑" w:hAnsi="微软雅黑" w:eastAsia="微软雅黑" w:cs="宋体"/>
          <w:bCs/>
          <w:szCs w:val="21"/>
          <w:highlight w:val="none"/>
        </w:rPr>
      </w:pPr>
      <w:r>
        <w:rPr>
          <w:rFonts w:hint="eastAsia" w:ascii="微软雅黑" w:hAnsi="微软雅黑" w:eastAsia="微软雅黑"/>
          <w:b/>
          <w:szCs w:val="21"/>
          <w:highlight w:val="none"/>
        </w:rPr>
        <w:t>1.4、竞争性磋商响应文件的效力：竞争性磋商响应文件的启用，按先后顺位分别为电子竞争性磋商响应文件、电子</w:t>
      </w:r>
      <w:r>
        <w:rPr>
          <w:rFonts w:hint="eastAsia" w:ascii="微软雅黑" w:hAnsi="微软雅黑" w:eastAsia="微软雅黑" w:cs="宋体"/>
          <w:bCs/>
          <w:szCs w:val="21"/>
          <w:highlight w:val="none"/>
        </w:rPr>
        <w:t>备份竞争性磋商响应文件</w:t>
      </w:r>
      <w:r>
        <w:rPr>
          <w:rFonts w:hint="eastAsia" w:ascii="微软雅黑" w:hAnsi="微软雅黑" w:eastAsia="微软雅黑"/>
          <w:b/>
          <w:szCs w:val="21"/>
          <w:highlight w:val="none"/>
        </w:rPr>
        <w:t>。</w:t>
      </w:r>
      <w:r>
        <w:rPr>
          <w:rFonts w:hint="eastAsia" w:ascii="微软雅黑" w:hAnsi="微软雅黑" w:eastAsia="微软雅黑" w:cs="宋体"/>
          <w:bCs/>
          <w:szCs w:val="21"/>
          <w:highlight w:val="none"/>
        </w:rPr>
        <w:t>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传成功后，“电子加密竞争性磋商响应文件”自动失效），否则视为竞争性磋商响应文件撤回。</w:t>
      </w:r>
      <w:bookmarkStart w:id="154" w:name="_Toc493082118"/>
      <w:bookmarkStart w:id="155" w:name="_Toc448487539"/>
      <w:bookmarkStart w:id="156" w:name="_Toc437979780"/>
      <w:bookmarkStart w:id="157" w:name="_Toc177824876"/>
      <w:bookmarkStart w:id="158" w:name="_Toc177825124"/>
      <w:bookmarkStart w:id="159" w:name="_Toc192313111"/>
      <w:bookmarkStart w:id="160" w:name="_Toc177824943"/>
      <w:bookmarkStart w:id="161" w:name="_Toc177870546"/>
      <w:bookmarkStart w:id="162" w:name="_Toc493699302"/>
    </w:p>
    <w:p>
      <w:pPr>
        <w:pStyle w:val="31"/>
        <w:snapToGrid w:val="0"/>
        <w:spacing w:after="0" w:line="500" w:lineRule="exact"/>
        <w:ind w:firstLine="412" w:firstLineChars="196"/>
        <w:outlineLvl w:val="1"/>
        <w:rPr>
          <w:rFonts w:ascii="微软雅黑" w:hAnsi="微软雅黑" w:eastAsia="微软雅黑" w:cs="宋体"/>
          <w:b/>
          <w:szCs w:val="21"/>
          <w:highlight w:val="none"/>
        </w:rPr>
      </w:pPr>
      <w:r>
        <w:rPr>
          <w:rFonts w:hint="eastAsia" w:ascii="微软雅黑" w:hAnsi="微软雅黑" w:eastAsia="微软雅黑" w:cs="宋体"/>
          <w:b/>
          <w:szCs w:val="21"/>
          <w:highlight w:val="none"/>
        </w:rPr>
        <w:t>（二）、磋商响应文件的组成</w:t>
      </w:r>
      <w:bookmarkEnd w:id="154"/>
      <w:bookmarkEnd w:id="155"/>
      <w:bookmarkEnd w:id="156"/>
      <w:bookmarkEnd w:id="157"/>
      <w:bookmarkEnd w:id="158"/>
      <w:bookmarkEnd w:id="159"/>
      <w:bookmarkEnd w:id="160"/>
      <w:bookmarkEnd w:id="161"/>
      <w:bookmarkEnd w:id="162"/>
      <w:bookmarkStart w:id="163" w:name="_Toc493511650"/>
    </w:p>
    <w:p>
      <w:pPr>
        <w:spacing w:after="0" w:line="500" w:lineRule="exact"/>
        <w:ind w:firstLine="405"/>
        <w:jc w:val="left"/>
        <w:rPr>
          <w:rFonts w:ascii="微软雅黑" w:hAnsi="微软雅黑" w:eastAsia="微软雅黑"/>
          <w:b/>
          <w:szCs w:val="21"/>
          <w:highlight w:val="none"/>
        </w:rPr>
      </w:pPr>
      <w:r>
        <w:rPr>
          <w:rFonts w:hint="eastAsia" w:ascii="微软雅黑" w:hAnsi="微软雅黑" w:eastAsia="微软雅黑"/>
          <w:b/>
          <w:szCs w:val="21"/>
          <w:highlight w:val="none"/>
        </w:rPr>
        <w:t>包括电子竞争性磋商响应文件和电子备份竞争性磋商响应文件（选送），均由资格响应文件、商务技术文件、报价文件三部份组成。其中电子竞争性磋商响应文件中所须加盖公章部分均采用CA签章。</w:t>
      </w:r>
    </w:p>
    <w:p>
      <w:pPr>
        <w:numPr>
          <w:ilvl w:val="0"/>
          <w:numId w:val="23"/>
        </w:numPr>
        <w:spacing w:after="0" w:line="500" w:lineRule="exact"/>
        <w:jc w:val="left"/>
        <w:rPr>
          <w:rFonts w:ascii="微软雅黑" w:hAnsi="微软雅黑" w:eastAsia="微软雅黑"/>
          <w:b/>
          <w:szCs w:val="21"/>
          <w:highlight w:val="none"/>
        </w:rPr>
      </w:pPr>
      <w:r>
        <w:rPr>
          <w:rFonts w:hint="eastAsia" w:ascii="微软雅黑" w:hAnsi="微软雅黑" w:eastAsia="微软雅黑"/>
          <w:b/>
          <w:szCs w:val="21"/>
          <w:highlight w:val="none"/>
        </w:rPr>
        <w:t>资格响应文件：</w:t>
      </w:r>
    </w:p>
    <w:p>
      <w:pPr>
        <w:snapToGrid w:val="0"/>
        <w:spacing w:after="0" w:line="500" w:lineRule="exact"/>
        <w:ind w:firstLine="480"/>
        <w:rPr>
          <w:rFonts w:ascii="微软雅黑" w:hAnsi="微软雅黑" w:eastAsia="微软雅黑"/>
          <w:szCs w:val="21"/>
          <w:highlight w:val="none"/>
        </w:rPr>
      </w:pPr>
      <w:r>
        <w:rPr>
          <w:rFonts w:hint="eastAsia" w:ascii="微软雅黑" w:hAnsi="微软雅黑" w:eastAsia="微软雅黑"/>
          <w:szCs w:val="21"/>
          <w:highlight w:val="none"/>
        </w:rPr>
        <w:t>1</w:t>
      </w:r>
      <w:r>
        <w:rPr>
          <w:rFonts w:ascii="微软雅黑" w:hAnsi="微软雅黑" w:eastAsia="微软雅黑"/>
          <w:szCs w:val="21"/>
          <w:highlight w:val="none"/>
        </w:rPr>
        <w:t>.</w:t>
      </w:r>
      <w:r>
        <w:rPr>
          <w:rFonts w:hint="eastAsia" w:ascii="微软雅黑" w:hAnsi="微软雅黑" w:eastAsia="微软雅黑"/>
          <w:szCs w:val="21"/>
          <w:highlight w:val="none"/>
        </w:rPr>
        <w:t>1、具有独立承担民事责任的能力（供应商营业执照副本复印件）；</w:t>
      </w:r>
    </w:p>
    <w:p>
      <w:pPr>
        <w:snapToGrid w:val="0"/>
        <w:spacing w:after="0" w:line="500" w:lineRule="exact"/>
        <w:ind w:firstLine="48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2、具有良好的商业信誉和健全的财务会计制度【供应商最近一年中任意一个月的财务报表或上年度财务报告（截止本项目投标截止日前2个月内新注册的单位为则不需提供）】；</w:t>
      </w:r>
    </w:p>
    <w:p>
      <w:pPr>
        <w:snapToGrid w:val="0"/>
        <w:spacing w:after="0" w:line="500" w:lineRule="exact"/>
        <w:ind w:firstLine="480"/>
        <w:rPr>
          <w:rFonts w:ascii="微软雅黑" w:hAnsi="微软雅黑" w:eastAsia="微软雅黑"/>
          <w:szCs w:val="21"/>
          <w:highlight w:val="none"/>
        </w:rPr>
      </w:pPr>
      <w:r>
        <w:rPr>
          <w:rFonts w:hint="eastAsia" w:ascii="微软雅黑" w:hAnsi="微软雅黑" w:eastAsia="微软雅黑"/>
          <w:szCs w:val="21"/>
          <w:highlight w:val="none"/>
        </w:rPr>
        <w:t>1.3、具有履行合同所必需的设备和专业技术能力的承诺函（格式见附件））；</w:t>
      </w:r>
    </w:p>
    <w:p>
      <w:pPr>
        <w:snapToGrid w:val="0"/>
        <w:spacing w:after="0" w:line="500" w:lineRule="exact"/>
        <w:ind w:firstLine="480"/>
        <w:rPr>
          <w:rFonts w:ascii="微软雅黑" w:hAnsi="微软雅黑" w:eastAsia="微软雅黑"/>
          <w:szCs w:val="21"/>
          <w:highlight w:val="none"/>
        </w:rPr>
      </w:pPr>
      <w:r>
        <w:rPr>
          <w:rFonts w:hint="eastAsia" w:ascii="微软雅黑" w:hAnsi="微软雅黑" w:eastAsia="微软雅黑"/>
          <w:szCs w:val="21"/>
          <w:highlight w:val="none"/>
        </w:rPr>
        <w:t>1.4、有依法缴纳税收和社会保障资金的良好记录【（供应商最近一年中任意一个月的完税证明或纳税证明或银行缴税付款凭证等）（截止本项目投标截止日前2个月内新注册的单位为则不需提供）】；</w:t>
      </w:r>
    </w:p>
    <w:p>
      <w:pPr>
        <w:snapToGrid w:val="0"/>
        <w:spacing w:after="0" w:line="500" w:lineRule="exact"/>
        <w:ind w:firstLine="48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5、参加政府采购活动前三年，在经营活动中没有重大违法记录（承诺函（格式见附件））；</w:t>
      </w:r>
    </w:p>
    <w:p>
      <w:pPr>
        <w:snapToGrid w:val="0"/>
        <w:spacing w:after="0" w:line="500" w:lineRule="exact"/>
        <w:ind w:firstLine="480"/>
        <w:rPr>
          <w:rFonts w:ascii="微软雅黑" w:hAnsi="微软雅黑" w:eastAsia="微软雅黑"/>
          <w:szCs w:val="21"/>
          <w:highlight w:val="none"/>
        </w:rPr>
      </w:pPr>
      <w:r>
        <w:rPr>
          <w:rFonts w:hint="eastAsia" w:ascii="微软雅黑" w:hAnsi="微软雅黑" w:eastAsia="微软雅黑"/>
          <w:szCs w:val="21"/>
          <w:highlight w:val="none"/>
        </w:rPr>
        <w:t>1.6、提供自招标公告发布之日起至投标截止日内任意时间的“信用中国”网站（www.creditchina.gov.cn）（未被信用中国网站</w:t>
      </w:r>
      <w:r>
        <w:rPr>
          <w:highlight w:val="none"/>
        </w:rPr>
        <w:fldChar w:fldCharType="begin"/>
      </w:r>
      <w:r>
        <w:rPr>
          <w:highlight w:val="none"/>
        </w:rPr>
        <w:instrText xml:space="preserve"> HYPERLINK \t "_blank" </w:instrText>
      </w:r>
      <w:r>
        <w:rPr>
          <w:highlight w:val="none"/>
        </w:rPr>
        <w:fldChar w:fldCharType="separate"/>
      </w:r>
      <w:r>
        <w:rPr>
          <w:rFonts w:hint="eastAsia" w:ascii="微软雅黑" w:hAnsi="微软雅黑" w:eastAsia="微软雅黑"/>
          <w:szCs w:val="21"/>
          <w:highlight w:val="none"/>
        </w:rPr>
        <w:t>列入失信被执行人、重大税收违法案件当事人名单</w:t>
      </w:r>
      <w:r>
        <w:rPr>
          <w:rFonts w:hint="eastAsia" w:ascii="微软雅黑" w:hAnsi="微软雅黑" w:eastAsia="微软雅黑"/>
          <w:szCs w:val="21"/>
          <w:highlight w:val="none"/>
        </w:rPr>
        <w:fldChar w:fldCharType="end"/>
      </w:r>
      <w:r>
        <w:rPr>
          <w:rFonts w:ascii="微软雅黑" w:hAnsi="微软雅黑" w:eastAsia="微软雅黑"/>
          <w:szCs w:val="21"/>
          <w:highlight w:val="none"/>
        </w:rPr>
        <w:t>的</w:t>
      </w:r>
      <w:r>
        <w:rPr>
          <w:rFonts w:hint="eastAsia" w:ascii="微软雅黑" w:hAnsi="微软雅黑" w:eastAsia="微软雅黑"/>
          <w:szCs w:val="21"/>
          <w:highlight w:val="none"/>
        </w:rPr>
        <w:t>查询网页截图</w:t>
      </w:r>
      <w:r>
        <w:rPr>
          <w:rFonts w:ascii="微软雅黑" w:hAnsi="微软雅黑" w:eastAsia="微软雅黑"/>
          <w:szCs w:val="21"/>
          <w:highlight w:val="none"/>
        </w:rPr>
        <w:t>）</w:t>
      </w:r>
      <w:r>
        <w:rPr>
          <w:rFonts w:hint="eastAsia" w:ascii="微软雅黑" w:hAnsi="微软雅黑" w:eastAsia="微软雅黑"/>
          <w:szCs w:val="21"/>
          <w:highlight w:val="none"/>
        </w:rPr>
        <w:t>、中国政府采购网（www.ccgp.gov.cn）（未被中国政府采购网</w:t>
      </w:r>
      <w:r>
        <w:rPr>
          <w:highlight w:val="none"/>
        </w:rPr>
        <w:fldChar w:fldCharType="begin"/>
      </w:r>
      <w:r>
        <w:rPr>
          <w:highlight w:val="none"/>
        </w:rPr>
        <w:instrText xml:space="preserve"> HYPERLINK \t "_blank" </w:instrText>
      </w:r>
      <w:r>
        <w:rPr>
          <w:highlight w:val="none"/>
        </w:rPr>
        <w:fldChar w:fldCharType="separate"/>
      </w:r>
      <w:r>
        <w:rPr>
          <w:rFonts w:hint="eastAsia" w:ascii="微软雅黑" w:hAnsi="微软雅黑" w:eastAsia="微软雅黑"/>
          <w:szCs w:val="21"/>
          <w:highlight w:val="none"/>
        </w:rPr>
        <w:t>列入政府采购严重违法失信行为记录名单</w:t>
      </w:r>
      <w:r>
        <w:rPr>
          <w:rFonts w:hint="eastAsia" w:ascii="微软雅黑" w:hAnsi="微软雅黑" w:eastAsia="微软雅黑"/>
          <w:szCs w:val="21"/>
          <w:highlight w:val="none"/>
        </w:rPr>
        <w:fldChar w:fldCharType="end"/>
      </w:r>
      <w:r>
        <w:rPr>
          <w:rFonts w:ascii="微软雅黑" w:hAnsi="微软雅黑" w:eastAsia="微软雅黑"/>
          <w:szCs w:val="21"/>
          <w:highlight w:val="none"/>
        </w:rPr>
        <w:t>的</w:t>
      </w:r>
      <w:r>
        <w:rPr>
          <w:rFonts w:hint="eastAsia" w:ascii="微软雅黑" w:hAnsi="微软雅黑" w:eastAsia="微软雅黑"/>
          <w:szCs w:val="21"/>
          <w:highlight w:val="none"/>
        </w:rPr>
        <w:t>查询网页截图）（以开标当日采购单位或由采购单位委托的评标委员会核实的查询结果为准）。</w:t>
      </w:r>
    </w:p>
    <w:p>
      <w:pPr>
        <w:snapToGrid w:val="0"/>
        <w:spacing w:after="0" w:line="500" w:lineRule="exact"/>
        <w:ind w:firstLine="48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7、</w:t>
      </w:r>
      <w:r>
        <w:rPr>
          <w:rFonts w:ascii="微软雅黑" w:hAnsi="微软雅黑" w:eastAsia="微软雅黑"/>
          <w:szCs w:val="21"/>
          <w:highlight w:val="none"/>
        </w:rPr>
        <w:t>法定代表人授权委托书</w:t>
      </w:r>
      <w:r>
        <w:rPr>
          <w:rFonts w:hint="eastAsia" w:ascii="微软雅黑" w:hAnsi="微软雅黑" w:eastAsia="微软雅黑"/>
          <w:szCs w:val="21"/>
          <w:highlight w:val="none"/>
        </w:rPr>
        <w:t>；</w:t>
      </w:r>
    </w:p>
    <w:p>
      <w:pPr>
        <w:snapToGrid w:val="0"/>
        <w:spacing w:after="0" w:line="500" w:lineRule="exact"/>
        <w:ind w:firstLine="480"/>
        <w:rPr>
          <w:rFonts w:ascii="微软雅黑" w:hAnsi="微软雅黑" w:eastAsia="微软雅黑"/>
          <w:szCs w:val="21"/>
          <w:highlight w:val="none"/>
        </w:rPr>
      </w:pPr>
      <w:r>
        <w:rPr>
          <w:rFonts w:hint="eastAsia" w:ascii="微软雅黑" w:hAnsi="微软雅黑" w:eastAsia="微软雅黑"/>
          <w:szCs w:val="21"/>
          <w:highlight w:val="none"/>
        </w:rPr>
        <w:t>1.8、中小企业声明函、残疾人福利性单位声明函及其他符合政策性加分条件的承诺函或证明材料；</w:t>
      </w:r>
    </w:p>
    <w:p>
      <w:pPr>
        <w:spacing w:after="0" w:line="500" w:lineRule="exact"/>
        <w:ind w:firstLine="405"/>
        <w:jc w:val="left"/>
        <w:rPr>
          <w:rFonts w:ascii="微软雅黑" w:hAnsi="微软雅黑" w:eastAsia="微软雅黑"/>
          <w:b/>
          <w:szCs w:val="21"/>
          <w:highlight w:val="none"/>
        </w:rPr>
      </w:pPr>
      <w:r>
        <w:rPr>
          <w:rFonts w:hint="eastAsia" w:ascii="微软雅黑" w:hAnsi="微软雅黑" w:eastAsia="微软雅黑"/>
          <w:b/>
          <w:szCs w:val="21"/>
          <w:highlight w:val="none"/>
        </w:rPr>
        <w:t>2、商务技术文件</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2.1、▲磋商响应函；</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2.2、法定代表人</w:t>
      </w:r>
      <w:r>
        <w:rPr>
          <w:rFonts w:hint="eastAsia" w:ascii="微软雅黑" w:hAnsi="微软雅黑" w:eastAsia="微软雅黑"/>
          <w:szCs w:val="21"/>
          <w:highlight w:val="none"/>
        </w:rPr>
        <w:t>资格证明文件；</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2.3、法定代表人授权委托书</w:t>
      </w:r>
      <w:r>
        <w:rPr>
          <w:rFonts w:hint="eastAsia" w:ascii="微软雅黑" w:hAnsi="微软雅黑" w:eastAsia="微软雅黑"/>
          <w:szCs w:val="21"/>
          <w:highlight w:val="none"/>
        </w:rPr>
        <w:t>；</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2.4</w:t>
      </w:r>
      <w:r>
        <w:rPr>
          <w:rFonts w:hint="eastAsia" w:ascii="微软雅黑" w:hAnsi="微软雅黑" w:eastAsia="微软雅黑"/>
          <w:szCs w:val="21"/>
          <w:highlight w:val="none"/>
        </w:rPr>
        <w:t>、类似案例成功的业绩（合同复印件）；</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2.5</w:t>
      </w:r>
      <w:r>
        <w:rPr>
          <w:rFonts w:hint="eastAsia" w:ascii="微软雅黑" w:hAnsi="微软雅黑" w:eastAsia="微软雅黑"/>
          <w:szCs w:val="21"/>
          <w:highlight w:val="none"/>
        </w:rPr>
        <w:t>、与本项目实施相关的供应商各类资质证书、认证证书、许可证等（如信誉荣誉等。提供复印件）；</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2.6</w:t>
      </w:r>
      <w:r>
        <w:rPr>
          <w:rFonts w:hint="eastAsia" w:ascii="微软雅黑" w:hAnsi="微软雅黑" w:eastAsia="微软雅黑"/>
          <w:szCs w:val="21"/>
          <w:highlight w:val="none"/>
        </w:rPr>
        <w:t>、供应商情况介绍；</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2.7</w:t>
      </w:r>
      <w:r>
        <w:rPr>
          <w:rFonts w:hint="eastAsia" w:ascii="微软雅黑" w:hAnsi="微软雅黑" w:eastAsia="微软雅黑"/>
          <w:szCs w:val="21"/>
          <w:highlight w:val="none"/>
        </w:rPr>
        <w:t>、商务响应表；</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8、项目实施方案：包括对本项目完整详细的服务保障方案、组织实施方案、验收方案、管理制度和规范等内容。</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9、项目实施计划及进度；本项目详细工作实施组织方案，包括(但不限于)以下内容：组织机构、工作时间进度表、工作程序和步骤、管理和协调方法、关键步骤的思路和要点；</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10、项目验收、售后服务等方案；</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 xml:space="preserve">11、项目团队情况：项目负责人简历表及项目团队情况，提供相关人员的简历及职称、学历、资格证书、社保等复印件； </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12、优惠条件及特殊承诺；</w:t>
      </w:r>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13、实施保障措施及应急方案；</w:t>
      </w:r>
    </w:p>
    <w:p>
      <w:pPr>
        <w:spacing w:after="0" w:line="500" w:lineRule="exact"/>
        <w:ind w:firstLine="405"/>
        <w:jc w:val="left"/>
        <w:rPr>
          <w:rFonts w:ascii="微软雅黑" w:hAnsi="微软雅黑" w:eastAsia="微软雅黑"/>
          <w:b/>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14、</w:t>
      </w:r>
      <w:r>
        <w:rPr>
          <w:rFonts w:hint="eastAsia" w:ascii="微软雅黑" w:hAnsi="微软雅黑" w:eastAsia="微软雅黑"/>
          <w:b/>
          <w:szCs w:val="21"/>
          <w:highlight w:val="none"/>
        </w:rPr>
        <w:t>未尽事宜请各供应商按评分细则制作。</w:t>
      </w:r>
    </w:p>
    <w:p>
      <w:pPr>
        <w:spacing w:after="0" w:line="500" w:lineRule="exact"/>
        <w:ind w:firstLine="405"/>
        <w:jc w:val="left"/>
        <w:rPr>
          <w:rFonts w:ascii="微软雅黑" w:hAnsi="微软雅黑" w:eastAsia="微软雅黑"/>
          <w:b/>
          <w:szCs w:val="21"/>
          <w:highlight w:val="none"/>
        </w:rPr>
      </w:pPr>
      <w:r>
        <w:rPr>
          <w:rFonts w:hint="eastAsia" w:ascii="微软雅黑" w:hAnsi="微软雅黑" w:eastAsia="微软雅黑"/>
          <w:b/>
          <w:szCs w:val="21"/>
          <w:highlight w:val="none"/>
        </w:rPr>
        <w:t>3、投标报价文件：</w:t>
      </w:r>
    </w:p>
    <w:p>
      <w:pPr>
        <w:spacing w:after="0" w:line="500" w:lineRule="exact"/>
        <w:ind w:firstLine="405"/>
        <w:jc w:val="left"/>
        <w:rPr>
          <w:rFonts w:ascii="微软雅黑" w:hAnsi="微软雅黑" w:eastAsia="微软雅黑"/>
          <w:szCs w:val="21"/>
          <w:highlight w:val="none"/>
        </w:rPr>
      </w:pPr>
      <w:r>
        <w:rPr>
          <w:rFonts w:hint="eastAsia" w:ascii="微软雅黑" w:hAnsi="微软雅黑" w:eastAsia="微软雅黑"/>
          <w:szCs w:val="21"/>
          <w:highlight w:val="none"/>
        </w:rPr>
        <w:t>3.1、▲报价一览表（初次报价）；</w:t>
      </w:r>
    </w:p>
    <w:p>
      <w:pPr>
        <w:spacing w:after="0" w:line="500" w:lineRule="exact"/>
        <w:ind w:firstLine="405"/>
        <w:jc w:val="left"/>
        <w:rPr>
          <w:rFonts w:ascii="微软雅黑" w:hAnsi="微软雅黑" w:eastAsia="微软雅黑"/>
          <w:szCs w:val="21"/>
          <w:highlight w:val="none"/>
        </w:rPr>
      </w:pPr>
      <w:r>
        <w:rPr>
          <w:rFonts w:hint="eastAsia" w:ascii="微软雅黑" w:hAnsi="微软雅黑" w:eastAsia="微软雅黑"/>
          <w:szCs w:val="21"/>
          <w:highlight w:val="none"/>
        </w:rPr>
        <w:t>3.2、供应商针对报价需要说明的其他文件和说明。</w:t>
      </w:r>
      <w:bookmarkEnd w:id="163"/>
      <w:bookmarkStart w:id="164" w:name="_Toc177870547"/>
      <w:bookmarkStart w:id="165" w:name="_Toc177825125"/>
      <w:bookmarkStart w:id="166" w:name="_Toc448487540"/>
      <w:bookmarkStart w:id="167" w:name="_Toc177824944"/>
      <w:bookmarkStart w:id="168" w:name="_Toc493082119"/>
      <w:bookmarkStart w:id="169" w:name="_Toc177824877"/>
      <w:bookmarkStart w:id="170" w:name="_Toc493699303"/>
      <w:bookmarkStart w:id="171" w:name="_Toc437979781"/>
      <w:bookmarkStart w:id="172" w:name="_Toc192313112"/>
    </w:p>
    <w:p>
      <w:pPr>
        <w:pStyle w:val="31"/>
        <w:snapToGrid w:val="0"/>
        <w:spacing w:after="0" w:line="500" w:lineRule="exact"/>
        <w:ind w:firstLine="412" w:firstLineChars="196"/>
        <w:outlineLvl w:val="1"/>
        <w:rPr>
          <w:rFonts w:ascii="微软雅黑" w:hAnsi="微软雅黑" w:eastAsia="微软雅黑" w:cs="宋体"/>
          <w:b/>
          <w:szCs w:val="21"/>
          <w:highlight w:val="none"/>
        </w:rPr>
      </w:pPr>
      <w:r>
        <w:rPr>
          <w:rFonts w:hint="eastAsia" w:ascii="微软雅黑" w:hAnsi="微软雅黑" w:eastAsia="微软雅黑" w:cs="宋体"/>
          <w:b/>
          <w:szCs w:val="21"/>
          <w:highlight w:val="none"/>
        </w:rPr>
        <w:t>（三）、磋商响应文件的语言及计量</w:t>
      </w:r>
      <w:bookmarkEnd w:id="164"/>
      <w:bookmarkEnd w:id="165"/>
      <w:bookmarkEnd w:id="166"/>
      <w:bookmarkEnd w:id="167"/>
      <w:bookmarkEnd w:id="168"/>
      <w:bookmarkEnd w:id="169"/>
      <w:bookmarkEnd w:id="170"/>
      <w:bookmarkEnd w:id="171"/>
      <w:bookmarkEnd w:id="172"/>
      <w:bookmarkStart w:id="173" w:name="_Toc53062692"/>
      <w:bookmarkStart w:id="174" w:name="_Toc40788030"/>
      <w:bookmarkStart w:id="175" w:name="_Toc89266818"/>
    </w:p>
    <w:p>
      <w:pPr>
        <w:spacing w:after="0" w:line="500" w:lineRule="exact"/>
        <w:ind w:firstLine="405"/>
        <w:jc w:val="left"/>
        <w:rPr>
          <w:rFonts w:ascii="微软雅黑" w:hAnsi="微软雅黑" w:eastAsia="微软雅黑"/>
          <w:szCs w:val="21"/>
          <w:highlight w:val="none"/>
        </w:rPr>
      </w:pPr>
      <w:r>
        <w:rPr>
          <w:rFonts w:ascii="微软雅黑" w:hAnsi="微软雅黑" w:eastAsia="微软雅黑"/>
          <w:szCs w:val="21"/>
          <w:highlight w:val="none"/>
        </w:rPr>
        <w:t>3</w:t>
      </w:r>
      <w:r>
        <w:rPr>
          <w:rFonts w:hint="eastAsia" w:ascii="微软雅黑" w:hAnsi="微软雅黑" w:eastAsia="微软雅黑"/>
          <w:szCs w:val="21"/>
          <w:highlight w:val="none"/>
        </w:rPr>
        <w:t>.</w:t>
      </w:r>
      <w:r>
        <w:rPr>
          <w:rFonts w:ascii="微软雅黑" w:hAnsi="微软雅黑" w:eastAsia="微软雅黑"/>
          <w:szCs w:val="21"/>
          <w:highlight w:val="none"/>
        </w:rPr>
        <w:t>1</w:t>
      </w:r>
      <w:r>
        <w:rPr>
          <w:rFonts w:hint="eastAsia" w:ascii="微软雅黑" w:hAnsi="微软雅黑" w:eastAsia="微软雅黑"/>
          <w:szCs w:val="21"/>
          <w:highlight w:val="none"/>
        </w:rPr>
        <w:t>、▲磋商计量单位，除磋商文件中有特殊要求外，应采用中华人民共和国法定计量单位，货币单位：人民币元。</w:t>
      </w:r>
      <w:bookmarkEnd w:id="173"/>
      <w:bookmarkEnd w:id="174"/>
      <w:bookmarkEnd w:id="175"/>
      <w:bookmarkStart w:id="176" w:name="_Toc437979782"/>
      <w:bookmarkStart w:id="177" w:name="_Toc493699304"/>
      <w:bookmarkStart w:id="178" w:name="_Toc177824878"/>
      <w:bookmarkStart w:id="179" w:name="_Toc493082120"/>
      <w:bookmarkStart w:id="180" w:name="_Toc177824945"/>
      <w:bookmarkStart w:id="181" w:name="_Toc177870548"/>
      <w:bookmarkStart w:id="182" w:name="_Toc192313113"/>
      <w:bookmarkStart w:id="183" w:name="_Toc177825126"/>
      <w:bookmarkStart w:id="184" w:name="_Toc448487541"/>
    </w:p>
    <w:p>
      <w:pPr>
        <w:snapToGrid w:val="0"/>
        <w:spacing w:after="0" w:line="500" w:lineRule="exact"/>
        <w:ind w:firstLine="420" w:firstLineChars="200"/>
        <w:jc w:val="left"/>
        <w:outlineLvl w:val="1"/>
        <w:rPr>
          <w:rFonts w:ascii="微软雅黑" w:hAnsi="微软雅黑" w:eastAsia="微软雅黑"/>
          <w:b/>
          <w:szCs w:val="21"/>
          <w:highlight w:val="none"/>
        </w:rPr>
      </w:pPr>
      <w:bookmarkStart w:id="185" w:name="_Toc40788031"/>
      <w:bookmarkStart w:id="186" w:name="_Toc53062693"/>
      <w:bookmarkStart w:id="187" w:name="_Toc89266819"/>
      <w:r>
        <w:rPr>
          <w:rFonts w:hint="eastAsia" w:ascii="微软雅黑" w:hAnsi="微软雅黑" w:eastAsia="微软雅黑" w:cs="宋体"/>
          <w:b/>
          <w:szCs w:val="21"/>
          <w:highlight w:val="none"/>
        </w:rPr>
        <w:t>（四）、</w:t>
      </w:r>
      <w:r>
        <w:rPr>
          <w:rFonts w:hint="eastAsia" w:ascii="微软雅黑" w:hAnsi="微软雅黑" w:eastAsia="微软雅黑"/>
          <w:b/>
          <w:szCs w:val="21"/>
          <w:highlight w:val="none"/>
        </w:rPr>
        <w:t>磋商响应报价</w:t>
      </w:r>
      <w:bookmarkEnd w:id="176"/>
      <w:bookmarkEnd w:id="177"/>
      <w:bookmarkEnd w:id="178"/>
      <w:bookmarkEnd w:id="179"/>
      <w:bookmarkEnd w:id="180"/>
      <w:bookmarkEnd w:id="181"/>
      <w:bookmarkEnd w:id="182"/>
      <w:bookmarkEnd w:id="183"/>
      <w:bookmarkEnd w:id="184"/>
      <w:bookmarkEnd w:id="185"/>
      <w:bookmarkEnd w:id="186"/>
      <w:bookmarkEnd w:id="187"/>
      <w:bookmarkStart w:id="188" w:name="_Toc53062694"/>
      <w:bookmarkStart w:id="189" w:name="_Toc89266820"/>
      <w:bookmarkStart w:id="190" w:name="_Toc40788032"/>
    </w:p>
    <w:p>
      <w:pPr>
        <w:ind w:firstLine="424" w:firstLineChars="202"/>
        <w:rPr>
          <w:rFonts w:ascii="微软雅黑" w:hAnsi="微软雅黑" w:eastAsia="微软雅黑"/>
          <w:szCs w:val="21"/>
          <w:highlight w:val="none"/>
        </w:rPr>
      </w:pPr>
      <w:r>
        <w:rPr>
          <w:rFonts w:ascii="微软雅黑" w:hAnsi="微软雅黑" w:eastAsia="微软雅黑"/>
          <w:szCs w:val="21"/>
          <w:highlight w:val="none"/>
        </w:rPr>
        <w:t>4</w:t>
      </w:r>
      <w:r>
        <w:rPr>
          <w:rFonts w:hint="eastAsia" w:ascii="微软雅黑" w:hAnsi="微软雅黑" w:eastAsia="微软雅黑"/>
          <w:szCs w:val="21"/>
          <w:highlight w:val="none"/>
        </w:rPr>
        <w:t>.1、磋商响应报价应按磋商文件中相关附表格式填写。</w:t>
      </w:r>
      <w:bookmarkEnd w:id="188"/>
      <w:bookmarkEnd w:id="189"/>
      <w:bookmarkEnd w:id="190"/>
      <w:bookmarkStart w:id="191" w:name="_Toc40788033"/>
      <w:bookmarkStart w:id="192" w:name="_Toc53062695"/>
      <w:bookmarkStart w:id="193" w:name="_Toc89266821"/>
    </w:p>
    <w:p>
      <w:pPr>
        <w:ind w:firstLine="424" w:firstLineChars="202"/>
        <w:rPr>
          <w:rFonts w:ascii="微软雅黑" w:hAnsi="微软雅黑" w:eastAsia="微软雅黑"/>
          <w:szCs w:val="21"/>
          <w:highlight w:val="none"/>
        </w:rPr>
      </w:pPr>
      <w:r>
        <w:rPr>
          <w:rFonts w:ascii="微软雅黑" w:hAnsi="微软雅黑" w:eastAsia="微软雅黑"/>
          <w:szCs w:val="21"/>
          <w:highlight w:val="none"/>
        </w:rPr>
        <w:t>4</w:t>
      </w:r>
      <w:r>
        <w:rPr>
          <w:rFonts w:hint="eastAsia" w:ascii="微软雅黑" w:hAnsi="微软雅黑" w:eastAsia="微软雅黑"/>
          <w:szCs w:val="21"/>
          <w:highlight w:val="none"/>
        </w:rPr>
        <w:t>.2、▲</w:t>
      </w:r>
      <w:bookmarkEnd w:id="191"/>
      <w:bookmarkEnd w:id="192"/>
      <w:r>
        <w:rPr>
          <w:rFonts w:hint="eastAsia" w:ascii="微软雅黑" w:hAnsi="微软雅黑" w:eastAsia="微软雅黑"/>
          <w:szCs w:val="21"/>
          <w:highlight w:val="none"/>
        </w:rPr>
        <w:t>报价必须包括</w:t>
      </w:r>
      <w:r>
        <w:rPr>
          <w:rFonts w:hint="eastAsia" w:ascii="微软雅黑" w:hAnsi="微软雅黑" w:eastAsia="微软雅黑"/>
          <w:highlight w:val="none"/>
        </w:rPr>
        <w:t>策划、设计、制作、物料、人力资源费用以及交通费、食宿费</w:t>
      </w:r>
      <w:r>
        <w:rPr>
          <w:rFonts w:hint="eastAsia" w:ascii="微软雅黑" w:hAnsi="微软雅黑" w:eastAsia="微软雅黑"/>
          <w:szCs w:val="21"/>
          <w:highlight w:val="none"/>
        </w:rPr>
        <w:t>、税费、利润等完成合同所需的一切本身和不可或缺的、政策性文件规定及合同包含的所有风险、责任等各项全部费用并承担一切风险责任。</w:t>
      </w:r>
      <w:bookmarkEnd w:id="193"/>
      <w:bookmarkStart w:id="194" w:name="_Toc89266822"/>
      <w:bookmarkStart w:id="195" w:name="_Toc53062696"/>
      <w:bookmarkStart w:id="196" w:name="_Toc40788034"/>
    </w:p>
    <w:p>
      <w:pPr>
        <w:ind w:firstLine="424" w:firstLineChars="202"/>
        <w:rPr>
          <w:rFonts w:ascii="微软雅黑" w:hAnsi="微软雅黑" w:eastAsia="微软雅黑"/>
          <w:szCs w:val="21"/>
          <w:highlight w:val="none"/>
        </w:rPr>
      </w:pPr>
      <w:r>
        <w:rPr>
          <w:rFonts w:ascii="微软雅黑" w:hAnsi="微软雅黑" w:eastAsia="微软雅黑"/>
          <w:szCs w:val="21"/>
          <w:highlight w:val="none"/>
        </w:rPr>
        <w:t>4</w:t>
      </w:r>
      <w:r>
        <w:rPr>
          <w:rFonts w:hint="eastAsia" w:ascii="微软雅黑" w:hAnsi="微软雅黑" w:eastAsia="微软雅黑"/>
          <w:szCs w:val="21"/>
          <w:highlight w:val="none"/>
        </w:rPr>
        <w:t>.3、▲磋商响应报价只允许有一个报价，有选择的报价将不予接受。</w:t>
      </w:r>
      <w:bookmarkEnd w:id="194"/>
      <w:bookmarkEnd w:id="195"/>
      <w:bookmarkEnd w:id="196"/>
    </w:p>
    <w:p>
      <w:pPr>
        <w:snapToGrid w:val="0"/>
        <w:spacing w:after="0" w:line="500" w:lineRule="exact"/>
        <w:ind w:firstLine="420" w:firstLineChars="200"/>
        <w:jc w:val="left"/>
        <w:outlineLvl w:val="1"/>
        <w:rPr>
          <w:rFonts w:ascii="微软雅黑" w:hAnsi="微软雅黑" w:eastAsia="微软雅黑"/>
          <w:b/>
          <w:szCs w:val="21"/>
          <w:highlight w:val="none"/>
        </w:rPr>
      </w:pPr>
      <w:bookmarkStart w:id="197" w:name="_Toc53062697"/>
      <w:bookmarkStart w:id="198" w:name="_Toc89266823"/>
      <w:bookmarkStart w:id="199" w:name="_Toc40788035"/>
      <w:r>
        <w:rPr>
          <w:rFonts w:hint="eastAsia" w:ascii="微软雅黑" w:hAnsi="微软雅黑" w:eastAsia="微软雅黑" w:cs="宋体"/>
          <w:b/>
          <w:szCs w:val="21"/>
          <w:highlight w:val="none"/>
        </w:rPr>
        <w:t>（五）、</w:t>
      </w:r>
      <w:r>
        <w:rPr>
          <w:rFonts w:hint="eastAsia" w:ascii="微软雅黑" w:hAnsi="微软雅黑" w:eastAsia="微软雅黑"/>
          <w:b/>
          <w:szCs w:val="21"/>
          <w:highlight w:val="none"/>
        </w:rPr>
        <w:t>磋商响应文件的有效期</w:t>
      </w:r>
      <w:bookmarkEnd w:id="197"/>
      <w:bookmarkEnd w:id="198"/>
      <w:bookmarkEnd w:id="199"/>
    </w:p>
    <w:p>
      <w:pPr>
        <w:ind w:firstLine="424" w:firstLineChars="202"/>
        <w:rPr>
          <w:rFonts w:ascii="微软雅黑" w:hAnsi="微软雅黑" w:eastAsia="微软雅黑"/>
          <w:szCs w:val="21"/>
          <w:highlight w:val="none"/>
        </w:rPr>
      </w:pPr>
      <w:bookmarkStart w:id="200" w:name="_Toc89266824"/>
      <w:bookmarkStart w:id="201" w:name="_Toc53062698"/>
      <w:bookmarkStart w:id="202" w:name="_Toc40788036"/>
      <w:r>
        <w:rPr>
          <w:rFonts w:ascii="微软雅黑" w:hAnsi="微软雅黑" w:eastAsia="微软雅黑"/>
          <w:szCs w:val="21"/>
          <w:highlight w:val="none"/>
        </w:rPr>
        <w:t>5</w:t>
      </w:r>
      <w:r>
        <w:rPr>
          <w:rFonts w:hint="eastAsia" w:ascii="微软雅黑" w:hAnsi="微软雅黑" w:eastAsia="微软雅黑"/>
          <w:szCs w:val="21"/>
          <w:highlight w:val="none"/>
        </w:rPr>
        <w:t>.1、▲自磋商响应截止日起 60天磋商响应文件应保持有效。如采购人认为必要可延长，但至总计最长不超过90 天。有效期短于这个规定期限的磋商响应文件将被拒绝。</w:t>
      </w:r>
      <w:bookmarkEnd w:id="200"/>
      <w:bookmarkEnd w:id="201"/>
      <w:bookmarkEnd w:id="202"/>
    </w:p>
    <w:p>
      <w:pPr>
        <w:ind w:firstLine="424" w:firstLineChars="202"/>
        <w:rPr>
          <w:rFonts w:ascii="微软雅黑" w:hAnsi="微软雅黑" w:eastAsia="微软雅黑"/>
          <w:szCs w:val="21"/>
          <w:highlight w:val="none"/>
        </w:rPr>
      </w:pPr>
      <w:bookmarkStart w:id="203" w:name="_Toc53062699"/>
      <w:bookmarkStart w:id="204" w:name="_Toc89266825"/>
      <w:bookmarkStart w:id="205" w:name="_Toc40788037"/>
      <w:r>
        <w:rPr>
          <w:rFonts w:ascii="微软雅黑" w:hAnsi="微软雅黑" w:eastAsia="微软雅黑"/>
          <w:szCs w:val="21"/>
          <w:highlight w:val="none"/>
        </w:rPr>
        <w:t>5</w:t>
      </w:r>
      <w:r>
        <w:rPr>
          <w:rFonts w:hint="eastAsia" w:ascii="微软雅黑" w:hAnsi="微软雅黑" w:eastAsia="微软雅黑"/>
          <w:szCs w:val="21"/>
          <w:highlight w:val="none"/>
        </w:rPr>
        <w:t>.2、在特殊情况下，磋商人可与供应商协商延长磋商响应文件的有效期，这种要求和答复均以书面形式进行。</w:t>
      </w:r>
      <w:bookmarkEnd w:id="203"/>
      <w:bookmarkEnd w:id="204"/>
      <w:bookmarkEnd w:id="205"/>
      <w:bookmarkStart w:id="206" w:name="_Toc493082122"/>
      <w:bookmarkStart w:id="207" w:name="_Toc487802039"/>
      <w:bookmarkStart w:id="208" w:name="_Toc487793394"/>
      <w:bookmarkStart w:id="209" w:name="_Toc487802108"/>
      <w:bookmarkStart w:id="210" w:name="_Toc493699306"/>
      <w:bookmarkStart w:id="211" w:name="_Toc170792769"/>
      <w:bookmarkStart w:id="212" w:name="_Toc107820050"/>
    </w:p>
    <w:p>
      <w:pPr>
        <w:snapToGrid w:val="0"/>
        <w:spacing w:after="0" w:line="500" w:lineRule="exact"/>
        <w:ind w:firstLine="420" w:firstLineChars="200"/>
        <w:jc w:val="left"/>
        <w:outlineLvl w:val="1"/>
        <w:rPr>
          <w:rFonts w:ascii="微软雅黑" w:hAnsi="微软雅黑" w:eastAsia="微软雅黑"/>
          <w:b/>
          <w:szCs w:val="21"/>
          <w:highlight w:val="none"/>
        </w:rPr>
      </w:pPr>
      <w:bookmarkStart w:id="213" w:name="_Toc53062700"/>
      <w:bookmarkStart w:id="214" w:name="_Toc40788038"/>
      <w:bookmarkStart w:id="215" w:name="_Toc89266826"/>
      <w:r>
        <w:rPr>
          <w:rFonts w:hint="eastAsia" w:ascii="微软雅黑" w:hAnsi="微软雅黑" w:eastAsia="微软雅黑" w:cs="宋体"/>
          <w:b/>
          <w:szCs w:val="21"/>
          <w:highlight w:val="none"/>
        </w:rPr>
        <w:t>（六）、</w:t>
      </w:r>
      <w:r>
        <w:rPr>
          <w:rFonts w:hint="eastAsia" w:ascii="微软雅黑" w:hAnsi="微软雅黑" w:eastAsia="微软雅黑"/>
          <w:b/>
          <w:szCs w:val="21"/>
          <w:highlight w:val="none"/>
        </w:rPr>
        <w:t>下列情况，投标单位将由代理机构上报行政主管部门，接受行政主管部门的处罚：</w:t>
      </w:r>
      <w:bookmarkEnd w:id="206"/>
      <w:bookmarkEnd w:id="207"/>
      <w:bookmarkEnd w:id="208"/>
      <w:bookmarkEnd w:id="209"/>
      <w:bookmarkEnd w:id="210"/>
      <w:bookmarkEnd w:id="213"/>
      <w:bookmarkEnd w:id="214"/>
      <w:bookmarkEnd w:id="215"/>
    </w:p>
    <w:p>
      <w:pPr>
        <w:ind w:firstLine="424" w:firstLineChars="202"/>
        <w:rPr>
          <w:rFonts w:ascii="微软雅黑" w:hAnsi="微软雅黑" w:eastAsia="微软雅黑"/>
          <w:szCs w:val="21"/>
          <w:highlight w:val="none"/>
        </w:rPr>
      </w:pPr>
      <w:bookmarkStart w:id="216" w:name="_Toc53062701"/>
      <w:bookmarkStart w:id="217" w:name="_Toc89266827"/>
      <w:bookmarkStart w:id="218" w:name="_Toc40788039"/>
      <w:r>
        <w:rPr>
          <w:rFonts w:ascii="微软雅黑" w:hAnsi="微软雅黑" w:eastAsia="微软雅黑"/>
          <w:szCs w:val="21"/>
          <w:highlight w:val="none"/>
        </w:rPr>
        <w:t>6</w:t>
      </w:r>
      <w:r>
        <w:rPr>
          <w:rFonts w:hint="eastAsia" w:ascii="微软雅黑" w:hAnsi="微软雅黑" w:eastAsia="微软雅黑"/>
          <w:szCs w:val="21"/>
          <w:highlight w:val="none"/>
        </w:rPr>
        <w:t>.1、供应商在磋商响应文件有效期内撤回磋商响应文件的；</w:t>
      </w:r>
      <w:bookmarkEnd w:id="216"/>
      <w:bookmarkEnd w:id="217"/>
      <w:bookmarkEnd w:id="218"/>
    </w:p>
    <w:p>
      <w:pPr>
        <w:ind w:firstLine="424" w:firstLineChars="202"/>
        <w:rPr>
          <w:rFonts w:ascii="微软雅黑" w:hAnsi="微软雅黑" w:eastAsia="微软雅黑"/>
          <w:szCs w:val="21"/>
          <w:highlight w:val="none"/>
        </w:rPr>
      </w:pPr>
      <w:bookmarkStart w:id="219" w:name="_Toc40788040"/>
      <w:bookmarkStart w:id="220" w:name="_Toc53062702"/>
      <w:bookmarkStart w:id="221" w:name="_Toc89266828"/>
      <w:r>
        <w:rPr>
          <w:rFonts w:ascii="微软雅黑" w:hAnsi="微软雅黑" w:eastAsia="微软雅黑"/>
          <w:szCs w:val="21"/>
          <w:highlight w:val="none"/>
        </w:rPr>
        <w:t>6</w:t>
      </w:r>
      <w:r>
        <w:rPr>
          <w:rFonts w:hint="eastAsia" w:ascii="微软雅黑" w:hAnsi="微软雅黑" w:eastAsia="微软雅黑"/>
          <w:szCs w:val="21"/>
          <w:highlight w:val="none"/>
        </w:rPr>
        <w:t>.2、中标供应商未按规定的时间、地点与采购人签订合同的；</w:t>
      </w:r>
      <w:bookmarkEnd w:id="219"/>
      <w:bookmarkEnd w:id="220"/>
      <w:bookmarkEnd w:id="221"/>
    </w:p>
    <w:p>
      <w:pPr>
        <w:ind w:firstLine="424" w:firstLineChars="202"/>
        <w:rPr>
          <w:rFonts w:ascii="微软雅黑" w:hAnsi="微软雅黑" w:eastAsia="微软雅黑"/>
          <w:szCs w:val="21"/>
          <w:highlight w:val="none"/>
        </w:rPr>
      </w:pPr>
      <w:bookmarkStart w:id="222" w:name="_Toc53062703"/>
      <w:bookmarkStart w:id="223" w:name="_Toc89266829"/>
      <w:bookmarkStart w:id="224" w:name="_Toc40788041"/>
      <w:r>
        <w:rPr>
          <w:rFonts w:ascii="微软雅黑" w:hAnsi="微软雅黑" w:eastAsia="微软雅黑"/>
          <w:szCs w:val="21"/>
          <w:highlight w:val="none"/>
        </w:rPr>
        <w:t>6</w:t>
      </w:r>
      <w:r>
        <w:rPr>
          <w:rFonts w:hint="eastAsia" w:ascii="微软雅黑" w:hAnsi="微软雅黑" w:eastAsia="微软雅黑"/>
          <w:szCs w:val="21"/>
          <w:highlight w:val="none"/>
        </w:rPr>
        <w:t>.3、供应商在磋商过程中弄虚作假，提供虚假材料；</w:t>
      </w:r>
      <w:bookmarkEnd w:id="222"/>
      <w:bookmarkEnd w:id="223"/>
      <w:bookmarkEnd w:id="224"/>
    </w:p>
    <w:p>
      <w:pPr>
        <w:ind w:firstLine="424" w:firstLineChars="202"/>
        <w:rPr>
          <w:rFonts w:ascii="微软雅黑" w:hAnsi="微软雅黑" w:eastAsia="微软雅黑"/>
          <w:szCs w:val="21"/>
          <w:highlight w:val="none"/>
        </w:rPr>
      </w:pPr>
      <w:bookmarkStart w:id="225" w:name="_Toc53062704"/>
      <w:bookmarkStart w:id="226" w:name="_Toc89266830"/>
      <w:bookmarkStart w:id="227" w:name="_Toc40788042"/>
      <w:r>
        <w:rPr>
          <w:rFonts w:ascii="微软雅黑" w:hAnsi="微软雅黑" w:eastAsia="微软雅黑"/>
          <w:szCs w:val="21"/>
          <w:highlight w:val="none"/>
        </w:rPr>
        <w:t>6</w:t>
      </w:r>
      <w:r>
        <w:rPr>
          <w:rFonts w:hint="eastAsia" w:ascii="微软雅黑" w:hAnsi="微软雅黑" w:eastAsia="微软雅黑"/>
          <w:szCs w:val="21"/>
          <w:highlight w:val="none"/>
        </w:rPr>
        <w:t>.4、其他严重扰乱竞争性磋商程序的；</w:t>
      </w:r>
      <w:bookmarkEnd w:id="225"/>
      <w:bookmarkEnd w:id="226"/>
      <w:bookmarkEnd w:id="227"/>
      <w:bookmarkStart w:id="228" w:name="_Toc177870551"/>
      <w:bookmarkStart w:id="229" w:name="_Toc177824948"/>
      <w:bookmarkStart w:id="230" w:name="_Toc177825129"/>
      <w:bookmarkStart w:id="231" w:name="_Toc192313116"/>
      <w:bookmarkStart w:id="232" w:name="_Toc177824881"/>
    </w:p>
    <w:p>
      <w:pPr>
        <w:snapToGrid w:val="0"/>
        <w:spacing w:after="0" w:line="500" w:lineRule="exact"/>
        <w:ind w:firstLine="420" w:firstLineChars="200"/>
        <w:jc w:val="left"/>
        <w:outlineLvl w:val="1"/>
        <w:rPr>
          <w:rFonts w:ascii="微软雅黑" w:hAnsi="微软雅黑" w:eastAsia="微软雅黑"/>
          <w:b/>
          <w:szCs w:val="21"/>
          <w:highlight w:val="none"/>
        </w:rPr>
      </w:pPr>
      <w:bookmarkStart w:id="233" w:name="_Toc40788043"/>
      <w:bookmarkStart w:id="234" w:name="_Toc89266831"/>
      <w:bookmarkStart w:id="235" w:name="_Toc53062705"/>
      <w:r>
        <w:rPr>
          <w:rFonts w:hint="eastAsia" w:ascii="微软雅黑" w:hAnsi="微软雅黑" w:eastAsia="微软雅黑" w:cs="宋体"/>
          <w:b/>
          <w:szCs w:val="21"/>
          <w:highlight w:val="none"/>
        </w:rPr>
        <w:t>（七）</w:t>
      </w:r>
      <w:r>
        <w:rPr>
          <w:rFonts w:hint="eastAsia" w:ascii="微软雅黑" w:hAnsi="微软雅黑" w:eastAsia="微软雅黑"/>
          <w:b/>
          <w:szCs w:val="21"/>
          <w:highlight w:val="none"/>
        </w:rPr>
        <w:t>、磋商响应文件的签署和份数</w:t>
      </w:r>
      <w:bookmarkEnd w:id="228"/>
      <w:bookmarkEnd w:id="229"/>
      <w:bookmarkEnd w:id="230"/>
      <w:bookmarkEnd w:id="231"/>
      <w:bookmarkEnd w:id="232"/>
      <w:bookmarkEnd w:id="233"/>
      <w:bookmarkEnd w:id="234"/>
      <w:bookmarkEnd w:id="235"/>
      <w:bookmarkStart w:id="236" w:name="_Toc493082123"/>
      <w:bookmarkStart w:id="237" w:name="_Toc493699307"/>
      <w:bookmarkStart w:id="238" w:name="_Toc487802109"/>
      <w:bookmarkStart w:id="239" w:name="_Toc437979785"/>
      <w:bookmarkStart w:id="240" w:name="_Toc448487544"/>
      <w:bookmarkStart w:id="241" w:name="_Toc487802040"/>
      <w:bookmarkStart w:id="242" w:name="_Toc487793395"/>
      <w:bookmarkStart w:id="243" w:name="_Toc177870552"/>
      <w:bookmarkStart w:id="244" w:name="_Toc192313117"/>
    </w:p>
    <w:p>
      <w:pPr>
        <w:ind w:firstLine="424" w:firstLineChars="202"/>
        <w:rPr>
          <w:rFonts w:ascii="微软雅黑" w:hAnsi="微软雅黑" w:eastAsia="微软雅黑" w:cs="微软雅黑"/>
          <w:b/>
          <w:bCs/>
          <w:szCs w:val="21"/>
          <w:highlight w:val="none"/>
        </w:rPr>
      </w:pPr>
      <w:bookmarkStart w:id="245" w:name="_Toc53062706"/>
      <w:bookmarkStart w:id="246" w:name="_Toc40788044"/>
      <w:bookmarkStart w:id="247" w:name="_Toc89266832"/>
      <w:r>
        <w:rPr>
          <w:rFonts w:hint="eastAsia" w:ascii="微软雅黑" w:hAnsi="微软雅黑" w:eastAsia="微软雅黑"/>
          <w:szCs w:val="21"/>
          <w:highlight w:val="none"/>
        </w:rPr>
        <w:t>竞争性磋商响应文件的形式：</w:t>
      </w:r>
      <w:r>
        <w:rPr>
          <w:rFonts w:hint="eastAsia" w:ascii="微软雅黑" w:hAnsi="微软雅黑" w:eastAsia="MS Gothic" w:cs="MS Gothic"/>
          <w:b/>
          <w:bCs/>
          <w:szCs w:val="21"/>
          <w:highlight w:val="none"/>
        </w:rPr>
        <w:t>☑</w:t>
      </w:r>
      <w:r>
        <w:rPr>
          <w:rFonts w:hint="eastAsia" w:ascii="微软雅黑" w:hAnsi="微软雅黑" w:eastAsia="微软雅黑" w:cs="微软雅黑"/>
          <w:b/>
          <w:bCs/>
          <w:szCs w:val="21"/>
          <w:highlight w:val="none"/>
        </w:rPr>
        <w:t>电子竞争性磋商响应文件（包括“电子加密竞争性磋商响应文件”和“备份竞争性磋商响应文件”，在竞争性磋商响应文件编制完成后同时生成）；</w:t>
      </w:r>
      <w:bookmarkEnd w:id="245"/>
      <w:bookmarkEnd w:id="246"/>
      <w:bookmarkEnd w:id="247"/>
    </w:p>
    <w:p>
      <w:pPr>
        <w:ind w:firstLine="424" w:firstLineChars="202"/>
        <w:rPr>
          <w:rFonts w:ascii="微软雅黑" w:hAnsi="微软雅黑" w:eastAsia="微软雅黑"/>
          <w:b/>
          <w:bCs/>
          <w:szCs w:val="21"/>
          <w:highlight w:val="none"/>
        </w:rPr>
      </w:pPr>
      <w:bookmarkStart w:id="248" w:name="_Toc89266833"/>
      <w:bookmarkStart w:id="249" w:name="_Toc40788045"/>
      <w:bookmarkStart w:id="250" w:name="_Toc53062707"/>
      <w:r>
        <w:rPr>
          <w:rFonts w:hint="eastAsia" w:ascii="微软雅黑" w:hAnsi="微软雅黑" w:eastAsia="微软雅黑"/>
          <w:b/>
          <w:bCs/>
          <w:szCs w:val="21"/>
          <w:highlight w:val="none"/>
        </w:rPr>
        <w:t>（1）“电子加密竞争性磋商响应文件”是指通过“政采云电子交易客户端”完成竞争性磋商响应文件编制后生成并加密的数据电文形式的竞争性磋商响应文件。</w:t>
      </w:r>
      <w:bookmarkEnd w:id="248"/>
      <w:bookmarkEnd w:id="249"/>
      <w:bookmarkEnd w:id="250"/>
    </w:p>
    <w:p>
      <w:pPr>
        <w:ind w:firstLine="424" w:firstLineChars="202"/>
        <w:rPr>
          <w:rFonts w:ascii="微软雅黑" w:hAnsi="微软雅黑" w:eastAsia="微软雅黑"/>
          <w:b/>
          <w:bCs/>
          <w:szCs w:val="21"/>
          <w:highlight w:val="none"/>
        </w:rPr>
      </w:pPr>
      <w:bookmarkStart w:id="251" w:name="_Toc40788046"/>
      <w:bookmarkStart w:id="252" w:name="_Toc89266834"/>
      <w:bookmarkStart w:id="253" w:name="_Toc53062708"/>
      <w:r>
        <w:rPr>
          <w:rFonts w:hint="eastAsia" w:ascii="微软雅黑" w:hAnsi="微软雅黑" w:eastAsia="微软雅黑"/>
          <w:b/>
          <w:bCs/>
          <w:szCs w:val="21"/>
          <w:highlight w:val="none"/>
        </w:rPr>
        <w:t>（2）“备份竞争性磋商响应文件”是指与“电子加密竞争性磋商响应文件”同时生成的数据电文形式的电子文件（备份标书），其他方式编制的备份竞争性磋商响应文件视为无效备份竞争性磋商响应文件。</w:t>
      </w:r>
      <w:bookmarkEnd w:id="251"/>
      <w:bookmarkEnd w:id="252"/>
      <w:bookmarkEnd w:id="253"/>
    </w:p>
    <w:p>
      <w:pPr>
        <w:snapToGrid w:val="0"/>
        <w:spacing w:after="0" w:line="500" w:lineRule="exact"/>
        <w:ind w:firstLine="420" w:firstLineChars="200"/>
        <w:jc w:val="left"/>
        <w:outlineLvl w:val="1"/>
        <w:rPr>
          <w:rFonts w:ascii="微软雅黑" w:hAnsi="微软雅黑" w:eastAsia="微软雅黑"/>
          <w:b/>
          <w:bCs/>
          <w:szCs w:val="21"/>
          <w:highlight w:val="none"/>
        </w:rPr>
      </w:pPr>
      <w:bookmarkStart w:id="254" w:name="_Toc89266835"/>
      <w:bookmarkStart w:id="255" w:name="_Toc40788047"/>
      <w:bookmarkStart w:id="256" w:name="_Toc53062709"/>
      <w:r>
        <w:rPr>
          <w:rFonts w:hint="eastAsia" w:ascii="微软雅黑" w:hAnsi="微软雅黑" w:eastAsia="微软雅黑" w:cs="宋体"/>
          <w:b/>
          <w:szCs w:val="21"/>
          <w:highlight w:val="none"/>
        </w:rPr>
        <w:t>（八）、</w:t>
      </w:r>
      <w:r>
        <w:rPr>
          <w:rFonts w:hint="eastAsia" w:ascii="微软雅黑" w:hAnsi="微软雅黑" w:eastAsia="微软雅黑"/>
          <w:b/>
          <w:bCs/>
          <w:szCs w:val="21"/>
          <w:highlight w:val="none"/>
        </w:rPr>
        <w:t>竞争性磋商响应文件的上传和递交：</w:t>
      </w:r>
      <w:bookmarkEnd w:id="254"/>
      <w:bookmarkEnd w:id="255"/>
      <w:bookmarkEnd w:id="256"/>
    </w:p>
    <w:p>
      <w:pPr>
        <w:ind w:left="2" w:firstLine="424" w:firstLineChars="202"/>
        <w:rPr>
          <w:rFonts w:ascii="微软雅黑" w:hAnsi="微软雅黑" w:eastAsia="微软雅黑"/>
          <w:b/>
          <w:bCs/>
          <w:szCs w:val="21"/>
          <w:highlight w:val="none"/>
        </w:rPr>
      </w:pPr>
      <w:bookmarkStart w:id="257" w:name="_Toc89266836"/>
      <w:bookmarkStart w:id="258" w:name="_Toc53062710"/>
      <w:bookmarkStart w:id="259" w:name="_Toc40788048"/>
      <w:r>
        <w:rPr>
          <w:rFonts w:hint="eastAsia" w:ascii="微软雅黑" w:hAnsi="微软雅黑" w:eastAsia="微软雅黑"/>
          <w:b/>
          <w:bCs/>
          <w:szCs w:val="21"/>
          <w:highlight w:val="none"/>
        </w:rPr>
        <w:t>（1）“电子加密竞争性磋商响应文件”的上传、递交：</w:t>
      </w:r>
      <w:bookmarkEnd w:id="257"/>
      <w:bookmarkEnd w:id="258"/>
      <w:bookmarkEnd w:id="259"/>
    </w:p>
    <w:p>
      <w:pPr>
        <w:ind w:firstLine="424" w:firstLineChars="202"/>
        <w:rPr>
          <w:rFonts w:ascii="微软雅黑" w:hAnsi="微软雅黑" w:eastAsia="微软雅黑"/>
          <w:b/>
          <w:bCs/>
          <w:szCs w:val="21"/>
          <w:highlight w:val="none"/>
        </w:rPr>
      </w:pPr>
      <w:bookmarkStart w:id="260" w:name="_Toc40788049"/>
      <w:bookmarkStart w:id="261" w:name="_Toc89266837"/>
      <w:bookmarkStart w:id="262" w:name="_Toc53062711"/>
      <w:r>
        <w:rPr>
          <w:rFonts w:ascii="微软雅黑" w:hAnsi="微软雅黑" w:eastAsia="微软雅黑"/>
          <w:b/>
          <w:bCs/>
          <w:szCs w:val="21"/>
          <w:highlight w:val="none"/>
        </w:rPr>
        <w:t>A</w:t>
      </w:r>
      <w:r>
        <w:rPr>
          <w:rFonts w:hint="eastAsia" w:ascii="微软雅黑" w:hAnsi="微软雅黑" w:eastAsia="微软雅黑"/>
          <w:b/>
          <w:bCs/>
          <w:szCs w:val="21"/>
          <w:highlight w:val="none"/>
        </w:rPr>
        <w:t>、投标供应商应在投标截止时间前将“电子加密竞争性磋商响应文件”成功上传递交至“政府采购云平台”，否则投标无效。</w:t>
      </w:r>
      <w:bookmarkEnd w:id="260"/>
      <w:bookmarkEnd w:id="261"/>
      <w:bookmarkEnd w:id="262"/>
    </w:p>
    <w:p>
      <w:pPr>
        <w:ind w:firstLine="424" w:firstLineChars="202"/>
        <w:rPr>
          <w:rFonts w:ascii="微软雅黑" w:hAnsi="微软雅黑" w:eastAsia="微软雅黑"/>
          <w:b/>
          <w:bCs/>
          <w:szCs w:val="21"/>
          <w:highlight w:val="none"/>
        </w:rPr>
      </w:pPr>
      <w:bookmarkStart w:id="263" w:name="_Toc53062712"/>
      <w:bookmarkStart w:id="264" w:name="_Toc89266838"/>
      <w:bookmarkStart w:id="265" w:name="_Toc40788050"/>
      <w:r>
        <w:rPr>
          <w:rFonts w:ascii="微软雅黑" w:hAnsi="微软雅黑" w:eastAsia="微软雅黑"/>
          <w:b/>
          <w:bCs/>
          <w:szCs w:val="21"/>
          <w:highlight w:val="none"/>
        </w:rPr>
        <w:t>B</w:t>
      </w:r>
      <w:r>
        <w:rPr>
          <w:rFonts w:hint="eastAsia" w:ascii="微软雅黑" w:hAnsi="微软雅黑" w:eastAsia="微软雅黑"/>
          <w:b/>
          <w:bCs/>
          <w:szCs w:val="21"/>
          <w:highlight w:val="none"/>
        </w:rPr>
        <w:t>、“电子加密竞争性磋商响应文件”成功上传递交后，供应商可自行打印竞争性磋商响应文件接收回执。</w:t>
      </w:r>
      <w:bookmarkEnd w:id="263"/>
      <w:bookmarkEnd w:id="264"/>
      <w:bookmarkEnd w:id="265"/>
    </w:p>
    <w:p>
      <w:pPr>
        <w:ind w:firstLine="424" w:firstLineChars="202"/>
        <w:rPr>
          <w:rFonts w:ascii="微软雅黑" w:hAnsi="微软雅黑" w:eastAsia="微软雅黑"/>
          <w:b/>
          <w:bCs/>
          <w:szCs w:val="21"/>
          <w:highlight w:val="none"/>
        </w:rPr>
      </w:pPr>
      <w:bookmarkStart w:id="266" w:name="_Toc89266839"/>
      <w:bookmarkStart w:id="267" w:name="_Toc53062713"/>
      <w:bookmarkStart w:id="268" w:name="_Toc40788051"/>
      <w:r>
        <w:rPr>
          <w:rFonts w:hint="eastAsia" w:ascii="微软雅黑" w:hAnsi="微软雅黑" w:eastAsia="微软雅黑"/>
          <w:b/>
          <w:bCs/>
          <w:szCs w:val="21"/>
          <w:highlight w:val="none"/>
        </w:rPr>
        <w:t>（2）“备份竞争性磋商响应文件”的密封包装、递交：</w:t>
      </w:r>
      <w:bookmarkEnd w:id="266"/>
      <w:bookmarkEnd w:id="267"/>
      <w:bookmarkEnd w:id="268"/>
    </w:p>
    <w:p>
      <w:pPr>
        <w:ind w:firstLine="424" w:firstLineChars="202"/>
        <w:rPr>
          <w:rFonts w:ascii="微软雅黑" w:hAnsi="微软雅黑" w:eastAsia="微软雅黑"/>
          <w:b/>
          <w:bCs/>
          <w:szCs w:val="21"/>
          <w:highlight w:val="none"/>
        </w:rPr>
      </w:pPr>
      <w:bookmarkStart w:id="269" w:name="_Toc89266840"/>
      <w:bookmarkStart w:id="270" w:name="_Toc40788052"/>
      <w:bookmarkStart w:id="271" w:name="_Toc53062714"/>
      <w:r>
        <w:rPr>
          <w:rFonts w:ascii="微软雅黑" w:hAnsi="微软雅黑" w:eastAsia="微软雅黑"/>
          <w:b/>
          <w:bCs/>
          <w:szCs w:val="21"/>
          <w:highlight w:val="none"/>
        </w:rPr>
        <w:t>A</w:t>
      </w:r>
      <w:r>
        <w:rPr>
          <w:rFonts w:hint="eastAsia" w:ascii="微软雅黑" w:hAnsi="微软雅黑" w:eastAsia="微软雅黑"/>
          <w:b/>
          <w:bCs/>
          <w:szCs w:val="21"/>
          <w:highlight w:val="none"/>
        </w:rPr>
        <w:t>、投标供应商在“政府采购云平台”完成“电子加密竞争性磋商响应文件”的上传递交后，还可以（邮寄形式）在投标截止时间前递交以介质（U盘）存储的“备份竞争性磋商响应文件”（一份）；</w:t>
      </w:r>
      <w:bookmarkEnd w:id="269"/>
      <w:bookmarkEnd w:id="270"/>
      <w:bookmarkEnd w:id="271"/>
    </w:p>
    <w:p>
      <w:pPr>
        <w:ind w:firstLine="424" w:firstLineChars="202"/>
        <w:rPr>
          <w:rFonts w:ascii="微软雅黑" w:hAnsi="微软雅黑" w:eastAsia="微软雅黑"/>
          <w:b/>
          <w:bCs/>
          <w:szCs w:val="21"/>
          <w:highlight w:val="none"/>
        </w:rPr>
      </w:pPr>
      <w:bookmarkStart w:id="272" w:name="_Toc40788053"/>
      <w:bookmarkStart w:id="273" w:name="_Toc89266841"/>
      <w:bookmarkStart w:id="274" w:name="_Toc53062715"/>
      <w:r>
        <w:rPr>
          <w:rFonts w:ascii="微软雅黑" w:hAnsi="微软雅黑" w:eastAsia="微软雅黑"/>
          <w:b/>
          <w:bCs/>
          <w:szCs w:val="21"/>
          <w:highlight w:val="none"/>
        </w:rPr>
        <w:t>B</w:t>
      </w:r>
      <w:r>
        <w:rPr>
          <w:rFonts w:hint="eastAsia" w:ascii="微软雅黑" w:hAnsi="微软雅黑" w:eastAsia="微软雅黑"/>
          <w:b/>
          <w:bCs/>
          <w:szCs w:val="21"/>
          <w:highlight w:val="none"/>
        </w:rPr>
        <w:t>、“备份竞争性磋商响应文件”应当密封包装，并在包装上标注投标项目名称、投标单位名称并加盖公章。没有密封包装或者逾期邮寄送达至邮寄接收地点的“备份竞争性磋商响应文件”将不予接收；</w:t>
      </w:r>
      <w:bookmarkEnd w:id="272"/>
      <w:bookmarkEnd w:id="273"/>
      <w:bookmarkEnd w:id="274"/>
    </w:p>
    <w:p>
      <w:pPr>
        <w:ind w:left="2" w:firstLine="424" w:firstLineChars="202"/>
        <w:rPr>
          <w:rFonts w:ascii="微软雅黑" w:hAnsi="微软雅黑" w:eastAsia="微软雅黑"/>
          <w:b/>
          <w:bCs/>
          <w:szCs w:val="21"/>
          <w:highlight w:val="none"/>
        </w:rPr>
      </w:pPr>
      <w:bookmarkStart w:id="275" w:name="_Toc40788054"/>
      <w:bookmarkStart w:id="276" w:name="_Toc53062716"/>
      <w:bookmarkStart w:id="277" w:name="_Toc89266842"/>
      <w:r>
        <w:rPr>
          <w:rFonts w:ascii="微软雅黑" w:hAnsi="微软雅黑" w:eastAsia="微软雅黑"/>
          <w:b/>
          <w:bCs/>
          <w:szCs w:val="21"/>
          <w:highlight w:val="none"/>
        </w:rPr>
        <w:t>C</w:t>
      </w:r>
      <w:r>
        <w:rPr>
          <w:rFonts w:hint="eastAsia" w:ascii="微软雅黑" w:hAnsi="微软雅黑" w:eastAsia="微软雅黑"/>
          <w:b/>
          <w:bCs/>
          <w:szCs w:val="21"/>
          <w:highlight w:val="none"/>
        </w:rPr>
        <w:t>、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bookmarkEnd w:id="275"/>
      <w:bookmarkEnd w:id="276"/>
      <w:bookmarkEnd w:id="277"/>
    </w:p>
    <w:p>
      <w:pPr>
        <w:snapToGrid w:val="0"/>
        <w:spacing w:after="0" w:line="500" w:lineRule="exact"/>
        <w:ind w:firstLine="420" w:firstLineChars="200"/>
        <w:jc w:val="left"/>
        <w:outlineLvl w:val="1"/>
        <w:rPr>
          <w:rFonts w:ascii="微软雅黑" w:hAnsi="微软雅黑" w:eastAsia="微软雅黑"/>
          <w:b/>
          <w:szCs w:val="21"/>
          <w:highlight w:val="none"/>
        </w:rPr>
      </w:pPr>
      <w:bookmarkStart w:id="278" w:name="_Toc40788055"/>
      <w:bookmarkStart w:id="279" w:name="_Toc89266843"/>
      <w:bookmarkStart w:id="280" w:name="_Toc53062717"/>
      <w:r>
        <w:rPr>
          <w:rFonts w:hint="eastAsia" w:ascii="微软雅黑" w:hAnsi="微软雅黑" w:eastAsia="微软雅黑" w:cs="宋体"/>
          <w:b/>
          <w:szCs w:val="21"/>
          <w:highlight w:val="none"/>
        </w:rPr>
        <w:t>（九）</w:t>
      </w:r>
      <w:r>
        <w:rPr>
          <w:rFonts w:hint="eastAsia" w:ascii="微软雅黑" w:hAnsi="微软雅黑" w:eastAsia="微软雅黑"/>
          <w:b/>
          <w:szCs w:val="21"/>
          <w:highlight w:val="none"/>
        </w:rPr>
        <w:t>、无效响应文件条款：</w:t>
      </w:r>
      <w:bookmarkEnd w:id="236"/>
      <w:bookmarkEnd w:id="237"/>
      <w:bookmarkEnd w:id="238"/>
      <w:bookmarkEnd w:id="239"/>
      <w:bookmarkEnd w:id="240"/>
      <w:bookmarkEnd w:id="241"/>
      <w:bookmarkEnd w:id="242"/>
      <w:bookmarkEnd w:id="243"/>
      <w:bookmarkEnd w:id="244"/>
      <w:bookmarkEnd w:id="278"/>
      <w:bookmarkEnd w:id="279"/>
      <w:bookmarkEnd w:id="280"/>
    </w:p>
    <w:p>
      <w:pPr>
        <w:ind w:firstLine="424" w:firstLineChars="202"/>
        <w:rPr>
          <w:rFonts w:ascii="微软雅黑" w:hAnsi="微软雅黑" w:eastAsia="微软雅黑"/>
          <w:szCs w:val="21"/>
          <w:highlight w:val="none"/>
        </w:rPr>
      </w:pPr>
      <w:bookmarkStart w:id="281" w:name="_Toc89266844"/>
      <w:bookmarkStart w:id="282" w:name="_Toc40788056"/>
      <w:bookmarkStart w:id="283" w:name="_Toc53062718"/>
      <w:r>
        <w:rPr>
          <w:rFonts w:hint="eastAsia" w:ascii="微软雅黑" w:hAnsi="微软雅黑" w:eastAsia="微软雅黑"/>
          <w:szCs w:val="21"/>
          <w:highlight w:val="none"/>
        </w:rPr>
        <w:t>存在下列情况之一的,其磋商将响应文件被作无效文件处理:</w:t>
      </w:r>
      <w:bookmarkEnd w:id="281"/>
      <w:bookmarkEnd w:id="282"/>
      <w:bookmarkEnd w:id="283"/>
    </w:p>
    <w:p>
      <w:pPr>
        <w:ind w:firstLine="424" w:firstLineChars="202"/>
        <w:rPr>
          <w:rFonts w:ascii="微软雅黑" w:hAnsi="微软雅黑" w:eastAsia="微软雅黑"/>
          <w:szCs w:val="21"/>
          <w:highlight w:val="none"/>
        </w:rPr>
      </w:pPr>
      <w:bookmarkStart w:id="284" w:name="_Toc40788057"/>
      <w:bookmarkStart w:id="285" w:name="_Toc53062719"/>
      <w:bookmarkStart w:id="286" w:name="_Toc89266845"/>
      <w:r>
        <w:rPr>
          <w:rFonts w:hint="eastAsia" w:ascii="微软雅黑" w:hAnsi="微软雅黑" w:eastAsia="微软雅黑"/>
          <w:szCs w:val="21"/>
          <w:highlight w:val="none"/>
        </w:rPr>
        <w:t>9.1、超过截止时间送达的或未按规定地点送达的；</w:t>
      </w:r>
      <w:bookmarkEnd w:id="284"/>
      <w:bookmarkEnd w:id="285"/>
      <w:bookmarkEnd w:id="286"/>
    </w:p>
    <w:p>
      <w:pPr>
        <w:ind w:firstLine="424" w:firstLineChars="202"/>
        <w:rPr>
          <w:rFonts w:ascii="微软雅黑" w:hAnsi="微软雅黑" w:eastAsia="微软雅黑"/>
          <w:szCs w:val="21"/>
          <w:highlight w:val="none"/>
        </w:rPr>
      </w:pPr>
      <w:bookmarkStart w:id="287" w:name="_Toc89266846"/>
      <w:bookmarkStart w:id="288" w:name="_Toc53062720"/>
      <w:bookmarkStart w:id="289" w:name="_Toc40788058"/>
      <w:r>
        <w:rPr>
          <w:rFonts w:hint="eastAsia" w:ascii="微软雅黑" w:hAnsi="微软雅黑" w:eastAsia="微软雅黑"/>
          <w:szCs w:val="21"/>
          <w:highlight w:val="none"/>
        </w:rPr>
        <w:t>9.2、未按规定密封、签章的；</w:t>
      </w:r>
      <w:bookmarkEnd w:id="287"/>
      <w:bookmarkEnd w:id="288"/>
      <w:bookmarkEnd w:id="289"/>
    </w:p>
    <w:p>
      <w:pPr>
        <w:ind w:firstLine="424" w:firstLineChars="202"/>
        <w:rPr>
          <w:rFonts w:ascii="微软雅黑" w:hAnsi="微软雅黑" w:eastAsia="微软雅黑"/>
          <w:szCs w:val="21"/>
          <w:highlight w:val="none"/>
        </w:rPr>
      </w:pPr>
      <w:bookmarkStart w:id="290" w:name="_Toc89266847"/>
      <w:bookmarkStart w:id="291" w:name="_Toc40788059"/>
      <w:bookmarkStart w:id="292" w:name="_Toc53062721"/>
      <w:r>
        <w:rPr>
          <w:rFonts w:hint="eastAsia" w:ascii="微软雅黑" w:hAnsi="微软雅黑" w:eastAsia="微软雅黑"/>
          <w:szCs w:val="21"/>
          <w:highlight w:val="none"/>
        </w:rPr>
        <w:t>9.3、超出经营范围参加磋商的；</w:t>
      </w:r>
      <w:bookmarkEnd w:id="290"/>
      <w:bookmarkEnd w:id="291"/>
      <w:bookmarkEnd w:id="292"/>
    </w:p>
    <w:p>
      <w:pPr>
        <w:ind w:firstLine="424" w:firstLineChars="202"/>
        <w:rPr>
          <w:rFonts w:ascii="微软雅黑" w:hAnsi="微软雅黑" w:eastAsia="微软雅黑" w:cs="宋体"/>
          <w:b/>
          <w:szCs w:val="21"/>
          <w:highlight w:val="none"/>
        </w:rPr>
      </w:pPr>
      <w:bookmarkStart w:id="293" w:name="_Toc89266848"/>
      <w:bookmarkStart w:id="294" w:name="_Toc53062722"/>
      <w:bookmarkStart w:id="295" w:name="_Toc40788060"/>
      <w:r>
        <w:rPr>
          <w:rFonts w:hint="eastAsia" w:ascii="微软雅黑" w:hAnsi="微软雅黑" w:eastAsia="微软雅黑" w:cs="宋体"/>
          <w:b/>
          <w:szCs w:val="21"/>
          <w:highlight w:val="none"/>
        </w:rPr>
        <w:t>9.4、资格证明文件不全的；</w:t>
      </w:r>
      <w:bookmarkEnd w:id="293"/>
      <w:bookmarkEnd w:id="294"/>
      <w:bookmarkEnd w:id="295"/>
    </w:p>
    <w:p>
      <w:pPr>
        <w:ind w:firstLine="424" w:firstLineChars="202"/>
        <w:rPr>
          <w:rFonts w:ascii="微软雅黑" w:hAnsi="微软雅黑" w:eastAsia="微软雅黑"/>
          <w:szCs w:val="21"/>
          <w:highlight w:val="none"/>
        </w:rPr>
      </w:pPr>
      <w:bookmarkStart w:id="296" w:name="_Toc53062723"/>
      <w:bookmarkStart w:id="297" w:name="_Toc89266849"/>
      <w:bookmarkStart w:id="298" w:name="_Toc40788061"/>
      <w:r>
        <w:rPr>
          <w:rFonts w:hint="eastAsia" w:ascii="微软雅黑" w:hAnsi="微软雅黑" w:eastAsia="微软雅黑"/>
          <w:szCs w:val="21"/>
          <w:highlight w:val="none"/>
        </w:rPr>
        <w:t>9.5、磋商响应文件无法定代表人签字,或无法定代表人有效授权委托书的; 或磋商代表人未能出具身份证明或与法定代表人授权委托人身份不符的；</w:t>
      </w:r>
      <w:bookmarkEnd w:id="296"/>
      <w:bookmarkEnd w:id="297"/>
      <w:bookmarkEnd w:id="298"/>
    </w:p>
    <w:p>
      <w:pPr>
        <w:ind w:firstLine="424" w:firstLineChars="202"/>
        <w:rPr>
          <w:rFonts w:ascii="微软雅黑" w:hAnsi="微软雅黑" w:eastAsia="微软雅黑"/>
          <w:snapToGrid w:val="0"/>
          <w:szCs w:val="21"/>
          <w:highlight w:val="none"/>
        </w:rPr>
      </w:pPr>
      <w:bookmarkStart w:id="299" w:name="_Toc89266850"/>
      <w:bookmarkStart w:id="300" w:name="_Toc53062724"/>
      <w:bookmarkStart w:id="301" w:name="_Toc40788062"/>
      <w:r>
        <w:rPr>
          <w:rFonts w:hint="eastAsia" w:ascii="微软雅黑" w:hAnsi="微软雅黑" w:eastAsia="微软雅黑"/>
          <w:szCs w:val="21"/>
          <w:highlight w:val="none"/>
        </w:rPr>
        <w:t>9.6、</w:t>
      </w:r>
      <w:r>
        <w:rPr>
          <w:rFonts w:hint="eastAsia" w:ascii="微软雅黑" w:hAnsi="微软雅黑" w:eastAsia="微软雅黑"/>
          <w:snapToGrid w:val="0"/>
          <w:szCs w:val="21"/>
          <w:highlight w:val="none"/>
        </w:rPr>
        <w:t>明显不符合技术规格、技术标准的要求；</w:t>
      </w:r>
      <w:bookmarkEnd w:id="299"/>
      <w:bookmarkEnd w:id="300"/>
      <w:bookmarkEnd w:id="301"/>
    </w:p>
    <w:p>
      <w:pPr>
        <w:ind w:firstLine="424" w:firstLineChars="202"/>
        <w:rPr>
          <w:rFonts w:ascii="微软雅黑" w:hAnsi="微软雅黑" w:eastAsia="微软雅黑"/>
          <w:szCs w:val="21"/>
          <w:highlight w:val="none"/>
        </w:rPr>
      </w:pPr>
      <w:bookmarkStart w:id="302" w:name="_Toc89266851"/>
      <w:bookmarkStart w:id="303" w:name="_Toc40788063"/>
      <w:bookmarkStart w:id="304" w:name="_Toc53062725"/>
      <w:r>
        <w:rPr>
          <w:rFonts w:hint="eastAsia" w:ascii="微软雅黑" w:hAnsi="微软雅黑" w:eastAsia="微软雅黑"/>
          <w:snapToGrid w:val="0"/>
          <w:szCs w:val="21"/>
          <w:highlight w:val="none"/>
        </w:rPr>
        <w:t>9.7、最后一轮</w:t>
      </w:r>
      <w:r>
        <w:rPr>
          <w:rFonts w:hint="eastAsia" w:ascii="微软雅黑" w:hAnsi="微软雅黑" w:eastAsia="微软雅黑"/>
          <w:szCs w:val="21"/>
          <w:highlight w:val="none"/>
        </w:rPr>
        <w:t>报价超出采购项目预算范围的;</w:t>
      </w:r>
      <w:bookmarkEnd w:id="302"/>
      <w:bookmarkEnd w:id="303"/>
      <w:bookmarkEnd w:id="304"/>
    </w:p>
    <w:p>
      <w:pPr>
        <w:ind w:firstLine="424" w:firstLineChars="202"/>
        <w:rPr>
          <w:rFonts w:ascii="微软雅黑" w:hAnsi="微软雅黑" w:eastAsia="微软雅黑"/>
          <w:szCs w:val="21"/>
          <w:highlight w:val="none"/>
        </w:rPr>
      </w:pPr>
      <w:bookmarkStart w:id="305" w:name="_Toc40788064"/>
      <w:bookmarkStart w:id="306" w:name="_Toc89266852"/>
      <w:bookmarkStart w:id="307" w:name="_Toc53062726"/>
      <w:r>
        <w:rPr>
          <w:rFonts w:hint="eastAsia" w:ascii="微软雅黑" w:hAnsi="微软雅黑" w:eastAsia="微软雅黑"/>
          <w:szCs w:val="21"/>
          <w:highlight w:val="none"/>
        </w:rPr>
        <w:t>9.8、磋商供应商提出采购方不能接受之条件的；</w:t>
      </w:r>
      <w:bookmarkEnd w:id="305"/>
      <w:bookmarkEnd w:id="306"/>
      <w:bookmarkEnd w:id="307"/>
    </w:p>
    <w:p>
      <w:pPr>
        <w:ind w:firstLine="424" w:firstLineChars="202"/>
        <w:rPr>
          <w:rFonts w:ascii="微软雅黑" w:hAnsi="微软雅黑" w:eastAsia="微软雅黑"/>
          <w:snapToGrid w:val="0"/>
          <w:szCs w:val="21"/>
          <w:highlight w:val="none"/>
        </w:rPr>
      </w:pPr>
      <w:bookmarkStart w:id="308" w:name="_Toc40788065"/>
      <w:bookmarkStart w:id="309" w:name="_Toc89266853"/>
      <w:bookmarkStart w:id="310" w:name="_Toc53062727"/>
      <w:r>
        <w:rPr>
          <w:rFonts w:hint="eastAsia" w:ascii="微软雅黑" w:hAnsi="微软雅黑" w:eastAsia="微软雅黑"/>
          <w:snapToGrid w:val="0"/>
          <w:szCs w:val="21"/>
          <w:highlight w:val="none"/>
        </w:rPr>
        <w:t>9.9、两份磋商</w:t>
      </w:r>
      <w:r>
        <w:rPr>
          <w:rFonts w:hint="eastAsia" w:ascii="微软雅黑" w:hAnsi="微软雅黑" w:eastAsia="微软雅黑"/>
          <w:szCs w:val="21"/>
          <w:highlight w:val="none"/>
        </w:rPr>
        <w:t>响应</w:t>
      </w:r>
      <w:r>
        <w:rPr>
          <w:rFonts w:hint="eastAsia" w:ascii="微软雅黑" w:hAnsi="微软雅黑" w:eastAsia="微软雅黑"/>
          <w:snapToGrid w:val="0"/>
          <w:szCs w:val="21"/>
          <w:highlight w:val="none"/>
        </w:rPr>
        <w:t>文件存在以下情况之一:两处或两处以上差错相同; 两处或两处以上技术文件文字表述相同连续二十行及以上的；</w:t>
      </w:r>
      <w:bookmarkEnd w:id="308"/>
      <w:bookmarkEnd w:id="309"/>
      <w:bookmarkEnd w:id="310"/>
    </w:p>
    <w:p>
      <w:pPr>
        <w:ind w:firstLine="424" w:firstLineChars="202"/>
        <w:rPr>
          <w:rFonts w:ascii="微软雅黑" w:hAnsi="微软雅黑" w:eastAsia="微软雅黑"/>
          <w:szCs w:val="21"/>
          <w:highlight w:val="none"/>
        </w:rPr>
      </w:pPr>
      <w:bookmarkStart w:id="311" w:name="_Toc40788066"/>
      <w:bookmarkStart w:id="312" w:name="_Toc53062728"/>
      <w:bookmarkStart w:id="313" w:name="_Toc89266854"/>
      <w:r>
        <w:rPr>
          <w:rFonts w:hint="eastAsia" w:ascii="微软雅黑" w:hAnsi="微软雅黑" w:eastAsia="微软雅黑"/>
          <w:snapToGrid w:val="0"/>
          <w:szCs w:val="21"/>
          <w:highlight w:val="none"/>
        </w:rPr>
        <w:t>9.10、存在带</w:t>
      </w:r>
      <w:r>
        <w:rPr>
          <w:rFonts w:hint="eastAsia" w:ascii="微软雅黑" w:hAnsi="微软雅黑" w:eastAsia="微软雅黑"/>
          <w:szCs w:val="21"/>
          <w:highlight w:val="none"/>
        </w:rPr>
        <w:t>“▲”条款的负偏离的；</w:t>
      </w:r>
      <w:bookmarkEnd w:id="311"/>
      <w:bookmarkEnd w:id="312"/>
      <w:bookmarkEnd w:id="313"/>
    </w:p>
    <w:p>
      <w:pPr>
        <w:ind w:firstLine="424" w:firstLineChars="202"/>
        <w:rPr>
          <w:rFonts w:ascii="微软雅黑" w:hAnsi="微软雅黑" w:eastAsia="微软雅黑"/>
          <w:szCs w:val="21"/>
          <w:highlight w:val="none"/>
        </w:rPr>
      </w:pPr>
      <w:bookmarkStart w:id="314" w:name="_Toc40788067"/>
      <w:bookmarkStart w:id="315" w:name="_Toc53062729"/>
      <w:bookmarkStart w:id="316" w:name="_Toc89266855"/>
      <w:r>
        <w:rPr>
          <w:rFonts w:hint="eastAsia" w:ascii="微软雅黑" w:hAnsi="微软雅黑" w:eastAsia="微软雅黑"/>
          <w:szCs w:val="21"/>
          <w:highlight w:val="none"/>
        </w:rPr>
        <w:t>9.11、本磋商文件其他部分已规定为无效响应文件的情形;</w:t>
      </w:r>
      <w:bookmarkEnd w:id="314"/>
      <w:bookmarkEnd w:id="315"/>
      <w:bookmarkEnd w:id="316"/>
    </w:p>
    <w:p>
      <w:pPr>
        <w:ind w:firstLine="424" w:firstLineChars="202"/>
        <w:rPr>
          <w:rFonts w:ascii="微软雅黑" w:hAnsi="微软雅黑" w:eastAsia="微软雅黑"/>
          <w:szCs w:val="21"/>
          <w:highlight w:val="none"/>
        </w:rPr>
      </w:pPr>
      <w:bookmarkStart w:id="317" w:name="_Toc89266856"/>
      <w:bookmarkStart w:id="318" w:name="_Toc53062730"/>
      <w:bookmarkStart w:id="319" w:name="_Toc40788068"/>
      <w:r>
        <w:rPr>
          <w:rFonts w:hint="eastAsia" w:ascii="微软雅黑" w:hAnsi="微软雅黑" w:eastAsia="微软雅黑"/>
          <w:szCs w:val="21"/>
          <w:highlight w:val="none"/>
        </w:rPr>
        <w:t>9.12、评审专家认定的其他必须按无效响应文件处理的。</w:t>
      </w:r>
      <w:bookmarkEnd w:id="317"/>
      <w:bookmarkEnd w:id="318"/>
      <w:bookmarkEnd w:id="319"/>
    </w:p>
    <w:p>
      <w:pPr>
        <w:pStyle w:val="4"/>
        <w:spacing w:before="0" w:after="0" w:line="500" w:lineRule="exact"/>
        <w:rPr>
          <w:rFonts w:ascii="微软雅黑" w:hAnsi="微软雅黑" w:eastAsia="微软雅黑"/>
          <w:sz w:val="21"/>
          <w:szCs w:val="21"/>
          <w:highlight w:val="none"/>
        </w:rPr>
      </w:pPr>
      <w:bookmarkStart w:id="320" w:name="_Toc192313118"/>
      <w:bookmarkStart w:id="321" w:name="_Toc40788069"/>
      <w:bookmarkStart w:id="322" w:name="_Toc53062731"/>
      <w:bookmarkStart w:id="323" w:name="_Toc493699308"/>
      <w:bookmarkStart w:id="324" w:name="_Toc89266857"/>
      <w:r>
        <w:rPr>
          <w:rFonts w:hint="eastAsia" w:ascii="微软雅黑" w:hAnsi="微软雅黑" w:eastAsia="微软雅黑"/>
          <w:sz w:val="21"/>
          <w:szCs w:val="21"/>
          <w:highlight w:val="none"/>
        </w:rPr>
        <w:t>四</w:t>
      </w:r>
      <w:bookmarkEnd w:id="211"/>
      <w:bookmarkEnd w:id="212"/>
      <w:bookmarkEnd w:id="320"/>
      <w:r>
        <w:rPr>
          <w:rFonts w:hint="eastAsia" w:ascii="微软雅黑" w:hAnsi="微软雅黑" w:eastAsia="微软雅黑"/>
          <w:sz w:val="21"/>
          <w:szCs w:val="21"/>
          <w:highlight w:val="none"/>
        </w:rPr>
        <w:t xml:space="preserve">  磋商前的准备</w:t>
      </w:r>
      <w:bookmarkEnd w:id="321"/>
      <w:bookmarkEnd w:id="322"/>
      <w:bookmarkEnd w:id="323"/>
      <w:bookmarkEnd w:id="324"/>
    </w:p>
    <w:p>
      <w:pPr>
        <w:pStyle w:val="31"/>
        <w:spacing w:after="0" w:line="500" w:lineRule="exact"/>
        <w:ind w:left="2" w:firstLine="420" w:firstLineChars="200"/>
        <w:rPr>
          <w:rFonts w:ascii="微软雅黑" w:hAnsi="微软雅黑" w:eastAsia="微软雅黑" w:cs="宋体-18030"/>
          <w:b/>
          <w:bCs/>
          <w:szCs w:val="21"/>
          <w:highlight w:val="none"/>
        </w:rPr>
      </w:pPr>
      <w:r>
        <w:rPr>
          <w:rFonts w:hint="eastAsia" w:ascii="微软雅黑" w:hAnsi="微软雅黑" w:eastAsia="微软雅黑" w:cs="宋体-18030"/>
          <w:b/>
          <w:szCs w:val="21"/>
          <w:highlight w:val="none"/>
        </w:rPr>
        <w:t>1、</w:t>
      </w:r>
      <w:r>
        <w:rPr>
          <w:rFonts w:hint="eastAsia" w:ascii="微软雅黑" w:hAnsi="微软雅黑" w:eastAsia="微软雅黑" w:cs="宋体-18030"/>
          <w:b/>
          <w:bCs/>
          <w:szCs w:val="21"/>
          <w:highlight w:val="none"/>
        </w:rPr>
        <w:t>开标的准备工作由采购组织机构负责落实；</w:t>
      </w:r>
    </w:p>
    <w:p>
      <w:pPr>
        <w:pStyle w:val="31"/>
        <w:spacing w:after="0" w:line="500" w:lineRule="exact"/>
        <w:ind w:left="2" w:firstLine="420" w:firstLineChars="200"/>
        <w:rPr>
          <w:rFonts w:ascii="微软雅黑" w:hAnsi="微软雅黑" w:eastAsia="微软雅黑" w:cs="宋体-18030"/>
          <w:b/>
          <w:bCs/>
          <w:szCs w:val="21"/>
          <w:highlight w:val="none"/>
        </w:rPr>
      </w:pPr>
      <w:r>
        <w:rPr>
          <w:rFonts w:hint="eastAsia" w:ascii="微软雅黑" w:hAnsi="微软雅黑" w:eastAsia="微软雅黑" w:cs="宋体-18030"/>
          <w:b/>
          <w:bCs/>
          <w:szCs w:val="21"/>
          <w:highlight w:val="none"/>
        </w:rPr>
        <w:t>2、采购组织机构将按照竞争性磋商文件规定的时间通过“政府采购云平台”组织开标、开启竞争性磋商响应文件，所有供应商均应当准时在线参加。投标供应商如不参加开标大会的，视同认可开标结果，事后不得对采购相关人员、开标过程和开标结果提出异议，同时投标供应商因未在线参加开标而导致竞争性磋商响应文件无法按时解密等一切后果由供应商自己承担。</w:t>
      </w:r>
      <w:bookmarkStart w:id="325" w:name="_Toc192313119"/>
      <w:bookmarkStart w:id="326" w:name="_Toc493699309"/>
    </w:p>
    <w:p>
      <w:pPr>
        <w:pStyle w:val="4"/>
        <w:spacing w:before="0" w:after="0" w:line="500" w:lineRule="exact"/>
        <w:rPr>
          <w:rFonts w:ascii="微软雅黑" w:hAnsi="微软雅黑" w:eastAsia="微软雅黑"/>
          <w:sz w:val="21"/>
          <w:szCs w:val="21"/>
          <w:highlight w:val="none"/>
        </w:rPr>
      </w:pPr>
      <w:bookmarkStart w:id="327" w:name="_Toc53062732"/>
      <w:bookmarkStart w:id="328" w:name="_Toc89266858"/>
      <w:bookmarkStart w:id="329" w:name="_Toc40788070"/>
      <w:r>
        <w:rPr>
          <w:rFonts w:hint="eastAsia" w:ascii="微软雅黑" w:hAnsi="微软雅黑" w:eastAsia="微软雅黑"/>
          <w:sz w:val="21"/>
          <w:szCs w:val="21"/>
          <w:highlight w:val="none"/>
        </w:rPr>
        <w:t>五</w:t>
      </w:r>
      <w:bookmarkEnd w:id="325"/>
      <w:r>
        <w:rPr>
          <w:rFonts w:hint="eastAsia" w:ascii="微软雅黑" w:hAnsi="微软雅黑" w:eastAsia="微软雅黑"/>
          <w:sz w:val="21"/>
          <w:szCs w:val="21"/>
          <w:highlight w:val="none"/>
        </w:rPr>
        <w:t xml:space="preserve">  磋商程序</w:t>
      </w:r>
      <w:bookmarkEnd w:id="326"/>
      <w:bookmarkEnd w:id="327"/>
      <w:bookmarkEnd w:id="328"/>
      <w:bookmarkEnd w:id="329"/>
    </w:p>
    <w:p>
      <w:pPr>
        <w:spacing w:after="0" w:line="500" w:lineRule="exact"/>
        <w:ind w:firstLine="410"/>
        <w:outlineLvl w:val="2"/>
        <w:rPr>
          <w:rFonts w:ascii="微软雅黑" w:hAnsi="微软雅黑" w:eastAsia="微软雅黑"/>
          <w:b/>
          <w:snapToGrid w:val="0"/>
          <w:szCs w:val="21"/>
          <w:highlight w:val="none"/>
        </w:rPr>
      </w:pPr>
      <w:bookmarkStart w:id="330" w:name="_Toc192313120"/>
      <w:r>
        <w:rPr>
          <w:rFonts w:hint="eastAsia" w:ascii="微软雅黑" w:hAnsi="微软雅黑" w:eastAsia="微软雅黑"/>
          <w:b/>
          <w:snapToGrid w:val="0"/>
          <w:szCs w:val="21"/>
          <w:highlight w:val="none"/>
        </w:rPr>
        <w:t>1、磋商流程：</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1.1、磋商小组讨论、通过磋商工作流程和磋商要点。</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1.2、主持人宣布磋商的有关事项；</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1.3、磋商小组对所提交的磋商响应文件进行审查，审查结束后，由主持人公布无效磋商响应方名单、磋商响应无效的原因、标项废标情况；</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1.4、磋商小组按标项与各磋商响应方就公司情况、项目需求、售后服务、价格构成、供货时间、付款方式等要素分别进行磋商。逐家磋商一次为一个轮次，磋商轮次由磋商小组视情况决定。</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1.5、项目磋商结束后，主持人宣布</w:t>
      </w:r>
      <w:r>
        <w:rPr>
          <w:rFonts w:ascii="微软雅黑" w:hAnsi="微软雅黑" w:eastAsia="微软雅黑" w:cs="宋体-18030"/>
          <w:b/>
          <w:szCs w:val="21"/>
          <w:highlight w:val="none"/>
        </w:rPr>
        <w:t>本次</w:t>
      </w:r>
      <w:r>
        <w:rPr>
          <w:rFonts w:hint="eastAsia" w:ascii="微软雅黑" w:hAnsi="微软雅黑" w:eastAsia="微软雅黑" w:cs="宋体-18030"/>
          <w:b/>
          <w:szCs w:val="21"/>
          <w:highlight w:val="none"/>
        </w:rPr>
        <w:t>最终报价的</w:t>
      </w:r>
      <w:r>
        <w:rPr>
          <w:rFonts w:ascii="微软雅黑" w:hAnsi="微软雅黑" w:eastAsia="微软雅黑" w:cs="宋体-18030"/>
          <w:b/>
          <w:szCs w:val="21"/>
          <w:highlight w:val="none"/>
        </w:rPr>
        <w:t>最高限价</w:t>
      </w:r>
      <w:r>
        <w:rPr>
          <w:rFonts w:hint="eastAsia" w:ascii="微软雅黑" w:hAnsi="微软雅黑" w:eastAsia="微软雅黑" w:cs="宋体-18030"/>
          <w:b/>
          <w:szCs w:val="21"/>
          <w:highlight w:val="none"/>
        </w:rPr>
        <w:t>，并要求各磋商响应方在规定时间内进行最终报价，密封后统一时间收取保存。在规定时间内没有提交最终报价的磋商供应商，其磋商文件视为无效。</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1.6、在各磋商响应方最终报价过程中，同时磋商小组根据第三章评审方法对各磋商响应方的资信及商务、技术情况进行评审打分。工作人员按照磋商小组独立评定结果进行算术平均值计算。</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1.7、主持人宣布磋商最终报价（价格标）评审的有关事项。</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1.8、工作人员查验最终报价的密封情况，确认无误后拆封各磋商响应方提交的按规定进入价格标评审的磋商最终报价，并公开宣读最终报价，最后要求磋商响应方公开确认无误。</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1.9、磋商小组对最终报价的合理性进行审核，决定是否结束磋商。若报价合理，磋商小组则根据第三章评审方法计算出总得分并推荐中标商；</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1.10、磋商结束后，主持人公布有效磋商响应方的总得分结果和推荐的中标商。</w:t>
      </w:r>
    </w:p>
    <w:p>
      <w:pPr>
        <w:pStyle w:val="31"/>
        <w:spacing w:after="0" w:line="500" w:lineRule="exact"/>
        <w:ind w:left="2" w:firstLine="420" w:firstLineChars="200"/>
        <w:rPr>
          <w:rFonts w:ascii="微软雅黑" w:hAnsi="微软雅黑" w:eastAsia="微软雅黑" w:cs="宋体-18030"/>
          <w:b/>
          <w:szCs w:val="21"/>
          <w:highlight w:val="none"/>
        </w:rPr>
      </w:pPr>
      <w:r>
        <w:rPr>
          <w:rFonts w:hint="eastAsia" w:ascii="微软雅黑" w:hAnsi="微软雅黑" w:eastAsia="微软雅黑" w:cs="宋体-18030"/>
          <w:b/>
          <w:szCs w:val="21"/>
          <w:highlight w:val="none"/>
        </w:rPr>
        <w:t>1.11、磋商原则：磋商小组必须公平、公正、客观，不带任何倾向性和启发性；不得向外界透露任何与磋商有关的内容；任何单位和个人不得干扰、影响磋商的正常进行；磋商小组及有关工作人员不得私下与磋商响应方接触。</w:t>
      </w:r>
    </w:p>
    <w:p>
      <w:pPr>
        <w:spacing w:after="0" w:line="500" w:lineRule="exact"/>
        <w:ind w:firstLine="410"/>
        <w:outlineLvl w:val="2"/>
        <w:rPr>
          <w:rFonts w:ascii="微软雅黑" w:hAnsi="微软雅黑" w:eastAsia="微软雅黑"/>
          <w:b/>
          <w:snapToGrid w:val="0"/>
          <w:szCs w:val="21"/>
          <w:highlight w:val="none"/>
        </w:rPr>
      </w:pPr>
      <w:bookmarkStart w:id="331" w:name="_Toc493082127"/>
      <w:bookmarkStart w:id="332" w:name="_Toc448487547"/>
      <w:bookmarkStart w:id="333" w:name="_Toc493699311"/>
      <w:bookmarkStart w:id="334" w:name="_Toc332724041"/>
      <w:bookmarkStart w:id="335" w:name="_Toc437979788"/>
      <w:r>
        <w:rPr>
          <w:rFonts w:hint="eastAsia" w:ascii="微软雅黑" w:hAnsi="微软雅黑" w:eastAsia="微软雅黑"/>
          <w:b/>
          <w:snapToGrid w:val="0"/>
          <w:szCs w:val="21"/>
          <w:highlight w:val="none"/>
        </w:rPr>
        <w:t>2、磋商文件的澄清</w:t>
      </w:r>
      <w:bookmarkEnd w:id="331"/>
      <w:bookmarkEnd w:id="332"/>
      <w:bookmarkEnd w:id="333"/>
      <w:bookmarkEnd w:id="334"/>
      <w:bookmarkEnd w:id="335"/>
    </w:p>
    <w:p>
      <w:pPr>
        <w:ind w:firstLine="424" w:firstLineChars="202"/>
        <w:rPr>
          <w:rFonts w:ascii="微软雅黑" w:hAnsi="微软雅黑" w:eastAsia="微软雅黑"/>
          <w:snapToGrid w:val="0"/>
          <w:szCs w:val="21"/>
          <w:highlight w:val="none"/>
        </w:rPr>
      </w:pPr>
      <w:bookmarkStart w:id="336" w:name="_Toc40788071"/>
      <w:bookmarkStart w:id="337" w:name="_Toc53062733"/>
      <w:bookmarkStart w:id="338" w:name="_Toc89266859"/>
      <w:r>
        <w:rPr>
          <w:rFonts w:hint="eastAsia" w:ascii="微软雅黑" w:hAnsi="微软雅黑" w:eastAsia="微软雅黑"/>
          <w:snapToGrid w:val="0"/>
          <w:szCs w:val="21"/>
          <w:highlight w:val="none"/>
        </w:rPr>
        <w:t>2.1、在磋商期间，磋商小组有权要求磋商供应商对其磋商文件含义不明确、同类问题表述不一致或者有明显文字和计算错误的内容进行澄清。磋商供应商应派授权代表和技术人员按磋商小组通知的时间和地点接受询标。</w:t>
      </w:r>
      <w:bookmarkEnd w:id="336"/>
      <w:bookmarkEnd w:id="337"/>
      <w:bookmarkEnd w:id="338"/>
    </w:p>
    <w:p>
      <w:pPr>
        <w:ind w:firstLine="424" w:firstLineChars="202"/>
        <w:rPr>
          <w:rFonts w:ascii="微软雅黑" w:hAnsi="微软雅黑" w:eastAsia="微软雅黑"/>
          <w:snapToGrid w:val="0"/>
          <w:szCs w:val="21"/>
          <w:highlight w:val="none"/>
        </w:rPr>
      </w:pPr>
      <w:bookmarkStart w:id="339" w:name="_Toc53062734"/>
      <w:bookmarkStart w:id="340" w:name="_Toc40788072"/>
      <w:bookmarkStart w:id="341" w:name="_Toc89266860"/>
      <w:r>
        <w:rPr>
          <w:rFonts w:hint="eastAsia" w:ascii="微软雅黑" w:hAnsi="微软雅黑" w:eastAsia="微软雅黑"/>
          <w:snapToGrid w:val="0"/>
          <w:szCs w:val="21"/>
          <w:highlight w:val="none"/>
        </w:rPr>
        <w:t>2.2、磋商小组认为有必要，可要求磋商供应商对某些问题作出必要的澄清、说明和纠正。投标人的澄清、说明或者补正应当采用书面形式，由其授权的代表签字。投标人的书面澄清材料作为磋商文件的补充。</w:t>
      </w:r>
      <w:bookmarkEnd w:id="339"/>
      <w:bookmarkEnd w:id="340"/>
      <w:bookmarkEnd w:id="341"/>
    </w:p>
    <w:p>
      <w:pPr>
        <w:ind w:firstLine="424" w:firstLineChars="202"/>
        <w:rPr>
          <w:rFonts w:ascii="微软雅黑" w:hAnsi="微软雅黑" w:eastAsia="微软雅黑"/>
          <w:snapToGrid w:val="0"/>
          <w:szCs w:val="21"/>
          <w:highlight w:val="none"/>
        </w:rPr>
      </w:pPr>
      <w:bookmarkStart w:id="342" w:name="_Toc89266861"/>
      <w:bookmarkStart w:id="343" w:name="_Toc53062735"/>
      <w:bookmarkStart w:id="344" w:name="_Toc40788073"/>
      <w:r>
        <w:rPr>
          <w:rFonts w:hint="eastAsia" w:ascii="微软雅黑" w:hAnsi="微软雅黑" w:eastAsia="微软雅黑"/>
          <w:snapToGrid w:val="0"/>
          <w:szCs w:val="21"/>
          <w:highlight w:val="none"/>
        </w:rPr>
        <w:t>2.3、磋商供应商不按磋商小组规定的时间和地点作书面澄清，将视为放弃该权利。</w:t>
      </w:r>
      <w:bookmarkEnd w:id="342"/>
      <w:bookmarkEnd w:id="343"/>
      <w:bookmarkEnd w:id="344"/>
    </w:p>
    <w:p>
      <w:pPr>
        <w:ind w:firstLine="424" w:firstLineChars="202"/>
        <w:rPr>
          <w:rFonts w:ascii="微软雅黑" w:hAnsi="微软雅黑" w:eastAsia="微软雅黑"/>
          <w:snapToGrid w:val="0"/>
          <w:szCs w:val="21"/>
          <w:highlight w:val="none"/>
        </w:rPr>
      </w:pPr>
      <w:bookmarkStart w:id="345" w:name="_Toc89266862"/>
      <w:bookmarkStart w:id="346" w:name="_Toc40788074"/>
      <w:bookmarkStart w:id="347" w:name="_Toc53062736"/>
      <w:r>
        <w:rPr>
          <w:rFonts w:hint="eastAsia" w:ascii="微软雅黑" w:hAnsi="微软雅黑" w:eastAsia="微软雅黑"/>
          <w:snapToGrid w:val="0"/>
          <w:szCs w:val="21"/>
          <w:highlight w:val="none"/>
        </w:rPr>
        <w:t>2.4、并非每个磋商供应商都将被询标。</w:t>
      </w:r>
      <w:bookmarkEnd w:id="345"/>
      <w:bookmarkEnd w:id="346"/>
      <w:bookmarkEnd w:id="347"/>
    </w:p>
    <w:p>
      <w:pPr>
        <w:spacing w:after="0" w:line="500" w:lineRule="exact"/>
        <w:ind w:firstLine="410"/>
        <w:outlineLvl w:val="2"/>
        <w:rPr>
          <w:rFonts w:ascii="微软雅黑" w:hAnsi="微软雅黑" w:eastAsia="微软雅黑"/>
          <w:b/>
          <w:snapToGrid w:val="0"/>
          <w:szCs w:val="21"/>
          <w:highlight w:val="none"/>
        </w:rPr>
      </w:pPr>
      <w:bookmarkStart w:id="348" w:name="_Toc332724042"/>
      <w:bookmarkStart w:id="349" w:name="_Toc493082128"/>
      <w:bookmarkStart w:id="350" w:name="_Toc493699312"/>
      <w:bookmarkStart w:id="351" w:name="_Toc437979789"/>
      <w:bookmarkStart w:id="352" w:name="_Toc89266863"/>
      <w:bookmarkStart w:id="353" w:name="_Toc40788075"/>
      <w:bookmarkStart w:id="354" w:name="_Toc448487548"/>
      <w:bookmarkStart w:id="355" w:name="_Toc53062737"/>
      <w:r>
        <w:rPr>
          <w:rFonts w:hint="eastAsia" w:ascii="微软雅黑" w:hAnsi="微软雅黑" w:eastAsia="微软雅黑"/>
          <w:b/>
          <w:snapToGrid w:val="0"/>
          <w:szCs w:val="21"/>
          <w:highlight w:val="none"/>
        </w:rPr>
        <w:t>3、确定成交供应商</w:t>
      </w:r>
      <w:bookmarkEnd w:id="348"/>
      <w:bookmarkEnd w:id="349"/>
      <w:bookmarkEnd w:id="350"/>
      <w:bookmarkEnd w:id="351"/>
      <w:bookmarkEnd w:id="352"/>
      <w:bookmarkEnd w:id="353"/>
      <w:bookmarkEnd w:id="354"/>
      <w:bookmarkEnd w:id="355"/>
    </w:p>
    <w:p>
      <w:pPr>
        <w:ind w:firstLine="424" w:firstLineChars="202"/>
        <w:rPr>
          <w:rFonts w:ascii="微软雅黑" w:hAnsi="微软雅黑" w:eastAsia="微软雅黑"/>
          <w:snapToGrid w:val="0"/>
          <w:szCs w:val="21"/>
          <w:highlight w:val="none"/>
        </w:rPr>
      </w:pPr>
      <w:bookmarkStart w:id="356" w:name="_Toc40788076"/>
      <w:bookmarkStart w:id="357" w:name="_Toc89266864"/>
      <w:bookmarkStart w:id="358" w:name="_Toc53062738"/>
      <w:r>
        <w:rPr>
          <w:rFonts w:hint="eastAsia" w:ascii="微软雅黑" w:hAnsi="微软雅黑" w:eastAsia="微软雅黑"/>
          <w:snapToGrid w:val="0"/>
          <w:szCs w:val="21"/>
          <w:highlight w:val="none"/>
        </w:rPr>
        <w:t>3.1、磋商小组将对通过资格性审查和符合性审查的磋商文件进行评价和比较。</w:t>
      </w:r>
      <w:bookmarkEnd w:id="356"/>
      <w:bookmarkEnd w:id="357"/>
      <w:bookmarkEnd w:id="358"/>
    </w:p>
    <w:p>
      <w:pPr>
        <w:ind w:firstLine="424" w:firstLineChars="202"/>
        <w:rPr>
          <w:rFonts w:ascii="微软雅黑" w:hAnsi="微软雅黑" w:eastAsia="微软雅黑"/>
          <w:snapToGrid w:val="0"/>
          <w:szCs w:val="21"/>
          <w:highlight w:val="none"/>
        </w:rPr>
      </w:pPr>
      <w:bookmarkStart w:id="359" w:name="_Toc40788077"/>
      <w:bookmarkStart w:id="360" w:name="_Toc89266865"/>
      <w:bookmarkStart w:id="361" w:name="_Toc53062739"/>
      <w:r>
        <w:rPr>
          <w:rFonts w:hint="eastAsia" w:ascii="微软雅黑" w:hAnsi="微软雅黑" w:eastAsia="微软雅黑"/>
          <w:snapToGrid w:val="0"/>
          <w:szCs w:val="21"/>
          <w:highlight w:val="none"/>
        </w:rPr>
        <w:t>3.2、磋商小组按采购文件第三章中公布的评定成交标准对磋商文件进行评审，确定成交候选人。最低报价等任何单项因素的最优不能作为成交的保证。</w:t>
      </w:r>
      <w:bookmarkEnd w:id="359"/>
      <w:bookmarkEnd w:id="360"/>
      <w:bookmarkEnd w:id="361"/>
    </w:p>
    <w:p>
      <w:pPr>
        <w:spacing w:after="0" w:line="500" w:lineRule="exact"/>
        <w:ind w:firstLine="410"/>
        <w:outlineLvl w:val="2"/>
        <w:rPr>
          <w:rFonts w:ascii="微软雅黑" w:hAnsi="微软雅黑" w:eastAsia="微软雅黑"/>
          <w:b/>
          <w:snapToGrid w:val="0"/>
          <w:szCs w:val="21"/>
          <w:highlight w:val="none"/>
        </w:rPr>
      </w:pPr>
      <w:bookmarkStart w:id="362" w:name="_Toc53062740"/>
      <w:bookmarkStart w:id="363" w:name="_Toc332724043"/>
      <w:bookmarkStart w:id="364" w:name="_Toc448487549"/>
      <w:bookmarkStart w:id="365" w:name="_Toc40788078"/>
      <w:bookmarkStart w:id="366" w:name="_Toc89266866"/>
      <w:bookmarkStart w:id="367" w:name="_Toc493699313"/>
      <w:bookmarkStart w:id="368" w:name="_Toc493082129"/>
      <w:bookmarkStart w:id="369" w:name="_Toc437979790"/>
      <w:r>
        <w:rPr>
          <w:rFonts w:hint="eastAsia" w:ascii="微软雅黑" w:hAnsi="微软雅黑" w:eastAsia="微软雅黑"/>
          <w:b/>
          <w:snapToGrid w:val="0"/>
          <w:szCs w:val="21"/>
          <w:highlight w:val="none"/>
        </w:rPr>
        <w:t>4、磋商过程保密</w:t>
      </w:r>
      <w:bookmarkEnd w:id="362"/>
      <w:bookmarkEnd w:id="363"/>
      <w:bookmarkEnd w:id="364"/>
      <w:bookmarkEnd w:id="365"/>
      <w:bookmarkEnd w:id="366"/>
      <w:bookmarkEnd w:id="367"/>
      <w:bookmarkEnd w:id="368"/>
      <w:bookmarkEnd w:id="369"/>
    </w:p>
    <w:p>
      <w:pPr>
        <w:ind w:firstLine="424" w:firstLineChars="202"/>
        <w:rPr>
          <w:rFonts w:ascii="微软雅黑" w:hAnsi="微软雅黑" w:eastAsia="微软雅黑"/>
          <w:snapToGrid w:val="0"/>
          <w:szCs w:val="21"/>
          <w:highlight w:val="none"/>
        </w:rPr>
      </w:pPr>
      <w:bookmarkStart w:id="370" w:name="_Toc40788079"/>
      <w:bookmarkStart w:id="371" w:name="_Toc89266867"/>
      <w:bookmarkStart w:id="372" w:name="_Toc53062741"/>
      <w:r>
        <w:rPr>
          <w:rFonts w:hint="eastAsia" w:ascii="微软雅黑" w:hAnsi="微软雅黑" w:eastAsia="微软雅黑"/>
          <w:snapToGrid w:val="0"/>
          <w:szCs w:val="21"/>
          <w:highlight w:val="none"/>
        </w:rPr>
        <w:t>4.1、在宣布成交结果之前，凡属于审查、澄清、评价、比较磋商文件等有关信息，相关当事人均不得泄露给任何磋商供应商或与磋商工作无关的人员。</w:t>
      </w:r>
      <w:bookmarkEnd w:id="370"/>
      <w:bookmarkEnd w:id="371"/>
      <w:bookmarkEnd w:id="372"/>
    </w:p>
    <w:p>
      <w:pPr>
        <w:ind w:firstLine="424" w:firstLineChars="202"/>
        <w:rPr>
          <w:rFonts w:ascii="微软雅黑" w:hAnsi="微软雅黑" w:eastAsia="微软雅黑"/>
          <w:snapToGrid w:val="0"/>
          <w:szCs w:val="21"/>
          <w:highlight w:val="none"/>
        </w:rPr>
      </w:pPr>
      <w:bookmarkStart w:id="373" w:name="_Toc53062742"/>
      <w:bookmarkStart w:id="374" w:name="_Toc40788080"/>
      <w:bookmarkStart w:id="375" w:name="_Toc89266868"/>
      <w:r>
        <w:rPr>
          <w:rFonts w:hint="eastAsia" w:ascii="微软雅黑" w:hAnsi="微软雅黑" w:eastAsia="微软雅黑"/>
          <w:snapToGrid w:val="0"/>
          <w:szCs w:val="21"/>
          <w:highlight w:val="none"/>
        </w:rPr>
        <w:t>4.2、磋商供应商不得探听上述信息，不得以任何行为影响磋商过程，否则其磋商文件将被作为无效磋商文件。</w:t>
      </w:r>
      <w:bookmarkEnd w:id="373"/>
      <w:bookmarkEnd w:id="374"/>
      <w:bookmarkEnd w:id="375"/>
    </w:p>
    <w:p>
      <w:pPr>
        <w:ind w:firstLine="424" w:firstLineChars="202"/>
        <w:rPr>
          <w:rFonts w:ascii="微软雅黑" w:hAnsi="微软雅黑" w:eastAsia="微软雅黑"/>
          <w:snapToGrid w:val="0"/>
          <w:szCs w:val="21"/>
          <w:highlight w:val="none"/>
        </w:rPr>
      </w:pPr>
      <w:bookmarkStart w:id="376" w:name="_Toc40788081"/>
      <w:bookmarkStart w:id="377" w:name="_Toc89266869"/>
      <w:bookmarkStart w:id="378" w:name="_Toc53062743"/>
      <w:r>
        <w:rPr>
          <w:rFonts w:hint="eastAsia" w:ascii="微软雅黑" w:hAnsi="微软雅黑" w:eastAsia="微软雅黑"/>
          <w:snapToGrid w:val="0"/>
          <w:szCs w:val="21"/>
          <w:highlight w:val="none"/>
        </w:rPr>
        <w:t>4.3、在磋商期间，采购中心将有专门人员与磋商供应商进行联络。</w:t>
      </w:r>
      <w:bookmarkEnd w:id="376"/>
      <w:bookmarkEnd w:id="377"/>
      <w:bookmarkEnd w:id="378"/>
    </w:p>
    <w:p>
      <w:pPr>
        <w:ind w:firstLine="424" w:firstLineChars="202"/>
        <w:rPr>
          <w:rFonts w:ascii="微软雅黑" w:hAnsi="微软雅黑" w:eastAsia="微软雅黑"/>
          <w:snapToGrid w:val="0"/>
          <w:szCs w:val="21"/>
          <w:highlight w:val="none"/>
        </w:rPr>
      </w:pPr>
      <w:bookmarkStart w:id="379" w:name="_Toc40788082"/>
      <w:bookmarkStart w:id="380" w:name="_Toc89266870"/>
      <w:bookmarkStart w:id="381" w:name="_Toc53062744"/>
      <w:r>
        <w:rPr>
          <w:rFonts w:hint="eastAsia" w:ascii="微软雅黑" w:hAnsi="微软雅黑" w:eastAsia="微软雅黑"/>
          <w:snapToGrid w:val="0"/>
          <w:szCs w:val="21"/>
          <w:highlight w:val="none"/>
        </w:rPr>
        <w:t>4.4、采购中心和磋商小组不向未成交的磋商供应商解释未成交原因，也不对磋商过程中的细节问题进行公布。</w:t>
      </w:r>
      <w:bookmarkEnd w:id="379"/>
      <w:bookmarkEnd w:id="380"/>
      <w:bookmarkEnd w:id="381"/>
    </w:p>
    <w:p>
      <w:pPr>
        <w:spacing w:after="0" w:line="500" w:lineRule="exact"/>
        <w:ind w:firstLine="410"/>
        <w:outlineLvl w:val="2"/>
        <w:rPr>
          <w:rFonts w:ascii="微软雅黑" w:hAnsi="微软雅黑" w:eastAsia="微软雅黑"/>
          <w:b/>
          <w:snapToGrid w:val="0"/>
          <w:szCs w:val="21"/>
          <w:highlight w:val="none"/>
        </w:rPr>
      </w:pPr>
      <w:bookmarkStart w:id="382" w:name="_Toc53062745"/>
      <w:bookmarkStart w:id="383" w:name="_Toc437979791"/>
      <w:bookmarkStart w:id="384" w:name="_Toc40788083"/>
      <w:bookmarkStart w:id="385" w:name="_Toc332724044"/>
      <w:bookmarkStart w:id="386" w:name="_Toc493082130"/>
      <w:bookmarkStart w:id="387" w:name="_Toc448487550"/>
      <w:bookmarkStart w:id="388" w:name="_Toc493699314"/>
      <w:bookmarkStart w:id="389" w:name="_Toc89266871"/>
      <w:r>
        <w:rPr>
          <w:rFonts w:hint="eastAsia" w:ascii="微软雅黑" w:hAnsi="微软雅黑" w:eastAsia="微软雅黑"/>
          <w:b/>
          <w:snapToGrid w:val="0"/>
          <w:szCs w:val="21"/>
          <w:highlight w:val="none"/>
        </w:rPr>
        <w:t>5、磋商供应商不足三家的处理</w:t>
      </w:r>
      <w:bookmarkEnd w:id="382"/>
      <w:bookmarkEnd w:id="383"/>
      <w:bookmarkEnd w:id="384"/>
      <w:bookmarkEnd w:id="385"/>
      <w:bookmarkEnd w:id="386"/>
      <w:bookmarkEnd w:id="387"/>
      <w:bookmarkEnd w:id="388"/>
      <w:bookmarkEnd w:id="389"/>
    </w:p>
    <w:p>
      <w:pPr>
        <w:ind w:firstLine="424" w:firstLineChars="202"/>
        <w:rPr>
          <w:rFonts w:ascii="微软雅黑" w:hAnsi="微软雅黑" w:eastAsia="微软雅黑"/>
          <w:snapToGrid w:val="0"/>
          <w:szCs w:val="21"/>
          <w:highlight w:val="none"/>
        </w:rPr>
      </w:pPr>
      <w:bookmarkStart w:id="390" w:name="_Toc53062746"/>
      <w:bookmarkStart w:id="391" w:name="_Toc487802048"/>
      <w:bookmarkStart w:id="392" w:name="_Toc40788084"/>
      <w:bookmarkStart w:id="393" w:name="_Toc487802117"/>
      <w:bookmarkStart w:id="394" w:name="_Toc487793403"/>
      <w:bookmarkStart w:id="395" w:name="_Toc89266872"/>
      <w:bookmarkStart w:id="396" w:name="_Toc487802118"/>
      <w:bookmarkStart w:id="397" w:name="_Toc493699315"/>
      <w:r>
        <w:rPr>
          <w:rFonts w:hint="eastAsia" w:ascii="微软雅黑" w:hAnsi="微软雅黑" w:eastAsia="微软雅黑"/>
          <w:snapToGrid w:val="0"/>
          <w:szCs w:val="21"/>
          <w:highlight w:val="none"/>
        </w:rPr>
        <w:t>根据</w:t>
      </w:r>
      <w:r>
        <w:rPr>
          <w:rFonts w:ascii="微软雅黑" w:hAnsi="微软雅黑" w:eastAsia="微软雅黑"/>
          <w:snapToGrid w:val="0"/>
          <w:szCs w:val="21"/>
          <w:highlight w:val="none"/>
        </w:rPr>
        <w:t>财库</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2015</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 xml:space="preserve"> 124号</w:t>
      </w:r>
      <w:r>
        <w:rPr>
          <w:rFonts w:hint="eastAsia" w:ascii="微软雅黑" w:hAnsi="微软雅黑" w:eastAsia="微软雅黑"/>
          <w:snapToGrid w:val="0"/>
          <w:szCs w:val="21"/>
          <w:highlight w:val="none"/>
        </w:rPr>
        <w:t>，规定采用竞争性磋商采购方式采购的政府购买服务项目（含政府和社会资本合作项目），在采购过程中符合要求的供应商（社会资本）只有</w:t>
      </w:r>
      <w:r>
        <w:rPr>
          <w:rFonts w:ascii="微软雅黑" w:hAnsi="微软雅黑" w:eastAsia="微软雅黑"/>
          <w:snapToGrid w:val="0"/>
          <w:szCs w:val="21"/>
          <w:highlight w:val="none"/>
        </w:rPr>
        <w:t>2</w:t>
      </w:r>
      <w:r>
        <w:rPr>
          <w:rFonts w:hint="eastAsia" w:ascii="微软雅黑" w:hAnsi="微软雅黑" w:eastAsia="微软雅黑"/>
          <w:snapToGrid w:val="0"/>
          <w:szCs w:val="21"/>
          <w:highlight w:val="none"/>
        </w:rPr>
        <w:t>家的，竞争性磋商采购活动可以继续进行采用竞争性磋商采购方式采购的政府购买服务项目（含政府和社会资本合作项目），采购过程中符合要求的供应商（社会资本）只有1家的，采购人（项目实施机构）或者采购代理机构应当终止竞争性磋商采购活动，发布项目终止公告并说明原因，重新开展采购活动</w:t>
      </w:r>
      <w:r>
        <w:rPr>
          <w:rFonts w:ascii="微软雅黑" w:hAnsi="微软雅黑" w:eastAsia="微软雅黑"/>
          <w:snapToGrid w:val="0"/>
          <w:szCs w:val="21"/>
          <w:highlight w:val="none"/>
        </w:rPr>
        <w:t>。</w:t>
      </w:r>
      <w:bookmarkEnd w:id="390"/>
      <w:bookmarkEnd w:id="391"/>
      <w:bookmarkEnd w:id="392"/>
      <w:bookmarkEnd w:id="393"/>
      <w:bookmarkEnd w:id="394"/>
      <w:bookmarkEnd w:id="395"/>
    </w:p>
    <w:p>
      <w:pPr>
        <w:pStyle w:val="4"/>
        <w:spacing w:before="0" w:after="0" w:line="500" w:lineRule="exact"/>
        <w:rPr>
          <w:rFonts w:ascii="微软雅黑" w:hAnsi="微软雅黑" w:eastAsia="微软雅黑"/>
          <w:sz w:val="21"/>
          <w:szCs w:val="21"/>
          <w:highlight w:val="none"/>
        </w:rPr>
      </w:pPr>
      <w:bookmarkStart w:id="398" w:name="_Toc40788085"/>
      <w:bookmarkStart w:id="399" w:name="_Toc53062747"/>
      <w:bookmarkStart w:id="400" w:name="_Toc89266873"/>
      <w:r>
        <w:rPr>
          <w:rFonts w:hint="eastAsia" w:ascii="微软雅黑" w:hAnsi="微软雅黑" w:eastAsia="微软雅黑"/>
          <w:sz w:val="21"/>
          <w:szCs w:val="21"/>
          <w:highlight w:val="none"/>
        </w:rPr>
        <w:t>六 评标</w:t>
      </w:r>
      <w:bookmarkEnd w:id="396"/>
      <w:bookmarkEnd w:id="397"/>
      <w:bookmarkEnd w:id="398"/>
      <w:bookmarkEnd w:id="399"/>
      <w:bookmarkEnd w:id="400"/>
    </w:p>
    <w:p>
      <w:pPr>
        <w:spacing w:after="0" w:line="500" w:lineRule="exact"/>
        <w:ind w:firstLine="410"/>
        <w:outlineLvl w:val="2"/>
        <w:rPr>
          <w:rFonts w:ascii="微软雅黑" w:hAnsi="微软雅黑" w:eastAsia="微软雅黑"/>
          <w:b/>
          <w:snapToGrid w:val="0"/>
          <w:szCs w:val="21"/>
          <w:highlight w:val="none"/>
        </w:rPr>
      </w:pPr>
      <w:bookmarkStart w:id="401" w:name="_Toc53062748"/>
      <w:bookmarkStart w:id="402" w:name="_Toc89266874"/>
      <w:bookmarkStart w:id="403" w:name="_Toc40788086"/>
      <w:r>
        <w:rPr>
          <w:rFonts w:hint="eastAsia" w:ascii="微软雅黑" w:hAnsi="微软雅黑" w:eastAsia="微软雅黑"/>
          <w:b/>
          <w:snapToGrid w:val="0"/>
          <w:szCs w:val="21"/>
          <w:highlight w:val="none"/>
        </w:rPr>
        <w:t>1、</w:t>
      </w:r>
      <w:r>
        <w:rPr>
          <w:rFonts w:ascii="微软雅黑" w:hAnsi="微软雅黑" w:eastAsia="微软雅黑"/>
          <w:b/>
          <w:snapToGrid w:val="0"/>
          <w:szCs w:val="21"/>
          <w:highlight w:val="none"/>
        </w:rPr>
        <w:t>组建磋商小组</w:t>
      </w:r>
      <w:bookmarkEnd w:id="401"/>
      <w:bookmarkEnd w:id="402"/>
      <w:bookmarkEnd w:id="403"/>
    </w:p>
    <w:p>
      <w:pPr>
        <w:ind w:firstLine="424" w:firstLineChars="202"/>
        <w:rPr>
          <w:rFonts w:ascii="微软雅黑" w:hAnsi="微软雅黑" w:eastAsia="微软雅黑"/>
          <w:snapToGrid w:val="0"/>
          <w:szCs w:val="21"/>
          <w:highlight w:val="none"/>
        </w:rPr>
      </w:pPr>
      <w:bookmarkStart w:id="404" w:name="_Toc40788087"/>
      <w:bookmarkStart w:id="405" w:name="_Toc53062749"/>
      <w:bookmarkStart w:id="406" w:name="_Toc89266875"/>
      <w:r>
        <w:rPr>
          <w:rFonts w:ascii="微软雅黑" w:hAnsi="微软雅黑" w:eastAsia="微软雅黑"/>
          <w:snapToGrid w:val="0"/>
          <w:szCs w:val="21"/>
          <w:highlight w:val="none"/>
        </w:rPr>
        <w:t>本项目磋商小组由政府采购评审专家</w:t>
      </w:r>
      <w:r>
        <w:rPr>
          <w:rFonts w:hint="eastAsia" w:ascii="微软雅黑" w:hAnsi="微软雅黑" w:eastAsia="微软雅黑"/>
          <w:snapToGrid w:val="0"/>
          <w:szCs w:val="21"/>
          <w:highlight w:val="none"/>
          <w:lang w:val="en-US" w:eastAsia="zh-CN"/>
        </w:rPr>
        <w:t>3</w:t>
      </w:r>
      <w:r>
        <w:rPr>
          <w:rFonts w:hint="eastAsia" w:ascii="微软雅黑" w:hAnsi="微软雅黑" w:eastAsia="微软雅黑"/>
          <w:snapToGrid w:val="0"/>
          <w:szCs w:val="21"/>
          <w:highlight w:val="none"/>
        </w:rPr>
        <w:t>人，共3</w:t>
      </w:r>
      <w:r>
        <w:rPr>
          <w:rFonts w:ascii="微软雅黑" w:hAnsi="微软雅黑" w:eastAsia="微软雅黑"/>
          <w:snapToGrid w:val="0"/>
          <w:szCs w:val="21"/>
          <w:highlight w:val="none"/>
        </w:rPr>
        <w:t>组成。</w:t>
      </w:r>
      <w:bookmarkEnd w:id="404"/>
      <w:bookmarkEnd w:id="405"/>
      <w:bookmarkEnd w:id="406"/>
    </w:p>
    <w:p>
      <w:pPr>
        <w:spacing w:after="0" w:line="500" w:lineRule="exact"/>
        <w:ind w:firstLine="410"/>
        <w:outlineLvl w:val="2"/>
        <w:rPr>
          <w:rFonts w:ascii="微软雅黑" w:hAnsi="微软雅黑" w:eastAsia="微软雅黑"/>
          <w:b/>
          <w:snapToGrid w:val="0"/>
          <w:szCs w:val="21"/>
          <w:highlight w:val="none"/>
        </w:rPr>
      </w:pPr>
      <w:bookmarkStart w:id="407" w:name="_Toc89266876"/>
      <w:bookmarkStart w:id="408" w:name="_Toc53062750"/>
      <w:bookmarkStart w:id="409" w:name="_Toc40788088"/>
      <w:r>
        <w:rPr>
          <w:rFonts w:hint="eastAsia" w:ascii="微软雅黑" w:hAnsi="微软雅黑" w:eastAsia="微软雅黑"/>
          <w:b/>
          <w:snapToGrid w:val="0"/>
          <w:szCs w:val="21"/>
          <w:highlight w:val="none"/>
        </w:rPr>
        <w:t>2、磋商</w:t>
      </w:r>
      <w:r>
        <w:rPr>
          <w:rFonts w:ascii="微软雅黑" w:hAnsi="微软雅黑" w:eastAsia="微软雅黑"/>
          <w:b/>
          <w:snapToGrid w:val="0"/>
          <w:szCs w:val="21"/>
          <w:highlight w:val="none"/>
        </w:rPr>
        <w:t>的方式</w:t>
      </w:r>
      <w:bookmarkEnd w:id="407"/>
      <w:bookmarkEnd w:id="408"/>
      <w:bookmarkEnd w:id="409"/>
    </w:p>
    <w:p>
      <w:pPr>
        <w:ind w:firstLine="424" w:firstLineChars="202"/>
        <w:rPr>
          <w:rFonts w:ascii="微软雅黑" w:hAnsi="微软雅黑" w:eastAsia="微软雅黑"/>
          <w:snapToGrid w:val="0"/>
          <w:szCs w:val="21"/>
          <w:highlight w:val="none"/>
        </w:rPr>
      </w:pPr>
      <w:bookmarkStart w:id="410" w:name="_Toc89266877"/>
      <w:bookmarkStart w:id="411" w:name="_Toc40788089"/>
      <w:bookmarkStart w:id="412" w:name="_Toc53062751"/>
      <w:r>
        <w:rPr>
          <w:rFonts w:ascii="微软雅黑" w:hAnsi="微软雅黑" w:eastAsia="微软雅黑"/>
          <w:snapToGrid w:val="0"/>
          <w:szCs w:val="21"/>
          <w:highlight w:val="none"/>
        </w:rPr>
        <w:t>本项目采用不公开方式</w:t>
      </w:r>
      <w:r>
        <w:rPr>
          <w:rFonts w:hint="eastAsia" w:ascii="微软雅黑" w:hAnsi="微软雅黑" w:eastAsia="微软雅黑"/>
          <w:snapToGrid w:val="0"/>
          <w:szCs w:val="21"/>
          <w:highlight w:val="none"/>
        </w:rPr>
        <w:t>磋商</w:t>
      </w:r>
      <w:r>
        <w:rPr>
          <w:rFonts w:ascii="微软雅黑" w:hAnsi="微软雅黑" w:eastAsia="微软雅黑"/>
          <w:snapToGrid w:val="0"/>
          <w:szCs w:val="21"/>
          <w:highlight w:val="none"/>
        </w:rPr>
        <w:t>，</w:t>
      </w:r>
      <w:r>
        <w:rPr>
          <w:rFonts w:hint="eastAsia" w:ascii="微软雅黑" w:hAnsi="微软雅黑" w:eastAsia="微软雅黑"/>
          <w:snapToGrid w:val="0"/>
          <w:szCs w:val="21"/>
          <w:highlight w:val="none"/>
        </w:rPr>
        <w:t>磋商</w:t>
      </w:r>
      <w:r>
        <w:rPr>
          <w:rFonts w:ascii="微软雅黑" w:hAnsi="微软雅黑" w:eastAsia="微软雅黑"/>
          <w:snapToGrid w:val="0"/>
          <w:szCs w:val="21"/>
          <w:highlight w:val="none"/>
        </w:rPr>
        <w:t>的依据为</w:t>
      </w:r>
      <w:r>
        <w:rPr>
          <w:rFonts w:hint="eastAsia" w:ascii="微软雅黑" w:hAnsi="微软雅黑" w:eastAsia="微软雅黑"/>
          <w:snapToGrid w:val="0"/>
          <w:szCs w:val="21"/>
          <w:highlight w:val="none"/>
        </w:rPr>
        <w:t>竞争性磋商文件</w:t>
      </w:r>
      <w:r>
        <w:rPr>
          <w:rFonts w:ascii="微软雅黑" w:hAnsi="微软雅黑" w:eastAsia="微软雅黑"/>
          <w:snapToGrid w:val="0"/>
          <w:szCs w:val="21"/>
          <w:highlight w:val="none"/>
        </w:rPr>
        <w:t>和</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w:t>
      </w:r>
      <w:bookmarkEnd w:id="410"/>
      <w:bookmarkEnd w:id="411"/>
      <w:bookmarkEnd w:id="412"/>
    </w:p>
    <w:p>
      <w:pPr>
        <w:spacing w:after="0" w:line="500" w:lineRule="exact"/>
        <w:ind w:firstLine="410"/>
        <w:outlineLvl w:val="2"/>
        <w:rPr>
          <w:rFonts w:ascii="微软雅黑" w:hAnsi="微软雅黑" w:eastAsia="微软雅黑"/>
          <w:b/>
          <w:snapToGrid w:val="0"/>
          <w:szCs w:val="21"/>
          <w:highlight w:val="none"/>
        </w:rPr>
      </w:pPr>
      <w:bookmarkStart w:id="413" w:name="_Toc89266878"/>
      <w:bookmarkStart w:id="414" w:name="_Toc40788090"/>
      <w:bookmarkStart w:id="415" w:name="_Toc53062752"/>
      <w:r>
        <w:rPr>
          <w:rFonts w:hint="eastAsia" w:ascii="微软雅黑" w:hAnsi="微软雅黑" w:eastAsia="微软雅黑"/>
          <w:b/>
          <w:snapToGrid w:val="0"/>
          <w:szCs w:val="21"/>
          <w:highlight w:val="none"/>
        </w:rPr>
        <w:t>3、磋商</w:t>
      </w:r>
      <w:r>
        <w:rPr>
          <w:rFonts w:ascii="微软雅黑" w:hAnsi="微软雅黑" w:eastAsia="微软雅黑"/>
          <w:b/>
          <w:snapToGrid w:val="0"/>
          <w:szCs w:val="21"/>
          <w:highlight w:val="none"/>
        </w:rPr>
        <w:t>程序</w:t>
      </w:r>
      <w:bookmarkEnd w:id="413"/>
      <w:bookmarkEnd w:id="414"/>
      <w:bookmarkEnd w:id="415"/>
    </w:p>
    <w:p>
      <w:pPr>
        <w:ind w:firstLine="424" w:firstLineChars="202"/>
        <w:rPr>
          <w:rFonts w:ascii="微软雅黑" w:hAnsi="微软雅黑" w:eastAsia="微软雅黑"/>
          <w:snapToGrid w:val="0"/>
          <w:szCs w:val="21"/>
          <w:highlight w:val="none"/>
        </w:rPr>
      </w:pPr>
      <w:bookmarkStart w:id="416" w:name="_Toc40788091"/>
      <w:bookmarkStart w:id="417" w:name="_Toc89266879"/>
      <w:bookmarkStart w:id="418" w:name="_Toc53062753"/>
      <w:r>
        <w:rPr>
          <w:rFonts w:hint="eastAsia" w:ascii="微软雅黑" w:hAnsi="微软雅黑" w:eastAsia="微软雅黑"/>
          <w:snapToGrid w:val="0"/>
          <w:szCs w:val="21"/>
          <w:highlight w:val="none"/>
        </w:rPr>
        <w:t>3.</w:t>
      </w:r>
      <w:r>
        <w:rPr>
          <w:rFonts w:ascii="微软雅黑" w:hAnsi="微软雅黑" w:eastAsia="微软雅黑"/>
          <w:snapToGrid w:val="0"/>
          <w:szCs w:val="21"/>
          <w:highlight w:val="none"/>
        </w:rPr>
        <w:t>1</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形式审查</w:t>
      </w:r>
      <w:bookmarkEnd w:id="416"/>
      <w:bookmarkEnd w:id="417"/>
      <w:bookmarkEnd w:id="418"/>
    </w:p>
    <w:p>
      <w:pPr>
        <w:ind w:firstLine="424" w:firstLineChars="202"/>
        <w:rPr>
          <w:rFonts w:ascii="微软雅黑" w:hAnsi="微软雅黑" w:eastAsia="微软雅黑"/>
          <w:snapToGrid w:val="0"/>
          <w:szCs w:val="21"/>
          <w:highlight w:val="none"/>
        </w:rPr>
      </w:pPr>
      <w:bookmarkStart w:id="419" w:name="_Toc53062754"/>
      <w:bookmarkStart w:id="420" w:name="_Toc89266880"/>
      <w:bookmarkStart w:id="421" w:name="_Toc40788092"/>
      <w:r>
        <w:rPr>
          <w:rFonts w:hint="eastAsia" w:ascii="微软雅黑" w:hAnsi="微软雅黑" w:eastAsia="微软雅黑"/>
          <w:snapToGrid w:val="0"/>
          <w:szCs w:val="21"/>
          <w:highlight w:val="none"/>
        </w:rPr>
        <w:t>磋商小组对磋商供应商的资格</w:t>
      </w:r>
      <w:r>
        <w:rPr>
          <w:rFonts w:ascii="微软雅黑" w:hAnsi="微软雅黑" w:eastAsia="微软雅黑"/>
          <w:snapToGrid w:val="0"/>
          <w:szCs w:val="21"/>
          <w:highlight w:val="none"/>
        </w:rPr>
        <w:t>和</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的完整性、合法性等进行审查。</w:t>
      </w:r>
      <w:bookmarkEnd w:id="419"/>
      <w:bookmarkEnd w:id="420"/>
      <w:bookmarkEnd w:id="421"/>
    </w:p>
    <w:p>
      <w:pPr>
        <w:ind w:firstLine="424" w:firstLineChars="202"/>
        <w:rPr>
          <w:rFonts w:ascii="微软雅黑" w:hAnsi="微软雅黑" w:eastAsia="微软雅黑"/>
          <w:snapToGrid w:val="0"/>
          <w:szCs w:val="21"/>
          <w:highlight w:val="none"/>
        </w:rPr>
      </w:pPr>
      <w:bookmarkStart w:id="422" w:name="_Toc40788093"/>
      <w:bookmarkStart w:id="423" w:name="_Toc53062755"/>
      <w:bookmarkStart w:id="424" w:name="_Toc89266881"/>
      <w:r>
        <w:rPr>
          <w:rFonts w:hint="eastAsia" w:ascii="微软雅黑" w:hAnsi="微软雅黑" w:eastAsia="微软雅黑"/>
          <w:snapToGrid w:val="0"/>
          <w:szCs w:val="21"/>
          <w:highlight w:val="none"/>
        </w:rPr>
        <w:t>3.</w:t>
      </w:r>
      <w:r>
        <w:rPr>
          <w:rFonts w:ascii="微软雅黑" w:hAnsi="微软雅黑" w:eastAsia="微软雅黑"/>
          <w:snapToGrid w:val="0"/>
          <w:szCs w:val="21"/>
          <w:highlight w:val="none"/>
        </w:rPr>
        <w:t>2</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实质审查与比较</w:t>
      </w:r>
      <w:bookmarkEnd w:id="422"/>
      <w:bookmarkEnd w:id="423"/>
      <w:bookmarkEnd w:id="424"/>
    </w:p>
    <w:p>
      <w:pPr>
        <w:ind w:firstLine="424" w:firstLineChars="202"/>
        <w:rPr>
          <w:rFonts w:ascii="微软雅黑" w:hAnsi="微软雅黑" w:eastAsia="微软雅黑"/>
          <w:snapToGrid w:val="0"/>
          <w:szCs w:val="21"/>
          <w:highlight w:val="none"/>
        </w:rPr>
      </w:pPr>
      <w:bookmarkStart w:id="425" w:name="_Toc40788094"/>
      <w:bookmarkStart w:id="426" w:name="_Toc89266882"/>
      <w:bookmarkStart w:id="427" w:name="_Toc53062756"/>
      <w:r>
        <w:rPr>
          <w:rFonts w:hint="eastAsia" w:ascii="微软雅黑" w:hAnsi="微软雅黑" w:eastAsia="微软雅黑"/>
          <w:snapToGrid w:val="0"/>
          <w:szCs w:val="21"/>
          <w:highlight w:val="none"/>
        </w:rPr>
        <w:t>3.2.1、</w:t>
      </w:r>
      <w:r>
        <w:rPr>
          <w:rFonts w:ascii="微软雅黑" w:hAnsi="微软雅黑" w:eastAsia="微软雅黑"/>
          <w:snapToGrid w:val="0"/>
          <w:szCs w:val="21"/>
          <w:highlight w:val="none"/>
        </w:rPr>
        <w:t>磋商小组审查</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的实质性内容是否符合</w:t>
      </w:r>
      <w:r>
        <w:rPr>
          <w:rFonts w:hint="eastAsia" w:ascii="微软雅黑" w:hAnsi="微软雅黑" w:eastAsia="微软雅黑"/>
          <w:snapToGrid w:val="0"/>
          <w:szCs w:val="21"/>
          <w:highlight w:val="none"/>
        </w:rPr>
        <w:t>竞争性磋商文件</w:t>
      </w:r>
      <w:r>
        <w:rPr>
          <w:rFonts w:ascii="微软雅黑" w:hAnsi="微软雅黑" w:eastAsia="微软雅黑"/>
          <w:snapToGrid w:val="0"/>
          <w:szCs w:val="21"/>
          <w:highlight w:val="none"/>
        </w:rPr>
        <w:t>的实质性要求。</w:t>
      </w:r>
      <w:bookmarkEnd w:id="425"/>
      <w:bookmarkEnd w:id="426"/>
      <w:bookmarkEnd w:id="427"/>
    </w:p>
    <w:p>
      <w:pPr>
        <w:ind w:firstLine="424" w:firstLineChars="202"/>
        <w:rPr>
          <w:rFonts w:ascii="微软雅黑" w:hAnsi="微软雅黑" w:eastAsia="微软雅黑"/>
          <w:snapToGrid w:val="0"/>
          <w:szCs w:val="21"/>
          <w:highlight w:val="none"/>
        </w:rPr>
      </w:pPr>
      <w:bookmarkStart w:id="428" w:name="_Toc40788095"/>
      <w:bookmarkStart w:id="429" w:name="_Toc53062757"/>
      <w:bookmarkStart w:id="430" w:name="_Toc89266883"/>
      <w:r>
        <w:rPr>
          <w:rFonts w:hint="eastAsia" w:ascii="微软雅黑" w:hAnsi="微软雅黑" w:eastAsia="微软雅黑"/>
          <w:snapToGrid w:val="0"/>
          <w:szCs w:val="21"/>
          <w:highlight w:val="none"/>
        </w:rPr>
        <w:t>3.2.2、</w:t>
      </w:r>
      <w:r>
        <w:rPr>
          <w:rFonts w:ascii="微软雅黑" w:hAnsi="微软雅黑" w:eastAsia="微软雅黑"/>
          <w:snapToGrid w:val="0"/>
          <w:szCs w:val="21"/>
          <w:highlight w:val="none"/>
        </w:rPr>
        <w:t>磋商小组将根据磋商供应商的</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进行审查、核对,如有疑问,将对磋商供应商进行询标,磋商供应商要向磋商小组澄清有关问题,并最终以书面形式进行答复。</w:t>
      </w:r>
      <w:bookmarkEnd w:id="428"/>
      <w:bookmarkEnd w:id="429"/>
      <w:bookmarkEnd w:id="430"/>
    </w:p>
    <w:p>
      <w:pPr>
        <w:ind w:firstLine="424" w:firstLineChars="202"/>
        <w:rPr>
          <w:rFonts w:ascii="微软雅黑" w:hAnsi="微软雅黑" w:eastAsia="微软雅黑"/>
          <w:snapToGrid w:val="0"/>
          <w:szCs w:val="21"/>
          <w:highlight w:val="none"/>
        </w:rPr>
      </w:pPr>
      <w:bookmarkStart w:id="431" w:name="_Toc53062758"/>
      <w:bookmarkStart w:id="432" w:name="_Toc40788096"/>
      <w:bookmarkStart w:id="433" w:name="_Toc89266884"/>
      <w:r>
        <w:rPr>
          <w:rFonts w:ascii="微软雅黑" w:hAnsi="微软雅黑" w:eastAsia="微软雅黑"/>
          <w:snapToGrid w:val="0"/>
          <w:szCs w:val="21"/>
          <w:highlight w:val="none"/>
        </w:rPr>
        <w:t>询标</w:t>
      </w:r>
      <w:r>
        <w:rPr>
          <w:rFonts w:hint="eastAsia" w:ascii="微软雅黑" w:hAnsi="微软雅黑" w:eastAsia="微软雅黑"/>
          <w:snapToGrid w:val="0"/>
          <w:szCs w:val="21"/>
          <w:highlight w:val="none"/>
        </w:rPr>
        <w:t>时，磋商供应商代表未到场或者拒绝澄清或者澄清的内容改变了竞争性磋商响应文件的实质性内容的，磋商小组有权对该竞争性磋商响应文件作出不利于磋商供应商的评判。</w:t>
      </w:r>
      <w:bookmarkEnd w:id="431"/>
      <w:bookmarkEnd w:id="432"/>
      <w:bookmarkEnd w:id="433"/>
    </w:p>
    <w:p>
      <w:pPr>
        <w:ind w:firstLine="424" w:firstLineChars="202"/>
        <w:rPr>
          <w:rFonts w:ascii="微软雅黑" w:hAnsi="微软雅黑" w:eastAsia="微软雅黑"/>
          <w:snapToGrid w:val="0"/>
          <w:szCs w:val="21"/>
          <w:highlight w:val="none"/>
        </w:rPr>
      </w:pPr>
      <w:bookmarkStart w:id="434" w:name="_Toc53062759"/>
      <w:bookmarkStart w:id="435" w:name="_Toc89266885"/>
      <w:bookmarkStart w:id="436" w:name="_Toc40788097"/>
      <w:r>
        <w:rPr>
          <w:rFonts w:hint="eastAsia" w:ascii="微软雅黑" w:hAnsi="微软雅黑" w:eastAsia="微软雅黑"/>
          <w:snapToGrid w:val="0"/>
          <w:szCs w:val="21"/>
          <w:highlight w:val="none"/>
        </w:rPr>
        <w:t>3.2.3、</w:t>
      </w:r>
      <w:r>
        <w:rPr>
          <w:rFonts w:ascii="微软雅黑" w:hAnsi="微软雅黑" w:eastAsia="微软雅黑"/>
          <w:snapToGrid w:val="0"/>
          <w:szCs w:val="21"/>
          <w:highlight w:val="none"/>
        </w:rPr>
        <w:t>各磋商供应商的</w:t>
      </w:r>
      <w:r>
        <w:rPr>
          <w:rFonts w:hint="eastAsia" w:ascii="微软雅黑" w:hAnsi="微软雅黑" w:eastAsia="微软雅黑"/>
          <w:snapToGrid w:val="0"/>
          <w:szCs w:val="21"/>
          <w:highlight w:val="none"/>
        </w:rPr>
        <w:t>资信商务及技术分按照磋商小组成员的独立评分汇总后的算术平均分计算</w:t>
      </w:r>
      <w:r>
        <w:rPr>
          <w:rFonts w:ascii="微软雅黑" w:hAnsi="微软雅黑" w:eastAsia="微软雅黑"/>
          <w:snapToGrid w:val="0"/>
          <w:szCs w:val="21"/>
          <w:highlight w:val="none"/>
        </w:rPr>
        <w:t>。</w:t>
      </w:r>
      <w:bookmarkEnd w:id="434"/>
      <w:bookmarkEnd w:id="435"/>
      <w:bookmarkEnd w:id="436"/>
    </w:p>
    <w:p>
      <w:pPr>
        <w:ind w:firstLine="424" w:firstLineChars="202"/>
        <w:rPr>
          <w:rFonts w:ascii="微软雅黑" w:hAnsi="微软雅黑" w:eastAsia="微软雅黑"/>
          <w:snapToGrid w:val="0"/>
          <w:szCs w:val="21"/>
          <w:highlight w:val="none"/>
        </w:rPr>
      </w:pPr>
      <w:bookmarkStart w:id="437" w:name="_Toc53062760"/>
      <w:bookmarkStart w:id="438" w:name="_Toc40788098"/>
      <w:bookmarkStart w:id="439" w:name="_Toc89266886"/>
      <w:r>
        <w:rPr>
          <w:rFonts w:hint="eastAsia" w:ascii="微软雅黑" w:hAnsi="微软雅黑" w:eastAsia="微软雅黑"/>
          <w:snapToGrid w:val="0"/>
          <w:szCs w:val="21"/>
          <w:highlight w:val="none"/>
        </w:rPr>
        <w:t>3.2.4、代理公司工作人员协助</w:t>
      </w:r>
      <w:r>
        <w:rPr>
          <w:rFonts w:ascii="微软雅黑" w:hAnsi="微软雅黑" w:eastAsia="微软雅黑"/>
          <w:snapToGrid w:val="0"/>
          <w:szCs w:val="21"/>
          <w:highlight w:val="none"/>
        </w:rPr>
        <w:t>磋商小组根据</w:t>
      </w:r>
      <w:r>
        <w:rPr>
          <w:rFonts w:hint="eastAsia" w:ascii="微软雅黑" w:hAnsi="微软雅黑" w:eastAsia="微软雅黑"/>
          <w:snapToGrid w:val="0"/>
          <w:szCs w:val="21"/>
          <w:highlight w:val="none"/>
        </w:rPr>
        <w:t>本项目的评分标准操作政府采购业务系统，由系统</w:t>
      </w:r>
      <w:r>
        <w:rPr>
          <w:rFonts w:ascii="微软雅黑" w:hAnsi="微软雅黑" w:eastAsia="微软雅黑"/>
          <w:snapToGrid w:val="0"/>
          <w:szCs w:val="21"/>
          <w:highlight w:val="none"/>
        </w:rPr>
        <w:t>计算各磋商供应商的商务报价得分</w:t>
      </w:r>
      <w:r>
        <w:rPr>
          <w:rFonts w:hint="eastAsia" w:ascii="微软雅黑" w:hAnsi="微软雅黑" w:eastAsia="微软雅黑"/>
          <w:snapToGrid w:val="0"/>
          <w:szCs w:val="21"/>
          <w:highlight w:val="none"/>
        </w:rPr>
        <w:t>。</w:t>
      </w:r>
      <w:bookmarkEnd w:id="437"/>
      <w:bookmarkEnd w:id="438"/>
      <w:bookmarkEnd w:id="439"/>
    </w:p>
    <w:p>
      <w:pPr>
        <w:ind w:firstLine="424" w:firstLineChars="202"/>
        <w:rPr>
          <w:rFonts w:ascii="微软雅黑" w:hAnsi="微软雅黑" w:eastAsia="微软雅黑"/>
          <w:snapToGrid w:val="0"/>
          <w:szCs w:val="21"/>
          <w:highlight w:val="none"/>
        </w:rPr>
      </w:pPr>
      <w:bookmarkStart w:id="440" w:name="_Toc89266887"/>
      <w:bookmarkStart w:id="441" w:name="_Toc53062761"/>
      <w:bookmarkStart w:id="442" w:name="_Toc40788099"/>
      <w:r>
        <w:rPr>
          <w:rFonts w:hint="eastAsia" w:ascii="微软雅黑" w:hAnsi="微软雅黑" w:eastAsia="微软雅黑"/>
          <w:snapToGrid w:val="0"/>
          <w:szCs w:val="21"/>
          <w:highlight w:val="none"/>
        </w:rPr>
        <w:t>3.2.5、</w:t>
      </w:r>
      <w:r>
        <w:rPr>
          <w:rFonts w:ascii="微软雅黑" w:hAnsi="微软雅黑" w:eastAsia="微软雅黑"/>
          <w:snapToGrid w:val="0"/>
          <w:szCs w:val="21"/>
          <w:highlight w:val="none"/>
        </w:rPr>
        <w:t>磋商小组完成评标后,评委对各部分得分汇总,</w:t>
      </w:r>
      <w:r>
        <w:rPr>
          <w:rFonts w:hint="eastAsia" w:ascii="微软雅黑" w:hAnsi="微软雅黑" w:eastAsia="微软雅黑"/>
          <w:snapToGrid w:val="0"/>
          <w:szCs w:val="21"/>
          <w:highlight w:val="none"/>
        </w:rPr>
        <w:t>计算</w:t>
      </w:r>
      <w:r>
        <w:rPr>
          <w:rFonts w:ascii="微软雅黑" w:hAnsi="微软雅黑" w:eastAsia="微软雅黑"/>
          <w:snapToGrid w:val="0"/>
          <w:szCs w:val="21"/>
          <w:highlight w:val="none"/>
        </w:rPr>
        <w:t>出本项目</w:t>
      </w:r>
      <w:r>
        <w:rPr>
          <w:rFonts w:hint="eastAsia" w:ascii="微软雅黑" w:hAnsi="微软雅黑" w:eastAsia="微软雅黑"/>
          <w:snapToGrid w:val="0"/>
          <w:szCs w:val="21"/>
          <w:highlight w:val="none"/>
        </w:rPr>
        <w:t>最终得分、性价比、评标价等</w:t>
      </w:r>
      <w:r>
        <w:rPr>
          <w:rFonts w:ascii="微软雅黑" w:hAnsi="微软雅黑" w:eastAsia="微软雅黑"/>
          <w:snapToGrid w:val="0"/>
          <w:szCs w:val="21"/>
          <w:highlight w:val="none"/>
        </w:rPr>
        <w:t>。磋商小组按评标原则推荐中标候选人同时起草评标报告。</w:t>
      </w:r>
      <w:bookmarkEnd w:id="440"/>
      <w:bookmarkEnd w:id="441"/>
      <w:bookmarkEnd w:id="442"/>
    </w:p>
    <w:p>
      <w:pPr>
        <w:spacing w:after="0" w:line="500" w:lineRule="exact"/>
        <w:ind w:firstLine="410"/>
        <w:outlineLvl w:val="2"/>
        <w:rPr>
          <w:rFonts w:ascii="微软雅黑" w:hAnsi="微软雅黑" w:eastAsia="微软雅黑"/>
          <w:b/>
          <w:snapToGrid w:val="0"/>
          <w:szCs w:val="21"/>
          <w:highlight w:val="none"/>
        </w:rPr>
      </w:pPr>
      <w:bookmarkStart w:id="443" w:name="_Toc53062762"/>
      <w:bookmarkStart w:id="444" w:name="_Toc89266888"/>
      <w:bookmarkStart w:id="445" w:name="_Toc40788100"/>
      <w:r>
        <w:rPr>
          <w:rFonts w:hint="eastAsia" w:ascii="微软雅黑" w:hAnsi="微软雅黑" w:eastAsia="微软雅黑"/>
          <w:b/>
          <w:snapToGrid w:val="0"/>
          <w:szCs w:val="21"/>
          <w:highlight w:val="none"/>
        </w:rPr>
        <w:t>4、澄清问题的形式</w:t>
      </w:r>
      <w:bookmarkEnd w:id="443"/>
      <w:bookmarkEnd w:id="444"/>
      <w:bookmarkEnd w:id="445"/>
    </w:p>
    <w:p>
      <w:pPr>
        <w:ind w:firstLine="424" w:firstLineChars="202"/>
        <w:rPr>
          <w:rFonts w:ascii="微软雅黑" w:hAnsi="微软雅黑" w:eastAsia="微软雅黑"/>
          <w:snapToGrid w:val="0"/>
          <w:szCs w:val="21"/>
          <w:highlight w:val="none"/>
        </w:rPr>
      </w:pPr>
      <w:bookmarkStart w:id="446" w:name="_Toc89266889"/>
      <w:bookmarkStart w:id="447" w:name="_Toc53062763"/>
      <w:bookmarkStart w:id="448" w:name="_Toc40788101"/>
      <w:r>
        <w:rPr>
          <w:rFonts w:hint="eastAsia" w:ascii="微软雅黑" w:hAnsi="微软雅黑" w:eastAsia="微软雅黑"/>
          <w:snapToGrid w:val="0"/>
          <w:szCs w:val="21"/>
          <w:highlight w:val="none"/>
        </w:rPr>
        <w:t>对竞争性磋商响应文件中含义不明确、同类问题表述不一致或者有明显文字和计算错误的内容，磋商小组可要求磋商供应商作出必要的澄清、说明或者纠正。磋商供应商的澄清、说明或者补正应当采用书面（或通过“政府采购云平台”在线询标</w:t>
      </w:r>
      <w:r>
        <w:rPr>
          <w:rFonts w:ascii="微软雅黑" w:hAnsi="微软雅黑" w:eastAsia="微软雅黑"/>
          <w:snapToGrid w:val="0"/>
          <w:szCs w:val="21"/>
          <w:highlight w:val="none"/>
        </w:rPr>
        <w:t>）</w:t>
      </w:r>
      <w:r>
        <w:rPr>
          <w:rFonts w:hint="eastAsia" w:ascii="微软雅黑" w:hAnsi="微软雅黑" w:eastAsia="微软雅黑"/>
          <w:snapToGrid w:val="0"/>
          <w:szCs w:val="21"/>
          <w:highlight w:val="none"/>
        </w:rPr>
        <w:t>的形式要求投标供应商在规定的时间内作出必要的澄清、说明或者补正，投标供应商澄清、说明或补正时间为不超过30分钟。</w:t>
      </w:r>
      <w:bookmarkEnd w:id="446"/>
      <w:bookmarkEnd w:id="447"/>
      <w:bookmarkEnd w:id="448"/>
    </w:p>
    <w:p>
      <w:pPr>
        <w:spacing w:after="0" w:line="500" w:lineRule="exact"/>
        <w:ind w:firstLine="410"/>
        <w:outlineLvl w:val="2"/>
        <w:rPr>
          <w:rFonts w:ascii="微软雅黑" w:hAnsi="微软雅黑" w:eastAsia="微软雅黑"/>
          <w:b/>
          <w:snapToGrid w:val="0"/>
          <w:szCs w:val="21"/>
          <w:highlight w:val="none"/>
        </w:rPr>
      </w:pPr>
      <w:bookmarkStart w:id="449" w:name="_Toc40788102"/>
      <w:bookmarkStart w:id="450" w:name="_Toc53062764"/>
      <w:bookmarkStart w:id="451" w:name="_Toc89266890"/>
      <w:r>
        <w:rPr>
          <w:rFonts w:hint="eastAsia" w:ascii="微软雅黑" w:hAnsi="微软雅黑" w:eastAsia="微软雅黑"/>
          <w:b/>
          <w:snapToGrid w:val="0"/>
          <w:szCs w:val="21"/>
          <w:highlight w:val="none"/>
        </w:rPr>
        <w:t>5、</w:t>
      </w:r>
      <w:r>
        <w:rPr>
          <w:rFonts w:ascii="微软雅黑" w:hAnsi="微软雅黑" w:eastAsia="微软雅黑"/>
          <w:b/>
          <w:snapToGrid w:val="0"/>
          <w:szCs w:val="21"/>
          <w:highlight w:val="none"/>
        </w:rPr>
        <w:t>错误修正</w:t>
      </w:r>
      <w:bookmarkEnd w:id="449"/>
      <w:bookmarkEnd w:id="450"/>
      <w:bookmarkEnd w:id="451"/>
    </w:p>
    <w:p>
      <w:pPr>
        <w:ind w:firstLine="424" w:firstLineChars="202"/>
        <w:rPr>
          <w:rFonts w:ascii="微软雅黑" w:hAnsi="微软雅黑" w:eastAsia="微软雅黑"/>
          <w:snapToGrid w:val="0"/>
          <w:szCs w:val="21"/>
          <w:highlight w:val="none"/>
        </w:rPr>
      </w:pPr>
      <w:bookmarkStart w:id="452" w:name="_Toc40788103"/>
      <w:bookmarkStart w:id="453" w:name="_Toc89266891"/>
      <w:bookmarkStart w:id="454" w:name="_Toc53062765"/>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如果出现计算或表达上的错误，修正错误的原则如下：</w:t>
      </w:r>
      <w:bookmarkEnd w:id="452"/>
      <w:bookmarkEnd w:id="453"/>
      <w:bookmarkEnd w:id="454"/>
    </w:p>
    <w:p>
      <w:pPr>
        <w:ind w:firstLine="424" w:firstLineChars="202"/>
        <w:rPr>
          <w:rFonts w:ascii="微软雅黑" w:hAnsi="微软雅黑" w:eastAsia="微软雅黑"/>
          <w:snapToGrid w:val="0"/>
          <w:szCs w:val="21"/>
          <w:highlight w:val="none"/>
        </w:rPr>
      </w:pPr>
      <w:bookmarkStart w:id="455" w:name="_Toc89266892"/>
      <w:bookmarkStart w:id="456" w:name="_Toc53062766"/>
      <w:bookmarkStart w:id="457" w:name="_Toc40788104"/>
      <w:r>
        <w:rPr>
          <w:rFonts w:hint="eastAsia" w:ascii="微软雅黑" w:hAnsi="微软雅黑" w:eastAsia="微软雅黑"/>
          <w:snapToGrid w:val="0"/>
          <w:szCs w:val="21"/>
          <w:highlight w:val="none"/>
        </w:rPr>
        <w:t>5.</w:t>
      </w:r>
      <w:r>
        <w:rPr>
          <w:rFonts w:ascii="微软雅黑" w:hAnsi="微软雅黑" w:eastAsia="微软雅黑"/>
          <w:snapToGrid w:val="0"/>
          <w:szCs w:val="21"/>
          <w:highlight w:val="none"/>
        </w:rPr>
        <w:t>1</w:t>
      </w:r>
      <w:r>
        <w:rPr>
          <w:rFonts w:hint="eastAsia" w:ascii="微软雅黑" w:hAnsi="微软雅黑" w:eastAsia="微软雅黑"/>
          <w:snapToGrid w:val="0"/>
          <w:szCs w:val="21"/>
          <w:highlight w:val="none"/>
        </w:rPr>
        <w:t>、开标一览表总价与投标报价明细表汇总数不一致的，以开标一览表为准；</w:t>
      </w:r>
      <w:bookmarkEnd w:id="455"/>
      <w:bookmarkEnd w:id="456"/>
      <w:bookmarkEnd w:id="457"/>
    </w:p>
    <w:p>
      <w:pPr>
        <w:ind w:firstLine="424" w:firstLineChars="202"/>
        <w:rPr>
          <w:rFonts w:ascii="微软雅黑" w:hAnsi="微软雅黑" w:eastAsia="微软雅黑"/>
          <w:snapToGrid w:val="0"/>
          <w:szCs w:val="21"/>
          <w:highlight w:val="none"/>
        </w:rPr>
      </w:pPr>
      <w:bookmarkStart w:id="458" w:name="_Toc89266893"/>
      <w:bookmarkStart w:id="459" w:name="_Toc53062767"/>
      <w:bookmarkStart w:id="460" w:name="_Toc40788105"/>
      <w:r>
        <w:rPr>
          <w:rFonts w:hint="eastAsia" w:ascii="微软雅黑" w:hAnsi="微软雅黑" w:eastAsia="微软雅黑"/>
          <w:snapToGrid w:val="0"/>
          <w:szCs w:val="21"/>
          <w:highlight w:val="none"/>
        </w:rPr>
        <w:t>5.</w:t>
      </w:r>
      <w:r>
        <w:rPr>
          <w:rFonts w:ascii="微软雅黑" w:hAnsi="微软雅黑" w:eastAsia="微软雅黑"/>
          <w:snapToGrid w:val="0"/>
          <w:szCs w:val="21"/>
          <w:highlight w:val="none"/>
        </w:rPr>
        <w:t>2</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的大写金额和小写金额不一致的，以大写金额为准；</w:t>
      </w:r>
      <w:bookmarkEnd w:id="458"/>
      <w:bookmarkEnd w:id="459"/>
      <w:bookmarkEnd w:id="460"/>
    </w:p>
    <w:p>
      <w:pPr>
        <w:ind w:firstLine="424" w:firstLineChars="202"/>
        <w:rPr>
          <w:rFonts w:ascii="微软雅黑" w:hAnsi="微软雅黑" w:eastAsia="微软雅黑"/>
          <w:snapToGrid w:val="0"/>
          <w:szCs w:val="21"/>
          <w:highlight w:val="none"/>
        </w:rPr>
      </w:pPr>
      <w:bookmarkStart w:id="461" w:name="_Toc53062768"/>
      <w:bookmarkStart w:id="462" w:name="_Toc40788106"/>
      <w:bookmarkStart w:id="463" w:name="_Toc89266894"/>
      <w:r>
        <w:rPr>
          <w:rFonts w:hint="eastAsia" w:ascii="微软雅黑" w:hAnsi="微软雅黑" w:eastAsia="微软雅黑"/>
          <w:snapToGrid w:val="0"/>
          <w:szCs w:val="21"/>
          <w:highlight w:val="none"/>
        </w:rPr>
        <w:t>5.</w:t>
      </w:r>
      <w:r>
        <w:rPr>
          <w:rFonts w:ascii="微软雅黑" w:hAnsi="微软雅黑" w:eastAsia="微软雅黑"/>
          <w:snapToGrid w:val="0"/>
          <w:szCs w:val="21"/>
          <w:highlight w:val="none"/>
        </w:rPr>
        <w:t>3</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总价金额与按单价汇总金额不一致的，以单价金额计算结果为准；</w:t>
      </w:r>
      <w:bookmarkEnd w:id="461"/>
      <w:bookmarkEnd w:id="462"/>
      <w:bookmarkEnd w:id="463"/>
    </w:p>
    <w:p>
      <w:pPr>
        <w:ind w:firstLine="424" w:firstLineChars="202"/>
        <w:rPr>
          <w:rFonts w:ascii="微软雅黑" w:hAnsi="微软雅黑" w:eastAsia="微软雅黑"/>
          <w:snapToGrid w:val="0"/>
          <w:szCs w:val="21"/>
          <w:highlight w:val="none"/>
        </w:rPr>
      </w:pPr>
      <w:bookmarkStart w:id="464" w:name="_Toc89266895"/>
      <w:bookmarkStart w:id="465" w:name="_Toc53062769"/>
      <w:bookmarkStart w:id="466" w:name="_Toc40788107"/>
      <w:r>
        <w:rPr>
          <w:rFonts w:hint="eastAsia" w:ascii="微软雅黑" w:hAnsi="微软雅黑" w:eastAsia="微软雅黑"/>
          <w:snapToGrid w:val="0"/>
          <w:szCs w:val="21"/>
          <w:highlight w:val="none"/>
        </w:rPr>
        <w:t>5.</w:t>
      </w:r>
      <w:r>
        <w:rPr>
          <w:rFonts w:ascii="微软雅黑" w:hAnsi="微软雅黑" w:eastAsia="微软雅黑"/>
          <w:snapToGrid w:val="0"/>
          <w:szCs w:val="21"/>
          <w:highlight w:val="none"/>
        </w:rPr>
        <w:t>4</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对不同文字文本</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的解释发生异议的，以中文文本为准。</w:t>
      </w:r>
      <w:bookmarkEnd w:id="464"/>
      <w:bookmarkEnd w:id="465"/>
      <w:bookmarkEnd w:id="466"/>
    </w:p>
    <w:p>
      <w:pPr>
        <w:ind w:firstLine="424" w:firstLineChars="202"/>
        <w:rPr>
          <w:rFonts w:ascii="微软雅黑" w:hAnsi="微软雅黑" w:eastAsia="微软雅黑"/>
          <w:snapToGrid w:val="0"/>
          <w:szCs w:val="21"/>
          <w:highlight w:val="none"/>
        </w:rPr>
      </w:pPr>
      <w:bookmarkStart w:id="467" w:name="_Toc53062770"/>
      <w:bookmarkStart w:id="468" w:name="_Toc89266896"/>
      <w:bookmarkStart w:id="469" w:name="_Toc40788108"/>
      <w:r>
        <w:rPr>
          <w:rFonts w:ascii="微软雅黑" w:hAnsi="微软雅黑" w:eastAsia="微软雅黑"/>
          <w:snapToGrid w:val="0"/>
          <w:szCs w:val="21"/>
          <w:highlight w:val="none"/>
        </w:rPr>
        <w:t>按上述修正错误的原则及方法调整或修正</w:t>
      </w:r>
      <w:r>
        <w:rPr>
          <w:rFonts w:hint="eastAsia" w:ascii="微软雅黑" w:hAnsi="微软雅黑" w:eastAsia="微软雅黑"/>
          <w:snapToGrid w:val="0"/>
          <w:szCs w:val="21"/>
          <w:highlight w:val="none"/>
        </w:rPr>
        <w:t>竞争性磋商响应文件</w:t>
      </w:r>
      <w:r>
        <w:rPr>
          <w:rFonts w:ascii="微软雅黑" w:hAnsi="微软雅黑" w:eastAsia="微软雅黑"/>
          <w:snapToGrid w:val="0"/>
          <w:szCs w:val="21"/>
          <w:highlight w:val="none"/>
        </w:rPr>
        <w:t>的投标报价，磋商供应商同意</w:t>
      </w:r>
      <w:r>
        <w:rPr>
          <w:rFonts w:hint="eastAsia" w:ascii="微软雅黑" w:hAnsi="微软雅黑" w:eastAsia="微软雅黑"/>
          <w:snapToGrid w:val="0"/>
          <w:szCs w:val="21"/>
          <w:highlight w:val="none"/>
        </w:rPr>
        <w:t>确认</w:t>
      </w:r>
      <w:r>
        <w:rPr>
          <w:rFonts w:ascii="微软雅黑" w:hAnsi="微软雅黑" w:eastAsia="微软雅黑"/>
          <w:snapToGrid w:val="0"/>
          <w:szCs w:val="21"/>
          <w:highlight w:val="none"/>
        </w:rPr>
        <w:t>后，调整后的投标报价对磋商供应商具有约束作用。如果磋商供应商不接受修正后的报价，则其投标将</w:t>
      </w:r>
      <w:r>
        <w:rPr>
          <w:rFonts w:hint="eastAsia" w:ascii="微软雅黑" w:hAnsi="微软雅黑" w:eastAsia="微软雅黑"/>
          <w:snapToGrid w:val="0"/>
          <w:szCs w:val="21"/>
          <w:highlight w:val="none"/>
        </w:rPr>
        <w:t>作为无效投标处理</w:t>
      </w:r>
      <w:r>
        <w:rPr>
          <w:rFonts w:ascii="微软雅黑" w:hAnsi="微软雅黑" w:eastAsia="微软雅黑"/>
          <w:snapToGrid w:val="0"/>
          <w:szCs w:val="21"/>
          <w:highlight w:val="none"/>
        </w:rPr>
        <w:t>。</w:t>
      </w:r>
      <w:bookmarkEnd w:id="467"/>
      <w:bookmarkEnd w:id="468"/>
      <w:bookmarkEnd w:id="469"/>
    </w:p>
    <w:p>
      <w:pPr>
        <w:spacing w:after="0" w:line="500" w:lineRule="exact"/>
        <w:ind w:firstLine="410"/>
        <w:outlineLvl w:val="2"/>
        <w:rPr>
          <w:rFonts w:ascii="微软雅黑" w:hAnsi="微软雅黑" w:eastAsia="微软雅黑"/>
          <w:b/>
          <w:snapToGrid w:val="0"/>
          <w:szCs w:val="21"/>
          <w:highlight w:val="none"/>
        </w:rPr>
      </w:pPr>
      <w:bookmarkStart w:id="470" w:name="_Toc53062771"/>
      <w:bookmarkStart w:id="471" w:name="_Toc40788109"/>
      <w:bookmarkStart w:id="472" w:name="_Toc89266897"/>
      <w:r>
        <w:rPr>
          <w:rFonts w:hint="eastAsia" w:ascii="微软雅黑" w:hAnsi="微软雅黑" w:eastAsia="微软雅黑"/>
          <w:b/>
          <w:snapToGrid w:val="0"/>
          <w:szCs w:val="21"/>
          <w:highlight w:val="none"/>
        </w:rPr>
        <w:t>6、</w:t>
      </w:r>
      <w:r>
        <w:rPr>
          <w:rFonts w:ascii="微软雅黑" w:hAnsi="微软雅黑" w:eastAsia="微软雅黑"/>
          <w:b/>
          <w:snapToGrid w:val="0"/>
          <w:szCs w:val="21"/>
          <w:highlight w:val="none"/>
        </w:rPr>
        <w:t>评标原则和评标办法</w:t>
      </w:r>
      <w:bookmarkEnd w:id="470"/>
      <w:bookmarkEnd w:id="471"/>
      <w:bookmarkEnd w:id="472"/>
    </w:p>
    <w:p>
      <w:pPr>
        <w:ind w:firstLine="424" w:firstLineChars="202"/>
        <w:rPr>
          <w:rFonts w:ascii="微软雅黑" w:hAnsi="微软雅黑" w:eastAsia="微软雅黑"/>
          <w:snapToGrid w:val="0"/>
          <w:szCs w:val="21"/>
          <w:highlight w:val="none"/>
        </w:rPr>
      </w:pPr>
      <w:bookmarkStart w:id="473" w:name="_Toc53062772"/>
      <w:bookmarkStart w:id="474" w:name="_Toc89266898"/>
      <w:bookmarkStart w:id="475" w:name="_Toc40788110"/>
      <w:r>
        <w:rPr>
          <w:rFonts w:hint="eastAsia" w:ascii="微软雅黑" w:hAnsi="微软雅黑" w:eastAsia="微软雅黑"/>
          <w:snapToGrid w:val="0"/>
          <w:szCs w:val="21"/>
          <w:highlight w:val="none"/>
        </w:rPr>
        <w:t>6.</w:t>
      </w:r>
      <w:r>
        <w:rPr>
          <w:rFonts w:ascii="微软雅黑" w:hAnsi="微软雅黑" w:eastAsia="微软雅黑"/>
          <w:snapToGrid w:val="0"/>
          <w:szCs w:val="21"/>
          <w:highlight w:val="none"/>
        </w:rPr>
        <w:t>1</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评标原则。磋商小组必须公平、公正、客观，不带任何倾向性和启发性；不得向外界透露任何与评标有关的内容；任何单位和个人不得干扰、影响评标的正常进行；磋商小组及有关工作人员不得私下与磋商供应商接触。</w:t>
      </w:r>
      <w:bookmarkEnd w:id="473"/>
      <w:bookmarkEnd w:id="474"/>
      <w:bookmarkEnd w:id="475"/>
    </w:p>
    <w:p>
      <w:pPr>
        <w:ind w:firstLine="424" w:firstLineChars="202"/>
        <w:rPr>
          <w:rFonts w:ascii="微软雅黑" w:hAnsi="微软雅黑" w:eastAsia="微软雅黑"/>
          <w:snapToGrid w:val="0"/>
          <w:szCs w:val="21"/>
          <w:highlight w:val="none"/>
        </w:rPr>
      </w:pPr>
      <w:bookmarkStart w:id="476" w:name="_Toc89266899"/>
      <w:bookmarkStart w:id="477" w:name="_Toc40788111"/>
      <w:bookmarkStart w:id="478" w:name="_Toc53062773"/>
      <w:r>
        <w:rPr>
          <w:rFonts w:hint="eastAsia" w:ascii="微软雅黑" w:hAnsi="微软雅黑" w:eastAsia="微软雅黑"/>
          <w:snapToGrid w:val="0"/>
          <w:szCs w:val="21"/>
          <w:highlight w:val="none"/>
        </w:rPr>
        <w:t>6.</w:t>
      </w:r>
      <w:r>
        <w:rPr>
          <w:rFonts w:ascii="微软雅黑" w:hAnsi="微软雅黑" w:eastAsia="微软雅黑"/>
          <w:snapToGrid w:val="0"/>
          <w:szCs w:val="21"/>
          <w:highlight w:val="none"/>
        </w:rPr>
        <w:t>2</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评标办法。本项目评标办法是</w:t>
      </w:r>
      <w:r>
        <w:rPr>
          <w:rFonts w:hint="eastAsia" w:ascii="微软雅黑" w:hAnsi="微软雅黑" w:eastAsia="微软雅黑"/>
          <w:snapToGrid w:val="0"/>
          <w:szCs w:val="21"/>
          <w:highlight w:val="none"/>
        </w:rPr>
        <w:t>综合评标法</w:t>
      </w:r>
      <w:r>
        <w:rPr>
          <w:rFonts w:ascii="微软雅黑" w:hAnsi="微软雅黑" w:eastAsia="微软雅黑"/>
          <w:snapToGrid w:val="0"/>
          <w:szCs w:val="21"/>
          <w:highlight w:val="none"/>
        </w:rPr>
        <w:t>，具体评标内容及评分标准等详见《第四章：评标办法及评分标准》。</w:t>
      </w:r>
      <w:bookmarkEnd w:id="476"/>
      <w:bookmarkEnd w:id="477"/>
      <w:bookmarkEnd w:id="478"/>
    </w:p>
    <w:p>
      <w:pPr>
        <w:spacing w:after="0" w:line="500" w:lineRule="exact"/>
        <w:ind w:firstLine="410"/>
        <w:outlineLvl w:val="2"/>
        <w:rPr>
          <w:rFonts w:ascii="微软雅黑" w:hAnsi="微软雅黑" w:eastAsia="微软雅黑"/>
          <w:b/>
          <w:snapToGrid w:val="0"/>
          <w:szCs w:val="21"/>
          <w:highlight w:val="none"/>
        </w:rPr>
      </w:pPr>
      <w:bookmarkStart w:id="479" w:name="_Toc89266900"/>
      <w:bookmarkStart w:id="480" w:name="_Toc40788112"/>
      <w:bookmarkStart w:id="481" w:name="_Toc53062774"/>
      <w:r>
        <w:rPr>
          <w:rFonts w:hint="eastAsia" w:ascii="微软雅黑" w:hAnsi="微软雅黑" w:eastAsia="微软雅黑"/>
          <w:b/>
          <w:snapToGrid w:val="0"/>
          <w:szCs w:val="21"/>
          <w:highlight w:val="none"/>
        </w:rPr>
        <w:t>7、</w:t>
      </w:r>
      <w:r>
        <w:rPr>
          <w:rFonts w:ascii="微软雅黑" w:hAnsi="微软雅黑" w:eastAsia="微软雅黑"/>
          <w:b/>
          <w:snapToGrid w:val="0"/>
          <w:szCs w:val="21"/>
          <w:highlight w:val="none"/>
        </w:rPr>
        <w:t>评标过程的监控</w:t>
      </w:r>
      <w:bookmarkEnd w:id="479"/>
      <w:bookmarkEnd w:id="480"/>
      <w:bookmarkEnd w:id="481"/>
    </w:p>
    <w:p>
      <w:pPr>
        <w:ind w:firstLine="424" w:firstLineChars="202"/>
        <w:rPr>
          <w:rFonts w:ascii="微软雅黑" w:hAnsi="微软雅黑" w:eastAsia="微软雅黑"/>
          <w:snapToGrid w:val="0"/>
          <w:szCs w:val="21"/>
          <w:highlight w:val="none"/>
        </w:rPr>
      </w:pPr>
      <w:bookmarkStart w:id="482" w:name="_Toc89266901"/>
      <w:bookmarkStart w:id="483" w:name="_Toc40788113"/>
      <w:bookmarkStart w:id="484" w:name="_Toc53062775"/>
      <w:r>
        <w:rPr>
          <w:rFonts w:ascii="微软雅黑" w:hAnsi="微软雅黑" w:eastAsia="微软雅黑"/>
          <w:snapToGrid w:val="0"/>
          <w:szCs w:val="21"/>
          <w:highlight w:val="none"/>
        </w:rPr>
        <w:t>本项目评标过程实行全程录音、录像监控</w:t>
      </w:r>
      <w:r>
        <w:rPr>
          <w:rFonts w:hint="eastAsia" w:ascii="微软雅黑" w:hAnsi="微软雅黑" w:eastAsia="微软雅黑"/>
          <w:snapToGrid w:val="0"/>
          <w:szCs w:val="21"/>
          <w:highlight w:val="none"/>
        </w:rPr>
        <w:t>。</w:t>
      </w:r>
      <w:r>
        <w:rPr>
          <w:rFonts w:ascii="微软雅黑" w:hAnsi="微软雅黑" w:eastAsia="微软雅黑"/>
          <w:snapToGrid w:val="0"/>
          <w:szCs w:val="21"/>
          <w:highlight w:val="none"/>
        </w:rPr>
        <w:t>磋商供应商在评标过程中所进行的</w:t>
      </w:r>
      <w:r>
        <w:rPr>
          <w:rFonts w:hint="eastAsia" w:ascii="微软雅黑" w:hAnsi="微软雅黑" w:eastAsia="微软雅黑"/>
          <w:snapToGrid w:val="0"/>
          <w:szCs w:val="21"/>
          <w:highlight w:val="none"/>
        </w:rPr>
        <w:t>试</w:t>
      </w:r>
      <w:r>
        <w:rPr>
          <w:rFonts w:ascii="微软雅黑" w:hAnsi="微软雅黑" w:eastAsia="微软雅黑"/>
          <w:snapToGrid w:val="0"/>
          <w:szCs w:val="21"/>
          <w:highlight w:val="none"/>
        </w:rPr>
        <w:t>图影响评标结果的不公正活动，可能导致其投标被拒绝。</w:t>
      </w:r>
      <w:bookmarkEnd w:id="482"/>
      <w:bookmarkEnd w:id="483"/>
      <w:bookmarkEnd w:id="484"/>
    </w:p>
    <w:bookmarkEnd w:id="330"/>
    <w:p>
      <w:pPr>
        <w:pStyle w:val="4"/>
        <w:spacing w:before="0" w:after="0" w:line="500" w:lineRule="exact"/>
        <w:rPr>
          <w:rFonts w:ascii="微软雅黑" w:hAnsi="微软雅黑" w:eastAsia="微软雅黑"/>
          <w:sz w:val="21"/>
          <w:szCs w:val="21"/>
          <w:highlight w:val="none"/>
        </w:rPr>
      </w:pPr>
      <w:bookmarkStart w:id="485" w:name="_Toc40788114"/>
      <w:bookmarkStart w:id="486" w:name="_Toc493699316"/>
      <w:bookmarkStart w:id="487" w:name="_Toc89266902"/>
      <w:bookmarkStart w:id="488" w:name="_Toc53062776"/>
      <w:r>
        <w:rPr>
          <w:rFonts w:hint="eastAsia" w:ascii="微软雅黑" w:hAnsi="微软雅黑" w:eastAsia="微软雅黑"/>
          <w:sz w:val="21"/>
          <w:szCs w:val="21"/>
          <w:highlight w:val="none"/>
        </w:rPr>
        <w:t>七  磋商结果的确定</w:t>
      </w:r>
      <w:bookmarkEnd w:id="485"/>
      <w:bookmarkEnd w:id="486"/>
      <w:bookmarkEnd w:id="487"/>
      <w:bookmarkEnd w:id="488"/>
    </w:p>
    <w:p>
      <w:pPr>
        <w:spacing w:after="0" w:line="500" w:lineRule="exact"/>
        <w:ind w:firstLine="410"/>
        <w:outlineLvl w:val="2"/>
        <w:rPr>
          <w:rFonts w:ascii="微软雅黑" w:hAnsi="微软雅黑" w:eastAsia="微软雅黑"/>
          <w:b/>
          <w:snapToGrid w:val="0"/>
          <w:szCs w:val="21"/>
          <w:highlight w:val="none"/>
        </w:rPr>
      </w:pPr>
      <w:r>
        <w:rPr>
          <w:rFonts w:hint="eastAsia" w:ascii="微软雅黑" w:hAnsi="微软雅黑" w:eastAsia="微软雅黑"/>
          <w:b/>
          <w:snapToGrid w:val="0"/>
          <w:szCs w:val="21"/>
          <w:highlight w:val="none"/>
        </w:rPr>
        <w:t>1、磋商结果确定</w:t>
      </w:r>
    </w:p>
    <w:p>
      <w:pPr>
        <w:ind w:firstLine="424" w:firstLineChars="202"/>
        <w:rPr>
          <w:rFonts w:ascii="微软雅黑" w:hAnsi="微软雅黑" w:eastAsia="微软雅黑"/>
          <w:snapToGrid w:val="0"/>
          <w:szCs w:val="21"/>
          <w:highlight w:val="none"/>
        </w:rPr>
      </w:pPr>
      <w:bookmarkStart w:id="489" w:name="_Toc53062777"/>
      <w:bookmarkStart w:id="490" w:name="_Toc89266903"/>
      <w:bookmarkStart w:id="491" w:name="_Toc40788115"/>
      <w:r>
        <w:rPr>
          <w:rFonts w:hint="eastAsia" w:ascii="微软雅黑" w:hAnsi="微软雅黑" w:eastAsia="微软雅黑"/>
          <w:snapToGrid w:val="0"/>
          <w:szCs w:val="21"/>
          <w:highlight w:val="none"/>
        </w:rPr>
        <w:t>1.1、采购单位事先授权磋商小组直接确定成交供应商，磋商小组可直接确定成交供应商。</w:t>
      </w:r>
      <w:bookmarkEnd w:id="489"/>
      <w:bookmarkEnd w:id="490"/>
      <w:bookmarkEnd w:id="491"/>
      <w:bookmarkStart w:id="492" w:name="_Toc107820051"/>
      <w:bookmarkStart w:id="493" w:name="_Toc170792772"/>
    </w:p>
    <w:p>
      <w:pPr>
        <w:ind w:firstLine="424" w:firstLineChars="202"/>
        <w:rPr>
          <w:rFonts w:ascii="微软雅黑" w:hAnsi="微软雅黑" w:eastAsia="微软雅黑"/>
          <w:snapToGrid w:val="0"/>
          <w:szCs w:val="21"/>
          <w:highlight w:val="none"/>
        </w:rPr>
      </w:pPr>
      <w:bookmarkStart w:id="494" w:name="_Toc89266904"/>
      <w:bookmarkStart w:id="495" w:name="_Toc53062778"/>
      <w:bookmarkStart w:id="496" w:name="_Toc40788116"/>
      <w:r>
        <w:rPr>
          <w:rFonts w:hint="eastAsia" w:ascii="微软雅黑" w:hAnsi="微软雅黑" w:eastAsia="微软雅黑"/>
          <w:snapToGrid w:val="0"/>
          <w:szCs w:val="21"/>
          <w:highlight w:val="none"/>
        </w:rPr>
        <w:t>1.2、没有事先授权的，采购代理机构在磋商结束后2个工作日内将磋商结果交采购人确认。采购人应在收到后5个工作日内对磋商结果进行确认。</w:t>
      </w:r>
      <w:bookmarkEnd w:id="494"/>
      <w:bookmarkEnd w:id="495"/>
      <w:bookmarkEnd w:id="496"/>
    </w:p>
    <w:p>
      <w:pPr>
        <w:spacing w:after="0" w:line="500" w:lineRule="exact"/>
        <w:ind w:firstLine="410"/>
        <w:outlineLvl w:val="2"/>
        <w:rPr>
          <w:rFonts w:ascii="微软雅黑" w:hAnsi="微软雅黑" w:eastAsia="微软雅黑"/>
          <w:b/>
          <w:snapToGrid w:val="0"/>
          <w:szCs w:val="21"/>
          <w:highlight w:val="none"/>
        </w:rPr>
      </w:pPr>
      <w:r>
        <w:rPr>
          <w:rFonts w:hint="eastAsia" w:ascii="微软雅黑" w:hAnsi="微软雅黑" w:eastAsia="微软雅黑"/>
          <w:b/>
          <w:snapToGrid w:val="0"/>
          <w:szCs w:val="21"/>
          <w:highlight w:val="none"/>
        </w:rPr>
        <w:t>2、成交公告：公告1个工作日。</w:t>
      </w:r>
    </w:p>
    <w:p>
      <w:pPr>
        <w:pStyle w:val="4"/>
        <w:spacing w:before="0" w:after="0" w:line="500" w:lineRule="exact"/>
        <w:rPr>
          <w:rFonts w:ascii="微软雅黑" w:hAnsi="微软雅黑" w:eastAsia="微软雅黑"/>
          <w:sz w:val="21"/>
          <w:szCs w:val="21"/>
          <w:highlight w:val="none"/>
        </w:rPr>
      </w:pPr>
      <w:bookmarkStart w:id="497" w:name="_Toc89266905"/>
      <w:bookmarkStart w:id="498" w:name="_Toc53062779"/>
      <w:bookmarkStart w:id="499" w:name="_Toc493699317"/>
      <w:bookmarkStart w:id="500" w:name="_Toc40788117"/>
      <w:bookmarkStart w:id="501" w:name="_Toc192313121"/>
      <w:r>
        <w:rPr>
          <w:rFonts w:hint="eastAsia" w:ascii="微软雅黑" w:hAnsi="微软雅黑" w:eastAsia="微软雅黑"/>
          <w:sz w:val="21"/>
          <w:szCs w:val="21"/>
          <w:highlight w:val="none"/>
        </w:rPr>
        <w:t>八  合同</w:t>
      </w:r>
      <w:bookmarkEnd w:id="492"/>
      <w:bookmarkEnd w:id="493"/>
      <w:r>
        <w:rPr>
          <w:rFonts w:hint="eastAsia" w:ascii="微软雅黑" w:hAnsi="微软雅黑" w:eastAsia="微软雅黑"/>
          <w:sz w:val="21"/>
          <w:szCs w:val="21"/>
          <w:highlight w:val="none"/>
        </w:rPr>
        <w:t>授予</w:t>
      </w:r>
      <w:bookmarkEnd w:id="497"/>
      <w:bookmarkEnd w:id="498"/>
      <w:bookmarkEnd w:id="499"/>
      <w:bookmarkEnd w:id="500"/>
      <w:bookmarkEnd w:id="501"/>
    </w:p>
    <w:p>
      <w:pPr>
        <w:spacing w:after="0" w:line="500" w:lineRule="exact"/>
        <w:ind w:firstLine="410"/>
        <w:outlineLvl w:val="2"/>
        <w:rPr>
          <w:rFonts w:ascii="微软雅黑" w:hAnsi="微软雅黑" w:eastAsia="微软雅黑"/>
          <w:b/>
          <w:snapToGrid w:val="0"/>
          <w:szCs w:val="21"/>
          <w:highlight w:val="none"/>
        </w:rPr>
      </w:pPr>
      <w:r>
        <w:rPr>
          <w:rFonts w:hint="eastAsia" w:ascii="微软雅黑" w:hAnsi="微软雅黑" w:eastAsia="微软雅黑"/>
          <w:b/>
          <w:snapToGrid w:val="0"/>
          <w:szCs w:val="21"/>
          <w:highlight w:val="none"/>
        </w:rPr>
        <w:t>1、签订合同</w:t>
      </w:r>
    </w:p>
    <w:p>
      <w:pPr>
        <w:ind w:firstLine="424" w:firstLineChars="202"/>
        <w:rPr>
          <w:rFonts w:ascii="微软雅黑" w:hAnsi="微软雅黑" w:eastAsia="微软雅黑"/>
          <w:szCs w:val="21"/>
          <w:highlight w:val="none"/>
        </w:rPr>
      </w:pPr>
      <w:r>
        <w:rPr>
          <w:rFonts w:hint="eastAsia" w:ascii="微软雅黑" w:hAnsi="微软雅黑" w:eastAsia="微软雅黑"/>
          <w:szCs w:val="21"/>
          <w:highlight w:val="none"/>
        </w:rPr>
        <w:t>1</w:t>
      </w:r>
      <w:r>
        <w:rPr>
          <w:rFonts w:ascii="微软雅黑" w:hAnsi="微软雅黑" w:eastAsia="微软雅黑"/>
          <w:szCs w:val="21"/>
          <w:highlight w:val="none"/>
        </w:rPr>
        <w:t>.1</w:t>
      </w:r>
      <w:r>
        <w:rPr>
          <w:rFonts w:hint="eastAsia" w:ascii="微软雅黑" w:hAnsi="微软雅黑" w:eastAsia="微软雅黑"/>
          <w:szCs w:val="21"/>
          <w:highlight w:val="none"/>
        </w:rPr>
        <w:t>、成交供应商自接到成交通知书后30天内与采购人签订合同。同时采购代理机构对合同内容进行审查，如发现与采购结果和磋商承诺内容不一致的，应予以纠正。</w:t>
      </w:r>
    </w:p>
    <w:p>
      <w:pPr>
        <w:ind w:firstLine="424" w:firstLineChars="202"/>
        <w:rPr>
          <w:rFonts w:ascii="微软雅黑" w:hAnsi="微软雅黑" w:eastAsia="微软雅黑"/>
          <w:szCs w:val="21"/>
          <w:highlight w:val="none"/>
        </w:rPr>
      </w:pPr>
      <w:r>
        <w:rPr>
          <w:rFonts w:hint="eastAsia" w:ascii="微软雅黑" w:hAnsi="微软雅黑" w:eastAsia="微软雅黑"/>
          <w:szCs w:val="21"/>
          <w:highlight w:val="none"/>
        </w:rPr>
        <w:t>1</w:t>
      </w:r>
      <w:r>
        <w:rPr>
          <w:rFonts w:ascii="微软雅黑" w:hAnsi="微软雅黑" w:eastAsia="微软雅黑"/>
          <w:szCs w:val="21"/>
          <w:highlight w:val="none"/>
        </w:rPr>
        <w:t>.</w:t>
      </w:r>
      <w:r>
        <w:rPr>
          <w:rFonts w:hint="eastAsia" w:ascii="微软雅黑" w:hAnsi="微软雅黑" w:eastAsia="微软雅黑"/>
          <w:szCs w:val="21"/>
          <w:highlight w:val="none"/>
        </w:rPr>
        <w:t>2、成交供应商拖延、拒签合同的,将被扣罚磋商保证金并取消成交供应商资格。</w:t>
      </w:r>
    </w:p>
    <w:p>
      <w:pPr>
        <w:spacing w:after="0" w:line="500" w:lineRule="exact"/>
        <w:ind w:firstLine="410"/>
        <w:outlineLvl w:val="2"/>
        <w:rPr>
          <w:rFonts w:ascii="微软雅黑" w:hAnsi="微软雅黑" w:eastAsia="微软雅黑"/>
          <w:b/>
          <w:snapToGrid w:val="0"/>
          <w:szCs w:val="21"/>
          <w:highlight w:val="none"/>
        </w:rPr>
      </w:pPr>
      <w:r>
        <w:rPr>
          <w:rFonts w:hint="eastAsia" w:ascii="微软雅黑" w:hAnsi="微软雅黑" w:eastAsia="微软雅黑"/>
          <w:b/>
          <w:snapToGrid w:val="0"/>
          <w:szCs w:val="21"/>
          <w:highlight w:val="none"/>
        </w:rPr>
        <w:t>2、履约保证金及质保金</w:t>
      </w:r>
    </w:p>
    <w:p>
      <w:pPr>
        <w:ind w:firstLine="424" w:firstLineChars="202"/>
        <w:rPr>
          <w:rFonts w:ascii="微软雅黑" w:hAnsi="微软雅黑" w:eastAsia="微软雅黑"/>
          <w:szCs w:val="21"/>
          <w:highlight w:val="none"/>
        </w:rPr>
      </w:pPr>
      <w:bookmarkStart w:id="502" w:name="_Toc40788118"/>
      <w:bookmarkStart w:id="503" w:name="_Toc89266906"/>
      <w:bookmarkStart w:id="504" w:name="_Toc53062780"/>
      <w:bookmarkStart w:id="505" w:name="_Toc493699318"/>
      <w:bookmarkStart w:id="506" w:name="_Toc170792774"/>
      <w:bookmarkStart w:id="507" w:name="_Toc192313122"/>
      <w:r>
        <w:rPr>
          <w:rFonts w:hint="eastAsia" w:ascii="微软雅黑" w:hAnsi="微软雅黑" w:eastAsia="微软雅黑"/>
          <w:szCs w:val="21"/>
          <w:highlight w:val="none"/>
        </w:rPr>
        <w:t>2.1、</w:t>
      </w:r>
      <w:bookmarkEnd w:id="502"/>
      <w:r>
        <w:rPr>
          <w:rFonts w:hint="eastAsia" w:ascii="微软雅黑" w:hAnsi="微软雅黑" w:eastAsia="微软雅黑"/>
          <w:szCs w:val="21"/>
          <w:highlight w:val="none"/>
        </w:rPr>
        <w:t>履约保证金详见竞争性磋商文件前附表</w:t>
      </w:r>
      <w:bookmarkEnd w:id="503"/>
      <w:bookmarkEnd w:id="504"/>
      <w:r>
        <w:rPr>
          <w:rFonts w:hint="eastAsia" w:ascii="微软雅黑" w:hAnsi="微软雅黑" w:eastAsia="微软雅黑"/>
          <w:szCs w:val="21"/>
          <w:highlight w:val="none"/>
        </w:rPr>
        <w:t>；</w:t>
      </w:r>
    </w:p>
    <w:p>
      <w:pPr>
        <w:ind w:firstLine="424" w:firstLineChars="202"/>
        <w:rPr>
          <w:rFonts w:ascii="微软雅黑" w:hAnsi="微软雅黑" w:eastAsia="微软雅黑"/>
          <w:szCs w:val="21"/>
          <w:highlight w:val="none"/>
        </w:rPr>
      </w:pPr>
      <w:r>
        <w:rPr>
          <w:rFonts w:hint="eastAsia" w:ascii="微软雅黑" w:hAnsi="微软雅黑" w:eastAsia="微软雅黑"/>
          <w:szCs w:val="21"/>
          <w:highlight w:val="none"/>
        </w:rPr>
        <w:t>2.2、质保金：无质保金。</w:t>
      </w:r>
    </w:p>
    <w:p>
      <w:pPr>
        <w:pStyle w:val="4"/>
        <w:spacing w:before="0" w:after="0" w:line="500" w:lineRule="exact"/>
        <w:rPr>
          <w:rFonts w:ascii="微软雅黑" w:hAnsi="微软雅黑" w:eastAsia="微软雅黑"/>
          <w:sz w:val="21"/>
          <w:szCs w:val="21"/>
          <w:highlight w:val="none"/>
        </w:rPr>
      </w:pPr>
      <w:bookmarkStart w:id="508" w:name="_Toc53062781"/>
      <w:bookmarkStart w:id="509" w:name="_Toc40788119"/>
      <w:bookmarkStart w:id="510" w:name="_Toc89266907"/>
      <w:r>
        <w:rPr>
          <w:rFonts w:hint="eastAsia" w:ascii="微软雅黑" w:hAnsi="微软雅黑" w:eastAsia="微软雅黑"/>
          <w:sz w:val="21"/>
          <w:szCs w:val="21"/>
          <w:highlight w:val="none"/>
        </w:rPr>
        <w:t>九  招标代理费</w:t>
      </w:r>
      <w:bookmarkEnd w:id="505"/>
      <w:bookmarkEnd w:id="508"/>
      <w:bookmarkEnd w:id="509"/>
      <w:bookmarkEnd w:id="510"/>
    </w:p>
    <w:p>
      <w:pPr>
        <w:spacing w:after="0" w:line="500" w:lineRule="exact"/>
        <w:ind w:firstLine="420" w:firstLineChars="200"/>
        <w:rPr>
          <w:rFonts w:ascii="微软雅黑" w:hAnsi="微软雅黑" w:eastAsia="微软雅黑"/>
          <w:szCs w:val="21"/>
          <w:highlight w:val="none"/>
        </w:rPr>
      </w:pPr>
      <w:bookmarkStart w:id="511" w:name="_Toc493699319"/>
      <w:r>
        <w:rPr>
          <w:rFonts w:hint="eastAsia" w:ascii="微软雅黑" w:hAnsi="微软雅黑" w:eastAsia="微软雅黑"/>
          <w:szCs w:val="21"/>
          <w:highlight w:val="none"/>
        </w:rPr>
        <w:t>本项目招标代理费由中标单位承担，收费标准如下：</w:t>
      </w:r>
    </w:p>
    <w:p>
      <w:pPr>
        <w:snapToGrid w:val="0"/>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1、根据“国家发展和改革委员会办公厅《关于招标代理服务收费有关问题的通知》（发改办价格【2003】857号）”规定，招标代理机构向中标人收取招标代理服务费。</w:t>
      </w:r>
    </w:p>
    <w:tbl>
      <w:tblPr>
        <w:tblStyle w:val="55"/>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617"/>
        <w:gridCol w:w="263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pPr>
              <w:tabs>
                <w:tab w:val="left" w:pos="640"/>
              </w:tabs>
              <w:spacing w:after="0" w:line="500" w:lineRule="exact"/>
              <w:ind w:firstLine="420" w:firstLineChars="200"/>
              <w:jc w:val="center"/>
              <w:rPr>
                <w:rFonts w:ascii="微软雅黑" w:hAnsi="微软雅黑" w:eastAsia="微软雅黑"/>
                <w:b/>
                <w:szCs w:val="21"/>
                <w:highlight w:val="none"/>
              </w:rPr>
            </w:pPr>
            <w:r>
              <w:rPr>
                <w:rFonts w:hint="eastAsia" w:ascii="微软雅黑" w:hAnsi="微软雅黑" w:eastAsia="微软雅黑"/>
                <w:b/>
                <w:szCs w:val="21"/>
                <w:highlight w:val="none"/>
              </w:rPr>
              <w:t>中标金额（万元）</w:t>
            </w:r>
          </w:p>
        </w:tc>
        <w:tc>
          <w:tcPr>
            <w:tcW w:w="2617" w:type="dxa"/>
            <w:tcBorders>
              <w:top w:val="double" w:color="auto" w:sz="4" w:space="0"/>
              <w:left w:val="single" w:color="auto" w:sz="6" w:space="0"/>
              <w:bottom w:val="single" w:color="auto" w:sz="6" w:space="0"/>
              <w:right w:val="single" w:color="auto" w:sz="6" w:space="0"/>
            </w:tcBorders>
            <w:shd w:val="clear" w:color="auto" w:fill="D9D9D9"/>
            <w:vAlign w:val="center"/>
          </w:tcPr>
          <w:p>
            <w:pPr>
              <w:tabs>
                <w:tab w:val="left" w:pos="640"/>
              </w:tabs>
              <w:adjustRightInd w:val="0"/>
              <w:snapToGrid w:val="0"/>
              <w:spacing w:after="0" w:line="500" w:lineRule="exact"/>
              <w:ind w:firstLine="420" w:firstLineChars="200"/>
              <w:jc w:val="center"/>
              <w:rPr>
                <w:rFonts w:ascii="微软雅黑" w:hAnsi="微软雅黑" w:eastAsia="微软雅黑"/>
                <w:b/>
                <w:szCs w:val="21"/>
                <w:highlight w:val="none"/>
              </w:rPr>
            </w:pPr>
            <w:r>
              <w:rPr>
                <w:rFonts w:hint="eastAsia" w:ascii="微软雅黑" w:hAnsi="微软雅黑" w:eastAsia="微软雅黑"/>
                <w:b/>
                <w:szCs w:val="21"/>
                <w:highlight w:val="none"/>
              </w:rPr>
              <w:t>服务</w:t>
            </w:r>
            <w:r>
              <w:rPr>
                <w:rFonts w:ascii="微软雅黑" w:hAnsi="微软雅黑" w:eastAsia="微软雅黑"/>
                <w:b/>
                <w:szCs w:val="21"/>
                <w:highlight w:val="none"/>
              </w:rPr>
              <w:t>类招标收费费率</w:t>
            </w:r>
          </w:p>
        </w:tc>
        <w:tc>
          <w:tcPr>
            <w:tcW w:w="2638" w:type="dxa"/>
            <w:tcBorders>
              <w:top w:val="double" w:color="auto" w:sz="4" w:space="0"/>
              <w:left w:val="single" w:color="auto" w:sz="6" w:space="0"/>
              <w:bottom w:val="single" w:color="auto" w:sz="6" w:space="0"/>
              <w:right w:val="double" w:color="auto" w:sz="4" w:space="0"/>
            </w:tcBorders>
            <w:shd w:val="clear" w:color="auto" w:fill="D9D9D9"/>
            <w:vAlign w:val="center"/>
          </w:tcPr>
          <w:p>
            <w:pPr>
              <w:tabs>
                <w:tab w:val="left" w:pos="640"/>
              </w:tabs>
              <w:spacing w:after="0" w:line="500" w:lineRule="exact"/>
              <w:ind w:firstLine="420" w:firstLineChars="200"/>
              <w:jc w:val="center"/>
              <w:rPr>
                <w:rFonts w:ascii="微软雅黑" w:hAnsi="微软雅黑" w:eastAsia="微软雅黑"/>
                <w:b/>
                <w:szCs w:val="21"/>
                <w:highlight w:val="none"/>
              </w:rPr>
            </w:pPr>
            <w:r>
              <w:rPr>
                <w:rFonts w:hint="eastAsia" w:ascii="微软雅黑" w:hAnsi="微软雅黑" w:eastAsia="微软雅黑"/>
                <w:b/>
                <w:szCs w:val="21"/>
                <w:highlight w:val="none"/>
              </w:rPr>
              <w:t>工程类招标收费费率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2160" w:type="dxa"/>
            <w:tcBorders>
              <w:top w:val="single" w:color="auto" w:sz="6" w:space="0"/>
              <w:left w:val="double" w:color="auto" w:sz="4" w:space="0"/>
              <w:bottom w:val="single" w:color="auto" w:sz="6" w:space="0"/>
              <w:right w:val="single" w:color="auto" w:sz="6"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100以下</w:t>
            </w:r>
          </w:p>
        </w:tc>
        <w:tc>
          <w:tcPr>
            <w:tcW w:w="2617" w:type="dxa"/>
            <w:tcBorders>
              <w:top w:val="single" w:color="auto" w:sz="6" w:space="0"/>
              <w:left w:val="single" w:color="auto" w:sz="6" w:space="0"/>
              <w:bottom w:val="single" w:color="auto" w:sz="6" w:space="0"/>
              <w:right w:val="single" w:color="auto" w:sz="6" w:space="0"/>
            </w:tcBorders>
            <w:vAlign w:val="center"/>
          </w:tcPr>
          <w:p>
            <w:pPr>
              <w:tabs>
                <w:tab w:val="left" w:pos="640"/>
              </w:tabs>
              <w:adjustRightInd w:val="0"/>
              <w:snapToGrid w:val="0"/>
              <w:spacing w:after="0" w:line="500" w:lineRule="exact"/>
              <w:ind w:firstLine="420" w:firstLineChars="200"/>
              <w:jc w:val="center"/>
              <w:rPr>
                <w:rFonts w:ascii="微软雅黑" w:hAnsi="微软雅黑" w:eastAsia="微软雅黑"/>
                <w:szCs w:val="21"/>
                <w:highlight w:val="none"/>
              </w:rPr>
            </w:pPr>
            <w:r>
              <w:rPr>
                <w:rFonts w:ascii="微软雅黑" w:hAnsi="微软雅黑" w:eastAsia="微软雅黑"/>
                <w:szCs w:val="21"/>
                <w:highlight w:val="none"/>
              </w:rPr>
              <w:t>1.5%</w:t>
            </w:r>
          </w:p>
        </w:tc>
        <w:tc>
          <w:tcPr>
            <w:tcW w:w="2638" w:type="dxa"/>
            <w:tcBorders>
              <w:top w:val="single" w:color="auto" w:sz="6" w:space="0"/>
              <w:left w:val="single" w:color="auto" w:sz="6" w:space="0"/>
              <w:bottom w:val="single" w:color="auto" w:sz="6" w:space="0"/>
              <w:right w:val="double" w:color="auto" w:sz="4"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1.0％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2160" w:type="dxa"/>
            <w:tcBorders>
              <w:top w:val="single" w:color="auto" w:sz="6" w:space="0"/>
              <w:left w:val="double" w:color="auto" w:sz="4" w:space="0"/>
              <w:bottom w:val="single" w:color="auto" w:sz="6" w:space="0"/>
              <w:right w:val="single" w:color="auto" w:sz="6"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100-500</w:t>
            </w:r>
          </w:p>
        </w:tc>
        <w:tc>
          <w:tcPr>
            <w:tcW w:w="2617" w:type="dxa"/>
            <w:tcBorders>
              <w:top w:val="single" w:color="auto" w:sz="6" w:space="0"/>
              <w:left w:val="single" w:color="auto" w:sz="6" w:space="0"/>
              <w:bottom w:val="single" w:color="auto" w:sz="6" w:space="0"/>
              <w:right w:val="single" w:color="auto" w:sz="6" w:space="0"/>
            </w:tcBorders>
            <w:vAlign w:val="center"/>
          </w:tcPr>
          <w:p>
            <w:pPr>
              <w:tabs>
                <w:tab w:val="left" w:pos="640"/>
              </w:tabs>
              <w:adjustRightInd w:val="0"/>
              <w:snapToGrid w:val="0"/>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0.8</w:t>
            </w:r>
            <w:r>
              <w:rPr>
                <w:rFonts w:ascii="微软雅黑" w:hAnsi="微软雅黑" w:eastAsia="微软雅黑"/>
                <w:szCs w:val="21"/>
                <w:highlight w:val="none"/>
              </w:rPr>
              <w:t>%</w:t>
            </w:r>
          </w:p>
        </w:tc>
        <w:tc>
          <w:tcPr>
            <w:tcW w:w="2638" w:type="dxa"/>
            <w:tcBorders>
              <w:top w:val="single" w:color="auto" w:sz="6" w:space="0"/>
              <w:left w:val="single" w:color="auto" w:sz="6" w:space="0"/>
              <w:bottom w:val="single" w:color="auto" w:sz="6" w:space="0"/>
              <w:right w:val="double" w:color="auto" w:sz="4"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0.7％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2160" w:type="dxa"/>
            <w:tcBorders>
              <w:top w:val="single" w:color="auto" w:sz="6" w:space="0"/>
              <w:left w:val="double" w:color="auto" w:sz="4" w:space="0"/>
              <w:bottom w:val="single" w:color="auto" w:sz="6" w:space="0"/>
              <w:right w:val="single" w:color="auto" w:sz="6"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500-1000</w:t>
            </w:r>
          </w:p>
        </w:tc>
        <w:tc>
          <w:tcPr>
            <w:tcW w:w="2617" w:type="dxa"/>
            <w:tcBorders>
              <w:top w:val="single" w:color="auto" w:sz="6" w:space="0"/>
              <w:left w:val="single" w:color="auto" w:sz="6" w:space="0"/>
              <w:bottom w:val="single" w:color="auto" w:sz="6" w:space="0"/>
              <w:right w:val="single" w:color="auto" w:sz="6" w:space="0"/>
            </w:tcBorders>
            <w:vAlign w:val="center"/>
          </w:tcPr>
          <w:p>
            <w:pPr>
              <w:tabs>
                <w:tab w:val="left" w:pos="640"/>
              </w:tabs>
              <w:adjustRightInd w:val="0"/>
              <w:snapToGrid w:val="0"/>
              <w:spacing w:after="0" w:line="500" w:lineRule="exact"/>
              <w:ind w:firstLine="420" w:firstLineChars="200"/>
              <w:jc w:val="center"/>
              <w:rPr>
                <w:rFonts w:ascii="微软雅黑" w:hAnsi="微软雅黑" w:eastAsia="微软雅黑"/>
                <w:szCs w:val="21"/>
                <w:highlight w:val="none"/>
              </w:rPr>
            </w:pPr>
            <w:r>
              <w:rPr>
                <w:rFonts w:ascii="微软雅黑" w:hAnsi="微软雅黑" w:eastAsia="微软雅黑"/>
                <w:szCs w:val="21"/>
                <w:highlight w:val="none"/>
              </w:rPr>
              <w:t>0.</w:t>
            </w:r>
            <w:r>
              <w:rPr>
                <w:rFonts w:hint="eastAsia" w:ascii="微软雅黑" w:hAnsi="微软雅黑" w:eastAsia="微软雅黑"/>
                <w:szCs w:val="21"/>
                <w:highlight w:val="none"/>
              </w:rPr>
              <w:t>45</w:t>
            </w:r>
            <w:r>
              <w:rPr>
                <w:rFonts w:ascii="微软雅黑" w:hAnsi="微软雅黑" w:eastAsia="微软雅黑"/>
                <w:szCs w:val="21"/>
                <w:highlight w:val="none"/>
              </w:rPr>
              <w:t>%</w:t>
            </w:r>
          </w:p>
        </w:tc>
        <w:tc>
          <w:tcPr>
            <w:tcW w:w="2638" w:type="dxa"/>
            <w:tcBorders>
              <w:top w:val="single" w:color="auto" w:sz="6" w:space="0"/>
              <w:left w:val="single" w:color="auto" w:sz="6" w:space="0"/>
              <w:bottom w:val="single" w:color="auto" w:sz="6" w:space="0"/>
              <w:right w:val="double" w:color="auto" w:sz="4"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0.55％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2160" w:type="dxa"/>
            <w:tcBorders>
              <w:top w:val="single" w:color="auto" w:sz="6" w:space="0"/>
              <w:left w:val="double" w:color="auto" w:sz="4" w:space="0"/>
              <w:bottom w:val="double" w:color="auto" w:sz="4" w:space="0"/>
              <w:right w:val="single" w:color="auto" w:sz="6"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1000-5000</w:t>
            </w:r>
          </w:p>
        </w:tc>
        <w:tc>
          <w:tcPr>
            <w:tcW w:w="2617" w:type="dxa"/>
            <w:tcBorders>
              <w:top w:val="single" w:color="auto" w:sz="6" w:space="0"/>
              <w:left w:val="single" w:color="auto" w:sz="6" w:space="0"/>
              <w:bottom w:val="double" w:color="auto" w:sz="4" w:space="0"/>
              <w:right w:val="single" w:color="auto" w:sz="6" w:space="0"/>
            </w:tcBorders>
            <w:vAlign w:val="center"/>
          </w:tcPr>
          <w:p>
            <w:pPr>
              <w:tabs>
                <w:tab w:val="left" w:pos="640"/>
              </w:tabs>
              <w:adjustRightInd w:val="0"/>
              <w:snapToGrid w:val="0"/>
              <w:spacing w:after="0" w:line="500" w:lineRule="exact"/>
              <w:ind w:firstLine="420" w:firstLineChars="200"/>
              <w:jc w:val="center"/>
              <w:rPr>
                <w:rFonts w:ascii="微软雅黑" w:hAnsi="微软雅黑" w:eastAsia="微软雅黑"/>
                <w:szCs w:val="21"/>
                <w:highlight w:val="none"/>
              </w:rPr>
            </w:pPr>
            <w:r>
              <w:rPr>
                <w:rFonts w:ascii="微软雅黑" w:hAnsi="微软雅黑" w:eastAsia="微软雅黑"/>
                <w:szCs w:val="21"/>
                <w:highlight w:val="none"/>
              </w:rPr>
              <w:t>0.</w:t>
            </w:r>
            <w:r>
              <w:rPr>
                <w:rFonts w:hint="eastAsia" w:ascii="微软雅黑" w:hAnsi="微软雅黑" w:eastAsia="微软雅黑"/>
                <w:szCs w:val="21"/>
                <w:highlight w:val="none"/>
              </w:rPr>
              <w:t>2</w:t>
            </w:r>
            <w:r>
              <w:rPr>
                <w:rFonts w:ascii="微软雅黑" w:hAnsi="微软雅黑" w:eastAsia="微软雅黑"/>
                <w:szCs w:val="21"/>
                <w:highlight w:val="none"/>
              </w:rPr>
              <w:t>5%</w:t>
            </w:r>
          </w:p>
        </w:tc>
        <w:tc>
          <w:tcPr>
            <w:tcW w:w="2638" w:type="dxa"/>
            <w:tcBorders>
              <w:top w:val="single" w:color="auto" w:sz="6" w:space="0"/>
              <w:left w:val="single" w:color="auto" w:sz="6" w:space="0"/>
              <w:bottom w:val="double" w:color="auto" w:sz="4" w:space="0"/>
              <w:right w:val="double" w:color="auto" w:sz="4" w:space="0"/>
            </w:tcBorders>
            <w:vAlign w:val="center"/>
          </w:tcPr>
          <w:p>
            <w:pPr>
              <w:tabs>
                <w:tab w:val="left" w:pos="640"/>
              </w:tabs>
              <w:spacing w:after="0" w:line="500" w:lineRule="exact"/>
              <w:ind w:firstLine="420" w:firstLineChars="200"/>
              <w:jc w:val="center"/>
              <w:rPr>
                <w:rFonts w:ascii="微软雅黑" w:hAnsi="微软雅黑" w:eastAsia="微软雅黑"/>
                <w:szCs w:val="21"/>
                <w:highlight w:val="none"/>
              </w:rPr>
            </w:pPr>
            <w:r>
              <w:rPr>
                <w:rFonts w:hint="eastAsia" w:ascii="微软雅黑" w:hAnsi="微软雅黑" w:eastAsia="微软雅黑"/>
                <w:szCs w:val="21"/>
                <w:highlight w:val="none"/>
              </w:rPr>
              <w:t>0.35％</w:t>
            </w:r>
          </w:p>
        </w:tc>
      </w:tr>
    </w:tbl>
    <w:p>
      <w:pPr>
        <w:snapToGrid w:val="0"/>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 xml:space="preserve">    2、本项目以服务类招标收费标准收取招标代理服务费服务费，对于招标代理服务费不足6000元的，按6000元计收。</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3、服务费的货币为人民币。</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4、服务费支付方式：一次性以银行划账、电汇、汇票或支票的形式支付。</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5、服务费以银行划账方式按下列要求提交：</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收款人：嘉兴市银建工程咨询评估有限公司</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户名：嘉兴市银建工程咨询评估有限公司</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开户银行：建行嘉兴分行营业部</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 xml:space="preserve">账号：3300 1638 0470 5000 4370 </w:t>
      </w:r>
    </w:p>
    <w:p>
      <w:pPr>
        <w:snapToGrid w:val="0"/>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6、服务费支付时间：服务费必须在中标人领取《中标通知书》时一次性付清，如果中标人未能按时交纳服务费，采购代理机构/采购人保留取消其中标资格并追究其法律责任的权利。</w:t>
      </w:r>
    </w:p>
    <w:p>
      <w:pPr>
        <w:spacing w:after="0" w:line="500" w:lineRule="exact"/>
        <w:ind w:firstLine="420" w:firstLineChars="200"/>
        <w:jc w:val="left"/>
        <w:rPr>
          <w:rFonts w:ascii="微软雅黑" w:hAnsi="微软雅黑" w:eastAsia="微软雅黑"/>
          <w:szCs w:val="21"/>
          <w:highlight w:val="none"/>
        </w:rPr>
      </w:pPr>
      <w:r>
        <w:rPr>
          <w:rFonts w:hint="eastAsia" w:ascii="微软雅黑" w:hAnsi="微软雅黑" w:eastAsia="微软雅黑"/>
          <w:szCs w:val="21"/>
          <w:highlight w:val="none"/>
        </w:rPr>
        <w:t>7、服务费不在投标报价中单列。</w:t>
      </w:r>
    </w:p>
    <w:p>
      <w:pPr>
        <w:spacing w:line="460" w:lineRule="exact"/>
        <w:ind w:firstLine="411" w:firstLineChars="196"/>
        <w:rPr>
          <w:highlight w:val="none"/>
        </w:rPr>
        <w:sectPr>
          <w:headerReference r:id="rId13" w:type="first"/>
          <w:footerReference r:id="rId16" w:type="first"/>
          <w:headerReference r:id="rId11" w:type="default"/>
          <w:footerReference r:id="rId14" w:type="default"/>
          <w:headerReference r:id="rId12" w:type="even"/>
          <w:footerReference r:id="rId15" w:type="even"/>
          <w:pgSz w:w="11906" w:h="16838"/>
          <w:pgMar w:top="1440" w:right="1558" w:bottom="1440" w:left="1797" w:header="851" w:footer="992" w:gutter="0"/>
          <w:pgNumType w:start="1"/>
          <w:cols w:space="720" w:num="1"/>
          <w:docGrid w:linePitch="312" w:charSpace="0"/>
        </w:sectPr>
      </w:pPr>
    </w:p>
    <w:p>
      <w:pPr>
        <w:pStyle w:val="3"/>
        <w:numPr>
          <w:ilvl w:val="0"/>
          <w:numId w:val="20"/>
        </w:numPr>
        <w:spacing w:before="360" w:after="0" w:line="600" w:lineRule="exact"/>
        <w:jc w:val="center"/>
        <w:rPr>
          <w:rStyle w:val="89"/>
          <w:rFonts w:ascii="Times New Roman" w:hAnsi="Times New Roman" w:eastAsia="微软雅黑"/>
          <w:b/>
          <w:bCs w:val="0"/>
          <w:kern w:val="44"/>
          <w:szCs w:val="21"/>
          <w:highlight w:val="none"/>
        </w:rPr>
      </w:pPr>
      <w:bookmarkStart w:id="512" w:name="_Toc89266908"/>
      <w:r>
        <w:rPr>
          <w:rStyle w:val="89"/>
          <w:rFonts w:hint="eastAsia" w:ascii="Times New Roman" w:hAnsi="Times New Roman" w:eastAsia="微软雅黑"/>
          <w:b/>
          <w:bCs w:val="0"/>
          <w:kern w:val="44"/>
          <w:szCs w:val="21"/>
          <w:highlight w:val="none"/>
        </w:rPr>
        <w:t>磋商项目要求</w:t>
      </w:r>
      <w:bookmarkEnd w:id="506"/>
      <w:bookmarkEnd w:id="507"/>
      <w:bookmarkEnd w:id="511"/>
      <w:bookmarkEnd w:id="512"/>
      <w:bookmarkStart w:id="513" w:name="_Toc72069792"/>
      <w:bookmarkStart w:id="514" w:name="_Toc71033410"/>
      <w:bookmarkStart w:id="515" w:name="_Toc119481961"/>
      <w:bookmarkStart w:id="516" w:name="_Toc170792778"/>
    </w:p>
    <w:p>
      <w:pPr>
        <w:pStyle w:val="126"/>
        <w:ind w:left="720" w:firstLine="0" w:firstLineChars="0"/>
        <w:rPr>
          <w:highlight w:val="none"/>
        </w:rPr>
      </w:pPr>
    </w:p>
    <w:p>
      <w:pPr>
        <w:pStyle w:val="551"/>
        <w:snapToGrid w:val="0"/>
        <w:spacing w:line="360" w:lineRule="auto"/>
        <w:rPr>
          <w:rFonts w:hint="default" w:ascii="微软雅黑" w:hAnsi="微软雅黑" w:eastAsia="微软雅黑" w:cs="Arial"/>
          <w:b/>
          <w:bCs/>
          <w:highlight w:val="none"/>
        </w:rPr>
      </w:pPr>
      <w:bookmarkStart w:id="517" w:name="_Toc170792779"/>
      <w:bookmarkStart w:id="518" w:name="_Toc32407"/>
      <w:bookmarkStart w:id="519" w:name="_Toc70003563"/>
      <w:bookmarkStart w:id="520" w:name="_Toc304842168"/>
      <w:bookmarkStart w:id="521" w:name="_Toc304842086"/>
      <w:r>
        <w:rPr>
          <w:rFonts w:hint="default" w:ascii="微软雅黑" w:hAnsi="微软雅黑" w:eastAsia="微软雅黑" w:cs="Arial"/>
          <w:b/>
          <w:bCs/>
          <w:highlight w:val="none"/>
        </w:rPr>
        <w:t>一、工作内容：</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嘉兴东升西路拟建隧道工程对饮用水水源地生态环境影响研究。结合国家和浙江省有关饮用水水源地环境有关法规、政策和技术指南要求，分析项目建设期和运行期对饮用水水源地和周边环境可能造成影响情况及潜在风险隐患，并按照有关要求，提出有关环境保护措施和风险应急措施，为确保水源地安全及周边生态环境安全提供技术指导。</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二、服务内容</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在保障石臼漾饮用水水源保护区水质安全的前提下，实施东升西路快速化射线工程建设项目，需要开展项目对水源地的环境影响分析，明确项目建设是否符合水源环境保护相关法规要求，同时制定项目建设期和运行期间水源保护区环境保护措施和方案，为保障水源安全提供技术指导。</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1.1项目工程概况调查</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搜集有关资料，摸清项目建设规模、范围和主要工程建设内容，分析判别项目对周边环境敏感受体可能存在的环境影响情况。</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1.2项目选线方案分析</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从项目建设目标要求、项目建设投资、施工难易程度、环境影响强度、环境保护措施难易程度、法律法规符合性等方面，对项目选线方案的合理性进行综合分析。</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1.3项目对水源地环境影响分析</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结合国家和浙江省有关饮用水水源地环境有关法规、政策和技术指南要求，分析阐释项目建设的合规性，分析项目建设期和运行期对水源地和周边环境的可能造成影响的情况及潜在的风险隐患。</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1.4环境保护措施方案</w:t>
      </w:r>
    </w:p>
    <w:p>
      <w:pPr>
        <w:pStyle w:val="551"/>
        <w:snapToGrid w:val="0"/>
        <w:spacing w:line="360" w:lineRule="auto"/>
        <w:rPr>
          <w:rFonts w:hint="default" w:ascii="微软雅黑" w:hAnsi="微软雅黑" w:eastAsia="微软雅黑" w:cs="Arial"/>
          <w:b/>
          <w:bCs/>
          <w:highlight w:val="none"/>
        </w:rPr>
      </w:pPr>
      <w:r>
        <w:rPr>
          <w:rFonts w:hint="default" w:ascii="微软雅黑" w:hAnsi="微软雅黑" w:eastAsia="微软雅黑" w:cs="Arial"/>
          <w:b/>
          <w:bCs/>
          <w:highlight w:val="none"/>
        </w:rPr>
        <w:t>针对项目建设期和运行期对水源地和周边环境影响情况和可能存在的风险隐患，按照有关要求，提出有关环境保护措施和风险应急措施，为确保水源地安全及周边生态环境安全提供技术指导。</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三、项目成果与验收要求</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编制完成《嘉兴东升西路拟建隧道工程对饮用水水源地生态环境影响研究报告》，并通过最终验收。</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取得专家验收通过的意见即视为该项目完成结题验收。</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四、项目服务期</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服务周期</w:t>
      </w:r>
      <w:r>
        <w:rPr>
          <w:rFonts w:hint="eastAsia" w:ascii="微软雅黑" w:hAnsi="微软雅黑" w:eastAsia="微软雅黑" w:cs="Arial"/>
          <w:b/>
          <w:bCs/>
          <w:highlight w:val="none"/>
          <w:lang w:eastAsia="zh-CN"/>
        </w:rPr>
        <w:t>：合同签订后</w:t>
      </w:r>
      <w:bookmarkStart w:id="542" w:name="_GoBack"/>
      <w:bookmarkEnd w:id="542"/>
      <w:r>
        <w:rPr>
          <w:rFonts w:hint="eastAsia" w:ascii="微软雅黑" w:hAnsi="微软雅黑" w:eastAsia="微软雅黑" w:cs="Arial"/>
          <w:b/>
          <w:bCs/>
          <w:highlight w:val="none"/>
          <w:lang w:val="en-US" w:eastAsia="zh-CN"/>
        </w:rPr>
        <w:t>30</w:t>
      </w:r>
      <w:r>
        <w:rPr>
          <w:rFonts w:ascii="微软雅黑" w:hAnsi="微软雅黑" w:eastAsia="微软雅黑" w:cs="Arial"/>
          <w:b/>
          <w:bCs/>
          <w:highlight w:val="none"/>
        </w:rPr>
        <w:t>个日历天。</w:t>
      </w:r>
    </w:p>
    <w:p>
      <w:pPr>
        <w:pStyle w:val="551"/>
        <w:snapToGrid w:val="0"/>
        <w:spacing w:line="360" w:lineRule="auto"/>
        <w:rPr>
          <w:rFonts w:hint="default" w:ascii="微软雅黑" w:hAnsi="微软雅黑" w:eastAsia="微软雅黑" w:cs="Arial"/>
          <w:b/>
          <w:bCs/>
          <w:highlight w:val="none"/>
        </w:rPr>
      </w:pPr>
      <w:r>
        <w:rPr>
          <w:rFonts w:ascii="微软雅黑" w:hAnsi="微软雅黑" w:eastAsia="微软雅黑" w:cs="Arial"/>
          <w:b/>
          <w:bCs/>
          <w:highlight w:val="none"/>
        </w:rPr>
        <w:t>付款方式</w:t>
      </w:r>
    </w:p>
    <w:p>
      <w:pPr>
        <w:pStyle w:val="551"/>
        <w:snapToGrid w:val="0"/>
        <w:spacing w:line="360" w:lineRule="auto"/>
        <w:rPr>
          <w:rFonts w:hint="default"/>
          <w:highlight w:val="none"/>
        </w:rPr>
        <w:sectPr>
          <w:pgSz w:w="11906" w:h="16838"/>
          <w:pgMar w:top="1440" w:right="707" w:bottom="1440" w:left="1797" w:header="851" w:footer="851" w:gutter="0"/>
          <w:cols w:space="720" w:num="1"/>
          <w:docGrid w:linePitch="312" w:charSpace="0"/>
        </w:sectPr>
      </w:pPr>
      <w:r>
        <w:rPr>
          <w:rFonts w:ascii="微软雅黑" w:hAnsi="微软雅黑" w:eastAsia="微软雅黑" w:cs="Arial"/>
          <w:b/>
          <w:bCs/>
          <w:highlight w:val="none"/>
        </w:rPr>
        <w:t xml:space="preserve">    合同签订7日内支付合同价的40%；提交嘉兴东升西路拟建隧道工程对饮用水水源地生态环境影响研究报告30日内支付至合同价的</w:t>
      </w:r>
      <w:r>
        <w:rPr>
          <w:rFonts w:hint="eastAsia" w:ascii="微软雅黑" w:hAnsi="微软雅黑" w:eastAsia="微软雅黑" w:cs="Arial"/>
          <w:b/>
          <w:bCs/>
          <w:highlight w:val="none"/>
          <w:lang w:val="en-US" w:eastAsia="zh-CN"/>
        </w:rPr>
        <w:t>9</w:t>
      </w:r>
      <w:r>
        <w:rPr>
          <w:rFonts w:ascii="微软雅黑" w:hAnsi="微软雅黑" w:eastAsia="微软雅黑" w:cs="Arial"/>
          <w:b/>
          <w:bCs/>
          <w:highlight w:val="none"/>
        </w:rPr>
        <w:t>0%</w:t>
      </w:r>
      <w:r>
        <w:rPr>
          <w:rFonts w:hint="eastAsia" w:ascii="微软雅黑" w:hAnsi="微软雅黑" w:eastAsia="微软雅黑" w:cs="Arial"/>
          <w:b/>
          <w:bCs/>
          <w:highlight w:val="none"/>
          <w:lang w:eastAsia="zh-CN"/>
        </w:rPr>
        <w:t>；最终通过专家评审支付至合同价的</w:t>
      </w:r>
      <w:r>
        <w:rPr>
          <w:rFonts w:hint="eastAsia" w:ascii="微软雅黑" w:hAnsi="微软雅黑" w:eastAsia="微软雅黑" w:cs="Arial"/>
          <w:b/>
          <w:bCs/>
          <w:highlight w:val="none"/>
          <w:lang w:val="en-US" w:eastAsia="zh-CN"/>
        </w:rPr>
        <w:t>100%</w:t>
      </w:r>
      <w:r>
        <w:rPr>
          <w:rFonts w:ascii="微软雅黑" w:hAnsi="微软雅黑" w:eastAsia="微软雅黑" w:cs="Arial"/>
          <w:b/>
          <w:bCs/>
          <w:highlight w:val="none"/>
        </w:rPr>
        <w:t>。</w:t>
      </w:r>
    </w:p>
    <w:bookmarkEnd w:id="513"/>
    <w:bookmarkEnd w:id="514"/>
    <w:bookmarkEnd w:id="515"/>
    <w:bookmarkEnd w:id="516"/>
    <w:bookmarkEnd w:id="517"/>
    <w:bookmarkEnd w:id="518"/>
    <w:bookmarkEnd w:id="519"/>
    <w:bookmarkEnd w:id="520"/>
    <w:bookmarkEnd w:id="521"/>
    <w:p>
      <w:pPr>
        <w:pStyle w:val="3"/>
        <w:spacing w:before="360"/>
        <w:jc w:val="both"/>
        <w:rPr>
          <w:highlight w:val="none"/>
        </w:rPr>
      </w:pPr>
      <w:bookmarkStart w:id="522" w:name="_Toc493699335"/>
      <w:bookmarkStart w:id="523" w:name="_Toc89266909"/>
      <w:bookmarkStart w:id="524" w:name="_Toc296611790"/>
      <w:bookmarkStart w:id="525" w:name="_Toc192313124"/>
    </w:p>
    <w:p>
      <w:pPr>
        <w:pStyle w:val="3"/>
        <w:spacing w:before="360"/>
        <w:jc w:val="center"/>
        <w:rPr>
          <w:highlight w:val="none"/>
        </w:rPr>
      </w:pPr>
      <w:r>
        <w:rPr>
          <w:rFonts w:hint="eastAsia"/>
          <w:highlight w:val="none"/>
        </w:rPr>
        <w:t>第四章  嘉兴市政府采购合同（指引）</w:t>
      </w:r>
      <w:bookmarkEnd w:id="522"/>
      <w:bookmarkEnd w:id="523"/>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kern w:val="0"/>
          <w:szCs w:val="21"/>
          <w:highlight w:val="none"/>
        </w:rPr>
      </w:pPr>
      <w:r>
        <w:rPr>
          <w:rFonts w:hint="eastAsia" w:ascii="微软雅黑" w:hAnsi="微软雅黑" w:eastAsia="微软雅黑" w:cs="Arial"/>
          <w:b/>
          <w:kern w:val="0"/>
          <w:szCs w:val="21"/>
          <w:highlight w:val="none"/>
        </w:rPr>
        <w:t>招标编号：</w:t>
      </w:r>
      <w:r>
        <w:rPr>
          <w:rFonts w:hint="eastAsia" w:ascii="微软雅黑" w:hAnsi="微软雅黑" w:eastAsia="微软雅黑" w:cs="Arial"/>
          <w:kern w:val="0"/>
          <w:szCs w:val="21"/>
          <w:highlight w:val="none"/>
        </w:rPr>
        <w:t>银建-JXYJ-L（2022）41号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kern w:val="0"/>
          <w:szCs w:val="21"/>
          <w:highlight w:val="none"/>
        </w:rPr>
      </w:pPr>
      <w:r>
        <w:rPr>
          <w:rFonts w:hint="eastAsia" w:ascii="微软雅黑" w:hAnsi="微软雅黑" w:eastAsia="微软雅黑" w:cs="Arial"/>
          <w:b/>
          <w:kern w:val="0"/>
          <w:szCs w:val="21"/>
          <w:highlight w:val="none"/>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hint="eastAsia" w:ascii="微软雅黑" w:hAnsi="微软雅黑" w:eastAsia="微软雅黑" w:cs="Arial"/>
          <w:b/>
          <w:kern w:val="0"/>
          <w:szCs w:val="21"/>
          <w:highlight w:val="none"/>
          <w:lang w:eastAsia="zh-CN"/>
        </w:rPr>
      </w:pPr>
      <w:r>
        <w:rPr>
          <w:rFonts w:hint="eastAsia" w:ascii="微软雅黑" w:hAnsi="微软雅黑" w:eastAsia="微软雅黑" w:cs="Arial"/>
          <w:b/>
          <w:kern w:val="0"/>
          <w:szCs w:val="21"/>
          <w:highlight w:val="none"/>
        </w:rPr>
        <w:t>政府采购计划（预算）确认书号：</w:t>
      </w:r>
      <w:r>
        <w:rPr>
          <w:rFonts w:hint="eastAsia" w:eastAsia="微软雅黑"/>
          <w:color w:val="0000FF"/>
          <w:highlight w:val="none"/>
          <w:lang w:eastAsia="zh-CN"/>
        </w:rPr>
        <w:t>临[2022]2533号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b/>
          <w:kern w:val="0"/>
          <w:szCs w:val="21"/>
          <w:highlight w:val="none"/>
        </w:rPr>
      </w:pPr>
      <w:r>
        <w:rPr>
          <w:rFonts w:hint="eastAsia" w:ascii="微软雅黑" w:hAnsi="微软雅黑" w:eastAsia="微软雅黑" w:cs="Arial"/>
          <w:b/>
          <w:kern w:val="0"/>
          <w:szCs w:val="21"/>
          <w:highlight w:val="none"/>
        </w:rPr>
        <w:t>采购人（以下称甲方）：嘉兴市秀洲区交通运输局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b/>
          <w:kern w:val="0"/>
          <w:szCs w:val="21"/>
          <w:highlight w:val="none"/>
        </w:rPr>
      </w:pPr>
      <w:r>
        <w:rPr>
          <w:rFonts w:hint="eastAsia" w:ascii="微软雅黑" w:hAnsi="微软雅黑" w:eastAsia="微软雅黑" w:cs="Arial"/>
          <w:b/>
          <w:kern w:val="0"/>
          <w:szCs w:val="21"/>
          <w:highlight w:val="none"/>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kern w:val="0"/>
          <w:szCs w:val="21"/>
          <w:highlight w:val="none"/>
        </w:rPr>
      </w:pPr>
      <w:r>
        <w:rPr>
          <w:rFonts w:hint="eastAsia" w:ascii="微软雅黑" w:hAnsi="微软雅黑" w:eastAsia="微软雅黑" w:cs="Arial"/>
          <w:b/>
          <w:kern w:val="0"/>
          <w:szCs w:val="21"/>
          <w:highlight w:val="none"/>
        </w:rPr>
        <w:t>采购代理机构：</w:t>
      </w:r>
      <w:r>
        <w:rPr>
          <w:rFonts w:hint="eastAsia" w:ascii="微软雅黑" w:hAnsi="微软雅黑" w:eastAsia="微软雅黑" w:cs="Arial"/>
          <w:kern w:val="0"/>
          <w:szCs w:val="21"/>
          <w:highlight w:val="none"/>
        </w:rPr>
        <w:t>嘉兴市银建工程咨询评估有限公司</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hAnsi="微软雅黑" w:eastAsia="微软雅黑" w:cs="Arial"/>
          <w:kern w:val="0"/>
          <w:szCs w:val="21"/>
          <w:highlight w:val="none"/>
        </w:rPr>
      </w:pPr>
      <w:r>
        <w:rPr>
          <w:rFonts w:hint="eastAsia" w:ascii="微软雅黑" w:hAnsi="微软雅黑" w:eastAsia="微软雅黑" w:cs="Arial"/>
          <w:b/>
          <w:kern w:val="0"/>
          <w:szCs w:val="21"/>
          <w:highlight w:val="none"/>
        </w:rPr>
        <w:t>采购方式：</w:t>
      </w:r>
      <w:r>
        <w:rPr>
          <w:rFonts w:hint="eastAsia" w:ascii="微软雅黑" w:hAnsi="微软雅黑" w:eastAsia="微软雅黑" w:cs="Arial"/>
          <w:kern w:val="0"/>
          <w:szCs w:val="21"/>
          <w:highlight w:val="none"/>
        </w:rPr>
        <w:t>竞争性磋商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420" w:firstLineChars="200"/>
        <w:jc w:val="left"/>
        <w:rPr>
          <w:rFonts w:ascii="微软雅黑" w:hAnsi="微软雅黑" w:eastAsia="微软雅黑" w:cs="Arial"/>
          <w:kern w:val="0"/>
          <w:szCs w:val="21"/>
          <w:highlight w:val="none"/>
        </w:rPr>
      </w:pPr>
      <w:r>
        <w:rPr>
          <w:rFonts w:hint="eastAsia" w:ascii="微软雅黑" w:hAnsi="微软雅黑" w:eastAsia="微软雅黑" w:cs="Arial"/>
          <w:kern w:val="0"/>
          <w:szCs w:val="21"/>
          <w:highlight w:val="none"/>
        </w:rPr>
        <w:t>根据《中华人民共和国政府采购法》、《中华人民共和国民法典》等法律法规的规定，甲乙双方按照采购结果签订本合同。</w:t>
      </w:r>
    </w:p>
    <w:bookmarkEnd w:id="524"/>
    <w:bookmarkEnd w:id="525"/>
    <w:p>
      <w:pPr>
        <w:shd w:val="clear" w:color="auto" w:fill="FFFFFF"/>
        <w:tabs>
          <w:tab w:val="left" w:pos="916"/>
          <w:tab w:val="left" w:pos="1832"/>
          <w:tab w:val="left" w:pos="2748"/>
        </w:tabs>
        <w:spacing w:after="0" w:line="500" w:lineRule="exact"/>
        <w:ind w:firstLine="420" w:firstLineChars="200"/>
        <w:jc w:val="left"/>
        <w:rPr>
          <w:rFonts w:ascii="微软雅黑" w:hAnsi="微软雅黑" w:eastAsia="微软雅黑"/>
          <w:b/>
          <w:szCs w:val="21"/>
          <w:highlight w:val="none"/>
        </w:rPr>
      </w:pPr>
      <w:bookmarkStart w:id="526" w:name="_Toc493699337"/>
      <w:bookmarkStart w:id="527" w:name="_Toc296611791"/>
      <w:bookmarkStart w:id="528" w:name="_Toc192313125"/>
      <w:bookmarkStart w:id="529" w:name="_Toc170792802"/>
      <w:r>
        <w:rPr>
          <w:rFonts w:hint="eastAsia" w:ascii="微软雅黑" w:hAnsi="微软雅黑" w:eastAsia="微软雅黑"/>
          <w:b/>
          <w:szCs w:val="21"/>
          <w:highlight w:val="none"/>
        </w:rPr>
        <w:t>第一条合同组成</w:t>
      </w:r>
      <w:r>
        <w:rPr>
          <w:rFonts w:ascii="微软雅黑" w:hAnsi="微软雅黑" w:eastAsia="微软雅黑"/>
          <w:b/>
          <w:szCs w:val="21"/>
          <w:highlight w:val="none"/>
        </w:rPr>
        <w:tab/>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本次政府采购活动的相关文件为本合同的组成部分，这些文件包括但不限于：</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1、本合同文本；</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2、采购文件与采购响应文件；</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3、中标或成交通知书；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组成本合同的所有文件必须为书面形式。政府采购合同备案时，须提供以上1、3两项，合同如有变更的，须提供变更协议。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第二条合同标的与相关属性</w:t>
      </w:r>
    </w:p>
    <w:p>
      <w:pPr>
        <w:snapToGrid w:val="0"/>
        <w:spacing w:after="0" w:line="500" w:lineRule="exact"/>
        <w:ind w:firstLine="525" w:firstLineChars="250"/>
        <w:rPr>
          <w:rFonts w:ascii="微软雅黑" w:hAnsi="微软雅黑" w:eastAsia="微软雅黑"/>
          <w:szCs w:val="21"/>
          <w:highlight w:val="none"/>
        </w:rPr>
      </w:pPr>
      <w:r>
        <w:rPr>
          <w:rFonts w:hint="eastAsia" w:ascii="微软雅黑" w:hAnsi="微软雅黑" w:eastAsia="微软雅黑"/>
          <w:szCs w:val="21"/>
          <w:highlight w:val="none"/>
        </w:rPr>
        <w:t>1、本次采购的是</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2、乙方是否属于中小微企业：□是□否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3、本合同项下产品属于（可多选）：□环保产品；□节能产品；□进口产品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第三条合同价款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1、本合同项下总价款为（大写）人民币，分项价款见“价格清单”（如有）”。</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2、本合同总价款含所有税费(包括货款、标准附件、备品备件、专用工具、包装、运输、装卸、保险、税金、货到就位以及安装、调试、培训、保修等一切税金和费用。)</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3、本合同付款方式为以下第项：</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（1）本合同项下的采购资金系甲方自行支付，付款程序为；</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（2）本合同项下的采购资金须财政直接支付，付款程序为；</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（3）其他方式：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4、本合同项下的采购资金付款进度按招竞争性磋商响应文件规定，未规定时按以下第项支付：</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（1）一次性付款：乙方合同履行达到（条件）时，一次性付款；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（2）分期付款时支付；时支付；时支付；</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若收取了履约保证金，则不应重复设置尾款支付条件。</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第四条履约保证金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按以下第</w:t>
      </w:r>
      <w:r>
        <w:rPr>
          <w:rFonts w:hint="eastAsia" w:ascii="微软雅黑" w:hAnsi="微软雅黑" w:eastAsia="微软雅黑"/>
          <w:szCs w:val="21"/>
          <w:highlight w:val="none"/>
          <w:lang w:val="en-US" w:eastAsia="zh-CN"/>
        </w:rPr>
        <w:t>2</w:t>
      </w:r>
      <w:r>
        <w:rPr>
          <w:rFonts w:hint="eastAsia" w:ascii="微软雅黑" w:hAnsi="微软雅黑" w:eastAsia="微软雅黑"/>
          <w:szCs w:val="21"/>
          <w:highlight w:val="none"/>
        </w:rPr>
        <w:t>项处理：</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1、本项目设置履约保证金，乙方应于（时间）向甲方提交履约保证金元（不得高于本合同金额的2.5%）。履约保证金在（时间）退还乙方。</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2、本项目不设置履约保证金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第五条合同的变更和终止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除《政府采购法》第49条、第50条第二款规定的情形外，本合同一经签订，甲乙双方不得擅自终止合同或对合同实质性条款进行变更。确有特殊情况的，须经同级财政部门备案同意。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第六条合同的转让与分包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乙方不得擅自部分或全部转让其应履行的合同义务。乙方分包的，应经过甲方书面同意。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第七条争议的解决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1、因履行本合同引起的或与本合同有关的争议，甲、乙双方应首先通过友好协商解决，如果协商不能解决争议，则采取以下第种方式解决争议：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（2）向仲裁委员申请仲裁。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b/>
          <w:szCs w:val="21"/>
          <w:highlight w:val="none"/>
        </w:rPr>
      </w:pPr>
      <w:r>
        <w:rPr>
          <w:rFonts w:hint="eastAsia" w:ascii="微软雅黑" w:hAnsi="微软雅黑" w:eastAsia="微软雅黑"/>
          <w:b/>
          <w:szCs w:val="21"/>
          <w:highlight w:val="none"/>
        </w:rPr>
        <w:t>第八条合同备案及其他</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left"/>
        <w:rPr>
          <w:rFonts w:ascii="微软雅黑" w:hAnsi="微软雅黑" w:eastAsia="微软雅黑"/>
          <w:szCs w:val="21"/>
          <w:highlight w:val="none"/>
        </w:rPr>
      </w:pPr>
      <w:r>
        <w:rPr>
          <w:rFonts w:hint="eastAsia" w:ascii="微软雅黑" w:hAnsi="微软雅黑" w:eastAsia="微软雅黑"/>
          <w:szCs w:val="21"/>
          <w:highlight w:val="none"/>
        </w:rPr>
        <w:t>本合同一式五份，甲乙双方各执二份，一份送招标代理机构存档。</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525" w:firstLineChars="250"/>
        <w:jc w:val="center"/>
        <w:rPr>
          <w:rFonts w:ascii="微软雅黑" w:hAnsi="微软雅黑" w:eastAsia="微软雅黑"/>
          <w:b/>
          <w:szCs w:val="21"/>
          <w:highlight w:val="none"/>
        </w:rPr>
      </w:pPr>
      <w:r>
        <w:rPr>
          <w:rFonts w:hint="eastAsia" w:ascii="微软雅黑" w:hAnsi="微软雅黑" w:eastAsia="微软雅黑"/>
          <w:b/>
          <w:szCs w:val="21"/>
          <w:highlight w:val="none"/>
        </w:rPr>
        <w:t>二、特殊专用条款部份</w:t>
      </w:r>
    </w:p>
    <w:p>
      <w:pPr>
        <w:numPr>
          <w:ilvl w:val="0"/>
          <w:numId w:val="24"/>
        </w:numPr>
        <w:autoSpaceDE w:val="0"/>
        <w:autoSpaceDN w:val="0"/>
        <w:adjustRightInd w:val="0"/>
        <w:spacing w:after="0" w:line="500" w:lineRule="exact"/>
        <w:rPr>
          <w:rFonts w:ascii="微软雅黑" w:hAnsi="微软雅黑" w:eastAsia="微软雅黑"/>
          <w:b/>
          <w:kern w:val="36"/>
          <w:szCs w:val="21"/>
          <w:highlight w:val="none"/>
        </w:rPr>
      </w:pPr>
      <w:r>
        <w:rPr>
          <w:rFonts w:hint="eastAsia" w:ascii="微软雅黑" w:hAnsi="微软雅黑" w:eastAsia="微软雅黑"/>
          <w:b/>
          <w:kern w:val="36"/>
          <w:szCs w:val="21"/>
          <w:highlight w:val="none"/>
        </w:rPr>
        <w:t>服务内容</w:t>
      </w:r>
    </w:p>
    <w:p>
      <w:pPr>
        <w:autoSpaceDE w:val="0"/>
        <w:autoSpaceDN w:val="0"/>
        <w:adjustRightInd w:val="0"/>
        <w:spacing w:after="0" w:line="500" w:lineRule="exact"/>
        <w:rPr>
          <w:rFonts w:ascii="微软雅黑" w:hAnsi="微软雅黑" w:eastAsia="微软雅黑"/>
          <w:b/>
          <w:kern w:val="36"/>
          <w:szCs w:val="21"/>
          <w:highlight w:val="none"/>
        </w:rPr>
      </w:pPr>
      <w:r>
        <w:rPr>
          <w:rFonts w:ascii="微软雅黑" w:hAnsi="微软雅黑" w:eastAsia="微软雅黑"/>
          <w:b/>
          <w:kern w:val="36"/>
          <w:szCs w:val="21"/>
          <w:highlight w:val="none"/>
        </w:rPr>
        <w:t>……</w:t>
      </w:r>
    </w:p>
    <w:p>
      <w:pPr>
        <w:pStyle w:val="31"/>
        <w:snapToGrid w:val="0"/>
        <w:spacing w:after="0" w:line="500" w:lineRule="exact"/>
        <w:ind w:firstLine="412" w:firstLineChars="196"/>
        <w:rPr>
          <w:rFonts w:ascii="微软雅黑" w:hAnsi="微软雅黑" w:eastAsia="微软雅黑"/>
          <w:b/>
          <w:szCs w:val="21"/>
          <w:highlight w:val="none"/>
        </w:rPr>
      </w:pPr>
      <w:r>
        <w:rPr>
          <w:rFonts w:hint="eastAsia" w:ascii="微软雅黑" w:hAnsi="微软雅黑" w:eastAsia="微软雅黑"/>
          <w:b/>
          <w:szCs w:val="21"/>
          <w:highlight w:val="none"/>
        </w:rPr>
        <w:t>第二条</w:t>
      </w:r>
      <w:r>
        <w:rPr>
          <w:rFonts w:ascii="微软雅黑" w:hAnsi="微软雅黑" w:eastAsia="微软雅黑"/>
          <w:b/>
          <w:szCs w:val="21"/>
          <w:highlight w:val="none"/>
        </w:rPr>
        <w:t>合同履行时间、履行方式及履行地点</w:t>
      </w:r>
    </w:p>
    <w:p>
      <w:pPr>
        <w:pStyle w:val="31"/>
        <w:snapToGrid w:val="0"/>
        <w:spacing w:after="0" w:line="500" w:lineRule="exact"/>
        <w:ind w:firstLine="411" w:firstLineChars="196"/>
        <w:rPr>
          <w:rFonts w:ascii="微软雅黑" w:hAnsi="微软雅黑" w:eastAsia="微软雅黑"/>
          <w:bCs/>
          <w:szCs w:val="21"/>
          <w:highlight w:val="none"/>
        </w:rPr>
      </w:pPr>
      <w:r>
        <w:rPr>
          <w:rFonts w:ascii="微软雅黑" w:hAnsi="微软雅黑" w:eastAsia="微软雅黑"/>
          <w:bCs/>
          <w:szCs w:val="21"/>
          <w:highlight w:val="none"/>
        </w:rPr>
        <w:t>1</w:t>
      </w:r>
      <w:r>
        <w:rPr>
          <w:rFonts w:hint="eastAsia" w:ascii="微软雅黑" w:hAnsi="微软雅黑" w:eastAsia="微软雅黑"/>
          <w:bCs/>
          <w:szCs w:val="21"/>
          <w:highlight w:val="none"/>
        </w:rPr>
        <w:t>、</w:t>
      </w:r>
      <w:r>
        <w:rPr>
          <w:rFonts w:ascii="微软雅黑" w:hAnsi="微软雅黑" w:eastAsia="微软雅黑"/>
          <w:szCs w:val="21"/>
          <w:highlight w:val="none"/>
        </w:rPr>
        <w:t>履行时间</w:t>
      </w:r>
      <w:r>
        <w:rPr>
          <w:rFonts w:ascii="微软雅黑" w:hAnsi="微软雅黑" w:eastAsia="微软雅黑"/>
          <w:bCs/>
          <w:szCs w:val="21"/>
          <w:highlight w:val="none"/>
        </w:rPr>
        <w:t>：</w:t>
      </w:r>
    </w:p>
    <w:p>
      <w:pPr>
        <w:pStyle w:val="31"/>
        <w:snapToGrid w:val="0"/>
        <w:spacing w:after="0" w:line="500" w:lineRule="exact"/>
        <w:ind w:firstLine="411" w:firstLineChars="196"/>
        <w:rPr>
          <w:rFonts w:ascii="微软雅黑" w:hAnsi="微软雅黑" w:eastAsia="微软雅黑"/>
          <w:bCs/>
          <w:szCs w:val="21"/>
          <w:highlight w:val="none"/>
        </w:rPr>
      </w:pPr>
      <w:r>
        <w:rPr>
          <w:rFonts w:ascii="微软雅黑" w:hAnsi="微软雅黑" w:eastAsia="微软雅黑"/>
          <w:bCs/>
          <w:szCs w:val="21"/>
          <w:highlight w:val="none"/>
        </w:rPr>
        <w:t>2</w:t>
      </w:r>
      <w:r>
        <w:rPr>
          <w:rFonts w:hint="eastAsia" w:ascii="微软雅黑" w:hAnsi="微软雅黑" w:eastAsia="微软雅黑"/>
          <w:bCs/>
          <w:szCs w:val="21"/>
          <w:highlight w:val="none"/>
        </w:rPr>
        <w:t>、</w:t>
      </w:r>
      <w:r>
        <w:rPr>
          <w:rFonts w:ascii="微软雅黑" w:hAnsi="微软雅黑" w:eastAsia="微软雅黑"/>
          <w:szCs w:val="21"/>
          <w:highlight w:val="none"/>
        </w:rPr>
        <w:t>履行方式</w:t>
      </w:r>
      <w:r>
        <w:rPr>
          <w:rFonts w:ascii="微软雅黑" w:hAnsi="微软雅黑" w:eastAsia="微软雅黑"/>
          <w:bCs/>
          <w:szCs w:val="21"/>
          <w:highlight w:val="none"/>
        </w:rPr>
        <w:t>：</w:t>
      </w:r>
    </w:p>
    <w:p>
      <w:pPr>
        <w:pStyle w:val="31"/>
        <w:snapToGrid w:val="0"/>
        <w:spacing w:after="0" w:line="500" w:lineRule="exact"/>
        <w:ind w:firstLine="420" w:firstLineChars="200"/>
        <w:rPr>
          <w:rFonts w:ascii="微软雅黑" w:hAnsi="微软雅黑" w:eastAsia="微软雅黑"/>
          <w:bCs/>
          <w:szCs w:val="21"/>
          <w:highlight w:val="none"/>
        </w:rPr>
      </w:pPr>
      <w:r>
        <w:rPr>
          <w:rFonts w:ascii="微软雅黑" w:hAnsi="微软雅黑" w:eastAsia="微软雅黑"/>
          <w:bCs/>
          <w:szCs w:val="21"/>
          <w:highlight w:val="none"/>
        </w:rPr>
        <w:t>3</w:t>
      </w:r>
      <w:r>
        <w:rPr>
          <w:rFonts w:hint="eastAsia" w:ascii="微软雅黑" w:hAnsi="微软雅黑" w:eastAsia="微软雅黑"/>
          <w:bCs/>
          <w:szCs w:val="21"/>
          <w:highlight w:val="none"/>
        </w:rPr>
        <w:t>、</w:t>
      </w:r>
      <w:r>
        <w:rPr>
          <w:rFonts w:ascii="微软雅黑" w:hAnsi="微软雅黑" w:eastAsia="微软雅黑"/>
          <w:szCs w:val="21"/>
          <w:highlight w:val="none"/>
        </w:rPr>
        <w:t>履行地点</w:t>
      </w:r>
      <w:r>
        <w:rPr>
          <w:rFonts w:ascii="微软雅黑" w:hAnsi="微软雅黑" w:eastAsia="微软雅黑"/>
          <w:bCs/>
          <w:szCs w:val="21"/>
          <w:highlight w:val="none"/>
        </w:rPr>
        <w:t>：</w:t>
      </w:r>
    </w:p>
    <w:p>
      <w:pPr>
        <w:pStyle w:val="31"/>
        <w:snapToGrid w:val="0"/>
        <w:spacing w:after="0" w:line="500" w:lineRule="exact"/>
        <w:ind w:firstLine="420" w:firstLineChars="200"/>
        <w:rPr>
          <w:rFonts w:ascii="微软雅黑" w:hAnsi="微软雅黑" w:eastAsia="微软雅黑"/>
          <w:b/>
          <w:szCs w:val="21"/>
          <w:highlight w:val="none"/>
        </w:rPr>
      </w:pPr>
      <w:r>
        <w:rPr>
          <w:rFonts w:hint="eastAsia" w:ascii="微软雅黑" w:hAnsi="微软雅黑" w:eastAsia="微软雅黑"/>
          <w:b/>
          <w:szCs w:val="21"/>
          <w:highlight w:val="none"/>
        </w:rPr>
        <w:t>第</w:t>
      </w:r>
      <w:r>
        <w:rPr>
          <w:rFonts w:ascii="微软雅黑" w:hAnsi="微软雅黑" w:eastAsia="微软雅黑"/>
          <w:b/>
          <w:szCs w:val="21"/>
          <w:highlight w:val="none"/>
        </w:rPr>
        <w:t>三</w:t>
      </w:r>
      <w:r>
        <w:rPr>
          <w:rFonts w:hint="eastAsia" w:ascii="微软雅黑" w:hAnsi="微软雅黑" w:eastAsia="微软雅黑"/>
          <w:b/>
          <w:szCs w:val="21"/>
          <w:highlight w:val="none"/>
        </w:rPr>
        <w:t>条</w:t>
      </w:r>
      <w:r>
        <w:rPr>
          <w:rFonts w:ascii="微软雅黑" w:hAnsi="微软雅黑" w:eastAsia="微软雅黑"/>
          <w:b/>
          <w:szCs w:val="21"/>
          <w:highlight w:val="none"/>
        </w:rPr>
        <w:t>技术资料</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w:t>
      </w:r>
      <w:r>
        <w:rPr>
          <w:rFonts w:ascii="微软雅黑" w:hAnsi="微软雅黑" w:eastAsia="微软雅黑"/>
          <w:szCs w:val="21"/>
          <w:highlight w:val="none"/>
        </w:rPr>
        <w:t>乙方应按</w:t>
      </w:r>
      <w:r>
        <w:rPr>
          <w:rFonts w:hint="eastAsia" w:ascii="微软雅黑" w:hAnsi="微软雅黑" w:eastAsia="微软雅黑"/>
          <w:szCs w:val="21"/>
          <w:highlight w:val="none"/>
        </w:rPr>
        <w:t>竞争性磋商文件</w:t>
      </w:r>
      <w:r>
        <w:rPr>
          <w:rFonts w:ascii="微软雅黑" w:hAnsi="微软雅黑" w:eastAsia="微软雅黑"/>
          <w:szCs w:val="21"/>
          <w:highlight w:val="none"/>
        </w:rPr>
        <w:t>规定的时间向甲方提供有关技术资料。</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w:t>
      </w:r>
      <w:r>
        <w:rPr>
          <w:rFonts w:ascii="微软雅黑" w:hAnsi="微软雅黑" w:eastAsia="微软雅黑"/>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31"/>
        <w:snapToGrid w:val="0"/>
        <w:spacing w:after="0" w:line="500" w:lineRule="exact"/>
        <w:ind w:firstLine="420" w:firstLineChars="200"/>
        <w:rPr>
          <w:rFonts w:ascii="微软雅黑" w:hAnsi="微软雅黑" w:eastAsia="微软雅黑"/>
          <w:b/>
          <w:szCs w:val="21"/>
          <w:highlight w:val="none"/>
        </w:rPr>
      </w:pPr>
      <w:r>
        <w:rPr>
          <w:rFonts w:hint="eastAsia" w:ascii="微软雅黑" w:hAnsi="微软雅黑" w:eastAsia="微软雅黑"/>
          <w:b/>
          <w:szCs w:val="21"/>
          <w:highlight w:val="none"/>
        </w:rPr>
        <w:t>第</w:t>
      </w:r>
      <w:r>
        <w:rPr>
          <w:rFonts w:ascii="微软雅黑" w:hAnsi="微软雅黑" w:eastAsia="微软雅黑"/>
          <w:b/>
          <w:szCs w:val="21"/>
          <w:highlight w:val="none"/>
        </w:rPr>
        <w:t>四</w:t>
      </w:r>
      <w:r>
        <w:rPr>
          <w:rFonts w:hint="eastAsia" w:ascii="微软雅黑" w:hAnsi="微软雅黑" w:eastAsia="微软雅黑"/>
          <w:b/>
          <w:szCs w:val="21"/>
          <w:highlight w:val="none"/>
        </w:rPr>
        <w:t>条</w:t>
      </w:r>
      <w:r>
        <w:rPr>
          <w:rFonts w:ascii="微软雅黑" w:hAnsi="微软雅黑" w:eastAsia="微软雅黑"/>
          <w:b/>
          <w:szCs w:val="21"/>
          <w:highlight w:val="none"/>
        </w:rPr>
        <w:t>知识产权</w:t>
      </w:r>
    </w:p>
    <w:p>
      <w:pPr>
        <w:pStyle w:val="31"/>
        <w:snapToGrid w:val="0"/>
        <w:spacing w:after="0" w:line="500" w:lineRule="exact"/>
        <w:ind w:firstLine="420" w:firstLineChars="200"/>
        <w:rPr>
          <w:rFonts w:ascii="微软雅黑" w:hAnsi="微软雅黑" w:eastAsia="微软雅黑"/>
          <w:b/>
          <w:bCs/>
          <w:szCs w:val="21"/>
          <w:highlight w:val="none"/>
        </w:rPr>
      </w:pPr>
      <w:r>
        <w:rPr>
          <w:rFonts w:ascii="微软雅黑" w:hAnsi="微软雅黑" w:eastAsia="微软雅黑"/>
          <w:szCs w:val="21"/>
          <w:highlight w:val="none"/>
        </w:rPr>
        <w:t>乙方应保证提供服务过程中不会侵犯任何第三方的</w:t>
      </w:r>
      <w:r>
        <w:rPr>
          <w:rFonts w:ascii="微软雅黑" w:hAnsi="微软雅黑" w:eastAsia="微软雅黑"/>
          <w:b/>
          <w:szCs w:val="21"/>
          <w:highlight w:val="none"/>
        </w:rPr>
        <w:t>知识产权</w:t>
      </w:r>
      <w:r>
        <w:rPr>
          <w:rFonts w:ascii="微软雅黑" w:hAnsi="微软雅黑" w:eastAsia="微软雅黑"/>
          <w:b/>
          <w:bCs/>
          <w:szCs w:val="21"/>
          <w:highlight w:val="none"/>
        </w:rPr>
        <w:t>。</w:t>
      </w:r>
    </w:p>
    <w:p>
      <w:pPr>
        <w:pStyle w:val="31"/>
        <w:snapToGrid w:val="0"/>
        <w:spacing w:after="0" w:line="500" w:lineRule="exact"/>
        <w:ind w:firstLine="420" w:firstLineChars="200"/>
        <w:rPr>
          <w:rFonts w:ascii="微软雅黑" w:hAnsi="微软雅黑" w:eastAsia="微软雅黑"/>
          <w:b/>
          <w:szCs w:val="21"/>
          <w:highlight w:val="none"/>
        </w:rPr>
      </w:pPr>
      <w:r>
        <w:rPr>
          <w:rFonts w:hint="eastAsia" w:ascii="微软雅黑" w:hAnsi="微软雅黑" w:eastAsia="微软雅黑"/>
          <w:b/>
          <w:szCs w:val="21"/>
          <w:highlight w:val="none"/>
        </w:rPr>
        <w:t>第五条</w:t>
      </w:r>
      <w:r>
        <w:rPr>
          <w:rFonts w:ascii="微软雅黑" w:hAnsi="微软雅黑" w:eastAsia="微软雅黑"/>
          <w:b/>
          <w:szCs w:val="21"/>
          <w:highlight w:val="none"/>
        </w:rPr>
        <w:t>履约保证金</w:t>
      </w:r>
    </w:p>
    <w:p>
      <w:pPr>
        <w:pStyle w:val="31"/>
        <w:snapToGrid w:val="0"/>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lang w:eastAsia="zh-CN"/>
        </w:rPr>
        <w:t>本项目不设置</w:t>
      </w:r>
      <w:r>
        <w:rPr>
          <w:rFonts w:ascii="微软雅黑" w:hAnsi="微软雅黑" w:eastAsia="微软雅黑"/>
          <w:szCs w:val="21"/>
          <w:highlight w:val="none"/>
        </w:rPr>
        <w:t>履约保证金。</w:t>
      </w:r>
    </w:p>
    <w:p>
      <w:pPr>
        <w:snapToGrid w:val="0"/>
        <w:spacing w:after="0" w:line="500" w:lineRule="exact"/>
        <w:ind w:firstLine="412" w:firstLineChars="196"/>
        <w:rPr>
          <w:rFonts w:ascii="微软雅黑" w:hAnsi="微软雅黑" w:eastAsia="微软雅黑"/>
          <w:b/>
          <w:szCs w:val="21"/>
          <w:highlight w:val="none"/>
        </w:rPr>
      </w:pPr>
      <w:r>
        <w:rPr>
          <w:rFonts w:hint="eastAsia" w:ascii="微软雅黑" w:hAnsi="微软雅黑" w:eastAsia="微软雅黑"/>
          <w:b/>
          <w:szCs w:val="21"/>
          <w:highlight w:val="none"/>
        </w:rPr>
        <w:t>第六条税费</w:t>
      </w:r>
    </w:p>
    <w:p>
      <w:pPr>
        <w:snapToGrid w:val="0"/>
        <w:spacing w:after="0" w:line="500" w:lineRule="exact"/>
        <w:ind w:firstLine="411" w:firstLineChars="196"/>
        <w:rPr>
          <w:rFonts w:ascii="微软雅黑" w:hAnsi="微软雅黑" w:eastAsia="微软雅黑"/>
          <w:szCs w:val="21"/>
          <w:highlight w:val="none"/>
        </w:rPr>
      </w:pPr>
      <w:r>
        <w:rPr>
          <w:rFonts w:hint="eastAsia" w:ascii="微软雅黑" w:hAnsi="微软雅黑" w:eastAsia="微软雅黑"/>
          <w:szCs w:val="21"/>
          <w:highlight w:val="none"/>
        </w:rPr>
        <w:t>本合同执行中相关的一切税费均由</w:t>
      </w:r>
      <w:r>
        <w:rPr>
          <w:rFonts w:ascii="微软雅黑" w:hAnsi="微软雅黑" w:eastAsia="微软雅黑"/>
          <w:szCs w:val="21"/>
          <w:highlight w:val="none"/>
        </w:rPr>
        <w:t>乙</w:t>
      </w:r>
      <w:r>
        <w:rPr>
          <w:rFonts w:hint="eastAsia" w:ascii="微软雅黑" w:hAnsi="微软雅黑" w:eastAsia="微软雅黑"/>
          <w:szCs w:val="21"/>
          <w:highlight w:val="none"/>
        </w:rPr>
        <w:t>方负担。</w:t>
      </w:r>
    </w:p>
    <w:p>
      <w:pPr>
        <w:pStyle w:val="31"/>
        <w:snapToGrid w:val="0"/>
        <w:spacing w:after="0" w:line="500" w:lineRule="exact"/>
        <w:ind w:firstLine="412" w:firstLineChars="196"/>
        <w:rPr>
          <w:rFonts w:ascii="微软雅黑" w:hAnsi="微软雅黑" w:eastAsia="微软雅黑"/>
          <w:b/>
          <w:szCs w:val="21"/>
          <w:highlight w:val="none"/>
        </w:rPr>
      </w:pPr>
      <w:r>
        <w:rPr>
          <w:rFonts w:hint="eastAsia" w:ascii="微软雅黑" w:hAnsi="微软雅黑" w:eastAsia="微软雅黑"/>
          <w:b/>
          <w:szCs w:val="21"/>
          <w:highlight w:val="none"/>
        </w:rPr>
        <w:t>第七条</w:t>
      </w:r>
      <w:r>
        <w:rPr>
          <w:rFonts w:ascii="微软雅黑" w:hAnsi="微软雅黑" w:eastAsia="微软雅黑"/>
          <w:b/>
          <w:szCs w:val="21"/>
          <w:highlight w:val="none"/>
        </w:rPr>
        <w:t>违约责任</w:t>
      </w:r>
    </w:p>
    <w:p>
      <w:pPr>
        <w:pStyle w:val="31"/>
        <w:snapToGrid w:val="0"/>
        <w:spacing w:after="0" w:line="500" w:lineRule="exact"/>
        <w:ind w:firstLine="411" w:firstLineChars="196"/>
        <w:rPr>
          <w:rFonts w:ascii="微软雅黑" w:hAnsi="微软雅黑" w:eastAsia="微软雅黑"/>
          <w:szCs w:val="21"/>
          <w:highlight w:val="none"/>
        </w:rPr>
      </w:pPr>
      <w:r>
        <w:rPr>
          <w:rFonts w:hint="eastAsia" w:ascii="微软雅黑" w:hAnsi="微软雅黑" w:eastAsia="微软雅黑"/>
          <w:szCs w:val="21"/>
          <w:highlight w:val="none"/>
        </w:rPr>
        <w:t>1、</w:t>
      </w:r>
      <w:r>
        <w:rPr>
          <w:rFonts w:ascii="微软雅黑" w:hAnsi="微软雅黑" w:eastAsia="微软雅黑"/>
          <w:szCs w:val="21"/>
          <w:highlight w:val="none"/>
        </w:rPr>
        <w:t>甲方无正当理由拒收接受服务的，甲方向乙方偿付合同款项百分之五作为违约金。</w:t>
      </w:r>
    </w:p>
    <w:p>
      <w:pPr>
        <w:pStyle w:val="31"/>
        <w:snapToGrid w:val="0"/>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2、</w:t>
      </w:r>
      <w:r>
        <w:rPr>
          <w:rFonts w:ascii="微软雅黑" w:hAnsi="微软雅黑" w:eastAsia="微软雅黑"/>
          <w:szCs w:val="21"/>
          <w:highlight w:val="none"/>
        </w:rPr>
        <w:t>甲方无故逾期验收和办理款项支付手续的,甲方应按逾期付款总额每日万分之五向乙方支付违约金。</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3</w:t>
      </w:r>
      <w:r>
        <w:rPr>
          <w:rFonts w:hint="eastAsia" w:ascii="微软雅黑" w:hAnsi="微软雅黑" w:eastAsia="微软雅黑"/>
          <w:szCs w:val="21"/>
          <w:highlight w:val="none"/>
        </w:rPr>
        <w:t>、</w:t>
      </w:r>
      <w:r>
        <w:rPr>
          <w:rFonts w:ascii="微软雅黑" w:hAnsi="微软雅黑" w:eastAsia="微软雅黑"/>
          <w:szCs w:val="21"/>
          <w:highlight w:val="none"/>
        </w:rPr>
        <w:t>乙方</w:t>
      </w:r>
      <w:r>
        <w:rPr>
          <w:rFonts w:hint="eastAsia" w:ascii="微软雅黑" w:hAnsi="微软雅黑" w:eastAsia="微软雅黑"/>
          <w:szCs w:val="21"/>
          <w:highlight w:val="none"/>
        </w:rPr>
        <w:t>未能如</w:t>
      </w:r>
      <w:r>
        <w:rPr>
          <w:rFonts w:ascii="微软雅黑" w:hAnsi="微软雅黑" w:eastAsia="微软雅黑"/>
          <w:szCs w:val="21"/>
          <w:highlight w:val="none"/>
        </w:rPr>
        <w:t>期提供服务的，每日向甲方支付</w:t>
      </w:r>
      <w:r>
        <w:rPr>
          <w:rFonts w:hint="eastAsia" w:ascii="微软雅黑" w:hAnsi="微软雅黑" w:eastAsia="微软雅黑"/>
          <w:szCs w:val="21"/>
          <w:highlight w:val="none"/>
        </w:rPr>
        <w:t>合同款项的</w:t>
      </w:r>
      <w:r>
        <w:rPr>
          <w:rFonts w:ascii="微软雅黑" w:hAnsi="微软雅黑" w:eastAsia="微软雅黑"/>
          <w:szCs w:val="21"/>
          <w:highlight w:val="none"/>
        </w:rPr>
        <w:t>千分之六</w:t>
      </w:r>
      <w:r>
        <w:rPr>
          <w:rFonts w:hint="eastAsia" w:ascii="微软雅黑" w:hAnsi="微软雅黑" w:eastAsia="微软雅黑"/>
          <w:szCs w:val="21"/>
          <w:highlight w:val="none"/>
        </w:rPr>
        <w:t>作为</w:t>
      </w:r>
      <w:r>
        <w:rPr>
          <w:rFonts w:ascii="微软雅黑" w:hAnsi="微软雅黑" w:eastAsia="微软雅黑"/>
          <w:szCs w:val="21"/>
          <w:highlight w:val="none"/>
        </w:rPr>
        <w:t>违约金。乙方超过约定日期10个工作日</w:t>
      </w:r>
      <w:r>
        <w:rPr>
          <w:rFonts w:hint="eastAsia" w:ascii="微软雅黑" w:hAnsi="微软雅黑" w:eastAsia="微软雅黑"/>
          <w:szCs w:val="21"/>
          <w:highlight w:val="none"/>
        </w:rPr>
        <w:t>仍</w:t>
      </w:r>
      <w:r>
        <w:rPr>
          <w:rFonts w:ascii="微软雅黑" w:hAnsi="微软雅黑" w:eastAsia="微软雅黑"/>
          <w:szCs w:val="21"/>
          <w:highlight w:val="none"/>
        </w:rPr>
        <w:t>不能</w:t>
      </w:r>
      <w:r>
        <w:rPr>
          <w:rFonts w:hint="eastAsia" w:ascii="微软雅黑" w:hAnsi="微软雅黑" w:eastAsia="微软雅黑"/>
          <w:szCs w:val="21"/>
          <w:highlight w:val="none"/>
        </w:rPr>
        <w:t>提供服务</w:t>
      </w:r>
      <w:r>
        <w:rPr>
          <w:rFonts w:ascii="微软雅黑" w:hAnsi="微软雅黑" w:eastAsia="微软雅黑"/>
          <w:szCs w:val="21"/>
          <w:highlight w:val="none"/>
        </w:rPr>
        <w:t>的，甲方可解除本合同。乙方因</w:t>
      </w:r>
      <w:r>
        <w:rPr>
          <w:rFonts w:hint="eastAsia" w:ascii="微软雅黑" w:hAnsi="微软雅黑" w:eastAsia="微软雅黑"/>
          <w:szCs w:val="21"/>
          <w:highlight w:val="none"/>
        </w:rPr>
        <w:t>未能如</w:t>
      </w:r>
      <w:r>
        <w:rPr>
          <w:rFonts w:ascii="微软雅黑" w:hAnsi="微软雅黑" w:eastAsia="微软雅黑"/>
          <w:szCs w:val="21"/>
          <w:highlight w:val="none"/>
        </w:rPr>
        <w:t>期提供服务或因其他违约行为导致甲方解除合同的，乙方应向甲方支付合同总值5%的违约金，如造成甲方损失超过违约金的，超出部分由乙方继续承担赔偿责任。</w:t>
      </w:r>
    </w:p>
    <w:p>
      <w:pPr>
        <w:pStyle w:val="31"/>
        <w:snapToGrid w:val="0"/>
        <w:spacing w:after="0" w:line="500" w:lineRule="exact"/>
        <w:ind w:firstLine="412" w:firstLineChars="196"/>
        <w:rPr>
          <w:rFonts w:ascii="微软雅黑" w:hAnsi="微软雅黑" w:eastAsia="微软雅黑"/>
          <w:b/>
          <w:szCs w:val="21"/>
          <w:highlight w:val="none"/>
        </w:rPr>
      </w:pPr>
      <w:r>
        <w:rPr>
          <w:rFonts w:hint="eastAsia" w:ascii="微软雅黑" w:hAnsi="微软雅黑" w:eastAsia="微软雅黑"/>
          <w:b/>
          <w:szCs w:val="21"/>
          <w:highlight w:val="none"/>
        </w:rPr>
        <w:t>第八条</w:t>
      </w:r>
      <w:r>
        <w:rPr>
          <w:rFonts w:ascii="微软雅黑" w:hAnsi="微软雅黑" w:eastAsia="微软雅黑"/>
          <w:b/>
          <w:szCs w:val="21"/>
          <w:highlight w:val="none"/>
        </w:rPr>
        <w:t>不可抗力事件处理</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w:t>
      </w:r>
      <w:r>
        <w:rPr>
          <w:rFonts w:ascii="微软雅黑" w:hAnsi="微软雅黑" w:eastAsia="微软雅黑"/>
          <w:szCs w:val="21"/>
          <w:highlight w:val="none"/>
        </w:rPr>
        <w:t>在合同有效期内，任何一方因不可抗力事件导致不能履行合同，则合同履行期可延长，其延长期与不可抗力影响期相同。</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2</w:t>
      </w:r>
      <w:r>
        <w:rPr>
          <w:rFonts w:hint="eastAsia" w:ascii="微软雅黑" w:hAnsi="微软雅黑" w:eastAsia="微软雅黑"/>
          <w:szCs w:val="21"/>
          <w:highlight w:val="none"/>
        </w:rPr>
        <w:t>、不</w:t>
      </w:r>
      <w:r>
        <w:rPr>
          <w:rFonts w:ascii="微软雅黑" w:hAnsi="微软雅黑" w:eastAsia="微软雅黑"/>
          <w:szCs w:val="21"/>
          <w:highlight w:val="none"/>
        </w:rPr>
        <w:t>可抗力事件发生后，应立即通知对方，并寄送有关权威机构出具的证明。</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3</w:t>
      </w:r>
      <w:r>
        <w:rPr>
          <w:rFonts w:hint="eastAsia" w:ascii="微软雅黑" w:hAnsi="微软雅黑" w:eastAsia="微软雅黑"/>
          <w:szCs w:val="21"/>
          <w:highlight w:val="none"/>
        </w:rPr>
        <w:t>、</w:t>
      </w:r>
      <w:r>
        <w:rPr>
          <w:rFonts w:ascii="微软雅黑" w:hAnsi="微软雅黑" w:eastAsia="微软雅黑"/>
          <w:szCs w:val="21"/>
          <w:highlight w:val="none"/>
        </w:rPr>
        <w:t>不可抗力事件延续120天以上，双方应通过友好协商，确定是否继续履行合同。</w:t>
      </w:r>
    </w:p>
    <w:p>
      <w:pPr>
        <w:pStyle w:val="31"/>
        <w:snapToGrid w:val="0"/>
        <w:spacing w:after="0" w:line="500" w:lineRule="exact"/>
        <w:ind w:firstLine="420" w:firstLineChars="200"/>
        <w:rPr>
          <w:rFonts w:ascii="微软雅黑" w:hAnsi="微软雅黑" w:eastAsia="微软雅黑"/>
          <w:b/>
          <w:szCs w:val="21"/>
          <w:highlight w:val="none"/>
        </w:rPr>
      </w:pPr>
      <w:r>
        <w:rPr>
          <w:rFonts w:hint="eastAsia" w:ascii="微软雅黑" w:hAnsi="微软雅黑" w:eastAsia="微软雅黑"/>
          <w:b/>
          <w:szCs w:val="21"/>
          <w:highlight w:val="none"/>
        </w:rPr>
        <w:t>第九条</w:t>
      </w:r>
      <w:r>
        <w:rPr>
          <w:rFonts w:ascii="微软雅黑" w:hAnsi="微软雅黑" w:eastAsia="微软雅黑"/>
          <w:b/>
          <w:szCs w:val="21"/>
          <w:highlight w:val="none"/>
        </w:rPr>
        <w:t>诉讼</w:t>
      </w:r>
    </w:p>
    <w:p>
      <w:pPr>
        <w:pStyle w:val="31"/>
        <w:snapToGri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双方在执行合同中所发生的一切争议，应通过协商解决。如协商不成，可向</w:t>
      </w:r>
      <w:r>
        <w:rPr>
          <w:rFonts w:hint="eastAsia" w:ascii="微软雅黑" w:hAnsi="微软雅黑" w:eastAsia="微软雅黑"/>
          <w:szCs w:val="21"/>
          <w:highlight w:val="none"/>
        </w:rPr>
        <w:t>甲方所在</w:t>
      </w:r>
      <w:r>
        <w:rPr>
          <w:rFonts w:ascii="微软雅黑" w:hAnsi="微软雅黑" w:eastAsia="微软雅黑"/>
          <w:szCs w:val="21"/>
          <w:highlight w:val="none"/>
        </w:rPr>
        <w:t>地法院起诉。</w:t>
      </w:r>
    </w:p>
    <w:p>
      <w:pPr>
        <w:pStyle w:val="31"/>
        <w:snapToGrid w:val="0"/>
        <w:spacing w:after="0" w:line="500" w:lineRule="exact"/>
        <w:ind w:firstLine="420" w:firstLineChars="200"/>
        <w:rPr>
          <w:rFonts w:ascii="微软雅黑" w:hAnsi="微软雅黑" w:eastAsia="微软雅黑"/>
          <w:b/>
          <w:szCs w:val="21"/>
          <w:highlight w:val="none"/>
        </w:rPr>
      </w:pPr>
      <w:r>
        <w:rPr>
          <w:rFonts w:hint="eastAsia" w:ascii="微软雅黑" w:hAnsi="微软雅黑" w:eastAsia="微软雅黑"/>
          <w:b/>
          <w:szCs w:val="21"/>
          <w:highlight w:val="none"/>
        </w:rPr>
        <w:t>第十条</w:t>
      </w:r>
      <w:r>
        <w:rPr>
          <w:rFonts w:ascii="微软雅黑" w:hAnsi="微软雅黑" w:eastAsia="微软雅黑"/>
          <w:b/>
          <w:szCs w:val="21"/>
          <w:highlight w:val="none"/>
        </w:rPr>
        <w:t>合同生效及其它</w:t>
      </w:r>
    </w:p>
    <w:p>
      <w:pPr>
        <w:autoSpaceDE w:val="0"/>
        <w:autoSpaceDN w:val="0"/>
        <w:adjustRightInd w:val="0"/>
        <w:spacing w:after="0" w:line="500" w:lineRule="exact"/>
        <w:ind w:firstLine="420" w:firstLineChars="200"/>
        <w:rPr>
          <w:rFonts w:ascii="微软雅黑" w:hAnsi="微软雅黑" w:eastAsia="微软雅黑"/>
          <w:szCs w:val="21"/>
          <w:highlight w:val="none"/>
        </w:rPr>
      </w:pPr>
      <w:r>
        <w:rPr>
          <w:rFonts w:ascii="微软雅黑" w:hAnsi="微软雅黑" w:eastAsia="微软雅黑"/>
          <w:szCs w:val="21"/>
          <w:highlight w:val="none"/>
        </w:rPr>
        <w:t>1</w:t>
      </w:r>
      <w:r>
        <w:rPr>
          <w:rFonts w:hint="eastAsia" w:ascii="微软雅黑" w:hAnsi="微软雅黑" w:eastAsia="微软雅黑"/>
          <w:szCs w:val="21"/>
          <w:highlight w:val="none"/>
        </w:rPr>
        <w:t>、</w:t>
      </w:r>
      <w:r>
        <w:rPr>
          <w:rFonts w:ascii="微软雅黑" w:hAnsi="微软雅黑" w:eastAsia="微软雅黑"/>
          <w:szCs w:val="21"/>
          <w:highlight w:val="none"/>
        </w:rPr>
        <w:t>合同经双方法定代表人或授权委托代理人签字并加盖单位公章后生效。</w:t>
      </w:r>
    </w:p>
    <w:p>
      <w:pPr>
        <w:autoSpaceDE w:val="0"/>
        <w:autoSpaceDN w:val="0"/>
        <w:adjustRightInd w:val="0"/>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2、</w:t>
      </w:r>
      <w:r>
        <w:rPr>
          <w:rFonts w:ascii="微软雅黑" w:hAnsi="微软雅黑" w:eastAsia="微软雅黑"/>
          <w:szCs w:val="21"/>
          <w:highlight w:val="none"/>
        </w:rPr>
        <w:t>本合同未尽事宜，遵照《</w:t>
      </w:r>
      <w:r>
        <w:rPr>
          <w:rFonts w:hint="eastAsia" w:ascii="微软雅黑" w:hAnsi="微软雅黑" w:eastAsia="微软雅黑" w:cs="Arial"/>
          <w:kern w:val="0"/>
          <w:szCs w:val="21"/>
          <w:highlight w:val="none"/>
        </w:rPr>
        <w:t>中华人民共和国民法典</w:t>
      </w:r>
      <w:r>
        <w:rPr>
          <w:rFonts w:ascii="微软雅黑" w:hAnsi="微软雅黑" w:eastAsia="微软雅黑"/>
          <w:szCs w:val="21"/>
          <w:highlight w:val="none"/>
        </w:rPr>
        <w:t>》有关条文执行。</w:t>
      </w:r>
    </w:p>
    <w:p>
      <w:pPr>
        <w:pStyle w:val="31"/>
        <w:snapToGrid w:val="0"/>
        <w:spacing w:after="0" w:line="500" w:lineRule="exact"/>
        <w:ind w:left="420" w:hanging="420" w:hangingChars="200"/>
        <w:rPr>
          <w:rFonts w:ascii="微软雅黑" w:hAnsi="微软雅黑" w:eastAsia="微软雅黑"/>
          <w:szCs w:val="21"/>
          <w:highlight w:val="none"/>
        </w:rPr>
      </w:pPr>
    </w:p>
    <w:p>
      <w:pPr>
        <w:pStyle w:val="31"/>
        <w:snapToGrid w:val="0"/>
        <w:spacing w:after="0" w:line="500" w:lineRule="exact"/>
        <w:ind w:left="420" w:hanging="420" w:hangingChars="200"/>
        <w:rPr>
          <w:rFonts w:ascii="微软雅黑" w:hAnsi="微软雅黑" w:eastAsia="微软雅黑"/>
          <w:szCs w:val="21"/>
          <w:highlight w:val="none"/>
        </w:rPr>
      </w:pPr>
      <w:r>
        <w:rPr>
          <w:rFonts w:ascii="微软雅黑" w:hAnsi="微软雅黑" w:eastAsia="微软雅黑"/>
          <w:szCs w:val="21"/>
          <w:highlight w:val="none"/>
        </w:rPr>
        <w:t>甲方：</w:t>
      </w:r>
      <w:r>
        <w:rPr>
          <w:rFonts w:hint="eastAsia" w:ascii="微软雅黑" w:hAnsi="微软雅黑" w:eastAsia="微软雅黑"/>
          <w:szCs w:val="21"/>
          <w:highlight w:val="none"/>
        </w:rPr>
        <w:t xml:space="preserve">                                    </w:t>
      </w:r>
      <w:r>
        <w:rPr>
          <w:rFonts w:ascii="微软雅黑" w:hAnsi="微软雅黑" w:eastAsia="微软雅黑"/>
          <w:szCs w:val="21"/>
          <w:highlight w:val="none"/>
        </w:rPr>
        <w:t>乙方：</w:t>
      </w:r>
    </w:p>
    <w:p>
      <w:pPr>
        <w:pStyle w:val="31"/>
        <w:snapToGrid w:val="0"/>
        <w:spacing w:after="0" w:line="500" w:lineRule="exact"/>
        <w:rPr>
          <w:rFonts w:ascii="微软雅黑" w:hAnsi="微软雅黑" w:eastAsia="微软雅黑"/>
          <w:szCs w:val="21"/>
          <w:highlight w:val="none"/>
        </w:rPr>
      </w:pPr>
      <w:r>
        <w:rPr>
          <w:rFonts w:ascii="微软雅黑" w:hAnsi="微软雅黑" w:eastAsia="微软雅黑"/>
          <w:szCs w:val="21"/>
          <w:highlight w:val="none"/>
        </w:rPr>
        <w:t>地址：</w:t>
      </w:r>
      <w:r>
        <w:rPr>
          <w:rFonts w:hint="eastAsia" w:ascii="微软雅黑" w:hAnsi="微软雅黑" w:eastAsia="微软雅黑"/>
          <w:szCs w:val="21"/>
          <w:highlight w:val="none"/>
        </w:rPr>
        <w:t xml:space="preserve">                                    </w:t>
      </w:r>
      <w:r>
        <w:rPr>
          <w:rFonts w:ascii="微软雅黑" w:hAnsi="微软雅黑" w:eastAsia="微软雅黑"/>
          <w:szCs w:val="21"/>
          <w:highlight w:val="none"/>
        </w:rPr>
        <w:t>地址：</w:t>
      </w:r>
    </w:p>
    <w:p>
      <w:pPr>
        <w:pStyle w:val="31"/>
        <w:snapToGrid w:val="0"/>
        <w:spacing w:after="0" w:line="500" w:lineRule="exact"/>
        <w:rPr>
          <w:rFonts w:ascii="微软雅黑" w:hAnsi="微软雅黑" w:eastAsia="微软雅黑"/>
          <w:szCs w:val="21"/>
          <w:highlight w:val="none"/>
        </w:rPr>
      </w:pPr>
      <w:r>
        <w:rPr>
          <w:rFonts w:ascii="微软雅黑" w:hAnsi="微软雅黑" w:eastAsia="微软雅黑"/>
          <w:szCs w:val="21"/>
          <w:highlight w:val="none"/>
        </w:rPr>
        <w:t>法定</w:t>
      </w:r>
      <w:r>
        <w:rPr>
          <w:rFonts w:hint="eastAsia" w:ascii="微软雅黑" w:hAnsi="微软雅黑" w:eastAsia="微软雅黑"/>
          <w:szCs w:val="21"/>
          <w:highlight w:val="none"/>
        </w:rPr>
        <w:t>（授权）</w:t>
      </w:r>
      <w:r>
        <w:rPr>
          <w:rFonts w:ascii="微软雅黑" w:hAnsi="微软雅黑" w:eastAsia="微软雅黑"/>
          <w:szCs w:val="21"/>
          <w:highlight w:val="none"/>
        </w:rPr>
        <w:t>代表人：</w:t>
      </w:r>
      <w:r>
        <w:rPr>
          <w:rFonts w:hint="eastAsia" w:ascii="微软雅黑" w:hAnsi="微软雅黑" w:eastAsia="微软雅黑"/>
          <w:szCs w:val="21"/>
          <w:highlight w:val="none"/>
        </w:rPr>
        <w:t xml:space="preserve">                      </w:t>
      </w:r>
      <w:r>
        <w:rPr>
          <w:rFonts w:ascii="微软雅黑" w:hAnsi="微软雅黑" w:eastAsia="微软雅黑"/>
          <w:szCs w:val="21"/>
          <w:highlight w:val="none"/>
        </w:rPr>
        <w:t>法定</w:t>
      </w:r>
      <w:r>
        <w:rPr>
          <w:rFonts w:hint="eastAsia" w:ascii="微软雅黑" w:hAnsi="微软雅黑" w:eastAsia="微软雅黑"/>
          <w:szCs w:val="21"/>
          <w:highlight w:val="none"/>
        </w:rPr>
        <w:t>（授权）</w:t>
      </w:r>
      <w:r>
        <w:rPr>
          <w:rFonts w:ascii="微软雅黑" w:hAnsi="微软雅黑" w:eastAsia="微软雅黑"/>
          <w:szCs w:val="21"/>
          <w:highlight w:val="none"/>
        </w:rPr>
        <w:t>代表人：</w:t>
      </w:r>
    </w:p>
    <w:p>
      <w:pPr>
        <w:pStyle w:val="31"/>
        <w:snapToGrid w:val="0"/>
        <w:spacing w:after="0" w:line="500" w:lineRule="exact"/>
        <w:ind w:firstLine="4410" w:firstLineChars="2100"/>
        <w:rPr>
          <w:rFonts w:ascii="微软雅黑" w:hAnsi="微软雅黑" w:eastAsia="微软雅黑"/>
          <w:szCs w:val="21"/>
          <w:highlight w:val="none"/>
        </w:rPr>
      </w:pPr>
      <w:r>
        <w:rPr>
          <w:rFonts w:hint="eastAsia" w:ascii="微软雅黑" w:hAnsi="微软雅黑" w:eastAsia="微软雅黑"/>
          <w:szCs w:val="21"/>
          <w:highlight w:val="none"/>
        </w:rPr>
        <w:t>联系电话：</w:t>
      </w:r>
    </w:p>
    <w:p>
      <w:pPr>
        <w:pStyle w:val="31"/>
        <w:snapToGrid w:val="0"/>
        <w:spacing w:after="0" w:line="500" w:lineRule="exact"/>
        <w:ind w:firstLine="4393" w:firstLineChars="2092"/>
        <w:rPr>
          <w:rFonts w:ascii="微软雅黑" w:hAnsi="微软雅黑" w:eastAsia="微软雅黑"/>
          <w:szCs w:val="21"/>
          <w:highlight w:val="none"/>
        </w:rPr>
      </w:pPr>
      <w:r>
        <w:rPr>
          <w:rFonts w:hint="eastAsia" w:ascii="微软雅黑" w:hAnsi="微软雅黑" w:eastAsia="微软雅黑"/>
          <w:szCs w:val="21"/>
          <w:highlight w:val="none"/>
        </w:rPr>
        <w:t>开户银行及账号：</w:t>
      </w:r>
    </w:p>
    <w:p>
      <w:pPr>
        <w:pStyle w:val="31"/>
        <w:snapToGrid w:val="0"/>
        <w:spacing w:after="0" w:line="500" w:lineRule="exact"/>
        <w:rPr>
          <w:rFonts w:ascii="微软雅黑" w:hAnsi="微软雅黑" w:eastAsia="微软雅黑"/>
          <w:szCs w:val="21"/>
          <w:highlight w:val="none"/>
        </w:rPr>
      </w:pPr>
      <w:r>
        <w:rPr>
          <w:rFonts w:ascii="微软雅黑" w:hAnsi="微软雅黑" w:eastAsia="微软雅黑"/>
          <w:szCs w:val="21"/>
          <w:highlight w:val="none"/>
        </w:rPr>
        <w:t>签</w:t>
      </w:r>
      <w:r>
        <w:rPr>
          <w:rFonts w:hint="eastAsia" w:ascii="微软雅黑" w:hAnsi="微软雅黑" w:eastAsia="微软雅黑"/>
          <w:szCs w:val="21"/>
          <w:highlight w:val="none"/>
        </w:rPr>
        <w:t>字日期</w:t>
      </w:r>
      <w:r>
        <w:rPr>
          <w:rFonts w:ascii="微软雅黑" w:hAnsi="微软雅黑" w:eastAsia="微软雅黑"/>
          <w:szCs w:val="21"/>
          <w:highlight w:val="none"/>
        </w:rPr>
        <w:t>：年月日</w:t>
      </w:r>
      <w:r>
        <w:rPr>
          <w:rFonts w:hint="eastAsia" w:ascii="微软雅黑" w:hAnsi="微软雅黑" w:eastAsia="微软雅黑"/>
          <w:szCs w:val="21"/>
          <w:highlight w:val="none"/>
        </w:rPr>
        <w:t xml:space="preserve">                          </w:t>
      </w:r>
      <w:r>
        <w:rPr>
          <w:rFonts w:ascii="微软雅黑" w:hAnsi="微软雅黑" w:eastAsia="微软雅黑"/>
          <w:szCs w:val="21"/>
          <w:highlight w:val="none"/>
        </w:rPr>
        <w:t>签</w:t>
      </w:r>
      <w:r>
        <w:rPr>
          <w:rFonts w:hint="eastAsia" w:ascii="微软雅黑" w:hAnsi="微软雅黑" w:eastAsia="微软雅黑"/>
          <w:szCs w:val="21"/>
          <w:highlight w:val="none"/>
        </w:rPr>
        <w:t>字</w:t>
      </w:r>
      <w:r>
        <w:rPr>
          <w:rFonts w:ascii="微软雅黑" w:hAnsi="微软雅黑" w:eastAsia="微软雅黑"/>
          <w:szCs w:val="21"/>
          <w:highlight w:val="none"/>
        </w:rPr>
        <w:t>日期：年月日</w:t>
      </w:r>
    </w:p>
    <w:p>
      <w:pPr>
        <w:pStyle w:val="3"/>
        <w:spacing w:before="360"/>
        <w:jc w:val="center"/>
        <w:rPr>
          <w:highlight w:val="none"/>
        </w:rPr>
      </w:pPr>
      <w:r>
        <w:rPr>
          <w:rFonts w:hint="eastAsia"/>
          <w:highlight w:val="none"/>
        </w:rPr>
        <w:br w:type="page"/>
      </w:r>
      <w:bookmarkStart w:id="530" w:name="_Toc89266910"/>
      <w:r>
        <w:rPr>
          <w:rFonts w:hint="eastAsia"/>
          <w:highlight w:val="none"/>
        </w:rPr>
        <w:t>第五章 评审办法</w:t>
      </w:r>
      <w:bookmarkEnd w:id="526"/>
      <w:bookmarkEnd w:id="527"/>
      <w:bookmarkEnd w:id="530"/>
    </w:p>
    <w:bookmarkEnd w:id="528"/>
    <w:p>
      <w:pPr>
        <w:spacing w:after="0" w:line="500" w:lineRule="exact"/>
        <w:ind w:firstLine="472" w:firstLineChars="225"/>
        <w:rPr>
          <w:rFonts w:ascii="微软雅黑" w:hAnsi="微软雅黑" w:eastAsia="微软雅黑"/>
          <w:szCs w:val="21"/>
          <w:highlight w:val="none"/>
        </w:rPr>
      </w:pPr>
      <w:bookmarkStart w:id="531" w:name="_Toc192313126"/>
      <w:r>
        <w:rPr>
          <w:rFonts w:hint="eastAsia" w:ascii="微软雅黑" w:hAnsi="微软雅黑" w:eastAsia="微软雅黑"/>
          <w:szCs w:val="21"/>
          <w:highlight w:val="none"/>
        </w:rPr>
        <w:t>为公正、公平、科学地选择中标人，根据《中华人民共和国政府采购法》等有关法律法规的规定，并结合本项目的实际，制定本办法。</w:t>
      </w:r>
    </w:p>
    <w:p>
      <w:pPr>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即</w:t>
      </w:r>
      <w:r>
        <w:rPr>
          <w:rFonts w:hint="eastAsia" w:ascii="微软雅黑" w:hAnsi="微软雅黑" w:eastAsia="微软雅黑"/>
          <w:b/>
          <w:szCs w:val="21"/>
          <w:highlight w:val="none"/>
        </w:rPr>
        <w:t>由磋商小组按规定推荐其中一名为成交候选人</w:t>
      </w:r>
      <w:r>
        <w:rPr>
          <w:rFonts w:hint="eastAsia" w:ascii="微软雅黑" w:hAnsi="微软雅黑" w:eastAsia="微软雅黑"/>
          <w:szCs w:val="21"/>
          <w:highlight w:val="none"/>
        </w:rPr>
        <w:t>）,排名第二的投标人为候补中标候选人……其他投标人中标候选资格依此类推。评分过程中采用四舍五入法，并保留小数2位。</w:t>
      </w:r>
    </w:p>
    <w:p>
      <w:pPr>
        <w:pStyle w:val="31"/>
        <w:spacing w:after="0" w:line="500" w:lineRule="exact"/>
        <w:ind w:firstLine="420" w:firstLineChars="200"/>
        <w:rPr>
          <w:rFonts w:ascii="微软雅黑" w:hAnsi="微软雅黑" w:eastAsia="微软雅黑"/>
          <w:szCs w:val="21"/>
          <w:highlight w:val="none"/>
        </w:rPr>
      </w:pPr>
      <w:r>
        <w:rPr>
          <w:rFonts w:hint="eastAsia" w:ascii="微软雅黑" w:hAnsi="微软雅黑" w:eastAsia="微软雅黑"/>
          <w:szCs w:val="21"/>
          <w:highlight w:val="none"/>
        </w:rPr>
        <w:t>投标人评标综合得分=价格分+技术、资信商务及其他分</w:t>
      </w:r>
    </w:p>
    <w:p>
      <w:pPr>
        <w:pStyle w:val="31"/>
        <w:spacing w:after="0" w:line="500" w:lineRule="exact"/>
        <w:ind w:firstLine="424" w:firstLineChars="202"/>
        <w:rPr>
          <w:rFonts w:ascii="微软雅黑" w:hAnsi="微软雅黑" w:eastAsia="微软雅黑"/>
          <w:b/>
          <w:bCs/>
          <w:szCs w:val="21"/>
          <w:highlight w:val="none"/>
        </w:rPr>
      </w:pPr>
      <w:r>
        <w:rPr>
          <w:rFonts w:hint="eastAsia" w:ascii="微软雅黑" w:hAnsi="微软雅黑" w:eastAsia="微软雅黑"/>
          <w:b/>
          <w:bCs/>
          <w:szCs w:val="21"/>
          <w:highlight w:val="none"/>
        </w:rPr>
        <w:t>一、价格分（10分）</w:t>
      </w:r>
    </w:p>
    <w:p>
      <w:pPr>
        <w:pStyle w:val="31"/>
        <w:numPr>
          <w:ilvl w:val="0"/>
          <w:numId w:val="25"/>
        </w:numPr>
        <w:spacing w:after="0" w:line="500" w:lineRule="exact"/>
        <w:ind w:left="0" w:firstLine="408" w:firstLineChars="202"/>
        <w:rPr>
          <w:rFonts w:ascii="微软雅黑" w:hAnsi="微软雅黑" w:eastAsia="微软雅黑"/>
          <w:spacing w:val="-4"/>
          <w:szCs w:val="21"/>
          <w:highlight w:val="none"/>
        </w:rPr>
      </w:pPr>
      <w:bookmarkStart w:id="532" w:name="_Toc493699338"/>
      <w:bookmarkStart w:id="533" w:name="_Toc89266911"/>
      <w:r>
        <w:rPr>
          <w:rFonts w:hint="eastAsia" w:ascii="微软雅黑" w:hAnsi="微软雅黑" w:eastAsia="微软雅黑"/>
          <w:spacing w:val="-4"/>
          <w:szCs w:val="21"/>
          <w:highlight w:val="none"/>
        </w:rPr>
        <w:t>价格分采用低价优先法计算，即满足招标文件要求且本标项投标价格最低的投标报价为评标基准价，其他投标人的价格分按照下列公式计算：</w:t>
      </w:r>
    </w:p>
    <w:p>
      <w:pPr>
        <w:pStyle w:val="31"/>
        <w:numPr>
          <w:ilvl w:val="0"/>
          <w:numId w:val="25"/>
        </w:numPr>
        <w:spacing w:after="0" w:line="500" w:lineRule="exact"/>
        <w:ind w:left="0" w:firstLine="408" w:firstLineChars="202"/>
        <w:rPr>
          <w:rFonts w:ascii="微软雅黑" w:hAnsi="微软雅黑" w:eastAsia="微软雅黑"/>
          <w:spacing w:val="-4"/>
          <w:szCs w:val="21"/>
          <w:highlight w:val="none"/>
        </w:rPr>
      </w:pPr>
      <w:r>
        <w:rPr>
          <w:rFonts w:hint="eastAsia" w:ascii="微软雅黑" w:hAnsi="微软雅黑" w:eastAsia="微软雅黑"/>
          <w:spacing w:val="-4"/>
          <w:szCs w:val="21"/>
          <w:highlight w:val="none"/>
        </w:rPr>
        <w:t>价格分=（评标基准价/投标报价）×10%×100投标人的投标报价超过采购人设定的最高限价，将作为无效标。</w:t>
      </w:r>
    </w:p>
    <w:p>
      <w:pPr>
        <w:pStyle w:val="22"/>
        <w:numPr>
          <w:ilvl w:val="0"/>
          <w:numId w:val="25"/>
        </w:numPr>
        <w:spacing w:after="0" w:line="360" w:lineRule="auto"/>
        <w:ind w:left="0" w:firstLine="408" w:firstLineChars="202"/>
        <w:jc w:val="left"/>
        <w:rPr>
          <w:rFonts w:ascii="微软雅黑" w:hAnsi="微软雅黑" w:eastAsia="微软雅黑"/>
          <w:sz w:val="21"/>
          <w:szCs w:val="21"/>
          <w:highlight w:val="none"/>
        </w:rPr>
      </w:pPr>
      <w:r>
        <w:rPr>
          <w:rFonts w:hint="eastAsia" w:ascii="微软雅黑" w:hAnsi="微软雅黑" w:eastAsia="微软雅黑"/>
          <w:sz w:val="21"/>
          <w:szCs w:val="21"/>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22"/>
        <w:numPr>
          <w:ilvl w:val="0"/>
          <w:numId w:val="25"/>
        </w:numPr>
        <w:spacing w:after="0" w:line="360" w:lineRule="auto"/>
        <w:jc w:val="left"/>
        <w:rPr>
          <w:rFonts w:ascii="微软雅黑" w:hAnsi="微软雅黑" w:eastAsia="微软雅黑"/>
          <w:sz w:val="21"/>
          <w:szCs w:val="21"/>
          <w:highlight w:val="none"/>
        </w:rPr>
      </w:pPr>
      <w:r>
        <w:rPr>
          <w:rFonts w:hint="eastAsia" w:ascii="微软雅黑" w:hAnsi="微软雅黑" w:eastAsia="微软雅黑"/>
          <w:sz w:val="21"/>
          <w:szCs w:val="21"/>
          <w:highlight w:val="none"/>
        </w:rPr>
        <w:t>促进中小企业发展</w:t>
      </w:r>
    </w:p>
    <w:p>
      <w:pPr>
        <w:pStyle w:val="31"/>
        <w:numPr>
          <w:ilvl w:val="0"/>
          <w:numId w:val="26"/>
        </w:numPr>
        <w:tabs>
          <w:tab w:val="left" w:pos="630"/>
        </w:tabs>
        <w:spacing w:after="0" w:line="360" w:lineRule="auto"/>
        <w:ind w:left="0" w:firstLine="420" w:firstLineChars="200"/>
        <w:jc w:val="left"/>
        <w:rPr>
          <w:rFonts w:ascii="微软雅黑" w:hAnsi="微软雅黑" w:eastAsia="微软雅黑"/>
          <w:bCs/>
          <w:szCs w:val="21"/>
          <w:highlight w:val="none"/>
        </w:rPr>
      </w:pPr>
      <w:r>
        <w:rPr>
          <w:rFonts w:hint="eastAsia" w:ascii="微软雅黑" w:hAnsi="微软雅黑" w:eastAsia="微软雅黑"/>
          <w:bCs/>
          <w:szCs w:val="21"/>
          <w:highlight w:val="none"/>
        </w:rPr>
        <w:t>本次采购为非专门面向中小企业</w:t>
      </w:r>
      <w:r>
        <w:rPr>
          <w:rFonts w:hint="eastAsia" w:ascii="微软雅黑" w:hAnsi="微软雅黑" w:eastAsia="微软雅黑"/>
          <w:bCs/>
          <w:szCs w:val="21"/>
          <w:highlight w:val="none"/>
          <w:lang w:eastAsia="zh-CN"/>
        </w:rPr>
        <w:t>，</w:t>
      </w:r>
      <w:r>
        <w:rPr>
          <w:rFonts w:hint="eastAsia" w:ascii="微软雅黑" w:hAnsi="微软雅黑" w:eastAsia="微软雅黑"/>
          <w:bCs/>
          <w:szCs w:val="21"/>
          <w:highlight w:val="none"/>
        </w:rPr>
        <w:t>预留采购份额的采购项目。</w:t>
      </w:r>
    </w:p>
    <w:p>
      <w:pPr>
        <w:pStyle w:val="31"/>
        <w:numPr>
          <w:ilvl w:val="0"/>
          <w:numId w:val="26"/>
        </w:numPr>
        <w:tabs>
          <w:tab w:val="left" w:pos="630"/>
        </w:tabs>
        <w:spacing w:after="0" w:line="360" w:lineRule="auto"/>
        <w:ind w:left="0" w:firstLine="420" w:firstLineChars="200"/>
        <w:jc w:val="left"/>
        <w:rPr>
          <w:rFonts w:ascii="微软雅黑" w:hAnsi="微软雅黑" w:eastAsia="微软雅黑"/>
          <w:bCs/>
          <w:szCs w:val="21"/>
          <w:highlight w:val="none"/>
        </w:rPr>
      </w:pPr>
      <w:r>
        <w:rPr>
          <w:rFonts w:hint="eastAsia" w:ascii="微软雅黑" w:hAnsi="微软雅黑" w:eastAsia="微软雅黑"/>
          <w:bCs/>
          <w:szCs w:val="21"/>
          <w:highlight w:val="none"/>
        </w:rPr>
        <w:t>本项目对应的中小企业划分标准所属行业：其他未列明行业。</w:t>
      </w:r>
    </w:p>
    <w:p>
      <w:pPr>
        <w:pStyle w:val="31"/>
        <w:numPr>
          <w:ilvl w:val="0"/>
          <w:numId w:val="26"/>
        </w:numPr>
        <w:tabs>
          <w:tab w:val="left" w:pos="630"/>
        </w:tabs>
        <w:spacing w:after="0" w:line="360" w:lineRule="auto"/>
        <w:ind w:left="0" w:firstLine="420" w:firstLineChars="200"/>
        <w:jc w:val="left"/>
        <w:rPr>
          <w:rFonts w:ascii="微软雅黑" w:hAnsi="微软雅黑" w:eastAsia="微软雅黑" w:cs="微软雅黑"/>
          <w:szCs w:val="21"/>
          <w:highlight w:val="none"/>
        </w:rPr>
      </w:pPr>
      <w:r>
        <w:rPr>
          <w:rFonts w:hint="eastAsia" w:ascii="微软雅黑" w:hAnsi="微软雅黑" w:eastAsia="微软雅黑"/>
          <w:bCs/>
          <w:szCs w:val="21"/>
          <w:highlight w:val="none"/>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31"/>
        <w:numPr>
          <w:ilvl w:val="0"/>
          <w:numId w:val="26"/>
        </w:numPr>
        <w:tabs>
          <w:tab w:val="left" w:pos="630"/>
        </w:tabs>
        <w:spacing w:after="0" w:line="360" w:lineRule="auto"/>
        <w:ind w:left="0" w:firstLine="420" w:firstLineChars="200"/>
        <w:jc w:val="left"/>
        <w:rPr>
          <w:rFonts w:ascii="微软雅黑" w:hAnsi="微软雅黑" w:eastAsia="微软雅黑"/>
          <w:spacing w:val="-4"/>
          <w:szCs w:val="21"/>
          <w:highlight w:val="none"/>
        </w:rPr>
      </w:pPr>
      <w:r>
        <w:rPr>
          <w:rFonts w:hint="eastAsia" w:ascii="微软雅黑" w:hAnsi="微软雅黑" w:eastAsia="微软雅黑"/>
          <w:bCs/>
          <w:szCs w:val="21"/>
          <w:highlight w:val="none"/>
        </w:rPr>
        <w:t>监狱企业和残疾人福利性单位视同小型、微型企业，按《财政部 司法部关于政府采购支持监狱企业发展有关问题的通知》(财库〔2014〕68 号)、《财政部  民政部  中国残疾人联合会关于促进残疾人就业政府采购政策的通知》（财库〔2017〕141 号）的规定执</w:t>
      </w:r>
      <w:r>
        <w:rPr>
          <w:rFonts w:hint="eastAsia" w:ascii="微软雅黑" w:hAnsi="微软雅黑" w:eastAsia="微软雅黑"/>
          <w:spacing w:val="-4"/>
          <w:szCs w:val="21"/>
          <w:highlight w:val="none"/>
        </w:rPr>
        <w:t>行。</w:t>
      </w:r>
    </w:p>
    <w:p>
      <w:pPr>
        <w:spacing w:line="360" w:lineRule="auto"/>
        <w:rPr>
          <w:rFonts w:ascii="微软雅黑" w:hAnsi="微软雅黑" w:eastAsia="微软雅黑"/>
          <w:spacing w:val="-4"/>
          <w:szCs w:val="21"/>
          <w:highlight w:val="none"/>
        </w:rPr>
      </w:pPr>
      <w:r>
        <w:rPr>
          <w:rFonts w:hint="eastAsia" w:ascii="微软雅黑" w:hAnsi="微软雅黑" w:eastAsia="微软雅黑"/>
          <w:spacing w:val="-4"/>
          <w:szCs w:val="21"/>
          <w:highlight w:val="none"/>
        </w:rPr>
        <w:t>（5）对符合规定的小微企业报价按最高优惠幅度（货物和服务项目为10%、工程项目为5%）给予扣除，用扣除后的价格参加评审。对于联合协议或者分包意向协议约定小微企业的合同份额占到合同总金额30%以上的，应当对联合体或者大中型企业的报价按最高优惠幅度（货物和服务项目为3%、工程项目为2%）给予扣除，用扣除后的价格参加评审。</w:t>
      </w:r>
    </w:p>
    <w:p>
      <w:pPr>
        <w:pStyle w:val="31"/>
        <w:tabs>
          <w:tab w:val="left" w:pos="630"/>
        </w:tabs>
        <w:spacing w:after="0" w:line="240" w:lineRule="auto"/>
        <w:ind w:firstLine="418" w:firstLineChars="199"/>
        <w:jc w:val="left"/>
        <w:rPr>
          <w:rFonts w:ascii="微软雅黑" w:hAnsi="微软雅黑" w:eastAsia="微软雅黑"/>
          <w:b/>
          <w:bCs/>
          <w:szCs w:val="21"/>
          <w:highlight w:val="none"/>
        </w:rPr>
      </w:pPr>
      <w:r>
        <w:rPr>
          <w:rFonts w:hint="eastAsia" w:ascii="微软雅黑" w:hAnsi="微软雅黑" w:eastAsia="微软雅黑"/>
          <w:b/>
          <w:bCs/>
          <w:szCs w:val="21"/>
          <w:highlight w:val="none"/>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pPr>
        <w:pStyle w:val="3"/>
        <w:spacing w:before="360" w:line="240" w:lineRule="auto"/>
        <w:rPr>
          <w:rFonts w:hint="eastAsia" w:eastAsia="微软雅黑"/>
          <w:highlight w:val="none"/>
          <w:lang w:eastAsia="zh-CN"/>
        </w:rPr>
      </w:pPr>
      <w:r>
        <w:rPr>
          <w:rFonts w:hint="eastAsia" w:ascii="微软雅黑" w:hAnsi="微软雅黑"/>
          <w:szCs w:val="21"/>
          <w:highlight w:val="none"/>
        </w:rPr>
        <w:t>二、</w:t>
      </w:r>
      <w:r>
        <w:rPr>
          <w:rFonts w:hint="eastAsia" w:ascii="微软雅黑" w:hAnsi="微软雅黑"/>
          <w:szCs w:val="21"/>
          <w:highlight w:val="none"/>
          <w:lang w:eastAsia="zh-CN"/>
        </w:rPr>
        <w:t>技术资信打分表</w:t>
      </w:r>
    </w:p>
    <w:tbl>
      <w:tblPr>
        <w:tblStyle w:val="55"/>
        <w:tblW w:w="99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92"/>
        <w:gridCol w:w="1099"/>
        <w:gridCol w:w="1450"/>
        <w:gridCol w:w="5335"/>
        <w:gridCol w:w="14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3" w:hRule="atLeast"/>
          <w:jc w:val="center"/>
        </w:trPr>
        <w:tc>
          <w:tcPr>
            <w:tcW w:w="592" w:type="dxa"/>
            <w:vAlign w:val="center"/>
          </w:tcPr>
          <w:p>
            <w:pPr>
              <w:widowControl/>
              <w:jc w:val="center"/>
              <w:textAlignment w:val="center"/>
              <w:rPr>
                <w:rFonts w:ascii="微软雅黑" w:hAnsi="微软雅黑" w:eastAsia="微软雅黑" w:cs="微软雅黑"/>
                <w:b/>
                <w:bCs/>
                <w:szCs w:val="21"/>
                <w:highlight w:val="none"/>
              </w:rPr>
            </w:pPr>
            <w:r>
              <w:rPr>
                <w:rFonts w:hint="eastAsia" w:ascii="微软雅黑" w:hAnsi="微软雅黑" w:eastAsia="微软雅黑" w:cs="微软雅黑"/>
                <w:b/>
                <w:bCs/>
                <w:kern w:val="0"/>
                <w:szCs w:val="21"/>
                <w:highlight w:val="none"/>
                <w:lang w:bidi="ar"/>
              </w:rPr>
              <w:t>序号</w:t>
            </w:r>
          </w:p>
        </w:tc>
        <w:tc>
          <w:tcPr>
            <w:tcW w:w="1099" w:type="dxa"/>
            <w:vAlign w:val="center"/>
          </w:tcPr>
          <w:p>
            <w:pPr>
              <w:widowControl/>
              <w:jc w:val="center"/>
              <w:textAlignment w:val="center"/>
              <w:rPr>
                <w:rFonts w:ascii="微软雅黑" w:hAnsi="微软雅黑" w:eastAsia="微软雅黑" w:cs="微软雅黑"/>
                <w:b/>
                <w:bCs/>
                <w:szCs w:val="21"/>
                <w:highlight w:val="none"/>
              </w:rPr>
            </w:pPr>
            <w:r>
              <w:rPr>
                <w:rFonts w:hint="eastAsia" w:ascii="微软雅黑" w:hAnsi="微软雅黑" w:eastAsia="微软雅黑" w:cs="微软雅黑"/>
                <w:b/>
                <w:bCs/>
                <w:kern w:val="0"/>
                <w:szCs w:val="21"/>
                <w:highlight w:val="none"/>
                <w:lang w:bidi="ar"/>
              </w:rPr>
              <w:t>分项</w:t>
            </w:r>
          </w:p>
        </w:tc>
        <w:tc>
          <w:tcPr>
            <w:tcW w:w="1450" w:type="dxa"/>
            <w:vAlign w:val="center"/>
          </w:tcPr>
          <w:p>
            <w:pPr>
              <w:widowControl/>
              <w:jc w:val="center"/>
              <w:textAlignment w:val="center"/>
              <w:rPr>
                <w:rFonts w:ascii="微软雅黑" w:hAnsi="微软雅黑" w:eastAsia="微软雅黑" w:cs="微软雅黑"/>
                <w:b/>
                <w:bCs/>
                <w:szCs w:val="21"/>
                <w:highlight w:val="none"/>
              </w:rPr>
            </w:pPr>
            <w:r>
              <w:rPr>
                <w:rFonts w:hint="eastAsia" w:ascii="微软雅黑" w:hAnsi="微软雅黑" w:eastAsia="微软雅黑" w:cs="微软雅黑"/>
                <w:b/>
                <w:bCs/>
                <w:kern w:val="0"/>
                <w:szCs w:val="21"/>
                <w:highlight w:val="none"/>
                <w:lang w:bidi="ar"/>
              </w:rPr>
              <w:t>评分内容</w:t>
            </w:r>
          </w:p>
        </w:tc>
        <w:tc>
          <w:tcPr>
            <w:tcW w:w="5335" w:type="dxa"/>
            <w:vAlign w:val="center"/>
          </w:tcPr>
          <w:p>
            <w:pPr>
              <w:widowControl/>
              <w:jc w:val="center"/>
              <w:textAlignment w:val="center"/>
              <w:rPr>
                <w:rFonts w:ascii="微软雅黑" w:hAnsi="微软雅黑" w:eastAsia="微软雅黑" w:cs="微软雅黑"/>
                <w:b/>
                <w:bCs/>
                <w:szCs w:val="21"/>
                <w:highlight w:val="none"/>
              </w:rPr>
            </w:pPr>
            <w:r>
              <w:rPr>
                <w:rFonts w:hint="eastAsia" w:ascii="微软雅黑" w:hAnsi="微软雅黑" w:eastAsia="微软雅黑" w:cs="微软雅黑"/>
                <w:b/>
                <w:bCs/>
                <w:kern w:val="0"/>
                <w:szCs w:val="21"/>
                <w:highlight w:val="none"/>
                <w:lang w:bidi="ar"/>
              </w:rPr>
              <w:t>评分方法</w:t>
            </w:r>
          </w:p>
        </w:tc>
        <w:tc>
          <w:tcPr>
            <w:tcW w:w="1431" w:type="dxa"/>
            <w:vAlign w:val="center"/>
          </w:tcPr>
          <w:p>
            <w:pPr>
              <w:widowControl/>
              <w:jc w:val="center"/>
              <w:textAlignment w:val="center"/>
              <w:rPr>
                <w:rFonts w:ascii="微软雅黑" w:hAnsi="微软雅黑" w:eastAsia="微软雅黑" w:cs="微软雅黑"/>
                <w:b/>
                <w:bCs/>
                <w:szCs w:val="21"/>
                <w:highlight w:val="none"/>
              </w:rPr>
            </w:pPr>
            <w:r>
              <w:rPr>
                <w:rFonts w:hint="eastAsia" w:ascii="微软雅黑" w:hAnsi="微软雅黑" w:eastAsia="微软雅黑" w:cs="微软雅黑"/>
                <w:b/>
                <w:bCs/>
                <w:kern w:val="0"/>
                <w:szCs w:val="21"/>
                <w:highlight w:val="none"/>
                <w:lang w:bidi="ar"/>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24" w:hRule="atLeast"/>
          <w:jc w:val="center"/>
        </w:trPr>
        <w:tc>
          <w:tcPr>
            <w:tcW w:w="592"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1</w:t>
            </w:r>
          </w:p>
        </w:tc>
        <w:tc>
          <w:tcPr>
            <w:tcW w:w="1099" w:type="dxa"/>
            <w:vMerge w:val="restart"/>
            <w:vAlign w:val="center"/>
          </w:tcPr>
          <w:p>
            <w:pPr>
              <w:jc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资信分（2</w:t>
            </w:r>
            <w:r>
              <w:rPr>
                <w:rFonts w:hint="eastAsia" w:ascii="微软雅黑" w:hAnsi="微软雅黑" w:eastAsia="微软雅黑" w:cs="微软雅黑"/>
                <w:kern w:val="0"/>
                <w:szCs w:val="21"/>
                <w:highlight w:val="none"/>
                <w:lang w:val="en-US" w:eastAsia="zh-CN" w:bidi="ar"/>
              </w:rPr>
              <w:t>2</w:t>
            </w:r>
            <w:r>
              <w:rPr>
                <w:rFonts w:hint="eastAsia" w:ascii="微软雅黑" w:hAnsi="微软雅黑" w:eastAsia="微软雅黑" w:cs="微软雅黑"/>
                <w:kern w:val="0"/>
                <w:szCs w:val="21"/>
                <w:highlight w:val="none"/>
                <w:lang w:bidi="ar"/>
              </w:rPr>
              <w:t>分）</w:t>
            </w: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投标人资信实力</w:t>
            </w:r>
          </w:p>
        </w:tc>
        <w:tc>
          <w:tcPr>
            <w:tcW w:w="5335" w:type="dxa"/>
            <w:vAlign w:val="center"/>
          </w:tcPr>
          <w:p>
            <w:pPr>
              <w:widowControl/>
              <w:jc w:val="left"/>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1、供应商具有有效的质量管理体系认证、环境管理体系认证每个得1分，最高得2分。（提供相关证书复印件并加盖公章）</w:t>
            </w:r>
          </w:p>
          <w:p>
            <w:pPr>
              <w:widowControl/>
              <w:jc w:val="left"/>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2、供应商同时具有CMA资质和CNAS资质的，得4分；仅提供一项的，得2分。</w:t>
            </w:r>
          </w:p>
        </w:tc>
        <w:tc>
          <w:tcPr>
            <w:tcW w:w="1431"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4" w:hRule="atLeast"/>
          <w:jc w:val="center"/>
        </w:trPr>
        <w:tc>
          <w:tcPr>
            <w:tcW w:w="592"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2</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类似项目业绩</w:t>
            </w:r>
          </w:p>
        </w:tc>
        <w:tc>
          <w:tcPr>
            <w:tcW w:w="5335" w:type="dxa"/>
            <w:vAlign w:val="center"/>
          </w:tcPr>
          <w:p>
            <w:pPr>
              <w:widowControl/>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供应商自2019年1月1日以来，承接过同类项目的，每个得0.25分，最高得1分。</w:t>
            </w:r>
          </w:p>
          <w:p>
            <w:pPr>
              <w:widowControl/>
              <w:textAlignment w:val="center"/>
              <w:rPr>
                <w:rFonts w:ascii="微软雅黑" w:hAnsi="微软雅黑" w:eastAsia="微软雅黑" w:cs="微软雅黑"/>
                <w:highlight w:val="none"/>
              </w:rPr>
            </w:pPr>
            <w:r>
              <w:rPr>
                <w:rFonts w:hint="eastAsia" w:ascii="微软雅黑" w:hAnsi="微软雅黑" w:eastAsia="微软雅黑" w:cs="微软雅黑"/>
                <w:kern w:val="0"/>
                <w:szCs w:val="21"/>
                <w:highlight w:val="none"/>
                <w:lang w:bidi="ar"/>
              </w:rPr>
              <w:t>（标书内需提供合同复印件及中标通知书并</w:t>
            </w:r>
            <w:r>
              <w:rPr>
                <w:rFonts w:hint="eastAsia" w:ascii="微软雅黑" w:hAnsi="微软雅黑" w:eastAsia="微软雅黑" w:cs="微软雅黑"/>
                <w:bCs/>
                <w:szCs w:val="21"/>
                <w:highlight w:val="none"/>
              </w:rPr>
              <w:t>CA签章</w:t>
            </w:r>
            <w:r>
              <w:rPr>
                <w:rFonts w:hint="eastAsia" w:ascii="微软雅黑" w:hAnsi="微软雅黑" w:eastAsia="微软雅黑" w:cs="微软雅黑"/>
                <w:kern w:val="0"/>
                <w:szCs w:val="21"/>
                <w:highlight w:val="none"/>
                <w:lang w:bidi="ar"/>
              </w:rPr>
              <w:t>）</w:t>
            </w:r>
          </w:p>
        </w:tc>
        <w:tc>
          <w:tcPr>
            <w:tcW w:w="1431"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2" w:hRule="atLeast"/>
          <w:jc w:val="center"/>
        </w:trPr>
        <w:tc>
          <w:tcPr>
            <w:tcW w:w="592"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3</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投标人服务能力</w:t>
            </w:r>
          </w:p>
        </w:tc>
        <w:tc>
          <w:tcPr>
            <w:tcW w:w="5335" w:type="dxa"/>
            <w:vAlign w:val="center"/>
          </w:tcPr>
          <w:p>
            <w:pPr>
              <w:widowControl/>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1、供应商拥有省部级及以上环保重点实验室，每项得</w:t>
            </w:r>
            <w:r>
              <w:rPr>
                <w:rFonts w:hint="eastAsia" w:ascii="微软雅黑" w:hAnsi="微软雅黑" w:eastAsia="微软雅黑" w:cs="微软雅黑"/>
                <w:szCs w:val="21"/>
                <w:highlight w:val="none"/>
                <w:lang w:val="en-US" w:eastAsia="zh-CN"/>
              </w:rPr>
              <w:t>1</w:t>
            </w:r>
            <w:r>
              <w:rPr>
                <w:rFonts w:hint="eastAsia" w:ascii="微软雅黑" w:hAnsi="微软雅黑" w:eastAsia="微软雅黑" w:cs="微软雅黑"/>
                <w:szCs w:val="21"/>
                <w:highlight w:val="none"/>
              </w:rPr>
              <w:t>分，最多得</w:t>
            </w:r>
            <w:r>
              <w:rPr>
                <w:rFonts w:hint="eastAsia" w:ascii="微软雅黑" w:hAnsi="微软雅黑" w:eastAsia="微软雅黑" w:cs="微软雅黑"/>
                <w:szCs w:val="21"/>
                <w:highlight w:val="none"/>
                <w:lang w:val="en-US" w:eastAsia="zh-CN"/>
              </w:rPr>
              <w:t>3</w:t>
            </w:r>
            <w:r>
              <w:rPr>
                <w:rFonts w:hint="eastAsia" w:ascii="微软雅黑" w:hAnsi="微软雅黑" w:eastAsia="微软雅黑" w:cs="微软雅黑"/>
                <w:szCs w:val="21"/>
                <w:highlight w:val="none"/>
              </w:rPr>
              <w:t>分。</w:t>
            </w:r>
          </w:p>
          <w:p>
            <w:pPr>
              <w:widowControl/>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2、供应商具有中国工程咨询协会颁发的生态建设和环境工程领域工程咨询甲级资信证书的，得2分，乙级得1分。</w:t>
            </w:r>
          </w:p>
          <w:p>
            <w:pPr>
              <w:widowControl/>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（提供</w:t>
            </w:r>
            <w:r>
              <w:rPr>
                <w:rFonts w:hint="eastAsia" w:ascii="微软雅黑" w:hAnsi="微软雅黑" w:eastAsia="微软雅黑" w:cs="微软雅黑"/>
                <w:szCs w:val="21"/>
                <w:highlight w:val="none"/>
                <w:lang w:eastAsia="zh-CN"/>
              </w:rPr>
              <w:t>相关证明文件</w:t>
            </w:r>
            <w:r>
              <w:rPr>
                <w:rFonts w:hint="eastAsia" w:ascii="微软雅黑" w:hAnsi="微软雅黑" w:eastAsia="微软雅黑" w:cs="微软雅黑"/>
                <w:szCs w:val="21"/>
                <w:highlight w:val="none"/>
              </w:rPr>
              <w:t>扫描件并加盖公章，否则不予加分）</w:t>
            </w:r>
          </w:p>
        </w:tc>
        <w:tc>
          <w:tcPr>
            <w:tcW w:w="1431"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2" w:hRule="atLeast"/>
          <w:jc w:val="center"/>
        </w:trPr>
        <w:tc>
          <w:tcPr>
            <w:tcW w:w="592"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4</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szCs w:val="21"/>
                <w:highlight w:val="none"/>
              </w:rPr>
              <w:t>项目负责人</w:t>
            </w:r>
          </w:p>
        </w:tc>
        <w:tc>
          <w:tcPr>
            <w:tcW w:w="5335" w:type="dxa"/>
            <w:vAlign w:val="center"/>
          </w:tcPr>
          <w:p>
            <w:pPr>
              <w:widowControl/>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1、项目负责人：项目负责人具有环境类正高级技术职称，得2分；未提供者不得分。</w:t>
            </w:r>
          </w:p>
          <w:p>
            <w:pPr>
              <w:widowControl/>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szCs w:val="21"/>
                <w:highlight w:val="none"/>
              </w:rPr>
              <w:t>2、技术负责人：技术负责人具有环境类正高级技术职称，得2分；未提供者不得分。</w:t>
            </w:r>
            <w:r>
              <w:rPr>
                <w:rFonts w:hint="eastAsia" w:ascii="微软雅黑" w:hAnsi="微软雅黑" w:eastAsia="微软雅黑" w:cs="微软雅黑"/>
                <w:bCs/>
                <w:szCs w:val="21"/>
                <w:highlight w:val="none"/>
              </w:rPr>
              <w:t>（提供项目负责人在投标人单位缴纳的近三个月内任意一个月的社保证明和证书复印件并CA签章）</w:t>
            </w:r>
          </w:p>
        </w:tc>
        <w:tc>
          <w:tcPr>
            <w:tcW w:w="1431"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2" w:hRule="atLeast"/>
          <w:jc w:val="center"/>
        </w:trPr>
        <w:tc>
          <w:tcPr>
            <w:tcW w:w="592"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5</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项目成员配备和技术力量</w:t>
            </w:r>
          </w:p>
        </w:tc>
        <w:tc>
          <w:tcPr>
            <w:tcW w:w="5335" w:type="dxa"/>
            <w:vAlign w:val="center"/>
          </w:tcPr>
          <w:p>
            <w:pPr>
              <w:widowControl/>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项目组成员（除项目负责人和技术负责人）：项目组骨干人员不少于6人。具有环境类（及相近专业）副高级及以上职称，每提供1人得1分，最多得6分。</w:t>
            </w:r>
          </w:p>
          <w:p>
            <w:pPr>
              <w:pStyle w:val="27"/>
              <w:numPr>
                <w:ilvl w:val="0"/>
                <w:numId w:val="0"/>
              </w:numP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（提供以上人员职称证书和学历证书等证明材料，及社保部门出具的近半年连续三个月的供应商为其缴纳的社保缴费证明，未提供的不得分）</w:t>
            </w:r>
          </w:p>
        </w:tc>
        <w:tc>
          <w:tcPr>
            <w:tcW w:w="1431" w:type="dxa"/>
            <w:vAlign w:val="center"/>
          </w:tcPr>
          <w:p>
            <w:pPr>
              <w:widowControl/>
              <w:jc w:val="center"/>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kern w:val="0"/>
                <w:szCs w:val="21"/>
                <w:highlight w:val="none"/>
                <w:lang w:bidi="ar"/>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5" w:hRule="atLeast"/>
          <w:jc w:val="center"/>
        </w:trPr>
        <w:tc>
          <w:tcPr>
            <w:tcW w:w="592"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6</w:t>
            </w:r>
          </w:p>
        </w:tc>
        <w:tc>
          <w:tcPr>
            <w:tcW w:w="1099" w:type="dxa"/>
            <w:vMerge w:val="restart"/>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技术分（</w:t>
            </w:r>
            <w:r>
              <w:rPr>
                <w:rFonts w:hint="eastAsia" w:ascii="微软雅黑" w:hAnsi="微软雅黑" w:eastAsia="微软雅黑" w:cs="微软雅黑"/>
                <w:kern w:val="0"/>
                <w:szCs w:val="21"/>
                <w:highlight w:val="none"/>
                <w:lang w:val="en-US" w:eastAsia="zh-CN" w:bidi="ar"/>
              </w:rPr>
              <w:t>68</w:t>
            </w:r>
            <w:r>
              <w:rPr>
                <w:rFonts w:hint="eastAsia" w:ascii="微软雅黑" w:hAnsi="微软雅黑" w:eastAsia="微软雅黑" w:cs="微软雅黑"/>
                <w:kern w:val="0"/>
                <w:szCs w:val="21"/>
                <w:highlight w:val="none"/>
                <w:lang w:bidi="ar"/>
              </w:rPr>
              <w:t>分）</w:t>
            </w: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bidi="ar"/>
              </w:rPr>
              <w:t>项目的理解</w:t>
            </w:r>
          </w:p>
        </w:tc>
        <w:tc>
          <w:tcPr>
            <w:tcW w:w="5335" w:type="dxa"/>
            <w:vAlign w:val="center"/>
          </w:tcPr>
          <w:p>
            <w:pPr>
              <w:tabs>
                <w:tab w:val="left" w:pos="2061"/>
              </w:tabs>
              <w:jc w:val="lef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根据供应商对</w:t>
            </w:r>
            <w:r>
              <w:rPr>
                <w:rFonts w:hint="eastAsia" w:ascii="微软雅黑" w:hAnsi="微软雅黑" w:eastAsia="微软雅黑" w:cs="微软雅黑"/>
                <w:highlight w:val="none"/>
              </w:rPr>
              <w:t>项目概况、项目目标、项目内容和服务要求打分，</w:t>
            </w:r>
            <w:r>
              <w:rPr>
                <w:rFonts w:hint="eastAsia" w:ascii="微软雅黑" w:hAnsi="微软雅黑" w:eastAsia="微软雅黑" w:cs="微软雅黑"/>
                <w:szCs w:val="21"/>
                <w:highlight w:val="none"/>
              </w:rPr>
              <w:t>调查全面，背景、现状分析综合打分，不提供不得分（0,</w:t>
            </w:r>
            <w:r>
              <w:rPr>
                <w:rFonts w:hint="eastAsia" w:ascii="微软雅黑" w:hAnsi="微软雅黑" w:eastAsia="微软雅黑" w:cs="微软雅黑"/>
                <w:szCs w:val="21"/>
                <w:highlight w:val="none"/>
                <w:lang w:val="en-US" w:eastAsia="zh-CN"/>
              </w:rPr>
              <w:t>6</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10</w:t>
            </w:r>
            <w:r>
              <w:rPr>
                <w:rFonts w:hint="eastAsia" w:ascii="微软雅黑" w:hAnsi="微软雅黑" w:eastAsia="微软雅黑" w:cs="微软雅黑"/>
                <w:szCs w:val="21"/>
                <w:highlight w:val="none"/>
              </w:rPr>
              <w:t>分）。</w:t>
            </w:r>
            <w:r>
              <w:rPr>
                <w:rFonts w:hint="eastAsia" w:ascii="微软雅黑" w:hAnsi="微软雅黑" w:eastAsia="微软雅黑" w:cs="微软雅黑"/>
                <w:kern w:val="0"/>
                <w:szCs w:val="21"/>
                <w:highlight w:val="none"/>
                <w:lang w:bidi="ar"/>
              </w:rPr>
              <w:t xml:space="preserve"> </w:t>
            </w:r>
          </w:p>
        </w:tc>
        <w:tc>
          <w:tcPr>
            <w:tcW w:w="1431" w:type="dxa"/>
            <w:vAlign w:val="center"/>
          </w:tcPr>
          <w:p>
            <w:pPr>
              <w:widowControl/>
              <w:jc w:val="center"/>
              <w:textAlignment w:val="center"/>
              <w:rPr>
                <w:rFonts w:hint="default" w:ascii="微软雅黑" w:hAnsi="微软雅黑" w:eastAsia="微软雅黑" w:cs="微软雅黑"/>
                <w:szCs w:val="21"/>
                <w:highlight w:val="none"/>
                <w:lang w:val="en-US" w:eastAsia="zh-CN"/>
              </w:rPr>
            </w:pPr>
            <w:r>
              <w:rPr>
                <w:rFonts w:hint="eastAsia" w:ascii="微软雅黑" w:hAnsi="微软雅黑" w:eastAsia="微软雅黑" w:cs="微软雅黑"/>
                <w:kern w:val="0"/>
                <w:szCs w:val="21"/>
                <w:highlight w:val="none"/>
                <w:lang w:bidi="ar"/>
              </w:rPr>
              <w:t>0-</w:t>
            </w:r>
            <w:r>
              <w:rPr>
                <w:rFonts w:hint="eastAsia" w:ascii="微软雅黑" w:hAnsi="微软雅黑" w:eastAsia="微软雅黑" w:cs="微软雅黑"/>
                <w:kern w:val="0"/>
                <w:szCs w:val="21"/>
                <w:highlight w:val="none"/>
                <w:lang w:val="en-US" w:eastAsia="zh-CN" w:bidi="ar"/>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1" w:hRule="atLeast"/>
          <w:jc w:val="center"/>
        </w:trPr>
        <w:tc>
          <w:tcPr>
            <w:tcW w:w="592" w:type="dxa"/>
            <w:vMerge w:val="restart"/>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7</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总体概述</w:t>
            </w:r>
          </w:p>
        </w:tc>
        <w:tc>
          <w:tcPr>
            <w:tcW w:w="5335" w:type="dxa"/>
            <w:vAlign w:val="center"/>
          </w:tcPr>
          <w:p>
            <w:pPr>
              <w:widowControl/>
              <w:adjustRightInd w:val="0"/>
              <w:snapToGrid w:val="0"/>
              <w:jc w:val="lef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根据供应商对规范方案的总体概述认识全面性、深刻程度、完整清晰程度、计划合理程度综合打分，不提供不得分（0,</w:t>
            </w:r>
            <w:r>
              <w:rPr>
                <w:rFonts w:hint="eastAsia" w:ascii="微软雅黑" w:hAnsi="微软雅黑" w:eastAsia="微软雅黑" w:cs="微软雅黑"/>
                <w:szCs w:val="21"/>
                <w:highlight w:val="none"/>
                <w:lang w:val="en-US" w:eastAsia="zh-CN"/>
              </w:rPr>
              <w:t>6</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10</w:t>
            </w:r>
            <w:r>
              <w:rPr>
                <w:rFonts w:hint="eastAsia" w:ascii="微软雅黑" w:hAnsi="微软雅黑" w:eastAsia="微软雅黑" w:cs="微软雅黑"/>
                <w:szCs w:val="21"/>
                <w:highlight w:val="none"/>
              </w:rPr>
              <w:t>分）。</w:t>
            </w:r>
            <w:r>
              <w:rPr>
                <w:rFonts w:hint="eastAsia" w:ascii="微软雅黑" w:hAnsi="微软雅黑" w:eastAsia="微软雅黑" w:cs="微软雅黑"/>
                <w:kern w:val="0"/>
                <w:szCs w:val="21"/>
                <w:highlight w:val="none"/>
                <w:lang w:bidi="ar"/>
              </w:rPr>
              <w:t xml:space="preserve"> </w:t>
            </w:r>
          </w:p>
        </w:tc>
        <w:tc>
          <w:tcPr>
            <w:tcW w:w="1431"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0-1</w:t>
            </w:r>
            <w:r>
              <w:rPr>
                <w:rFonts w:hint="eastAsia" w:ascii="微软雅黑" w:hAnsi="微软雅黑" w:eastAsia="微软雅黑" w:cs="微软雅黑"/>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4" w:hRule="atLeast"/>
          <w:jc w:val="center"/>
        </w:trPr>
        <w:tc>
          <w:tcPr>
            <w:tcW w:w="592" w:type="dxa"/>
            <w:vMerge w:val="continue"/>
            <w:tcBorders>
              <w:bottom w:val="single" w:color="000000" w:sz="4" w:space="0"/>
            </w:tcBorders>
            <w:vAlign w:val="center"/>
          </w:tcPr>
          <w:p>
            <w:pPr>
              <w:jc w:val="center"/>
              <w:rPr>
                <w:rFonts w:ascii="微软雅黑" w:hAnsi="微软雅黑" w:eastAsia="微软雅黑" w:cs="微软雅黑"/>
                <w:szCs w:val="21"/>
                <w:highlight w:val="none"/>
              </w:rPr>
            </w:pP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tcBorders>
              <w:bottom w:val="single" w:color="000000" w:sz="4" w:space="0"/>
            </w:tcBorders>
            <w:vAlign w:val="center"/>
          </w:tcPr>
          <w:p>
            <w:pPr>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实施方案</w:t>
            </w:r>
          </w:p>
        </w:tc>
        <w:tc>
          <w:tcPr>
            <w:tcW w:w="5335" w:type="dxa"/>
            <w:tcBorders>
              <w:bottom w:val="single" w:color="000000" w:sz="4" w:space="0"/>
            </w:tcBorders>
            <w:vAlign w:val="center"/>
          </w:tcPr>
          <w:p>
            <w:pPr>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根据供应商评估方案的框架说明全面性、详细合理性、成果框架完善程度综合打分，不提供不得分（0,</w:t>
            </w:r>
            <w:r>
              <w:rPr>
                <w:rFonts w:hint="eastAsia" w:ascii="微软雅黑" w:hAnsi="微软雅黑" w:eastAsia="微软雅黑" w:cs="微软雅黑"/>
                <w:szCs w:val="21"/>
                <w:highlight w:val="none"/>
                <w:lang w:val="en-US" w:eastAsia="zh-CN"/>
              </w:rPr>
              <w:t>6</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10</w:t>
            </w:r>
            <w:r>
              <w:rPr>
                <w:rFonts w:hint="eastAsia" w:ascii="微软雅黑" w:hAnsi="微软雅黑" w:eastAsia="微软雅黑" w:cs="微软雅黑"/>
                <w:szCs w:val="21"/>
                <w:highlight w:val="none"/>
              </w:rPr>
              <w:t>分）。</w:t>
            </w:r>
          </w:p>
        </w:tc>
        <w:tc>
          <w:tcPr>
            <w:tcW w:w="1431" w:type="dxa"/>
            <w:tcBorders>
              <w:bottom w:val="single" w:color="000000" w:sz="4" w:space="0"/>
            </w:tcBorders>
            <w:vAlign w:val="center"/>
          </w:tcPr>
          <w:p>
            <w:pPr>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0-1</w:t>
            </w:r>
            <w:r>
              <w:rPr>
                <w:rFonts w:hint="eastAsia" w:ascii="微软雅黑" w:hAnsi="微软雅黑" w:eastAsia="微软雅黑" w:cs="微软雅黑"/>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5" w:hRule="atLeast"/>
          <w:jc w:val="center"/>
        </w:trPr>
        <w:tc>
          <w:tcPr>
            <w:tcW w:w="592" w:type="dxa"/>
            <w:vAlign w:val="center"/>
          </w:tcPr>
          <w:p>
            <w:pPr>
              <w:jc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lang w:val="en-US" w:eastAsia="zh-CN"/>
              </w:rPr>
              <w:t>8</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jc w:val="center"/>
              <w:rPr>
                <w:rFonts w:ascii="微软雅黑" w:hAnsi="微软雅黑" w:eastAsia="微软雅黑" w:cs="微软雅黑"/>
                <w:szCs w:val="21"/>
                <w:highlight w:val="none"/>
              </w:rPr>
            </w:pPr>
            <w:bookmarkStart w:id="534" w:name="OLE_LINK91"/>
            <w:r>
              <w:rPr>
                <w:rFonts w:hint="eastAsia" w:ascii="微软雅黑" w:hAnsi="微软雅黑" w:eastAsia="微软雅黑" w:cs="微软雅黑"/>
                <w:kern w:val="0"/>
                <w:szCs w:val="21"/>
                <w:highlight w:val="none"/>
              </w:rPr>
              <w:t>项目进度安排</w:t>
            </w:r>
            <w:bookmarkEnd w:id="534"/>
          </w:p>
        </w:tc>
        <w:tc>
          <w:tcPr>
            <w:tcW w:w="5335" w:type="dxa"/>
            <w:vAlign w:val="center"/>
          </w:tcPr>
          <w:p>
            <w:pPr>
              <w:widowControl/>
              <w:textAlignment w:val="center"/>
              <w:rPr>
                <w:rFonts w:ascii="微软雅黑" w:hAnsi="微软雅黑" w:eastAsia="微软雅黑" w:cs="微软雅黑"/>
                <w:kern w:val="0"/>
                <w:szCs w:val="21"/>
                <w:highlight w:val="none"/>
                <w:lang w:bidi="ar"/>
              </w:rPr>
            </w:pPr>
            <w:r>
              <w:rPr>
                <w:rFonts w:hint="eastAsia" w:ascii="微软雅黑" w:hAnsi="微软雅黑" w:eastAsia="微软雅黑" w:cs="微软雅黑"/>
                <w:color w:val="000000"/>
                <w:kern w:val="0"/>
                <w:szCs w:val="21"/>
                <w:highlight w:val="none"/>
              </w:rPr>
              <w:t>对本项目总体进度计划，进度保证措施是否合理等方面进行</w:t>
            </w:r>
            <w:r>
              <w:rPr>
                <w:rFonts w:hint="eastAsia" w:ascii="微软雅黑" w:hAnsi="微软雅黑" w:eastAsia="微软雅黑" w:cs="微软雅黑"/>
                <w:szCs w:val="21"/>
                <w:highlight w:val="none"/>
              </w:rPr>
              <w:t>综合打分，不提供不得分（0,</w:t>
            </w:r>
            <w:r>
              <w:rPr>
                <w:rFonts w:hint="eastAsia" w:ascii="微软雅黑" w:hAnsi="微软雅黑" w:eastAsia="微软雅黑" w:cs="微软雅黑"/>
                <w:szCs w:val="21"/>
                <w:highlight w:val="none"/>
                <w:lang w:val="en-US" w:eastAsia="zh-CN"/>
              </w:rPr>
              <w:t>5</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9</w:t>
            </w:r>
            <w:r>
              <w:rPr>
                <w:rFonts w:hint="eastAsia" w:ascii="微软雅黑" w:hAnsi="微软雅黑" w:eastAsia="微软雅黑" w:cs="微软雅黑"/>
                <w:szCs w:val="21"/>
                <w:highlight w:val="none"/>
              </w:rPr>
              <w:t>分）。</w:t>
            </w:r>
          </w:p>
        </w:tc>
        <w:tc>
          <w:tcPr>
            <w:tcW w:w="1431" w:type="dxa"/>
            <w:vAlign w:val="center"/>
          </w:tcPr>
          <w:p>
            <w:pPr>
              <w:jc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0" w:hRule="atLeast"/>
          <w:jc w:val="center"/>
        </w:trPr>
        <w:tc>
          <w:tcPr>
            <w:tcW w:w="592"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kern w:val="0"/>
                <w:szCs w:val="21"/>
                <w:highlight w:val="none"/>
                <w:lang w:val="en-US" w:eastAsia="zh-CN" w:bidi="ar"/>
              </w:rPr>
              <w:t>9</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服务保障措施</w:t>
            </w:r>
          </w:p>
        </w:tc>
        <w:tc>
          <w:tcPr>
            <w:tcW w:w="5335" w:type="dxa"/>
            <w:vAlign w:val="center"/>
          </w:tcPr>
          <w:p>
            <w:pPr>
              <w:widowControl/>
              <w:jc w:val="left"/>
              <w:textAlignment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对服务方案及保障描施进行综合打分，不提供不得分（0,</w:t>
            </w:r>
            <w:r>
              <w:rPr>
                <w:rFonts w:hint="eastAsia" w:ascii="微软雅黑" w:hAnsi="微软雅黑" w:eastAsia="微软雅黑" w:cs="微软雅黑"/>
                <w:szCs w:val="21"/>
                <w:highlight w:val="none"/>
                <w:lang w:val="en-US" w:eastAsia="zh-CN"/>
              </w:rPr>
              <w:t>5</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9</w:t>
            </w:r>
            <w:r>
              <w:rPr>
                <w:rFonts w:hint="eastAsia" w:ascii="微软雅黑" w:hAnsi="微软雅黑" w:eastAsia="微软雅黑" w:cs="微软雅黑"/>
                <w:szCs w:val="21"/>
                <w:highlight w:val="none"/>
              </w:rPr>
              <w:t>分）。</w:t>
            </w:r>
          </w:p>
        </w:tc>
        <w:tc>
          <w:tcPr>
            <w:tcW w:w="1431"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0" w:hRule="atLeast"/>
          <w:jc w:val="center"/>
        </w:trPr>
        <w:tc>
          <w:tcPr>
            <w:tcW w:w="592" w:type="dxa"/>
            <w:vAlign w:val="center"/>
          </w:tcPr>
          <w:p>
            <w:pPr>
              <w:widowControl/>
              <w:jc w:val="center"/>
              <w:textAlignment w:val="center"/>
              <w:rPr>
                <w:rFonts w:hint="default" w:ascii="微软雅黑" w:hAnsi="微软雅黑" w:eastAsia="微软雅黑" w:cs="微软雅黑"/>
                <w:kern w:val="0"/>
                <w:szCs w:val="21"/>
                <w:highlight w:val="none"/>
                <w:lang w:val="en-US" w:eastAsia="zh-CN" w:bidi="ar"/>
              </w:rPr>
            </w:pPr>
            <w:r>
              <w:rPr>
                <w:rFonts w:hint="eastAsia" w:ascii="微软雅黑" w:hAnsi="微软雅黑" w:eastAsia="微软雅黑" w:cs="微软雅黑"/>
                <w:kern w:val="0"/>
                <w:szCs w:val="21"/>
                <w:highlight w:val="none"/>
                <w:lang w:val="en-US" w:eastAsia="zh-CN" w:bidi="ar"/>
              </w:rPr>
              <w:t>10</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lang w:eastAsia="zh-CN"/>
              </w:rPr>
              <w:t>合理化建议</w:t>
            </w:r>
          </w:p>
        </w:tc>
        <w:tc>
          <w:tcPr>
            <w:tcW w:w="5335" w:type="dxa"/>
            <w:vAlign w:val="center"/>
          </w:tcPr>
          <w:p>
            <w:pPr>
              <w:widowControl/>
              <w:jc w:val="left"/>
              <w:textAlignment w:val="center"/>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lang w:val="en-US" w:eastAsia="zh-CN"/>
              </w:rPr>
              <w:t>提出关于本项目的相关合理化建议，突发情况的处理，酌情打分</w:t>
            </w: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6</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10</w:t>
            </w:r>
            <w:r>
              <w:rPr>
                <w:rFonts w:hint="eastAsia" w:ascii="微软雅黑" w:hAnsi="微软雅黑" w:eastAsia="微软雅黑" w:cs="微软雅黑"/>
                <w:szCs w:val="21"/>
                <w:highlight w:val="none"/>
              </w:rPr>
              <w:t>分）</w:t>
            </w:r>
          </w:p>
        </w:tc>
        <w:tc>
          <w:tcPr>
            <w:tcW w:w="1431" w:type="dxa"/>
            <w:vAlign w:val="center"/>
          </w:tcPr>
          <w:p>
            <w:pPr>
              <w:widowControl/>
              <w:jc w:val="center"/>
              <w:textAlignment w:val="center"/>
              <w:rPr>
                <w:rFonts w:hint="default" w:ascii="微软雅黑" w:hAnsi="微软雅黑" w:eastAsia="微软雅黑" w:cs="微软雅黑"/>
                <w:kern w:val="0"/>
                <w:szCs w:val="21"/>
                <w:highlight w:val="none"/>
                <w:lang w:val="en-US" w:bidi="ar"/>
              </w:rPr>
            </w:pP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0" w:hRule="atLeast"/>
          <w:jc w:val="center"/>
        </w:trPr>
        <w:tc>
          <w:tcPr>
            <w:tcW w:w="592" w:type="dxa"/>
            <w:vAlign w:val="center"/>
          </w:tcPr>
          <w:p>
            <w:pPr>
              <w:widowControl/>
              <w:jc w:val="center"/>
              <w:textAlignment w:val="center"/>
              <w:rPr>
                <w:rFonts w:hint="default" w:ascii="微软雅黑" w:hAnsi="微软雅黑" w:eastAsia="微软雅黑" w:cs="微软雅黑"/>
                <w:kern w:val="0"/>
                <w:szCs w:val="21"/>
                <w:highlight w:val="none"/>
                <w:lang w:val="en-US" w:eastAsia="zh-CN" w:bidi="ar"/>
              </w:rPr>
            </w:pPr>
            <w:r>
              <w:rPr>
                <w:rFonts w:hint="eastAsia" w:ascii="微软雅黑" w:hAnsi="微软雅黑" w:eastAsia="微软雅黑" w:cs="微软雅黑"/>
                <w:kern w:val="0"/>
                <w:szCs w:val="21"/>
                <w:highlight w:val="none"/>
                <w:lang w:val="en-US" w:eastAsia="zh-CN" w:bidi="ar"/>
              </w:rPr>
              <w:t>11</w:t>
            </w:r>
          </w:p>
        </w:tc>
        <w:tc>
          <w:tcPr>
            <w:tcW w:w="1099" w:type="dxa"/>
            <w:vMerge w:val="continue"/>
            <w:vAlign w:val="center"/>
          </w:tcPr>
          <w:p>
            <w:pPr>
              <w:jc w:val="center"/>
              <w:rPr>
                <w:rFonts w:ascii="微软雅黑" w:hAnsi="微软雅黑" w:eastAsia="微软雅黑" w:cs="微软雅黑"/>
                <w:szCs w:val="21"/>
                <w:highlight w:val="none"/>
              </w:rPr>
            </w:pPr>
          </w:p>
        </w:tc>
        <w:tc>
          <w:tcPr>
            <w:tcW w:w="1450" w:type="dxa"/>
            <w:vAlign w:val="center"/>
          </w:tcPr>
          <w:p>
            <w:pPr>
              <w:widowControl/>
              <w:jc w:val="center"/>
              <w:textAlignment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lang w:eastAsia="zh-CN"/>
              </w:rPr>
              <w:t>重点、难点分析</w:t>
            </w:r>
          </w:p>
        </w:tc>
        <w:tc>
          <w:tcPr>
            <w:tcW w:w="5335" w:type="dxa"/>
            <w:vAlign w:val="center"/>
          </w:tcPr>
          <w:p>
            <w:pPr>
              <w:widowControl/>
              <w:jc w:val="left"/>
              <w:textAlignment w:val="center"/>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根据投标人针对本项目特点提出的研究的重点、难点分析综合打分。（0,</w:t>
            </w:r>
            <w:r>
              <w:rPr>
                <w:rFonts w:hint="eastAsia" w:ascii="微软雅黑" w:hAnsi="微软雅黑" w:eastAsia="微软雅黑" w:cs="微软雅黑"/>
                <w:szCs w:val="21"/>
                <w:highlight w:val="none"/>
                <w:lang w:val="en-US" w:eastAsia="zh-CN"/>
              </w:rPr>
              <w:t>6</w:t>
            </w:r>
            <w:r>
              <w:rPr>
                <w:rFonts w:hint="eastAsia" w:ascii="微软雅黑" w:hAnsi="微软雅黑" w:eastAsia="微软雅黑" w:cs="微软雅黑"/>
                <w:szCs w:val="21"/>
                <w:highlight w:val="none"/>
              </w:rPr>
              <w:t>-</w:t>
            </w:r>
            <w:r>
              <w:rPr>
                <w:rFonts w:hint="eastAsia" w:ascii="微软雅黑" w:hAnsi="微软雅黑" w:eastAsia="微软雅黑" w:cs="微软雅黑"/>
                <w:szCs w:val="21"/>
                <w:highlight w:val="none"/>
                <w:lang w:val="en-US" w:eastAsia="zh-CN"/>
              </w:rPr>
              <w:t>10</w:t>
            </w:r>
            <w:r>
              <w:rPr>
                <w:rFonts w:hint="eastAsia" w:ascii="微软雅黑" w:hAnsi="微软雅黑" w:eastAsia="微软雅黑" w:cs="微软雅黑"/>
                <w:szCs w:val="21"/>
                <w:highlight w:val="none"/>
              </w:rPr>
              <w:t>分）</w:t>
            </w:r>
          </w:p>
        </w:tc>
        <w:tc>
          <w:tcPr>
            <w:tcW w:w="1431" w:type="dxa"/>
            <w:vAlign w:val="center"/>
          </w:tcPr>
          <w:p>
            <w:pPr>
              <w:widowControl/>
              <w:jc w:val="center"/>
              <w:textAlignment w:val="center"/>
              <w:rPr>
                <w:rFonts w:hint="default" w:ascii="微软雅黑" w:hAnsi="微软雅黑" w:eastAsia="微软雅黑" w:cs="微软雅黑"/>
                <w:kern w:val="0"/>
                <w:szCs w:val="21"/>
                <w:highlight w:val="none"/>
                <w:lang w:val="en-US" w:bidi="ar"/>
              </w:rPr>
            </w:pPr>
            <w:r>
              <w:rPr>
                <w:rFonts w:hint="eastAsia" w:ascii="微软雅黑" w:hAnsi="微软雅黑" w:eastAsia="微软雅黑" w:cs="微软雅黑"/>
                <w:szCs w:val="21"/>
                <w:highlight w:val="none"/>
              </w:rPr>
              <w:t>0-</w:t>
            </w:r>
            <w:r>
              <w:rPr>
                <w:rFonts w:hint="eastAsia" w:ascii="微软雅黑" w:hAnsi="微软雅黑" w:eastAsia="微软雅黑" w:cs="微软雅黑"/>
                <w:szCs w:val="21"/>
                <w:highlight w:val="none"/>
                <w:lang w:val="en-US" w:eastAsia="zh-CN"/>
              </w:rPr>
              <w:t>10</w:t>
            </w:r>
          </w:p>
        </w:tc>
      </w:tr>
    </w:tbl>
    <w:p>
      <w:pPr>
        <w:pStyle w:val="3"/>
        <w:spacing w:before="360"/>
        <w:rPr>
          <w:highlight w:val="none"/>
        </w:rPr>
      </w:pPr>
    </w:p>
    <w:p>
      <w:pPr>
        <w:rPr>
          <w:highlight w:val="none"/>
        </w:rPr>
        <w:sectPr>
          <w:footerReference r:id="rId17" w:type="default"/>
          <w:pgSz w:w="11906" w:h="16838"/>
          <w:pgMar w:top="1474" w:right="1797" w:bottom="1247" w:left="1797" w:header="851" w:footer="851" w:gutter="0"/>
          <w:cols w:space="720" w:num="1"/>
          <w:docGrid w:linePitch="312" w:charSpace="0"/>
        </w:sectPr>
      </w:pPr>
    </w:p>
    <w:p>
      <w:pPr>
        <w:pStyle w:val="3"/>
        <w:spacing w:before="360"/>
        <w:jc w:val="center"/>
        <w:rPr>
          <w:highlight w:val="none"/>
        </w:rPr>
      </w:pPr>
      <w:r>
        <w:rPr>
          <w:rFonts w:hint="eastAsia"/>
          <w:highlight w:val="none"/>
        </w:rPr>
        <w:t>第六章 磋商相关文件格式</w:t>
      </w:r>
      <w:bookmarkEnd w:id="529"/>
      <w:bookmarkEnd w:id="531"/>
      <w:bookmarkEnd w:id="532"/>
      <w:bookmarkEnd w:id="533"/>
      <w:bookmarkStart w:id="535" w:name="_Toc15805942"/>
      <w:bookmarkStart w:id="536" w:name="_Toc15813259"/>
      <w:bookmarkStart w:id="537" w:name="_Toc47756041"/>
      <w:bookmarkStart w:id="538" w:name="_Toc45506740"/>
    </w:p>
    <w:bookmarkEnd w:id="535"/>
    <w:bookmarkEnd w:id="536"/>
    <w:bookmarkEnd w:id="537"/>
    <w:bookmarkEnd w:id="538"/>
    <w:p>
      <w:pPr>
        <w:snapToGrid w:val="0"/>
        <w:spacing w:line="360" w:lineRule="auto"/>
        <w:ind w:right="480"/>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一</w:t>
      </w:r>
      <w:r>
        <w:rPr>
          <w:rFonts w:ascii="仿宋" w:hAnsi="仿宋" w:eastAsia="仿宋" w:cs="仿宋_GB2312"/>
          <w:b/>
          <w:kern w:val="0"/>
          <w:sz w:val="32"/>
          <w:szCs w:val="32"/>
          <w:highlight w:val="none"/>
        </w:rPr>
        <w:t>、 符合参加政府采购活动应当具备的一般条件的承诺函</w:t>
      </w:r>
    </w:p>
    <w:p>
      <w:pPr>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b/>
          <w:szCs w:val="21"/>
          <w:highlight w:val="none"/>
          <w:u w:val="single"/>
        </w:rPr>
        <w:t xml:space="preserve">                        </w:t>
      </w:r>
      <w:r>
        <w:rPr>
          <w:rFonts w:hint="eastAsia" w:ascii="微软雅黑" w:hAnsi="微软雅黑" w:eastAsia="微软雅黑" w:cs="微软雅黑"/>
          <w:szCs w:val="21"/>
          <w:highlight w:val="none"/>
        </w:rPr>
        <w:t>：</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我方参与</w:t>
      </w:r>
      <w:r>
        <w:rPr>
          <w:rFonts w:hint="eastAsia" w:ascii="微软雅黑" w:hAnsi="微软雅黑" w:eastAsia="微软雅黑" w:cs="微软雅黑"/>
          <w:szCs w:val="21"/>
          <w:highlight w:val="none"/>
          <w:u w:val="single"/>
        </w:rPr>
        <w:t>（项目名称）</w:t>
      </w:r>
      <w:r>
        <w:rPr>
          <w:rFonts w:hint="eastAsia" w:ascii="微软雅黑" w:hAnsi="微软雅黑" w:eastAsia="微软雅黑" w:cs="微软雅黑"/>
          <w:szCs w:val="21"/>
          <w:highlight w:val="none"/>
        </w:rPr>
        <w:t>【招标编号：</w:t>
      </w:r>
      <w:r>
        <w:rPr>
          <w:rFonts w:hint="eastAsia" w:ascii="微软雅黑" w:hAnsi="微软雅黑" w:eastAsia="微软雅黑" w:cs="微软雅黑"/>
          <w:szCs w:val="21"/>
          <w:highlight w:val="none"/>
          <w:u w:val="single"/>
        </w:rPr>
        <w:t>（采购编号）</w:t>
      </w:r>
      <w:r>
        <w:rPr>
          <w:rFonts w:hint="eastAsia" w:ascii="微软雅黑" w:hAnsi="微软雅黑" w:eastAsia="微软雅黑" w:cs="微软雅黑"/>
          <w:szCs w:val="21"/>
          <w:highlight w:val="none"/>
        </w:rPr>
        <w:t>】政府采购活动，郑重承诺：</w:t>
      </w:r>
    </w:p>
    <w:p>
      <w:pPr>
        <w:snapToGrid w:val="0"/>
        <w:spacing w:line="240" w:lineRule="auto"/>
        <w:ind w:firstLine="315" w:firstLineChars="15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（一）具备《中华人民共和国政府采购法》第二十二条第一款规定的条件：</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1、具有独立承担民事责任的能力；</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2、具有良好的商业信誉和健全的财务会计制度； </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3、具有履行合同所必需的设备和专业技术能力；</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4、有依法缴纳税收和社会保障资金的良好记录；</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5、参加政府采购活动前三年内，在经营活动中没有重大违法记录；</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6、具有法律、行政法规规定的其他条件。</w:t>
      </w:r>
    </w:p>
    <w:p>
      <w:pPr>
        <w:wordWrap w:val="0"/>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（二）未被信用中国（www.creditchina.gov.cn)、中国政府采购网（www.ccgp.gov.cn）列入失信被执行人、重大税收违法案件当事人名单、政府采购严重违法失信行为记录名单。</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（三）不存在以下情况：</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1、单位负责人为同一人或者存在直接控股、管理关系的不同供应商参加同一合同项下的政府采购活动的；</w:t>
      </w:r>
    </w:p>
    <w:p>
      <w:pPr>
        <w:snapToGrid w:val="0"/>
        <w:spacing w:line="24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2、为采购项目提供整体设计、规范编制或者项目管理、监理、检测等服务后再参加该采购项目的其他采购活动的。</w:t>
      </w:r>
    </w:p>
    <w:p>
      <w:pPr>
        <w:snapToGrid w:val="0"/>
        <w:spacing w:line="360" w:lineRule="auto"/>
        <w:ind w:firstLine="4830" w:firstLineChars="2300"/>
        <w:rPr>
          <w:rFonts w:ascii="微软雅黑" w:hAnsi="微软雅黑" w:eastAsia="微软雅黑" w:cs="微软雅黑"/>
          <w:kern w:val="0"/>
          <w:szCs w:val="21"/>
          <w:highlight w:val="none"/>
          <w:lang w:val="zh-CN"/>
        </w:rPr>
      </w:pPr>
    </w:p>
    <w:p>
      <w:pPr>
        <w:snapToGrid w:val="0"/>
        <w:spacing w:line="360" w:lineRule="auto"/>
        <w:ind w:firstLine="4830" w:firstLineChars="2300"/>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投标人名称(电子签名)：</w:t>
      </w:r>
    </w:p>
    <w:p>
      <w:pPr>
        <w:snapToGrid w:val="0"/>
        <w:spacing w:line="360" w:lineRule="auto"/>
        <w:jc w:val="right"/>
        <w:rPr>
          <w:rFonts w:ascii="微软雅黑" w:hAnsi="微软雅黑" w:eastAsia="微软雅黑" w:cs="微软雅黑"/>
          <w:kern w:val="0"/>
          <w:highlight w:val="none"/>
        </w:rPr>
      </w:pPr>
      <w:r>
        <w:rPr>
          <w:rFonts w:hint="eastAsia" w:ascii="微软雅黑" w:hAnsi="微软雅黑" w:eastAsia="微软雅黑" w:cs="微软雅黑"/>
          <w:kern w:val="0"/>
          <w:szCs w:val="21"/>
          <w:highlight w:val="none"/>
          <w:lang w:val="zh-CN"/>
        </w:rPr>
        <w:t>日期</w:t>
      </w:r>
      <w:r>
        <w:rPr>
          <w:rFonts w:hint="eastAsia" w:ascii="微软雅黑" w:hAnsi="微软雅黑" w:eastAsia="微软雅黑" w:cs="微软雅黑"/>
          <w:kern w:val="0"/>
          <w:szCs w:val="21"/>
          <w:highlight w:val="none"/>
        </w:rPr>
        <w:t xml:space="preserve">：  年  </w:t>
      </w:r>
      <w:r>
        <w:rPr>
          <w:rFonts w:hint="eastAsia" w:ascii="微软雅黑" w:hAnsi="微软雅黑" w:eastAsia="微软雅黑" w:cs="微软雅黑"/>
          <w:kern w:val="0"/>
          <w:szCs w:val="21"/>
          <w:highlight w:val="none"/>
          <w:lang w:val="zh-CN"/>
        </w:rPr>
        <w:t>月</w:t>
      </w:r>
      <w:r>
        <w:rPr>
          <w:rFonts w:hint="eastAsia" w:ascii="微软雅黑" w:hAnsi="微软雅黑" w:eastAsia="微软雅黑" w:cs="微软雅黑"/>
          <w:kern w:val="0"/>
          <w:szCs w:val="21"/>
          <w:highlight w:val="none"/>
        </w:rPr>
        <w:t xml:space="preserve">  </w:t>
      </w:r>
      <w:r>
        <w:rPr>
          <w:rFonts w:hint="eastAsia" w:ascii="微软雅黑" w:hAnsi="微软雅黑" w:eastAsia="微软雅黑" w:cs="微软雅黑"/>
          <w:kern w:val="0"/>
          <w:szCs w:val="21"/>
          <w:highlight w:val="none"/>
          <w:lang w:val="zh-CN"/>
        </w:rPr>
        <w:t>日</w:t>
      </w:r>
    </w:p>
    <w:p>
      <w:pP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二、落实政府采购政策需满足的资格要求</w:t>
      </w:r>
    </w:p>
    <w:p>
      <w:pPr>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（根据招标公告落实政府采购政策需满足的资格要求选择提供相应的材料；未要求的，无需提供）</w:t>
      </w:r>
    </w:p>
    <w:p>
      <w:pPr>
        <w:widowControl/>
        <w:spacing w:line="360" w:lineRule="auto"/>
        <w:ind w:firstLine="480"/>
        <w:jc w:val="left"/>
        <w:rPr>
          <w:rFonts w:ascii="微软雅黑" w:hAnsi="微软雅黑" w:eastAsia="微软雅黑" w:cs="微软雅黑"/>
          <w:szCs w:val="21"/>
          <w:highlight w:val="none"/>
        </w:rPr>
      </w:pPr>
    </w:p>
    <w:p>
      <w:pPr>
        <w:widowControl/>
        <w:spacing w:line="360" w:lineRule="auto"/>
        <w:ind w:firstLine="411" w:firstLineChars="196"/>
        <w:jc w:val="left"/>
        <w:rPr>
          <w:rFonts w:ascii="微软雅黑" w:hAnsi="微软雅黑" w:eastAsia="微软雅黑" w:cs="微软雅黑"/>
          <w:sz w:val="24"/>
          <w:highlight w:val="none"/>
        </w:rPr>
      </w:pPr>
      <w:r>
        <w:rPr>
          <w:rFonts w:hint="eastAsia" w:ascii="微软雅黑" w:hAnsi="微软雅黑" w:eastAsia="微软雅黑" w:cs="微软雅黑"/>
          <w:szCs w:val="21"/>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jc w:val="center"/>
        <w:rPr>
          <w:rFonts w:ascii="微软雅黑" w:hAnsi="微软雅黑" w:eastAsia="微软雅黑" w:cs="微软雅黑"/>
          <w:b/>
          <w:kern w:val="0"/>
          <w:sz w:val="32"/>
          <w:szCs w:val="32"/>
          <w:highlight w:val="none"/>
          <w:lang w:val="zh-CN"/>
        </w:rPr>
      </w:pPr>
    </w:p>
    <w:p>
      <w:pPr>
        <w:snapToGrid w:val="0"/>
        <w:spacing w:before="50" w:after="50" w:line="360" w:lineRule="auto"/>
        <w:rPr>
          <w:rFonts w:ascii="微软雅黑" w:hAnsi="微软雅黑" w:eastAsia="微软雅黑" w:cs="微软雅黑"/>
          <w:b/>
          <w:kern w:val="0"/>
          <w:sz w:val="32"/>
          <w:szCs w:val="32"/>
          <w:highlight w:val="none"/>
          <w:lang w:val="zh-CN"/>
        </w:rPr>
      </w:pPr>
    </w:p>
    <w:p>
      <w:pPr>
        <w:rPr>
          <w:rFonts w:hint="eastAsia"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br w:type="page"/>
      </w:r>
    </w:p>
    <w:p>
      <w:pPr>
        <w:snapToGrid w:val="0"/>
        <w:spacing w:before="50" w:after="50" w:line="360" w:lineRule="auto"/>
        <w:jc w:val="center"/>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t>联合协议</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（联合体所有成员名称）</w:t>
      </w:r>
      <w:r>
        <w:rPr>
          <w:rFonts w:hint="eastAsia" w:ascii="微软雅黑" w:hAnsi="微软雅黑" w:eastAsia="微软雅黑" w:cs="微软雅黑"/>
          <w:kern w:val="0"/>
          <w:szCs w:val="21"/>
          <w:highlight w:val="none"/>
        </w:rPr>
        <w:t>自愿</w:t>
      </w:r>
      <w:r>
        <w:rPr>
          <w:rFonts w:hint="eastAsia" w:ascii="微软雅黑" w:hAnsi="微软雅黑" w:eastAsia="微软雅黑" w:cs="微软雅黑"/>
          <w:kern w:val="0"/>
          <w:szCs w:val="21"/>
          <w:highlight w:val="none"/>
          <w:lang w:val="zh-CN"/>
        </w:rPr>
        <w:t>组成一个联合体，以一个投标人的身份</w:t>
      </w:r>
      <w:r>
        <w:rPr>
          <w:rFonts w:hint="eastAsia" w:ascii="微软雅黑" w:hAnsi="微软雅黑" w:eastAsia="微软雅黑" w:cs="微软雅黑"/>
          <w:kern w:val="0"/>
          <w:szCs w:val="21"/>
          <w:highlight w:val="none"/>
        </w:rPr>
        <w:t>参加</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投标。</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一、各方一致决定，</w:t>
      </w:r>
      <w:r>
        <w:rPr>
          <w:rFonts w:hint="eastAsia" w:ascii="微软雅黑" w:hAnsi="微软雅黑" w:eastAsia="微软雅黑" w:cs="微软雅黑"/>
          <w:kern w:val="0"/>
          <w:szCs w:val="21"/>
          <w:highlight w:val="none"/>
          <w:u w:val="single"/>
        </w:rPr>
        <w:t>（某联合体成员名称）</w:t>
      </w:r>
      <w:r>
        <w:rPr>
          <w:rFonts w:hint="eastAsia" w:ascii="微软雅黑" w:hAnsi="微软雅黑" w:eastAsia="微软雅黑" w:cs="微软雅黑"/>
          <w:kern w:val="0"/>
          <w:szCs w:val="21"/>
          <w:highlight w:val="none"/>
        </w:rPr>
        <w:t>为联合体</w:t>
      </w:r>
      <w:r>
        <w:rPr>
          <w:rFonts w:hint="eastAsia" w:ascii="微软雅黑" w:hAnsi="微软雅黑" w:eastAsia="微软雅黑" w:cs="微软雅黑"/>
          <w:kern w:val="0"/>
          <w:szCs w:val="21"/>
          <w:highlight w:val="none"/>
          <w:lang w:val="zh-CN"/>
        </w:rPr>
        <w:t>牵头人</w:t>
      </w:r>
      <w:r>
        <w:rPr>
          <w:rFonts w:hint="eastAsia" w:ascii="微软雅黑" w:hAnsi="微软雅黑" w:eastAsia="微软雅黑" w:cs="微软雅黑"/>
          <w:szCs w:val="21"/>
          <w:highlight w:val="none"/>
        </w:rPr>
        <w:t>，代表所有联合体成员负责投标和合同实施阶段的主办、协调工作</w:t>
      </w:r>
      <w:r>
        <w:rPr>
          <w:rFonts w:hint="eastAsia" w:ascii="微软雅黑" w:hAnsi="微软雅黑" w:eastAsia="微软雅黑" w:cs="微软雅黑"/>
          <w:kern w:val="0"/>
          <w:szCs w:val="21"/>
          <w:highlight w:val="none"/>
          <w:lang w:val="zh-CN"/>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二、</w:t>
      </w:r>
      <w:r>
        <w:rPr>
          <w:rFonts w:hint="eastAsia" w:ascii="微软雅黑" w:hAnsi="微软雅黑" w:eastAsia="微软雅黑" w:cs="微软雅黑"/>
          <w:szCs w:val="21"/>
          <w:highlight w:val="none"/>
        </w:rPr>
        <w:t>所有联合体成员各方签署授权书，授权书载明的</w:t>
      </w:r>
      <w:r>
        <w:rPr>
          <w:rFonts w:hint="eastAsia" w:ascii="微软雅黑" w:hAnsi="微软雅黑" w:eastAsia="微软雅黑" w:cs="微软雅黑"/>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三、本次联合投标中，分工如下：</w:t>
      </w:r>
      <w:r>
        <w:rPr>
          <w:rFonts w:hint="eastAsia" w:ascii="微软雅黑" w:hAnsi="微软雅黑" w:eastAsia="微软雅黑" w:cs="微软雅黑"/>
          <w:kern w:val="0"/>
          <w:szCs w:val="21"/>
          <w:highlight w:val="none"/>
          <w:u w:val="single"/>
        </w:rPr>
        <w:t>（联合体其中一方成员名称）</w:t>
      </w:r>
      <w:r>
        <w:rPr>
          <w:rFonts w:hint="eastAsia" w:ascii="微软雅黑" w:hAnsi="微软雅黑" w:eastAsia="微软雅黑" w:cs="微软雅黑"/>
          <w:kern w:val="0"/>
          <w:szCs w:val="21"/>
          <w:highlight w:val="none"/>
          <w:lang w:val="zh-CN"/>
        </w:rPr>
        <w:t>承担的工作和义务为：；</w:t>
      </w:r>
      <w:r>
        <w:rPr>
          <w:rFonts w:hint="eastAsia" w:ascii="微软雅黑" w:hAnsi="微软雅黑" w:eastAsia="微软雅黑" w:cs="微软雅黑"/>
          <w:kern w:val="0"/>
          <w:szCs w:val="21"/>
          <w:highlight w:val="none"/>
          <w:u w:val="single"/>
        </w:rPr>
        <w:t>（联合体其中一方成员名称）</w:t>
      </w:r>
      <w:r>
        <w:rPr>
          <w:rFonts w:hint="eastAsia" w:ascii="微软雅黑" w:hAnsi="微软雅黑" w:eastAsia="微软雅黑" w:cs="微软雅黑"/>
          <w:kern w:val="0"/>
          <w:szCs w:val="21"/>
          <w:highlight w:val="none"/>
          <w:lang w:val="zh-CN"/>
        </w:rPr>
        <w:t>承担的工作和义务为： ；……。</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四、</w:t>
      </w:r>
      <w:r>
        <w:rPr>
          <w:rFonts w:hint="eastAsia" w:ascii="微软雅黑" w:hAnsi="微软雅黑" w:eastAsia="微软雅黑" w:cs="微软雅黑"/>
          <w:szCs w:val="21"/>
          <w:highlight w:val="none"/>
        </w:rPr>
        <w:t>中小企业合同金额达到</w:t>
      </w:r>
      <w:r>
        <w:rPr>
          <w:rFonts w:hint="eastAsia" w:ascii="微软雅黑" w:hAnsi="微软雅黑" w:eastAsia="微软雅黑" w:cs="微软雅黑"/>
          <w:szCs w:val="21"/>
          <w:highlight w:val="none"/>
          <w:u w:val="single"/>
          <w:lang w:val="en-US" w:eastAsia="zh-CN"/>
        </w:rPr>
        <w:t xml:space="preserve">   </w:t>
      </w:r>
      <w:r>
        <w:rPr>
          <w:rFonts w:hint="eastAsia" w:ascii="微软雅黑" w:hAnsi="微软雅黑" w:eastAsia="微软雅黑" w:cs="微软雅黑"/>
          <w:szCs w:val="21"/>
          <w:highlight w:val="none"/>
        </w:rPr>
        <w:t>%，小微企业合同金额达到</w:t>
      </w:r>
      <w:r>
        <w:rPr>
          <w:rFonts w:hint="eastAsia" w:ascii="微软雅黑" w:hAnsi="微软雅黑" w:eastAsia="微软雅黑" w:cs="微软雅黑"/>
          <w:szCs w:val="21"/>
          <w:highlight w:val="none"/>
          <w:u w:val="single"/>
          <w:lang w:val="en-US" w:eastAsia="zh-CN"/>
        </w:rPr>
        <w:t xml:space="preserve">   </w:t>
      </w:r>
      <w:r>
        <w:rPr>
          <w:rFonts w:hint="eastAsia" w:ascii="微软雅黑" w:hAnsi="微软雅黑" w:eastAsia="微软雅黑" w:cs="微软雅黑"/>
          <w:szCs w:val="21"/>
          <w:highlight w:val="none"/>
        </w:rPr>
        <w:t>%</w:t>
      </w:r>
      <w:r>
        <w:rPr>
          <w:rFonts w:hint="eastAsia" w:ascii="微软雅黑" w:hAnsi="微软雅黑" w:eastAsia="微软雅黑" w:cs="微软雅黑"/>
          <w:kern w:val="0"/>
          <w:szCs w:val="21"/>
          <w:highlight w:val="none"/>
          <w:lang w:val="zh-CN"/>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五、如果中标，</w:t>
      </w:r>
      <w:r>
        <w:rPr>
          <w:rFonts w:hint="eastAsia" w:ascii="微软雅黑" w:hAnsi="微软雅黑" w:eastAsia="微软雅黑" w:cs="微软雅黑"/>
          <w:szCs w:val="21"/>
          <w:highlight w:val="none"/>
        </w:rPr>
        <w:t>联合体各成员方共同与采购人签订合同，并就采购合同约定的事项对采购人承担连带责任。</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六、有关本次联合投标的其他事宜：</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1、联合体各方不再单独参加或者与其他供应商另外组成联合体参加同一合同项下的政府采购活动。</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2、联合体中有同类资质的各方按照联合体分工承担相同工作的，按照资质等级较低的供应商确定资质等级。</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3、本协议提交采购人、采购机构后，联合体各方不得以任何形式对上述内容进行修改或撤销。</w:t>
      </w:r>
    </w:p>
    <w:p>
      <w:pPr>
        <w:snapToGrid w:val="0"/>
        <w:spacing w:line="240" w:lineRule="auto"/>
        <w:ind w:firstLine="4410" w:firstLineChars="21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联合体成员名称(电子签名/公章)：</w:t>
      </w:r>
    </w:p>
    <w:p>
      <w:pPr>
        <w:snapToGrid w:val="0"/>
        <w:spacing w:line="240" w:lineRule="auto"/>
        <w:ind w:firstLine="4410" w:firstLineChars="21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联合体成员名称(电子签名/公章)：</w:t>
      </w:r>
    </w:p>
    <w:p>
      <w:pPr>
        <w:snapToGrid w:val="0"/>
        <w:spacing w:line="240" w:lineRule="auto"/>
        <w:ind w:firstLine="5040" w:firstLineChars="2400"/>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w:t>
      </w:r>
    </w:p>
    <w:p>
      <w:pPr>
        <w:snapToGrid w:val="0"/>
        <w:spacing w:line="240" w:lineRule="auto"/>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spacing w:line="360" w:lineRule="auto"/>
        <w:ind w:firstLine="480" w:firstLineChars="200"/>
        <w:rPr>
          <w:rFonts w:ascii="微软雅黑" w:hAnsi="微软雅黑" w:eastAsia="微软雅黑" w:cs="微软雅黑"/>
          <w:sz w:val="24"/>
          <w:highlight w:val="none"/>
        </w:rPr>
      </w:pPr>
    </w:p>
    <w:p>
      <w:pPr>
        <w:spacing w:line="360" w:lineRule="auto"/>
        <w:ind w:firstLine="480" w:firstLineChars="200"/>
        <w:rPr>
          <w:rFonts w:ascii="微软雅黑" w:hAnsi="微软雅黑" w:eastAsia="微软雅黑" w:cs="微软雅黑"/>
          <w:b/>
          <w:sz w:val="24"/>
          <w:highlight w:val="none"/>
        </w:rPr>
      </w:pPr>
    </w:p>
    <w:p>
      <w:pPr>
        <w:spacing w:line="360" w:lineRule="auto"/>
        <w:ind w:firstLine="480" w:firstLineChars="200"/>
        <w:rPr>
          <w:rFonts w:ascii="微软雅黑" w:hAnsi="微软雅黑" w:eastAsia="微软雅黑" w:cs="微软雅黑"/>
          <w:b/>
          <w:sz w:val="24"/>
          <w:highlight w:val="none"/>
        </w:rPr>
      </w:pPr>
    </w:p>
    <w:p>
      <w:pPr>
        <w:spacing w:line="360" w:lineRule="auto"/>
        <w:ind w:firstLine="480" w:firstLineChars="200"/>
        <w:rPr>
          <w:rFonts w:ascii="微软雅黑" w:hAnsi="微软雅黑" w:eastAsia="微软雅黑" w:cs="微软雅黑"/>
          <w:b/>
          <w:sz w:val="24"/>
          <w:highlight w:val="none"/>
        </w:rPr>
      </w:pPr>
    </w:p>
    <w:p>
      <w:pPr>
        <w:spacing w:line="360" w:lineRule="auto"/>
        <w:ind w:firstLine="420" w:firstLineChars="200"/>
        <w:rPr>
          <w:rFonts w:ascii="微软雅黑" w:hAnsi="微软雅黑" w:eastAsia="微软雅黑" w:cs="微软雅黑"/>
          <w:sz w:val="24"/>
          <w:highlight w:val="none"/>
        </w:rPr>
      </w:pPr>
      <w:r>
        <w:rPr>
          <w:rFonts w:hint="eastAsia" w:ascii="微软雅黑" w:hAnsi="微软雅黑" w:eastAsia="微软雅黑" w:cs="微软雅黑"/>
          <w:b/>
          <w:szCs w:val="21"/>
          <w:highlight w:val="none"/>
        </w:rPr>
        <w:t>C、</w:t>
      </w:r>
      <w:r>
        <w:rPr>
          <w:rFonts w:hint="eastAsia" w:ascii="微软雅黑" w:hAnsi="微软雅黑" w:eastAsia="微软雅黑" w:cs="微软雅黑"/>
          <w:szCs w:val="21"/>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br w:type="page"/>
      </w:r>
    </w:p>
    <w:p>
      <w:pPr>
        <w:snapToGrid w:val="0"/>
        <w:spacing w:line="360" w:lineRule="auto"/>
        <w:ind w:firstLine="3522" w:firstLineChars="1100"/>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分包意向协议</w:t>
      </w:r>
    </w:p>
    <w:p>
      <w:pPr>
        <w:widowControl/>
        <w:spacing w:line="240" w:lineRule="auto"/>
        <w:ind w:firstLine="105" w:firstLineChars="50"/>
        <w:jc w:val="lef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w:t>
      </w:r>
      <w:r>
        <w:rPr>
          <w:rFonts w:hint="eastAsia" w:ascii="微软雅黑" w:hAnsi="微软雅黑" w:eastAsia="微软雅黑" w:cs="微软雅黑"/>
          <w:b/>
          <w:szCs w:val="21"/>
          <w:highlight w:val="none"/>
        </w:rPr>
        <w:t>中标后以分包方式履行合同的，提供分包意向协议；采购人不同意分包或者投标人中标后不以分包方式履行合同的，则不需要提供。</w:t>
      </w:r>
      <w:r>
        <w:rPr>
          <w:rFonts w:hint="eastAsia" w:ascii="微软雅黑" w:hAnsi="微软雅黑" w:eastAsia="微软雅黑" w:cs="微软雅黑"/>
          <w:szCs w:val="21"/>
          <w:highlight w:val="none"/>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lang w:val="zh-CN"/>
        </w:rPr>
        <w:t>若成为</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的中标供应商，将依法采取分包方式履行合同。</w:t>
      </w: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rPr>
        <w:t>与</w:t>
      </w:r>
      <w:r>
        <w:rPr>
          <w:rFonts w:hint="eastAsia" w:ascii="微软雅黑" w:hAnsi="微软雅黑" w:eastAsia="微软雅黑" w:cs="微软雅黑"/>
          <w:kern w:val="0"/>
          <w:szCs w:val="21"/>
          <w:highlight w:val="none"/>
          <w:u w:val="single"/>
        </w:rPr>
        <w:t>（所有分包供应商名称）</w:t>
      </w:r>
      <w:r>
        <w:rPr>
          <w:rFonts w:hint="eastAsia" w:ascii="微软雅黑" w:hAnsi="微软雅黑" w:eastAsia="微软雅黑" w:cs="微软雅黑"/>
          <w:kern w:val="0"/>
          <w:szCs w:val="21"/>
          <w:highlight w:val="none"/>
        </w:rPr>
        <w:t>达成分包意向协议</w:t>
      </w:r>
      <w:r>
        <w:rPr>
          <w:rFonts w:hint="eastAsia" w:ascii="微软雅黑" w:hAnsi="微软雅黑" w:eastAsia="微软雅黑" w:cs="微软雅黑"/>
          <w:kern w:val="0"/>
          <w:szCs w:val="21"/>
          <w:highlight w:val="none"/>
          <w:lang w:val="zh-CN"/>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一、分包标的及数量</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lang w:val="zh-CN"/>
        </w:rPr>
        <w:t>将</w:t>
      </w:r>
      <w:r>
        <w:rPr>
          <w:rFonts w:hint="eastAsia" w:ascii="微软雅黑" w:hAnsi="微软雅黑" w:eastAsia="微软雅黑" w:cs="微软雅黑"/>
          <w:szCs w:val="21"/>
          <w:highlight w:val="none"/>
          <w:u w:val="single"/>
        </w:rPr>
        <w:t xml:space="preserve">   XX工作内容   </w:t>
      </w:r>
      <w:r>
        <w:rPr>
          <w:rFonts w:hint="eastAsia" w:ascii="微软雅黑" w:hAnsi="微软雅黑" w:eastAsia="微软雅黑" w:cs="微软雅黑"/>
          <w:szCs w:val="21"/>
          <w:highlight w:val="none"/>
        </w:rPr>
        <w:t>分包给</w:t>
      </w:r>
      <w:r>
        <w:rPr>
          <w:rFonts w:hint="eastAsia" w:ascii="微软雅黑" w:hAnsi="微软雅黑" w:eastAsia="微软雅黑" w:cs="微软雅黑"/>
          <w:kern w:val="0"/>
          <w:szCs w:val="21"/>
          <w:highlight w:val="none"/>
          <w:u w:val="single"/>
        </w:rPr>
        <w:t>（某分包供应商名称）</w:t>
      </w:r>
      <w:r>
        <w:rPr>
          <w:rFonts w:hint="eastAsia" w:ascii="微软雅黑" w:hAnsi="微软雅黑" w:eastAsia="微软雅黑" w:cs="微软雅黑"/>
          <w:kern w:val="0"/>
          <w:szCs w:val="21"/>
          <w:highlight w:val="none"/>
          <w:lang w:val="zh-CN"/>
        </w:rPr>
        <w:t>，</w:t>
      </w:r>
      <w:r>
        <w:rPr>
          <w:rFonts w:hint="eastAsia" w:ascii="微软雅黑" w:hAnsi="微软雅黑" w:eastAsia="微软雅黑" w:cs="微软雅黑"/>
          <w:kern w:val="0"/>
          <w:szCs w:val="21"/>
          <w:highlight w:val="none"/>
          <w:u w:val="single"/>
        </w:rPr>
        <w:t>（某分包供应商名称），</w:t>
      </w:r>
      <w:r>
        <w:rPr>
          <w:rFonts w:hint="eastAsia" w:ascii="微软雅黑" w:hAnsi="微软雅黑" w:eastAsia="微软雅黑" w:cs="微软雅黑"/>
          <w:kern w:val="0"/>
          <w:szCs w:val="21"/>
          <w:highlight w:val="none"/>
          <w:lang w:val="zh-CN"/>
        </w:rPr>
        <w:t>具备承</w:t>
      </w:r>
      <w:r>
        <w:rPr>
          <w:rFonts w:hint="eastAsia" w:ascii="微软雅黑" w:hAnsi="微软雅黑" w:eastAsia="微软雅黑" w:cs="微软雅黑"/>
          <w:kern w:val="0"/>
          <w:szCs w:val="21"/>
          <w:highlight w:val="none"/>
        </w:rPr>
        <w:t>担</w:t>
      </w:r>
      <w:r>
        <w:rPr>
          <w:rFonts w:hint="eastAsia" w:ascii="微软雅黑" w:hAnsi="微软雅黑" w:eastAsia="微软雅黑" w:cs="微软雅黑"/>
          <w:kern w:val="0"/>
          <w:szCs w:val="21"/>
          <w:highlight w:val="none"/>
          <w:u w:val="single"/>
          <w:lang w:val="zh-CN"/>
        </w:rPr>
        <w:t>XX工作内容</w:t>
      </w:r>
      <w:r>
        <w:rPr>
          <w:rFonts w:hint="eastAsia" w:ascii="微软雅黑" w:hAnsi="微软雅黑" w:eastAsia="微软雅黑" w:cs="微软雅黑"/>
          <w:kern w:val="0"/>
          <w:szCs w:val="21"/>
          <w:highlight w:val="none"/>
          <w:lang w:val="zh-CN"/>
        </w:rPr>
        <w:t>相应资质条件且不得再次分包；</w:t>
      </w:r>
    </w:p>
    <w:p>
      <w:pPr>
        <w:pStyle w:val="4"/>
        <w:tabs>
          <w:tab w:val="left" w:pos="432"/>
        </w:tabs>
        <w:spacing w:line="240" w:lineRule="auto"/>
        <w:ind w:left="664" w:leftChars="316" w:firstLine="200" w:firstLineChars="95"/>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二、分包工作履行期限、地点、方式</w:t>
      </w:r>
    </w:p>
    <w:p>
      <w:pPr>
        <w:snapToGrid w:val="0"/>
        <w:spacing w:line="240" w:lineRule="auto"/>
        <w:ind w:firstLine="576"/>
        <w:rPr>
          <w:rFonts w:ascii="微软雅黑" w:hAnsi="微软雅黑" w:eastAsia="微软雅黑" w:cs="微软雅黑"/>
          <w:szCs w:val="21"/>
          <w:highlight w:val="none"/>
          <w:u w:val="single"/>
        </w:rPr>
      </w:pP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三、质量</w:t>
      </w:r>
    </w:p>
    <w:p>
      <w:pPr>
        <w:snapToGrid w:val="0"/>
        <w:spacing w:line="240" w:lineRule="auto"/>
        <w:ind w:firstLine="576"/>
        <w:rPr>
          <w:rFonts w:ascii="微软雅黑" w:hAnsi="微软雅黑" w:eastAsia="微软雅黑" w:cs="微软雅黑"/>
          <w:kern w:val="0"/>
          <w:szCs w:val="21"/>
          <w:highlight w:val="none"/>
          <w:lang w:val="zh-CN"/>
        </w:rPr>
      </w:pP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四、价款或者报酬</w:t>
      </w:r>
    </w:p>
    <w:p>
      <w:pPr>
        <w:snapToGrid w:val="0"/>
        <w:spacing w:line="240" w:lineRule="auto"/>
        <w:ind w:left="573" w:leftChars="273"/>
        <w:rPr>
          <w:rFonts w:ascii="微软雅黑" w:hAnsi="微软雅黑" w:eastAsia="微软雅黑" w:cs="微软雅黑"/>
          <w:kern w:val="0"/>
          <w:szCs w:val="21"/>
          <w:highlight w:val="none"/>
          <w:lang w:val="zh-CN"/>
        </w:rPr>
      </w:pPr>
    </w:p>
    <w:p>
      <w:pPr>
        <w:snapToGrid w:val="0"/>
        <w:spacing w:line="240" w:lineRule="auto"/>
        <w:ind w:left="573" w:leftChars="273"/>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五、违约责任</w:t>
      </w:r>
    </w:p>
    <w:p>
      <w:pPr>
        <w:snapToGrid w:val="0"/>
        <w:spacing w:line="240" w:lineRule="auto"/>
        <w:ind w:firstLine="576"/>
        <w:rPr>
          <w:rFonts w:ascii="微软雅黑" w:hAnsi="微软雅黑" w:eastAsia="微软雅黑" w:cs="微软雅黑"/>
          <w:kern w:val="0"/>
          <w:szCs w:val="21"/>
          <w:highlight w:val="none"/>
          <w:lang w:val="zh-CN"/>
        </w:rPr>
      </w:pP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六、争议解决的办法</w:t>
      </w:r>
    </w:p>
    <w:p>
      <w:pPr>
        <w:snapToGrid w:val="0"/>
        <w:spacing w:line="240" w:lineRule="auto"/>
        <w:ind w:firstLine="576"/>
        <w:rPr>
          <w:rFonts w:ascii="微软雅黑" w:hAnsi="微软雅黑" w:eastAsia="微软雅黑" w:cs="微软雅黑"/>
          <w:kern w:val="0"/>
          <w:szCs w:val="21"/>
          <w:highlight w:val="none"/>
          <w:lang w:val="zh-CN"/>
        </w:rPr>
      </w:pP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七、其他</w:t>
      </w:r>
    </w:p>
    <w:p>
      <w:pPr>
        <w:snapToGrid w:val="0"/>
        <w:spacing w:line="240" w:lineRule="auto"/>
        <w:ind w:left="5128" w:leftChars="342" w:hanging="4410" w:hangingChars="2100"/>
        <w:rPr>
          <w:rFonts w:ascii="微软雅黑" w:hAnsi="微软雅黑" w:eastAsia="微软雅黑" w:cs="微软雅黑"/>
          <w:kern w:val="0"/>
          <w:szCs w:val="21"/>
          <w:highlight w:val="none"/>
          <w:lang w:val="zh-CN"/>
        </w:rPr>
      </w:pPr>
      <w:r>
        <w:rPr>
          <w:rFonts w:hint="eastAsia" w:ascii="微软雅黑" w:hAnsi="微软雅黑" w:eastAsia="微软雅黑" w:cs="微软雅黑"/>
          <w:szCs w:val="21"/>
          <w:highlight w:val="none"/>
        </w:rPr>
        <w:t>中小企业合同金额达到%，小微企业合同金额达到%</w:t>
      </w:r>
      <w:r>
        <w:rPr>
          <w:rFonts w:hint="eastAsia" w:ascii="微软雅黑" w:hAnsi="微软雅黑" w:eastAsia="微软雅黑" w:cs="微软雅黑"/>
          <w:kern w:val="0"/>
          <w:szCs w:val="21"/>
          <w:highlight w:val="none"/>
          <w:lang w:val="zh-CN"/>
        </w:rPr>
        <w:t xml:space="preserve">  。                                           投标人名称(电子签名)：</w:t>
      </w:r>
    </w:p>
    <w:p>
      <w:pPr>
        <w:snapToGrid w:val="0"/>
        <w:spacing w:line="240" w:lineRule="auto"/>
        <w:ind w:firstLine="4935" w:firstLineChars="235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分包供应商名称：</w:t>
      </w:r>
    </w:p>
    <w:p>
      <w:pPr>
        <w:snapToGrid w:val="0"/>
        <w:spacing w:line="240" w:lineRule="auto"/>
        <w:ind w:firstLine="5040" w:firstLineChars="2400"/>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w:t>
      </w:r>
    </w:p>
    <w:p>
      <w:pPr>
        <w:spacing w:line="240" w:lineRule="auto"/>
        <w:jc w:val="center"/>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widowControl/>
        <w:spacing w:line="360" w:lineRule="auto"/>
        <w:ind w:left="150"/>
        <w:jc w:val="center"/>
        <w:rPr>
          <w:rFonts w:ascii="微软雅黑" w:hAnsi="微软雅黑" w:eastAsia="微软雅黑" w:cs="微软雅黑"/>
          <w:b/>
          <w:kern w:val="0"/>
          <w:sz w:val="32"/>
          <w:szCs w:val="32"/>
          <w:highlight w:val="none"/>
        </w:rPr>
      </w:pPr>
    </w:p>
    <w:p>
      <w:pPr>
        <w:widowControl/>
        <w:spacing w:line="360" w:lineRule="auto"/>
        <w:ind w:left="150"/>
        <w:jc w:val="center"/>
        <w:rPr>
          <w:rFonts w:ascii="微软雅黑" w:hAnsi="微软雅黑" w:eastAsia="微软雅黑" w:cs="微软雅黑"/>
          <w:b/>
          <w:kern w:val="0"/>
          <w:sz w:val="32"/>
          <w:szCs w:val="32"/>
          <w:highlight w:val="none"/>
        </w:rPr>
      </w:pPr>
    </w:p>
    <w:p>
      <w:pPr>
        <w:widowControl/>
        <w:spacing w:line="360" w:lineRule="auto"/>
        <w:ind w:left="150"/>
        <w:jc w:val="cente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三、本项目的特定资格要求</w:t>
      </w:r>
    </w:p>
    <w:p>
      <w:pPr>
        <w:spacing w:line="360" w:lineRule="auto"/>
        <w:jc w:val="center"/>
        <w:rPr>
          <w:rFonts w:ascii="微软雅黑" w:hAnsi="微软雅黑" w:eastAsia="微软雅黑" w:cs="微软雅黑"/>
          <w:sz w:val="24"/>
          <w:highlight w:val="none"/>
        </w:rPr>
      </w:pPr>
      <w:r>
        <w:rPr>
          <w:rFonts w:hint="eastAsia" w:ascii="微软雅黑" w:hAnsi="微软雅黑" w:eastAsia="微软雅黑" w:cs="微软雅黑"/>
          <w:szCs w:val="21"/>
          <w:highlight w:val="none"/>
        </w:rPr>
        <w:t>（根据招标公告本项目的特定资格要求提供相应的材料；未要求的，无需提供）</w:t>
      </w:r>
    </w:p>
    <w:p>
      <w:pPr>
        <w:rPr>
          <w:rFonts w:ascii="微软雅黑" w:hAnsi="微软雅黑" w:eastAsia="微软雅黑" w:cs="微软雅黑"/>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pacing w:line="360" w:lineRule="auto"/>
        <w:jc w:val="center"/>
        <w:outlineLvl w:val="0"/>
        <w:rPr>
          <w:rFonts w:ascii="微软雅黑" w:hAnsi="微软雅黑" w:eastAsia="微软雅黑" w:cs="微软雅黑"/>
          <w:b/>
          <w:kern w:val="0"/>
          <w:sz w:val="36"/>
          <w:szCs w:val="36"/>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pacing w:line="360" w:lineRule="auto"/>
        <w:jc w:val="center"/>
        <w:outlineLvl w:val="0"/>
        <w:rPr>
          <w:rFonts w:ascii="微软雅黑" w:hAnsi="微软雅黑" w:eastAsia="微软雅黑" w:cs="微软雅黑"/>
          <w:b/>
          <w:kern w:val="0"/>
          <w:sz w:val="36"/>
          <w:szCs w:val="36"/>
          <w:highlight w:val="none"/>
        </w:rPr>
      </w:pPr>
    </w:p>
    <w:p>
      <w:pPr>
        <w:snapToGrid w:val="0"/>
        <w:spacing w:line="360" w:lineRule="auto"/>
        <w:ind w:right="480"/>
        <w:jc w:val="center"/>
        <w:rPr>
          <w:rFonts w:ascii="微软雅黑" w:hAnsi="微软雅黑" w:eastAsia="微软雅黑" w:cs="微软雅黑"/>
          <w:b/>
          <w:kern w:val="0"/>
          <w:sz w:val="32"/>
          <w:szCs w:val="32"/>
          <w:highlight w:val="none"/>
        </w:rPr>
      </w:pPr>
    </w:p>
    <w:p>
      <w:pPr>
        <w:spacing w:line="360" w:lineRule="auto"/>
        <w:jc w:val="center"/>
        <w:outlineLvl w:val="0"/>
        <w:rPr>
          <w:rFonts w:ascii="微软雅黑" w:hAnsi="微软雅黑" w:eastAsia="微软雅黑" w:cs="微软雅黑"/>
          <w:b/>
          <w:kern w:val="0"/>
          <w:sz w:val="36"/>
          <w:szCs w:val="36"/>
          <w:highlight w:val="none"/>
        </w:rPr>
      </w:pPr>
    </w:p>
    <w:p>
      <w:pPr>
        <w:widowControl/>
        <w:jc w:val="center"/>
        <w:rPr>
          <w:rFonts w:ascii="微软雅黑" w:hAnsi="微软雅黑" w:eastAsia="微软雅黑" w:cs="微软雅黑"/>
          <w:b/>
          <w:kern w:val="0"/>
          <w:sz w:val="36"/>
          <w:szCs w:val="36"/>
          <w:highlight w:val="none"/>
        </w:rPr>
      </w:pPr>
      <w:r>
        <w:rPr>
          <w:rFonts w:hint="eastAsia" w:ascii="微软雅黑" w:hAnsi="微软雅黑" w:eastAsia="微软雅黑" w:cs="微软雅黑"/>
          <w:b/>
          <w:kern w:val="0"/>
          <w:sz w:val="36"/>
          <w:szCs w:val="36"/>
          <w:highlight w:val="none"/>
        </w:rPr>
        <w:t>商务技术文件部分</w:t>
      </w:r>
    </w:p>
    <w:p>
      <w:pPr>
        <w:spacing w:line="360" w:lineRule="auto"/>
        <w:jc w:val="center"/>
        <w:outlineLvl w:val="0"/>
        <w:rPr>
          <w:rFonts w:ascii="微软雅黑" w:hAnsi="微软雅黑" w:eastAsia="微软雅黑" w:cs="微软雅黑"/>
          <w:b/>
          <w:kern w:val="0"/>
          <w:sz w:val="24"/>
          <w:highlight w:val="none"/>
        </w:rPr>
      </w:pPr>
    </w:p>
    <w:p>
      <w:pPr>
        <w:spacing w:line="360" w:lineRule="auto"/>
        <w:jc w:val="center"/>
        <w:outlineLvl w:val="0"/>
        <w:rPr>
          <w:rFonts w:ascii="微软雅黑" w:hAnsi="微软雅黑" w:eastAsia="微软雅黑" w:cs="微软雅黑"/>
          <w:b/>
          <w:kern w:val="0"/>
          <w:sz w:val="28"/>
          <w:szCs w:val="28"/>
          <w:highlight w:val="none"/>
        </w:rPr>
      </w:pPr>
      <w:r>
        <w:rPr>
          <w:rFonts w:hint="eastAsia" w:ascii="微软雅黑" w:hAnsi="微软雅黑" w:eastAsia="微软雅黑" w:cs="微软雅黑"/>
          <w:b/>
          <w:kern w:val="0"/>
          <w:sz w:val="28"/>
          <w:szCs w:val="28"/>
          <w:highlight w:val="none"/>
        </w:rPr>
        <w:t>目录</w:t>
      </w:r>
    </w:p>
    <w:p>
      <w:pPr>
        <w:snapToGrid w:val="0"/>
        <w:spacing w:line="360" w:lineRule="auto"/>
        <w:ind w:left="479" w:leftChars="228"/>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（1）投标函…………………………………………………………………………（页码）（2）授权委托书或法定代表人（单位负责人、自然人本人）身份证明………（页码）</w:t>
      </w:r>
    </w:p>
    <w:p>
      <w:pPr>
        <w:snapToGrid w:val="0"/>
        <w:spacing w:line="360" w:lineRule="auto"/>
        <w:ind w:left="479" w:leftChars="228"/>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（3）联合协议………………………………………………………………………（页码）</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（4）分包意向协议…………………………………………………………………（页码）</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（5）符合性审查资料………………………………………………………………（页码）</w:t>
      </w:r>
    </w:p>
    <w:p>
      <w:pPr>
        <w:snapToGrid w:val="0"/>
        <w:spacing w:line="360" w:lineRule="auto"/>
        <w:ind w:left="479" w:leftChars="228"/>
        <w:rPr>
          <w:rFonts w:ascii="微软雅黑" w:hAnsi="微软雅黑" w:eastAsia="微软雅黑" w:cs="微软雅黑"/>
          <w:szCs w:val="21"/>
          <w:highlight w:val="none"/>
        </w:rPr>
      </w:pPr>
      <w:r>
        <w:rPr>
          <w:rFonts w:hint="eastAsia" w:ascii="微软雅黑" w:hAnsi="微软雅黑" w:eastAsia="微软雅黑" w:cs="微软雅黑"/>
          <w:szCs w:val="21"/>
          <w:highlight w:val="none"/>
        </w:rPr>
        <w:t>（6）评标标准相应的商务技术资料…………………………………………………（页码）</w:t>
      </w:r>
    </w:p>
    <w:p>
      <w:pPr>
        <w:snapToGrid w:val="0"/>
        <w:spacing w:line="360" w:lineRule="auto"/>
        <w:ind w:left="479" w:leftChars="228"/>
        <w:rPr>
          <w:rFonts w:ascii="微软雅黑" w:hAnsi="微软雅黑" w:eastAsia="微软雅黑" w:cs="微软雅黑"/>
          <w:szCs w:val="21"/>
          <w:highlight w:val="none"/>
        </w:rPr>
      </w:pPr>
      <w:r>
        <w:rPr>
          <w:rFonts w:hint="eastAsia" w:ascii="微软雅黑" w:hAnsi="微软雅黑" w:eastAsia="微软雅黑" w:cs="微软雅黑"/>
          <w:szCs w:val="21"/>
          <w:highlight w:val="none"/>
        </w:rPr>
        <w:t>（7）商务技术偏离表…………………………………………………………………（页码）</w:t>
      </w:r>
    </w:p>
    <w:p>
      <w:pPr>
        <w:snapToGrid w:val="0"/>
        <w:spacing w:line="360" w:lineRule="auto"/>
        <w:ind w:left="479" w:leftChars="228"/>
        <w:rPr>
          <w:rFonts w:ascii="微软雅黑" w:hAnsi="微软雅黑" w:eastAsia="微软雅黑" w:cs="微软雅黑"/>
          <w:szCs w:val="21"/>
          <w:highlight w:val="none"/>
        </w:rPr>
      </w:pPr>
      <w:r>
        <w:rPr>
          <w:rFonts w:hint="eastAsia" w:ascii="微软雅黑" w:hAnsi="微软雅黑" w:eastAsia="微软雅黑" w:cs="微软雅黑"/>
          <w:szCs w:val="21"/>
          <w:highlight w:val="none"/>
          <w:lang w:val="zh-CN"/>
        </w:rPr>
        <w:t>（</w:t>
      </w:r>
      <w:r>
        <w:rPr>
          <w:rFonts w:hint="eastAsia" w:ascii="微软雅黑" w:hAnsi="微软雅黑" w:eastAsia="微软雅黑" w:cs="微软雅黑"/>
          <w:szCs w:val="21"/>
          <w:highlight w:val="none"/>
        </w:rPr>
        <w:t>8</w:t>
      </w:r>
      <w:r>
        <w:rPr>
          <w:rFonts w:hint="eastAsia" w:ascii="微软雅黑" w:hAnsi="微软雅黑" w:eastAsia="微软雅黑" w:cs="微软雅黑"/>
          <w:szCs w:val="21"/>
          <w:highlight w:val="none"/>
          <w:lang w:val="zh-CN"/>
        </w:rPr>
        <w:t>）政府采购供应商廉洁自律承诺书</w:t>
      </w:r>
      <w:r>
        <w:rPr>
          <w:rFonts w:hint="eastAsia" w:ascii="微软雅黑" w:hAnsi="微软雅黑" w:eastAsia="微软雅黑" w:cs="微软雅黑"/>
          <w:szCs w:val="21"/>
          <w:highlight w:val="none"/>
        </w:rPr>
        <w:t>………………………………………………（页码）</w:t>
      </w:r>
    </w:p>
    <w:p>
      <w:pPr>
        <w:widowControl/>
        <w:jc w:val="left"/>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br w:type="page"/>
      </w:r>
    </w:p>
    <w:p>
      <w:pPr>
        <w:snapToGrid w:val="0"/>
        <w:spacing w:line="360" w:lineRule="auto"/>
        <w:jc w:val="center"/>
        <w:outlineLvl w:val="0"/>
        <w:rPr>
          <w:rFonts w:ascii="微软雅黑" w:hAnsi="微软雅黑" w:eastAsia="微软雅黑" w:cs="微软雅黑"/>
          <w:b/>
          <w:sz w:val="32"/>
          <w:szCs w:val="32"/>
          <w:highlight w:val="none"/>
        </w:rPr>
      </w:pPr>
      <w:r>
        <w:rPr>
          <w:rFonts w:hint="eastAsia" w:ascii="微软雅黑" w:hAnsi="微软雅黑" w:eastAsia="微软雅黑" w:cs="微软雅黑"/>
          <w:b/>
          <w:kern w:val="0"/>
          <w:sz w:val="32"/>
          <w:szCs w:val="32"/>
          <w:highlight w:val="none"/>
        </w:rPr>
        <w:t>一、投标</w:t>
      </w:r>
      <w:r>
        <w:rPr>
          <w:rFonts w:hint="eastAsia" w:ascii="微软雅黑" w:hAnsi="微软雅黑" w:eastAsia="微软雅黑" w:cs="微软雅黑"/>
          <w:b/>
          <w:sz w:val="32"/>
          <w:szCs w:val="32"/>
          <w:highlight w:val="none"/>
        </w:rPr>
        <w:t>函</w:t>
      </w:r>
    </w:p>
    <w:p>
      <w:pPr>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b/>
          <w:szCs w:val="21"/>
          <w:highlight w:val="none"/>
          <w:u w:val="single"/>
        </w:rPr>
        <w:t xml:space="preserve">                           </w:t>
      </w:r>
      <w:r>
        <w:rPr>
          <w:rFonts w:hint="eastAsia" w:ascii="微软雅黑" w:hAnsi="微软雅黑" w:eastAsia="微软雅黑" w:cs="微软雅黑"/>
          <w:szCs w:val="21"/>
          <w:highlight w:val="none"/>
        </w:rPr>
        <w:t>：</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我方参加你方组织的</w:t>
      </w:r>
      <w:r>
        <w:rPr>
          <w:rFonts w:hint="eastAsia" w:ascii="微软雅黑" w:hAnsi="微软雅黑" w:eastAsia="微软雅黑" w:cs="微软雅黑"/>
          <w:szCs w:val="21"/>
          <w:highlight w:val="none"/>
          <w:u w:val="single"/>
        </w:rPr>
        <w:t>（项目名称）</w:t>
      </w:r>
      <w:r>
        <w:rPr>
          <w:rFonts w:hint="eastAsia" w:ascii="微软雅黑" w:hAnsi="微软雅黑" w:eastAsia="微软雅黑" w:cs="微软雅黑"/>
          <w:szCs w:val="21"/>
          <w:highlight w:val="none"/>
        </w:rPr>
        <w:t>【招标编号：</w:t>
      </w:r>
      <w:r>
        <w:rPr>
          <w:rFonts w:hint="eastAsia" w:ascii="微软雅黑" w:hAnsi="微软雅黑" w:eastAsia="微软雅黑" w:cs="微软雅黑"/>
          <w:szCs w:val="21"/>
          <w:highlight w:val="none"/>
          <w:u w:val="single"/>
        </w:rPr>
        <w:t>（采购编号）</w:t>
      </w:r>
      <w:r>
        <w:rPr>
          <w:rFonts w:hint="eastAsia" w:ascii="微软雅黑" w:hAnsi="微软雅黑" w:eastAsia="微软雅黑" w:cs="微软雅黑"/>
          <w:szCs w:val="21"/>
          <w:highlight w:val="none"/>
        </w:rPr>
        <w:t>】招标的有关活动，并对此项目进行投标。为此：</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1、我方承诺投标有效期从提交投标文件的截止之日起</w:t>
      </w:r>
      <w:r>
        <w:rPr>
          <w:rFonts w:hint="eastAsia" w:ascii="微软雅黑" w:hAnsi="微软雅黑" w:eastAsia="微软雅黑" w:cs="微软雅黑"/>
          <w:szCs w:val="21"/>
          <w:highlight w:val="none"/>
          <w:u w:val="single"/>
        </w:rPr>
        <w:t>90</w:t>
      </w:r>
      <w:r>
        <w:rPr>
          <w:rFonts w:hint="eastAsia" w:ascii="微软雅黑" w:hAnsi="微软雅黑" w:eastAsia="微软雅黑" w:cs="微软雅黑"/>
          <w:szCs w:val="21"/>
          <w:highlight w:val="none"/>
        </w:rPr>
        <w:t>天（不少于90天），本投标文件在投标有效期满之前均具有约束力。</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2、我方的投标文件包括以下内容：</w:t>
      </w:r>
    </w:p>
    <w:p>
      <w:pPr>
        <w:snapToGrid w:val="0"/>
        <w:spacing w:line="360" w:lineRule="auto"/>
        <w:ind w:left="210" w:leftChars="100" w:firstLine="420" w:firstLineChars="200"/>
        <w:rPr>
          <w:rFonts w:ascii="微软雅黑" w:hAnsi="微软雅黑" w:eastAsia="微软雅黑" w:cs="微软雅黑"/>
          <w:b/>
          <w:bCs/>
          <w:szCs w:val="21"/>
          <w:highlight w:val="none"/>
        </w:rPr>
      </w:pPr>
      <w:r>
        <w:rPr>
          <w:rFonts w:hint="eastAsia" w:ascii="微软雅黑" w:hAnsi="微软雅黑" w:eastAsia="微软雅黑" w:cs="微软雅黑"/>
          <w:szCs w:val="21"/>
          <w:highlight w:val="none"/>
        </w:rPr>
        <w:t>2.1资格文件：</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2.1.1有效的营业执照副本(或事业法人登记证或其他工商等登记证明材料)复印件；</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2.1.2承诺函；</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2.1.3落实政府采购政策需满足的资格要求（如果有）；</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2.1.4本项目的特定资格要求（如果有）。</w:t>
      </w:r>
    </w:p>
    <w:p>
      <w:pPr>
        <w:snapToGrid w:val="0"/>
        <w:spacing w:line="360" w:lineRule="auto"/>
        <w:ind w:left="210" w:leftChars="100" w:firstLine="420" w:firstLineChars="200"/>
        <w:rPr>
          <w:rFonts w:ascii="微软雅黑" w:hAnsi="微软雅黑" w:eastAsia="微软雅黑" w:cs="微软雅黑"/>
          <w:szCs w:val="21"/>
          <w:highlight w:val="none"/>
          <w:lang w:val="zh-CN"/>
        </w:rPr>
      </w:pPr>
      <w:r>
        <w:rPr>
          <w:rFonts w:hint="eastAsia" w:ascii="微软雅黑" w:hAnsi="微软雅黑" w:eastAsia="微软雅黑" w:cs="微软雅黑"/>
          <w:szCs w:val="21"/>
          <w:highlight w:val="none"/>
        </w:rPr>
        <w:t>2</w:t>
      </w:r>
      <w:r>
        <w:rPr>
          <w:rFonts w:hint="eastAsia" w:ascii="微软雅黑" w:hAnsi="微软雅黑" w:eastAsia="微软雅黑" w:cs="微软雅黑"/>
          <w:szCs w:val="21"/>
          <w:highlight w:val="none"/>
          <w:lang w:val="zh-CN"/>
        </w:rPr>
        <w:t>.</w:t>
      </w:r>
      <w:r>
        <w:rPr>
          <w:rFonts w:hint="eastAsia" w:ascii="微软雅黑" w:hAnsi="微软雅黑" w:eastAsia="微软雅黑" w:cs="微软雅黑"/>
          <w:szCs w:val="21"/>
          <w:highlight w:val="none"/>
        </w:rPr>
        <w:t>2商务技术</w:t>
      </w:r>
      <w:r>
        <w:rPr>
          <w:rFonts w:hint="eastAsia" w:ascii="微软雅黑" w:hAnsi="微软雅黑" w:eastAsia="微软雅黑" w:cs="微软雅黑"/>
          <w:szCs w:val="21"/>
          <w:highlight w:val="none"/>
          <w:lang w:val="zh-CN"/>
        </w:rPr>
        <w:t>文件：</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2.2.1投标函；</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2.2.2授权委托书或法定代表人（单位负责人）身份证明；</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2.2.3联合协议（如果有）；</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2.2.4分包意向协议（如果有）；</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2.2.5符合性审查资料；</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2.2.6评标标准相应的商务技术资料；</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2.2.7商务技术偏离表；</w:t>
      </w:r>
    </w:p>
    <w:p>
      <w:pPr>
        <w:snapToGrid w:val="0"/>
        <w:spacing w:line="360" w:lineRule="auto"/>
        <w:ind w:left="420" w:leftChars="200" w:firstLine="420" w:firstLineChars="200"/>
        <w:rPr>
          <w:rFonts w:ascii="微软雅黑" w:hAnsi="微软雅黑" w:eastAsia="微软雅黑" w:cs="微软雅黑"/>
          <w:szCs w:val="21"/>
          <w:highlight w:val="none"/>
          <w:lang w:val="zh-CN"/>
        </w:rPr>
      </w:pPr>
      <w:r>
        <w:rPr>
          <w:rFonts w:hint="eastAsia" w:ascii="微软雅黑" w:hAnsi="微软雅黑" w:eastAsia="微软雅黑" w:cs="微软雅黑"/>
          <w:szCs w:val="21"/>
          <w:highlight w:val="none"/>
        </w:rPr>
        <w:t>2</w:t>
      </w:r>
      <w:r>
        <w:rPr>
          <w:rFonts w:hint="eastAsia" w:ascii="微软雅黑" w:hAnsi="微软雅黑" w:eastAsia="微软雅黑" w:cs="微软雅黑"/>
          <w:szCs w:val="21"/>
          <w:highlight w:val="none"/>
          <w:lang w:val="zh-CN"/>
        </w:rPr>
        <w:t>.</w:t>
      </w:r>
      <w:r>
        <w:rPr>
          <w:rFonts w:hint="eastAsia" w:ascii="微软雅黑" w:hAnsi="微软雅黑" w:eastAsia="微软雅黑" w:cs="微软雅黑"/>
          <w:szCs w:val="21"/>
          <w:highlight w:val="none"/>
        </w:rPr>
        <w:t>2</w:t>
      </w:r>
      <w:r>
        <w:rPr>
          <w:rFonts w:hint="eastAsia" w:ascii="微软雅黑" w:hAnsi="微软雅黑" w:eastAsia="微软雅黑" w:cs="微软雅黑"/>
          <w:szCs w:val="21"/>
          <w:highlight w:val="none"/>
          <w:lang w:val="zh-CN"/>
        </w:rPr>
        <w:t>.</w:t>
      </w:r>
      <w:r>
        <w:rPr>
          <w:rFonts w:hint="eastAsia" w:ascii="微软雅黑" w:hAnsi="微软雅黑" w:eastAsia="微软雅黑" w:cs="微软雅黑"/>
          <w:szCs w:val="21"/>
          <w:highlight w:val="none"/>
        </w:rPr>
        <w:t>8</w:t>
      </w:r>
      <w:r>
        <w:rPr>
          <w:rFonts w:hint="eastAsia" w:ascii="微软雅黑" w:hAnsi="微软雅黑" w:eastAsia="微软雅黑" w:cs="微软雅黑"/>
          <w:szCs w:val="21"/>
          <w:highlight w:val="none"/>
          <w:lang w:val="zh-CN"/>
        </w:rPr>
        <w:t>政府采购供应商廉洁自律承诺书；</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w:t>
      </w:r>
      <w:r>
        <w:rPr>
          <w:rFonts w:hint="eastAsia" w:ascii="微软雅黑" w:hAnsi="微软雅黑" w:eastAsia="微软雅黑" w:cs="微软雅黑"/>
          <w:szCs w:val="21"/>
          <w:highlight w:val="none"/>
          <w:lang w:val="zh-CN"/>
        </w:rPr>
        <w:t>.</w:t>
      </w:r>
      <w:r>
        <w:rPr>
          <w:rFonts w:hint="eastAsia" w:ascii="微软雅黑" w:hAnsi="微软雅黑" w:eastAsia="微软雅黑" w:cs="微软雅黑"/>
          <w:szCs w:val="21"/>
          <w:highlight w:val="none"/>
        </w:rPr>
        <w:t>3报价文件</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2.3.1开标一览表（报价表）；</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2.3.2中小企业声明函（如果有）；</w:t>
      </w:r>
    </w:p>
    <w:p>
      <w:pPr>
        <w:snapToGrid w:val="0"/>
        <w:spacing w:line="360" w:lineRule="auto"/>
        <w:ind w:left="420" w:leftChars="2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2.3.2代理服务费支付承诺书。</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3、我方承诺除商务技术偏离表列出的偏离外，我方响应招标文件的全部要求。</w:t>
      </w:r>
    </w:p>
    <w:p>
      <w:pPr>
        <w:snapToGrid w:val="0"/>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4、如我方中标，我方承诺：</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4.1在收到中标通知书后，在中标通知书规定的期限内与你方签订合同； </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4.2在签订合同时不向你方提出附加条件； </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4.3按照招标文件要求提交履约保证金； </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4.4在合同约定的期限内完成合同规定的全部义务。 </w:t>
      </w:r>
    </w:p>
    <w:p>
      <w:pPr>
        <w:snapToGrid w:val="0"/>
        <w:spacing w:line="360" w:lineRule="auto"/>
        <w:ind w:left="210" w:leftChars="100"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5、其他补充说明:</w:t>
      </w:r>
    </w:p>
    <w:p>
      <w:pPr>
        <w:spacing w:line="360" w:lineRule="auto"/>
        <w:ind w:firstLine="3150" w:firstLineChars="15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投标人名称（电子签名）：</w:t>
      </w:r>
    </w:p>
    <w:p>
      <w:pPr>
        <w:spacing w:line="360" w:lineRule="auto"/>
        <w:jc w:val="center"/>
        <w:rPr>
          <w:rFonts w:ascii="微软雅黑" w:hAnsi="微软雅黑" w:eastAsia="微软雅黑" w:cs="微软雅黑"/>
          <w:sz w:val="24"/>
          <w:highlight w:val="none"/>
        </w:rPr>
      </w:pPr>
      <w:r>
        <w:rPr>
          <w:rFonts w:hint="eastAsia" w:ascii="微软雅黑" w:hAnsi="微软雅黑" w:eastAsia="微软雅黑" w:cs="微软雅黑"/>
          <w:szCs w:val="21"/>
          <w:highlight w:val="none"/>
        </w:rPr>
        <w:t xml:space="preserve">     日期：  年   月   日</w:t>
      </w:r>
    </w:p>
    <w:p>
      <w:pPr>
        <w:jc w:val="center"/>
        <w:rPr>
          <w:rFonts w:ascii="微软雅黑" w:hAnsi="微软雅黑" w:eastAsia="微软雅黑" w:cs="微软雅黑"/>
          <w:b/>
          <w:kern w:val="0"/>
          <w:sz w:val="32"/>
          <w:szCs w:val="32"/>
          <w:highlight w:val="none"/>
          <w:lang w:val="zh-CN"/>
        </w:rPr>
      </w:pPr>
    </w:p>
    <w:p>
      <w:pPr>
        <w:jc w:val="center"/>
        <w:rPr>
          <w:rFonts w:ascii="微软雅黑" w:hAnsi="微软雅黑" w:eastAsia="微软雅黑" w:cs="微软雅黑"/>
          <w:b/>
          <w:kern w:val="0"/>
          <w:sz w:val="32"/>
          <w:szCs w:val="32"/>
          <w:highlight w:val="none"/>
          <w:lang w:val="zh-CN"/>
        </w:rPr>
      </w:pPr>
    </w:p>
    <w:p>
      <w:pPr>
        <w:jc w:val="center"/>
        <w:rPr>
          <w:rFonts w:ascii="微软雅黑" w:hAnsi="微软雅黑" w:eastAsia="微软雅黑" w:cs="微软雅黑"/>
          <w:b/>
          <w:kern w:val="0"/>
          <w:sz w:val="32"/>
          <w:szCs w:val="32"/>
          <w:highlight w:val="none"/>
          <w:lang w:val="zh-CN"/>
        </w:rPr>
      </w:pPr>
    </w:p>
    <w:p>
      <w:pPr>
        <w:jc w:val="center"/>
        <w:rPr>
          <w:rFonts w:ascii="微软雅黑" w:hAnsi="微软雅黑" w:eastAsia="微软雅黑" w:cs="微软雅黑"/>
          <w:b/>
          <w:kern w:val="0"/>
          <w:sz w:val="32"/>
          <w:szCs w:val="32"/>
          <w:highlight w:val="none"/>
          <w:lang w:val="zh-CN"/>
        </w:rPr>
      </w:pPr>
    </w:p>
    <w:p>
      <w:pPr>
        <w:jc w:val="center"/>
        <w:rPr>
          <w:rFonts w:ascii="微软雅黑" w:hAnsi="微软雅黑" w:eastAsia="微软雅黑" w:cs="微软雅黑"/>
          <w:b/>
          <w:kern w:val="0"/>
          <w:sz w:val="32"/>
          <w:szCs w:val="32"/>
          <w:highlight w:val="none"/>
          <w:lang w:val="zh-CN"/>
        </w:rPr>
      </w:pPr>
    </w:p>
    <w:p>
      <w:pPr>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t>二、授权委托书或法定代表人（单位负责人、自然人本人）身份证明</w:t>
      </w:r>
    </w:p>
    <w:p>
      <w:pPr>
        <w:snapToGrid w:val="0"/>
        <w:spacing w:line="360" w:lineRule="auto"/>
        <w:rPr>
          <w:rFonts w:ascii="微软雅黑" w:hAnsi="微软雅黑" w:eastAsia="微软雅黑" w:cs="微软雅黑"/>
          <w:sz w:val="24"/>
          <w:highlight w:val="none"/>
        </w:rPr>
      </w:pPr>
    </w:p>
    <w:p>
      <w:pPr>
        <w:snapToGrid w:val="0"/>
        <w:spacing w:line="360" w:lineRule="auto"/>
        <w:jc w:val="center"/>
        <w:rPr>
          <w:rFonts w:ascii="微软雅黑" w:hAnsi="微软雅黑" w:eastAsia="微软雅黑" w:cs="微软雅黑"/>
          <w:highlight w:val="none"/>
        </w:rPr>
      </w:pPr>
      <w:r>
        <w:rPr>
          <w:rFonts w:hint="eastAsia" w:ascii="微软雅黑" w:hAnsi="微软雅黑" w:eastAsia="微软雅黑" w:cs="微软雅黑"/>
          <w:b/>
          <w:kern w:val="0"/>
          <w:sz w:val="32"/>
          <w:szCs w:val="32"/>
          <w:highlight w:val="none"/>
          <w:lang w:val="zh-CN"/>
        </w:rPr>
        <w:t>授权委托书（适用于非联合体投标）</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szCs w:val="21"/>
          <w:highlight w:val="none"/>
        </w:rPr>
        <w:t>（采购人）、（采购代理机构）</w:t>
      </w:r>
      <w:r>
        <w:rPr>
          <w:rFonts w:hint="eastAsia" w:ascii="微软雅黑" w:hAnsi="微软雅黑" w:eastAsia="微软雅黑" w:cs="微软雅黑"/>
          <w:kern w:val="0"/>
          <w:szCs w:val="21"/>
          <w:highlight w:val="none"/>
          <w:lang w:val="zh-CN"/>
        </w:rPr>
        <w:t>：</w:t>
      </w:r>
    </w:p>
    <w:p>
      <w:pPr>
        <w:snapToGrid w:val="0"/>
        <w:spacing w:line="360" w:lineRule="auto"/>
        <w:ind w:firstLine="576"/>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现</w:t>
      </w:r>
      <w:r>
        <w:rPr>
          <w:rFonts w:hint="eastAsia" w:ascii="微软雅黑" w:hAnsi="微软雅黑" w:eastAsia="微软雅黑" w:cs="微软雅黑"/>
          <w:kern w:val="0"/>
          <w:szCs w:val="21"/>
          <w:highlight w:val="none"/>
          <w:lang w:val="zh-CN"/>
        </w:rPr>
        <w:t>委托（姓名）为我方代理人（身份证号码：，手机：），以我方名义处理</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政府采购投标的一切事项，其法律后果由我方承担。</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委托期限</w:t>
      </w:r>
      <w:r>
        <w:rPr>
          <w:rFonts w:hint="eastAsia" w:ascii="微软雅黑" w:hAnsi="微软雅黑" w:eastAsia="微软雅黑" w:cs="微软雅黑"/>
          <w:kern w:val="0"/>
          <w:szCs w:val="21"/>
          <w:highlight w:val="none"/>
        </w:rPr>
        <w:t>：</w:t>
      </w:r>
      <w:r>
        <w:rPr>
          <w:rFonts w:hint="eastAsia" w:ascii="微软雅黑" w:hAnsi="微软雅黑" w:eastAsia="微软雅黑" w:cs="微软雅黑"/>
          <w:kern w:val="0"/>
          <w:szCs w:val="21"/>
          <w:highlight w:val="none"/>
          <w:lang w:val="zh-CN"/>
        </w:rPr>
        <w:t>自年月日起至年月日止。</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特此告知。</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 xml:space="preserve">                                                 投标人名称(电子签名)：</w:t>
      </w:r>
    </w:p>
    <w:p>
      <w:pPr>
        <w:snapToGrid w:val="0"/>
        <w:spacing w:line="360" w:lineRule="auto"/>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签发日期：  年  月   日</w:t>
      </w:r>
    </w:p>
    <w:p>
      <w:pPr>
        <w:snapToGrid w:val="0"/>
        <w:spacing w:line="360" w:lineRule="auto"/>
        <w:rPr>
          <w:rFonts w:ascii="微软雅黑" w:hAnsi="微软雅黑" w:eastAsia="微软雅黑" w:cs="微软雅黑"/>
          <w:sz w:val="24"/>
          <w:highlight w:val="none"/>
        </w:rPr>
      </w:pPr>
    </w:p>
    <w:p>
      <w:pPr>
        <w:snapToGrid w:val="0"/>
        <w:spacing w:line="360" w:lineRule="auto"/>
        <w:rPr>
          <w:rFonts w:ascii="微软雅黑" w:hAnsi="微软雅黑" w:eastAsia="微软雅黑" w:cs="微软雅黑"/>
          <w:sz w:val="24"/>
          <w:highlight w:val="none"/>
        </w:rPr>
      </w:pPr>
    </w:p>
    <w:p>
      <w:pPr>
        <w:snapToGrid w:val="0"/>
        <w:spacing w:line="360" w:lineRule="auto"/>
        <w:rPr>
          <w:rFonts w:ascii="微软雅黑" w:hAnsi="微软雅黑" w:eastAsia="微软雅黑" w:cs="微软雅黑"/>
          <w:sz w:val="24"/>
          <w:highlight w:val="none"/>
        </w:rPr>
      </w:pPr>
    </w:p>
    <w:p>
      <w:pPr>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br w:type="page"/>
      </w:r>
    </w:p>
    <w:p>
      <w:pPr>
        <w:jc w:val="cente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lang w:val="zh-CN"/>
        </w:rPr>
        <w:t>授权委托书（适用于联合体投标）</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szCs w:val="21"/>
          <w:highlight w:val="none"/>
        </w:rPr>
        <w:t>（采购人）、（采购代理机构）</w:t>
      </w:r>
      <w:r>
        <w:rPr>
          <w:rFonts w:hint="eastAsia" w:ascii="微软雅黑" w:hAnsi="微软雅黑" w:eastAsia="微软雅黑" w:cs="微软雅黑"/>
          <w:kern w:val="0"/>
          <w:szCs w:val="21"/>
          <w:highlight w:val="none"/>
          <w:lang w:val="zh-CN"/>
        </w:rPr>
        <w:t>：</w:t>
      </w:r>
    </w:p>
    <w:p>
      <w:pPr>
        <w:snapToGrid w:val="0"/>
        <w:spacing w:line="360" w:lineRule="auto"/>
        <w:ind w:firstLine="576"/>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现</w:t>
      </w:r>
      <w:r>
        <w:rPr>
          <w:rFonts w:hint="eastAsia" w:ascii="微软雅黑" w:hAnsi="微软雅黑" w:eastAsia="微软雅黑" w:cs="微软雅黑"/>
          <w:kern w:val="0"/>
          <w:szCs w:val="21"/>
          <w:highlight w:val="none"/>
          <w:lang w:val="zh-CN"/>
        </w:rPr>
        <w:t>委托（姓名）为我方代理人（身份证号码：，手机：），以我方名义处理</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政府采购投标的一切事项，其法律后果由我方承担。</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委托期限</w:t>
      </w:r>
      <w:r>
        <w:rPr>
          <w:rFonts w:hint="eastAsia" w:ascii="微软雅黑" w:hAnsi="微软雅黑" w:eastAsia="微软雅黑" w:cs="微软雅黑"/>
          <w:kern w:val="0"/>
          <w:szCs w:val="21"/>
          <w:highlight w:val="none"/>
        </w:rPr>
        <w:t>：</w:t>
      </w:r>
      <w:r>
        <w:rPr>
          <w:rFonts w:hint="eastAsia" w:ascii="微软雅黑" w:hAnsi="微软雅黑" w:eastAsia="微软雅黑" w:cs="微软雅黑"/>
          <w:kern w:val="0"/>
          <w:szCs w:val="21"/>
          <w:highlight w:val="none"/>
          <w:lang w:val="zh-CN"/>
        </w:rPr>
        <w:t>自年月日起至年月日止。</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zh-CN"/>
        </w:rPr>
        <w:t>特此告知。</w:t>
      </w:r>
    </w:p>
    <w:p>
      <w:pPr>
        <w:jc w:val="center"/>
        <w:rPr>
          <w:rFonts w:ascii="微软雅黑" w:hAnsi="微软雅黑" w:eastAsia="微软雅黑" w:cs="微软雅黑"/>
          <w:b/>
          <w:kern w:val="0"/>
          <w:szCs w:val="21"/>
          <w:highlight w:val="none"/>
        </w:rPr>
      </w:pPr>
    </w:p>
    <w:p>
      <w:pPr>
        <w:jc w:val="center"/>
        <w:rPr>
          <w:rFonts w:ascii="微软雅黑" w:hAnsi="微软雅黑" w:eastAsia="微软雅黑" w:cs="微软雅黑"/>
          <w:b/>
          <w:kern w:val="0"/>
          <w:szCs w:val="21"/>
          <w:highlight w:val="none"/>
        </w:rPr>
      </w:pPr>
    </w:p>
    <w:p>
      <w:pPr>
        <w:jc w:val="center"/>
        <w:rPr>
          <w:rFonts w:ascii="微软雅黑" w:hAnsi="微软雅黑" w:eastAsia="微软雅黑" w:cs="微软雅黑"/>
          <w:b/>
          <w:kern w:val="0"/>
          <w:szCs w:val="21"/>
          <w:highlight w:val="none"/>
        </w:rPr>
      </w:pPr>
    </w:p>
    <w:p>
      <w:pPr>
        <w:rPr>
          <w:rFonts w:ascii="微软雅黑" w:hAnsi="微软雅黑" w:eastAsia="微软雅黑" w:cs="微软雅黑"/>
          <w:szCs w:val="21"/>
          <w:highlight w:val="none"/>
        </w:rPr>
      </w:pPr>
    </w:p>
    <w:p>
      <w:pPr>
        <w:snapToGrid w:val="0"/>
        <w:spacing w:line="360" w:lineRule="auto"/>
        <w:ind w:firstLine="4410" w:firstLineChars="21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联合体成员名称(电子签名/公章)：</w:t>
      </w:r>
    </w:p>
    <w:p>
      <w:pPr>
        <w:snapToGrid w:val="0"/>
        <w:spacing w:line="360" w:lineRule="auto"/>
        <w:ind w:firstLine="4410" w:firstLineChars="21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联合体成员名称(电子签名/公章)：</w:t>
      </w:r>
    </w:p>
    <w:p>
      <w:pPr>
        <w:snapToGrid w:val="0"/>
        <w:spacing w:line="360" w:lineRule="auto"/>
        <w:ind w:firstLine="5040" w:firstLineChars="2400"/>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w:t>
      </w:r>
    </w:p>
    <w:p>
      <w:pPr>
        <w:snapToGrid w:val="0"/>
        <w:spacing w:line="360" w:lineRule="auto"/>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autoSpaceDE w:val="0"/>
        <w:autoSpaceDN w:val="0"/>
        <w:spacing w:line="360" w:lineRule="auto"/>
        <w:jc w:val="center"/>
        <w:rPr>
          <w:rFonts w:ascii="微软雅黑" w:hAnsi="微软雅黑" w:eastAsia="微软雅黑" w:cs="微软雅黑"/>
          <w:b/>
          <w:kern w:val="0"/>
          <w:sz w:val="32"/>
          <w:szCs w:val="32"/>
          <w:highlight w:val="none"/>
          <w:lang w:val="zh-CN"/>
        </w:rPr>
      </w:pPr>
    </w:p>
    <w:p>
      <w:pPr>
        <w:autoSpaceDE w:val="0"/>
        <w:autoSpaceDN w:val="0"/>
        <w:spacing w:line="360" w:lineRule="auto"/>
        <w:jc w:val="center"/>
        <w:rPr>
          <w:rFonts w:ascii="微软雅黑" w:hAnsi="微软雅黑" w:eastAsia="微软雅黑" w:cs="微软雅黑"/>
          <w:b/>
          <w:kern w:val="0"/>
          <w:sz w:val="32"/>
          <w:szCs w:val="32"/>
          <w:highlight w:val="none"/>
          <w:lang w:val="zh-CN"/>
        </w:rPr>
      </w:pPr>
    </w:p>
    <w:p>
      <w:pPr>
        <w:autoSpaceDE w:val="0"/>
        <w:autoSpaceDN w:val="0"/>
        <w:spacing w:line="360" w:lineRule="auto"/>
        <w:jc w:val="center"/>
        <w:rPr>
          <w:rFonts w:ascii="微软雅黑" w:hAnsi="微软雅黑" w:eastAsia="微软雅黑" w:cs="微软雅黑"/>
          <w:b/>
          <w:kern w:val="0"/>
          <w:sz w:val="32"/>
          <w:szCs w:val="32"/>
          <w:highlight w:val="none"/>
          <w:lang w:val="zh-CN"/>
        </w:rPr>
      </w:pPr>
    </w:p>
    <w:p>
      <w:pPr>
        <w:autoSpaceDE w:val="0"/>
        <w:autoSpaceDN w:val="0"/>
        <w:spacing w:line="360" w:lineRule="auto"/>
        <w:jc w:val="center"/>
        <w:rPr>
          <w:rFonts w:ascii="微软雅黑" w:hAnsi="微软雅黑" w:eastAsia="微软雅黑" w:cs="微软雅黑"/>
          <w:b/>
          <w:kern w:val="0"/>
          <w:sz w:val="32"/>
          <w:szCs w:val="32"/>
          <w:highlight w:val="none"/>
          <w:lang w:val="zh-CN"/>
        </w:rPr>
      </w:pPr>
    </w:p>
    <w:p>
      <w:pPr>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lang w:val="zh-CN"/>
        </w:rPr>
        <w:br w:type="page"/>
      </w:r>
    </w:p>
    <w:p>
      <w:pPr>
        <w:autoSpaceDE w:val="0"/>
        <w:autoSpaceDN w:val="0"/>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kern w:val="0"/>
          <w:sz w:val="32"/>
          <w:szCs w:val="32"/>
          <w:highlight w:val="none"/>
          <w:lang w:val="zh-CN"/>
        </w:rPr>
        <w:t>法定代表人或授权委托人</w:t>
      </w:r>
      <w:r>
        <w:rPr>
          <w:rFonts w:hint="eastAsia" w:ascii="微软雅黑" w:hAnsi="微软雅黑" w:eastAsia="微软雅黑" w:cs="微软雅黑"/>
          <w:b/>
          <w:sz w:val="30"/>
          <w:szCs w:val="30"/>
          <w:highlight w:val="none"/>
        </w:rPr>
        <w:t>身份证明</w:t>
      </w:r>
    </w:p>
    <w:p>
      <w:pPr>
        <w:pStyle w:val="558"/>
        <w:spacing w:line="360" w:lineRule="auto"/>
        <w:rPr>
          <w:rFonts w:ascii="微软雅黑" w:hAnsi="微软雅黑" w:eastAsia="微软雅黑" w:cs="微软雅黑"/>
          <w:bCs/>
          <w:highlight w:val="none"/>
        </w:rPr>
      </w:pPr>
      <w:r>
        <w:rPr>
          <w:rFonts w:hint="eastAsia" w:ascii="微软雅黑" w:hAnsi="微软雅黑" w:eastAsia="微软雅黑" w:cs="微软雅黑"/>
          <w:bCs/>
          <w:highlight w:val="none"/>
        </w:rPr>
        <w:t>身份证件扫描件：</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558"/>
              <w:adjustRightInd w:val="0"/>
              <w:spacing w:line="360" w:lineRule="auto"/>
              <w:rPr>
                <w:rFonts w:ascii="微软雅黑" w:hAnsi="微软雅黑" w:eastAsia="微软雅黑" w:cs="微软雅黑"/>
                <w:bCs/>
                <w:highlight w:val="none"/>
              </w:rPr>
            </w:pPr>
            <w:r>
              <w:rPr>
                <w:rFonts w:hint="eastAsia" w:ascii="微软雅黑" w:hAnsi="微软雅黑" w:eastAsia="微软雅黑" w:cs="微软雅黑"/>
                <w:bCs/>
                <w:highlight w:val="none"/>
              </w:rPr>
              <w:t>正面：反面：</w:t>
            </w:r>
          </w:p>
          <w:p>
            <w:pPr>
              <w:pStyle w:val="558"/>
              <w:adjustRightInd w:val="0"/>
              <w:spacing w:line="360" w:lineRule="auto"/>
              <w:rPr>
                <w:rFonts w:ascii="微软雅黑" w:hAnsi="微软雅黑" w:eastAsia="微软雅黑" w:cs="微软雅黑"/>
                <w:bCs/>
                <w:highlight w:val="none"/>
              </w:rPr>
            </w:pPr>
          </w:p>
        </w:tc>
      </w:tr>
    </w:tbl>
    <w:p>
      <w:pPr>
        <w:snapToGrid w:val="0"/>
        <w:spacing w:line="360" w:lineRule="auto"/>
        <w:ind w:firstLine="576"/>
        <w:jc w:val="center"/>
        <w:rPr>
          <w:rFonts w:ascii="微软雅黑" w:hAnsi="微软雅黑" w:eastAsia="微软雅黑" w:cs="微软雅黑"/>
          <w:kern w:val="0"/>
          <w:szCs w:val="21"/>
          <w:highlight w:val="none"/>
          <w:lang w:val="zh-CN"/>
        </w:rPr>
      </w:pPr>
    </w:p>
    <w:p>
      <w:pPr>
        <w:snapToGrid w:val="0"/>
        <w:spacing w:line="360" w:lineRule="auto"/>
        <w:ind w:firstLine="576"/>
        <w:jc w:val="center"/>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 xml:space="preserve">                  投标人名称(电子签名)：                              </w:t>
      </w:r>
    </w:p>
    <w:p>
      <w:pPr>
        <w:spacing w:line="360" w:lineRule="auto"/>
        <w:jc w:val="center"/>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lang w:val="zh-CN"/>
        </w:rPr>
      </w:pPr>
      <w:r>
        <w:rPr>
          <w:rFonts w:hint="eastAsia" w:ascii="微软雅黑" w:hAnsi="微软雅黑" w:eastAsia="微软雅黑" w:cs="微软雅黑"/>
          <w:b/>
          <w:kern w:val="0"/>
          <w:sz w:val="32"/>
          <w:szCs w:val="32"/>
          <w:highlight w:val="none"/>
        </w:rPr>
        <w:t>三、</w:t>
      </w:r>
      <w:r>
        <w:rPr>
          <w:rFonts w:hint="eastAsia" w:ascii="微软雅黑" w:hAnsi="微软雅黑" w:eastAsia="微软雅黑" w:cs="微软雅黑"/>
          <w:b/>
          <w:kern w:val="0"/>
          <w:sz w:val="32"/>
          <w:szCs w:val="32"/>
          <w:highlight w:val="none"/>
          <w:lang w:val="zh-CN"/>
        </w:rPr>
        <w:t>联合协议</w:t>
      </w:r>
    </w:p>
    <w:p>
      <w:pPr>
        <w:widowControl/>
        <w:spacing w:line="240" w:lineRule="auto"/>
        <w:ind w:firstLine="420" w:firstLineChars="200"/>
        <w:jc w:val="left"/>
        <w:rPr>
          <w:rFonts w:ascii="微软雅黑" w:hAnsi="微软雅黑" w:eastAsia="微软雅黑" w:cs="微软雅黑"/>
          <w:b/>
          <w:szCs w:val="21"/>
          <w:highlight w:val="none"/>
        </w:rPr>
      </w:pPr>
      <w:r>
        <w:rPr>
          <w:rFonts w:hint="eastAsia" w:ascii="微软雅黑" w:hAnsi="微软雅黑" w:eastAsia="微软雅黑" w:cs="微软雅黑"/>
          <w:b/>
          <w:szCs w:val="21"/>
          <w:highlight w:val="none"/>
        </w:rPr>
        <w:t>（以联合体形式投标的，提供联合协议；本项目不接受联合体投标或者投标人不以联合体形式投标的，则不需要提供）</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（联合体所有成员名称）</w:t>
      </w:r>
      <w:r>
        <w:rPr>
          <w:rFonts w:hint="eastAsia" w:ascii="微软雅黑" w:hAnsi="微软雅黑" w:eastAsia="微软雅黑" w:cs="微软雅黑"/>
          <w:kern w:val="0"/>
          <w:szCs w:val="21"/>
          <w:highlight w:val="none"/>
        </w:rPr>
        <w:t>自愿</w:t>
      </w:r>
      <w:r>
        <w:rPr>
          <w:rFonts w:hint="eastAsia" w:ascii="微软雅黑" w:hAnsi="微软雅黑" w:eastAsia="微软雅黑" w:cs="微软雅黑"/>
          <w:kern w:val="0"/>
          <w:szCs w:val="21"/>
          <w:highlight w:val="none"/>
          <w:lang w:val="zh-CN"/>
        </w:rPr>
        <w:t>组成一个联合体，以一个投标人的身份</w:t>
      </w:r>
      <w:r>
        <w:rPr>
          <w:rFonts w:hint="eastAsia" w:ascii="微软雅黑" w:hAnsi="微软雅黑" w:eastAsia="微软雅黑" w:cs="微软雅黑"/>
          <w:kern w:val="0"/>
          <w:szCs w:val="21"/>
          <w:highlight w:val="none"/>
        </w:rPr>
        <w:t>参加</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投标。</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一、各方一致决定，</w:t>
      </w:r>
      <w:r>
        <w:rPr>
          <w:rFonts w:hint="eastAsia" w:ascii="微软雅黑" w:hAnsi="微软雅黑" w:eastAsia="微软雅黑" w:cs="微软雅黑"/>
          <w:kern w:val="0"/>
          <w:szCs w:val="21"/>
          <w:highlight w:val="none"/>
          <w:u w:val="single"/>
        </w:rPr>
        <w:t>（某联合体成员名称）</w:t>
      </w:r>
      <w:r>
        <w:rPr>
          <w:rFonts w:hint="eastAsia" w:ascii="微软雅黑" w:hAnsi="微软雅黑" w:eastAsia="微软雅黑" w:cs="微软雅黑"/>
          <w:kern w:val="0"/>
          <w:szCs w:val="21"/>
          <w:highlight w:val="none"/>
        </w:rPr>
        <w:t>为联合体</w:t>
      </w:r>
      <w:r>
        <w:rPr>
          <w:rFonts w:hint="eastAsia" w:ascii="微软雅黑" w:hAnsi="微软雅黑" w:eastAsia="微软雅黑" w:cs="微软雅黑"/>
          <w:kern w:val="0"/>
          <w:szCs w:val="21"/>
          <w:highlight w:val="none"/>
          <w:lang w:val="zh-CN"/>
        </w:rPr>
        <w:t>牵头人</w:t>
      </w:r>
      <w:r>
        <w:rPr>
          <w:rFonts w:hint="eastAsia" w:ascii="微软雅黑" w:hAnsi="微软雅黑" w:eastAsia="微软雅黑" w:cs="微软雅黑"/>
          <w:szCs w:val="21"/>
          <w:highlight w:val="none"/>
        </w:rPr>
        <w:t>，代表所有联合体成员负责投标和合同实施阶段的主办、协调工作</w:t>
      </w:r>
      <w:r>
        <w:rPr>
          <w:rFonts w:hint="eastAsia" w:ascii="微软雅黑" w:hAnsi="微软雅黑" w:eastAsia="微软雅黑" w:cs="微软雅黑"/>
          <w:kern w:val="0"/>
          <w:szCs w:val="21"/>
          <w:highlight w:val="none"/>
          <w:lang w:val="zh-CN"/>
        </w:rPr>
        <w:t>。</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二、</w:t>
      </w:r>
      <w:r>
        <w:rPr>
          <w:rFonts w:hint="eastAsia" w:ascii="微软雅黑" w:hAnsi="微软雅黑" w:eastAsia="微软雅黑" w:cs="微软雅黑"/>
          <w:szCs w:val="21"/>
          <w:highlight w:val="none"/>
        </w:rPr>
        <w:t>所有联合体成员各方签署授权书，授权书载明的</w:t>
      </w:r>
      <w:r>
        <w:rPr>
          <w:rFonts w:hint="eastAsia" w:ascii="微软雅黑" w:hAnsi="微软雅黑" w:eastAsia="微软雅黑" w:cs="微软雅黑"/>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三、本次联合投标中，分工如下：</w:t>
      </w:r>
      <w:r>
        <w:rPr>
          <w:rFonts w:hint="eastAsia" w:ascii="微软雅黑" w:hAnsi="微软雅黑" w:eastAsia="微软雅黑" w:cs="微软雅黑"/>
          <w:kern w:val="0"/>
          <w:szCs w:val="21"/>
          <w:highlight w:val="none"/>
          <w:u w:val="single"/>
        </w:rPr>
        <w:t>（联合体其中一方成员名称）</w:t>
      </w:r>
      <w:r>
        <w:rPr>
          <w:rFonts w:hint="eastAsia" w:ascii="微软雅黑" w:hAnsi="微软雅黑" w:eastAsia="微软雅黑" w:cs="微软雅黑"/>
          <w:kern w:val="0"/>
          <w:szCs w:val="21"/>
          <w:highlight w:val="none"/>
          <w:lang w:val="zh-CN"/>
        </w:rPr>
        <w:t>承担的工作和义务为：；……。</w:t>
      </w:r>
    </w:p>
    <w:p>
      <w:pPr>
        <w:snapToGrid w:val="0"/>
        <w:spacing w:line="240" w:lineRule="auto"/>
        <w:ind w:firstLine="576"/>
        <w:rPr>
          <w:rFonts w:ascii="微软雅黑" w:hAnsi="微软雅黑" w:eastAsia="微软雅黑" w:cs="微软雅黑"/>
          <w:b/>
          <w:kern w:val="0"/>
          <w:szCs w:val="21"/>
          <w:highlight w:val="none"/>
          <w:lang w:val="zh-CN"/>
        </w:rPr>
      </w:pPr>
      <w:r>
        <w:rPr>
          <w:rFonts w:hint="eastAsia" w:ascii="微软雅黑" w:hAnsi="微软雅黑" w:eastAsia="微软雅黑" w:cs="微软雅黑"/>
          <w:kern w:val="0"/>
          <w:szCs w:val="21"/>
          <w:highlight w:val="none"/>
          <w:lang w:val="zh-CN"/>
        </w:rPr>
        <w:t>四、</w:t>
      </w:r>
      <w:r>
        <w:rPr>
          <w:rFonts w:hint="eastAsia" w:ascii="微软雅黑" w:hAnsi="微软雅黑" w:eastAsia="微软雅黑" w:cs="微软雅黑"/>
          <w:kern w:val="0"/>
          <w:szCs w:val="21"/>
          <w:highlight w:val="none"/>
          <w:u w:val="single"/>
        </w:rPr>
        <w:t>（联合体其中一方成员名称）</w:t>
      </w:r>
      <w:r>
        <w:rPr>
          <w:rFonts w:hint="eastAsia" w:ascii="微软雅黑" w:hAnsi="微软雅黑" w:eastAsia="微软雅黑" w:cs="微软雅黑"/>
          <w:kern w:val="0"/>
          <w:szCs w:val="21"/>
          <w:highlight w:val="none"/>
        </w:rPr>
        <w:t>提供的全部货物由小微企业制造，其合同份额占到合同总金额%以上；</w:t>
      </w:r>
      <w:r>
        <w:rPr>
          <w:rFonts w:hint="eastAsia" w:ascii="微软雅黑" w:hAnsi="微软雅黑" w:eastAsia="微软雅黑" w:cs="微软雅黑"/>
          <w:kern w:val="0"/>
          <w:szCs w:val="21"/>
          <w:highlight w:val="none"/>
          <w:lang w:val="zh-CN"/>
        </w:rPr>
        <w:t>……。</w:t>
      </w:r>
      <w:r>
        <w:rPr>
          <w:rFonts w:hint="eastAsia" w:ascii="微软雅黑" w:hAnsi="微软雅黑" w:eastAsia="微软雅黑" w:cs="微软雅黑"/>
          <w:b/>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微软雅黑" w:hAnsi="微软雅黑" w:eastAsia="微软雅黑" w:cs="微软雅黑"/>
          <w:b/>
          <w:kern w:val="0"/>
          <w:szCs w:val="21"/>
          <w:highlight w:val="none"/>
        </w:rPr>
        <w:t>6</w:t>
      </w:r>
      <w:r>
        <w:rPr>
          <w:rFonts w:hint="eastAsia" w:ascii="微软雅黑" w:hAnsi="微软雅黑" w:eastAsia="微软雅黑" w:cs="微软雅黑"/>
          <w:b/>
          <w:kern w:val="0"/>
          <w:szCs w:val="21"/>
          <w:highlight w:val="none"/>
          <w:lang w:val="zh-CN"/>
        </w:rPr>
        <w:t>%的扣除）</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五、如果中标，</w:t>
      </w:r>
      <w:r>
        <w:rPr>
          <w:rFonts w:hint="eastAsia" w:ascii="微软雅黑" w:hAnsi="微软雅黑" w:eastAsia="微软雅黑" w:cs="微软雅黑"/>
          <w:szCs w:val="21"/>
          <w:highlight w:val="none"/>
        </w:rPr>
        <w:t>联合体各成员方共同与采购人签订合同，并就采购合同约定的事项对采购人承担连带责任。</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六、有关本次联合投标的其他事宜：</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1、联合体各方不再单独参加或者与其他供应商另外组成联合体参加同一合同项下的政府采购活动。</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2、联合体中有同类资质的各方按照联合体分工承担相同工作的，按照资质等级较低的供应商确定资质等级。</w:t>
      </w:r>
    </w:p>
    <w:p>
      <w:pPr>
        <w:snapToGrid w:val="0"/>
        <w:spacing w:line="24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3、本协议提交采购人、采购机构后，联合体各方不得以任何形式对上述内容进行修改或撤销。</w:t>
      </w:r>
    </w:p>
    <w:p>
      <w:pPr>
        <w:snapToGrid w:val="0"/>
        <w:spacing w:line="240" w:lineRule="auto"/>
        <w:ind w:firstLine="4410" w:firstLineChars="21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联合体成员名称(电子签名/公章)：</w:t>
      </w:r>
    </w:p>
    <w:p>
      <w:pPr>
        <w:snapToGrid w:val="0"/>
        <w:spacing w:line="240" w:lineRule="auto"/>
        <w:ind w:firstLine="5040" w:firstLineChars="2400"/>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w:t>
      </w:r>
    </w:p>
    <w:p>
      <w:pPr>
        <w:snapToGrid w:val="0"/>
        <w:spacing w:line="240" w:lineRule="auto"/>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snapToGrid w:val="0"/>
        <w:spacing w:line="360" w:lineRule="auto"/>
        <w:ind w:right="480"/>
        <w:rPr>
          <w:rFonts w:ascii="微软雅黑" w:hAnsi="微软雅黑" w:eastAsia="微软雅黑" w:cs="微软雅黑"/>
          <w:b/>
          <w:kern w:val="0"/>
          <w:sz w:val="32"/>
          <w:szCs w:val="32"/>
          <w:highlight w:val="none"/>
          <w:lang w:val="zh-CN"/>
        </w:rPr>
        <w:sectPr>
          <w:headerReference r:id="rId19" w:type="first"/>
          <w:footerReference r:id="rId21" w:type="first"/>
          <w:headerReference r:id="rId18" w:type="default"/>
          <w:footerReference r:id="rId20" w:type="default"/>
          <w:pgSz w:w="11905" w:h="16838"/>
          <w:pgMar w:top="1474" w:right="1814" w:bottom="1474" w:left="1814" w:header="851" w:footer="850" w:gutter="0"/>
          <w:cols w:space="0" w:num="1"/>
          <w:docGrid w:linePitch="312" w:charSpace="0"/>
        </w:sectPr>
      </w:pPr>
    </w:p>
    <w:p>
      <w:pPr>
        <w:snapToGrid w:val="0"/>
        <w:spacing w:line="360" w:lineRule="auto"/>
        <w:ind w:firstLine="3522" w:firstLineChars="1100"/>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四、分包意向协议</w:t>
      </w:r>
    </w:p>
    <w:p>
      <w:pPr>
        <w:widowControl/>
        <w:spacing w:line="360" w:lineRule="auto"/>
        <w:ind w:firstLine="105" w:firstLineChars="50"/>
        <w:jc w:val="lef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w:t>
      </w:r>
      <w:r>
        <w:rPr>
          <w:rFonts w:hint="eastAsia" w:ascii="微软雅黑" w:hAnsi="微软雅黑" w:eastAsia="微软雅黑" w:cs="微软雅黑"/>
          <w:b/>
          <w:szCs w:val="21"/>
          <w:highlight w:val="none"/>
        </w:rPr>
        <w:t>中标后以分包方式履行合同的，提供分包意向协议；采购人不同意分包或者投标人中标后不以分包方式履行合同的，则不需要提供。</w:t>
      </w:r>
      <w:r>
        <w:rPr>
          <w:rFonts w:hint="eastAsia" w:ascii="微软雅黑" w:hAnsi="微软雅黑" w:eastAsia="微软雅黑" w:cs="微软雅黑"/>
          <w:szCs w:val="21"/>
          <w:highlight w:val="none"/>
        </w:rPr>
        <w:t>）</w:t>
      </w: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lang w:val="zh-CN"/>
        </w:rPr>
        <w:t>若成为</w:t>
      </w:r>
      <w:r>
        <w:rPr>
          <w:rFonts w:hint="eastAsia" w:ascii="微软雅黑" w:hAnsi="微软雅黑" w:eastAsia="微软雅黑" w:cs="微软雅黑"/>
          <w:szCs w:val="21"/>
          <w:highlight w:val="none"/>
        </w:rPr>
        <w:t>（项目名称）【招标编号：（采购编号）】</w:t>
      </w:r>
      <w:r>
        <w:rPr>
          <w:rFonts w:hint="eastAsia" w:ascii="微软雅黑" w:hAnsi="微软雅黑" w:eastAsia="微软雅黑" w:cs="微软雅黑"/>
          <w:kern w:val="0"/>
          <w:szCs w:val="21"/>
          <w:highlight w:val="none"/>
          <w:lang w:val="zh-CN"/>
        </w:rPr>
        <w:t>的中标供应商，将依法采取分包方式履行合同。</w:t>
      </w: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rPr>
        <w:t>与</w:t>
      </w:r>
      <w:r>
        <w:rPr>
          <w:rFonts w:hint="eastAsia" w:ascii="微软雅黑" w:hAnsi="微软雅黑" w:eastAsia="微软雅黑" w:cs="微软雅黑"/>
          <w:kern w:val="0"/>
          <w:szCs w:val="21"/>
          <w:highlight w:val="none"/>
          <w:u w:val="single"/>
        </w:rPr>
        <w:t>（所有分包供应商名称）</w:t>
      </w:r>
      <w:r>
        <w:rPr>
          <w:rFonts w:hint="eastAsia" w:ascii="微软雅黑" w:hAnsi="微软雅黑" w:eastAsia="微软雅黑" w:cs="微软雅黑"/>
          <w:kern w:val="0"/>
          <w:szCs w:val="21"/>
          <w:highlight w:val="none"/>
        </w:rPr>
        <w:t>达成分包意向协议</w:t>
      </w:r>
      <w:r>
        <w:rPr>
          <w:rFonts w:hint="eastAsia" w:ascii="微软雅黑" w:hAnsi="微软雅黑" w:eastAsia="微软雅黑" w:cs="微软雅黑"/>
          <w:kern w:val="0"/>
          <w:szCs w:val="21"/>
          <w:highlight w:val="none"/>
          <w:lang w:val="zh-CN"/>
        </w:rPr>
        <w:t>。</w:t>
      </w: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一、分包标的及数量</w:t>
      </w: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u w:val="single"/>
        </w:rPr>
        <w:t>（投标人名称）</w:t>
      </w:r>
      <w:r>
        <w:rPr>
          <w:rFonts w:hint="eastAsia" w:ascii="微软雅黑" w:hAnsi="微软雅黑" w:eastAsia="微软雅黑" w:cs="微软雅黑"/>
          <w:kern w:val="0"/>
          <w:szCs w:val="21"/>
          <w:highlight w:val="none"/>
          <w:lang w:val="zh-CN"/>
        </w:rPr>
        <w:t>将</w:t>
      </w:r>
      <w:r>
        <w:rPr>
          <w:rFonts w:hint="eastAsia" w:ascii="微软雅黑" w:hAnsi="微软雅黑" w:eastAsia="微软雅黑" w:cs="微软雅黑"/>
          <w:szCs w:val="21"/>
          <w:highlight w:val="none"/>
          <w:u w:val="single"/>
        </w:rPr>
        <w:t xml:space="preserve">   XX工作内容   </w:t>
      </w:r>
      <w:r>
        <w:rPr>
          <w:rFonts w:hint="eastAsia" w:ascii="微软雅黑" w:hAnsi="微软雅黑" w:eastAsia="微软雅黑" w:cs="微软雅黑"/>
          <w:szCs w:val="21"/>
          <w:highlight w:val="none"/>
        </w:rPr>
        <w:t>分包给</w:t>
      </w:r>
      <w:r>
        <w:rPr>
          <w:rFonts w:hint="eastAsia" w:ascii="微软雅黑" w:hAnsi="微软雅黑" w:eastAsia="微软雅黑" w:cs="微软雅黑"/>
          <w:kern w:val="0"/>
          <w:szCs w:val="21"/>
          <w:highlight w:val="none"/>
          <w:u w:val="single"/>
        </w:rPr>
        <w:t>（某分包供应商名称）</w:t>
      </w:r>
      <w:r>
        <w:rPr>
          <w:rFonts w:hint="eastAsia" w:ascii="微软雅黑" w:hAnsi="微软雅黑" w:eastAsia="微软雅黑" w:cs="微软雅黑"/>
          <w:kern w:val="0"/>
          <w:szCs w:val="21"/>
          <w:highlight w:val="none"/>
          <w:lang w:val="zh-CN"/>
        </w:rPr>
        <w:t>，</w:t>
      </w:r>
      <w:r>
        <w:rPr>
          <w:rFonts w:hint="eastAsia" w:ascii="微软雅黑" w:hAnsi="微软雅黑" w:eastAsia="微软雅黑" w:cs="微软雅黑"/>
          <w:kern w:val="0"/>
          <w:szCs w:val="21"/>
          <w:highlight w:val="none"/>
          <w:u w:val="single"/>
        </w:rPr>
        <w:t>（某分包供应商名称），</w:t>
      </w:r>
      <w:r>
        <w:rPr>
          <w:rFonts w:hint="eastAsia" w:ascii="微软雅黑" w:hAnsi="微软雅黑" w:eastAsia="微软雅黑" w:cs="微软雅黑"/>
          <w:kern w:val="0"/>
          <w:szCs w:val="21"/>
          <w:highlight w:val="none"/>
          <w:lang w:val="zh-CN"/>
        </w:rPr>
        <w:t>具备承</w:t>
      </w:r>
      <w:r>
        <w:rPr>
          <w:rFonts w:hint="eastAsia" w:ascii="微软雅黑" w:hAnsi="微软雅黑" w:eastAsia="微软雅黑" w:cs="微软雅黑"/>
          <w:kern w:val="0"/>
          <w:szCs w:val="21"/>
          <w:highlight w:val="none"/>
        </w:rPr>
        <w:t>担</w:t>
      </w:r>
      <w:r>
        <w:rPr>
          <w:rFonts w:hint="eastAsia" w:ascii="微软雅黑" w:hAnsi="微软雅黑" w:eastAsia="微软雅黑" w:cs="微软雅黑"/>
          <w:kern w:val="0"/>
          <w:szCs w:val="21"/>
          <w:highlight w:val="none"/>
          <w:u w:val="single"/>
          <w:lang w:val="zh-CN"/>
        </w:rPr>
        <w:t>XX工作内容</w:t>
      </w:r>
      <w:r>
        <w:rPr>
          <w:rFonts w:hint="eastAsia" w:ascii="微软雅黑" w:hAnsi="微软雅黑" w:eastAsia="微软雅黑" w:cs="微软雅黑"/>
          <w:kern w:val="0"/>
          <w:szCs w:val="21"/>
          <w:highlight w:val="none"/>
          <w:lang w:val="zh-CN"/>
        </w:rPr>
        <w:t>相应资质条件且不得再次分包；</w:t>
      </w:r>
    </w:p>
    <w:p>
      <w:pPr>
        <w:pStyle w:val="4"/>
        <w:tabs>
          <w:tab w:val="left" w:pos="432"/>
        </w:tabs>
        <w:ind w:left="664" w:leftChars="316" w:firstLine="200" w:firstLineChars="95"/>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w:t>
      </w: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二、分包工作履行期限、地点、方式</w:t>
      </w:r>
    </w:p>
    <w:p>
      <w:pPr>
        <w:snapToGrid w:val="0"/>
        <w:spacing w:line="360" w:lineRule="auto"/>
        <w:ind w:firstLine="576"/>
        <w:rPr>
          <w:rFonts w:ascii="微软雅黑" w:hAnsi="微软雅黑" w:eastAsia="微软雅黑" w:cs="微软雅黑"/>
          <w:szCs w:val="21"/>
          <w:highlight w:val="none"/>
          <w:u w:val="single"/>
        </w:rPr>
      </w:pP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三、质量</w:t>
      </w:r>
    </w:p>
    <w:p>
      <w:pPr>
        <w:snapToGrid w:val="0"/>
        <w:spacing w:line="360" w:lineRule="auto"/>
        <w:ind w:firstLine="576"/>
        <w:rPr>
          <w:rFonts w:ascii="微软雅黑" w:hAnsi="微软雅黑" w:eastAsia="微软雅黑" w:cs="微软雅黑"/>
          <w:kern w:val="0"/>
          <w:szCs w:val="21"/>
          <w:highlight w:val="none"/>
          <w:lang w:val="zh-CN"/>
        </w:rPr>
      </w:pP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四、价款或者报酬</w:t>
      </w:r>
    </w:p>
    <w:p>
      <w:pPr>
        <w:snapToGrid w:val="0"/>
        <w:spacing w:line="360" w:lineRule="auto"/>
        <w:ind w:left="573" w:leftChars="273"/>
        <w:rPr>
          <w:rFonts w:ascii="微软雅黑" w:hAnsi="微软雅黑" w:eastAsia="微软雅黑" w:cs="微软雅黑"/>
          <w:kern w:val="0"/>
          <w:szCs w:val="21"/>
          <w:highlight w:val="none"/>
          <w:lang w:val="zh-CN"/>
        </w:rPr>
      </w:pPr>
    </w:p>
    <w:p>
      <w:pPr>
        <w:snapToGrid w:val="0"/>
        <w:spacing w:line="360" w:lineRule="auto"/>
        <w:ind w:left="573" w:leftChars="273"/>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五、违约责任</w:t>
      </w:r>
    </w:p>
    <w:p>
      <w:pPr>
        <w:snapToGrid w:val="0"/>
        <w:spacing w:line="360" w:lineRule="auto"/>
        <w:ind w:firstLine="576"/>
        <w:rPr>
          <w:rFonts w:ascii="微软雅黑" w:hAnsi="微软雅黑" w:eastAsia="微软雅黑" w:cs="微软雅黑"/>
          <w:kern w:val="0"/>
          <w:szCs w:val="21"/>
          <w:highlight w:val="none"/>
          <w:lang w:val="zh-CN"/>
        </w:rPr>
      </w:pP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六、争议解决的办法</w:t>
      </w:r>
    </w:p>
    <w:p>
      <w:pPr>
        <w:snapToGrid w:val="0"/>
        <w:spacing w:line="360" w:lineRule="auto"/>
        <w:ind w:firstLine="576"/>
        <w:rPr>
          <w:rFonts w:ascii="微软雅黑" w:hAnsi="微软雅黑" w:eastAsia="微软雅黑" w:cs="微软雅黑"/>
          <w:kern w:val="0"/>
          <w:szCs w:val="21"/>
          <w:highlight w:val="none"/>
          <w:lang w:val="zh-CN"/>
        </w:rPr>
      </w:pPr>
    </w:p>
    <w:p>
      <w:pPr>
        <w:snapToGrid w:val="0"/>
        <w:spacing w:line="360" w:lineRule="auto"/>
        <w:ind w:firstLine="576"/>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七、其他</w:t>
      </w:r>
    </w:p>
    <w:p>
      <w:pPr>
        <w:snapToGrid w:val="0"/>
        <w:spacing w:line="360" w:lineRule="auto"/>
        <w:ind w:firstLine="576"/>
        <w:rPr>
          <w:rFonts w:ascii="微软雅黑" w:hAnsi="微软雅黑" w:eastAsia="微软雅黑" w:cs="微软雅黑"/>
          <w:b/>
          <w:kern w:val="0"/>
          <w:szCs w:val="21"/>
          <w:highlight w:val="none"/>
          <w:lang w:val="zh-CN"/>
        </w:rPr>
      </w:pPr>
      <w:r>
        <w:rPr>
          <w:rFonts w:hint="eastAsia" w:ascii="微软雅黑" w:hAnsi="微软雅黑" w:eastAsia="微软雅黑" w:cs="微软雅黑"/>
          <w:kern w:val="0"/>
          <w:szCs w:val="21"/>
          <w:highlight w:val="none"/>
          <w:u w:val="single"/>
        </w:rPr>
        <w:t>（分包供应商名称）提供的货物全部由小微企业制造，</w:t>
      </w:r>
      <w:r>
        <w:rPr>
          <w:rFonts w:hint="eastAsia" w:ascii="微软雅黑" w:hAnsi="微软雅黑" w:eastAsia="微软雅黑" w:cs="微软雅黑"/>
          <w:kern w:val="0"/>
          <w:szCs w:val="21"/>
          <w:highlight w:val="none"/>
        </w:rPr>
        <w:t>其合同份额占到合同总金额%以上</w:t>
      </w:r>
      <w:r>
        <w:rPr>
          <w:rFonts w:hint="eastAsia" w:ascii="微软雅黑" w:hAnsi="微软雅黑" w:eastAsia="微软雅黑" w:cs="微软雅黑"/>
          <w:szCs w:val="21"/>
          <w:highlight w:val="none"/>
        </w:rPr>
        <w:t>。</w:t>
      </w:r>
      <w:r>
        <w:rPr>
          <w:rFonts w:hint="eastAsia" w:ascii="微软雅黑" w:hAnsi="微软雅黑" w:eastAsia="微软雅黑" w:cs="微软雅黑"/>
          <w:b/>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微软雅黑" w:hAnsi="微软雅黑" w:eastAsia="微软雅黑" w:cs="微软雅黑"/>
          <w:b/>
          <w:kern w:val="0"/>
          <w:szCs w:val="21"/>
          <w:highlight w:val="none"/>
        </w:rPr>
        <w:t>6</w:t>
      </w:r>
      <w:r>
        <w:rPr>
          <w:rFonts w:hint="eastAsia" w:ascii="微软雅黑" w:hAnsi="微软雅黑" w:eastAsia="微软雅黑" w:cs="微软雅黑"/>
          <w:b/>
          <w:kern w:val="0"/>
          <w:szCs w:val="21"/>
          <w:highlight w:val="none"/>
          <w:lang w:val="zh-CN"/>
        </w:rPr>
        <w:t>%的扣除）</w:t>
      </w:r>
    </w:p>
    <w:p>
      <w:pPr>
        <w:snapToGrid w:val="0"/>
        <w:spacing w:line="360" w:lineRule="auto"/>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 xml:space="preserve">                                               投标人名称(电子签名)：</w:t>
      </w:r>
    </w:p>
    <w:p>
      <w:pPr>
        <w:snapToGrid w:val="0"/>
        <w:spacing w:line="360" w:lineRule="auto"/>
        <w:ind w:firstLine="4935" w:firstLineChars="235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分包供应商名称：</w:t>
      </w:r>
    </w:p>
    <w:p>
      <w:pPr>
        <w:snapToGrid w:val="0"/>
        <w:spacing w:line="360" w:lineRule="auto"/>
        <w:ind w:firstLine="5040" w:firstLineChars="2400"/>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w:t>
      </w:r>
    </w:p>
    <w:p>
      <w:pPr>
        <w:snapToGrid w:val="0"/>
        <w:spacing w:line="360" w:lineRule="auto"/>
        <w:rPr>
          <w:rFonts w:ascii="微软雅黑" w:hAnsi="微软雅黑" w:eastAsia="微软雅黑" w:cs="微软雅黑"/>
          <w:kern w:val="0"/>
          <w:sz w:val="24"/>
          <w:highlight w:val="none"/>
          <w:lang w:val="zh-CN"/>
        </w:rPr>
      </w:pPr>
      <w:r>
        <w:rPr>
          <w:rFonts w:hint="eastAsia" w:ascii="微软雅黑" w:hAnsi="微软雅黑" w:eastAsia="微软雅黑" w:cs="微软雅黑"/>
          <w:kern w:val="0"/>
          <w:szCs w:val="21"/>
          <w:highlight w:val="none"/>
          <w:lang w:val="zh-CN"/>
        </w:rPr>
        <w:t xml:space="preserve">                                               日期：  年  月   日</w:t>
      </w:r>
    </w:p>
    <w:p>
      <w:pPr>
        <w:widowControl/>
        <w:jc w:val="left"/>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br w:type="page"/>
      </w:r>
    </w:p>
    <w:p>
      <w:pPr>
        <w:jc w:val="center"/>
        <w:rPr>
          <w:rFonts w:ascii="微软雅黑" w:hAnsi="微软雅黑" w:eastAsia="微软雅黑" w:cs="微软雅黑"/>
          <w:highlight w:val="none"/>
        </w:rPr>
      </w:pPr>
      <w:r>
        <w:rPr>
          <w:rFonts w:hint="eastAsia" w:ascii="微软雅黑" w:hAnsi="微软雅黑" w:eastAsia="微软雅黑" w:cs="微软雅黑"/>
          <w:b/>
          <w:kern w:val="0"/>
          <w:sz w:val="32"/>
          <w:szCs w:val="32"/>
          <w:highlight w:val="none"/>
        </w:rPr>
        <w:t>六、评标标准相应的商务技术资料</w:t>
      </w:r>
    </w:p>
    <w:p>
      <w:pPr>
        <w:snapToGrid w:val="0"/>
        <w:spacing w:line="360" w:lineRule="auto"/>
        <w:jc w:val="left"/>
        <w:rPr>
          <w:rFonts w:ascii="微软雅黑" w:hAnsi="微软雅黑" w:eastAsia="微软雅黑" w:cs="微软雅黑"/>
          <w:b/>
          <w:sz w:val="24"/>
          <w:highlight w:val="none"/>
        </w:rPr>
      </w:pPr>
      <w:r>
        <w:rPr>
          <w:rFonts w:hint="eastAsia" w:ascii="微软雅黑" w:hAnsi="微软雅黑" w:eastAsia="微软雅黑" w:cs="微软雅黑"/>
          <w:b/>
          <w:szCs w:val="21"/>
          <w:highlight w:val="none"/>
        </w:rPr>
        <w:t>（按招标文件第四部分评标办法前附表中“投标文件中评标标准相应的商务技术资料目录”提供资料）</w:t>
      </w: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pStyle w:val="31"/>
        <w:spacing w:line="360" w:lineRule="auto"/>
        <w:jc w:val="left"/>
        <w:rPr>
          <w:rFonts w:ascii="微软雅黑" w:hAnsi="微软雅黑" w:eastAsia="微软雅黑" w:cs="微软雅黑"/>
          <w:sz w:val="24"/>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rPr>
          <w:rFonts w:ascii="微软雅黑" w:hAnsi="微软雅黑" w:eastAsia="微软雅黑" w:cs="微软雅黑"/>
          <w:b/>
          <w:kern w:val="0"/>
          <w:sz w:val="32"/>
          <w:szCs w:val="32"/>
          <w:highlight w:val="none"/>
        </w:rPr>
      </w:pPr>
    </w:p>
    <w:p>
      <w:pPr>
        <w:widowControl/>
        <w:jc w:val="left"/>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br w:type="page"/>
      </w:r>
    </w:p>
    <w:p>
      <w:pPr>
        <w:widowControl/>
        <w:jc w:val="cente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七、商务技术偏离表</w:t>
      </w:r>
    </w:p>
    <w:tbl>
      <w:tblPr>
        <w:tblStyle w:val="5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微软雅黑" w:hAnsi="微软雅黑" w:eastAsia="微软雅黑" w:cs="微软雅黑"/>
                <w:b/>
                <w:bCs/>
                <w:szCs w:val="21"/>
                <w:highlight w:val="none"/>
              </w:rPr>
            </w:pPr>
            <w:r>
              <w:rPr>
                <w:rFonts w:hint="eastAsia" w:ascii="微软雅黑" w:hAnsi="微软雅黑" w:eastAsia="微软雅黑" w:cs="微软雅黑"/>
                <w:b/>
                <w:bCs/>
                <w:szCs w:val="21"/>
                <w:highlight w:val="none"/>
              </w:rPr>
              <w:t>序号</w:t>
            </w:r>
          </w:p>
        </w:tc>
        <w:tc>
          <w:tcPr>
            <w:tcW w:w="3683" w:type="dxa"/>
          </w:tcPr>
          <w:p>
            <w:pPr>
              <w:jc w:val="center"/>
              <w:rPr>
                <w:rFonts w:ascii="微软雅黑" w:hAnsi="微软雅黑" w:eastAsia="微软雅黑" w:cs="微软雅黑"/>
                <w:b/>
                <w:bCs/>
                <w:szCs w:val="21"/>
                <w:highlight w:val="none"/>
              </w:rPr>
            </w:pPr>
            <w:r>
              <w:rPr>
                <w:rFonts w:hint="eastAsia" w:ascii="微软雅黑" w:hAnsi="微软雅黑" w:eastAsia="微软雅黑" w:cs="微软雅黑"/>
                <w:b/>
                <w:bCs/>
                <w:szCs w:val="21"/>
                <w:highlight w:val="none"/>
              </w:rPr>
              <w:t>招标文件章节及具体内容</w:t>
            </w:r>
          </w:p>
        </w:tc>
        <w:tc>
          <w:tcPr>
            <w:tcW w:w="3546" w:type="dxa"/>
          </w:tcPr>
          <w:p>
            <w:pPr>
              <w:jc w:val="center"/>
              <w:rPr>
                <w:rFonts w:ascii="微软雅黑" w:hAnsi="微软雅黑" w:eastAsia="微软雅黑" w:cs="微软雅黑"/>
                <w:b/>
                <w:bCs/>
                <w:szCs w:val="21"/>
                <w:highlight w:val="none"/>
              </w:rPr>
            </w:pPr>
            <w:r>
              <w:rPr>
                <w:rFonts w:hint="eastAsia" w:ascii="微软雅黑" w:hAnsi="微软雅黑" w:eastAsia="微软雅黑" w:cs="微软雅黑"/>
                <w:b/>
                <w:bCs/>
                <w:szCs w:val="21"/>
                <w:highlight w:val="none"/>
              </w:rPr>
              <w:t>投标文件章节及具体内容</w:t>
            </w:r>
          </w:p>
        </w:tc>
        <w:tc>
          <w:tcPr>
            <w:tcW w:w="1276" w:type="dxa"/>
          </w:tcPr>
          <w:p>
            <w:pPr>
              <w:jc w:val="center"/>
              <w:rPr>
                <w:rFonts w:ascii="微软雅黑" w:hAnsi="微软雅黑" w:eastAsia="微软雅黑" w:cs="微软雅黑"/>
                <w:b/>
                <w:bCs/>
                <w:szCs w:val="21"/>
                <w:highlight w:val="none"/>
              </w:rPr>
            </w:pPr>
            <w:r>
              <w:rPr>
                <w:rFonts w:hint="eastAsia" w:ascii="微软雅黑" w:hAnsi="微软雅黑" w:eastAsia="微软雅黑" w:cs="微软雅黑"/>
                <w:b/>
                <w:bCs/>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w:t>
            </w:r>
          </w:p>
        </w:tc>
        <w:tc>
          <w:tcPr>
            <w:tcW w:w="3683" w:type="dxa"/>
          </w:tcPr>
          <w:p>
            <w:pPr>
              <w:jc w:val="center"/>
              <w:rPr>
                <w:rFonts w:ascii="微软雅黑" w:hAnsi="微软雅黑" w:eastAsia="微软雅黑" w:cs="微软雅黑"/>
                <w:b/>
                <w:kern w:val="0"/>
                <w:szCs w:val="21"/>
                <w:highlight w:val="none"/>
              </w:rPr>
            </w:pPr>
          </w:p>
        </w:tc>
        <w:tc>
          <w:tcPr>
            <w:tcW w:w="3546" w:type="dxa"/>
          </w:tcPr>
          <w:p>
            <w:pPr>
              <w:jc w:val="center"/>
              <w:rPr>
                <w:rFonts w:ascii="微软雅黑" w:hAnsi="微软雅黑" w:eastAsia="微软雅黑" w:cs="微软雅黑"/>
                <w:b/>
                <w:kern w:val="0"/>
                <w:szCs w:val="21"/>
                <w:highlight w:val="none"/>
              </w:rPr>
            </w:pPr>
          </w:p>
        </w:tc>
        <w:tc>
          <w:tcPr>
            <w:tcW w:w="1276" w:type="dxa"/>
          </w:tcPr>
          <w:p>
            <w:pPr>
              <w:jc w:val="center"/>
              <w:rPr>
                <w:rFonts w:ascii="微软雅黑" w:hAnsi="微软雅黑" w:eastAsia="微软雅黑" w:cs="微软雅黑"/>
                <w:b/>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w:t>
            </w:r>
          </w:p>
        </w:tc>
        <w:tc>
          <w:tcPr>
            <w:tcW w:w="3683" w:type="dxa"/>
          </w:tcPr>
          <w:p>
            <w:pPr>
              <w:jc w:val="center"/>
              <w:rPr>
                <w:rFonts w:ascii="微软雅黑" w:hAnsi="微软雅黑" w:eastAsia="微软雅黑" w:cs="微软雅黑"/>
                <w:b/>
                <w:kern w:val="0"/>
                <w:szCs w:val="21"/>
                <w:highlight w:val="none"/>
              </w:rPr>
            </w:pPr>
          </w:p>
        </w:tc>
        <w:tc>
          <w:tcPr>
            <w:tcW w:w="3546" w:type="dxa"/>
          </w:tcPr>
          <w:p>
            <w:pPr>
              <w:jc w:val="center"/>
              <w:rPr>
                <w:rFonts w:ascii="微软雅黑" w:hAnsi="微软雅黑" w:eastAsia="微软雅黑" w:cs="微软雅黑"/>
                <w:b/>
                <w:kern w:val="0"/>
                <w:szCs w:val="21"/>
                <w:highlight w:val="none"/>
              </w:rPr>
            </w:pPr>
          </w:p>
        </w:tc>
        <w:tc>
          <w:tcPr>
            <w:tcW w:w="1276" w:type="dxa"/>
          </w:tcPr>
          <w:p>
            <w:pPr>
              <w:jc w:val="center"/>
              <w:rPr>
                <w:rFonts w:ascii="微软雅黑" w:hAnsi="微软雅黑" w:eastAsia="微软雅黑" w:cs="微软雅黑"/>
                <w:b/>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w:t>
            </w:r>
          </w:p>
        </w:tc>
        <w:tc>
          <w:tcPr>
            <w:tcW w:w="3683" w:type="dxa"/>
          </w:tcPr>
          <w:p>
            <w:pPr>
              <w:jc w:val="center"/>
              <w:rPr>
                <w:rFonts w:ascii="微软雅黑" w:hAnsi="微软雅黑" w:eastAsia="微软雅黑" w:cs="微软雅黑"/>
                <w:b/>
                <w:kern w:val="0"/>
                <w:szCs w:val="21"/>
                <w:highlight w:val="none"/>
              </w:rPr>
            </w:pPr>
          </w:p>
        </w:tc>
        <w:tc>
          <w:tcPr>
            <w:tcW w:w="3546" w:type="dxa"/>
          </w:tcPr>
          <w:p>
            <w:pPr>
              <w:jc w:val="center"/>
              <w:rPr>
                <w:rFonts w:ascii="微软雅黑" w:hAnsi="微软雅黑" w:eastAsia="微软雅黑" w:cs="微软雅黑"/>
                <w:b/>
                <w:kern w:val="0"/>
                <w:szCs w:val="21"/>
                <w:highlight w:val="none"/>
              </w:rPr>
            </w:pPr>
          </w:p>
        </w:tc>
        <w:tc>
          <w:tcPr>
            <w:tcW w:w="1276" w:type="dxa"/>
          </w:tcPr>
          <w:p>
            <w:pPr>
              <w:jc w:val="center"/>
              <w:rPr>
                <w:rFonts w:ascii="微软雅黑" w:hAnsi="微软雅黑" w:eastAsia="微软雅黑" w:cs="微软雅黑"/>
                <w:b/>
                <w:kern w:val="0"/>
                <w:szCs w:val="21"/>
                <w:highlight w:val="none"/>
              </w:rPr>
            </w:pPr>
          </w:p>
        </w:tc>
      </w:tr>
    </w:tbl>
    <w:p>
      <w:pPr>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投标人保证：除商务技术偏离表列出的偏离外，投标人响应招标文件的全部要求</w:t>
      </w: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jc w:val="center"/>
        <w:rPr>
          <w:rFonts w:ascii="微软雅黑" w:hAnsi="微软雅黑" w:eastAsia="微软雅黑" w:cs="微软雅黑"/>
          <w:b/>
          <w:kern w:val="0"/>
          <w:sz w:val="32"/>
          <w:szCs w:val="32"/>
          <w:highlight w:val="none"/>
        </w:rPr>
      </w:pPr>
    </w:p>
    <w:p>
      <w:pPr>
        <w:ind w:firstLine="2881" w:firstLineChars="900"/>
        <w:rPr>
          <w:rFonts w:ascii="微软雅黑" w:hAnsi="微软雅黑" w:eastAsia="微软雅黑" w:cs="微软雅黑"/>
          <w:b/>
          <w:bCs/>
          <w:sz w:val="32"/>
          <w:szCs w:val="32"/>
          <w:highlight w:val="none"/>
        </w:rPr>
      </w:pPr>
    </w:p>
    <w:p>
      <w:pPr>
        <w:ind w:firstLine="2881" w:firstLineChars="900"/>
        <w:rPr>
          <w:rFonts w:ascii="微软雅黑" w:hAnsi="微软雅黑" w:eastAsia="微软雅黑" w:cs="微软雅黑"/>
          <w:b/>
          <w:bCs/>
          <w:sz w:val="32"/>
          <w:szCs w:val="32"/>
          <w:highlight w:val="none"/>
        </w:rPr>
      </w:pPr>
    </w:p>
    <w:p>
      <w:pPr>
        <w:widowControl/>
        <w:jc w:val="center"/>
        <w:rPr>
          <w:rFonts w:ascii="微软雅黑" w:hAnsi="微软雅黑" w:eastAsia="微软雅黑" w:cs="微软雅黑"/>
          <w:b/>
          <w:kern w:val="0"/>
          <w:sz w:val="32"/>
          <w:szCs w:val="32"/>
          <w:highlight w:val="none"/>
        </w:rPr>
      </w:pPr>
      <w:r>
        <w:rPr>
          <w:rFonts w:hint="eastAsia" w:ascii="微软雅黑" w:hAnsi="微软雅黑" w:eastAsia="微软雅黑" w:cs="微软雅黑"/>
          <w:b/>
          <w:kern w:val="0"/>
          <w:sz w:val="32"/>
          <w:szCs w:val="32"/>
          <w:highlight w:val="none"/>
        </w:rPr>
        <w:t>八、</w:t>
      </w:r>
      <w:r>
        <w:rPr>
          <w:rFonts w:hint="eastAsia" w:ascii="微软雅黑" w:hAnsi="微软雅黑" w:eastAsia="微软雅黑" w:cs="微软雅黑"/>
          <w:b/>
          <w:kern w:val="0"/>
          <w:sz w:val="32"/>
          <w:szCs w:val="32"/>
          <w:highlight w:val="none"/>
          <w:lang w:val="zh-CN"/>
        </w:rPr>
        <w:t>政府采购供应商廉洁自律承诺书</w:t>
      </w:r>
    </w:p>
    <w:p>
      <w:pPr>
        <w:snapToGrid w:val="0"/>
        <w:spacing w:line="360" w:lineRule="auto"/>
        <w:rPr>
          <w:rFonts w:ascii="微软雅黑" w:hAnsi="微软雅黑" w:eastAsia="微软雅黑" w:cs="微软雅黑"/>
          <w:sz w:val="24"/>
          <w:highlight w:val="none"/>
        </w:rPr>
      </w:pP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b/>
          <w:szCs w:val="21"/>
          <w:highlight w:val="none"/>
          <w:u w:val="single"/>
        </w:rPr>
        <w:t xml:space="preserve">                        </w:t>
      </w:r>
      <w:r>
        <w:rPr>
          <w:rFonts w:hint="eastAsia" w:ascii="微软雅黑" w:hAnsi="微软雅黑" w:eastAsia="微软雅黑" w:cs="微软雅黑"/>
          <w:kern w:val="0"/>
          <w:szCs w:val="21"/>
          <w:highlight w:val="none"/>
          <w:lang w:val="zh-CN"/>
        </w:rPr>
        <w:t>：</w:t>
      </w:r>
    </w:p>
    <w:p>
      <w:pPr>
        <w:autoSpaceDE w:val="0"/>
        <w:autoSpaceDN w:val="0"/>
        <w:spacing w:line="360" w:lineRule="auto"/>
        <w:ind w:left="2" w:leftChars="1"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我单位响应你</w:t>
      </w:r>
      <w:r>
        <w:rPr>
          <w:rFonts w:hint="eastAsia" w:ascii="微软雅黑" w:hAnsi="微软雅黑" w:eastAsia="微软雅黑" w:cs="微软雅黑"/>
          <w:szCs w:val="21"/>
          <w:highlight w:val="none"/>
        </w:rPr>
        <w:t>单位</w:t>
      </w:r>
      <w:r>
        <w:rPr>
          <w:rFonts w:hint="eastAsia" w:ascii="微软雅黑" w:hAnsi="微软雅黑" w:eastAsia="微软雅黑" w:cs="微软雅黑"/>
          <w:kern w:val="0"/>
          <w:szCs w:val="21"/>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一、不向项目有关人员及部门赠送礼金礼物、有价证券、回扣以及中介费、介绍费、咨询费等好处费；</w:t>
      </w:r>
    </w:p>
    <w:p>
      <w:pPr>
        <w:autoSpaceDE w:val="0"/>
        <w:autoSpaceDN w:val="0"/>
        <w:spacing w:line="360" w:lineRule="auto"/>
        <w:ind w:left="2" w:leftChars="1"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二、不为项目有关人员及部门报销应由你方单位或个人支付的费用；</w:t>
      </w:r>
    </w:p>
    <w:p>
      <w:pPr>
        <w:autoSpaceDE w:val="0"/>
        <w:autoSpaceDN w:val="0"/>
        <w:spacing w:line="360" w:lineRule="auto"/>
        <w:ind w:left="2" w:leftChars="1"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三、不向项目有关人员及部门提供有可能影响公正的宴请和健身娱乐等活动；</w:t>
      </w:r>
    </w:p>
    <w:p>
      <w:pPr>
        <w:autoSpaceDE w:val="0"/>
        <w:autoSpaceDN w:val="0"/>
        <w:spacing w:line="360" w:lineRule="auto"/>
        <w:ind w:left="2" w:leftChars="1"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四、不为项目有关人员及部门出国（境）、旅游等提供方便；</w:t>
      </w:r>
    </w:p>
    <w:p>
      <w:pPr>
        <w:autoSpaceDE w:val="0"/>
        <w:autoSpaceDN w:val="0"/>
        <w:spacing w:line="360" w:lineRule="auto"/>
        <w:ind w:left="481" w:leftChars="229"/>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五、不为项目有关人员个人装修住房、婚丧嫁娶、配偶子女工作安排等提供</w:t>
      </w:r>
    </w:p>
    <w:p>
      <w:pPr>
        <w:autoSpaceDE w:val="0"/>
        <w:autoSpaceDN w:val="0"/>
        <w:spacing w:line="360" w:lineRule="auto"/>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好处；</w:t>
      </w:r>
    </w:p>
    <w:p>
      <w:pPr>
        <w:numPr>
          <w:ilvl w:val="0"/>
          <w:numId w:val="27"/>
        </w:numPr>
        <w:autoSpaceDE w:val="0"/>
        <w:autoSpaceDN w:val="0"/>
        <w:spacing w:line="360" w:lineRule="auto"/>
        <w:ind w:left="481" w:leftChars="229"/>
        <w:jc w:val="left"/>
        <w:rPr>
          <w:rFonts w:ascii="微软雅黑" w:hAnsi="微软雅黑" w:eastAsia="微软雅黑" w:cs="微软雅黑"/>
          <w:szCs w:val="21"/>
          <w:highlight w:val="none"/>
          <w:lang w:val="zh-CN"/>
        </w:rPr>
      </w:pPr>
      <w:r>
        <w:rPr>
          <w:rFonts w:hint="eastAsia" w:ascii="微软雅黑" w:hAnsi="微软雅黑" w:eastAsia="微软雅黑" w:cs="微软雅黑"/>
          <w:kern w:val="0"/>
          <w:szCs w:val="21"/>
          <w:highlight w:val="none"/>
          <w:lang w:val="zh-CN"/>
        </w:rPr>
        <w:t>严格遵守《</w:t>
      </w:r>
      <w:r>
        <w:rPr>
          <w:rFonts w:hint="eastAsia" w:ascii="微软雅黑" w:hAnsi="微软雅黑" w:eastAsia="微软雅黑" w:cs="微软雅黑"/>
          <w:szCs w:val="21"/>
          <w:highlight w:val="none"/>
          <w:lang w:val="zh-CN"/>
        </w:rPr>
        <w:t>中华人民共和国</w:t>
      </w:r>
      <w:r>
        <w:rPr>
          <w:rFonts w:hint="eastAsia" w:ascii="微软雅黑" w:hAnsi="微软雅黑" w:eastAsia="微软雅黑" w:cs="微软雅黑"/>
          <w:kern w:val="0"/>
          <w:szCs w:val="21"/>
          <w:highlight w:val="none"/>
          <w:lang w:val="zh-CN"/>
        </w:rPr>
        <w:t>政府采购法》《</w:t>
      </w:r>
      <w:r>
        <w:rPr>
          <w:rFonts w:hint="eastAsia" w:ascii="微软雅黑" w:hAnsi="微软雅黑" w:eastAsia="微软雅黑" w:cs="微软雅黑"/>
          <w:szCs w:val="21"/>
          <w:highlight w:val="none"/>
          <w:lang w:val="zh-CN"/>
        </w:rPr>
        <w:t>中华人民共和国</w:t>
      </w:r>
      <w:r>
        <w:rPr>
          <w:rFonts w:hint="eastAsia" w:ascii="微软雅黑" w:hAnsi="微软雅黑" w:eastAsia="微软雅黑" w:cs="微软雅黑"/>
          <w:kern w:val="0"/>
          <w:szCs w:val="21"/>
          <w:highlight w:val="none"/>
          <w:lang w:val="zh-CN"/>
        </w:rPr>
        <w:t>招标投标法》</w:t>
      </w:r>
      <w:r>
        <w:rPr>
          <w:rFonts w:hint="eastAsia" w:ascii="微软雅黑" w:hAnsi="微软雅黑" w:eastAsia="微软雅黑" w:cs="微软雅黑"/>
          <w:szCs w:val="21"/>
          <w:highlight w:val="none"/>
          <w:lang w:val="zh-CN"/>
        </w:rPr>
        <w:t>《中</w:t>
      </w:r>
    </w:p>
    <w:p>
      <w:pPr>
        <w:autoSpaceDE w:val="0"/>
        <w:autoSpaceDN w:val="0"/>
        <w:spacing w:line="360" w:lineRule="auto"/>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szCs w:val="21"/>
          <w:highlight w:val="none"/>
          <w:lang w:val="zh-CN"/>
        </w:rPr>
        <w:t>华人民共和国民法典》</w:t>
      </w:r>
      <w:r>
        <w:rPr>
          <w:rFonts w:hint="eastAsia" w:ascii="微软雅黑" w:hAnsi="微软雅黑" w:eastAsia="微软雅黑" w:cs="微软雅黑"/>
          <w:kern w:val="0"/>
          <w:szCs w:val="21"/>
          <w:highlight w:val="none"/>
          <w:lang w:val="zh-CN"/>
        </w:rPr>
        <w:t>等法律法规，诚实守信，合法经营，坚决抵制各种违法违纪行为。</w:t>
      </w:r>
    </w:p>
    <w:p>
      <w:pPr>
        <w:autoSpaceDE w:val="0"/>
        <w:autoSpaceDN w:val="0"/>
        <w:spacing w:line="360" w:lineRule="auto"/>
        <w:ind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如违反上述承诺，你</w:t>
      </w:r>
      <w:r>
        <w:rPr>
          <w:rFonts w:hint="eastAsia" w:ascii="微软雅黑" w:hAnsi="微软雅黑" w:eastAsia="微软雅黑" w:cs="微软雅黑"/>
          <w:szCs w:val="21"/>
          <w:highlight w:val="none"/>
        </w:rPr>
        <w:t>单位</w:t>
      </w:r>
      <w:r>
        <w:rPr>
          <w:rFonts w:hint="eastAsia" w:ascii="微软雅黑" w:hAnsi="微软雅黑" w:eastAsia="微软雅黑" w:cs="微软雅黑"/>
          <w:kern w:val="0"/>
          <w:szCs w:val="21"/>
          <w:highlight w:val="none"/>
          <w:lang w:val="zh-CN"/>
        </w:rPr>
        <w:t>有权立即取消我单位投标、中标或在建项目的建设资格，有权拒绝我单位在一定时期内进入你</w:t>
      </w:r>
      <w:r>
        <w:rPr>
          <w:rFonts w:hint="eastAsia" w:ascii="微软雅黑" w:hAnsi="微软雅黑" w:eastAsia="微软雅黑" w:cs="微软雅黑"/>
          <w:szCs w:val="21"/>
          <w:highlight w:val="none"/>
        </w:rPr>
        <w:t>单位</w:t>
      </w:r>
      <w:r>
        <w:rPr>
          <w:rFonts w:hint="eastAsia" w:ascii="微软雅黑" w:hAnsi="微软雅黑" w:eastAsia="微软雅黑" w:cs="微软雅黑"/>
          <w:kern w:val="0"/>
          <w:szCs w:val="21"/>
          <w:highlight w:val="none"/>
          <w:lang w:val="zh-CN"/>
        </w:rPr>
        <w:t>进行项目建设或其他经营活动，并通报市财政局。由此引起的相应损失均由我单位承担。</w:t>
      </w:r>
    </w:p>
    <w:p>
      <w:pPr>
        <w:autoSpaceDE w:val="0"/>
        <w:autoSpaceDN w:val="0"/>
        <w:spacing w:line="360" w:lineRule="auto"/>
        <w:jc w:val="left"/>
        <w:rPr>
          <w:rFonts w:ascii="微软雅黑" w:hAnsi="微软雅黑" w:eastAsia="微软雅黑" w:cs="微软雅黑"/>
          <w:kern w:val="0"/>
          <w:szCs w:val="21"/>
          <w:highlight w:val="none"/>
          <w:lang w:val="zh-CN"/>
        </w:rPr>
      </w:pPr>
    </w:p>
    <w:p>
      <w:pPr>
        <w:autoSpaceDE w:val="0"/>
        <w:autoSpaceDN w:val="0"/>
        <w:spacing w:line="360" w:lineRule="auto"/>
        <w:ind w:left="2" w:leftChars="1" w:right="1120" w:firstLine="3990" w:firstLineChars="19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投标人名称（</w:t>
      </w:r>
      <w:r>
        <w:rPr>
          <w:rFonts w:hint="eastAsia" w:ascii="微软雅黑" w:hAnsi="微软雅黑" w:eastAsia="微软雅黑" w:cs="微软雅黑"/>
          <w:szCs w:val="21"/>
          <w:highlight w:val="none"/>
        </w:rPr>
        <w:t>电子签名</w:t>
      </w:r>
      <w:r>
        <w:rPr>
          <w:rFonts w:hint="eastAsia" w:ascii="微软雅黑" w:hAnsi="微软雅黑" w:eastAsia="微软雅黑" w:cs="微软雅黑"/>
          <w:kern w:val="0"/>
          <w:szCs w:val="21"/>
          <w:highlight w:val="none"/>
          <w:lang w:val="zh-CN"/>
        </w:rPr>
        <w:t>）：</w:t>
      </w:r>
    </w:p>
    <w:p>
      <w:pPr>
        <w:spacing w:line="360" w:lineRule="auto"/>
        <w:ind w:left="4620" w:leftChars="2200"/>
        <w:rPr>
          <w:rFonts w:ascii="微软雅黑" w:hAnsi="微软雅黑" w:eastAsia="微软雅黑" w:cs="微软雅黑"/>
          <w:sz w:val="24"/>
          <w:highlight w:val="none"/>
        </w:rPr>
      </w:pPr>
      <w:r>
        <w:rPr>
          <w:rFonts w:hint="eastAsia" w:ascii="微软雅黑" w:hAnsi="微软雅黑" w:eastAsia="微软雅黑" w:cs="微软雅黑"/>
          <w:kern w:val="0"/>
          <w:szCs w:val="21"/>
          <w:highlight w:val="none"/>
          <w:lang w:val="zh-CN"/>
        </w:rPr>
        <w:t>日期</w:t>
      </w:r>
      <w:r>
        <w:rPr>
          <w:rFonts w:hint="eastAsia" w:ascii="微软雅黑" w:hAnsi="微软雅黑" w:eastAsia="微软雅黑" w:cs="微软雅黑"/>
          <w:kern w:val="0"/>
          <w:szCs w:val="21"/>
          <w:highlight w:val="none"/>
        </w:rPr>
        <w:t>：</w:t>
      </w:r>
      <w:r>
        <w:rPr>
          <w:rFonts w:hint="eastAsia" w:ascii="微软雅黑" w:hAnsi="微软雅黑" w:eastAsia="微软雅黑" w:cs="微软雅黑"/>
          <w:kern w:val="0"/>
          <w:szCs w:val="21"/>
          <w:highlight w:val="none"/>
          <w:lang w:val="zh-CN"/>
        </w:rPr>
        <w:t xml:space="preserve">   年   月   日</w:t>
      </w:r>
    </w:p>
    <w:p>
      <w:pPr>
        <w:spacing w:line="360" w:lineRule="auto"/>
        <w:rPr>
          <w:rFonts w:ascii="微软雅黑" w:hAnsi="微软雅黑" w:eastAsia="微软雅黑" w:cs="微软雅黑"/>
          <w:b/>
          <w:bCs/>
          <w:sz w:val="24"/>
          <w:highlight w:val="none"/>
        </w:rPr>
        <w:sectPr>
          <w:headerReference r:id="rId23" w:type="first"/>
          <w:footerReference r:id="rId25" w:type="first"/>
          <w:headerReference r:id="rId22" w:type="default"/>
          <w:footerReference r:id="rId24" w:type="default"/>
          <w:pgSz w:w="11905" w:h="16838"/>
          <w:pgMar w:top="1474" w:right="1814" w:bottom="1474" w:left="1814" w:header="851" w:footer="850" w:gutter="0"/>
          <w:cols w:space="0" w:num="1"/>
          <w:docGrid w:linePitch="312" w:charSpace="0"/>
        </w:sectPr>
      </w:pPr>
    </w:p>
    <w:p>
      <w:pPr>
        <w:spacing w:line="360" w:lineRule="auto"/>
        <w:jc w:val="center"/>
        <w:outlineLvl w:val="0"/>
        <w:rPr>
          <w:rFonts w:ascii="微软雅黑" w:hAnsi="微软雅黑" w:eastAsia="微软雅黑" w:cs="微软雅黑"/>
          <w:b/>
          <w:kern w:val="0"/>
          <w:sz w:val="36"/>
          <w:szCs w:val="36"/>
          <w:highlight w:val="none"/>
        </w:rPr>
      </w:pPr>
      <w:r>
        <w:rPr>
          <w:rFonts w:hint="eastAsia" w:ascii="微软雅黑" w:hAnsi="微软雅黑" w:eastAsia="微软雅黑" w:cs="微软雅黑"/>
          <w:b/>
          <w:kern w:val="0"/>
          <w:sz w:val="36"/>
          <w:szCs w:val="36"/>
          <w:highlight w:val="none"/>
        </w:rPr>
        <w:t>报价文件部分</w:t>
      </w:r>
    </w:p>
    <w:p>
      <w:pPr>
        <w:spacing w:line="360" w:lineRule="auto"/>
        <w:jc w:val="center"/>
        <w:outlineLvl w:val="0"/>
        <w:rPr>
          <w:rFonts w:ascii="微软雅黑" w:hAnsi="微软雅黑" w:eastAsia="微软雅黑" w:cs="微软雅黑"/>
          <w:b/>
          <w:kern w:val="0"/>
          <w:sz w:val="36"/>
          <w:szCs w:val="36"/>
          <w:highlight w:val="none"/>
        </w:rPr>
      </w:pPr>
      <w:r>
        <w:rPr>
          <w:rFonts w:hint="eastAsia" w:ascii="微软雅黑" w:hAnsi="微软雅黑" w:eastAsia="微软雅黑" w:cs="微软雅黑"/>
          <w:b/>
          <w:kern w:val="0"/>
          <w:sz w:val="36"/>
          <w:szCs w:val="36"/>
          <w:highlight w:val="none"/>
        </w:rPr>
        <w:t>目录</w:t>
      </w:r>
    </w:p>
    <w:p>
      <w:pPr>
        <w:spacing w:line="360" w:lineRule="auto"/>
        <w:jc w:val="center"/>
        <w:outlineLvl w:val="0"/>
        <w:rPr>
          <w:rFonts w:ascii="微软雅黑" w:hAnsi="微软雅黑" w:eastAsia="微软雅黑" w:cs="微软雅黑"/>
          <w:b/>
          <w:kern w:val="0"/>
          <w:sz w:val="36"/>
          <w:szCs w:val="36"/>
          <w:highlight w:val="none"/>
        </w:rPr>
      </w:pPr>
    </w:p>
    <w:p>
      <w:pPr>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（1）开标一览表（报价表）………………………………………………………（页码）</w:t>
      </w:r>
    </w:p>
    <w:p>
      <w:pPr>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（2）中小企业声明函………………………………………………………………（页码）</w:t>
      </w:r>
    </w:p>
    <w:p>
      <w:pPr>
        <w:snapToGrid w:val="0"/>
        <w:spacing w:line="360" w:lineRule="auto"/>
        <w:rPr>
          <w:rFonts w:ascii="微软雅黑" w:hAnsi="微软雅黑" w:eastAsia="微软雅黑" w:cs="微软雅黑"/>
          <w:szCs w:val="21"/>
          <w:highlight w:val="none"/>
        </w:rPr>
        <w:sectPr>
          <w:headerReference r:id="rId27" w:type="first"/>
          <w:footerReference r:id="rId29" w:type="first"/>
          <w:headerReference r:id="rId26" w:type="default"/>
          <w:footerReference r:id="rId28" w:type="default"/>
          <w:pgSz w:w="11905" w:h="16838"/>
          <w:pgMar w:top="1474" w:right="1814" w:bottom="1474" w:left="1814" w:header="851" w:footer="850" w:gutter="0"/>
          <w:cols w:space="0" w:num="1"/>
          <w:docGrid w:linePitch="312" w:charSpace="0"/>
        </w:sectPr>
      </w:pPr>
      <w:r>
        <w:rPr>
          <w:rFonts w:hint="eastAsia" w:ascii="微软雅黑" w:hAnsi="微软雅黑" w:eastAsia="微软雅黑" w:cs="微软雅黑"/>
          <w:szCs w:val="21"/>
          <w:highlight w:val="none"/>
        </w:rPr>
        <w:t>（3）代理服务费支付承诺书………………………………………………………（页码）</w:t>
      </w:r>
    </w:p>
    <w:p>
      <w:pPr>
        <w:pStyle w:val="320"/>
        <w:keepNext w:val="0"/>
        <w:pageBreakBefore w:val="0"/>
        <w:tabs>
          <w:tab w:val="clear" w:pos="720"/>
        </w:tabs>
        <w:snapToGrid w:val="0"/>
        <w:spacing w:before="120" w:after="120"/>
        <w:ind w:firstLine="643"/>
        <w:outlineLvl w:val="9"/>
        <w:rPr>
          <w:rFonts w:ascii="微软雅黑" w:hAnsi="微软雅黑" w:eastAsia="微软雅黑" w:cs="微软雅黑"/>
          <w:kern w:val="2"/>
          <w:sz w:val="32"/>
          <w:szCs w:val="32"/>
          <w:highlight w:val="none"/>
        </w:rPr>
      </w:pPr>
      <w:r>
        <w:rPr>
          <w:rFonts w:hint="eastAsia" w:ascii="微软雅黑" w:hAnsi="微软雅黑" w:eastAsia="微软雅黑" w:cs="微软雅黑"/>
          <w:kern w:val="2"/>
          <w:sz w:val="32"/>
          <w:szCs w:val="32"/>
          <w:highlight w:val="none"/>
        </w:rPr>
        <w:t>一、开标一览表（报价表）</w:t>
      </w:r>
    </w:p>
    <w:p>
      <w:pPr>
        <w:snapToGrid w:val="0"/>
        <w:spacing w:line="360" w:lineRule="auto"/>
        <w:rPr>
          <w:rFonts w:ascii="微软雅黑" w:hAnsi="微软雅黑" w:eastAsia="微软雅黑" w:cs="微软雅黑"/>
          <w:kern w:val="0"/>
          <w:szCs w:val="21"/>
          <w:highlight w:val="none"/>
        </w:rPr>
      </w:pPr>
      <w:r>
        <w:rPr>
          <w:rFonts w:hint="eastAsia" w:ascii="微软雅黑" w:hAnsi="微软雅黑" w:eastAsia="微软雅黑" w:cs="微软雅黑"/>
          <w:b/>
          <w:szCs w:val="21"/>
          <w:highlight w:val="none"/>
          <w:u w:val="single"/>
        </w:rPr>
        <w:t xml:space="preserve">                             </w:t>
      </w:r>
      <w:r>
        <w:rPr>
          <w:rFonts w:hint="eastAsia" w:ascii="微软雅黑" w:hAnsi="微软雅黑" w:eastAsia="微软雅黑" w:cs="微软雅黑"/>
          <w:kern w:val="0"/>
          <w:szCs w:val="21"/>
          <w:highlight w:val="none"/>
          <w:lang w:val="zh-CN"/>
        </w:rPr>
        <w:t>：</w:t>
      </w:r>
    </w:p>
    <w:p>
      <w:pPr>
        <w:snapToGrid w:val="0"/>
        <w:spacing w:line="360" w:lineRule="auto"/>
        <w:ind w:firstLine="482"/>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按你方招标文件要求，我们，本投标文件签字方，谨此向你方发出要约如下：如你方接受本投标，我方承诺按照如下开标一览表（报价表）的价格完成</w:t>
      </w:r>
      <w:r>
        <w:rPr>
          <w:rFonts w:hint="eastAsia" w:ascii="微软雅黑" w:hAnsi="微软雅黑" w:eastAsia="微软雅黑" w:cs="微软雅黑"/>
          <w:szCs w:val="21"/>
          <w:highlight w:val="none"/>
        </w:rPr>
        <w:t>（项目名称）</w:t>
      </w:r>
      <w:r>
        <w:rPr>
          <w:rFonts w:hint="eastAsia" w:ascii="微软雅黑" w:hAnsi="微软雅黑" w:eastAsia="微软雅黑" w:cs="微软雅黑"/>
          <w:kern w:val="0"/>
          <w:szCs w:val="21"/>
          <w:highlight w:val="none"/>
          <w:lang w:val="zh-CN"/>
        </w:rPr>
        <w:t>【招标编号：</w:t>
      </w:r>
      <w:r>
        <w:rPr>
          <w:rFonts w:hint="eastAsia" w:ascii="微软雅黑" w:hAnsi="微软雅黑" w:eastAsia="微软雅黑" w:cs="微软雅黑"/>
          <w:szCs w:val="21"/>
          <w:highlight w:val="none"/>
        </w:rPr>
        <w:t>（采购编号）】的实施</w:t>
      </w:r>
      <w:r>
        <w:rPr>
          <w:rFonts w:hint="eastAsia" w:ascii="微软雅黑" w:hAnsi="微软雅黑" w:eastAsia="微软雅黑" w:cs="微软雅黑"/>
          <w:kern w:val="0"/>
          <w:szCs w:val="21"/>
          <w:highlight w:val="none"/>
          <w:lang w:val="zh-CN"/>
        </w:rPr>
        <w:t>。</w:t>
      </w:r>
    </w:p>
    <w:p>
      <w:pPr>
        <w:spacing w:line="360" w:lineRule="auto"/>
        <w:jc w:val="center"/>
        <w:rPr>
          <w:rFonts w:ascii="微软雅黑" w:hAnsi="微软雅黑" w:eastAsia="微软雅黑" w:cs="微软雅黑"/>
          <w:b/>
          <w:kern w:val="0"/>
          <w:szCs w:val="21"/>
          <w:highlight w:val="none"/>
          <w:lang w:val="zh-CN"/>
        </w:rPr>
      </w:pPr>
      <w:r>
        <w:rPr>
          <w:rFonts w:hint="eastAsia" w:ascii="微软雅黑" w:hAnsi="微软雅黑" w:eastAsia="微软雅黑" w:cs="微软雅黑"/>
          <w:b/>
          <w:kern w:val="0"/>
          <w:szCs w:val="21"/>
          <w:highlight w:val="none"/>
          <w:lang w:val="zh-CN"/>
        </w:rPr>
        <w:t>开标一览表（报价表）(单位均为人民币元)</w:t>
      </w:r>
    </w:p>
    <w:tbl>
      <w:tblPr>
        <w:tblStyle w:val="5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序号</w:t>
            </w:r>
          </w:p>
        </w:tc>
        <w:tc>
          <w:tcPr>
            <w:tcW w:w="1417"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名称</w:t>
            </w:r>
          </w:p>
        </w:tc>
        <w:tc>
          <w:tcPr>
            <w:tcW w:w="1843" w:type="dxa"/>
          </w:tcPr>
          <w:p>
            <w:pPr>
              <w:spacing w:line="360" w:lineRule="auto"/>
              <w:jc w:val="center"/>
              <w:rPr>
                <w:rFonts w:ascii="微软雅黑" w:hAnsi="微软雅黑" w:eastAsia="微软雅黑" w:cs="微软雅黑"/>
                <w:b/>
                <w:sz w:val="24"/>
                <w:highlight w:val="none"/>
              </w:rPr>
            </w:pPr>
          </w:p>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品牌（如果有）</w:t>
            </w:r>
          </w:p>
        </w:tc>
        <w:tc>
          <w:tcPr>
            <w:tcW w:w="3118"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规格型号（或具体服务）</w:t>
            </w:r>
          </w:p>
        </w:tc>
        <w:tc>
          <w:tcPr>
            <w:tcW w:w="993"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数量</w:t>
            </w:r>
          </w:p>
        </w:tc>
        <w:tc>
          <w:tcPr>
            <w:tcW w:w="1559"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单价</w:t>
            </w:r>
          </w:p>
        </w:tc>
        <w:tc>
          <w:tcPr>
            <w:tcW w:w="1984" w:type="dxa"/>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总价</w:t>
            </w:r>
          </w:p>
        </w:tc>
        <w:tc>
          <w:tcPr>
            <w:tcW w:w="3119" w:type="dxa"/>
            <w:vAlign w:val="center"/>
          </w:tcPr>
          <w:p>
            <w:pPr>
              <w:spacing w:line="360" w:lineRule="auto"/>
              <w:jc w:val="center"/>
              <w:rPr>
                <w:rFonts w:ascii="微软雅黑" w:hAnsi="微软雅黑" w:eastAsia="微软雅黑" w:cs="微软雅黑"/>
                <w:b/>
                <w:sz w:val="24"/>
                <w:highlight w:val="none"/>
              </w:rPr>
            </w:pPr>
          </w:p>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服务要求（年限）</w:t>
            </w:r>
          </w:p>
          <w:p>
            <w:pPr>
              <w:spacing w:line="360" w:lineRule="auto"/>
              <w:jc w:val="center"/>
              <w:rPr>
                <w:rFonts w:ascii="微软雅黑" w:hAnsi="微软雅黑" w:eastAsia="微软雅黑" w:cs="微软雅黑"/>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微软雅黑" w:hAnsi="微软雅黑" w:eastAsia="微软雅黑" w:cs="微软雅黑"/>
                <w:sz w:val="24"/>
                <w:highlight w:val="none"/>
              </w:rPr>
            </w:pPr>
            <w:r>
              <w:rPr>
                <w:rFonts w:hint="eastAsia" w:ascii="微软雅黑" w:hAnsi="微软雅黑" w:eastAsia="微软雅黑" w:cs="微软雅黑"/>
                <w:sz w:val="24"/>
                <w:highlight w:val="none"/>
              </w:rPr>
              <w:t>1</w:t>
            </w:r>
          </w:p>
        </w:tc>
        <w:tc>
          <w:tcPr>
            <w:tcW w:w="1417" w:type="dxa"/>
            <w:vAlign w:val="center"/>
          </w:tcPr>
          <w:p>
            <w:pPr>
              <w:snapToGrid w:val="0"/>
              <w:spacing w:line="360" w:lineRule="auto"/>
              <w:jc w:val="center"/>
              <w:rPr>
                <w:rFonts w:ascii="微软雅黑" w:hAnsi="微软雅黑" w:eastAsia="微软雅黑" w:cs="微软雅黑"/>
                <w:sz w:val="24"/>
                <w:highlight w:val="none"/>
              </w:rPr>
            </w:pPr>
          </w:p>
        </w:tc>
        <w:tc>
          <w:tcPr>
            <w:tcW w:w="1843" w:type="dxa"/>
            <w:vAlign w:val="center"/>
          </w:tcPr>
          <w:p>
            <w:pPr>
              <w:snapToGrid w:val="0"/>
              <w:spacing w:line="360" w:lineRule="auto"/>
              <w:jc w:val="center"/>
              <w:rPr>
                <w:rFonts w:ascii="微软雅黑" w:hAnsi="微软雅黑" w:eastAsia="微软雅黑" w:cs="微软雅黑"/>
                <w:sz w:val="24"/>
                <w:highlight w:val="none"/>
              </w:rPr>
            </w:pPr>
          </w:p>
        </w:tc>
        <w:tc>
          <w:tcPr>
            <w:tcW w:w="3118" w:type="dxa"/>
            <w:vAlign w:val="center"/>
          </w:tcPr>
          <w:p>
            <w:pPr>
              <w:snapToGrid w:val="0"/>
              <w:spacing w:line="360" w:lineRule="auto"/>
              <w:jc w:val="center"/>
              <w:rPr>
                <w:rFonts w:ascii="微软雅黑" w:hAnsi="微软雅黑" w:eastAsia="微软雅黑" w:cs="微软雅黑"/>
                <w:sz w:val="24"/>
                <w:highlight w:val="none"/>
              </w:rPr>
            </w:pPr>
          </w:p>
        </w:tc>
        <w:tc>
          <w:tcPr>
            <w:tcW w:w="993" w:type="dxa"/>
            <w:vAlign w:val="center"/>
          </w:tcPr>
          <w:p>
            <w:pPr>
              <w:snapToGrid w:val="0"/>
              <w:spacing w:line="360" w:lineRule="auto"/>
              <w:jc w:val="center"/>
              <w:rPr>
                <w:rFonts w:ascii="微软雅黑" w:hAnsi="微软雅黑" w:eastAsia="微软雅黑" w:cs="微软雅黑"/>
                <w:sz w:val="24"/>
                <w:highlight w:val="none"/>
              </w:rPr>
            </w:pPr>
          </w:p>
        </w:tc>
        <w:tc>
          <w:tcPr>
            <w:tcW w:w="1559" w:type="dxa"/>
            <w:vAlign w:val="center"/>
          </w:tcPr>
          <w:p>
            <w:pPr>
              <w:spacing w:line="360" w:lineRule="auto"/>
              <w:jc w:val="center"/>
              <w:rPr>
                <w:rFonts w:ascii="微软雅黑" w:hAnsi="微软雅黑" w:eastAsia="微软雅黑" w:cs="微软雅黑"/>
                <w:sz w:val="24"/>
                <w:highlight w:val="none"/>
              </w:rPr>
            </w:pPr>
          </w:p>
        </w:tc>
        <w:tc>
          <w:tcPr>
            <w:tcW w:w="1984" w:type="dxa"/>
            <w:vAlign w:val="center"/>
          </w:tcPr>
          <w:p>
            <w:pPr>
              <w:spacing w:line="360" w:lineRule="auto"/>
              <w:jc w:val="center"/>
              <w:rPr>
                <w:rFonts w:ascii="微软雅黑" w:hAnsi="微软雅黑" w:eastAsia="微软雅黑" w:cs="微软雅黑"/>
                <w:sz w:val="24"/>
                <w:highlight w:val="none"/>
              </w:rPr>
            </w:pPr>
          </w:p>
        </w:tc>
        <w:tc>
          <w:tcPr>
            <w:tcW w:w="3119" w:type="dxa"/>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微软雅黑" w:hAnsi="微软雅黑" w:eastAsia="微软雅黑" w:cs="微软雅黑"/>
                <w:sz w:val="24"/>
                <w:highlight w:val="none"/>
              </w:rPr>
            </w:pPr>
            <w:r>
              <w:rPr>
                <w:rFonts w:hint="eastAsia" w:ascii="微软雅黑" w:hAnsi="微软雅黑" w:eastAsia="微软雅黑" w:cs="微软雅黑"/>
                <w:sz w:val="24"/>
                <w:highlight w:val="none"/>
              </w:rPr>
              <w:t>2</w:t>
            </w:r>
          </w:p>
        </w:tc>
        <w:tc>
          <w:tcPr>
            <w:tcW w:w="1417" w:type="dxa"/>
            <w:vAlign w:val="center"/>
          </w:tcPr>
          <w:p>
            <w:pPr>
              <w:snapToGrid w:val="0"/>
              <w:spacing w:line="360" w:lineRule="auto"/>
              <w:jc w:val="center"/>
              <w:rPr>
                <w:rFonts w:ascii="微软雅黑" w:hAnsi="微软雅黑" w:eastAsia="微软雅黑" w:cs="微软雅黑"/>
                <w:sz w:val="24"/>
                <w:highlight w:val="none"/>
              </w:rPr>
            </w:pPr>
          </w:p>
        </w:tc>
        <w:tc>
          <w:tcPr>
            <w:tcW w:w="1843" w:type="dxa"/>
            <w:vAlign w:val="center"/>
          </w:tcPr>
          <w:p>
            <w:pPr>
              <w:snapToGrid w:val="0"/>
              <w:spacing w:line="360" w:lineRule="auto"/>
              <w:jc w:val="center"/>
              <w:rPr>
                <w:rFonts w:ascii="微软雅黑" w:hAnsi="微软雅黑" w:eastAsia="微软雅黑" w:cs="微软雅黑"/>
                <w:sz w:val="24"/>
                <w:highlight w:val="none"/>
              </w:rPr>
            </w:pPr>
          </w:p>
        </w:tc>
        <w:tc>
          <w:tcPr>
            <w:tcW w:w="3118" w:type="dxa"/>
            <w:vAlign w:val="center"/>
          </w:tcPr>
          <w:p>
            <w:pPr>
              <w:snapToGrid w:val="0"/>
              <w:spacing w:line="360" w:lineRule="auto"/>
              <w:jc w:val="center"/>
              <w:rPr>
                <w:rFonts w:ascii="微软雅黑" w:hAnsi="微软雅黑" w:eastAsia="微软雅黑" w:cs="微软雅黑"/>
                <w:sz w:val="24"/>
                <w:highlight w:val="none"/>
              </w:rPr>
            </w:pPr>
          </w:p>
        </w:tc>
        <w:tc>
          <w:tcPr>
            <w:tcW w:w="993" w:type="dxa"/>
            <w:vAlign w:val="center"/>
          </w:tcPr>
          <w:p>
            <w:pPr>
              <w:snapToGrid w:val="0"/>
              <w:spacing w:line="360" w:lineRule="auto"/>
              <w:jc w:val="center"/>
              <w:rPr>
                <w:rFonts w:ascii="微软雅黑" w:hAnsi="微软雅黑" w:eastAsia="微软雅黑" w:cs="微软雅黑"/>
                <w:sz w:val="24"/>
                <w:highlight w:val="none"/>
              </w:rPr>
            </w:pPr>
          </w:p>
        </w:tc>
        <w:tc>
          <w:tcPr>
            <w:tcW w:w="1559" w:type="dxa"/>
            <w:vAlign w:val="center"/>
          </w:tcPr>
          <w:p>
            <w:pPr>
              <w:spacing w:line="360" w:lineRule="auto"/>
              <w:jc w:val="center"/>
              <w:rPr>
                <w:rFonts w:ascii="微软雅黑" w:hAnsi="微软雅黑" w:eastAsia="微软雅黑" w:cs="微软雅黑"/>
                <w:sz w:val="24"/>
                <w:highlight w:val="none"/>
              </w:rPr>
            </w:pPr>
          </w:p>
        </w:tc>
        <w:tc>
          <w:tcPr>
            <w:tcW w:w="1984" w:type="dxa"/>
            <w:vAlign w:val="center"/>
          </w:tcPr>
          <w:p>
            <w:pPr>
              <w:spacing w:line="360" w:lineRule="auto"/>
              <w:jc w:val="center"/>
              <w:rPr>
                <w:rFonts w:ascii="微软雅黑" w:hAnsi="微软雅黑" w:eastAsia="微软雅黑" w:cs="微软雅黑"/>
                <w:sz w:val="24"/>
                <w:highlight w:val="none"/>
              </w:rPr>
            </w:pPr>
          </w:p>
        </w:tc>
        <w:tc>
          <w:tcPr>
            <w:tcW w:w="3119" w:type="dxa"/>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微软雅黑" w:hAnsi="微软雅黑" w:eastAsia="微软雅黑" w:cs="微软雅黑"/>
                <w:sz w:val="24"/>
                <w:highlight w:val="none"/>
              </w:rPr>
            </w:pPr>
            <w:r>
              <w:rPr>
                <w:rFonts w:hint="eastAsia" w:ascii="微软雅黑" w:hAnsi="微软雅黑" w:eastAsia="微软雅黑" w:cs="微软雅黑"/>
                <w:sz w:val="24"/>
                <w:highlight w:val="none"/>
              </w:rPr>
              <w:t>…</w:t>
            </w:r>
          </w:p>
        </w:tc>
        <w:tc>
          <w:tcPr>
            <w:tcW w:w="1417" w:type="dxa"/>
            <w:vAlign w:val="center"/>
          </w:tcPr>
          <w:p>
            <w:pPr>
              <w:snapToGrid w:val="0"/>
              <w:spacing w:line="360" w:lineRule="auto"/>
              <w:jc w:val="center"/>
              <w:rPr>
                <w:rFonts w:ascii="微软雅黑" w:hAnsi="微软雅黑" w:eastAsia="微软雅黑" w:cs="微软雅黑"/>
                <w:sz w:val="24"/>
                <w:highlight w:val="none"/>
              </w:rPr>
            </w:pPr>
          </w:p>
        </w:tc>
        <w:tc>
          <w:tcPr>
            <w:tcW w:w="1843" w:type="dxa"/>
            <w:vAlign w:val="center"/>
          </w:tcPr>
          <w:p>
            <w:pPr>
              <w:snapToGrid w:val="0"/>
              <w:spacing w:line="360" w:lineRule="auto"/>
              <w:jc w:val="center"/>
              <w:rPr>
                <w:rFonts w:ascii="微软雅黑" w:hAnsi="微软雅黑" w:eastAsia="微软雅黑" w:cs="微软雅黑"/>
                <w:sz w:val="24"/>
                <w:highlight w:val="none"/>
              </w:rPr>
            </w:pPr>
          </w:p>
        </w:tc>
        <w:tc>
          <w:tcPr>
            <w:tcW w:w="3118" w:type="dxa"/>
            <w:vAlign w:val="center"/>
          </w:tcPr>
          <w:p>
            <w:pPr>
              <w:snapToGrid w:val="0"/>
              <w:spacing w:line="360" w:lineRule="auto"/>
              <w:jc w:val="center"/>
              <w:rPr>
                <w:rFonts w:ascii="微软雅黑" w:hAnsi="微软雅黑" w:eastAsia="微软雅黑" w:cs="微软雅黑"/>
                <w:sz w:val="24"/>
                <w:highlight w:val="none"/>
              </w:rPr>
            </w:pPr>
          </w:p>
        </w:tc>
        <w:tc>
          <w:tcPr>
            <w:tcW w:w="993" w:type="dxa"/>
            <w:vAlign w:val="center"/>
          </w:tcPr>
          <w:p>
            <w:pPr>
              <w:snapToGrid w:val="0"/>
              <w:spacing w:line="360" w:lineRule="auto"/>
              <w:jc w:val="center"/>
              <w:rPr>
                <w:rFonts w:ascii="微软雅黑" w:hAnsi="微软雅黑" w:eastAsia="微软雅黑" w:cs="微软雅黑"/>
                <w:sz w:val="24"/>
                <w:highlight w:val="none"/>
              </w:rPr>
            </w:pPr>
          </w:p>
        </w:tc>
        <w:tc>
          <w:tcPr>
            <w:tcW w:w="1559" w:type="dxa"/>
            <w:vAlign w:val="center"/>
          </w:tcPr>
          <w:p>
            <w:pPr>
              <w:spacing w:line="360" w:lineRule="auto"/>
              <w:jc w:val="center"/>
              <w:rPr>
                <w:rFonts w:ascii="微软雅黑" w:hAnsi="微软雅黑" w:eastAsia="微软雅黑" w:cs="微软雅黑"/>
                <w:sz w:val="24"/>
                <w:highlight w:val="none"/>
              </w:rPr>
            </w:pPr>
          </w:p>
        </w:tc>
        <w:tc>
          <w:tcPr>
            <w:tcW w:w="1984" w:type="dxa"/>
            <w:vAlign w:val="center"/>
          </w:tcPr>
          <w:p>
            <w:pPr>
              <w:spacing w:line="360" w:lineRule="auto"/>
              <w:jc w:val="center"/>
              <w:rPr>
                <w:rFonts w:ascii="微软雅黑" w:hAnsi="微软雅黑" w:eastAsia="微软雅黑" w:cs="微软雅黑"/>
                <w:sz w:val="24"/>
                <w:highlight w:val="none"/>
              </w:rPr>
            </w:pPr>
          </w:p>
        </w:tc>
        <w:tc>
          <w:tcPr>
            <w:tcW w:w="3119" w:type="dxa"/>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微软雅黑" w:hAnsi="微软雅黑" w:eastAsia="微软雅黑" w:cs="微软雅黑"/>
                <w:sz w:val="24"/>
                <w:highlight w:val="none"/>
              </w:rPr>
            </w:pPr>
          </w:p>
        </w:tc>
        <w:tc>
          <w:tcPr>
            <w:tcW w:w="1417" w:type="dxa"/>
            <w:vAlign w:val="center"/>
          </w:tcPr>
          <w:p>
            <w:pPr>
              <w:snapToGrid w:val="0"/>
              <w:spacing w:line="360" w:lineRule="auto"/>
              <w:jc w:val="center"/>
              <w:rPr>
                <w:rFonts w:ascii="微软雅黑" w:hAnsi="微软雅黑" w:eastAsia="微软雅黑" w:cs="微软雅黑"/>
                <w:sz w:val="24"/>
                <w:highlight w:val="none"/>
              </w:rPr>
            </w:pPr>
          </w:p>
        </w:tc>
        <w:tc>
          <w:tcPr>
            <w:tcW w:w="1843" w:type="dxa"/>
            <w:vAlign w:val="center"/>
          </w:tcPr>
          <w:p>
            <w:pPr>
              <w:snapToGrid w:val="0"/>
              <w:spacing w:line="360" w:lineRule="auto"/>
              <w:jc w:val="center"/>
              <w:rPr>
                <w:rFonts w:ascii="微软雅黑" w:hAnsi="微软雅黑" w:eastAsia="微软雅黑" w:cs="微软雅黑"/>
                <w:sz w:val="24"/>
                <w:highlight w:val="none"/>
              </w:rPr>
            </w:pPr>
          </w:p>
        </w:tc>
        <w:tc>
          <w:tcPr>
            <w:tcW w:w="3118" w:type="dxa"/>
            <w:vAlign w:val="center"/>
          </w:tcPr>
          <w:p>
            <w:pPr>
              <w:snapToGrid w:val="0"/>
              <w:spacing w:line="360" w:lineRule="auto"/>
              <w:jc w:val="center"/>
              <w:rPr>
                <w:rFonts w:ascii="微软雅黑" w:hAnsi="微软雅黑" w:eastAsia="微软雅黑" w:cs="微软雅黑"/>
                <w:sz w:val="24"/>
                <w:highlight w:val="none"/>
              </w:rPr>
            </w:pPr>
          </w:p>
        </w:tc>
        <w:tc>
          <w:tcPr>
            <w:tcW w:w="993" w:type="dxa"/>
            <w:vAlign w:val="center"/>
          </w:tcPr>
          <w:p>
            <w:pPr>
              <w:snapToGrid w:val="0"/>
              <w:spacing w:line="360" w:lineRule="auto"/>
              <w:jc w:val="center"/>
              <w:rPr>
                <w:rFonts w:ascii="微软雅黑" w:hAnsi="微软雅黑" w:eastAsia="微软雅黑" w:cs="微软雅黑"/>
                <w:sz w:val="24"/>
                <w:highlight w:val="none"/>
              </w:rPr>
            </w:pPr>
          </w:p>
        </w:tc>
        <w:tc>
          <w:tcPr>
            <w:tcW w:w="1559" w:type="dxa"/>
            <w:vAlign w:val="center"/>
          </w:tcPr>
          <w:p>
            <w:pPr>
              <w:spacing w:line="360" w:lineRule="auto"/>
              <w:jc w:val="center"/>
              <w:rPr>
                <w:rFonts w:ascii="微软雅黑" w:hAnsi="微软雅黑" w:eastAsia="微软雅黑" w:cs="微软雅黑"/>
                <w:sz w:val="24"/>
                <w:highlight w:val="none"/>
              </w:rPr>
            </w:pPr>
          </w:p>
        </w:tc>
        <w:tc>
          <w:tcPr>
            <w:tcW w:w="1984" w:type="dxa"/>
            <w:vAlign w:val="center"/>
          </w:tcPr>
          <w:p>
            <w:pPr>
              <w:spacing w:line="360" w:lineRule="auto"/>
              <w:jc w:val="center"/>
              <w:rPr>
                <w:rFonts w:ascii="微软雅黑" w:hAnsi="微软雅黑" w:eastAsia="微软雅黑" w:cs="微软雅黑"/>
                <w:sz w:val="24"/>
                <w:highlight w:val="none"/>
              </w:rPr>
            </w:pPr>
          </w:p>
        </w:tc>
        <w:tc>
          <w:tcPr>
            <w:tcW w:w="3119" w:type="dxa"/>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微软雅黑" w:hAnsi="微软雅黑" w:eastAsia="微软雅黑" w:cs="微软雅黑"/>
                <w:sz w:val="24"/>
                <w:highlight w:val="none"/>
              </w:rPr>
            </w:pPr>
          </w:p>
        </w:tc>
        <w:tc>
          <w:tcPr>
            <w:tcW w:w="1417" w:type="dxa"/>
            <w:vAlign w:val="center"/>
          </w:tcPr>
          <w:p>
            <w:pPr>
              <w:snapToGrid w:val="0"/>
              <w:spacing w:line="360" w:lineRule="auto"/>
              <w:jc w:val="center"/>
              <w:rPr>
                <w:rFonts w:ascii="微软雅黑" w:hAnsi="微软雅黑" w:eastAsia="微软雅黑" w:cs="微软雅黑"/>
                <w:sz w:val="24"/>
                <w:highlight w:val="none"/>
              </w:rPr>
            </w:pPr>
          </w:p>
        </w:tc>
        <w:tc>
          <w:tcPr>
            <w:tcW w:w="1843" w:type="dxa"/>
            <w:vAlign w:val="center"/>
          </w:tcPr>
          <w:p>
            <w:pPr>
              <w:snapToGrid w:val="0"/>
              <w:spacing w:line="360" w:lineRule="auto"/>
              <w:jc w:val="center"/>
              <w:rPr>
                <w:rFonts w:ascii="微软雅黑" w:hAnsi="微软雅黑" w:eastAsia="微软雅黑" w:cs="微软雅黑"/>
                <w:sz w:val="24"/>
                <w:highlight w:val="none"/>
              </w:rPr>
            </w:pPr>
          </w:p>
        </w:tc>
        <w:tc>
          <w:tcPr>
            <w:tcW w:w="3118" w:type="dxa"/>
            <w:vAlign w:val="center"/>
          </w:tcPr>
          <w:p>
            <w:pPr>
              <w:snapToGrid w:val="0"/>
              <w:spacing w:line="360" w:lineRule="auto"/>
              <w:jc w:val="center"/>
              <w:rPr>
                <w:rFonts w:ascii="微软雅黑" w:hAnsi="微软雅黑" w:eastAsia="微软雅黑" w:cs="微软雅黑"/>
                <w:sz w:val="24"/>
                <w:highlight w:val="none"/>
              </w:rPr>
            </w:pPr>
          </w:p>
        </w:tc>
        <w:tc>
          <w:tcPr>
            <w:tcW w:w="993" w:type="dxa"/>
            <w:vAlign w:val="center"/>
          </w:tcPr>
          <w:p>
            <w:pPr>
              <w:snapToGrid w:val="0"/>
              <w:spacing w:line="360" w:lineRule="auto"/>
              <w:jc w:val="center"/>
              <w:rPr>
                <w:rFonts w:ascii="微软雅黑" w:hAnsi="微软雅黑" w:eastAsia="微软雅黑" w:cs="微软雅黑"/>
                <w:sz w:val="24"/>
                <w:highlight w:val="none"/>
              </w:rPr>
            </w:pPr>
          </w:p>
        </w:tc>
        <w:tc>
          <w:tcPr>
            <w:tcW w:w="1559" w:type="dxa"/>
            <w:vAlign w:val="center"/>
          </w:tcPr>
          <w:p>
            <w:pPr>
              <w:spacing w:line="360" w:lineRule="auto"/>
              <w:jc w:val="center"/>
              <w:rPr>
                <w:rFonts w:ascii="微软雅黑" w:hAnsi="微软雅黑" w:eastAsia="微软雅黑" w:cs="微软雅黑"/>
                <w:sz w:val="24"/>
                <w:highlight w:val="none"/>
              </w:rPr>
            </w:pPr>
          </w:p>
        </w:tc>
        <w:tc>
          <w:tcPr>
            <w:tcW w:w="1984" w:type="dxa"/>
            <w:vAlign w:val="center"/>
          </w:tcPr>
          <w:p>
            <w:pPr>
              <w:spacing w:line="360" w:lineRule="auto"/>
              <w:jc w:val="center"/>
              <w:rPr>
                <w:rFonts w:ascii="微软雅黑" w:hAnsi="微软雅黑" w:eastAsia="微软雅黑" w:cs="微软雅黑"/>
                <w:sz w:val="24"/>
                <w:highlight w:val="none"/>
              </w:rPr>
            </w:pPr>
          </w:p>
        </w:tc>
        <w:tc>
          <w:tcPr>
            <w:tcW w:w="3119" w:type="dxa"/>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投标报价（小写）</w:t>
            </w:r>
          </w:p>
        </w:tc>
        <w:tc>
          <w:tcPr>
            <w:tcW w:w="7655" w:type="dxa"/>
            <w:gridSpan w:val="4"/>
            <w:vAlign w:val="center"/>
          </w:tcPr>
          <w:p>
            <w:pPr>
              <w:spacing w:line="360" w:lineRule="auto"/>
              <w:jc w:val="center"/>
              <w:rPr>
                <w:rFonts w:ascii="微软雅黑" w:hAnsi="微软雅黑" w:eastAsia="微软雅黑" w:cs="微软雅黑"/>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投标报价（大写）</w:t>
            </w:r>
          </w:p>
        </w:tc>
        <w:tc>
          <w:tcPr>
            <w:tcW w:w="7655" w:type="dxa"/>
            <w:gridSpan w:val="4"/>
            <w:vAlign w:val="center"/>
          </w:tcPr>
          <w:p>
            <w:pPr>
              <w:spacing w:line="360" w:lineRule="auto"/>
              <w:jc w:val="center"/>
              <w:rPr>
                <w:rFonts w:ascii="微软雅黑" w:hAnsi="微软雅黑" w:eastAsia="微软雅黑" w:cs="微软雅黑"/>
                <w:sz w:val="24"/>
                <w:highlight w:val="none"/>
              </w:rPr>
            </w:pPr>
          </w:p>
        </w:tc>
      </w:tr>
    </w:tbl>
    <w:p>
      <w:pPr>
        <w:snapToGrid w:val="0"/>
        <w:spacing w:line="360" w:lineRule="auto"/>
        <w:ind w:left="480"/>
        <w:rPr>
          <w:rFonts w:ascii="微软雅黑" w:hAnsi="微软雅黑" w:eastAsia="微软雅黑" w:cs="微软雅黑"/>
          <w:b/>
          <w:kern w:val="0"/>
          <w:szCs w:val="21"/>
          <w:highlight w:val="none"/>
          <w:lang w:val="zh-CN"/>
        </w:rPr>
      </w:pPr>
      <w:r>
        <w:rPr>
          <w:rFonts w:hint="eastAsia" w:ascii="微软雅黑" w:hAnsi="微软雅黑" w:eastAsia="微软雅黑" w:cs="微软雅黑"/>
          <w:b/>
          <w:kern w:val="0"/>
          <w:szCs w:val="21"/>
          <w:highlight w:val="none"/>
          <w:lang w:val="zh-CN"/>
        </w:rPr>
        <w:t>注：</w:t>
      </w:r>
    </w:p>
    <w:p>
      <w:pPr>
        <w:spacing w:line="360" w:lineRule="auto"/>
        <w:ind w:left="-2" w:leftChars="-1" w:firstLine="420" w:firstLineChars="2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1、投标人需按本表格式填写，不得自行更改。</w:t>
      </w:r>
    </w:p>
    <w:p>
      <w:pPr>
        <w:spacing w:line="360" w:lineRule="auto"/>
        <w:ind w:firstLine="420" w:firstLineChars="200"/>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2、有关本项目实施所涉及的一切费用均计入报价。</w:t>
      </w:r>
      <w:r>
        <w:rPr>
          <w:rFonts w:hint="eastAsia" w:ascii="微软雅黑" w:hAnsi="微软雅黑" w:eastAsia="微软雅黑" w:cs="微软雅黑"/>
          <w:b/>
          <w:kern w:val="0"/>
          <w:szCs w:val="21"/>
          <w:highlight w:val="none"/>
          <w:lang w:val="zh-CN"/>
        </w:rPr>
        <w:t>采购人将以合同形式有偿取得货物或服务，不接受投标人给予的赠品、回扣或者与采购无关的其他商品、服务</w:t>
      </w:r>
      <w:r>
        <w:rPr>
          <w:rFonts w:hint="eastAsia" w:ascii="微软雅黑" w:hAnsi="微软雅黑" w:eastAsia="微软雅黑" w:cs="微软雅黑"/>
          <w:kern w:val="0"/>
          <w:szCs w:val="21"/>
          <w:highlight w:val="none"/>
          <w:lang w:val="zh-CN"/>
        </w:rPr>
        <w:t>，</w:t>
      </w:r>
      <w:r>
        <w:rPr>
          <w:rFonts w:hint="eastAsia" w:ascii="微软雅黑" w:hAnsi="微软雅黑" w:eastAsia="微软雅黑" w:cs="微软雅黑"/>
          <w:b/>
          <w:kern w:val="0"/>
          <w:szCs w:val="21"/>
          <w:highlight w:val="none"/>
          <w:lang w:val="zh-CN"/>
        </w:rPr>
        <w:t>不得出现“0元”“免费赠送”等形式的无偿报价，</w:t>
      </w:r>
      <w:r>
        <w:rPr>
          <w:rFonts w:hint="eastAsia" w:ascii="微软雅黑" w:hAnsi="微软雅黑" w:eastAsia="微软雅黑" w:cs="微软雅黑"/>
          <w:b/>
          <w:kern w:val="0"/>
          <w:szCs w:val="21"/>
          <w:highlight w:val="none"/>
        </w:rPr>
        <w:t>否则视为</w:t>
      </w:r>
      <w:r>
        <w:rPr>
          <w:rFonts w:hint="eastAsia" w:ascii="微软雅黑" w:hAnsi="微软雅黑" w:eastAsia="微软雅黑" w:cs="微软雅黑"/>
          <w:b/>
          <w:szCs w:val="21"/>
          <w:highlight w:val="none"/>
        </w:rPr>
        <w:t>投标文件含有采购人不能接受的附加条件的，投标无效</w:t>
      </w:r>
      <w:r>
        <w:rPr>
          <w:rFonts w:hint="eastAsia" w:ascii="微软雅黑" w:hAnsi="微软雅黑" w:eastAsia="微软雅黑" w:cs="微软雅黑"/>
          <w:b/>
          <w:kern w:val="0"/>
          <w:szCs w:val="21"/>
          <w:highlight w:val="none"/>
          <w:lang w:val="zh-CN"/>
        </w:rPr>
        <w:t>。</w:t>
      </w:r>
    </w:p>
    <w:p>
      <w:pPr>
        <w:snapToGrid w:val="0"/>
        <w:spacing w:line="360" w:lineRule="auto"/>
        <w:ind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3、以上表格要求细分项目及报价，在“规格型号（或具体服务）”一栏中，货物类项目填写规格型号，服务类项目填写具体服务。</w:t>
      </w:r>
    </w:p>
    <w:p>
      <w:pPr>
        <w:snapToGrid w:val="0"/>
        <w:spacing w:line="360" w:lineRule="auto"/>
        <w:ind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20" w:firstLineChars="200"/>
        <w:jc w:val="left"/>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rPr>
          <w:rFonts w:ascii="微软雅黑" w:hAnsi="微软雅黑" w:eastAsia="微软雅黑" w:cs="微软雅黑"/>
          <w:kern w:val="0"/>
          <w:szCs w:val="21"/>
          <w:highlight w:val="none"/>
          <w:lang w:val="zh-CN"/>
        </w:rPr>
      </w:pPr>
      <w:r>
        <w:rPr>
          <w:rFonts w:hint="eastAsia" w:ascii="微软雅黑" w:hAnsi="微软雅黑" w:eastAsia="微软雅黑" w:cs="微软雅黑"/>
          <w:kern w:val="0"/>
          <w:szCs w:val="21"/>
          <w:highlight w:val="none"/>
          <w:lang w:val="zh-CN"/>
        </w:rPr>
        <w:br w:type="page"/>
      </w:r>
    </w:p>
    <w:p>
      <w:pPr>
        <w:pStyle w:val="45"/>
        <w:rPr>
          <w:rFonts w:ascii="微软雅黑" w:hAnsi="微软雅黑" w:eastAsia="微软雅黑" w:cs="微软雅黑"/>
          <w:highlight w:val="none"/>
          <w:lang w:val="zh-CN"/>
        </w:rPr>
        <w:sectPr>
          <w:pgSz w:w="16838" w:h="11905" w:orient="landscape"/>
          <w:pgMar w:top="1814" w:right="1474" w:bottom="1814" w:left="1474" w:header="851" w:footer="850" w:gutter="0"/>
          <w:cols w:space="0" w:num="1"/>
          <w:docGrid w:linePitch="312" w:charSpace="0"/>
        </w:sectPr>
      </w:pPr>
    </w:p>
    <w:p>
      <w:pPr>
        <w:spacing w:before="120" w:beforeLines="50" w:line="360" w:lineRule="auto"/>
        <w:jc w:val="center"/>
        <w:rPr>
          <w:rFonts w:ascii="微软雅黑" w:hAnsi="微软雅黑" w:eastAsia="微软雅黑" w:cs="微软雅黑"/>
          <w:b/>
          <w:sz w:val="44"/>
          <w:highlight w:val="none"/>
        </w:rPr>
      </w:pPr>
      <w:r>
        <w:rPr>
          <w:rFonts w:hint="eastAsia" w:ascii="微软雅黑" w:hAnsi="微软雅黑" w:eastAsia="微软雅黑" w:cs="微软雅黑"/>
          <w:b/>
          <w:sz w:val="44"/>
          <w:highlight w:val="none"/>
        </w:rPr>
        <w:t>投标报价明细表</w:t>
      </w:r>
    </w:p>
    <w:p>
      <w:pPr>
        <w:spacing w:line="360" w:lineRule="auto"/>
        <w:rPr>
          <w:rFonts w:hint="eastAsia" w:ascii="微软雅黑" w:hAnsi="微软雅黑" w:eastAsia="微软雅黑" w:cs="微软雅黑"/>
          <w:bCs/>
          <w:kern w:val="36"/>
          <w:highlight w:val="none"/>
          <w:lang w:eastAsia="zh-CN"/>
        </w:rPr>
      </w:pPr>
      <w:r>
        <w:rPr>
          <w:rFonts w:hint="eastAsia" w:ascii="微软雅黑" w:hAnsi="微软雅黑" w:eastAsia="微软雅黑" w:cs="微软雅黑"/>
          <w:bCs/>
          <w:kern w:val="36"/>
          <w:highlight w:val="none"/>
        </w:rPr>
        <w:t>项目名称：</w:t>
      </w:r>
      <w:r>
        <w:rPr>
          <w:rFonts w:hint="eastAsia" w:ascii="微软雅黑" w:hAnsi="微软雅黑" w:eastAsia="微软雅黑" w:cs="微软雅黑"/>
          <w:bCs/>
          <w:kern w:val="36"/>
          <w:highlight w:val="none"/>
          <w:lang w:eastAsia="zh-CN"/>
        </w:rPr>
        <w:t>嘉兴市秀洲区交通运输局（本级）嘉兴东升西路拟建隧道工程对饮用水水源地生态环境影响研究项目</w:t>
      </w:r>
    </w:p>
    <w:p>
      <w:pPr>
        <w:spacing w:line="360" w:lineRule="auto"/>
        <w:rPr>
          <w:rFonts w:ascii="微软雅黑" w:hAnsi="微软雅黑" w:eastAsia="微软雅黑" w:cs="微软雅黑"/>
          <w:bCs/>
          <w:kern w:val="36"/>
          <w:highlight w:val="none"/>
        </w:rPr>
      </w:pPr>
      <w:r>
        <w:rPr>
          <w:rFonts w:hint="eastAsia" w:ascii="微软雅黑" w:hAnsi="微软雅黑" w:eastAsia="微软雅黑" w:cs="微软雅黑"/>
          <w:bCs/>
          <w:kern w:val="36"/>
          <w:highlight w:val="none"/>
        </w:rPr>
        <w:t>单位：元</w:t>
      </w:r>
    </w:p>
    <w:tbl>
      <w:tblPr>
        <w:tblStyle w:val="55"/>
        <w:tblW w:w="9216" w:type="dxa"/>
        <w:tblInd w:w="-34"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760"/>
        <w:gridCol w:w="817"/>
        <w:gridCol w:w="1094"/>
        <w:gridCol w:w="1327"/>
        <w:gridCol w:w="221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76" w:hRule="atLeast"/>
        </w:trPr>
        <w:tc>
          <w:tcPr>
            <w:tcW w:w="4577" w:type="dxa"/>
            <w:gridSpan w:val="2"/>
            <w:vAlign w:val="center"/>
          </w:tcPr>
          <w:p>
            <w:pPr>
              <w:adjustRightInd w:val="0"/>
              <w:snapToGrid w:val="0"/>
              <w:spacing w:after="0" w:line="240" w:lineRule="auto"/>
              <w:jc w:val="center"/>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项目</w:t>
            </w:r>
          </w:p>
        </w:tc>
        <w:tc>
          <w:tcPr>
            <w:tcW w:w="1094" w:type="dxa"/>
            <w:vAlign w:val="center"/>
          </w:tcPr>
          <w:p>
            <w:pPr>
              <w:adjustRightInd w:val="0"/>
              <w:snapToGrid w:val="0"/>
              <w:spacing w:after="0" w:line="240" w:lineRule="auto"/>
              <w:jc w:val="center"/>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数量（项）</w:t>
            </w:r>
          </w:p>
        </w:tc>
        <w:tc>
          <w:tcPr>
            <w:tcW w:w="1327" w:type="dxa"/>
            <w:tcBorders>
              <w:right w:val="single" w:color="auto" w:sz="4" w:space="0"/>
            </w:tcBorders>
            <w:vAlign w:val="center"/>
          </w:tcPr>
          <w:p>
            <w:pPr>
              <w:adjustRightInd w:val="0"/>
              <w:snapToGrid w:val="0"/>
              <w:spacing w:after="0" w:line="240" w:lineRule="auto"/>
              <w:jc w:val="center"/>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单价</w:t>
            </w:r>
          </w:p>
        </w:tc>
        <w:tc>
          <w:tcPr>
            <w:tcW w:w="2218" w:type="dxa"/>
            <w:tcBorders>
              <w:left w:val="single" w:color="auto" w:sz="4" w:space="0"/>
            </w:tcBorders>
            <w:vAlign w:val="center"/>
          </w:tcPr>
          <w:p>
            <w:pPr>
              <w:adjustRightInd w:val="0"/>
              <w:snapToGrid w:val="0"/>
              <w:spacing w:after="0" w:line="240" w:lineRule="auto"/>
              <w:jc w:val="center"/>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投标总价（元）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5" w:hRule="atLeast"/>
        </w:trPr>
        <w:tc>
          <w:tcPr>
            <w:tcW w:w="4577" w:type="dxa"/>
            <w:gridSpan w:val="2"/>
            <w:vAlign w:val="center"/>
          </w:tcPr>
          <w:p>
            <w:pPr>
              <w:adjustRightInd w:val="0"/>
              <w:snapToGrid w:val="0"/>
              <w:spacing w:after="0" w:line="240" w:lineRule="auto"/>
              <w:jc w:val="center"/>
              <w:rPr>
                <w:rFonts w:hint="eastAsia" w:ascii="微软雅黑" w:hAnsi="微软雅黑" w:eastAsia="微软雅黑" w:cs="微软雅黑"/>
                <w:szCs w:val="21"/>
                <w:highlight w:val="none"/>
                <w:lang w:eastAsia="zh-CN"/>
              </w:rPr>
            </w:pPr>
            <w:r>
              <w:rPr>
                <w:rFonts w:hint="eastAsia" w:ascii="微软雅黑" w:hAnsi="微软雅黑" w:eastAsia="微软雅黑" w:cs="微软雅黑"/>
                <w:bCs/>
                <w:highlight w:val="none"/>
                <w:lang w:eastAsia="zh-CN"/>
              </w:rPr>
              <w:t>嘉兴市秀洲区交通运输局（本级）嘉兴东升西路拟建隧道工程对饮用水水源地生态环境影响研究项目</w:t>
            </w:r>
          </w:p>
        </w:tc>
        <w:tc>
          <w:tcPr>
            <w:tcW w:w="1094" w:type="dxa"/>
            <w:vAlign w:val="center"/>
          </w:tcPr>
          <w:p>
            <w:pPr>
              <w:adjustRightInd w:val="0"/>
              <w:snapToGrid w:val="0"/>
              <w:spacing w:after="0" w:line="240" w:lineRule="auto"/>
              <w:jc w:val="center"/>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 xml:space="preserve"> 1</w:t>
            </w:r>
          </w:p>
        </w:tc>
        <w:tc>
          <w:tcPr>
            <w:tcW w:w="1327" w:type="dxa"/>
            <w:tcBorders>
              <w:right w:val="single" w:color="auto" w:sz="4" w:space="0"/>
            </w:tcBorders>
            <w:vAlign w:val="center"/>
          </w:tcPr>
          <w:p>
            <w:pPr>
              <w:adjustRightInd w:val="0"/>
              <w:snapToGrid w:val="0"/>
              <w:spacing w:after="0" w:line="240" w:lineRule="auto"/>
              <w:jc w:val="center"/>
              <w:rPr>
                <w:rFonts w:ascii="微软雅黑" w:hAnsi="微软雅黑" w:eastAsia="微软雅黑" w:cs="微软雅黑"/>
                <w:spacing w:val="20"/>
                <w:szCs w:val="21"/>
                <w:highlight w:val="none"/>
              </w:rPr>
            </w:pPr>
          </w:p>
        </w:tc>
        <w:tc>
          <w:tcPr>
            <w:tcW w:w="2218" w:type="dxa"/>
            <w:tcBorders>
              <w:left w:val="single" w:color="auto" w:sz="4" w:space="0"/>
            </w:tcBorders>
            <w:vAlign w:val="center"/>
          </w:tcPr>
          <w:p>
            <w:pPr>
              <w:adjustRightInd w:val="0"/>
              <w:snapToGrid w:val="0"/>
              <w:spacing w:after="0" w:line="240" w:lineRule="auto"/>
              <w:jc w:val="center"/>
              <w:rPr>
                <w:rFonts w:ascii="微软雅黑" w:hAnsi="微软雅黑" w:eastAsia="微软雅黑" w:cs="微软雅黑"/>
                <w:spacing w:val="20"/>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17" w:hRule="atLeast"/>
        </w:trPr>
        <w:tc>
          <w:tcPr>
            <w:tcW w:w="3760" w:type="dxa"/>
            <w:tcBorders>
              <w:top w:val="single" w:color="auto" w:sz="4" w:space="0"/>
              <w:right w:val="single" w:color="auto" w:sz="4" w:space="0"/>
            </w:tcBorders>
            <w:vAlign w:val="center"/>
          </w:tcPr>
          <w:p>
            <w:pPr>
              <w:adjustRightInd w:val="0"/>
              <w:snapToGrid w:val="0"/>
              <w:spacing w:after="0" w:line="240" w:lineRule="auto"/>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合计</w:t>
            </w:r>
          </w:p>
        </w:tc>
        <w:tc>
          <w:tcPr>
            <w:tcW w:w="5456" w:type="dxa"/>
            <w:gridSpan w:val="4"/>
            <w:vAlign w:val="center"/>
          </w:tcPr>
          <w:p>
            <w:pPr>
              <w:adjustRightInd w:val="0"/>
              <w:snapToGrid w:val="0"/>
              <w:spacing w:after="0" w:line="240" w:lineRule="auto"/>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 xml:space="preserve">大写（人民币）：       小写：￥   </w:t>
            </w:r>
          </w:p>
        </w:tc>
      </w:tr>
    </w:tbl>
    <w:p>
      <w:pPr>
        <w:pStyle w:val="31"/>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注: 1、报价一经涂改，应在涂改处加盖单位公章或者由法定代表人或授权委托人签字或盖章，否则其投标作无效标处理。</w:t>
      </w:r>
    </w:p>
    <w:p>
      <w:pPr>
        <w:pStyle w:val="31"/>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2、投标费用包括项目实施所需的人工费、服务费、税费及其他一切费用。</w:t>
      </w:r>
    </w:p>
    <w:p>
      <w:pPr>
        <w:pStyle w:val="31"/>
        <w:snapToGrid w:val="0"/>
        <w:spacing w:line="360" w:lineRule="auto"/>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▲3、以上报价不得超过上限价，任何超过上限价的报价均导致投标被否决。</w:t>
      </w:r>
    </w:p>
    <w:p>
      <w:pPr>
        <w:rPr>
          <w:rFonts w:ascii="微软雅黑" w:hAnsi="微软雅黑" w:eastAsia="微软雅黑" w:cs="微软雅黑"/>
          <w:highlight w:val="none"/>
        </w:rPr>
      </w:pPr>
      <w:r>
        <w:rPr>
          <w:rFonts w:hint="eastAsia" w:ascii="微软雅黑" w:hAnsi="微软雅黑" w:eastAsia="微软雅黑" w:cs="微软雅黑"/>
          <w:szCs w:val="21"/>
          <w:highlight w:val="none"/>
        </w:rPr>
        <w:t>4、最终结算按中标单价*实际鉴定房屋数量结算。</w:t>
      </w:r>
    </w:p>
    <w:p>
      <w:pPr>
        <w:pStyle w:val="31"/>
        <w:snapToGrid w:val="0"/>
        <w:spacing w:line="360" w:lineRule="auto"/>
        <w:rPr>
          <w:rFonts w:ascii="微软雅黑" w:hAnsi="微软雅黑" w:eastAsia="微软雅黑" w:cs="微软雅黑"/>
          <w:szCs w:val="21"/>
          <w:highlight w:val="none"/>
        </w:rPr>
      </w:pPr>
    </w:p>
    <w:p>
      <w:pPr>
        <w:pStyle w:val="31"/>
        <w:snapToGrid w:val="0"/>
        <w:spacing w:line="360" w:lineRule="auto"/>
        <w:rPr>
          <w:rFonts w:ascii="微软雅黑" w:hAnsi="微软雅黑" w:eastAsia="微软雅黑" w:cs="微软雅黑"/>
          <w:bCs/>
          <w:szCs w:val="21"/>
          <w:highlight w:val="none"/>
        </w:rPr>
      </w:pPr>
      <w:r>
        <w:rPr>
          <w:rFonts w:hint="eastAsia" w:ascii="微软雅黑" w:hAnsi="微软雅黑" w:eastAsia="微软雅黑" w:cs="微软雅黑"/>
          <w:bCs/>
          <w:szCs w:val="21"/>
          <w:highlight w:val="none"/>
        </w:rPr>
        <w:t xml:space="preserve">法定代表人或授权代表（签字或盖章）： </w:t>
      </w:r>
    </w:p>
    <w:p>
      <w:pPr>
        <w:pStyle w:val="31"/>
        <w:snapToGrid w:val="0"/>
        <w:spacing w:line="360" w:lineRule="auto"/>
        <w:rPr>
          <w:rFonts w:ascii="微软雅黑" w:hAnsi="微软雅黑" w:eastAsia="微软雅黑" w:cs="微软雅黑"/>
          <w:bCs/>
          <w:szCs w:val="21"/>
          <w:highlight w:val="none"/>
        </w:rPr>
      </w:pPr>
      <w:r>
        <w:rPr>
          <w:rFonts w:hint="eastAsia" w:ascii="微软雅黑" w:hAnsi="微软雅黑" w:eastAsia="微软雅黑" w:cs="微软雅黑"/>
          <w:bCs/>
          <w:szCs w:val="21"/>
          <w:highlight w:val="none"/>
        </w:rPr>
        <w:t>投标人名称（盖章）：</w:t>
      </w:r>
    </w:p>
    <w:p>
      <w:pPr>
        <w:rPr>
          <w:rFonts w:ascii="微软雅黑" w:hAnsi="微软雅黑" w:eastAsia="微软雅黑" w:cs="微软雅黑"/>
          <w:sz w:val="32"/>
          <w:szCs w:val="32"/>
          <w:highlight w:val="none"/>
        </w:rPr>
      </w:pPr>
      <w:r>
        <w:rPr>
          <w:rFonts w:hint="eastAsia" w:ascii="微软雅黑" w:hAnsi="微软雅黑" w:eastAsia="微软雅黑" w:cs="微软雅黑"/>
          <w:bCs/>
          <w:szCs w:val="21"/>
          <w:highlight w:val="none"/>
        </w:rPr>
        <w:t xml:space="preserve">   日 期：</w:t>
      </w:r>
    </w:p>
    <w:p>
      <w:pPr>
        <w:rPr>
          <w:rFonts w:ascii="微软雅黑" w:hAnsi="微软雅黑" w:eastAsia="微软雅黑" w:cs="微软雅黑"/>
          <w:sz w:val="32"/>
          <w:szCs w:val="32"/>
          <w:highlight w:val="none"/>
        </w:rPr>
      </w:pPr>
      <w:r>
        <w:rPr>
          <w:rFonts w:hint="eastAsia" w:ascii="微软雅黑" w:hAnsi="微软雅黑" w:eastAsia="微软雅黑" w:cs="微软雅黑"/>
          <w:sz w:val="32"/>
          <w:szCs w:val="32"/>
          <w:highlight w:val="none"/>
        </w:rPr>
        <w:br w:type="page"/>
      </w:r>
    </w:p>
    <w:p>
      <w:pPr>
        <w:pStyle w:val="320"/>
        <w:keepNext w:val="0"/>
        <w:pageBreakBefore w:val="0"/>
        <w:tabs>
          <w:tab w:val="clear" w:pos="720"/>
        </w:tabs>
        <w:snapToGrid w:val="0"/>
        <w:spacing w:before="120" w:after="120"/>
        <w:ind w:firstLine="643"/>
        <w:outlineLvl w:val="9"/>
        <w:rPr>
          <w:rFonts w:ascii="微软雅黑" w:hAnsi="微软雅黑" w:eastAsia="微软雅黑" w:cs="微软雅黑"/>
          <w:sz w:val="32"/>
          <w:szCs w:val="32"/>
          <w:highlight w:val="none"/>
        </w:rPr>
      </w:pPr>
      <w:r>
        <w:rPr>
          <w:rFonts w:hint="eastAsia" w:ascii="微软雅黑" w:hAnsi="微软雅黑" w:eastAsia="微软雅黑" w:cs="微软雅黑"/>
          <w:kern w:val="2"/>
          <w:sz w:val="32"/>
          <w:szCs w:val="32"/>
          <w:highlight w:val="none"/>
        </w:rPr>
        <w:t>二、</w:t>
      </w:r>
      <w:r>
        <w:rPr>
          <w:rFonts w:hint="eastAsia" w:ascii="微软雅黑" w:hAnsi="微软雅黑" w:eastAsia="微软雅黑" w:cs="微软雅黑"/>
          <w:sz w:val="32"/>
          <w:szCs w:val="32"/>
          <w:highlight w:val="none"/>
        </w:rPr>
        <w:t>中小企业声明函</w:t>
      </w:r>
    </w:p>
    <w:p>
      <w:pPr>
        <w:widowControl/>
        <w:spacing w:line="360" w:lineRule="auto"/>
        <w:ind w:firstLine="105" w:firstLineChars="50"/>
        <w:jc w:val="left"/>
        <w:rPr>
          <w:rFonts w:ascii="微软雅黑" w:hAnsi="微软雅黑" w:eastAsia="微软雅黑" w:cs="微软雅黑"/>
          <w:b/>
          <w:szCs w:val="21"/>
          <w:highlight w:val="none"/>
        </w:rPr>
      </w:pPr>
      <w:r>
        <w:rPr>
          <w:rFonts w:hint="eastAsia" w:ascii="微软雅黑" w:hAnsi="微软雅黑" w:eastAsia="微软雅黑" w:cs="微软雅黑"/>
          <w:b/>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4"/>
        <w:tabs>
          <w:tab w:val="left" w:pos="432"/>
        </w:tabs>
        <w:rPr>
          <w:rFonts w:ascii="微软雅黑" w:hAnsi="微软雅黑" w:eastAsia="微软雅黑" w:cs="微软雅黑"/>
          <w:highlight w:val="none"/>
        </w:rPr>
      </w:pPr>
      <w:r>
        <w:rPr>
          <w:rFonts w:hint="eastAsia" w:ascii="微软雅黑" w:hAnsi="微软雅黑" w:eastAsia="微软雅黑" w:cs="微软雅黑"/>
          <w:highlight w:val="none"/>
        </w:rPr>
        <w:br w:type="page"/>
      </w:r>
    </w:p>
    <w:p>
      <w:pPr>
        <w:jc w:val="center"/>
        <w:rPr>
          <w:rFonts w:ascii="微软雅黑" w:hAnsi="微软雅黑" w:eastAsia="微软雅黑" w:cs="微软雅黑"/>
          <w:b/>
          <w:sz w:val="32"/>
          <w:szCs w:val="32"/>
          <w:highlight w:val="none"/>
        </w:rPr>
      </w:pPr>
      <w:r>
        <w:rPr>
          <w:rFonts w:hint="eastAsia" w:ascii="微软雅黑" w:hAnsi="微软雅黑" w:eastAsia="微软雅黑" w:cs="微软雅黑"/>
          <w:b/>
          <w:sz w:val="32"/>
          <w:szCs w:val="32"/>
          <w:highlight w:val="none"/>
        </w:rPr>
        <w:t>三、代理服务费支付承诺书</w:t>
      </w:r>
    </w:p>
    <w:p>
      <w:pPr>
        <w:snapToGrid w:val="0"/>
        <w:spacing w:before="50" w:after="50"/>
        <w:rPr>
          <w:rFonts w:ascii="微软雅黑" w:hAnsi="微软雅黑" w:eastAsia="微软雅黑" w:cs="微软雅黑"/>
          <w:spacing w:val="20"/>
          <w:sz w:val="24"/>
          <w:highlight w:val="none"/>
          <w:u w:val="single"/>
        </w:rPr>
      </w:pPr>
    </w:p>
    <w:p>
      <w:pPr>
        <w:spacing w:line="360" w:lineRule="auto"/>
        <w:contextualSpacing/>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致：</w:t>
      </w:r>
      <w:r>
        <w:rPr>
          <w:rFonts w:hint="eastAsia" w:ascii="微软雅黑" w:hAnsi="微软雅黑" w:eastAsia="微软雅黑" w:cs="微软雅黑"/>
          <w:spacing w:val="20"/>
          <w:szCs w:val="21"/>
          <w:highlight w:val="none"/>
          <w:u w:val="single"/>
        </w:rPr>
        <w:t xml:space="preserve">                    </w:t>
      </w:r>
    </w:p>
    <w:p>
      <w:pPr>
        <w:spacing w:line="360" w:lineRule="auto"/>
        <w:contextualSpacing/>
        <w:rPr>
          <w:rFonts w:ascii="微软雅黑" w:hAnsi="微软雅黑" w:eastAsia="微软雅黑" w:cs="微软雅黑"/>
          <w:spacing w:val="20"/>
          <w:szCs w:val="21"/>
          <w:highlight w:val="none"/>
        </w:rPr>
      </w:pPr>
    </w:p>
    <w:p>
      <w:pPr>
        <w:spacing w:line="360" w:lineRule="auto"/>
        <w:ind w:firstLine="630"/>
        <w:contextualSpacing/>
        <w:rPr>
          <w:rFonts w:ascii="微软雅黑" w:hAnsi="微软雅黑" w:eastAsia="微软雅黑" w:cs="微软雅黑"/>
          <w:spacing w:val="20"/>
          <w:szCs w:val="21"/>
          <w:highlight w:val="none"/>
        </w:rPr>
      </w:pPr>
      <w:r>
        <w:rPr>
          <w:rFonts w:hint="eastAsia" w:ascii="微软雅黑" w:hAnsi="微软雅黑" w:eastAsia="微软雅黑" w:cs="微软雅黑"/>
          <w:spacing w:val="20"/>
          <w:szCs w:val="21"/>
          <w:highlight w:val="none"/>
        </w:rPr>
        <w:t>我公司已认真阅读了招标文件（招标编号：          ）并在此承诺：</w:t>
      </w:r>
    </w:p>
    <w:p>
      <w:pPr>
        <w:spacing w:line="360" w:lineRule="auto"/>
        <w:ind w:firstLine="630"/>
        <w:contextualSpacing/>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如中标，我公司将自中标公告发布之日起5个工作日内按招标文件规定的标准（详见第二部分 投标人须知 前附表）一次性向采购代理机构支付代理服务费。</w:t>
      </w:r>
    </w:p>
    <w:p>
      <w:pPr>
        <w:spacing w:line="360" w:lineRule="auto"/>
        <w:ind w:firstLine="630"/>
        <w:contextualSpacing/>
        <w:rPr>
          <w:rFonts w:ascii="微软雅黑" w:hAnsi="微软雅黑" w:eastAsia="微软雅黑" w:cs="微软雅黑"/>
          <w:szCs w:val="21"/>
          <w:highlight w:val="none"/>
        </w:rPr>
      </w:pPr>
    </w:p>
    <w:p>
      <w:pPr>
        <w:spacing w:line="360" w:lineRule="auto"/>
        <w:ind w:firstLine="630"/>
        <w:contextualSpacing/>
        <w:rPr>
          <w:rFonts w:ascii="微软雅黑" w:hAnsi="微软雅黑" w:eastAsia="微软雅黑" w:cs="微软雅黑"/>
          <w:szCs w:val="21"/>
          <w:highlight w:val="none"/>
        </w:rPr>
      </w:pPr>
    </w:p>
    <w:p>
      <w:pPr>
        <w:spacing w:line="360" w:lineRule="auto"/>
        <w:ind w:firstLine="630"/>
        <w:contextualSpacing/>
        <w:rPr>
          <w:rFonts w:ascii="微软雅黑" w:hAnsi="微软雅黑" w:eastAsia="微软雅黑" w:cs="微软雅黑"/>
          <w:szCs w:val="21"/>
          <w:highlight w:val="none"/>
        </w:rPr>
      </w:pPr>
    </w:p>
    <w:p>
      <w:pPr>
        <w:spacing w:line="360" w:lineRule="auto"/>
        <w:ind w:firstLine="630"/>
        <w:contextualSpacing/>
        <w:rPr>
          <w:rFonts w:ascii="微软雅黑" w:hAnsi="微软雅黑" w:eastAsia="微软雅黑" w:cs="微软雅黑"/>
          <w:szCs w:val="21"/>
          <w:highlight w:val="none"/>
        </w:rPr>
      </w:pPr>
    </w:p>
    <w:p>
      <w:pPr>
        <w:spacing w:line="360" w:lineRule="auto"/>
        <w:contextualSpacing/>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承诺方（投标人）名称</w:t>
      </w:r>
      <w:r>
        <w:rPr>
          <w:rFonts w:hint="eastAsia" w:ascii="微软雅黑" w:hAnsi="微软雅黑" w:eastAsia="微软雅黑" w:cs="微软雅黑"/>
          <w:spacing w:val="20"/>
          <w:szCs w:val="21"/>
          <w:highlight w:val="none"/>
        </w:rPr>
        <w:t>（公章）</w:t>
      </w:r>
      <w:r>
        <w:rPr>
          <w:rFonts w:hint="eastAsia" w:ascii="微软雅黑" w:hAnsi="微软雅黑" w:eastAsia="微软雅黑" w:cs="微软雅黑"/>
          <w:szCs w:val="21"/>
          <w:highlight w:val="none"/>
        </w:rPr>
        <w:t>:___________________</w:t>
      </w:r>
    </w:p>
    <w:p>
      <w:pPr>
        <w:spacing w:line="360" w:lineRule="auto"/>
        <w:contextualSpacing/>
        <w:rPr>
          <w:rFonts w:ascii="微软雅黑" w:hAnsi="微软雅黑" w:eastAsia="微软雅黑" w:cs="微软雅黑"/>
          <w:szCs w:val="21"/>
          <w:highlight w:val="none"/>
        </w:rPr>
      </w:pPr>
      <w:r>
        <w:rPr>
          <w:rFonts w:hint="eastAsia" w:ascii="微软雅黑" w:hAnsi="微软雅黑" w:eastAsia="微软雅黑" w:cs="微软雅黑"/>
          <w:spacing w:val="20"/>
          <w:szCs w:val="21"/>
          <w:highlight w:val="none"/>
        </w:rPr>
        <w:t>法定代表人或</w:t>
      </w:r>
      <w:r>
        <w:rPr>
          <w:rFonts w:hint="eastAsia" w:ascii="微软雅黑" w:hAnsi="微软雅黑" w:eastAsia="微软雅黑" w:cs="微软雅黑"/>
          <w:szCs w:val="21"/>
          <w:highlight w:val="none"/>
        </w:rPr>
        <w:t>授权代表</w:t>
      </w:r>
      <w:r>
        <w:rPr>
          <w:rFonts w:hint="eastAsia" w:ascii="微软雅黑" w:hAnsi="微软雅黑" w:eastAsia="微软雅黑" w:cs="微软雅黑"/>
          <w:spacing w:val="20"/>
          <w:szCs w:val="21"/>
          <w:highlight w:val="none"/>
        </w:rPr>
        <w:t>（签字）</w:t>
      </w:r>
      <w:r>
        <w:rPr>
          <w:rFonts w:hint="eastAsia" w:ascii="微软雅黑" w:hAnsi="微软雅黑" w:eastAsia="微软雅黑" w:cs="微软雅黑"/>
          <w:szCs w:val="21"/>
          <w:highlight w:val="none"/>
        </w:rPr>
        <w:t>:___________</w:t>
      </w:r>
    </w:p>
    <w:p>
      <w:pPr>
        <w:spacing w:line="360" w:lineRule="auto"/>
        <w:contextualSpacing/>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承诺方（投标人）地址:_______________ </w:t>
      </w:r>
    </w:p>
    <w:p>
      <w:pPr>
        <w:spacing w:line="360" w:lineRule="auto"/>
        <w:contextualSpacing/>
        <w:rPr>
          <w:rFonts w:ascii="微软雅黑" w:hAnsi="微软雅黑" w:eastAsia="微软雅黑" w:cs="微软雅黑"/>
          <w:szCs w:val="21"/>
          <w:highlight w:val="none"/>
          <w:u w:val="single"/>
        </w:rPr>
      </w:pPr>
      <w:r>
        <w:rPr>
          <w:rFonts w:hint="eastAsia" w:ascii="微软雅黑" w:hAnsi="微软雅黑" w:eastAsia="微软雅黑" w:cs="微软雅黑"/>
          <w:szCs w:val="21"/>
          <w:highlight w:val="none"/>
        </w:rPr>
        <w:t>联系电话：    联系传真：</w:t>
      </w:r>
    </w:p>
    <w:p>
      <w:pPr>
        <w:widowControl/>
        <w:spacing w:line="360" w:lineRule="auto"/>
        <w:contextualSpacing/>
        <w:jc w:val="left"/>
        <w:rPr>
          <w:rFonts w:ascii="微软雅黑" w:hAnsi="微软雅黑" w:eastAsia="微软雅黑" w:cs="微软雅黑"/>
          <w:b/>
          <w:sz w:val="24"/>
          <w:highlight w:val="none"/>
        </w:rPr>
      </w:pPr>
      <w:r>
        <w:rPr>
          <w:rFonts w:hint="eastAsia" w:ascii="微软雅黑" w:hAnsi="微软雅黑" w:eastAsia="微软雅黑" w:cs="微软雅黑"/>
          <w:szCs w:val="21"/>
          <w:highlight w:val="none"/>
        </w:rPr>
        <w:t>承诺日期:_____年___月___日</w:t>
      </w:r>
    </w:p>
    <w:p>
      <w:pPr>
        <w:pStyle w:val="320"/>
        <w:keepNext w:val="0"/>
        <w:pageBreakBefore w:val="0"/>
        <w:tabs>
          <w:tab w:val="clear" w:pos="720"/>
        </w:tabs>
        <w:snapToGrid w:val="0"/>
        <w:spacing w:before="120" w:after="120"/>
        <w:ind w:firstLine="643"/>
        <w:outlineLvl w:val="9"/>
        <w:rPr>
          <w:rFonts w:ascii="微软雅黑" w:hAnsi="微软雅黑" w:eastAsia="微软雅黑" w:cs="微软雅黑"/>
          <w:b w:val="0"/>
          <w:sz w:val="32"/>
          <w:szCs w:val="32"/>
          <w:highlight w:val="none"/>
        </w:rPr>
      </w:pPr>
    </w:p>
    <w:p>
      <w:pPr>
        <w:spacing w:line="360" w:lineRule="auto"/>
        <w:ind w:right="420" w:firstLine="3602" w:firstLineChars="1000"/>
        <w:rPr>
          <w:rFonts w:ascii="微软雅黑" w:hAnsi="微软雅黑" w:eastAsia="微软雅黑" w:cs="微软雅黑"/>
          <w:b/>
          <w:kern w:val="0"/>
          <w:sz w:val="36"/>
          <w:szCs w:val="36"/>
          <w:highlight w:val="none"/>
        </w:rPr>
      </w:pPr>
    </w:p>
    <w:p>
      <w:pPr>
        <w:spacing w:line="360" w:lineRule="auto"/>
        <w:ind w:right="420" w:firstLine="3602" w:firstLineChars="1000"/>
        <w:rPr>
          <w:rFonts w:ascii="微软雅黑" w:hAnsi="微软雅黑" w:eastAsia="微软雅黑" w:cs="微软雅黑"/>
          <w:b/>
          <w:kern w:val="0"/>
          <w:sz w:val="36"/>
          <w:szCs w:val="36"/>
          <w:highlight w:val="none"/>
        </w:rPr>
      </w:pPr>
    </w:p>
    <w:p>
      <w:pPr>
        <w:widowControl/>
        <w:jc w:val="left"/>
        <w:rPr>
          <w:rFonts w:ascii="微软雅黑" w:hAnsi="微软雅黑" w:eastAsia="微软雅黑" w:cs="微软雅黑"/>
          <w:b/>
          <w:sz w:val="32"/>
          <w:szCs w:val="32"/>
          <w:highlight w:val="none"/>
        </w:rPr>
      </w:pPr>
    </w:p>
    <w:p>
      <w:pPr>
        <w:pStyle w:val="3"/>
        <w:keepNext w:val="0"/>
        <w:keepLines w:val="0"/>
        <w:pageBreakBefore/>
        <w:widowControl/>
        <w:tabs>
          <w:tab w:val="left" w:pos="432"/>
        </w:tabs>
        <w:adjustRightInd w:val="0"/>
        <w:spacing w:before="360" w:beforeAutospacing="1" w:after="100" w:afterAutospacing="1"/>
        <w:jc w:val="center"/>
        <w:rPr>
          <w:rFonts w:ascii="微软雅黑" w:hAnsi="微软雅黑" w:cs="微软雅黑"/>
          <w:highlight w:val="none"/>
        </w:rPr>
      </w:pPr>
      <w:bookmarkStart w:id="539" w:name="_Toc465665161"/>
      <w:r>
        <w:rPr>
          <w:rFonts w:hint="eastAsia" w:ascii="微软雅黑" w:hAnsi="微软雅黑" w:cs="微软雅黑"/>
          <w:highlight w:val="none"/>
        </w:rPr>
        <w:t>附件</w:t>
      </w:r>
      <w:bookmarkEnd w:id="539"/>
    </w:p>
    <w:p>
      <w:pPr>
        <w:spacing w:line="360" w:lineRule="auto"/>
        <w:rPr>
          <w:rFonts w:ascii="微软雅黑" w:hAnsi="微软雅黑" w:eastAsia="微软雅黑" w:cs="微软雅黑"/>
          <w:b/>
          <w:spacing w:val="6"/>
          <w:szCs w:val="21"/>
          <w:highlight w:val="none"/>
        </w:rPr>
      </w:pPr>
      <w:r>
        <w:rPr>
          <w:rFonts w:hint="eastAsia" w:ascii="微软雅黑" w:hAnsi="微软雅黑" w:eastAsia="微软雅黑" w:cs="微软雅黑"/>
          <w:b/>
          <w:spacing w:val="6"/>
          <w:szCs w:val="21"/>
          <w:highlight w:val="none"/>
        </w:rPr>
        <w:t>附件1：</w:t>
      </w:r>
    </w:p>
    <w:p>
      <w:pPr>
        <w:spacing w:line="360" w:lineRule="auto"/>
        <w:jc w:val="center"/>
        <w:rPr>
          <w:rFonts w:ascii="微软雅黑" w:hAnsi="微软雅黑" w:eastAsia="微软雅黑" w:cs="微软雅黑"/>
          <w:b/>
          <w:spacing w:val="6"/>
          <w:szCs w:val="21"/>
          <w:highlight w:val="none"/>
        </w:rPr>
      </w:pPr>
      <w:bookmarkStart w:id="540" w:name="OLE_LINK14"/>
      <w:bookmarkStart w:id="541" w:name="OLE_LINK13"/>
      <w:r>
        <w:rPr>
          <w:rFonts w:hint="eastAsia" w:ascii="微软雅黑" w:hAnsi="微软雅黑" w:eastAsia="微软雅黑" w:cs="微软雅黑"/>
          <w:b/>
          <w:spacing w:val="6"/>
          <w:szCs w:val="21"/>
          <w:highlight w:val="none"/>
        </w:rPr>
        <w:t>残疾人福利性单位声明函</w:t>
      </w:r>
    </w:p>
    <w:bookmarkEnd w:id="540"/>
    <w:bookmarkEnd w:id="541"/>
    <w:p>
      <w:pPr>
        <w:spacing w:line="360" w:lineRule="auto"/>
        <w:rPr>
          <w:rFonts w:ascii="微软雅黑" w:hAnsi="微软雅黑" w:eastAsia="微软雅黑" w:cs="微软雅黑"/>
          <w:b/>
          <w:spacing w:val="6"/>
          <w:szCs w:val="21"/>
          <w:highlight w:val="none"/>
        </w:rPr>
      </w:pPr>
    </w:p>
    <w:p>
      <w:pPr>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本单位对上述声明的真实性负责。如有虚假，将依法承担相应责任。</w:t>
      </w:r>
    </w:p>
    <w:p>
      <w:pPr>
        <w:spacing w:line="360" w:lineRule="auto"/>
        <w:ind w:firstLine="420" w:firstLineChars="200"/>
        <w:rPr>
          <w:rFonts w:ascii="微软雅黑" w:hAnsi="微软雅黑" w:eastAsia="微软雅黑" w:cs="微软雅黑"/>
          <w:szCs w:val="21"/>
          <w:highlight w:val="none"/>
        </w:rPr>
      </w:pPr>
    </w:p>
    <w:p>
      <w:pPr>
        <w:spacing w:line="360" w:lineRule="auto"/>
        <w:ind w:firstLine="420" w:firstLineChars="200"/>
        <w:rPr>
          <w:rFonts w:ascii="微软雅黑" w:hAnsi="微软雅黑" w:eastAsia="微软雅黑" w:cs="微软雅黑"/>
          <w:szCs w:val="21"/>
          <w:highlight w:val="none"/>
        </w:rPr>
      </w:pPr>
    </w:p>
    <w:p>
      <w:pPr>
        <w:tabs>
          <w:tab w:val="left" w:pos="4860"/>
        </w:tabs>
        <w:spacing w:line="360" w:lineRule="auto"/>
        <w:ind w:right="1560" w:firstLine="420" w:firstLineChars="200"/>
        <w:jc w:val="center"/>
        <w:rPr>
          <w:rFonts w:ascii="微软雅黑" w:hAnsi="微软雅黑" w:eastAsia="微软雅黑" w:cs="微软雅黑"/>
          <w:szCs w:val="21"/>
          <w:highlight w:val="none"/>
        </w:rPr>
      </w:pPr>
      <w:r>
        <w:rPr>
          <w:rFonts w:hint="eastAsia" w:ascii="微软雅黑" w:hAnsi="微软雅黑" w:eastAsia="微软雅黑" w:cs="微软雅黑"/>
          <w:kern w:val="0"/>
          <w:szCs w:val="21"/>
          <w:highlight w:val="none"/>
          <w:lang w:val="zh-CN"/>
        </w:rPr>
        <w:t>投标人名称（电子签名）</w:t>
      </w:r>
      <w:r>
        <w:rPr>
          <w:rFonts w:hint="eastAsia" w:ascii="微软雅黑" w:hAnsi="微软雅黑" w:eastAsia="微软雅黑" w:cs="微软雅黑"/>
          <w:szCs w:val="21"/>
          <w:highlight w:val="none"/>
        </w:rPr>
        <w:t>：</w:t>
      </w:r>
    </w:p>
    <w:p>
      <w:pPr>
        <w:tabs>
          <w:tab w:val="left" w:pos="4860"/>
        </w:tabs>
        <w:spacing w:line="360" w:lineRule="auto"/>
        <w:ind w:right="1560" w:firstLine="420" w:firstLineChars="200"/>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 xml:space="preserve">       日  期：</w:t>
      </w:r>
    </w:p>
    <w:p>
      <w:pPr>
        <w:spacing w:line="360" w:lineRule="auto"/>
        <w:ind w:firstLine="480" w:firstLineChars="200"/>
        <w:rPr>
          <w:rFonts w:ascii="微软雅黑" w:hAnsi="微软雅黑" w:eastAsia="微软雅黑" w:cs="微软雅黑"/>
          <w:sz w:val="24"/>
          <w:highlight w:val="none"/>
        </w:rPr>
      </w:pPr>
    </w:p>
    <w:p>
      <w:pPr>
        <w:spacing w:line="360" w:lineRule="auto"/>
        <w:ind w:firstLine="420" w:firstLineChars="200"/>
        <w:rPr>
          <w:rFonts w:ascii="微软雅黑" w:hAnsi="微软雅黑" w:eastAsia="微软雅黑" w:cs="微软雅黑"/>
          <w:highlight w:val="none"/>
        </w:rPr>
      </w:pPr>
    </w:p>
    <w:p>
      <w:pPr>
        <w:spacing w:line="360" w:lineRule="auto"/>
        <w:ind w:firstLine="420" w:firstLineChars="200"/>
        <w:rPr>
          <w:rFonts w:ascii="微软雅黑" w:hAnsi="微软雅黑" w:eastAsia="微软雅黑" w:cs="微软雅黑"/>
          <w:highlight w:val="none"/>
        </w:rPr>
      </w:pPr>
    </w:p>
    <w:p>
      <w:pPr>
        <w:spacing w:line="360" w:lineRule="auto"/>
        <w:ind w:firstLine="420" w:firstLineChars="200"/>
        <w:rPr>
          <w:rFonts w:ascii="微软雅黑" w:hAnsi="微软雅黑" w:eastAsia="微软雅黑" w:cs="微软雅黑"/>
          <w:highlight w:val="none"/>
        </w:rPr>
      </w:pPr>
    </w:p>
    <w:p>
      <w:pPr>
        <w:spacing w:line="360" w:lineRule="auto"/>
        <w:ind w:firstLine="420" w:firstLineChars="200"/>
        <w:rPr>
          <w:rFonts w:ascii="微软雅黑" w:hAnsi="微软雅黑" w:eastAsia="微软雅黑" w:cs="微软雅黑"/>
          <w:highlight w:val="none"/>
        </w:rPr>
      </w:pPr>
    </w:p>
    <w:p>
      <w:pPr>
        <w:spacing w:line="360" w:lineRule="auto"/>
        <w:rPr>
          <w:rFonts w:ascii="微软雅黑" w:hAnsi="微软雅黑" w:eastAsia="微软雅黑" w:cs="微软雅黑"/>
          <w:b/>
          <w:sz w:val="24"/>
          <w:highlight w:val="none"/>
        </w:rPr>
      </w:pPr>
    </w:p>
    <w:p>
      <w:pPr>
        <w:spacing w:line="360" w:lineRule="auto"/>
        <w:jc w:val="left"/>
        <w:rPr>
          <w:rFonts w:ascii="微软雅黑" w:hAnsi="微软雅黑" w:eastAsia="微软雅黑" w:cs="微软雅黑"/>
          <w:b/>
          <w:spacing w:val="6"/>
          <w:sz w:val="32"/>
          <w:szCs w:val="32"/>
          <w:highlight w:val="none"/>
        </w:rPr>
      </w:pPr>
      <w:r>
        <w:rPr>
          <w:rFonts w:hint="eastAsia" w:ascii="微软雅黑" w:hAnsi="微软雅黑" w:eastAsia="微软雅黑" w:cs="微软雅黑"/>
          <w:b/>
          <w:spacing w:val="6"/>
          <w:sz w:val="32"/>
          <w:szCs w:val="32"/>
          <w:highlight w:val="none"/>
        </w:rPr>
        <w:t>附件2：质疑函范本及制作说明</w:t>
      </w:r>
    </w:p>
    <w:p>
      <w:pPr>
        <w:spacing w:line="360" w:lineRule="auto"/>
        <w:jc w:val="center"/>
        <w:rPr>
          <w:rFonts w:ascii="微软雅黑" w:hAnsi="微软雅黑" w:eastAsia="微软雅黑" w:cs="微软雅黑"/>
          <w:b/>
          <w:spacing w:val="6"/>
          <w:sz w:val="32"/>
          <w:szCs w:val="32"/>
          <w:highlight w:val="none"/>
        </w:rPr>
      </w:pPr>
      <w:r>
        <w:rPr>
          <w:rFonts w:hint="eastAsia" w:ascii="微软雅黑" w:hAnsi="微软雅黑" w:eastAsia="微软雅黑" w:cs="微软雅黑"/>
          <w:b/>
          <w:spacing w:val="6"/>
          <w:sz w:val="32"/>
          <w:szCs w:val="32"/>
          <w:highlight w:val="none"/>
        </w:rPr>
        <w:t>质疑函范本</w:t>
      </w:r>
    </w:p>
    <w:p>
      <w:pPr>
        <w:snapToGrid w:val="0"/>
        <w:spacing w:before="240" w:beforeLines="100" w:line="360" w:lineRule="auto"/>
        <w:rPr>
          <w:rFonts w:ascii="微软雅黑" w:hAnsi="微软雅黑" w:eastAsia="微软雅黑" w:cs="微软雅黑"/>
          <w:bCs/>
          <w:sz w:val="24"/>
          <w:highlight w:val="none"/>
        </w:rPr>
      </w:pPr>
      <w:r>
        <w:rPr>
          <w:rFonts w:hint="eastAsia" w:ascii="微软雅黑" w:hAnsi="微软雅黑" w:eastAsia="微软雅黑" w:cs="微软雅黑"/>
          <w:bCs/>
          <w:sz w:val="24"/>
          <w:highlight w:val="none"/>
        </w:rPr>
        <w:t>一、质疑供应商基本信息</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质疑供应商：</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地址：邮编：</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联系人：联系电话：</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授权代表：</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联系电话：</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地址：邮编：</w:t>
      </w:r>
    </w:p>
    <w:p>
      <w:pPr>
        <w:snapToGrid w:val="0"/>
        <w:spacing w:line="360" w:lineRule="auto"/>
        <w:rPr>
          <w:rFonts w:ascii="微软雅黑" w:hAnsi="微软雅黑" w:eastAsia="微软雅黑" w:cs="微软雅黑"/>
          <w:bCs/>
          <w:sz w:val="24"/>
          <w:highlight w:val="none"/>
        </w:rPr>
      </w:pPr>
      <w:r>
        <w:rPr>
          <w:rFonts w:hint="eastAsia" w:ascii="微软雅黑" w:hAnsi="微软雅黑" w:eastAsia="微软雅黑" w:cs="微软雅黑"/>
          <w:bCs/>
          <w:sz w:val="24"/>
          <w:highlight w:val="none"/>
        </w:rPr>
        <w:t>二、质疑项目基本情况</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质疑项目的名称：</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质疑项目的编号：包号：</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采购人名称：</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采购文件获取日期：</w:t>
      </w:r>
    </w:p>
    <w:p>
      <w:pPr>
        <w:snapToGrid w:val="0"/>
        <w:spacing w:line="360" w:lineRule="auto"/>
        <w:rPr>
          <w:rFonts w:ascii="微软雅黑" w:hAnsi="微软雅黑" w:eastAsia="微软雅黑" w:cs="微软雅黑"/>
          <w:bCs/>
          <w:sz w:val="24"/>
          <w:highlight w:val="none"/>
        </w:rPr>
      </w:pPr>
      <w:r>
        <w:rPr>
          <w:rFonts w:hint="eastAsia" w:ascii="微软雅黑" w:hAnsi="微软雅黑" w:eastAsia="微软雅黑" w:cs="微软雅黑"/>
          <w:bCs/>
          <w:sz w:val="24"/>
          <w:highlight w:val="none"/>
        </w:rPr>
        <w:t>三、质疑事项具体内容</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质疑事项1：</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事实依据：</w:t>
      </w:r>
    </w:p>
    <w:p>
      <w:pPr>
        <w:snapToGrid w:val="0"/>
        <w:spacing w:line="360" w:lineRule="auto"/>
        <w:rPr>
          <w:rFonts w:ascii="微软雅黑" w:hAnsi="微软雅黑" w:eastAsia="微软雅黑" w:cs="微软雅黑"/>
          <w:sz w:val="24"/>
          <w:highlight w:val="none"/>
        </w:rPr>
      </w:pP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法律依据：</w:t>
      </w:r>
    </w:p>
    <w:p>
      <w:pPr>
        <w:snapToGrid w:val="0"/>
        <w:spacing w:line="360" w:lineRule="auto"/>
        <w:rPr>
          <w:rFonts w:ascii="微软雅黑" w:hAnsi="微软雅黑" w:eastAsia="微软雅黑" w:cs="微软雅黑"/>
          <w:sz w:val="24"/>
          <w:highlight w:val="none"/>
          <w:u w:val="dotted"/>
        </w:rPr>
      </w:pP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质疑事项2</w:t>
      </w:r>
    </w:p>
    <w:p>
      <w:pPr>
        <w:snapToGrid w:val="0"/>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w:t>
      </w:r>
    </w:p>
    <w:p>
      <w:pPr>
        <w:snapToGrid w:val="0"/>
        <w:spacing w:line="360" w:lineRule="auto"/>
        <w:rPr>
          <w:rFonts w:ascii="微软雅黑" w:hAnsi="微软雅黑" w:eastAsia="微软雅黑" w:cs="微软雅黑"/>
          <w:bCs/>
          <w:sz w:val="24"/>
          <w:highlight w:val="none"/>
        </w:rPr>
      </w:pPr>
      <w:r>
        <w:rPr>
          <w:rFonts w:hint="eastAsia" w:ascii="微软雅黑" w:hAnsi="微软雅黑" w:eastAsia="微软雅黑" w:cs="微软雅黑"/>
          <w:bCs/>
          <w:sz w:val="24"/>
          <w:highlight w:val="none"/>
        </w:rPr>
        <w:t>四、与质疑事项相关的质疑请求</w:t>
      </w:r>
    </w:p>
    <w:p>
      <w:pPr>
        <w:snapToGrid w:val="0"/>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请求：</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 xml:space="preserve">签字(签章)：                   公章：                      </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日期：</w:t>
      </w:r>
    </w:p>
    <w:p>
      <w:pPr>
        <w:spacing w:line="360" w:lineRule="auto"/>
        <w:jc w:val="center"/>
        <w:rPr>
          <w:rFonts w:ascii="微软雅黑" w:hAnsi="微软雅黑" w:eastAsia="微软雅黑" w:cs="微软雅黑"/>
          <w:b/>
          <w:bCs/>
          <w:sz w:val="24"/>
          <w:highlight w:val="none"/>
        </w:rPr>
      </w:pPr>
    </w:p>
    <w:p>
      <w:pPr>
        <w:spacing w:line="360" w:lineRule="auto"/>
        <w:rPr>
          <w:rFonts w:ascii="微软雅黑" w:hAnsi="微软雅黑" w:eastAsia="微软雅黑" w:cs="微软雅黑"/>
          <w:b/>
          <w:sz w:val="24"/>
          <w:highlight w:val="none"/>
        </w:rPr>
      </w:pPr>
    </w:p>
    <w:p>
      <w:pPr>
        <w:spacing w:line="360" w:lineRule="auto"/>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质疑函制作说明：</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1.供应商提出质疑时，应提交质疑函和必要的证明材料。</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2.质疑供应商若委托代理人进行质疑的，质疑函应按要求列明“授权代表”的有关内容，并在附件中提交由质疑</w:t>
      </w:r>
      <w:r>
        <w:rPr>
          <w:rFonts w:hint="eastAsia" w:ascii="微软雅黑" w:hAnsi="微软雅黑" w:eastAsia="微软雅黑" w:cs="微软雅黑"/>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3.质疑供应商若对项目的某一分包进行质疑，质疑函中应列明具体分包号。</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4.质疑函的质疑事项应具体、明确，并有必要的事实依据和法律依据。</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5.质疑函的质疑请求应与质疑事项相关。</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微软雅黑" w:hAnsi="微软雅黑" w:eastAsia="微软雅黑" w:cs="微软雅黑"/>
          <w:sz w:val="30"/>
          <w:szCs w:val="30"/>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center"/>
        <w:rPr>
          <w:rFonts w:ascii="微软雅黑" w:hAnsi="微软雅黑" w:eastAsia="微软雅黑" w:cs="微软雅黑"/>
          <w:b/>
          <w:spacing w:val="6"/>
          <w:sz w:val="32"/>
          <w:szCs w:val="32"/>
          <w:highlight w:val="none"/>
        </w:rPr>
      </w:pPr>
    </w:p>
    <w:p>
      <w:pPr>
        <w:spacing w:line="360" w:lineRule="auto"/>
        <w:jc w:val="left"/>
        <w:rPr>
          <w:rFonts w:ascii="微软雅黑" w:hAnsi="微软雅黑" w:eastAsia="微软雅黑" w:cs="微软雅黑"/>
          <w:b/>
          <w:spacing w:val="6"/>
          <w:sz w:val="32"/>
          <w:szCs w:val="32"/>
          <w:highlight w:val="none"/>
        </w:rPr>
      </w:pPr>
      <w:r>
        <w:rPr>
          <w:rFonts w:hint="eastAsia" w:ascii="微软雅黑" w:hAnsi="微软雅黑" w:eastAsia="微软雅黑" w:cs="微软雅黑"/>
          <w:b/>
          <w:spacing w:val="6"/>
          <w:sz w:val="32"/>
          <w:szCs w:val="32"/>
          <w:highlight w:val="none"/>
        </w:rPr>
        <w:t>附件3：投诉书范本及制作说明</w:t>
      </w:r>
    </w:p>
    <w:p>
      <w:pPr>
        <w:spacing w:line="360" w:lineRule="auto"/>
        <w:jc w:val="center"/>
        <w:rPr>
          <w:rFonts w:ascii="微软雅黑" w:hAnsi="微软雅黑" w:eastAsia="微软雅黑" w:cs="微软雅黑"/>
          <w:b/>
          <w:sz w:val="24"/>
          <w:highlight w:val="none"/>
        </w:rPr>
      </w:pPr>
    </w:p>
    <w:p>
      <w:pPr>
        <w:spacing w:line="360" w:lineRule="auto"/>
        <w:jc w:val="center"/>
        <w:rPr>
          <w:rFonts w:ascii="微软雅黑" w:hAnsi="微软雅黑" w:eastAsia="微软雅黑" w:cs="微软雅黑"/>
          <w:b/>
          <w:spacing w:val="6"/>
          <w:sz w:val="32"/>
          <w:szCs w:val="32"/>
          <w:highlight w:val="none"/>
        </w:rPr>
      </w:pPr>
      <w:r>
        <w:rPr>
          <w:rFonts w:hint="eastAsia" w:ascii="微软雅黑" w:hAnsi="微软雅黑" w:eastAsia="微软雅黑" w:cs="微软雅黑"/>
          <w:b/>
          <w:spacing w:val="6"/>
          <w:sz w:val="32"/>
          <w:szCs w:val="32"/>
          <w:highlight w:val="none"/>
        </w:rPr>
        <w:t>投诉书范本</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一、投诉相关主体基本情况</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投诉人：</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地址：邮编：</w:t>
      </w:r>
    </w:p>
    <w:p>
      <w:pPr>
        <w:tabs>
          <w:tab w:val="left" w:pos="6510"/>
        </w:tabs>
        <w:spacing w:line="360" w:lineRule="auto"/>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法定代表人/主要负责人：</w:t>
      </w:r>
    </w:p>
    <w:p>
      <w:pPr>
        <w:tabs>
          <w:tab w:val="left" w:pos="6510"/>
        </w:tabs>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联系电话：</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授权代表：联系电话</w:t>
      </w:r>
      <w:r>
        <w:rPr>
          <w:rFonts w:hint="eastAsia" w:ascii="微软雅黑" w:hAnsi="微软雅黑" w:eastAsia="微软雅黑" w:cs="微软雅黑"/>
          <w:sz w:val="24"/>
          <w:highlight w:val="none"/>
          <w:u w:val="dotted"/>
        </w:rPr>
        <w:t>：</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地址：邮编：</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被投诉人1：</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地址：邮编：</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联系人：联系电话：</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被投诉人2</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相关供应商：</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地址：邮编：</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联系人：联系电话：</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二、投诉项目基本情况</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采购项目名称：</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采购项目编号：包号：</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采购人名称：</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代理机构名称：</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采购文件公告:</w:t>
      </w:r>
      <w:r>
        <w:rPr>
          <w:rFonts w:hint="eastAsia" w:ascii="微软雅黑" w:hAnsi="微软雅黑" w:eastAsia="微软雅黑" w:cs="微软雅黑"/>
          <w:sz w:val="24"/>
          <w:highlight w:val="none"/>
          <w:u w:val="dotted"/>
        </w:rPr>
        <w:t xml:space="preserve">是/否 </w:t>
      </w:r>
      <w:r>
        <w:rPr>
          <w:rFonts w:hint="eastAsia" w:ascii="微软雅黑" w:hAnsi="微软雅黑" w:eastAsia="微软雅黑" w:cs="微软雅黑"/>
          <w:sz w:val="24"/>
          <w:highlight w:val="none"/>
        </w:rPr>
        <w:t>公告期限：</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采购结果公告:</w:t>
      </w:r>
      <w:r>
        <w:rPr>
          <w:rFonts w:hint="eastAsia" w:ascii="微软雅黑" w:hAnsi="微软雅黑" w:eastAsia="微软雅黑" w:cs="微软雅黑"/>
          <w:sz w:val="24"/>
          <w:highlight w:val="none"/>
          <w:u w:val="dotted"/>
        </w:rPr>
        <w:t xml:space="preserve">是/否 </w:t>
      </w:r>
      <w:r>
        <w:rPr>
          <w:rFonts w:hint="eastAsia" w:ascii="微软雅黑" w:hAnsi="微软雅黑" w:eastAsia="微软雅黑" w:cs="微软雅黑"/>
          <w:sz w:val="24"/>
          <w:highlight w:val="none"/>
        </w:rPr>
        <w:t>公告期限：</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三、质疑基本情况</w:t>
      </w:r>
    </w:p>
    <w:p>
      <w:pPr>
        <w:spacing w:line="360" w:lineRule="auto"/>
        <w:ind w:firstLine="480" w:firstLineChars="200"/>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投诉人于年月日,向提出质疑，质疑事项为：</w:t>
      </w:r>
    </w:p>
    <w:p>
      <w:pPr>
        <w:spacing w:line="360" w:lineRule="auto"/>
        <w:rPr>
          <w:rFonts w:ascii="微软雅黑" w:hAnsi="微软雅黑" w:eastAsia="微软雅黑" w:cs="微软雅黑"/>
          <w:sz w:val="24"/>
          <w:highlight w:val="none"/>
          <w:u w:val="dotted"/>
        </w:rPr>
      </w:pPr>
    </w:p>
    <w:p>
      <w:pPr>
        <w:spacing w:line="360" w:lineRule="auto"/>
        <w:ind w:firstLine="360" w:firstLineChars="150"/>
        <w:rPr>
          <w:rFonts w:ascii="微软雅黑" w:hAnsi="微软雅黑" w:eastAsia="微软雅黑" w:cs="微软雅黑"/>
          <w:sz w:val="24"/>
          <w:highlight w:val="none"/>
        </w:rPr>
      </w:pPr>
      <w:r>
        <w:rPr>
          <w:rFonts w:hint="eastAsia" w:ascii="微软雅黑" w:hAnsi="微软雅黑" w:eastAsia="微软雅黑" w:cs="微软雅黑"/>
          <w:sz w:val="24"/>
          <w:highlight w:val="none"/>
          <w:u w:val="dotted"/>
        </w:rPr>
        <w:t>采购人/代理机构</w:t>
      </w:r>
      <w:r>
        <w:rPr>
          <w:rFonts w:hint="eastAsia" w:ascii="微软雅黑" w:hAnsi="微软雅黑" w:eastAsia="微软雅黑" w:cs="微软雅黑"/>
          <w:sz w:val="24"/>
          <w:highlight w:val="none"/>
        </w:rPr>
        <w:t>于年月日,就质疑事项作出了答复/没有在法定期限内作出答复。</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四、投诉事项具体内容</w:t>
      </w: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投诉事项 1：</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事实依据：</w:t>
      </w:r>
    </w:p>
    <w:p>
      <w:pPr>
        <w:spacing w:line="360" w:lineRule="auto"/>
        <w:rPr>
          <w:rFonts w:ascii="微软雅黑" w:hAnsi="微软雅黑" w:eastAsia="微软雅黑" w:cs="微软雅黑"/>
          <w:sz w:val="24"/>
          <w:highlight w:val="none"/>
          <w:u w:val="dotted"/>
        </w:rPr>
      </w:pPr>
    </w:p>
    <w:p>
      <w:pPr>
        <w:spacing w:line="360" w:lineRule="auto"/>
        <w:rPr>
          <w:rFonts w:ascii="微软雅黑" w:hAnsi="微软雅黑" w:eastAsia="微软雅黑" w:cs="微软雅黑"/>
          <w:sz w:val="24"/>
          <w:highlight w:val="none"/>
          <w:u w:val="single"/>
        </w:rPr>
      </w:pPr>
      <w:r>
        <w:rPr>
          <w:rFonts w:hint="eastAsia" w:ascii="微软雅黑" w:hAnsi="微软雅黑" w:eastAsia="微软雅黑" w:cs="微软雅黑"/>
          <w:sz w:val="24"/>
          <w:highlight w:val="none"/>
        </w:rPr>
        <w:t>法律依据：</w:t>
      </w:r>
    </w:p>
    <w:p>
      <w:pPr>
        <w:spacing w:line="360" w:lineRule="auto"/>
        <w:rPr>
          <w:rFonts w:ascii="微软雅黑" w:hAnsi="微软雅黑" w:eastAsia="微软雅黑" w:cs="微软雅黑"/>
          <w:sz w:val="24"/>
          <w:highlight w:val="none"/>
          <w:u w:val="dotted"/>
        </w:rPr>
      </w:pP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投诉事项2</w:t>
      </w:r>
    </w:p>
    <w:p>
      <w:pPr>
        <w:spacing w:line="360" w:lineRule="auto"/>
        <w:rPr>
          <w:rFonts w:ascii="微软雅黑" w:hAnsi="微软雅黑" w:eastAsia="微软雅黑" w:cs="微软雅黑"/>
          <w:sz w:val="24"/>
          <w:highlight w:val="none"/>
          <w:u w:val="dotted"/>
        </w:rPr>
      </w:pPr>
      <w:r>
        <w:rPr>
          <w:rFonts w:hint="eastAsia" w:ascii="微软雅黑" w:hAnsi="微软雅黑" w:eastAsia="微软雅黑" w:cs="微软雅黑"/>
          <w:sz w:val="24"/>
          <w:highlight w:val="none"/>
        </w:rPr>
        <w:t>……</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五、与投诉事项相关的投诉请求</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请求：</w:t>
      </w:r>
    </w:p>
    <w:p>
      <w:pPr>
        <w:spacing w:line="360" w:lineRule="auto"/>
        <w:rPr>
          <w:rFonts w:ascii="微软雅黑" w:hAnsi="微软雅黑" w:eastAsia="微软雅黑" w:cs="微软雅黑"/>
          <w:sz w:val="24"/>
          <w:highlight w:val="none"/>
          <w:u w:val="single"/>
        </w:rPr>
      </w:pP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 xml:space="preserve">签字(签章)：                   公章：                      </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rPr>
        <w:t>日期：</w:t>
      </w:r>
    </w:p>
    <w:p>
      <w:pPr>
        <w:spacing w:line="360" w:lineRule="auto"/>
        <w:rPr>
          <w:rFonts w:ascii="微软雅黑" w:hAnsi="微软雅黑" w:eastAsia="微软雅黑" w:cs="微软雅黑"/>
          <w:b/>
          <w:sz w:val="24"/>
          <w:highlight w:val="none"/>
        </w:rPr>
      </w:pPr>
    </w:p>
    <w:p>
      <w:pPr>
        <w:spacing w:line="360" w:lineRule="auto"/>
        <w:rPr>
          <w:rFonts w:ascii="微软雅黑" w:hAnsi="微软雅黑" w:eastAsia="微软雅黑" w:cs="微软雅黑"/>
          <w:b/>
          <w:sz w:val="24"/>
          <w:highlight w:val="none"/>
        </w:rPr>
      </w:pPr>
    </w:p>
    <w:p>
      <w:pPr>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br w:type="page"/>
      </w:r>
    </w:p>
    <w:p>
      <w:pPr>
        <w:spacing w:line="360" w:lineRule="auto"/>
        <w:rPr>
          <w:rFonts w:ascii="微软雅黑" w:hAnsi="微软雅黑" w:eastAsia="微软雅黑" w:cs="微软雅黑"/>
          <w:b/>
          <w:sz w:val="24"/>
          <w:highlight w:val="none"/>
        </w:rPr>
      </w:pPr>
      <w:r>
        <w:rPr>
          <w:rFonts w:hint="eastAsia" w:ascii="微软雅黑" w:hAnsi="微软雅黑" w:eastAsia="微软雅黑" w:cs="微软雅黑"/>
          <w:b/>
          <w:sz w:val="24"/>
          <w:highlight w:val="none"/>
        </w:rPr>
        <w:t>投诉书制作说明：</w:t>
      </w:r>
    </w:p>
    <w:p>
      <w:pPr>
        <w:widowControl/>
        <w:spacing w:line="360" w:lineRule="auto"/>
        <w:ind w:firstLine="480" w:firstLineChars="200"/>
        <w:rPr>
          <w:rFonts w:ascii="微软雅黑" w:hAnsi="微软雅黑" w:eastAsia="微软雅黑" w:cs="微软雅黑"/>
          <w:kern w:val="0"/>
          <w:sz w:val="24"/>
          <w:highlight w:val="none"/>
        </w:rPr>
      </w:pPr>
      <w:r>
        <w:rPr>
          <w:rFonts w:hint="eastAsia" w:ascii="微软雅黑" w:hAnsi="微软雅黑" w:eastAsia="微软雅黑" w:cs="微软雅黑"/>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微软雅黑" w:hAnsi="微软雅黑" w:eastAsia="微软雅黑" w:cs="微软雅黑"/>
          <w:kern w:val="0"/>
          <w:sz w:val="24"/>
          <w:highlight w:val="none"/>
        </w:rPr>
      </w:pPr>
      <w:r>
        <w:rPr>
          <w:rFonts w:hint="eastAsia" w:ascii="微软雅黑" w:hAnsi="微软雅黑" w:eastAsia="微软雅黑" w:cs="微软雅黑"/>
          <w:sz w:val="24"/>
          <w:highlight w:val="none"/>
        </w:rPr>
        <w:t>2.投诉人若委托代理人进行投诉的，投诉书应按照要求列明“授权代表”的有关内容，并在附件中提交由</w:t>
      </w:r>
      <w:r>
        <w:rPr>
          <w:rFonts w:hint="eastAsia" w:ascii="微软雅黑" w:hAnsi="微软雅黑" w:eastAsia="微软雅黑" w:cs="微软雅黑"/>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3.投诉人若对项目的某一分包进行投诉，投诉书应列明具体分包号。</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4.投诉书应简要列明质疑事项，质疑函、质疑答复等作为附件材料提供。</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5.投诉书的投诉事项应具体、明确，并有必要的事实依据和法律依据。</w:t>
      </w:r>
    </w:p>
    <w:p>
      <w:pPr>
        <w:widowControl/>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6.投诉书的投诉请求应与投诉事项相关。</w:t>
      </w:r>
    </w:p>
    <w:p>
      <w:pPr>
        <w:widowControl/>
        <w:spacing w:line="360" w:lineRule="auto"/>
        <w:ind w:firstLine="480" w:firstLineChars="200"/>
        <w:jc w:val="left"/>
        <w:rPr>
          <w:rFonts w:ascii="微软雅黑" w:hAnsi="微软雅黑" w:eastAsia="微软雅黑" w:cs="微软雅黑"/>
          <w:kern w:val="0"/>
          <w:sz w:val="24"/>
          <w:highlight w:val="none"/>
        </w:rPr>
      </w:pPr>
      <w:r>
        <w:rPr>
          <w:rFonts w:hint="eastAsia" w:ascii="微软雅黑" w:hAnsi="微软雅黑" w:eastAsia="微软雅黑" w:cs="微软雅黑"/>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微软雅黑" w:hAnsi="微软雅黑" w:eastAsia="微软雅黑" w:cs="微软雅黑"/>
          <w:b/>
          <w:sz w:val="24"/>
          <w:highlight w:val="none"/>
        </w:rPr>
      </w:pPr>
    </w:p>
    <w:p>
      <w:pPr>
        <w:rPr>
          <w:rFonts w:ascii="微软雅黑" w:hAnsi="微软雅黑" w:eastAsia="微软雅黑" w:cs="微软雅黑"/>
          <w:b/>
          <w:spacing w:val="6"/>
          <w:sz w:val="32"/>
          <w:szCs w:val="32"/>
          <w:highlight w:val="none"/>
        </w:rPr>
      </w:pPr>
      <w:r>
        <w:rPr>
          <w:rFonts w:hint="eastAsia" w:ascii="微软雅黑" w:hAnsi="微软雅黑" w:eastAsia="微软雅黑" w:cs="微软雅黑"/>
          <w:b/>
          <w:spacing w:val="6"/>
          <w:sz w:val="32"/>
          <w:szCs w:val="32"/>
          <w:highlight w:val="none"/>
        </w:rPr>
        <w:br w:type="page"/>
      </w:r>
    </w:p>
    <w:p>
      <w:pPr>
        <w:autoSpaceDE w:val="0"/>
        <w:autoSpaceDN w:val="0"/>
        <w:jc w:val="center"/>
        <w:rPr>
          <w:rFonts w:ascii="微软雅黑" w:hAnsi="微软雅黑" w:eastAsia="微软雅黑" w:cs="微软雅黑"/>
          <w:b/>
          <w:bCs/>
          <w:sz w:val="32"/>
          <w:szCs w:val="32"/>
          <w:highlight w:val="none"/>
        </w:rPr>
      </w:pPr>
      <w:r>
        <w:rPr>
          <w:rFonts w:hint="eastAsia" w:ascii="微软雅黑" w:hAnsi="微软雅黑" w:eastAsia="微软雅黑" w:cs="微软雅黑"/>
          <w:b/>
          <w:spacing w:val="6"/>
          <w:sz w:val="32"/>
          <w:szCs w:val="32"/>
          <w:highlight w:val="none"/>
        </w:rPr>
        <w:t>附件4：</w:t>
      </w:r>
      <w:r>
        <w:rPr>
          <w:rFonts w:hint="eastAsia" w:ascii="微软雅黑" w:hAnsi="微软雅黑" w:eastAsia="微软雅黑" w:cs="微软雅黑"/>
          <w:b/>
          <w:bCs/>
          <w:sz w:val="32"/>
          <w:szCs w:val="32"/>
          <w:highlight w:val="none"/>
        </w:rPr>
        <w:t>业务专用章使用说明函</w:t>
      </w:r>
    </w:p>
    <w:p>
      <w:pPr>
        <w:spacing w:line="360" w:lineRule="auto"/>
        <w:rPr>
          <w:rFonts w:ascii="微软雅黑" w:hAnsi="微软雅黑" w:eastAsia="微软雅黑" w:cs="微软雅黑"/>
          <w:sz w:val="24"/>
          <w:highlight w:val="none"/>
        </w:rPr>
      </w:pPr>
      <w:r>
        <w:rPr>
          <w:rFonts w:hint="eastAsia" w:ascii="微软雅黑" w:hAnsi="微软雅黑" w:eastAsia="微软雅黑" w:cs="微软雅黑"/>
          <w:sz w:val="24"/>
          <w:highlight w:val="none"/>
          <w:u w:val="single"/>
        </w:rPr>
        <w:t>（采购人）、（采购代理机构）</w:t>
      </w:r>
    </w:p>
    <w:p>
      <w:pPr>
        <w:spacing w:line="360" w:lineRule="auto"/>
        <w:ind w:firstLine="480" w:firstLineChars="200"/>
        <w:rPr>
          <w:rFonts w:ascii="微软雅黑" w:hAnsi="微软雅黑" w:eastAsia="微软雅黑" w:cs="微软雅黑"/>
          <w:sz w:val="24"/>
          <w:highlight w:val="none"/>
        </w:rPr>
      </w:pPr>
      <w:r>
        <w:rPr>
          <w:rFonts w:hint="eastAsia" w:ascii="微软雅黑" w:hAnsi="微软雅黑" w:eastAsia="微软雅黑" w:cs="微软雅黑"/>
          <w:kern w:val="0"/>
          <w:sz w:val="24"/>
          <w:highlight w:val="none"/>
          <w:lang w:val="zh-CN"/>
        </w:rPr>
        <w:t>我方</w:t>
      </w:r>
      <w:r>
        <w:rPr>
          <w:rFonts w:hint="eastAsia" w:ascii="微软雅黑" w:hAnsi="微软雅黑" w:eastAsia="微软雅黑" w:cs="微软雅黑"/>
          <w:sz w:val="24"/>
          <w:highlight w:val="none"/>
        </w:rPr>
        <w:t>(投标人全称)是中华人民共和国依法登记注册的合法企业，</w:t>
      </w:r>
      <w:r>
        <w:rPr>
          <w:rFonts w:hint="eastAsia" w:ascii="微软雅黑" w:hAnsi="微软雅黑" w:eastAsia="微软雅黑" w:cs="微软雅黑"/>
          <w:bCs/>
          <w:sz w:val="24"/>
          <w:highlight w:val="none"/>
        </w:rPr>
        <w:t>在参加</w:t>
      </w:r>
      <w:r>
        <w:rPr>
          <w:rFonts w:hint="eastAsia" w:ascii="微软雅黑" w:hAnsi="微软雅黑" w:eastAsia="微软雅黑" w:cs="微软雅黑"/>
          <w:sz w:val="24"/>
          <w:highlight w:val="none"/>
        </w:rPr>
        <w:t>你方组织的（项目名称）项目【招标编号：（采购编号）】</w:t>
      </w:r>
      <w:r>
        <w:rPr>
          <w:rFonts w:hint="eastAsia" w:ascii="微软雅黑" w:hAnsi="微软雅黑" w:eastAsia="微软雅黑" w:cs="微软雅黑"/>
          <w:bCs/>
          <w:sz w:val="24"/>
          <w:highlight w:val="none"/>
        </w:rPr>
        <w:t>投标活动中作如下说明：</w:t>
      </w:r>
      <w:r>
        <w:rPr>
          <w:rFonts w:hint="eastAsia" w:ascii="微软雅黑" w:hAnsi="微软雅黑" w:eastAsia="微软雅黑" w:cs="微软雅黑"/>
          <w:sz w:val="24"/>
          <w:highlight w:val="none"/>
        </w:rPr>
        <w:t>我方所使用的“XX专用章”与法定名称章具有同等的法律效力，对使用“XX专用章”的行为予以完全承认，并愿意承担相应责任。</w:t>
      </w:r>
    </w:p>
    <w:p>
      <w:pPr>
        <w:spacing w:line="360" w:lineRule="auto"/>
        <w:ind w:firstLine="480" w:firstLineChars="200"/>
        <w:rPr>
          <w:rFonts w:ascii="微软雅黑" w:hAnsi="微软雅黑" w:eastAsia="微软雅黑" w:cs="微软雅黑"/>
          <w:sz w:val="24"/>
          <w:highlight w:val="none"/>
        </w:rPr>
      </w:pPr>
      <w:r>
        <w:rPr>
          <w:rFonts w:hint="eastAsia" w:ascii="微软雅黑" w:hAnsi="微软雅黑" w:eastAsia="微软雅黑" w:cs="微软雅黑"/>
          <w:sz w:val="24"/>
          <w:highlight w:val="none"/>
        </w:rPr>
        <w:t>特此说明。</w:t>
      </w:r>
    </w:p>
    <w:p>
      <w:pPr>
        <w:spacing w:line="360" w:lineRule="auto"/>
        <w:ind w:firstLine="494"/>
        <w:rPr>
          <w:rFonts w:ascii="微软雅黑" w:hAnsi="微软雅黑" w:eastAsia="微软雅黑" w:cs="微软雅黑"/>
          <w:sz w:val="24"/>
          <w:highlight w:val="none"/>
        </w:rPr>
      </w:pPr>
    </w:p>
    <w:p>
      <w:pPr>
        <w:spacing w:line="360" w:lineRule="auto"/>
        <w:ind w:firstLine="494"/>
        <w:rPr>
          <w:rFonts w:ascii="微软雅黑" w:hAnsi="微软雅黑" w:eastAsia="微软雅黑" w:cs="微软雅黑"/>
          <w:sz w:val="24"/>
          <w:highlight w:val="none"/>
        </w:rPr>
      </w:pPr>
    </w:p>
    <w:p>
      <w:pPr>
        <w:spacing w:line="360" w:lineRule="auto"/>
        <w:ind w:right="480" w:firstLine="4080" w:firstLineChars="1700"/>
        <w:rPr>
          <w:rFonts w:ascii="微软雅黑" w:hAnsi="微软雅黑" w:eastAsia="微软雅黑" w:cs="微软雅黑"/>
          <w:sz w:val="24"/>
          <w:highlight w:val="none"/>
        </w:rPr>
      </w:pPr>
      <w:r>
        <w:rPr>
          <w:rFonts w:hint="eastAsia" w:ascii="微软雅黑" w:hAnsi="微软雅黑" w:eastAsia="微软雅黑" w:cs="微软雅黑"/>
          <w:sz w:val="24"/>
          <w:highlight w:val="none"/>
        </w:rPr>
        <w:t>投标单位（法定名称章）：</w:t>
      </w:r>
    </w:p>
    <w:p>
      <w:pPr>
        <w:ind w:right="1440" w:firstLine="494"/>
        <w:jc w:val="center"/>
        <w:rPr>
          <w:rFonts w:ascii="微软雅黑" w:hAnsi="微软雅黑" w:eastAsia="微软雅黑" w:cs="微软雅黑"/>
          <w:sz w:val="24"/>
          <w:highlight w:val="none"/>
        </w:rPr>
      </w:pPr>
      <w:r>
        <w:rPr>
          <w:rFonts w:hint="eastAsia" w:ascii="微软雅黑" w:hAnsi="微软雅黑" w:eastAsia="微软雅黑" w:cs="微软雅黑"/>
          <w:sz w:val="24"/>
          <w:highlight w:val="none"/>
        </w:rPr>
        <w:t xml:space="preserve">                              日期：       年     月     日</w:t>
      </w:r>
    </w:p>
    <w:p>
      <w:pPr>
        <w:rPr>
          <w:rFonts w:ascii="微软雅黑" w:hAnsi="微软雅黑" w:eastAsia="微软雅黑" w:cs="微软雅黑"/>
          <w:sz w:val="24"/>
          <w:highlight w:val="none"/>
        </w:rPr>
      </w:pPr>
      <w:r>
        <w:rPr>
          <w:rFonts w:hint="eastAsia" w:ascii="微软雅黑" w:hAnsi="微软雅黑" w:eastAsia="微软雅黑" w:cs="微软雅黑"/>
          <w:b/>
          <w:bCs/>
          <w:sz w:val="24"/>
          <w:highlight w:val="none"/>
        </w:rPr>
        <w:t>附：</w:t>
      </w:r>
    </w:p>
    <w:p>
      <w:pPr>
        <w:spacing w:line="360" w:lineRule="auto"/>
        <w:rPr>
          <w:rFonts w:ascii="微软雅黑" w:hAnsi="微软雅黑" w:eastAsia="微软雅黑" w:cs="微软雅黑"/>
          <w:bCs/>
          <w:sz w:val="24"/>
          <w:highlight w:val="none"/>
        </w:rPr>
      </w:pPr>
      <w:r>
        <w:rPr>
          <w:rFonts w:hint="eastAsia" w:ascii="微软雅黑" w:hAnsi="微软雅黑" w:eastAsia="微软雅黑" w:cs="微软雅黑"/>
          <w:b/>
          <w:bCs/>
          <w:sz w:val="24"/>
          <w:highlight w:val="none"/>
        </w:rPr>
        <mc:AlternateContent>
          <mc:Choice Requires="wps">
            <w:drawing>
              <wp:anchor distT="0" distB="0" distL="114300" distR="114300" simplePos="0" relativeHeight="251666432"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004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微软雅黑" w:hAnsi="微软雅黑" w:eastAsia="微软雅黑" w:cs="微软雅黑"/>
          <w:b/>
          <w:bCs/>
          <w:sz w:val="24"/>
          <w:highlight w:val="none"/>
        </w:rPr>
        <mc:AlternateContent>
          <mc:Choice Requires="wps">
            <w:drawing>
              <wp:anchor distT="0" distB="0" distL="114300" distR="114300" simplePos="0" relativeHeight="25166745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4902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微软雅黑" w:hAnsi="微软雅黑" w:eastAsia="微软雅黑" w:cs="微软雅黑"/>
          <w:sz w:val="24"/>
          <w:highlight w:val="none"/>
        </w:rPr>
        <w:t>投标单位法定名称章（印模）投标单位“XX专用章”（印模）</w:t>
      </w:r>
    </w:p>
    <w:p>
      <w:pPr>
        <w:autoSpaceDE w:val="0"/>
        <w:autoSpaceDN w:val="0"/>
        <w:jc w:val="center"/>
        <w:rPr>
          <w:rFonts w:ascii="微软雅黑" w:hAnsi="微软雅黑" w:eastAsia="微软雅黑" w:cs="微软雅黑"/>
          <w:b/>
          <w:spacing w:val="6"/>
          <w:sz w:val="32"/>
          <w:szCs w:val="32"/>
          <w:highlight w:val="none"/>
        </w:rPr>
      </w:pPr>
    </w:p>
    <w:p>
      <w:pPr>
        <w:autoSpaceDE w:val="0"/>
        <w:autoSpaceDN w:val="0"/>
        <w:jc w:val="center"/>
        <w:rPr>
          <w:rFonts w:ascii="微软雅黑" w:hAnsi="微软雅黑" w:eastAsia="微软雅黑" w:cs="微软雅黑"/>
          <w:b/>
          <w:spacing w:val="6"/>
          <w:sz w:val="32"/>
          <w:szCs w:val="32"/>
          <w:highlight w:val="none"/>
        </w:rPr>
      </w:pPr>
    </w:p>
    <w:p>
      <w:pPr>
        <w:autoSpaceDE w:val="0"/>
        <w:autoSpaceDN w:val="0"/>
        <w:jc w:val="center"/>
        <w:rPr>
          <w:rFonts w:ascii="微软雅黑" w:hAnsi="微软雅黑" w:eastAsia="微软雅黑" w:cs="微软雅黑"/>
          <w:b/>
          <w:spacing w:val="6"/>
          <w:sz w:val="32"/>
          <w:szCs w:val="32"/>
          <w:highlight w:val="none"/>
        </w:rPr>
      </w:pPr>
    </w:p>
    <w:p>
      <w:pPr>
        <w:autoSpaceDE w:val="0"/>
        <w:autoSpaceDN w:val="0"/>
        <w:jc w:val="center"/>
        <w:rPr>
          <w:rFonts w:ascii="微软雅黑" w:hAnsi="微软雅黑" w:eastAsia="微软雅黑" w:cs="微软雅黑"/>
          <w:b/>
          <w:spacing w:val="6"/>
          <w:sz w:val="32"/>
          <w:szCs w:val="32"/>
          <w:highlight w:val="none"/>
        </w:rPr>
      </w:pPr>
    </w:p>
    <w:p>
      <w:pPr>
        <w:autoSpaceDE w:val="0"/>
        <w:autoSpaceDN w:val="0"/>
        <w:jc w:val="center"/>
        <w:rPr>
          <w:rFonts w:ascii="微软雅黑" w:hAnsi="微软雅黑" w:eastAsia="微软雅黑" w:cs="微软雅黑"/>
          <w:b/>
          <w:spacing w:val="6"/>
          <w:sz w:val="32"/>
          <w:szCs w:val="32"/>
          <w:highlight w:val="none"/>
        </w:rPr>
      </w:pPr>
    </w:p>
    <w:p>
      <w:pPr>
        <w:autoSpaceDE w:val="0"/>
        <w:autoSpaceDN w:val="0"/>
        <w:jc w:val="center"/>
        <w:rPr>
          <w:rFonts w:ascii="微软雅黑" w:hAnsi="微软雅黑" w:eastAsia="微软雅黑" w:cs="微软雅黑"/>
          <w:b/>
          <w:bCs/>
          <w:sz w:val="32"/>
          <w:szCs w:val="32"/>
          <w:highlight w:val="none"/>
        </w:rPr>
      </w:pPr>
      <w:r>
        <w:rPr>
          <w:rFonts w:hint="eastAsia" w:ascii="微软雅黑" w:hAnsi="微软雅黑" w:eastAsia="微软雅黑" w:cs="微软雅黑"/>
          <w:b/>
          <w:spacing w:val="6"/>
          <w:sz w:val="32"/>
          <w:szCs w:val="32"/>
          <w:highlight w:val="none"/>
        </w:rPr>
        <w:t>附件5：</w:t>
      </w:r>
      <w:r>
        <w:rPr>
          <w:rFonts w:hint="eastAsia" w:ascii="微软雅黑" w:hAnsi="微软雅黑" w:eastAsia="微软雅黑" w:cs="微软雅黑"/>
          <w:b/>
          <w:sz w:val="32"/>
          <w:szCs w:val="32"/>
          <w:highlight w:val="none"/>
        </w:rPr>
        <w:t>中小企业声明函</w:t>
      </w:r>
    </w:p>
    <w:p>
      <w:pPr>
        <w:spacing w:line="360" w:lineRule="auto"/>
        <w:jc w:val="center"/>
        <w:rPr>
          <w:rFonts w:ascii="微软雅黑" w:hAnsi="微软雅黑" w:eastAsia="微软雅黑" w:cs="微软雅黑"/>
          <w:highlight w:val="none"/>
        </w:rPr>
      </w:pPr>
      <w:r>
        <w:rPr>
          <w:rFonts w:hint="eastAsia" w:ascii="微软雅黑" w:hAnsi="微软雅黑" w:eastAsia="微软雅黑" w:cs="微软雅黑"/>
          <w:b/>
          <w:sz w:val="32"/>
          <w:szCs w:val="32"/>
          <w:highlight w:val="none"/>
        </w:rPr>
        <w:t>中小企业声明函（工程、服务）</w:t>
      </w:r>
    </w:p>
    <w:p>
      <w:pPr>
        <w:spacing w:line="360" w:lineRule="auto"/>
        <w:ind w:firstLine="360" w:firstLineChars="15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1.</w:t>
      </w:r>
      <w:r>
        <w:rPr>
          <w:rFonts w:hint="eastAsia" w:ascii="微软雅黑" w:hAnsi="微软雅黑" w:eastAsia="微软雅黑" w:cs="微软雅黑"/>
          <w:sz w:val="24"/>
          <w:highlight w:val="none"/>
          <w:u w:val="single"/>
        </w:rPr>
        <w:t>（标的名称）</w:t>
      </w:r>
      <w:r>
        <w:rPr>
          <w:rFonts w:hint="eastAsia" w:ascii="微软雅黑" w:hAnsi="微软雅黑" w:eastAsia="微软雅黑" w:cs="微软雅黑"/>
          <w:sz w:val="24"/>
          <w:highlight w:val="none"/>
        </w:rPr>
        <w:t>，属于</w:t>
      </w:r>
      <w:r>
        <w:rPr>
          <w:rFonts w:hint="eastAsia" w:ascii="微软雅黑" w:hAnsi="微软雅黑" w:eastAsia="微软雅黑" w:cs="微软雅黑"/>
          <w:sz w:val="24"/>
          <w:highlight w:val="none"/>
          <w:u w:val="single"/>
        </w:rPr>
        <w:t>（采购文件中明确的所属行业）</w:t>
      </w:r>
      <w:r>
        <w:rPr>
          <w:rFonts w:hint="eastAsia" w:ascii="微软雅黑" w:hAnsi="微软雅黑" w:eastAsia="微软雅黑" w:cs="微软雅黑"/>
          <w:sz w:val="24"/>
          <w:highlight w:val="none"/>
        </w:rPr>
        <w:t xml:space="preserve"> ；承建（承接）企业为 </w:t>
      </w:r>
      <w:r>
        <w:rPr>
          <w:rFonts w:hint="eastAsia" w:ascii="微软雅黑" w:hAnsi="微软雅黑" w:eastAsia="微软雅黑" w:cs="微软雅黑"/>
          <w:sz w:val="24"/>
          <w:highlight w:val="none"/>
          <w:u w:val="single"/>
        </w:rPr>
        <w:t>（企业名称）</w:t>
      </w:r>
      <w:r>
        <w:rPr>
          <w:rFonts w:hint="eastAsia" w:ascii="微软雅黑" w:hAnsi="微软雅黑" w:eastAsia="微软雅黑" w:cs="微软雅黑"/>
          <w:sz w:val="24"/>
          <w:highlight w:val="none"/>
        </w:rPr>
        <w:t xml:space="preserve"> ，从业人员人，营业收入为万元，资产总额为万元属于</w:t>
      </w:r>
      <w:r>
        <w:rPr>
          <w:rFonts w:hint="eastAsia" w:ascii="微软雅黑" w:hAnsi="微软雅黑" w:eastAsia="微软雅黑" w:cs="微软雅黑"/>
          <w:sz w:val="24"/>
          <w:highlight w:val="none"/>
          <w:u w:val="single"/>
        </w:rPr>
        <w:t xml:space="preserve"> （中型企业、小型企业、微型企业） </w:t>
      </w:r>
      <w:r>
        <w:rPr>
          <w:rFonts w:hint="eastAsia" w:ascii="微软雅黑" w:hAnsi="微软雅黑" w:eastAsia="微软雅黑" w:cs="微软雅黑"/>
          <w:sz w:val="24"/>
          <w:highlight w:val="none"/>
        </w:rPr>
        <w:t>；</w:t>
      </w:r>
    </w:p>
    <w:p>
      <w:pPr>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2.</w:t>
      </w:r>
      <w:r>
        <w:rPr>
          <w:rFonts w:hint="eastAsia" w:ascii="微软雅黑" w:hAnsi="微软雅黑" w:eastAsia="微软雅黑" w:cs="微软雅黑"/>
          <w:sz w:val="24"/>
          <w:highlight w:val="none"/>
          <w:u w:val="single"/>
        </w:rPr>
        <w:t>（标的名称）</w:t>
      </w:r>
      <w:r>
        <w:rPr>
          <w:rFonts w:hint="eastAsia" w:ascii="微软雅黑" w:hAnsi="微软雅黑" w:eastAsia="微软雅黑" w:cs="微软雅黑"/>
          <w:sz w:val="24"/>
          <w:highlight w:val="none"/>
        </w:rPr>
        <w:t>，属于</w:t>
      </w:r>
      <w:r>
        <w:rPr>
          <w:rFonts w:hint="eastAsia" w:ascii="微软雅黑" w:hAnsi="微软雅黑" w:eastAsia="微软雅黑" w:cs="微软雅黑"/>
          <w:sz w:val="24"/>
          <w:highlight w:val="none"/>
          <w:u w:val="single"/>
        </w:rPr>
        <w:t>（采购文件中明确的所属行业）</w:t>
      </w:r>
      <w:r>
        <w:rPr>
          <w:rFonts w:hint="eastAsia" w:ascii="微软雅黑" w:hAnsi="微软雅黑" w:eastAsia="微软雅黑" w:cs="微软雅黑"/>
          <w:sz w:val="24"/>
          <w:highlight w:val="none"/>
        </w:rPr>
        <w:t xml:space="preserve"> ；承建（承接）企业为 </w:t>
      </w:r>
      <w:r>
        <w:rPr>
          <w:rFonts w:hint="eastAsia" w:ascii="微软雅黑" w:hAnsi="微软雅黑" w:eastAsia="微软雅黑" w:cs="微软雅黑"/>
          <w:sz w:val="24"/>
          <w:highlight w:val="none"/>
          <w:u w:val="single"/>
        </w:rPr>
        <w:t>（企业名称）</w:t>
      </w:r>
      <w:r>
        <w:rPr>
          <w:rFonts w:hint="eastAsia" w:ascii="微软雅黑" w:hAnsi="微软雅黑" w:eastAsia="微软雅黑" w:cs="微软雅黑"/>
          <w:sz w:val="24"/>
          <w:highlight w:val="none"/>
        </w:rPr>
        <w:t xml:space="preserve"> ，从业人员人，营业收入为万元，资产总额为万元属于</w:t>
      </w:r>
      <w:r>
        <w:rPr>
          <w:rFonts w:hint="eastAsia" w:ascii="微软雅黑" w:hAnsi="微软雅黑" w:eastAsia="微软雅黑" w:cs="微软雅黑"/>
          <w:sz w:val="24"/>
          <w:highlight w:val="none"/>
          <w:u w:val="single"/>
        </w:rPr>
        <w:t xml:space="preserve"> （中型企业、小型企业、微型企业） </w:t>
      </w:r>
      <w:r>
        <w:rPr>
          <w:rFonts w:hint="eastAsia" w:ascii="微软雅黑" w:hAnsi="微软雅黑" w:eastAsia="微软雅黑" w:cs="微软雅黑"/>
          <w:sz w:val="24"/>
          <w:highlight w:val="none"/>
        </w:rPr>
        <w:t>；</w:t>
      </w:r>
    </w:p>
    <w:p>
      <w:pPr>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w:t>
      </w:r>
    </w:p>
    <w:p>
      <w:pPr>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微软雅黑" w:hAnsi="微软雅黑" w:eastAsia="微软雅黑" w:cs="微软雅黑"/>
          <w:sz w:val="24"/>
          <w:highlight w:val="none"/>
        </w:rPr>
      </w:pPr>
      <w:r>
        <w:rPr>
          <w:rFonts w:hint="eastAsia" w:ascii="微软雅黑" w:hAnsi="微软雅黑" w:eastAsia="微软雅黑" w:cs="微软雅黑"/>
          <w:sz w:val="24"/>
          <w:highlight w:val="none"/>
        </w:rPr>
        <w:t>本企业对上述声明内容的真实性负责。如有虚假，将依法承担相应责任。</w:t>
      </w:r>
    </w:p>
    <w:p>
      <w:pPr>
        <w:spacing w:line="360" w:lineRule="auto"/>
        <w:ind w:right="1760"/>
        <w:jc w:val="right"/>
        <w:rPr>
          <w:rFonts w:ascii="微软雅黑" w:hAnsi="微软雅黑" w:eastAsia="微软雅黑" w:cs="微软雅黑"/>
          <w:sz w:val="24"/>
          <w:highlight w:val="none"/>
        </w:rPr>
      </w:pPr>
      <w:r>
        <w:rPr>
          <w:rFonts w:hint="eastAsia" w:ascii="微软雅黑" w:hAnsi="微软雅黑" w:eastAsia="微软雅黑" w:cs="微软雅黑"/>
          <w:sz w:val="24"/>
          <w:highlight w:val="none"/>
        </w:rPr>
        <w:t>投标人名称（电子签名）：</w:t>
      </w:r>
    </w:p>
    <w:p>
      <w:pPr>
        <w:spacing w:line="360" w:lineRule="auto"/>
        <w:ind w:right="1120" w:firstLine="4680" w:firstLineChars="1950"/>
        <w:rPr>
          <w:rFonts w:ascii="微软雅黑" w:hAnsi="微软雅黑" w:eastAsia="微软雅黑" w:cs="微软雅黑"/>
          <w:sz w:val="24"/>
          <w:highlight w:val="none"/>
        </w:rPr>
      </w:pPr>
      <w:r>
        <w:rPr>
          <w:rFonts w:hint="eastAsia" w:ascii="微软雅黑" w:hAnsi="微软雅黑" w:eastAsia="微软雅黑" w:cs="微软雅黑"/>
          <w:sz w:val="24"/>
          <w:highlight w:val="none"/>
        </w:rPr>
        <w:t>日期：</w:t>
      </w:r>
    </w:p>
    <w:p>
      <w:pPr>
        <w:spacing w:line="360" w:lineRule="auto"/>
        <w:ind w:firstLine="309" w:firstLineChars="147"/>
        <w:jc w:val="left"/>
        <w:rPr>
          <w:rFonts w:ascii="微软雅黑" w:hAnsi="微软雅黑" w:eastAsia="微软雅黑" w:cs="微软雅黑"/>
          <w:b/>
          <w:szCs w:val="21"/>
          <w:highlight w:val="none"/>
        </w:rPr>
      </w:pPr>
      <w:r>
        <w:rPr>
          <w:rFonts w:hint="eastAsia" w:ascii="微软雅黑" w:hAnsi="微软雅黑" w:eastAsia="微软雅黑" w:cs="微软雅黑"/>
          <w:b/>
          <w:szCs w:val="21"/>
          <w:highlight w:val="none"/>
        </w:rPr>
        <w:t>从业人员、营业收入、资产总额填报上一年度数据，无上一年度数据的新成立企业可不填报。</w:t>
      </w:r>
    </w:p>
    <w:p>
      <w:pPr>
        <w:spacing w:line="360" w:lineRule="auto"/>
        <w:ind w:right="420"/>
        <w:rPr>
          <w:rFonts w:ascii="微软雅黑" w:hAnsi="微软雅黑" w:eastAsia="微软雅黑" w:cs="微软雅黑"/>
          <w:sz w:val="24"/>
          <w:highlight w:val="none"/>
        </w:rPr>
      </w:pPr>
    </w:p>
    <w:p>
      <w:pPr>
        <w:spacing w:line="360" w:lineRule="auto"/>
        <w:ind w:right="420"/>
        <w:rPr>
          <w:rFonts w:ascii="微软雅黑" w:hAnsi="微软雅黑" w:eastAsia="微软雅黑" w:cs="微软雅黑"/>
          <w:highlight w:val="none"/>
        </w:rPr>
      </w:pPr>
      <w:r>
        <w:rPr>
          <w:rFonts w:hint="eastAsia" w:ascii="微软雅黑" w:hAnsi="微软雅黑" w:eastAsia="微软雅黑" w:cs="微软雅黑"/>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31"/>
        <w:snapToGrid w:val="0"/>
        <w:spacing w:line="360" w:lineRule="auto"/>
        <w:rPr>
          <w:rFonts w:ascii="微软雅黑" w:hAnsi="微软雅黑" w:eastAsia="微软雅黑"/>
          <w:b/>
          <w:szCs w:val="21"/>
          <w:highlight w:val="none"/>
        </w:rPr>
      </w:pPr>
    </w:p>
    <w:sectPr>
      <w:pgSz w:w="11906" w:h="16838"/>
      <w:pgMar w:top="1474" w:right="1797" w:bottom="1247"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DFKai-SB">
    <w:panose1 w:val="03000509000000000000"/>
    <w:charset w:val="88"/>
    <w:family w:val="script"/>
    <w:pitch w:val="default"/>
    <w:sig w:usb0="00000003" w:usb1="082E0000" w:usb2="00000016" w:usb3="00000000" w:csb0="00100001" w:csb1="00000000"/>
  </w:font>
  <w:font w:name="楷体_GB2312">
    <w:panose1 w:val="02010609030101010101"/>
    <w:charset w:val="86"/>
    <w:family w:val="modern"/>
    <w:pitch w:val="default"/>
    <w:sig w:usb0="00000001" w:usb1="080E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Helvetica">
    <w:altName w:val="Arial"/>
    <w:panose1 w:val="020B0504020202020204"/>
    <w:charset w:val="00"/>
    <w:family w:val="swiss"/>
    <w:pitch w:val="default"/>
    <w:sig w:usb0="00000000" w:usb1="00000000" w:usb2="00000000" w:usb3="00000000" w:csb0="00000001" w:csb1="00000000"/>
  </w:font>
  <w:font w:name="Trebuchet MS">
    <w:panose1 w:val="020B0603020202020204"/>
    <w:charset w:val="00"/>
    <w:family w:val="swiss"/>
    <w:pitch w:val="default"/>
    <w:sig w:usb0="00000287" w:usb1="00000000" w:usb2="00000000" w:usb3="00000000" w:csb0="2000009F" w:csb1="00000000"/>
  </w:font>
  <w:font w:name="长城仿宋">
    <w:altName w:val="仿宋"/>
    <w:panose1 w:val="00000000000000000000"/>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10" w:usb3="00000000" w:csb0="00040000" w:csb1="00000000"/>
  </w:font>
  <w:font w:name="Arial Narrow">
    <w:panose1 w:val="020B0506020202030204"/>
    <w:charset w:val="00"/>
    <w:family w:val="swiss"/>
    <w:pitch w:val="default"/>
    <w:sig w:usb0="00000287" w:usb1="00000000" w:usb2="00000000" w:usb3="00000000" w:csb0="2000009F" w:csb1="DFD70000"/>
  </w:font>
  <w:font w:name="PMingLiU">
    <w:panose1 w:val="02020500000000000000"/>
    <w:charset w:val="88"/>
    <w:family w:val="roman"/>
    <w:pitch w:val="default"/>
    <w:sig w:usb0="A00002FF" w:usb1="28CFFCFA" w:usb2="00000016" w:usb3="00000000" w:csb0="00100001" w:csb1="00000000"/>
  </w:font>
  <w:font w:name="Calibri Light">
    <w:panose1 w:val="020F0302020204030204"/>
    <w:charset w:val="00"/>
    <w:family w:val="swiss"/>
    <w:pitch w:val="default"/>
    <w:sig w:usb0="A00002EF" w:usb1="4000207B" w:usb2="00000000" w:usb3="00000000" w:csb0="2000019F" w:csb1="00000000"/>
  </w:font>
  <w:font w:name="MS Gothic">
    <w:panose1 w:val="020B0609070205080204"/>
    <w:charset w:val="80"/>
    <w:family w:val="modern"/>
    <w:pitch w:val="default"/>
    <w:sig w:usb0="E00002FF" w:usb1="6AC7FDFB" w:usb2="00000012" w:usb3="00000000" w:csb0="4002009F" w:csb1="DFD70000"/>
  </w:font>
  <w:font w:name="宋体-18030">
    <w:altName w:val="宋体"/>
    <w:panose1 w:val="00000000000000000000"/>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ind w:right="720" w:firstLine="210" w:firstLineChars="100"/>
      <w:jc w:val="center"/>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43205"/>
              <wp:effectExtent l="0" t="0" r="0" b="0"/>
              <wp:wrapNone/>
              <wp:docPr id="5" name="文本框 3"/>
              <wp:cNvGraphicFramePr/>
              <a:graphic xmlns:a="http://schemas.openxmlformats.org/drawingml/2006/main">
                <a:graphicData uri="http://schemas.microsoft.com/office/word/2010/wordprocessingShape">
                  <wps:wsp>
                    <wps:cNvSpPr txBox="1"/>
                    <wps:spPr>
                      <a:xfrm>
                        <a:off x="0" y="0"/>
                        <a:ext cx="114935" cy="243205"/>
                      </a:xfrm>
                      <a:prstGeom prst="rect">
                        <a:avLst/>
                      </a:prstGeom>
                      <a:noFill/>
                      <a:ln>
                        <a:noFill/>
                      </a:ln>
                      <a:effectLst/>
                    </wps:spPr>
                    <wps:txbx>
                      <w:txbxContent>
                        <w:p>
                          <w:pPr>
                            <w:pStyle w:val="36"/>
                          </w:pP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9.15pt;width:9.05pt;mso-position-horizontal:center;mso-position-horizontal-relative:margin;mso-wrap-style:none;z-index:251659264;mso-width-relative:page;mso-height-relative:page;" filled="f" stroked="f" coordsize="21600,21600" o:gfxdata="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jb0XotAAAAADAQAADwAAAAAAAAABACAAAAAiAAAAZHJz&#10;L2Rvd25yZXYueG1sUEsBAhQAFAAAAAgAh07iQFFSDU/TAQAApQMAAA4AAAAAAAAAAQAgAAAAHwEA&#10;AGRycy9lMm9Eb2MueG1sUEsFBgAAAAAGAAYAWQEAAGQFAAAAAA==&#10;">
              <v:fill on="f" focussize="0,0"/>
              <v:stroke on="f"/>
              <v:imagedata o:title=""/>
              <o:lock v:ext="edit" aspectratio="f"/>
              <v:textbox inset="0mm,0mm,0mm,0mm" style="mso-fit-shape-to-text:t;">
                <w:txbxContent>
                  <w:p>
                    <w:pPr>
                      <w:pStyle w:val="36"/>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right" w:y="1"/>
      <w:rPr>
        <w:rStyle w:val="60"/>
      </w:rPr>
    </w:pPr>
    <w:r>
      <w:fldChar w:fldCharType="begin"/>
    </w:r>
    <w:r>
      <w:rPr>
        <w:rStyle w:val="60"/>
      </w:rPr>
      <w:instrText xml:space="preserve">PAGE  </w:instrText>
    </w:r>
    <w:r>
      <w:fldChar w:fldCharType="end"/>
    </w:r>
  </w:p>
  <w:p>
    <w:pPr>
      <w:pStyle w:val="3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ind w:right="720" w:firstLine="210" w:firstLineChars="100"/>
      <w:jc w:val="center"/>
      <w:rPr>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24320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243205"/>
                      </a:xfrm>
                      <a:prstGeom prst="rect">
                        <a:avLst/>
                      </a:prstGeom>
                      <a:noFill/>
                      <a:ln>
                        <a:noFill/>
                      </a:ln>
                      <a:effectLst/>
                    </wps:spPr>
                    <wps:txbx>
                      <w:txbxContent>
                        <w:p>
                          <w:pPr>
                            <w:pStyle w:val="36"/>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9.15pt;width:9.05pt;mso-position-horizontal:center;mso-position-horizontal-relative:margin;mso-wrap-style:none;z-index:251660288;mso-width-relative:page;mso-height-relative:page;" filled="f" stroked="f" coordsize="21600,21600" o:gfxdata="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&#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I29F6LQAAAAAwEAAA8AAAAAAAAAAQAgAAAAIgAAAGRy&#10;cy9kb3ducmV2LnhtbFBLAQIUABQAAAAIAIdO4kD6i8LO1AEAAKUDAAAOAAAAAAAAAAEAIAAAAB8B&#10;AABkcnMvZTJvRG9jLnhtbFBLBQYAAAAABgAGAFkBAABlBQAAAAA=&#10;">
              <v:fill on="f" focussize="0,0"/>
              <v:stroke on="f"/>
              <v:imagedata o:title=""/>
              <o:lock v:ext="edit" aspectratio="f"/>
              <v:textbox inset="0mm,0mm,0mm,0mm" style="mso-fit-shape-to-text:t;">
                <w:txbxContent>
                  <w:p>
                    <w:pPr>
                      <w:pStyle w:val="3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right" w:y="1"/>
      <w:rPr>
        <w:rStyle w:val="60"/>
      </w:rPr>
    </w:pPr>
    <w:r>
      <w:fldChar w:fldCharType="begin"/>
    </w:r>
    <w:r>
      <w:rPr>
        <w:rStyle w:val="60"/>
      </w:rPr>
      <w:instrText xml:space="preserve">PAGE  </w:instrText>
    </w:r>
    <w:r>
      <w:fldChar w:fldCharType="end"/>
    </w:r>
  </w:p>
  <w:p>
    <w:pPr>
      <w:pStyle w:val="36"/>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ind w:right="360"/>
      <w:jc w:val="center"/>
      <w:rPr>
        <w:rStyle w:val="60"/>
      </w:rPr>
    </w:pPr>
  </w:p>
  <w:p>
    <w:pPr>
      <w:pStyle w:val="36"/>
      <w:ind w:firstLine="7920" w:firstLineChars="4400"/>
    </w:pPr>
    <w:r>
      <w:fldChar w:fldCharType="begin"/>
    </w:r>
    <w:r>
      <w:instrText xml:space="preserve"> PAGE   \* MERGEFORMAT </w:instrText>
    </w:r>
    <w:r>
      <w:fldChar w:fldCharType="separate"/>
    </w:r>
    <w:r>
      <w:rPr>
        <w:lang w:val="zh-CN"/>
      </w:rPr>
      <w:t>32</w:t>
    </w:r>
    <w:r>
      <w:rPr>
        <w:lang w:val="zh-CN"/>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6"/>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36"/>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6"/>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36"/>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3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pict>
        <v:shape id="PowerPlusWaterMarkObject4865172" o:spid="_x0000_s3074" o:spt="136" type="#_x0000_t136" style="position:absolute;left:0pt;height:45.15pt;width:587.5pt;mso-position-horizontal:center;mso-position-horizontal-relative:margin;mso-position-vertical:center;mso-position-vertical-relative:margin;rotation:20643840f;z-index:-25165209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pict>
        <v:shape id="PowerPlusWaterMarkObject4865171" o:spid="_x0000_s3073" o:spt="136" type="#_x0000_t136" style="position:absolute;left:0pt;height:45.15pt;width:587.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spacing w:after="120"/>
      <w:jc w:val="right"/>
      <w:rPr>
        <w:rFonts w:ascii="微软雅黑" w:hAnsi="微软雅黑" w:eastAsia="微软雅黑"/>
      </w:rPr>
    </w:pPr>
    <w:r>
      <w:rPr>
        <w:rFonts w:hint="eastAsia" w:ascii="微软雅黑" w:hAnsi="微软雅黑" w:eastAsia="微软雅黑"/>
      </w:rPr>
      <w:t xml:space="preserve"> </w:t>
    </w:r>
    <w:r>
      <w:rPr>
        <w:rFonts w:hint="eastAsia" w:ascii="微软雅黑" w:hAnsi="微软雅黑" w:eastAsia="微软雅黑"/>
        <w:lang w:eastAsia="zh-CN"/>
      </w:rPr>
      <w:t>嘉兴市秀洲区交通运输局（本级）嘉兴东升西路拟建隧道工程对饮用水水源地生态环境影响研究项目</w:t>
    </w:r>
    <w:r>
      <w:rPr>
        <w:rFonts w:hint="eastAsia" w:ascii="微软雅黑" w:hAnsi="微软雅黑" w:eastAsia="微软雅黑"/>
      </w:rPr>
      <w:t>·竞争性磋商采购文件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pict>
        <v:shape id="PowerPlusWaterMarkObject4865175" o:spid="_x0000_s3076" o:spt="136" type="#_x0000_t136" style="position:absolute;left:0pt;height:45.15pt;width:587.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pict>
        <v:shape id="PowerPlusWaterMarkObject4865174" o:spid="_x0000_s3075" o:spt="136" type="#_x0000_t136" style="position:absolute;left:0pt;height:45.15pt;width:587.5pt;mso-position-horizontal:center;mso-position-horizontal-relative:margin;mso-position-vertical:center;mso-position-vertical-relative:margin;rotation:20643840f;z-index:-25165107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jc w:val="right"/>
      <w:rPr>
        <w:rFonts w:ascii="仿宋_GB2312" w:eastAsia="仿宋_GB2312"/>
        <w:b/>
        <w:i/>
        <w:u w:val="single"/>
      </w:rPr>
    </w:pPr>
  </w:p>
  <w:p>
    <w:pPr>
      <w:rPr>
        <w:rFonts w:ascii="仿宋_GB2312" w:eastAsia="仿宋_GB2312"/>
        <w:b/>
        <w:i/>
        <w:sz w:val="18"/>
        <w:u w:val="single"/>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037E7A"/>
    <w:multiLevelType w:val="singleLevel"/>
    <w:tmpl w:val="D7037E7A"/>
    <w:lvl w:ilvl="0" w:tentative="0">
      <w:start w:val="1"/>
      <w:numFmt w:val="decimal"/>
      <w:lvlText w:val="(%1)"/>
      <w:lvlJc w:val="left"/>
      <w:pPr>
        <w:ind w:left="425" w:hanging="425"/>
      </w:pPr>
      <w:rPr>
        <w:rFonts w:hint="default"/>
      </w:rPr>
    </w:lvl>
  </w:abstractNum>
  <w:abstractNum w:abstractNumId="1">
    <w:nsid w:val="D96F94CF"/>
    <w:multiLevelType w:val="singleLevel"/>
    <w:tmpl w:val="D96F94CF"/>
    <w:lvl w:ilvl="0" w:tentative="0">
      <w:start w:val="1"/>
      <w:numFmt w:val="bullet"/>
      <w:pStyle w:val="27"/>
      <w:lvlText w:val=""/>
      <w:lvlJc w:val="left"/>
      <w:pPr>
        <w:tabs>
          <w:tab w:val="left" w:pos="780"/>
        </w:tabs>
        <w:ind w:left="780" w:hanging="360"/>
      </w:pPr>
      <w:rPr>
        <w:rFonts w:hint="default" w:ascii="Wingdings" w:hAnsi="Wingdings"/>
      </w:rPr>
    </w:lvl>
  </w:abstractNum>
  <w:abstractNum w:abstractNumId="2">
    <w:nsid w:val="EB3E1868"/>
    <w:multiLevelType w:val="singleLevel"/>
    <w:tmpl w:val="EB3E1868"/>
    <w:lvl w:ilvl="0" w:tentative="0">
      <w:start w:val="4"/>
      <w:numFmt w:val="decimal"/>
      <w:suff w:val="nothing"/>
      <w:lvlText w:val="%1、"/>
      <w:lvlJc w:val="left"/>
    </w:lvl>
  </w:abstractNum>
  <w:abstractNum w:abstractNumId="3">
    <w:nsid w:val="00684585"/>
    <w:multiLevelType w:val="multilevel"/>
    <w:tmpl w:val="00684585"/>
    <w:lvl w:ilvl="0" w:tentative="0">
      <w:start w:val="1"/>
      <w:numFmt w:val="decimal"/>
      <w:pStyle w:val="531"/>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3AB67EE"/>
    <w:multiLevelType w:val="multilevel"/>
    <w:tmpl w:val="03AB67EE"/>
    <w:lvl w:ilvl="0" w:tentative="0">
      <w:start w:val="1"/>
      <w:numFmt w:val="bullet"/>
      <w:pStyle w:val="496"/>
      <w:lvlText w:val=""/>
      <w:lvlJc w:val="left"/>
      <w:pPr>
        <w:ind w:left="420" w:hanging="420"/>
      </w:pPr>
      <w:rPr>
        <w:rFonts w:hint="default" w:ascii="Wingdings" w:hAnsi="Wingdings"/>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06F212CC"/>
    <w:multiLevelType w:val="multilevel"/>
    <w:tmpl w:val="06F212CC"/>
    <w:lvl w:ilvl="0" w:tentative="0">
      <w:start w:val="1"/>
      <w:numFmt w:val="decimal"/>
      <w:pStyle w:val="284"/>
      <w:lvlText w:val="2.%1."/>
      <w:lvlJc w:val="left"/>
      <w:pPr>
        <w:tabs>
          <w:tab w:val="left" w:pos="1145"/>
        </w:tabs>
        <w:ind w:left="1145" w:hanging="425"/>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16240AB4"/>
    <w:multiLevelType w:val="multilevel"/>
    <w:tmpl w:val="16240AB4"/>
    <w:lvl w:ilvl="0" w:tentative="0">
      <w:start w:val="1"/>
      <w:numFmt w:val="bullet"/>
      <w:pStyle w:val="246"/>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7">
    <w:nsid w:val="1D033215"/>
    <w:multiLevelType w:val="multilevel"/>
    <w:tmpl w:val="1D033215"/>
    <w:lvl w:ilvl="0" w:tentative="0">
      <w:start w:val="1"/>
      <w:numFmt w:val="bullet"/>
      <w:pStyle w:val="533"/>
      <w:lvlText w:val="◇"/>
      <w:lvlJc w:val="left"/>
      <w:pPr>
        <w:ind w:left="0" w:hanging="420"/>
      </w:pPr>
      <w:rPr>
        <w:rFonts w:hint="eastAsia" w:ascii="微软雅黑" w:hAnsi="微软雅黑" w:eastAsia="微软雅黑"/>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
    <w:nsid w:val="22387661"/>
    <w:multiLevelType w:val="multilevel"/>
    <w:tmpl w:val="22387661"/>
    <w:lvl w:ilvl="0" w:tentative="0">
      <w:start w:val="1"/>
      <w:numFmt w:val="decimal"/>
      <w:pStyle w:val="488"/>
      <w:lvlText w:val="8.3.3.%1"/>
      <w:lvlJc w:val="left"/>
      <w:pPr>
        <w:ind w:left="420" w:hanging="420"/>
      </w:pPr>
      <w:rPr>
        <w:rFonts w:hint="eastAsia"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EE3724F"/>
    <w:multiLevelType w:val="multilevel"/>
    <w:tmpl w:val="2EE3724F"/>
    <w:lvl w:ilvl="0" w:tentative="0">
      <w:start w:val="1"/>
      <w:numFmt w:val="bullet"/>
      <w:pStyle w:val="472"/>
      <w:lvlText w:val=""/>
      <w:lvlJc w:val="left"/>
      <w:pPr>
        <w:tabs>
          <w:tab w:val="left" w:pos="704"/>
        </w:tabs>
        <w:ind w:left="704" w:hanging="420"/>
      </w:pPr>
      <w:rPr>
        <w:rFonts w:hint="default" w:ascii="Wingdings" w:hAnsi="Wingdings"/>
      </w:rPr>
    </w:lvl>
    <w:lvl w:ilvl="1" w:tentative="0">
      <w:start w:val="1"/>
      <w:numFmt w:val="bullet"/>
      <w:pStyle w:val="471"/>
      <w:lvlText w:val=""/>
      <w:lvlJc w:val="left"/>
      <w:pPr>
        <w:tabs>
          <w:tab w:val="left" w:pos="846"/>
        </w:tabs>
        <w:ind w:left="846" w:hanging="420"/>
      </w:pPr>
      <w:rPr>
        <w:rFonts w:hint="default" w:ascii="Wingdings" w:hAnsi="Wingdings"/>
      </w:rPr>
    </w:lvl>
    <w:lvl w:ilvl="2" w:tentative="0">
      <w:start w:val="1"/>
      <w:numFmt w:val="bullet"/>
      <w:lvlText w:val=""/>
      <w:lvlJc w:val="left"/>
      <w:pPr>
        <w:tabs>
          <w:tab w:val="left" w:pos="1544"/>
        </w:tabs>
        <w:ind w:left="1544" w:hanging="420"/>
      </w:pPr>
      <w:rPr>
        <w:rFonts w:hint="default" w:ascii="Wingdings" w:hAnsi="Wingdings"/>
      </w:rPr>
    </w:lvl>
    <w:lvl w:ilvl="3" w:tentative="0">
      <w:start w:val="1"/>
      <w:numFmt w:val="bullet"/>
      <w:lvlText w:val=""/>
      <w:lvlJc w:val="left"/>
      <w:pPr>
        <w:tabs>
          <w:tab w:val="left" w:pos="1964"/>
        </w:tabs>
        <w:ind w:left="1964" w:hanging="420"/>
      </w:pPr>
      <w:rPr>
        <w:rFonts w:hint="default" w:ascii="Wingdings" w:hAnsi="Wingdings"/>
      </w:rPr>
    </w:lvl>
    <w:lvl w:ilvl="4" w:tentative="0">
      <w:start w:val="1"/>
      <w:numFmt w:val="bullet"/>
      <w:lvlText w:val=""/>
      <w:lvlJc w:val="left"/>
      <w:pPr>
        <w:tabs>
          <w:tab w:val="left" w:pos="2384"/>
        </w:tabs>
        <w:ind w:left="2384" w:hanging="420"/>
      </w:pPr>
      <w:rPr>
        <w:rFonts w:hint="default" w:ascii="Wingdings" w:hAnsi="Wingdings"/>
      </w:rPr>
    </w:lvl>
    <w:lvl w:ilvl="5" w:tentative="0">
      <w:start w:val="1"/>
      <w:numFmt w:val="bullet"/>
      <w:lvlText w:val=""/>
      <w:lvlJc w:val="left"/>
      <w:pPr>
        <w:tabs>
          <w:tab w:val="left" w:pos="2804"/>
        </w:tabs>
        <w:ind w:left="2804" w:hanging="420"/>
      </w:pPr>
      <w:rPr>
        <w:rFonts w:hint="default" w:ascii="Wingdings" w:hAnsi="Wingdings"/>
      </w:rPr>
    </w:lvl>
    <w:lvl w:ilvl="6" w:tentative="0">
      <w:start w:val="1"/>
      <w:numFmt w:val="bullet"/>
      <w:lvlText w:val=""/>
      <w:lvlJc w:val="left"/>
      <w:pPr>
        <w:tabs>
          <w:tab w:val="left" w:pos="3224"/>
        </w:tabs>
        <w:ind w:left="3224" w:hanging="420"/>
      </w:pPr>
      <w:rPr>
        <w:rFonts w:hint="default" w:ascii="Wingdings" w:hAnsi="Wingdings"/>
      </w:rPr>
    </w:lvl>
    <w:lvl w:ilvl="7" w:tentative="0">
      <w:start w:val="1"/>
      <w:numFmt w:val="bullet"/>
      <w:lvlText w:val=""/>
      <w:lvlJc w:val="left"/>
      <w:pPr>
        <w:tabs>
          <w:tab w:val="left" w:pos="3644"/>
        </w:tabs>
        <w:ind w:left="3644" w:hanging="420"/>
      </w:pPr>
      <w:rPr>
        <w:rFonts w:hint="default" w:ascii="Wingdings" w:hAnsi="Wingdings"/>
      </w:rPr>
    </w:lvl>
    <w:lvl w:ilvl="8" w:tentative="0">
      <w:start w:val="1"/>
      <w:numFmt w:val="bullet"/>
      <w:lvlText w:val=""/>
      <w:lvlJc w:val="left"/>
      <w:pPr>
        <w:tabs>
          <w:tab w:val="left" w:pos="4064"/>
        </w:tabs>
        <w:ind w:left="4064" w:hanging="420"/>
      </w:pPr>
      <w:rPr>
        <w:rFonts w:hint="default" w:ascii="Wingdings" w:hAnsi="Wingdings"/>
      </w:rPr>
    </w:lvl>
  </w:abstractNum>
  <w:abstractNum w:abstractNumId="10">
    <w:nsid w:val="31234976"/>
    <w:multiLevelType w:val="multilevel"/>
    <w:tmpl w:val="31234976"/>
    <w:lvl w:ilvl="0" w:tentative="0">
      <w:start w:val="1"/>
      <w:numFmt w:val="decimal"/>
      <w:lvlText w:val="%1、"/>
      <w:lvlJc w:val="left"/>
      <w:pPr>
        <w:ind w:left="824" w:hanging="420"/>
      </w:pPr>
    </w:lvl>
    <w:lvl w:ilvl="1" w:tentative="0">
      <w:start w:val="1"/>
      <w:numFmt w:val="lowerLetter"/>
      <w:lvlText w:val="%2)"/>
      <w:lvlJc w:val="left"/>
      <w:pPr>
        <w:ind w:left="1244" w:hanging="420"/>
      </w:pPr>
    </w:lvl>
    <w:lvl w:ilvl="2" w:tentative="0">
      <w:start w:val="1"/>
      <w:numFmt w:val="lowerRoman"/>
      <w:lvlText w:val="%3."/>
      <w:lvlJc w:val="right"/>
      <w:pPr>
        <w:ind w:left="1664" w:hanging="420"/>
      </w:pPr>
    </w:lvl>
    <w:lvl w:ilvl="3" w:tentative="0">
      <w:start w:val="1"/>
      <w:numFmt w:val="decimal"/>
      <w:lvlText w:val="%4."/>
      <w:lvlJc w:val="left"/>
      <w:pPr>
        <w:ind w:left="2084" w:hanging="420"/>
      </w:pPr>
    </w:lvl>
    <w:lvl w:ilvl="4" w:tentative="0">
      <w:start w:val="1"/>
      <w:numFmt w:val="lowerLetter"/>
      <w:lvlText w:val="%5)"/>
      <w:lvlJc w:val="left"/>
      <w:pPr>
        <w:ind w:left="2504" w:hanging="420"/>
      </w:pPr>
    </w:lvl>
    <w:lvl w:ilvl="5" w:tentative="0">
      <w:start w:val="1"/>
      <w:numFmt w:val="lowerRoman"/>
      <w:lvlText w:val="%6."/>
      <w:lvlJc w:val="right"/>
      <w:pPr>
        <w:ind w:left="2924" w:hanging="420"/>
      </w:pPr>
    </w:lvl>
    <w:lvl w:ilvl="6" w:tentative="0">
      <w:start w:val="1"/>
      <w:numFmt w:val="decimal"/>
      <w:lvlText w:val="%7."/>
      <w:lvlJc w:val="left"/>
      <w:pPr>
        <w:ind w:left="3344" w:hanging="420"/>
      </w:pPr>
    </w:lvl>
    <w:lvl w:ilvl="7" w:tentative="0">
      <w:start w:val="1"/>
      <w:numFmt w:val="lowerLetter"/>
      <w:lvlText w:val="%8)"/>
      <w:lvlJc w:val="left"/>
      <w:pPr>
        <w:ind w:left="3764" w:hanging="420"/>
      </w:pPr>
    </w:lvl>
    <w:lvl w:ilvl="8" w:tentative="0">
      <w:start w:val="1"/>
      <w:numFmt w:val="lowerRoman"/>
      <w:lvlText w:val="%9."/>
      <w:lvlJc w:val="right"/>
      <w:pPr>
        <w:ind w:left="4184" w:hanging="420"/>
      </w:pPr>
    </w:lvl>
  </w:abstractNum>
  <w:abstractNum w:abstractNumId="11">
    <w:nsid w:val="37322CAB"/>
    <w:multiLevelType w:val="singleLevel"/>
    <w:tmpl w:val="37322CAB"/>
    <w:lvl w:ilvl="0" w:tentative="0">
      <w:start w:val="6"/>
      <w:numFmt w:val="chineseCounting"/>
      <w:suff w:val="nothing"/>
      <w:lvlText w:val="%1、"/>
      <w:lvlJc w:val="left"/>
      <w:rPr>
        <w:rFonts w:hint="eastAsia"/>
      </w:rPr>
    </w:lvl>
  </w:abstractNum>
  <w:abstractNum w:abstractNumId="12">
    <w:nsid w:val="445A6C6E"/>
    <w:multiLevelType w:val="multilevel"/>
    <w:tmpl w:val="445A6C6E"/>
    <w:lvl w:ilvl="0" w:tentative="0">
      <w:start w:val="1"/>
      <w:numFmt w:val="decimal"/>
      <w:lvlText w:val="%1、"/>
      <w:lvlJc w:val="left"/>
      <w:pPr>
        <w:ind w:left="786" w:hanging="360"/>
      </w:pPr>
      <w:rPr>
        <w:rFonts w:hint="default"/>
      </w:rPr>
    </w:lvl>
    <w:lvl w:ilvl="1" w:tentative="0">
      <w:start w:val="1"/>
      <w:numFmt w:val="lowerLetter"/>
      <w:lvlText w:val="%2)"/>
      <w:lvlJc w:val="left"/>
      <w:pPr>
        <w:ind w:left="1245" w:hanging="420"/>
      </w:pPr>
    </w:lvl>
    <w:lvl w:ilvl="2" w:tentative="0">
      <w:start w:val="1"/>
      <w:numFmt w:val="lowerRoman"/>
      <w:lvlText w:val="%3."/>
      <w:lvlJc w:val="right"/>
      <w:pPr>
        <w:ind w:left="1665" w:hanging="420"/>
      </w:pPr>
    </w:lvl>
    <w:lvl w:ilvl="3" w:tentative="0">
      <w:start w:val="1"/>
      <w:numFmt w:val="decimal"/>
      <w:lvlText w:val="%4."/>
      <w:lvlJc w:val="left"/>
      <w:pPr>
        <w:ind w:left="2085" w:hanging="420"/>
      </w:pPr>
    </w:lvl>
    <w:lvl w:ilvl="4" w:tentative="0">
      <w:start w:val="1"/>
      <w:numFmt w:val="lowerLetter"/>
      <w:lvlText w:val="%5)"/>
      <w:lvlJc w:val="left"/>
      <w:pPr>
        <w:ind w:left="2505" w:hanging="420"/>
      </w:pPr>
    </w:lvl>
    <w:lvl w:ilvl="5" w:tentative="0">
      <w:start w:val="1"/>
      <w:numFmt w:val="lowerRoman"/>
      <w:lvlText w:val="%6."/>
      <w:lvlJc w:val="right"/>
      <w:pPr>
        <w:ind w:left="2925" w:hanging="420"/>
      </w:pPr>
    </w:lvl>
    <w:lvl w:ilvl="6" w:tentative="0">
      <w:start w:val="1"/>
      <w:numFmt w:val="decimal"/>
      <w:lvlText w:val="%7."/>
      <w:lvlJc w:val="left"/>
      <w:pPr>
        <w:ind w:left="3345" w:hanging="420"/>
      </w:pPr>
    </w:lvl>
    <w:lvl w:ilvl="7" w:tentative="0">
      <w:start w:val="1"/>
      <w:numFmt w:val="lowerLetter"/>
      <w:lvlText w:val="%8)"/>
      <w:lvlJc w:val="left"/>
      <w:pPr>
        <w:ind w:left="3765" w:hanging="420"/>
      </w:pPr>
    </w:lvl>
    <w:lvl w:ilvl="8" w:tentative="0">
      <w:start w:val="1"/>
      <w:numFmt w:val="lowerRoman"/>
      <w:lvlText w:val="%9."/>
      <w:lvlJc w:val="right"/>
      <w:pPr>
        <w:ind w:left="4185" w:hanging="420"/>
      </w:pPr>
    </w:lvl>
  </w:abstractNum>
  <w:abstractNum w:abstractNumId="13">
    <w:nsid w:val="47583D86"/>
    <w:multiLevelType w:val="multilevel"/>
    <w:tmpl w:val="47583D86"/>
    <w:lvl w:ilvl="0" w:tentative="0">
      <w:start w:val="1"/>
      <w:numFmt w:val="decimal"/>
      <w:lvlText w:val="4.4.%1"/>
      <w:lvlJc w:val="left"/>
      <w:pPr>
        <w:tabs>
          <w:tab w:val="left" w:pos="360"/>
        </w:tabs>
        <w:ind w:left="360" w:hanging="360"/>
      </w:pPr>
      <w:rPr>
        <w:rFonts w:hint="default"/>
      </w:rPr>
    </w:lvl>
    <w:lvl w:ilvl="1" w:tentative="0">
      <w:start w:val="1"/>
      <w:numFmt w:val="decimal"/>
      <w:lvlText w:val="4.4.2.%2"/>
      <w:lvlJc w:val="left"/>
      <w:pPr>
        <w:tabs>
          <w:tab w:val="left" w:pos="840"/>
        </w:tabs>
        <w:ind w:left="840" w:hanging="420"/>
      </w:pPr>
      <w:rPr>
        <w:rFonts w:hint="eastAsia"/>
      </w:rPr>
    </w:lvl>
    <w:lvl w:ilvl="2" w:tentative="0">
      <w:start w:val="1"/>
      <w:numFmt w:val="decimalEnclosedCircle"/>
      <w:pStyle w:val="493"/>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47FA0EFA"/>
    <w:multiLevelType w:val="multilevel"/>
    <w:tmpl w:val="47FA0EFA"/>
    <w:lvl w:ilvl="0" w:tentative="0">
      <w:start w:val="1"/>
      <w:numFmt w:val="bullet"/>
      <w:pStyle w:val="286"/>
      <w:lvlText w:val="●"/>
      <w:lvlJc w:val="left"/>
      <w:pPr>
        <w:ind w:left="360" w:hanging="360"/>
      </w:pPr>
      <w:rPr>
        <w:rFonts w:hint="default" w:ascii="Trebuchet MS" w:hAnsi="Trebuchet MS"/>
        <w:b w:val="0"/>
        <w:i w:val="0"/>
        <w:color w:val="AAAAAA"/>
        <w:sz w:val="20"/>
        <w:szCs w:val="20"/>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5">
    <w:nsid w:val="48484612"/>
    <w:multiLevelType w:val="singleLevel"/>
    <w:tmpl w:val="48484612"/>
    <w:lvl w:ilvl="0" w:tentative="0">
      <w:start w:val="1"/>
      <w:numFmt w:val="bullet"/>
      <w:pStyle w:val="277"/>
      <w:lvlText w:val=""/>
      <w:lvlJc w:val="left"/>
      <w:pPr>
        <w:tabs>
          <w:tab w:val="left" w:pos="1843"/>
        </w:tabs>
        <w:ind w:left="1843" w:hanging="425"/>
      </w:pPr>
      <w:rPr>
        <w:rFonts w:hint="default" w:ascii="Wingdings" w:hAnsi="Wingdings"/>
        <w:sz w:val="20"/>
      </w:rPr>
    </w:lvl>
  </w:abstractNum>
  <w:abstractNum w:abstractNumId="16">
    <w:nsid w:val="4C714CCA"/>
    <w:multiLevelType w:val="multilevel"/>
    <w:tmpl w:val="4C714CCA"/>
    <w:lvl w:ilvl="0" w:tentative="0">
      <w:start w:val="1"/>
      <w:numFmt w:val="bullet"/>
      <w:pStyle w:val="534"/>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7">
    <w:nsid w:val="509821AF"/>
    <w:multiLevelType w:val="multilevel"/>
    <w:tmpl w:val="509821AF"/>
    <w:lvl w:ilvl="0" w:tentative="0">
      <w:start w:val="1"/>
      <w:numFmt w:val="none"/>
      <w:pStyle w:val="290"/>
      <w:suff w:val="nothing"/>
      <w:lvlText w:val=""/>
      <w:lvlJc w:val="left"/>
      <w:pPr>
        <w:ind w:left="0" w:firstLine="0"/>
      </w:pPr>
      <w:rPr>
        <w:rFonts w:hint="default" w:ascii="Trebuchet MS" w:hAnsi="Trebuchet MS" w:eastAsia="宋体"/>
        <w:b w:val="0"/>
        <w:i w:val="0"/>
        <w:color w:val="0085C3"/>
        <w:sz w:val="24"/>
        <w:szCs w:val="24"/>
        <w:u w:val="none"/>
      </w:rPr>
    </w:lvl>
    <w:lvl w:ilvl="1" w:tentative="0">
      <w:start w:val="1"/>
      <w:numFmt w:val="none"/>
      <w:pStyle w:val="295"/>
      <w:suff w:val="nothing"/>
      <w:lvlText w:val=""/>
      <w:lvlJc w:val="left"/>
      <w:pPr>
        <w:ind w:left="0" w:firstLine="0"/>
      </w:pPr>
      <w:rPr>
        <w:rFonts w:hint="default" w:ascii="Trebuchet MS" w:hAnsi="Trebuchet MS" w:eastAsia="宋体"/>
        <w:b w:val="0"/>
        <w:i w:val="0"/>
        <w:color w:val="0085C3"/>
        <w:sz w:val="24"/>
        <w:szCs w:val="20"/>
        <w:u w:val="none"/>
      </w:rPr>
    </w:lvl>
    <w:lvl w:ilvl="2" w:tentative="0">
      <w:start w:val="1"/>
      <w:numFmt w:val="none"/>
      <w:pStyle w:val="291"/>
      <w:suff w:val="nothing"/>
      <w:lvlText w:val=""/>
      <w:lvlJc w:val="left"/>
      <w:pPr>
        <w:ind w:left="0" w:firstLine="0"/>
      </w:pPr>
      <w:rPr>
        <w:rFonts w:hint="default" w:ascii="Trebuchet MS" w:hAnsi="Trebuchet MS" w:eastAsia="宋体"/>
        <w:b w:val="0"/>
        <w:i w:val="0"/>
        <w:color w:val="0085C3"/>
        <w:sz w:val="22"/>
        <w:szCs w:val="18"/>
        <w:u w:val="none"/>
      </w:rPr>
    </w:lvl>
    <w:lvl w:ilvl="3" w:tentative="0">
      <w:start w:val="1"/>
      <w:numFmt w:val="none"/>
      <w:pStyle w:val="292"/>
      <w:suff w:val="nothing"/>
      <w:lvlText w:val=""/>
      <w:lvlJc w:val="left"/>
      <w:pPr>
        <w:ind w:left="0" w:firstLine="0"/>
      </w:pPr>
      <w:rPr>
        <w:rFonts w:hint="default" w:ascii="Trebuchet MS" w:hAnsi="Trebuchet MS" w:eastAsia="宋体"/>
        <w:b w:val="0"/>
        <w:i w:val="0"/>
        <w:color w:val="0085C3"/>
        <w:sz w:val="20"/>
        <w:szCs w:val="16"/>
        <w:u w:val="none"/>
      </w:rPr>
    </w:lvl>
    <w:lvl w:ilvl="4" w:tentative="0">
      <w:start w:val="1"/>
      <w:numFmt w:val="none"/>
      <w:pStyle w:val="293"/>
      <w:suff w:val="nothing"/>
      <w:lvlText w:val=""/>
      <w:lvlJc w:val="left"/>
      <w:pPr>
        <w:ind w:left="0" w:firstLine="0"/>
      </w:pPr>
      <w:rPr>
        <w:rFonts w:hint="default" w:ascii="Trebuchet MS" w:hAnsi="Trebuchet MS" w:eastAsia="宋体"/>
        <w:b w:val="0"/>
        <w:i w:val="0"/>
        <w:color w:val="0085C3"/>
        <w:sz w:val="18"/>
        <w:szCs w:val="16"/>
      </w:rPr>
    </w:lvl>
    <w:lvl w:ilvl="5" w:tentative="0">
      <w:start w:val="1"/>
      <w:numFmt w:val="none"/>
      <w:pStyle w:val="294"/>
      <w:suff w:val="nothing"/>
      <w:lvlText w:val=""/>
      <w:lvlJc w:val="left"/>
      <w:pPr>
        <w:ind w:left="0" w:firstLine="0"/>
      </w:pPr>
      <w:rPr>
        <w:rFonts w:hint="default" w:ascii="Trebuchet MS" w:hAnsi="Trebuchet MS" w:eastAsia="宋体"/>
        <w:b w:val="0"/>
        <w:i w:val="0"/>
        <w:color w:val="0085C3"/>
        <w:sz w:val="16"/>
        <w:szCs w:val="24"/>
      </w:rPr>
    </w:lvl>
    <w:lvl w:ilvl="6" w:tentative="0">
      <w:start w:val="1"/>
      <w:numFmt w:val="upperLetter"/>
      <w:pStyle w:val="287"/>
      <w:suff w:val="nothing"/>
      <w:lvlText w:val="附录%7:  "/>
      <w:lvlJc w:val="left"/>
      <w:pPr>
        <w:ind w:left="0" w:firstLine="0"/>
      </w:pPr>
      <w:rPr>
        <w:rFonts w:hint="default" w:ascii="Trebuchet MS" w:hAnsi="Trebuchet MS" w:eastAsia="宋体"/>
        <w:b/>
        <w:i w:val="0"/>
        <w:caps w:val="0"/>
        <w:strike w:val="0"/>
        <w:dstrike w:val="0"/>
        <w:vanish w:val="0"/>
        <w:color w:val="0085C3"/>
        <w:sz w:val="36"/>
        <w:szCs w:val="20"/>
        <w:vertAlign w:val="baseline"/>
      </w:rPr>
    </w:lvl>
    <w:lvl w:ilvl="7" w:tentative="0">
      <w:start w:val="1"/>
      <w:numFmt w:val="decimal"/>
      <w:pStyle w:val="288"/>
      <w:suff w:val="nothing"/>
      <w:lvlText w:val="%7.%8  "/>
      <w:lvlJc w:val="left"/>
      <w:pPr>
        <w:ind w:left="0" w:firstLine="0"/>
      </w:pPr>
      <w:rPr>
        <w:rFonts w:hint="default" w:ascii="Trebuchet MS" w:hAnsi="Trebuchet MS"/>
        <w:b/>
        <w:i w:val="0"/>
        <w:color w:val="0085C3"/>
        <w:sz w:val="32"/>
        <w:szCs w:val="22"/>
      </w:rPr>
    </w:lvl>
    <w:lvl w:ilvl="8" w:tentative="0">
      <w:start w:val="1"/>
      <w:numFmt w:val="decimal"/>
      <w:pStyle w:val="289"/>
      <w:suff w:val="nothing"/>
      <w:lvlText w:val="%7.%8.%9  "/>
      <w:lvlJc w:val="left"/>
      <w:pPr>
        <w:ind w:left="0" w:firstLine="0"/>
      </w:pPr>
      <w:rPr>
        <w:rFonts w:hint="default" w:ascii="Trebuchet MS" w:hAnsi="Trebuchet MS"/>
        <w:b/>
        <w:i w:val="0"/>
        <w:color w:val="0085C3"/>
        <w:sz w:val="28"/>
        <w:szCs w:val="20"/>
      </w:rPr>
    </w:lvl>
  </w:abstractNum>
  <w:abstractNum w:abstractNumId="18">
    <w:nsid w:val="5C0C7826"/>
    <w:multiLevelType w:val="multilevel"/>
    <w:tmpl w:val="5C0C7826"/>
    <w:lvl w:ilvl="0" w:tentative="0">
      <w:start w:val="2"/>
      <w:numFmt w:val="decimal"/>
      <w:lvlText w:val="%1"/>
      <w:lvlJc w:val="left"/>
      <w:pPr>
        <w:ind w:left="600" w:hanging="600"/>
      </w:pPr>
      <w:rPr>
        <w:rFonts w:hint="default"/>
      </w:rPr>
    </w:lvl>
    <w:lvl w:ilvl="1" w:tentative="0">
      <w:start w:val="7"/>
      <w:numFmt w:val="decimal"/>
      <w:lvlText w:val="%1.%2"/>
      <w:lvlJc w:val="left"/>
      <w:pPr>
        <w:ind w:left="800" w:hanging="600"/>
      </w:pPr>
      <w:rPr>
        <w:rFonts w:hint="default"/>
      </w:rPr>
    </w:lvl>
    <w:lvl w:ilvl="2" w:tentative="0">
      <w:start w:val="7"/>
      <w:numFmt w:val="decimal"/>
      <w:lvlText w:val="%1.%2.%3"/>
      <w:lvlJc w:val="left"/>
      <w:pPr>
        <w:ind w:left="1120" w:hanging="720"/>
      </w:pPr>
      <w:rPr>
        <w:rFonts w:hint="default"/>
      </w:rPr>
    </w:lvl>
    <w:lvl w:ilvl="3" w:tentative="0">
      <w:start w:val="1"/>
      <w:numFmt w:val="decimal"/>
      <w:pStyle w:val="518"/>
      <w:lvlText w:val="%1.%2.%3.%4"/>
      <w:lvlJc w:val="left"/>
      <w:pPr>
        <w:ind w:left="1320" w:hanging="720"/>
      </w:pPr>
      <w:rPr>
        <w:rFonts w:hint="default"/>
      </w:rPr>
    </w:lvl>
    <w:lvl w:ilvl="4" w:tentative="0">
      <w:start w:val="1"/>
      <w:numFmt w:val="decimal"/>
      <w:lvlText w:val="%1.%2.%3.%4.%5"/>
      <w:lvlJc w:val="left"/>
      <w:pPr>
        <w:ind w:left="1880" w:hanging="1080"/>
      </w:pPr>
      <w:rPr>
        <w:rFonts w:hint="default"/>
      </w:rPr>
    </w:lvl>
    <w:lvl w:ilvl="5" w:tentative="0">
      <w:start w:val="1"/>
      <w:numFmt w:val="decimal"/>
      <w:lvlText w:val="%1.%2.%3.%4.%5.%6"/>
      <w:lvlJc w:val="left"/>
      <w:pPr>
        <w:ind w:left="2080" w:hanging="1080"/>
      </w:pPr>
      <w:rPr>
        <w:rFonts w:hint="default"/>
      </w:rPr>
    </w:lvl>
    <w:lvl w:ilvl="6" w:tentative="0">
      <w:start w:val="1"/>
      <w:numFmt w:val="decimal"/>
      <w:lvlText w:val="%1.%2.%3.%4.%5.%6.%7"/>
      <w:lvlJc w:val="left"/>
      <w:pPr>
        <w:ind w:left="2280" w:hanging="1080"/>
      </w:pPr>
      <w:rPr>
        <w:rFonts w:hint="default"/>
      </w:rPr>
    </w:lvl>
    <w:lvl w:ilvl="7" w:tentative="0">
      <w:start w:val="1"/>
      <w:numFmt w:val="decimal"/>
      <w:lvlText w:val="%1.%2.%3.%4.%5.%6.%7.%8"/>
      <w:lvlJc w:val="left"/>
      <w:pPr>
        <w:ind w:left="2840" w:hanging="1440"/>
      </w:pPr>
      <w:rPr>
        <w:rFonts w:hint="default"/>
      </w:rPr>
    </w:lvl>
    <w:lvl w:ilvl="8" w:tentative="0">
      <w:start w:val="1"/>
      <w:numFmt w:val="decimal"/>
      <w:lvlText w:val="%1.%2.%3.%4.%5.%6.%7.%8.%9"/>
      <w:lvlJc w:val="left"/>
      <w:pPr>
        <w:ind w:left="3040" w:hanging="1440"/>
      </w:pPr>
      <w:rPr>
        <w:rFonts w:hint="default"/>
      </w:rPr>
    </w:lvl>
  </w:abstractNum>
  <w:abstractNum w:abstractNumId="19">
    <w:nsid w:val="65F53776"/>
    <w:multiLevelType w:val="multilevel"/>
    <w:tmpl w:val="65F53776"/>
    <w:lvl w:ilvl="0" w:tentative="0">
      <w:start w:val="1"/>
      <w:numFmt w:val="japaneseCounting"/>
      <w:lvlText w:val="第%1章"/>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684A1E8D"/>
    <w:multiLevelType w:val="multilevel"/>
    <w:tmpl w:val="684A1E8D"/>
    <w:lvl w:ilvl="0" w:tentative="0">
      <w:start w:val="1"/>
      <w:numFmt w:val="bullet"/>
      <w:pStyle w:val="247"/>
      <w:lvlText w:val=""/>
      <w:lvlJc w:val="left"/>
      <w:pPr>
        <w:ind w:left="902" w:hanging="420"/>
      </w:pPr>
      <w:rPr>
        <w:rFonts w:hint="default" w:ascii="Wingdings" w:hAnsi="Wingdings"/>
      </w:rPr>
    </w:lvl>
    <w:lvl w:ilvl="1" w:tentative="0">
      <w:start w:val="1"/>
      <w:numFmt w:val="bullet"/>
      <w:lvlText w:val=""/>
      <w:lvlJc w:val="left"/>
      <w:pPr>
        <w:ind w:left="1322" w:hanging="420"/>
      </w:pPr>
      <w:rPr>
        <w:rFonts w:hint="default" w:ascii="Wingdings" w:hAnsi="Wingdings"/>
      </w:rPr>
    </w:lvl>
    <w:lvl w:ilvl="2" w:tentative="0">
      <w:start w:val="1"/>
      <w:numFmt w:val="bullet"/>
      <w:lvlText w:val=""/>
      <w:lvlJc w:val="left"/>
      <w:pPr>
        <w:ind w:left="1742" w:hanging="420"/>
      </w:pPr>
      <w:rPr>
        <w:rFonts w:hint="default" w:ascii="Wingdings" w:hAnsi="Wingdings"/>
      </w:rPr>
    </w:lvl>
    <w:lvl w:ilvl="3" w:tentative="0">
      <w:start w:val="1"/>
      <w:numFmt w:val="bullet"/>
      <w:lvlText w:val=""/>
      <w:lvlJc w:val="left"/>
      <w:pPr>
        <w:ind w:left="2162" w:hanging="420"/>
      </w:pPr>
      <w:rPr>
        <w:rFonts w:hint="default" w:ascii="Wingdings" w:hAnsi="Wingdings"/>
      </w:rPr>
    </w:lvl>
    <w:lvl w:ilvl="4" w:tentative="0">
      <w:start w:val="1"/>
      <w:numFmt w:val="bullet"/>
      <w:lvlText w:val=""/>
      <w:lvlJc w:val="left"/>
      <w:pPr>
        <w:ind w:left="2582" w:hanging="420"/>
      </w:pPr>
      <w:rPr>
        <w:rFonts w:hint="default" w:ascii="Wingdings" w:hAnsi="Wingdings"/>
      </w:rPr>
    </w:lvl>
    <w:lvl w:ilvl="5" w:tentative="0">
      <w:start w:val="1"/>
      <w:numFmt w:val="bullet"/>
      <w:lvlText w:val=""/>
      <w:lvlJc w:val="left"/>
      <w:pPr>
        <w:ind w:left="3002" w:hanging="420"/>
      </w:pPr>
      <w:rPr>
        <w:rFonts w:hint="default" w:ascii="Wingdings" w:hAnsi="Wingdings"/>
      </w:rPr>
    </w:lvl>
    <w:lvl w:ilvl="6" w:tentative="0">
      <w:start w:val="1"/>
      <w:numFmt w:val="bullet"/>
      <w:lvlText w:val=""/>
      <w:lvlJc w:val="left"/>
      <w:pPr>
        <w:ind w:left="3422" w:hanging="420"/>
      </w:pPr>
      <w:rPr>
        <w:rFonts w:hint="default" w:ascii="Wingdings" w:hAnsi="Wingdings"/>
      </w:rPr>
    </w:lvl>
    <w:lvl w:ilvl="7" w:tentative="0">
      <w:start w:val="1"/>
      <w:numFmt w:val="bullet"/>
      <w:lvlText w:val=""/>
      <w:lvlJc w:val="left"/>
      <w:pPr>
        <w:ind w:left="3842" w:hanging="420"/>
      </w:pPr>
      <w:rPr>
        <w:rFonts w:hint="default" w:ascii="Wingdings" w:hAnsi="Wingdings"/>
      </w:rPr>
    </w:lvl>
    <w:lvl w:ilvl="8" w:tentative="0">
      <w:start w:val="1"/>
      <w:numFmt w:val="bullet"/>
      <w:lvlText w:val=""/>
      <w:lvlJc w:val="left"/>
      <w:pPr>
        <w:ind w:left="4262" w:hanging="420"/>
      </w:pPr>
      <w:rPr>
        <w:rFonts w:hint="default" w:ascii="Wingdings" w:hAnsi="Wingdings"/>
      </w:rPr>
    </w:lvl>
  </w:abstractNum>
  <w:abstractNum w:abstractNumId="21">
    <w:nsid w:val="69DA2676"/>
    <w:multiLevelType w:val="multilevel"/>
    <w:tmpl w:val="69DA2676"/>
    <w:lvl w:ilvl="0" w:tentative="0">
      <w:start w:val="1"/>
      <w:numFmt w:val="bullet"/>
      <w:pStyle w:val="536"/>
      <w:lvlText w:val="＞"/>
      <w:lvlJc w:val="left"/>
      <w:pPr>
        <w:ind w:left="902" w:hanging="420"/>
      </w:pPr>
      <w:rPr>
        <w:rFonts w:hint="eastAsia" w:ascii="微软雅黑" w:hAnsi="微软雅黑" w:eastAsia="微软雅黑"/>
      </w:rPr>
    </w:lvl>
    <w:lvl w:ilvl="1" w:tentative="0">
      <w:start w:val="1"/>
      <w:numFmt w:val="bullet"/>
      <w:lvlText w:val=""/>
      <w:lvlJc w:val="left"/>
      <w:pPr>
        <w:ind w:left="1322" w:hanging="420"/>
      </w:pPr>
      <w:rPr>
        <w:rFonts w:hint="default" w:ascii="Wingdings" w:hAnsi="Wingdings"/>
      </w:rPr>
    </w:lvl>
    <w:lvl w:ilvl="2" w:tentative="0">
      <w:start w:val="1"/>
      <w:numFmt w:val="bullet"/>
      <w:lvlText w:val=""/>
      <w:lvlJc w:val="left"/>
      <w:pPr>
        <w:ind w:left="1742" w:hanging="420"/>
      </w:pPr>
      <w:rPr>
        <w:rFonts w:hint="default" w:ascii="Wingdings" w:hAnsi="Wingdings"/>
      </w:rPr>
    </w:lvl>
    <w:lvl w:ilvl="3" w:tentative="0">
      <w:start w:val="1"/>
      <w:numFmt w:val="bullet"/>
      <w:lvlText w:val=""/>
      <w:lvlJc w:val="left"/>
      <w:pPr>
        <w:ind w:left="2162" w:hanging="420"/>
      </w:pPr>
      <w:rPr>
        <w:rFonts w:hint="default" w:ascii="Wingdings" w:hAnsi="Wingdings"/>
      </w:rPr>
    </w:lvl>
    <w:lvl w:ilvl="4" w:tentative="0">
      <w:start w:val="1"/>
      <w:numFmt w:val="bullet"/>
      <w:lvlText w:val=""/>
      <w:lvlJc w:val="left"/>
      <w:pPr>
        <w:ind w:left="2582" w:hanging="420"/>
      </w:pPr>
      <w:rPr>
        <w:rFonts w:hint="default" w:ascii="Wingdings" w:hAnsi="Wingdings"/>
      </w:rPr>
    </w:lvl>
    <w:lvl w:ilvl="5" w:tentative="0">
      <w:start w:val="1"/>
      <w:numFmt w:val="bullet"/>
      <w:lvlText w:val=""/>
      <w:lvlJc w:val="left"/>
      <w:pPr>
        <w:ind w:left="3002" w:hanging="420"/>
      </w:pPr>
      <w:rPr>
        <w:rFonts w:hint="default" w:ascii="Wingdings" w:hAnsi="Wingdings"/>
      </w:rPr>
    </w:lvl>
    <w:lvl w:ilvl="6" w:tentative="0">
      <w:start w:val="1"/>
      <w:numFmt w:val="bullet"/>
      <w:lvlText w:val=""/>
      <w:lvlJc w:val="left"/>
      <w:pPr>
        <w:ind w:left="3422" w:hanging="420"/>
      </w:pPr>
      <w:rPr>
        <w:rFonts w:hint="default" w:ascii="Wingdings" w:hAnsi="Wingdings"/>
      </w:rPr>
    </w:lvl>
    <w:lvl w:ilvl="7" w:tentative="0">
      <w:start w:val="1"/>
      <w:numFmt w:val="bullet"/>
      <w:lvlText w:val=""/>
      <w:lvlJc w:val="left"/>
      <w:pPr>
        <w:ind w:left="3842" w:hanging="420"/>
      </w:pPr>
      <w:rPr>
        <w:rFonts w:hint="default" w:ascii="Wingdings" w:hAnsi="Wingdings"/>
      </w:rPr>
    </w:lvl>
    <w:lvl w:ilvl="8" w:tentative="0">
      <w:start w:val="1"/>
      <w:numFmt w:val="bullet"/>
      <w:lvlText w:val=""/>
      <w:lvlJc w:val="left"/>
      <w:pPr>
        <w:ind w:left="4262" w:hanging="420"/>
      </w:pPr>
      <w:rPr>
        <w:rFonts w:hint="default" w:ascii="Wingdings" w:hAnsi="Wingdings"/>
      </w:rPr>
    </w:lvl>
  </w:abstractNum>
  <w:abstractNum w:abstractNumId="22">
    <w:nsid w:val="6B1F614D"/>
    <w:multiLevelType w:val="singleLevel"/>
    <w:tmpl w:val="6B1F614D"/>
    <w:lvl w:ilvl="0" w:tentative="0">
      <w:start w:val="1"/>
      <w:numFmt w:val="decimal"/>
      <w:suff w:val="nothing"/>
      <w:lvlText w:val="%1、"/>
      <w:lvlJc w:val="left"/>
    </w:lvl>
  </w:abstractNum>
  <w:abstractNum w:abstractNumId="23">
    <w:nsid w:val="6E993F20"/>
    <w:multiLevelType w:val="multilevel"/>
    <w:tmpl w:val="6E993F20"/>
    <w:lvl w:ilvl="0" w:tentative="0">
      <w:start w:val="1"/>
      <w:numFmt w:val="decimal"/>
      <w:pStyle w:val="490"/>
      <w:lvlText w:val="8.%1"/>
      <w:lvlJc w:val="left"/>
      <w:pPr>
        <w:ind w:left="420" w:hanging="420"/>
      </w:pPr>
      <w:rPr>
        <w:rFonts w:hint="eastAsia" w:ascii="宋体" w:hAnsi="宋体" w:eastAsia="宋体"/>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70023C59"/>
    <w:multiLevelType w:val="multilevel"/>
    <w:tmpl w:val="70023C59"/>
    <w:lvl w:ilvl="0" w:tentative="0">
      <w:start w:val="1"/>
      <w:numFmt w:val="bullet"/>
      <w:lvlText w:val=""/>
      <w:lvlJc w:val="left"/>
      <w:pPr>
        <w:ind w:left="846" w:hanging="420"/>
      </w:pPr>
      <w:rPr>
        <w:rFonts w:hint="default" w:ascii="Wingdings" w:hAnsi="Wingdings"/>
        <w:b/>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pStyle w:val="411"/>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25">
    <w:nsid w:val="7C564804"/>
    <w:multiLevelType w:val="multilevel"/>
    <w:tmpl w:val="7C564804"/>
    <w:lvl w:ilvl="0" w:tentative="0">
      <w:start w:val="1"/>
      <w:numFmt w:val="decimal"/>
      <w:pStyle w:val="238"/>
      <w:lvlText w:val="%1"/>
      <w:lvlJc w:val="left"/>
      <w:pPr>
        <w:ind w:left="629" w:hanging="629"/>
      </w:pPr>
      <w:rPr>
        <w:rFonts w:hint="eastAsia"/>
      </w:rPr>
    </w:lvl>
    <w:lvl w:ilvl="1" w:tentative="0">
      <w:start w:val="1"/>
      <w:numFmt w:val="decimal"/>
      <w:pStyle w:val="239"/>
      <w:lvlText w:val="%1.%2"/>
      <w:lvlJc w:val="left"/>
      <w:pPr>
        <w:ind w:left="629" w:hanging="629"/>
      </w:pPr>
      <w:rPr>
        <w:rFonts w:hint="eastAsia"/>
      </w:rPr>
    </w:lvl>
    <w:lvl w:ilvl="2" w:tentative="0">
      <w:start w:val="1"/>
      <w:numFmt w:val="decimal"/>
      <w:pStyle w:val="240"/>
      <w:lvlText w:val="%1.%2.%3"/>
      <w:lvlJc w:val="left"/>
      <w:pPr>
        <w:ind w:left="629" w:hanging="629"/>
      </w:pPr>
      <w:rPr>
        <w:rFonts w:hint="eastAsia"/>
      </w:rPr>
    </w:lvl>
    <w:lvl w:ilvl="3" w:tentative="0">
      <w:start w:val="1"/>
      <w:numFmt w:val="decimal"/>
      <w:pStyle w:val="241"/>
      <w:lvlText w:val="%1.%2.%3.%4"/>
      <w:lvlJc w:val="left"/>
      <w:pPr>
        <w:ind w:left="629" w:hanging="629"/>
      </w:pPr>
      <w:rPr>
        <w:rFonts w:hint="eastAsia"/>
      </w:rPr>
    </w:lvl>
    <w:lvl w:ilvl="4" w:tentative="0">
      <w:start w:val="1"/>
      <w:numFmt w:val="decimal"/>
      <w:pStyle w:val="242"/>
      <w:lvlText w:val="%1.%2.%3.%4.%5"/>
      <w:lvlJc w:val="left"/>
      <w:pPr>
        <w:ind w:left="629" w:hanging="629"/>
      </w:pPr>
      <w:rPr>
        <w:rFonts w:hint="eastAsia"/>
      </w:rPr>
    </w:lvl>
    <w:lvl w:ilvl="5" w:tentative="0">
      <w:start w:val="1"/>
      <w:numFmt w:val="decimal"/>
      <w:pStyle w:val="245"/>
      <w:lvlText w:val="表%6"/>
      <w:lvlJc w:val="left"/>
      <w:pPr>
        <w:ind w:left="629" w:hanging="629"/>
      </w:pPr>
      <w:rPr>
        <w:rFonts w:hint="eastAsia"/>
      </w:rPr>
    </w:lvl>
    <w:lvl w:ilvl="6" w:tentative="0">
      <w:start w:val="1"/>
      <w:numFmt w:val="decimal"/>
      <w:lvlRestart w:val="1"/>
      <w:pStyle w:val="244"/>
      <w:suff w:val="space"/>
      <w:lvlText w:val="图 %1-%7"/>
      <w:lvlJc w:val="left"/>
      <w:pPr>
        <w:ind w:left="4599" w:hanging="629"/>
      </w:pPr>
      <w:rPr>
        <w:rFonts w:hint="eastAsia"/>
      </w:rPr>
    </w:lvl>
    <w:lvl w:ilvl="7" w:tentative="0">
      <w:start w:val="1"/>
      <w:numFmt w:val="decimal"/>
      <w:lvlText w:val="%1.%2.%3.%4.%5.%6.%7.%8"/>
      <w:lvlJc w:val="left"/>
      <w:pPr>
        <w:ind w:left="629" w:hanging="629"/>
      </w:pPr>
      <w:rPr>
        <w:rFonts w:hint="eastAsia"/>
      </w:rPr>
    </w:lvl>
    <w:lvl w:ilvl="8" w:tentative="0">
      <w:start w:val="1"/>
      <w:numFmt w:val="decimal"/>
      <w:lvlText w:val="%1.%2.%3.%4.%5.%6.%7.%8.%9"/>
      <w:lvlJc w:val="left"/>
      <w:pPr>
        <w:ind w:left="629" w:hanging="629"/>
      </w:pPr>
      <w:rPr>
        <w:rFonts w:hint="eastAsia"/>
      </w:rPr>
    </w:lvl>
  </w:abstractNum>
  <w:abstractNum w:abstractNumId="26">
    <w:nsid w:val="7DAA347A"/>
    <w:multiLevelType w:val="multilevel"/>
    <w:tmpl w:val="7DAA347A"/>
    <w:lvl w:ilvl="0" w:tentative="0">
      <w:start w:val="1"/>
      <w:numFmt w:val="japaneseCounting"/>
      <w:lvlText w:val="第%1条"/>
      <w:lvlJc w:val="left"/>
      <w:pPr>
        <w:tabs>
          <w:tab w:val="left" w:pos="1157"/>
        </w:tabs>
        <w:ind w:left="1157" w:hanging="735"/>
      </w:pPr>
      <w:rPr>
        <w:rFonts w:hint="default"/>
      </w:rPr>
    </w:lvl>
    <w:lvl w:ilvl="1" w:tentative="0">
      <w:start w:val="1"/>
      <w:numFmt w:val="lowerLetter"/>
      <w:lvlText w:val="%2)"/>
      <w:lvlJc w:val="left"/>
      <w:pPr>
        <w:tabs>
          <w:tab w:val="left" w:pos="1262"/>
        </w:tabs>
        <w:ind w:left="1262" w:hanging="420"/>
      </w:pPr>
    </w:lvl>
    <w:lvl w:ilvl="2" w:tentative="0">
      <w:start w:val="1"/>
      <w:numFmt w:val="lowerRoman"/>
      <w:lvlText w:val="%3."/>
      <w:lvlJc w:val="right"/>
      <w:pPr>
        <w:tabs>
          <w:tab w:val="left" w:pos="1682"/>
        </w:tabs>
        <w:ind w:left="1682" w:hanging="420"/>
      </w:pPr>
    </w:lvl>
    <w:lvl w:ilvl="3" w:tentative="0">
      <w:start w:val="1"/>
      <w:numFmt w:val="decimal"/>
      <w:lvlText w:val="%4."/>
      <w:lvlJc w:val="left"/>
      <w:pPr>
        <w:tabs>
          <w:tab w:val="left" w:pos="2102"/>
        </w:tabs>
        <w:ind w:left="2102" w:hanging="420"/>
      </w:pPr>
    </w:lvl>
    <w:lvl w:ilvl="4" w:tentative="0">
      <w:start w:val="1"/>
      <w:numFmt w:val="lowerLetter"/>
      <w:lvlText w:val="%5)"/>
      <w:lvlJc w:val="left"/>
      <w:pPr>
        <w:tabs>
          <w:tab w:val="left" w:pos="2522"/>
        </w:tabs>
        <w:ind w:left="2522" w:hanging="420"/>
      </w:pPr>
    </w:lvl>
    <w:lvl w:ilvl="5" w:tentative="0">
      <w:start w:val="1"/>
      <w:numFmt w:val="lowerRoman"/>
      <w:lvlText w:val="%6."/>
      <w:lvlJc w:val="right"/>
      <w:pPr>
        <w:tabs>
          <w:tab w:val="left" w:pos="2942"/>
        </w:tabs>
        <w:ind w:left="2942" w:hanging="420"/>
      </w:pPr>
    </w:lvl>
    <w:lvl w:ilvl="6" w:tentative="0">
      <w:start w:val="1"/>
      <w:numFmt w:val="decimal"/>
      <w:lvlText w:val="%7."/>
      <w:lvlJc w:val="left"/>
      <w:pPr>
        <w:tabs>
          <w:tab w:val="left" w:pos="3362"/>
        </w:tabs>
        <w:ind w:left="3362" w:hanging="420"/>
      </w:pPr>
    </w:lvl>
    <w:lvl w:ilvl="7" w:tentative="0">
      <w:start w:val="1"/>
      <w:numFmt w:val="lowerLetter"/>
      <w:lvlText w:val="%8)"/>
      <w:lvlJc w:val="left"/>
      <w:pPr>
        <w:tabs>
          <w:tab w:val="left" w:pos="3782"/>
        </w:tabs>
        <w:ind w:left="3782" w:hanging="420"/>
      </w:pPr>
    </w:lvl>
    <w:lvl w:ilvl="8" w:tentative="0">
      <w:start w:val="1"/>
      <w:numFmt w:val="lowerRoman"/>
      <w:lvlText w:val="%9."/>
      <w:lvlJc w:val="right"/>
      <w:pPr>
        <w:tabs>
          <w:tab w:val="left" w:pos="4202"/>
        </w:tabs>
        <w:ind w:left="4202" w:hanging="420"/>
      </w:pPr>
    </w:lvl>
  </w:abstractNum>
  <w:num w:numId="1">
    <w:abstractNumId w:val="1"/>
  </w:num>
  <w:num w:numId="2">
    <w:abstractNumId w:val="25"/>
  </w:num>
  <w:num w:numId="3">
    <w:abstractNumId w:val="6"/>
  </w:num>
  <w:num w:numId="4">
    <w:abstractNumId w:val="20"/>
  </w:num>
  <w:num w:numId="5">
    <w:abstractNumId w:val="15"/>
  </w:num>
  <w:num w:numId="6">
    <w:abstractNumId w:val="5"/>
  </w:num>
  <w:num w:numId="7">
    <w:abstractNumId w:val="14"/>
  </w:num>
  <w:num w:numId="8">
    <w:abstractNumId w:val="17"/>
  </w:num>
  <w:num w:numId="9">
    <w:abstractNumId w:val="24"/>
  </w:num>
  <w:num w:numId="10">
    <w:abstractNumId w:val="9"/>
  </w:num>
  <w:num w:numId="11">
    <w:abstractNumId w:val="8"/>
  </w:num>
  <w:num w:numId="12">
    <w:abstractNumId w:val="23"/>
  </w:num>
  <w:num w:numId="13">
    <w:abstractNumId w:val="13"/>
  </w:num>
  <w:num w:numId="14">
    <w:abstractNumId w:val="4"/>
  </w:num>
  <w:num w:numId="15">
    <w:abstractNumId w:val="18"/>
  </w:num>
  <w:num w:numId="16">
    <w:abstractNumId w:val="3"/>
  </w:num>
  <w:num w:numId="17">
    <w:abstractNumId w:val="7"/>
  </w:num>
  <w:num w:numId="18">
    <w:abstractNumId w:val="16"/>
  </w:num>
  <w:num w:numId="19">
    <w:abstractNumId w:val="21"/>
  </w:num>
  <w:num w:numId="20">
    <w:abstractNumId w:val="19"/>
  </w:num>
  <w:num w:numId="21">
    <w:abstractNumId w:val="22"/>
  </w:num>
  <w:num w:numId="22">
    <w:abstractNumId w:val="2"/>
  </w:num>
  <w:num w:numId="23">
    <w:abstractNumId w:val="12"/>
  </w:num>
  <w:num w:numId="24">
    <w:abstractNumId w:val="26"/>
  </w:num>
  <w:num w:numId="25">
    <w:abstractNumId w:val="10"/>
  </w:num>
  <w:num w:numId="26">
    <w:abstractNumId w:val="0"/>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gutterAtTop/>
  <w:documentProtection w:enforcement="0"/>
  <w:defaultTabStop w:val="105"/>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E1ZTg2ZDFjNjIzYTlkOGY4N2RhNTQ1ZWI3NzA3MmQifQ=="/>
  </w:docVars>
  <w:rsids>
    <w:rsidRoot w:val="00172A27"/>
    <w:rsid w:val="00000511"/>
    <w:rsid w:val="000023DC"/>
    <w:rsid w:val="00004E52"/>
    <w:rsid w:val="00005657"/>
    <w:rsid w:val="000116CD"/>
    <w:rsid w:val="00015404"/>
    <w:rsid w:val="00017A48"/>
    <w:rsid w:val="0002213E"/>
    <w:rsid w:val="00023B6B"/>
    <w:rsid w:val="0002587C"/>
    <w:rsid w:val="00035D5E"/>
    <w:rsid w:val="0004151C"/>
    <w:rsid w:val="00041EA5"/>
    <w:rsid w:val="00043839"/>
    <w:rsid w:val="000604EE"/>
    <w:rsid w:val="00062B85"/>
    <w:rsid w:val="000644A5"/>
    <w:rsid w:val="00064E3A"/>
    <w:rsid w:val="00067EE6"/>
    <w:rsid w:val="00072083"/>
    <w:rsid w:val="000733E8"/>
    <w:rsid w:val="0007441D"/>
    <w:rsid w:val="00081881"/>
    <w:rsid w:val="00081D3E"/>
    <w:rsid w:val="00087297"/>
    <w:rsid w:val="00091BDB"/>
    <w:rsid w:val="00092737"/>
    <w:rsid w:val="000977D1"/>
    <w:rsid w:val="000A42EA"/>
    <w:rsid w:val="000B2C9B"/>
    <w:rsid w:val="000B5CD6"/>
    <w:rsid w:val="000B7EBB"/>
    <w:rsid w:val="000C0166"/>
    <w:rsid w:val="000C08EC"/>
    <w:rsid w:val="000C700C"/>
    <w:rsid w:val="000D04DE"/>
    <w:rsid w:val="000D4B1D"/>
    <w:rsid w:val="000D5233"/>
    <w:rsid w:val="000D5371"/>
    <w:rsid w:val="000D549B"/>
    <w:rsid w:val="000E2149"/>
    <w:rsid w:val="000E58F4"/>
    <w:rsid w:val="000E5D86"/>
    <w:rsid w:val="000E7167"/>
    <w:rsid w:val="000F351C"/>
    <w:rsid w:val="000F6B7B"/>
    <w:rsid w:val="000F741D"/>
    <w:rsid w:val="000F773A"/>
    <w:rsid w:val="0010113D"/>
    <w:rsid w:val="001011B5"/>
    <w:rsid w:val="00106DA9"/>
    <w:rsid w:val="001108E1"/>
    <w:rsid w:val="00110C79"/>
    <w:rsid w:val="0011197C"/>
    <w:rsid w:val="00112B16"/>
    <w:rsid w:val="00113957"/>
    <w:rsid w:val="00113FC7"/>
    <w:rsid w:val="0011414D"/>
    <w:rsid w:val="00114E28"/>
    <w:rsid w:val="00117238"/>
    <w:rsid w:val="001209D6"/>
    <w:rsid w:val="0012126B"/>
    <w:rsid w:val="00121BD9"/>
    <w:rsid w:val="00123B4A"/>
    <w:rsid w:val="00127AA8"/>
    <w:rsid w:val="00127E90"/>
    <w:rsid w:val="00130234"/>
    <w:rsid w:val="0013174E"/>
    <w:rsid w:val="00131DBD"/>
    <w:rsid w:val="00136E07"/>
    <w:rsid w:val="00152C1C"/>
    <w:rsid w:val="001561BF"/>
    <w:rsid w:val="00161FD3"/>
    <w:rsid w:val="00163C2C"/>
    <w:rsid w:val="00163EC2"/>
    <w:rsid w:val="0016451C"/>
    <w:rsid w:val="00172A27"/>
    <w:rsid w:val="00176925"/>
    <w:rsid w:val="00182477"/>
    <w:rsid w:val="00182DBB"/>
    <w:rsid w:val="001839D9"/>
    <w:rsid w:val="00185D10"/>
    <w:rsid w:val="00186B2C"/>
    <w:rsid w:val="00190127"/>
    <w:rsid w:val="0019645E"/>
    <w:rsid w:val="001A3617"/>
    <w:rsid w:val="001A45CD"/>
    <w:rsid w:val="001A57CB"/>
    <w:rsid w:val="001A6572"/>
    <w:rsid w:val="001A693B"/>
    <w:rsid w:val="001B03EB"/>
    <w:rsid w:val="001B3639"/>
    <w:rsid w:val="001B475E"/>
    <w:rsid w:val="001B6045"/>
    <w:rsid w:val="001B6F7D"/>
    <w:rsid w:val="001B7948"/>
    <w:rsid w:val="001B7CED"/>
    <w:rsid w:val="001C0673"/>
    <w:rsid w:val="001C2DEC"/>
    <w:rsid w:val="001C2EAF"/>
    <w:rsid w:val="001C4030"/>
    <w:rsid w:val="001C4595"/>
    <w:rsid w:val="001C564C"/>
    <w:rsid w:val="001D6C40"/>
    <w:rsid w:val="001E0460"/>
    <w:rsid w:val="001E1308"/>
    <w:rsid w:val="001E1C8B"/>
    <w:rsid w:val="001E2A2A"/>
    <w:rsid w:val="001E674B"/>
    <w:rsid w:val="001F06A5"/>
    <w:rsid w:val="001F6E62"/>
    <w:rsid w:val="002016BF"/>
    <w:rsid w:val="002058EF"/>
    <w:rsid w:val="0021416C"/>
    <w:rsid w:val="002142B8"/>
    <w:rsid w:val="00214533"/>
    <w:rsid w:val="00214BF5"/>
    <w:rsid w:val="002158E8"/>
    <w:rsid w:val="00217D21"/>
    <w:rsid w:val="00222A49"/>
    <w:rsid w:val="00226127"/>
    <w:rsid w:val="00231144"/>
    <w:rsid w:val="00231691"/>
    <w:rsid w:val="0023255F"/>
    <w:rsid w:val="00233877"/>
    <w:rsid w:val="0023659D"/>
    <w:rsid w:val="00237EC6"/>
    <w:rsid w:val="002455BF"/>
    <w:rsid w:val="00245DC9"/>
    <w:rsid w:val="00247312"/>
    <w:rsid w:val="00247466"/>
    <w:rsid w:val="0025395F"/>
    <w:rsid w:val="00253BE1"/>
    <w:rsid w:val="00256FC0"/>
    <w:rsid w:val="00257210"/>
    <w:rsid w:val="00257D38"/>
    <w:rsid w:val="00261343"/>
    <w:rsid w:val="00261496"/>
    <w:rsid w:val="00262DAB"/>
    <w:rsid w:val="00267263"/>
    <w:rsid w:val="00270DED"/>
    <w:rsid w:val="00273871"/>
    <w:rsid w:val="00273AAF"/>
    <w:rsid w:val="00274EB9"/>
    <w:rsid w:val="00277F24"/>
    <w:rsid w:val="00281738"/>
    <w:rsid w:val="00281FA9"/>
    <w:rsid w:val="0028350F"/>
    <w:rsid w:val="0028580B"/>
    <w:rsid w:val="0029221A"/>
    <w:rsid w:val="00294EBD"/>
    <w:rsid w:val="002A4C97"/>
    <w:rsid w:val="002B431A"/>
    <w:rsid w:val="002B5E50"/>
    <w:rsid w:val="002B70EF"/>
    <w:rsid w:val="002C5391"/>
    <w:rsid w:val="002C5645"/>
    <w:rsid w:val="002C67AD"/>
    <w:rsid w:val="002C696B"/>
    <w:rsid w:val="002D3144"/>
    <w:rsid w:val="002D329C"/>
    <w:rsid w:val="002D61CF"/>
    <w:rsid w:val="002D7762"/>
    <w:rsid w:val="002E4C7D"/>
    <w:rsid w:val="002E5542"/>
    <w:rsid w:val="002E770A"/>
    <w:rsid w:val="002F1683"/>
    <w:rsid w:val="002F1789"/>
    <w:rsid w:val="002F19DC"/>
    <w:rsid w:val="002F3C12"/>
    <w:rsid w:val="002F5B6D"/>
    <w:rsid w:val="002F73EC"/>
    <w:rsid w:val="002F7560"/>
    <w:rsid w:val="002F77AF"/>
    <w:rsid w:val="003031BB"/>
    <w:rsid w:val="00313496"/>
    <w:rsid w:val="00322642"/>
    <w:rsid w:val="00322C8A"/>
    <w:rsid w:val="00324D7B"/>
    <w:rsid w:val="00330353"/>
    <w:rsid w:val="003317CC"/>
    <w:rsid w:val="00332E9F"/>
    <w:rsid w:val="00337D01"/>
    <w:rsid w:val="003459AD"/>
    <w:rsid w:val="00346B98"/>
    <w:rsid w:val="003476E0"/>
    <w:rsid w:val="0035076B"/>
    <w:rsid w:val="003509BA"/>
    <w:rsid w:val="0035575A"/>
    <w:rsid w:val="0035634D"/>
    <w:rsid w:val="00363A85"/>
    <w:rsid w:val="00365CC4"/>
    <w:rsid w:val="00367A55"/>
    <w:rsid w:val="003701D9"/>
    <w:rsid w:val="003705F7"/>
    <w:rsid w:val="00377345"/>
    <w:rsid w:val="0038109F"/>
    <w:rsid w:val="0038182E"/>
    <w:rsid w:val="0038266F"/>
    <w:rsid w:val="00384EBA"/>
    <w:rsid w:val="00384FF3"/>
    <w:rsid w:val="00386A98"/>
    <w:rsid w:val="00393CE9"/>
    <w:rsid w:val="0039732A"/>
    <w:rsid w:val="003A1D41"/>
    <w:rsid w:val="003A2BDC"/>
    <w:rsid w:val="003A47C5"/>
    <w:rsid w:val="003B5D54"/>
    <w:rsid w:val="003C0AC9"/>
    <w:rsid w:val="003C14C3"/>
    <w:rsid w:val="003C464E"/>
    <w:rsid w:val="003C6425"/>
    <w:rsid w:val="003C6E0F"/>
    <w:rsid w:val="003D238A"/>
    <w:rsid w:val="003D457A"/>
    <w:rsid w:val="003D5714"/>
    <w:rsid w:val="003D6EF8"/>
    <w:rsid w:val="003D70C7"/>
    <w:rsid w:val="003D7B46"/>
    <w:rsid w:val="003E097B"/>
    <w:rsid w:val="003E4323"/>
    <w:rsid w:val="003E5776"/>
    <w:rsid w:val="003E793F"/>
    <w:rsid w:val="003F0954"/>
    <w:rsid w:val="003F3E50"/>
    <w:rsid w:val="003F58FE"/>
    <w:rsid w:val="0040064E"/>
    <w:rsid w:val="0040260D"/>
    <w:rsid w:val="00402919"/>
    <w:rsid w:val="00411640"/>
    <w:rsid w:val="00415963"/>
    <w:rsid w:val="00416A95"/>
    <w:rsid w:val="0042298F"/>
    <w:rsid w:val="00422D39"/>
    <w:rsid w:val="00424337"/>
    <w:rsid w:val="0042552E"/>
    <w:rsid w:val="00426764"/>
    <w:rsid w:val="00426E54"/>
    <w:rsid w:val="00426E94"/>
    <w:rsid w:val="004271A3"/>
    <w:rsid w:val="0042746B"/>
    <w:rsid w:val="004305B2"/>
    <w:rsid w:val="0043353B"/>
    <w:rsid w:val="0043483A"/>
    <w:rsid w:val="004453F8"/>
    <w:rsid w:val="00456313"/>
    <w:rsid w:val="00461B48"/>
    <w:rsid w:val="00464DAA"/>
    <w:rsid w:val="00466D7D"/>
    <w:rsid w:val="0046763A"/>
    <w:rsid w:val="0047010B"/>
    <w:rsid w:val="00477D6C"/>
    <w:rsid w:val="00480F31"/>
    <w:rsid w:val="00482768"/>
    <w:rsid w:val="00483B12"/>
    <w:rsid w:val="00487863"/>
    <w:rsid w:val="00494F9D"/>
    <w:rsid w:val="004A02B2"/>
    <w:rsid w:val="004A0DBA"/>
    <w:rsid w:val="004A0E81"/>
    <w:rsid w:val="004A2332"/>
    <w:rsid w:val="004A325D"/>
    <w:rsid w:val="004A4B4B"/>
    <w:rsid w:val="004A6689"/>
    <w:rsid w:val="004C72D3"/>
    <w:rsid w:val="004C7F59"/>
    <w:rsid w:val="004D14AD"/>
    <w:rsid w:val="004D279B"/>
    <w:rsid w:val="004F571C"/>
    <w:rsid w:val="004F77A0"/>
    <w:rsid w:val="0050117A"/>
    <w:rsid w:val="00502AA0"/>
    <w:rsid w:val="005254EA"/>
    <w:rsid w:val="00530901"/>
    <w:rsid w:val="00532233"/>
    <w:rsid w:val="0054376F"/>
    <w:rsid w:val="005442DB"/>
    <w:rsid w:val="005474A4"/>
    <w:rsid w:val="00551E18"/>
    <w:rsid w:val="00552D07"/>
    <w:rsid w:val="005715AD"/>
    <w:rsid w:val="0057313B"/>
    <w:rsid w:val="005806CF"/>
    <w:rsid w:val="00581601"/>
    <w:rsid w:val="0058518B"/>
    <w:rsid w:val="00586313"/>
    <w:rsid w:val="005910AB"/>
    <w:rsid w:val="005929DC"/>
    <w:rsid w:val="005A0173"/>
    <w:rsid w:val="005A3215"/>
    <w:rsid w:val="005A48D7"/>
    <w:rsid w:val="005A4C42"/>
    <w:rsid w:val="005A6DF5"/>
    <w:rsid w:val="005A7696"/>
    <w:rsid w:val="005A791E"/>
    <w:rsid w:val="005B1D3E"/>
    <w:rsid w:val="005B23B7"/>
    <w:rsid w:val="005B48A2"/>
    <w:rsid w:val="005C299D"/>
    <w:rsid w:val="005C4D5D"/>
    <w:rsid w:val="005D02E9"/>
    <w:rsid w:val="005D09CD"/>
    <w:rsid w:val="005D0F60"/>
    <w:rsid w:val="005D1091"/>
    <w:rsid w:val="005D1BEB"/>
    <w:rsid w:val="005D3E00"/>
    <w:rsid w:val="005D7D8E"/>
    <w:rsid w:val="005E15DE"/>
    <w:rsid w:val="005E17A0"/>
    <w:rsid w:val="005E2904"/>
    <w:rsid w:val="005E3514"/>
    <w:rsid w:val="005E3EA2"/>
    <w:rsid w:val="005E48C4"/>
    <w:rsid w:val="005E4AE2"/>
    <w:rsid w:val="005E4F00"/>
    <w:rsid w:val="005E682B"/>
    <w:rsid w:val="005F072E"/>
    <w:rsid w:val="005F0C64"/>
    <w:rsid w:val="005F6552"/>
    <w:rsid w:val="005F6EE9"/>
    <w:rsid w:val="00603D97"/>
    <w:rsid w:val="00607CAC"/>
    <w:rsid w:val="006132C0"/>
    <w:rsid w:val="00622814"/>
    <w:rsid w:val="006240CF"/>
    <w:rsid w:val="00624988"/>
    <w:rsid w:val="00626281"/>
    <w:rsid w:val="00632FD3"/>
    <w:rsid w:val="00635ED1"/>
    <w:rsid w:val="0064011D"/>
    <w:rsid w:val="00640CE0"/>
    <w:rsid w:val="006551A8"/>
    <w:rsid w:val="00656C46"/>
    <w:rsid w:val="00662139"/>
    <w:rsid w:val="006670DD"/>
    <w:rsid w:val="006722DD"/>
    <w:rsid w:val="00676D64"/>
    <w:rsid w:val="00676F7C"/>
    <w:rsid w:val="006851EC"/>
    <w:rsid w:val="00686F48"/>
    <w:rsid w:val="00692E3A"/>
    <w:rsid w:val="00693E22"/>
    <w:rsid w:val="00696493"/>
    <w:rsid w:val="00697521"/>
    <w:rsid w:val="00697DEB"/>
    <w:rsid w:val="006A095B"/>
    <w:rsid w:val="006A1C49"/>
    <w:rsid w:val="006A1D93"/>
    <w:rsid w:val="006A3D70"/>
    <w:rsid w:val="006A6F53"/>
    <w:rsid w:val="006A7EAA"/>
    <w:rsid w:val="006B43F5"/>
    <w:rsid w:val="006B5F89"/>
    <w:rsid w:val="006C062D"/>
    <w:rsid w:val="006C1653"/>
    <w:rsid w:val="006C1945"/>
    <w:rsid w:val="006C3BCD"/>
    <w:rsid w:val="006C4B87"/>
    <w:rsid w:val="006C525E"/>
    <w:rsid w:val="006C7928"/>
    <w:rsid w:val="006D3ED4"/>
    <w:rsid w:val="006D65FD"/>
    <w:rsid w:val="006D736E"/>
    <w:rsid w:val="006E1BFE"/>
    <w:rsid w:val="006E3404"/>
    <w:rsid w:val="006E5A77"/>
    <w:rsid w:val="006F0289"/>
    <w:rsid w:val="006F1346"/>
    <w:rsid w:val="006F1B8E"/>
    <w:rsid w:val="006F24EC"/>
    <w:rsid w:val="006F38D1"/>
    <w:rsid w:val="006F54EB"/>
    <w:rsid w:val="007028CA"/>
    <w:rsid w:val="0070517C"/>
    <w:rsid w:val="00707EF9"/>
    <w:rsid w:val="0073177C"/>
    <w:rsid w:val="007353A6"/>
    <w:rsid w:val="00735C79"/>
    <w:rsid w:val="00740BC6"/>
    <w:rsid w:val="007458BB"/>
    <w:rsid w:val="00747B60"/>
    <w:rsid w:val="00760CBD"/>
    <w:rsid w:val="007619E4"/>
    <w:rsid w:val="0076237B"/>
    <w:rsid w:val="0076315B"/>
    <w:rsid w:val="00765CF0"/>
    <w:rsid w:val="00773888"/>
    <w:rsid w:val="007739B4"/>
    <w:rsid w:val="00780680"/>
    <w:rsid w:val="00790C19"/>
    <w:rsid w:val="00792B7E"/>
    <w:rsid w:val="007938AC"/>
    <w:rsid w:val="007B392C"/>
    <w:rsid w:val="007B3FE6"/>
    <w:rsid w:val="007B4277"/>
    <w:rsid w:val="007B7686"/>
    <w:rsid w:val="007C018D"/>
    <w:rsid w:val="007C03E8"/>
    <w:rsid w:val="007C32B9"/>
    <w:rsid w:val="007C6C19"/>
    <w:rsid w:val="007D1C01"/>
    <w:rsid w:val="007D3034"/>
    <w:rsid w:val="007D5A83"/>
    <w:rsid w:val="007D7157"/>
    <w:rsid w:val="007E0EC3"/>
    <w:rsid w:val="007E1B08"/>
    <w:rsid w:val="007E23FE"/>
    <w:rsid w:val="007E2FE0"/>
    <w:rsid w:val="007E4A26"/>
    <w:rsid w:val="007F3D0B"/>
    <w:rsid w:val="007F3FF1"/>
    <w:rsid w:val="007F645F"/>
    <w:rsid w:val="00805D87"/>
    <w:rsid w:val="008128E7"/>
    <w:rsid w:val="00812C9C"/>
    <w:rsid w:val="0081329A"/>
    <w:rsid w:val="00816F0B"/>
    <w:rsid w:val="00817EFD"/>
    <w:rsid w:val="00820B7E"/>
    <w:rsid w:val="00825AC3"/>
    <w:rsid w:val="0082649A"/>
    <w:rsid w:val="00827727"/>
    <w:rsid w:val="00833DED"/>
    <w:rsid w:val="00836238"/>
    <w:rsid w:val="00836948"/>
    <w:rsid w:val="008421A3"/>
    <w:rsid w:val="00842B72"/>
    <w:rsid w:val="00855DF5"/>
    <w:rsid w:val="00857FE3"/>
    <w:rsid w:val="0086289B"/>
    <w:rsid w:val="00863328"/>
    <w:rsid w:val="00866119"/>
    <w:rsid w:val="008750FE"/>
    <w:rsid w:val="00876D9F"/>
    <w:rsid w:val="00880549"/>
    <w:rsid w:val="008813C4"/>
    <w:rsid w:val="008919A3"/>
    <w:rsid w:val="00897C6E"/>
    <w:rsid w:val="00897D29"/>
    <w:rsid w:val="008A060C"/>
    <w:rsid w:val="008A7AFB"/>
    <w:rsid w:val="008B218E"/>
    <w:rsid w:val="008B5E6B"/>
    <w:rsid w:val="008C0990"/>
    <w:rsid w:val="008C3B2E"/>
    <w:rsid w:val="008C4C49"/>
    <w:rsid w:val="008C6001"/>
    <w:rsid w:val="008D1F88"/>
    <w:rsid w:val="008D3DAD"/>
    <w:rsid w:val="008D4FC1"/>
    <w:rsid w:val="008D79F2"/>
    <w:rsid w:val="008E2CB7"/>
    <w:rsid w:val="008E68EA"/>
    <w:rsid w:val="008F0F86"/>
    <w:rsid w:val="008F30D0"/>
    <w:rsid w:val="008F6DBD"/>
    <w:rsid w:val="009115DA"/>
    <w:rsid w:val="0091465D"/>
    <w:rsid w:val="00915DC2"/>
    <w:rsid w:val="009163E4"/>
    <w:rsid w:val="009210A1"/>
    <w:rsid w:val="0092382B"/>
    <w:rsid w:val="00924A2B"/>
    <w:rsid w:val="00931C19"/>
    <w:rsid w:val="00934710"/>
    <w:rsid w:val="009429DF"/>
    <w:rsid w:val="00942F20"/>
    <w:rsid w:val="009430E0"/>
    <w:rsid w:val="009464CC"/>
    <w:rsid w:val="00947506"/>
    <w:rsid w:val="009510FC"/>
    <w:rsid w:val="00951A05"/>
    <w:rsid w:val="00952916"/>
    <w:rsid w:val="009545E8"/>
    <w:rsid w:val="00954670"/>
    <w:rsid w:val="0096022E"/>
    <w:rsid w:val="009652FF"/>
    <w:rsid w:val="00965B39"/>
    <w:rsid w:val="00965CA3"/>
    <w:rsid w:val="009723FB"/>
    <w:rsid w:val="00972670"/>
    <w:rsid w:val="0097381B"/>
    <w:rsid w:val="00980697"/>
    <w:rsid w:val="00980F90"/>
    <w:rsid w:val="00982319"/>
    <w:rsid w:val="00982506"/>
    <w:rsid w:val="009857BA"/>
    <w:rsid w:val="00985C9C"/>
    <w:rsid w:val="0099197C"/>
    <w:rsid w:val="00991EA4"/>
    <w:rsid w:val="00992B4C"/>
    <w:rsid w:val="009A07C8"/>
    <w:rsid w:val="009A3972"/>
    <w:rsid w:val="009A56CC"/>
    <w:rsid w:val="009B33BC"/>
    <w:rsid w:val="009B4526"/>
    <w:rsid w:val="009B6A51"/>
    <w:rsid w:val="009B7368"/>
    <w:rsid w:val="009C0244"/>
    <w:rsid w:val="009C0962"/>
    <w:rsid w:val="009C6E0C"/>
    <w:rsid w:val="009D1A95"/>
    <w:rsid w:val="009D4D3B"/>
    <w:rsid w:val="009D4FCE"/>
    <w:rsid w:val="009E3B2F"/>
    <w:rsid w:val="009E4AAD"/>
    <w:rsid w:val="009E5FFA"/>
    <w:rsid w:val="009F1AA8"/>
    <w:rsid w:val="009F3143"/>
    <w:rsid w:val="009F56BE"/>
    <w:rsid w:val="009F748A"/>
    <w:rsid w:val="009F7B93"/>
    <w:rsid w:val="00A0029B"/>
    <w:rsid w:val="00A01076"/>
    <w:rsid w:val="00A03624"/>
    <w:rsid w:val="00A04CB5"/>
    <w:rsid w:val="00A111A5"/>
    <w:rsid w:val="00A131B5"/>
    <w:rsid w:val="00A15936"/>
    <w:rsid w:val="00A226AC"/>
    <w:rsid w:val="00A307DE"/>
    <w:rsid w:val="00A41E0C"/>
    <w:rsid w:val="00A45B2C"/>
    <w:rsid w:val="00A47036"/>
    <w:rsid w:val="00A50B71"/>
    <w:rsid w:val="00A52C21"/>
    <w:rsid w:val="00A55AE6"/>
    <w:rsid w:val="00A5724A"/>
    <w:rsid w:val="00A602EC"/>
    <w:rsid w:val="00A6049C"/>
    <w:rsid w:val="00A625B7"/>
    <w:rsid w:val="00A722AA"/>
    <w:rsid w:val="00A74678"/>
    <w:rsid w:val="00A75467"/>
    <w:rsid w:val="00A76ADE"/>
    <w:rsid w:val="00A820B4"/>
    <w:rsid w:val="00A84D62"/>
    <w:rsid w:val="00A852F3"/>
    <w:rsid w:val="00A863B5"/>
    <w:rsid w:val="00A87C86"/>
    <w:rsid w:val="00AA414B"/>
    <w:rsid w:val="00AA47D7"/>
    <w:rsid w:val="00AA557B"/>
    <w:rsid w:val="00AA7949"/>
    <w:rsid w:val="00AB0574"/>
    <w:rsid w:val="00AB0F57"/>
    <w:rsid w:val="00AB6824"/>
    <w:rsid w:val="00AB70DD"/>
    <w:rsid w:val="00AC0995"/>
    <w:rsid w:val="00AC4302"/>
    <w:rsid w:val="00AC7123"/>
    <w:rsid w:val="00AC7F96"/>
    <w:rsid w:val="00AD069B"/>
    <w:rsid w:val="00AD4FA0"/>
    <w:rsid w:val="00AE7E3C"/>
    <w:rsid w:val="00AF3C99"/>
    <w:rsid w:val="00AF3DFC"/>
    <w:rsid w:val="00AF53D3"/>
    <w:rsid w:val="00AF7C87"/>
    <w:rsid w:val="00B01960"/>
    <w:rsid w:val="00B01C41"/>
    <w:rsid w:val="00B06295"/>
    <w:rsid w:val="00B07089"/>
    <w:rsid w:val="00B103AD"/>
    <w:rsid w:val="00B20C94"/>
    <w:rsid w:val="00B20ECE"/>
    <w:rsid w:val="00B211A8"/>
    <w:rsid w:val="00B21D8D"/>
    <w:rsid w:val="00B331E8"/>
    <w:rsid w:val="00B33EF4"/>
    <w:rsid w:val="00B33FFA"/>
    <w:rsid w:val="00B340C4"/>
    <w:rsid w:val="00B372B4"/>
    <w:rsid w:val="00B40C25"/>
    <w:rsid w:val="00B42126"/>
    <w:rsid w:val="00B42204"/>
    <w:rsid w:val="00B43C9A"/>
    <w:rsid w:val="00B44CD4"/>
    <w:rsid w:val="00B471AC"/>
    <w:rsid w:val="00B53B7D"/>
    <w:rsid w:val="00B5500F"/>
    <w:rsid w:val="00B73208"/>
    <w:rsid w:val="00B75F2E"/>
    <w:rsid w:val="00B77408"/>
    <w:rsid w:val="00B80632"/>
    <w:rsid w:val="00B840B0"/>
    <w:rsid w:val="00B86FC7"/>
    <w:rsid w:val="00B87561"/>
    <w:rsid w:val="00B87A3C"/>
    <w:rsid w:val="00B87E91"/>
    <w:rsid w:val="00B93F35"/>
    <w:rsid w:val="00B945F5"/>
    <w:rsid w:val="00B94DEC"/>
    <w:rsid w:val="00B958DE"/>
    <w:rsid w:val="00B97B90"/>
    <w:rsid w:val="00BA26B6"/>
    <w:rsid w:val="00BA3945"/>
    <w:rsid w:val="00BA43DA"/>
    <w:rsid w:val="00BA6594"/>
    <w:rsid w:val="00BA66B2"/>
    <w:rsid w:val="00BB1880"/>
    <w:rsid w:val="00BB28BE"/>
    <w:rsid w:val="00BB374D"/>
    <w:rsid w:val="00BC4B30"/>
    <w:rsid w:val="00BC4DF6"/>
    <w:rsid w:val="00BC7A6E"/>
    <w:rsid w:val="00BD1967"/>
    <w:rsid w:val="00BD3E69"/>
    <w:rsid w:val="00BE1F1A"/>
    <w:rsid w:val="00BE3A80"/>
    <w:rsid w:val="00BE49DF"/>
    <w:rsid w:val="00BF7339"/>
    <w:rsid w:val="00C04C7F"/>
    <w:rsid w:val="00C04F98"/>
    <w:rsid w:val="00C0681F"/>
    <w:rsid w:val="00C11409"/>
    <w:rsid w:val="00C17581"/>
    <w:rsid w:val="00C209E9"/>
    <w:rsid w:val="00C22B98"/>
    <w:rsid w:val="00C2318A"/>
    <w:rsid w:val="00C27B04"/>
    <w:rsid w:val="00C3107E"/>
    <w:rsid w:val="00C312D5"/>
    <w:rsid w:val="00C31C4C"/>
    <w:rsid w:val="00C34DD2"/>
    <w:rsid w:val="00C352EB"/>
    <w:rsid w:val="00C360ED"/>
    <w:rsid w:val="00C439F4"/>
    <w:rsid w:val="00C554B6"/>
    <w:rsid w:val="00C6075D"/>
    <w:rsid w:val="00C61C36"/>
    <w:rsid w:val="00C63C13"/>
    <w:rsid w:val="00C643D9"/>
    <w:rsid w:val="00C659EF"/>
    <w:rsid w:val="00C65D59"/>
    <w:rsid w:val="00C706AB"/>
    <w:rsid w:val="00C70B62"/>
    <w:rsid w:val="00C7431A"/>
    <w:rsid w:val="00C7726F"/>
    <w:rsid w:val="00C8287E"/>
    <w:rsid w:val="00C837C1"/>
    <w:rsid w:val="00C84A44"/>
    <w:rsid w:val="00C856CD"/>
    <w:rsid w:val="00C87907"/>
    <w:rsid w:val="00C9002C"/>
    <w:rsid w:val="00C91E86"/>
    <w:rsid w:val="00C9476D"/>
    <w:rsid w:val="00C978DC"/>
    <w:rsid w:val="00CA02F3"/>
    <w:rsid w:val="00CA0ADB"/>
    <w:rsid w:val="00CA184D"/>
    <w:rsid w:val="00CA3213"/>
    <w:rsid w:val="00CA5915"/>
    <w:rsid w:val="00CA709F"/>
    <w:rsid w:val="00CA7135"/>
    <w:rsid w:val="00CA75FD"/>
    <w:rsid w:val="00CB2371"/>
    <w:rsid w:val="00CB3350"/>
    <w:rsid w:val="00CB4394"/>
    <w:rsid w:val="00CB7206"/>
    <w:rsid w:val="00CC0020"/>
    <w:rsid w:val="00CC0276"/>
    <w:rsid w:val="00CC1F85"/>
    <w:rsid w:val="00CC49F2"/>
    <w:rsid w:val="00CC65CC"/>
    <w:rsid w:val="00CD00A0"/>
    <w:rsid w:val="00CD30C4"/>
    <w:rsid w:val="00CD7664"/>
    <w:rsid w:val="00CE27F6"/>
    <w:rsid w:val="00CE384C"/>
    <w:rsid w:val="00CE7184"/>
    <w:rsid w:val="00CF1A97"/>
    <w:rsid w:val="00CF5103"/>
    <w:rsid w:val="00D01E88"/>
    <w:rsid w:val="00D027C6"/>
    <w:rsid w:val="00D0719D"/>
    <w:rsid w:val="00D1033A"/>
    <w:rsid w:val="00D1193B"/>
    <w:rsid w:val="00D124B9"/>
    <w:rsid w:val="00D13787"/>
    <w:rsid w:val="00D145FB"/>
    <w:rsid w:val="00D168BC"/>
    <w:rsid w:val="00D20319"/>
    <w:rsid w:val="00D20518"/>
    <w:rsid w:val="00D21065"/>
    <w:rsid w:val="00D2347E"/>
    <w:rsid w:val="00D24CEE"/>
    <w:rsid w:val="00D31F21"/>
    <w:rsid w:val="00D33908"/>
    <w:rsid w:val="00D3491A"/>
    <w:rsid w:val="00D40CA2"/>
    <w:rsid w:val="00D41E4A"/>
    <w:rsid w:val="00D43E43"/>
    <w:rsid w:val="00D44718"/>
    <w:rsid w:val="00D51A59"/>
    <w:rsid w:val="00D524F1"/>
    <w:rsid w:val="00D52C6D"/>
    <w:rsid w:val="00D55420"/>
    <w:rsid w:val="00D560EC"/>
    <w:rsid w:val="00D640CD"/>
    <w:rsid w:val="00D65239"/>
    <w:rsid w:val="00D67AE4"/>
    <w:rsid w:val="00D75A5B"/>
    <w:rsid w:val="00D800FC"/>
    <w:rsid w:val="00D8049F"/>
    <w:rsid w:val="00D806E7"/>
    <w:rsid w:val="00D85B0D"/>
    <w:rsid w:val="00D911AF"/>
    <w:rsid w:val="00D91739"/>
    <w:rsid w:val="00D95FAF"/>
    <w:rsid w:val="00DA51F5"/>
    <w:rsid w:val="00DB496B"/>
    <w:rsid w:val="00DB52AA"/>
    <w:rsid w:val="00DB5A8E"/>
    <w:rsid w:val="00DC1106"/>
    <w:rsid w:val="00DC39E4"/>
    <w:rsid w:val="00DC5E69"/>
    <w:rsid w:val="00DD33E7"/>
    <w:rsid w:val="00DD478C"/>
    <w:rsid w:val="00DE3323"/>
    <w:rsid w:val="00DE6573"/>
    <w:rsid w:val="00DE7D1D"/>
    <w:rsid w:val="00DF2F1A"/>
    <w:rsid w:val="00DF5638"/>
    <w:rsid w:val="00DF5CF4"/>
    <w:rsid w:val="00DF7222"/>
    <w:rsid w:val="00DF7CD1"/>
    <w:rsid w:val="00E05D2E"/>
    <w:rsid w:val="00E07306"/>
    <w:rsid w:val="00E10E0B"/>
    <w:rsid w:val="00E15104"/>
    <w:rsid w:val="00E16577"/>
    <w:rsid w:val="00E23944"/>
    <w:rsid w:val="00E241B8"/>
    <w:rsid w:val="00E2590E"/>
    <w:rsid w:val="00E259EB"/>
    <w:rsid w:val="00E27438"/>
    <w:rsid w:val="00E300F0"/>
    <w:rsid w:val="00E30B66"/>
    <w:rsid w:val="00E30D9F"/>
    <w:rsid w:val="00E34513"/>
    <w:rsid w:val="00E34FFA"/>
    <w:rsid w:val="00E36684"/>
    <w:rsid w:val="00E402F6"/>
    <w:rsid w:val="00E40964"/>
    <w:rsid w:val="00E41FCF"/>
    <w:rsid w:val="00E42D95"/>
    <w:rsid w:val="00E4713D"/>
    <w:rsid w:val="00E508AC"/>
    <w:rsid w:val="00E53597"/>
    <w:rsid w:val="00E57A20"/>
    <w:rsid w:val="00E60C89"/>
    <w:rsid w:val="00E61ECF"/>
    <w:rsid w:val="00E640FF"/>
    <w:rsid w:val="00E70CE3"/>
    <w:rsid w:val="00E720AB"/>
    <w:rsid w:val="00E739B5"/>
    <w:rsid w:val="00E756E4"/>
    <w:rsid w:val="00E837AD"/>
    <w:rsid w:val="00E86E4F"/>
    <w:rsid w:val="00E9047F"/>
    <w:rsid w:val="00E9136D"/>
    <w:rsid w:val="00E93056"/>
    <w:rsid w:val="00EA0605"/>
    <w:rsid w:val="00EA06A6"/>
    <w:rsid w:val="00EA1F05"/>
    <w:rsid w:val="00EA217B"/>
    <w:rsid w:val="00EA6CB8"/>
    <w:rsid w:val="00EA7EC7"/>
    <w:rsid w:val="00EB2769"/>
    <w:rsid w:val="00EB45A3"/>
    <w:rsid w:val="00EB5A98"/>
    <w:rsid w:val="00EB7A98"/>
    <w:rsid w:val="00EC0EC6"/>
    <w:rsid w:val="00EC17BF"/>
    <w:rsid w:val="00EC1D34"/>
    <w:rsid w:val="00EC248A"/>
    <w:rsid w:val="00EC5225"/>
    <w:rsid w:val="00EC661F"/>
    <w:rsid w:val="00ED20FD"/>
    <w:rsid w:val="00ED27C5"/>
    <w:rsid w:val="00ED748C"/>
    <w:rsid w:val="00ED75DC"/>
    <w:rsid w:val="00ED7A53"/>
    <w:rsid w:val="00EE0D8E"/>
    <w:rsid w:val="00EE100E"/>
    <w:rsid w:val="00EE14C8"/>
    <w:rsid w:val="00EF079C"/>
    <w:rsid w:val="00EF0ED2"/>
    <w:rsid w:val="00EF4A3A"/>
    <w:rsid w:val="00F0119A"/>
    <w:rsid w:val="00F029D2"/>
    <w:rsid w:val="00F04016"/>
    <w:rsid w:val="00F0590E"/>
    <w:rsid w:val="00F102EF"/>
    <w:rsid w:val="00F13460"/>
    <w:rsid w:val="00F14893"/>
    <w:rsid w:val="00F14A0A"/>
    <w:rsid w:val="00F20B55"/>
    <w:rsid w:val="00F213A4"/>
    <w:rsid w:val="00F25AFC"/>
    <w:rsid w:val="00F31A14"/>
    <w:rsid w:val="00F341D7"/>
    <w:rsid w:val="00F36047"/>
    <w:rsid w:val="00F36AF4"/>
    <w:rsid w:val="00F37A30"/>
    <w:rsid w:val="00F41457"/>
    <w:rsid w:val="00F4263A"/>
    <w:rsid w:val="00F43A0E"/>
    <w:rsid w:val="00F442DD"/>
    <w:rsid w:val="00F4660A"/>
    <w:rsid w:val="00F47C6D"/>
    <w:rsid w:val="00F5031E"/>
    <w:rsid w:val="00F50BF8"/>
    <w:rsid w:val="00F54FC7"/>
    <w:rsid w:val="00F56828"/>
    <w:rsid w:val="00F67B5B"/>
    <w:rsid w:val="00F704BF"/>
    <w:rsid w:val="00F72ECC"/>
    <w:rsid w:val="00F8016A"/>
    <w:rsid w:val="00F85C6D"/>
    <w:rsid w:val="00F87ED7"/>
    <w:rsid w:val="00F916A3"/>
    <w:rsid w:val="00F93934"/>
    <w:rsid w:val="00F95FF5"/>
    <w:rsid w:val="00F97F43"/>
    <w:rsid w:val="00FA17F9"/>
    <w:rsid w:val="00FA2CE3"/>
    <w:rsid w:val="00FA6841"/>
    <w:rsid w:val="00FB1C3C"/>
    <w:rsid w:val="00FB276D"/>
    <w:rsid w:val="00FB56EB"/>
    <w:rsid w:val="00FB75D8"/>
    <w:rsid w:val="00FB7878"/>
    <w:rsid w:val="00FC06F1"/>
    <w:rsid w:val="00FC3058"/>
    <w:rsid w:val="00FC6C1C"/>
    <w:rsid w:val="00FD015F"/>
    <w:rsid w:val="00FD0B91"/>
    <w:rsid w:val="00FD4038"/>
    <w:rsid w:val="00FD51D8"/>
    <w:rsid w:val="00FD5902"/>
    <w:rsid w:val="00FD6759"/>
    <w:rsid w:val="00FE048C"/>
    <w:rsid w:val="00FE0893"/>
    <w:rsid w:val="00FF0BBA"/>
    <w:rsid w:val="00FF3268"/>
    <w:rsid w:val="044C1BF4"/>
    <w:rsid w:val="04701149"/>
    <w:rsid w:val="063412BA"/>
    <w:rsid w:val="08C34BBF"/>
    <w:rsid w:val="08E77320"/>
    <w:rsid w:val="092727C0"/>
    <w:rsid w:val="093D3223"/>
    <w:rsid w:val="0A3D1174"/>
    <w:rsid w:val="0BC2774A"/>
    <w:rsid w:val="0BF14EFC"/>
    <w:rsid w:val="0F547364"/>
    <w:rsid w:val="0FEC61F7"/>
    <w:rsid w:val="10061B45"/>
    <w:rsid w:val="10526028"/>
    <w:rsid w:val="106A2B50"/>
    <w:rsid w:val="10C73E3C"/>
    <w:rsid w:val="11433F8B"/>
    <w:rsid w:val="133C59A8"/>
    <w:rsid w:val="13E56A59"/>
    <w:rsid w:val="16E252A9"/>
    <w:rsid w:val="184C73A4"/>
    <w:rsid w:val="186A5605"/>
    <w:rsid w:val="194B54E8"/>
    <w:rsid w:val="19A660C9"/>
    <w:rsid w:val="1BC215D5"/>
    <w:rsid w:val="1DF439BE"/>
    <w:rsid w:val="1FFB4A19"/>
    <w:rsid w:val="21867A05"/>
    <w:rsid w:val="22147659"/>
    <w:rsid w:val="222571AB"/>
    <w:rsid w:val="222B18ED"/>
    <w:rsid w:val="225E2295"/>
    <w:rsid w:val="234B4182"/>
    <w:rsid w:val="23554F21"/>
    <w:rsid w:val="255404F1"/>
    <w:rsid w:val="26847CE6"/>
    <w:rsid w:val="280753A6"/>
    <w:rsid w:val="282009C2"/>
    <w:rsid w:val="299A1F81"/>
    <w:rsid w:val="2B3776E5"/>
    <w:rsid w:val="2B696F85"/>
    <w:rsid w:val="2C372F57"/>
    <w:rsid w:val="2E804559"/>
    <w:rsid w:val="2E892267"/>
    <w:rsid w:val="31C72A95"/>
    <w:rsid w:val="328C637F"/>
    <w:rsid w:val="33403E66"/>
    <w:rsid w:val="35AF7627"/>
    <w:rsid w:val="35D16999"/>
    <w:rsid w:val="35D36382"/>
    <w:rsid w:val="367B6FB5"/>
    <w:rsid w:val="39C0288B"/>
    <w:rsid w:val="3A554965"/>
    <w:rsid w:val="3AA06270"/>
    <w:rsid w:val="3B007157"/>
    <w:rsid w:val="3B561D9F"/>
    <w:rsid w:val="3DCF3762"/>
    <w:rsid w:val="3EC610F2"/>
    <w:rsid w:val="4023388C"/>
    <w:rsid w:val="402C30CE"/>
    <w:rsid w:val="40E1077D"/>
    <w:rsid w:val="425D755A"/>
    <w:rsid w:val="47011269"/>
    <w:rsid w:val="47E03E04"/>
    <w:rsid w:val="483C52E0"/>
    <w:rsid w:val="497D1385"/>
    <w:rsid w:val="4A590F64"/>
    <w:rsid w:val="4C7D2384"/>
    <w:rsid w:val="5001286B"/>
    <w:rsid w:val="50F347C4"/>
    <w:rsid w:val="51240A75"/>
    <w:rsid w:val="55BA1450"/>
    <w:rsid w:val="55D9281E"/>
    <w:rsid w:val="56FD343E"/>
    <w:rsid w:val="584D69C9"/>
    <w:rsid w:val="5954721A"/>
    <w:rsid w:val="59790718"/>
    <w:rsid w:val="59CE1A0F"/>
    <w:rsid w:val="59D900ED"/>
    <w:rsid w:val="5BE81608"/>
    <w:rsid w:val="605162C2"/>
    <w:rsid w:val="619B6B1B"/>
    <w:rsid w:val="61FA2BD4"/>
    <w:rsid w:val="62C075B5"/>
    <w:rsid w:val="62F315A2"/>
    <w:rsid w:val="67531826"/>
    <w:rsid w:val="68D34903"/>
    <w:rsid w:val="6D6A2C5E"/>
    <w:rsid w:val="6FD15E60"/>
    <w:rsid w:val="70253CA1"/>
    <w:rsid w:val="70552D71"/>
    <w:rsid w:val="71DF161A"/>
    <w:rsid w:val="727A7B45"/>
    <w:rsid w:val="74822D12"/>
    <w:rsid w:val="75C4732A"/>
    <w:rsid w:val="787D0AF9"/>
    <w:rsid w:val="79220AC7"/>
    <w:rsid w:val="79C577F8"/>
    <w:rsid w:val="7AB651E7"/>
    <w:rsid w:val="7D0B56CC"/>
    <w:rsid w:val="7FE8189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qFormat="1" w:uiPriority="99"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qFormat="1" w:unhideWhenUsed="0" w:uiPriority="0" w:semiHidden="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4"/>
    <w:qFormat/>
    <w:uiPriority w:val="9"/>
    <w:pPr>
      <w:keepNext/>
      <w:keepLines/>
      <w:spacing w:beforeLines="150" w:line="360" w:lineRule="auto"/>
      <w:jc w:val="left"/>
      <w:outlineLvl w:val="0"/>
    </w:pPr>
    <w:rPr>
      <w:rFonts w:eastAsia="微软雅黑"/>
      <w:b/>
      <w:bCs/>
      <w:kern w:val="44"/>
      <w:szCs w:val="44"/>
    </w:rPr>
  </w:style>
  <w:style w:type="paragraph" w:styleId="4">
    <w:name w:val="heading 2"/>
    <w:basedOn w:val="1"/>
    <w:next w:val="1"/>
    <w:link w:val="75"/>
    <w:qFormat/>
    <w:uiPriority w:val="9"/>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5">
    <w:name w:val="heading 3"/>
    <w:basedOn w:val="1"/>
    <w:next w:val="1"/>
    <w:link w:val="77"/>
    <w:qFormat/>
    <w:uiPriority w:val="9"/>
    <w:pPr>
      <w:keepNext/>
      <w:keepLines/>
      <w:spacing w:before="260" w:after="260" w:line="360" w:lineRule="auto"/>
      <w:ind w:firstLine="602" w:firstLineChars="200"/>
      <w:outlineLvl w:val="2"/>
    </w:pPr>
    <w:rPr>
      <w:rFonts w:ascii="仿宋_GB2312" w:eastAsia="仿宋_GB2312"/>
      <w:b/>
      <w:bCs/>
      <w:sz w:val="30"/>
      <w:szCs w:val="20"/>
    </w:rPr>
  </w:style>
  <w:style w:type="paragraph" w:styleId="6">
    <w:name w:val="heading 4"/>
    <w:basedOn w:val="1"/>
    <w:next w:val="1"/>
    <w:link w:val="78"/>
    <w:qFormat/>
    <w:uiPriority w:val="0"/>
    <w:pPr>
      <w:keepNext/>
      <w:keepLines/>
      <w:spacing w:before="280" w:after="290" w:line="372" w:lineRule="auto"/>
      <w:outlineLvl w:val="3"/>
    </w:pPr>
    <w:rPr>
      <w:rFonts w:ascii="Arial" w:hAnsi="Arial" w:eastAsia="黑体"/>
      <w:b/>
      <w:bCs/>
      <w:sz w:val="28"/>
      <w:szCs w:val="28"/>
    </w:rPr>
  </w:style>
  <w:style w:type="paragraph" w:styleId="7">
    <w:name w:val="heading 5"/>
    <w:basedOn w:val="1"/>
    <w:next w:val="1"/>
    <w:link w:val="79"/>
    <w:qFormat/>
    <w:uiPriority w:val="9"/>
    <w:pPr>
      <w:keepNext/>
      <w:keepLines/>
      <w:spacing w:before="280" w:after="290" w:line="376" w:lineRule="auto"/>
      <w:outlineLvl w:val="4"/>
    </w:pPr>
    <w:rPr>
      <w:rFonts w:ascii="Calibri" w:hAnsi="Calibri"/>
      <w:b/>
      <w:bCs/>
      <w:sz w:val="28"/>
      <w:szCs w:val="28"/>
    </w:rPr>
  </w:style>
  <w:style w:type="paragraph" w:styleId="8">
    <w:name w:val="heading 6"/>
    <w:basedOn w:val="1"/>
    <w:next w:val="1"/>
    <w:link w:val="80"/>
    <w:qFormat/>
    <w:uiPriority w:val="0"/>
    <w:pPr>
      <w:keepNext/>
      <w:keepLines/>
      <w:spacing w:before="240" w:after="64" w:line="320" w:lineRule="auto"/>
      <w:outlineLvl w:val="5"/>
    </w:pPr>
    <w:rPr>
      <w:rFonts w:ascii="Cambria" w:hAnsi="Cambria"/>
      <w:b/>
      <w:bCs/>
      <w:sz w:val="24"/>
    </w:rPr>
  </w:style>
  <w:style w:type="paragraph" w:styleId="9">
    <w:name w:val="heading 7"/>
    <w:basedOn w:val="1"/>
    <w:next w:val="1"/>
    <w:link w:val="81"/>
    <w:qFormat/>
    <w:uiPriority w:val="0"/>
    <w:pPr>
      <w:keepNext/>
      <w:keepLines/>
      <w:spacing w:before="240" w:after="64" w:line="320" w:lineRule="auto"/>
      <w:ind w:left="1296" w:hanging="1296"/>
      <w:outlineLvl w:val="6"/>
    </w:pPr>
    <w:rPr>
      <w:b/>
      <w:bCs/>
      <w:sz w:val="24"/>
    </w:rPr>
  </w:style>
  <w:style w:type="paragraph" w:styleId="10">
    <w:name w:val="heading 8"/>
    <w:basedOn w:val="1"/>
    <w:next w:val="1"/>
    <w:link w:val="82"/>
    <w:qFormat/>
    <w:uiPriority w:val="0"/>
    <w:pPr>
      <w:keepNext/>
      <w:keepLines/>
      <w:spacing w:before="240" w:after="64" w:line="320" w:lineRule="auto"/>
      <w:ind w:left="1440" w:hanging="1440"/>
      <w:outlineLvl w:val="7"/>
    </w:pPr>
    <w:rPr>
      <w:rFonts w:ascii="Cambria" w:hAnsi="Cambria"/>
      <w:sz w:val="24"/>
    </w:rPr>
  </w:style>
  <w:style w:type="paragraph" w:styleId="11">
    <w:name w:val="heading 9"/>
    <w:basedOn w:val="1"/>
    <w:next w:val="1"/>
    <w:link w:val="83"/>
    <w:qFormat/>
    <w:uiPriority w:val="0"/>
    <w:pPr>
      <w:keepNext/>
      <w:keepLines/>
      <w:spacing w:before="240" w:after="64" w:line="320" w:lineRule="auto"/>
      <w:ind w:left="1584" w:hanging="1584"/>
      <w:outlineLvl w:val="8"/>
    </w:pPr>
    <w:rPr>
      <w:rFonts w:ascii="Cambria" w:hAnsi="Cambria"/>
    </w:rPr>
  </w:style>
  <w:style w:type="character" w:default="1" w:styleId="58">
    <w:name w:val="Default Paragraph Font"/>
    <w:semiHidden/>
    <w:unhideWhenUsed/>
    <w:qFormat/>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customStyle="1" w:styleId="2">
    <w:name w:val="Heading2"/>
    <w:basedOn w:val="1"/>
    <w:next w:val="1"/>
    <w:qFormat/>
    <w:uiPriority w:val="0"/>
    <w:pPr>
      <w:keepNext/>
      <w:keepLines/>
      <w:spacing w:before="260" w:after="260" w:line="416" w:lineRule="auto"/>
    </w:pPr>
    <w:rPr>
      <w:rFonts w:ascii="Cambria" w:hAnsi="Cambria"/>
      <w:sz w:val="32"/>
      <w:szCs w:val="32"/>
    </w:rPr>
  </w:style>
  <w:style w:type="paragraph" w:styleId="12">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13">
    <w:name w:val="Note Heading"/>
    <w:basedOn w:val="1"/>
    <w:next w:val="1"/>
    <w:link w:val="387"/>
    <w:qFormat/>
    <w:uiPriority w:val="0"/>
    <w:pPr>
      <w:spacing w:after="0" w:line="360" w:lineRule="auto"/>
      <w:jc w:val="center"/>
    </w:pPr>
    <w:rPr>
      <w:rFonts w:ascii="DFKai-SB" w:hAnsi="DFKai-SB" w:eastAsia="DFKai-SB"/>
      <w:kern w:val="0"/>
      <w:sz w:val="20"/>
      <w:szCs w:val="20"/>
    </w:rPr>
  </w:style>
  <w:style w:type="paragraph" w:styleId="14">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5">
    <w:name w:val="Normal Indent"/>
    <w:basedOn w:val="1"/>
    <w:link w:val="76"/>
    <w:qFormat/>
    <w:uiPriority w:val="0"/>
    <w:pPr>
      <w:ind w:firstLine="420"/>
    </w:pPr>
    <w:rPr>
      <w:szCs w:val="20"/>
    </w:rPr>
  </w:style>
  <w:style w:type="paragraph" w:styleId="16">
    <w:name w:val="caption"/>
    <w:basedOn w:val="1"/>
    <w:next w:val="1"/>
    <w:link w:val="261"/>
    <w:qFormat/>
    <w:uiPriority w:val="0"/>
    <w:pPr>
      <w:spacing w:before="152"/>
    </w:pPr>
    <w:rPr>
      <w:rFonts w:ascii="Arial" w:hAnsi="Arial" w:eastAsia="黑体" w:cs="Arial"/>
      <w:sz w:val="20"/>
      <w:szCs w:val="20"/>
    </w:rPr>
  </w:style>
  <w:style w:type="paragraph" w:styleId="17">
    <w:name w:val="Document Map"/>
    <w:basedOn w:val="1"/>
    <w:link w:val="122"/>
    <w:qFormat/>
    <w:uiPriority w:val="0"/>
    <w:pPr>
      <w:shd w:val="clear" w:color="auto" w:fill="000080"/>
    </w:pPr>
  </w:style>
  <w:style w:type="paragraph" w:styleId="18">
    <w:name w:val="annotation text"/>
    <w:basedOn w:val="1"/>
    <w:link w:val="116"/>
    <w:qFormat/>
    <w:uiPriority w:val="99"/>
    <w:pPr>
      <w:jc w:val="left"/>
    </w:pPr>
  </w:style>
  <w:style w:type="paragraph" w:styleId="19">
    <w:name w:val="Body Text 3"/>
    <w:basedOn w:val="1"/>
    <w:link w:val="102"/>
    <w:qFormat/>
    <w:uiPriority w:val="99"/>
    <w:pPr>
      <w:spacing w:after="120"/>
    </w:pPr>
    <w:rPr>
      <w:sz w:val="16"/>
      <w:szCs w:val="16"/>
    </w:rPr>
  </w:style>
  <w:style w:type="paragraph" w:styleId="20">
    <w:name w:val="Body Text"/>
    <w:basedOn w:val="1"/>
    <w:next w:val="21"/>
    <w:link w:val="91"/>
    <w:qFormat/>
    <w:uiPriority w:val="0"/>
    <w:pPr>
      <w:spacing w:after="120"/>
    </w:pPr>
  </w:style>
  <w:style w:type="paragraph" w:styleId="21">
    <w:name w:val="Body Text First Indent"/>
    <w:basedOn w:val="20"/>
    <w:next w:val="1"/>
    <w:link w:val="90"/>
    <w:unhideWhenUsed/>
    <w:qFormat/>
    <w:uiPriority w:val="0"/>
    <w:pPr>
      <w:ind w:firstLine="420" w:firstLineChars="100"/>
    </w:pPr>
    <w:rPr>
      <w:rFonts w:ascii="Calibri" w:hAnsi="Calibri"/>
    </w:rPr>
  </w:style>
  <w:style w:type="paragraph" w:styleId="22">
    <w:name w:val="Body Text Indent"/>
    <w:basedOn w:val="1"/>
    <w:link w:val="100"/>
    <w:qFormat/>
    <w:uiPriority w:val="99"/>
    <w:pPr>
      <w:spacing w:line="200" w:lineRule="exact"/>
      <w:ind w:firstLine="301"/>
    </w:pPr>
    <w:rPr>
      <w:rFonts w:ascii="宋体" w:hAnsi="Courier New"/>
      <w:spacing w:val="-4"/>
      <w:sz w:val="18"/>
      <w:szCs w:val="20"/>
    </w:rPr>
  </w:style>
  <w:style w:type="paragraph" w:styleId="23">
    <w:name w:val="List Number 3"/>
    <w:basedOn w:val="1"/>
    <w:qFormat/>
    <w:uiPriority w:val="0"/>
    <w:pPr>
      <w:tabs>
        <w:tab w:val="left" w:pos="1200"/>
      </w:tabs>
      <w:spacing w:after="0" w:line="240" w:lineRule="auto"/>
      <w:ind w:left="765" w:hanging="360"/>
    </w:pPr>
  </w:style>
  <w:style w:type="paragraph" w:styleId="24">
    <w:name w:val="List 2"/>
    <w:basedOn w:val="1"/>
    <w:qFormat/>
    <w:uiPriority w:val="0"/>
    <w:pPr>
      <w:ind w:left="100" w:leftChars="200" w:hanging="200" w:hangingChars="200"/>
    </w:pPr>
  </w:style>
  <w:style w:type="paragraph" w:styleId="25">
    <w:name w:val="List Continue"/>
    <w:basedOn w:val="1"/>
    <w:qFormat/>
    <w:uiPriority w:val="0"/>
    <w:pPr>
      <w:spacing w:after="120" w:line="360" w:lineRule="auto"/>
      <w:ind w:left="420" w:leftChars="200"/>
      <w:contextualSpacing/>
    </w:pPr>
  </w:style>
  <w:style w:type="paragraph" w:styleId="26">
    <w:name w:val="Block Text"/>
    <w:basedOn w:val="1"/>
    <w:qFormat/>
    <w:uiPriority w:val="0"/>
    <w:pPr>
      <w:spacing w:after="0" w:line="360" w:lineRule="auto"/>
      <w:ind w:left="420" w:right="-159" w:firstLine="420"/>
    </w:pPr>
  </w:style>
  <w:style w:type="paragraph" w:styleId="27">
    <w:name w:val="List Bullet 2"/>
    <w:basedOn w:val="1"/>
    <w:semiHidden/>
    <w:unhideWhenUsed/>
    <w:qFormat/>
    <w:uiPriority w:val="0"/>
    <w:pPr>
      <w:numPr>
        <w:ilvl w:val="0"/>
        <w:numId w:val="1"/>
      </w:numPr>
    </w:pPr>
  </w:style>
  <w:style w:type="paragraph" w:styleId="28">
    <w:name w:val="HTML Address"/>
    <w:basedOn w:val="1"/>
    <w:link w:val="385"/>
    <w:qFormat/>
    <w:uiPriority w:val="0"/>
    <w:pPr>
      <w:spacing w:after="0" w:line="360" w:lineRule="auto"/>
    </w:pPr>
    <w:rPr>
      <w:rFonts w:ascii="宋体" w:hAnsi="宋体"/>
      <w:i/>
      <w:iCs/>
      <w:kern w:val="0"/>
      <w:sz w:val="20"/>
    </w:rPr>
  </w:style>
  <w:style w:type="paragraph" w:styleId="29">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30">
    <w:name w:val="toc 3"/>
    <w:basedOn w:val="1"/>
    <w:next w:val="1"/>
    <w:qFormat/>
    <w:uiPriority w:val="39"/>
    <w:pPr>
      <w:ind w:left="840" w:leftChars="400"/>
    </w:pPr>
  </w:style>
  <w:style w:type="paragraph" w:styleId="31">
    <w:name w:val="Plain Text"/>
    <w:basedOn w:val="1"/>
    <w:next w:val="1"/>
    <w:link w:val="88"/>
    <w:qFormat/>
    <w:uiPriority w:val="0"/>
    <w:rPr>
      <w:rFonts w:ascii="宋体" w:hAnsi="Courier New"/>
      <w:szCs w:val="20"/>
    </w:rPr>
  </w:style>
  <w:style w:type="paragraph" w:styleId="32">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33">
    <w:name w:val="Date"/>
    <w:basedOn w:val="1"/>
    <w:next w:val="1"/>
    <w:link w:val="104"/>
    <w:qFormat/>
    <w:uiPriority w:val="0"/>
    <w:pPr>
      <w:ind w:left="2500" w:leftChars="2500"/>
    </w:pPr>
    <w:rPr>
      <w:rFonts w:eastAsia="楷体_GB2312"/>
      <w:sz w:val="32"/>
      <w:szCs w:val="20"/>
    </w:rPr>
  </w:style>
  <w:style w:type="paragraph" w:styleId="34">
    <w:name w:val="Body Text Indent 2"/>
    <w:basedOn w:val="1"/>
    <w:link w:val="127"/>
    <w:qFormat/>
    <w:uiPriority w:val="0"/>
    <w:pPr>
      <w:snapToGrid w:val="0"/>
      <w:ind w:firstLine="542" w:firstLineChars="225"/>
    </w:pPr>
    <w:rPr>
      <w:rFonts w:ascii="仿宋_GB2312" w:hAnsi="宋体" w:cs="Arial"/>
      <w:b/>
      <w:bCs/>
      <w:color w:val="000000"/>
      <w:sz w:val="24"/>
    </w:rPr>
  </w:style>
  <w:style w:type="paragraph" w:styleId="35">
    <w:name w:val="Balloon Text"/>
    <w:basedOn w:val="1"/>
    <w:link w:val="101"/>
    <w:qFormat/>
    <w:uiPriority w:val="99"/>
    <w:rPr>
      <w:sz w:val="18"/>
      <w:szCs w:val="18"/>
    </w:rPr>
  </w:style>
  <w:style w:type="paragraph" w:styleId="36">
    <w:name w:val="footer"/>
    <w:basedOn w:val="1"/>
    <w:link w:val="105"/>
    <w:qFormat/>
    <w:uiPriority w:val="99"/>
    <w:pPr>
      <w:tabs>
        <w:tab w:val="center" w:pos="4153"/>
        <w:tab w:val="right" w:pos="8306"/>
      </w:tabs>
      <w:snapToGrid w:val="0"/>
      <w:jc w:val="left"/>
    </w:pPr>
    <w:rPr>
      <w:sz w:val="18"/>
      <w:szCs w:val="18"/>
    </w:rPr>
  </w:style>
  <w:style w:type="paragraph" w:styleId="37">
    <w:name w:val="header"/>
    <w:basedOn w:val="1"/>
    <w:link w:val="108"/>
    <w:qFormat/>
    <w:uiPriority w:val="99"/>
    <w:pPr>
      <w:pBdr>
        <w:bottom w:val="single" w:color="auto" w:sz="6" w:space="1"/>
      </w:pBdr>
      <w:tabs>
        <w:tab w:val="center" w:pos="4153"/>
        <w:tab w:val="right" w:pos="8306"/>
      </w:tabs>
      <w:snapToGrid w:val="0"/>
      <w:jc w:val="center"/>
    </w:pPr>
    <w:rPr>
      <w:sz w:val="18"/>
      <w:szCs w:val="18"/>
    </w:rPr>
  </w:style>
  <w:style w:type="paragraph" w:styleId="38">
    <w:name w:val="toc 1"/>
    <w:basedOn w:val="1"/>
    <w:next w:val="1"/>
    <w:qFormat/>
    <w:uiPriority w:val="39"/>
    <w:pPr>
      <w:tabs>
        <w:tab w:val="right" w:leader="dot" w:pos="8296"/>
      </w:tabs>
      <w:spacing w:beforeLines="50" w:afterLines="50" w:line="400" w:lineRule="exact"/>
      <w:ind w:firstLine="480" w:firstLineChars="200"/>
    </w:pPr>
    <w:rPr>
      <w:rFonts w:ascii="宋体" w:hAnsi="宋体"/>
      <w:color w:val="000000"/>
      <w:sz w:val="24"/>
    </w:rPr>
  </w:style>
  <w:style w:type="paragraph" w:styleId="39">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40">
    <w:name w:val="Subtitle"/>
    <w:basedOn w:val="1"/>
    <w:next w:val="1"/>
    <w:link w:val="94"/>
    <w:qFormat/>
    <w:uiPriority w:val="0"/>
    <w:pPr>
      <w:spacing w:before="240" w:after="60" w:line="312" w:lineRule="auto"/>
      <w:jc w:val="center"/>
      <w:outlineLvl w:val="1"/>
    </w:pPr>
    <w:rPr>
      <w:rFonts w:ascii="Cambria" w:hAnsi="Cambria"/>
      <w:b/>
      <w:bCs/>
      <w:kern w:val="28"/>
      <w:sz w:val="32"/>
      <w:szCs w:val="32"/>
    </w:rPr>
  </w:style>
  <w:style w:type="paragraph" w:styleId="41">
    <w:name w:val="List"/>
    <w:basedOn w:val="1"/>
    <w:link w:val="97"/>
    <w:qFormat/>
    <w:uiPriority w:val="0"/>
    <w:pPr>
      <w:ind w:left="200" w:hanging="200" w:hangingChars="200"/>
      <w:contextualSpacing/>
    </w:pPr>
  </w:style>
  <w:style w:type="paragraph" w:styleId="42">
    <w:name w:val="footnote text"/>
    <w:basedOn w:val="1"/>
    <w:link w:val="200"/>
    <w:unhideWhenUsed/>
    <w:qFormat/>
    <w:uiPriority w:val="0"/>
    <w:pPr>
      <w:snapToGrid w:val="0"/>
      <w:jc w:val="left"/>
    </w:pPr>
    <w:rPr>
      <w:rFonts w:hint="eastAsia" w:ascii="Calibri" w:hAnsi="Calibri"/>
      <w:sz w:val="18"/>
    </w:rPr>
  </w:style>
  <w:style w:type="paragraph" w:styleId="43">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44">
    <w:name w:val="Body Text Indent 3"/>
    <w:basedOn w:val="1"/>
    <w:link w:val="86"/>
    <w:qFormat/>
    <w:uiPriority w:val="0"/>
    <w:pPr>
      <w:snapToGrid w:val="0"/>
      <w:ind w:firstLine="480" w:firstLineChars="200"/>
      <w:jc w:val="left"/>
    </w:pPr>
    <w:rPr>
      <w:rFonts w:ascii="仿宋_GB2312" w:hAnsi="宋体" w:eastAsia="仿宋_GB2312"/>
      <w:color w:val="000000"/>
      <w:sz w:val="24"/>
    </w:rPr>
  </w:style>
  <w:style w:type="paragraph" w:styleId="45">
    <w:name w:val="table of figures"/>
    <w:basedOn w:val="1"/>
    <w:next w:val="1"/>
    <w:qFormat/>
    <w:uiPriority w:val="0"/>
    <w:pPr>
      <w:tabs>
        <w:tab w:val="left" w:pos="1270"/>
      </w:tabs>
      <w:spacing w:line="360" w:lineRule="auto"/>
      <w:ind w:left="1270" w:hanging="420"/>
      <w:jc w:val="left"/>
    </w:pPr>
    <w:rPr>
      <w:smallCaps/>
      <w:sz w:val="20"/>
      <w:szCs w:val="20"/>
    </w:rPr>
  </w:style>
  <w:style w:type="paragraph" w:styleId="46">
    <w:name w:val="toc 2"/>
    <w:basedOn w:val="1"/>
    <w:next w:val="1"/>
    <w:qFormat/>
    <w:uiPriority w:val="39"/>
    <w:pPr>
      <w:tabs>
        <w:tab w:val="right" w:leader="dot" w:pos="8296"/>
      </w:tabs>
      <w:spacing w:beforeLines="50" w:afterLines="50" w:line="400" w:lineRule="exact"/>
      <w:ind w:left="480" w:leftChars="200" w:hanging="60"/>
    </w:pPr>
  </w:style>
  <w:style w:type="paragraph" w:styleId="47">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48">
    <w:name w:val="Body Text 2"/>
    <w:basedOn w:val="1"/>
    <w:link w:val="140"/>
    <w:qFormat/>
    <w:uiPriority w:val="0"/>
    <w:pPr>
      <w:spacing w:after="120" w:line="480" w:lineRule="auto"/>
    </w:pPr>
  </w:style>
  <w:style w:type="paragraph" w:styleId="49">
    <w:name w:val="HTML Preformatted"/>
    <w:basedOn w:val="1"/>
    <w:link w:val="12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rPr>
  </w:style>
  <w:style w:type="paragraph" w:styleId="50">
    <w:name w:val="Normal (Web)"/>
    <w:basedOn w:val="1"/>
    <w:link w:val="547"/>
    <w:qFormat/>
    <w:uiPriority w:val="0"/>
    <w:pPr>
      <w:widowControl/>
      <w:spacing w:before="100" w:beforeAutospacing="1" w:after="100" w:afterAutospacing="1"/>
      <w:jc w:val="left"/>
    </w:pPr>
    <w:rPr>
      <w:rFonts w:ascii="宋体" w:hAnsi="宋体" w:cs="宋体"/>
      <w:kern w:val="0"/>
      <w:sz w:val="24"/>
    </w:rPr>
  </w:style>
  <w:style w:type="paragraph" w:styleId="51">
    <w:name w:val="index 1"/>
    <w:basedOn w:val="1"/>
    <w:next w:val="1"/>
    <w:semiHidden/>
    <w:qFormat/>
    <w:uiPriority w:val="0"/>
    <w:pPr>
      <w:spacing w:after="0" w:line="360" w:lineRule="auto"/>
      <w:ind w:firstLine="480" w:firstLineChars="200"/>
      <w:jc w:val="left"/>
    </w:pPr>
    <w:rPr>
      <w:rFonts w:eastAsia="微软雅黑"/>
      <w:szCs w:val="20"/>
    </w:rPr>
  </w:style>
  <w:style w:type="paragraph" w:styleId="52">
    <w:name w:val="Title"/>
    <w:basedOn w:val="1"/>
    <w:next w:val="1"/>
    <w:link w:val="89"/>
    <w:qFormat/>
    <w:uiPriority w:val="0"/>
    <w:pPr>
      <w:spacing w:before="240" w:after="60"/>
      <w:jc w:val="center"/>
      <w:outlineLvl w:val="0"/>
    </w:pPr>
    <w:rPr>
      <w:rFonts w:ascii="Cambria" w:hAnsi="Cambria"/>
      <w:b/>
      <w:bCs/>
      <w:sz w:val="32"/>
      <w:szCs w:val="32"/>
    </w:rPr>
  </w:style>
  <w:style w:type="paragraph" w:styleId="53">
    <w:name w:val="annotation subject"/>
    <w:basedOn w:val="18"/>
    <w:next w:val="18"/>
    <w:link w:val="138"/>
    <w:qFormat/>
    <w:uiPriority w:val="0"/>
    <w:rPr>
      <w:b/>
      <w:bCs/>
    </w:rPr>
  </w:style>
  <w:style w:type="paragraph" w:styleId="54">
    <w:name w:val="Body Text First Indent 2"/>
    <w:basedOn w:val="22"/>
    <w:link w:val="203"/>
    <w:unhideWhenUsed/>
    <w:qFormat/>
    <w:uiPriority w:val="0"/>
    <w:pPr>
      <w:spacing w:after="120" w:line="360" w:lineRule="auto"/>
      <w:ind w:left="420" w:leftChars="200" w:firstLine="420" w:firstLineChars="200"/>
    </w:pPr>
    <w:rPr>
      <w:sz w:val="24"/>
    </w:rPr>
  </w:style>
  <w:style w:type="table" w:styleId="56">
    <w:name w:val="Table Grid"/>
    <w:basedOn w:val="55"/>
    <w:qFormat/>
    <w:uiPriority w:val="3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7">
    <w:name w:val="Table Elegant"/>
    <w:basedOn w:val="5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il"/>
          <w:tr2bl w:val="nil"/>
        </w:tcBorders>
      </w:tcPr>
    </w:tblStylePr>
  </w:style>
  <w:style w:type="character" w:styleId="59">
    <w:name w:val="Strong"/>
    <w:qFormat/>
    <w:uiPriority w:val="0"/>
    <w:rPr>
      <w:b/>
      <w:bCs/>
    </w:rPr>
  </w:style>
  <w:style w:type="character" w:styleId="60">
    <w:name w:val="page number"/>
    <w:basedOn w:val="58"/>
    <w:qFormat/>
    <w:uiPriority w:val="0"/>
  </w:style>
  <w:style w:type="character" w:styleId="61">
    <w:name w:val="FollowedHyperlink"/>
    <w:qFormat/>
    <w:uiPriority w:val="99"/>
    <w:rPr>
      <w:color w:val="800080"/>
      <w:u w:val="single"/>
    </w:rPr>
  </w:style>
  <w:style w:type="character" w:styleId="62">
    <w:name w:val="Emphasis"/>
    <w:qFormat/>
    <w:uiPriority w:val="0"/>
    <w:rPr>
      <w:color w:val="CC0000"/>
    </w:rPr>
  </w:style>
  <w:style w:type="character" w:styleId="63">
    <w:name w:val="HTML Definition"/>
    <w:qFormat/>
    <w:uiPriority w:val="0"/>
    <w:rPr>
      <w:i/>
      <w:iCs/>
    </w:rPr>
  </w:style>
  <w:style w:type="character" w:styleId="64">
    <w:name w:val="HTML Typewriter"/>
    <w:qFormat/>
    <w:uiPriority w:val="0"/>
    <w:rPr>
      <w:rFonts w:ascii="黑体" w:hAnsi="Courier New" w:eastAsia="黑体"/>
      <w:sz w:val="14"/>
    </w:rPr>
  </w:style>
  <w:style w:type="character" w:styleId="65">
    <w:name w:val="HTML Acronym"/>
    <w:qFormat/>
    <w:uiPriority w:val="0"/>
  </w:style>
  <w:style w:type="character" w:styleId="66">
    <w:name w:val="HTML Variable"/>
    <w:qFormat/>
    <w:uiPriority w:val="0"/>
    <w:rPr>
      <w:i/>
      <w:iCs/>
    </w:rPr>
  </w:style>
  <w:style w:type="character" w:styleId="67">
    <w:name w:val="Hyperlink"/>
    <w:qFormat/>
    <w:uiPriority w:val="99"/>
    <w:rPr>
      <w:color w:val="0000FF"/>
      <w:u w:val="single"/>
    </w:rPr>
  </w:style>
  <w:style w:type="character" w:styleId="68">
    <w:name w:val="HTML Code"/>
    <w:qFormat/>
    <w:uiPriority w:val="0"/>
    <w:rPr>
      <w:rFonts w:ascii="Courier New" w:hAnsi="Courier New"/>
      <w:sz w:val="20"/>
      <w:szCs w:val="20"/>
    </w:rPr>
  </w:style>
  <w:style w:type="character" w:styleId="69">
    <w:name w:val="annotation reference"/>
    <w:qFormat/>
    <w:uiPriority w:val="99"/>
    <w:rPr>
      <w:sz w:val="21"/>
      <w:szCs w:val="21"/>
    </w:rPr>
  </w:style>
  <w:style w:type="character" w:styleId="70">
    <w:name w:val="HTML Cite"/>
    <w:qFormat/>
    <w:uiPriority w:val="0"/>
    <w:rPr>
      <w:i/>
      <w:iCs/>
    </w:rPr>
  </w:style>
  <w:style w:type="character" w:styleId="71">
    <w:name w:val="footnote reference"/>
    <w:basedOn w:val="58"/>
    <w:unhideWhenUsed/>
    <w:qFormat/>
    <w:uiPriority w:val="99"/>
    <w:rPr>
      <w:rFonts w:hint="default" w:ascii="Times New Roman"/>
      <w:sz w:val="24"/>
      <w:vertAlign w:val="superscript"/>
    </w:rPr>
  </w:style>
  <w:style w:type="character" w:styleId="72">
    <w:name w:val="HTML Keyboard"/>
    <w:qFormat/>
    <w:uiPriority w:val="0"/>
    <w:rPr>
      <w:rFonts w:ascii="Courier New" w:hAnsi="Courier New"/>
      <w:sz w:val="20"/>
      <w:szCs w:val="20"/>
    </w:rPr>
  </w:style>
  <w:style w:type="character" w:styleId="73">
    <w:name w:val="HTML Sample"/>
    <w:qFormat/>
    <w:uiPriority w:val="0"/>
    <w:rPr>
      <w:rFonts w:ascii="Courier New" w:hAnsi="Courier New"/>
    </w:rPr>
  </w:style>
  <w:style w:type="character" w:customStyle="1" w:styleId="74">
    <w:name w:val="标题 1 字符"/>
    <w:link w:val="3"/>
    <w:qFormat/>
    <w:uiPriority w:val="9"/>
    <w:rPr>
      <w:rFonts w:eastAsia="微软雅黑"/>
      <w:b/>
      <w:bCs/>
      <w:kern w:val="44"/>
      <w:sz w:val="21"/>
      <w:szCs w:val="44"/>
    </w:rPr>
  </w:style>
  <w:style w:type="character" w:customStyle="1" w:styleId="75">
    <w:name w:val="标题 2 字符"/>
    <w:link w:val="4"/>
    <w:qFormat/>
    <w:uiPriority w:val="0"/>
    <w:rPr>
      <w:rFonts w:ascii="仿宋_GB2312" w:eastAsia="仿宋_GB2312"/>
      <w:b/>
      <w:sz w:val="36"/>
      <w:lang w:val="en-US" w:eastAsia="zh-CN" w:bidi="ar-SA"/>
    </w:rPr>
  </w:style>
  <w:style w:type="character" w:customStyle="1" w:styleId="76">
    <w:name w:val="正文缩进 字符"/>
    <w:link w:val="15"/>
    <w:qFormat/>
    <w:uiPriority w:val="0"/>
    <w:rPr>
      <w:rFonts w:eastAsia="宋体"/>
      <w:kern w:val="2"/>
      <w:sz w:val="21"/>
      <w:lang w:val="en-US" w:eastAsia="zh-CN" w:bidi="ar-SA"/>
    </w:rPr>
  </w:style>
  <w:style w:type="character" w:customStyle="1" w:styleId="77">
    <w:name w:val="标题 3 字符"/>
    <w:link w:val="5"/>
    <w:qFormat/>
    <w:uiPriority w:val="9"/>
    <w:rPr>
      <w:rFonts w:ascii="仿宋_GB2312" w:eastAsia="仿宋_GB2312"/>
      <w:b/>
      <w:bCs/>
      <w:kern w:val="2"/>
      <w:sz w:val="30"/>
      <w:lang w:val="en-US" w:eastAsia="zh-CN" w:bidi="ar-SA"/>
    </w:rPr>
  </w:style>
  <w:style w:type="character" w:customStyle="1" w:styleId="78">
    <w:name w:val="标题 4 字符"/>
    <w:link w:val="6"/>
    <w:qFormat/>
    <w:uiPriority w:val="0"/>
    <w:rPr>
      <w:rFonts w:ascii="Arial" w:hAnsi="Arial" w:eastAsia="黑体"/>
      <w:b/>
      <w:bCs/>
      <w:kern w:val="2"/>
      <w:sz w:val="28"/>
      <w:szCs w:val="28"/>
      <w:lang w:val="en-US" w:eastAsia="zh-CN" w:bidi="ar-SA"/>
    </w:rPr>
  </w:style>
  <w:style w:type="character" w:customStyle="1" w:styleId="79">
    <w:name w:val="标题 5 字符"/>
    <w:link w:val="7"/>
    <w:qFormat/>
    <w:uiPriority w:val="9"/>
    <w:rPr>
      <w:rFonts w:ascii="Calibri" w:hAnsi="Calibri" w:eastAsia="宋体"/>
      <w:b/>
      <w:bCs/>
      <w:kern w:val="2"/>
      <w:sz w:val="28"/>
      <w:szCs w:val="28"/>
      <w:lang w:val="en-US" w:eastAsia="zh-CN" w:bidi="ar-SA"/>
    </w:rPr>
  </w:style>
  <w:style w:type="character" w:customStyle="1" w:styleId="80">
    <w:name w:val="标题 6 字符"/>
    <w:link w:val="8"/>
    <w:qFormat/>
    <w:uiPriority w:val="0"/>
    <w:rPr>
      <w:rFonts w:ascii="Cambria" w:hAnsi="Cambria" w:eastAsia="宋体"/>
      <w:b/>
      <w:bCs/>
      <w:kern w:val="2"/>
      <w:sz w:val="24"/>
      <w:szCs w:val="24"/>
      <w:lang w:val="en-US" w:eastAsia="zh-CN" w:bidi="ar-SA"/>
    </w:rPr>
  </w:style>
  <w:style w:type="character" w:customStyle="1" w:styleId="81">
    <w:name w:val="标题 7 字符"/>
    <w:link w:val="9"/>
    <w:qFormat/>
    <w:uiPriority w:val="0"/>
    <w:rPr>
      <w:rFonts w:eastAsia="宋体"/>
      <w:b/>
      <w:bCs/>
      <w:kern w:val="2"/>
      <w:sz w:val="24"/>
      <w:szCs w:val="24"/>
      <w:lang w:val="en-US" w:eastAsia="zh-CN" w:bidi="ar-SA"/>
    </w:rPr>
  </w:style>
  <w:style w:type="character" w:customStyle="1" w:styleId="82">
    <w:name w:val="标题 8 字符"/>
    <w:link w:val="10"/>
    <w:qFormat/>
    <w:uiPriority w:val="0"/>
    <w:rPr>
      <w:rFonts w:ascii="Cambria" w:hAnsi="Cambria" w:eastAsia="宋体"/>
      <w:kern w:val="2"/>
      <w:sz w:val="24"/>
      <w:szCs w:val="24"/>
      <w:lang w:val="en-US" w:eastAsia="zh-CN" w:bidi="ar-SA"/>
    </w:rPr>
  </w:style>
  <w:style w:type="character" w:customStyle="1" w:styleId="83">
    <w:name w:val="标题 9 字符"/>
    <w:link w:val="11"/>
    <w:qFormat/>
    <w:uiPriority w:val="0"/>
    <w:rPr>
      <w:rFonts w:ascii="Cambria" w:hAnsi="Cambria" w:eastAsia="宋体"/>
      <w:kern w:val="2"/>
      <w:sz w:val="21"/>
      <w:szCs w:val="24"/>
      <w:lang w:val="en-US" w:eastAsia="zh-CN" w:bidi="ar-SA"/>
    </w:rPr>
  </w:style>
  <w:style w:type="character" w:customStyle="1" w:styleId="84">
    <w:name w:val="纯文本 字符1"/>
    <w:semiHidden/>
    <w:qFormat/>
    <w:uiPriority w:val="99"/>
    <w:rPr>
      <w:rFonts w:ascii="等线" w:hAnsi="Courier New" w:cs="Courier New"/>
      <w:szCs w:val="24"/>
    </w:rPr>
  </w:style>
  <w:style w:type="character" w:customStyle="1" w:styleId="85">
    <w:name w:val="纯文本 Char3"/>
    <w:qFormat/>
    <w:uiPriority w:val="0"/>
    <w:rPr>
      <w:rFonts w:ascii="宋体" w:hAnsi="Courier New" w:eastAsia="宋体"/>
      <w:kern w:val="2"/>
      <w:sz w:val="24"/>
      <w:szCs w:val="24"/>
      <w:lang w:val="en-US" w:eastAsia="zh-CN" w:bidi="ar-SA"/>
    </w:rPr>
  </w:style>
  <w:style w:type="character" w:customStyle="1" w:styleId="86">
    <w:name w:val="正文文本缩进 3 字符"/>
    <w:basedOn w:val="58"/>
    <w:link w:val="44"/>
    <w:qFormat/>
    <w:uiPriority w:val="0"/>
    <w:rPr>
      <w:rFonts w:ascii="仿宋_GB2312" w:hAnsi="宋体" w:eastAsia="仿宋_GB2312"/>
      <w:color w:val="000000"/>
      <w:kern w:val="2"/>
      <w:sz w:val="24"/>
      <w:szCs w:val="24"/>
    </w:rPr>
  </w:style>
  <w:style w:type="character" w:customStyle="1" w:styleId="87">
    <w:name w:val="apple-converted-space"/>
    <w:basedOn w:val="58"/>
    <w:qFormat/>
    <w:uiPriority w:val="0"/>
  </w:style>
  <w:style w:type="character" w:customStyle="1" w:styleId="88">
    <w:name w:val="纯文本 字符"/>
    <w:link w:val="31"/>
    <w:qFormat/>
    <w:uiPriority w:val="0"/>
    <w:rPr>
      <w:rFonts w:ascii="宋体" w:hAnsi="Courier New" w:eastAsia="宋体"/>
      <w:kern w:val="2"/>
      <w:sz w:val="21"/>
      <w:lang w:val="en-US" w:eastAsia="zh-CN" w:bidi="ar-SA"/>
    </w:rPr>
  </w:style>
  <w:style w:type="character" w:customStyle="1" w:styleId="89">
    <w:name w:val="标题 字符"/>
    <w:link w:val="52"/>
    <w:qFormat/>
    <w:uiPriority w:val="0"/>
    <w:rPr>
      <w:rFonts w:ascii="Cambria" w:hAnsi="Cambria" w:eastAsia="宋体"/>
      <w:b/>
      <w:bCs/>
      <w:kern w:val="2"/>
      <w:sz w:val="32"/>
      <w:szCs w:val="32"/>
      <w:lang w:bidi="ar-SA"/>
    </w:rPr>
  </w:style>
  <w:style w:type="character" w:customStyle="1" w:styleId="90">
    <w:name w:val="正文文本首行缩进 字符"/>
    <w:basedOn w:val="91"/>
    <w:link w:val="21"/>
    <w:qFormat/>
    <w:uiPriority w:val="0"/>
    <w:rPr>
      <w:rFonts w:ascii="Calibri" w:hAnsi="Calibri" w:eastAsia="宋体"/>
      <w:kern w:val="2"/>
      <w:sz w:val="21"/>
      <w:szCs w:val="24"/>
      <w:lang w:val="en-US" w:eastAsia="zh-CN" w:bidi="ar-SA"/>
    </w:rPr>
  </w:style>
  <w:style w:type="character" w:customStyle="1" w:styleId="91">
    <w:name w:val="正文文本 字符"/>
    <w:link w:val="20"/>
    <w:qFormat/>
    <w:uiPriority w:val="0"/>
    <w:rPr>
      <w:rFonts w:eastAsia="宋体"/>
      <w:kern w:val="2"/>
      <w:sz w:val="21"/>
      <w:szCs w:val="24"/>
      <w:lang w:val="en-US" w:eastAsia="zh-CN" w:bidi="ar-SA"/>
    </w:rPr>
  </w:style>
  <w:style w:type="character" w:customStyle="1" w:styleId="92">
    <w:name w:val="标题 1 Char Char"/>
    <w:qFormat/>
    <w:uiPriority w:val="0"/>
    <w:rPr>
      <w:rFonts w:eastAsia="宋体"/>
      <w:b/>
      <w:spacing w:val="-2"/>
      <w:sz w:val="24"/>
      <w:lang w:val="en-US" w:eastAsia="zh-CN" w:bidi="ar-SA"/>
    </w:rPr>
  </w:style>
  <w:style w:type="character" w:customStyle="1" w:styleId="93">
    <w:name w:val="标题 2 Char"/>
    <w:qFormat/>
    <w:uiPriority w:val="9"/>
    <w:rPr>
      <w:rFonts w:ascii="仿宋_GB2312" w:eastAsia="仿宋_GB2312"/>
      <w:b/>
      <w:sz w:val="36"/>
      <w:lang w:val="en-US" w:eastAsia="zh-CN" w:bidi="ar-SA"/>
    </w:rPr>
  </w:style>
  <w:style w:type="character" w:customStyle="1" w:styleId="94">
    <w:name w:val="副标题 字符"/>
    <w:basedOn w:val="58"/>
    <w:link w:val="40"/>
    <w:qFormat/>
    <w:uiPriority w:val="0"/>
    <w:rPr>
      <w:rFonts w:ascii="Cambria" w:hAnsi="Cambria"/>
      <w:b/>
      <w:bCs/>
      <w:kern w:val="28"/>
      <w:sz w:val="32"/>
      <w:szCs w:val="32"/>
    </w:rPr>
  </w:style>
  <w:style w:type="character" w:customStyle="1" w:styleId="95">
    <w:name w:val="List Paragraph Char"/>
    <w:link w:val="96"/>
    <w:qFormat/>
    <w:uiPriority w:val="0"/>
    <w:rPr>
      <w:kern w:val="2"/>
      <w:sz w:val="21"/>
      <w:lang w:bidi="ar-SA"/>
    </w:rPr>
  </w:style>
  <w:style w:type="paragraph" w:customStyle="1" w:styleId="96">
    <w:name w:val="列出段落1"/>
    <w:basedOn w:val="1"/>
    <w:link w:val="95"/>
    <w:qFormat/>
    <w:uiPriority w:val="0"/>
    <w:pPr>
      <w:ind w:firstLine="420" w:firstLineChars="200"/>
    </w:pPr>
    <w:rPr>
      <w:szCs w:val="20"/>
    </w:rPr>
  </w:style>
  <w:style w:type="character" w:customStyle="1" w:styleId="97">
    <w:name w:val="列表 字符"/>
    <w:link w:val="41"/>
    <w:qFormat/>
    <w:uiPriority w:val="0"/>
    <w:rPr>
      <w:kern w:val="2"/>
      <w:sz w:val="21"/>
      <w:szCs w:val="24"/>
    </w:rPr>
  </w:style>
  <w:style w:type="character" w:customStyle="1" w:styleId="98">
    <w:name w:val="投标书正文 Char Char"/>
    <w:link w:val="99"/>
    <w:qFormat/>
    <w:uiPriority w:val="0"/>
    <w:rPr>
      <w:rFonts w:eastAsia="Times New Roman"/>
      <w:kern w:val="2"/>
      <w:sz w:val="24"/>
      <w:szCs w:val="24"/>
      <w:lang w:val="en-US" w:eastAsia="zh-CN" w:bidi="ar-SA"/>
    </w:rPr>
  </w:style>
  <w:style w:type="paragraph" w:customStyle="1" w:styleId="99">
    <w:name w:val="投标书正文"/>
    <w:link w:val="98"/>
    <w:qFormat/>
    <w:uiPriority w:val="0"/>
    <w:pPr>
      <w:autoSpaceDE w:val="0"/>
      <w:spacing w:after="160" w:line="360" w:lineRule="auto"/>
      <w:ind w:firstLine="200" w:firstLineChars="200"/>
    </w:pPr>
    <w:rPr>
      <w:rFonts w:ascii="Times New Roman" w:hAnsi="Times New Roman" w:eastAsia="Times New Roman" w:cs="Times New Roman"/>
      <w:kern w:val="2"/>
      <w:sz w:val="24"/>
      <w:szCs w:val="24"/>
      <w:lang w:val="en-US" w:eastAsia="zh-CN" w:bidi="ar-SA"/>
    </w:rPr>
  </w:style>
  <w:style w:type="character" w:customStyle="1" w:styleId="100">
    <w:name w:val="正文文本缩进 字符1"/>
    <w:link w:val="22"/>
    <w:qFormat/>
    <w:uiPriority w:val="0"/>
    <w:rPr>
      <w:rFonts w:ascii="宋体" w:hAnsi="Courier New" w:eastAsia="宋体"/>
      <w:spacing w:val="-4"/>
      <w:kern w:val="2"/>
      <w:sz w:val="18"/>
      <w:lang w:val="en-US" w:eastAsia="zh-CN" w:bidi="ar-SA"/>
    </w:rPr>
  </w:style>
  <w:style w:type="character" w:customStyle="1" w:styleId="101">
    <w:name w:val="批注框文本 字符1"/>
    <w:link w:val="35"/>
    <w:qFormat/>
    <w:uiPriority w:val="99"/>
    <w:rPr>
      <w:rFonts w:eastAsia="宋体"/>
      <w:kern w:val="2"/>
      <w:sz w:val="18"/>
      <w:szCs w:val="18"/>
      <w:lang w:val="en-US" w:eastAsia="zh-CN" w:bidi="ar-SA"/>
    </w:rPr>
  </w:style>
  <w:style w:type="character" w:customStyle="1" w:styleId="102">
    <w:name w:val="正文文本 3 字符"/>
    <w:basedOn w:val="58"/>
    <w:link w:val="19"/>
    <w:qFormat/>
    <w:uiPriority w:val="99"/>
    <w:rPr>
      <w:kern w:val="2"/>
      <w:sz w:val="16"/>
      <w:szCs w:val="16"/>
    </w:rPr>
  </w:style>
  <w:style w:type="character" w:customStyle="1" w:styleId="103">
    <w:name w:val="htd0"/>
    <w:basedOn w:val="58"/>
    <w:qFormat/>
    <w:uiPriority w:val="0"/>
  </w:style>
  <w:style w:type="character" w:customStyle="1" w:styleId="104">
    <w:name w:val="日期 字符"/>
    <w:link w:val="33"/>
    <w:qFormat/>
    <w:uiPriority w:val="0"/>
    <w:rPr>
      <w:rFonts w:eastAsia="楷体_GB2312"/>
      <w:kern w:val="2"/>
      <w:sz w:val="32"/>
    </w:rPr>
  </w:style>
  <w:style w:type="character" w:customStyle="1" w:styleId="105">
    <w:name w:val="页脚 字符1"/>
    <w:link w:val="36"/>
    <w:qFormat/>
    <w:uiPriority w:val="0"/>
    <w:rPr>
      <w:rFonts w:eastAsia="宋体"/>
      <w:kern w:val="2"/>
      <w:sz w:val="18"/>
      <w:szCs w:val="18"/>
      <w:lang w:val="en-US" w:eastAsia="zh-CN" w:bidi="ar-SA"/>
    </w:rPr>
  </w:style>
  <w:style w:type="character" w:customStyle="1" w:styleId="106">
    <w:name w:val="投标书正文无序编号 Char Char"/>
    <w:link w:val="107"/>
    <w:qFormat/>
    <w:uiPriority w:val="0"/>
    <w:rPr>
      <w:kern w:val="2"/>
      <w:sz w:val="24"/>
      <w:szCs w:val="24"/>
    </w:rPr>
  </w:style>
  <w:style w:type="paragraph" w:customStyle="1" w:styleId="107">
    <w:name w:val="投标书正文无序编号"/>
    <w:basedOn w:val="99"/>
    <w:link w:val="106"/>
    <w:qFormat/>
    <w:uiPriority w:val="0"/>
    <w:pPr>
      <w:tabs>
        <w:tab w:val="left" w:pos="780"/>
        <w:tab w:val="left" w:pos="902"/>
      </w:tabs>
      <w:adjustRightInd w:val="0"/>
      <w:ind w:left="780" w:hanging="360" w:firstLineChars="0"/>
    </w:pPr>
    <w:rPr>
      <w:rFonts w:eastAsia="宋体"/>
    </w:rPr>
  </w:style>
  <w:style w:type="character" w:customStyle="1" w:styleId="108">
    <w:name w:val="页眉 字符"/>
    <w:link w:val="37"/>
    <w:qFormat/>
    <w:uiPriority w:val="0"/>
    <w:rPr>
      <w:rFonts w:eastAsia="宋体"/>
      <w:kern w:val="2"/>
      <w:sz w:val="18"/>
      <w:szCs w:val="18"/>
      <w:lang w:val="en-US" w:eastAsia="zh-CN" w:bidi="ar-SA"/>
    </w:rPr>
  </w:style>
  <w:style w:type="character" w:customStyle="1" w:styleId="109">
    <w:name w:val="表格正文 Char"/>
    <w:basedOn w:val="58"/>
    <w:link w:val="110"/>
    <w:qFormat/>
    <w:uiPriority w:val="0"/>
    <w:rPr>
      <w:kern w:val="2"/>
      <w:sz w:val="21"/>
      <w:szCs w:val="24"/>
    </w:rPr>
  </w:style>
  <w:style w:type="paragraph" w:customStyle="1" w:styleId="110">
    <w:name w:val="表格正文"/>
    <w:basedOn w:val="1"/>
    <w:link w:val="109"/>
    <w:qFormat/>
    <w:uiPriority w:val="0"/>
  </w:style>
  <w:style w:type="character" w:customStyle="1" w:styleId="111">
    <w:name w:val="纯文本 Char1"/>
    <w:link w:val="112"/>
    <w:qFormat/>
    <w:uiPriority w:val="99"/>
    <w:rPr>
      <w:rFonts w:ascii="宋体" w:hAnsi="Courier New" w:eastAsia="宋体"/>
      <w:kern w:val="2"/>
      <w:sz w:val="24"/>
      <w:lang w:bidi="ar-SA"/>
    </w:rPr>
  </w:style>
  <w:style w:type="paragraph" w:customStyle="1" w:styleId="112">
    <w:name w:val="纯文本1"/>
    <w:basedOn w:val="1"/>
    <w:link w:val="111"/>
    <w:qFormat/>
    <w:uiPriority w:val="99"/>
    <w:pPr>
      <w:spacing w:afterLines="50"/>
    </w:pPr>
    <w:rPr>
      <w:rFonts w:ascii="宋体" w:hAnsi="Courier New"/>
      <w:sz w:val="24"/>
      <w:szCs w:val="20"/>
    </w:rPr>
  </w:style>
  <w:style w:type="character" w:customStyle="1" w:styleId="113">
    <w:name w:val="HIK 段分 2 Char"/>
    <w:basedOn w:val="93"/>
    <w:link w:val="114"/>
    <w:qFormat/>
    <w:uiPriority w:val="0"/>
    <w:rPr>
      <w:rFonts w:ascii="宋体" w:hAnsi="等线 Light" w:eastAsia="仿宋_GB2312"/>
      <w:bCs/>
      <w:kern w:val="2"/>
      <w:sz w:val="32"/>
      <w:szCs w:val="32"/>
      <w:lang w:val="en-US" w:eastAsia="zh-CN" w:bidi="ar-SA"/>
    </w:rPr>
  </w:style>
  <w:style w:type="paragraph" w:customStyle="1" w:styleId="114">
    <w:name w:val="HIK 段分 2"/>
    <w:basedOn w:val="4"/>
    <w:next w:val="1"/>
    <w:link w:val="113"/>
    <w:qFormat/>
    <w:uiPriority w:val="0"/>
    <w:pPr>
      <w:pageBreakBefore/>
      <w:adjustRightInd/>
      <w:snapToGrid/>
      <w:spacing w:before="100" w:after="100"/>
      <w:ind w:left="576" w:hanging="576"/>
      <w:jc w:val="left"/>
      <w:textAlignment w:val="auto"/>
    </w:pPr>
    <w:rPr>
      <w:rFonts w:ascii="宋体" w:hAnsi="等线 Light" w:eastAsia="宋体"/>
      <w:bCs/>
      <w:kern w:val="2"/>
      <w:sz w:val="32"/>
      <w:szCs w:val="32"/>
    </w:rPr>
  </w:style>
  <w:style w:type="character" w:customStyle="1" w:styleId="115">
    <w:name w:val="Char Char7"/>
    <w:qFormat/>
    <w:uiPriority w:val="0"/>
    <w:rPr>
      <w:rFonts w:ascii="Times New Roman" w:hAnsi="Times New Roman" w:eastAsia="宋体" w:cs="Times New Roman"/>
      <w:szCs w:val="24"/>
    </w:rPr>
  </w:style>
  <w:style w:type="character" w:customStyle="1" w:styleId="116">
    <w:name w:val="批注文字 字符"/>
    <w:link w:val="18"/>
    <w:qFormat/>
    <w:uiPriority w:val="99"/>
    <w:rPr>
      <w:rFonts w:eastAsia="宋体"/>
      <w:kern w:val="2"/>
      <w:sz w:val="21"/>
      <w:szCs w:val="24"/>
      <w:lang w:val="en-US" w:eastAsia="zh-CN" w:bidi="ar-SA"/>
    </w:rPr>
  </w:style>
  <w:style w:type="character" w:customStyle="1" w:styleId="117">
    <w:name w:val="方案正文-样式 小四 行距: 1.5 倍行距 Char Char"/>
    <w:link w:val="118"/>
    <w:qFormat/>
    <w:uiPriority w:val="0"/>
    <w:rPr>
      <w:kern w:val="2"/>
      <w:sz w:val="24"/>
      <w:lang w:bidi="ar-SA"/>
    </w:rPr>
  </w:style>
  <w:style w:type="paragraph" w:customStyle="1" w:styleId="118">
    <w:name w:val="方案正文-样式 小四 行距: 1.5 倍行距"/>
    <w:basedOn w:val="1"/>
    <w:link w:val="117"/>
    <w:qFormat/>
    <w:uiPriority w:val="0"/>
    <w:pPr>
      <w:spacing w:line="360" w:lineRule="auto"/>
      <w:ind w:firstLine="480" w:firstLineChars="200"/>
    </w:pPr>
    <w:rPr>
      <w:sz w:val="24"/>
      <w:szCs w:val="20"/>
    </w:rPr>
  </w:style>
  <w:style w:type="character" w:customStyle="1" w:styleId="119">
    <w:name w:val="批注主题 Char1"/>
    <w:qFormat/>
    <w:uiPriority w:val="0"/>
    <w:rPr>
      <w:b/>
      <w:bCs/>
      <w:kern w:val="2"/>
      <w:sz w:val="21"/>
      <w:szCs w:val="24"/>
    </w:rPr>
  </w:style>
  <w:style w:type="character" w:customStyle="1" w:styleId="120">
    <w:name w:val="正文缩进 Char"/>
    <w:qFormat/>
    <w:uiPriority w:val="0"/>
    <w:rPr>
      <w:kern w:val="2"/>
      <w:sz w:val="21"/>
    </w:rPr>
  </w:style>
  <w:style w:type="character" w:customStyle="1" w:styleId="121">
    <w:name w:val="正文文本缩进 Char"/>
    <w:qFormat/>
    <w:uiPriority w:val="99"/>
    <w:rPr>
      <w:rFonts w:ascii="宋体" w:hAnsi="Courier New"/>
      <w:spacing w:val="-4"/>
      <w:kern w:val="2"/>
      <w:sz w:val="18"/>
    </w:rPr>
  </w:style>
  <w:style w:type="character" w:customStyle="1" w:styleId="122">
    <w:name w:val="文档结构图 字符"/>
    <w:link w:val="17"/>
    <w:qFormat/>
    <w:uiPriority w:val="0"/>
    <w:rPr>
      <w:rFonts w:eastAsia="宋体"/>
      <w:kern w:val="2"/>
      <w:sz w:val="21"/>
      <w:szCs w:val="24"/>
      <w:lang w:val="en-US" w:eastAsia="zh-CN" w:bidi="ar-SA"/>
    </w:rPr>
  </w:style>
  <w:style w:type="character" w:customStyle="1" w:styleId="123">
    <w:name w:val="正文文本缩进 字符"/>
    <w:qFormat/>
    <w:uiPriority w:val="0"/>
    <w:rPr>
      <w:rFonts w:ascii="宋体" w:hAnsi="Courier New" w:eastAsia="宋体"/>
      <w:spacing w:val="-4"/>
      <w:kern w:val="2"/>
      <w:sz w:val="18"/>
      <w:lang w:val="en-US" w:eastAsia="zh-CN" w:bidi="ar-SA"/>
    </w:rPr>
  </w:style>
  <w:style w:type="character" w:customStyle="1" w:styleId="124">
    <w:name w:val="批注框文本 字符"/>
    <w:semiHidden/>
    <w:qFormat/>
    <w:uiPriority w:val="99"/>
    <w:rPr>
      <w:rFonts w:ascii="Times New Roman" w:hAnsi="Times New Roman" w:eastAsia="宋体"/>
      <w:kern w:val="2"/>
      <w:sz w:val="18"/>
      <w:szCs w:val="18"/>
    </w:rPr>
  </w:style>
  <w:style w:type="character" w:customStyle="1" w:styleId="125">
    <w:name w:val="列表段落 字符"/>
    <w:basedOn w:val="58"/>
    <w:link w:val="126"/>
    <w:qFormat/>
    <w:uiPriority w:val="0"/>
    <w:rPr>
      <w:rFonts w:ascii="Calibri" w:hAnsi="Calibri" w:cs="Calibri"/>
      <w:kern w:val="2"/>
      <w:sz w:val="21"/>
      <w:szCs w:val="21"/>
    </w:rPr>
  </w:style>
  <w:style w:type="paragraph" w:styleId="126">
    <w:name w:val="List Paragraph"/>
    <w:basedOn w:val="1"/>
    <w:link w:val="125"/>
    <w:qFormat/>
    <w:uiPriority w:val="34"/>
    <w:pPr>
      <w:ind w:firstLine="420" w:firstLineChars="200"/>
    </w:pPr>
    <w:rPr>
      <w:rFonts w:ascii="Calibri" w:hAnsi="Calibri" w:cs="Calibri"/>
      <w:szCs w:val="21"/>
    </w:rPr>
  </w:style>
  <w:style w:type="character" w:customStyle="1" w:styleId="127">
    <w:name w:val="正文文本缩进 2 字符"/>
    <w:basedOn w:val="58"/>
    <w:link w:val="34"/>
    <w:qFormat/>
    <w:uiPriority w:val="0"/>
    <w:rPr>
      <w:rFonts w:ascii="仿宋_GB2312" w:hAnsi="宋体" w:cs="Arial"/>
      <w:b/>
      <w:bCs/>
      <w:color w:val="000000"/>
      <w:kern w:val="2"/>
      <w:sz w:val="24"/>
      <w:szCs w:val="24"/>
    </w:rPr>
  </w:style>
  <w:style w:type="character" w:customStyle="1" w:styleId="128">
    <w:name w:val="HTML 预设格式 Char"/>
    <w:basedOn w:val="58"/>
    <w:qFormat/>
    <w:uiPriority w:val="0"/>
    <w:rPr>
      <w:rFonts w:ascii="Courier New" w:hAnsi="Courier New" w:cs="Courier New"/>
      <w:kern w:val="2"/>
    </w:rPr>
  </w:style>
  <w:style w:type="character" w:customStyle="1" w:styleId="129">
    <w:name w:val="HTML 预设格式 字符"/>
    <w:basedOn w:val="58"/>
    <w:link w:val="49"/>
    <w:qFormat/>
    <w:locked/>
    <w:uiPriority w:val="0"/>
    <w:rPr>
      <w:rFonts w:ascii="宋体" w:hAnsi="宋体" w:cs="宋体"/>
      <w:kern w:val="2"/>
      <w:sz w:val="24"/>
      <w:szCs w:val="24"/>
    </w:rPr>
  </w:style>
  <w:style w:type="character" w:customStyle="1" w:styleId="130">
    <w:name w:val="HIK 段分 4 Char"/>
    <w:basedOn w:val="78"/>
    <w:link w:val="131"/>
    <w:qFormat/>
    <w:uiPriority w:val="0"/>
    <w:rPr>
      <w:rFonts w:ascii="宋体" w:hAnsi="等线 Light" w:eastAsia="黑体"/>
      <w:kern w:val="2"/>
      <w:sz w:val="28"/>
      <w:szCs w:val="28"/>
      <w:lang w:val="en-US" w:eastAsia="zh-CN" w:bidi="ar-SA"/>
    </w:rPr>
  </w:style>
  <w:style w:type="paragraph" w:customStyle="1" w:styleId="131">
    <w:name w:val="HIK 段分 4"/>
    <w:basedOn w:val="6"/>
    <w:next w:val="1"/>
    <w:link w:val="130"/>
    <w:qFormat/>
    <w:uiPriority w:val="0"/>
    <w:pPr>
      <w:keepLines w:val="0"/>
      <w:pageBreakBefore/>
      <w:spacing w:before="60" w:after="60" w:line="360" w:lineRule="auto"/>
      <w:ind w:left="864" w:hanging="864"/>
      <w:jc w:val="left"/>
    </w:pPr>
    <w:rPr>
      <w:rFonts w:ascii="宋体" w:hAnsi="等线 Light" w:eastAsia="宋体"/>
    </w:rPr>
  </w:style>
  <w:style w:type="character" w:customStyle="1" w:styleId="132">
    <w:name w:val="副标题 Char1"/>
    <w:basedOn w:val="58"/>
    <w:qFormat/>
    <w:uiPriority w:val="11"/>
    <w:rPr>
      <w:rFonts w:ascii="Cambria" w:hAnsi="Cambria" w:cs="Times New Roman"/>
      <w:b/>
      <w:bCs/>
      <w:kern w:val="28"/>
      <w:sz w:val="32"/>
      <w:szCs w:val="32"/>
      <w:lang w:eastAsia="en-US"/>
    </w:rPr>
  </w:style>
  <w:style w:type="character" w:customStyle="1" w:styleId="133">
    <w:name w:val="批注文字 Char1"/>
    <w:qFormat/>
    <w:uiPriority w:val="0"/>
    <w:rPr>
      <w:kern w:val="2"/>
      <w:sz w:val="21"/>
      <w:szCs w:val="24"/>
    </w:rPr>
  </w:style>
  <w:style w:type="character" w:customStyle="1" w:styleId="134">
    <w:name w:val="页眉 Char"/>
    <w:qFormat/>
    <w:uiPriority w:val="99"/>
    <w:rPr>
      <w:kern w:val="2"/>
      <w:sz w:val="18"/>
      <w:szCs w:val="18"/>
    </w:rPr>
  </w:style>
  <w:style w:type="character" w:customStyle="1" w:styleId="135">
    <w:name w:val="unnamed1"/>
    <w:basedOn w:val="58"/>
    <w:qFormat/>
    <w:uiPriority w:val="0"/>
  </w:style>
  <w:style w:type="character" w:customStyle="1" w:styleId="136">
    <w:name w:val="HIK 段分 3 Char"/>
    <w:basedOn w:val="77"/>
    <w:link w:val="137"/>
    <w:qFormat/>
    <w:uiPriority w:val="0"/>
    <w:rPr>
      <w:rFonts w:ascii="宋体" w:hAnsi="等线" w:eastAsia="仿宋_GB2312"/>
      <w:kern w:val="2"/>
      <w:sz w:val="30"/>
      <w:szCs w:val="32"/>
      <w:lang w:val="en-US" w:eastAsia="zh-CN" w:bidi="ar-SA"/>
    </w:rPr>
  </w:style>
  <w:style w:type="paragraph" w:customStyle="1" w:styleId="137">
    <w:name w:val="HIK 段分 3"/>
    <w:basedOn w:val="5"/>
    <w:next w:val="1"/>
    <w:link w:val="136"/>
    <w:qFormat/>
    <w:uiPriority w:val="0"/>
    <w:pPr>
      <w:keepLines w:val="0"/>
      <w:pageBreakBefore/>
      <w:spacing w:before="80" w:after="80"/>
      <w:ind w:left="720" w:hanging="720" w:firstLineChars="0"/>
      <w:jc w:val="left"/>
    </w:pPr>
    <w:rPr>
      <w:rFonts w:ascii="宋体" w:hAnsi="等线" w:eastAsia="宋体"/>
      <w:szCs w:val="32"/>
    </w:rPr>
  </w:style>
  <w:style w:type="character" w:customStyle="1" w:styleId="138">
    <w:name w:val="批注主题 字符"/>
    <w:link w:val="53"/>
    <w:qFormat/>
    <w:uiPriority w:val="0"/>
    <w:rPr>
      <w:rFonts w:eastAsia="宋体"/>
      <w:b/>
      <w:bCs/>
      <w:kern w:val="2"/>
      <w:sz w:val="21"/>
      <w:szCs w:val="24"/>
      <w:lang w:val="en-US" w:eastAsia="zh-CN" w:bidi="ar-SA"/>
    </w:rPr>
  </w:style>
  <w:style w:type="character" w:customStyle="1" w:styleId="139">
    <w:name w:val="普通文字 Char Char2"/>
    <w:qFormat/>
    <w:uiPriority w:val="0"/>
    <w:rPr>
      <w:rFonts w:ascii="宋体" w:hAnsi="Courier New" w:eastAsia="宋体"/>
      <w:kern w:val="2"/>
      <w:sz w:val="21"/>
      <w:lang w:val="en-US" w:eastAsia="zh-CN" w:bidi="ar-SA"/>
    </w:rPr>
  </w:style>
  <w:style w:type="character" w:customStyle="1" w:styleId="140">
    <w:name w:val="正文文本 2 字符"/>
    <w:basedOn w:val="58"/>
    <w:link w:val="48"/>
    <w:qFormat/>
    <w:uiPriority w:val="0"/>
    <w:rPr>
      <w:kern w:val="2"/>
      <w:sz w:val="21"/>
      <w:szCs w:val="24"/>
    </w:rPr>
  </w:style>
  <w:style w:type="character" w:customStyle="1" w:styleId="141">
    <w:name w:val="HIK 段分 5 Char"/>
    <w:basedOn w:val="79"/>
    <w:link w:val="142"/>
    <w:qFormat/>
    <w:uiPriority w:val="0"/>
    <w:rPr>
      <w:rFonts w:ascii="宋体" w:hAnsi="等线" w:eastAsia="宋体"/>
      <w:kern w:val="2"/>
      <w:sz w:val="24"/>
      <w:szCs w:val="28"/>
      <w:lang w:val="en-US" w:eastAsia="zh-CN" w:bidi="ar-SA"/>
    </w:rPr>
  </w:style>
  <w:style w:type="paragraph" w:customStyle="1" w:styleId="142">
    <w:name w:val="HIK 段分 5"/>
    <w:basedOn w:val="7"/>
    <w:next w:val="1"/>
    <w:link w:val="141"/>
    <w:qFormat/>
    <w:uiPriority w:val="0"/>
    <w:pPr>
      <w:keepLines w:val="0"/>
      <w:pageBreakBefore/>
      <w:spacing w:before="60" w:after="60" w:line="360" w:lineRule="auto"/>
      <w:ind w:left="1008" w:hanging="1008"/>
      <w:jc w:val="left"/>
    </w:pPr>
    <w:rPr>
      <w:rFonts w:ascii="宋体" w:hAnsi="等线"/>
      <w:sz w:val="24"/>
    </w:rPr>
  </w:style>
  <w:style w:type="character" w:customStyle="1" w:styleId="143">
    <w:name w:val="标准正文格式 Char Char"/>
    <w:link w:val="144"/>
    <w:qFormat/>
    <w:uiPriority w:val="0"/>
    <w:rPr>
      <w:rFonts w:ascii="宋体" w:eastAsia="仿宋_GB2312" w:cs="宋体"/>
      <w:color w:val="000000"/>
      <w:sz w:val="24"/>
    </w:rPr>
  </w:style>
  <w:style w:type="paragraph" w:customStyle="1" w:styleId="144">
    <w:name w:val="标准正文格式"/>
    <w:basedOn w:val="1"/>
    <w:link w:val="143"/>
    <w:qFormat/>
    <w:uiPriority w:val="0"/>
    <w:pPr>
      <w:widowControl/>
      <w:adjustRightInd w:val="0"/>
      <w:spacing w:before="60" w:after="120" w:line="360" w:lineRule="auto"/>
      <w:ind w:firstLine="200" w:firstLineChars="200"/>
      <w:textAlignment w:val="baseline"/>
    </w:pPr>
    <w:rPr>
      <w:rFonts w:ascii="宋体" w:eastAsia="仿宋_GB2312"/>
      <w:color w:val="000000"/>
      <w:kern w:val="0"/>
      <w:sz w:val="24"/>
      <w:szCs w:val="20"/>
    </w:rPr>
  </w:style>
  <w:style w:type="character" w:customStyle="1" w:styleId="145">
    <w:name w:val="无间隔 字符"/>
    <w:basedOn w:val="58"/>
    <w:link w:val="146"/>
    <w:qFormat/>
    <w:uiPriority w:val="1"/>
    <w:rPr>
      <w:kern w:val="2"/>
      <w:sz w:val="21"/>
      <w:szCs w:val="22"/>
      <w:lang w:val="en-US" w:eastAsia="zh-CN" w:bidi="ar-SA"/>
    </w:rPr>
  </w:style>
  <w:style w:type="paragraph" w:styleId="146">
    <w:name w:val="No Spacing"/>
    <w:link w:val="145"/>
    <w:qFormat/>
    <w:uiPriority w:val="1"/>
    <w:pPr>
      <w:widowControl w:val="0"/>
      <w:spacing w:after="160" w:line="259" w:lineRule="auto"/>
    </w:pPr>
    <w:rPr>
      <w:rFonts w:ascii="Times New Roman" w:hAnsi="Times New Roman" w:eastAsia="宋体" w:cs="Times New Roman"/>
      <w:kern w:val="2"/>
      <w:sz w:val="21"/>
      <w:szCs w:val="22"/>
      <w:lang w:val="en-US" w:eastAsia="zh-CN" w:bidi="ar-SA"/>
    </w:rPr>
  </w:style>
  <w:style w:type="character" w:customStyle="1" w:styleId="147">
    <w:name w:val="正文缩进 字符1"/>
    <w:qFormat/>
    <w:uiPriority w:val="0"/>
    <w:rPr>
      <w:rFonts w:eastAsia="宋体"/>
      <w:kern w:val="2"/>
      <w:sz w:val="21"/>
      <w:lang w:val="en-US" w:eastAsia="zh-CN" w:bidi="ar-SA"/>
    </w:rPr>
  </w:style>
  <w:style w:type="paragraph" w:customStyle="1" w:styleId="148">
    <w:name w:val="xl8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49">
    <w:name w:val="TOC 标题1"/>
    <w:basedOn w:val="3"/>
    <w:next w:val="1"/>
    <w:qFormat/>
    <w:uiPriority w:val="0"/>
    <w:pPr>
      <w:widowControl/>
      <w:spacing w:before="480" w:line="276" w:lineRule="auto"/>
      <w:outlineLvl w:val="9"/>
    </w:pPr>
    <w:rPr>
      <w:rFonts w:ascii="Cambria" w:hAnsi="Cambria"/>
      <w:color w:val="365F91"/>
      <w:kern w:val="0"/>
      <w:sz w:val="28"/>
      <w:szCs w:val="28"/>
    </w:rPr>
  </w:style>
  <w:style w:type="paragraph" w:customStyle="1" w:styleId="150">
    <w:name w:val="Default"/>
    <w:qFormat/>
    <w:uiPriority w:val="0"/>
    <w:pPr>
      <w:widowControl w:val="0"/>
      <w:autoSpaceDE w:val="0"/>
      <w:autoSpaceDN w:val="0"/>
      <w:adjustRightInd w:val="0"/>
      <w:spacing w:before="120" w:after="120" w:line="259" w:lineRule="auto"/>
    </w:pPr>
    <w:rPr>
      <w:rFonts w:ascii="宋体" w:hAnsi="Times New Roman" w:eastAsia="宋体" w:cs="宋体"/>
      <w:color w:val="000000"/>
      <w:sz w:val="24"/>
      <w:szCs w:val="24"/>
      <w:lang w:val="en-US" w:eastAsia="zh-CN" w:bidi="ar-SA"/>
    </w:rPr>
  </w:style>
  <w:style w:type="paragraph" w:customStyle="1" w:styleId="151">
    <w:name w:val="正文 New"/>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152">
    <w:name w:val="纯文本11"/>
    <w:basedOn w:val="1"/>
    <w:qFormat/>
    <w:uiPriority w:val="0"/>
    <w:pPr>
      <w:adjustRightInd w:val="0"/>
      <w:textAlignment w:val="baseline"/>
    </w:pPr>
    <w:rPr>
      <w:rFonts w:ascii="宋体" w:hAnsi="Courier New" w:eastAsia="楷体_GB2312"/>
      <w:sz w:val="26"/>
      <w:szCs w:val="20"/>
    </w:rPr>
  </w:style>
  <w:style w:type="paragraph" w:customStyle="1" w:styleId="153">
    <w:name w:val="TOC 标题11"/>
    <w:basedOn w:val="3"/>
    <w:next w:val="1"/>
    <w:qFormat/>
    <w:uiPriority w:val="39"/>
    <w:pPr>
      <w:widowControl/>
      <w:spacing w:before="480" w:line="276" w:lineRule="auto"/>
      <w:outlineLvl w:val="9"/>
    </w:pPr>
    <w:rPr>
      <w:rFonts w:ascii="Cambria" w:hAnsi="Cambria"/>
      <w:color w:val="365F91"/>
      <w:kern w:val="0"/>
      <w:sz w:val="28"/>
      <w:szCs w:val="28"/>
    </w:rPr>
  </w:style>
  <w:style w:type="paragraph" w:customStyle="1" w:styleId="154">
    <w:name w:val="xl80"/>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55">
    <w:name w:val="Char"/>
    <w:basedOn w:val="1"/>
    <w:qFormat/>
    <w:uiPriority w:val="0"/>
    <w:pPr>
      <w:tabs>
        <w:tab w:val="left" w:pos="360"/>
      </w:tabs>
    </w:pPr>
    <w:rPr>
      <w:sz w:val="24"/>
    </w:rPr>
  </w:style>
  <w:style w:type="paragraph" w:customStyle="1" w:styleId="156">
    <w:name w:val="正文段"/>
    <w:basedOn w:val="1"/>
    <w:qFormat/>
    <w:uiPriority w:val="0"/>
    <w:pPr>
      <w:widowControl/>
      <w:snapToGrid w:val="0"/>
      <w:spacing w:afterLines="50"/>
      <w:ind w:firstLine="200" w:firstLineChars="200"/>
    </w:pPr>
    <w:rPr>
      <w:kern w:val="0"/>
      <w:sz w:val="24"/>
      <w:szCs w:val="20"/>
    </w:rPr>
  </w:style>
  <w:style w:type="paragraph" w:customStyle="1" w:styleId="157">
    <w:name w:val="font6"/>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158">
    <w:name w:val="xl7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59">
    <w:name w:val="p17"/>
    <w:basedOn w:val="1"/>
    <w:qFormat/>
    <w:uiPriority w:val="0"/>
    <w:pPr>
      <w:widowControl/>
    </w:pPr>
    <w:rPr>
      <w:kern w:val="0"/>
      <w:szCs w:val="21"/>
    </w:rPr>
  </w:style>
  <w:style w:type="paragraph" w:customStyle="1" w:styleId="160">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18"/>
      <w:szCs w:val="18"/>
    </w:rPr>
  </w:style>
  <w:style w:type="paragraph" w:customStyle="1" w:styleId="162">
    <w:name w:val="Char Char1 Char"/>
    <w:basedOn w:val="1"/>
    <w:qFormat/>
    <w:uiPriority w:val="0"/>
    <w:pPr>
      <w:tabs>
        <w:tab w:val="left" w:pos="360"/>
      </w:tabs>
    </w:pPr>
    <w:rPr>
      <w:sz w:val="24"/>
    </w:rPr>
  </w:style>
  <w:style w:type="paragraph" w:customStyle="1" w:styleId="163">
    <w:name w:val="默认段落字体 Para Char Char Char Char Char Char Char Char Char1 Char Char Char Char"/>
    <w:basedOn w:val="1"/>
    <w:qFormat/>
    <w:uiPriority w:val="0"/>
    <w:rPr>
      <w:rFonts w:ascii="Tahoma" w:hAnsi="Tahoma"/>
      <w:sz w:val="24"/>
      <w:szCs w:val="20"/>
    </w:rPr>
  </w:style>
  <w:style w:type="paragraph" w:customStyle="1" w:styleId="164">
    <w:name w:val="xl7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65">
    <w:name w:val="正文1"/>
    <w:qFormat/>
    <w:uiPriority w:val="0"/>
    <w:pPr>
      <w:widowControl w:val="0"/>
      <w:spacing w:after="160" w:line="259" w:lineRule="auto"/>
      <w:jc w:val="both"/>
    </w:pPr>
    <w:rPr>
      <w:rFonts w:hint="eastAsia" w:ascii="Times New Roman" w:hAnsi="Times New Roman" w:eastAsia="宋体" w:cs="Times New Roman"/>
      <w:kern w:val="2"/>
      <w:sz w:val="21"/>
      <w:lang w:val="en-US" w:eastAsia="zh-CN" w:bidi="ar-SA"/>
    </w:rPr>
  </w:style>
  <w:style w:type="paragraph" w:customStyle="1" w:styleId="166">
    <w:name w:val="1 Char Char Char Char"/>
    <w:basedOn w:val="1"/>
    <w:qFormat/>
    <w:uiPriority w:val="0"/>
    <w:rPr>
      <w:rFonts w:ascii="Tahoma" w:hAnsi="Tahoma"/>
      <w:sz w:val="24"/>
      <w:szCs w:val="20"/>
    </w:rPr>
  </w:style>
  <w:style w:type="paragraph" w:customStyle="1" w:styleId="167">
    <w:name w:val="正文 New New New New"/>
    <w:qFormat/>
    <w:uiPriority w:val="0"/>
    <w:pPr>
      <w:widowControl w:val="0"/>
      <w:spacing w:after="160" w:line="259" w:lineRule="auto"/>
      <w:jc w:val="both"/>
    </w:pPr>
    <w:rPr>
      <w:rFonts w:ascii="Times New Roman" w:hAnsi="Times New Roman" w:eastAsia="Arial Unicode MS" w:cs="Arial Unicode MS"/>
      <w:color w:val="000000"/>
      <w:u w:color="000000"/>
      <w:lang w:val="en-US" w:eastAsia="zh-CN" w:bidi="ar-SA"/>
    </w:rPr>
  </w:style>
  <w:style w:type="paragraph" w:customStyle="1" w:styleId="168">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69">
    <w:name w:val="GTA正文-2"/>
    <w:basedOn w:val="1"/>
    <w:qFormat/>
    <w:uiPriority w:val="0"/>
    <w:pPr>
      <w:snapToGrid w:val="0"/>
      <w:spacing w:beforeLines="50" w:after="156" w:line="480" w:lineRule="atLeast"/>
      <w:ind w:firstLine="480" w:firstLineChars="200"/>
      <w:jc w:val="left"/>
    </w:pPr>
    <w:rPr>
      <w:rFonts w:ascii="微软雅黑" w:hAnsi="微软雅黑" w:eastAsia="微软雅黑" w:cs="Arial"/>
      <w:kern w:val="0"/>
      <w:sz w:val="24"/>
      <w:lang w:eastAsia="en-US"/>
    </w:rPr>
  </w:style>
  <w:style w:type="paragraph" w:customStyle="1" w:styleId="170">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171">
    <w:name w:val="正文－恩普"/>
    <w:basedOn w:val="15"/>
    <w:qFormat/>
    <w:uiPriority w:val="0"/>
    <w:pPr>
      <w:widowControl/>
      <w:spacing w:line="360" w:lineRule="auto"/>
      <w:ind w:firstLine="480" w:firstLineChars="200"/>
      <w:jc w:val="left"/>
    </w:pPr>
    <w:rPr>
      <w:kern w:val="0"/>
      <w:sz w:val="24"/>
    </w:rPr>
  </w:style>
  <w:style w:type="paragraph" w:customStyle="1" w:styleId="172">
    <w:name w:val="表内文字"/>
    <w:basedOn w:val="1"/>
    <w:qFormat/>
    <w:uiPriority w:val="0"/>
    <w:pPr>
      <w:jc w:val="center"/>
    </w:pPr>
    <w:rPr>
      <w:rFonts w:ascii="仿宋_GB2312" w:eastAsia="仿宋_GB2312"/>
      <w:sz w:val="24"/>
    </w:rPr>
  </w:style>
  <w:style w:type="paragraph" w:customStyle="1" w:styleId="173">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74">
    <w:name w:val="正文 New New New New New New"/>
    <w:qFormat/>
    <w:uiPriority w:val="0"/>
    <w:pPr>
      <w:widowControl w:val="0"/>
      <w:spacing w:after="160" w:line="259" w:lineRule="auto"/>
      <w:jc w:val="both"/>
    </w:pPr>
    <w:rPr>
      <w:rFonts w:ascii="Times New Roman" w:hAnsi="Times New Roman" w:eastAsia="宋体" w:cs="Times New Roman"/>
      <w:kern w:val="2"/>
      <w:sz w:val="21"/>
      <w:lang w:val="en-US" w:eastAsia="zh-CN" w:bidi="ar-SA"/>
    </w:rPr>
  </w:style>
  <w:style w:type="paragraph" w:customStyle="1" w:styleId="175">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76">
    <w:name w:val="xl71"/>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78">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18"/>
      <w:szCs w:val="18"/>
    </w:rPr>
  </w:style>
  <w:style w:type="paragraph" w:customStyle="1" w:styleId="179">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80">
    <w:name w:val="Char1"/>
    <w:basedOn w:val="1"/>
    <w:qFormat/>
    <w:uiPriority w:val="0"/>
    <w:rPr>
      <w:rFonts w:ascii="仿宋_GB2312" w:eastAsia="仿宋_GB2312"/>
      <w:b/>
      <w:sz w:val="32"/>
      <w:szCs w:val="32"/>
    </w:rPr>
  </w:style>
  <w:style w:type="paragraph" w:customStyle="1" w:styleId="181">
    <w:name w:val="纯文本12"/>
    <w:basedOn w:val="1"/>
    <w:qFormat/>
    <w:uiPriority w:val="0"/>
    <w:pPr>
      <w:spacing w:afterLines="50"/>
    </w:pPr>
    <w:rPr>
      <w:rFonts w:ascii="宋体" w:hAnsi="Courier New"/>
      <w:sz w:val="24"/>
      <w:szCs w:val="20"/>
    </w:rPr>
  </w:style>
  <w:style w:type="paragraph" w:customStyle="1" w:styleId="182">
    <w:name w:val="Char Char Char Char Char Char Char"/>
    <w:basedOn w:val="1"/>
    <w:qFormat/>
    <w:uiPriority w:val="0"/>
    <w:rPr>
      <w:szCs w:val="21"/>
    </w:rPr>
  </w:style>
  <w:style w:type="paragraph" w:customStyle="1" w:styleId="18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184">
    <w:name w:val="p16"/>
    <w:basedOn w:val="1"/>
    <w:qFormat/>
    <w:uiPriority w:val="0"/>
    <w:pPr>
      <w:widowControl/>
    </w:pPr>
    <w:rPr>
      <w:kern w:val="0"/>
      <w:szCs w:val="21"/>
    </w:rPr>
  </w:style>
  <w:style w:type="paragraph" w:customStyle="1" w:styleId="185">
    <w:name w:val="xl7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86">
    <w:name w:val="HIK图文"/>
    <w:qFormat/>
    <w:uiPriority w:val="0"/>
    <w:pPr>
      <w:spacing w:after="160" w:line="360" w:lineRule="auto"/>
      <w:jc w:val="center"/>
    </w:pPr>
    <w:rPr>
      <w:rFonts w:ascii="宋体" w:hAnsi="等线" w:eastAsia="宋体" w:cs="Times New Roman"/>
      <w:kern w:val="2"/>
      <w:sz w:val="24"/>
      <w:szCs w:val="22"/>
      <w:lang w:val="en-US" w:eastAsia="zh-CN" w:bidi="ar-SA"/>
    </w:rPr>
  </w:style>
  <w:style w:type="paragraph" w:customStyle="1" w:styleId="187">
    <w:name w:val="HIK项目标号"/>
    <w:basedOn w:val="1"/>
    <w:next w:val="1"/>
    <w:qFormat/>
    <w:uiPriority w:val="0"/>
    <w:pPr>
      <w:spacing w:line="360" w:lineRule="auto"/>
      <w:ind w:left="420" w:firstLine="200" w:firstLineChars="200"/>
      <w:jc w:val="left"/>
    </w:pPr>
    <w:rPr>
      <w:rFonts w:ascii="Arial" w:hAnsi="Arial" w:cs="宋体"/>
      <w:sz w:val="24"/>
      <w:szCs w:val="20"/>
    </w:rPr>
  </w:style>
  <w:style w:type="paragraph" w:customStyle="1" w:styleId="188">
    <w:name w:val="Char Char Char Char Char Char"/>
    <w:basedOn w:val="1"/>
    <w:qFormat/>
    <w:uiPriority w:val="0"/>
    <w:pPr>
      <w:ind w:firstLine="200" w:firstLineChars="200"/>
    </w:pPr>
  </w:style>
  <w:style w:type="paragraph" w:customStyle="1" w:styleId="189">
    <w:name w:val="默认段落字体 Para Char Char Char Char"/>
    <w:basedOn w:val="1"/>
    <w:qFormat/>
    <w:uiPriority w:val="0"/>
  </w:style>
  <w:style w:type="paragraph" w:customStyle="1" w:styleId="190">
    <w:name w:val="font10"/>
    <w:basedOn w:val="1"/>
    <w:qFormat/>
    <w:uiPriority w:val="0"/>
    <w:pPr>
      <w:widowControl/>
      <w:spacing w:before="100" w:beforeAutospacing="1" w:after="100" w:afterAutospacing="1"/>
      <w:jc w:val="left"/>
    </w:pPr>
    <w:rPr>
      <w:rFonts w:ascii="宋体" w:hAnsi="宋体" w:cs="宋体"/>
      <w:color w:val="FF0000"/>
      <w:kern w:val="0"/>
      <w:sz w:val="18"/>
      <w:szCs w:val="18"/>
    </w:rPr>
  </w:style>
  <w:style w:type="paragraph" w:customStyle="1" w:styleId="191">
    <w:name w:val="正文2"/>
    <w:link w:val="539"/>
    <w:qFormat/>
    <w:uiPriority w:val="0"/>
    <w:pPr>
      <w:widowControl w:val="0"/>
      <w:spacing w:after="160" w:line="259" w:lineRule="auto"/>
      <w:jc w:val="both"/>
    </w:pPr>
    <w:rPr>
      <w:rFonts w:hint="eastAsia" w:ascii="Times New Roman" w:hAnsi="Times New Roman" w:eastAsia="宋体" w:cs="Times New Roman"/>
      <w:kern w:val="2"/>
      <w:sz w:val="21"/>
      <w:lang w:val="en-US" w:eastAsia="zh-CN" w:bidi="ar-SA"/>
    </w:rPr>
  </w:style>
  <w:style w:type="table" w:customStyle="1" w:styleId="192">
    <w:name w:val="Table Normal"/>
    <w:unhideWhenUsed/>
    <w:qFormat/>
    <w:uiPriority w:val="2"/>
    <w:pPr>
      <w:widowControl w:val="0"/>
    </w:pPr>
    <w:rPr>
      <w:sz w:val="22"/>
      <w:szCs w:val="22"/>
      <w:lang w:eastAsia="en-US"/>
    </w:rPr>
    <w:tblPr>
      <w:tblCellMar>
        <w:top w:w="0" w:type="dxa"/>
        <w:left w:w="0" w:type="dxa"/>
        <w:bottom w:w="0" w:type="dxa"/>
        <w:right w:w="0" w:type="dxa"/>
      </w:tblCellMar>
    </w:tblPr>
  </w:style>
  <w:style w:type="paragraph" w:customStyle="1" w:styleId="193">
    <w:name w:val="标准正文"/>
    <w:basedOn w:val="1"/>
    <w:qFormat/>
    <w:uiPriority w:val="0"/>
    <w:pPr>
      <w:spacing w:line="360" w:lineRule="auto"/>
      <w:ind w:firstLine="200" w:firstLineChars="200"/>
    </w:pPr>
    <w:rPr>
      <w:rFonts w:ascii="Calibri" w:hAnsi="Calibri"/>
      <w:sz w:val="24"/>
      <w:szCs w:val="20"/>
    </w:rPr>
  </w:style>
  <w:style w:type="paragraph" w:customStyle="1" w:styleId="194">
    <w:name w:val="1"/>
    <w:basedOn w:val="3"/>
    <w:qFormat/>
    <w:uiPriority w:val="0"/>
    <w:pPr>
      <w:adjustRightInd w:val="0"/>
      <w:snapToGrid w:val="0"/>
      <w:spacing w:before="240" w:after="240" w:line="348" w:lineRule="auto"/>
    </w:pPr>
    <w:rPr>
      <w:rFonts w:ascii="Calibri" w:hAnsi="Calibri" w:eastAsia="宋体" w:cs="宋体"/>
    </w:rPr>
  </w:style>
  <w:style w:type="character" w:customStyle="1" w:styleId="195">
    <w:name w:val="bookmark-item"/>
    <w:basedOn w:val="58"/>
    <w:qFormat/>
    <w:uiPriority w:val="0"/>
  </w:style>
  <w:style w:type="character" w:customStyle="1" w:styleId="196">
    <w:name w:val="sub"/>
    <w:basedOn w:val="58"/>
    <w:qFormat/>
    <w:uiPriority w:val="0"/>
  </w:style>
  <w:style w:type="paragraph" w:customStyle="1" w:styleId="197">
    <w:name w:val="样式 段 + 四号 首行缩进:  2 字符 行距: 1.5 倍行距"/>
    <w:basedOn w:val="1"/>
    <w:qFormat/>
    <w:uiPriority w:val="0"/>
    <w:pPr>
      <w:widowControl/>
      <w:autoSpaceDE w:val="0"/>
      <w:autoSpaceDN w:val="0"/>
      <w:ind w:firstLine="560" w:firstLineChars="200"/>
    </w:pPr>
    <w:rPr>
      <w:rFonts w:ascii="宋体" w:cs="宋体"/>
      <w:kern w:val="0"/>
      <w:szCs w:val="22"/>
    </w:rPr>
  </w:style>
  <w:style w:type="paragraph" w:customStyle="1" w:styleId="198">
    <w:name w:val="正文_0"/>
    <w:qFormat/>
    <w:uiPriority w:val="0"/>
    <w:pPr>
      <w:widowControl w:val="0"/>
      <w:spacing w:after="160" w:line="259" w:lineRule="auto"/>
      <w:jc w:val="both"/>
    </w:pPr>
    <w:rPr>
      <w:rFonts w:ascii="Calibri" w:hAnsi="Calibri" w:eastAsia="宋体" w:cs="Times New Roman"/>
      <w:kern w:val="2"/>
      <w:sz w:val="21"/>
      <w:szCs w:val="22"/>
      <w:lang w:val="en-US" w:eastAsia="zh-CN" w:bidi="ar-SA"/>
    </w:rPr>
  </w:style>
  <w:style w:type="character" w:customStyle="1" w:styleId="199">
    <w:name w:val="font01"/>
    <w:qFormat/>
    <w:uiPriority w:val="0"/>
    <w:rPr>
      <w:rFonts w:hint="default" w:ascii="Times New Roman" w:hAnsi="Times New Roman" w:cs="Times New Roman"/>
      <w:color w:val="000000"/>
      <w:sz w:val="21"/>
      <w:szCs w:val="21"/>
      <w:u w:val="none"/>
    </w:rPr>
  </w:style>
  <w:style w:type="character" w:customStyle="1" w:styleId="200">
    <w:name w:val="脚注文本 字符"/>
    <w:basedOn w:val="58"/>
    <w:link w:val="42"/>
    <w:qFormat/>
    <w:uiPriority w:val="0"/>
    <w:rPr>
      <w:rFonts w:ascii="Calibri" w:hAnsi="Calibri"/>
      <w:kern w:val="2"/>
      <w:sz w:val="18"/>
      <w:szCs w:val="24"/>
    </w:rPr>
  </w:style>
  <w:style w:type="paragraph" w:customStyle="1" w:styleId="201">
    <w:name w:val="CM11"/>
    <w:basedOn w:val="150"/>
    <w:next w:val="150"/>
    <w:unhideWhenUsed/>
    <w:qFormat/>
    <w:uiPriority w:val="99"/>
    <w:pPr>
      <w:spacing w:before="0" w:after="0" w:line="520" w:lineRule="atLeast"/>
    </w:pPr>
    <w:rPr>
      <w:rFonts w:hint="eastAsia" w:ascii="仿宋" w:eastAsia="仿宋" w:cs="Times New Roman"/>
      <w:szCs w:val="20"/>
    </w:rPr>
  </w:style>
  <w:style w:type="paragraph" w:customStyle="1" w:styleId="202">
    <w:name w:val="列出段落2"/>
    <w:basedOn w:val="1"/>
    <w:qFormat/>
    <w:uiPriority w:val="0"/>
    <w:pPr>
      <w:spacing w:after="0" w:line="240" w:lineRule="auto"/>
      <w:ind w:firstLine="420" w:firstLineChars="200"/>
    </w:pPr>
  </w:style>
  <w:style w:type="character" w:customStyle="1" w:styleId="203">
    <w:name w:val="正文文本首行缩进 2 字符"/>
    <w:basedOn w:val="100"/>
    <w:link w:val="54"/>
    <w:qFormat/>
    <w:uiPriority w:val="0"/>
    <w:rPr>
      <w:rFonts w:ascii="宋体" w:hAnsi="Courier New" w:eastAsia="宋体"/>
      <w:spacing w:val="-4"/>
      <w:kern w:val="2"/>
      <w:sz w:val="24"/>
      <w:lang w:val="en-US" w:eastAsia="zh-CN" w:bidi="ar-SA"/>
    </w:rPr>
  </w:style>
  <w:style w:type="character" w:customStyle="1" w:styleId="204">
    <w:name w:val="列出段落 Char2"/>
    <w:qFormat/>
    <w:uiPriority w:val="34"/>
    <w:rPr>
      <w:kern w:val="2"/>
      <w:sz w:val="21"/>
      <w:szCs w:val="22"/>
    </w:rPr>
  </w:style>
  <w:style w:type="paragraph" w:customStyle="1" w:styleId="205">
    <w:name w:val="字元 字元"/>
    <w:basedOn w:val="1"/>
    <w:qFormat/>
    <w:uiPriority w:val="0"/>
    <w:pPr>
      <w:widowControl/>
      <w:spacing w:line="240" w:lineRule="exact"/>
      <w:jc w:val="left"/>
    </w:pPr>
    <w:rPr>
      <w:rFonts w:ascii="Verdana" w:hAnsi="Verdana"/>
      <w:kern w:val="0"/>
      <w:sz w:val="20"/>
      <w:szCs w:val="20"/>
      <w:lang w:eastAsia="en-US"/>
    </w:rPr>
  </w:style>
  <w:style w:type="character" w:customStyle="1" w:styleId="206">
    <w:name w:val="样式 标题 5 + (西文) 黑体 三号 Char Char Char Char Char Char Char"/>
    <w:qFormat/>
    <w:uiPriority w:val="0"/>
    <w:rPr>
      <w:rFonts w:ascii="黑体" w:hAnsi="黑体" w:eastAsia="宋体"/>
      <w:bCs/>
      <w:kern w:val="2"/>
      <w:sz w:val="24"/>
      <w:szCs w:val="28"/>
      <w:lang w:val="en-US" w:eastAsia="zh-CN" w:bidi="ar-SA"/>
    </w:rPr>
  </w:style>
  <w:style w:type="paragraph" w:customStyle="1" w:styleId="207">
    <w:name w:val="列出段落3"/>
    <w:basedOn w:val="1"/>
    <w:qFormat/>
    <w:uiPriority w:val="0"/>
    <w:pPr>
      <w:spacing w:after="0" w:line="240" w:lineRule="auto"/>
      <w:ind w:firstLine="420" w:firstLineChars="200"/>
    </w:pPr>
    <w:rPr>
      <w:rFonts w:ascii="Calibri" w:hAnsi="Calibri"/>
      <w:szCs w:val="22"/>
    </w:rPr>
  </w:style>
  <w:style w:type="paragraph" w:customStyle="1" w:styleId="208">
    <w:name w:val="字元 字元11"/>
    <w:basedOn w:val="1"/>
    <w:qFormat/>
    <w:uiPriority w:val="0"/>
    <w:pPr>
      <w:widowControl/>
      <w:spacing w:line="240" w:lineRule="exact"/>
      <w:jc w:val="left"/>
    </w:pPr>
    <w:rPr>
      <w:sz w:val="28"/>
      <w:szCs w:val="20"/>
    </w:rPr>
  </w:style>
  <w:style w:type="paragraph" w:customStyle="1" w:styleId="209">
    <w:name w:val="TOC 标题2"/>
    <w:basedOn w:val="3"/>
    <w:next w:val="1"/>
    <w:qFormat/>
    <w:uiPriority w:val="39"/>
    <w:pPr>
      <w:widowControl/>
      <w:spacing w:before="480" w:after="0" w:line="276" w:lineRule="auto"/>
      <w:outlineLvl w:val="9"/>
    </w:pPr>
    <w:rPr>
      <w:rFonts w:ascii="Cambria" w:hAnsi="Cambria" w:eastAsia="宋体"/>
      <w:color w:val="365F91"/>
      <w:kern w:val="0"/>
      <w:sz w:val="28"/>
      <w:szCs w:val="28"/>
    </w:rPr>
  </w:style>
  <w:style w:type="paragraph" w:customStyle="1" w:styleId="210">
    <w:name w:val="封面第一行"/>
    <w:basedOn w:val="1"/>
    <w:qFormat/>
    <w:uiPriority w:val="0"/>
    <w:pPr>
      <w:spacing w:after="0" w:line="360" w:lineRule="auto"/>
      <w:jc w:val="center"/>
    </w:pPr>
    <w:rPr>
      <w:rFonts w:ascii="黑体" w:hAnsi="宋体" w:eastAsia="黑体" w:cs="宋体"/>
      <w:sz w:val="56"/>
      <w:szCs w:val="20"/>
    </w:rPr>
  </w:style>
  <w:style w:type="paragraph" w:customStyle="1" w:styleId="211">
    <w:name w:val="字元 字元1"/>
    <w:basedOn w:val="1"/>
    <w:qFormat/>
    <w:uiPriority w:val="0"/>
    <w:pPr>
      <w:widowControl/>
      <w:spacing w:line="240" w:lineRule="exact"/>
      <w:jc w:val="left"/>
    </w:pPr>
    <w:rPr>
      <w:sz w:val="28"/>
      <w:szCs w:val="20"/>
    </w:rPr>
  </w:style>
  <w:style w:type="character" w:customStyle="1" w:styleId="212">
    <w:name w:val="普通文字 Char Char1"/>
    <w:qFormat/>
    <w:uiPriority w:val="0"/>
    <w:rPr>
      <w:rFonts w:ascii="宋体" w:hAnsi="Courier New" w:eastAsia="宋体"/>
      <w:kern w:val="2"/>
      <w:sz w:val="24"/>
      <w:szCs w:val="24"/>
      <w:lang w:val="en-US" w:eastAsia="zh-CN" w:bidi="ar-SA"/>
    </w:rPr>
  </w:style>
  <w:style w:type="character" w:customStyle="1" w:styleId="213">
    <w:name w:val="Heading 0 Char"/>
    <w:qFormat/>
    <w:uiPriority w:val="0"/>
    <w:rPr>
      <w:rFonts w:eastAsia="宋体"/>
      <w:b/>
      <w:bCs/>
      <w:kern w:val="44"/>
      <w:sz w:val="32"/>
      <w:szCs w:val="44"/>
      <w:lang w:val="en-US" w:eastAsia="zh-CN" w:bidi="ar-SA"/>
    </w:rPr>
  </w:style>
  <w:style w:type="character" w:customStyle="1" w:styleId="214">
    <w:name w:val="Heading 2 Hidden Char"/>
    <w:qFormat/>
    <w:uiPriority w:val="0"/>
    <w:rPr>
      <w:rFonts w:ascii="Arial" w:hAnsi="Arial" w:eastAsia="黑体"/>
      <w:b/>
      <w:bCs/>
      <w:kern w:val="2"/>
      <w:sz w:val="32"/>
      <w:szCs w:val="32"/>
      <w:lang w:val="en-US" w:eastAsia="zh-CN" w:bidi="ar-SA"/>
    </w:rPr>
  </w:style>
  <w:style w:type="character" w:customStyle="1" w:styleId="215">
    <w:name w:val="h4 Char1"/>
    <w:qFormat/>
    <w:uiPriority w:val="0"/>
    <w:rPr>
      <w:rFonts w:ascii="Cambria" w:hAnsi="Cambria" w:eastAsia="宋体" w:cs="Times New Roman"/>
      <w:b/>
      <w:bCs/>
      <w:kern w:val="2"/>
      <w:sz w:val="28"/>
      <w:szCs w:val="28"/>
    </w:rPr>
  </w:style>
  <w:style w:type="character" w:customStyle="1" w:styleId="216">
    <w:name w:val="h5 Char"/>
    <w:qFormat/>
    <w:uiPriority w:val="0"/>
    <w:rPr>
      <w:rFonts w:eastAsia="宋体"/>
      <w:b/>
      <w:bCs/>
      <w:kern w:val="2"/>
      <w:sz w:val="28"/>
      <w:szCs w:val="28"/>
      <w:lang w:val="en-US" w:eastAsia="zh-CN" w:bidi="ar-SA"/>
    </w:rPr>
  </w:style>
  <w:style w:type="character" w:customStyle="1" w:styleId="217">
    <w:name w:val="表正文 Char"/>
    <w:qFormat/>
    <w:uiPriority w:val="0"/>
    <w:rPr>
      <w:rFonts w:eastAsia="宋体"/>
      <w:kern w:val="2"/>
      <w:sz w:val="21"/>
      <w:lang w:val="en-US" w:eastAsia="zh-CN" w:bidi="ar-SA"/>
    </w:rPr>
  </w:style>
  <w:style w:type="character" w:customStyle="1" w:styleId="218">
    <w:name w:val="Char Char20"/>
    <w:qFormat/>
    <w:uiPriority w:val="0"/>
    <w:rPr>
      <w:rFonts w:ascii="仿宋_GB2312" w:hAnsi="宋体" w:eastAsia="仿宋_GB2312"/>
      <w:color w:val="000000"/>
      <w:kern w:val="2"/>
      <w:sz w:val="24"/>
      <w:szCs w:val="24"/>
    </w:rPr>
  </w:style>
  <w:style w:type="character" w:customStyle="1" w:styleId="219">
    <w:name w:val="Char Char19"/>
    <w:qFormat/>
    <w:locked/>
    <w:uiPriority w:val="0"/>
    <w:rPr>
      <w:rFonts w:eastAsia="黑体"/>
      <w:snapToGrid w:val="0"/>
      <w:sz w:val="18"/>
      <w:szCs w:val="18"/>
    </w:rPr>
  </w:style>
  <w:style w:type="character" w:customStyle="1" w:styleId="220">
    <w:name w:val="Char Char18"/>
    <w:qFormat/>
    <w:locked/>
    <w:uiPriority w:val="0"/>
    <w:rPr>
      <w:kern w:val="2"/>
      <w:sz w:val="18"/>
      <w:szCs w:val="18"/>
    </w:rPr>
  </w:style>
  <w:style w:type="character" w:customStyle="1" w:styleId="221">
    <w:name w:val="Char Char16"/>
    <w:qFormat/>
    <w:uiPriority w:val="0"/>
    <w:rPr>
      <w:rFonts w:eastAsia="楷体_GB2312"/>
      <w:kern w:val="2"/>
      <w:sz w:val="32"/>
    </w:rPr>
  </w:style>
  <w:style w:type="character" w:customStyle="1" w:styleId="222">
    <w:name w:val="正文文字首行缩进 Char"/>
    <w:qFormat/>
    <w:uiPriority w:val="0"/>
    <w:rPr>
      <w:rFonts w:ascii="宋体" w:hAnsi="Courier New"/>
      <w:spacing w:val="-4"/>
      <w:kern w:val="2"/>
      <w:sz w:val="18"/>
    </w:rPr>
  </w:style>
  <w:style w:type="paragraph" w:customStyle="1" w:styleId="223">
    <w:name w:val="Char21"/>
    <w:basedOn w:val="3"/>
    <w:qFormat/>
    <w:uiPriority w:val="0"/>
    <w:pPr>
      <w:adjustRightInd w:val="0"/>
      <w:snapToGrid w:val="0"/>
      <w:spacing w:before="240" w:after="240" w:line="348" w:lineRule="auto"/>
    </w:pPr>
    <w:rPr>
      <w:rFonts w:eastAsia="宋体"/>
    </w:rPr>
  </w:style>
  <w:style w:type="paragraph" w:customStyle="1" w:styleId="224">
    <w:name w:val="f1"/>
    <w:basedOn w:val="1"/>
    <w:qFormat/>
    <w:uiPriority w:val="0"/>
    <w:pPr>
      <w:widowControl/>
      <w:spacing w:before="100" w:beforeAutospacing="1" w:after="100" w:afterAutospacing="1" w:line="240" w:lineRule="auto"/>
      <w:jc w:val="center"/>
    </w:pPr>
    <w:rPr>
      <w:rFonts w:ascii="Helvetica" w:hAnsi="Helvetica" w:cs="Helvetica"/>
      <w:b/>
      <w:bCs/>
      <w:color w:val="FF8080"/>
      <w:spacing w:val="160"/>
      <w:kern w:val="0"/>
      <w:sz w:val="80"/>
      <w:szCs w:val="80"/>
    </w:rPr>
  </w:style>
  <w:style w:type="paragraph" w:customStyle="1" w:styleId="225">
    <w:name w:val="Char Char Char Char Char Char1"/>
    <w:basedOn w:val="1"/>
    <w:qFormat/>
    <w:uiPriority w:val="0"/>
    <w:pPr>
      <w:widowControl/>
      <w:spacing w:line="240" w:lineRule="exact"/>
      <w:jc w:val="left"/>
    </w:pPr>
    <w:rPr>
      <w:kern w:val="0"/>
      <w:szCs w:val="20"/>
    </w:rPr>
  </w:style>
  <w:style w:type="paragraph" w:customStyle="1" w:styleId="226">
    <w:name w:val="Plain Text1"/>
    <w:basedOn w:val="1"/>
    <w:qFormat/>
    <w:uiPriority w:val="0"/>
    <w:pPr>
      <w:adjustRightInd w:val="0"/>
      <w:spacing w:after="0" w:line="240" w:lineRule="auto"/>
      <w:textAlignment w:val="baseline"/>
    </w:pPr>
    <w:rPr>
      <w:rFonts w:ascii="宋体" w:hAnsi="Courier New" w:eastAsia="楷体_GB2312"/>
      <w:sz w:val="26"/>
      <w:szCs w:val="20"/>
    </w:rPr>
  </w:style>
  <w:style w:type="character" w:customStyle="1" w:styleId="227">
    <w:name w:val="Char Char"/>
    <w:qFormat/>
    <w:uiPriority w:val="0"/>
    <w:rPr>
      <w:rFonts w:ascii="宋体" w:hAnsi="Courier New" w:eastAsia="楷体_GB2312"/>
      <w:kern w:val="2"/>
      <w:sz w:val="26"/>
      <w:lang w:val="en-US" w:eastAsia="zh-CN" w:bidi="ar-SA"/>
    </w:rPr>
  </w:style>
  <w:style w:type="paragraph" w:customStyle="1" w:styleId="228">
    <w:name w:val="Char Char12"/>
    <w:basedOn w:val="1"/>
    <w:qFormat/>
    <w:uiPriority w:val="0"/>
    <w:pPr>
      <w:spacing w:after="0" w:line="240" w:lineRule="auto"/>
    </w:pPr>
    <w:rPr>
      <w:szCs w:val="21"/>
    </w:rPr>
  </w:style>
  <w:style w:type="paragraph" w:customStyle="1" w:styleId="229">
    <w:name w:val="Char Char Char Char Char Char Char1"/>
    <w:basedOn w:val="1"/>
    <w:qFormat/>
    <w:uiPriority w:val="0"/>
    <w:pPr>
      <w:spacing w:after="0" w:line="240" w:lineRule="auto"/>
    </w:pPr>
    <w:rPr>
      <w:szCs w:val="21"/>
    </w:rPr>
  </w:style>
  <w:style w:type="paragraph" w:customStyle="1" w:styleId="230">
    <w:name w:val="_Style 213"/>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character" w:customStyle="1" w:styleId="231">
    <w:name w:val="Char Char11"/>
    <w:qFormat/>
    <w:uiPriority w:val="0"/>
    <w:rPr>
      <w:rFonts w:ascii="Cambria" w:hAnsi="Cambria" w:cs="Times New Roman"/>
      <w:b/>
      <w:bCs/>
      <w:kern w:val="2"/>
      <w:sz w:val="32"/>
      <w:szCs w:val="32"/>
    </w:rPr>
  </w:style>
  <w:style w:type="paragraph" w:customStyle="1" w:styleId="232">
    <w:name w:val="Normal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233">
    <w:name w:val="标准正文格式 Char"/>
    <w:qFormat/>
    <w:uiPriority w:val="0"/>
    <w:rPr>
      <w:rFonts w:ascii="宋体" w:hAnsi="Times New Roman" w:eastAsia="仿宋" w:cs="Times New Roman"/>
      <w:color w:val="000000"/>
      <w:kern w:val="0"/>
      <w:sz w:val="24"/>
      <w:szCs w:val="20"/>
    </w:rPr>
  </w:style>
  <w:style w:type="paragraph" w:customStyle="1" w:styleId="234">
    <w:name w:val="List Paragraph2"/>
    <w:basedOn w:val="1"/>
    <w:qFormat/>
    <w:uiPriority w:val="0"/>
    <w:pPr>
      <w:autoSpaceDE w:val="0"/>
      <w:autoSpaceDN w:val="0"/>
      <w:adjustRightInd w:val="0"/>
      <w:spacing w:after="0" w:line="240" w:lineRule="auto"/>
      <w:ind w:firstLine="420" w:firstLineChars="200"/>
    </w:pPr>
    <w:rPr>
      <w:color w:val="000000"/>
      <w:kern w:val="0"/>
      <w:szCs w:val="21"/>
    </w:rPr>
  </w:style>
  <w:style w:type="character" w:customStyle="1" w:styleId="235">
    <w:name w:val="Char Char10"/>
    <w:qFormat/>
    <w:uiPriority w:val="0"/>
    <w:rPr>
      <w:kern w:val="2"/>
      <w:sz w:val="21"/>
      <w:szCs w:val="24"/>
    </w:rPr>
  </w:style>
  <w:style w:type="character" w:customStyle="1" w:styleId="236">
    <w:name w:val="H3 Char"/>
    <w:qFormat/>
    <w:uiPriority w:val="0"/>
    <w:rPr>
      <w:rFonts w:ascii="Times New Roman" w:hAnsi="Times New Roman" w:eastAsia="宋体" w:cs="Times New Roman"/>
      <w:b/>
      <w:bCs/>
      <w:sz w:val="24"/>
      <w:szCs w:val="32"/>
    </w:rPr>
  </w:style>
  <w:style w:type="character" w:customStyle="1" w:styleId="237">
    <w:name w:val="h4 Char"/>
    <w:qFormat/>
    <w:uiPriority w:val="0"/>
    <w:rPr>
      <w:rFonts w:ascii="Arial" w:hAnsi="Arial" w:eastAsia="黑体" w:cs="Times New Roman"/>
      <w:b/>
      <w:bCs/>
      <w:sz w:val="28"/>
      <w:szCs w:val="28"/>
    </w:rPr>
  </w:style>
  <w:style w:type="paragraph" w:customStyle="1" w:styleId="238">
    <w:name w:val="Title1"/>
    <w:basedOn w:val="3"/>
    <w:next w:val="239"/>
    <w:qFormat/>
    <w:uiPriority w:val="0"/>
    <w:pPr>
      <w:numPr>
        <w:ilvl w:val="0"/>
        <w:numId w:val="2"/>
      </w:numPr>
      <w:spacing w:before="240" w:after="240"/>
      <w:jc w:val="both"/>
    </w:pPr>
    <w:rPr>
      <w:rFonts w:eastAsia="仿宋"/>
      <w:sz w:val="36"/>
    </w:rPr>
  </w:style>
  <w:style w:type="paragraph" w:customStyle="1" w:styleId="239">
    <w:name w:val="Title2"/>
    <w:basedOn w:val="4"/>
    <w:next w:val="31"/>
    <w:qFormat/>
    <w:uiPriority w:val="0"/>
    <w:pPr>
      <w:keepLines/>
      <w:numPr>
        <w:ilvl w:val="1"/>
        <w:numId w:val="2"/>
      </w:numPr>
      <w:adjustRightInd/>
      <w:snapToGrid/>
      <w:spacing w:before="200" w:after="200"/>
      <w:jc w:val="both"/>
      <w:textAlignment w:val="auto"/>
    </w:pPr>
    <w:rPr>
      <w:rFonts w:ascii="Times New Roman" w:eastAsia="仿宋"/>
      <w:bCs/>
      <w:sz w:val="32"/>
      <w:szCs w:val="32"/>
    </w:rPr>
  </w:style>
  <w:style w:type="paragraph" w:customStyle="1" w:styleId="240">
    <w:name w:val="Title3"/>
    <w:basedOn w:val="5"/>
    <w:next w:val="31"/>
    <w:qFormat/>
    <w:uiPriority w:val="0"/>
    <w:pPr>
      <w:numPr>
        <w:ilvl w:val="2"/>
        <w:numId w:val="2"/>
      </w:numPr>
      <w:spacing w:before="160" w:after="160"/>
      <w:ind w:firstLine="0" w:firstLineChars="0"/>
    </w:pPr>
    <w:rPr>
      <w:rFonts w:ascii="Calibri" w:hAnsi="Calibri" w:eastAsia="仿宋"/>
      <w:szCs w:val="32"/>
    </w:rPr>
  </w:style>
  <w:style w:type="paragraph" w:customStyle="1" w:styleId="241">
    <w:name w:val="Title4"/>
    <w:basedOn w:val="6"/>
    <w:next w:val="31"/>
    <w:qFormat/>
    <w:uiPriority w:val="0"/>
    <w:pPr>
      <w:numPr>
        <w:ilvl w:val="3"/>
        <w:numId w:val="2"/>
      </w:numPr>
      <w:spacing w:before="160" w:after="160" w:line="360" w:lineRule="auto"/>
    </w:pPr>
    <w:rPr>
      <w:rFonts w:ascii="Times New Roman" w:hAnsi="Times New Roman" w:eastAsia="仿宋"/>
      <w:kern w:val="0"/>
    </w:rPr>
  </w:style>
  <w:style w:type="paragraph" w:customStyle="1" w:styleId="242">
    <w:name w:val="Title5"/>
    <w:basedOn w:val="7"/>
    <w:next w:val="31"/>
    <w:qFormat/>
    <w:uiPriority w:val="0"/>
    <w:pPr>
      <w:numPr>
        <w:ilvl w:val="4"/>
        <w:numId w:val="2"/>
      </w:numPr>
      <w:spacing w:before="120" w:after="120" w:line="360" w:lineRule="auto"/>
    </w:pPr>
    <w:rPr>
      <w:rFonts w:ascii="Times New Roman" w:hAnsi="Times New Roman" w:eastAsia="仿宋"/>
      <w:kern w:val="0"/>
    </w:rPr>
  </w:style>
  <w:style w:type="paragraph" w:customStyle="1" w:styleId="243">
    <w:name w:val="Image"/>
    <w:basedOn w:val="207"/>
    <w:qFormat/>
    <w:uiPriority w:val="0"/>
    <w:pPr>
      <w:ind w:firstLine="0" w:firstLineChars="0"/>
      <w:jc w:val="center"/>
    </w:pPr>
    <w:rPr>
      <w:rFonts w:ascii="Times New Roman" w:hAnsi="Times New Roman"/>
      <w:szCs w:val="21"/>
    </w:rPr>
  </w:style>
  <w:style w:type="paragraph" w:customStyle="1" w:styleId="244">
    <w:name w:val="Image-T"/>
    <w:basedOn w:val="243"/>
    <w:next w:val="243"/>
    <w:qFormat/>
    <w:uiPriority w:val="0"/>
    <w:pPr>
      <w:numPr>
        <w:ilvl w:val="6"/>
        <w:numId w:val="2"/>
      </w:numPr>
      <w:spacing w:afterLines="50"/>
      <w:ind w:left="896"/>
    </w:pPr>
    <w:rPr>
      <w:rFonts w:eastAsia="仿宋"/>
    </w:rPr>
  </w:style>
  <w:style w:type="paragraph" w:customStyle="1" w:styleId="245">
    <w:name w:val="Table-T"/>
    <w:basedOn w:val="244"/>
    <w:next w:val="1"/>
    <w:qFormat/>
    <w:uiPriority w:val="0"/>
    <w:pPr>
      <w:numPr>
        <w:ilvl w:val="5"/>
      </w:numPr>
      <w:spacing w:beforeLines="50" w:afterLines="0"/>
    </w:pPr>
  </w:style>
  <w:style w:type="paragraph" w:customStyle="1" w:styleId="246">
    <w:name w:val="Text 1"/>
    <w:basedOn w:val="31"/>
    <w:qFormat/>
    <w:uiPriority w:val="0"/>
    <w:pPr>
      <w:numPr>
        <w:ilvl w:val="0"/>
        <w:numId w:val="3"/>
      </w:numPr>
      <w:spacing w:after="0" w:line="360" w:lineRule="auto"/>
      <w:ind w:left="839" w:hanging="357"/>
      <w:jc w:val="left"/>
    </w:pPr>
    <w:rPr>
      <w:rFonts w:ascii="Times New Roman" w:hAnsi="Times New Roman" w:eastAsia="仿宋"/>
      <w:kern w:val="0"/>
      <w:sz w:val="24"/>
      <w:szCs w:val="21"/>
    </w:rPr>
  </w:style>
  <w:style w:type="paragraph" w:customStyle="1" w:styleId="247">
    <w:name w:val="Text3"/>
    <w:basedOn w:val="246"/>
    <w:next w:val="31"/>
    <w:qFormat/>
    <w:uiPriority w:val="0"/>
    <w:pPr>
      <w:numPr>
        <w:numId w:val="4"/>
      </w:numPr>
    </w:pPr>
    <w:rPr>
      <w:b/>
    </w:rPr>
  </w:style>
  <w:style w:type="paragraph" w:customStyle="1" w:styleId="248">
    <w:name w:val="Table"/>
    <w:basedOn w:val="243"/>
    <w:qFormat/>
    <w:uiPriority w:val="0"/>
    <w:rPr>
      <w:rFonts w:eastAsia="仿宋"/>
    </w:rPr>
  </w:style>
  <w:style w:type="character" w:customStyle="1" w:styleId="249">
    <w:name w:val="h Char"/>
    <w:qFormat/>
    <w:uiPriority w:val="0"/>
    <w:rPr>
      <w:rFonts w:eastAsia="仿宋_GB2312"/>
      <w:kern w:val="2"/>
      <w:sz w:val="18"/>
    </w:rPr>
  </w:style>
  <w:style w:type="paragraph" w:customStyle="1" w:styleId="250">
    <w:name w:val="无间隔1"/>
    <w:link w:val="251"/>
    <w:qFormat/>
    <w:uiPriority w:val="0"/>
    <w:rPr>
      <w:rFonts w:ascii="Calibri" w:hAnsi="Calibri" w:eastAsia="宋体" w:cs="Times New Roman"/>
      <w:sz w:val="22"/>
      <w:szCs w:val="22"/>
      <w:lang w:val="en-US" w:eastAsia="zh-CN" w:bidi="ar-SA"/>
    </w:rPr>
  </w:style>
  <w:style w:type="character" w:customStyle="1" w:styleId="251">
    <w:name w:val="No Spacing Char"/>
    <w:link w:val="250"/>
    <w:qFormat/>
    <w:uiPriority w:val="0"/>
    <w:rPr>
      <w:rFonts w:ascii="Calibri" w:hAnsi="Calibri"/>
      <w:sz w:val="22"/>
      <w:szCs w:val="22"/>
    </w:rPr>
  </w:style>
  <w:style w:type="paragraph" w:customStyle="1" w:styleId="252">
    <w:name w:val="标题1"/>
    <w:basedOn w:val="52"/>
    <w:qFormat/>
    <w:uiPriority w:val="0"/>
    <w:pPr>
      <w:spacing w:before="480" w:line="240" w:lineRule="auto"/>
    </w:pPr>
    <w:rPr>
      <w:rFonts w:ascii="Times New Roman" w:hAnsi="Times New Roman"/>
      <w:kern w:val="0"/>
      <w:sz w:val="44"/>
    </w:rPr>
  </w:style>
  <w:style w:type="paragraph" w:customStyle="1" w:styleId="253">
    <w:name w:val="页眉1"/>
    <w:basedOn w:val="37"/>
    <w:qFormat/>
    <w:uiPriority w:val="0"/>
    <w:pPr>
      <w:spacing w:after="0" w:line="240" w:lineRule="auto"/>
      <w:jc w:val="left"/>
    </w:pPr>
    <w:rPr>
      <w:kern w:val="0"/>
    </w:rPr>
  </w:style>
  <w:style w:type="character" w:customStyle="1" w:styleId="254">
    <w:name w:val="书籍标题1"/>
    <w:qFormat/>
    <w:uiPriority w:val="0"/>
    <w:rPr>
      <w:b/>
      <w:bCs/>
      <w:i/>
      <w:iCs/>
      <w:spacing w:val="5"/>
    </w:rPr>
  </w:style>
  <w:style w:type="character" w:customStyle="1" w:styleId="255">
    <w:name w:val="明显参考1"/>
    <w:qFormat/>
    <w:uiPriority w:val="0"/>
    <w:rPr>
      <w:b/>
      <w:bCs/>
      <w:smallCaps/>
      <w:color w:val="4F81BD"/>
      <w:spacing w:val="5"/>
    </w:rPr>
  </w:style>
  <w:style w:type="character" w:customStyle="1" w:styleId="256">
    <w:name w:val="明显强调1"/>
    <w:qFormat/>
    <w:uiPriority w:val="0"/>
    <w:rPr>
      <w:i/>
      <w:iCs/>
      <w:color w:val="4F81BD"/>
    </w:rPr>
  </w:style>
  <w:style w:type="paragraph" w:customStyle="1" w:styleId="257">
    <w:name w:val="明显引用1"/>
    <w:basedOn w:val="1"/>
    <w:next w:val="1"/>
    <w:link w:val="258"/>
    <w:qFormat/>
    <w:uiPriority w:val="0"/>
    <w:pPr>
      <w:pBdr>
        <w:top w:val="single" w:color="4F81BD" w:sz="4" w:space="10"/>
        <w:bottom w:val="single" w:color="4F81BD" w:sz="4" w:space="10"/>
      </w:pBdr>
      <w:spacing w:before="360" w:after="360" w:line="240" w:lineRule="auto"/>
      <w:ind w:left="864" w:right="864"/>
      <w:jc w:val="center"/>
    </w:pPr>
    <w:rPr>
      <w:rFonts w:ascii="Calibri" w:hAnsi="Calibri"/>
      <w:i/>
      <w:iCs/>
      <w:color w:val="4F81BD"/>
      <w:szCs w:val="21"/>
    </w:rPr>
  </w:style>
  <w:style w:type="character" w:customStyle="1" w:styleId="258">
    <w:name w:val="Intense Quote Char"/>
    <w:link w:val="257"/>
    <w:qFormat/>
    <w:uiPriority w:val="0"/>
    <w:rPr>
      <w:rFonts w:ascii="Calibri" w:hAnsi="Calibri"/>
      <w:i/>
      <w:iCs/>
      <w:color w:val="4F81BD"/>
      <w:kern w:val="2"/>
      <w:sz w:val="21"/>
      <w:szCs w:val="21"/>
    </w:rPr>
  </w:style>
  <w:style w:type="character" w:customStyle="1" w:styleId="259">
    <w:name w:val="不明显参考1"/>
    <w:qFormat/>
    <w:uiPriority w:val="0"/>
    <w:rPr>
      <w:smallCaps/>
      <w:color w:val="5A5A5A"/>
    </w:rPr>
  </w:style>
  <w:style w:type="paragraph" w:customStyle="1" w:styleId="260">
    <w:name w:val="样式 Table text + 段前: 0.5 行"/>
    <w:basedOn w:val="245"/>
    <w:qFormat/>
    <w:uiPriority w:val="0"/>
    <w:pPr>
      <w:numPr>
        <w:ilvl w:val="0"/>
        <w:numId w:val="0"/>
      </w:numPr>
      <w:tabs>
        <w:tab w:val="left" w:pos="2942"/>
      </w:tabs>
      <w:ind w:left="2942" w:hanging="420"/>
    </w:pPr>
    <w:rPr>
      <w:rFonts w:cs="宋体"/>
      <w:szCs w:val="20"/>
    </w:rPr>
  </w:style>
  <w:style w:type="character" w:customStyle="1" w:styleId="261">
    <w:name w:val="题注 字符"/>
    <w:link w:val="16"/>
    <w:qFormat/>
    <w:uiPriority w:val="0"/>
    <w:rPr>
      <w:rFonts w:ascii="Arial" w:hAnsi="Arial" w:eastAsia="黑体" w:cs="Arial"/>
      <w:kern w:val="2"/>
    </w:rPr>
  </w:style>
  <w:style w:type="paragraph" w:customStyle="1" w:styleId="262">
    <w:name w:val="1样式-正文"/>
    <w:basedOn w:val="1"/>
    <w:link w:val="263"/>
    <w:qFormat/>
    <w:uiPriority w:val="0"/>
    <w:pPr>
      <w:spacing w:after="0" w:line="360" w:lineRule="auto"/>
      <w:ind w:firstLine="482"/>
      <w:jc w:val="left"/>
    </w:pPr>
    <w:rPr>
      <w:rFonts w:ascii="Calibri" w:hAnsi="Calibri"/>
      <w:bCs/>
      <w:szCs w:val="21"/>
      <w:lang w:val="zh-CN"/>
    </w:rPr>
  </w:style>
  <w:style w:type="character" w:customStyle="1" w:styleId="263">
    <w:name w:val="1样式-正文 Char"/>
    <w:link w:val="262"/>
    <w:qFormat/>
    <w:uiPriority w:val="0"/>
    <w:rPr>
      <w:rFonts w:ascii="Calibri" w:hAnsi="Calibri"/>
      <w:bCs/>
      <w:kern w:val="2"/>
      <w:sz w:val="21"/>
      <w:szCs w:val="21"/>
      <w:lang w:val="zh-CN"/>
    </w:rPr>
  </w:style>
  <w:style w:type="character" w:customStyle="1" w:styleId="264">
    <w:name w:val="Char Char13"/>
    <w:qFormat/>
    <w:uiPriority w:val="0"/>
    <w:rPr>
      <w:rFonts w:eastAsia="宋体"/>
      <w:b/>
      <w:bCs/>
      <w:kern w:val="44"/>
      <w:sz w:val="36"/>
      <w:szCs w:val="44"/>
      <w:lang w:val="en-US" w:eastAsia="zh-CN" w:bidi="ar-SA"/>
    </w:rPr>
  </w:style>
  <w:style w:type="character" w:customStyle="1" w:styleId="265">
    <w:name w:val="content1"/>
    <w:qFormat/>
    <w:uiPriority w:val="0"/>
    <w:rPr>
      <w:sz w:val="18"/>
      <w:szCs w:val="18"/>
    </w:rPr>
  </w:style>
  <w:style w:type="character" w:customStyle="1" w:styleId="266">
    <w:name w:val="point_normal1"/>
    <w:semiHidden/>
    <w:qFormat/>
    <w:uiPriority w:val="0"/>
    <w:rPr>
      <w:rFonts w:hint="default" w:ascii="Arial" w:hAnsi="Arial" w:cs="Arial"/>
      <w:sz w:val="18"/>
      <w:szCs w:val="18"/>
    </w:rPr>
  </w:style>
  <w:style w:type="character" w:customStyle="1" w:styleId="267">
    <w:name w:val="para1"/>
    <w:semiHidden/>
    <w:qFormat/>
    <w:uiPriority w:val="0"/>
    <w:rPr>
      <w:rFonts w:hint="default" w:ascii="Arial" w:hAnsi="Arial" w:cs="Arial"/>
      <w:sz w:val="18"/>
      <w:szCs w:val="18"/>
    </w:rPr>
  </w:style>
  <w:style w:type="paragraph" w:customStyle="1" w:styleId="268">
    <w:name w:val="xl38"/>
    <w:basedOn w:val="1"/>
    <w:semiHidden/>
    <w:qFormat/>
    <w:uiPriority w:val="0"/>
    <w:pPr>
      <w:widowControl/>
      <w:pBdr>
        <w:left w:val="single" w:color="auto" w:sz="4" w:space="0"/>
        <w:bottom w:val="single" w:color="auto" w:sz="4" w:space="0"/>
        <w:right w:val="single" w:color="auto" w:sz="8" w:space="0"/>
      </w:pBdr>
      <w:spacing w:before="100" w:beforeAutospacing="1" w:after="100" w:afterAutospacing="1" w:line="360" w:lineRule="auto"/>
      <w:jc w:val="center"/>
      <w:textAlignment w:val="top"/>
    </w:pPr>
    <w:rPr>
      <w:kern w:val="0"/>
      <w:sz w:val="20"/>
      <w:szCs w:val="20"/>
    </w:rPr>
  </w:style>
  <w:style w:type="character" w:customStyle="1" w:styleId="269">
    <w:name w:val="point_small1"/>
    <w:semiHidden/>
    <w:qFormat/>
    <w:uiPriority w:val="0"/>
    <w:rPr>
      <w:rFonts w:hint="default" w:ascii="Arial" w:hAnsi="Arial" w:cs="Arial"/>
      <w:sz w:val="18"/>
      <w:szCs w:val="18"/>
    </w:rPr>
  </w:style>
  <w:style w:type="character" w:customStyle="1" w:styleId="270">
    <w:name w:val="tcontent1"/>
    <w:qFormat/>
    <w:uiPriority w:val="0"/>
    <w:rPr>
      <w:color w:val="333333"/>
      <w:sz w:val="18"/>
      <w:szCs w:val="18"/>
    </w:rPr>
  </w:style>
  <w:style w:type="character" w:customStyle="1" w:styleId="271">
    <w:name w:val="para"/>
    <w:basedOn w:val="58"/>
    <w:qFormat/>
    <w:uiPriority w:val="0"/>
  </w:style>
  <w:style w:type="character" w:customStyle="1" w:styleId="272">
    <w:name w:val="titlestylelight1"/>
    <w:qFormat/>
    <w:uiPriority w:val="0"/>
    <w:rPr>
      <w:rFonts w:hint="default" w:ascii="Arial" w:hAnsi="Arial" w:cs="Arial"/>
      <w:b/>
      <w:bCs/>
      <w:color w:val="666666"/>
      <w:sz w:val="18"/>
      <w:szCs w:val="18"/>
    </w:rPr>
  </w:style>
  <w:style w:type="paragraph" w:customStyle="1" w:styleId="273">
    <w:name w:val="默认段落字体 Para Char"/>
    <w:basedOn w:val="1"/>
    <w:qFormat/>
    <w:uiPriority w:val="0"/>
    <w:pPr>
      <w:adjustRightInd w:val="0"/>
      <w:spacing w:after="0" w:line="360" w:lineRule="auto"/>
    </w:pPr>
    <w:rPr>
      <w:kern w:val="0"/>
      <w:sz w:val="24"/>
      <w:szCs w:val="20"/>
    </w:rPr>
  </w:style>
  <w:style w:type="character" w:customStyle="1" w:styleId="274">
    <w:name w:val="apple-style-span"/>
    <w:basedOn w:val="58"/>
    <w:qFormat/>
    <w:uiPriority w:val="0"/>
  </w:style>
  <w:style w:type="paragraph" w:customStyle="1" w:styleId="275">
    <w:name w:val="Char1 Char Char Char"/>
    <w:basedOn w:val="1"/>
    <w:qFormat/>
    <w:uiPriority w:val="0"/>
    <w:pPr>
      <w:spacing w:after="0" w:line="360" w:lineRule="auto"/>
    </w:pPr>
    <w:rPr>
      <w:rFonts w:eastAsia="仿宋_GB2312"/>
      <w:sz w:val="28"/>
    </w:rPr>
  </w:style>
  <w:style w:type="paragraph" w:customStyle="1" w:styleId="276">
    <w:name w:val="msolistparagraph"/>
    <w:basedOn w:val="1"/>
    <w:qFormat/>
    <w:uiPriority w:val="0"/>
    <w:pPr>
      <w:spacing w:after="0" w:line="360" w:lineRule="auto"/>
      <w:ind w:firstLine="420" w:firstLineChars="200"/>
    </w:pPr>
    <w:rPr>
      <w:rFonts w:ascii="Calibri" w:hAnsi="Calibri"/>
      <w:szCs w:val="21"/>
    </w:rPr>
  </w:style>
  <w:style w:type="paragraph" w:customStyle="1" w:styleId="277">
    <w:name w:val="Tabletext"/>
    <w:qFormat/>
    <w:uiPriority w:val="0"/>
    <w:pPr>
      <w:numPr>
        <w:ilvl w:val="0"/>
        <w:numId w:val="5"/>
      </w:numPr>
      <w:suppressLineNumbers/>
      <w:tabs>
        <w:tab w:val="clear" w:pos="1843"/>
      </w:tabs>
      <w:spacing w:before="30" w:after="20"/>
      <w:ind w:left="0" w:firstLine="0"/>
    </w:pPr>
    <w:rPr>
      <w:rFonts w:ascii="Arial" w:hAnsi="Arial" w:eastAsia="宋体" w:cs="Times New Roman"/>
      <w:sz w:val="16"/>
      <w:lang w:val="en-US" w:eastAsia="en-US" w:bidi="ar-SA"/>
    </w:rPr>
  </w:style>
  <w:style w:type="paragraph" w:customStyle="1" w:styleId="278">
    <w:name w:val="正文样式"/>
    <w:basedOn w:val="1"/>
    <w:qFormat/>
    <w:uiPriority w:val="0"/>
    <w:pPr>
      <w:spacing w:beforeLines="50" w:after="0" w:line="312" w:lineRule="auto"/>
      <w:ind w:firstLine="200" w:firstLineChars="200"/>
    </w:pPr>
    <w:rPr>
      <w:sz w:val="24"/>
    </w:rPr>
  </w:style>
  <w:style w:type="paragraph" w:customStyle="1" w:styleId="279">
    <w:name w:val="正文文本 21"/>
    <w:basedOn w:val="1"/>
    <w:qFormat/>
    <w:uiPriority w:val="0"/>
    <w:pPr>
      <w:spacing w:after="120" w:line="480" w:lineRule="auto"/>
    </w:pPr>
    <w:rPr>
      <w:rFonts w:ascii="Calibri" w:hAnsi="Calibri"/>
      <w:kern w:val="0"/>
      <w:sz w:val="20"/>
    </w:rPr>
  </w:style>
  <w:style w:type="paragraph" w:customStyle="1" w:styleId="280">
    <w:name w:val="Char Char Char Char"/>
    <w:basedOn w:val="1"/>
    <w:qFormat/>
    <w:uiPriority w:val="99"/>
    <w:pPr>
      <w:spacing w:after="0" w:line="360" w:lineRule="auto"/>
    </w:pPr>
    <w:rPr>
      <w:szCs w:val="20"/>
    </w:rPr>
  </w:style>
  <w:style w:type="character" w:customStyle="1" w:styleId="281">
    <w:name w:val="不明显强调1"/>
    <w:qFormat/>
    <w:uiPriority w:val="0"/>
    <w:rPr>
      <w:i/>
      <w:iCs/>
      <w:color w:val="808080"/>
    </w:rPr>
  </w:style>
  <w:style w:type="character" w:customStyle="1" w:styleId="282">
    <w:name w:val="正文对齐 Char1"/>
    <w:qFormat/>
    <w:uiPriority w:val="0"/>
    <w:rPr>
      <w:rFonts w:ascii="Times New Roman" w:hAnsi="Times New Roman" w:eastAsia="楷体_GB2312" w:cs="Times New Roman"/>
      <w:sz w:val="24"/>
      <w:szCs w:val="20"/>
    </w:rPr>
  </w:style>
  <w:style w:type="character" w:customStyle="1" w:styleId="283">
    <w:name w:val="Char Char14"/>
    <w:qFormat/>
    <w:uiPriority w:val="0"/>
    <w:rPr>
      <w:rFonts w:hAnsi="宋体" w:eastAsia="仿宋_GB2312"/>
      <w:b/>
      <w:bCs/>
      <w:kern w:val="2"/>
      <w:sz w:val="24"/>
    </w:rPr>
  </w:style>
  <w:style w:type="paragraph" w:customStyle="1" w:styleId="284">
    <w:name w:val="xl25"/>
    <w:basedOn w:val="1"/>
    <w:qFormat/>
    <w:uiPriority w:val="0"/>
    <w:pPr>
      <w:widowControl/>
      <w:numPr>
        <w:ilvl w:val="0"/>
        <w:numId w:val="6"/>
      </w:numPr>
      <w:tabs>
        <w:tab w:val="clear" w:pos="1145"/>
      </w:tabs>
      <w:spacing w:before="100" w:beforeAutospacing="1" w:after="100" w:afterAutospacing="1" w:line="360" w:lineRule="auto"/>
      <w:ind w:left="0" w:firstLine="0"/>
      <w:jc w:val="center"/>
    </w:pPr>
    <w:rPr>
      <w:rFonts w:ascii="宋体" w:hAnsi="宋体"/>
      <w:kern w:val="0"/>
      <w:sz w:val="24"/>
    </w:rPr>
  </w:style>
  <w:style w:type="paragraph" w:customStyle="1" w:styleId="285">
    <w:name w:val="DB Body"/>
    <w:qFormat/>
    <w:uiPriority w:val="0"/>
    <w:pPr>
      <w:tabs>
        <w:tab w:val="left" w:pos="4536"/>
        <w:tab w:val="left" w:pos="8505"/>
      </w:tabs>
      <w:spacing w:before="120" w:after="80" w:line="360" w:lineRule="auto"/>
    </w:pPr>
    <w:rPr>
      <w:rFonts w:ascii="Trebuchet MS" w:hAnsi="Trebuchet MS" w:eastAsia="宋体" w:cs="Times New Roman"/>
      <w:sz w:val="21"/>
      <w:szCs w:val="24"/>
      <w:lang w:val="en-GB" w:eastAsia="en-US" w:bidi="ar-SA"/>
    </w:rPr>
  </w:style>
  <w:style w:type="paragraph" w:customStyle="1" w:styleId="286">
    <w:name w:val="DB Bullet 1"/>
    <w:qFormat/>
    <w:uiPriority w:val="0"/>
    <w:pPr>
      <w:numPr>
        <w:ilvl w:val="0"/>
        <w:numId w:val="7"/>
      </w:numPr>
      <w:tabs>
        <w:tab w:val="left" w:pos="567"/>
      </w:tabs>
      <w:spacing w:before="80" w:after="60" w:line="360" w:lineRule="auto"/>
    </w:pPr>
    <w:rPr>
      <w:rFonts w:ascii="Trebuchet MS" w:hAnsi="Trebuchet MS" w:eastAsia="宋体" w:cs="Times New Roman"/>
      <w:sz w:val="21"/>
      <w:szCs w:val="24"/>
      <w:lang w:val="en-GB" w:eastAsia="en-US" w:bidi="ar-SA"/>
    </w:rPr>
  </w:style>
  <w:style w:type="paragraph" w:customStyle="1" w:styleId="287">
    <w:name w:val="DH Heading A1 (with #)"/>
    <w:next w:val="1"/>
    <w:qFormat/>
    <w:uiPriority w:val="0"/>
    <w:pPr>
      <w:keepNext/>
      <w:pageBreakBefore/>
      <w:numPr>
        <w:ilvl w:val="6"/>
        <w:numId w:val="8"/>
      </w:numPr>
      <w:snapToGrid w:val="0"/>
      <w:spacing w:before="240" w:after="240" w:line="360" w:lineRule="auto"/>
      <w:outlineLvl w:val="0"/>
    </w:pPr>
    <w:rPr>
      <w:rFonts w:ascii="Trebuchet MS" w:hAnsi="Trebuchet MS" w:eastAsia="宋体" w:cs="Times New Roman"/>
      <w:b/>
      <w:bCs/>
      <w:color w:val="0085C3"/>
      <w:sz w:val="36"/>
      <w:szCs w:val="36"/>
      <w:lang w:val="en-GB" w:eastAsia="en-US" w:bidi="ar-SA"/>
    </w:rPr>
  </w:style>
  <w:style w:type="paragraph" w:customStyle="1" w:styleId="288">
    <w:name w:val="DH Heading A2 (with #)"/>
    <w:next w:val="285"/>
    <w:qFormat/>
    <w:uiPriority w:val="0"/>
    <w:pPr>
      <w:keepNext/>
      <w:numPr>
        <w:ilvl w:val="7"/>
        <w:numId w:val="8"/>
      </w:numPr>
      <w:snapToGrid w:val="0"/>
      <w:spacing w:before="240" w:after="120" w:line="360" w:lineRule="auto"/>
      <w:outlineLvl w:val="1"/>
    </w:pPr>
    <w:rPr>
      <w:rFonts w:ascii="Trebuchet MS" w:hAnsi="Trebuchet MS" w:eastAsia="宋体" w:cs="Times New Roman"/>
      <w:b/>
      <w:color w:val="0085C3"/>
      <w:sz w:val="32"/>
      <w:szCs w:val="30"/>
      <w:lang w:val="en-GB" w:eastAsia="en-US" w:bidi="ar-SA"/>
    </w:rPr>
  </w:style>
  <w:style w:type="paragraph" w:customStyle="1" w:styleId="289">
    <w:name w:val="DH Heading A3 (with #)"/>
    <w:next w:val="285"/>
    <w:qFormat/>
    <w:uiPriority w:val="0"/>
    <w:pPr>
      <w:keepNext/>
      <w:numPr>
        <w:ilvl w:val="8"/>
        <w:numId w:val="8"/>
      </w:numPr>
      <w:snapToGrid w:val="0"/>
      <w:spacing w:before="120" w:after="120" w:line="360" w:lineRule="auto"/>
      <w:outlineLvl w:val="2"/>
    </w:pPr>
    <w:rPr>
      <w:rFonts w:ascii="Trebuchet MS" w:hAnsi="Trebuchet MS" w:eastAsia="宋体" w:cs="Times New Roman"/>
      <w:b/>
      <w:iCs/>
      <w:color w:val="0085C3"/>
      <w:sz w:val="28"/>
      <w:szCs w:val="24"/>
      <w:lang w:val="en-GB" w:eastAsia="en-US" w:bidi="ar-SA"/>
    </w:rPr>
  </w:style>
  <w:style w:type="paragraph" w:customStyle="1" w:styleId="290">
    <w:name w:val="DH Heading 1"/>
    <w:basedOn w:val="1"/>
    <w:next w:val="285"/>
    <w:qFormat/>
    <w:uiPriority w:val="0"/>
    <w:pPr>
      <w:keepNext/>
      <w:pageBreakBefore/>
      <w:widowControl/>
      <w:numPr>
        <w:ilvl w:val="0"/>
        <w:numId w:val="8"/>
      </w:numPr>
      <w:snapToGrid w:val="0"/>
      <w:spacing w:before="240" w:after="240" w:line="360" w:lineRule="auto"/>
      <w:jc w:val="center"/>
      <w:outlineLvl w:val="0"/>
    </w:pPr>
    <w:rPr>
      <w:rFonts w:ascii="Trebuchet MS" w:hAnsi="Trebuchet MS" w:cs="Arial"/>
      <w:b/>
      <w:bCs/>
      <w:color w:val="0085C3"/>
      <w:kern w:val="32"/>
      <w:sz w:val="40"/>
      <w:szCs w:val="36"/>
    </w:rPr>
  </w:style>
  <w:style w:type="paragraph" w:customStyle="1" w:styleId="291">
    <w:name w:val="DH Heading 3"/>
    <w:basedOn w:val="1"/>
    <w:next w:val="285"/>
    <w:qFormat/>
    <w:uiPriority w:val="0"/>
    <w:pPr>
      <w:keepNext/>
      <w:widowControl/>
      <w:numPr>
        <w:ilvl w:val="2"/>
        <w:numId w:val="8"/>
      </w:numPr>
      <w:suppressAutoHyphens/>
      <w:adjustRightInd w:val="0"/>
      <w:snapToGrid w:val="0"/>
      <w:spacing w:before="120" w:after="120" w:line="360" w:lineRule="auto"/>
      <w:jc w:val="left"/>
      <w:outlineLvl w:val="2"/>
    </w:pPr>
    <w:rPr>
      <w:rFonts w:ascii="Trebuchet MS" w:hAnsi="Trebuchet MS" w:cs="Arial"/>
      <w:b/>
      <w:bCs/>
      <w:iCs/>
      <w:color w:val="0085C3"/>
      <w:kern w:val="0"/>
      <w:sz w:val="32"/>
      <w:szCs w:val="30"/>
    </w:rPr>
  </w:style>
  <w:style w:type="paragraph" w:customStyle="1" w:styleId="292">
    <w:name w:val="DH Heading 4"/>
    <w:next w:val="285"/>
    <w:qFormat/>
    <w:uiPriority w:val="0"/>
    <w:pPr>
      <w:keepNext/>
      <w:numPr>
        <w:ilvl w:val="3"/>
        <w:numId w:val="8"/>
      </w:numPr>
      <w:suppressAutoHyphens/>
      <w:adjustRightInd w:val="0"/>
      <w:snapToGrid w:val="0"/>
      <w:spacing w:before="120" w:after="120" w:line="360" w:lineRule="auto"/>
      <w:outlineLvl w:val="3"/>
    </w:pPr>
    <w:rPr>
      <w:rFonts w:ascii="Trebuchet MS" w:hAnsi="Trebuchet MS" w:eastAsia="宋体" w:cs="Arial"/>
      <w:b/>
      <w:bCs/>
      <w:color w:val="0085C3"/>
      <w:sz w:val="28"/>
      <w:szCs w:val="24"/>
      <w:lang w:val="en-GB" w:eastAsia="en-US" w:bidi="ar-SA"/>
    </w:rPr>
  </w:style>
  <w:style w:type="paragraph" w:customStyle="1" w:styleId="293">
    <w:name w:val="DH Heading 5"/>
    <w:next w:val="285"/>
    <w:qFormat/>
    <w:uiPriority w:val="0"/>
    <w:pPr>
      <w:keepNext/>
      <w:numPr>
        <w:ilvl w:val="4"/>
        <w:numId w:val="8"/>
      </w:numPr>
      <w:snapToGrid w:val="0"/>
      <w:spacing w:before="120" w:after="120" w:line="360" w:lineRule="auto"/>
      <w:outlineLvl w:val="4"/>
    </w:pPr>
    <w:rPr>
      <w:rFonts w:ascii="Trebuchet MS" w:hAnsi="Trebuchet MS" w:eastAsia="宋体" w:cs="Times New Roman"/>
      <w:b/>
      <w:bCs/>
      <w:color w:val="0085C3"/>
      <w:sz w:val="25"/>
      <w:szCs w:val="21"/>
      <w:lang w:val="en-GB" w:eastAsia="en-US" w:bidi="ar-SA"/>
    </w:rPr>
  </w:style>
  <w:style w:type="paragraph" w:customStyle="1" w:styleId="294">
    <w:name w:val="DH Heading 6"/>
    <w:next w:val="285"/>
    <w:qFormat/>
    <w:uiPriority w:val="0"/>
    <w:pPr>
      <w:keepNext/>
      <w:numPr>
        <w:ilvl w:val="5"/>
        <w:numId w:val="8"/>
      </w:numPr>
      <w:suppressAutoHyphens/>
      <w:adjustRightInd w:val="0"/>
      <w:snapToGrid w:val="0"/>
      <w:spacing w:before="120" w:after="80" w:line="360" w:lineRule="auto"/>
      <w:outlineLvl w:val="5"/>
    </w:pPr>
    <w:rPr>
      <w:rFonts w:ascii="Trebuchet MS" w:hAnsi="Trebuchet MS" w:eastAsia="宋体" w:cs="Times New Roman"/>
      <w:b/>
      <w:bCs/>
      <w:iCs/>
      <w:color w:val="0085C3"/>
      <w:sz w:val="22"/>
      <w:szCs w:val="21"/>
      <w:lang w:val="en-GB" w:eastAsia="en-US" w:bidi="ar-SA"/>
    </w:rPr>
  </w:style>
  <w:style w:type="paragraph" w:customStyle="1" w:styleId="295">
    <w:name w:val="DH Heading 2"/>
    <w:next w:val="285"/>
    <w:qFormat/>
    <w:uiPriority w:val="0"/>
    <w:pPr>
      <w:keepNext/>
      <w:numPr>
        <w:ilvl w:val="1"/>
        <w:numId w:val="8"/>
      </w:numPr>
      <w:suppressAutoHyphens/>
      <w:adjustRightInd w:val="0"/>
      <w:snapToGrid w:val="0"/>
      <w:spacing w:before="240" w:after="120" w:line="360" w:lineRule="auto"/>
      <w:outlineLvl w:val="1"/>
    </w:pPr>
    <w:rPr>
      <w:rFonts w:ascii="Trebuchet MS" w:hAnsi="Trebuchet MS" w:eastAsia="宋体" w:cs="Arial"/>
      <w:b/>
      <w:bCs/>
      <w:color w:val="0085C3"/>
      <w:kern w:val="32"/>
      <w:sz w:val="36"/>
      <w:szCs w:val="36"/>
      <w:lang w:val="en-GB" w:eastAsia="en-US" w:bidi="ar-SA"/>
    </w:rPr>
  </w:style>
  <w:style w:type="character" w:customStyle="1" w:styleId="296">
    <w:name w:val="tpc_content1"/>
    <w:qFormat/>
    <w:uiPriority w:val="0"/>
    <w:rPr>
      <w:sz w:val="20"/>
      <w:szCs w:val="20"/>
    </w:rPr>
  </w:style>
  <w:style w:type="character" w:customStyle="1" w:styleId="297">
    <w:name w:val="样式 黑体 二号"/>
    <w:qFormat/>
    <w:uiPriority w:val="0"/>
    <w:rPr>
      <w:rFonts w:hint="default" w:ascii="Arial" w:hAnsi="Arial" w:eastAsia="黑体" w:cs="Arial"/>
      <w:sz w:val="44"/>
    </w:rPr>
  </w:style>
  <w:style w:type="character" w:customStyle="1" w:styleId="298">
    <w:name w:val="style6"/>
    <w:qFormat/>
    <w:uiPriority w:val="0"/>
    <w:rPr>
      <w:sz w:val="18"/>
    </w:rPr>
  </w:style>
  <w:style w:type="character" w:customStyle="1" w:styleId="299">
    <w:name w:val="样式 标题 3 + 加粗 Char"/>
    <w:qFormat/>
    <w:uiPriority w:val="0"/>
    <w:rPr>
      <w:rFonts w:ascii="Arial" w:hAnsi="Arial" w:eastAsia="黑体"/>
      <w:b/>
      <w:bCs/>
      <w:spacing w:val="14"/>
      <w:kern w:val="24"/>
      <w:sz w:val="24"/>
      <w:szCs w:val="28"/>
      <w:lang w:val="en-US" w:eastAsia="zh-CN" w:bidi="ar-SA"/>
    </w:rPr>
  </w:style>
  <w:style w:type="character" w:customStyle="1" w:styleId="300">
    <w:name w:val="Char Char Char Char Char"/>
    <w:qFormat/>
    <w:uiPriority w:val="0"/>
    <w:rPr>
      <w:rFonts w:eastAsia="宋体"/>
      <w:kern w:val="2"/>
      <w:sz w:val="21"/>
      <w:szCs w:val="24"/>
      <w:lang w:val="en-US" w:eastAsia="zh-CN" w:bidi="ar-SA"/>
    </w:rPr>
  </w:style>
  <w:style w:type="character" w:customStyle="1" w:styleId="301">
    <w:name w:val="Char Char2"/>
    <w:qFormat/>
    <w:uiPriority w:val="0"/>
    <w:rPr>
      <w:rFonts w:eastAsia="宋体"/>
      <w:b/>
      <w:kern w:val="2"/>
      <w:sz w:val="28"/>
      <w:lang w:val="en-US" w:eastAsia="zh-CN" w:bidi="ar-SA"/>
    </w:rPr>
  </w:style>
  <w:style w:type="character" w:customStyle="1" w:styleId="302">
    <w:name w:val="正文（缩进） Char"/>
    <w:qFormat/>
    <w:uiPriority w:val="0"/>
    <w:rPr>
      <w:rFonts w:eastAsia="宋体"/>
      <w:kern w:val="2"/>
      <w:sz w:val="24"/>
      <w:szCs w:val="24"/>
      <w:lang w:val="en-US" w:eastAsia="zh-CN" w:bidi="ar-SA"/>
    </w:rPr>
  </w:style>
  <w:style w:type="character" w:customStyle="1" w:styleId="303">
    <w:name w:val="h Char Char"/>
    <w:qFormat/>
    <w:uiPriority w:val="0"/>
    <w:rPr>
      <w:rFonts w:eastAsia="宋体"/>
      <w:kern w:val="2"/>
      <w:sz w:val="18"/>
      <w:szCs w:val="18"/>
      <w:lang w:val="en-US" w:eastAsia="zh-CN" w:bidi="ar-SA"/>
    </w:rPr>
  </w:style>
  <w:style w:type="character" w:customStyle="1" w:styleId="304">
    <w:name w:val="正文（缩进） Char Char"/>
    <w:qFormat/>
    <w:uiPriority w:val="0"/>
    <w:rPr>
      <w:rFonts w:eastAsia="宋体"/>
      <w:kern w:val="2"/>
      <w:sz w:val="24"/>
      <w:szCs w:val="24"/>
      <w:lang w:val="en-US" w:eastAsia="zh-CN" w:bidi="ar-SA"/>
    </w:rPr>
  </w:style>
  <w:style w:type="character" w:customStyle="1" w:styleId="305">
    <w:name w:val="at_0"/>
    <w:qFormat/>
    <w:uiPriority w:val="0"/>
  </w:style>
  <w:style w:type="character" w:customStyle="1" w:styleId="306">
    <w:name w:val="textcontents"/>
    <w:qFormat/>
    <w:uiPriority w:val="0"/>
  </w:style>
  <w:style w:type="character" w:customStyle="1" w:styleId="307">
    <w:name w:val="wj1"/>
    <w:qFormat/>
    <w:uiPriority w:val="0"/>
    <w:rPr>
      <w:color w:val="000000"/>
      <w:sz w:val="18"/>
      <w:szCs w:val="18"/>
      <w:u w:val="none"/>
    </w:rPr>
  </w:style>
  <w:style w:type="character" w:customStyle="1" w:styleId="308">
    <w:name w:val="zbggmain style9"/>
    <w:qFormat/>
    <w:uiPriority w:val="0"/>
  </w:style>
  <w:style w:type="character" w:customStyle="1" w:styleId="309">
    <w:name w:val="表格 Char Char"/>
    <w:qFormat/>
    <w:uiPriority w:val="0"/>
    <w:rPr>
      <w:rFonts w:ascii="宋体" w:hAnsi="宋体" w:eastAsia="宋体"/>
      <w:lang w:val="en-US" w:eastAsia="zh-CN" w:bidi="ar-SA"/>
    </w:rPr>
  </w:style>
  <w:style w:type="character" w:customStyle="1" w:styleId="310">
    <w:name w:val="批注框文本 Char1"/>
    <w:qFormat/>
    <w:uiPriority w:val="0"/>
    <w:rPr>
      <w:kern w:val="2"/>
      <w:sz w:val="18"/>
      <w:szCs w:val="18"/>
    </w:rPr>
  </w:style>
  <w:style w:type="character" w:customStyle="1" w:styleId="311">
    <w:name w:val="Char Char1"/>
    <w:qFormat/>
    <w:uiPriority w:val="0"/>
    <w:rPr>
      <w:rFonts w:eastAsia="宋体"/>
      <w:kern w:val="2"/>
      <w:sz w:val="18"/>
      <w:szCs w:val="18"/>
      <w:lang w:val="en-US" w:eastAsia="zh-CN" w:bidi="ar-SA"/>
    </w:rPr>
  </w:style>
  <w:style w:type="character" w:customStyle="1" w:styleId="312">
    <w:name w:val="product_detail_name"/>
    <w:qFormat/>
    <w:uiPriority w:val="0"/>
  </w:style>
  <w:style w:type="character" w:customStyle="1" w:styleId="313">
    <w:name w:val="blue"/>
    <w:qFormat/>
    <w:uiPriority w:val="0"/>
  </w:style>
  <w:style w:type="character" w:customStyle="1" w:styleId="314">
    <w:name w:val="标题 Char1"/>
    <w:qFormat/>
    <w:uiPriority w:val="0"/>
    <w:rPr>
      <w:rFonts w:ascii="Cambria" w:hAnsi="Cambria" w:eastAsia="宋体" w:cs="Times New Roman"/>
      <w:b/>
      <w:bCs/>
      <w:sz w:val="32"/>
      <w:szCs w:val="32"/>
    </w:rPr>
  </w:style>
  <w:style w:type="paragraph" w:customStyle="1" w:styleId="315">
    <w:name w:val="标题三级"/>
    <w:basedOn w:val="1"/>
    <w:next w:val="1"/>
    <w:qFormat/>
    <w:uiPriority w:val="0"/>
    <w:pPr>
      <w:tabs>
        <w:tab w:val="left" w:pos="720"/>
      </w:tabs>
      <w:topLinePunct/>
      <w:autoSpaceDE w:val="0"/>
      <w:autoSpaceDN w:val="0"/>
      <w:spacing w:after="0" w:line="360" w:lineRule="auto"/>
      <w:outlineLvl w:val="2"/>
    </w:pPr>
    <w:rPr>
      <w:rFonts w:ascii="宋体" w:hAnsi="宋体"/>
      <w:b/>
      <w:szCs w:val="21"/>
    </w:rPr>
  </w:style>
  <w:style w:type="paragraph" w:customStyle="1" w:styleId="316">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317">
    <w:name w:val="文档正文"/>
    <w:basedOn w:val="1"/>
    <w:qFormat/>
    <w:uiPriority w:val="0"/>
    <w:pPr>
      <w:adjustRightInd w:val="0"/>
      <w:spacing w:after="0" w:line="312" w:lineRule="atLeast"/>
      <w:ind w:firstLine="567"/>
      <w:textAlignment w:val="baseline"/>
    </w:pPr>
    <w:rPr>
      <w:rFonts w:ascii="长城仿宋" w:eastAsia="长城仿宋" w:cs="长城仿宋"/>
      <w:kern w:val="0"/>
      <w:sz w:val="28"/>
      <w:szCs w:val="28"/>
    </w:rPr>
  </w:style>
  <w:style w:type="character" w:customStyle="1" w:styleId="318">
    <w:name w:val="正文文本 2 Char1"/>
    <w:qFormat/>
    <w:uiPriority w:val="0"/>
    <w:rPr>
      <w:rFonts w:ascii="宋体" w:hAnsi="宋体" w:eastAsia="宋体"/>
      <w:color w:val="000000"/>
      <w:kern w:val="2"/>
      <w:sz w:val="24"/>
      <w:szCs w:val="24"/>
      <w:lang w:bidi="ar-SA"/>
    </w:rPr>
  </w:style>
  <w:style w:type="paragraph" w:customStyle="1" w:styleId="319">
    <w:name w:val="tabletext"/>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320">
    <w:name w:val="部分1"/>
    <w:basedOn w:val="1"/>
    <w:qFormat/>
    <w:uiPriority w:val="0"/>
    <w:pPr>
      <w:keepNext/>
      <w:pageBreakBefore/>
      <w:tabs>
        <w:tab w:val="left" w:pos="720"/>
      </w:tabs>
      <w:spacing w:after="0" w:line="360" w:lineRule="auto"/>
      <w:jc w:val="center"/>
      <w:outlineLvl w:val="0"/>
    </w:pPr>
    <w:rPr>
      <w:rFonts w:eastAsia="黑体"/>
      <w:b/>
      <w:kern w:val="44"/>
      <w:sz w:val="36"/>
      <w:szCs w:val="20"/>
    </w:rPr>
  </w:style>
  <w:style w:type="paragraph" w:customStyle="1" w:styleId="321">
    <w:name w:val="tableheading"/>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322">
    <w:name w:val="hea"/>
    <w:basedOn w:val="1"/>
    <w:next w:val="1"/>
    <w:qFormat/>
    <w:uiPriority w:val="0"/>
    <w:pPr>
      <w:keepNext/>
      <w:keepLines/>
      <w:tabs>
        <w:tab w:val="left" w:pos="360"/>
        <w:tab w:val="left" w:pos="420"/>
      </w:tabs>
      <w:spacing w:before="340" w:after="330" w:line="576" w:lineRule="auto"/>
      <w:ind w:left="360" w:hanging="360"/>
      <w:outlineLvl w:val="0"/>
    </w:pPr>
    <w:rPr>
      <w:b/>
      <w:bCs/>
      <w:kern w:val="44"/>
      <w:sz w:val="44"/>
      <w:szCs w:val="44"/>
    </w:rPr>
  </w:style>
  <w:style w:type="paragraph" w:customStyle="1" w:styleId="323">
    <w:name w:val="Char1 Char Char Char Char Char Char"/>
    <w:basedOn w:val="1"/>
    <w:qFormat/>
    <w:uiPriority w:val="0"/>
    <w:pPr>
      <w:spacing w:after="0" w:line="360" w:lineRule="auto"/>
    </w:pPr>
    <w:rPr>
      <w:rFonts w:ascii="Tahoma" w:hAnsi="Tahoma"/>
      <w:sz w:val="24"/>
      <w:szCs w:val="20"/>
    </w:rPr>
  </w:style>
  <w:style w:type="paragraph" w:customStyle="1" w:styleId="324">
    <w:name w:val="??"/>
    <w:qFormat/>
    <w:uiPriority w:val="0"/>
    <w:pPr>
      <w:widowControl w:val="0"/>
      <w:overflowPunct w:val="0"/>
      <w:autoSpaceDE w:val="0"/>
      <w:autoSpaceDN w:val="0"/>
      <w:adjustRightInd w:val="0"/>
      <w:textAlignment w:val="baseline"/>
    </w:pPr>
    <w:rPr>
      <w:rFonts w:ascii="Times New Roman" w:hAnsi="Times New Roman" w:eastAsia="宋体" w:cs="Times New Roman"/>
      <w:lang w:val="en-US" w:eastAsia="zh-CN" w:bidi="ar-SA"/>
    </w:rPr>
  </w:style>
  <w:style w:type="paragraph" w:customStyle="1" w:styleId="32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26">
    <w:name w:val="WPS Plain"/>
    <w:qFormat/>
    <w:uiPriority w:val="0"/>
    <w:rPr>
      <w:rFonts w:ascii="Times New Roman" w:hAnsi="Times New Roman" w:eastAsia="宋体" w:cs="Times New Roman"/>
      <w:lang w:val="en-US" w:eastAsia="zh-CN" w:bidi="ar-SA"/>
    </w:rPr>
  </w:style>
  <w:style w:type="paragraph" w:customStyle="1" w:styleId="327">
    <w:name w:val="文章"/>
    <w:basedOn w:val="1"/>
    <w:qFormat/>
    <w:uiPriority w:val="0"/>
    <w:pPr>
      <w:widowControl/>
      <w:spacing w:after="0" w:line="360" w:lineRule="auto"/>
      <w:ind w:firstLine="200" w:firstLineChars="200"/>
      <w:jc w:val="left"/>
    </w:pPr>
    <w:rPr>
      <w:kern w:val="0"/>
      <w:sz w:val="24"/>
      <w:szCs w:val="20"/>
    </w:rPr>
  </w:style>
  <w:style w:type="paragraph" w:customStyle="1" w:styleId="328">
    <w:name w:val="文章正文格式"/>
    <w:basedOn w:val="1"/>
    <w:qFormat/>
    <w:uiPriority w:val="0"/>
    <w:pPr>
      <w:snapToGrid w:val="0"/>
      <w:spacing w:after="0" w:line="540" w:lineRule="atLeast"/>
      <w:ind w:firstLine="578"/>
    </w:pPr>
    <w:rPr>
      <w:rFonts w:ascii="宋体"/>
      <w:spacing w:val="8"/>
      <w:sz w:val="28"/>
      <w:szCs w:val="20"/>
    </w:rPr>
  </w:style>
  <w:style w:type="paragraph" w:customStyle="1" w:styleId="329">
    <w:name w:val="pbullet2cmt"/>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33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31">
    <w:name w:val="CM12"/>
    <w:basedOn w:val="150"/>
    <w:next w:val="150"/>
    <w:qFormat/>
    <w:uiPriority w:val="0"/>
    <w:pPr>
      <w:spacing w:before="0" w:after="0" w:line="468" w:lineRule="atLeast"/>
    </w:pPr>
    <w:rPr>
      <w:rFonts w:cs="Times New Roman"/>
      <w:color w:val="auto"/>
    </w:rPr>
  </w:style>
  <w:style w:type="paragraph" w:customStyle="1" w:styleId="33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3">
    <w:name w:val="标准段落"/>
    <w:basedOn w:val="1"/>
    <w:qFormat/>
    <w:uiPriority w:val="0"/>
    <w:pPr>
      <w:topLinePunct/>
      <w:autoSpaceDE w:val="0"/>
      <w:autoSpaceDN w:val="0"/>
      <w:spacing w:after="0" w:line="360" w:lineRule="auto"/>
      <w:ind w:firstLine="480" w:firstLineChars="200"/>
    </w:pPr>
    <w:rPr>
      <w:rFonts w:ascii="宋体" w:hAnsi="宋体"/>
      <w:sz w:val="24"/>
      <w:lang w:bidi="th-TH"/>
    </w:rPr>
  </w:style>
  <w:style w:type="paragraph" w:customStyle="1" w:styleId="334">
    <w:name w:val="SS正文首行缩进 +"/>
    <w:basedOn w:val="21"/>
    <w:qFormat/>
    <w:uiPriority w:val="0"/>
    <w:pPr>
      <w:spacing w:beforeLines="50" w:afterLines="50" w:line="360" w:lineRule="auto"/>
      <w:ind w:firstLine="480" w:firstLineChars="200"/>
    </w:pPr>
    <w:rPr>
      <w:rFonts w:ascii="Times New Roman" w:hAnsi="Times New Roman"/>
      <w:sz w:val="24"/>
      <w:szCs w:val="20"/>
    </w:rPr>
  </w:style>
  <w:style w:type="paragraph" w:customStyle="1" w:styleId="335">
    <w:name w:val="二级条标题"/>
    <w:basedOn w:val="1"/>
    <w:next w:val="332"/>
    <w:qFormat/>
    <w:uiPriority w:val="0"/>
    <w:pPr>
      <w:widowControl/>
      <w:spacing w:after="0" w:line="360" w:lineRule="auto"/>
      <w:ind w:left="851"/>
      <w:jc w:val="left"/>
      <w:outlineLvl w:val="3"/>
    </w:pPr>
    <w:rPr>
      <w:rFonts w:eastAsia="黑体"/>
      <w:kern w:val="0"/>
      <w:szCs w:val="20"/>
    </w:rPr>
  </w:style>
  <w:style w:type="paragraph" w:customStyle="1" w:styleId="336">
    <w:name w:val="Char Char Char"/>
    <w:basedOn w:val="1"/>
    <w:qFormat/>
    <w:uiPriority w:val="0"/>
    <w:pPr>
      <w:spacing w:after="0" w:line="360" w:lineRule="auto"/>
    </w:pPr>
    <w:rPr>
      <w:rFonts w:ascii="Tahoma" w:hAnsi="Tahoma"/>
      <w:sz w:val="24"/>
      <w:szCs w:val="20"/>
    </w:rPr>
  </w:style>
  <w:style w:type="paragraph" w:customStyle="1" w:styleId="337">
    <w:name w:val="表格"/>
    <w:basedOn w:val="1"/>
    <w:qFormat/>
    <w:uiPriority w:val="0"/>
    <w:pPr>
      <w:snapToGrid w:val="0"/>
      <w:spacing w:after="0" w:line="360" w:lineRule="auto"/>
      <w:ind w:firstLine="42" w:firstLineChars="21"/>
    </w:pPr>
    <w:rPr>
      <w:rFonts w:ascii="宋体" w:hAnsi="宋体"/>
      <w:kern w:val="0"/>
      <w:sz w:val="20"/>
      <w:szCs w:val="20"/>
    </w:rPr>
  </w:style>
  <w:style w:type="paragraph" w:customStyle="1" w:styleId="338">
    <w:name w:val="样式 楷体_GB2312 小四 Char Char Char Char Char Char Char Char Char Char Char Char"/>
    <w:basedOn w:val="1"/>
    <w:next w:val="1"/>
    <w:qFormat/>
    <w:uiPriority w:val="0"/>
    <w:pPr>
      <w:spacing w:after="0" w:line="360" w:lineRule="auto"/>
    </w:pPr>
    <w:rPr>
      <w:rFonts w:ascii="楷体_GB2312" w:eastAsia="楷体_GB2312"/>
      <w:sz w:val="24"/>
    </w:rPr>
  </w:style>
  <w:style w:type="paragraph" w:customStyle="1" w:styleId="339">
    <w:name w:val="a"/>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340">
    <w:name w:val="正文（缩进）"/>
    <w:basedOn w:val="1"/>
    <w:qFormat/>
    <w:uiPriority w:val="0"/>
    <w:pPr>
      <w:spacing w:beforeLines="50" w:afterLines="50" w:line="360" w:lineRule="auto"/>
      <w:ind w:firstLine="480" w:firstLineChars="200"/>
    </w:pPr>
    <w:rPr>
      <w:sz w:val="24"/>
    </w:rPr>
  </w:style>
  <w:style w:type="paragraph" w:customStyle="1" w:styleId="341">
    <w:name w:val="正文（绿盟科技）"/>
    <w:qFormat/>
    <w:uiPriority w:val="0"/>
    <w:pPr>
      <w:spacing w:line="300" w:lineRule="auto"/>
    </w:pPr>
    <w:rPr>
      <w:rFonts w:ascii="Arial" w:hAnsi="Arial" w:eastAsia="宋体" w:cs="Arial"/>
      <w:sz w:val="21"/>
      <w:szCs w:val="21"/>
      <w:lang w:val="en-US" w:eastAsia="zh-CN" w:bidi="ar-SA"/>
    </w:rPr>
  </w:style>
  <w:style w:type="paragraph" w:customStyle="1" w:styleId="342">
    <w:name w:val="样式 (西文) 仿宋_GB2312 (中文) 仿宋_GB2312 (符号) 宋体 小四 行距: 1.5 倍行距 首行缩..."/>
    <w:basedOn w:val="1"/>
    <w:qFormat/>
    <w:uiPriority w:val="0"/>
    <w:pPr>
      <w:spacing w:after="0" w:line="360" w:lineRule="auto"/>
      <w:ind w:firstLine="150" w:firstLineChars="150"/>
    </w:pPr>
    <w:rPr>
      <w:rFonts w:ascii="宋体" w:cs="宋体"/>
      <w:sz w:val="24"/>
    </w:rPr>
  </w:style>
  <w:style w:type="paragraph" w:customStyle="1" w:styleId="343">
    <w:name w:val="0正文"/>
    <w:basedOn w:val="1"/>
    <w:qFormat/>
    <w:uiPriority w:val="0"/>
    <w:pPr>
      <w:adjustRightInd w:val="0"/>
      <w:spacing w:after="0" w:line="360" w:lineRule="auto"/>
      <w:ind w:left="50" w:leftChars="50" w:right="50" w:rightChars="50" w:firstLine="200" w:firstLineChars="200"/>
      <w:textAlignment w:val="baseline"/>
    </w:pPr>
    <w:rPr>
      <w:rFonts w:ascii="Verdana" w:hAnsi="Verdana" w:cs="Verdana"/>
      <w:color w:val="000080"/>
      <w:szCs w:val="21"/>
    </w:rPr>
  </w:style>
  <w:style w:type="paragraph" w:customStyle="1" w:styleId="344">
    <w:name w:val="注释标题2"/>
    <w:basedOn w:val="1"/>
    <w:next w:val="1"/>
    <w:qFormat/>
    <w:uiPriority w:val="0"/>
    <w:pPr>
      <w:spacing w:after="0" w:line="360" w:lineRule="auto"/>
      <w:jc w:val="center"/>
    </w:pPr>
    <w:rPr>
      <w:rFonts w:ascii="DFKai-SB" w:hAnsi="DFKai-SB" w:eastAsia="DFKai-SB"/>
      <w:sz w:val="24"/>
      <w:szCs w:val="20"/>
    </w:rPr>
  </w:style>
  <w:style w:type="paragraph" w:customStyle="1" w:styleId="345">
    <w:name w:val="正文文本缩进1"/>
    <w:basedOn w:val="1"/>
    <w:qFormat/>
    <w:uiPriority w:val="0"/>
    <w:pPr>
      <w:spacing w:after="0" w:line="360" w:lineRule="auto"/>
      <w:ind w:firstLine="630"/>
    </w:pPr>
    <w:rPr>
      <w:rFonts w:ascii="楷体_GB2312" w:eastAsia="楷体_GB2312" w:cs="楷体_GB2312"/>
      <w:kern w:val="0"/>
      <w:sz w:val="32"/>
      <w:szCs w:val="32"/>
    </w:rPr>
  </w:style>
  <w:style w:type="paragraph" w:customStyle="1" w:styleId="346">
    <w:name w:val="样式4"/>
    <w:basedOn w:val="1"/>
    <w:qFormat/>
    <w:uiPriority w:val="0"/>
    <w:pPr>
      <w:tabs>
        <w:tab w:val="left" w:pos="0"/>
        <w:tab w:val="left" w:pos="1260"/>
      </w:tabs>
      <w:spacing w:after="0" w:line="360" w:lineRule="auto"/>
      <w:ind w:left="1260"/>
    </w:pPr>
    <w:rPr>
      <w:sz w:val="24"/>
    </w:rPr>
  </w:style>
  <w:style w:type="paragraph" w:customStyle="1" w:styleId="347">
    <w:name w:val="此正文"/>
    <w:basedOn w:val="1"/>
    <w:qFormat/>
    <w:uiPriority w:val="0"/>
    <w:pPr>
      <w:tabs>
        <w:tab w:val="left" w:pos="425"/>
      </w:tabs>
      <w:spacing w:after="0" w:line="360" w:lineRule="auto"/>
      <w:ind w:left="425" w:firstLine="200" w:firstLineChars="200"/>
    </w:pPr>
    <w:rPr>
      <w:sz w:val="24"/>
    </w:rPr>
  </w:style>
  <w:style w:type="paragraph" w:customStyle="1" w:styleId="348">
    <w:name w:val="注释标题1"/>
    <w:basedOn w:val="1"/>
    <w:next w:val="1"/>
    <w:qFormat/>
    <w:uiPriority w:val="0"/>
    <w:pPr>
      <w:spacing w:after="0" w:line="360" w:lineRule="auto"/>
      <w:jc w:val="center"/>
    </w:pPr>
    <w:rPr>
      <w:rFonts w:ascii="DFKai-SB" w:hAnsi="DFKai-SB" w:eastAsia="DFKai-SB"/>
      <w:sz w:val="24"/>
      <w:szCs w:val="20"/>
    </w:rPr>
  </w:style>
  <w:style w:type="paragraph" w:customStyle="1" w:styleId="349">
    <w:name w:val="Char Char2 Char Char Char Char Char Char Char Char Char Char"/>
    <w:basedOn w:val="1"/>
    <w:qFormat/>
    <w:uiPriority w:val="0"/>
    <w:pPr>
      <w:spacing w:after="0" w:line="360" w:lineRule="auto"/>
    </w:pPr>
    <w:rPr>
      <w:sz w:val="24"/>
    </w:rPr>
  </w:style>
  <w:style w:type="paragraph" w:customStyle="1" w:styleId="350">
    <w:name w:val="p0"/>
    <w:basedOn w:val="1"/>
    <w:qFormat/>
    <w:uiPriority w:val="0"/>
    <w:pPr>
      <w:widowControl/>
      <w:spacing w:after="0" w:line="360" w:lineRule="auto"/>
    </w:pPr>
    <w:rPr>
      <w:kern w:val="0"/>
      <w:szCs w:val="21"/>
    </w:rPr>
  </w:style>
  <w:style w:type="character" w:customStyle="1" w:styleId="351">
    <w:name w:val="HTML 地址 Char"/>
    <w:qFormat/>
    <w:uiPriority w:val="0"/>
    <w:rPr>
      <w:rFonts w:ascii="宋体" w:hAnsi="宋体"/>
      <w:i/>
      <w:iCs/>
      <w:szCs w:val="24"/>
    </w:rPr>
  </w:style>
  <w:style w:type="character" w:customStyle="1" w:styleId="352">
    <w:name w:val="big14"/>
    <w:qFormat/>
    <w:uiPriority w:val="0"/>
  </w:style>
  <w:style w:type="character" w:customStyle="1" w:styleId="353">
    <w:name w:val="注释标题 Char"/>
    <w:qFormat/>
    <w:uiPriority w:val="0"/>
    <w:rPr>
      <w:rFonts w:ascii="DFKai-SB" w:hAnsi="DFKai-SB" w:eastAsia="DFKai-SB"/>
    </w:rPr>
  </w:style>
  <w:style w:type="character" w:customStyle="1" w:styleId="354">
    <w:name w:val="页脚 Char Char"/>
    <w:qFormat/>
    <w:uiPriority w:val="0"/>
    <w:rPr>
      <w:rFonts w:ascii="宋体" w:hAnsi="宋体" w:eastAsia="宋体" w:cs="Times New Roman"/>
      <w:sz w:val="18"/>
      <w:szCs w:val="20"/>
    </w:rPr>
  </w:style>
  <w:style w:type="character" w:customStyle="1" w:styleId="355">
    <w:name w:val="arial111"/>
    <w:qFormat/>
    <w:uiPriority w:val="0"/>
    <w:rPr>
      <w:rFonts w:hint="default" w:ascii="Arial" w:hAnsi="Arial" w:cs="Arial"/>
      <w:sz w:val="17"/>
      <w:szCs w:val="17"/>
    </w:rPr>
  </w:style>
  <w:style w:type="character" w:customStyle="1" w:styleId="356">
    <w:name w:val="五级条标题 Char Char"/>
    <w:link w:val="357"/>
    <w:qFormat/>
    <w:uiPriority w:val="0"/>
    <w:rPr>
      <w:rFonts w:ascii="黑体" w:hAnsi="宋体" w:eastAsia="黑体"/>
      <w:szCs w:val="24"/>
    </w:rPr>
  </w:style>
  <w:style w:type="paragraph" w:customStyle="1" w:styleId="357">
    <w:name w:val="五级条标题"/>
    <w:basedOn w:val="358"/>
    <w:next w:val="1"/>
    <w:link w:val="356"/>
    <w:qFormat/>
    <w:uiPriority w:val="0"/>
    <w:pPr>
      <w:outlineLvl w:val="6"/>
    </w:pPr>
  </w:style>
  <w:style w:type="paragraph" w:customStyle="1" w:styleId="358">
    <w:name w:val="四级条标题"/>
    <w:basedOn w:val="359"/>
    <w:next w:val="1"/>
    <w:link w:val="361"/>
    <w:qFormat/>
    <w:uiPriority w:val="0"/>
    <w:pPr>
      <w:ind w:left="0"/>
      <w:outlineLvl w:val="5"/>
    </w:pPr>
  </w:style>
  <w:style w:type="paragraph" w:customStyle="1" w:styleId="359">
    <w:name w:val="三级条标题"/>
    <w:basedOn w:val="360"/>
    <w:next w:val="1"/>
    <w:link w:val="362"/>
    <w:qFormat/>
    <w:uiPriority w:val="0"/>
    <w:pPr>
      <w:ind w:left="735"/>
      <w:outlineLvl w:val="4"/>
    </w:pPr>
  </w:style>
  <w:style w:type="paragraph" w:customStyle="1" w:styleId="360">
    <w:name w:val="二级条标题 Char"/>
    <w:next w:val="1"/>
    <w:link w:val="363"/>
    <w:qFormat/>
    <w:uiPriority w:val="0"/>
    <w:pPr>
      <w:ind w:left="420"/>
      <w:outlineLvl w:val="3"/>
    </w:pPr>
    <w:rPr>
      <w:rFonts w:ascii="黑体" w:hAnsi="宋体" w:eastAsia="黑体" w:cs="Times New Roman"/>
      <w:szCs w:val="24"/>
      <w:lang w:val="en-US" w:eastAsia="zh-CN" w:bidi="ar-SA"/>
    </w:rPr>
  </w:style>
  <w:style w:type="character" w:customStyle="1" w:styleId="361">
    <w:name w:val="四级条标题 Char Char"/>
    <w:link w:val="358"/>
    <w:qFormat/>
    <w:uiPriority w:val="0"/>
    <w:rPr>
      <w:rFonts w:ascii="黑体" w:hAnsi="宋体" w:eastAsia="黑体"/>
      <w:szCs w:val="24"/>
    </w:rPr>
  </w:style>
  <w:style w:type="character" w:customStyle="1" w:styleId="362">
    <w:name w:val="三级条标题 Char Char"/>
    <w:link w:val="359"/>
    <w:qFormat/>
    <w:uiPriority w:val="0"/>
    <w:rPr>
      <w:rFonts w:ascii="黑体" w:hAnsi="宋体" w:eastAsia="黑体"/>
      <w:szCs w:val="24"/>
    </w:rPr>
  </w:style>
  <w:style w:type="character" w:customStyle="1" w:styleId="363">
    <w:name w:val="二级条标题 Char Char Char"/>
    <w:link w:val="360"/>
    <w:qFormat/>
    <w:uiPriority w:val="0"/>
    <w:rPr>
      <w:rFonts w:ascii="黑体" w:hAnsi="宋体" w:eastAsia="黑体"/>
      <w:szCs w:val="24"/>
    </w:rPr>
  </w:style>
  <w:style w:type="character" w:customStyle="1" w:styleId="364">
    <w:name w:val="一级条标题 Char Char Char Char"/>
    <w:qFormat/>
    <w:uiPriority w:val="0"/>
  </w:style>
  <w:style w:type="character" w:customStyle="1" w:styleId="365">
    <w:name w:val="章标题 Char Char Char Char"/>
    <w:link w:val="366"/>
    <w:qFormat/>
    <w:uiPriority w:val="0"/>
    <w:rPr>
      <w:rFonts w:ascii="黑体" w:hAnsi="宋体" w:eastAsia="黑体"/>
      <w:szCs w:val="24"/>
    </w:rPr>
  </w:style>
  <w:style w:type="paragraph" w:customStyle="1" w:styleId="366">
    <w:name w:val="章标题 Char Char"/>
    <w:next w:val="1"/>
    <w:link w:val="365"/>
    <w:qFormat/>
    <w:uiPriority w:val="0"/>
    <w:pPr>
      <w:spacing w:beforeLines="50" w:afterLines="50"/>
      <w:ind w:left="840" w:hanging="420"/>
      <w:jc w:val="both"/>
      <w:outlineLvl w:val="1"/>
    </w:pPr>
    <w:rPr>
      <w:rFonts w:ascii="黑体" w:hAnsi="宋体" w:eastAsia="黑体" w:cs="Times New Roman"/>
      <w:szCs w:val="24"/>
      <w:lang w:val="en-US" w:eastAsia="zh-CN" w:bidi="ar-SA"/>
    </w:rPr>
  </w:style>
  <w:style w:type="character" w:customStyle="1" w:styleId="367">
    <w:name w:val="t91"/>
    <w:qFormat/>
    <w:uiPriority w:val="0"/>
  </w:style>
  <w:style w:type="character" w:customStyle="1" w:styleId="368">
    <w:name w:val="正文文本 Char Char"/>
    <w:qFormat/>
    <w:uiPriority w:val="0"/>
    <w:rPr>
      <w:rFonts w:ascii="宋体" w:hAnsi="宋体" w:eastAsia="宋体" w:cs="Times New Roman"/>
      <w:sz w:val="24"/>
      <w:szCs w:val="24"/>
    </w:rPr>
  </w:style>
  <w:style w:type="character" w:customStyle="1" w:styleId="369">
    <w:name w:val="个人撰写风格"/>
    <w:qFormat/>
    <w:uiPriority w:val="0"/>
    <w:rPr>
      <w:rFonts w:ascii="Arial" w:hAnsi="Arial" w:eastAsia="宋体" w:cs="Arial"/>
      <w:color w:val="auto"/>
      <w:sz w:val="20"/>
    </w:rPr>
  </w:style>
  <w:style w:type="character" w:customStyle="1" w:styleId="370">
    <w:name w:val="正文表标题 Char Char"/>
    <w:link w:val="371"/>
    <w:qFormat/>
    <w:uiPriority w:val="0"/>
    <w:rPr>
      <w:rFonts w:ascii="黑体" w:hAnsi="宋体" w:eastAsia="黑体"/>
      <w:szCs w:val="24"/>
    </w:rPr>
  </w:style>
  <w:style w:type="paragraph" w:customStyle="1" w:styleId="371">
    <w:name w:val="正文表标题"/>
    <w:next w:val="332"/>
    <w:link w:val="370"/>
    <w:qFormat/>
    <w:uiPriority w:val="0"/>
    <w:pPr>
      <w:tabs>
        <w:tab w:val="left" w:pos="360"/>
      </w:tabs>
      <w:ind w:left="3780"/>
      <w:jc w:val="center"/>
    </w:pPr>
    <w:rPr>
      <w:rFonts w:ascii="黑体" w:hAnsi="宋体" w:eastAsia="黑体" w:cs="Times New Roman"/>
      <w:szCs w:val="24"/>
      <w:lang w:val="en-US" w:eastAsia="zh-CN" w:bidi="ar-SA"/>
    </w:rPr>
  </w:style>
  <w:style w:type="character" w:customStyle="1" w:styleId="372">
    <w:name w:val="页眉 Char Char"/>
    <w:qFormat/>
    <w:uiPriority w:val="0"/>
    <w:rPr>
      <w:rFonts w:ascii="宋体" w:hAnsi="宋体" w:eastAsia="宋体" w:cs="Times New Roman"/>
      <w:sz w:val="18"/>
      <w:szCs w:val="20"/>
    </w:rPr>
  </w:style>
  <w:style w:type="character" w:customStyle="1" w:styleId="373">
    <w:name w:val="style60"/>
    <w:qFormat/>
    <w:uiPriority w:val="0"/>
  </w:style>
  <w:style w:type="character" w:customStyle="1" w:styleId="374">
    <w:name w:val="章标题 Char Char Char Char Char"/>
    <w:qFormat/>
    <w:uiPriority w:val="0"/>
    <w:rPr>
      <w:rFonts w:ascii="黑体" w:hAnsi="宋体" w:eastAsia="黑体"/>
      <w:szCs w:val="24"/>
    </w:rPr>
  </w:style>
  <w:style w:type="character" w:customStyle="1" w:styleId="375">
    <w:name w:val="newsitemtitle1"/>
    <w:qFormat/>
    <w:uiPriority w:val="0"/>
    <w:rPr>
      <w:b/>
      <w:bCs/>
      <w:color w:val="0000CD"/>
      <w:sz w:val="28"/>
      <w:szCs w:val="28"/>
    </w:rPr>
  </w:style>
  <w:style w:type="character" w:customStyle="1" w:styleId="376">
    <w:name w:val="发布"/>
    <w:qFormat/>
    <w:uiPriority w:val="0"/>
    <w:rPr>
      <w:rFonts w:ascii="黑体" w:eastAsia="黑体"/>
      <w:spacing w:val="22"/>
      <w:w w:val="100"/>
      <w:position w:val="3"/>
      <w:sz w:val="28"/>
    </w:rPr>
  </w:style>
  <w:style w:type="character" w:customStyle="1" w:styleId="377">
    <w:name w:val="一级无标题条 Char Char"/>
    <w:link w:val="378"/>
    <w:qFormat/>
    <w:uiPriority w:val="0"/>
    <w:rPr>
      <w:rFonts w:ascii="宋体" w:hAnsi="宋体"/>
      <w:szCs w:val="24"/>
    </w:rPr>
  </w:style>
  <w:style w:type="paragraph" w:customStyle="1" w:styleId="378">
    <w:name w:val="一级无标题条"/>
    <w:basedOn w:val="1"/>
    <w:link w:val="377"/>
    <w:qFormat/>
    <w:uiPriority w:val="0"/>
    <w:pPr>
      <w:spacing w:after="0" w:line="360" w:lineRule="auto"/>
    </w:pPr>
    <w:rPr>
      <w:rFonts w:ascii="宋体" w:hAnsi="宋体"/>
      <w:kern w:val="0"/>
      <w:sz w:val="20"/>
    </w:rPr>
  </w:style>
  <w:style w:type="character" w:customStyle="1" w:styleId="379">
    <w:name w:val="个人答复风格"/>
    <w:qFormat/>
    <w:uiPriority w:val="0"/>
    <w:rPr>
      <w:rFonts w:ascii="Arial" w:hAnsi="Arial" w:eastAsia="宋体" w:cs="Arial"/>
      <w:color w:val="auto"/>
      <w:sz w:val="20"/>
    </w:rPr>
  </w:style>
  <w:style w:type="character" w:customStyle="1" w:styleId="380">
    <w:name w:val="脚注文本 Char1"/>
    <w:qFormat/>
    <w:uiPriority w:val="0"/>
    <w:rPr>
      <w:kern w:val="2"/>
      <w:sz w:val="18"/>
      <w:szCs w:val="18"/>
    </w:rPr>
  </w:style>
  <w:style w:type="paragraph" w:customStyle="1" w:styleId="381">
    <w:name w:val="标准书眉_偶数页"/>
    <w:basedOn w:val="382"/>
    <w:next w:val="1"/>
    <w:qFormat/>
    <w:uiPriority w:val="0"/>
    <w:pPr>
      <w:tabs>
        <w:tab w:val="center" w:pos="4154"/>
        <w:tab w:val="right" w:pos="8306"/>
      </w:tabs>
      <w:jc w:val="left"/>
    </w:pPr>
  </w:style>
  <w:style w:type="paragraph" w:customStyle="1" w:styleId="382">
    <w:name w:val="标准书眉_奇数页"/>
    <w:next w:val="1"/>
    <w:qFormat/>
    <w:uiPriority w:val="0"/>
    <w:pPr>
      <w:tabs>
        <w:tab w:val="center" w:pos="4154"/>
        <w:tab w:val="right" w:pos="8306"/>
      </w:tabs>
      <w:spacing w:after="120"/>
      <w:jc w:val="right"/>
    </w:pPr>
    <w:rPr>
      <w:rFonts w:ascii="宋体" w:hAnsi="宋体" w:eastAsia="宋体" w:cs="Times New Roman"/>
      <w:kern w:val="2"/>
      <w:sz w:val="21"/>
      <w:szCs w:val="24"/>
      <w:lang w:val="en-US" w:eastAsia="zh-CN" w:bidi="ar-SA"/>
    </w:rPr>
  </w:style>
  <w:style w:type="paragraph" w:customStyle="1" w:styleId="383">
    <w:name w:val="字母编号列项（一级）"/>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384">
    <w:name w:val="style3"/>
    <w:basedOn w:val="1"/>
    <w:qFormat/>
    <w:uiPriority w:val="0"/>
    <w:pPr>
      <w:widowControl/>
      <w:spacing w:before="100" w:beforeAutospacing="1" w:after="100" w:afterAutospacing="1" w:line="360" w:lineRule="auto"/>
      <w:jc w:val="left"/>
    </w:pPr>
    <w:rPr>
      <w:rFonts w:ascii="宋体" w:hAnsi="宋体"/>
      <w:color w:val="666666"/>
      <w:kern w:val="0"/>
      <w:sz w:val="24"/>
    </w:rPr>
  </w:style>
  <w:style w:type="character" w:customStyle="1" w:styleId="385">
    <w:name w:val="HTML 地址 字符"/>
    <w:basedOn w:val="58"/>
    <w:link w:val="28"/>
    <w:qFormat/>
    <w:uiPriority w:val="0"/>
    <w:rPr>
      <w:i/>
      <w:iCs/>
      <w:kern w:val="2"/>
      <w:sz w:val="21"/>
      <w:szCs w:val="24"/>
    </w:rPr>
  </w:style>
  <w:style w:type="paragraph" w:customStyle="1" w:styleId="386">
    <w:name w:val="注释标题3"/>
    <w:basedOn w:val="1"/>
    <w:next w:val="1"/>
    <w:qFormat/>
    <w:uiPriority w:val="0"/>
    <w:pPr>
      <w:spacing w:after="0" w:line="360" w:lineRule="auto"/>
      <w:jc w:val="center"/>
    </w:pPr>
    <w:rPr>
      <w:rFonts w:ascii="DFKai-SB" w:hAnsi="DFKai-SB" w:eastAsia="DFKai-SB"/>
      <w:sz w:val="20"/>
      <w:szCs w:val="20"/>
    </w:rPr>
  </w:style>
  <w:style w:type="character" w:customStyle="1" w:styleId="387">
    <w:name w:val="注释标题 字符"/>
    <w:basedOn w:val="58"/>
    <w:link w:val="13"/>
    <w:qFormat/>
    <w:uiPriority w:val="0"/>
    <w:rPr>
      <w:kern w:val="2"/>
      <w:sz w:val="21"/>
      <w:szCs w:val="24"/>
    </w:rPr>
  </w:style>
  <w:style w:type="paragraph" w:customStyle="1" w:styleId="388">
    <w:name w:val="附录五级条标题"/>
    <w:basedOn w:val="389"/>
    <w:next w:val="332"/>
    <w:qFormat/>
    <w:uiPriority w:val="0"/>
    <w:pPr>
      <w:tabs>
        <w:tab w:val="left" w:pos="360"/>
      </w:tabs>
      <w:outlineLvl w:val="6"/>
    </w:pPr>
  </w:style>
  <w:style w:type="paragraph" w:customStyle="1" w:styleId="389">
    <w:name w:val="附录四级条标题"/>
    <w:basedOn w:val="390"/>
    <w:next w:val="332"/>
    <w:qFormat/>
    <w:uiPriority w:val="0"/>
    <w:pPr>
      <w:tabs>
        <w:tab w:val="left" w:pos="360"/>
      </w:tabs>
      <w:outlineLvl w:val="5"/>
    </w:pPr>
  </w:style>
  <w:style w:type="paragraph" w:customStyle="1" w:styleId="390">
    <w:name w:val="附录三级条标题"/>
    <w:basedOn w:val="391"/>
    <w:next w:val="332"/>
    <w:qFormat/>
    <w:uiPriority w:val="0"/>
    <w:pPr>
      <w:tabs>
        <w:tab w:val="left" w:pos="360"/>
      </w:tabs>
      <w:outlineLvl w:val="4"/>
    </w:pPr>
  </w:style>
  <w:style w:type="paragraph" w:customStyle="1" w:styleId="391">
    <w:name w:val="附录二级条标题"/>
    <w:basedOn w:val="392"/>
    <w:next w:val="332"/>
    <w:qFormat/>
    <w:uiPriority w:val="0"/>
    <w:pPr>
      <w:tabs>
        <w:tab w:val="left" w:pos="360"/>
      </w:tabs>
      <w:outlineLvl w:val="3"/>
    </w:pPr>
  </w:style>
  <w:style w:type="paragraph" w:customStyle="1" w:styleId="392">
    <w:name w:val="附录一级条标题"/>
    <w:basedOn w:val="393"/>
    <w:next w:val="332"/>
    <w:qFormat/>
    <w:uiPriority w:val="0"/>
    <w:pPr>
      <w:tabs>
        <w:tab w:val="left" w:pos="360"/>
      </w:tabs>
      <w:autoSpaceDN w:val="0"/>
      <w:spacing w:beforeLines="0" w:afterLines="0"/>
      <w:ind w:left="0"/>
      <w:outlineLvl w:val="2"/>
    </w:pPr>
  </w:style>
  <w:style w:type="paragraph" w:customStyle="1" w:styleId="393">
    <w:name w:val="附录章标题"/>
    <w:next w:val="332"/>
    <w:qFormat/>
    <w:uiPriority w:val="0"/>
    <w:pPr>
      <w:tabs>
        <w:tab w:val="left" w:pos="360"/>
      </w:tabs>
      <w:wordWrap w:val="0"/>
      <w:overflowPunct w:val="0"/>
      <w:autoSpaceDE w:val="0"/>
      <w:spacing w:beforeLines="50" w:afterLines="50"/>
      <w:ind w:left="420"/>
      <w:jc w:val="both"/>
      <w:textAlignment w:val="baseline"/>
      <w:outlineLvl w:val="1"/>
    </w:pPr>
    <w:rPr>
      <w:rFonts w:ascii="黑体" w:hAnsi="宋体" w:eastAsia="黑体" w:cs="Times New Roman"/>
      <w:kern w:val="21"/>
      <w:sz w:val="21"/>
      <w:szCs w:val="24"/>
      <w:lang w:val="en-US" w:eastAsia="zh-CN" w:bidi="ar-SA"/>
    </w:rPr>
  </w:style>
  <w:style w:type="paragraph" w:customStyle="1" w:styleId="394">
    <w:name w:val="Char Char4"/>
    <w:basedOn w:val="1"/>
    <w:qFormat/>
    <w:uiPriority w:val="0"/>
    <w:pPr>
      <w:spacing w:after="0" w:line="360" w:lineRule="auto"/>
    </w:pPr>
  </w:style>
  <w:style w:type="paragraph" w:customStyle="1" w:styleId="395">
    <w:name w:val="Char Char Char Char1"/>
    <w:basedOn w:val="1"/>
    <w:qFormat/>
    <w:uiPriority w:val="0"/>
    <w:pPr>
      <w:spacing w:after="0" w:line="360" w:lineRule="auto"/>
      <w:ind w:firstLine="200" w:firstLineChars="200"/>
    </w:pPr>
    <w:rPr>
      <w:rFonts w:ascii="Tahoma" w:hAnsi="Tahoma"/>
      <w:sz w:val="24"/>
    </w:rPr>
  </w:style>
  <w:style w:type="paragraph" w:customStyle="1" w:styleId="396">
    <w:name w:val="Note Heading1"/>
    <w:basedOn w:val="1"/>
    <w:next w:val="1"/>
    <w:qFormat/>
    <w:uiPriority w:val="0"/>
    <w:pPr>
      <w:spacing w:after="0" w:line="360" w:lineRule="auto"/>
      <w:jc w:val="center"/>
    </w:pPr>
    <w:rPr>
      <w:rFonts w:ascii="DFKai-SB" w:hAnsi="DFKai-SB" w:eastAsia="DFKai-SB"/>
      <w:sz w:val="20"/>
      <w:szCs w:val="20"/>
    </w:rPr>
  </w:style>
  <w:style w:type="paragraph" w:customStyle="1" w:styleId="397">
    <w:name w:val="列表内容"/>
    <w:basedOn w:val="1"/>
    <w:next w:val="1"/>
    <w:qFormat/>
    <w:uiPriority w:val="0"/>
    <w:pPr>
      <w:widowControl/>
      <w:tabs>
        <w:tab w:val="left" w:pos="840"/>
      </w:tabs>
      <w:spacing w:after="0" w:line="360" w:lineRule="auto"/>
      <w:ind w:left="425" w:hanging="137"/>
      <w:jc w:val="left"/>
    </w:pPr>
    <w:rPr>
      <w:kern w:val="0"/>
      <w:sz w:val="18"/>
    </w:rPr>
  </w:style>
  <w:style w:type="character" w:customStyle="1" w:styleId="398">
    <w:name w:val="正文首行缩进 2 Char1"/>
    <w:qFormat/>
    <w:uiPriority w:val="0"/>
    <w:rPr>
      <w:rFonts w:ascii="宋体" w:hAnsi="Courier New"/>
      <w:spacing w:val="-4"/>
      <w:kern w:val="2"/>
      <w:sz w:val="21"/>
      <w:szCs w:val="24"/>
    </w:rPr>
  </w:style>
  <w:style w:type="character" w:customStyle="1" w:styleId="399">
    <w:name w:val="正文文本缩进 Char2"/>
    <w:qFormat/>
    <w:uiPriority w:val="0"/>
    <w:rPr>
      <w:kern w:val="2"/>
      <w:sz w:val="21"/>
      <w:szCs w:val="24"/>
    </w:rPr>
  </w:style>
  <w:style w:type="paragraph" w:customStyle="1" w:styleId="400">
    <w:name w:val="图表脚注"/>
    <w:next w:val="332"/>
    <w:qFormat/>
    <w:uiPriority w:val="0"/>
    <w:pPr>
      <w:ind w:left="300" w:leftChars="200" w:hanging="100" w:hangingChars="100"/>
      <w:jc w:val="both"/>
    </w:pPr>
    <w:rPr>
      <w:rFonts w:ascii="宋体" w:hAnsi="宋体" w:eastAsia="宋体" w:cs="Times New Roman"/>
      <w:kern w:val="2"/>
      <w:sz w:val="18"/>
      <w:szCs w:val="24"/>
      <w:lang w:val="en-US" w:eastAsia="zh-CN" w:bidi="ar-SA"/>
    </w:rPr>
  </w:style>
  <w:style w:type="paragraph" w:customStyle="1" w:styleId="401">
    <w:name w:val="潘"/>
    <w:basedOn w:val="1"/>
    <w:qFormat/>
    <w:uiPriority w:val="0"/>
    <w:pPr>
      <w:snapToGrid w:val="0"/>
      <w:spacing w:after="0" w:line="240" w:lineRule="atLeast"/>
    </w:pPr>
    <w:rPr>
      <w:rFonts w:ascii="Arial" w:hAnsi="Arial" w:eastAsia="楷体_GB2312"/>
      <w:b/>
      <w:bCs/>
    </w:rPr>
  </w:style>
  <w:style w:type="paragraph" w:customStyle="1" w:styleId="402">
    <w:name w:val="其他标准称谓"/>
    <w:qFormat/>
    <w:uiPriority w:val="0"/>
    <w:pPr>
      <w:spacing w:line="0" w:lineRule="atLeast"/>
      <w:jc w:val="distribute"/>
    </w:pPr>
    <w:rPr>
      <w:rFonts w:ascii="黑体" w:hAnsi="宋体" w:eastAsia="黑体" w:cs="Times New Roman"/>
      <w:kern w:val="2"/>
      <w:sz w:val="52"/>
      <w:szCs w:val="24"/>
      <w:lang w:val="en-US" w:eastAsia="zh-CN" w:bidi="ar-SA"/>
    </w:rPr>
  </w:style>
  <w:style w:type="paragraph" w:customStyle="1" w:styleId="403">
    <w:name w:val="数字编号列项（二级）"/>
    <w:qFormat/>
    <w:uiPriority w:val="0"/>
    <w:pPr>
      <w:ind w:left="1260" w:leftChars="400" w:hanging="420" w:hangingChars="200"/>
      <w:jc w:val="both"/>
    </w:pPr>
    <w:rPr>
      <w:rFonts w:ascii="宋体" w:hAnsi="宋体" w:eastAsia="宋体" w:cs="Times New Roman"/>
      <w:kern w:val="2"/>
      <w:sz w:val="21"/>
      <w:szCs w:val="24"/>
      <w:lang w:val="en-US" w:eastAsia="zh-CN" w:bidi="ar-SA"/>
    </w:rPr>
  </w:style>
  <w:style w:type="paragraph" w:customStyle="1" w:styleId="404">
    <w:name w:val="样式 标题 3标题 3 CharH3h33rd level3Level 3 Headlevel_3PIM 3s..."/>
    <w:basedOn w:val="5"/>
    <w:qFormat/>
    <w:uiPriority w:val="0"/>
    <w:pPr>
      <w:tabs>
        <w:tab w:val="left" w:pos="425"/>
      </w:tabs>
      <w:spacing w:afterLines="50" w:line="416" w:lineRule="auto"/>
      <w:ind w:firstLine="0" w:firstLineChars="0"/>
    </w:pPr>
    <w:rPr>
      <w:rFonts w:ascii="宋体" w:hAnsi="宋体" w:eastAsia="宋体" w:cs="宋体"/>
      <w:sz w:val="28"/>
    </w:rPr>
  </w:style>
  <w:style w:type="paragraph" w:customStyle="1" w:styleId="405">
    <w:name w:val="注×："/>
    <w:qFormat/>
    <w:uiPriority w:val="0"/>
    <w:pPr>
      <w:widowControl w:val="0"/>
      <w:tabs>
        <w:tab w:val="left" w:pos="360"/>
        <w:tab w:val="left" w:pos="630"/>
      </w:tabs>
      <w:autoSpaceDE w:val="0"/>
      <w:autoSpaceDN w:val="0"/>
      <w:jc w:val="both"/>
    </w:pPr>
    <w:rPr>
      <w:rFonts w:ascii="宋体" w:hAnsi="宋体" w:eastAsia="宋体" w:cs="Times New Roman"/>
      <w:kern w:val="2"/>
      <w:sz w:val="18"/>
      <w:szCs w:val="24"/>
      <w:lang w:val="en-US" w:eastAsia="zh-CN" w:bidi="ar-SA"/>
    </w:rPr>
  </w:style>
  <w:style w:type="paragraph" w:customStyle="1" w:styleId="406">
    <w:name w:val="二级无标题条"/>
    <w:basedOn w:val="1"/>
    <w:qFormat/>
    <w:uiPriority w:val="0"/>
    <w:pPr>
      <w:spacing w:after="0" w:line="360" w:lineRule="auto"/>
    </w:pPr>
    <w:rPr>
      <w:rFonts w:ascii="宋体" w:hAnsi="宋体"/>
    </w:rPr>
  </w:style>
  <w:style w:type="paragraph" w:customStyle="1" w:styleId="407">
    <w:name w:val="字母编号列项"/>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408">
    <w:name w:val="封面正文"/>
    <w:qFormat/>
    <w:uiPriority w:val="0"/>
    <w:pPr>
      <w:jc w:val="both"/>
    </w:pPr>
    <w:rPr>
      <w:rFonts w:ascii="宋体" w:hAnsi="宋体" w:eastAsia="宋体" w:cs="Times New Roman"/>
      <w:kern w:val="2"/>
      <w:sz w:val="24"/>
      <w:szCs w:val="24"/>
      <w:lang w:val="en-US" w:eastAsia="zh-CN" w:bidi="ar-SA"/>
    </w:rPr>
  </w:style>
  <w:style w:type="paragraph" w:customStyle="1" w:styleId="409">
    <w:name w:val="列项·"/>
    <w:qFormat/>
    <w:uiPriority w:val="0"/>
    <w:pPr>
      <w:tabs>
        <w:tab w:val="left" w:pos="360"/>
        <w:tab w:val="left" w:pos="840"/>
      </w:tabs>
      <w:jc w:val="both"/>
    </w:pPr>
    <w:rPr>
      <w:rFonts w:ascii="宋体" w:hAnsi="宋体" w:eastAsia="宋体" w:cs="Times New Roman"/>
      <w:kern w:val="2"/>
      <w:sz w:val="21"/>
      <w:szCs w:val="24"/>
      <w:lang w:val="en-US" w:eastAsia="zh-CN" w:bidi="ar-SA"/>
    </w:rPr>
  </w:style>
  <w:style w:type="paragraph" w:customStyle="1" w:styleId="410">
    <w:name w:val="一级条标题"/>
    <w:basedOn w:val="1"/>
    <w:next w:val="1"/>
    <w:qFormat/>
    <w:uiPriority w:val="0"/>
    <w:pPr>
      <w:widowControl/>
      <w:spacing w:after="0" w:line="360" w:lineRule="auto"/>
      <w:outlineLvl w:val="2"/>
    </w:pPr>
    <w:rPr>
      <w:rFonts w:ascii="黑体" w:hAnsi="宋体" w:eastAsia="黑体"/>
      <w:kern w:val="0"/>
      <w:szCs w:val="20"/>
    </w:rPr>
  </w:style>
  <w:style w:type="paragraph" w:customStyle="1" w:styleId="411">
    <w:name w:val="样式 标题 4H4sect 1.2.3.4Ref Heading 1rh1Heading sqlh4h41h42..."/>
    <w:basedOn w:val="6"/>
    <w:qFormat/>
    <w:uiPriority w:val="0"/>
    <w:pPr>
      <w:numPr>
        <w:ilvl w:val="3"/>
        <w:numId w:val="9"/>
      </w:numPr>
      <w:tabs>
        <w:tab w:val="left" w:pos="425"/>
        <w:tab w:val="left" w:pos="1680"/>
      </w:tabs>
      <w:spacing w:before="0" w:afterLines="50" w:line="360" w:lineRule="auto"/>
      <w:ind w:left="1680"/>
    </w:pPr>
    <w:rPr>
      <w:rFonts w:ascii="Times New Roman" w:hAnsi="宋体" w:eastAsia="宋体" w:cs="宋体"/>
      <w:kern w:val="0"/>
      <w:sz w:val="24"/>
      <w:szCs w:val="20"/>
    </w:rPr>
  </w:style>
  <w:style w:type="paragraph" w:customStyle="1" w:styleId="412">
    <w:name w:val="参考文献、索引标题"/>
    <w:basedOn w:val="413"/>
    <w:next w:val="1"/>
    <w:qFormat/>
    <w:uiPriority w:val="0"/>
    <w:pPr>
      <w:spacing w:after="200"/>
      <w:ind w:left="0" w:firstLine="0"/>
    </w:pPr>
    <w:rPr>
      <w:sz w:val="21"/>
    </w:rPr>
  </w:style>
  <w:style w:type="paragraph" w:customStyle="1" w:styleId="413">
    <w:name w:val="前言、引言标题"/>
    <w:next w:val="1"/>
    <w:qFormat/>
    <w:uiPriority w:val="0"/>
    <w:pPr>
      <w:shd w:val="clear" w:color="FFFFFF" w:fill="FFFFFF"/>
      <w:spacing w:before="640" w:after="560"/>
      <w:ind w:left="420" w:hanging="420"/>
      <w:jc w:val="center"/>
      <w:outlineLvl w:val="0"/>
    </w:pPr>
    <w:rPr>
      <w:rFonts w:ascii="黑体" w:hAnsi="宋体" w:eastAsia="黑体" w:cs="Times New Roman"/>
      <w:kern w:val="2"/>
      <w:sz w:val="32"/>
      <w:szCs w:val="24"/>
      <w:lang w:val="en-US" w:eastAsia="zh-CN" w:bidi="ar-SA"/>
    </w:rPr>
  </w:style>
  <w:style w:type="paragraph" w:customStyle="1" w:styleId="414">
    <w:name w:val="列项——"/>
    <w:qFormat/>
    <w:uiPriority w:val="0"/>
    <w:pPr>
      <w:widowControl w:val="0"/>
      <w:tabs>
        <w:tab w:val="left" w:pos="360"/>
      </w:tabs>
      <w:jc w:val="both"/>
    </w:pPr>
    <w:rPr>
      <w:rFonts w:ascii="宋体" w:hAnsi="宋体" w:eastAsia="宋体" w:cs="Times New Roman"/>
      <w:kern w:val="2"/>
      <w:sz w:val="21"/>
      <w:szCs w:val="24"/>
      <w:lang w:val="en-US" w:eastAsia="zh-CN" w:bidi="ar-SA"/>
    </w:rPr>
  </w:style>
  <w:style w:type="paragraph" w:customStyle="1" w:styleId="415">
    <w:name w:val="注："/>
    <w:next w:val="332"/>
    <w:qFormat/>
    <w:uiPriority w:val="0"/>
    <w:pPr>
      <w:widowControl w:val="0"/>
      <w:tabs>
        <w:tab w:val="left" w:pos="360"/>
      </w:tabs>
      <w:autoSpaceDE w:val="0"/>
      <w:autoSpaceDN w:val="0"/>
      <w:jc w:val="both"/>
    </w:pPr>
    <w:rPr>
      <w:rFonts w:ascii="宋体" w:hAnsi="宋体" w:eastAsia="宋体" w:cs="Times New Roman"/>
      <w:kern w:val="2"/>
      <w:sz w:val="18"/>
      <w:szCs w:val="24"/>
      <w:lang w:val="en-US" w:eastAsia="zh-CN" w:bidi="ar-SA"/>
    </w:rPr>
  </w:style>
  <w:style w:type="paragraph" w:customStyle="1" w:styleId="416">
    <w:name w:val="四级无标题条"/>
    <w:basedOn w:val="1"/>
    <w:qFormat/>
    <w:uiPriority w:val="0"/>
    <w:pPr>
      <w:spacing w:after="0" w:line="360" w:lineRule="auto"/>
    </w:pPr>
    <w:rPr>
      <w:rFonts w:ascii="宋体" w:hAnsi="宋体"/>
    </w:rPr>
  </w:style>
  <w:style w:type="paragraph" w:customStyle="1" w:styleId="417">
    <w:name w:val="封面标准文稿编辑信息"/>
    <w:qFormat/>
    <w:uiPriority w:val="0"/>
    <w:pPr>
      <w:spacing w:before="180" w:line="180" w:lineRule="exact"/>
      <w:jc w:val="center"/>
    </w:pPr>
    <w:rPr>
      <w:rFonts w:ascii="宋体" w:hAnsi="宋体" w:eastAsia="宋体" w:cs="Times New Roman"/>
      <w:kern w:val="2"/>
      <w:sz w:val="21"/>
      <w:szCs w:val="24"/>
      <w:lang w:val="en-US" w:eastAsia="zh-CN" w:bidi="ar-SA"/>
    </w:rPr>
  </w:style>
  <w:style w:type="paragraph" w:customStyle="1" w:styleId="418">
    <w:name w:val="封面一致性程度标识"/>
    <w:qFormat/>
    <w:uiPriority w:val="0"/>
    <w:pPr>
      <w:spacing w:before="440" w:line="400" w:lineRule="exact"/>
      <w:jc w:val="center"/>
    </w:pPr>
    <w:rPr>
      <w:rFonts w:ascii="宋体" w:hAnsi="宋体" w:eastAsia="宋体" w:cs="Times New Roman"/>
      <w:kern w:val="2"/>
      <w:sz w:val="28"/>
      <w:szCs w:val="24"/>
      <w:lang w:val="en-US" w:eastAsia="zh-CN" w:bidi="ar-SA"/>
    </w:rPr>
  </w:style>
  <w:style w:type="paragraph" w:customStyle="1" w:styleId="419">
    <w:name w:val="发布日期"/>
    <w:qFormat/>
    <w:uiPriority w:val="0"/>
    <w:rPr>
      <w:rFonts w:ascii="宋体" w:hAnsi="宋体" w:eastAsia="黑体" w:cs="Times New Roman"/>
      <w:kern w:val="2"/>
      <w:sz w:val="28"/>
      <w:szCs w:val="24"/>
      <w:lang w:val="en-US" w:eastAsia="zh-CN" w:bidi="ar-SA"/>
    </w:rPr>
  </w:style>
  <w:style w:type="paragraph" w:customStyle="1" w:styleId="420">
    <w:name w:val="Char1 Char Char Char Char Char Char Char Char1 Char Char"/>
    <w:basedOn w:val="1"/>
    <w:qFormat/>
    <w:uiPriority w:val="0"/>
    <w:pPr>
      <w:spacing w:after="0" w:line="360" w:lineRule="auto"/>
    </w:pPr>
    <w:rPr>
      <w:b/>
      <w:bCs/>
      <w:sz w:val="36"/>
      <w:szCs w:val="32"/>
    </w:rPr>
  </w:style>
  <w:style w:type="paragraph" w:customStyle="1" w:styleId="421">
    <w:name w:val="实施日期"/>
    <w:basedOn w:val="419"/>
    <w:qFormat/>
    <w:uiPriority w:val="0"/>
    <w:pPr>
      <w:jc w:val="right"/>
    </w:pPr>
  </w:style>
  <w:style w:type="paragraph" w:customStyle="1" w:styleId="422">
    <w:name w:val="文献分类号"/>
    <w:qFormat/>
    <w:uiPriority w:val="0"/>
    <w:pPr>
      <w:widowControl w:val="0"/>
      <w:textAlignment w:val="center"/>
    </w:pPr>
    <w:rPr>
      <w:rFonts w:ascii="宋体" w:hAnsi="宋体" w:eastAsia="黑体" w:cs="Times New Roman"/>
      <w:kern w:val="2"/>
      <w:sz w:val="21"/>
      <w:szCs w:val="24"/>
      <w:lang w:val="en-US" w:eastAsia="zh-CN" w:bidi="ar-SA"/>
    </w:rPr>
  </w:style>
  <w:style w:type="paragraph" w:customStyle="1" w:styleId="423">
    <w:name w:val="封面标准名称"/>
    <w:qFormat/>
    <w:uiPriority w:val="0"/>
    <w:pPr>
      <w:widowControl w:val="0"/>
      <w:spacing w:line="680" w:lineRule="exact"/>
      <w:jc w:val="center"/>
      <w:textAlignment w:val="center"/>
    </w:pPr>
    <w:rPr>
      <w:rFonts w:ascii="黑体" w:hAnsi="宋体" w:eastAsia="黑体" w:cs="Times New Roman"/>
      <w:kern w:val="2"/>
      <w:sz w:val="52"/>
      <w:szCs w:val="24"/>
      <w:lang w:val="en-US" w:eastAsia="zh-CN" w:bidi="ar-SA"/>
    </w:rPr>
  </w:style>
  <w:style w:type="paragraph" w:customStyle="1" w:styleId="424">
    <w:name w:val="封面标准英文名称"/>
    <w:qFormat/>
    <w:uiPriority w:val="0"/>
    <w:pPr>
      <w:widowControl w:val="0"/>
      <w:spacing w:before="370" w:line="400" w:lineRule="exact"/>
      <w:jc w:val="center"/>
    </w:pPr>
    <w:rPr>
      <w:rFonts w:ascii="宋体" w:hAnsi="宋体" w:eastAsia="宋体" w:cs="Times New Roman"/>
      <w:kern w:val="2"/>
      <w:sz w:val="28"/>
      <w:szCs w:val="24"/>
      <w:lang w:val="en-US" w:eastAsia="zh-CN" w:bidi="ar-SA"/>
    </w:rPr>
  </w:style>
  <w:style w:type="paragraph" w:customStyle="1" w:styleId="425">
    <w:name w:val="Proposals body"/>
    <w:basedOn w:val="1"/>
    <w:next w:val="1"/>
    <w:qFormat/>
    <w:uiPriority w:val="0"/>
    <w:pPr>
      <w:widowControl/>
      <w:spacing w:after="0" w:line="360" w:lineRule="auto"/>
      <w:jc w:val="left"/>
    </w:pPr>
    <w:rPr>
      <w:rFonts w:ascii="宋体" w:hAnsi="宋体"/>
      <w:snapToGrid w:val="0"/>
      <w:color w:val="000000"/>
      <w:kern w:val="0"/>
      <w:sz w:val="24"/>
      <w:szCs w:val="20"/>
    </w:rPr>
  </w:style>
  <w:style w:type="paragraph" w:customStyle="1" w:styleId="426">
    <w:name w:val="Char2"/>
    <w:basedOn w:val="1"/>
    <w:qFormat/>
    <w:uiPriority w:val="0"/>
    <w:pPr>
      <w:widowControl/>
      <w:spacing w:after="0" w:line="400" w:lineRule="exact"/>
      <w:jc w:val="center"/>
    </w:pPr>
    <w:rPr>
      <w:rFonts w:ascii="Verdana" w:hAnsi="Verdana" w:cs="Verdana"/>
      <w:kern w:val="0"/>
      <w:szCs w:val="21"/>
      <w:lang w:eastAsia="en-US"/>
    </w:rPr>
  </w:style>
  <w:style w:type="paragraph" w:customStyle="1" w:styleId="427">
    <w:name w:val="表文字"/>
    <w:basedOn w:val="15"/>
    <w:qFormat/>
    <w:uiPriority w:val="0"/>
    <w:pPr>
      <w:widowControl/>
      <w:overflowPunct w:val="0"/>
      <w:autoSpaceDE w:val="0"/>
      <w:autoSpaceDN w:val="0"/>
      <w:adjustRightInd w:val="0"/>
      <w:snapToGrid w:val="0"/>
      <w:spacing w:after="0" w:line="360" w:lineRule="auto"/>
      <w:ind w:firstLine="0"/>
    </w:pPr>
    <w:rPr>
      <w:rFonts w:ascii="宋体" w:hAnsi="宋体" w:eastAsia="幼圆"/>
      <w:snapToGrid w:val="0"/>
      <w:color w:val="000000"/>
      <w:kern w:val="28"/>
      <w:sz w:val="28"/>
    </w:rPr>
  </w:style>
  <w:style w:type="paragraph" w:customStyle="1" w:styleId="428">
    <w:name w:val="示例"/>
    <w:next w:val="332"/>
    <w:qFormat/>
    <w:uiPriority w:val="0"/>
    <w:pPr>
      <w:tabs>
        <w:tab w:val="left" w:pos="360"/>
      </w:tabs>
      <w:jc w:val="both"/>
    </w:pPr>
    <w:rPr>
      <w:rFonts w:ascii="宋体" w:hAnsi="宋体" w:eastAsia="宋体" w:cs="Times New Roman"/>
      <w:kern w:val="2"/>
      <w:sz w:val="18"/>
      <w:szCs w:val="24"/>
      <w:lang w:val="en-US" w:eastAsia="zh-CN" w:bidi="ar-SA"/>
    </w:rPr>
  </w:style>
  <w:style w:type="paragraph" w:customStyle="1" w:styleId="429">
    <w:name w:val="c封面发布日期"/>
    <w:basedOn w:val="1"/>
    <w:qFormat/>
    <w:uiPriority w:val="0"/>
    <w:pPr>
      <w:adjustRightInd w:val="0"/>
      <w:spacing w:after="0" w:line="360" w:lineRule="auto"/>
    </w:pPr>
    <w:rPr>
      <w:rFonts w:ascii="宋体" w:hAnsi="宋体" w:eastAsia="黑体"/>
      <w:kern w:val="0"/>
      <w:sz w:val="28"/>
      <w:szCs w:val="20"/>
    </w:rPr>
  </w:style>
  <w:style w:type="paragraph" w:customStyle="1" w:styleId="430">
    <w:name w:val="Char Char Char Char Char Char Char Char Char Char"/>
    <w:basedOn w:val="1"/>
    <w:qFormat/>
    <w:uiPriority w:val="0"/>
    <w:pPr>
      <w:adjustRightInd w:val="0"/>
      <w:spacing w:after="0" w:line="360" w:lineRule="auto"/>
    </w:pPr>
    <w:rPr>
      <w:rFonts w:ascii="宋体" w:hAnsi="宋体"/>
      <w:kern w:val="0"/>
      <w:sz w:val="24"/>
      <w:szCs w:val="20"/>
    </w:rPr>
  </w:style>
  <w:style w:type="paragraph" w:customStyle="1" w:styleId="431">
    <w:name w:val="Char2 Char Char Char Char Char Char Char Char Char Char Char Char"/>
    <w:basedOn w:val="1"/>
    <w:qFormat/>
    <w:uiPriority w:val="0"/>
    <w:pPr>
      <w:spacing w:after="0" w:line="360" w:lineRule="auto"/>
      <w:ind w:firstLine="200" w:firstLineChars="200"/>
    </w:pPr>
    <w:rPr>
      <w:rFonts w:ascii="Tahoma" w:hAnsi="Tahoma"/>
      <w:sz w:val="24"/>
    </w:rPr>
  </w:style>
  <w:style w:type="paragraph" w:customStyle="1" w:styleId="432">
    <w:name w:val="附录表标题"/>
    <w:next w:val="332"/>
    <w:qFormat/>
    <w:uiPriority w:val="0"/>
    <w:pPr>
      <w:jc w:val="center"/>
      <w:textAlignment w:val="baseline"/>
    </w:pPr>
    <w:rPr>
      <w:rFonts w:ascii="黑体" w:hAnsi="宋体" w:eastAsia="黑体" w:cs="Times New Roman"/>
      <w:kern w:val="21"/>
      <w:sz w:val="21"/>
      <w:szCs w:val="24"/>
      <w:lang w:val="en-US" w:eastAsia="zh-CN" w:bidi="ar-SA"/>
    </w:rPr>
  </w:style>
  <w:style w:type="paragraph" w:customStyle="1" w:styleId="433">
    <w:name w:val="Char Char 字元 字元 字元 Char Char Char Char"/>
    <w:basedOn w:val="1"/>
    <w:qFormat/>
    <w:uiPriority w:val="0"/>
    <w:pPr>
      <w:adjustRightInd w:val="0"/>
      <w:spacing w:after="0" w:line="360" w:lineRule="auto"/>
    </w:pPr>
    <w:rPr>
      <w:rFonts w:ascii="宋体" w:hAnsi="宋体"/>
      <w:kern w:val="0"/>
      <w:sz w:val="20"/>
      <w:szCs w:val="20"/>
    </w:rPr>
  </w:style>
  <w:style w:type="paragraph" w:customStyle="1" w:styleId="434">
    <w:name w:val="附录标识"/>
    <w:basedOn w:val="413"/>
    <w:qFormat/>
    <w:uiPriority w:val="0"/>
    <w:pPr>
      <w:tabs>
        <w:tab w:val="left" w:pos="360"/>
        <w:tab w:val="left" w:pos="6405"/>
      </w:tabs>
      <w:spacing w:after="200"/>
      <w:ind w:left="0" w:firstLine="0"/>
    </w:pPr>
    <w:rPr>
      <w:sz w:val="21"/>
    </w:rPr>
  </w:style>
  <w:style w:type="paragraph" w:customStyle="1" w:styleId="435">
    <w:name w:val="目次、索引正文"/>
    <w:qFormat/>
    <w:uiPriority w:val="0"/>
    <w:pPr>
      <w:spacing w:line="320" w:lineRule="exact"/>
      <w:jc w:val="both"/>
    </w:pPr>
    <w:rPr>
      <w:rFonts w:ascii="宋体" w:hAnsi="宋体" w:eastAsia="宋体" w:cs="Times New Roman"/>
      <w:kern w:val="2"/>
      <w:sz w:val="21"/>
      <w:szCs w:val="24"/>
      <w:lang w:val="en-US" w:eastAsia="zh-CN" w:bidi="ar-SA"/>
    </w:rPr>
  </w:style>
  <w:style w:type="paragraph" w:customStyle="1" w:styleId="436">
    <w:name w:val="标准书脚_奇数页"/>
    <w:qFormat/>
    <w:uiPriority w:val="0"/>
    <w:pPr>
      <w:spacing w:before="120"/>
      <w:jc w:val="right"/>
    </w:pPr>
    <w:rPr>
      <w:rFonts w:ascii="宋体" w:hAnsi="宋体" w:eastAsia="宋体" w:cs="Times New Roman"/>
      <w:kern w:val="2"/>
      <w:sz w:val="18"/>
      <w:szCs w:val="24"/>
      <w:lang w:val="en-US" w:eastAsia="zh-CN" w:bidi="ar-SA"/>
    </w:rPr>
  </w:style>
  <w:style w:type="paragraph" w:customStyle="1" w:styleId="437">
    <w:name w:val="标准书眉一"/>
    <w:qFormat/>
    <w:uiPriority w:val="0"/>
    <w:pPr>
      <w:jc w:val="both"/>
    </w:pPr>
    <w:rPr>
      <w:rFonts w:ascii="宋体" w:hAnsi="宋体" w:eastAsia="宋体" w:cs="Times New Roman"/>
      <w:kern w:val="2"/>
      <w:sz w:val="24"/>
      <w:szCs w:val="24"/>
      <w:lang w:val="en-US" w:eastAsia="zh-CN" w:bidi="ar-SA"/>
    </w:rPr>
  </w:style>
  <w:style w:type="paragraph" w:customStyle="1" w:styleId="438">
    <w:name w:val="其他发布部门"/>
    <w:basedOn w:val="439"/>
    <w:qFormat/>
    <w:uiPriority w:val="0"/>
    <w:pPr>
      <w:spacing w:line="0" w:lineRule="atLeast"/>
    </w:pPr>
    <w:rPr>
      <w:rFonts w:ascii="黑体" w:eastAsia="黑体"/>
      <w:b w:val="0"/>
    </w:rPr>
  </w:style>
  <w:style w:type="paragraph" w:customStyle="1" w:styleId="439">
    <w:name w:val="发布部门"/>
    <w:next w:val="332"/>
    <w:qFormat/>
    <w:uiPriority w:val="0"/>
    <w:pPr>
      <w:jc w:val="center"/>
    </w:pPr>
    <w:rPr>
      <w:rFonts w:ascii="宋体" w:hAnsi="宋体" w:eastAsia="宋体" w:cs="Times New Roman"/>
      <w:b/>
      <w:spacing w:val="20"/>
      <w:w w:val="135"/>
      <w:kern w:val="2"/>
      <w:sz w:val="36"/>
      <w:szCs w:val="24"/>
      <w:lang w:val="en-US" w:eastAsia="zh-CN" w:bidi="ar-SA"/>
    </w:rPr>
  </w:style>
  <w:style w:type="paragraph" w:customStyle="1" w:styleId="440">
    <w:name w:val="附录性质"/>
    <w:basedOn w:val="1"/>
    <w:qFormat/>
    <w:uiPriority w:val="0"/>
    <w:pPr>
      <w:spacing w:after="0" w:line="360" w:lineRule="auto"/>
      <w:jc w:val="center"/>
    </w:pPr>
    <w:rPr>
      <w:rFonts w:ascii="黑体" w:hAnsi="宋体" w:eastAsia="黑体"/>
    </w:rPr>
  </w:style>
  <w:style w:type="paragraph" w:customStyle="1" w:styleId="441">
    <w:name w:val="条文脚注"/>
    <w:basedOn w:val="42"/>
    <w:qFormat/>
    <w:uiPriority w:val="0"/>
    <w:pPr>
      <w:spacing w:after="0" w:line="360" w:lineRule="auto"/>
      <w:ind w:left="780" w:leftChars="200" w:hanging="360" w:hangingChars="200"/>
      <w:jc w:val="both"/>
    </w:pPr>
    <w:rPr>
      <w:rFonts w:hint="default" w:ascii="宋体" w:hAnsi="宋体"/>
      <w:kern w:val="0"/>
      <w:szCs w:val="18"/>
    </w:rPr>
  </w:style>
  <w:style w:type="paragraph" w:customStyle="1" w:styleId="442">
    <w:name w:val="五级无标题条"/>
    <w:basedOn w:val="1"/>
    <w:qFormat/>
    <w:uiPriority w:val="0"/>
    <w:pPr>
      <w:spacing w:after="0" w:line="360" w:lineRule="auto"/>
    </w:pPr>
    <w:rPr>
      <w:rFonts w:ascii="宋体" w:hAnsi="宋体"/>
    </w:rPr>
  </w:style>
  <w:style w:type="paragraph" w:customStyle="1" w:styleId="443">
    <w:name w:val="Note Heading2"/>
    <w:basedOn w:val="1"/>
    <w:next w:val="1"/>
    <w:qFormat/>
    <w:uiPriority w:val="0"/>
    <w:pPr>
      <w:spacing w:after="0" w:line="360" w:lineRule="auto"/>
      <w:jc w:val="center"/>
    </w:pPr>
    <w:rPr>
      <w:rFonts w:ascii="DFKai-SB" w:hAnsi="DFKai-SB" w:eastAsia="DFKai-SB"/>
      <w:sz w:val="20"/>
      <w:szCs w:val="20"/>
    </w:rPr>
  </w:style>
  <w:style w:type="paragraph" w:customStyle="1" w:styleId="444">
    <w:name w:val="目次、标准名称标题"/>
    <w:basedOn w:val="413"/>
    <w:next w:val="1"/>
    <w:qFormat/>
    <w:uiPriority w:val="0"/>
    <w:pPr>
      <w:spacing w:line="460" w:lineRule="exact"/>
      <w:ind w:left="0" w:firstLine="0"/>
    </w:pPr>
  </w:style>
  <w:style w:type="paragraph" w:customStyle="1" w:styleId="445">
    <w:name w:val="无标题条"/>
    <w:next w:val="332"/>
    <w:qFormat/>
    <w:uiPriority w:val="0"/>
    <w:pPr>
      <w:jc w:val="both"/>
    </w:pPr>
    <w:rPr>
      <w:rFonts w:ascii="宋体" w:hAnsi="宋体" w:eastAsia="宋体" w:cs="Times New Roman"/>
      <w:kern w:val="2"/>
      <w:sz w:val="21"/>
      <w:szCs w:val="24"/>
      <w:lang w:val="en-US" w:eastAsia="zh-CN" w:bidi="ar-SA"/>
    </w:rPr>
  </w:style>
  <w:style w:type="paragraph" w:customStyle="1" w:styleId="446">
    <w:name w:val="三级无标题条"/>
    <w:basedOn w:val="1"/>
    <w:qFormat/>
    <w:uiPriority w:val="0"/>
    <w:pPr>
      <w:spacing w:after="0" w:line="360" w:lineRule="auto"/>
    </w:pPr>
    <w:rPr>
      <w:rFonts w:ascii="宋体" w:hAnsi="宋体"/>
    </w:rPr>
  </w:style>
  <w:style w:type="paragraph" w:customStyle="1" w:styleId="447">
    <w:name w:val="正文图标题"/>
    <w:next w:val="332"/>
    <w:qFormat/>
    <w:uiPriority w:val="0"/>
    <w:pPr>
      <w:tabs>
        <w:tab w:val="left" w:pos="360"/>
      </w:tabs>
      <w:jc w:val="center"/>
    </w:pPr>
    <w:rPr>
      <w:rFonts w:ascii="黑体" w:hAnsi="宋体" w:eastAsia="黑体" w:cs="Times New Roman"/>
      <w:kern w:val="2"/>
      <w:sz w:val="21"/>
      <w:szCs w:val="24"/>
      <w:lang w:val="en-US" w:eastAsia="zh-CN" w:bidi="ar-SA"/>
    </w:rPr>
  </w:style>
  <w:style w:type="paragraph" w:customStyle="1" w:styleId="448">
    <w:name w:val="Char3"/>
    <w:basedOn w:val="1"/>
    <w:qFormat/>
    <w:uiPriority w:val="0"/>
    <w:pPr>
      <w:spacing w:after="0" w:line="360" w:lineRule="auto"/>
    </w:pPr>
    <w:rPr>
      <w:rFonts w:ascii="Tahoma" w:hAnsi="Tahoma"/>
      <w:sz w:val="24"/>
      <w:szCs w:val="20"/>
    </w:rPr>
  </w:style>
  <w:style w:type="paragraph" w:customStyle="1" w:styleId="449">
    <w:name w:val="标准称谓"/>
    <w:next w:val="1"/>
    <w:qFormat/>
    <w:uiPriority w:val="0"/>
    <w:pPr>
      <w:widowControl w:val="0"/>
      <w:kinsoku w:val="0"/>
      <w:overflowPunct w:val="0"/>
      <w:autoSpaceDE w:val="0"/>
      <w:autoSpaceDN w:val="0"/>
      <w:spacing w:line="0" w:lineRule="atLeast"/>
      <w:jc w:val="distribute"/>
    </w:pPr>
    <w:rPr>
      <w:rFonts w:ascii="宋体" w:hAnsi="宋体" w:eastAsia="宋体" w:cs="Times New Roman"/>
      <w:b/>
      <w:bCs/>
      <w:spacing w:val="20"/>
      <w:w w:val="148"/>
      <w:kern w:val="2"/>
      <w:sz w:val="52"/>
      <w:szCs w:val="24"/>
      <w:lang w:val="en-US" w:eastAsia="zh-CN" w:bidi="ar-SA"/>
    </w:rPr>
  </w:style>
  <w:style w:type="paragraph" w:customStyle="1" w:styleId="450">
    <w:name w:val="哈哈正文"/>
    <w:basedOn w:val="1"/>
    <w:qFormat/>
    <w:uiPriority w:val="0"/>
    <w:pPr>
      <w:spacing w:after="0" w:line="360" w:lineRule="auto"/>
      <w:ind w:firstLine="200" w:firstLineChars="200"/>
    </w:pPr>
    <w:rPr>
      <w:rFonts w:ascii="宋体" w:hAnsi="宋体" w:cs="宋体"/>
      <w:sz w:val="24"/>
    </w:rPr>
  </w:style>
  <w:style w:type="paragraph" w:customStyle="1" w:styleId="451">
    <w:name w:val="标3"/>
    <w:basedOn w:val="1"/>
    <w:qFormat/>
    <w:uiPriority w:val="0"/>
    <w:pPr>
      <w:tabs>
        <w:tab w:val="left" w:pos="1740"/>
      </w:tabs>
      <w:adjustRightInd w:val="0"/>
      <w:snapToGrid w:val="0"/>
      <w:spacing w:before="50" w:after="0" w:line="360" w:lineRule="auto"/>
      <w:ind w:left="1740" w:hanging="420"/>
      <w:outlineLvl w:val="2"/>
    </w:pPr>
    <w:rPr>
      <w:rFonts w:ascii="Arial Narrow" w:hAnsi="Arial Narrow" w:eastAsia="仿宋_GB2312"/>
      <w:sz w:val="28"/>
      <w:szCs w:val="20"/>
    </w:rPr>
  </w:style>
  <w:style w:type="paragraph" w:customStyle="1" w:styleId="452">
    <w:name w:val="Char Char6 Char Char"/>
    <w:basedOn w:val="1"/>
    <w:qFormat/>
    <w:uiPriority w:val="0"/>
    <w:pPr>
      <w:tabs>
        <w:tab w:val="right" w:pos="-2120"/>
      </w:tabs>
      <w:snapToGrid w:val="0"/>
      <w:spacing w:after="0" w:line="360" w:lineRule="auto"/>
    </w:pPr>
    <w:rPr>
      <w:rFonts w:ascii="Tahoma" w:hAnsi="Tahoma"/>
      <w:spacing w:val="6"/>
      <w:sz w:val="24"/>
      <w:szCs w:val="20"/>
    </w:rPr>
  </w:style>
  <w:style w:type="paragraph" w:customStyle="1" w:styleId="453">
    <w:name w:val="封面标准文稿类别"/>
    <w:qFormat/>
    <w:uiPriority w:val="0"/>
    <w:pPr>
      <w:spacing w:before="440" w:line="400" w:lineRule="exact"/>
      <w:jc w:val="center"/>
    </w:pPr>
    <w:rPr>
      <w:rFonts w:ascii="宋体" w:hAnsi="宋体" w:eastAsia="宋体" w:cs="Times New Roman"/>
      <w:kern w:val="2"/>
      <w:sz w:val="24"/>
      <w:szCs w:val="24"/>
      <w:lang w:val="en-US" w:eastAsia="zh-CN" w:bidi="ar-SA"/>
    </w:rPr>
  </w:style>
  <w:style w:type="paragraph" w:customStyle="1" w:styleId="454">
    <w:name w:val="Char1 Char Char Char Char Char Char Char Char1 Char Char1"/>
    <w:basedOn w:val="1"/>
    <w:qFormat/>
    <w:uiPriority w:val="0"/>
    <w:pPr>
      <w:spacing w:after="0" w:line="360" w:lineRule="auto"/>
    </w:pPr>
    <w:rPr>
      <w:b/>
      <w:bCs/>
      <w:sz w:val="36"/>
      <w:szCs w:val="32"/>
    </w:rPr>
  </w:style>
  <w:style w:type="paragraph" w:customStyle="1" w:styleId="455">
    <w:name w:val="标准标志"/>
    <w:next w:val="1"/>
    <w:qFormat/>
    <w:uiPriority w:val="0"/>
    <w:pPr>
      <w:shd w:val="solid" w:color="FFFFFF" w:fill="FFFFFF"/>
      <w:spacing w:line="0" w:lineRule="atLeast"/>
      <w:jc w:val="right"/>
    </w:pPr>
    <w:rPr>
      <w:rFonts w:ascii="宋体" w:hAnsi="宋体" w:eastAsia="宋体" w:cs="Times New Roman"/>
      <w:b/>
      <w:w w:val="130"/>
      <w:kern w:val="2"/>
      <w:sz w:val="96"/>
      <w:szCs w:val="24"/>
      <w:lang w:val="en-US" w:eastAsia="zh-CN" w:bidi="ar-SA"/>
    </w:rPr>
  </w:style>
  <w:style w:type="paragraph" w:customStyle="1" w:styleId="456">
    <w:name w:val="Char Char Char Char Char Char Char Char Char Char Char Char"/>
    <w:basedOn w:val="1"/>
    <w:qFormat/>
    <w:uiPriority w:val="0"/>
    <w:pPr>
      <w:spacing w:after="0" w:line="360" w:lineRule="auto"/>
    </w:pPr>
    <w:rPr>
      <w:rFonts w:ascii="宋体" w:hAnsi="宋体"/>
      <w:szCs w:val="20"/>
    </w:rPr>
  </w:style>
  <w:style w:type="paragraph" w:customStyle="1" w:styleId="457">
    <w:name w:val="List Paragraph1"/>
    <w:basedOn w:val="1"/>
    <w:qFormat/>
    <w:uiPriority w:val="0"/>
    <w:pPr>
      <w:spacing w:after="0" w:line="360" w:lineRule="auto"/>
      <w:ind w:firstLine="420" w:firstLineChars="200"/>
    </w:pPr>
    <w:rPr>
      <w:rFonts w:ascii="Calibri" w:hAnsi="Calibri"/>
      <w:szCs w:val="21"/>
    </w:rPr>
  </w:style>
  <w:style w:type="paragraph" w:customStyle="1" w:styleId="458">
    <w:name w:val="附录图标题"/>
    <w:next w:val="332"/>
    <w:qFormat/>
    <w:uiPriority w:val="0"/>
    <w:pPr>
      <w:jc w:val="center"/>
    </w:pPr>
    <w:rPr>
      <w:rFonts w:ascii="黑体" w:hAnsi="宋体" w:eastAsia="黑体" w:cs="Times New Roman"/>
      <w:kern w:val="2"/>
      <w:sz w:val="21"/>
      <w:szCs w:val="24"/>
      <w:lang w:val="en-US" w:eastAsia="zh-CN" w:bidi="ar-SA"/>
    </w:rPr>
  </w:style>
  <w:style w:type="paragraph" w:customStyle="1" w:styleId="459">
    <w:name w:val="标准书脚_偶数页"/>
    <w:qFormat/>
    <w:uiPriority w:val="0"/>
    <w:pPr>
      <w:spacing w:before="120"/>
    </w:pPr>
    <w:rPr>
      <w:rFonts w:ascii="宋体" w:hAnsi="宋体" w:eastAsia="宋体" w:cs="Times New Roman"/>
      <w:kern w:val="2"/>
      <w:sz w:val="18"/>
      <w:szCs w:val="24"/>
      <w:lang w:val="en-US" w:eastAsia="zh-CN" w:bidi="ar-SA"/>
    </w:rPr>
  </w:style>
  <w:style w:type="paragraph" w:customStyle="1" w:styleId="460">
    <w:name w:val="封面标准号1"/>
    <w:qFormat/>
    <w:uiPriority w:val="0"/>
    <w:pPr>
      <w:widowControl w:val="0"/>
      <w:kinsoku w:val="0"/>
      <w:overflowPunct w:val="0"/>
      <w:autoSpaceDE w:val="0"/>
      <w:autoSpaceDN w:val="0"/>
      <w:spacing w:before="308"/>
      <w:jc w:val="right"/>
      <w:textAlignment w:val="center"/>
    </w:pPr>
    <w:rPr>
      <w:rFonts w:ascii="宋体" w:hAnsi="宋体" w:eastAsia="宋体" w:cs="Times New Roman"/>
      <w:kern w:val="2"/>
      <w:sz w:val="28"/>
      <w:szCs w:val="24"/>
      <w:lang w:val="en-US" w:eastAsia="zh-CN" w:bidi="ar-SA"/>
    </w:rPr>
  </w:style>
  <w:style w:type="paragraph" w:customStyle="1" w:styleId="461">
    <w:name w:val="默认段落字体 Para Char Char Char Char Char Char Char"/>
    <w:basedOn w:val="1"/>
    <w:qFormat/>
    <w:uiPriority w:val="0"/>
    <w:pPr>
      <w:spacing w:after="0" w:line="360" w:lineRule="auto"/>
      <w:ind w:firstLine="200" w:firstLineChars="200"/>
    </w:pPr>
    <w:rPr>
      <w:rFonts w:ascii="Tahoma" w:hAnsi="Tahoma"/>
      <w:sz w:val="24"/>
    </w:rPr>
  </w:style>
  <w:style w:type="paragraph" w:customStyle="1" w:styleId="462">
    <w:name w:val="封面标准号2"/>
    <w:basedOn w:val="460"/>
    <w:qFormat/>
    <w:uiPriority w:val="0"/>
    <w:pPr>
      <w:adjustRightInd w:val="0"/>
      <w:spacing w:before="357" w:line="280" w:lineRule="exact"/>
    </w:pPr>
  </w:style>
  <w:style w:type="paragraph" w:customStyle="1" w:styleId="463">
    <w:name w:val="封面标准代替信息"/>
    <w:basedOn w:val="462"/>
    <w:qFormat/>
    <w:uiPriority w:val="0"/>
    <w:pPr>
      <w:spacing w:before="57"/>
    </w:pPr>
    <w:rPr>
      <w:sz w:val="21"/>
    </w:rPr>
  </w:style>
  <w:style w:type="paragraph" w:customStyle="1" w:styleId="464">
    <w:name w:val="MY括弧编号"/>
    <w:basedOn w:val="1"/>
    <w:link w:val="465"/>
    <w:qFormat/>
    <w:uiPriority w:val="0"/>
    <w:pPr>
      <w:spacing w:after="0" w:line="360" w:lineRule="auto"/>
    </w:pPr>
    <w:rPr>
      <w:rFonts w:ascii="Arial" w:hAnsi="Arial"/>
      <w:szCs w:val="21"/>
    </w:rPr>
  </w:style>
  <w:style w:type="character" w:customStyle="1" w:styleId="465">
    <w:name w:val="MY括弧编号 Char"/>
    <w:link w:val="464"/>
    <w:qFormat/>
    <w:uiPriority w:val="0"/>
    <w:rPr>
      <w:rFonts w:ascii="Arial" w:hAnsi="Arial"/>
      <w:kern w:val="2"/>
      <w:sz w:val="21"/>
      <w:szCs w:val="21"/>
    </w:rPr>
  </w:style>
  <w:style w:type="paragraph" w:customStyle="1" w:styleId="466">
    <w:name w:val="MY段内正文"/>
    <w:basedOn w:val="1"/>
    <w:link w:val="467"/>
    <w:qFormat/>
    <w:uiPriority w:val="0"/>
    <w:pPr>
      <w:spacing w:after="0" w:line="360" w:lineRule="auto"/>
      <w:ind w:left="283" w:leftChars="135" w:firstLine="424" w:firstLineChars="202"/>
    </w:pPr>
    <w:rPr>
      <w:rFonts w:ascii="Arial" w:hAnsi="Arial"/>
      <w:szCs w:val="21"/>
    </w:rPr>
  </w:style>
  <w:style w:type="character" w:customStyle="1" w:styleId="467">
    <w:name w:val="MY段内正文 Char"/>
    <w:link w:val="466"/>
    <w:qFormat/>
    <w:uiPriority w:val="0"/>
    <w:rPr>
      <w:rFonts w:ascii="Arial" w:hAnsi="Arial"/>
      <w:kern w:val="2"/>
      <w:sz w:val="21"/>
      <w:szCs w:val="21"/>
    </w:rPr>
  </w:style>
  <w:style w:type="paragraph" w:customStyle="1" w:styleId="468">
    <w:name w:val="3.(1)in"/>
    <w:basedOn w:val="1"/>
    <w:link w:val="469"/>
    <w:qFormat/>
    <w:uiPriority w:val="0"/>
    <w:pPr>
      <w:adjustRightInd w:val="0"/>
      <w:snapToGrid w:val="0"/>
      <w:spacing w:beforeLines="20" w:afterLines="20" w:line="300" w:lineRule="auto"/>
      <w:ind w:left="1695"/>
      <w:jc w:val="left"/>
    </w:pPr>
    <w:rPr>
      <w:rFonts w:ascii="Calibri" w:hAnsi="Calibri" w:eastAsia="DFKai-SB"/>
      <w:sz w:val="28"/>
      <w:szCs w:val="28"/>
      <w:lang w:eastAsia="zh-TW"/>
    </w:rPr>
  </w:style>
  <w:style w:type="character" w:customStyle="1" w:styleId="469">
    <w:name w:val="3.(1)in 字元"/>
    <w:link w:val="468"/>
    <w:qFormat/>
    <w:uiPriority w:val="0"/>
    <w:rPr>
      <w:rFonts w:ascii="Calibri" w:hAnsi="Calibri" w:eastAsia="DFKai-SB"/>
      <w:kern w:val="2"/>
      <w:sz w:val="28"/>
      <w:szCs w:val="28"/>
      <w:lang w:eastAsia="zh-TW"/>
    </w:rPr>
  </w:style>
  <w:style w:type="paragraph" w:customStyle="1" w:styleId="470">
    <w:name w:val="3.(a)in"/>
    <w:basedOn w:val="1"/>
    <w:qFormat/>
    <w:uiPriority w:val="0"/>
    <w:pPr>
      <w:adjustRightInd w:val="0"/>
      <w:snapToGrid w:val="0"/>
      <w:spacing w:beforeLines="20" w:afterLines="20" w:line="300" w:lineRule="auto"/>
      <w:ind w:left="2172"/>
      <w:jc w:val="left"/>
    </w:pPr>
    <w:rPr>
      <w:rFonts w:eastAsia="DFKai-SB"/>
      <w:sz w:val="28"/>
      <w:szCs w:val="28"/>
      <w:lang w:eastAsia="zh-TW"/>
    </w:rPr>
  </w:style>
  <w:style w:type="paragraph" w:customStyle="1" w:styleId="471">
    <w:name w:val="正文黑点编号"/>
    <w:basedOn w:val="1"/>
    <w:qFormat/>
    <w:uiPriority w:val="0"/>
    <w:pPr>
      <w:numPr>
        <w:ilvl w:val="1"/>
        <w:numId w:val="10"/>
      </w:numPr>
      <w:spacing w:after="0" w:line="360" w:lineRule="auto"/>
      <w:ind w:left="257" w:leftChars="257" w:hanging="300"/>
    </w:pPr>
    <w:rPr>
      <w:rFonts w:ascii="Arial" w:hAnsi="Arial"/>
      <w:szCs w:val="21"/>
    </w:rPr>
  </w:style>
  <w:style w:type="paragraph" w:customStyle="1" w:styleId="472">
    <w:name w:val="MY一项目"/>
    <w:basedOn w:val="471"/>
    <w:link w:val="473"/>
    <w:qFormat/>
    <w:uiPriority w:val="0"/>
    <w:pPr>
      <w:numPr>
        <w:ilvl w:val="0"/>
      </w:numPr>
    </w:pPr>
  </w:style>
  <w:style w:type="character" w:customStyle="1" w:styleId="473">
    <w:name w:val="MY一项目 Char"/>
    <w:link w:val="472"/>
    <w:qFormat/>
    <w:uiPriority w:val="0"/>
    <w:rPr>
      <w:rFonts w:ascii="Arial" w:hAnsi="Arial"/>
      <w:kern w:val="2"/>
      <w:sz w:val="21"/>
      <w:szCs w:val="21"/>
    </w:rPr>
  </w:style>
  <w:style w:type="paragraph" w:customStyle="1" w:styleId="474">
    <w:name w:val="MY段首正文"/>
    <w:basedOn w:val="1"/>
    <w:link w:val="475"/>
    <w:qFormat/>
    <w:uiPriority w:val="0"/>
    <w:pPr>
      <w:spacing w:after="0" w:line="360" w:lineRule="auto"/>
      <w:ind w:firstLine="420" w:firstLineChars="200"/>
    </w:pPr>
    <w:rPr>
      <w:rFonts w:ascii="Calibri" w:hAnsi="Calibri"/>
    </w:rPr>
  </w:style>
  <w:style w:type="character" w:customStyle="1" w:styleId="475">
    <w:name w:val="MY段首正文 Char"/>
    <w:link w:val="474"/>
    <w:qFormat/>
    <w:uiPriority w:val="0"/>
    <w:rPr>
      <w:rFonts w:ascii="Calibri" w:hAnsi="Calibri"/>
      <w:kern w:val="2"/>
      <w:sz w:val="21"/>
      <w:szCs w:val="24"/>
    </w:rPr>
  </w:style>
  <w:style w:type="paragraph" w:customStyle="1" w:styleId="476">
    <w:name w:val="4.a."/>
    <w:basedOn w:val="1"/>
    <w:qFormat/>
    <w:uiPriority w:val="0"/>
    <w:pPr>
      <w:adjustRightInd w:val="0"/>
      <w:snapToGrid w:val="0"/>
      <w:spacing w:beforeLines="20" w:afterLines="20" w:line="300" w:lineRule="auto"/>
      <w:ind w:left="2898" w:leftChars="1114" w:hanging="224" w:hangingChars="80"/>
      <w:jc w:val="left"/>
    </w:pPr>
    <w:rPr>
      <w:rFonts w:eastAsia="DFKai-SB"/>
      <w:sz w:val="28"/>
      <w:szCs w:val="28"/>
      <w:lang w:eastAsia="zh-TW"/>
    </w:rPr>
  </w:style>
  <w:style w:type="paragraph" w:customStyle="1" w:styleId="477">
    <w:name w:val="4.(1)"/>
    <w:basedOn w:val="1"/>
    <w:link w:val="478"/>
    <w:qFormat/>
    <w:uiPriority w:val="0"/>
    <w:pPr>
      <w:adjustRightInd w:val="0"/>
      <w:snapToGrid w:val="0"/>
      <w:spacing w:beforeLines="20" w:afterLines="20" w:line="300" w:lineRule="auto"/>
      <w:ind w:left="2631" w:leftChars="962" w:hanging="322" w:hangingChars="115"/>
      <w:jc w:val="left"/>
    </w:pPr>
    <w:rPr>
      <w:rFonts w:ascii="Calibri" w:hAnsi="Calibri" w:eastAsia="DFKai-SB"/>
      <w:sz w:val="28"/>
      <w:szCs w:val="28"/>
      <w:lang w:eastAsia="zh-TW"/>
    </w:rPr>
  </w:style>
  <w:style w:type="character" w:customStyle="1" w:styleId="478">
    <w:name w:val="4.(1) 字元"/>
    <w:link w:val="477"/>
    <w:qFormat/>
    <w:uiPriority w:val="0"/>
    <w:rPr>
      <w:rFonts w:ascii="Calibri" w:hAnsi="Calibri" w:eastAsia="DFKai-SB"/>
      <w:kern w:val="2"/>
      <w:sz w:val="28"/>
      <w:szCs w:val="28"/>
      <w:lang w:eastAsia="zh-TW"/>
    </w:rPr>
  </w:style>
  <w:style w:type="paragraph" w:customStyle="1" w:styleId="479">
    <w:name w:val="4.(1)in"/>
    <w:basedOn w:val="1"/>
    <w:link w:val="480"/>
    <w:qFormat/>
    <w:uiPriority w:val="0"/>
    <w:pPr>
      <w:adjustRightInd w:val="0"/>
      <w:snapToGrid w:val="0"/>
      <w:spacing w:beforeLines="20" w:afterLines="20" w:line="300" w:lineRule="auto"/>
      <w:ind w:left="2660"/>
      <w:jc w:val="left"/>
    </w:pPr>
    <w:rPr>
      <w:rFonts w:ascii="Calibri" w:hAnsi="Calibri" w:eastAsia="DFKai-SB"/>
      <w:sz w:val="28"/>
      <w:szCs w:val="20"/>
      <w:lang w:eastAsia="zh-TW"/>
    </w:rPr>
  </w:style>
  <w:style w:type="character" w:customStyle="1" w:styleId="480">
    <w:name w:val="4.(1)in 字元"/>
    <w:link w:val="479"/>
    <w:qFormat/>
    <w:uiPriority w:val="0"/>
    <w:rPr>
      <w:rFonts w:ascii="Calibri" w:hAnsi="Calibri" w:eastAsia="DFKai-SB"/>
      <w:kern w:val="2"/>
      <w:sz w:val="28"/>
      <w:lang w:eastAsia="zh-TW"/>
    </w:rPr>
  </w:style>
  <w:style w:type="paragraph" w:customStyle="1" w:styleId="481">
    <w:name w:val="4.in"/>
    <w:basedOn w:val="1"/>
    <w:qFormat/>
    <w:uiPriority w:val="0"/>
    <w:pPr>
      <w:adjustRightInd w:val="0"/>
      <w:snapToGrid w:val="0"/>
      <w:spacing w:beforeLines="20" w:afterLines="20" w:line="300" w:lineRule="auto"/>
      <w:ind w:left="2366"/>
      <w:jc w:val="left"/>
    </w:pPr>
    <w:rPr>
      <w:rFonts w:eastAsia="DFKai-SB"/>
      <w:sz w:val="28"/>
      <w:szCs w:val="28"/>
      <w:lang w:eastAsia="zh-TW"/>
    </w:rPr>
  </w:style>
  <w:style w:type="paragraph" w:customStyle="1" w:styleId="482">
    <w:name w:val="4.(a)"/>
    <w:basedOn w:val="1"/>
    <w:qFormat/>
    <w:uiPriority w:val="0"/>
    <w:pPr>
      <w:adjustRightInd w:val="0"/>
      <w:snapToGrid w:val="0"/>
      <w:spacing w:beforeLines="20" w:afterLines="20" w:line="300" w:lineRule="auto"/>
      <w:ind w:left="3162" w:leftChars="1201" w:hanging="280" w:hangingChars="100"/>
      <w:jc w:val="left"/>
    </w:pPr>
    <w:rPr>
      <w:rFonts w:ascii="Calibri" w:hAnsi="Calibri" w:eastAsia="DFKai-SB"/>
      <w:kern w:val="0"/>
      <w:sz w:val="28"/>
      <w:szCs w:val="28"/>
      <w:lang w:eastAsia="zh-TW"/>
    </w:rPr>
  </w:style>
  <w:style w:type="paragraph" w:customStyle="1" w:styleId="483">
    <w:name w:val="2(1)in"/>
    <w:basedOn w:val="1"/>
    <w:link w:val="484"/>
    <w:qFormat/>
    <w:uiPriority w:val="0"/>
    <w:pPr>
      <w:snapToGrid w:val="0"/>
      <w:spacing w:beforeLines="20" w:afterLines="20" w:line="300" w:lineRule="auto"/>
      <w:ind w:left="330" w:leftChars="330"/>
    </w:pPr>
    <w:rPr>
      <w:rFonts w:ascii="Calibri" w:hAnsi="Calibri" w:eastAsia="PMingLiU"/>
      <w:sz w:val="24"/>
      <w:lang w:eastAsia="zh-TW"/>
    </w:rPr>
  </w:style>
  <w:style w:type="character" w:customStyle="1" w:styleId="484">
    <w:name w:val="2(1)in 字元"/>
    <w:link w:val="483"/>
    <w:qFormat/>
    <w:uiPriority w:val="0"/>
    <w:rPr>
      <w:rFonts w:ascii="Calibri" w:hAnsi="Calibri" w:eastAsia="PMingLiU"/>
      <w:kern w:val="2"/>
      <w:sz w:val="24"/>
      <w:szCs w:val="24"/>
      <w:lang w:eastAsia="zh-TW"/>
    </w:rPr>
  </w:style>
  <w:style w:type="paragraph" w:customStyle="1" w:styleId="485">
    <w:name w:val="2(1)"/>
    <w:basedOn w:val="1"/>
    <w:qFormat/>
    <w:uiPriority w:val="0"/>
    <w:pPr>
      <w:snapToGrid w:val="0"/>
      <w:spacing w:beforeLines="20" w:afterLines="20" w:line="300" w:lineRule="auto"/>
      <w:ind w:left="340" w:leftChars="220" w:hanging="120" w:hangingChars="120"/>
    </w:pPr>
    <w:rPr>
      <w:rFonts w:eastAsia="PMingLiU" w:cs="PMingLiU"/>
      <w:sz w:val="24"/>
      <w:szCs w:val="20"/>
      <w:lang w:eastAsia="zh-TW"/>
    </w:rPr>
  </w:style>
  <w:style w:type="paragraph" w:customStyle="1" w:styleId="486">
    <w:name w:val="My正文"/>
    <w:basedOn w:val="1"/>
    <w:qFormat/>
    <w:uiPriority w:val="0"/>
    <w:pPr>
      <w:adjustRightInd w:val="0"/>
      <w:spacing w:before="120" w:after="0" w:line="360" w:lineRule="auto"/>
      <w:ind w:firstLine="567"/>
      <w:textAlignment w:val="baseline"/>
    </w:pPr>
    <w:rPr>
      <w:rFonts w:ascii="Arial" w:hAnsi="Arial"/>
      <w:kern w:val="0"/>
      <w:sz w:val="24"/>
      <w:szCs w:val="20"/>
    </w:rPr>
  </w:style>
  <w:style w:type="paragraph" w:customStyle="1" w:styleId="487">
    <w:name w:val="框內1."/>
    <w:basedOn w:val="1"/>
    <w:qFormat/>
    <w:uiPriority w:val="0"/>
    <w:pPr>
      <w:spacing w:after="0" w:line="360" w:lineRule="auto"/>
      <w:ind w:left="539" w:right="57" w:hanging="482"/>
    </w:pPr>
    <w:rPr>
      <w:rFonts w:eastAsia="DFKai-SB"/>
      <w:sz w:val="28"/>
      <w:szCs w:val="28"/>
      <w:lang w:eastAsia="zh-TW"/>
    </w:rPr>
  </w:style>
  <w:style w:type="paragraph" w:customStyle="1" w:styleId="488">
    <w:name w:val="标题3"/>
    <w:basedOn w:val="5"/>
    <w:link w:val="489"/>
    <w:qFormat/>
    <w:uiPriority w:val="0"/>
    <w:pPr>
      <w:numPr>
        <w:ilvl w:val="0"/>
        <w:numId w:val="11"/>
      </w:numPr>
      <w:spacing w:line="416" w:lineRule="auto"/>
      <w:ind w:firstLine="0" w:firstLineChars="0"/>
    </w:pPr>
    <w:rPr>
      <w:rFonts w:ascii="宋体" w:hAnsi="宋体" w:eastAsia="宋体"/>
      <w:bCs w:val="0"/>
      <w:sz w:val="24"/>
      <w:szCs w:val="24"/>
    </w:rPr>
  </w:style>
  <w:style w:type="character" w:customStyle="1" w:styleId="489">
    <w:name w:val="标题3 Char"/>
    <w:link w:val="488"/>
    <w:qFormat/>
    <w:uiPriority w:val="0"/>
    <w:rPr>
      <w:rFonts w:ascii="宋体" w:hAnsi="宋体"/>
      <w:b/>
      <w:kern w:val="2"/>
      <w:sz w:val="24"/>
      <w:szCs w:val="24"/>
    </w:rPr>
  </w:style>
  <w:style w:type="paragraph" w:customStyle="1" w:styleId="490">
    <w:name w:val="MY二项目"/>
    <w:basedOn w:val="472"/>
    <w:link w:val="491"/>
    <w:qFormat/>
    <w:uiPriority w:val="0"/>
    <w:pPr>
      <w:numPr>
        <w:numId w:val="12"/>
      </w:numPr>
    </w:pPr>
  </w:style>
  <w:style w:type="character" w:customStyle="1" w:styleId="491">
    <w:name w:val="MY二项目 Char"/>
    <w:link w:val="490"/>
    <w:qFormat/>
    <w:uiPriority w:val="0"/>
    <w:rPr>
      <w:rFonts w:ascii="Arial" w:hAnsi="Arial"/>
      <w:kern w:val="2"/>
      <w:sz w:val="21"/>
      <w:szCs w:val="21"/>
    </w:rPr>
  </w:style>
  <w:style w:type="paragraph" w:customStyle="1" w:styleId="492">
    <w:name w:val="4.a.in"/>
    <w:basedOn w:val="1"/>
    <w:qFormat/>
    <w:uiPriority w:val="0"/>
    <w:pPr>
      <w:adjustRightInd w:val="0"/>
      <w:snapToGrid w:val="0"/>
      <w:spacing w:beforeLines="20" w:afterLines="20" w:line="300" w:lineRule="auto"/>
      <w:ind w:left="2880"/>
      <w:jc w:val="left"/>
    </w:pPr>
    <w:rPr>
      <w:rFonts w:eastAsia="DFKai-SB"/>
      <w:sz w:val="28"/>
      <w:szCs w:val="28"/>
      <w:lang w:eastAsia="zh-TW"/>
    </w:rPr>
  </w:style>
  <w:style w:type="paragraph" w:customStyle="1" w:styleId="493">
    <w:name w:val="圈数字"/>
    <w:basedOn w:val="15"/>
    <w:qFormat/>
    <w:uiPriority w:val="0"/>
    <w:pPr>
      <w:numPr>
        <w:ilvl w:val="2"/>
        <w:numId w:val="13"/>
      </w:numPr>
      <w:tabs>
        <w:tab w:val="left" w:pos="540"/>
        <w:tab w:val="clear" w:pos="1200"/>
      </w:tabs>
      <w:spacing w:before="62" w:after="62" w:line="360" w:lineRule="auto"/>
      <w:ind w:left="540" w:hanging="540"/>
    </w:pPr>
    <w:rPr>
      <w:rFonts w:ascii="Arial" w:hAnsi="宋体" w:cs="Arial"/>
      <w:kern w:val="0"/>
      <w:sz w:val="20"/>
      <w:szCs w:val="28"/>
    </w:rPr>
  </w:style>
  <w:style w:type="paragraph" w:customStyle="1" w:styleId="494">
    <w:name w:val="N4"/>
    <w:basedOn w:val="6"/>
    <w:link w:val="495"/>
    <w:qFormat/>
    <w:uiPriority w:val="0"/>
    <w:pPr>
      <w:keepLines w:val="0"/>
      <w:spacing w:before="0" w:after="0" w:line="360" w:lineRule="auto"/>
      <w:ind w:left="864" w:hanging="864"/>
      <w:jc w:val="left"/>
      <w:outlineLvl w:val="9"/>
    </w:pPr>
    <w:rPr>
      <w:rFonts w:eastAsia="宋体"/>
      <w:bCs w:val="0"/>
      <w:kern w:val="0"/>
      <w:sz w:val="21"/>
      <w:szCs w:val="24"/>
    </w:rPr>
  </w:style>
  <w:style w:type="character" w:customStyle="1" w:styleId="495">
    <w:name w:val="N4 Char"/>
    <w:link w:val="494"/>
    <w:qFormat/>
    <w:uiPriority w:val="0"/>
    <w:rPr>
      <w:rFonts w:ascii="Arial" w:hAnsi="Arial"/>
      <w:b/>
      <w:sz w:val="21"/>
      <w:szCs w:val="24"/>
    </w:rPr>
  </w:style>
  <w:style w:type="paragraph" w:customStyle="1" w:styleId="496">
    <w:name w:val="正文项目符号"/>
    <w:basedOn w:val="1"/>
    <w:qFormat/>
    <w:uiPriority w:val="0"/>
    <w:pPr>
      <w:numPr>
        <w:ilvl w:val="0"/>
        <w:numId w:val="14"/>
      </w:numPr>
      <w:spacing w:after="0" w:line="360" w:lineRule="auto"/>
      <w:ind w:right="100" w:rightChars="100"/>
    </w:pPr>
    <w:rPr>
      <w:rFonts w:ascii="Calibri" w:hAnsi="Calibri"/>
      <w:sz w:val="24"/>
      <w:szCs w:val="21"/>
    </w:rPr>
  </w:style>
  <w:style w:type="paragraph" w:customStyle="1" w:styleId="497">
    <w:name w:val="N2"/>
    <w:basedOn w:val="4"/>
    <w:link w:val="498"/>
    <w:qFormat/>
    <w:uiPriority w:val="0"/>
    <w:pPr>
      <w:keepLines/>
      <w:adjustRightInd/>
      <w:snapToGrid/>
      <w:spacing w:before="480" w:after="0"/>
      <w:ind w:left="576" w:hanging="576"/>
      <w:jc w:val="left"/>
      <w:textAlignment w:val="auto"/>
    </w:pPr>
    <w:rPr>
      <w:rFonts w:ascii="Arial" w:hAnsi="Arial" w:eastAsia="宋体"/>
      <w:sz w:val="21"/>
      <w:szCs w:val="21"/>
    </w:rPr>
  </w:style>
  <w:style w:type="character" w:customStyle="1" w:styleId="498">
    <w:name w:val="N2 Char"/>
    <w:link w:val="497"/>
    <w:qFormat/>
    <w:uiPriority w:val="0"/>
    <w:rPr>
      <w:rFonts w:ascii="Arial" w:hAnsi="Arial"/>
      <w:b/>
      <w:sz w:val="21"/>
      <w:szCs w:val="21"/>
    </w:rPr>
  </w:style>
  <w:style w:type="paragraph" w:customStyle="1" w:styleId="499">
    <w:name w:val="3.(1)"/>
    <w:basedOn w:val="1"/>
    <w:link w:val="500"/>
    <w:qFormat/>
    <w:uiPriority w:val="0"/>
    <w:pPr>
      <w:adjustRightInd w:val="0"/>
      <w:snapToGrid w:val="0"/>
      <w:spacing w:beforeLines="20" w:afterLines="20" w:line="300" w:lineRule="auto"/>
      <w:ind w:left="686" w:leftChars="571" w:hanging="115" w:hangingChars="115"/>
      <w:jc w:val="left"/>
    </w:pPr>
    <w:rPr>
      <w:rFonts w:ascii="Calibri" w:hAnsi="Calibri" w:eastAsia="DFKai-SB"/>
      <w:sz w:val="28"/>
      <w:szCs w:val="28"/>
      <w:lang w:eastAsia="zh-TW"/>
    </w:rPr>
  </w:style>
  <w:style w:type="character" w:customStyle="1" w:styleId="500">
    <w:name w:val="3.(1) 字元"/>
    <w:link w:val="499"/>
    <w:qFormat/>
    <w:uiPriority w:val="0"/>
    <w:rPr>
      <w:rFonts w:ascii="Calibri" w:hAnsi="Calibri" w:eastAsia="DFKai-SB"/>
      <w:kern w:val="2"/>
      <w:sz w:val="28"/>
      <w:szCs w:val="28"/>
      <w:lang w:eastAsia="zh-TW"/>
    </w:rPr>
  </w:style>
  <w:style w:type="paragraph" w:customStyle="1" w:styleId="501">
    <w:name w:val="样式 正文文本缩进 + 左  0 字符"/>
    <w:basedOn w:val="22"/>
    <w:qFormat/>
    <w:uiPriority w:val="0"/>
    <w:pPr>
      <w:spacing w:after="0" w:line="360" w:lineRule="auto"/>
      <w:ind w:firstLine="250" w:firstLineChars="250"/>
    </w:pPr>
    <w:rPr>
      <w:rFonts w:ascii="Times New Roman" w:hAnsi="Times New Roman" w:cs="宋体"/>
      <w:spacing w:val="0"/>
      <w:sz w:val="24"/>
    </w:rPr>
  </w:style>
  <w:style w:type="character" w:customStyle="1" w:styleId="502">
    <w:name w:val="标题 1 Char1"/>
    <w:qFormat/>
    <w:uiPriority w:val="0"/>
    <w:rPr>
      <w:b/>
      <w:bCs/>
      <w:kern w:val="44"/>
      <w:sz w:val="44"/>
      <w:szCs w:val="44"/>
    </w:rPr>
  </w:style>
  <w:style w:type="character" w:customStyle="1" w:styleId="503">
    <w:name w:val="标题 6 Char1"/>
    <w:semiHidden/>
    <w:qFormat/>
    <w:uiPriority w:val="0"/>
    <w:rPr>
      <w:rFonts w:ascii="Calibri Light" w:hAnsi="Calibri Light" w:eastAsia="宋体" w:cs="Times New Roman"/>
      <w:b/>
      <w:bCs/>
      <w:kern w:val="2"/>
      <w:sz w:val="24"/>
      <w:szCs w:val="24"/>
    </w:rPr>
  </w:style>
  <w:style w:type="character" w:customStyle="1" w:styleId="504">
    <w:name w:val="标题 8 Char1"/>
    <w:semiHidden/>
    <w:qFormat/>
    <w:uiPriority w:val="0"/>
    <w:rPr>
      <w:rFonts w:ascii="Calibri Light" w:hAnsi="Calibri Light" w:eastAsia="宋体" w:cs="Times New Roman"/>
      <w:kern w:val="2"/>
      <w:sz w:val="24"/>
      <w:szCs w:val="24"/>
    </w:rPr>
  </w:style>
  <w:style w:type="character" w:customStyle="1" w:styleId="505">
    <w:name w:val="标题 9 Char1"/>
    <w:semiHidden/>
    <w:qFormat/>
    <w:uiPriority w:val="0"/>
    <w:rPr>
      <w:rFonts w:ascii="Calibri Light" w:hAnsi="Calibri Light" w:eastAsia="宋体" w:cs="Times New Roman"/>
      <w:kern w:val="2"/>
      <w:sz w:val="21"/>
      <w:szCs w:val="21"/>
    </w:rPr>
  </w:style>
  <w:style w:type="paragraph" w:customStyle="1" w:styleId="506">
    <w:name w:val="標題內文"/>
    <w:basedOn w:val="1"/>
    <w:qFormat/>
    <w:uiPriority w:val="0"/>
    <w:pPr>
      <w:spacing w:after="0" w:line="500" w:lineRule="exact"/>
      <w:ind w:left="100" w:leftChars="100"/>
    </w:pPr>
    <w:rPr>
      <w:rFonts w:eastAsia="PMingLiU"/>
      <w:color w:val="333333"/>
      <w:kern w:val="0"/>
      <w:sz w:val="24"/>
      <w:lang w:eastAsia="zh-TW"/>
    </w:rPr>
  </w:style>
  <w:style w:type="character" w:customStyle="1" w:styleId="507">
    <w:name w:val="title_span"/>
    <w:qFormat/>
    <w:uiPriority w:val="0"/>
  </w:style>
  <w:style w:type="paragraph" w:customStyle="1" w:styleId="508">
    <w:name w:val="daijia_p"/>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509">
    <w:name w:val="case_dian"/>
    <w:basedOn w:val="1"/>
    <w:qFormat/>
    <w:uiPriority w:val="0"/>
    <w:pPr>
      <w:widowControl/>
      <w:spacing w:before="100" w:beforeAutospacing="1" w:after="100" w:afterAutospacing="1" w:line="360" w:lineRule="auto"/>
      <w:jc w:val="left"/>
    </w:pPr>
    <w:rPr>
      <w:rFonts w:ascii="宋体" w:hAnsi="宋体" w:cs="宋体"/>
      <w:kern w:val="0"/>
      <w:sz w:val="24"/>
    </w:rPr>
  </w:style>
  <w:style w:type="paragraph" w:customStyle="1" w:styleId="510">
    <w:name w:val="1.1.1样式"/>
    <w:basedOn w:val="1"/>
    <w:link w:val="511"/>
    <w:qFormat/>
    <w:uiPriority w:val="0"/>
    <w:pPr>
      <w:tabs>
        <w:tab w:val="left" w:pos="720"/>
      </w:tabs>
      <w:spacing w:after="0" w:line="360" w:lineRule="auto"/>
      <w:ind w:left="720" w:hanging="720"/>
    </w:pPr>
    <w:rPr>
      <w:rFonts w:ascii="宋体" w:hAnsi="宋体"/>
      <w:sz w:val="24"/>
    </w:rPr>
  </w:style>
  <w:style w:type="character" w:customStyle="1" w:styleId="511">
    <w:name w:val="1.1.1样式 Char"/>
    <w:link w:val="510"/>
    <w:qFormat/>
    <w:uiPriority w:val="0"/>
    <w:rPr>
      <w:rFonts w:ascii="宋体" w:hAnsi="宋体"/>
      <w:kern w:val="2"/>
      <w:sz w:val="24"/>
      <w:szCs w:val="24"/>
    </w:rPr>
  </w:style>
  <w:style w:type="paragraph" w:customStyle="1" w:styleId="512">
    <w:name w:val="xl50"/>
    <w:basedOn w:val="1"/>
    <w:qFormat/>
    <w:uiPriority w:val="0"/>
    <w:pPr>
      <w:widowControl/>
      <w:pBdr>
        <w:bottom w:val="single" w:color="auto" w:sz="4" w:space="0"/>
      </w:pBdr>
      <w:spacing w:before="100" w:beforeAutospacing="1" w:after="100" w:afterAutospacing="1" w:line="360" w:lineRule="auto"/>
      <w:jc w:val="center"/>
      <w:textAlignment w:val="center"/>
    </w:pPr>
    <w:rPr>
      <w:rFonts w:ascii="宋体" w:hAnsi="宋体"/>
      <w:kern w:val="0"/>
      <w:sz w:val="24"/>
    </w:rPr>
  </w:style>
  <w:style w:type="character" w:customStyle="1" w:styleId="513">
    <w:name w:val="标题 4 Char Char"/>
    <w:qFormat/>
    <w:uiPriority w:val="0"/>
    <w:rPr>
      <w:rFonts w:ascii="Arial" w:hAnsi="Arial" w:eastAsia="黑体"/>
      <w:b/>
      <w:bCs/>
      <w:kern w:val="2"/>
      <w:sz w:val="28"/>
      <w:szCs w:val="28"/>
      <w:lang w:val="en-US" w:eastAsia="zh-CN" w:bidi="ar-SA"/>
    </w:rPr>
  </w:style>
  <w:style w:type="paragraph" w:customStyle="1" w:styleId="514">
    <w:name w:val="IBM 正文"/>
    <w:basedOn w:val="1"/>
    <w:qFormat/>
    <w:uiPriority w:val="0"/>
    <w:pPr>
      <w:spacing w:after="0" w:line="360" w:lineRule="exact"/>
    </w:pPr>
    <w:rPr>
      <w:sz w:val="24"/>
      <w:szCs w:val="20"/>
    </w:rPr>
  </w:style>
  <w:style w:type="paragraph" w:customStyle="1" w:styleId="515">
    <w:name w:val="缺省文本"/>
    <w:basedOn w:val="1"/>
    <w:qFormat/>
    <w:uiPriority w:val="0"/>
    <w:pPr>
      <w:autoSpaceDE w:val="0"/>
      <w:autoSpaceDN w:val="0"/>
      <w:adjustRightInd w:val="0"/>
      <w:spacing w:after="0" w:line="360" w:lineRule="auto"/>
      <w:jc w:val="left"/>
    </w:pPr>
    <w:rPr>
      <w:rFonts w:eastAsia="Times New Roman"/>
      <w:kern w:val="0"/>
      <w:sz w:val="24"/>
      <w:lang w:eastAsia="en-US"/>
    </w:rPr>
  </w:style>
  <w:style w:type="paragraph" w:customStyle="1" w:styleId="516">
    <w:name w:val="1.1样式"/>
    <w:basedOn w:val="1"/>
    <w:link w:val="517"/>
    <w:qFormat/>
    <w:uiPriority w:val="0"/>
    <w:pPr>
      <w:tabs>
        <w:tab w:val="left" w:pos="567"/>
      </w:tabs>
      <w:spacing w:before="240" w:after="0" w:line="480" w:lineRule="auto"/>
      <w:ind w:left="567" w:hanging="567"/>
    </w:pPr>
    <w:rPr>
      <w:rFonts w:ascii="Calibri" w:hAnsi="Calibri"/>
      <w:b/>
      <w:sz w:val="28"/>
      <w:szCs w:val="28"/>
    </w:rPr>
  </w:style>
  <w:style w:type="character" w:customStyle="1" w:styleId="517">
    <w:name w:val="1.1样式 Char"/>
    <w:link w:val="516"/>
    <w:qFormat/>
    <w:uiPriority w:val="0"/>
    <w:rPr>
      <w:rFonts w:ascii="Calibri" w:hAnsi="Calibri"/>
      <w:b/>
      <w:kern w:val="2"/>
      <w:sz w:val="28"/>
      <w:szCs w:val="28"/>
    </w:rPr>
  </w:style>
  <w:style w:type="paragraph" w:customStyle="1" w:styleId="518">
    <w:name w:val="1.1.1.1样式"/>
    <w:basedOn w:val="1"/>
    <w:link w:val="519"/>
    <w:qFormat/>
    <w:uiPriority w:val="0"/>
    <w:pPr>
      <w:numPr>
        <w:ilvl w:val="3"/>
        <w:numId w:val="15"/>
      </w:numPr>
      <w:spacing w:after="0" w:line="360" w:lineRule="auto"/>
    </w:pPr>
    <w:rPr>
      <w:rFonts w:ascii="Calibri" w:hAnsi="Calibri"/>
      <w:bCs/>
      <w:szCs w:val="21"/>
      <w:lang w:val="zh-CN"/>
    </w:rPr>
  </w:style>
  <w:style w:type="character" w:customStyle="1" w:styleId="519">
    <w:name w:val="1.1.1.1样式 Char"/>
    <w:link w:val="518"/>
    <w:qFormat/>
    <w:uiPriority w:val="0"/>
    <w:rPr>
      <w:rFonts w:ascii="Calibri" w:hAnsi="Calibri"/>
      <w:bCs/>
      <w:kern w:val="2"/>
      <w:sz w:val="21"/>
      <w:szCs w:val="21"/>
      <w:lang w:val="zh-CN"/>
    </w:rPr>
  </w:style>
  <w:style w:type="character" w:customStyle="1" w:styleId="520">
    <w:name w:val="1(1) 字元1"/>
    <w:qFormat/>
    <w:uiPriority w:val="0"/>
    <w:rPr>
      <w:rFonts w:hint="eastAsia" w:ascii="PMingLiU" w:hAnsi="PMingLiU" w:eastAsia="PMingLiU" w:cs="PMingLiU"/>
      <w:kern w:val="2"/>
      <w:sz w:val="24"/>
      <w:szCs w:val="24"/>
      <w:lang w:val="en-US" w:eastAsia="zh-TW" w:bidi="ar-SA"/>
    </w:rPr>
  </w:style>
  <w:style w:type="paragraph" w:customStyle="1" w:styleId="521">
    <w:name w:val="样式 正文部分 + 首行缩进:  2 字符 段前: 0.5 行"/>
    <w:basedOn w:val="1"/>
    <w:qFormat/>
    <w:uiPriority w:val="0"/>
    <w:pPr>
      <w:spacing w:after="0" w:line="360" w:lineRule="exact"/>
      <w:ind w:firstLine="200" w:firstLineChars="200"/>
    </w:pPr>
    <w:rPr>
      <w:rFonts w:cs="宋体"/>
      <w:szCs w:val="20"/>
    </w:rPr>
  </w:style>
  <w:style w:type="character" w:customStyle="1" w:styleId="522">
    <w:name w:val="样式 宋体"/>
    <w:qFormat/>
    <w:uiPriority w:val="0"/>
    <w:rPr>
      <w:rFonts w:ascii="宋体" w:hAnsi="宋体" w:eastAsia="宋体"/>
      <w:sz w:val="24"/>
      <w:szCs w:val="24"/>
    </w:rPr>
  </w:style>
  <w:style w:type="character" w:customStyle="1" w:styleId="523">
    <w:name w:val="xdtextbox1"/>
    <w:qFormat/>
    <w:uiPriority w:val="0"/>
    <w:rPr>
      <w:color w:val="auto"/>
      <w:bdr w:val="single" w:color="DCDCDC" w:sz="8" w:space="0"/>
      <w:shd w:val="clear" w:color="auto" w:fill="FFFFFF"/>
    </w:rPr>
  </w:style>
  <w:style w:type="paragraph" w:customStyle="1" w:styleId="524">
    <w:name w:val="Basic body"/>
    <w:qFormat/>
    <w:uiPriority w:val="0"/>
    <w:rPr>
      <w:rFonts w:ascii="Times New Roman" w:hAnsi="Times New Roman" w:eastAsia="宋体" w:cs="Times New Roman"/>
      <w:lang w:val="en-US" w:eastAsia="zh-CN" w:bidi="ar-SA"/>
    </w:rPr>
  </w:style>
  <w:style w:type="paragraph" w:customStyle="1" w:styleId="525">
    <w:name w:val="论文正文格式"/>
    <w:basedOn w:val="1"/>
    <w:qFormat/>
    <w:uiPriority w:val="0"/>
    <w:pPr>
      <w:spacing w:after="0" w:line="360" w:lineRule="auto"/>
      <w:ind w:firstLine="480" w:firstLineChars="200"/>
    </w:pPr>
    <w:rPr>
      <w:sz w:val="24"/>
      <w:szCs w:val="18"/>
    </w:rPr>
  </w:style>
  <w:style w:type="paragraph" w:customStyle="1" w:styleId="526">
    <w:name w:val="样式 表格正文 + 五号 两端对齐 行距: 单倍行距"/>
    <w:basedOn w:val="110"/>
    <w:qFormat/>
    <w:uiPriority w:val="0"/>
    <w:pPr>
      <w:keepNext/>
      <w:adjustRightInd w:val="0"/>
      <w:snapToGrid w:val="0"/>
      <w:spacing w:before="60" w:after="0" w:line="360" w:lineRule="auto"/>
      <w:ind w:left="840" w:hanging="840"/>
    </w:pPr>
    <w:rPr>
      <w:snapToGrid w:val="0"/>
      <w:kern w:val="0"/>
      <w:szCs w:val="20"/>
    </w:rPr>
  </w:style>
  <w:style w:type="paragraph" w:customStyle="1" w:styleId="527">
    <w:name w:val="表格标题"/>
    <w:qFormat/>
    <w:uiPriority w:val="0"/>
    <w:pPr>
      <w:keepNext/>
      <w:widowControl w:val="0"/>
      <w:adjustRightInd w:val="0"/>
      <w:snapToGrid w:val="0"/>
      <w:spacing w:before="60" w:line="300" w:lineRule="auto"/>
      <w:jc w:val="center"/>
    </w:pPr>
    <w:rPr>
      <w:rFonts w:ascii="Times New Roman" w:hAnsi="Times New Roman" w:eastAsia="宋体" w:cs="Times New Roman"/>
      <w:b/>
      <w:kern w:val="2"/>
      <w:sz w:val="24"/>
      <w:szCs w:val="24"/>
      <w:lang w:val="en-US" w:eastAsia="zh-CN" w:bidi="ar-SA"/>
    </w:rPr>
  </w:style>
  <w:style w:type="paragraph" w:customStyle="1" w:styleId="528">
    <w:name w:val="Char Char Char1 Char Char Char Char"/>
    <w:basedOn w:val="1"/>
    <w:qFormat/>
    <w:uiPriority w:val="0"/>
    <w:pPr>
      <w:spacing w:after="0" w:line="360" w:lineRule="auto"/>
    </w:pPr>
    <w:rPr>
      <w:rFonts w:ascii="Tahoma" w:hAnsi="Tahoma"/>
      <w:sz w:val="24"/>
      <w:szCs w:val="20"/>
    </w:rPr>
  </w:style>
  <w:style w:type="paragraph" w:customStyle="1" w:styleId="529">
    <w:name w:val="列出段落31"/>
    <w:basedOn w:val="1"/>
    <w:qFormat/>
    <w:uiPriority w:val="0"/>
    <w:pPr>
      <w:spacing w:after="0" w:line="360" w:lineRule="auto"/>
      <w:ind w:firstLine="420" w:firstLineChars="200"/>
    </w:pPr>
    <w:rPr>
      <w:rFonts w:ascii="Calibri" w:hAnsi="Calibri"/>
      <w:szCs w:val="21"/>
    </w:rPr>
  </w:style>
  <w:style w:type="character" w:customStyle="1" w:styleId="530">
    <w:name w:val="description"/>
    <w:basedOn w:val="58"/>
    <w:qFormat/>
    <w:uiPriority w:val="0"/>
  </w:style>
  <w:style w:type="paragraph" w:customStyle="1" w:styleId="531">
    <w:name w:val="主标题"/>
    <w:basedOn w:val="1"/>
    <w:qFormat/>
    <w:uiPriority w:val="0"/>
    <w:pPr>
      <w:numPr>
        <w:ilvl w:val="0"/>
        <w:numId w:val="16"/>
      </w:numPr>
      <w:spacing w:after="0" w:line="240" w:lineRule="auto"/>
    </w:pPr>
    <w:rPr>
      <w:szCs w:val="20"/>
    </w:rPr>
  </w:style>
  <w:style w:type="paragraph" w:customStyle="1" w:styleId="532">
    <w:name w:val="Note"/>
    <w:basedOn w:val="31"/>
    <w:qFormat/>
    <w:uiPriority w:val="0"/>
    <w:pPr>
      <w:spacing w:beforeLines="50" w:after="0" w:line="288" w:lineRule="auto"/>
    </w:pPr>
    <w:rPr>
      <w:rFonts w:ascii="Times New Roman" w:hAnsi="Times New Roman" w:eastAsia="仿宋"/>
      <w:kern w:val="0"/>
      <w:szCs w:val="21"/>
    </w:rPr>
  </w:style>
  <w:style w:type="paragraph" w:customStyle="1" w:styleId="533">
    <w:name w:val="Note1"/>
    <w:basedOn w:val="532"/>
    <w:qFormat/>
    <w:uiPriority w:val="0"/>
    <w:pPr>
      <w:numPr>
        <w:ilvl w:val="0"/>
        <w:numId w:val="17"/>
      </w:numPr>
      <w:spacing w:beforeLines="0" w:line="240" w:lineRule="auto"/>
      <w:ind w:left="891"/>
    </w:pPr>
    <w:rPr>
      <w:spacing w:val="-2"/>
    </w:rPr>
  </w:style>
  <w:style w:type="paragraph" w:customStyle="1" w:styleId="534">
    <w:name w:val="Note2"/>
    <w:basedOn w:val="532"/>
    <w:qFormat/>
    <w:uiPriority w:val="0"/>
    <w:pPr>
      <w:numPr>
        <w:ilvl w:val="0"/>
        <w:numId w:val="18"/>
      </w:numPr>
      <w:spacing w:beforeLines="0"/>
      <w:ind w:left="0" w:hanging="200" w:hangingChars="200"/>
    </w:pPr>
    <w:rPr>
      <w:b/>
    </w:rPr>
  </w:style>
  <w:style w:type="paragraph" w:customStyle="1" w:styleId="535">
    <w:name w:val="Note3"/>
    <w:basedOn w:val="534"/>
    <w:qFormat/>
    <w:uiPriority w:val="0"/>
    <w:pPr>
      <w:numPr>
        <w:numId w:val="0"/>
      </w:numPr>
      <w:ind w:firstLine="200" w:firstLineChars="200"/>
    </w:pPr>
    <w:rPr>
      <w:b w:val="0"/>
    </w:rPr>
  </w:style>
  <w:style w:type="paragraph" w:customStyle="1" w:styleId="536">
    <w:name w:val="Text2"/>
    <w:basedOn w:val="246"/>
    <w:qFormat/>
    <w:uiPriority w:val="0"/>
    <w:pPr>
      <w:numPr>
        <w:numId w:val="19"/>
      </w:numPr>
      <w:ind w:left="1259"/>
    </w:pPr>
  </w:style>
  <w:style w:type="character" w:customStyle="1" w:styleId="537">
    <w:name w:val="ptb181"/>
    <w:qFormat/>
    <w:uiPriority w:val="0"/>
    <w:rPr>
      <w:rFonts w:hint="default" w:ascii="Verdana" w:hAnsi="Verdana"/>
      <w:b/>
      <w:bCs/>
      <w:color w:val="000000"/>
      <w:sz w:val="27"/>
      <w:szCs w:val="27"/>
    </w:rPr>
  </w:style>
  <w:style w:type="character" w:customStyle="1" w:styleId="538">
    <w:name w:val="headline-content"/>
    <w:qFormat/>
    <w:uiPriority w:val="0"/>
    <w:rPr>
      <w:rFonts w:cs="Times New Roman"/>
    </w:rPr>
  </w:style>
  <w:style w:type="character" w:customStyle="1" w:styleId="539">
    <w:name w:val="正文2 Char"/>
    <w:link w:val="191"/>
    <w:qFormat/>
    <w:locked/>
    <w:uiPriority w:val="0"/>
    <w:rPr>
      <w:kern w:val="2"/>
      <w:sz w:val="21"/>
    </w:rPr>
  </w:style>
  <w:style w:type="character" w:customStyle="1" w:styleId="540">
    <w:name w:val="样式1 Char"/>
    <w:qFormat/>
    <w:locked/>
    <w:uiPriority w:val="0"/>
  </w:style>
  <w:style w:type="paragraph" w:customStyle="1" w:styleId="541">
    <w:name w:val="正文格式"/>
    <w:basedOn w:val="1"/>
    <w:qFormat/>
    <w:uiPriority w:val="0"/>
    <w:pPr>
      <w:widowControl/>
      <w:spacing w:beforeLines="50" w:afterLines="50" w:line="240" w:lineRule="auto"/>
      <w:ind w:firstLine="200" w:firstLineChars="200"/>
      <w:jc w:val="left"/>
    </w:pPr>
    <w:rPr>
      <w:rFonts w:ascii="宋体" w:hAnsi="宋体"/>
      <w:kern w:val="0"/>
      <w:sz w:val="20"/>
      <w:szCs w:val="21"/>
    </w:rPr>
  </w:style>
  <w:style w:type="paragraph" w:customStyle="1" w:styleId="542">
    <w:name w:val="reader-word-layer"/>
    <w:basedOn w:val="1"/>
    <w:qFormat/>
    <w:uiPriority w:val="0"/>
    <w:pPr>
      <w:widowControl/>
      <w:spacing w:before="100" w:beforeAutospacing="1" w:after="100" w:afterAutospacing="1" w:line="240" w:lineRule="auto"/>
      <w:jc w:val="left"/>
    </w:pPr>
    <w:rPr>
      <w:rFonts w:ascii="宋体" w:hAnsi="宋体" w:cs="宋体"/>
      <w:kern w:val="0"/>
      <w:sz w:val="24"/>
    </w:rPr>
  </w:style>
  <w:style w:type="paragraph" w:customStyle="1" w:styleId="543">
    <w:name w:val="列出段落4"/>
    <w:basedOn w:val="1"/>
    <w:qFormat/>
    <w:uiPriority w:val="0"/>
    <w:pPr>
      <w:spacing w:after="0" w:line="240" w:lineRule="auto"/>
      <w:ind w:firstLine="420" w:firstLineChars="200"/>
    </w:pPr>
    <w:rPr>
      <w:szCs w:val="20"/>
    </w:rPr>
  </w:style>
  <w:style w:type="paragraph" w:customStyle="1" w:styleId="544">
    <w:name w:val="文章正文"/>
    <w:basedOn w:val="1"/>
    <w:qFormat/>
    <w:uiPriority w:val="0"/>
    <w:pPr>
      <w:spacing w:after="0" w:line="360" w:lineRule="auto"/>
      <w:ind w:firstLine="420"/>
    </w:pPr>
    <w:rPr>
      <w:sz w:val="24"/>
    </w:rPr>
  </w:style>
  <w:style w:type="character" w:customStyle="1" w:styleId="545">
    <w:name w:val="10"/>
    <w:qFormat/>
    <w:uiPriority w:val="0"/>
    <w:rPr>
      <w:rFonts w:hint="default" w:ascii="等线" w:hAnsi="等线"/>
    </w:rPr>
  </w:style>
  <w:style w:type="character" w:customStyle="1" w:styleId="546">
    <w:name w:val="15"/>
    <w:qFormat/>
    <w:uiPriority w:val="0"/>
    <w:rPr>
      <w:rFonts w:hint="default" w:ascii="等线" w:hAnsi="等线"/>
    </w:rPr>
  </w:style>
  <w:style w:type="character" w:customStyle="1" w:styleId="547">
    <w:name w:val="普通(网站) 字符"/>
    <w:link w:val="50"/>
    <w:qFormat/>
    <w:locked/>
    <w:uiPriority w:val="99"/>
    <w:rPr>
      <w:rFonts w:ascii="宋体" w:hAnsi="宋体" w:cs="宋体"/>
      <w:sz w:val="24"/>
      <w:szCs w:val="24"/>
    </w:rPr>
  </w:style>
  <w:style w:type="character" w:customStyle="1" w:styleId="548">
    <w:name w:val="页脚 字符"/>
    <w:qFormat/>
    <w:uiPriority w:val="99"/>
    <w:rPr>
      <w:rFonts w:eastAsia="黑体"/>
      <w:snapToGrid/>
      <w:sz w:val="18"/>
      <w:szCs w:val="18"/>
    </w:rPr>
  </w:style>
  <w:style w:type="paragraph" w:customStyle="1" w:styleId="549">
    <w:name w:val="纯文本2"/>
    <w:basedOn w:val="1"/>
    <w:qFormat/>
    <w:uiPriority w:val="0"/>
    <w:pPr>
      <w:adjustRightInd w:val="0"/>
      <w:spacing w:after="0" w:line="240" w:lineRule="auto"/>
      <w:textAlignment w:val="baseline"/>
    </w:pPr>
    <w:rPr>
      <w:rFonts w:ascii="宋体" w:hAnsi="Courier New" w:eastAsia="楷体_GB2312"/>
      <w:sz w:val="26"/>
      <w:szCs w:val="20"/>
    </w:rPr>
  </w:style>
  <w:style w:type="paragraph" w:customStyle="1" w:styleId="550">
    <w:name w:val="纯文本3"/>
    <w:basedOn w:val="1"/>
    <w:qFormat/>
    <w:uiPriority w:val="0"/>
    <w:pPr>
      <w:spacing w:afterLines="50" w:line="240" w:lineRule="auto"/>
    </w:pPr>
    <w:rPr>
      <w:rFonts w:ascii="宋体" w:hAnsi="Courier New"/>
      <w:sz w:val="24"/>
      <w:szCs w:val="20"/>
    </w:rPr>
  </w:style>
  <w:style w:type="paragraph" w:customStyle="1" w:styleId="551">
    <w:name w:val="正文 A"/>
    <w:qFormat/>
    <w:uiPriority w:val="0"/>
    <w:pPr>
      <w:widowControl w:val="0"/>
      <w:jc w:val="both"/>
    </w:pPr>
    <w:rPr>
      <w:rFonts w:hint="eastAsia" w:ascii="Arial Unicode MS" w:hAnsi="Arial Unicode MS" w:eastAsia="Arial Unicode MS" w:cs="Arial Unicode MS"/>
      <w:color w:val="000000"/>
      <w:kern w:val="2"/>
      <w:sz w:val="21"/>
      <w:szCs w:val="21"/>
      <w:lang w:val="en-US" w:eastAsia="zh-CN" w:bidi="ar-SA"/>
    </w:rPr>
  </w:style>
  <w:style w:type="paragraph" w:customStyle="1" w:styleId="55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553">
    <w:name w:val="首行缩进"/>
    <w:basedOn w:val="1"/>
    <w:qFormat/>
    <w:uiPriority w:val="0"/>
    <w:rPr>
      <w:lang w:val="zh-CN"/>
    </w:rPr>
  </w:style>
  <w:style w:type="character" w:customStyle="1" w:styleId="554">
    <w:name w:val="font31"/>
    <w:basedOn w:val="58"/>
    <w:qFormat/>
    <w:uiPriority w:val="0"/>
    <w:rPr>
      <w:rFonts w:hint="eastAsia" w:ascii="宋体" w:hAnsi="宋体" w:eastAsia="宋体" w:cs="宋体"/>
      <w:color w:val="000000"/>
      <w:sz w:val="22"/>
      <w:szCs w:val="22"/>
      <w:u w:val="none"/>
    </w:rPr>
  </w:style>
  <w:style w:type="character" w:customStyle="1" w:styleId="555">
    <w:name w:val="font41"/>
    <w:basedOn w:val="58"/>
    <w:qFormat/>
    <w:uiPriority w:val="0"/>
    <w:rPr>
      <w:rFonts w:hint="eastAsia" w:ascii="宋体" w:hAnsi="宋体" w:eastAsia="宋体" w:cs="宋体"/>
      <w:color w:val="000000"/>
      <w:sz w:val="21"/>
      <w:szCs w:val="21"/>
      <w:u w:val="none"/>
    </w:rPr>
  </w:style>
  <w:style w:type="character" w:customStyle="1" w:styleId="556">
    <w:name w:val="font21"/>
    <w:basedOn w:val="58"/>
    <w:qFormat/>
    <w:uiPriority w:val="0"/>
    <w:rPr>
      <w:rFonts w:hint="eastAsia" w:ascii="宋体" w:hAnsi="宋体" w:eastAsia="宋体" w:cs="宋体"/>
      <w:color w:val="000000"/>
      <w:sz w:val="22"/>
      <w:szCs w:val="22"/>
      <w:u w:val="none"/>
    </w:rPr>
  </w:style>
  <w:style w:type="paragraph" w:customStyle="1" w:styleId="557">
    <w:name w:val="--规划正文"/>
    <w:basedOn w:val="1"/>
    <w:qFormat/>
    <w:uiPriority w:val="0"/>
    <w:pPr>
      <w:widowControl/>
      <w:suppressAutoHyphens/>
      <w:spacing w:line="360" w:lineRule="auto"/>
      <w:ind w:firstLine="200"/>
      <w:jc w:val="left"/>
    </w:pPr>
    <w:rPr>
      <w:kern w:val="1"/>
      <w:szCs w:val="20"/>
      <w:lang w:eastAsia="ar-SA"/>
    </w:rPr>
  </w:style>
  <w:style w:type="paragraph" w:customStyle="1" w:styleId="558">
    <w:name w:val="纯文本_0_0"/>
    <w:basedOn w:val="559"/>
    <w:qFormat/>
    <w:uiPriority w:val="0"/>
    <w:rPr>
      <w:rFonts w:ascii="宋体" w:hAnsi="Courier New"/>
      <w:szCs w:val="21"/>
    </w:rPr>
  </w:style>
  <w:style w:type="paragraph" w:customStyle="1" w:styleId="559">
    <w:name w:val="正文_1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theme" Target="theme/theme1.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header" Target="header11.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3074"/>
    <customShpInfo spid="_x0000_s3073"/>
    <customShpInfo spid="_x0000_s1026" textRotate="1"/>
    <customShpInfo spid="_x0000_s3076"/>
    <customShpInfo spid="_x0000_s3075"/>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214757-DADD-4CA4-955B-4EFCB41C7768}">
  <ds:schemaRefs/>
</ds:datastoreItem>
</file>

<file path=docProps/app.xml><?xml version="1.0" encoding="utf-8"?>
<Properties xmlns="http://schemas.openxmlformats.org/officeDocument/2006/extended-properties" xmlns:vt="http://schemas.openxmlformats.org/officeDocument/2006/docPropsVTypes">
  <Template>Normal</Template>
  <Company>MicroWin10.com</Company>
  <Pages>68</Pages>
  <Words>26212</Words>
  <Characters>27751</Characters>
  <Lines>221</Lines>
  <Paragraphs>62</Paragraphs>
  <TotalTime>20</TotalTime>
  <ScaleCrop>false</ScaleCrop>
  <LinksUpToDate>false</LinksUpToDate>
  <CharactersWithSpaces>29037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2022-09-30T02:40:00Z</dcterms:created>
  <dc:creator>Administrator</dc:creator>
  <cp:lastModifiedBy>QCL</cp:lastModifiedBy>
  <cp:lastPrinted>2022-05-18T07:07:00Z</cp:lastPrinted>
  <dcterms:modified xsi:type="dcterms:W3CDTF">2022-09-30T08:23:57Z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22E5EBDE029B4ACD8739F51A5C8060EF</vt:lpwstr>
  </property>
</Properties>
</file>