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rPr>
          <w:rFonts w:asciiTheme="minorEastAsia" w:hAnsiTheme="minorEastAsia" w:eastAsiaTheme="minorEastAsia"/>
          <w:b/>
          <w:bCs/>
          <w:color w:val="auto"/>
          <w:spacing w:val="-4"/>
          <w:szCs w:val="21"/>
          <w:highlight w:val="none"/>
        </w:rPr>
      </w:pPr>
    </w:p>
    <w:p>
      <w:pPr>
        <w:spacing w:line="360" w:lineRule="auto"/>
        <w:rPr>
          <w:rFonts w:asciiTheme="minorEastAsia" w:hAnsiTheme="minorEastAsia" w:eastAsiaTheme="minorEastAsia"/>
          <w:b/>
          <w:color w:val="auto"/>
          <w:szCs w:val="21"/>
          <w:highlight w:val="none"/>
        </w:rPr>
      </w:pPr>
    </w:p>
    <w:p>
      <w:pPr>
        <w:spacing w:beforeLines="50" w:line="360" w:lineRule="auto"/>
        <w:jc w:val="center"/>
        <w:rPr>
          <w:rFonts w:hint="eastAsia" w:asciiTheme="minorEastAsia" w:hAnsiTheme="minorEastAsia" w:eastAsiaTheme="minorEastAsia"/>
          <w:b/>
          <w:color w:val="auto"/>
          <w:sz w:val="44"/>
          <w:szCs w:val="44"/>
          <w:highlight w:val="none"/>
          <w:lang w:eastAsia="zh-CN"/>
        </w:rPr>
      </w:pPr>
      <w:r>
        <w:rPr>
          <w:rFonts w:hint="eastAsia" w:asciiTheme="minorEastAsia" w:hAnsiTheme="minorEastAsia" w:eastAsiaTheme="minorEastAsia"/>
          <w:b/>
          <w:color w:val="auto"/>
          <w:sz w:val="44"/>
          <w:szCs w:val="44"/>
          <w:highlight w:val="none"/>
          <w:lang w:eastAsia="zh-CN"/>
        </w:rPr>
        <w:t>新城街道部分区域绿化养护项目</w:t>
      </w: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 w:val="44"/>
          <w:szCs w:val="44"/>
          <w:highlight w:val="none"/>
        </w:rPr>
      </w:pP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pStyle w:val="2"/>
        <w:ind w:firstLine="404"/>
        <w:rPr>
          <w:color w:val="auto"/>
          <w:highlight w:val="none"/>
        </w:rPr>
      </w:pPr>
    </w:p>
    <w:p>
      <w:pPr>
        <w:pStyle w:val="28"/>
        <w:spacing w:before="120" w:after="120" w:line="360" w:lineRule="auto"/>
        <w:ind w:firstLine="562" w:firstLineChars="200"/>
        <w:rPr>
          <w:rStyle w:val="55"/>
          <w:rFonts w:hint="eastAsia" w:asciiTheme="minorEastAsia" w:hAnsiTheme="minorEastAsia" w:eastAsiaTheme="minorEastAsia"/>
          <w:b/>
          <w:color w:val="auto"/>
          <w:sz w:val="28"/>
          <w:szCs w:val="28"/>
          <w:highlight w:val="none"/>
          <w:u w:val="none"/>
        </w:rPr>
      </w:pPr>
      <w:r>
        <w:rPr>
          <w:rStyle w:val="55"/>
          <w:rFonts w:hint="eastAsia" w:asciiTheme="minorEastAsia" w:hAnsiTheme="minorEastAsia" w:eastAsiaTheme="minorEastAsia"/>
          <w:b/>
          <w:color w:val="auto"/>
          <w:sz w:val="28"/>
          <w:szCs w:val="28"/>
          <w:highlight w:val="none"/>
          <w:u w:val="none"/>
        </w:rPr>
        <w:t>项目编号：</w:t>
      </w:r>
      <w:r>
        <w:rPr>
          <w:rStyle w:val="55"/>
          <w:rFonts w:hint="eastAsia" w:asciiTheme="minorEastAsia" w:hAnsiTheme="minorEastAsia" w:eastAsiaTheme="minorEastAsia"/>
          <w:b/>
          <w:color w:val="auto"/>
          <w:sz w:val="28"/>
          <w:szCs w:val="28"/>
          <w:highlight w:val="none"/>
          <w:u w:val="none"/>
          <w:lang w:eastAsia="zh-CN"/>
        </w:rPr>
        <w:t>银建-JXYJ-L（2022）18号</w:t>
      </w:r>
      <w:r>
        <w:rPr>
          <w:rStyle w:val="55"/>
          <w:rFonts w:hint="eastAsia" w:asciiTheme="minorEastAsia" w:hAnsiTheme="minorEastAsia" w:eastAsiaTheme="minorEastAsia"/>
          <w:b/>
          <w:color w:val="auto"/>
          <w:sz w:val="28"/>
          <w:szCs w:val="28"/>
          <w:highlight w:val="none"/>
          <w:u w:val="none"/>
        </w:rPr>
        <w:t xml:space="preserve"> </w:t>
      </w:r>
    </w:p>
    <w:p>
      <w:pPr>
        <w:pStyle w:val="28"/>
        <w:spacing w:before="120" w:after="120" w:line="360" w:lineRule="auto"/>
        <w:ind w:firstLine="562" w:firstLineChars="200"/>
        <w:rPr>
          <w:rStyle w:val="55"/>
          <w:rFonts w:hint="eastAsia" w:asciiTheme="minorEastAsia" w:hAnsiTheme="minorEastAsia" w:eastAsiaTheme="minorEastAsia"/>
          <w:b/>
          <w:color w:val="auto"/>
          <w:sz w:val="28"/>
          <w:szCs w:val="28"/>
          <w:highlight w:val="none"/>
          <w:u w:val="none"/>
          <w:lang w:eastAsia="zh-CN"/>
        </w:rPr>
      </w:pPr>
      <w:r>
        <w:rPr>
          <w:rStyle w:val="55"/>
          <w:rFonts w:hint="eastAsia" w:asciiTheme="minorEastAsia" w:hAnsiTheme="minorEastAsia" w:eastAsiaTheme="minorEastAsia"/>
          <w:b/>
          <w:color w:val="auto"/>
          <w:sz w:val="28"/>
          <w:szCs w:val="28"/>
          <w:highlight w:val="none"/>
          <w:u w:val="none"/>
        </w:rPr>
        <w:t>采购单位：</w:t>
      </w:r>
      <w:r>
        <w:rPr>
          <w:rStyle w:val="55"/>
          <w:rFonts w:hint="eastAsia" w:asciiTheme="minorEastAsia" w:hAnsiTheme="minorEastAsia" w:eastAsiaTheme="minorEastAsia"/>
          <w:b/>
          <w:color w:val="auto"/>
          <w:sz w:val="28"/>
          <w:szCs w:val="28"/>
          <w:highlight w:val="none"/>
          <w:u w:val="none"/>
          <w:lang w:eastAsia="zh-CN"/>
        </w:rPr>
        <w:t>嘉兴市秀洲区人民政府新城街道办事处</w:t>
      </w:r>
    </w:p>
    <w:p>
      <w:pPr>
        <w:pStyle w:val="28"/>
        <w:spacing w:before="120" w:after="120" w:line="360" w:lineRule="auto"/>
        <w:ind w:firstLine="562" w:firstLineChars="200"/>
        <w:rPr>
          <w:rStyle w:val="55"/>
          <w:rFonts w:asciiTheme="minorEastAsia" w:hAnsiTheme="minorEastAsia" w:eastAsiaTheme="minorEastAsia"/>
          <w:b/>
          <w:color w:val="auto"/>
          <w:sz w:val="28"/>
          <w:szCs w:val="28"/>
          <w:highlight w:val="none"/>
          <w:u w:val="none"/>
        </w:rPr>
      </w:pPr>
      <w:r>
        <w:rPr>
          <w:rStyle w:val="55"/>
          <w:rFonts w:hint="eastAsia" w:asciiTheme="minorEastAsia" w:hAnsiTheme="minorEastAsia" w:eastAsiaTheme="minorEastAsia"/>
          <w:b/>
          <w:color w:val="auto"/>
          <w:sz w:val="28"/>
          <w:szCs w:val="28"/>
          <w:highlight w:val="none"/>
          <w:u w:val="none"/>
        </w:rPr>
        <w:t>采购机构：</w:t>
      </w:r>
      <w:r>
        <w:rPr>
          <w:rStyle w:val="55"/>
          <w:rFonts w:hint="eastAsia" w:asciiTheme="minorEastAsia" w:hAnsiTheme="minorEastAsia" w:eastAsiaTheme="minorEastAsia"/>
          <w:b/>
          <w:color w:val="auto"/>
          <w:sz w:val="28"/>
          <w:szCs w:val="28"/>
          <w:highlight w:val="none"/>
          <w:u w:val="none"/>
          <w:lang w:eastAsia="zh-CN"/>
        </w:rPr>
        <w:t>嘉兴市银建工程咨询评估有限公司</w:t>
      </w:r>
    </w:p>
    <w:p>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rPr>
        <w:t>2</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4</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29</w:t>
      </w:r>
      <w:r>
        <w:rPr>
          <w:rFonts w:asciiTheme="minorEastAsia" w:hAnsiTheme="minorEastAsia" w:eastAsiaTheme="minorEastAsia"/>
          <w:b/>
          <w:bCs/>
          <w:color w:val="auto"/>
          <w:w w:val="95"/>
          <w:sz w:val="28"/>
          <w:szCs w:val="28"/>
          <w:highlight w:val="none"/>
        </w:rPr>
        <w:t>日</w:t>
      </w: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pStyle w:val="35"/>
        <w:tabs>
          <w:tab w:val="right" w:leader="dot" w:pos="8834"/>
        </w:tabs>
        <w:spacing w:line="480" w:lineRule="auto"/>
        <w:outlineLvl w:val="9"/>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p>
    <w:sdt>
      <w:sdtPr>
        <w:rPr>
          <w:rFonts w:hint="eastAsia" w:ascii="宋体" w:hAnsi="宋体" w:eastAsia="宋体" w:cs="宋体"/>
          <w:color w:val="auto"/>
          <w:kern w:val="2"/>
          <w:sz w:val="32"/>
          <w:szCs w:val="32"/>
          <w:highlight w:val="none"/>
          <w:lang w:val="en-US" w:eastAsia="zh-CN" w:bidi="ar-SA"/>
        </w:rPr>
        <w:id w:val="147477849"/>
        <w15:color w:val="DBDBDB"/>
        <w:docPartObj>
          <w:docPartGallery w:val="Table of Contents"/>
          <w:docPartUnique/>
        </w:docPartObj>
      </w:sdtPr>
      <w:sdtEndPr>
        <w:rPr>
          <w:rFonts w:hint="eastAsia" w:ascii="Calibri" w:hAnsi="Calibri"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_Toc13774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公开招标采购公告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_Toc13774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_Toc19796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招标需求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_Toc19796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_Toc3463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_Toc3463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_Toc30563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评分办法及评分标准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_Toc30563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_Toc17937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嘉兴市政府采购合同（指引）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_Toc17937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70"/>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_Toc530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_Toc530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rPr>
              <w:color w:val="auto"/>
              <w:highlight w:val="none"/>
            </w:rPr>
          </w:pPr>
          <w:r>
            <w:rPr>
              <w:rFonts w:hint="eastAsia" w:ascii="宋体" w:hAnsi="宋体" w:eastAsia="宋体" w:cs="宋体"/>
              <w:color w:val="auto"/>
              <w:sz w:val="32"/>
              <w:szCs w:val="32"/>
              <w:highlight w:val="none"/>
            </w:rPr>
            <w:fldChar w:fldCharType="end"/>
          </w:r>
        </w:p>
      </w:sdtContent>
    </w:sdt>
    <w:p>
      <w:pPr>
        <w:pStyle w:val="35"/>
        <w:tabs>
          <w:tab w:val="right" w:leader="dot" w:pos="8834"/>
        </w:tabs>
        <w:spacing w:line="360" w:lineRule="auto"/>
        <w:rPr>
          <w:rFonts w:asciiTheme="minorEastAsia" w:hAnsiTheme="minorEastAsia" w:eastAsiaTheme="minorEastAsia"/>
          <w:color w:val="auto"/>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pStyle w:val="2"/>
        <w:ind w:firstLine="404"/>
        <w:rPr>
          <w:color w:val="auto"/>
          <w:highlight w:val="none"/>
        </w:rPr>
      </w:pPr>
    </w:p>
    <w:p>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0" w:name="_Toc13774"/>
      <w:r>
        <w:rPr>
          <w:rFonts w:hint="eastAsia" w:asciiTheme="minorEastAsia" w:hAnsiTheme="minorEastAsia" w:eastAsiaTheme="minorEastAsia"/>
          <w:b/>
          <w:color w:val="auto"/>
          <w:sz w:val="28"/>
          <w:szCs w:val="28"/>
          <w:highlight w:val="none"/>
        </w:rPr>
        <w:t>第一章 公开招标采购公告</w:t>
      </w:r>
      <w:bookmarkEnd w:id="0"/>
    </w:p>
    <w:p>
      <w:pPr>
        <w:pStyle w:val="244"/>
        <w:spacing w:afterLines="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根据《中华人民共和国政府采购法》、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中华人民共和国政府采购法实施条例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《政府采购货物和服务招标投标管理办法》</w:t>
      </w:r>
      <w:r>
        <w:rPr>
          <w:rFonts w:hint="eastAsia" w:asciiTheme="minorEastAsia" w:hAnsiTheme="minorEastAsia" w:eastAsiaTheme="minorEastAsia"/>
          <w:color w:val="auto"/>
          <w:sz w:val="21"/>
          <w:szCs w:val="21"/>
          <w:highlight w:val="none"/>
        </w:rPr>
        <w:t>、《浙江省</w:t>
      </w:r>
      <w:r>
        <w:rPr>
          <w:rFonts w:asciiTheme="minorEastAsia" w:hAnsiTheme="minorEastAsia" w:eastAsiaTheme="minorEastAsia"/>
          <w:color w:val="auto"/>
          <w:sz w:val="21"/>
          <w:szCs w:val="21"/>
          <w:highlight w:val="none"/>
        </w:rPr>
        <w:t>政府采购项目电子交易管理暂行办法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等规定</w:t>
      </w:r>
      <w:r>
        <w:rPr>
          <w:rFonts w:hint="eastAsia" w:asciiTheme="minorEastAsia" w:hAnsiTheme="minorEastAsia" w:eastAsiaTheme="minorEastAsia"/>
          <w:color w:val="auto"/>
          <w:sz w:val="21"/>
          <w:szCs w:val="21"/>
          <w:highlight w:val="none"/>
        </w:rPr>
        <w:t>，嘉兴市银建工程咨询评估有限公司受采购人委托，经</w:t>
      </w:r>
      <w:r>
        <w:rPr>
          <w:rFonts w:hint="eastAsia" w:asciiTheme="minorEastAsia" w:hAnsiTheme="minorEastAsia" w:eastAsiaTheme="minorEastAsia"/>
          <w:color w:val="auto"/>
          <w:sz w:val="21"/>
          <w:szCs w:val="21"/>
          <w:highlight w:val="none"/>
          <w:u w:val="single"/>
          <w:lang w:eastAsia="zh-CN"/>
        </w:rPr>
        <w:t>嘉兴市秀洲区财政局临[2022]390号</w:t>
      </w:r>
      <w:r>
        <w:rPr>
          <w:rFonts w:hint="eastAsia" w:asciiTheme="minorEastAsia" w:hAnsiTheme="minorEastAsia" w:eastAsiaTheme="minorEastAsia"/>
          <w:color w:val="auto"/>
          <w:sz w:val="21"/>
          <w:szCs w:val="21"/>
          <w:highlight w:val="none"/>
        </w:rPr>
        <w:t>确认书批准，现就下列项目</w:t>
      </w:r>
      <w:r>
        <w:rPr>
          <w:rFonts w:asciiTheme="minorEastAsia" w:hAnsiTheme="minorEastAsia" w:eastAsiaTheme="minorEastAsia"/>
          <w:color w:val="auto"/>
          <w:sz w:val="21"/>
          <w:szCs w:val="21"/>
          <w:highlight w:val="none"/>
        </w:rPr>
        <w:t>进行</w:t>
      </w:r>
      <w:r>
        <w:rPr>
          <w:rFonts w:asciiTheme="minorEastAsia" w:hAnsiTheme="minorEastAsia" w:eastAsiaTheme="minorEastAsia"/>
          <w:color w:val="auto"/>
          <w:sz w:val="21"/>
          <w:szCs w:val="21"/>
          <w:highlight w:val="none"/>
          <w:u w:val="single"/>
        </w:rPr>
        <w:t>公开招标</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欢迎合格供应商前来投标，现将有关事项公告如下：</w:t>
      </w:r>
    </w:p>
    <w:p>
      <w:pPr>
        <w:snapToGrid w:val="0"/>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一、</w:t>
      </w:r>
      <w:r>
        <w:rPr>
          <w:rFonts w:hint="eastAsia" w:cs="Arial" w:asciiTheme="minorEastAsia" w:hAnsiTheme="minorEastAsia" w:eastAsiaTheme="minorEastAsia"/>
          <w:b/>
          <w:bCs/>
          <w:color w:val="auto"/>
          <w:szCs w:val="21"/>
          <w:highlight w:val="none"/>
        </w:rPr>
        <w:t>项目编号：</w:t>
      </w:r>
      <w:r>
        <w:rPr>
          <w:rFonts w:hint="eastAsia" w:cs="Arial" w:asciiTheme="minorEastAsia" w:hAnsiTheme="minorEastAsia" w:eastAsiaTheme="minorEastAsia"/>
          <w:color w:val="auto"/>
          <w:szCs w:val="21"/>
          <w:highlight w:val="none"/>
          <w:lang w:eastAsia="zh-CN"/>
        </w:rPr>
        <w:t>银建-JXYJ-L（2022）18号</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二、</w:t>
      </w:r>
      <w:r>
        <w:rPr>
          <w:rFonts w:hint="eastAsia" w:cs="Arial" w:asciiTheme="minorEastAsia" w:hAnsiTheme="minorEastAsia" w:eastAsiaTheme="minorEastAsia"/>
          <w:b/>
          <w:color w:val="auto"/>
          <w:szCs w:val="21"/>
          <w:highlight w:val="none"/>
        </w:rPr>
        <w:t>采购组织类型：</w:t>
      </w:r>
      <w:r>
        <w:rPr>
          <w:rStyle w:val="51"/>
          <w:rFonts w:hint="eastAsia" w:asciiTheme="minorEastAsia" w:hAnsiTheme="minorEastAsia" w:eastAsiaTheme="minorEastAsia"/>
          <w:b w:val="0"/>
          <w:color w:val="auto"/>
          <w:szCs w:val="21"/>
          <w:highlight w:val="none"/>
        </w:rPr>
        <w:t>分散采购</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color w:val="auto"/>
          <w:szCs w:val="21"/>
          <w:highlight w:val="none"/>
        </w:rPr>
        <w:t>三、采购方式：</w:t>
      </w:r>
      <w:r>
        <w:rPr>
          <w:rFonts w:hint="eastAsia" w:cs="Arial" w:asciiTheme="minorEastAsia" w:hAnsiTheme="minorEastAsia" w:eastAsiaTheme="minorEastAsia"/>
          <w:color w:val="auto"/>
          <w:szCs w:val="21"/>
          <w:highlight w:val="none"/>
        </w:rPr>
        <w:t>公开招标</w:t>
      </w:r>
    </w:p>
    <w:p>
      <w:pPr>
        <w:snapToGrid w:val="0"/>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b/>
          <w:color w:val="auto"/>
          <w:szCs w:val="21"/>
          <w:highlight w:val="none"/>
        </w:rPr>
        <w:t>四、招标项目:</w:t>
      </w:r>
      <w:r>
        <w:rPr>
          <w:rFonts w:hint="eastAsia" w:cs="Arial" w:asciiTheme="minorEastAsia" w:hAnsiTheme="minorEastAsia" w:eastAsiaTheme="minorEastAsia"/>
          <w:color w:val="auto"/>
          <w:szCs w:val="21"/>
          <w:highlight w:val="none"/>
        </w:rPr>
        <w:t xml:space="preserve"> </w:t>
      </w:r>
      <w:r>
        <w:rPr>
          <w:rFonts w:hint="eastAsia" w:cs="Arial" w:asciiTheme="minorEastAsia" w:hAnsiTheme="minorEastAsia" w:eastAsiaTheme="minorEastAsia"/>
          <w:color w:val="auto"/>
          <w:szCs w:val="21"/>
          <w:highlight w:val="none"/>
          <w:lang w:eastAsia="zh-CN"/>
        </w:rPr>
        <w:t>新城街道部分区域绿化养护项目</w:t>
      </w:r>
    </w:p>
    <w:p>
      <w:pPr>
        <w:snapToGrid w:val="0"/>
        <w:spacing w:line="360" w:lineRule="auto"/>
        <w:rPr>
          <w:rFonts w:hint="default" w:cs="Arial" w:asciiTheme="minorEastAsia" w:hAnsiTheme="minorEastAsia" w:eastAsiaTheme="minorEastAsia"/>
          <w:b/>
          <w:color w:val="auto"/>
          <w:szCs w:val="21"/>
          <w:highlight w:val="none"/>
          <w:lang w:val="en-US" w:eastAsia="zh-CN"/>
        </w:rPr>
      </w:pPr>
      <w:r>
        <w:rPr>
          <w:rFonts w:hint="eastAsia" w:cs="Arial" w:asciiTheme="minorEastAsia" w:hAnsiTheme="minorEastAsia" w:eastAsiaTheme="minorEastAsia"/>
          <w:b/>
          <w:color w:val="auto"/>
          <w:szCs w:val="21"/>
          <w:highlight w:val="none"/>
        </w:rPr>
        <w:t>五、采购预算：</w:t>
      </w:r>
      <w:r>
        <w:rPr>
          <w:rFonts w:hint="eastAsia" w:cs="Arial" w:asciiTheme="minorEastAsia" w:hAnsiTheme="minorEastAsia" w:eastAsiaTheme="minorEastAsia"/>
          <w:color w:val="auto"/>
          <w:szCs w:val="21"/>
          <w:highlight w:val="none"/>
          <w:lang w:val="en-US" w:eastAsia="zh-CN"/>
        </w:rPr>
        <w:t>1186.1668</w:t>
      </w:r>
      <w:r>
        <w:rPr>
          <w:rFonts w:hint="eastAsia" w:cs="Arial" w:asciiTheme="minorEastAsia" w:hAnsiTheme="minorEastAsia" w:eastAsiaTheme="minorEastAsia"/>
          <w:color w:val="auto"/>
          <w:szCs w:val="21"/>
          <w:highlight w:val="none"/>
        </w:rPr>
        <w:t>万元</w:t>
      </w:r>
      <w:r>
        <w:rPr>
          <w:rFonts w:hint="eastAsia" w:cs="Arial" w:asciiTheme="minorEastAsia" w:hAnsiTheme="minorEastAsia" w:eastAsiaTheme="minorEastAsia"/>
          <w:color w:val="auto"/>
          <w:szCs w:val="21"/>
          <w:highlight w:val="none"/>
          <w:lang w:eastAsia="zh-CN"/>
        </w:rPr>
        <w:t>，其中标段一：</w:t>
      </w:r>
      <w:r>
        <w:rPr>
          <w:rFonts w:hint="eastAsia" w:cs="Arial" w:asciiTheme="minorEastAsia" w:hAnsiTheme="minorEastAsia" w:eastAsiaTheme="minorEastAsia"/>
          <w:color w:val="auto"/>
          <w:szCs w:val="21"/>
          <w:highlight w:val="none"/>
          <w:lang w:val="en-US" w:eastAsia="zh-CN"/>
        </w:rPr>
        <w:t>365.9180</w:t>
      </w:r>
      <w:r>
        <w:rPr>
          <w:rFonts w:hint="eastAsia" w:cs="Arial" w:asciiTheme="minorEastAsia" w:hAnsiTheme="minorEastAsia" w:eastAsiaTheme="minorEastAsia"/>
          <w:color w:val="auto"/>
          <w:szCs w:val="21"/>
          <w:highlight w:val="none"/>
        </w:rPr>
        <w:t>万元</w:t>
      </w:r>
      <w:r>
        <w:rPr>
          <w:rFonts w:hint="eastAsia" w:cs="Arial" w:asciiTheme="minorEastAsia" w:hAnsiTheme="minorEastAsia" w:eastAsiaTheme="minorEastAsia"/>
          <w:color w:val="auto"/>
          <w:szCs w:val="21"/>
          <w:highlight w:val="none"/>
          <w:lang w:val="en-US" w:eastAsia="zh-CN"/>
        </w:rPr>
        <w:t>，标段二：433.8788</w:t>
      </w:r>
      <w:r>
        <w:rPr>
          <w:rFonts w:hint="eastAsia" w:cs="Arial" w:asciiTheme="minorEastAsia" w:hAnsiTheme="minorEastAsia" w:eastAsiaTheme="minorEastAsia"/>
          <w:color w:val="auto"/>
          <w:szCs w:val="21"/>
          <w:highlight w:val="none"/>
        </w:rPr>
        <w:t>万元</w:t>
      </w:r>
      <w:r>
        <w:rPr>
          <w:rFonts w:hint="eastAsia" w:cs="Arial" w:asciiTheme="minorEastAsia" w:hAnsiTheme="minorEastAsia" w:eastAsiaTheme="minorEastAsia"/>
          <w:color w:val="auto"/>
          <w:szCs w:val="21"/>
          <w:highlight w:val="none"/>
          <w:lang w:val="en-US" w:eastAsia="zh-CN"/>
        </w:rPr>
        <w:t>，标段三：386.3700</w:t>
      </w:r>
      <w:r>
        <w:rPr>
          <w:rFonts w:hint="eastAsia" w:cs="Arial" w:asciiTheme="minorEastAsia" w:hAnsiTheme="minorEastAsia" w:eastAsiaTheme="minorEastAsia"/>
          <w:color w:val="auto"/>
          <w:szCs w:val="21"/>
          <w:highlight w:val="none"/>
        </w:rPr>
        <w:t>万元</w:t>
      </w:r>
    </w:p>
    <w:p>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六、招标采购内容：</w:t>
      </w:r>
    </w:p>
    <w:tbl>
      <w:tblPr>
        <w:tblStyle w:val="48"/>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991"/>
        <w:gridCol w:w="1606"/>
        <w:gridCol w:w="1622"/>
        <w:gridCol w:w="244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1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服务期</w:t>
            </w:r>
          </w:p>
        </w:tc>
        <w:tc>
          <w:tcPr>
            <w:tcW w:w="1622" w:type="dxa"/>
            <w:tcBorders>
              <w:top w:val="single" w:color="auto" w:sz="4" w:space="0"/>
              <w:left w:val="single" w:color="auto" w:sz="4" w:space="0"/>
              <w:bottom w:val="single" w:color="auto" w:sz="4" w:space="0"/>
              <w:right w:val="single" w:color="auto" w:sz="4" w:space="0"/>
            </w:tcBorders>
            <w:vAlign w:val="top"/>
          </w:tcPr>
          <w:p>
            <w:pPr>
              <w:snapToGrid w:val="0"/>
              <w:spacing w:line="430" w:lineRule="exact"/>
              <w:jc w:val="center"/>
              <w:rPr>
                <w:rFonts w:hint="eastAsia" w:asciiTheme="minorEastAsia" w:hAnsiTheme="minorEastAsia" w:eastAsiaTheme="minorEastAsia"/>
                <w:b/>
                <w:color w:val="auto"/>
                <w:szCs w:val="21"/>
                <w:highlight w:val="none"/>
              </w:rPr>
            </w:pPr>
            <w:r>
              <w:rPr>
                <w:rFonts w:hint="eastAsia" w:ascii="微软雅黑" w:hAnsi="微软雅黑" w:eastAsia="微软雅黑"/>
                <w:b/>
                <w:bCs/>
                <w:color w:val="auto"/>
                <w:szCs w:val="21"/>
                <w:highlight w:val="none"/>
              </w:rPr>
              <w:t>预算价（万元）</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eastAsia="zh-CN"/>
              </w:rPr>
              <w:t>范围</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196" w:type="dxa"/>
            <w:gridSpan w:val="2"/>
            <w:tcBorders>
              <w:top w:val="single" w:color="auto" w:sz="4" w:space="0"/>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新城街道部分区域绿化养护项目</w:t>
            </w:r>
          </w:p>
        </w:tc>
        <w:tc>
          <w:tcPr>
            <w:tcW w:w="1606"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eastAsia="zh-CN"/>
              </w:rPr>
              <w:t>自签订合同之日起一年，季度考核均优秀可续签至2023年12月31日</w:t>
            </w: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1186.1668</w:t>
            </w:r>
            <w:r>
              <w:rPr>
                <w:rFonts w:hint="eastAsia" w:cs="Arial" w:asciiTheme="minorEastAsia" w:hAnsiTheme="minorEastAsia" w:eastAsiaTheme="minorEastAsia"/>
                <w:color w:val="auto"/>
                <w:szCs w:val="21"/>
                <w:highlight w:val="none"/>
              </w:rPr>
              <w:t>万元</w:t>
            </w:r>
            <w:r>
              <w:rPr>
                <w:rFonts w:hint="eastAsia" w:ascii="微软雅黑" w:hAnsi="微软雅黑" w:eastAsia="微软雅黑"/>
                <w:color w:val="auto"/>
                <w:szCs w:val="21"/>
                <w:highlight w:val="none"/>
                <w:lang w:val="en-US" w:eastAsia="zh-CN"/>
              </w:rPr>
              <w:t xml:space="preserve"> </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p>
        </w:tc>
        <w:tc>
          <w:tcPr>
            <w:tcW w:w="1398"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本项目划分三个标段，允许投标人参与3个标段的投标，但只允许中最多1个标项。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05" w:type="dxa"/>
            <w:vMerge w:val="restart"/>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其中</w:t>
            </w:r>
          </w:p>
        </w:tc>
        <w:tc>
          <w:tcPr>
            <w:tcW w:w="1991"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标段一</w:t>
            </w:r>
          </w:p>
        </w:tc>
        <w:tc>
          <w:tcPr>
            <w:tcW w:w="1606"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eastAsia="zh-CN"/>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right"/>
              <w:rPr>
                <w:rFonts w:hint="eastAsia"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color w:val="auto"/>
                <w:szCs w:val="21"/>
                <w:highlight w:val="none"/>
                <w:lang w:val="en-US" w:eastAsia="zh-CN"/>
              </w:rPr>
              <w:t>365.9180</w:t>
            </w:r>
            <w:r>
              <w:rPr>
                <w:rFonts w:hint="eastAsia" w:cs="Arial" w:asciiTheme="minorEastAsia" w:hAnsiTheme="minorEastAsia" w:eastAsiaTheme="minorEastAsia"/>
                <w:color w:val="auto"/>
                <w:szCs w:val="21"/>
                <w:highlight w:val="none"/>
              </w:rPr>
              <w:t>万元</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东至昌盛中路-西至秀清港-南至杭州塘-北至新塍塘</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05"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p>
        </w:tc>
        <w:tc>
          <w:tcPr>
            <w:tcW w:w="1991"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标段二</w:t>
            </w:r>
          </w:p>
        </w:tc>
        <w:tc>
          <w:tcPr>
            <w:tcW w:w="1606"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eastAsia="zh-CN"/>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color w:val="auto"/>
                <w:szCs w:val="21"/>
                <w:highlight w:val="none"/>
                <w:lang w:val="en-US" w:eastAsia="zh-CN"/>
              </w:rPr>
              <w:t>433.8788</w:t>
            </w:r>
            <w:r>
              <w:rPr>
                <w:rFonts w:hint="eastAsia" w:cs="Arial" w:asciiTheme="minorEastAsia" w:hAnsiTheme="minorEastAsia" w:eastAsiaTheme="minorEastAsia"/>
                <w:color w:val="auto"/>
                <w:szCs w:val="21"/>
                <w:highlight w:val="none"/>
              </w:rPr>
              <w:t>万</w:t>
            </w:r>
            <w:r>
              <w:rPr>
                <w:rFonts w:hint="eastAsia" w:cs="Arial" w:asciiTheme="minorEastAsia" w:hAnsiTheme="minorEastAsia" w:eastAsiaTheme="minorEastAsia"/>
                <w:color w:val="auto"/>
                <w:szCs w:val="21"/>
                <w:highlight w:val="none"/>
                <w:lang w:eastAsia="zh-CN"/>
              </w:rPr>
              <w:t>元</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东至北郊河-西至新塍塘西段-南至新塍塘南段-北至杨家桥港</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05" w:type="dxa"/>
            <w:vMerge w:val="continue"/>
            <w:tcBorders>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p>
        </w:tc>
        <w:tc>
          <w:tcPr>
            <w:tcW w:w="1991" w:type="dxa"/>
            <w:tcBorders>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标段三</w:t>
            </w:r>
          </w:p>
        </w:tc>
        <w:tc>
          <w:tcPr>
            <w:tcW w:w="1606"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eastAsia="zh-CN"/>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color w:val="auto"/>
                <w:szCs w:val="21"/>
                <w:highlight w:val="none"/>
                <w:lang w:val="en-US" w:eastAsia="zh-CN"/>
              </w:rPr>
              <w:t>386.3700</w:t>
            </w:r>
            <w:r>
              <w:rPr>
                <w:rFonts w:hint="eastAsia" w:cs="Arial" w:asciiTheme="minorEastAsia" w:hAnsiTheme="minorEastAsia" w:eastAsiaTheme="minorEastAsia"/>
                <w:color w:val="auto"/>
                <w:szCs w:val="21"/>
                <w:highlight w:val="none"/>
              </w:rPr>
              <w:t>万元</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区域范围内的公园</w:t>
            </w:r>
          </w:p>
        </w:tc>
        <w:tc>
          <w:tcPr>
            <w:tcW w:w="139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eastAsia="zh-CN"/>
              </w:rPr>
            </w:pPr>
          </w:p>
        </w:tc>
      </w:tr>
    </w:tbl>
    <w:p>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七、合格供应商的资格要求</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（一）符合政府采购法第二十二条：</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3.具有履行合同所必需的设备和专业技术能力；</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5.参加政府采购活动前三年，在经营活动中没有重大违法记录；</w:t>
      </w:r>
    </w:p>
    <w:p>
      <w:pPr>
        <w:snapToGrid w:val="0"/>
        <w:spacing w:line="360" w:lineRule="auto"/>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6.法律、行政法规规定的其他条件；</w:t>
      </w:r>
    </w:p>
    <w:p>
      <w:pPr>
        <w:snapToGrid w:val="0"/>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b/>
          <w:bCs/>
          <w:color w:val="auto"/>
          <w:szCs w:val="21"/>
          <w:highlight w:val="none"/>
          <w:lang w:eastAsia="zh-CN"/>
        </w:rPr>
        <w:t>特定条件：项目负责人具有园林绿化相关专业工程师及以上职称。</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二）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pPr>
        <w:snapToGrid w:val="0"/>
        <w:spacing w:line="360" w:lineRule="auto"/>
        <w:jc w:val="left"/>
        <w:rPr>
          <w:rFonts w:cs="Arial" w:asciiTheme="minorEastAsia" w:hAnsiTheme="minorEastAsia" w:eastAsiaTheme="minorEastAsia"/>
          <w:b/>
          <w:color w:val="auto"/>
          <w:szCs w:val="21"/>
          <w:highlight w:val="none"/>
        </w:rPr>
      </w:pPr>
      <w:r>
        <w:rPr>
          <w:rFonts w:hint="eastAsia"/>
          <w:b/>
          <w:color w:val="auto"/>
          <w:highlight w:val="none"/>
        </w:rPr>
        <w:t>（三）</w:t>
      </w:r>
      <w:r>
        <w:rPr>
          <w:rFonts w:hint="eastAsia" w:cs="Arial" w:asciiTheme="minorEastAsia" w:hAnsiTheme="minorEastAsia" w:eastAsiaTheme="minorEastAsia"/>
          <w:b/>
          <w:color w:val="auto"/>
          <w:szCs w:val="21"/>
          <w:highlight w:val="none"/>
        </w:rPr>
        <w:t>本项目</w:t>
      </w:r>
      <w:r>
        <w:rPr>
          <w:rFonts w:hint="eastAsia" w:cs="Arial" w:asciiTheme="minorEastAsia" w:hAnsiTheme="minorEastAsia" w:eastAsiaTheme="minorEastAsia"/>
          <w:b/>
          <w:color w:val="auto"/>
          <w:szCs w:val="21"/>
          <w:highlight w:val="none"/>
          <w:lang w:eastAsia="zh-CN"/>
        </w:rPr>
        <w:t>不</w:t>
      </w:r>
      <w:r>
        <w:rPr>
          <w:rFonts w:hint="eastAsia" w:cs="Arial" w:asciiTheme="minorEastAsia" w:hAnsiTheme="minorEastAsia" w:eastAsiaTheme="minorEastAsia"/>
          <w:b/>
          <w:color w:val="auto"/>
          <w:szCs w:val="21"/>
          <w:highlight w:val="none"/>
        </w:rPr>
        <w:t>接受联合体投标。</w:t>
      </w:r>
    </w:p>
    <w:p>
      <w:pPr>
        <w:snapToGrid w:val="0"/>
        <w:spacing w:line="360" w:lineRule="auto"/>
        <w:ind w:firstLine="422" w:firstLineChars="200"/>
        <w:rPr>
          <w:rFonts w:cs="Arial"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注：本采购项目，中标单位与采购人签订的政府采购合同适用于嘉兴市政府采购贷款政策，简称“政采贷”，具体内容可参阅政府采购贷款流程：</w:t>
      </w:r>
      <w:r>
        <w:rPr>
          <w:rFonts w:cs="宋体" w:asciiTheme="minorEastAsia" w:hAnsiTheme="minorEastAsia" w:eastAsiaTheme="minorEastAsia"/>
          <w:b/>
          <w:color w:val="auto"/>
          <w:szCs w:val="21"/>
          <w:highlight w:val="none"/>
        </w:rPr>
        <w:t>http://www.jxzbtb.cn/zxfw/005012/20181016/7e541bf4-ad29-4286-ace8-d12c1b2c54fc.html</w:t>
      </w:r>
    </w:p>
    <w:p>
      <w:pPr>
        <w:spacing w:line="360" w:lineRule="auto"/>
        <w:rPr>
          <w:rFonts w:asciiTheme="minorEastAsia" w:hAnsiTheme="minorEastAsia" w:eastAsiaTheme="minorEastAsia"/>
          <w:b/>
          <w:i/>
          <w:iCs/>
          <w:color w:val="auto"/>
          <w:szCs w:val="21"/>
          <w:highlight w:val="none"/>
          <w:u w:val="single"/>
        </w:rPr>
      </w:pPr>
      <w:r>
        <w:rPr>
          <w:rFonts w:hint="eastAsia" w:asciiTheme="minorEastAsia" w:hAnsiTheme="minorEastAsia" w:eastAsiaTheme="minorEastAsia"/>
          <w:b/>
          <w:color w:val="auto"/>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自公告发布之日起5个工作日   </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bCs/>
          <w:color w:val="auto"/>
          <w:szCs w:val="21"/>
          <w:highlight w:val="none"/>
        </w:rPr>
        <w:t>九、投标说明</w:t>
      </w:r>
      <w:r>
        <w:rPr>
          <w:rFonts w:hint="eastAsia" w:cs="Arial" w:asciiTheme="minorEastAsia" w:hAnsiTheme="minorEastAsia" w:eastAsiaTheme="minorEastAsia"/>
          <w:color w:val="auto"/>
          <w:szCs w:val="21"/>
          <w:highlight w:val="none"/>
        </w:rPr>
        <w:t>：</w:t>
      </w:r>
    </w:p>
    <w:p>
      <w:pPr>
        <w:spacing w:line="360" w:lineRule="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１、本项目按照《浙江省财政厅关于印发浙江省政府采购项电子交易管理暂行办法的通知》实行电子交易。</w:t>
      </w:r>
    </w:p>
    <w:p>
      <w:pPr>
        <w:spacing w:line="360" w:lineRule="auto"/>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2</w:t>
      </w:r>
      <w:r>
        <w:rPr>
          <w:rFonts w:hint="eastAsia" w:cs="宋体" w:asciiTheme="minorEastAsia" w:hAnsiTheme="minorEastAsia" w:eastAsiaTheme="minorEastAsia"/>
          <w:b/>
          <w:color w:val="auto"/>
          <w:kern w:val="0"/>
          <w:szCs w:val="21"/>
          <w:highlight w:val="none"/>
        </w:rPr>
        <w:t>、供应商注册</w:t>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2.1注册网址：</w:t>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Style w:val="55"/>
          <w:rFonts w:hint="eastAsia" w:cs="宋体" w:asciiTheme="minorEastAsia" w:hAnsiTheme="minorEastAsia" w:eastAsiaTheme="minorEastAsia"/>
          <w:color w:val="auto"/>
          <w:kern w:val="0"/>
          <w:szCs w:val="21"/>
          <w:highlight w:val="none"/>
        </w:rPr>
        <w:t>https://middle.zcygov.cn/settle-front/#/registry</w:t>
      </w:r>
      <w:r>
        <w:rPr>
          <w:rStyle w:val="55"/>
          <w:rFonts w:hint="eastAsia" w:cs="宋体" w:asciiTheme="minorEastAsia" w:hAnsiTheme="minorEastAsia" w:eastAsiaTheme="minorEastAsia"/>
          <w:color w:val="auto"/>
          <w:kern w:val="0"/>
          <w:szCs w:val="21"/>
          <w:highlight w:val="none"/>
        </w:rPr>
        <w:fldChar w:fldCharType="end"/>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2.2供应商按照《浙江省政府采购供应商注册和诚信管理暂行办法》要求执行。</w:t>
      </w:r>
    </w:p>
    <w:p>
      <w:pPr>
        <w:spacing w:line="360" w:lineRule="auto"/>
        <w:jc w:val="left"/>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3、</w:t>
      </w:r>
      <w:r>
        <w:rPr>
          <w:rFonts w:hint="eastAsia" w:cs="宋体" w:asciiTheme="minorEastAsia" w:hAnsiTheme="minorEastAsia" w:eastAsiaTheme="minorEastAsia"/>
          <w:b/>
          <w:color w:val="auto"/>
          <w:kern w:val="0"/>
          <w:szCs w:val="21"/>
          <w:highlight w:val="none"/>
        </w:rPr>
        <w:t>获取招标文件（报名）：</w:t>
      </w:r>
    </w:p>
    <w:p>
      <w:pPr>
        <w:spacing w:line="360" w:lineRule="auto"/>
        <w:jc w:val="left"/>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pPr>
        <w:spacing w:line="360" w:lineRule="auto"/>
        <w:jc w:val="left"/>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szCs w:val="21"/>
          <w:highlight w:val="none"/>
          <w:shd w:val="clear" w:color="auto" w:fill="FFFFFF"/>
        </w:rPr>
        <w:t>https://login.zcygov.cn/login</w:t>
      </w:r>
      <w:r>
        <w:rPr>
          <w:rFonts w:hint="eastAsia" w:asciiTheme="minorEastAsia" w:hAnsiTheme="minorEastAsia" w:eastAsiaTheme="minorEastAsia"/>
          <w:color w:val="auto"/>
          <w:szCs w:val="21"/>
          <w:highlight w:val="none"/>
          <w:shd w:val="clear" w:color="auto" w:fill="FFFFFF"/>
        </w:rPr>
        <w:fldChar w:fldCharType="end"/>
      </w:r>
    </w:p>
    <w:p>
      <w:pPr>
        <w:spacing w:line="360" w:lineRule="auto"/>
        <w:jc w:val="left"/>
        <w:rPr>
          <w:rFonts w:asciiTheme="minorEastAsia" w:hAnsiTheme="minorEastAsia" w:eastAsiaTheme="minorEastAsia"/>
          <w:b/>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 xml:space="preserve">.3获取时间： </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26</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lang w:val="en-US" w:eastAsia="zh-CN"/>
        </w:rPr>
        <w:t>9</w:t>
      </w:r>
      <w:r>
        <w:rPr>
          <w:rFonts w:hint="eastAsia" w:cs="宋体" w:asciiTheme="minorEastAsia" w:hAnsiTheme="minorEastAsia" w:eastAsiaTheme="minorEastAsia"/>
          <w:b/>
          <w:bCs/>
          <w:color w:val="auto"/>
          <w:kern w:val="0"/>
          <w:szCs w:val="21"/>
          <w:highlight w:val="none"/>
        </w:rPr>
        <w:t>时</w:t>
      </w: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0分整</w:t>
      </w:r>
      <w:r>
        <w:rPr>
          <w:rFonts w:hint="eastAsia" w:cs="宋体" w:asciiTheme="minorEastAsia" w:hAnsiTheme="minorEastAsia" w:eastAsiaTheme="minorEastAsia"/>
          <w:bCs/>
          <w:color w:val="auto"/>
          <w:kern w:val="0"/>
          <w:szCs w:val="21"/>
          <w:highlight w:val="none"/>
        </w:rPr>
        <w:t>前在上述时间内供应商均可获取招标文件。</w:t>
      </w:r>
    </w:p>
    <w:p>
      <w:pPr>
        <w:pStyle w:val="195"/>
        <w:spacing w:line="360" w:lineRule="auto"/>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4</w:t>
      </w:r>
      <w:r>
        <w:rPr>
          <w:rFonts w:hint="eastAsia" w:asciiTheme="minorEastAsia" w:hAnsiTheme="minorEastAsia" w:eastAsiaTheme="minorEastAsia"/>
          <w:b/>
          <w:color w:val="auto"/>
          <w:sz w:val="21"/>
          <w:szCs w:val="21"/>
          <w:highlight w:val="none"/>
        </w:rPr>
        <w:t>、投标文件</w:t>
      </w:r>
      <w:r>
        <w:rPr>
          <w:rFonts w:asciiTheme="minorEastAsia" w:hAnsiTheme="minorEastAsia" w:eastAsiaTheme="minorEastAsia"/>
          <w:b/>
          <w:color w:val="auto"/>
          <w:sz w:val="21"/>
          <w:szCs w:val="21"/>
          <w:highlight w:val="none"/>
        </w:rPr>
        <w:t>制作</w:t>
      </w:r>
      <w:r>
        <w:rPr>
          <w:rFonts w:hint="eastAsia" w:asciiTheme="minorEastAsia" w:hAnsiTheme="minorEastAsia" w:eastAsiaTheme="minorEastAsia"/>
          <w:b/>
          <w:color w:val="auto"/>
          <w:sz w:val="21"/>
          <w:szCs w:val="21"/>
          <w:highlight w:val="none"/>
        </w:rPr>
        <w:t>注意事项</w:t>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4.1供应商将政采云电子交易客户端下载、安装完成后，可通过账号密码或CA登录客户端进行投标文件制作。</w:t>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spacing w:beforeLines="50" w:afterLines="50" w:line="360" w:lineRule="auto"/>
        <w:rPr>
          <w:rStyle w:val="55"/>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Style w:val="55"/>
          <w:rFonts w:hint="eastAsia" w:asciiTheme="minorEastAsia" w:hAnsiTheme="minorEastAsia" w:eastAsiaTheme="minorEastAsia"/>
          <w:color w:val="auto"/>
          <w:szCs w:val="21"/>
          <w:highlight w:val="none"/>
          <w:shd w:val="clear" w:color="auto" w:fill="FFFFFF"/>
        </w:rPr>
        <w:t>https://help.zcygov.cn/web/site_2/2018/12-28/2573.html</w:t>
      </w:r>
      <w:r>
        <w:rPr>
          <w:rStyle w:val="55"/>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5"/>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Style w:val="55"/>
          <w:rFonts w:hint="eastAsia" w:asciiTheme="minorEastAsia" w:hAnsiTheme="minorEastAsia" w:eastAsiaTheme="minorEastAsia"/>
          <w:color w:val="auto"/>
          <w:szCs w:val="21"/>
          <w:highlight w:val="none"/>
          <w:shd w:val="clear" w:color="auto" w:fill="FFFFFF"/>
        </w:rPr>
        <w:t>https://help.zcygov.cn/web/site_2/2018/11-29/2452.html</w:t>
      </w:r>
      <w:r>
        <w:rPr>
          <w:rStyle w:val="55"/>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5"/>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Style w:val="55"/>
          <w:rFonts w:hint="eastAsia" w:asciiTheme="minorEastAsia" w:hAnsiTheme="minorEastAsia" w:eastAsiaTheme="minorEastAsia"/>
          <w:color w:val="auto"/>
          <w:szCs w:val="21"/>
          <w:highlight w:val="none"/>
          <w:shd w:val="clear" w:color="auto" w:fill="FFFFFF"/>
        </w:rPr>
        <w:t>https://help.zcygov.cn/web/site_2/2019/08-20/3405.html</w:t>
      </w:r>
      <w:r>
        <w:rPr>
          <w:rStyle w:val="55"/>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5"/>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《CA驱动和申领流程》</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Style w:val="55"/>
          <w:rFonts w:hint="eastAsia" w:asciiTheme="minorEastAsia" w:hAnsiTheme="minorEastAsia" w:eastAsiaTheme="minorEastAsia"/>
          <w:color w:val="auto"/>
          <w:szCs w:val="21"/>
          <w:highlight w:val="none"/>
          <w:shd w:val="clear" w:color="auto" w:fill="FFFFFF"/>
        </w:rPr>
        <w:t>http://www.zjzfcg.gov.cn/bidClientTemplate/2019-05-27/12945.html</w:t>
      </w:r>
      <w:r>
        <w:rPr>
          <w:rStyle w:val="55"/>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rPr>
        <w:t>注：</w:t>
      </w:r>
      <w:r>
        <w:rPr>
          <w:rFonts w:hint="eastAsia" w:asciiTheme="minorEastAsia" w:hAnsiTheme="minorEastAsia" w:eastAsiaTheme="minorEastAsia"/>
          <w:color w:val="auto"/>
          <w:szCs w:val="21"/>
          <w:highlight w:val="none"/>
          <w:shd w:val="clear" w:color="auto" w:fill="FFFFFF"/>
        </w:rPr>
        <w:t>ＣＡ证书遗失补办、延期、解锁、质保等业务可以在联连客户端上进行操作；使用政采云投标客户端时，建议使用WIN7及以上操作系统。</w:t>
      </w:r>
    </w:p>
    <w:p>
      <w:pPr>
        <w:spacing w:beforeLines="50" w:afterLines="50" w:line="360" w:lineRule="auto"/>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b/>
          <w:color w:val="auto"/>
          <w:szCs w:val="21"/>
          <w:highlight w:val="none"/>
          <w:shd w:val="clear" w:color="auto" w:fill="FFFFFF"/>
        </w:rPr>
        <w:t>5、政采云咨询电话：400-881-7190；</w:t>
      </w:r>
    </w:p>
    <w:p>
      <w:pPr>
        <w:spacing w:beforeLines="50" w:after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Style w:val="55"/>
          <w:rFonts w:hint="eastAsia" w:asciiTheme="minorEastAsia" w:hAnsiTheme="minorEastAsia" w:eastAsiaTheme="minorEastAsia"/>
          <w:color w:val="auto"/>
          <w:szCs w:val="21"/>
          <w:highlight w:val="none"/>
          <w:shd w:val="clear" w:color="auto" w:fill="FFFFFF"/>
        </w:rPr>
        <w:t>https://service.zcygov.cn/#/</w:t>
      </w:r>
      <w:r>
        <w:rPr>
          <w:rStyle w:val="55"/>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b/>
          <w:color w:val="auto"/>
          <w:szCs w:val="21"/>
          <w:highlight w:val="none"/>
          <w:shd w:val="clear" w:color="auto" w:fill="FFFFFF"/>
        </w:rPr>
        <w:t>6、汇信（ＣＡ）客服电话：400-888-4636</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十、投标截止时间及提交注意事项</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１、投标截止时间</w:t>
      </w:r>
      <w:r>
        <w:rPr>
          <w:rFonts w:hint="eastAsia" w:cs="Arial"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26</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lang w:val="en-US" w:eastAsia="zh-CN"/>
        </w:rPr>
        <w:t>9</w:t>
      </w:r>
      <w:r>
        <w:rPr>
          <w:rFonts w:hint="eastAsia" w:cs="宋体" w:asciiTheme="minorEastAsia" w:hAnsiTheme="minorEastAsia" w:eastAsiaTheme="minorEastAsia"/>
          <w:b/>
          <w:bCs/>
          <w:color w:val="auto"/>
          <w:kern w:val="0"/>
          <w:szCs w:val="21"/>
          <w:highlight w:val="none"/>
        </w:rPr>
        <w:t>时</w:t>
      </w: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0分整</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２、投标文件提交注意事项</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2.1供应商进行电子投标应安装客户端软件，并按照招标文件和电子交易平台的要求编制并加密投标文件。供应商未按规定加密的投标文件，代理机构应当拒收。</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2.3电子标文件制作，但如遇因应商电子投标文件解密失败等情况造成无效标，后果由供应商自负。</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bCs/>
          <w:color w:val="auto"/>
          <w:szCs w:val="21"/>
          <w:highlight w:val="none"/>
        </w:rPr>
        <w:t>十一、开标时间及地点</w:t>
      </w:r>
      <w:r>
        <w:rPr>
          <w:rFonts w:hint="eastAsia" w:cs="Arial" w:asciiTheme="minorEastAsia" w:hAnsiTheme="minorEastAsia" w:eastAsiaTheme="minorEastAsia"/>
          <w:color w:val="auto"/>
          <w:szCs w:val="21"/>
          <w:highlight w:val="none"/>
        </w:rPr>
        <w:t>：</w:t>
      </w:r>
    </w:p>
    <w:p>
      <w:pPr>
        <w:snapToGrid w:val="0"/>
        <w:spacing w:line="360" w:lineRule="auto"/>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26</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lang w:val="en-US" w:eastAsia="zh-CN"/>
        </w:rPr>
        <w:t>9</w:t>
      </w:r>
      <w:r>
        <w:rPr>
          <w:rFonts w:hint="eastAsia" w:cs="宋体" w:asciiTheme="minorEastAsia" w:hAnsiTheme="minorEastAsia" w:eastAsiaTheme="minorEastAsia"/>
          <w:b/>
          <w:bCs/>
          <w:color w:val="auto"/>
          <w:kern w:val="0"/>
          <w:szCs w:val="21"/>
          <w:highlight w:val="none"/>
        </w:rPr>
        <w:t>时</w:t>
      </w: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0分整</w:t>
      </w:r>
      <w:r>
        <w:rPr>
          <w:rFonts w:hint="eastAsia" w:cs="Arial" w:asciiTheme="minorEastAsia" w:hAnsiTheme="minorEastAsia" w:eastAsiaTheme="minorEastAsia"/>
          <w:color w:val="auto"/>
          <w:szCs w:val="21"/>
          <w:highlight w:val="none"/>
        </w:rPr>
        <w:t>在</w:t>
      </w:r>
      <w:r>
        <w:rPr>
          <w:rFonts w:hint="eastAsia" w:ascii="宋体" w:hAnsi="宋体" w:cs="Arial" w:eastAsiaTheme="minorEastAsia"/>
          <w:color w:val="auto"/>
          <w:szCs w:val="21"/>
          <w:highlight w:val="none"/>
        </w:rPr>
        <w:t>嘉兴市银建工程咨询评估有限公司</w:t>
      </w:r>
      <w:r>
        <w:rPr>
          <w:rFonts w:hint="eastAsia" w:ascii="宋体" w:hAnsi="宋体" w:cs="Arial"/>
          <w:color w:val="auto"/>
          <w:szCs w:val="21"/>
          <w:highlight w:val="none"/>
        </w:rPr>
        <w:t>（嘉兴市洪兴路2399号宝地大厦1503室）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26</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w:t>
      </w:r>
      <w:r>
        <w:rPr>
          <w:rFonts w:hint="eastAsia" w:cs="宋体" w:asciiTheme="minorEastAsia" w:hAnsiTheme="minorEastAsia" w:eastAsiaTheme="minorEastAsia"/>
          <w:b/>
          <w:bCs/>
          <w:color w:val="auto"/>
          <w:kern w:val="0"/>
          <w:szCs w:val="21"/>
          <w:highlight w:val="none"/>
          <w:lang w:val="en-US" w:eastAsia="zh-CN"/>
        </w:rPr>
        <w:t>0</w:t>
      </w:r>
      <w:r>
        <w:rPr>
          <w:rFonts w:hint="eastAsia" w:cs="宋体" w:asciiTheme="minorEastAsia" w:hAnsiTheme="minorEastAsia" w:eastAsiaTheme="minorEastAsia"/>
          <w:b/>
          <w:bCs/>
          <w:color w:val="auto"/>
          <w:kern w:val="0"/>
          <w:szCs w:val="21"/>
          <w:highlight w:val="none"/>
        </w:rPr>
        <w:t>时</w:t>
      </w:r>
      <w:r>
        <w:rPr>
          <w:rFonts w:hint="eastAsia" w:cs="宋体" w:asciiTheme="minorEastAsia" w:hAnsiTheme="minorEastAsia" w:eastAsiaTheme="minorEastAsia"/>
          <w:b/>
          <w:bCs/>
          <w:color w:val="auto"/>
          <w:kern w:val="0"/>
          <w:szCs w:val="21"/>
          <w:highlight w:val="none"/>
          <w:lang w:val="en-US" w:eastAsia="zh-CN"/>
        </w:rPr>
        <w:t>0</w:t>
      </w:r>
      <w:r>
        <w:rPr>
          <w:rFonts w:hint="eastAsia" w:cs="宋体" w:asciiTheme="minorEastAsia" w:hAnsiTheme="minorEastAsia" w:eastAsiaTheme="minorEastAsia"/>
          <w:b/>
          <w:bCs/>
          <w:color w:val="auto"/>
          <w:kern w:val="0"/>
          <w:szCs w:val="21"/>
          <w:highlight w:val="none"/>
        </w:rPr>
        <w:t>0分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26</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w:t>
      </w:r>
      <w:r>
        <w:rPr>
          <w:rFonts w:hint="eastAsia" w:cs="宋体" w:asciiTheme="minorEastAsia" w:hAnsiTheme="minorEastAsia" w:eastAsiaTheme="minorEastAsia"/>
          <w:b/>
          <w:bCs/>
          <w:color w:val="auto"/>
          <w:kern w:val="0"/>
          <w:szCs w:val="21"/>
          <w:highlight w:val="none"/>
          <w:lang w:val="en-US" w:eastAsia="zh-CN"/>
        </w:rPr>
        <w:t>0</w:t>
      </w:r>
      <w:r>
        <w:rPr>
          <w:rFonts w:hint="eastAsia" w:cs="宋体" w:asciiTheme="minorEastAsia" w:hAnsiTheme="minorEastAsia" w:eastAsiaTheme="minorEastAsia"/>
          <w:b/>
          <w:bCs/>
          <w:color w:val="auto"/>
          <w:kern w:val="0"/>
          <w:szCs w:val="21"/>
          <w:highlight w:val="none"/>
        </w:rPr>
        <w:t>时</w:t>
      </w:r>
      <w:r>
        <w:rPr>
          <w:rFonts w:hint="eastAsia" w:asciiTheme="minorEastAsia" w:hAnsiTheme="minorEastAsia" w:eastAsiaTheme="minorEastAsia"/>
          <w:b/>
          <w:color w:val="auto"/>
          <w:szCs w:val="21"/>
          <w:highlight w:val="none"/>
          <w:shd w:val="clear" w:color="auto" w:fill="FFFFFF"/>
          <w:lang w:val="en-US" w:eastAsia="zh-CN"/>
        </w:rPr>
        <w:t>0</w:t>
      </w:r>
      <w:r>
        <w:rPr>
          <w:rFonts w:hint="eastAsia" w:asciiTheme="minorEastAsia" w:hAnsiTheme="minorEastAsia" w:eastAsiaTheme="minorEastAsia"/>
          <w:b/>
          <w:color w:val="auto"/>
          <w:szCs w:val="21"/>
          <w:highlight w:val="none"/>
          <w:shd w:val="clear" w:color="auto" w:fill="FFFFFF"/>
        </w:rPr>
        <w:t>0分前</w:t>
      </w:r>
      <w:r>
        <w:rPr>
          <w:rFonts w:hint="eastAsia" w:cs="Arial" w:asciiTheme="minorEastAsia" w:hAnsiTheme="minorEastAsia" w:eastAsiaTheme="minorEastAsia"/>
          <w:color w:val="auto"/>
          <w:szCs w:val="21"/>
          <w:highlight w:val="none"/>
        </w:rPr>
        <w:t>）投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pPr>
        <w:pStyle w:val="2"/>
        <w:ind w:left="0" w:leftChars="0" w:firstLine="0" w:firstLineChars="0"/>
        <w:rPr>
          <w:b/>
          <w:bCs/>
          <w:color w:val="auto"/>
          <w:highlight w:val="none"/>
        </w:rPr>
      </w:pPr>
      <w:r>
        <w:rPr>
          <w:rFonts w:hint="eastAsia"/>
          <w:b/>
          <w:bCs/>
          <w:color w:val="auto"/>
          <w:highlight w:val="none"/>
        </w:rPr>
        <w:t>十二、业务咨询：</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名    称：</w:t>
      </w:r>
      <w:r>
        <w:rPr>
          <w:rFonts w:hint="eastAsia" w:cs="Arial" w:asciiTheme="minorEastAsia" w:hAnsiTheme="minorEastAsia" w:eastAsiaTheme="minorEastAsia"/>
          <w:b w:val="0"/>
          <w:bCs/>
          <w:color w:val="auto"/>
          <w:szCs w:val="21"/>
          <w:highlight w:val="none"/>
          <w:lang w:eastAsia="zh-CN"/>
        </w:rPr>
        <w:t>嘉兴市秀洲区人民政府新城街道办事处</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地    址：嘉兴市中山西路977号</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传    真：</w:t>
      </w:r>
      <w:r>
        <w:rPr>
          <w:rFonts w:hint="eastAsia" w:cs="Arial" w:asciiTheme="minorEastAsia" w:hAnsiTheme="minorEastAsia" w:eastAsiaTheme="minorEastAsia"/>
          <w:b w:val="0"/>
          <w:bCs/>
          <w:color w:val="auto"/>
          <w:szCs w:val="21"/>
          <w:highlight w:val="none"/>
          <w:lang w:val="en-US" w:eastAsia="zh-CN"/>
        </w:rPr>
        <w:t>/</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项目联系人（询问）：</w:t>
      </w:r>
      <w:r>
        <w:rPr>
          <w:rFonts w:hint="eastAsia" w:cs="Arial" w:asciiTheme="minorEastAsia" w:hAnsiTheme="minorEastAsia" w:eastAsiaTheme="minorEastAsia"/>
          <w:b w:val="0"/>
          <w:bCs/>
          <w:color w:val="auto"/>
          <w:szCs w:val="21"/>
          <w:highlight w:val="none"/>
          <w:lang w:val="en-US" w:eastAsia="zh-CN"/>
        </w:rPr>
        <w:t>王先生</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项目联系方式（询问）：0573-</w:t>
      </w:r>
      <w:r>
        <w:rPr>
          <w:rFonts w:hint="eastAsia" w:cs="Arial" w:asciiTheme="minorEastAsia" w:hAnsiTheme="minorEastAsia" w:eastAsiaTheme="minorEastAsia"/>
          <w:b w:val="0"/>
          <w:bCs/>
          <w:color w:val="auto"/>
          <w:szCs w:val="21"/>
          <w:highlight w:val="none"/>
          <w:lang w:val="en-US" w:eastAsia="zh-CN"/>
        </w:rPr>
        <w:t>82712276</w:t>
      </w:r>
    </w:p>
    <w:p>
      <w:pPr>
        <w:snapToGrid w:val="0"/>
        <w:spacing w:line="360" w:lineRule="auto"/>
        <w:rPr>
          <w:rFonts w:hint="default"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质疑联系人：</w:t>
      </w:r>
      <w:r>
        <w:rPr>
          <w:rFonts w:hint="eastAsia" w:cs="Arial" w:asciiTheme="minorEastAsia" w:hAnsiTheme="minorEastAsia" w:eastAsiaTheme="minorEastAsia"/>
          <w:b w:val="0"/>
          <w:bCs/>
          <w:color w:val="auto"/>
          <w:szCs w:val="21"/>
          <w:highlight w:val="none"/>
          <w:lang w:eastAsia="zh-CN"/>
        </w:rPr>
        <w:t>俞</w:t>
      </w:r>
      <w:r>
        <w:rPr>
          <w:rFonts w:hint="eastAsia" w:cs="Arial" w:asciiTheme="minorEastAsia" w:hAnsiTheme="minorEastAsia" w:eastAsiaTheme="minorEastAsia"/>
          <w:b w:val="0"/>
          <w:bCs/>
          <w:color w:val="auto"/>
          <w:szCs w:val="21"/>
          <w:highlight w:val="none"/>
          <w:lang w:val="en-US" w:eastAsia="zh-CN"/>
        </w:rPr>
        <w:t>先生</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质疑联系方式：0573-</w:t>
      </w:r>
      <w:r>
        <w:rPr>
          <w:rFonts w:hint="eastAsia" w:cs="Arial" w:asciiTheme="minorEastAsia" w:hAnsiTheme="minorEastAsia" w:eastAsiaTheme="minorEastAsia"/>
          <w:b w:val="0"/>
          <w:bCs/>
          <w:color w:val="auto"/>
          <w:szCs w:val="21"/>
          <w:highlight w:val="none"/>
          <w:lang w:val="en-US" w:eastAsia="zh-CN"/>
        </w:rPr>
        <w:t>82710582</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2、采购代理机构信息</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名    称： </w:t>
      </w:r>
      <w:r>
        <w:rPr>
          <w:rFonts w:hint="eastAsia" w:cs="Arial" w:asciiTheme="minorEastAsia" w:hAnsiTheme="minorEastAsia" w:eastAsiaTheme="minorEastAsia"/>
          <w:b w:val="0"/>
          <w:bCs/>
          <w:color w:val="auto"/>
          <w:szCs w:val="21"/>
          <w:highlight w:val="none"/>
          <w:lang w:eastAsia="zh-CN"/>
        </w:rPr>
        <w:t>嘉兴市银建工程咨询评估有限公司</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地    址： </w:t>
      </w:r>
      <w:r>
        <w:rPr>
          <w:rFonts w:hint="eastAsia" w:cs="Arial" w:asciiTheme="minorEastAsia" w:hAnsiTheme="minorEastAsia" w:eastAsiaTheme="minorEastAsia"/>
          <w:b w:val="0"/>
          <w:bCs/>
          <w:color w:val="auto"/>
          <w:szCs w:val="21"/>
          <w:highlight w:val="none"/>
          <w:lang w:eastAsia="zh-CN"/>
        </w:rPr>
        <w:t>嘉兴市秀洲区洪兴路239</w:t>
      </w:r>
      <w:r>
        <w:rPr>
          <w:rFonts w:hint="eastAsia" w:cs="Arial" w:asciiTheme="minorEastAsia" w:hAnsiTheme="minorEastAsia" w:eastAsiaTheme="minorEastAsia"/>
          <w:b w:val="0"/>
          <w:bCs/>
          <w:color w:val="auto"/>
          <w:szCs w:val="21"/>
          <w:highlight w:val="none"/>
          <w:lang w:val="en-US" w:eastAsia="zh-CN"/>
        </w:rPr>
        <w:t>9</w:t>
      </w:r>
      <w:r>
        <w:rPr>
          <w:rFonts w:hint="eastAsia" w:cs="Arial" w:asciiTheme="minorEastAsia" w:hAnsiTheme="minorEastAsia" w:eastAsiaTheme="minorEastAsia"/>
          <w:b w:val="0"/>
          <w:bCs/>
          <w:color w:val="auto"/>
          <w:szCs w:val="21"/>
          <w:highlight w:val="none"/>
          <w:lang w:eastAsia="zh-CN"/>
        </w:rPr>
        <w:t>号宝地大厦1503室</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传    真：</w:t>
      </w:r>
      <w:r>
        <w:rPr>
          <w:rFonts w:hint="eastAsia" w:cs="Arial" w:asciiTheme="minorEastAsia" w:hAnsiTheme="minorEastAsia" w:eastAsiaTheme="minorEastAsia"/>
          <w:b w:val="0"/>
          <w:bCs/>
          <w:color w:val="auto"/>
          <w:szCs w:val="21"/>
          <w:highlight w:val="none"/>
          <w:lang w:val="en-US" w:eastAsia="zh-CN"/>
        </w:rPr>
        <w:t>/</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项目联系人（询问）：</w:t>
      </w:r>
      <w:r>
        <w:rPr>
          <w:rFonts w:hint="eastAsia" w:cs="Arial" w:asciiTheme="minorEastAsia" w:hAnsiTheme="minorEastAsia" w:eastAsiaTheme="minorEastAsia"/>
          <w:b w:val="0"/>
          <w:bCs/>
          <w:color w:val="auto"/>
          <w:szCs w:val="21"/>
          <w:highlight w:val="none"/>
          <w:lang w:eastAsia="zh-CN"/>
        </w:rPr>
        <w:t>吴女士</w:t>
      </w:r>
    </w:p>
    <w:p>
      <w:pPr>
        <w:snapToGrid w:val="0"/>
        <w:spacing w:line="360" w:lineRule="auto"/>
        <w:rPr>
          <w:rFonts w:hint="default"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 xml:space="preserve">项目联系方式（询问）： </w:t>
      </w:r>
      <w:r>
        <w:rPr>
          <w:rFonts w:hint="eastAsia" w:cs="Arial" w:asciiTheme="minorEastAsia" w:hAnsiTheme="minorEastAsia" w:eastAsiaTheme="minorEastAsia"/>
          <w:b w:val="0"/>
          <w:bCs/>
          <w:color w:val="auto"/>
          <w:szCs w:val="21"/>
          <w:highlight w:val="none"/>
          <w:lang w:val="en-US" w:eastAsia="zh-CN"/>
        </w:rPr>
        <w:t>18105730155</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质疑联系人： </w:t>
      </w:r>
      <w:r>
        <w:rPr>
          <w:rFonts w:hint="eastAsia" w:cs="Arial" w:asciiTheme="minorEastAsia" w:hAnsiTheme="minorEastAsia" w:eastAsiaTheme="minorEastAsia"/>
          <w:b w:val="0"/>
          <w:bCs/>
          <w:color w:val="auto"/>
          <w:szCs w:val="21"/>
          <w:highlight w:val="none"/>
          <w:lang w:eastAsia="zh-CN"/>
        </w:rPr>
        <w:t>李先生</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质疑联系方式：</w:t>
      </w:r>
      <w:r>
        <w:rPr>
          <w:rFonts w:hint="eastAsia" w:cs="Arial" w:asciiTheme="minorEastAsia" w:hAnsiTheme="minorEastAsia" w:eastAsiaTheme="minorEastAsia"/>
          <w:b w:val="0"/>
          <w:bCs/>
          <w:color w:val="auto"/>
          <w:szCs w:val="21"/>
          <w:highlight w:val="none"/>
          <w:lang w:val="en-US" w:eastAsia="zh-CN"/>
        </w:rPr>
        <w:t>18006615280</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3、同级政府采购监督管理部门</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 xml:space="preserve">名    称： 嘉兴市秀洲区财政局 </w:t>
      </w:r>
    </w:p>
    <w:p>
      <w:pPr>
        <w:snapToGrid w:val="0"/>
        <w:spacing w:line="360" w:lineRule="auto"/>
        <w:rPr>
          <w:rFonts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监督投诉电话：0573-82720086</w:t>
      </w:r>
    </w:p>
    <w:p>
      <w:pPr>
        <w:snapToGrid w:val="0"/>
        <w:spacing w:line="360" w:lineRule="auto"/>
        <w:rPr>
          <w:rFonts w:ascii="宋体" w:hAnsi="宋体" w:cs="Arial"/>
          <w:b/>
          <w:bCs/>
          <w:color w:val="auto"/>
          <w:kern w:val="0"/>
          <w:szCs w:val="21"/>
          <w:highlight w:val="none"/>
        </w:rPr>
      </w:pPr>
      <w:r>
        <w:rPr>
          <w:rFonts w:ascii="宋体" w:hAnsi="宋体" w:cs="Arial"/>
          <w:b/>
          <w:bCs/>
          <w:color w:val="auto"/>
          <w:kern w:val="0"/>
          <w:szCs w:val="21"/>
          <w:highlight w:val="none"/>
        </w:rPr>
        <w:t>十</w:t>
      </w:r>
      <w:r>
        <w:rPr>
          <w:rFonts w:hint="eastAsia" w:ascii="宋体" w:hAnsi="宋体" w:cs="Arial"/>
          <w:b/>
          <w:bCs/>
          <w:color w:val="auto"/>
          <w:kern w:val="0"/>
          <w:szCs w:val="21"/>
          <w:highlight w:val="none"/>
          <w:lang w:eastAsia="zh-CN"/>
        </w:rPr>
        <w:t>三</w:t>
      </w:r>
      <w:r>
        <w:rPr>
          <w:rFonts w:ascii="宋体" w:hAnsi="宋体" w:cs="Arial"/>
          <w:b/>
          <w:bCs/>
          <w:color w:val="auto"/>
          <w:kern w:val="0"/>
          <w:szCs w:val="21"/>
          <w:highlight w:val="none"/>
        </w:rPr>
        <w:t>、其他事项：</w:t>
      </w:r>
    </w:p>
    <w:p>
      <w:pPr>
        <w:snapToGrid w:val="0"/>
        <w:spacing w:line="360" w:lineRule="auto"/>
        <w:rPr>
          <w:rFonts w:ascii="宋体" w:hAnsi="宋体"/>
          <w:color w:val="auto"/>
          <w:szCs w:val="21"/>
          <w:highlight w:val="none"/>
        </w:rPr>
      </w:pPr>
      <w:r>
        <w:rPr>
          <w:rFonts w:hint="eastAsia"/>
          <w:color w:val="auto"/>
          <w:highlight w:val="none"/>
        </w:rPr>
        <w:t>（一）</w:t>
      </w:r>
      <w:r>
        <w:rPr>
          <w:color w:val="auto"/>
          <w:highlight w:val="none"/>
        </w:rPr>
        <w:t> </w:t>
      </w:r>
      <w:r>
        <w:rPr>
          <w:rFonts w:ascii="宋体" w:hAnsi="宋体"/>
          <w:color w:val="auto"/>
          <w:szCs w:val="21"/>
          <w:highlight w:val="none"/>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rPr>
          <w:rFonts w:hint="eastAsia" w:ascii="宋体" w:hAnsi="宋体" w:eastAsia="宋体" w:cs="Times New Roman"/>
          <w:b w:val="0"/>
          <w:bCs w:val="0"/>
          <w:color w:val="auto"/>
          <w:kern w:val="2"/>
          <w:sz w:val="21"/>
          <w:szCs w:val="21"/>
          <w:highlight w:val="none"/>
          <w:lang w:val="en-US" w:eastAsia="zh-CN" w:bidi="ar-SA"/>
        </w:rPr>
      </w:pP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pPr>
        <w:snapToGrid w:val="0"/>
        <w:spacing w:line="360" w:lineRule="auto"/>
        <w:jc w:val="right"/>
        <w:rPr>
          <w:rFonts w:asciiTheme="minorEastAsia" w:hAnsiTheme="minorEastAsia" w:eastAsiaTheme="minorEastAsia"/>
          <w:color w:val="auto"/>
          <w:szCs w:val="21"/>
          <w:highlight w:val="none"/>
        </w:rPr>
      </w:pPr>
    </w:p>
    <w:p>
      <w:pPr>
        <w:pStyle w:val="2"/>
        <w:ind w:firstLine="404"/>
        <w:rPr>
          <w:color w:val="auto"/>
          <w:highlight w:val="none"/>
        </w:rPr>
      </w:pPr>
    </w:p>
    <w:p>
      <w:pPr>
        <w:snapToGrid w:val="0"/>
        <w:spacing w:line="360" w:lineRule="auto"/>
        <w:jc w:val="righ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eastAsia="zh-CN"/>
        </w:rPr>
        <w:t>嘉兴市秀洲区人民政府新城街道办事处</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r>
        <w:rPr>
          <w:rFonts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4</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29</w:t>
      </w:r>
      <w:r>
        <w:rPr>
          <w:rFonts w:asciiTheme="minorEastAsia" w:hAnsiTheme="minorEastAsia" w:eastAsiaTheme="minorEastAsia"/>
          <w:color w:val="auto"/>
          <w:szCs w:val="21"/>
          <w:highlight w:val="none"/>
        </w:rPr>
        <w:t>日</w:t>
      </w: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numPr>
          <w:ilvl w:val="0"/>
          <w:numId w:val="6"/>
        </w:numPr>
        <w:snapToGrid w:val="0"/>
        <w:spacing w:beforeLines="50" w:afterLines="50" w:line="360" w:lineRule="auto"/>
        <w:ind w:left="238"/>
        <w:jc w:val="center"/>
        <w:outlineLvl w:val="0"/>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w:t>
      </w:r>
      <w:bookmarkStart w:id="1" w:name="_Toc19796"/>
      <w:r>
        <w:rPr>
          <w:rFonts w:hint="eastAsia" w:asciiTheme="minorEastAsia" w:hAnsiTheme="minorEastAsia" w:eastAsiaTheme="minorEastAsia"/>
          <w:b/>
          <w:color w:val="auto"/>
          <w:sz w:val="30"/>
          <w:szCs w:val="30"/>
          <w:highlight w:val="none"/>
        </w:rPr>
        <w:t>招标需求</w:t>
      </w:r>
      <w:bookmarkEnd w:id="1"/>
      <w:bookmarkStart w:id="2" w:name="_Toc406402986"/>
    </w:p>
    <w:p>
      <w:pPr>
        <w:pStyle w:val="2"/>
        <w:numPr>
          <w:ilvl w:val="0"/>
          <w:numId w:val="0"/>
        </w:numPr>
        <w:rPr>
          <w:rFonts w:hint="default" w:eastAsiaTheme="minorEastAsia"/>
          <w:color w:val="auto"/>
          <w:highlight w:val="none"/>
          <w:lang w:val="en-US" w:eastAsia="zh-CN"/>
        </w:rPr>
      </w:pPr>
      <w:r>
        <w:rPr>
          <w:rFonts w:hint="eastAsia"/>
          <w:color w:val="auto"/>
          <w:highlight w:val="none"/>
          <w:lang w:val="en-US" w:eastAsia="zh-CN"/>
        </w:rPr>
        <w:t>一、项目概况</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新城街道</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lang w:val="en-US" w:eastAsia="zh-CN"/>
        </w:rPr>
        <w:t>区域内的</w:t>
      </w:r>
      <w:r>
        <w:rPr>
          <w:rFonts w:hint="eastAsia" w:ascii="宋体" w:hAnsi="宋体" w:cs="宋体"/>
          <w:color w:val="auto"/>
          <w:sz w:val="21"/>
          <w:szCs w:val="21"/>
          <w:highlight w:val="none"/>
          <w:lang w:val="en-US" w:eastAsia="zh-CN"/>
        </w:rPr>
        <w:t>绿地、</w:t>
      </w:r>
      <w:r>
        <w:rPr>
          <w:rFonts w:hint="eastAsia" w:ascii="宋体" w:hAnsi="宋体" w:eastAsia="宋体" w:cs="宋体"/>
          <w:color w:val="auto"/>
          <w:sz w:val="21"/>
          <w:szCs w:val="21"/>
          <w:highlight w:val="none"/>
          <w:lang w:val="en-US" w:eastAsia="zh-CN"/>
        </w:rPr>
        <w:t>乔灌木、行道树养护，时令草花种植及日常养护</w:t>
      </w:r>
      <w:r>
        <w:rPr>
          <w:rFonts w:hint="eastAsia" w:ascii="宋体" w:hAnsi="宋体" w:cs="宋体"/>
          <w:color w:val="auto"/>
          <w:sz w:val="21"/>
          <w:szCs w:val="21"/>
          <w:highlight w:val="none"/>
          <w:lang w:val="en-US" w:eastAsia="zh-CN"/>
        </w:rPr>
        <w:t>（详见清单）。</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2"/>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结算时单价按投标时全费用单位计，不因任何因素变更。</w:t>
      </w:r>
    </w:p>
    <w:p>
      <w:pPr>
        <w:pStyle w:val="2"/>
        <w:numPr>
          <w:ilvl w:val="0"/>
          <w:numId w:val="0"/>
        </w:numPr>
        <w:ind w:left="388" w:leftChars="0"/>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eastAsia="zh-CN"/>
        </w:rPr>
        <w:t>二、技术</w:t>
      </w:r>
      <w:r>
        <w:rPr>
          <w:rFonts w:hint="eastAsia" w:ascii="宋体" w:hAnsi="宋体" w:eastAsia="宋体" w:cs="宋体"/>
          <w:b/>
          <w:color w:val="auto"/>
          <w:sz w:val="21"/>
          <w:szCs w:val="21"/>
          <w:highlight w:val="none"/>
        </w:rPr>
        <w:t>条款</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3" w:name="_Toc25899"/>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养护服务清单</w:t>
      </w:r>
      <w:r>
        <w:rPr>
          <w:rFonts w:hint="default" w:ascii="宋体" w:hAnsi="宋体" w:eastAsia="宋体" w:cs="宋体"/>
          <w:bCs/>
          <w:color w:val="auto"/>
          <w:sz w:val="21"/>
          <w:szCs w:val="21"/>
          <w:highlight w:val="none"/>
          <w:lang w:val="en-US" w:eastAsia="zh-CN"/>
        </w:rPr>
        <w:t>中只描述了完成本分项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应有的主要工作内容，但投标人填报的</w:t>
      </w:r>
      <w:r>
        <w:rPr>
          <w:rFonts w:hint="eastAsia" w:hAnsi="宋体" w:cs="宋体"/>
          <w:bCs/>
          <w:color w:val="auto"/>
          <w:sz w:val="21"/>
          <w:szCs w:val="21"/>
          <w:highlight w:val="none"/>
          <w:lang w:val="en-US" w:eastAsia="zh-CN"/>
        </w:rPr>
        <w:t>全费用</w:t>
      </w:r>
      <w:r>
        <w:rPr>
          <w:rFonts w:hint="default" w:ascii="宋体" w:hAnsi="宋体" w:eastAsia="宋体" w:cs="宋体"/>
          <w:bCs/>
          <w:color w:val="auto"/>
          <w:sz w:val="21"/>
          <w:szCs w:val="21"/>
          <w:highlight w:val="none"/>
          <w:lang w:val="en-US" w:eastAsia="zh-CN"/>
        </w:rPr>
        <w:t>综合单价应是包含了分项计量范围内的所有工作内容的价格，无论本分项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有无明确列项或表示，只要是为完成该分项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所需要做的工作和为了满足该分项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的完整性所需要做的工作，均视为该分项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所包含的内容。投标人在填写每一项的</w:t>
      </w:r>
      <w:r>
        <w:rPr>
          <w:rFonts w:hint="eastAsia" w:hAnsi="宋体" w:cs="宋体"/>
          <w:bCs/>
          <w:color w:val="auto"/>
          <w:sz w:val="21"/>
          <w:szCs w:val="21"/>
          <w:highlight w:val="none"/>
          <w:lang w:val="en-US" w:eastAsia="zh-CN"/>
        </w:rPr>
        <w:t>全费用</w:t>
      </w:r>
      <w:r>
        <w:rPr>
          <w:rFonts w:hint="default" w:ascii="宋体" w:hAnsi="宋体" w:eastAsia="宋体" w:cs="宋体"/>
          <w:bCs/>
          <w:color w:val="auto"/>
          <w:sz w:val="21"/>
          <w:szCs w:val="21"/>
          <w:highlight w:val="none"/>
          <w:lang w:val="en-US" w:eastAsia="zh-CN"/>
        </w:rPr>
        <w:t>综合单价和合价时应结合</w:t>
      </w:r>
      <w:r>
        <w:rPr>
          <w:rFonts w:hint="eastAsia" w:hAnsi="宋体" w:cs="宋体"/>
          <w:bCs/>
          <w:color w:val="auto"/>
          <w:sz w:val="21"/>
          <w:szCs w:val="21"/>
          <w:highlight w:val="none"/>
          <w:lang w:val="en-US" w:eastAsia="zh-CN"/>
        </w:rPr>
        <w:t>所有</w:t>
      </w:r>
      <w:r>
        <w:rPr>
          <w:rFonts w:hint="default" w:ascii="宋体" w:hAnsi="宋体" w:eastAsia="宋体" w:cs="宋体"/>
          <w:bCs/>
          <w:color w:val="auto"/>
          <w:sz w:val="21"/>
          <w:szCs w:val="21"/>
          <w:highlight w:val="none"/>
          <w:lang w:val="en-US" w:eastAsia="zh-CN"/>
        </w:rPr>
        <w:t>情况进行报价。</w:t>
      </w:r>
      <w:bookmarkEnd w:id="3"/>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4" w:name="_Toc797"/>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投标人认为必须或可能发生的费用应全部考虑在报价中，未在报价中体现的视作已综合在单价中或已全部优惠。</w:t>
      </w:r>
      <w:bookmarkEnd w:id="4"/>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5" w:name="_Toc14036"/>
      <w:r>
        <w:rPr>
          <w:rFonts w:hint="eastAsia"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、投标人应按清单中列出的</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项目填报单价和合价。每一项目只允许有一个报价。任何有选择的报价不予接受，投标人未填单价或合价的</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，在实施后，招标人将不予支付，并视作该项费用已包括在其它有价款的单价或合价内。</w:t>
      </w:r>
      <w:bookmarkEnd w:id="5"/>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6" w:name="_Toc31035"/>
      <w:r>
        <w:rPr>
          <w:rFonts w:hint="eastAsia" w:hAnsi="宋体" w:cs="宋体"/>
          <w:bCs/>
          <w:color w:val="auto"/>
          <w:sz w:val="21"/>
          <w:szCs w:val="21"/>
          <w:highlight w:val="none"/>
          <w:lang w:val="en-US" w:eastAsia="zh-CN"/>
        </w:rPr>
        <w:t>4</w:t>
      </w:r>
      <w:r>
        <w:rPr>
          <w:rFonts w:hint="default" w:ascii="宋体" w:hAnsi="宋体" w:eastAsia="宋体" w:cs="宋体"/>
          <w:bCs/>
          <w:color w:val="auto"/>
          <w:sz w:val="21"/>
          <w:szCs w:val="21"/>
          <w:highlight w:val="none"/>
          <w:lang w:val="en-US" w:eastAsia="zh-CN"/>
        </w:rPr>
        <w:t>、本</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用水、用电由</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方自行解决，所需水、电、电讯线路、临时场地、临时设施搭设、临时道路由承包人完成，发包方做好配合及协调工作，所发生的一切费用由</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方自行考虑按市场价计入投标报价中。养护服务期用水、用电涨价风险因素一并考虑计入报价。</w:t>
      </w:r>
      <w:bookmarkEnd w:id="6"/>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7" w:name="_Toc18129"/>
      <w:r>
        <w:rPr>
          <w:rFonts w:hint="eastAsia" w:hAnsi="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、投标人在填报价格及费用时应充分考虑国家现行技术标准、规范等要求</w:t>
      </w:r>
      <w:r>
        <w:rPr>
          <w:rFonts w:hint="eastAsia" w:hAnsi="宋体" w:cs="宋体"/>
          <w:bCs/>
          <w:color w:val="auto"/>
          <w:sz w:val="21"/>
          <w:szCs w:val="21"/>
          <w:highlight w:val="none"/>
          <w:lang w:val="en-US" w:eastAsia="zh-CN"/>
        </w:rPr>
        <w:t>并同时满足业主方要求</w:t>
      </w:r>
      <w:r>
        <w:rPr>
          <w:rFonts w:hint="default" w:ascii="宋体" w:hAnsi="宋体" w:eastAsia="宋体" w:cs="宋体"/>
          <w:bCs/>
          <w:color w:val="auto"/>
          <w:sz w:val="21"/>
          <w:szCs w:val="21"/>
          <w:highlight w:val="none"/>
          <w:lang w:val="en-US" w:eastAsia="zh-CN"/>
        </w:rPr>
        <w:t>，工程质量检测（包括所有原材料、成品、半成品进场复试）等按</w:t>
      </w:r>
      <w:r>
        <w:rPr>
          <w:rFonts w:hint="eastAsia" w:hAnsi="宋体" w:cs="宋体"/>
          <w:bCs/>
          <w:color w:val="auto"/>
          <w:sz w:val="21"/>
          <w:szCs w:val="21"/>
          <w:highlight w:val="none"/>
          <w:lang w:val="en-US" w:eastAsia="zh-CN"/>
        </w:rPr>
        <w:t>发包人</w:t>
      </w:r>
      <w:r>
        <w:rPr>
          <w:rFonts w:hint="default" w:ascii="宋体" w:hAnsi="宋体" w:eastAsia="宋体" w:cs="宋体"/>
          <w:bCs/>
          <w:color w:val="auto"/>
          <w:sz w:val="21"/>
          <w:szCs w:val="21"/>
          <w:highlight w:val="none"/>
          <w:lang w:val="en-US" w:eastAsia="zh-CN"/>
        </w:rPr>
        <w:t>、验收规范要求送检，所需一切费用计入投标报价内。</w:t>
      </w:r>
      <w:bookmarkEnd w:id="7"/>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8" w:name="_Toc22367"/>
      <w:r>
        <w:rPr>
          <w:rFonts w:hint="eastAsia" w:hAnsi="宋体" w:cs="宋体"/>
          <w:bCs/>
          <w:color w:val="auto"/>
          <w:sz w:val="21"/>
          <w:szCs w:val="21"/>
          <w:highlight w:val="none"/>
          <w:lang w:val="en-US" w:eastAsia="zh-CN"/>
        </w:rPr>
        <w:t>6</w:t>
      </w:r>
      <w:r>
        <w:rPr>
          <w:rFonts w:hint="default" w:ascii="宋体" w:hAnsi="宋体" w:eastAsia="宋体" w:cs="宋体"/>
          <w:bCs/>
          <w:color w:val="auto"/>
          <w:sz w:val="21"/>
          <w:szCs w:val="21"/>
          <w:highlight w:val="none"/>
          <w:lang w:val="en-US" w:eastAsia="zh-CN"/>
        </w:rPr>
        <w:t>、养护单位必须确保养护区域内</w:t>
      </w:r>
      <w:r>
        <w:rPr>
          <w:rFonts w:hint="eastAsia" w:hAnsi="宋体" w:cs="宋体"/>
          <w:bCs/>
          <w:color w:val="auto"/>
          <w:sz w:val="21"/>
          <w:szCs w:val="21"/>
          <w:highlight w:val="none"/>
          <w:lang w:val="en-US" w:eastAsia="zh-CN"/>
        </w:rPr>
        <w:t>保洁工作，</w:t>
      </w:r>
      <w:r>
        <w:rPr>
          <w:rFonts w:hint="default" w:ascii="宋体" w:hAnsi="宋体" w:eastAsia="宋体" w:cs="宋体"/>
          <w:bCs/>
          <w:color w:val="auto"/>
          <w:sz w:val="21"/>
          <w:szCs w:val="21"/>
          <w:highlight w:val="none"/>
          <w:lang w:val="en-US" w:eastAsia="zh-CN"/>
        </w:rPr>
        <w:t>路面、</w:t>
      </w:r>
      <w:r>
        <w:rPr>
          <w:rFonts w:hint="eastAsia" w:hAnsi="宋体" w:cs="宋体"/>
          <w:bCs/>
          <w:color w:val="auto"/>
          <w:sz w:val="21"/>
          <w:szCs w:val="21"/>
          <w:highlight w:val="none"/>
          <w:lang w:val="en-US" w:eastAsia="zh-CN"/>
        </w:rPr>
        <w:t>绿地、</w:t>
      </w:r>
      <w:r>
        <w:rPr>
          <w:rFonts w:hint="default" w:ascii="宋体" w:hAnsi="宋体" w:eastAsia="宋体" w:cs="宋体"/>
          <w:bCs/>
          <w:color w:val="auto"/>
          <w:sz w:val="21"/>
          <w:szCs w:val="21"/>
          <w:highlight w:val="none"/>
          <w:lang w:val="en-US" w:eastAsia="zh-CN"/>
        </w:rPr>
        <w:t>行道树穴清洁、干净，做到无果皮纸屑、</w:t>
      </w:r>
      <w:r>
        <w:rPr>
          <w:rFonts w:hint="eastAsia" w:hAnsi="宋体" w:cs="宋体"/>
          <w:bCs/>
          <w:color w:val="auto"/>
          <w:sz w:val="21"/>
          <w:szCs w:val="21"/>
          <w:highlight w:val="none"/>
          <w:lang w:val="en-US" w:eastAsia="zh-CN"/>
        </w:rPr>
        <w:t>无枯枝落叶、</w:t>
      </w:r>
      <w:r>
        <w:rPr>
          <w:rFonts w:hint="default" w:ascii="宋体" w:hAnsi="宋体" w:eastAsia="宋体" w:cs="宋体"/>
          <w:bCs/>
          <w:color w:val="auto"/>
          <w:sz w:val="21"/>
          <w:szCs w:val="21"/>
          <w:highlight w:val="none"/>
          <w:lang w:val="en-US" w:eastAsia="zh-CN"/>
        </w:rPr>
        <w:t>无积水积泥、无堆积杂物；对于养护期内所有苗木绿化缺损、坏死均由养护单位负责及时补种；养护区域公园、绿地内大乔木养护按照业主方要求每年至少修剪1次；行道树按要求修剪，并做到不遮挡交通信号灯、指示牌和路灯等；养护范围内小乔及花灌木养护按照业主方养护要求</w:t>
      </w:r>
      <w:r>
        <w:rPr>
          <w:rFonts w:hint="eastAsia" w:hAnsi="宋体" w:cs="宋体"/>
          <w:bCs/>
          <w:color w:val="auto"/>
          <w:sz w:val="21"/>
          <w:szCs w:val="21"/>
          <w:highlight w:val="none"/>
          <w:lang w:val="en-US" w:eastAsia="zh-CN"/>
        </w:rPr>
        <w:t>定时</w:t>
      </w:r>
      <w:r>
        <w:rPr>
          <w:rFonts w:hint="default" w:ascii="宋体" w:hAnsi="宋体" w:eastAsia="宋体" w:cs="宋体"/>
          <w:bCs/>
          <w:color w:val="auto"/>
          <w:sz w:val="21"/>
          <w:szCs w:val="21"/>
          <w:highlight w:val="none"/>
          <w:lang w:val="en-US" w:eastAsia="zh-CN"/>
        </w:rPr>
        <w:t>修剪</w:t>
      </w:r>
      <w:r>
        <w:rPr>
          <w:rFonts w:hint="eastAsia" w:hAnsi="宋体" w:cs="宋体"/>
          <w:bCs/>
          <w:color w:val="auto"/>
          <w:sz w:val="21"/>
          <w:szCs w:val="21"/>
          <w:highlight w:val="none"/>
          <w:lang w:val="en-US" w:eastAsia="zh-CN"/>
        </w:rPr>
        <w:t>，保持修剪平整度一致</w:t>
      </w:r>
      <w:r>
        <w:rPr>
          <w:rFonts w:hint="default" w:ascii="宋体" w:hAnsi="宋体" w:eastAsia="宋体" w:cs="宋体"/>
          <w:bCs/>
          <w:color w:val="auto"/>
          <w:sz w:val="21"/>
          <w:szCs w:val="21"/>
          <w:highlight w:val="none"/>
          <w:lang w:val="en-US" w:eastAsia="zh-CN"/>
        </w:rPr>
        <w:t>；养护区域内若出现违章搭建及无证占绿、乱种植等现象，养护单位必须当场予以制止，并清理干净、恢复原样，相关一切工作均由养护单位负责处理。投标单位须将以上涉及的一切费用等综合考虑，并计入报价。</w:t>
      </w:r>
      <w:bookmarkEnd w:id="8"/>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9" w:name="_Toc21171"/>
      <w:r>
        <w:rPr>
          <w:rFonts w:hint="eastAsia" w:hAnsi="宋体" w:cs="宋体"/>
          <w:bCs/>
          <w:color w:val="auto"/>
          <w:sz w:val="21"/>
          <w:szCs w:val="21"/>
          <w:highlight w:val="none"/>
          <w:lang w:val="en-US" w:eastAsia="zh-CN"/>
        </w:rPr>
        <w:t>7</w:t>
      </w:r>
      <w:r>
        <w:rPr>
          <w:rFonts w:hint="default" w:ascii="宋体" w:hAnsi="宋体" w:eastAsia="宋体" w:cs="宋体"/>
          <w:bCs/>
          <w:color w:val="auto"/>
          <w:sz w:val="21"/>
          <w:szCs w:val="21"/>
          <w:highlight w:val="none"/>
          <w:lang w:val="en-US" w:eastAsia="zh-CN"/>
        </w:rPr>
        <w:t>、若养护服务过程中遇到与其他项目需交叉</w:t>
      </w:r>
      <w:r>
        <w:rPr>
          <w:rFonts w:hint="eastAsia" w:hAnsi="宋体" w:cs="宋体"/>
          <w:bCs/>
          <w:color w:val="auto"/>
          <w:sz w:val="21"/>
          <w:szCs w:val="21"/>
          <w:highlight w:val="none"/>
          <w:lang w:val="en-US" w:eastAsia="zh-CN"/>
        </w:rPr>
        <w:t>实施</w:t>
      </w:r>
      <w:r>
        <w:rPr>
          <w:rFonts w:hint="default" w:ascii="宋体" w:hAnsi="宋体" w:eastAsia="宋体" w:cs="宋体"/>
          <w:bCs/>
          <w:color w:val="auto"/>
          <w:sz w:val="21"/>
          <w:szCs w:val="21"/>
          <w:highlight w:val="none"/>
          <w:lang w:val="en-US" w:eastAsia="zh-CN"/>
        </w:rPr>
        <w:t>的，由承包人自行协调处理，投标报价时综合考虑该因素。</w:t>
      </w:r>
      <w:bookmarkEnd w:id="9"/>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0" w:name="_Toc20211"/>
      <w:r>
        <w:rPr>
          <w:rFonts w:hint="eastAsia" w:hAnsi="宋体" w:cs="宋体"/>
          <w:bCs/>
          <w:color w:val="auto"/>
          <w:sz w:val="21"/>
          <w:szCs w:val="21"/>
          <w:highlight w:val="none"/>
          <w:lang w:val="en-US" w:eastAsia="zh-CN"/>
        </w:rPr>
        <w:t>8</w:t>
      </w:r>
      <w:r>
        <w:rPr>
          <w:rFonts w:hint="default" w:ascii="宋体" w:hAnsi="宋体" w:eastAsia="宋体" w:cs="宋体"/>
          <w:bCs/>
          <w:color w:val="auto"/>
          <w:sz w:val="21"/>
          <w:szCs w:val="21"/>
          <w:highlight w:val="none"/>
          <w:lang w:val="en-US" w:eastAsia="zh-CN"/>
        </w:rPr>
        <w:t>、凡养护服务过程中涉及需要坐标点、水准点定位的，投标单位须在投标报价中综合考虑。</w:t>
      </w:r>
      <w:bookmarkEnd w:id="10"/>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1" w:name="_Toc28650"/>
      <w:r>
        <w:rPr>
          <w:rFonts w:hint="eastAsia" w:hAnsi="宋体" w:cs="宋体"/>
          <w:bCs/>
          <w:color w:val="auto"/>
          <w:sz w:val="21"/>
          <w:szCs w:val="21"/>
          <w:highlight w:val="none"/>
          <w:lang w:val="en-US" w:eastAsia="zh-CN"/>
        </w:rPr>
        <w:t>9</w:t>
      </w:r>
      <w:r>
        <w:rPr>
          <w:rFonts w:hint="default" w:ascii="宋体" w:hAnsi="宋体" w:eastAsia="宋体" w:cs="宋体"/>
          <w:bCs/>
          <w:color w:val="auto"/>
          <w:sz w:val="21"/>
          <w:szCs w:val="21"/>
          <w:highlight w:val="none"/>
          <w:lang w:val="en-US" w:eastAsia="zh-CN"/>
        </w:rPr>
        <w:t>、养护工作必须精细，养护期内所有苗木绿化缺损，坏死均由中标方负责及时补种，涉及的一切费用已包含在投标报价中。</w:t>
      </w:r>
      <w:bookmarkEnd w:id="11"/>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2" w:name="_Toc27278"/>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0</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按省、市现行规范养护标准（包括但不限于以下内容）</w:t>
      </w:r>
      <w:r>
        <w:rPr>
          <w:rFonts w:hint="default" w:ascii="宋体" w:hAnsi="宋体" w:eastAsia="宋体" w:cs="宋体"/>
          <w:bCs/>
          <w:color w:val="auto"/>
          <w:sz w:val="21"/>
          <w:szCs w:val="21"/>
          <w:highlight w:val="none"/>
          <w:lang w:val="en-US" w:eastAsia="zh-CN"/>
        </w:rPr>
        <w:t>所有苗木及花草在保活养护期内：①保证苗木、花草成活率100%，无病株、无死株；②发现病株、死株及时按原标准更换；③绿化区域内无明显杂草，发现杂草及时清除；④做好树木防台、防旱、防寒、防虫、防雪、除雪等工作；⑤保持绿化草坪的纯度，及时修剪并长期保持合理的高度</w:t>
      </w:r>
      <w:r>
        <w:rPr>
          <w:rFonts w:hint="eastAsia" w:hAnsi="宋体" w:cs="宋体"/>
          <w:bCs/>
          <w:color w:val="auto"/>
          <w:sz w:val="21"/>
          <w:szCs w:val="21"/>
          <w:highlight w:val="none"/>
          <w:lang w:val="en-US" w:eastAsia="zh-CN"/>
        </w:rPr>
        <w:t>；⑥对养护区域内的柳絮和杨絮进行治理（按嘉兴市园林市政管理服务中心《关于对杨柳树飘絮开展治理工作的函》执行</w:t>
      </w:r>
      <w:r>
        <w:rPr>
          <w:rFonts w:hint="default" w:ascii="宋体" w:hAnsi="宋体" w:eastAsia="宋体" w:cs="宋体"/>
          <w:bCs/>
          <w:color w:val="auto"/>
          <w:sz w:val="21"/>
          <w:szCs w:val="21"/>
          <w:highlight w:val="none"/>
          <w:lang w:val="en-US" w:eastAsia="zh-CN"/>
        </w:rPr>
        <w:t>。</w:t>
      </w:r>
      <w:bookmarkEnd w:id="12"/>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3" w:name="_Toc17915"/>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、养护服务期间，应确保</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人员和通行人员的安全，道路养护服务范围要求作安全隔离处理，现场养护服务作业人员要求穿带反光安全工作服，设置必要的道路通行疏导指挥人员、必要的通行导示、导向牌等，安排专人清理道路上的抛洒物，费用包含在投标报价内。</w:t>
      </w:r>
      <w:bookmarkEnd w:id="13"/>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4" w:name="_Toc29477"/>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、本养护服务所有材料、设备、配件均由承包人采购，其质量必须符合</w:t>
      </w:r>
      <w:r>
        <w:rPr>
          <w:rFonts w:hint="eastAsia" w:hAnsi="宋体" w:cs="宋体"/>
          <w:bCs/>
          <w:color w:val="auto"/>
          <w:sz w:val="21"/>
          <w:szCs w:val="21"/>
          <w:highlight w:val="none"/>
          <w:lang w:val="en-US" w:eastAsia="zh-CN"/>
        </w:rPr>
        <w:t>发包人和验收</w:t>
      </w:r>
      <w:r>
        <w:rPr>
          <w:rFonts w:hint="default" w:ascii="宋体" w:hAnsi="宋体" w:eastAsia="宋体" w:cs="宋体"/>
          <w:bCs/>
          <w:color w:val="auto"/>
          <w:sz w:val="21"/>
          <w:szCs w:val="21"/>
          <w:highlight w:val="none"/>
          <w:lang w:val="en-US" w:eastAsia="zh-CN"/>
        </w:rPr>
        <w:t>规范要求，进场前必须报发包人审批，未经批准的材料不得进场</w:t>
      </w:r>
      <w:r>
        <w:rPr>
          <w:rFonts w:hint="eastAsia" w:hAnsi="宋体" w:cs="宋体"/>
          <w:bCs/>
          <w:color w:val="auto"/>
          <w:sz w:val="21"/>
          <w:szCs w:val="21"/>
          <w:highlight w:val="none"/>
          <w:lang w:val="en-US" w:eastAsia="zh-CN"/>
        </w:rPr>
        <w:t>实施</w:t>
      </w:r>
      <w:r>
        <w:rPr>
          <w:rFonts w:hint="default" w:ascii="宋体" w:hAnsi="宋体" w:eastAsia="宋体" w:cs="宋体"/>
          <w:bCs/>
          <w:color w:val="auto"/>
          <w:sz w:val="21"/>
          <w:szCs w:val="21"/>
          <w:highlight w:val="none"/>
          <w:lang w:val="en-US" w:eastAsia="zh-CN"/>
        </w:rPr>
        <w:t>，否则一切损失由承包人负责。</w:t>
      </w:r>
      <w:bookmarkEnd w:id="14"/>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5" w:name="_Toc14890"/>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范围内的道路、绿化修复、移植复原、除草、场地平整、部分区块垃圾清运出场及土方造坡整理所发生的费用由承包方承担，所需费用计入报价内。承包方</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中应做好绿地周边与已建道路、绿道内园建设施的保护，因</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造成损坏的，均要求无条件原样恢复。</w:t>
      </w:r>
      <w:bookmarkEnd w:id="15"/>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6" w:name="_Toc14204"/>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4</w:t>
      </w:r>
      <w:r>
        <w:rPr>
          <w:rFonts w:hint="default" w:ascii="宋体" w:hAnsi="宋体" w:eastAsia="宋体" w:cs="宋体"/>
          <w:bCs/>
          <w:color w:val="auto"/>
          <w:sz w:val="21"/>
          <w:szCs w:val="21"/>
          <w:highlight w:val="none"/>
          <w:lang w:val="en-US" w:eastAsia="zh-CN"/>
        </w:rPr>
        <w:t>、养护范围内的生长良好的暖季型草坪入冬尚未枯黄前，追播寿命短的冷季型草种子，使冷、暖两类植物的绿色期在同一块草坪地块内先后衔接，基本实现草坪的周年常绿。</w:t>
      </w:r>
      <w:bookmarkEnd w:id="16"/>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7" w:name="_Toc11159"/>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、投标人应充分考虑养护服务进出场、大型机械进出场的费用和安全防护费用，包括市政、市容、环保、交通、治安等，计入</w:t>
      </w:r>
      <w:r>
        <w:rPr>
          <w:rFonts w:hint="eastAsia" w:hAnsi="宋体" w:cs="宋体"/>
          <w:bCs/>
          <w:color w:val="auto"/>
          <w:sz w:val="21"/>
          <w:szCs w:val="21"/>
          <w:highlight w:val="none"/>
          <w:lang w:val="en-US" w:eastAsia="zh-CN"/>
        </w:rPr>
        <w:t>投标</w:t>
      </w:r>
      <w:r>
        <w:rPr>
          <w:rFonts w:hint="default" w:ascii="宋体" w:hAnsi="宋体" w:eastAsia="宋体" w:cs="宋体"/>
          <w:bCs/>
          <w:color w:val="auto"/>
          <w:sz w:val="21"/>
          <w:szCs w:val="21"/>
          <w:highlight w:val="none"/>
          <w:lang w:val="en-US" w:eastAsia="zh-CN"/>
        </w:rPr>
        <w:t>费用中，今后一概不作调整。</w:t>
      </w:r>
      <w:bookmarkEnd w:id="17"/>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8" w:name="_Toc396891429"/>
      <w:bookmarkStart w:id="19" w:name="_Toc8575"/>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6</w:t>
      </w:r>
      <w:r>
        <w:rPr>
          <w:rFonts w:hint="default" w:ascii="宋体" w:hAnsi="宋体" w:eastAsia="宋体" w:cs="宋体"/>
          <w:bCs/>
          <w:color w:val="auto"/>
          <w:sz w:val="21"/>
          <w:szCs w:val="21"/>
          <w:highlight w:val="none"/>
          <w:lang w:val="en-US" w:eastAsia="zh-CN"/>
        </w:rPr>
        <w:t>、</w:t>
      </w:r>
      <w:bookmarkEnd w:id="18"/>
      <w:r>
        <w:rPr>
          <w:rFonts w:hint="default" w:ascii="宋体" w:hAnsi="宋体" w:eastAsia="宋体" w:cs="宋体"/>
          <w:bCs/>
          <w:color w:val="auto"/>
          <w:sz w:val="21"/>
          <w:szCs w:val="21"/>
          <w:highlight w:val="none"/>
          <w:lang w:val="en-US" w:eastAsia="zh-CN"/>
        </w:rPr>
        <w:t>招标范围内的道路、绿化带等全覆盖区域，按时按点做好清洁、保洁巡查等工作。</w:t>
      </w:r>
      <w:bookmarkEnd w:id="19"/>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20" w:name="_Toc17872"/>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7</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期间引起的扰民（包括：行车、噪音、污染、损坏居民物品等影响民众生活的因素）由此产生的费用由各单位在投标报价时综合考虑后计入报价内。</w:t>
      </w:r>
      <w:bookmarkEnd w:id="20"/>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21" w:name="_Toc4271"/>
      <w:r>
        <w:rPr>
          <w:rFonts w:hint="eastAsia" w:hAnsi="宋体" w:cs="宋体"/>
          <w:bCs/>
          <w:color w:val="auto"/>
          <w:sz w:val="21"/>
          <w:szCs w:val="21"/>
          <w:highlight w:val="none"/>
          <w:lang w:val="en-US" w:eastAsia="zh-CN"/>
        </w:rPr>
        <w:t>18</w:t>
      </w:r>
      <w:r>
        <w:rPr>
          <w:rFonts w:hint="default" w:ascii="宋体" w:hAnsi="宋体" w:eastAsia="宋体" w:cs="宋体"/>
          <w:bCs/>
          <w:color w:val="auto"/>
          <w:sz w:val="21"/>
          <w:szCs w:val="21"/>
          <w:highlight w:val="none"/>
          <w:lang w:val="en-US" w:eastAsia="zh-CN"/>
        </w:rPr>
        <w:t>、承包人在</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中应注意对</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区域内原有设施及各类公用管线、井盖的保护保护，今后因承包人</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原因造成损坏的，承包人应及时修复并承担一切费用；如不及时修复的，招标人将请专业单位进行修复,费用从承包人</w:t>
      </w:r>
      <w:r>
        <w:rPr>
          <w:rFonts w:hint="eastAsia" w:hAnsi="宋体" w:cs="宋体"/>
          <w:bCs/>
          <w:color w:val="auto"/>
          <w:sz w:val="21"/>
          <w:szCs w:val="21"/>
          <w:highlight w:val="none"/>
          <w:lang w:val="en-US" w:eastAsia="zh-CN"/>
        </w:rPr>
        <w:t>合同</w:t>
      </w:r>
      <w:r>
        <w:rPr>
          <w:rFonts w:hint="default" w:ascii="宋体" w:hAnsi="宋体" w:eastAsia="宋体" w:cs="宋体"/>
          <w:bCs/>
          <w:color w:val="auto"/>
          <w:sz w:val="21"/>
          <w:szCs w:val="21"/>
          <w:highlight w:val="none"/>
          <w:lang w:val="en-US" w:eastAsia="zh-CN"/>
        </w:rPr>
        <w:t>款中直接扣除。</w:t>
      </w:r>
      <w:bookmarkEnd w:id="21"/>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22" w:name="_Toc27339"/>
      <w:r>
        <w:rPr>
          <w:rFonts w:hint="eastAsia" w:hAnsi="宋体" w:cs="宋体"/>
          <w:bCs/>
          <w:color w:val="auto"/>
          <w:sz w:val="21"/>
          <w:szCs w:val="21"/>
          <w:highlight w:val="none"/>
          <w:lang w:val="en-US" w:eastAsia="zh-CN"/>
        </w:rPr>
        <w:t>19</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区域内绿化等修补及现有苗木（含行道树）迁移等工作由投标人承担，所需费用由投标人应充分考虑后计入报价内。</w:t>
      </w:r>
      <w:bookmarkEnd w:id="22"/>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23" w:name="_Toc17857"/>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0</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车辆必须按项目所在地综合行政执法部门的规定办理通行证，缴纳相关保证金，并在规定时间规定线路内通行，投标单位在报价中考虑相关的费用。</w:t>
      </w:r>
      <w:bookmarkEnd w:id="23"/>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24" w:name="_Toc27826"/>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、因本项目实施处于疫情期间，承包人须按疫情期间相关文件实施</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，该部分费用已包含在投标报价中，不再另行支付。</w:t>
      </w:r>
      <w:bookmarkEnd w:id="24"/>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lang w:val="en-US" w:eastAsia="zh-CN"/>
        </w:rPr>
      </w:pPr>
      <w:bookmarkStart w:id="25" w:name="_Toc13386"/>
      <w:r>
        <w:rPr>
          <w:rFonts w:hint="eastAsia" w:hAnsi="宋体" w:cs="宋体"/>
          <w:bCs/>
          <w:color w:val="auto"/>
          <w:sz w:val="21"/>
          <w:szCs w:val="21"/>
          <w:highlight w:val="none"/>
          <w:lang w:val="en-US" w:eastAsia="zh-CN"/>
        </w:rPr>
        <w:t>22</w:t>
      </w:r>
      <w:r>
        <w:rPr>
          <w:rFonts w:hint="eastAsia" w:ascii="宋体" w:hAnsi="宋体" w:eastAsia="宋体" w:cs="宋体"/>
          <w:bCs/>
          <w:color w:val="auto"/>
          <w:sz w:val="21"/>
          <w:szCs w:val="21"/>
          <w:highlight w:val="none"/>
          <w:lang w:val="en-US" w:eastAsia="zh-CN"/>
        </w:rPr>
        <w:t>、养护单位须按月足额发放人员工资，不得存在苛扣、漏发情况，否则按考核办法扣分罚款。</w:t>
      </w:r>
      <w:bookmarkEnd w:id="25"/>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、与本项目养护相关的器械自行配备，费用包含在投标总价中。</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24、</w:t>
      </w:r>
      <w:r>
        <w:rPr>
          <w:rFonts w:hint="default" w:ascii="宋体" w:hAnsi="宋体" w:eastAsia="宋体" w:cs="宋体"/>
          <w:bCs/>
          <w:color w:val="auto"/>
          <w:sz w:val="21"/>
          <w:szCs w:val="21"/>
          <w:highlight w:val="none"/>
          <w:lang w:val="en-US" w:eastAsia="zh-CN"/>
        </w:rPr>
        <w:t>人员配备要求</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25.</w:t>
      </w:r>
      <w:r>
        <w:rPr>
          <w:rFonts w:hint="default" w:ascii="宋体" w:hAnsi="宋体" w:eastAsia="宋体" w:cs="宋体"/>
          <w:bCs/>
          <w:color w:val="auto"/>
          <w:sz w:val="21"/>
          <w:szCs w:val="21"/>
          <w:highlight w:val="none"/>
          <w:lang w:val="en-US" w:eastAsia="zh-CN"/>
        </w:rPr>
        <w:t>1、本项目人员配备采用定量定员的模式，乙方必须按要求配足。</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一标段：</w:t>
      </w:r>
      <w:r>
        <w:rPr>
          <w:rFonts w:hint="default" w:ascii="宋体" w:hAnsi="宋体" w:eastAsia="宋体" w:cs="宋体"/>
          <w:bCs/>
          <w:color w:val="auto"/>
          <w:sz w:val="21"/>
          <w:szCs w:val="21"/>
          <w:highlight w:val="none"/>
          <w:lang w:val="en-US" w:eastAsia="zh-CN"/>
        </w:rPr>
        <w:t>3-10月养护人员不少于</w:t>
      </w:r>
      <w:r>
        <w:rPr>
          <w:rFonts w:hint="eastAsia" w:ascii="宋体" w:hAnsi="宋体" w:eastAsia="宋体" w:cs="宋体"/>
          <w:bCs/>
          <w:color w:val="auto"/>
          <w:sz w:val="21"/>
          <w:szCs w:val="21"/>
          <w:highlight w:val="none"/>
          <w:lang w:val="en-US" w:eastAsia="zh-CN"/>
        </w:rPr>
        <w:t>25</w:t>
      </w:r>
      <w:r>
        <w:rPr>
          <w:rFonts w:hint="default" w:ascii="宋体" w:hAnsi="宋体" w:eastAsia="宋体" w:cs="宋体"/>
          <w:bCs/>
          <w:color w:val="auto"/>
          <w:sz w:val="21"/>
          <w:szCs w:val="21"/>
          <w:highlight w:val="none"/>
          <w:lang w:val="en-US" w:eastAsia="zh-CN"/>
        </w:rPr>
        <w:t>人（</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）。其它时期不少于</w:t>
      </w:r>
      <w:r>
        <w:rPr>
          <w:rFonts w:hint="eastAsia" w:ascii="宋体" w:hAnsi="宋体" w:eastAsia="宋体" w:cs="宋体"/>
          <w:bCs/>
          <w:color w:val="auto"/>
          <w:sz w:val="21"/>
          <w:szCs w:val="21"/>
          <w:highlight w:val="none"/>
          <w:lang w:val="en-US" w:eastAsia="zh-CN"/>
        </w:rPr>
        <w:t>12</w:t>
      </w:r>
      <w:r>
        <w:rPr>
          <w:rFonts w:hint="default"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lang w:val="en-US" w:eastAsia="zh-CN"/>
        </w:rPr>
        <w:t>，</w:t>
      </w:r>
      <w:r>
        <w:rPr>
          <w:rFonts w:hint="default" w:ascii="宋体" w:hAnsi="宋体" w:eastAsia="宋体" w:cs="宋体"/>
          <w:bCs/>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；二标段：</w:t>
      </w:r>
      <w:r>
        <w:rPr>
          <w:rFonts w:hint="default" w:ascii="宋体" w:hAnsi="宋体" w:eastAsia="宋体" w:cs="宋体"/>
          <w:bCs/>
          <w:color w:val="auto"/>
          <w:sz w:val="21"/>
          <w:szCs w:val="21"/>
          <w:highlight w:val="none"/>
          <w:lang w:val="en-US" w:eastAsia="zh-CN"/>
        </w:rPr>
        <w:t>3-10月养护人员不少于</w:t>
      </w:r>
      <w:r>
        <w:rPr>
          <w:rFonts w:hint="eastAsia"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人（</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）。其它时期不少于</w:t>
      </w:r>
      <w:r>
        <w:rPr>
          <w:rFonts w:hint="eastAsia" w:hAnsi="宋体" w:cs="宋体"/>
          <w:bCs/>
          <w:color w:val="auto"/>
          <w:sz w:val="21"/>
          <w:szCs w:val="21"/>
          <w:highlight w:val="none"/>
          <w:lang w:val="en-US" w:eastAsia="zh-CN"/>
        </w:rPr>
        <w:t>10</w:t>
      </w:r>
      <w:r>
        <w:rPr>
          <w:rFonts w:hint="default"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lang w:val="en-US" w:eastAsia="zh-CN"/>
        </w:rPr>
        <w:t>，</w:t>
      </w:r>
      <w:r>
        <w:rPr>
          <w:rFonts w:hint="default" w:ascii="宋体" w:hAnsi="宋体" w:eastAsia="宋体" w:cs="宋体"/>
          <w:bCs/>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；三标段：</w:t>
      </w:r>
      <w:r>
        <w:rPr>
          <w:rFonts w:hint="default" w:ascii="宋体" w:hAnsi="宋体" w:eastAsia="宋体" w:cs="宋体"/>
          <w:bCs/>
          <w:color w:val="auto"/>
          <w:sz w:val="21"/>
          <w:szCs w:val="21"/>
          <w:highlight w:val="none"/>
          <w:lang w:val="en-US" w:eastAsia="zh-CN"/>
        </w:rPr>
        <w:t>3-10月养护人员不少于</w:t>
      </w:r>
      <w:r>
        <w:rPr>
          <w:rFonts w:hint="eastAsia"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人（</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）。其它时期不少于</w:t>
      </w: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lang w:val="en-US" w:eastAsia="zh-CN"/>
        </w:rPr>
        <w:t>，</w:t>
      </w:r>
      <w:r>
        <w:rPr>
          <w:rFonts w:hint="default" w:ascii="宋体" w:hAnsi="宋体" w:eastAsia="宋体" w:cs="宋体"/>
          <w:bCs/>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t>包括</w:t>
      </w:r>
      <w:r>
        <w:rPr>
          <w:rFonts w:hint="eastAsia" w:hAnsi="宋体" w:cs="宋体"/>
          <w:b/>
          <w:bCs w:val="0"/>
          <w:color w:val="auto"/>
          <w:sz w:val="21"/>
          <w:szCs w:val="21"/>
          <w:highlight w:val="none"/>
          <w:lang w:val="en-US" w:eastAsia="zh-CN"/>
        </w:rPr>
        <w:t>项目负责人</w:t>
      </w:r>
      <w:r>
        <w:rPr>
          <w:rFonts w:hint="eastAsia" w:ascii="宋体" w:hAnsi="宋体" w:eastAsia="宋体" w:cs="宋体"/>
          <w:b/>
          <w:bCs w:val="0"/>
          <w:color w:val="auto"/>
          <w:sz w:val="21"/>
          <w:szCs w:val="21"/>
          <w:highlight w:val="none"/>
          <w:lang w:val="en-US" w:eastAsia="zh-CN"/>
        </w:rPr>
        <w:t>1</w:t>
      </w:r>
      <w:r>
        <w:rPr>
          <w:rFonts w:hint="default" w:ascii="宋体" w:hAnsi="宋体" w:eastAsia="宋体" w:cs="宋体"/>
          <w:b/>
          <w:bCs w:val="0"/>
          <w:color w:val="auto"/>
          <w:sz w:val="21"/>
          <w:szCs w:val="21"/>
          <w:highlight w:val="none"/>
          <w:lang w:val="en-US" w:eastAsia="zh-CN"/>
        </w:rPr>
        <w:t>名</w:t>
      </w:r>
      <w:r>
        <w:rPr>
          <w:rFonts w:hint="eastAsia" w:hAnsi="宋体" w:cs="宋体"/>
          <w:b/>
          <w:bCs w:val="0"/>
          <w:color w:val="auto"/>
          <w:sz w:val="21"/>
          <w:szCs w:val="21"/>
          <w:highlight w:val="none"/>
          <w:lang w:val="en-US" w:eastAsia="zh-CN"/>
        </w:rPr>
        <w:t>，需具有园林绿化相关专业工程师及以上职称</w:t>
      </w:r>
      <w:r>
        <w:rPr>
          <w:rFonts w:hint="default" w:ascii="宋体" w:hAnsi="宋体" w:eastAsia="宋体" w:cs="宋体"/>
          <w:bCs/>
          <w:color w:val="auto"/>
          <w:sz w:val="21"/>
          <w:szCs w:val="21"/>
          <w:highlight w:val="none"/>
          <w:lang w:val="en-US" w:eastAsia="zh-CN"/>
        </w:rPr>
        <w:t>）。</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25.3、一标段：保洁人员不少于13人</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二标段：保洁人员不少于11人</w:t>
      </w:r>
      <w:r>
        <w:rPr>
          <w:rFonts w:hint="eastAsia"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三标段：保洁人员不少于11人。</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25.4</w:t>
      </w:r>
      <w:r>
        <w:rPr>
          <w:rFonts w:hint="default" w:ascii="宋体" w:hAnsi="宋体" w:eastAsia="宋体" w:cs="宋体"/>
          <w:bCs/>
          <w:color w:val="auto"/>
          <w:sz w:val="21"/>
          <w:szCs w:val="21"/>
          <w:highlight w:val="none"/>
          <w:lang w:val="en-US" w:eastAsia="zh-CN"/>
        </w:rPr>
        <w:t>、检查时人员不得少于应到数的90%，如发现养护人员配备不足：</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1）每少一名人员扣除当月养护经费1800元，</w:t>
      </w:r>
      <w:r>
        <w:rPr>
          <w:rFonts w:hint="eastAsia" w:hAnsi="宋体" w:cs="宋体"/>
          <w:bCs/>
          <w:color w:val="auto"/>
          <w:sz w:val="21"/>
          <w:szCs w:val="21"/>
          <w:highlight w:val="none"/>
          <w:lang w:val="en-US" w:eastAsia="zh-CN"/>
        </w:rPr>
        <w:t>在季度结算时一并扣除</w:t>
      </w:r>
      <w:r>
        <w:rPr>
          <w:rFonts w:hint="default" w:ascii="宋体" w:hAnsi="宋体" w:eastAsia="宋体" w:cs="宋体"/>
          <w:bCs/>
          <w:color w:val="auto"/>
          <w:sz w:val="21"/>
          <w:szCs w:val="21"/>
          <w:highlight w:val="none"/>
          <w:lang w:val="en-US" w:eastAsia="zh-CN"/>
        </w:rPr>
        <w:t>。</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）人员配备少于规定数量的70%时，扣除当月养护费。</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25.5</w:t>
      </w:r>
      <w:r>
        <w:rPr>
          <w:rFonts w:hint="default" w:ascii="宋体" w:hAnsi="宋体" w:eastAsia="宋体" w:cs="宋体"/>
          <w:bCs/>
          <w:color w:val="auto"/>
          <w:sz w:val="21"/>
          <w:szCs w:val="21"/>
          <w:highlight w:val="none"/>
          <w:lang w:val="en-US" w:eastAsia="zh-CN"/>
        </w:rPr>
        <w:t>、暴雨天等不适宜养护作业时，乙方可暂停养护一线作业，必须按排不少于3名男性养护人员随时处置各类事务；平时应建立不少于5人的应急队伍</w:t>
      </w:r>
      <w:r>
        <w:rPr>
          <w:rFonts w:hint="eastAsia" w:hAnsi="宋体" w:cs="宋体"/>
          <w:bCs/>
          <w:color w:val="auto"/>
          <w:sz w:val="21"/>
          <w:szCs w:val="21"/>
          <w:highlight w:val="none"/>
          <w:lang w:val="en-US" w:eastAsia="zh-CN"/>
        </w:rPr>
        <w:t>及应急设备</w:t>
      </w:r>
      <w:r>
        <w:rPr>
          <w:rFonts w:hint="default" w:ascii="宋体" w:hAnsi="宋体" w:eastAsia="宋体" w:cs="宋体"/>
          <w:bCs/>
          <w:color w:val="auto"/>
          <w:sz w:val="21"/>
          <w:szCs w:val="21"/>
          <w:highlight w:val="none"/>
          <w:lang w:val="en-US" w:eastAsia="zh-CN"/>
        </w:rPr>
        <w:t>，24小时应对各类突发事件。</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25.6</w:t>
      </w:r>
      <w:r>
        <w:rPr>
          <w:rFonts w:hint="default" w:ascii="宋体" w:hAnsi="宋体" w:eastAsia="宋体" w:cs="宋体"/>
          <w:bCs/>
          <w:color w:val="auto"/>
          <w:sz w:val="21"/>
          <w:szCs w:val="21"/>
          <w:highlight w:val="none"/>
          <w:lang w:val="en-US" w:eastAsia="zh-CN"/>
        </w:rPr>
        <w:t>、必须落实专人，每天巡查不少于2次，原则上安排在8:00-10:00、14:00-16:00，对巡查中发现的问题原则上当天处理完毕，苗木损坏、设施破损等须立即通知甲方管理人员处理。未及时发现或上报造成的损失由乙方自行承担，如交通事故造成损坏的，根据交警部门处理意见处理，现场由乙方恢复原状，费用</w:t>
      </w:r>
      <w:r>
        <w:rPr>
          <w:rFonts w:hint="eastAsia" w:hAnsi="宋体" w:cs="宋体"/>
          <w:bCs/>
          <w:color w:val="auto"/>
          <w:sz w:val="21"/>
          <w:szCs w:val="21"/>
          <w:highlight w:val="none"/>
          <w:lang w:val="en-US" w:eastAsia="zh-CN"/>
        </w:rPr>
        <w:t>在季度结算时一并扣除</w:t>
      </w:r>
      <w:r>
        <w:rPr>
          <w:rFonts w:hint="default" w:ascii="宋体" w:hAnsi="宋体" w:eastAsia="宋体" w:cs="宋体"/>
          <w:bCs/>
          <w:color w:val="auto"/>
          <w:sz w:val="21"/>
          <w:szCs w:val="21"/>
          <w:highlight w:val="none"/>
          <w:lang w:val="en-US" w:eastAsia="zh-CN"/>
        </w:rPr>
        <w:t>。</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25.7</w:t>
      </w:r>
      <w:r>
        <w:rPr>
          <w:rFonts w:hint="default" w:ascii="宋体" w:hAnsi="宋体" w:eastAsia="宋体" w:cs="宋体"/>
          <w:bCs/>
          <w:color w:val="auto"/>
          <w:sz w:val="21"/>
          <w:szCs w:val="21"/>
          <w:highlight w:val="none"/>
          <w:lang w:val="en-US" w:eastAsia="zh-CN"/>
        </w:rPr>
        <w:t>、中标单位须做好区域内的日常卫生保洁工作，保洁时间不少于</w:t>
      </w:r>
      <w:r>
        <w:rPr>
          <w:rFonts w:hint="eastAsia" w:hAnsi="宋体" w:cs="宋体"/>
          <w:bCs/>
          <w:color w:val="auto"/>
          <w:sz w:val="21"/>
          <w:szCs w:val="21"/>
          <w:highlight w:val="none"/>
          <w:lang w:val="en-US" w:eastAsia="zh-CN"/>
        </w:rPr>
        <w:t>10</w:t>
      </w:r>
      <w:r>
        <w:rPr>
          <w:rFonts w:hint="default" w:ascii="宋体" w:hAnsi="宋体" w:eastAsia="宋体" w:cs="宋体"/>
          <w:bCs/>
          <w:color w:val="auto"/>
          <w:sz w:val="21"/>
          <w:szCs w:val="21"/>
          <w:highlight w:val="none"/>
          <w:lang w:val="en-US" w:eastAsia="zh-CN"/>
        </w:rPr>
        <w:t>小时，如出现较多垃圾时必须增派人员突击清除。</w:t>
      </w:r>
    </w:p>
    <w:p>
      <w:pPr>
        <w:pStyle w:val="28"/>
        <w:snapToGrid w:val="0"/>
        <w:spacing w:before="0" w:beforeLines="0" w:after="0" w:afterLines="0" w:line="500" w:lineRule="exact"/>
        <w:ind w:firstLine="420" w:firstLineChars="200"/>
        <w:outlineLvl w:val="0"/>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、养护单位须有应急</w:t>
      </w:r>
      <w:r>
        <w:rPr>
          <w:rFonts w:hint="eastAsia" w:hAnsi="宋体" w:cs="宋体"/>
          <w:bCs/>
          <w:color w:val="auto"/>
          <w:sz w:val="21"/>
          <w:szCs w:val="21"/>
          <w:highlight w:val="none"/>
          <w:lang w:val="en-US" w:eastAsia="zh-CN"/>
        </w:rPr>
        <w:t>处理相关设施设备</w:t>
      </w:r>
      <w:r>
        <w:rPr>
          <w:rFonts w:hint="eastAsia" w:ascii="宋体" w:hAnsi="宋体" w:eastAsia="宋体" w:cs="宋体"/>
          <w:bCs/>
          <w:color w:val="auto"/>
          <w:sz w:val="21"/>
          <w:szCs w:val="21"/>
          <w:highlight w:val="none"/>
          <w:lang w:val="en-US" w:eastAsia="zh-CN"/>
        </w:rPr>
        <w:t>的仓库，常备应急设备、</w:t>
      </w:r>
      <w:r>
        <w:rPr>
          <w:rFonts w:hint="eastAsia" w:hAnsi="宋体" w:cs="宋体"/>
          <w:bCs/>
          <w:color w:val="auto"/>
          <w:sz w:val="21"/>
          <w:szCs w:val="21"/>
          <w:highlight w:val="none"/>
          <w:lang w:val="en-US" w:eastAsia="zh-CN"/>
        </w:rPr>
        <w:t>车辆及</w:t>
      </w:r>
      <w:r>
        <w:rPr>
          <w:rFonts w:hint="eastAsia" w:ascii="宋体" w:hAnsi="宋体" w:eastAsia="宋体" w:cs="宋体"/>
          <w:bCs/>
          <w:color w:val="auto"/>
          <w:sz w:val="21"/>
          <w:szCs w:val="21"/>
          <w:highlight w:val="none"/>
          <w:lang w:val="en-US" w:eastAsia="zh-CN"/>
        </w:rPr>
        <w:t>防倒伏的支架</w:t>
      </w:r>
      <w:r>
        <w:rPr>
          <w:rFonts w:hint="eastAsia" w:hAnsi="宋体" w:cs="宋体"/>
          <w:bCs/>
          <w:color w:val="auto"/>
          <w:sz w:val="21"/>
          <w:szCs w:val="21"/>
          <w:highlight w:val="none"/>
          <w:lang w:val="en-US" w:eastAsia="zh-CN"/>
        </w:rPr>
        <w:t>（数量应</w:t>
      </w:r>
      <w:r>
        <w:rPr>
          <w:rFonts w:hint="eastAsia" w:ascii="宋体" w:hAnsi="宋体" w:eastAsia="宋体" w:cs="宋体"/>
          <w:bCs/>
          <w:color w:val="auto"/>
          <w:sz w:val="21"/>
          <w:szCs w:val="21"/>
          <w:highlight w:val="none"/>
          <w:lang w:val="en-US" w:eastAsia="zh-CN"/>
        </w:rPr>
        <w:t>满足应急突发所需</w:t>
      </w:r>
      <w:r>
        <w:rPr>
          <w:rFonts w:hint="eastAsia" w:hAnsi="宋体" w:cs="宋体"/>
          <w:bCs/>
          <w:color w:val="auto"/>
          <w:sz w:val="21"/>
          <w:szCs w:val="21"/>
          <w:highlight w:val="none"/>
          <w:lang w:val="en-US" w:eastAsia="zh-CN"/>
        </w:rPr>
        <w:t>）</w:t>
      </w:r>
    </w:p>
    <w:p>
      <w:pPr>
        <w:pStyle w:val="28"/>
        <w:snapToGrid w:val="0"/>
        <w:spacing w:before="0" w:beforeLines="0" w:after="0" w:afterLines="0" w:line="500" w:lineRule="exact"/>
        <w:ind w:firstLine="422" w:firstLineChars="200"/>
        <w:outlineLvl w:val="0"/>
        <w:rPr>
          <w:rFonts w:hint="eastAsia" w:ascii="宋体" w:hAnsi="宋体" w:eastAsia="宋体" w:cs="宋体"/>
          <w:b/>
          <w:color w:val="auto"/>
          <w:sz w:val="21"/>
          <w:szCs w:val="21"/>
          <w:highlight w:val="none"/>
        </w:rPr>
      </w:pPr>
      <w:bookmarkStart w:id="26" w:name="_Toc3313"/>
      <w:bookmarkStart w:id="27" w:name="_Toc14666"/>
      <w:bookmarkStart w:id="28" w:name="_Toc23319"/>
      <w:r>
        <w:rPr>
          <w:rFonts w:hint="eastAsia"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商务条款</w:t>
      </w:r>
      <w:bookmarkEnd w:id="26"/>
      <w:bookmarkEnd w:id="27"/>
      <w:bookmarkEnd w:id="28"/>
    </w:p>
    <w:p>
      <w:pPr>
        <w:pStyle w:val="28"/>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lang w:eastAsia="zh-CN"/>
        </w:rPr>
      </w:pPr>
      <w:bookmarkStart w:id="29" w:name="_Toc17563"/>
      <w:bookmarkStart w:id="30" w:name="_Toc16197"/>
      <w:bookmarkStart w:id="31" w:name="_Toc1259"/>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w:t>
      </w:r>
      <w:r>
        <w:rPr>
          <w:rFonts w:hint="eastAsia" w:ascii="宋体" w:hAnsi="宋体" w:eastAsia="宋体" w:cs="宋体"/>
          <w:bCs/>
          <w:color w:val="auto"/>
          <w:sz w:val="21"/>
          <w:szCs w:val="21"/>
          <w:highlight w:val="none"/>
          <w:lang w:eastAsia="zh-CN"/>
        </w:rPr>
        <w:t>限：</w:t>
      </w:r>
      <w:r>
        <w:rPr>
          <w:rFonts w:hint="eastAsia" w:hAnsi="宋体" w:cs="宋体"/>
          <w:b w:val="0"/>
          <w:bCs/>
          <w:color w:val="auto"/>
          <w:sz w:val="21"/>
          <w:szCs w:val="21"/>
          <w:highlight w:val="none"/>
          <w:lang w:eastAsia="zh-CN"/>
        </w:rPr>
        <w:t>自签订合同之日起一年，季度考核均优秀可续签至2023年12月31日。</w:t>
      </w:r>
      <w:bookmarkEnd w:id="29"/>
      <w:bookmarkEnd w:id="30"/>
      <w:bookmarkEnd w:id="31"/>
    </w:p>
    <w:p>
      <w:pPr>
        <w:pStyle w:val="28"/>
        <w:numPr>
          <w:ilvl w:val="0"/>
          <w:numId w:val="0"/>
        </w:numPr>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lang w:eastAsia="zh-CN"/>
        </w:rPr>
      </w:pPr>
      <w:bookmarkStart w:id="32" w:name="_Toc24147"/>
      <w:bookmarkStart w:id="33" w:name="_Toc3853"/>
      <w:bookmarkStart w:id="34" w:name="_Toc17593"/>
      <w:r>
        <w:rPr>
          <w:rFonts w:hint="eastAsia" w:ascii="宋体" w:hAnsi="宋体" w:eastAsia="宋体" w:cs="宋体"/>
          <w:bCs/>
          <w:color w:val="auto"/>
          <w:sz w:val="21"/>
          <w:szCs w:val="21"/>
          <w:highlight w:val="none"/>
          <w:lang w:eastAsia="zh-CN"/>
        </w:rPr>
        <w:t>（二）履约保证金：</w:t>
      </w:r>
      <w:r>
        <w:rPr>
          <w:rFonts w:hint="eastAsia" w:hAnsi="宋体" w:cs="宋体"/>
          <w:bCs/>
          <w:color w:val="auto"/>
          <w:sz w:val="21"/>
          <w:szCs w:val="21"/>
          <w:highlight w:val="none"/>
          <w:lang w:eastAsia="zh-CN"/>
        </w:rPr>
        <w:t>签订合同价的</w:t>
      </w:r>
      <w:r>
        <w:rPr>
          <w:rFonts w:hint="eastAsia" w:hAnsi="宋体" w:cs="宋体"/>
          <w:bCs/>
          <w:color w:val="auto"/>
          <w:sz w:val="21"/>
          <w:szCs w:val="21"/>
          <w:highlight w:val="none"/>
          <w:lang w:val="en-US" w:eastAsia="zh-CN"/>
        </w:rPr>
        <w:t>2.5%，养护期结束后15日内无息退回</w:t>
      </w:r>
      <w:r>
        <w:rPr>
          <w:rFonts w:hint="eastAsia" w:ascii="宋体" w:hAnsi="宋体" w:eastAsia="宋体" w:cs="宋体"/>
          <w:bCs/>
          <w:color w:val="auto"/>
          <w:sz w:val="21"/>
          <w:szCs w:val="21"/>
          <w:highlight w:val="none"/>
          <w:lang w:eastAsia="zh-CN"/>
        </w:rPr>
        <w:t>。</w:t>
      </w:r>
      <w:bookmarkEnd w:id="32"/>
      <w:bookmarkEnd w:id="33"/>
      <w:bookmarkEnd w:id="34"/>
    </w:p>
    <w:p>
      <w:pPr>
        <w:pStyle w:val="28"/>
        <w:numPr>
          <w:ilvl w:val="0"/>
          <w:numId w:val="0"/>
        </w:numPr>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rPr>
      </w:pPr>
      <w:bookmarkStart w:id="35" w:name="_Toc31903"/>
      <w:bookmarkStart w:id="36" w:name="_Toc9234"/>
      <w:bookmarkStart w:id="37" w:name="_Toc24157"/>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付款方式：</w:t>
      </w:r>
      <w:bookmarkEnd w:id="35"/>
      <w:bookmarkEnd w:id="36"/>
      <w:bookmarkEnd w:id="37"/>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38" w:name="_Toc13838"/>
      <w:r>
        <w:rPr>
          <w:rFonts w:hint="eastAsia" w:ascii="宋体" w:hAnsi="宋体" w:eastAsia="宋体" w:cs="宋体"/>
          <w:bCs/>
          <w:color w:val="auto"/>
          <w:sz w:val="21"/>
          <w:szCs w:val="21"/>
          <w:highlight w:val="none"/>
        </w:rPr>
        <w:t>1、政策性条款：</w:t>
      </w:r>
      <w:bookmarkEnd w:id="38"/>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39" w:name="_Toc6457"/>
      <w:r>
        <w:rPr>
          <w:rFonts w:hint="eastAsia" w:ascii="宋体" w:hAnsi="宋体" w:eastAsia="宋体" w:cs="宋体"/>
          <w:bCs/>
          <w:color w:val="auto"/>
          <w:sz w:val="21"/>
          <w:szCs w:val="21"/>
          <w:highlight w:val="none"/>
        </w:rPr>
        <w:t>根据浙《江省财政厅关于坚决打赢疫情防控阻击战进一步做好政府采购资金支持企业发展工作的通知》[浙财采监〔2020〕3号]规定：</w:t>
      </w:r>
      <w:bookmarkEnd w:id="39"/>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40" w:name="_Toc7151"/>
      <w:r>
        <w:rPr>
          <w:rFonts w:hint="eastAsia" w:ascii="宋体" w:hAnsi="宋体" w:eastAsia="宋体" w:cs="宋体"/>
          <w:bCs/>
          <w:color w:val="auto"/>
          <w:sz w:val="21"/>
          <w:szCs w:val="21"/>
          <w:highlight w:val="none"/>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bookmarkEnd w:id="40"/>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41" w:name="_Toc3675"/>
      <w:r>
        <w:rPr>
          <w:rFonts w:hint="eastAsia" w:ascii="宋体" w:hAnsi="宋体" w:eastAsia="宋体" w:cs="宋体"/>
          <w:bCs/>
          <w:color w:val="auto"/>
          <w:sz w:val="21"/>
          <w:szCs w:val="21"/>
          <w:highlight w:val="none"/>
        </w:rPr>
        <w:t>（2）、政府采购预付款应在合同生效以及具备实施条件后15日内支付。项目分年安排预算的，第二年预付时间为次年相对应月份，以此类推；当年度预付款尚未扣回的，次年不重复安排。</w:t>
      </w:r>
      <w:bookmarkEnd w:id="41"/>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42" w:name="_Toc2527"/>
      <w:r>
        <w:rPr>
          <w:rFonts w:hint="eastAsia" w:ascii="宋体" w:hAnsi="宋体" w:eastAsia="宋体" w:cs="宋体"/>
          <w:bCs/>
          <w:color w:val="auto"/>
          <w:sz w:val="21"/>
          <w:szCs w:val="21"/>
          <w:highlight w:val="none"/>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bookmarkEnd w:id="42"/>
    </w:p>
    <w:p>
      <w:pPr>
        <w:pStyle w:val="28"/>
        <w:numPr>
          <w:ilvl w:val="0"/>
          <w:numId w:val="0"/>
        </w:numPr>
        <w:snapToGrid w:val="0"/>
        <w:spacing w:before="0" w:beforeLines="0" w:after="0" w:afterLines="0" w:line="500" w:lineRule="exact"/>
        <w:ind w:firstLine="420" w:firstLineChars="200"/>
        <w:outlineLvl w:val="0"/>
        <w:rPr>
          <w:rFonts w:hint="eastAsia" w:ascii="宋体" w:hAnsi="宋体" w:eastAsia="宋体" w:cs="宋体"/>
          <w:color w:val="auto"/>
          <w:sz w:val="21"/>
          <w:szCs w:val="21"/>
          <w:highlight w:val="none"/>
        </w:rPr>
      </w:pPr>
      <w:bookmarkStart w:id="43" w:name="_Toc6062"/>
      <w:bookmarkStart w:id="44" w:name="_Toc10611"/>
      <w:bookmarkStart w:id="45" w:name="_Toc26078"/>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每</w:t>
      </w:r>
      <w:r>
        <w:rPr>
          <w:rFonts w:hint="eastAsia"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结算一次，按照实际考核结果扣款后在次月支付费用（须开税务发票）。</w:t>
      </w:r>
      <w:bookmarkEnd w:id="43"/>
      <w:bookmarkEnd w:id="44"/>
      <w:bookmarkEnd w:id="45"/>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46" w:name="_Toc13835"/>
      <w:bookmarkStart w:id="47" w:name="_Toc17445"/>
      <w:bookmarkStart w:id="48" w:name="_Toc17179"/>
      <w:r>
        <w:rPr>
          <w:rFonts w:hint="eastAsia" w:ascii="宋体" w:hAnsi="宋体" w:eastAsia="宋体" w:cs="宋体"/>
          <w:bCs/>
          <w:color w:val="auto"/>
          <w:sz w:val="21"/>
          <w:szCs w:val="21"/>
          <w:highlight w:val="none"/>
          <w:lang w:val="en-US" w:eastAsia="zh-CN"/>
        </w:rPr>
        <w:t>十</w:t>
      </w:r>
      <w:r>
        <w:rPr>
          <w:rFonts w:hint="eastAsia" w:ascii="宋体" w:hAnsi="宋体" w:eastAsia="宋体" w:cs="宋体"/>
          <w:bCs/>
          <w:color w:val="auto"/>
          <w:sz w:val="21"/>
          <w:szCs w:val="21"/>
          <w:highlight w:val="none"/>
        </w:rPr>
        <w:t>、考核</w:t>
      </w:r>
      <w:bookmarkEnd w:id="46"/>
      <w:bookmarkEnd w:id="47"/>
      <w:bookmarkEnd w:id="48"/>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49" w:name="_Toc13502"/>
      <w:bookmarkStart w:id="50" w:name="_Toc119"/>
      <w:bookmarkStart w:id="51" w:name="_Toc15351"/>
      <w:r>
        <w:rPr>
          <w:rFonts w:hint="eastAsia" w:ascii="宋体" w:hAnsi="宋体" w:eastAsia="宋体" w:cs="宋体"/>
          <w:bCs/>
          <w:color w:val="auto"/>
          <w:sz w:val="21"/>
          <w:szCs w:val="21"/>
          <w:highlight w:val="none"/>
        </w:rPr>
        <w:t>按招标内容及要求及考核办法执行。</w:t>
      </w:r>
      <w:bookmarkEnd w:id="49"/>
      <w:bookmarkEnd w:id="50"/>
      <w:bookmarkEnd w:id="51"/>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52" w:name="_Toc14410"/>
      <w:bookmarkStart w:id="53" w:name="_Toc7508"/>
      <w:bookmarkStart w:id="54" w:name="_Toc3820"/>
      <w:r>
        <w:rPr>
          <w:rFonts w:hint="eastAsia" w:ascii="宋体" w:hAnsi="宋体" w:eastAsia="宋体" w:cs="宋体"/>
          <w:bCs/>
          <w:color w:val="auto"/>
          <w:sz w:val="21"/>
          <w:szCs w:val="21"/>
          <w:highlight w:val="none"/>
          <w:lang w:val="en-US" w:eastAsia="zh-CN"/>
        </w:rPr>
        <w:t>十一</w:t>
      </w:r>
      <w:r>
        <w:rPr>
          <w:rFonts w:hint="eastAsia" w:ascii="宋体" w:hAnsi="宋体" w:eastAsia="宋体" w:cs="宋体"/>
          <w:bCs/>
          <w:color w:val="auto"/>
          <w:sz w:val="21"/>
          <w:szCs w:val="21"/>
          <w:highlight w:val="none"/>
        </w:rPr>
        <w:t>、其他说明</w:t>
      </w:r>
      <w:bookmarkEnd w:id="52"/>
      <w:bookmarkEnd w:id="53"/>
      <w:bookmarkEnd w:id="54"/>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55" w:name="_Toc16293"/>
      <w:bookmarkStart w:id="56" w:name="_Toc9593"/>
      <w:bookmarkStart w:id="57" w:name="_Toc24158"/>
      <w:r>
        <w:rPr>
          <w:rFonts w:hint="eastAsia" w:ascii="宋体" w:hAnsi="宋体" w:eastAsia="宋体" w:cs="宋体"/>
          <w:bCs/>
          <w:color w:val="auto"/>
          <w:sz w:val="21"/>
          <w:szCs w:val="21"/>
          <w:highlight w:val="none"/>
        </w:rPr>
        <w:t>1、在中标通知书发出后</w:t>
      </w:r>
      <w:r>
        <w:rPr>
          <w:rFonts w:hint="eastAsia" w:ascii="宋体" w:hAnsi="宋体" w:eastAsia="宋体" w:cs="宋体"/>
          <w:bCs/>
          <w:color w:val="auto"/>
          <w:sz w:val="21"/>
          <w:szCs w:val="21"/>
          <w:highlight w:val="none"/>
          <w:lang w:val="en-US" w:eastAsia="zh-CN"/>
        </w:rPr>
        <w:t>30天内</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凭投标承诺到位</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人员名单和</w:t>
      </w:r>
      <w:r>
        <w:rPr>
          <w:rFonts w:hint="eastAsia" w:ascii="宋体" w:hAnsi="宋体" w:eastAsia="宋体" w:cs="宋体"/>
          <w:bCs/>
          <w:color w:val="auto"/>
          <w:sz w:val="21"/>
          <w:szCs w:val="21"/>
          <w:highlight w:val="none"/>
          <w:lang w:eastAsia="zh-CN"/>
        </w:rPr>
        <w:t>机械设备（</w:t>
      </w:r>
      <w:r>
        <w:rPr>
          <w:rFonts w:hint="eastAsia" w:ascii="宋体" w:hAnsi="宋体" w:eastAsia="宋体" w:cs="宋体"/>
          <w:bCs/>
          <w:color w:val="auto"/>
          <w:sz w:val="21"/>
          <w:szCs w:val="21"/>
          <w:highlight w:val="none"/>
          <w:lang w:val="en-US" w:eastAsia="zh-CN"/>
        </w:rPr>
        <w:t>附自有或租赁相关证明文件</w:t>
      </w:r>
      <w:r>
        <w:rPr>
          <w:rFonts w:hint="eastAsia" w:ascii="宋体" w:hAnsi="宋体" w:eastAsia="宋体" w:cs="宋体"/>
          <w:bCs/>
          <w:color w:val="auto"/>
          <w:sz w:val="21"/>
          <w:szCs w:val="21"/>
          <w:highlight w:val="none"/>
          <w:lang w:eastAsia="zh-CN"/>
        </w:rPr>
        <w:t>）清单与</w:t>
      </w:r>
      <w:r>
        <w:rPr>
          <w:rFonts w:hint="eastAsia" w:ascii="宋体" w:hAnsi="宋体" w:eastAsia="宋体" w:cs="宋体"/>
          <w:bCs/>
          <w:color w:val="auto"/>
          <w:sz w:val="21"/>
          <w:szCs w:val="21"/>
          <w:highlight w:val="none"/>
        </w:rPr>
        <w:t>采购人签订合同，</w:t>
      </w:r>
      <w:r>
        <w:rPr>
          <w:rFonts w:hint="eastAsia" w:ascii="宋体" w:hAnsi="宋体" w:eastAsia="宋体" w:cs="宋体"/>
          <w:bCs/>
          <w:color w:val="auto"/>
          <w:sz w:val="21"/>
          <w:szCs w:val="21"/>
          <w:highlight w:val="none"/>
          <w:lang w:eastAsia="zh-CN"/>
        </w:rPr>
        <w:t>如在规定时间内未提供或提供不全或拒不签合同的，</w:t>
      </w:r>
      <w:r>
        <w:rPr>
          <w:rFonts w:hint="eastAsia" w:ascii="宋体" w:hAnsi="宋体" w:eastAsia="宋体" w:cs="宋体"/>
          <w:bCs/>
          <w:color w:val="auto"/>
          <w:sz w:val="21"/>
          <w:szCs w:val="21"/>
          <w:highlight w:val="none"/>
        </w:rPr>
        <w:t>采购人有权取消</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的中标资格，报财政部门备案后推荐排序居次的中标候选人为</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，或重新招标。</w:t>
      </w:r>
      <w:bookmarkEnd w:id="55"/>
      <w:bookmarkEnd w:id="56"/>
      <w:bookmarkEnd w:id="57"/>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58" w:name="_Toc21031"/>
      <w:bookmarkStart w:id="59" w:name="_Toc27921"/>
      <w:bookmarkStart w:id="60" w:name="_Toc18979"/>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招用工作人员必须按《劳动法》有关规定执行，为工人办理社会保险、职工意外伤害保险等，保障休息休假权利。</w:t>
      </w:r>
      <w:bookmarkEnd w:id="58"/>
      <w:bookmarkEnd w:id="59"/>
      <w:bookmarkStart w:id="61" w:name="_Toc24411"/>
      <w:bookmarkStart w:id="62" w:name="_Toc17657"/>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应将保洁人员的分工情况、作息时间、排班计划等告知采购单位。</w:t>
      </w:r>
      <w:bookmarkEnd w:id="60"/>
      <w:bookmarkEnd w:id="61"/>
      <w:bookmarkEnd w:id="62"/>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3、各标段中标单位在合同签订后应与管理方或管理方委托的第三方对各自区域内的草花、行道树等其他养护内容进行分路段进行明确、清楚的测量，后期实施时将依据上述资料进行养护实施。</w:t>
      </w:r>
      <w:r>
        <w:rPr>
          <w:rFonts w:hint="eastAsia" w:ascii="宋体" w:hAnsi="宋体" w:eastAsia="宋体" w:cs="宋体"/>
          <w:bCs/>
          <w:color w:val="auto"/>
          <w:sz w:val="21"/>
          <w:szCs w:val="21"/>
          <w:highlight w:val="none"/>
        </w:rPr>
        <w:t xml:space="preserve">  </w:t>
      </w:r>
    </w:p>
    <w:p>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br w:type="page"/>
      </w:r>
    </w:p>
    <w:tbl>
      <w:tblPr>
        <w:tblStyle w:val="48"/>
        <w:tblpPr w:leftFromText="180" w:rightFromText="180" w:vertAnchor="text" w:horzAnchor="page" w:tblpX="1577" w:tblpY="868"/>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4108"/>
        <w:gridCol w:w="570"/>
        <w:gridCol w:w="1206"/>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45"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一标段养护工程量清单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1、种类：行道树Φ20-25cm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219795.46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2、单位面积株数：64株/㎡，一年种五季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4、含场地整理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1897.07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1、种类：月季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2、单位面积株数：6株/盆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trPr>
        <w:tc>
          <w:tcPr>
            <w:tcW w:w="13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1、种类：时令草花（精品苗木）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2、单位面积株数：一组花箱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4、元旦：一叶兰（18株）、一品红（10株）、雏菊（8株）、花叶蔓L40（36株）（红、粉色系）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5、五.一：一叶兰（18株）、羽扇豆（8株）、蓝花鼠尾草（14株）、金叶番薯藤（24株）（蓝色系）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6、七.一：变叶木H45P30（4株）、天竺葵（8株）、秋海棠（8株）、金叶番薯藤L40（24株）（红、粉色系）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7、中秋、国庆：变叶木H45P30（4株）、一串红（14株）、万寿菊（8株）、花叶蔓L40（36株）（红、黄色系）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8、不限于上述品种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9、轻质种植基质（泥炭30%、园土40%、珍珠岩10%、蛭石10%、有机肥10%）约0.24m³/组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花箱修复或更换</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1、高密度PVC材料花盆；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2、黑色内镜PVC雕刻件；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3、黑色PVC底座表面烤漆；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4、高花箱590*590*950mm；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5、矮花箱490*490*725mm；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6、两个为一组，参考效果图及实地踏勘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7、损坏的修复、损毁的更换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226658.53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4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default"/>
                <w:color w:val="auto"/>
                <w:highlight w:val="none"/>
                <w:lang w:val="en-US"/>
              </w:rPr>
            </w:pPr>
            <w:r>
              <w:rPr>
                <w:rFonts w:hint="eastAsia"/>
                <w:b/>
                <w:bCs/>
                <w:color w:val="auto"/>
                <w:highlight w:val="none"/>
                <w:lang w:val="en-US" w:eastAsia="zh-CN"/>
              </w:rPr>
              <w:t>5.多标段投标的仅须提供该标段的投标报价。</w:t>
            </w:r>
          </w:p>
        </w:tc>
      </w:tr>
    </w:tbl>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tbl>
      <w:tblPr>
        <w:tblStyle w:val="4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4125"/>
        <w:gridCol w:w="600"/>
        <w:gridCol w:w="1005"/>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65"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二标段养护工程量清单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1、种类：行道树Φ20-25cm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2、单位面积株数：64株/㎡，一年种五季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1、种类：月季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2、单位面积株数：6株/盆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1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eastAsia"/>
                <w:color w:val="auto"/>
                <w:highlight w:val="none"/>
              </w:rPr>
            </w:pPr>
            <w:r>
              <w:rPr>
                <w:rFonts w:hint="eastAsia"/>
                <w:b/>
                <w:bCs/>
                <w:color w:val="auto"/>
                <w:highlight w:val="none"/>
                <w:lang w:val="en-US" w:eastAsia="zh-CN"/>
              </w:rPr>
              <w:t>5.多标段投标的仅须提供该标段的投标报价。</w:t>
            </w:r>
          </w:p>
        </w:tc>
      </w:tr>
    </w:tbl>
    <w:p>
      <w:pPr>
        <w:rPr>
          <w:rFonts w:hint="eastAsia"/>
          <w:color w:val="auto"/>
          <w:highlight w:val="none"/>
          <w:lang w:eastAsia="zh-CN"/>
        </w:rPr>
      </w:pPr>
      <w:r>
        <w:rPr>
          <w:rFonts w:hint="eastAsia"/>
          <w:color w:val="auto"/>
          <w:highlight w:val="none"/>
          <w:lang w:eastAsia="zh-CN"/>
        </w:rPr>
        <w:br w:type="page"/>
      </w:r>
    </w:p>
    <w:tbl>
      <w:tblPr>
        <w:tblStyle w:val="4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4125"/>
        <w:gridCol w:w="615"/>
        <w:gridCol w:w="1035"/>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10"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三标段养护工程量清单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1、种类：水域养护，含水生植物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21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eastAsia"/>
                <w:color w:val="auto"/>
                <w:highlight w:val="none"/>
              </w:rPr>
            </w:pPr>
            <w:r>
              <w:rPr>
                <w:rFonts w:hint="eastAsia"/>
                <w:b/>
                <w:bCs/>
                <w:color w:val="auto"/>
                <w:highlight w:val="none"/>
                <w:lang w:val="en-US" w:eastAsia="zh-CN"/>
              </w:rPr>
              <w:t>5.多标段投标的仅须提供该标段的投标报价。</w:t>
            </w:r>
          </w:p>
        </w:tc>
      </w:tr>
    </w:tbl>
    <w:p>
      <w:pPr>
        <w:pStyle w:val="5"/>
        <w:rPr>
          <w:rFonts w:hint="eastAsia"/>
          <w:color w:val="auto"/>
          <w:highlight w:val="none"/>
          <w:lang w:eastAsia="zh-CN"/>
        </w:rPr>
        <w:sectPr>
          <w:footerReference r:id="rId5" w:type="default"/>
          <w:pgSz w:w="11906" w:h="16838"/>
          <w:pgMar w:top="1440" w:right="1289" w:bottom="1440" w:left="1797"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4"/>
        <w:spacing w:line="240" w:lineRule="auto"/>
        <w:rPr>
          <w:rFonts w:hint="eastAsia" w:ascii="宋体" w:hAnsi="宋体" w:eastAsia="宋体" w:cs="宋体"/>
          <w:color w:val="auto"/>
          <w:sz w:val="28"/>
          <w:szCs w:val="28"/>
          <w:highlight w:val="none"/>
        </w:rPr>
      </w:pPr>
      <w:bookmarkStart w:id="63" w:name="_Toc476"/>
      <w:r>
        <w:rPr>
          <w:rFonts w:hint="eastAsia" w:ascii="宋体" w:hAnsi="宋体" w:eastAsia="宋体" w:cs="宋体"/>
          <w:color w:val="auto"/>
          <w:sz w:val="28"/>
          <w:szCs w:val="28"/>
          <w:highlight w:val="none"/>
        </w:rPr>
        <w:t>考核办法</w:t>
      </w:r>
      <w:bookmarkEnd w:id="63"/>
    </w:p>
    <w:tbl>
      <w:tblPr>
        <w:tblStyle w:val="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58"/>
        <w:gridCol w:w="5528"/>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25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项目</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评分标准</w:t>
            </w:r>
          </w:p>
        </w:tc>
        <w:tc>
          <w:tcPr>
            <w:tcW w:w="709"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扣分</w:t>
            </w:r>
          </w:p>
        </w:tc>
        <w:tc>
          <w:tcPr>
            <w:tcW w:w="851"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restart"/>
            <w:noWrap w:val="0"/>
            <w:vAlign w:val="center"/>
          </w:tcPr>
          <w:p>
            <w:pPr>
              <w:adjustRightInd w:val="0"/>
              <w:snapToGrid w:val="0"/>
              <w:spacing w:line="340" w:lineRule="atLeast"/>
              <w:ind w:firstLine="171" w:firstLineChars="95"/>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w:t>
            </w:r>
          </w:p>
        </w:tc>
        <w:tc>
          <w:tcPr>
            <w:tcW w:w="1258"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乔木管理</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缺株、死株、明显倾斜或倒伏，扣1分/株。乔木未按标准执行修剪，或树冠未达到三级分枝以上或种植倾斜，扣1分/株；树支架、草绳缠绕不规范，扣0.5分/株。</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有病虫枝、残枝、10cm以上徒长枝，未及时清理、抹芽扣0.5分/株。内膛过密、通风透光不良扣0.5分/株。叶色、叶形不正常（黄叶、焦叶、卷叶、落叶）扣0.5分/株，修剪切口不平整，伤口处理不规范扣0.5分/株。</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树下绿地无杂草，树冠无悬挂物，树干无钉子、铁丝、晾晒等绑缚物，发现一处扣1分/处。</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胸径10公分以上乔木主干未涂白，扣0.5分/株；涂白高度未达1.2米，高度未统一的，扣0.5分/株；涂料配比不规范，扣1分/处；涂料堆放不规范或工程结束后未及时清理现场的扣2分/处。</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w:t>
            </w:r>
          </w:p>
        </w:tc>
        <w:tc>
          <w:tcPr>
            <w:tcW w:w="1258"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灌木、绿篱管理</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灌木有死株、缺株的扣0.5分/株；绿篱有死株、缺株扣0.5分/㎡；易穿行、踩踏区未设置护绿设施、温馨提示牌等扣1分/处，严重影响整条道路或绿地环境景观的扣2分。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绿篱、色块未及时修剪，高度超过10cm或有徒长枝超过15cm的，扣1分/处；过度修剪影响环境景观美观的，扣1分；修剪曲线不流畅、边界不清晰的扣1分/处；绿带内有明显杂草、枯枝残叶、杂物的，扣0.5分/㎡。修剪物未及时清理，扣1分/处。</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restart"/>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三</w:t>
            </w:r>
          </w:p>
        </w:tc>
        <w:tc>
          <w:tcPr>
            <w:tcW w:w="1258" w:type="dxa"/>
            <w:vMerge w:val="restart"/>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草花管理</w:t>
            </w:r>
          </w:p>
        </w:tc>
        <w:tc>
          <w:tcPr>
            <w:tcW w:w="5528"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草花更换有方案，每次更换内容未申请报批的，扣2分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花卉布置形式不合理、造型欠整齐美观的，每处扣1分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花卉密度不够、株行距不适宜，造成黄土裸露的，每处扣1分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草花生长期出现长势不良的，每处扣0.5分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continue"/>
            <w:noWrap w:val="0"/>
            <w:vAlign w:val="center"/>
          </w:tcPr>
          <w:p>
            <w:pPr>
              <w:adjustRightInd w:val="0"/>
              <w:snapToGrid w:val="0"/>
              <w:spacing w:line="340" w:lineRule="atLeast"/>
              <w:jc w:val="center"/>
              <w:rPr>
                <w:rFonts w:hint="eastAsia" w:ascii="宋体" w:hAnsi="宋体" w:cs="宋体"/>
                <w:color w:val="auto"/>
                <w:sz w:val="18"/>
                <w:szCs w:val="18"/>
                <w:highlight w:val="none"/>
                <w:lang w:eastAsia="zh-CN"/>
              </w:rPr>
            </w:pPr>
          </w:p>
        </w:tc>
        <w:tc>
          <w:tcPr>
            <w:tcW w:w="1258" w:type="dxa"/>
            <w:vMerge w:val="continue"/>
            <w:noWrap w:val="0"/>
            <w:vAlign w:val="center"/>
          </w:tcPr>
          <w:p>
            <w:pPr>
              <w:adjustRightInd w:val="0"/>
              <w:snapToGrid w:val="0"/>
              <w:spacing w:line="340" w:lineRule="atLeast"/>
              <w:jc w:val="center"/>
              <w:rPr>
                <w:rFonts w:hint="eastAsia" w:ascii="宋体" w:hAnsi="宋体" w:cs="宋体"/>
                <w:color w:val="auto"/>
                <w:sz w:val="18"/>
                <w:szCs w:val="18"/>
                <w:highlight w:val="none"/>
                <w:lang w:eastAsia="zh-CN"/>
              </w:rPr>
            </w:pPr>
          </w:p>
        </w:tc>
        <w:tc>
          <w:tcPr>
            <w:tcW w:w="5528"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花坛防护设施破损，每处扣1分</w:t>
            </w:r>
            <w:r>
              <w:rPr>
                <w:rFonts w:hint="eastAsia" w:ascii="宋体" w:hAnsi="宋体" w:cs="宋体"/>
                <w:color w:val="auto"/>
                <w:sz w:val="18"/>
                <w:szCs w:val="18"/>
                <w:highlight w:val="none"/>
                <w:lang w:eastAsia="zh-CN"/>
              </w:rPr>
              <w:t>；花坛内有明显杂草、枯枝败叶的，每处扣</w:t>
            </w:r>
            <w:r>
              <w:rPr>
                <w:rFonts w:hint="eastAsia" w:ascii="宋体" w:hAnsi="宋体" w:cs="宋体"/>
                <w:color w:val="auto"/>
                <w:sz w:val="18"/>
                <w:szCs w:val="18"/>
                <w:highlight w:val="none"/>
                <w:lang w:val="en-US" w:eastAsia="zh-CN"/>
              </w:rPr>
              <w:t>0.5</w:t>
            </w:r>
            <w:r>
              <w:rPr>
                <w:rFonts w:hint="eastAsia" w:ascii="宋体" w:hAnsi="宋体" w:cs="宋体"/>
                <w:color w:val="auto"/>
                <w:sz w:val="18"/>
                <w:szCs w:val="18"/>
                <w:highlight w:val="none"/>
                <w:lang w:eastAsia="zh-CN"/>
              </w:rPr>
              <w:t>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四</w:t>
            </w:r>
          </w:p>
        </w:tc>
        <w:tc>
          <w:tcPr>
            <w:tcW w:w="125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肥水管理</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由于肥、水管理不善造成的枯黄、叶烧现象，乔灌木每株扣0.5分，绿篱、草坪</w:t>
            </w:r>
            <w:r>
              <w:rPr>
                <w:rFonts w:hint="eastAsia" w:ascii="宋体" w:hAnsi="宋体" w:cs="宋体"/>
                <w:color w:val="auto"/>
                <w:sz w:val="18"/>
                <w:szCs w:val="18"/>
                <w:highlight w:val="none"/>
                <w:lang w:eastAsia="zh-CN"/>
              </w:rPr>
              <w:t>、草花</w:t>
            </w:r>
            <w:r>
              <w:rPr>
                <w:rFonts w:hint="eastAsia" w:ascii="宋体" w:hAnsi="宋体" w:cs="宋体"/>
                <w:color w:val="auto"/>
                <w:sz w:val="18"/>
                <w:szCs w:val="18"/>
                <w:highlight w:val="none"/>
              </w:rPr>
              <w:t>每平方米扣0.5分；没有肥水计划扣1分/月；未按标准施肥、灌溉的，每次扣1分。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五</w:t>
            </w:r>
          </w:p>
        </w:tc>
        <w:tc>
          <w:tcPr>
            <w:tcW w:w="125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病虫害防治</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有明显病虫害危害的，乔灌木扣0.5分/株，绿化带扣0.5分/㎡；用药配比不正确、操作不规范，扣1分/处；无病虫害防治计划的扣1分/月；未经许可，擅自使用违禁药品（如草甘膦等），扣3分。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restart"/>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六</w:t>
            </w:r>
          </w:p>
        </w:tc>
        <w:tc>
          <w:tcPr>
            <w:tcW w:w="1258"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花箱</w:t>
            </w:r>
          </w:p>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栏杆</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花箱破损，每个花箱扣1分；花箱外立面灰尘严重，栏杆扭曲变形，漆面脱落，每处扣0.5分；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color w:val="auto"/>
                <w:sz w:val="18"/>
                <w:szCs w:val="18"/>
                <w:highlight w:val="none"/>
              </w:rPr>
              <w:t>植物生长不良，枯萎、死亡的，每个花箱扣1分；造型植物修剪不到位，形状不佳的，每个花箱扣0.5分；开花植物病虫害严重，未适时修剪的，每个花箱扣1分。时花未按计划时间及时更换的，扣5分。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七</w:t>
            </w:r>
          </w:p>
        </w:tc>
        <w:tc>
          <w:tcPr>
            <w:tcW w:w="125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绿地监管</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对占绿毁绿现象、破坏绿化景观行为不及时劝阻或上报的，扣1分/次。</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restart"/>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八</w:t>
            </w:r>
          </w:p>
        </w:tc>
        <w:tc>
          <w:tcPr>
            <w:tcW w:w="1258"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安全文明规范</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养护人员、巡查人员着装不规范（安全措施不到位等）的每发现扣0.5分/人；养护人员到岗率与合同规定不符的，扣0.5分/人；</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施工场地无防护栏、警示牌等安全文明措施，扣1分/处。</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喷药作业未按规定时间进行、未设置安全告示标识，扣0.5分/次；剩余药剂、药瓶乱丢弃的，扣0.5分/处；浇灌作业未按规定时间、规定操作要求进行的，扣0.5分/次。</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焚烧绿化垃圾、修剪物，扣1分/次。</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restart"/>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九</w:t>
            </w:r>
          </w:p>
        </w:tc>
        <w:tc>
          <w:tcPr>
            <w:tcW w:w="1258" w:type="dxa"/>
            <w:vMerge w:val="restart"/>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台账资料及其他</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月度养护计划在每月25日前上报，养护计划应科学合理，未达标的扣1分/次；做好公园设施统计报表（设施量增减明细），要求每月更新一次，未达标的扣1分/次。</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重大活动保障不力、突发事件处理不当，扣2分/次；出现群众投诉、媒体曝光事件，凡经查证属实，每次扣2分。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1258" w:type="dxa"/>
            <w:vMerge w:val="continue"/>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根据数字城管要求，及时处理派件，提出的问题应在规定时间内完成，如因工作推诿、拖拉造成数字城管单整改不力或重复整改，每次扣2分。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十</w:t>
            </w:r>
          </w:p>
        </w:tc>
        <w:tc>
          <w:tcPr>
            <w:tcW w:w="1258"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保洁</w:t>
            </w:r>
          </w:p>
        </w:tc>
        <w:tc>
          <w:tcPr>
            <w:tcW w:w="5528" w:type="dxa"/>
            <w:noWrap w:val="0"/>
            <w:vAlign w:val="center"/>
          </w:tcPr>
          <w:p>
            <w:pPr>
              <w:adjustRightInd w:val="0"/>
              <w:snapToGrid w:val="0"/>
              <w:spacing w:line="340" w:lineRule="atLeast"/>
              <w:ind w:firstLine="360" w:firstLineChars="20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公园、绿地内无包装袋、纸屑、粪便等垃圾，无生活垃圾、建筑垃圾等垃圾堆积、保洁无死角、地面见本色，发现一处扣0.5分。</w:t>
            </w:r>
          </w:p>
          <w:p>
            <w:pPr>
              <w:adjustRightInd w:val="0"/>
              <w:snapToGrid w:val="0"/>
              <w:spacing w:line="340" w:lineRule="atLeast"/>
              <w:ind w:firstLine="360" w:firstLineChars="20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保洁范围内的乱张贴、乱涂写，清理不干净的每发现一处扣0.5分。</w:t>
            </w:r>
          </w:p>
          <w:p>
            <w:pPr>
              <w:adjustRightInd w:val="0"/>
              <w:snapToGrid w:val="0"/>
              <w:spacing w:line="340" w:lineRule="atLeast"/>
              <w:ind w:firstLine="360" w:firstLineChars="20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果壳箱外表保持整洁，无破损和锈蚀，无浮灰，无乱涂写、乱刻画、乱张贴；垃圾分类标识正确、清晰，每发现一处扣0.5分。</w:t>
            </w:r>
          </w:p>
          <w:p>
            <w:pPr>
              <w:adjustRightInd w:val="0"/>
              <w:snapToGrid w:val="0"/>
              <w:spacing w:line="340" w:lineRule="atLeast"/>
              <w:ind w:firstLine="360" w:firstLineChars="20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墙角清，无零星垃圾、残留污水、残积沙土、明显污迹等，每发现一处扣0.5分。</w:t>
            </w:r>
          </w:p>
          <w:p>
            <w:pPr>
              <w:adjustRightInd w:val="0"/>
              <w:snapToGrid w:val="0"/>
              <w:spacing w:line="340" w:lineRule="atLeast"/>
              <w:ind w:firstLine="360" w:firstLineChars="200"/>
              <w:jc w:val="left"/>
              <w:rPr>
                <w:rFonts w:hint="default" w:ascii="宋体" w:hAnsi="宋体" w:eastAsia="宋体" w:cs="宋体"/>
                <w:bCs/>
                <w:color w:val="auto"/>
                <w:kern w:val="2"/>
                <w:sz w:val="21"/>
                <w:szCs w:val="21"/>
                <w:highlight w:val="none"/>
                <w:lang w:val="en-US" w:eastAsia="zh-CN" w:bidi="ar-SA"/>
              </w:rPr>
            </w:pPr>
            <w:r>
              <w:rPr>
                <w:rFonts w:hint="default" w:ascii="宋体" w:hAnsi="宋体" w:cs="宋体"/>
                <w:color w:val="auto"/>
                <w:sz w:val="18"/>
                <w:szCs w:val="18"/>
                <w:highlight w:val="none"/>
                <w:lang w:val="en-US" w:eastAsia="zh-CN"/>
              </w:rPr>
              <w:t>树根清，行道树树穴无零星垃圾、口香糖、呕吐物、粪便等各类残留物</w:t>
            </w:r>
            <w:r>
              <w:rPr>
                <w:rFonts w:hint="eastAsia" w:ascii="宋体" w:hAnsi="宋体" w:cs="宋体"/>
                <w:color w:val="auto"/>
                <w:sz w:val="18"/>
                <w:szCs w:val="18"/>
                <w:highlight w:val="none"/>
                <w:lang w:val="en-US" w:eastAsia="zh-CN"/>
              </w:rPr>
              <w:t>，每发现一处扣0.5分</w:t>
            </w:r>
            <w:r>
              <w:rPr>
                <w:rFonts w:hint="default" w:ascii="宋体" w:hAnsi="宋体" w:cs="宋体"/>
                <w:color w:val="auto"/>
                <w:sz w:val="18"/>
                <w:szCs w:val="18"/>
                <w:highlight w:val="none"/>
                <w:lang w:val="en-US" w:eastAsia="zh-CN"/>
              </w:rPr>
              <w:t>。</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十一</w:t>
            </w:r>
          </w:p>
        </w:tc>
        <w:tc>
          <w:tcPr>
            <w:tcW w:w="1258" w:type="dxa"/>
            <w:noWrap w:val="0"/>
            <w:vAlign w:val="center"/>
          </w:tcPr>
          <w:p>
            <w:pPr>
              <w:adjustRightInd w:val="0"/>
              <w:snapToGrid w:val="0"/>
              <w:spacing w:line="340" w:lineRule="atLeas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应急仓库</w:t>
            </w:r>
          </w:p>
        </w:tc>
        <w:tc>
          <w:tcPr>
            <w:tcW w:w="5528" w:type="dxa"/>
            <w:noWrap w:val="0"/>
            <w:vAlign w:val="center"/>
          </w:tcPr>
          <w:p>
            <w:pPr>
              <w:adjustRightInd w:val="0"/>
              <w:snapToGrid w:val="0"/>
              <w:spacing w:line="340" w:lineRule="atLeast"/>
              <w:ind w:firstLine="360" w:firstLineChars="200"/>
              <w:jc w:val="left"/>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发包人将不定期检查应急仓库，应急车辆不得少于1辆，不达标的每次扣2分；防倒伏支架不得少于100副，每少一副扣0.2分</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十二</w:t>
            </w:r>
          </w:p>
        </w:tc>
        <w:tc>
          <w:tcPr>
            <w:tcW w:w="1258"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上级部门考核</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市、区级部门对街道辖区范围内巡查、考核发现存在任何相关问题对街道进行处罚、扣分的，再由街道根据1:3比例进行扣分（街道扣1分，养护单位扣3分）；若发生批评、通报批评的则由街道一次性扣20分，并处相应罚款，街道有权解除养护合同。</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 w:type="dxa"/>
            <w:noWrap w:val="0"/>
            <w:vAlign w:val="center"/>
          </w:tcPr>
          <w:p>
            <w:pPr>
              <w:adjustRightInd w:val="0"/>
              <w:snapToGrid w:val="0"/>
              <w:spacing w:line="340" w:lineRule="atLeas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十三</w:t>
            </w:r>
          </w:p>
        </w:tc>
        <w:tc>
          <w:tcPr>
            <w:tcW w:w="1258" w:type="dxa"/>
            <w:noWrap w:val="0"/>
            <w:vAlign w:val="center"/>
          </w:tcPr>
          <w:p>
            <w:pPr>
              <w:adjustRightInd w:val="0"/>
              <w:snapToGrid w:val="0"/>
              <w:spacing w:line="340" w:lineRule="atLeas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其他考核</w:t>
            </w:r>
          </w:p>
        </w:tc>
        <w:tc>
          <w:tcPr>
            <w:tcW w:w="5528" w:type="dxa"/>
            <w:noWrap w:val="0"/>
            <w:vAlign w:val="center"/>
          </w:tcPr>
          <w:p>
            <w:pPr>
              <w:adjustRightInd w:val="0"/>
              <w:snapToGrid w:val="0"/>
              <w:spacing w:line="340" w:lineRule="atLeas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按省、市相关现行标准考核、扣分、罚款</w:t>
            </w:r>
          </w:p>
        </w:tc>
        <w:tc>
          <w:tcPr>
            <w:tcW w:w="709"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851"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3" w:type="dxa"/>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c>
          <w:tcPr>
            <w:tcW w:w="6786" w:type="dxa"/>
            <w:gridSpan w:val="2"/>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合计</w:t>
            </w:r>
          </w:p>
        </w:tc>
        <w:tc>
          <w:tcPr>
            <w:tcW w:w="1560" w:type="dxa"/>
            <w:gridSpan w:val="2"/>
            <w:noWrap w:val="0"/>
            <w:vAlign w:val="center"/>
          </w:tcPr>
          <w:p>
            <w:pPr>
              <w:adjustRightInd w:val="0"/>
              <w:snapToGrid w:val="0"/>
              <w:spacing w:line="340" w:lineRule="atLeast"/>
              <w:ind w:firstLine="420"/>
              <w:jc w:val="center"/>
              <w:rPr>
                <w:rFonts w:hint="eastAsia" w:ascii="宋体" w:hAnsi="宋体" w:cs="宋体"/>
                <w:color w:val="auto"/>
                <w:sz w:val="18"/>
                <w:szCs w:val="18"/>
                <w:highlight w:val="none"/>
              </w:rPr>
            </w:pPr>
          </w:p>
        </w:tc>
      </w:tr>
    </w:tbl>
    <w:p>
      <w:pPr>
        <w:adjustRightInd w:val="0"/>
        <w:snapToGrid w:val="0"/>
        <w:spacing w:line="340" w:lineRule="atLeas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备注：1、苗木施肥一年不少于三次，每年4月底、6月底、10月底之前完成追肥工作，施肥量以化肥为例：乔灌木25－50克/棵、绿篱色块8－10克/平方、草坪地被6－7克/平方、四季花卉每季不少于二次、每次8－10克/平方。</w:t>
      </w:r>
    </w:p>
    <w:p>
      <w:pPr>
        <w:ind w:firstLine="360" w:firstLineChars="200"/>
        <w:rPr>
          <w:rFonts w:hint="eastAsia"/>
          <w:color w:val="auto"/>
          <w:highlight w:val="none"/>
        </w:rPr>
      </w:pPr>
      <w:r>
        <w:rPr>
          <w:rFonts w:hint="eastAsia" w:ascii="宋体" w:hAnsi="宋体" w:cs="宋体"/>
          <w:color w:val="auto"/>
          <w:sz w:val="18"/>
          <w:szCs w:val="18"/>
          <w:highlight w:val="none"/>
        </w:rPr>
        <w:t>2、推广使用有机肥，用量是化肥的20-50倍，具体施肥工作报园林处审核同意后方可实施。</w:t>
      </w:r>
    </w:p>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考核要求：</w:t>
      </w:r>
    </w:p>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1、季度考核结果汇总：每季度</w:t>
      </w:r>
      <w:r>
        <w:rPr>
          <w:rFonts w:hint="eastAsia" w:ascii="宋体" w:hAnsi="宋体" w:eastAsia="宋体" w:cs="宋体"/>
          <w:color w:val="auto"/>
          <w:sz w:val="18"/>
          <w:szCs w:val="18"/>
          <w:highlight w:val="none"/>
          <w:lang w:eastAsia="zh-CN"/>
        </w:rPr>
        <w:t>嘉兴市秀洲区人民政府新城街道办事处</w:t>
      </w:r>
      <w:r>
        <w:rPr>
          <w:rFonts w:hint="eastAsia" w:ascii="宋体" w:hAnsi="宋体" w:eastAsia="宋体" w:cs="宋体"/>
          <w:color w:val="auto"/>
          <w:sz w:val="18"/>
          <w:szCs w:val="18"/>
          <w:highlight w:val="none"/>
        </w:rPr>
        <w:t>根据当季暗查、明查情况进行汇总打分，得出该标段的当季度考核分，考核分与季度养护费挂钩。考核实行百分制。考核分值及评分标准详见</w:t>
      </w:r>
      <w:r>
        <w:rPr>
          <w:rFonts w:hint="eastAsia" w:ascii="宋体" w:hAnsi="宋体" w:eastAsia="宋体" w:cs="宋体"/>
          <w:color w:val="auto"/>
          <w:sz w:val="18"/>
          <w:szCs w:val="18"/>
          <w:highlight w:val="none"/>
          <w:lang w:eastAsia="zh-CN"/>
        </w:rPr>
        <w:t>上表</w:t>
      </w:r>
      <w:r>
        <w:rPr>
          <w:rFonts w:hint="eastAsia" w:ascii="宋体" w:hAnsi="宋体" w:eastAsia="宋体" w:cs="宋体"/>
          <w:color w:val="auto"/>
          <w:sz w:val="18"/>
          <w:szCs w:val="18"/>
          <w:highlight w:val="none"/>
        </w:rPr>
        <w:t>。</w:t>
      </w:r>
    </w:p>
    <w:p>
      <w:pPr>
        <w:spacing w:line="260" w:lineRule="exact"/>
        <w:ind w:firstLine="360" w:firstLineChars="200"/>
        <w:rPr>
          <w:rFonts w:hint="default" w:ascii="宋体" w:hAnsi="宋体" w:eastAsia="宋体" w:cs="宋体"/>
          <w:color w:val="auto"/>
          <w:sz w:val="21"/>
          <w:szCs w:val="21"/>
          <w:highlight w:val="none"/>
          <w:lang w:val="en-US" w:eastAsia="zh-CN"/>
        </w:rPr>
        <w:sectPr>
          <w:headerReference r:id="rId6" w:type="default"/>
          <w:footerReference r:id="rId7" w:type="default"/>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18"/>
          <w:szCs w:val="18"/>
          <w:highlight w:val="none"/>
        </w:rPr>
        <w:t>2、考核结果汇总及运用：根据考核结果，季度考核分得分90分（含）以上为优秀，按实全额核拨养护费；</w:t>
      </w:r>
      <w:r>
        <w:rPr>
          <w:rFonts w:hint="eastAsia" w:ascii="宋体" w:hAnsi="宋体" w:cs="宋体"/>
          <w:color w:val="auto"/>
          <w:sz w:val="18"/>
          <w:szCs w:val="18"/>
          <w:highlight w:val="none"/>
          <w:lang w:val="en-US" w:eastAsia="zh-CN"/>
        </w:rPr>
        <w:t>60分到90分为良</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低于</w:t>
      </w:r>
      <w:r>
        <w:rPr>
          <w:rFonts w:hint="eastAsia" w:ascii="宋体" w:hAnsi="宋体" w:cs="宋体"/>
          <w:color w:val="auto"/>
          <w:sz w:val="18"/>
          <w:szCs w:val="18"/>
          <w:highlight w:val="none"/>
          <w:lang w:val="en-US" w:eastAsia="zh-CN"/>
        </w:rPr>
        <w:t>90分，</w:t>
      </w:r>
      <w:r>
        <w:rPr>
          <w:rFonts w:hint="eastAsia" w:ascii="宋体" w:hAnsi="宋体" w:eastAsia="宋体" w:cs="宋体"/>
          <w:color w:val="auto"/>
          <w:sz w:val="18"/>
          <w:szCs w:val="18"/>
          <w:highlight w:val="none"/>
        </w:rPr>
        <w:t>每降低</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分，当季养护费扣</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00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rPr>
        <w:t>元</w:t>
      </w:r>
      <w:r>
        <w:rPr>
          <w:rFonts w:hint="eastAsia" w:ascii="宋体" w:hAnsi="宋体" w:cs="宋体"/>
          <w:color w:val="auto"/>
          <w:sz w:val="18"/>
          <w:szCs w:val="18"/>
          <w:highlight w:val="none"/>
          <w:lang w:eastAsia="zh-CN"/>
        </w:rPr>
        <w:t>；季度考核分在</w:t>
      </w:r>
      <w:r>
        <w:rPr>
          <w:rFonts w:hint="eastAsia" w:ascii="宋体" w:hAnsi="宋体" w:cs="宋体"/>
          <w:color w:val="auto"/>
          <w:sz w:val="18"/>
          <w:szCs w:val="18"/>
          <w:highlight w:val="none"/>
          <w:lang w:val="en-US" w:eastAsia="zh-CN"/>
        </w:rPr>
        <w:t>60分以下的为不合格，发包人有权直接解除合同，并要求承包人赔偿相应损失</w:t>
      </w:r>
      <w:r>
        <w:rPr>
          <w:rFonts w:hint="eastAsia" w:ascii="宋体" w:hAnsi="宋体" w:eastAsia="宋体" w:cs="宋体"/>
          <w:color w:val="auto"/>
          <w:sz w:val="18"/>
          <w:szCs w:val="18"/>
          <w:highlight w:val="none"/>
        </w:rPr>
        <w:t>。</w:t>
      </w: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4" w:name="_Toc3463"/>
      <w:r>
        <w:rPr>
          <w:rFonts w:hint="eastAsia" w:asciiTheme="minorEastAsia" w:hAnsiTheme="minorEastAsia" w:eastAsiaTheme="minorEastAsia"/>
          <w:b/>
          <w:color w:val="auto"/>
          <w:sz w:val="30"/>
          <w:szCs w:val="30"/>
          <w:highlight w:val="none"/>
        </w:rPr>
        <w:t>第三章 供应商须知</w:t>
      </w:r>
      <w:bookmarkEnd w:id="64"/>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电子交易注意事项</w:t>
      </w:r>
    </w:p>
    <w:p>
      <w:pPr>
        <w:spacing w:line="360" w:lineRule="auto"/>
        <w:ind w:firstLine="210" w:firstLineChars="100"/>
        <w:jc w:val="left"/>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pPr>
        <w:spacing w:line="360" w:lineRule="auto"/>
        <w:ind w:firstLine="210" w:firstLineChars="1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1.代理机构按照招标文件规定的时间通过电子交易平台组织开标、开启投标文件，所有供应商均应当准时在线参加，直至评审结束。</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　3.采购过程中出现以下情形，导致电子交易平台无法正常运行，或者无法保证电子交易的公平、公正和安全时，代理机构可中止电子交易活动：</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（一）电子交易平台发生故障而无法登录访问的； </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（二）电子交易平台应用或数据库出现错误，不能进行正常操作的；</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（三）电子交易平台发现严重安全漏洞，有潜在泄密危险的；</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（四）病毒发作导致不能进行正常操作的； </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（五）其他无法保证电子交易的公平、公正和安全的情况。</w:t>
      </w:r>
    </w:p>
    <w:p>
      <w:pPr>
        <w:pStyle w:val="44"/>
        <w:spacing w:beforeAutospacing="0" w:afterAutospacing="0" w:line="360" w:lineRule="auto"/>
        <w:ind w:firstLine="48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44"/>
        <w:spacing w:beforeAutospacing="0" w:afterAutospacing="0" w:line="360" w:lineRule="auto"/>
        <w:ind w:firstLine="480"/>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8"/>
        <w:snapToGrid w:val="0"/>
        <w:spacing w:before="120" w:after="120" w:line="360" w:lineRule="auto"/>
        <w:ind w:firstLine="422" w:firstLineChars="200"/>
        <w:rPr>
          <w:rFonts w:cs="宋体" w:asciiTheme="minorEastAsia" w:hAnsiTheme="minorEastAsia" w:eastAsiaTheme="minorEastAsia"/>
          <w:b/>
          <w:color w:val="auto"/>
          <w:kern w:val="0"/>
          <w:sz w:val="21"/>
          <w:szCs w:val="21"/>
          <w:highlight w:val="none"/>
          <w:shd w:val="clear" w:color="auto" w:fill="FFFFFF"/>
        </w:rPr>
      </w:pPr>
      <w:r>
        <w:rPr>
          <w:rFonts w:hint="eastAsia" w:cs="宋体" w:asciiTheme="minorEastAsia" w:hAnsiTheme="minorEastAsia" w:eastAsiaTheme="minorEastAsia"/>
          <w:b/>
          <w:color w:val="auto"/>
          <w:kern w:val="0"/>
          <w:sz w:val="21"/>
          <w:szCs w:val="21"/>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21"/>
          <w:szCs w:val="21"/>
          <w:highlight w:val="none"/>
          <w:shd w:val="clear" w:color="auto" w:fill="FFFFFF"/>
        </w:rPr>
        <w:t>。　　　　　</w:t>
      </w:r>
    </w:p>
    <w:p>
      <w:pPr>
        <w:pStyle w:val="2"/>
        <w:ind w:left="0" w:leftChars="0" w:firstLine="0" w:firstLineChars="0"/>
        <w:rPr>
          <w:rFonts w:hint="eastAsia"/>
          <w:color w:val="auto"/>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asciiTheme="minorEastAsia" w:hAnsiTheme="minorEastAsia" w:eastAsiaTheme="minorEastAsia"/>
          <w:b/>
          <w:color w:val="auto"/>
          <w:kern w:val="0"/>
          <w:sz w:val="21"/>
          <w:szCs w:val="21"/>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2"/>
    <w:p>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8"/>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bCs/>
                <w:color w:val="auto"/>
                <w:szCs w:val="21"/>
                <w:highlight w:val="none"/>
                <w:lang w:eastAsia="zh-CN"/>
              </w:rPr>
              <w:t>新城街道部分区域绿化养护项目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r>
              <w:rPr>
                <w:rFonts w:asciiTheme="minorEastAsia" w:hAnsiTheme="minorEastAsia" w:eastAsiaTheme="minorEastAsia"/>
                <w:bCs/>
                <w:color w:val="auto"/>
                <w:szCs w:val="21"/>
                <w:highlight w:val="none"/>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投标报价及费用：</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、本项目投标应以人民币报价；</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现场踏勘：无</w:t>
            </w:r>
            <w:r>
              <w:rPr>
                <w:rFonts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开标时间及地点：</w:t>
            </w:r>
            <w:r>
              <w:rPr>
                <w:rFonts w:hint="eastAsia" w:cs="Arial" w:asciiTheme="minorEastAsia" w:hAnsiTheme="minorEastAsia" w:eastAsiaTheme="minorEastAsia"/>
                <w:b/>
                <w:color w:val="auto"/>
                <w:szCs w:val="21"/>
                <w:highlight w:val="none"/>
                <w:lang w:eastAsia="zh-CN"/>
              </w:rPr>
              <w:t>2022年</w:t>
            </w:r>
            <w:r>
              <w:rPr>
                <w:rFonts w:hint="eastAsia" w:cs="Arial" w:asciiTheme="minorEastAsia" w:hAnsiTheme="minorEastAsia" w:eastAsiaTheme="minorEastAsia"/>
                <w:b/>
                <w:color w:val="auto"/>
                <w:szCs w:val="21"/>
                <w:highlight w:val="none"/>
                <w:lang w:val="en-US" w:eastAsia="zh-CN"/>
              </w:rPr>
              <w:t>05</w:t>
            </w:r>
            <w:r>
              <w:rPr>
                <w:rFonts w:hint="eastAsia" w:cs="Arial" w:asciiTheme="minorEastAsia" w:hAnsiTheme="minorEastAsia" w:eastAsiaTheme="minorEastAsia"/>
                <w:b/>
                <w:color w:val="auto"/>
                <w:szCs w:val="21"/>
                <w:highlight w:val="none"/>
                <w:lang w:eastAsia="zh-CN"/>
              </w:rPr>
              <w:t>月</w:t>
            </w:r>
            <w:r>
              <w:rPr>
                <w:rFonts w:hint="eastAsia" w:cs="Arial" w:asciiTheme="minorEastAsia" w:hAnsiTheme="minorEastAsia" w:eastAsiaTheme="minorEastAsia"/>
                <w:b/>
                <w:color w:val="auto"/>
                <w:szCs w:val="21"/>
                <w:highlight w:val="none"/>
                <w:lang w:val="en-US" w:eastAsia="zh-CN"/>
              </w:rPr>
              <w:t>26</w:t>
            </w:r>
            <w:r>
              <w:rPr>
                <w:rFonts w:hint="eastAsia" w:cs="Arial" w:asciiTheme="minorEastAsia" w:hAnsiTheme="minorEastAsia" w:eastAsiaTheme="minorEastAsia"/>
                <w:b/>
                <w:color w:val="auto"/>
                <w:szCs w:val="21"/>
                <w:highlight w:val="none"/>
                <w:lang w:eastAsia="zh-CN"/>
              </w:rPr>
              <w:t>日</w:t>
            </w:r>
            <w:r>
              <w:rPr>
                <w:rFonts w:hint="eastAsia" w:cs="Arial" w:asciiTheme="minorEastAsia" w:hAnsiTheme="minorEastAsia" w:eastAsiaTheme="minorEastAsia"/>
                <w:b/>
                <w:color w:val="auto"/>
                <w:szCs w:val="21"/>
                <w:highlight w:val="none"/>
                <w:lang w:val="en-US" w:eastAsia="zh-CN"/>
              </w:rPr>
              <w:t>9</w:t>
            </w:r>
            <w:r>
              <w:rPr>
                <w:rFonts w:cs="Arial" w:asciiTheme="minorEastAsia" w:hAnsiTheme="minorEastAsia" w:eastAsiaTheme="minorEastAsia"/>
                <w:b/>
                <w:color w:val="auto"/>
                <w:szCs w:val="21"/>
                <w:highlight w:val="none"/>
              </w:rPr>
              <w:t>时</w:t>
            </w:r>
            <w:r>
              <w:rPr>
                <w:rFonts w:hint="eastAsia" w:cs="Arial" w:asciiTheme="minorEastAsia" w:hAnsiTheme="minorEastAsia" w:eastAsiaTheme="minorEastAsia"/>
                <w:b/>
                <w:color w:val="auto"/>
                <w:szCs w:val="21"/>
                <w:highlight w:val="none"/>
                <w:lang w:val="en-US" w:eastAsia="zh-CN"/>
              </w:rPr>
              <w:t>3</w:t>
            </w:r>
            <w:r>
              <w:rPr>
                <w:rFonts w:hint="eastAsia" w:cs="Arial" w:asciiTheme="minorEastAsia" w:hAnsiTheme="minorEastAsia" w:eastAsiaTheme="minorEastAsia"/>
                <w:b/>
                <w:color w:val="auto"/>
                <w:szCs w:val="21"/>
                <w:highlight w:val="none"/>
              </w:rPr>
              <w:t>0</w:t>
            </w:r>
            <w:r>
              <w:rPr>
                <w:rFonts w:cs="Arial" w:asciiTheme="minorEastAsia" w:hAnsiTheme="minorEastAsia" w:eastAsiaTheme="minorEastAsia"/>
                <w:b/>
                <w:color w:val="auto"/>
                <w:szCs w:val="21"/>
                <w:highlight w:val="none"/>
              </w:rPr>
              <w:t>分</w:t>
            </w:r>
            <w:r>
              <w:rPr>
                <w:rFonts w:hint="eastAsia" w:ascii="宋体" w:hAnsi="宋体" w:cs="Arial" w:eastAsiaTheme="minorEastAsia"/>
                <w:color w:val="auto"/>
                <w:szCs w:val="21"/>
                <w:highlight w:val="none"/>
              </w:rPr>
              <w:t>嘉兴市银建工程咨询评估有限公司</w:t>
            </w:r>
            <w:r>
              <w:rPr>
                <w:rFonts w:hint="eastAsia" w:ascii="宋体" w:hAnsi="宋体" w:cs="Arial"/>
                <w:color w:val="auto"/>
                <w:szCs w:val="21"/>
                <w:highlight w:val="none"/>
              </w:rPr>
              <w:t>（嘉兴市洪兴路2399号宝地大厦1506室）</w:t>
            </w:r>
            <w:r>
              <w:rPr>
                <w:rFonts w:hint="eastAsia" w:cs="Arial" w:asciiTheme="minorEastAsia" w:hAnsiTheme="minorEastAsia" w:eastAsiaTheme="minorEastAsia"/>
                <w:color w:val="auto"/>
                <w:szCs w:val="21"/>
                <w:highlight w:val="none"/>
              </w:rPr>
              <w:t>。</w:t>
            </w:r>
            <w:r>
              <w:rPr>
                <w:rFonts w:hint="eastAsia" w:cs="Arial" w:asciiTheme="minorEastAsia" w:hAnsiTheme="minorEastAsia" w:eastAsiaTheme="minorEastAsia"/>
                <w:b/>
                <w:color w:val="auto"/>
                <w:szCs w:val="21"/>
                <w:highlight w:val="none"/>
                <w:u w:val="singl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中标公告及中标通知书：中标公告发布于上述媒体，</w:t>
            </w:r>
            <w:r>
              <w:rPr>
                <w:rFonts w:hint="eastAsia" w:cs="宋体" w:asciiTheme="minorEastAsia" w:hAnsiTheme="minorEastAsia" w:eastAsiaTheme="minorEastAsia"/>
                <w:color w:val="auto"/>
                <w:kern w:val="0"/>
                <w:szCs w:val="21"/>
                <w:highlight w:val="none"/>
              </w:rPr>
              <w:t>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eastAsia="zh-CN"/>
              </w:rPr>
              <w:t>签订合同价的</w:t>
            </w:r>
            <w:r>
              <w:rPr>
                <w:rFonts w:hint="eastAsia" w:cs="宋体" w:asciiTheme="minorEastAsia" w:hAnsiTheme="minorEastAsia" w:eastAsiaTheme="minorEastAsia"/>
                <w:color w:val="auto"/>
                <w:szCs w:val="21"/>
                <w:highlight w:val="none"/>
                <w:lang w:val="en-US" w:eastAsia="zh-CN"/>
              </w:rPr>
              <w:t>2.5%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签订合同时间：中标通知书发出后10日内。</w:t>
            </w:r>
            <w:r>
              <w:rPr>
                <w:rFonts w:hint="eastAsia" w:cs="宋体" w:asciiTheme="minorEastAsia" w:hAnsiTheme="minorEastAsia" w:eastAsiaTheme="minorEastAsia"/>
                <w:color w:val="auto"/>
                <w:kern w:val="0"/>
                <w:szCs w:val="21"/>
                <w:highlight w:val="none"/>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最高限价：</w:t>
            </w:r>
          </w:p>
          <w:p>
            <w:pPr>
              <w:autoSpaceDE w:val="0"/>
              <w:autoSpaceDN w:val="0"/>
              <w:snapToGrid w:val="0"/>
              <w:spacing w:line="360" w:lineRule="auto"/>
              <w:textAlignment w:val="bottom"/>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标段一：365.9180万元</w:t>
            </w:r>
          </w:p>
          <w:p>
            <w:pPr>
              <w:autoSpaceDE w:val="0"/>
              <w:autoSpaceDN w:val="0"/>
              <w:snapToGrid w:val="0"/>
              <w:spacing w:line="360" w:lineRule="auto"/>
              <w:textAlignment w:val="bottom"/>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标段二：433.8788万元</w:t>
            </w:r>
          </w:p>
          <w:p>
            <w:pPr>
              <w:autoSpaceDE w:val="0"/>
              <w:autoSpaceDN w:val="0"/>
              <w:snapToGrid w:val="0"/>
              <w:spacing w:line="360" w:lineRule="auto"/>
              <w:textAlignment w:val="bottom"/>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标段三：386.3700万元</w:t>
            </w:r>
          </w:p>
          <w:p>
            <w:pPr>
              <w:autoSpaceDE w:val="0"/>
              <w:autoSpaceDN w:val="0"/>
              <w:snapToGrid w:val="0"/>
              <w:spacing w:line="360" w:lineRule="auto"/>
              <w:textAlignment w:val="bottom"/>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高于最高限价作废标处理。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投标文件有效期：</w:t>
            </w:r>
            <w:r>
              <w:rPr>
                <w:rFonts w:hint="eastAsia" w:cs="Arial" w:asciiTheme="minorEastAsia" w:hAnsiTheme="minorEastAsia" w:eastAsiaTheme="minorEastAsia"/>
                <w:color w:val="auto"/>
                <w:szCs w:val="21"/>
                <w:highlight w:val="none"/>
                <w:u w:val="single"/>
              </w:rPr>
              <w:t>90</w:t>
            </w:r>
            <w:r>
              <w:rPr>
                <w:rFonts w:hint="eastAsia" w:cs="Arial" w:asciiTheme="minorEastAsia" w:hAnsiTheme="minorEastAsia" w:eastAsiaTheme="minor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信用记录：</w:t>
            </w:r>
            <w:r>
              <w:rPr>
                <w:rFonts w:hint="eastAsia" w:cs="Arial" w:asciiTheme="minorEastAsia" w:hAnsiTheme="minorEastAsia" w:eastAsiaTheme="minorEastAsia"/>
                <w:color w:val="auto"/>
                <w:szCs w:val="21"/>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政府采购节能环保产品：无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8371"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before="50" w:after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 </w:t>
            </w:r>
            <w:r>
              <w:rPr>
                <w:rFonts w:asciiTheme="minorEastAsia" w:hAnsiTheme="minorEastAsia" w:eastAsiaTheme="minorEastAsia"/>
                <w:color w:val="auto"/>
                <w:szCs w:val="21"/>
                <w:highlight w:val="none"/>
              </w:rPr>
              <w:t>根据财库〔</w:t>
            </w:r>
            <w:r>
              <w:rPr>
                <w:rFonts w:hint="eastAsia" w:asciiTheme="minorEastAsia" w:hAnsiTheme="minorEastAsia" w:eastAsiaTheme="minorEastAsia"/>
                <w:color w:val="auto"/>
                <w:szCs w:val="21"/>
                <w:highlight w:val="none"/>
              </w:rPr>
              <w:t>2020</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46</w:t>
            </w:r>
            <w:r>
              <w:rPr>
                <w:rFonts w:asciiTheme="minorEastAsia" w:hAnsiTheme="minorEastAsia" w:eastAsiaTheme="minorEastAsia"/>
                <w:color w:val="auto"/>
                <w:szCs w:val="21"/>
                <w:highlight w:val="none"/>
              </w:rPr>
              <w:t>号的相关规定，在评审时对小型和微型企业的投标报价给予</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%的扣除，取扣除后的价格作为最终投标报价（此最终投标报价仅作为价格分计算）。属于小型和微型企业的，投标文件中必须</w:t>
            </w:r>
            <w:r>
              <w:rPr>
                <w:rFonts w:hint="eastAsia" w:asciiTheme="minorEastAsia" w:hAnsiTheme="minorEastAsia" w:eastAsiaTheme="minorEastAsia"/>
                <w:color w:val="auto"/>
                <w:szCs w:val="21"/>
                <w:highlight w:val="none"/>
              </w:rPr>
              <w:t>提供</w:t>
            </w:r>
            <w:r>
              <w:rPr>
                <w:rFonts w:asciiTheme="minorEastAsia" w:hAnsiTheme="minorEastAsia" w:eastAsiaTheme="minorEastAsia"/>
                <w:color w:val="auto"/>
                <w:szCs w:val="21"/>
                <w:highlight w:val="none"/>
              </w:rPr>
              <w:t>《中小企业声明函》</w:t>
            </w:r>
            <w:r>
              <w:rPr>
                <w:rFonts w:hint="eastAsia" w:asciiTheme="minorEastAsia" w:hAnsiTheme="minorEastAsia" w:eastAsiaTheme="minorEastAsia"/>
                <w:color w:val="auto"/>
                <w:szCs w:val="21"/>
                <w:highlight w:val="none"/>
              </w:rPr>
              <w:t>（模板见第六章）</w:t>
            </w:r>
            <w:r>
              <w:rPr>
                <w:rFonts w:asciiTheme="minorEastAsia" w:hAnsiTheme="minorEastAsia" w:eastAsiaTheme="minorEastAsia"/>
                <w:color w:val="auto"/>
                <w:szCs w:val="21"/>
                <w:highlight w:val="none"/>
              </w:rPr>
              <w:t>，否则不</w:t>
            </w:r>
            <w:r>
              <w:rPr>
                <w:rFonts w:hint="eastAsia" w:asciiTheme="minorEastAsia" w:hAnsiTheme="minorEastAsia" w:eastAsiaTheme="minorEastAsia"/>
                <w:color w:val="auto"/>
                <w:szCs w:val="21"/>
                <w:highlight w:val="none"/>
              </w:rPr>
              <w:t>给予</w:t>
            </w:r>
            <w:r>
              <w:rPr>
                <w:rFonts w:asciiTheme="minorEastAsia" w:hAnsiTheme="minorEastAsia" w:eastAsiaTheme="minorEastAsia"/>
                <w:color w:val="auto"/>
                <w:szCs w:val="21"/>
                <w:highlight w:val="none"/>
              </w:rPr>
              <w:t>价格</w:t>
            </w:r>
            <w:r>
              <w:rPr>
                <w:rFonts w:hint="eastAsia" w:asciiTheme="minorEastAsia" w:hAnsiTheme="minorEastAsia" w:eastAsiaTheme="minorEastAsia"/>
                <w:color w:val="auto"/>
                <w:szCs w:val="21"/>
                <w:highlight w:val="none"/>
              </w:rPr>
              <w:t>扣除：</w:t>
            </w:r>
          </w:p>
          <w:p>
            <w:pPr>
              <w:tabs>
                <w:tab w:val="left" w:pos="3870"/>
                <w:tab w:val="left" w:pos="4085"/>
              </w:tabs>
              <w:snapToGrid w:val="0"/>
              <w:spacing w:before="5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2.根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3.</w:t>
            </w:r>
            <w:r>
              <w:rPr>
                <w:rFonts w:hint="eastAsia" w:asciiTheme="minorEastAsia" w:hAnsiTheme="minorEastAsia" w:eastAsiaTheme="minorEastAsia"/>
                <w:color w:val="auto"/>
                <w:szCs w:val="21"/>
                <w:highlight w:val="none"/>
              </w:rPr>
              <w:t>监狱企业同视为小型、微型企业，享受小微企业政策扶持。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解释：本招标文件的解释权属于采购单位。</w:t>
            </w:r>
          </w:p>
        </w:tc>
      </w:tr>
    </w:tbl>
    <w:p>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pPr>
        <w:snapToGrid w:val="0"/>
        <w:spacing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w:t>
      </w:r>
      <w:r>
        <w:rPr>
          <w:rFonts w:asciiTheme="minorEastAsia" w:hAnsiTheme="minorEastAsia" w:eastAsiaTheme="minorEastAsia"/>
          <w:b/>
          <w:color w:val="auto"/>
          <w:szCs w:val="21"/>
          <w:highlight w:val="none"/>
        </w:rPr>
        <w:t xml:space="preserve"> 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（二）定义</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招标采购人系指组织本次招标的</w:t>
      </w:r>
      <w:r>
        <w:rPr>
          <w:rFonts w:hint="eastAsia" w:asciiTheme="minorEastAsia" w:hAnsiTheme="minorEastAsia" w:eastAsiaTheme="minorEastAsia"/>
          <w:color w:val="auto"/>
          <w:szCs w:val="21"/>
          <w:highlight w:val="none"/>
        </w:rPr>
        <w:t>嘉兴市银建工程咨询评估有限公司（“招标人”）</w:t>
      </w:r>
      <w:r>
        <w:rPr>
          <w:rFonts w:asciiTheme="minorEastAsia" w:hAnsiTheme="minorEastAsia" w:eastAsiaTheme="minorEastAsia"/>
          <w:color w:val="auto"/>
          <w:szCs w:val="21"/>
          <w:highlight w:val="none"/>
        </w:rPr>
        <w:t>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供应商”系指向采购人提交投标文件的单位或个人。</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“服务”系指招标文件规定供应商须承担的安装、调试、技术协助、校准、培训、技术指导以及其他类似的义务。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“项目”系指供应商按招标文件规定向采购人提供的产品和服务。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“书面形式”包括信函、传真、电报等。</w:t>
      </w:r>
    </w:p>
    <w:p>
      <w:pPr>
        <w:snapToGrid w:val="0"/>
        <w:spacing w:line="360" w:lineRule="auto"/>
        <w:ind w:left="630" w:leftChars="250" w:hanging="105" w:hangingChars="5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“▲”系指实质性要求条款</w:t>
      </w:r>
      <w:r>
        <w:rPr>
          <w:rFonts w:hint="eastAsia" w:asciiTheme="minorEastAsia" w:hAnsiTheme="minorEastAsia" w:eastAsiaTheme="minorEastAsia"/>
          <w:color w:val="auto"/>
          <w:szCs w:val="21"/>
          <w:highlight w:val="none"/>
        </w:rPr>
        <w:t>，不满足实行性要求条款的投标文件无效。</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（三）采购方式</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本次招标采用</w:t>
      </w:r>
      <w:r>
        <w:rPr>
          <w:rFonts w:asciiTheme="minorEastAsia" w:hAnsiTheme="minorEastAsia" w:eastAsiaTheme="minorEastAsia"/>
          <w:b/>
          <w:color w:val="auto"/>
          <w:szCs w:val="21"/>
          <w:highlight w:val="none"/>
          <w:u w:val="single"/>
        </w:rPr>
        <w:t>公开</w:t>
      </w:r>
      <w:r>
        <w:rPr>
          <w:rFonts w:hint="eastAsia" w:asciiTheme="minorEastAsia" w:hAnsiTheme="minorEastAsia" w:eastAsiaTheme="minorEastAsia"/>
          <w:b/>
          <w:color w:val="auto"/>
          <w:szCs w:val="21"/>
          <w:highlight w:val="none"/>
          <w:u w:val="single"/>
        </w:rPr>
        <w:t>招标</w:t>
      </w:r>
      <w:r>
        <w:rPr>
          <w:rFonts w:hint="eastAsia" w:asciiTheme="minorEastAsia" w:hAnsiTheme="minorEastAsia" w:eastAsiaTheme="minorEastAsia"/>
          <w:color w:val="auto"/>
          <w:szCs w:val="21"/>
          <w:highlight w:val="none"/>
        </w:rPr>
        <w:t>采购方式</w:t>
      </w:r>
      <w:r>
        <w:rPr>
          <w:rFonts w:asciiTheme="minorEastAsia" w:hAnsiTheme="minorEastAsia" w:eastAsiaTheme="minorEastAsia"/>
          <w:color w:val="auto"/>
          <w:szCs w:val="21"/>
          <w:highlight w:val="none"/>
        </w:rPr>
        <w:t>进行。</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（四）投标委托</w:t>
      </w:r>
    </w:p>
    <w:p>
      <w:pPr>
        <w:pStyle w:val="3"/>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如供应商代表不是法定代表人，须有法定代表人出具的授权委托书（格式</w:t>
      </w:r>
      <w:r>
        <w:rPr>
          <w:rFonts w:hint="eastAsia" w:asciiTheme="minorEastAsia" w:hAnsiTheme="minorEastAsia" w:eastAsiaTheme="minorEastAsia"/>
          <w:color w:val="auto"/>
          <w:szCs w:val="21"/>
          <w:highlight w:val="none"/>
        </w:rPr>
        <w:t>详</w:t>
      </w:r>
      <w:r>
        <w:rPr>
          <w:rFonts w:asciiTheme="minorEastAsia" w:hAnsiTheme="minorEastAsia" w:eastAsiaTheme="minorEastAsia"/>
          <w:color w:val="auto"/>
          <w:szCs w:val="21"/>
          <w:highlight w:val="none"/>
        </w:rPr>
        <w:t>见第</w:t>
      </w:r>
      <w:r>
        <w:rPr>
          <w:rFonts w:hint="eastAsia" w:asciiTheme="minorEastAsia" w:hAnsiTheme="minorEastAsia" w:eastAsiaTheme="minorEastAsia"/>
          <w:color w:val="auto"/>
          <w:szCs w:val="21"/>
          <w:highlight w:val="none"/>
        </w:rPr>
        <w:t>六章</w:t>
      </w:r>
      <w:r>
        <w:rPr>
          <w:rFonts w:asciiTheme="minorEastAsia" w:hAnsiTheme="minorEastAsia" w:eastAsiaTheme="minorEastAsia"/>
          <w:color w:val="auto"/>
          <w:szCs w:val="21"/>
          <w:highlight w:val="none"/>
        </w:rPr>
        <w:t>）。</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（五）投标费用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不论投标结果如何，供应商均应自行承担所有与投标有关的全部费用（招标文件有相反规定除外）。</w:t>
      </w:r>
    </w:p>
    <w:p>
      <w:pPr>
        <w:snapToGrid w:val="0"/>
        <w:spacing w:beforeLines="50"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（六）联合体投标</w:t>
      </w:r>
    </w:p>
    <w:p>
      <w:pPr>
        <w:snapToGrid w:val="0"/>
        <w:spacing w:line="360" w:lineRule="auto"/>
        <w:ind w:firstLine="632" w:firstLineChars="300"/>
        <w:jc w:val="left"/>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本项目不接受联合体投标。</w:t>
      </w:r>
    </w:p>
    <w:p>
      <w:pPr>
        <w:snapToGrid w:val="0"/>
        <w:spacing w:beforeLines="50" w:line="360" w:lineRule="auto"/>
        <w:ind w:firstLine="413" w:firstLineChars="196"/>
        <w:rPr>
          <w:rFonts w:cs="宋体"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（七）</w:t>
      </w:r>
      <w:r>
        <w:rPr>
          <w:rFonts w:hint="eastAsia" w:cs="宋体" w:asciiTheme="minorEastAsia" w:hAnsiTheme="minorEastAsia" w:eastAsiaTheme="minorEastAsia"/>
          <w:b/>
          <w:color w:val="auto"/>
          <w:kern w:val="0"/>
          <w:szCs w:val="21"/>
          <w:highlight w:val="none"/>
        </w:rPr>
        <w:t>转包与分包</w:t>
      </w:r>
    </w:p>
    <w:p>
      <w:pPr>
        <w:snapToGrid w:val="0"/>
        <w:spacing w:line="360" w:lineRule="auto"/>
        <w:ind w:firstLine="420" w:firstLineChars="200"/>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 xml:space="preserve"> 本项目不允许转包。</w:t>
      </w:r>
    </w:p>
    <w:p>
      <w:pPr>
        <w:snapToGrid w:val="0"/>
        <w:spacing w:line="360" w:lineRule="auto"/>
        <w:ind w:firstLine="420" w:firstLineChars="200"/>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 xml:space="preserve"> 本项目不可以分包</w:t>
      </w:r>
      <w:r>
        <w:rPr>
          <w:rFonts w:hint="eastAsia" w:cs="宋体" w:asciiTheme="minorEastAsia" w:hAnsiTheme="minorEastAsia" w:eastAsiaTheme="minorEastAsia"/>
          <w:color w:val="auto"/>
          <w:kern w:val="0"/>
          <w:szCs w:val="21"/>
          <w:highlight w:val="none"/>
        </w:rPr>
        <w:t>。</w:t>
      </w:r>
    </w:p>
    <w:p>
      <w:pPr>
        <w:snapToGrid w:val="0"/>
        <w:spacing w:beforeLines="5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（八）是否允许采购进口产品</w:t>
      </w:r>
    </w:p>
    <w:p>
      <w:pPr>
        <w:snapToGrid w:val="0"/>
        <w:spacing w:beforeLines="50" w:line="360" w:lineRule="auto"/>
        <w:ind w:firstLine="411" w:firstLineChars="196"/>
        <w:jc w:val="left"/>
        <w:outlineLvl w:val="1"/>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不</w:t>
      </w:r>
      <w:r>
        <w:rPr>
          <w:rFonts w:cs="宋体" w:asciiTheme="minorEastAsia" w:hAnsiTheme="minorEastAsia" w:eastAsiaTheme="minorEastAsia"/>
          <w:color w:val="auto"/>
          <w:kern w:val="0"/>
          <w:szCs w:val="21"/>
          <w:highlight w:val="none"/>
        </w:rPr>
        <w:t>允许</w:t>
      </w:r>
      <w:r>
        <w:rPr>
          <w:rFonts w:hint="eastAsia" w:cs="宋体" w:asciiTheme="minorEastAsia" w:hAnsiTheme="minorEastAsia" w:eastAsiaTheme="minorEastAsia"/>
          <w:color w:val="auto"/>
          <w:kern w:val="0"/>
          <w:szCs w:val="21"/>
          <w:highlight w:val="none"/>
        </w:rPr>
        <w:t>采购进口产品。</w:t>
      </w:r>
    </w:p>
    <w:p>
      <w:pPr>
        <w:snapToGrid w:val="0"/>
        <w:spacing w:beforeLines="50" w:line="360" w:lineRule="auto"/>
        <w:ind w:firstLine="411" w:firstLineChars="196"/>
        <w:jc w:val="left"/>
        <w:outlineLvl w:val="1"/>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（九）特别说明：</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供应商投标所使用的资格、信誉、荣誉、业绩与企业认证必须为本法人所拥有。供应商投标所使用的采购项目实施人员必须为本法人员工（或必须为本法人或控股公司正式员工）。</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供应商应仔细阅读招标文件的所有内容，按照招标文件的要求提交投标文件，并对所提供的全部资料的真实性承担法律责任。</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且民事赔偿并不免除违法供应商的行政与刑事责任。</w:t>
      </w:r>
    </w:p>
    <w:p>
      <w:pPr>
        <w:pStyle w:val="28"/>
        <w:snapToGrid w:val="0"/>
        <w:spacing w:beforeLines="0" w:afterLines="0" w:line="360" w:lineRule="auto"/>
        <w:ind w:firstLine="413" w:firstLineChars="196"/>
        <w:outlineLvl w:val="1"/>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w:t>
      </w:r>
      <w:r>
        <w:rPr>
          <w:rFonts w:hint="eastAsia" w:asciiTheme="minorEastAsia" w:hAnsiTheme="minorEastAsia" w:eastAsiaTheme="minorEastAsia"/>
          <w:b/>
          <w:bCs/>
          <w:color w:val="auto"/>
          <w:sz w:val="21"/>
          <w:szCs w:val="21"/>
          <w:highlight w:val="none"/>
        </w:rPr>
        <w:t>十</w:t>
      </w:r>
      <w:r>
        <w:rPr>
          <w:rFonts w:asciiTheme="minorEastAsia" w:hAnsiTheme="minorEastAsia" w:eastAsiaTheme="minorEastAsia"/>
          <w:b/>
          <w:bCs/>
          <w:color w:val="auto"/>
          <w:sz w:val="21"/>
          <w:szCs w:val="21"/>
          <w:highlight w:val="none"/>
        </w:rPr>
        <w:t>）质疑和投诉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 供应商须在法定质疑期内一次性提出针对同一采购程序环节的质疑.</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3.</w:t>
      </w:r>
      <w:r>
        <w:rPr>
          <w:rFonts w:hint="eastAsia" w:asciiTheme="minorEastAsia" w:hAnsiTheme="minorEastAsia" w:eastAsiaTheme="minorEastAsia"/>
          <w:bCs/>
          <w:color w:val="auto"/>
          <w:sz w:val="21"/>
          <w:szCs w:val="21"/>
          <w:highlight w:val="none"/>
        </w:rPr>
        <w:t xml:space="preserve"> 供应商认为代理机构在质疑答复程序中启用的调查和复评等程序，在该程序操作过程未明显违反法律禁止性规定时，不得提出疑义。</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4</w:t>
      </w:r>
      <w:r>
        <w:rPr>
          <w:rFonts w:hint="eastAsia" w:asciiTheme="minorEastAsia" w:hAnsiTheme="minorEastAsia" w:eastAsiaTheme="minorEastAsia"/>
          <w:bCs/>
          <w:color w:val="auto"/>
          <w:sz w:val="21"/>
          <w:szCs w:val="21"/>
          <w:highlight w:val="none"/>
        </w:rPr>
        <w:t>.质疑和投诉应当满足《政府采购质疑和投诉办法》（中华人民共和国财政部令第94号）要求。</w:t>
      </w:r>
    </w:p>
    <w:p>
      <w:pPr>
        <w:pStyle w:val="28"/>
        <w:snapToGrid w:val="0"/>
        <w:spacing w:before="120" w:after="120" w:line="360" w:lineRule="auto"/>
        <w:ind w:firstLine="413" w:firstLineChars="196"/>
        <w:jc w:val="center"/>
        <w:outlineLvl w:val="9"/>
        <w:rPr>
          <w:rFonts w:asciiTheme="minorEastAsia" w:hAnsiTheme="minorEastAsia" w:eastAsiaTheme="minorEastAsia"/>
          <w:b/>
          <w:color w:val="auto"/>
          <w:sz w:val="21"/>
          <w:szCs w:val="21"/>
          <w:highlight w:val="none"/>
        </w:rPr>
      </w:pPr>
      <w:bookmarkStart w:id="65" w:name="_Toc406402987"/>
      <w:bookmarkStart w:id="66" w:name="_Toc406402943"/>
    </w:p>
    <w:p>
      <w:pPr>
        <w:pStyle w:val="28"/>
        <w:snapToGrid w:val="0"/>
        <w:spacing w:before="120" w:after="120" w:line="360" w:lineRule="auto"/>
        <w:ind w:firstLine="413" w:firstLineChars="196"/>
        <w:jc w:val="center"/>
        <w:outlineLvl w:val="0"/>
        <w:rPr>
          <w:rFonts w:asciiTheme="minorEastAsia" w:hAnsiTheme="minorEastAsia" w:eastAsiaTheme="minorEastAsia"/>
          <w:b/>
          <w:color w:val="auto"/>
          <w:sz w:val="21"/>
          <w:szCs w:val="21"/>
          <w:highlight w:val="none"/>
        </w:rPr>
      </w:pPr>
      <w:bookmarkStart w:id="67" w:name="_Toc26804"/>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w:t>
      </w:r>
      <w:r>
        <w:rPr>
          <w:rFonts w:asciiTheme="minorEastAsia" w:hAnsiTheme="minorEastAsia" w:eastAsiaTheme="minorEastAsia"/>
          <w:b/>
          <w:color w:val="auto"/>
          <w:sz w:val="21"/>
          <w:szCs w:val="21"/>
          <w:highlight w:val="none"/>
        </w:rPr>
        <w:t>招标文件</w:t>
      </w:r>
      <w:bookmarkEnd w:id="65"/>
      <w:bookmarkEnd w:id="66"/>
      <w:bookmarkEnd w:id="67"/>
    </w:p>
    <w:p>
      <w:pPr>
        <w:snapToGrid w:val="0"/>
        <w:spacing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（一）招标文件的构成。本招标文件由以下部份组成：</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招标公告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招标需求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供应商须知</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评标办法及标准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合同主要条款</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napToGrid w:val="0"/>
        <w:spacing w:beforeLines="50"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（二）供应商的风险</w:t>
      </w:r>
    </w:p>
    <w:p>
      <w:pPr>
        <w:pStyle w:val="40"/>
        <w:spacing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供应商没有按照招标文件要求提供全部资料，或者供应商没有对招标文件在各方面作出实质性响应是供应商的风险，并可能导致其投标为无效标。</w:t>
      </w:r>
    </w:p>
    <w:p>
      <w:pPr>
        <w:pStyle w:val="16"/>
        <w:widowControl w:val="0"/>
        <w:tabs>
          <w:tab w:val="clear" w:pos="454"/>
        </w:tabs>
        <w:snapToGrid w:val="0"/>
        <w:spacing w:beforeLines="50" w:afterLines="0" w:line="360" w:lineRule="auto"/>
        <w:ind w:left="0"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（三）招标文件的澄清与修改</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bCs/>
          <w:color w:val="auto"/>
          <w:sz w:val="21"/>
          <w:szCs w:val="21"/>
          <w:highlight w:val="none"/>
        </w:rPr>
        <w:t>供应商应认真阅读本招标文件，发现其中有误或有不合理要求的，</w:t>
      </w:r>
      <w:r>
        <w:rPr>
          <w:rFonts w:hint="eastAsia" w:asciiTheme="minorEastAsia" w:hAnsiTheme="minorEastAsia" w:eastAsiaTheme="minorEastAsia"/>
          <w:bCs/>
          <w:color w:val="auto"/>
          <w:sz w:val="21"/>
          <w:szCs w:val="21"/>
          <w:highlight w:val="none"/>
        </w:rPr>
        <w:t>可</w:t>
      </w:r>
      <w:r>
        <w:rPr>
          <w:rFonts w:asciiTheme="minorEastAsia" w:hAnsiTheme="minorEastAsia" w:eastAsiaTheme="minorEastAsia"/>
          <w:bCs/>
          <w:color w:val="auto"/>
          <w:sz w:val="21"/>
          <w:szCs w:val="21"/>
          <w:highlight w:val="none"/>
        </w:rPr>
        <w:t>要求招标采购人澄清</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招标采购人</w:t>
      </w:r>
      <w:r>
        <w:rPr>
          <w:rFonts w:asciiTheme="minorEastAsia" w:hAnsiTheme="minorEastAsia" w:eastAsiaTheme="minorEastAsia"/>
          <w:color w:val="auto"/>
          <w:sz w:val="21"/>
          <w:szCs w:val="21"/>
          <w:highlight w:val="none"/>
        </w:rPr>
        <w:t>对已发出的招标文件进行必要澄清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修改的，应当在招标文件要求提交投标文件截止</w:t>
      </w:r>
      <w:r>
        <w:rPr>
          <w:rFonts w:hint="eastAsia" w:asciiTheme="minorEastAsia" w:hAnsiTheme="minorEastAsia" w:eastAsiaTheme="minorEastAsia"/>
          <w:color w:val="auto"/>
          <w:sz w:val="21"/>
          <w:szCs w:val="21"/>
          <w:highlight w:val="none"/>
        </w:rPr>
        <w:t>十</w:t>
      </w:r>
      <w:r>
        <w:rPr>
          <w:rFonts w:asciiTheme="minorEastAsia" w:hAnsiTheme="minorEastAsia" w:eastAsiaTheme="minorEastAsia"/>
          <w:color w:val="auto"/>
          <w:sz w:val="21"/>
          <w:szCs w:val="21"/>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21"/>
          <w:szCs w:val="21"/>
          <w:highlight w:val="none"/>
        </w:rPr>
        <w:t>获取</w:t>
      </w:r>
      <w:r>
        <w:rPr>
          <w:rFonts w:asciiTheme="minorEastAsia" w:hAnsiTheme="minorEastAsia" w:eastAsiaTheme="minorEastAsia"/>
          <w:color w:val="auto"/>
          <w:sz w:val="21"/>
          <w:szCs w:val="21"/>
          <w:highlight w:val="none"/>
        </w:rPr>
        <w:t>人。</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招标文件澄清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修改的内容为招标文件的组成部分。当招标文件与澄清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修改就同一内容的表述不一致时，以最后发出的书面文件为准。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w:t>
      </w:r>
      <w:r>
        <w:rPr>
          <w:rFonts w:asciiTheme="minorEastAsia" w:hAnsiTheme="minorEastAsia" w:eastAsiaTheme="minorEastAsia"/>
          <w:color w:val="auto"/>
          <w:sz w:val="21"/>
          <w:szCs w:val="21"/>
          <w:highlight w:val="none"/>
        </w:rPr>
        <w:t>招标文件的澄清、答复、修改或补充都应该通过</w:t>
      </w:r>
      <w:r>
        <w:rPr>
          <w:rFonts w:hint="eastAsia" w:asciiTheme="minorEastAsia" w:hAnsiTheme="minorEastAsia" w:eastAsiaTheme="minorEastAsia"/>
          <w:color w:val="auto"/>
          <w:sz w:val="21"/>
          <w:szCs w:val="21"/>
          <w:highlight w:val="none"/>
        </w:rPr>
        <w:t>代理机构</w:t>
      </w:r>
      <w:r>
        <w:rPr>
          <w:rFonts w:asciiTheme="minorEastAsia" w:hAnsiTheme="minorEastAsia" w:eastAsiaTheme="minorEastAsia"/>
          <w:color w:val="auto"/>
          <w:sz w:val="21"/>
          <w:szCs w:val="21"/>
          <w:highlight w:val="none"/>
        </w:rPr>
        <w:t>以法定形式发布，采购人非通过本机构，不得擅自澄清、答复、修改或补充招标文件。</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p>
    <w:p>
      <w:pPr>
        <w:pStyle w:val="28"/>
        <w:snapToGrid w:val="0"/>
        <w:spacing w:before="120" w:after="120" w:line="360" w:lineRule="auto"/>
        <w:ind w:firstLine="413" w:firstLineChars="196"/>
        <w:jc w:val="center"/>
        <w:outlineLvl w:val="1"/>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本项目所涉投标文件格式请详见第六章，未给出的格式请自拟。资信商务及技术文件中不得出现报价，否则投标文件将被视为无效。</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总体要求</w:t>
      </w:r>
      <w:r>
        <w:rPr>
          <w:rFonts w:asciiTheme="minorEastAsia" w:hAnsiTheme="minorEastAsia" w:eastAsiaTheme="minorEastAsia"/>
          <w:b/>
          <w:color w:val="auto"/>
          <w:sz w:val="21"/>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pPr>
        <w:snapToGrid w:val="0"/>
        <w:spacing w:line="360" w:lineRule="auto"/>
        <w:ind w:firstLine="413" w:firstLineChars="196"/>
        <w:jc w:val="left"/>
        <w:outlineLvl w:val="0"/>
        <w:rPr>
          <w:rFonts w:asciiTheme="minorEastAsia" w:hAnsiTheme="minorEastAsia" w:eastAsiaTheme="minorEastAsia"/>
          <w:b/>
          <w:color w:val="auto"/>
          <w:szCs w:val="21"/>
          <w:highlight w:val="none"/>
        </w:rPr>
      </w:pPr>
      <w:bookmarkStart w:id="68" w:name="_Toc406402944"/>
      <w:bookmarkStart w:id="69" w:name="_Toc406402988"/>
      <w:bookmarkStart w:id="70" w:name="_Toc22673"/>
      <w:r>
        <w:rPr>
          <w:rFonts w:hint="eastAsia" w:asciiTheme="minorEastAsia" w:hAnsiTheme="minorEastAsia" w:eastAsiaTheme="minorEastAsia"/>
          <w:b/>
          <w:color w:val="auto"/>
          <w:szCs w:val="21"/>
          <w:highlight w:val="none"/>
        </w:rPr>
        <w:t>（一）投标文件的组成</w:t>
      </w:r>
      <w:bookmarkEnd w:id="68"/>
      <w:bookmarkEnd w:id="69"/>
      <w:bookmarkEnd w:id="70"/>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pPr>
        <w:snapToGrid w:val="0"/>
        <w:spacing w:beforeLines="50"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pPr>
        <w:snapToGrid w:val="0"/>
        <w:spacing w:line="360" w:lineRule="auto"/>
        <w:jc w:val="left"/>
        <w:rPr>
          <w:rFonts w:asciiTheme="minorEastAsia" w:hAnsiTheme="minorEastAsia" w:eastAsiaTheme="minorEastAsia"/>
          <w:color w:val="auto"/>
          <w:szCs w:val="21"/>
          <w:highlight w:val="none"/>
        </w:rPr>
      </w:pPr>
      <w:bookmarkStart w:id="71" w:name="_Toc406402945"/>
      <w:bookmarkStart w:id="72" w:name="_Toc406402989"/>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业绩表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认证证书情况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（附件6）</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项目组人员配置表（附件7）</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投入设备清单格式；（附件8）</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（9）投标人符合政府采购法第二十二条资格的相关证明文件；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（10）投标人符合特定条件的相关证明文件；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（12）中小企业声明函、残疾人福利性单位声明函及其他符合政策性加分条件的承诺函或证明材料。（附件9、10）</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（13）未尽事宜请各供应商按评分细则制作技术部份。</w:t>
      </w:r>
    </w:p>
    <w:p>
      <w:pPr>
        <w:snapToGrid w:val="0"/>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技术文件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eastAsia="zh-CN"/>
        </w:rPr>
        <w:t>投标方案</w:t>
      </w:r>
      <w:r>
        <w:rPr>
          <w:rFonts w:hint="eastAsia" w:asciiTheme="minorEastAsia" w:hAnsiTheme="minorEastAsia" w:eastAsia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（2）服务承诺及质量保障；（格式自拟）</w:t>
      </w:r>
    </w:p>
    <w:p>
      <w:pPr>
        <w:pStyle w:val="2"/>
        <w:ind w:left="0" w:leftChars="0" w:firstLine="0" w:firstLineChars="0"/>
        <w:rPr>
          <w:color w:val="auto"/>
          <w:highlight w:val="none"/>
        </w:rPr>
      </w:pP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人员配置</w:t>
      </w:r>
      <w:r>
        <w:rPr>
          <w:rFonts w:hint="eastAsia" w:asciiTheme="minorEastAsia" w:hAnsi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合理化建议</w:t>
      </w:r>
      <w:r>
        <w:rPr>
          <w:rFonts w:hint="eastAsia" w:asciiTheme="minorEastAsia" w:hAnsiTheme="minorEastAsia" w:eastAsia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）投标人认为有必要提供的声明及文件资料。</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）未尽事宜请各投标人按评分细则制作。</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pPr>
        <w:snapToGrid w:val="0"/>
        <w:spacing w:line="360" w:lineRule="auto"/>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（1）投标函；（附件12）</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（附件13）</w:t>
      </w:r>
    </w:p>
    <w:p>
      <w:pPr>
        <w:pStyle w:val="2"/>
        <w:spacing w:line="360" w:lineRule="auto"/>
        <w:ind w:left="0" w:leftChars="0" w:firstLine="0" w:firstLineChars="0"/>
        <w:rPr>
          <w:color w:val="auto"/>
          <w:highlight w:val="none"/>
        </w:rPr>
      </w:pPr>
      <w:r>
        <w:rPr>
          <w:rFonts w:hint="eastAsia"/>
          <w:color w:val="auto"/>
          <w:highlight w:val="none"/>
        </w:rPr>
        <w:t>（3）明细报价表</w:t>
      </w:r>
      <w:r>
        <w:rPr>
          <w:rFonts w:asciiTheme="minorEastAsia" w:hAnsiTheme="minorEastAsia"/>
          <w:color w:val="auto"/>
          <w:szCs w:val="21"/>
          <w:highlight w:val="none"/>
        </w:rPr>
        <w:t>；</w:t>
      </w:r>
      <w:r>
        <w:rPr>
          <w:rFonts w:hint="eastAsia" w:asciiTheme="minorEastAsia" w:hAnsiTheme="minorEastAsia"/>
          <w:color w:val="auto"/>
          <w:szCs w:val="21"/>
          <w:highlight w:val="none"/>
        </w:rPr>
        <w:t>（附件14）</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p>
    <w:bookmarkEnd w:id="71"/>
    <w:bookmarkEnd w:id="72"/>
    <w:p>
      <w:pPr>
        <w:snapToGrid w:val="0"/>
        <w:spacing w:line="360" w:lineRule="auto"/>
        <w:jc w:val="left"/>
        <w:rPr>
          <w:rFonts w:asciiTheme="minorEastAsia" w:hAnsiTheme="minorEastAsia" w:eastAsiaTheme="minorEastAsia"/>
          <w:b/>
          <w:color w:val="auto"/>
          <w:szCs w:val="21"/>
          <w:highlight w:val="none"/>
        </w:rPr>
      </w:pPr>
      <w:bookmarkStart w:id="73" w:name="_Toc402963117"/>
      <w:bookmarkStart w:id="74" w:name="_Toc385854100"/>
      <w:bookmarkStart w:id="75" w:name="_Toc406402946"/>
      <w:bookmarkStart w:id="76" w:name="_Toc385854146"/>
      <w:bookmarkStart w:id="77" w:name="_Toc402963084"/>
      <w:bookmarkStart w:id="78" w:name="_Toc406402990"/>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pPr>
        <w:snapToGrid w:val="0"/>
        <w:spacing w:line="360" w:lineRule="auto"/>
        <w:ind w:firstLine="413" w:firstLineChars="196"/>
        <w:jc w:val="left"/>
        <w:outlineLvl w:val="0"/>
        <w:rPr>
          <w:rFonts w:asciiTheme="minorEastAsia" w:hAnsiTheme="minorEastAsia" w:eastAsiaTheme="minorEastAsia"/>
          <w:b/>
          <w:color w:val="auto"/>
          <w:szCs w:val="21"/>
          <w:highlight w:val="none"/>
        </w:rPr>
      </w:pPr>
      <w:bookmarkStart w:id="79" w:name="_Toc20732"/>
      <w:r>
        <w:rPr>
          <w:rFonts w:hint="eastAsia" w:asciiTheme="minorEastAsia" w:hAnsiTheme="minorEastAsia" w:eastAsiaTheme="minorEastAsia"/>
          <w:b/>
          <w:color w:val="auto"/>
          <w:szCs w:val="21"/>
          <w:highlight w:val="none"/>
        </w:rPr>
        <w:t>（二）投标文件的语言及计量</w:t>
      </w:r>
      <w:bookmarkEnd w:id="73"/>
      <w:bookmarkEnd w:id="74"/>
      <w:bookmarkEnd w:id="75"/>
      <w:bookmarkEnd w:id="76"/>
      <w:bookmarkEnd w:id="77"/>
      <w:bookmarkEnd w:id="78"/>
      <w:bookmarkEnd w:id="79"/>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auto"/>
        <w:ind w:firstLine="413" w:firstLineChars="196"/>
        <w:jc w:val="left"/>
        <w:outlineLvl w:val="0"/>
        <w:rPr>
          <w:rFonts w:asciiTheme="minorEastAsia" w:hAnsiTheme="minorEastAsia" w:eastAsiaTheme="minorEastAsia"/>
          <w:b/>
          <w:color w:val="auto"/>
          <w:szCs w:val="21"/>
          <w:highlight w:val="none"/>
        </w:rPr>
      </w:pPr>
      <w:bookmarkStart w:id="80" w:name="_Toc385854101"/>
      <w:bookmarkStart w:id="81" w:name="_Toc27435"/>
      <w:bookmarkStart w:id="82" w:name="_Toc406402991"/>
      <w:bookmarkStart w:id="83" w:name="_Toc385854147"/>
      <w:bookmarkStart w:id="84" w:name="_Toc402963085"/>
      <w:bookmarkStart w:id="85" w:name="_Toc406402947"/>
      <w:bookmarkStart w:id="86" w:name="_Toc402963118"/>
      <w:r>
        <w:rPr>
          <w:rFonts w:hint="eastAsia" w:asciiTheme="minorEastAsia" w:hAnsiTheme="minorEastAsia" w:eastAsiaTheme="minorEastAsia"/>
          <w:b/>
          <w:color w:val="auto"/>
          <w:szCs w:val="21"/>
          <w:highlight w:val="none"/>
        </w:rPr>
        <w:t>（三）投标报价</w:t>
      </w:r>
      <w:bookmarkEnd w:id="80"/>
      <w:bookmarkEnd w:id="81"/>
      <w:bookmarkEnd w:id="82"/>
      <w:bookmarkEnd w:id="83"/>
      <w:bookmarkEnd w:id="84"/>
      <w:bookmarkEnd w:id="85"/>
      <w:bookmarkEnd w:id="86"/>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投标报价应按招标文件中相关附表格式填写。</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21"/>
          <w:szCs w:val="21"/>
          <w:highlight w:val="none"/>
        </w:rPr>
        <w:t>和前期方案编制</w:t>
      </w:r>
      <w:r>
        <w:rPr>
          <w:rFonts w:asciiTheme="minorEastAsia" w:hAnsiTheme="minorEastAsia" w:eastAsiaTheme="minorEastAsia"/>
          <w:color w:val="auto"/>
          <w:sz w:val="21"/>
          <w:szCs w:val="21"/>
          <w:highlight w:val="none"/>
        </w:rPr>
        <w:t>等一切税金和费用。</w:t>
      </w:r>
    </w:p>
    <w:p>
      <w:pPr>
        <w:tabs>
          <w:tab w:val="left" w:pos="525"/>
        </w:tabs>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pStyle w:val="16"/>
        <w:widowControl w:val="0"/>
        <w:tabs>
          <w:tab w:val="clear" w:pos="454"/>
        </w:tabs>
        <w:snapToGrid w:val="0"/>
        <w:spacing w:beforeLines="50" w:afterLines="0" w:line="360" w:lineRule="auto"/>
        <w:ind w:left="0"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pPr>
        <w:pStyle w:val="16"/>
        <w:widowControl w:val="0"/>
        <w:tabs>
          <w:tab w:val="left" w:pos="4500"/>
          <w:tab w:val="clear" w:pos="454"/>
        </w:tabs>
        <w:snapToGrid w:val="0"/>
        <w:spacing w:afterLines="0" w:line="360" w:lineRule="auto"/>
        <w:ind w:left="0"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90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pPr>
        <w:pStyle w:val="16"/>
        <w:widowControl w:val="0"/>
        <w:tabs>
          <w:tab w:val="clear" w:pos="454"/>
        </w:tabs>
        <w:snapToGrid w:val="0"/>
        <w:spacing w:afterLines="0" w:line="360" w:lineRule="auto"/>
        <w:ind w:left="0"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在特殊情况下，招标人可与供应商协商延长投标书的有效期，这种要求和答复均以书面形式进行。</w:t>
      </w:r>
    </w:p>
    <w:p>
      <w:pPr>
        <w:snapToGrid w:val="0"/>
        <w:spacing w:line="360" w:lineRule="auto"/>
        <w:ind w:firstLine="420" w:firstLineChars="200"/>
        <w:jc w:val="left"/>
        <w:outlineLvl w:val="0"/>
        <w:rPr>
          <w:rFonts w:asciiTheme="minorEastAsia" w:hAnsiTheme="minorEastAsia" w:eastAsiaTheme="minorEastAsia"/>
          <w:b/>
          <w:color w:val="auto"/>
          <w:szCs w:val="21"/>
          <w:highlight w:val="none"/>
        </w:rPr>
      </w:pPr>
      <w:bookmarkStart w:id="87" w:name="_Toc385854148"/>
      <w:bookmarkStart w:id="88" w:name="_Toc402963086"/>
      <w:bookmarkStart w:id="89" w:name="_Toc406402948"/>
      <w:bookmarkStart w:id="90" w:name="_Toc402963119"/>
      <w:bookmarkStart w:id="91" w:name="_Toc385854102"/>
      <w:bookmarkStart w:id="92" w:name="_Toc16383"/>
      <w:bookmarkStart w:id="93" w:name="_Toc406402992"/>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供应商可拒绝接受延期要求。同意延长有效期的供应商不能修改投标文件。</w:t>
      </w:r>
      <w:bookmarkEnd w:id="87"/>
      <w:bookmarkEnd w:id="88"/>
      <w:bookmarkEnd w:id="89"/>
      <w:bookmarkEnd w:id="90"/>
      <w:bookmarkEnd w:id="91"/>
      <w:bookmarkEnd w:id="92"/>
      <w:bookmarkEnd w:id="93"/>
    </w:p>
    <w:p>
      <w:pPr>
        <w:snapToGrid w:val="0"/>
        <w:spacing w:line="360" w:lineRule="auto"/>
        <w:ind w:firstLine="420" w:firstLineChars="200"/>
        <w:jc w:val="left"/>
        <w:outlineLvl w:val="0"/>
        <w:rPr>
          <w:rFonts w:asciiTheme="minorEastAsia" w:hAnsiTheme="minorEastAsia" w:eastAsiaTheme="minorEastAsia"/>
          <w:b/>
          <w:color w:val="auto"/>
          <w:szCs w:val="21"/>
          <w:highlight w:val="none"/>
        </w:rPr>
      </w:pPr>
      <w:bookmarkStart w:id="94" w:name="_Toc406402949"/>
      <w:bookmarkStart w:id="95" w:name="_Toc402963120"/>
      <w:bookmarkStart w:id="96" w:name="_Toc406402993"/>
      <w:bookmarkStart w:id="97" w:name="_Toc402963087"/>
      <w:bookmarkStart w:id="98" w:name="_Toc385854149"/>
      <w:bookmarkStart w:id="99" w:name="_Toc385854103"/>
      <w:bookmarkStart w:id="100" w:name="_Toc3664"/>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中标人的投标文件自开标之日起至合同履行完毕止均应保持有效。</w:t>
      </w:r>
      <w:bookmarkEnd w:id="94"/>
      <w:bookmarkEnd w:id="95"/>
      <w:bookmarkEnd w:id="96"/>
      <w:bookmarkEnd w:id="97"/>
      <w:bookmarkEnd w:id="98"/>
      <w:bookmarkEnd w:id="99"/>
      <w:bookmarkEnd w:id="100"/>
    </w:p>
    <w:p>
      <w:pPr>
        <w:snapToGrid w:val="0"/>
        <w:spacing w:beforeLines="50" w:line="360" w:lineRule="auto"/>
        <w:ind w:firstLine="413" w:firstLineChars="196"/>
        <w:jc w:val="left"/>
        <w:outlineLvl w:val="0"/>
        <w:rPr>
          <w:rFonts w:asciiTheme="minorEastAsia" w:hAnsiTheme="minorEastAsia" w:eastAsiaTheme="minorEastAsia"/>
          <w:b/>
          <w:color w:val="auto"/>
          <w:szCs w:val="21"/>
          <w:highlight w:val="none"/>
        </w:rPr>
      </w:pPr>
      <w:bookmarkStart w:id="101" w:name="_Toc385854105"/>
      <w:bookmarkStart w:id="102" w:name="_Toc406402951"/>
      <w:bookmarkStart w:id="103" w:name="_Toc22564"/>
      <w:bookmarkStart w:id="104" w:name="_Toc402963122"/>
      <w:bookmarkStart w:id="105" w:name="_Toc402963089"/>
      <w:bookmarkStart w:id="106" w:name="_Toc406402995"/>
      <w:bookmarkStart w:id="107" w:name="_Toc385854151"/>
      <w:r>
        <w:rPr>
          <w:rFonts w:hint="eastAsia" w:asciiTheme="minorEastAsia" w:hAnsiTheme="minorEastAsia" w:eastAsiaTheme="minorEastAsia"/>
          <w:b/>
          <w:color w:val="auto"/>
          <w:szCs w:val="21"/>
          <w:highlight w:val="none"/>
        </w:rPr>
        <w:t>（五）投标文件的签署和份数</w:t>
      </w:r>
      <w:bookmarkEnd w:id="101"/>
      <w:bookmarkEnd w:id="102"/>
      <w:bookmarkEnd w:id="103"/>
      <w:bookmarkEnd w:id="104"/>
      <w:bookmarkEnd w:id="105"/>
      <w:bookmarkEnd w:id="106"/>
      <w:bookmarkEnd w:id="107"/>
    </w:p>
    <w:p>
      <w:pPr>
        <w:snapToGrid w:val="0"/>
        <w:spacing w:beforeLines="50" w:line="360" w:lineRule="auto"/>
        <w:ind w:firstLine="411" w:firstLineChars="196"/>
        <w:jc w:val="left"/>
        <w:outlineLvl w:val="0"/>
        <w:rPr>
          <w:rFonts w:asciiTheme="minorEastAsia" w:hAnsiTheme="minorEastAsia" w:eastAsiaTheme="minorEastAsia"/>
          <w:color w:val="auto"/>
          <w:szCs w:val="21"/>
          <w:highlight w:val="none"/>
        </w:rPr>
      </w:pPr>
      <w:bookmarkStart w:id="108" w:name="_Toc19133"/>
      <w:r>
        <w:rPr>
          <w:rFonts w:hint="eastAsia" w:asciiTheme="minorEastAsia" w:hAnsiTheme="minorEastAsia" w:eastAsiaTheme="minorEastAsia"/>
          <w:color w:val="auto"/>
          <w:szCs w:val="21"/>
          <w:highlight w:val="none"/>
        </w:rPr>
        <w:t>电子投标文件按政采云平台供应商电子招投标操作指南（网址：https://help.zcygov.cn/web/site_2/2018/12-28/2573.html）及本招标文件规定的格式和顺序编制电子投标文件并进行关联定位。</w:t>
      </w:r>
      <w:bookmarkEnd w:id="108"/>
    </w:p>
    <w:p>
      <w:pPr>
        <w:snapToGrid w:val="0"/>
        <w:spacing w:line="360" w:lineRule="auto"/>
        <w:ind w:firstLine="413" w:firstLineChars="196"/>
        <w:outlineLvl w:val="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（六）投标无效的情形</w:t>
      </w:r>
    </w:p>
    <w:p>
      <w:pPr>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实质上没有响应招标文件要求的投标将被视为无效投标。供应商修改、补正投标文件后，不影响评标委员会对其投标文件所作的评价和评分结果。</w:t>
      </w:r>
    </w:p>
    <w:p>
      <w:pPr>
        <w:snapToGrid w:val="0"/>
        <w:spacing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电子投标文件解密失败的，且未在规定时间内提交</w:t>
      </w:r>
      <w:r>
        <w:rPr>
          <w:rFonts w:hint="eastAsia" w:asciiTheme="minorEastAsia" w:hAnsiTheme="minorEastAsia" w:eastAsiaTheme="minorEastAsia"/>
          <w:b/>
          <w:color w:val="auto"/>
          <w:szCs w:val="21"/>
          <w:highlight w:val="none"/>
        </w:rPr>
        <w:t>有效</w:t>
      </w:r>
      <w:r>
        <w:rPr>
          <w:rFonts w:asciiTheme="minorEastAsia" w:hAnsiTheme="minorEastAsia" w:eastAsiaTheme="minorEastAsia"/>
          <w:b/>
          <w:color w:val="auto"/>
          <w:szCs w:val="21"/>
          <w:highlight w:val="none"/>
        </w:rPr>
        <w:t>备份投标文件的</w:t>
      </w:r>
      <w:r>
        <w:rPr>
          <w:rFonts w:hint="eastAsia" w:asciiTheme="minorEastAsia" w:hAnsiTheme="minorEastAsia" w:eastAsiaTheme="minorEastAsia"/>
          <w:b/>
          <w:color w:val="auto"/>
          <w:szCs w:val="21"/>
          <w:highlight w:val="none"/>
        </w:rPr>
        <w:t>。</w:t>
      </w:r>
    </w:p>
    <w:p>
      <w:pPr>
        <w:snapToGrid w:val="0"/>
        <w:spacing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没有通过资格审查的，</w:t>
      </w:r>
      <w:r>
        <w:rPr>
          <w:rFonts w:asciiTheme="minorEastAsia" w:hAnsiTheme="minorEastAsia" w:eastAsiaTheme="minorEastAsia"/>
          <w:b/>
          <w:color w:val="auto"/>
          <w:szCs w:val="21"/>
          <w:highlight w:val="none"/>
        </w:rPr>
        <w:t>投标文件将被视为无效。</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在符合性审查和商务评审时，如发现下列情形之一的，投标文件将被视为无效：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）电子投标文件未按规定要求提供电子签章的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（2）在资信商务技术文件中出现报价的；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资格证明文件不全的，或者不符合招标文件标明的资格要求的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r>
        <w:rPr>
          <w:rFonts w:asciiTheme="minorEastAsia" w:hAnsiTheme="minorEastAsia" w:eastAsiaTheme="minorEastAsia"/>
          <w:bCs/>
          <w:color w:val="auto"/>
          <w:szCs w:val="21"/>
          <w:highlight w:val="none"/>
        </w:rPr>
        <w:t>）投标文件无法定代表人签字</w:t>
      </w:r>
      <w:r>
        <w:rPr>
          <w:rFonts w:hint="eastAsia" w:asciiTheme="minorEastAsia" w:hAnsiTheme="minorEastAsia" w:eastAsiaTheme="minorEastAsia"/>
          <w:bCs/>
          <w:color w:val="auto"/>
          <w:szCs w:val="21"/>
          <w:highlight w:val="none"/>
        </w:rPr>
        <w:t>（或盖章）</w:t>
      </w:r>
      <w:r>
        <w:rPr>
          <w:rFonts w:asciiTheme="minorEastAsia" w:hAnsiTheme="minorEastAsia" w:eastAsiaTheme="minorEastAsia"/>
          <w:bCs/>
          <w:color w:val="auto"/>
          <w:szCs w:val="21"/>
          <w:highlight w:val="none"/>
        </w:rPr>
        <w:t>,或未</w:t>
      </w:r>
      <w:r>
        <w:rPr>
          <w:rFonts w:hint="eastAsia" w:asciiTheme="minorEastAsia" w:hAnsiTheme="minorEastAsia" w:eastAsiaTheme="minorEastAsia"/>
          <w:bCs/>
          <w:color w:val="auto"/>
          <w:szCs w:val="21"/>
          <w:highlight w:val="none"/>
        </w:rPr>
        <w:t>提供法定代表人授权委托书、投标声明书或者填写项目不齐全的；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5</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投标代表人未能出具身份证明或与法定代表人授权委托人身份不符的；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6</w:t>
      </w:r>
      <w:r>
        <w:rPr>
          <w:rFonts w:asciiTheme="minorEastAsia" w:hAnsiTheme="minorEastAsia" w:eastAsiaTheme="minorEastAsia"/>
          <w:bCs/>
          <w:color w:val="auto"/>
          <w:szCs w:val="21"/>
          <w:highlight w:val="none"/>
        </w:rPr>
        <w:t>）投标文件格式不规范、项目不齐全或者内容虚假的；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7</w:t>
      </w:r>
      <w:r>
        <w:rPr>
          <w:rFonts w:asciiTheme="minorEastAsia" w:hAnsiTheme="minorEastAsia" w:eastAsiaTheme="minorEastAsia"/>
          <w:bCs/>
          <w:color w:val="auto"/>
          <w:szCs w:val="21"/>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Cs w:val="21"/>
          <w:highlight w:val="none"/>
        </w:rPr>
        <w:t>并</w:t>
      </w:r>
      <w:r>
        <w:rPr>
          <w:rFonts w:asciiTheme="minorEastAsia" w:hAnsiTheme="minorEastAsia" w:eastAsiaTheme="minorEastAsia"/>
          <w:bCs/>
          <w:color w:val="auto"/>
          <w:szCs w:val="21"/>
          <w:highlight w:val="none"/>
        </w:rPr>
        <w:t>允许其当场更正的笔误除外）</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8</w:t>
      </w:r>
      <w:r>
        <w:rPr>
          <w:rFonts w:asciiTheme="minorEastAsia" w:hAnsiTheme="minorEastAsia" w:eastAsiaTheme="minorEastAsia"/>
          <w:bCs/>
          <w:color w:val="auto"/>
          <w:szCs w:val="21"/>
          <w:highlight w:val="none"/>
        </w:rPr>
        <w:t>）投标有效期、交货时间、质保期等商务条款不能满足招标文件要求的；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（9）未实质性</w:t>
      </w:r>
      <w:r>
        <w:rPr>
          <w:rFonts w:asciiTheme="minorEastAsia" w:hAnsiTheme="minorEastAsia" w:eastAsiaTheme="minorEastAsia"/>
          <w:bCs/>
          <w:color w:val="auto"/>
          <w:szCs w:val="21"/>
          <w:highlight w:val="none"/>
        </w:rPr>
        <w:t>响应招标文件要求或者投标文件有招标方不能接受的附加条件的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（10）不符合本招标文件中的实质性要求条款。</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在技术评审时，如发现下列情形之一的，投标文件将被视为无效：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（1）未提供或未如实提供投标货物的技术参数，或者投标文件标明的响应或偏离与事实不符或虚假投标的；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（2）明显不符合招标文件</w:t>
      </w:r>
      <w:r>
        <w:rPr>
          <w:rFonts w:hint="eastAsia" w:asciiTheme="minorEastAsia" w:hAnsiTheme="minorEastAsia" w:eastAsiaTheme="minorEastAsia"/>
          <w:bCs/>
          <w:color w:val="auto"/>
          <w:szCs w:val="21"/>
          <w:highlight w:val="none"/>
        </w:rPr>
        <w:t>要求</w:t>
      </w:r>
      <w:r>
        <w:rPr>
          <w:rFonts w:asciiTheme="minorEastAsia" w:hAnsiTheme="minorEastAsia" w:eastAsiaTheme="minorEastAsia"/>
          <w:bCs/>
          <w:color w:val="auto"/>
          <w:szCs w:val="21"/>
          <w:highlight w:val="none"/>
        </w:rPr>
        <w:t>的规格型号、质量标准，或者</w:t>
      </w:r>
      <w:r>
        <w:rPr>
          <w:rFonts w:hint="eastAsia" w:asciiTheme="minorEastAsia" w:hAnsiTheme="minorEastAsia" w:eastAsiaTheme="minorEastAsia"/>
          <w:bCs/>
          <w:color w:val="auto"/>
          <w:szCs w:val="21"/>
          <w:highlight w:val="none"/>
        </w:rPr>
        <w:t>与</w:t>
      </w:r>
      <w:r>
        <w:rPr>
          <w:rFonts w:asciiTheme="minorEastAsia" w:hAnsiTheme="minorEastAsia" w:eastAsiaTheme="minorEastAsia"/>
          <w:bCs/>
          <w:color w:val="auto"/>
          <w:szCs w:val="21"/>
          <w:highlight w:val="none"/>
        </w:rPr>
        <w:t>招标文件中标“▲”的技术指标、主要功能项目发生实质性偏离的；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）投标技术方案不明确，存在一个或一个以上备选（替代）投标方案的；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（4）与其他参加本次投标供应商的投标文件（技术文件）的文字表述内容相同连续20行以上或者差错相同2处以上的。</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在报价评审时，如发现下列情形之一的，投标文件将被视为无效：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（1）未采用人民币报价或者未按照招标文件标明的币种报价的；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（2）报价超出最高限价</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（3）投标报价具有选择性，或者开标价格与投标文件承诺的优惠（折扣）价格不一致的。 </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 xml:space="preserve">（4） 投标报价明细表总额与开标一览表总价不一致，且高于总价5％的。 </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w:t>
      </w:r>
      <w:r>
        <w:rPr>
          <w:rFonts w:asciiTheme="minorEastAsia" w:hAnsiTheme="minorEastAsia" w:eastAsiaTheme="minorEastAsia"/>
          <w:b/>
          <w:color w:val="auto"/>
          <w:szCs w:val="21"/>
          <w:highlight w:val="none"/>
        </w:rPr>
        <w:t>被拒绝的投标文件为无效。</w:t>
      </w:r>
    </w:p>
    <w:p>
      <w:pPr>
        <w:pStyle w:val="3"/>
        <w:snapToGrid w:val="0"/>
        <w:spacing w:line="360" w:lineRule="auto"/>
        <w:ind w:firstLine="413" w:firstLineChars="196"/>
        <w:rPr>
          <w:rFonts w:asciiTheme="minorEastAsia" w:hAnsiTheme="minorEastAsia" w:eastAsiaTheme="minorEastAsia"/>
          <w:b/>
          <w:snapToGrid w:val="0"/>
          <w:color w:val="auto"/>
          <w:szCs w:val="21"/>
          <w:highlight w:val="none"/>
        </w:rPr>
      </w:pPr>
    </w:p>
    <w:p>
      <w:pPr>
        <w:pStyle w:val="3"/>
        <w:snapToGrid w:val="0"/>
        <w:spacing w:line="360" w:lineRule="auto"/>
        <w:ind w:firstLine="413" w:firstLineChars="196"/>
        <w:jc w:val="center"/>
        <w:outlineLvl w:val="1"/>
        <w:rPr>
          <w:rFonts w:asciiTheme="minorEastAsia" w:hAnsiTheme="minorEastAsia" w:eastAsiaTheme="minorEastAsia"/>
          <w:b/>
          <w:snapToGrid w:val="0"/>
          <w:color w:val="auto"/>
          <w:szCs w:val="21"/>
          <w:highlight w:val="none"/>
        </w:rPr>
      </w:pPr>
      <w:r>
        <w:rPr>
          <w:rFonts w:hint="eastAsia" w:asciiTheme="minorEastAsia" w:hAnsiTheme="minorEastAsia" w:eastAsiaTheme="minorEastAsia"/>
          <w:b/>
          <w:color w:val="auto"/>
          <w:szCs w:val="21"/>
          <w:highlight w:val="none"/>
        </w:rPr>
        <w:t>四、开标</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1、本项目实行电子开评标，供应商无需到开标现场，但须准时在线参加，直至评审结束。</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评标委员会对供应商的资信商务及技术响应文件进行评审；</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2.3评标委员会对报价文件进行评审；</w:t>
      </w:r>
    </w:p>
    <w:p>
      <w:pPr>
        <w:pStyle w:val="3"/>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撰写评审报告，推荐中标候选人。</w:t>
      </w:r>
    </w:p>
    <w:p>
      <w:pPr>
        <w:pStyle w:val="28"/>
        <w:snapToGrid w:val="0"/>
        <w:spacing w:beforeLines="0" w:afterLines="0" w:line="360" w:lineRule="auto"/>
        <w:ind w:left="772" w:leftChars="267" w:hanging="211" w:hangingChars="100"/>
        <w:jc w:val="center"/>
        <w:outlineLvl w:val="9"/>
        <w:rPr>
          <w:rFonts w:asciiTheme="minorEastAsia" w:hAnsiTheme="minorEastAsia" w:eastAsiaTheme="minorEastAsia"/>
          <w:b/>
          <w:color w:val="auto"/>
          <w:sz w:val="21"/>
          <w:szCs w:val="21"/>
          <w:highlight w:val="none"/>
        </w:rPr>
      </w:pPr>
    </w:p>
    <w:p>
      <w:pPr>
        <w:pStyle w:val="28"/>
        <w:snapToGrid w:val="0"/>
        <w:spacing w:beforeLines="0" w:afterLines="0" w:line="360" w:lineRule="auto"/>
        <w:ind w:left="772" w:leftChars="267" w:hanging="211" w:hangingChars="100"/>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五、评标</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（一）组建评标委员会</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评标委员会由采购人代表和评审专家组成，</w:t>
      </w:r>
      <w:r>
        <w:rPr>
          <w:rFonts w:asciiTheme="minorEastAsia" w:hAnsiTheme="minorEastAsia" w:eastAsiaTheme="minorEastAsia"/>
          <w:color w:val="auto"/>
          <w:sz w:val="21"/>
          <w:szCs w:val="21"/>
          <w:highlight w:val="none"/>
        </w:rPr>
        <w:t>政府采购评审专家</w:t>
      </w:r>
      <w:r>
        <w:rPr>
          <w:rFonts w:hint="eastAsia" w:asciiTheme="minorEastAsia" w:hAnsiTheme="minorEastAsia" w:eastAsiaTheme="minorEastAsia"/>
          <w:color w:val="auto"/>
          <w:sz w:val="21"/>
          <w:szCs w:val="21"/>
          <w:highlight w:val="none"/>
          <w:u w:val="single"/>
          <w:lang w:val="en-US" w:eastAsia="zh-CN"/>
        </w:rPr>
        <w:t>5</w:t>
      </w:r>
      <w:r>
        <w:rPr>
          <w:rFonts w:asciiTheme="minorEastAsia" w:hAnsiTheme="minorEastAsia" w:eastAsiaTheme="minorEastAsia"/>
          <w:color w:val="auto"/>
          <w:sz w:val="21"/>
          <w:szCs w:val="21"/>
          <w:highlight w:val="none"/>
        </w:rPr>
        <w:t>人和采购人代表</w:t>
      </w:r>
      <w:r>
        <w:rPr>
          <w:rFonts w:hint="eastAsia" w:asciiTheme="minorEastAsia" w:hAnsiTheme="minorEastAsia" w:eastAsiaTheme="minorEastAsia"/>
          <w:color w:val="auto"/>
          <w:sz w:val="21"/>
          <w:szCs w:val="21"/>
          <w:highlight w:val="none"/>
          <w:u w:val="single"/>
          <w:lang w:val="en-US" w:eastAsia="zh-CN"/>
        </w:rPr>
        <w:t>2</w:t>
      </w:r>
      <w:r>
        <w:rPr>
          <w:rFonts w:asciiTheme="minorEastAsia" w:hAnsiTheme="minorEastAsia" w:eastAsiaTheme="minorEastAsia"/>
          <w:color w:val="auto"/>
          <w:sz w:val="21"/>
          <w:szCs w:val="21"/>
          <w:highlight w:val="none"/>
        </w:rPr>
        <w:t>人,共</w:t>
      </w:r>
      <w:r>
        <w:rPr>
          <w:rFonts w:hint="eastAsia" w:asciiTheme="minorEastAsia" w:hAnsiTheme="minorEastAsia" w:eastAsiaTheme="minorEastAsia"/>
          <w:color w:val="auto"/>
          <w:sz w:val="21"/>
          <w:szCs w:val="21"/>
          <w:highlight w:val="none"/>
          <w:u w:val="single"/>
          <w:lang w:val="en-US" w:eastAsia="zh-CN"/>
        </w:rPr>
        <w:t>7</w:t>
      </w:r>
      <w:r>
        <w:rPr>
          <w:rFonts w:asciiTheme="minorEastAsia" w:hAnsiTheme="minorEastAsia" w:eastAsiaTheme="minorEastAsia"/>
          <w:color w:val="auto"/>
          <w:sz w:val="21"/>
          <w:szCs w:val="21"/>
          <w:highlight w:val="none"/>
        </w:rPr>
        <w:t>人组成。</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2、要求供应商对投标文件有关事项作出澄清或者说明;</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5、向采购人、代理机构或者有关部门报告评标中发现的违法行为。</w:t>
      </w:r>
    </w:p>
    <w:p>
      <w:pPr>
        <w:widowControl/>
        <w:shd w:val="clear" w:color="auto" w:fill="FFFFFF"/>
        <w:spacing w:line="360" w:lineRule="auto"/>
        <w:ind w:firstLine="422" w:firstLineChars="200"/>
        <w:jc w:val="left"/>
        <w:rPr>
          <w:rFonts w:cs="宋体" w:asciiTheme="minorEastAsia" w:hAnsiTheme="minorEastAsia" w:eastAsiaTheme="minorEastAsia"/>
          <w:b/>
          <w:color w:val="auto"/>
          <w:kern w:val="0"/>
          <w:szCs w:val="21"/>
          <w:highlight w:val="none"/>
          <w:u w:val="single"/>
        </w:rPr>
      </w:pPr>
      <w:r>
        <w:rPr>
          <w:rFonts w:hint="eastAsia" w:cs="宋体" w:asciiTheme="minorEastAsia" w:hAnsiTheme="minorEastAsia" w:eastAsiaTheme="minorEastAsia"/>
          <w:b/>
          <w:color w:val="auto"/>
          <w:kern w:val="0"/>
          <w:szCs w:val="21"/>
          <w:highlight w:val="none"/>
          <w:u w:val="single"/>
        </w:rPr>
        <w:t>除采购人代表、评标现场组织人员外，采购人的其他工作人员以及与评标工作无关的人员不得进入评标现场。</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（二）评标的方式</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本项目采用不公开方式评标，评标的依据为招标文件和投标文件。</w:t>
      </w:r>
    </w:p>
    <w:p>
      <w:pPr>
        <w:pStyle w:val="28"/>
        <w:snapToGrid w:val="0"/>
        <w:spacing w:beforeLines="0" w:afterLines="0" w:line="360" w:lineRule="auto"/>
        <w:ind w:left="690" w:leftChars="228" w:hanging="211" w:hangingChars="100"/>
        <w:rPr>
          <w:rFonts w:asciiTheme="minorEastAsia" w:hAnsiTheme="minorEastAsia" w:eastAsiaTheme="minorEastAsia"/>
          <w:b/>
          <w:bCs/>
          <w:color w:val="auto"/>
          <w:sz w:val="21"/>
          <w:szCs w:val="21"/>
          <w:highlight w:val="none"/>
        </w:rPr>
      </w:pPr>
      <w:r>
        <w:rPr>
          <w:rFonts w:asciiTheme="minorEastAsia" w:hAnsiTheme="minorEastAsia" w:eastAsiaTheme="minorEastAsia"/>
          <w:b/>
          <w:color w:val="auto"/>
          <w:sz w:val="21"/>
          <w:szCs w:val="21"/>
          <w:highlight w:val="none"/>
        </w:rPr>
        <w:t>（三）</w:t>
      </w:r>
      <w:r>
        <w:rPr>
          <w:rFonts w:asciiTheme="minorEastAsia" w:hAnsiTheme="minorEastAsia" w:eastAsiaTheme="minorEastAsia"/>
          <w:b/>
          <w:bCs/>
          <w:color w:val="auto"/>
          <w:sz w:val="21"/>
          <w:szCs w:val="21"/>
          <w:highlight w:val="none"/>
        </w:rPr>
        <w:t>评标程序</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pPr>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包括资格审查（除符合性审查以外的关于供应商资格条件等内容）和符合性审查，即对供应商的资格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投标文件形式审查未通过的供应商，其投标文件将不再评审。</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3）各供应商的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嘉兴市银建工程咨询评估有限公司工作人员协助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计算各供应商的商务报价得分</w:t>
      </w:r>
      <w:r>
        <w:rPr>
          <w:rFonts w:hint="eastAsia"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pPr>
        <w:snapToGrid w:val="0"/>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对投标文件中含义不明确、同类问题表述不一致或者有明显文字和计算错误的内容，评标委员会可要求供应商作出必要的澄清、说明或者纠正。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2、如果供应商代表拒绝或</w:t>
      </w:r>
      <w:r>
        <w:rPr>
          <w:rFonts w:asciiTheme="minorEastAsia" w:hAnsiTheme="minorEastAsia" w:eastAsiaTheme="minorEastAsia"/>
          <w:color w:val="auto"/>
          <w:szCs w:val="21"/>
          <w:highlight w:val="none"/>
        </w:rPr>
        <w:t>未</w:t>
      </w:r>
      <w:r>
        <w:rPr>
          <w:rFonts w:hint="eastAsia" w:asciiTheme="minorEastAsia" w:hAnsiTheme="minorEastAsia" w:eastAsiaTheme="minorEastAsia"/>
          <w:color w:val="auto"/>
          <w:szCs w:val="21"/>
          <w:highlight w:val="none"/>
        </w:rPr>
        <w:t>按评标委员会要求在“政采云”平台作出在线回复且无其他有效回复方式的，评标委员会可以对其作出无效标处理。</w:t>
      </w:r>
    </w:p>
    <w:p>
      <w:pPr>
        <w:snapToGrid w:val="0"/>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投标文件如果出现计算或表达上的错误，修正错误的原则如下：</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.开标一览表总价与投标报价明细表汇总数不一致的，</w:t>
      </w:r>
      <w:r>
        <w:rPr>
          <w:rFonts w:hint="eastAsia" w:cs="Arial" w:asciiTheme="minorEastAsia" w:hAnsiTheme="minorEastAsia" w:eastAsiaTheme="minorEastAsia"/>
          <w:color w:val="auto"/>
          <w:kern w:val="0"/>
          <w:szCs w:val="21"/>
          <w:highlight w:val="none"/>
        </w:rPr>
        <w:t>以开标一览表为准；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投标文件的大写金额和小写金额不一致的，以大写金额为准；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总价金额与按单价汇总金额不一致的，以单价金额计算结果为准；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对不同文字文本投标文件的解释发生异议的，以中文文本为准。</w:t>
      </w:r>
    </w:p>
    <w:p>
      <w:pPr>
        <w:pStyle w:val="28"/>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按上述修正错误的原则及方法调整或修正投标文件的投标报价，供应商同意</w:t>
      </w:r>
      <w:r>
        <w:rPr>
          <w:rFonts w:hint="eastAsia" w:asciiTheme="minorEastAsia" w:hAnsiTheme="minorEastAsia" w:eastAsiaTheme="minorEastAsia"/>
          <w:b/>
          <w:bCs/>
          <w:color w:val="auto"/>
          <w:sz w:val="21"/>
          <w:szCs w:val="21"/>
          <w:highlight w:val="none"/>
        </w:rPr>
        <w:t>并签字确认</w:t>
      </w:r>
      <w:r>
        <w:rPr>
          <w:rFonts w:asciiTheme="minorEastAsia" w:hAnsiTheme="minorEastAsia" w:eastAsiaTheme="minorEastAsia"/>
          <w:b/>
          <w:bCs/>
          <w:color w:val="auto"/>
          <w:sz w:val="21"/>
          <w:szCs w:val="21"/>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21"/>
          <w:szCs w:val="21"/>
          <w:highlight w:val="none"/>
        </w:rPr>
        <w:t>作为无效投标处理</w:t>
      </w:r>
      <w:r>
        <w:rPr>
          <w:rFonts w:asciiTheme="minorEastAsia" w:hAnsiTheme="minorEastAsia" w:eastAsiaTheme="minorEastAsia"/>
          <w:b/>
          <w:bCs/>
          <w:color w:val="auto"/>
          <w:sz w:val="21"/>
          <w:szCs w:val="21"/>
          <w:highlight w:val="none"/>
        </w:rPr>
        <w:t>。</w:t>
      </w:r>
    </w:p>
    <w:p>
      <w:pPr>
        <w:pStyle w:val="28"/>
        <w:tabs>
          <w:tab w:val="left" w:pos="630"/>
        </w:tabs>
        <w:snapToGrid w:val="0"/>
        <w:spacing w:beforeLines="0" w:afterLines="0" w:line="360" w:lineRule="auto"/>
        <w:ind w:firstLine="413" w:firstLineChars="196"/>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（六）评标原则和评标办法</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评标办法。本项目评标办法是</w:t>
      </w:r>
      <w:r>
        <w:rPr>
          <w:rFonts w:hint="eastAsia" w:asciiTheme="minorEastAsia" w:hAnsiTheme="minorEastAsia" w:eastAsiaTheme="minorEastAsia"/>
          <w:color w:val="auto"/>
          <w:sz w:val="21"/>
          <w:szCs w:val="21"/>
          <w:highlight w:val="none"/>
        </w:rPr>
        <w:t xml:space="preserve"> 综合评标法</w:t>
      </w:r>
      <w:r>
        <w:rPr>
          <w:rFonts w:asciiTheme="minorEastAsia" w:hAnsiTheme="minorEastAsia" w:eastAsiaTheme="minorEastAsia"/>
          <w:color w:val="auto"/>
          <w:sz w:val="21"/>
          <w:szCs w:val="21"/>
          <w:highlight w:val="none"/>
        </w:rPr>
        <w:t xml:space="preserve"> ，具体评标内容及评分标准等详见《第四章：评标办法及评分标准》。</w:t>
      </w:r>
    </w:p>
    <w:p>
      <w:pPr>
        <w:pStyle w:val="28"/>
        <w:snapToGrid w:val="0"/>
        <w:spacing w:beforeLines="0" w:afterLines="0" w:line="360" w:lineRule="auto"/>
        <w:ind w:firstLine="413" w:firstLineChars="196"/>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（七）评标过程的监控</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本项目评标过程实行全程录音、录像监控</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供应商在评标过程中所进行的</w:t>
      </w:r>
      <w:r>
        <w:rPr>
          <w:rFonts w:hint="eastAsia" w:asciiTheme="minorEastAsia" w:hAnsiTheme="minorEastAsia" w:eastAsiaTheme="minorEastAsia"/>
          <w:color w:val="auto"/>
          <w:sz w:val="21"/>
          <w:szCs w:val="21"/>
          <w:highlight w:val="none"/>
        </w:rPr>
        <w:t>试</w:t>
      </w:r>
      <w:r>
        <w:rPr>
          <w:rFonts w:asciiTheme="minorEastAsia" w:hAnsiTheme="minorEastAsia" w:eastAsiaTheme="minorEastAsia"/>
          <w:color w:val="auto"/>
          <w:sz w:val="21"/>
          <w:szCs w:val="21"/>
          <w:highlight w:val="none"/>
        </w:rPr>
        <w:t>图影响评标结果的不公正活动，可能导致其投标被拒绝。</w:t>
      </w:r>
    </w:p>
    <w:p>
      <w:pPr>
        <w:pStyle w:val="28"/>
        <w:snapToGrid w:val="0"/>
        <w:spacing w:beforeLines="0" w:afterLines="0" w:line="360" w:lineRule="auto"/>
        <w:outlineLvl w:val="9"/>
        <w:rPr>
          <w:rFonts w:asciiTheme="minorEastAsia" w:hAnsiTheme="minorEastAsia" w:eastAsiaTheme="minorEastAsia"/>
          <w:b/>
          <w:color w:val="auto"/>
          <w:sz w:val="21"/>
          <w:szCs w:val="21"/>
          <w:highlight w:val="none"/>
        </w:rPr>
      </w:pP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六、定标</w:t>
      </w:r>
    </w:p>
    <w:p>
      <w:pPr>
        <w:pStyle w:val="28"/>
        <w:snapToGrid w:val="0"/>
        <w:spacing w:beforeLines="0" w:afterLines="0" w:line="360" w:lineRule="auto"/>
        <w:ind w:firstLine="413" w:firstLineChars="196"/>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（一）确定中标人。</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.嘉兴市银建工程咨询评估有限公司</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 在公告中标结果的同时，代理机构向中标人发出中标通知书。</w:t>
      </w: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七、合同授予</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（一）签订合同</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w:t>
      </w:r>
      <w:r>
        <w:rPr>
          <w:rFonts w:asciiTheme="minorEastAsia" w:hAnsiTheme="minorEastAsia" w:eastAsiaTheme="minorEastAsia"/>
          <w:color w:val="auto"/>
          <w:szCs w:val="21"/>
          <w:highlight w:val="none"/>
        </w:rPr>
        <w:t>中标通知书</w:t>
      </w:r>
      <w:r>
        <w:rPr>
          <w:rFonts w:hint="eastAsia" w:asciiTheme="minorEastAsia" w:hAnsiTheme="minorEastAsia" w:eastAsiaTheme="minorEastAsia"/>
          <w:color w:val="auto"/>
          <w:szCs w:val="21"/>
          <w:highlight w:val="none"/>
        </w:rPr>
        <w:t>》发出之日起30日内签订政府采购合同。同时，代理机构对合同内容进行审查，如发现与采购结果和投标承诺内容不一致的，将予以纠正。</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pPr>
        <w:spacing w:line="360" w:lineRule="auto"/>
        <w:ind w:firstLine="413" w:firstLineChars="196"/>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八、招标代理费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1.招标代理机构向中标人收取招标代理服务费，中标人应在收取《中标通知书》时向采购代理机构交纳招标代理服务费，服务费的收费标准按浙价服〔2003〕77号文规定计算</w:t>
      </w:r>
    </w:p>
    <w:tbl>
      <w:tblPr>
        <w:tblStyle w:val="48"/>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w:t>
            </w:r>
          </w:p>
        </w:tc>
      </w:tr>
    </w:tbl>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招标代理服务收费按差额定率累进法计算</w:t>
      </w:r>
      <w:r>
        <w:rPr>
          <w:rFonts w:hint="eastAsia" w:asciiTheme="minorEastAsia" w:hAnsiTheme="minorEastAsia" w:eastAsiaTheme="minorEastAsia"/>
          <w:color w:val="auto"/>
          <w:szCs w:val="21"/>
          <w:highlight w:val="none"/>
        </w:rPr>
        <w:t>。</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2.本项目以服务类招标收费标准收取招标代理服务费服务费，对于招标代理服务费不足6000元的，按6000元计收。</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3.代理费支付方式：一次性以银行划账、现金或支票的形式支付。</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4.代理费以银行划账方式按下列要求提交：</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户名：嘉兴市银建工程咨询评估有限公司</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开户银行：建行嘉兴分行营业部</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账号：3300 1638 0470 5000 4370</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5.代理费支付时间：代理费必须在中标人领取《中标通知书》时一次性付清，如果中标人未能按时交纳服务费，采购代理机构/采购人保留追究其责任的权利。</w:t>
      </w:r>
    </w:p>
    <w:p>
      <w:pPr>
        <w:snapToGrid w:val="0"/>
        <w:spacing w:beforeLines="50" w:afterLines="50" w:line="360" w:lineRule="auto"/>
        <w:ind w:left="238" w:firstLine="21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6.服务费不在投标报价中单列。</w:t>
      </w:r>
    </w:p>
    <w:p>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09" w:name="_Toc30563"/>
      <w:r>
        <w:rPr>
          <w:rFonts w:hint="eastAsia" w:asciiTheme="minorEastAsia" w:hAnsiTheme="minorEastAsia" w:eastAsiaTheme="minorEastAsia"/>
          <w:b/>
          <w:color w:val="auto"/>
          <w:sz w:val="30"/>
          <w:szCs w:val="30"/>
          <w:highlight w:val="none"/>
        </w:rPr>
        <w:t>第四章 评分办法及评分标准</w:t>
      </w:r>
      <w:bookmarkEnd w:id="109"/>
    </w:p>
    <w:p>
      <w:pPr>
        <w:spacing w:beforeLines="50" w:afterLines="50"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p>
      <w:pPr>
        <w:spacing w:beforeLines="50" w:afterLines="50"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一 、总则</w:t>
      </w:r>
    </w:p>
    <w:p>
      <w:pPr>
        <w:spacing w:beforeLines="50" w:afterLines="50" w:line="360" w:lineRule="auto"/>
        <w:ind w:firstLine="420" w:firstLineChars="200"/>
        <w:rPr>
          <w:rFonts w:asciiTheme="minorEastAsia" w:hAnsiTheme="minorEastAsia" w:eastAsiaTheme="minorEastAsia"/>
          <w:color w:val="auto"/>
          <w:szCs w:val="21"/>
          <w:highlight w:val="none"/>
        </w:rPr>
      </w:pPr>
      <w:bookmarkStart w:id="110" w:name="_Toc406402998"/>
      <w:r>
        <w:rPr>
          <w:rFonts w:hint="eastAsia" w:asciiTheme="minorEastAsia" w:hAnsiTheme="minorEastAsia" w:eastAsiaTheme="minorEastAsia"/>
          <w:color w:val="auto"/>
          <w:szCs w:val="21"/>
          <w:highlight w:val="none"/>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beforeLines="50" w:after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投标人评标综合得分=商务报价分+资信技术分</w:t>
      </w:r>
    </w:p>
    <w:p>
      <w:pPr>
        <w:spacing w:beforeLines="50" w:afterLines="50"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pPr>
        <w:spacing w:beforeLines="50" w:afterLines="50"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w:t>
      </w:r>
      <w:r>
        <w:rPr>
          <w:rFonts w:hint="eastAsia" w:asciiTheme="minorEastAsia" w:hAnsiTheme="minorEastAsia" w:eastAsiaTheme="minorEastAsia"/>
          <w:b/>
          <w:color w:val="auto"/>
          <w:szCs w:val="21"/>
          <w:highlight w:val="none"/>
        </w:rPr>
        <w:t>商务报价</w:t>
      </w:r>
      <w:r>
        <w:rPr>
          <w:rFonts w:asciiTheme="minorEastAsia" w:hAnsiTheme="minorEastAsia" w:eastAsiaTheme="minorEastAsia"/>
          <w:b/>
          <w:color w:val="auto"/>
          <w:szCs w:val="21"/>
          <w:highlight w:val="none"/>
        </w:rPr>
        <w:t>分（</w:t>
      </w:r>
      <w:r>
        <w:rPr>
          <w:rFonts w:hint="eastAsia" w:asciiTheme="minorEastAsia" w:hAnsiTheme="minorEastAsia" w:eastAsiaTheme="minorEastAsia"/>
          <w:b/>
          <w:color w:val="auto"/>
          <w:szCs w:val="21"/>
          <w:highlight w:val="none"/>
        </w:rPr>
        <w:t>10分）</w:t>
      </w:r>
    </w:p>
    <w:p>
      <w:pPr>
        <w:pStyle w:val="3"/>
        <w:spacing w:beforeLines="5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1.价格分采用低价优先法计算，即满足招标文件要求且投标价格最低的投标报价为评标基准价，其他供应商的价格分按照下列公式计算：</w:t>
      </w:r>
    </w:p>
    <w:p>
      <w:pPr>
        <w:spacing w:beforeLines="50" w:after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价格分=（评标基准价/投标报价）×10%×100</w:t>
      </w:r>
    </w:p>
    <w:p>
      <w:pPr>
        <w:pStyle w:val="3"/>
        <w:spacing w:after="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r>
        <w:rPr>
          <w:rFonts w:asciiTheme="minorEastAsia" w:hAnsiTheme="minorEastAsia" w:eastAsiaTheme="minorEastAsia"/>
          <w:bCs/>
          <w:color w:val="auto"/>
          <w:szCs w:val="21"/>
          <w:highlight w:val="none"/>
        </w:rPr>
        <w:t>扶持政策说明：</w:t>
      </w:r>
    </w:p>
    <w:p>
      <w:pPr>
        <w:pStyle w:val="3"/>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asciiTheme="minorEastAsia" w:hAnsiTheme="minorEastAsia" w:eastAsiaTheme="minorEastAsia"/>
          <w:bCs/>
          <w:color w:val="auto"/>
          <w:szCs w:val="21"/>
          <w:highlight w:val="none"/>
        </w:rPr>
        <w:t>。</w:t>
      </w:r>
    </w:p>
    <w:p>
      <w:pPr>
        <w:pStyle w:val="3"/>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 xml:space="preserve">（2）根据《政府采购促进中小企业发展管理办法》（财库 </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2020</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46号）的规定</w:t>
      </w:r>
      <w:r>
        <w:rPr>
          <w:rFonts w:hint="eastAsia" w:asciiTheme="minorEastAsia" w:hAnsiTheme="minorEastAsia" w:eastAsiaTheme="minorEastAsia"/>
          <w:bCs/>
          <w:color w:val="auto"/>
          <w:szCs w:val="21"/>
          <w:highlight w:val="none"/>
        </w:rPr>
        <w:t>，小微企业（包括联合体内的小微企业和接受分包的小微企业）参加政府采购活动，应按当出具《中小企业声明函》，否则其报价不予扣除</w:t>
      </w:r>
      <w:r>
        <w:rPr>
          <w:rFonts w:asciiTheme="minorEastAsia" w:hAnsiTheme="minorEastAsia" w:eastAsiaTheme="minorEastAsia"/>
          <w:bCs/>
          <w:color w:val="auto"/>
          <w:szCs w:val="21"/>
          <w:highlight w:val="none"/>
        </w:rPr>
        <w:t>。</w:t>
      </w:r>
    </w:p>
    <w:p>
      <w:pPr>
        <w:pStyle w:val="3"/>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Pr>
          <w:rFonts w:asciiTheme="minorEastAsia" w:hAnsiTheme="minorEastAsia" w:eastAsiaTheme="minorEastAsia"/>
          <w:bCs/>
          <w:color w:val="auto"/>
          <w:szCs w:val="21"/>
          <w:highlight w:val="none"/>
        </w:rPr>
        <w:t>。</w:t>
      </w:r>
    </w:p>
    <w:p>
      <w:pPr>
        <w:pStyle w:val="3"/>
        <w:spacing w:after="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3"/>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（二）资信技术分（90分）</w:t>
      </w:r>
    </w:p>
    <w:bookmarkEnd w:id="110"/>
    <w:tbl>
      <w:tblPr>
        <w:tblStyle w:val="48"/>
        <w:tblW w:w="8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6373"/>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55" w:type="dxa"/>
            <w:tcBorders>
              <w:top w:val="single" w:color="auto" w:sz="12"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序</w:t>
            </w:r>
            <w:r>
              <w:rPr>
                <w:rFonts w:hint="eastAsia" w:ascii="宋体" w:hAnsi="宋体" w:eastAsia="宋体" w:cs="宋体"/>
                <w:color w:val="auto"/>
                <w:kern w:val="2"/>
                <w:szCs w:val="21"/>
                <w:highlight w:val="none"/>
              </w:rPr>
              <w:t>号</w:t>
            </w:r>
          </w:p>
        </w:tc>
        <w:tc>
          <w:tcPr>
            <w:tcW w:w="6373" w:type="dxa"/>
            <w:tcBorders>
              <w:top w:val="single" w:color="auto" w:sz="12"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firstLine="420" w:firstLineChars="20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评分内容和标准</w:t>
            </w:r>
          </w:p>
        </w:tc>
        <w:tc>
          <w:tcPr>
            <w:tcW w:w="1530" w:type="dxa"/>
            <w:tcBorders>
              <w:top w:val="single" w:color="auto" w:sz="12"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最高分值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lang w:val="zh-CN"/>
              </w:rPr>
              <w:t>根据</w:t>
            </w:r>
            <w:r>
              <w:rPr>
                <w:rFonts w:hint="eastAsia" w:ascii="宋体" w:hAnsi="宋体" w:eastAsia="宋体" w:cs="宋体"/>
                <w:color w:val="auto"/>
                <w:kern w:val="2"/>
                <w:szCs w:val="21"/>
                <w:highlight w:val="none"/>
                <w:lang w:val="en-US" w:eastAsia="zh-CN"/>
              </w:rPr>
              <w:t>道路</w:t>
            </w:r>
            <w:r>
              <w:rPr>
                <w:rFonts w:hint="eastAsia" w:ascii="宋体" w:hAnsi="宋体" w:eastAsia="宋体" w:cs="宋体"/>
                <w:color w:val="auto"/>
                <w:kern w:val="2"/>
                <w:szCs w:val="21"/>
                <w:highlight w:val="none"/>
                <w:lang w:val="zh-CN"/>
              </w:rPr>
              <w:t>分布及养护区域等特点分析、工作总体设想、工作重点等情况酌情评分</w:t>
            </w:r>
            <w:r>
              <w:rPr>
                <w:rFonts w:hint="eastAsia" w:ascii="宋体" w:hAnsi="宋体" w:eastAsia="宋体" w:cs="宋体"/>
                <w:color w:val="auto"/>
                <w:kern w:val="2"/>
                <w:szCs w:val="21"/>
                <w:highlight w:val="none"/>
                <w:lang w:val="zh-CN" w:eastAsia="zh-CN"/>
              </w:rPr>
              <w:t>（</w:t>
            </w:r>
            <w:r>
              <w:rPr>
                <w:rFonts w:hint="eastAsia" w:ascii="宋体" w:hAnsi="宋体" w:eastAsia="宋体" w:cs="宋体"/>
                <w:color w:val="auto"/>
                <w:kern w:val="2"/>
                <w:szCs w:val="21"/>
                <w:highlight w:val="none"/>
                <w:lang w:val="en-US" w:eastAsia="zh-CN"/>
              </w:rPr>
              <w:t>4-</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lang w:val="en-US" w:eastAsia="zh-CN"/>
              </w:rPr>
              <w:t>分</w:t>
            </w:r>
            <w:r>
              <w:rPr>
                <w:rFonts w:hint="eastAsia" w:ascii="宋体" w:hAnsi="宋体" w:eastAsia="宋体" w:cs="宋体"/>
                <w:color w:val="auto"/>
                <w:kern w:val="2"/>
                <w:szCs w:val="21"/>
                <w:highlight w:val="none"/>
                <w:lang w:val="zh-CN"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根据养护日常作业内容，交通工具，养护作业人员详细安排，养护</w:t>
            </w:r>
          </w:p>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设备配置分配，台帐档案管理，防治病虫害及抗击自然灾害的具体保证措施等酌情评分</w:t>
            </w:r>
            <w:r>
              <w:rPr>
                <w:rFonts w:hint="eastAsia" w:ascii="宋体" w:hAnsi="宋体" w:eastAsia="宋体" w:cs="宋体"/>
                <w:color w:val="auto"/>
                <w:kern w:val="2"/>
                <w:szCs w:val="21"/>
                <w:highlight w:val="none"/>
                <w:lang w:val="zh-CN" w:eastAsia="zh-CN"/>
              </w:rPr>
              <w:t>（</w:t>
            </w:r>
            <w:r>
              <w:rPr>
                <w:rFonts w:hint="eastAsia" w:ascii="宋体" w:hAnsi="宋体" w:cs="宋体"/>
                <w:color w:val="auto"/>
                <w:kern w:val="2"/>
                <w:szCs w:val="21"/>
                <w:highlight w:val="none"/>
                <w:lang w:val="en-US" w:eastAsia="zh-CN"/>
              </w:rPr>
              <w:t>4</w:t>
            </w:r>
            <w:r>
              <w:rPr>
                <w:rFonts w:hint="eastAsia" w:ascii="宋体" w:hAnsi="宋体" w:eastAsia="宋体" w:cs="宋体"/>
                <w:color w:val="auto"/>
                <w:kern w:val="2"/>
                <w:szCs w:val="21"/>
                <w:highlight w:val="none"/>
                <w:lang w:val="en-US" w:eastAsia="zh-CN"/>
              </w:rPr>
              <w:t>-8分</w:t>
            </w:r>
            <w:r>
              <w:rPr>
                <w:rFonts w:hint="eastAsia" w:ascii="宋体" w:hAnsi="宋体" w:eastAsia="宋体" w:cs="宋体"/>
                <w:color w:val="auto"/>
                <w:kern w:val="2"/>
                <w:szCs w:val="21"/>
                <w:highlight w:val="none"/>
                <w:lang w:val="zh-CN"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根据作业质量标准，检查考核办法，作业人员安全教育、劳动保护、安全管理制度，意外事件应急预案等情况酌情评分</w:t>
            </w:r>
            <w:r>
              <w:rPr>
                <w:rFonts w:hint="eastAsia"/>
                <w:color w:val="auto"/>
                <w:spacing w:val="-3"/>
                <w:sz w:val="21"/>
                <w:highlight w:val="none"/>
                <w:lang w:eastAsia="zh-CN"/>
              </w:rPr>
              <w:t>（</w:t>
            </w:r>
            <w:r>
              <w:rPr>
                <w:rFonts w:hint="eastAsia"/>
                <w:color w:val="auto"/>
                <w:spacing w:val="-3"/>
                <w:sz w:val="21"/>
                <w:highlight w:val="none"/>
                <w:lang w:val="en-US" w:eastAsia="zh-CN"/>
              </w:rPr>
              <w:t>4-8分</w:t>
            </w:r>
            <w:r>
              <w:rPr>
                <w:rFonts w:hint="eastAsia"/>
                <w:color w:val="auto"/>
                <w:spacing w:val="-3"/>
                <w:sz w:val="21"/>
                <w:highlight w:val="none"/>
                <w:lang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4</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both"/>
              <w:rPr>
                <w:rFonts w:hint="eastAsia" w:ascii="宋体" w:hAnsi="宋体" w:eastAsia="宋体" w:cs="宋体"/>
                <w:color w:val="auto"/>
                <w:kern w:val="2"/>
                <w:szCs w:val="21"/>
                <w:highlight w:val="none"/>
              </w:rPr>
            </w:pPr>
            <w:r>
              <w:rPr>
                <w:rFonts w:hint="eastAsia" w:ascii="宋体" w:hAnsi="宋体"/>
                <w:color w:val="auto"/>
                <w:szCs w:val="21"/>
                <w:highlight w:val="none"/>
              </w:rPr>
              <w:t>投标人针对本项目实施的项目进度安排，根据进度安排的科学性（0-</w:t>
            </w:r>
            <w:r>
              <w:rPr>
                <w:rFonts w:hint="eastAsia" w:ascii="宋体" w:hAnsi="宋体"/>
                <w:color w:val="auto"/>
                <w:szCs w:val="21"/>
                <w:highlight w:val="none"/>
                <w:lang w:val="en-US" w:eastAsia="zh-CN"/>
              </w:rPr>
              <w:t>3</w:t>
            </w:r>
            <w:r>
              <w:rPr>
                <w:rFonts w:hint="eastAsia" w:ascii="宋体" w:hAnsi="宋体"/>
                <w:color w:val="auto"/>
                <w:szCs w:val="21"/>
                <w:highlight w:val="none"/>
              </w:rPr>
              <w:t>分）、合理性（0-</w:t>
            </w:r>
            <w:r>
              <w:rPr>
                <w:rFonts w:hint="eastAsia" w:ascii="宋体" w:hAnsi="宋体"/>
                <w:color w:val="auto"/>
                <w:szCs w:val="21"/>
                <w:highlight w:val="none"/>
                <w:lang w:val="en-US" w:eastAsia="zh-CN"/>
              </w:rPr>
              <w:t>3</w:t>
            </w:r>
            <w:r>
              <w:rPr>
                <w:rFonts w:hint="eastAsia" w:ascii="宋体" w:hAnsi="宋体"/>
                <w:color w:val="auto"/>
                <w:szCs w:val="21"/>
                <w:highlight w:val="none"/>
              </w:rPr>
              <w:t>分）、规范性和可操作性（0-</w:t>
            </w:r>
            <w:r>
              <w:rPr>
                <w:rFonts w:hint="eastAsia" w:ascii="宋体" w:hAnsi="宋体"/>
                <w:color w:val="auto"/>
                <w:szCs w:val="21"/>
                <w:highlight w:val="none"/>
                <w:lang w:val="en-US" w:eastAsia="zh-CN"/>
              </w:rPr>
              <w:t>3</w:t>
            </w:r>
            <w:r>
              <w:rPr>
                <w:rFonts w:hint="eastAsia" w:ascii="宋体" w:hAnsi="宋体"/>
                <w:color w:val="auto"/>
                <w:szCs w:val="21"/>
                <w:highlight w:val="none"/>
              </w:rPr>
              <w:t>分），各投标单位比较得分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kern w:val="2"/>
                <w:szCs w:val="21"/>
                <w:highlight w:val="none"/>
                <w:lang w:val="zh-CN" w:eastAsia="zh-CN"/>
              </w:rPr>
              <w:t>（</w:t>
            </w:r>
            <w:r>
              <w:rPr>
                <w:rFonts w:hint="eastAsia" w:ascii="宋体" w:hAnsi="宋体" w:cs="宋体"/>
                <w:color w:val="auto"/>
                <w:kern w:val="2"/>
                <w:szCs w:val="21"/>
                <w:highlight w:val="none"/>
                <w:lang w:val="en-US" w:eastAsia="zh-CN"/>
              </w:rPr>
              <w:t>3</w:t>
            </w:r>
            <w:r>
              <w:rPr>
                <w:rFonts w:hint="eastAsia" w:ascii="宋体" w:hAnsi="宋体" w:eastAsia="宋体" w:cs="宋体"/>
                <w:color w:val="auto"/>
                <w:kern w:val="2"/>
                <w:szCs w:val="21"/>
                <w:highlight w:val="none"/>
                <w:lang w:val="zh-CN" w:eastAsia="zh-CN"/>
              </w:rPr>
              <w:t>-</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lang w:val="zh-CN" w:eastAsia="zh-CN"/>
              </w:rPr>
              <w:t>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6</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zh-CN"/>
              </w:rPr>
              <w:t>投标人对</w:t>
            </w:r>
            <w:r>
              <w:rPr>
                <w:rFonts w:hint="eastAsia" w:ascii="宋体" w:hAnsi="宋体" w:cs="宋体"/>
                <w:color w:val="auto"/>
                <w:kern w:val="2"/>
                <w:szCs w:val="21"/>
                <w:highlight w:val="none"/>
                <w:lang w:val="zh-CN"/>
              </w:rPr>
              <w:t>养护服务</w:t>
            </w:r>
            <w:r>
              <w:rPr>
                <w:rFonts w:hint="eastAsia" w:ascii="宋体" w:hAnsi="宋体" w:eastAsia="宋体" w:cs="宋体"/>
                <w:color w:val="auto"/>
                <w:kern w:val="2"/>
                <w:szCs w:val="21"/>
                <w:highlight w:val="none"/>
                <w:lang w:val="zh-CN"/>
              </w:rPr>
              <w:t>质量控制及服务承诺的可实现程度，由专家综合打分</w:t>
            </w:r>
            <w:r>
              <w:rPr>
                <w:rFonts w:hint="eastAsia" w:ascii="宋体" w:hAnsi="宋体" w:cs="宋体"/>
                <w:color w:val="auto"/>
                <w:kern w:val="2"/>
                <w:szCs w:val="21"/>
                <w:highlight w:val="none"/>
                <w:lang w:val="zh-CN"/>
              </w:rPr>
              <w:t>（</w:t>
            </w:r>
            <w:r>
              <w:rPr>
                <w:rFonts w:hint="eastAsia" w:ascii="宋体" w:hAnsi="宋体" w:cs="宋体"/>
                <w:color w:val="auto"/>
                <w:kern w:val="2"/>
                <w:szCs w:val="21"/>
                <w:highlight w:val="none"/>
                <w:lang w:val="en-US" w:eastAsia="zh-CN"/>
              </w:rPr>
              <w:t>3-8分）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7</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rPr>
              <w:t>根据投标单位是否有完善的监督自查体系，以及体系的完整性、科学性、可操作性，综合打分（</w:t>
            </w:r>
            <w:r>
              <w:rPr>
                <w:rFonts w:hint="eastAsia" w:ascii="宋体" w:hAnsi="宋体" w:cs="宋体"/>
                <w:color w:val="auto"/>
                <w:kern w:val="2"/>
                <w:szCs w:val="21"/>
                <w:highlight w:val="none"/>
                <w:lang w:val="en-US" w:eastAsia="zh-CN"/>
              </w:rPr>
              <w:t>3</w:t>
            </w: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rPr>
              <w:t>分）</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根据投标人针对本项目特点提出的研究的重点、难点分析综合打分。（4-8分）</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9</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提出关于本项目的相关合理化建议，突发情况的处理，酌情打分</w:t>
            </w:r>
            <w:r>
              <w:rPr>
                <w:rFonts w:hint="eastAsia" w:ascii="宋体" w:hAnsi="宋体" w:eastAsia="宋体" w:cs="宋体"/>
                <w:color w:val="auto"/>
                <w:kern w:val="2"/>
                <w:szCs w:val="21"/>
                <w:highlight w:val="none"/>
                <w:lang w:val="zh-CN" w:eastAsia="zh-CN"/>
              </w:rPr>
              <w:t>（4-</w:t>
            </w:r>
            <w:r>
              <w:rPr>
                <w:rFonts w:hint="eastAsia" w:ascii="宋体" w:hAnsi="宋体" w:cs="宋体"/>
                <w:color w:val="auto"/>
                <w:kern w:val="2"/>
                <w:szCs w:val="21"/>
                <w:highlight w:val="none"/>
                <w:lang w:val="en-US" w:eastAsia="zh-CN"/>
              </w:rPr>
              <w:t>8）</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10</w:t>
            </w:r>
          </w:p>
        </w:tc>
        <w:tc>
          <w:tcPr>
            <w:tcW w:w="6373" w:type="dxa"/>
            <w:tcBorders>
              <w:top w:val="single" w:color="auto" w:sz="6"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投标人自有或租赁登高车（或高空作业平台机械）的有一辆得4分，最高得4分。（投标人自有设备的须提供购买发票</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复印件及车辆照片，租赁的须提供</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租赁协议复印件及车辆照片。登高车须提供车辆行驶证及车辆照片</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扫描件且车牌一致；高空作业平台机械须提供产品合格证及车辆照片</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扫描件，不提供不得分）</w:t>
            </w:r>
          </w:p>
        </w:tc>
        <w:tc>
          <w:tcPr>
            <w:tcW w:w="1530" w:type="dxa"/>
            <w:tcBorders>
              <w:top w:val="single" w:color="auto" w:sz="6" w:space="0"/>
              <w:left w:val="single" w:color="auto" w:sz="6" w:space="0"/>
              <w:bottom w:val="single" w:color="auto" w:sz="6"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11</w:t>
            </w:r>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cs="宋体"/>
                <w:strike w:val="0"/>
                <w:dstrike w:val="0"/>
                <w:color w:val="auto"/>
                <w:kern w:val="2"/>
                <w:szCs w:val="21"/>
                <w:highlight w:val="none"/>
                <w:lang w:val="en-US" w:eastAsia="zh-CN"/>
              </w:rPr>
              <w:t>投标人自有或租赁自卸车（或随车吊）的有一辆得4分，最高得4分。（投标人自有设备的须提供购买发票</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复印件及车辆照片，租赁的须提供</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租赁协议复印件及车辆照片，不提供不得分。）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12</w:t>
            </w:r>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cs="宋体"/>
                <w:strike w:val="0"/>
                <w:dstrike w:val="0"/>
                <w:color w:val="auto"/>
                <w:kern w:val="2"/>
                <w:szCs w:val="21"/>
                <w:highlight w:val="none"/>
                <w:lang w:val="en-US" w:eastAsia="zh-CN"/>
              </w:rPr>
              <w:t>投标人自有或租赁8吨（及以上）洒水车的有一辆得4分，最高得4分。（投标人自有设备的须提供购买发票</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复印件及车辆照片，租赁的须提供</w:t>
            </w:r>
            <w:r>
              <w:rPr>
                <w:rFonts w:hint="eastAsia" w:ascii="宋体" w:hAnsi="宋体" w:cs="宋体"/>
                <w:b/>
                <w:bCs/>
                <w:strike w:val="0"/>
                <w:dstrike w:val="0"/>
                <w:color w:val="auto"/>
                <w:kern w:val="2"/>
                <w:szCs w:val="21"/>
                <w:highlight w:val="none"/>
                <w:lang w:val="en-US" w:eastAsia="zh-CN"/>
              </w:rPr>
              <w:t>清晰的</w:t>
            </w:r>
            <w:r>
              <w:rPr>
                <w:rFonts w:hint="eastAsia" w:ascii="宋体" w:hAnsi="宋体" w:cs="宋体"/>
                <w:strike w:val="0"/>
                <w:dstrike w:val="0"/>
                <w:color w:val="auto"/>
                <w:kern w:val="2"/>
                <w:szCs w:val="21"/>
                <w:highlight w:val="none"/>
                <w:lang w:val="en-US" w:eastAsia="zh-CN"/>
              </w:rPr>
              <w:t>租赁协议复印件及车辆照片；且需提供洒水车吨量的证明文件，不提供不得分。）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13</w:t>
            </w:r>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zh-CN" w:eastAsia="zh-CN"/>
              </w:rPr>
              <w:t>拟投入本项目项目组成员中每有一人具有园林绿化</w:t>
            </w:r>
            <w:r>
              <w:rPr>
                <w:rFonts w:hint="eastAsia" w:ascii="宋体" w:hAnsi="宋体" w:cs="宋体"/>
                <w:color w:val="auto"/>
                <w:kern w:val="2"/>
                <w:szCs w:val="21"/>
                <w:highlight w:val="none"/>
                <w:lang w:val="en-US" w:eastAsia="zh-CN"/>
              </w:rPr>
              <w:t>相关专业工程师及以上职称的得1分，最高得2分。（提供职称证书复印件，不提供不得分）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14</w:t>
            </w:r>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zh-CN" w:eastAsia="zh-CN"/>
              </w:rPr>
              <w:t>投标人自</w:t>
            </w:r>
            <w:r>
              <w:rPr>
                <w:rFonts w:hint="eastAsia" w:ascii="宋体" w:hAnsi="宋体" w:cs="宋体"/>
                <w:color w:val="auto"/>
                <w:kern w:val="2"/>
                <w:szCs w:val="21"/>
                <w:highlight w:val="none"/>
                <w:lang w:val="en-US" w:eastAsia="zh-CN"/>
              </w:rPr>
              <w:t>2017年1月1日以来承担过类似项目业绩的，每个得0.5分，最高得1分。（提供中标通知书或合同的扫描件，时间以中标通知书签发时间或合同签订时间为准）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3"/>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15</w:t>
            </w:r>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lang w:val="zh-CN" w:eastAsia="zh-CN"/>
              </w:rPr>
              <w:t>根据投标人在投标截止时间止前三年是否受到行政处罚、行政处理（含通报）、列入不良行为、经营异常或在政府采购专项检查、合同履约验收过程中的诚信情况酌情评分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3"/>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2</w:t>
            </w:r>
          </w:p>
        </w:tc>
      </w:tr>
    </w:tbl>
    <w:p>
      <w:pPr>
        <w:snapToGrid w:val="0"/>
        <w:spacing w:beforeLines="50" w:afterLines="50" w:line="360" w:lineRule="auto"/>
        <w:outlineLvl w:val="9"/>
        <w:rPr>
          <w:rFonts w:asciiTheme="minorEastAsia" w:hAnsiTheme="minorEastAsia" w:eastAsiaTheme="minorEastAsia"/>
          <w:b/>
          <w:color w:val="auto"/>
          <w:sz w:val="30"/>
          <w:szCs w:val="30"/>
          <w:highlight w:val="none"/>
        </w:rPr>
      </w:pP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111" w:name="_Toc17937"/>
      <w:r>
        <w:rPr>
          <w:rFonts w:hint="eastAsia" w:asciiTheme="minorEastAsia" w:hAnsiTheme="minorEastAsia" w:eastAsiaTheme="minorEastAsia"/>
          <w:b/>
          <w:color w:val="auto"/>
          <w:sz w:val="30"/>
          <w:szCs w:val="30"/>
          <w:highlight w:val="none"/>
        </w:rPr>
        <w:t>第五章  嘉兴市政府采购合同（指引）</w:t>
      </w:r>
      <w:bookmarkEnd w:id="11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招标编号：</w:t>
      </w:r>
      <w:r>
        <w:rPr>
          <w:rFonts w:hint="eastAsia" w:cs="Arial" w:asciiTheme="minorEastAsia" w:hAnsiTheme="minorEastAsia" w:eastAsiaTheme="minorEastAsia"/>
          <w:color w:val="auto"/>
          <w:kern w:val="0"/>
          <w:szCs w:val="21"/>
          <w:highlight w:val="none"/>
          <w:lang w:eastAsia="zh-CN"/>
        </w:rPr>
        <w:t>银建-JXYJ-L（2022）18号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合同编号：</w:t>
      </w:r>
      <w:r>
        <w:rPr>
          <w:rFonts w:hint="eastAsia" w:cs="Arial" w:asciiTheme="minorEastAsia" w:hAnsiTheme="minorEastAsia" w:eastAsiaTheme="minorEastAsia"/>
          <w:color w:val="auto"/>
          <w:kern w:val="0"/>
          <w:szCs w:val="21"/>
          <w:highlight w:val="none"/>
          <w:lang w:eastAsia="zh-CN"/>
        </w:rPr>
        <w:t>银建-JXYJ-L（2022）18号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Cs w:val="21"/>
          <w:highlight w:val="none"/>
          <w:u w:val="single"/>
          <w:lang w:val="en-US" w:eastAsia="zh-CN"/>
        </w:rPr>
      </w:pPr>
      <w:r>
        <w:rPr>
          <w:rFonts w:hint="eastAsia" w:cs="Arial" w:asciiTheme="minorEastAsia" w:hAnsiTheme="minorEastAsia" w:eastAsiaTheme="minorEastAsia"/>
          <w:color w:val="auto"/>
          <w:kern w:val="0"/>
          <w:szCs w:val="21"/>
          <w:highlight w:val="none"/>
        </w:rPr>
        <w:t>政府采购计划（预算）确认书号</w:t>
      </w:r>
      <w:r>
        <w:rPr>
          <w:rFonts w:hint="eastAsia" w:eastAsiaTheme="minorEastAsia"/>
          <w:color w:val="auto"/>
          <w:highlight w:val="none"/>
          <w:u w:val="single"/>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采购人（以下称甲方）：</w:t>
      </w:r>
      <w:r>
        <w:rPr>
          <w:rFonts w:hint="eastAsia" w:cs="Arial" w:asciiTheme="minorEastAsia" w:hAnsiTheme="minorEastAsia" w:eastAsiaTheme="minorEastAsia"/>
          <w:color w:val="auto"/>
          <w:kern w:val="0"/>
          <w:szCs w:val="21"/>
          <w:highlight w:val="none"/>
          <w:lang w:eastAsia="zh-CN"/>
        </w:rPr>
        <w:t>嘉兴市秀洲区人民政府新城街道办事处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代理机构：嘉兴市银建工程咨询评估有限公司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根据《中华人民共和国政府采购法》、《民法典》等法律法规的规定，甲乙双方按照</w:t>
      </w:r>
      <w:r>
        <w:rPr>
          <w:rFonts w:hint="eastAsia" w:cs="Arial" w:asciiTheme="minorEastAsia" w:hAnsiTheme="minorEastAsia" w:eastAsiaTheme="minorEastAsia"/>
          <w:color w:val="auto"/>
          <w:szCs w:val="21"/>
          <w:highlight w:val="none"/>
          <w:u w:val="single"/>
          <w:lang w:eastAsia="zh-CN"/>
        </w:rPr>
        <w:t>新城街道部分区域绿化养护项目</w:t>
      </w:r>
      <w:r>
        <w:rPr>
          <w:rFonts w:hint="eastAsia" w:cs="Arial" w:asciiTheme="minorEastAsia" w:hAnsiTheme="minorEastAsia" w:eastAsiaTheme="minorEastAsia"/>
          <w:color w:val="auto"/>
          <w:kern w:val="0"/>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本次采购的是</w:t>
      </w:r>
    </w:p>
    <w:tbl>
      <w:tblPr>
        <w:tblStyle w:val="48"/>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3、本合同付款方式为以下第</w:t>
      </w:r>
      <w:r>
        <w:rPr>
          <w:rFonts w:hint="eastAsia" w:cs="Arial" w:asciiTheme="minorEastAsia" w:hAnsiTheme="minorEastAsia" w:eastAsiaTheme="minorEastAsia"/>
          <w:color w:val="auto"/>
          <w:kern w:val="0"/>
          <w:szCs w:val="21"/>
          <w:highlight w:val="none"/>
          <w:u w:val="single"/>
        </w:rPr>
        <w:t xml:space="preserve">    （2）      </w:t>
      </w:r>
      <w:r>
        <w:rPr>
          <w:rFonts w:hint="eastAsia" w:cs="Arial" w:asciiTheme="minorEastAsia" w:hAnsiTheme="minorEastAsia" w:eastAsiaTheme="minorEastAsia"/>
          <w:color w:val="auto"/>
          <w:kern w:val="0"/>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（1）本合同项下的采购资金系甲方自行支付，付款程序为</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u w:val="single"/>
        </w:rPr>
      </w:pPr>
      <w:r>
        <w:rPr>
          <w:rFonts w:hint="eastAsia" w:cs="Arial" w:asciiTheme="minorEastAsia" w:hAnsiTheme="minorEastAsia" w:eastAsiaTheme="minorEastAsia"/>
          <w:color w:val="auto"/>
          <w:kern w:val="0"/>
          <w:szCs w:val="21"/>
          <w:highlight w:val="none"/>
        </w:rPr>
        <w:t>（2）本合同项下的采购资金须财政直接支付，付款程序为</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color w:val="auto"/>
          <w:kern w:val="0"/>
          <w:szCs w:val="21"/>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 一份送招标代理机构存档。</w:t>
      </w:r>
    </w:p>
    <w:p>
      <w:pPr>
        <w:snapToGrid w:val="0"/>
        <w:spacing w:beforeLines="50" w:afterLines="50" w:line="360" w:lineRule="auto"/>
        <w:jc w:val="center"/>
        <w:outlineLvl w:val="9"/>
        <w:rPr>
          <w:rFonts w:cs="Arial" w:asciiTheme="minorEastAsia" w:hAnsiTheme="minorEastAsia" w:eastAsiaTheme="minorEastAsia"/>
          <w:b/>
          <w:color w:val="auto"/>
          <w:kern w:val="0"/>
          <w:szCs w:val="21"/>
          <w:highlight w:val="none"/>
        </w:rPr>
      </w:pPr>
    </w:p>
    <w:p>
      <w:pPr>
        <w:snapToGrid w:val="0"/>
        <w:spacing w:beforeLines="50" w:afterLines="50" w:line="360" w:lineRule="auto"/>
        <w:jc w:val="center"/>
        <w:outlineLvl w:val="0"/>
        <w:rPr>
          <w:rFonts w:cs="Arial" w:asciiTheme="minorEastAsia" w:hAnsiTheme="minorEastAsia" w:eastAsiaTheme="minorEastAsia"/>
          <w:b/>
          <w:color w:val="auto"/>
          <w:kern w:val="0"/>
          <w:szCs w:val="21"/>
          <w:highlight w:val="none"/>
        </w:rPr>
      </w:pPr>
      <w:bookmarkStart w:id="112" w:name="_Toc30292"/>
      <w:r>
        <w:rPr>
          <w:rFonts w:hint="eastAsia" w:cs="Arial" w:asciiTheme="minorEastAsia" w:hAnsiTheme="minorEastAsia" w:eastAsiaTheme="minorEastAsia"/>
          <w:b/>
          <w:color w:val="auto"/>
          <w:kern w:val="0"/>
          <w:szCs w:val="21"/>
          <w:highlight w:val="none"/>
        </w:rPr>
        <w:t>二、特殊专用条款部分（双方协商拟定）</w:t>
      </w:r>
      <w:bookmarkEnd w:id="112"/>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甲方：乙方：</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地址：地址：</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法定代表人或被授权人：法定代表人或被授权人：</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签订地点：</w:t>
      </w:r>
    </w:p>
    <w:p>
      <w:pPr>
        <w:pStyle w:val="28"/>
        <w:snapToGrid w:val="0"/>
        <w:spacing w:before="120" w:after="120" w:line="36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签订日期：年月日</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br w:type="page"/>
      </w:r>
    </w:p>
    <w:p>
      <w:pPr>
        <w:spacing w:line="360" w:lineRule="auto"/>
        <w:ind w:firstLine="482"/>
        <w:jc w:val="center"/>
        <w:outlineLvl w:val="1"/>
        <w:rPr>
          <w:rFonts w:hint="eastAsia" w:ascii="微软雅黑" w:hAnsi="微软雅黑" w:eastAsia="微软雅黑"/>
          <w:b/>
          <w:color w:val="auto"/>
          <w:sz w:val="32"/>
          <w:szCs w:val="32"/>
          <w:highlight w:val="none"/>
        </w:rPr>
      </w:pPr>
      <w:r>
        <w:rPr>
          <w:rFonts w:hint="eastAsia" w:ascii="微软雅黑" w:hAnsi="微软雅黑" w:eastAsia="微软雅黑"/>
          <w:b/>
          <w:color w:val="auto"/>
          <w:sz w:val="32"/>
          <w:szCs w:val="32"/>
          <w:highlight w:val="none"/>
        </w:rPr>
        <w:t>合同协议条款</w:t>
      </w:r>
    </w:p>
    <w:p>
      <w:pPr>
        <w:numPr>
          <w:ilvl w:val="0"/>
          <w:numId w:val="7"/>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词语定义合同文件</w:t>
      </w:r>
    </w:p>
    <w:p>
      <w:pPr>
        <w:spacing w:line="360" w:lineRule="auto"/>
        <w:ind w:left="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词语定义</w:t>
      </w:r>
    </w:p>
    <w:p>
      <w:pPr>
        <w:spacing w:line="360" w:lineRule="auto"/>
        <w:ind w:left="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下列词语除补充条款另有约定外，应具有本条所赋予的定义：</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1.1协议条款：是根据法律、行政法规规定及养护要求的需要订立，通用于本项目实施的条款。</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1.2补充条款：是双方根据有关法律、行政法规规定，结合项目实际情况，经协商达成意见的条款，是对协议条款内容的具体化、补充或修改。</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1.3发包人：指在协议书中约定，被发包人接受的具有</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主体资格的当事人。</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承包人：指在协议书中约定，被发包人接受的具有</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承包主体资格的当事人。</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1.5项目：</w:t>
      </w:r>
      <w:r>
        <w:rPr>
          <w:rFonts w:hint="eastAsia" w:ascii="宋体" w:hAnsi="宋体" w:cs="宋体"/>
          <w:color w:val="auto"/>
          <w:szCs w:val="21"/>
          <w:highlight w:val="none"/>
          <w:lang w:eastAsia="zh-CN"/>
        </w:rPr>
        <w:t>新城街道部分区域绿化养护项目</w:t>
      </w:r>
      <w:r>
        <w:rPr>
          <w:rFonts w:hint="eastAsia" w:ascii="宋体" w:hAnsi="宋体" w:eastAsia="宋体" w:cs="宋体"/>
          <w:color w:val="auto"/>
          <w:szCs w:val="21"/>
          <w:highlight w:val="none"/>
        </w:rPr>
        <w:t>。</w:t>
      </w:r>
    </w:p>
    <w:p>
      <w:pPr>
        <w:spacing w:line="360" w:lineRule="auto"/>
        <w:ind w:lef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1.6月日指日历月日</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语言文字和适用法律、标准及规范</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2.1语言文字</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本合同文件使用汉语书写和解释、说明。</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2.2适用法律法规</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适用中华人民共和国的法律、法规和嘉兴市的地方法规；</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2.3适用标准、规范</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综合养护质量规范</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二、双方一般权利和义务</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 甲方代表</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甲方指派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为甲方代表，全面负责日常养护作业的管理工作。</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 乙方代表</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4.1乙方指派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为养护项目负责人，具体负责本养护作业工作，并用书面材料报甲方备案。</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4.2项目负责人等有关人员必须按时参加由甲方召开的养护例会和各种必须参加的会议。</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4.3乙方如需更换项目负责人，应至少提前7天以书面形式通知甲方，并征得甲方同意。后任继续行使合同文件的前任的职权，履行前任的义务。</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4.4甲方可以与乙方协商，建议更换其认为不称职的项目负责人。</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 甲方工作</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5.1组织召开养护作业技术交底会。</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5.2协助乙方办理养护所需的有关证件，批件等。</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负责乙方的日常养护作业的管理和检查(定期检查和抽查相结合)。每个月约定月底对乙方作出养护工作计划布置和对养护工作进行考核(全年考核不少于12次)，考核按有关养护工作考核标准并结合甲方养护工作计划要求综合进行年终综合考核考评。</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5.4甲方对乙方的养护质量进行检查并进行每月考核，考核结果作为支付养护经费的依据。</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5.5负责合同期间的行政许可审批及协调工作，如遇突发事件，协调乙方在作业过程中与其他管理部门的关系。</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5.6进行绿化养护工作业务指导。</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5.7甲方应作的其他工作，双方在补充条款内约定。</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6 乙方工作</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6.1乙方提交养护工作计划经甲方核定后，由乙方承担日常养护作业。</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6.2做好日、周统计报表，并按时做好月、季、年度上报养护工作完成情况表，按甲方要求及时上报。</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6.3应按甲方提出的以周围建筑物和各种管线的要求落实保护措施；</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6.4建立巡视报告制，每天有专人进行对绿化等设施的巡视，并做好每日巡视记录。发现养护范围内绿化缺损，适时补种，并把结果报告甲方；</w:t>
      </w:r>
    </w:p>
    <w:p>
      <w:pPr>
        <w:spacing w:line="360" w:lineRule="auto"/>
        <w:ind w:firstLine="482" w:firstLineChars="200"/>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巡视中发现区域内有违章搭建及无证占绿、乱种植等现象，由乙方负责处理，必须当场予以制止，并清理干净，恢复原样。养护区域内的所有附属设施均由乙方负责维修、安装。</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6.5超出常规小修范围的工作，需提前报甲方审批；</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6.6及时解决来信、来访，并根据甲方要求及时处理；</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6.7按时完成甲方交办的其它突击性任务和指令性任务；</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6.8认真做好防台防汛等工作；</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6.9加强法定节假日的正常养护工作；</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6.10清除杂草是一经常性的工作，但除草以春季为一年中的关键，应集中除杂草1-2次。一年中严禁杂草结籽，减少第二年的杂草种原；</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注意病虫害的防治。抓住重点防治时期进行早期预防是其关键。病害以提前预防为主，虫害遵循治早治小的原则，树每年3次以上。药剂种类、浓度根据实际需要确定并报甲方备案，要严格操作规程，使病虫害有明显抑制；树木冬季应刷白，高度为乔木1米，乔状灌木0.5米；</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注意养护区的排灌水。主要是梅雨、台汛和阵雨积水，出现积水时要及时排出，一般积水不得超过4小时，应做好排水沟渠的通畅，灌排设施的完整，结合临时排水等措施进行，避免因积水而造成植物的死亡。灌溉必须根据气候条件的变化灵活掌握。一般来说，春季到初夏，苗木处于旺盛生长期，南方雨水多，只要灌溉三四次即可，初夏如果高温又干旱，必须增加灌水次数，秋季，为了让苗木组织充实和木质化，准备越冬，一般不灌水。冬季，南方不灌水；</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6.13苗木初始补植时需要适当施肥，促进苗木生长，肥料种类、数量由乙方根据实际情况确定并报甲方核准备案，以保持良好生长势；</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因乙方管理不到位而引起的安全事故责任由乙方承担。</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乙方应作的其他工作，双方在补充条款内约定。</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四、养护组织设计</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进度计划</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7.1乙方在本合同生效后15天内上报全年养护作业维修计划，并结合季节特点，制定季度、月度养护计划、材料计划送交甲方。甲方在7天内予以确认。</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乙方必须按甲方确认的进度计划组织养护作业，接受甲方对进度的检查、监督。养护作业实际进度与经确认的进度计划不一致时，乙方应按甲方的要求提出改进措施，经甲方代表确认后执行。因乙方的原因导致实际进度与计划进度不符，乙方无权就改进措施提出追加合同价款。</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五、质量与考核</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 质量标准</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养护质量标准参照补充条款约定的质量标准。因乙方原因使养护质量达不到约定的质量标准，乙方承担违约责任。</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检查和考核</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9.1乙方应认真按照补充条款中约定的质量标准进行养护，随时接受甲方的检查和考核，为检查和考核提供便利条件。</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9.2对于养护质量或</w:t>
      </w:r>
      <w:r>
        <w:rPr>
          <w:rFonts w:hint="eastAsia" w:ascii="宋体" w:hAnsi="宋体" w:cs="宋体"/>
          <w:color w:val="auto"/>
          <w:szCs w:val="21"/>
          <w:highlight w:val="none"/>
          <w:lang w:eastAsia="zh-CN"/>
        </w:rPr>
        <w:t>养护</w:t>
      </w:r>
      <w:r>
        <w:rPr>
          <w:rFonts w:hint="eastAsia" w:ascii="宋体" w:hAnsi="宋体" w:eastAsia="宋体" w:cs="宋体"/>
          <w:color w:val="auto"/>
          <w:szCs w:val="21"/>
          <w:highlight w:val="none"/>
        </w:rPr>
        <w:t>期不符合要求的，甲方先通知限期整改，乙方逾期不整改的或整改效果不符合要求的，由甲方派其他队伍整改，费用在乙方养护费用中扣除。</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9.3甲方按照补充条款中约定的考核办法及奖惩措施进行考核。</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9.4乙方经考核确实不能承担养护作业的，甲方有权无条件单方终止合同。乙方接甲方通知后24小时内必须无条件清退出场，由此造成的损失由乙方承担，原已完成的工作量按实结算。</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9.5甲方结合养护新特点和行业颁布的最新标准，甲方有修改考核标准的权利。</w:t>
      </w:r>
    </w:p>
    <w:p>
      <w:pPr>
        <w:spacing w:line="360" w:lineRule="auto"/>
        <w:ind w:firstLine="482"/>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六、安全文明</w:t>
      </w:r>
      <w:r>
        <w:rPr>
          <w:rFonts w:hint="eastAsia" w:ascii="宋体" w:hAnsi="宋体" w:cs="宋体"/>
          <w:b/>
          <w:color w:val="auto"/>
          <w:szCs w:val="21"/>
          <w:highlight w:val="none"/>
          <w:lang w:eastAsia="zh-CN"/>
        </w:rPr>
        <w:t>工作</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安全文明</w:t>
      </w:r>
      <w:r>
        <w:rPr>
          <w:rFonts w:hint="eastAsia" w:ascii="宋体" w:hAnsi="宋体" w:cs="宋体"/>
          <w:b/>
          <w:color w:val="auto"/>
          <w:szCs w:val="21"/>
          <w:highlight w:val="none"/>
          <w:lang w:eastAsia="zh-CN"/>
        </w:rPr>
        <w:t>工作</w:t>
      </w:r>
      <w:r>
        <w:rPr>
          <w:rFonts w:hint="eastAsia" w:ascii="宋体" w:hAnsi="宋体" w:eastAsia="宋体" w:cs="宋体"/>
          <w:b/>
          <w:color w:val="auto"/>
          <w:szCs w:val="21"/>
          <w:highlight w:val="none"/>
        </w:rPr>
        <w:t>与检查</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10.1乙方应遵循有关规定及行业规范，严格按照操作规程作业，并随时接受甲方或有关部门的监督检查和社会监督，采取必要的安全防护措施，消除事故隐患。</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10.2由于乙方管理不善，引起政府职能部门处罚和限期整改，或安全措施不力造成事故的责任和因此发生的费用，由乙方承担。</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安全防护</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11.1养护作业人员应做好各项安全防范措施，必须着装上岗操作。</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12 事故处理</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12.1发生重大伤亡及其他安全事故，乙方就有关规定立即上报有关部门并通知甲方代表，同时按政府有关部门要求处理由事故责任方承担发生的费用。</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七、合同价款与支付</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 合同价款及调整</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Cs w:val="21"/>
          <w:highlight w:val="none"/>
        </w:rPr>
        <w:t>13.1合同价款由甲、乙双方依据中标通知书中的中标价格在协议书内约定。</w:t>
      </w:r>
    </w:p>
    <w:p>
      <w:pPr>
        <w:spacing w:line="360" w:lineRule="auto"/>
        <w:ind w:firstLine="48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13.2</w:t>
      </w:r>
      <w:r>
        <w:rPr>
          <w:rFonts w:hint="eastAsia" w:ascii="宋体" w:hAnsi="宋体" w:eastAsia="宋体" w:cs="宋体"/>
          <w:b/>
          <w:bCs/>
          <w:color w:val="auto"/>
          <w:sz w:val="24"/>
          <w:highlight w:val="none"/>
        </w:rPr>
        <w:t>本合同价款采用固定单价合同</w:t>
      </w:r>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13.3双方约定合同价款的其他调整因素：</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(1)合同执行期间如遇政策性调整，以有关管理部门的文件为准。</w:t>
      </w:r>
    </w:p>
    <w:p>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(2)双方在补充条款中约定的其他调整因素。</w:t>
      </w:r>
    </w:p>
    <w:p>
      <w:pPr>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合同价款的变更由双方以补充合同形式予以确定。</w:t>
      </w:r>
    </w:p>
    <w:p>
      <w:pPr>
        <w:spacing w:line="360" w:lineRule="auto"/>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合同价款支付</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甲方根据实际考核结果，每季度支付一次养护费用，在下一个月的月中前支付。</w:t>
      </w:r>
    </w:p>
    <w:p>
      <w:pPr>
        <w:spacing w:line="360" w:lineRule="auto"/>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15履约保证金</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本项目不设置履约保证金。</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八、材料设备供应</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16材料设备供应</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16.1养护维修所需的材料、制品、工具、设备等，原则上均由乙方自行解决，如遇特殊情况，按补充条款约定的方式采购或配备。</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九、违约和争议</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违约</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甲方代表不能及时给出很必要指令、确认、批准，不能按合同约定履行自己的各项义务、以及发生其它使合同无法履行的行为，应承担违约责任(包括支付违约导致乙方增加经济支出和从应之日起计算的应支付款项的利息)。</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17.2乙方不能达到所承诺的养护、维修质量标准，乙方按协议条款支付违约金，赔偿因违约给甲方造成的损失。</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17.3因一方违约使合同不能履行，另一方欲终止或解除全部合同，应提前10天通知违约方后，方可终止或解除合同，由违约方承担违约责任。</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争议</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18.1甲乙双方因合同发生争议，要求调解、仲裁、起诉的，采用以下一种方式解决：</w:t>
      </w:r>
    </w:p>
    <w:p>
      <w:pPr>
        <w:numPr>
          <w:ilvl w:val="0"/>
          <w:numId w:val="8"/>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甲乙双方协商</w:t>
      </w:r>
    </w:p>
    <w:p>
      <w:pPr>
        <w:numPr>
          <w:ilvl w:val="0"/>
          <w:numId w:val="8"/>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向有管辖权的经济合同仲裁机关申请仲裁；</w:t>
      </w:r>
    </w:p>
    <w:p>
      <w:pPr>
        <w:numPr>
          <w:ilvl w:val="0"/>
          <w:numId w:val="8"/>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向有管辖权的人民法院起诉。</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18.2发生争议后，除出现以下情况的，双方都应继续履行合同，保持养护连续性：</w:t>
      </w:r>
    </w:p>
    <w:p>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合同确已无法履行；</w:t>
      </w:r>
    </w:p>
    <w:p>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双方协议停止养护作业；</w:t>
      </w:r>
    </w:p>
    <w:p>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仲裁机关要求停止养护作业；</w:t>
      </w:r>
    </w:p>
    <w:p>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法院要求停止养护作业。</w:t>
      </w:r>
    </w:p>
    <w:p>
      <w:pPr>
        <w:spacing w:line="360" w:lineRule="auto"/>
        <w:ind w:left="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十、合同中止</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19.1承包范围内的养护管理项目，乙方不得采取任何形式实施分包和转包，凡违反此规定的，甲方将立即取消乙方的承包资格，中止养护承包合同的履行，由此产生的一切法律责任和经济损失由乙方承担；</w:t>
      </w:r>
    </w:p>
    <w:p>
      <w:pPr>
        <w:spacing w:line="360" w:lineRule="auto"/>
        <w:ind w:firstLine="48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19.2</w:t>
      </w:r>
      <w:r>
        <w:rPr>
          <w:rFonts w:hint="eastAsia" w:ascii="宋体" w:hAnsi="宋体" w:eastAsia="宋体" w:cs="宋体"/>
          <w:b/>
          <w:color w:val="auto"/>
          <w:szCs w:val="21"/>
          <w:highlight w:val="none"/>
        </w:rPr>
        <w:t>养护期为</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年。</w:t>
      </w:r>
    </w:p>
    <w:p>
      <w:pPr>
        <w:spacing w:line="360" w:lineRule="auto"/>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十一、其他</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20.1在本合同执行过程中如遇和国家政策、地方法规的有关规定不符时，按有关政策法规执行。</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20.2如遇自然灾害和不可抗力造成损失的，经双方协商解决。</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20.3本合同如有未尽事宜，双方可通过协商补充协议解决。</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十二、合同生效与终止</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21.1双方在合同协议书中约定合同生效方式。</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21.2双方履行合同全部义务，合同付款支付完毕后，本合同即告终止。</w:t>
      </w:r>
    </w:p>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十三、合同份数</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22.1本合同正本二份，具有同等效力。由甲方、乙方分别保存一份。</w:t>
      </w: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22.2本合同副本六份，由甲乙双方分别保存三份。</w:t>
      </w:r>
    </w:p>
    <w:p>
      <w:pPr>
        <w:pStyle w:val="28"/>
        <w:adjustRightInd w:val="0"/>
        <w:spacing w:before="120" w:after="120" w:line="360" w:lineRule="auto"/>
        <w:rPr>
          <w:rFonts w:asciiTheme="minorEastAsia" w:hAnsiTheme="minorEastAsia" w:eastAsiaTheme="minorEastAsia"/>
          <w:bCs/>
          <w:color w:val="auto"/>
          <w:sz w:val="21"/>
          <w:szCs w:val="21"/>
          <w:highlight w:val="none"/>
        </w:rPr>
      </w:pPr>
    </w:p>
    <w:p>
      <w:pPr>
        <w:pStyle w:val="28"/>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8"/>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按照《政府采购委托汇总确认书》</w:t>
      </w:r>
      <w:r>
        <w:rPr>
          <w:rFonts w:hint="eastAsia" w:cs="宋体" w:asciiTheme="minorEastAsia" w:hAnsiTheme="minorEastAsia" w:eastAsiaTheme="minorEastAsia"/>
          <w:color w:val="auto"/>
          <w:kern w:val="0"/>
          <w:szCs w:val="21"/>
          <w:highlight w:val="none"/>
          <w:lang w:eastAsia="zh-CN"/>
        </w:rPr>
        <w:t>嘉兴市秀洲区财政局</w:t>
      </w:r>
      <w:r>
        <w:rPr>
          <w:color w:val="auto"/>
          <w:highlight w:val="none"/>
        </w:rPr>
        <w:fldChar w:fldCharType="begin"/>
      </w:r>
      <w:r>
        <w:rPr>
          <w:color w:val="auto"/>
          <w:highlight w:val="none"/>
        </w:rPr>
        <w:instrText xml:space="preserve"> HYPERLINK "https://pay.zcygov.cn/purchaseplan_front/" \l "/plan/list/detail?id=1000000000002254157&amp;encrypt=bc26d93a1eb531475bc98682ad889359" \t "_blank" </w:instrText>
      </w:r>
      <w:r>
        <w:rPr>
          <w:color w:val="auto"/>
          <w:highlight w:val="none"/>
        </w:rPr>
        <w:fldChar w:fldCharType="separate"/>
      </w:r>
      <w:r>
        <w:rPr>
          <w:color w:val="auto"/>
          <w:highlight w:val="none"/>
        </w:rPr>
        <w:fldChar w:fldCharType="end"/>
      </w:r>
      <w:r>
        <w:rPr>
          <w:color w:val="auto"/>
          <w:highlight w:val="none"/>
        </w:rPr>
        <w:t>临[2022]390号</w:t>
      </w:r>
      <w:r>
        <w:rPr>
          <w:rFonts w:hint="eastAsia" w:cs="宋体" w:asciiTheme="minorEastAsia" w:hAnsiTheme="minorEastAsia" w:eastAsiaTheme="minorEastAsia"/>
          <w:color w:val="auto"/>
          <w:kern w:val="0"/>
          <w:szCs w:val="21"/>
          <w:highlight w:val="none"/>
        </w:rPr>
        <w:t>，采购编号</w:t>
      </w:r>
      <w:r>
        <w:rPr>
          <w:rFonts w:hint="eastAsia" w:cs="宋体" w:asciiTheme="minorEastAsia" w:hAnsiTheme="minorEastAsia" w:eastAsiaTheme="minorEastAsia"/>
          <w:color w:val="auto"/>
          <w:kern w:val="0"/>
          <w:szCs w:val="21"/>
          <w:highlight w:val="none"/>
          <w:lang w:eastAsia="zh-CN"/>
        </w:rPr>
        <w:t>银建-JXYJ-L（2022）18号</w:t>
      </w:r>
      <w:r>
        <w:rPr>
          <w:rFonts w:hint="eastAsia" w:cs="宋体" w:asciiTheme="minorEastAsia" w:hAnsiTheme="minorEastAsia" w:eastAsiaTheme="minorEastAsia"/>
          <w:color w:val="auto"/>
          <w:kern w:val="0"/>
          <w:szCs w:val="21"/>
          <w:highlight w:val="none"/>
        </w:rPr>
        <w:t>,合同号：</w:t>
      </w:r>
      <w:r>
        <w:rPr>
          <w:rFonts w:hint="eastAsia" w:cs="宋体" w:asciiTheme="minorEastAsia" w:hAnsiTheme="minorEastAsia" w:eastAsiaTheme="minorEastAsia"/>
          <w:color w:val="auto"/>
          <w:kern w:val="0"/>
          <w:szCs w:val="21"/>
          <w:highlight w:val="none"/>
          <w:lang w:eastAsia="zh-CN"/>
        </w:rPr>
        <w:t>银建-JXYJ-L（2022）18号</w:t>
      </w:r>
      <w:r>
        <w:rPr>
          <w:rFonts w:hint="eastAsia" w:cs="宋体" w:asciiTheme="minorEastAsia" w:hAnsiTheme="minorEastAsia" w:eastAsiaTheme="minorEastAsia"/>
          <w:color w:val="auto"/>
          <w:kern w:val="0"/>
          <w:szCs w:val="21"/>
          <w:highlight w:val="none"/>
        </w:rPr>
        <w:t>以下项目已采购到位并验收合格。</w:t>
      </w:r>
    </w:p>
    <w:tbl>
      <w:tblPr>
        <w:tblStyle w:val="48"/>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采购货物（服务，工程）名称</w:t>
            </w:r>
          </w:p>
        </w:tc>
        <w:tc>
          <w:tcPr>
            <w:tcW w:w="484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规格、型号</w:t>
            </w:r>
          </w:p>
        </w:tc>
        <w:tc>
          <w:tcPr>
            <w:tcW w:w="128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160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核定总价</w:t>
            </w:r>
          </w:p>
        </w:tc>
        <w:tc>
          <w:tcPr>
            <w:tcW w:w="17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采购人</w:t>
            </w:r>
          </w:p>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4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6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740" w:type="dxa"/>
            <w:tcBorders>
              <w:top w:val="nil"/>
              <w:left w:val="nil"/>
              <w:bottom w:val="single" w:color="auto" w:sz="4" w:space="0"/>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合计总价款（人民币）</w:t>
            </w:r>
          </w:p>
        </w:tc>
        <w:tc>
          <w:tcPr>
            <w:tcW w:w="9460" w:type="dxa"/>
            <w:gridSpan w:val="4"/>
            <w:tcBorders>
              <w:top w:val="nil"/>
              <w:left w:val="nil"/>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人民币元整。       ￥: </w:t>
            </w:r>
          </w:p>
        </w:tc>
      </w:tr>
      <w:tr>
        <w:trPr>
          <w:trHeight w:val="69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供货单位（盖章）：                     </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采购人（盖章）:</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经办项目负责人：</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项目验收组组长：</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开户银行：</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项目验收组成员（签名）：</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银行帐号：</w:t>
            </w:r>
          </w:p>
        </w:tc>
        <w:tc>
          <w:tcPr>
            <w:tcW w:w="4840" w:type="dxa"/>
            <w:tcBorders>
              <w:top w:val="nil"/>
              <w:left w:val="nil"/>
              <w:bottom w:val="single" w:color="auto" w:sz="4" w:space="0"/>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4620" w:type="dxa"/>
            <w:gridSpan w:val="3"/>
            <w:tcBorders>
              <w:top w:val="nil"/>
              <w:left w:val="nil"/>
              <w:bottom w:val="single" w:color="auto" w:sz="4" w:space="0"/>
              <w:right w:val="single" w:color="000000" w:sz="4" w:space="0"/>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本单一式四联：第一联采购人留存，第二联作为财政支付凭证，第三联供货单位留存，第四联采购办存档备查。</w:t>
            </w:r>
          </w:p>
        </w:tc>
      </w:tr>
    </w:tbl>
    <w:p>
      <w:pPr>
        <w:pStyle w:val="28"/>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113" w:name="_Toc530"/>
      <w:r>
        <w:rPr>
          <w:rFonts w:hint="eastAsia" w:asciiTheme="minorEastAsia" w:hAnsiTheme="minorEastAsia" w:eastAsiaTheme="minorEastAsia"/>
          <w:b/>
          <w:color w:val="auto"/>
          <w:sz w:val="30"/>
          <w:szCs w:val="30"/>
          <w:highlight w:val="none"/>
        </w:rPr>
        <w:t>第六章  投标文件格式</w:t>
      </w:r>
      <w:bookmarkEnd w:id="113"/>
    </w:p>
    <w:p>
      <w:pPr>
        <w:snapToGrid w:val="0"/>
        <w:spacing w:line="360" w:lineRule="auto"/>
        <w:jc w:val="center"/>
        <w:outlineLvl w:val="9"/>
        <w:rPr>
          <w:rFonts w:asciiTheme="minorEastAsia" w:hAnsiTheme="minorEastAsia" w:eastAsiaTheme="minorEastAsia"/>
          <w:b/>
          <w:bCs/>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pPr>
        <w:snapToGrid w:val="0"/>
        <w:spacing w:line="360" w:lineRule="auto"/>
        <w:rPr>
          <w:rFonts w:asciiTheme="minorEastAsia" w:hAnsiTheme="minorEastAsia" w:eastAsiaTheme="minorEastAsia"/>
          <w:b/>
          <w:bCs/>
          <w:color w:val="auto"/>
          <w:szCs w:val="21"/>
          <w:highlight w:val="none"/>
        </w:rPr>
      </w:pPr>
    </w:p>
    <w:p>
      <w:pPr>
        <w:snapToGrid w:val="0"/>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资信技术文件</w:t>
      </w: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7"/>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7"/>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商务报价文件</w:t>
      </w:r>
    </w:p>
    <w:p>
      <w:pPr>
        <w:snapToGrid w:val="0"/>
        <w:spacing w:line="360" w:lineRule="auto"/>
        <w:rPr>
          <w:rFonts w:asciiTheme="minorEastAsia" w:hAnsiTheme="minorEastAsia" w:eastAsiaTheme="minorEastAsia"/>
          <w:bCs/>
          <w:color w:val="auto"/>
          <w:szCs w:val="21"/>
          <w:highlight w:val="none"/>
        </w:rPr>
      </w:pP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1050" w:firstLineChars="5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7"/>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7"/>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pacing w:line="360" w:lineRule="auto"/>
        <w:rPr>
          <w:rFonts w:asciiTheme="minorEastAsia" w:hAnsiTheme="minorEastAsia" w:eastAsiaTheme="minorEastAsia"/>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pStyle w:val="2"/>
        <w:ind w:firstLine="404"/>
        <w:rPr>
          <w:color w:val="auto"/>
          <w:highlight w:val="none"/>
        </w:rPr>
      </w:pPr>
    </w:p>
    <w:p>
      <w:pPr>
        <w:pStyle w:val="2"/>
        <w:ind w:firstLine="404"/>
        <w:rPr>
          <w:color w:val="auto"/>
          <w:highlight w:val="none"/>
        </w:rPr>
      </w:pPr>
    </w:p>
    <w:p>
      <w:pPr>
        <w:pStyle w:val="2"/>
        <w:ind w:firstLine="404"/>
        <w:rPr>
          <w:color w:val="auto"/>
          <w:highlight w:val="none"/>
        </w:rPr>
      </w:pPr>
    </w:p>
    <w:p>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嘉兴市秀洲区人民政府新城街道办事处</w:t>
      </w:r>
    </w:p>
    <w:p>
      <w:pPr>
        <w:snapToGrid w:val="0"/>
        <w:spacing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pPr>
        <w:snapToGrid w:val="0"/>
        <w:spacing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我（姓名）系（投标人名称）的法定代表人，我方愿意参加贵方组织的的投标，为便于贵方公正、择优地确定中标人及其投标产品和服务，我方就本次投标有关事项郑重声明如下：</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我方不是招标单位的附属机构；在获知本项目采购信息后，与招标单位聘请的为此项目提供咨询服务的公司及其附属机构没有任何联系。</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3.我方承诺具有履行合同所必需的设备和专业技术能力； </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 我方承诺具有良好的商业信誉和健全的财务会计制度；（附财务报表）（格式自拟） </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5.我方承诺有依法缴纳税收和社会保障资金的良好记录；（附依法缴纳税费或依法免缴税费的证明）（格式自拟） </w:t>
      </w:r>
    </w:p>
    <w:p>
      <w:pPr>
        <w:snapToGrid w:val="0"/>
        <w:spacing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6.我方承诺参加政府采购活动前三年内，在经营活动中没有重大违法记录；（若有，请如实填写；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pPr>
        <w:snapToGrid w:val="0"/>
        <w:spacing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pPr>
        <w:spacing w:line="360" w:lineRule="auto"/>
        <w:ind w:firstLine="527" w:firstLineChars="250"/>
        <w:jc w:val="center"/>
        <w:rPr>
          <w:rFonts w:asciiTheme="minorEastAsia" w:hAnsiTheme="minorEastAsia" w:eastAsiaTheme="minorEastAsia"/>
          <w:b/>
          <w:color w:val="auto"/>
          <w:szCs w:val="21"/>
          <w:highlight w:val="none"/>
        </w:rPr>
      </w:pPr>
    </w:p>
    <w:p>
      <w:pPr>
        <w:spacing w:beforeLines="50" w:line="360" w:lineRule="auto"/>
        <w:ind w:firstLine="1500" w:firstLineChars="60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pStyle w:val="28"/>
        <w:snapToGrid w:val="0"/>
        <w:spacing w:beforeLines="0" w:afterLines="0" w:line="360" w:lineRule="auto"/>
        <w:rPr>
          <w:rFonts w:asciiTheme="minorEastAsia" w:hAnsiTheme="minorEastAsia" w:eastAsiaTheme="minorEastAsia"/>
          <w:color w:val="auto"/>
          <w:sz w:val="21"/>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2"/>
        <w:ind w:firstLine="404"/>
        <w:rPr>
          <w:color w:val="auto"/>
          <w:highlight w:val="none"/>
        </w:rPr>
      </w:pPr>
    </w:p>
    <w:p>
      <w:pPr>
        <w:pStyle w:val="2"/>
        <w:ind w:firstLine="404"/>
        <w:rPr>
          <w:color w:val="auto"/>
          <w:highlight w:val="none"/>
        </w:rPr>
      </w:pPr>
    </w:p>
    <w:p>
      <w:pPr>
        <w:pStyle w:val="2"/>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pPr>
        <w:pStyle w:val="2"/>
        <w:spacing w:line="360" w:lineRule="auto"/>
        <w:ind w:firstLine="404"/>
        <w:rPr>
          <w:color w:val="auto"/>
          <w:highlight w:val="none"/>
        </w:rPr>
      </w:pPr>
    </w:p>
    <w:p>
      <w:pPr>
        <w:snapToGrid w:val="0"/>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嘉兴市秀洲区人民政府新城街道办事处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（招标采购单位名称）：</w:t>
      </w:r>
    </w:p>
    <w:p>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新城街道部分区域绿化养护项目</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pPr>
        <w:snapToGrid w:val="0"/>
        <w:spacing w:line="360" w:lineRule="auto"/>
        <w:rPr>
          <w:rFonts w:asciiTheme="minorEastAsia" w:hAnsiTheme="minorEastAsia" w:eastAsiaTheme="minorEastAsia"/>
          <w:color w:val="auto"/>
          <w:szCs w:val="21"/>
          <w:highlight w:val="none"/>
        </w:rPr>
      </w:pPr>
    </w:p>
    <w:p>
      <w:pPr>
        <w:snapToGrid w:val="0"/>
        <w:spacing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pPr>
        <w:snapToGrid w:val="0"/>
        <w:spacing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pPr>
        <w:snapToGrid w:val="0"/>
        <w:spacing w:beforeLines="50" w:after="50" w:line="360" w:lineRule="auto"/>
        <w:rPr>
          <w:rFonts w:asciiTheme="minorEastAsia" w:hAnsiTheme="minorEastAsia" w:eastAsiaTheme="minorEastAsia"/>
          <w:color w:val="auto"/>
          <w:szCs w:val="21"/>
          <w:highlight w:val="none"/>
        </w:rPr>
      </w:pPr>
    </w:p>
    <w:p>
      <w:pPr>
        <w:snapToGrid w:val="0"/>
        <w:spacing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200"/>
        <w:jc w:val="right"/>
        <w:rPr>
          <w:rFonts w:asciiTheme="minorEastAsia" w:hAnsiTheme="minorEastAsia" w:eastAsiaTheme="minorEastAsia"/>
          <w:color w:val="auto"/>
          <w:szCs w:val="21"/>
          <w:highlight w:val="none"/>
          <w:u w:val="single"/>
        </w:rPr>
      </w:pPr>
    </w:p>
    <w:p>
      <w:pPr>
        <w:spacing w:beforeLines="50" w:line="360" w:lineRule="auto"/>
        <w:rPr>
          <w:rFonts w:asciiTheme="minorEastAsia" w:hAnsiTheme="minorEastAsia" w:eastAsiaTheme="minorEastAsia"/>
          <w:color w:val="auto"/>
          <w:szCs w:val="21"/>
          <w:highlight w:val="none"/>
        </w:rPr>
      </w:pP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napToGrid w:val="0"/>
        <w:spacing w:line="360" w:lineRule="auto"/>
        <w:ind w:firstLine="210" w:firstLineChars="100"/>
        <w:jc w:val="righ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2"/>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pPr>
        <w:spacing w:line="360" w:lineRule="auto"/>
        <w:rPr>
          <w:rFonts w:asciiTheme="minorEastAsia" w:hAnsiTheme="minorEastAsia" w:eastAsiaTheme="minorEastAsia"/>
          <w:color w:val="auto"/>
          <w:szCs w:val="21"/>
          <w:highlight w:val="none"/>
        </w:rPr>
      </w:pP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lang w:eastAsia="zh-CN"/>
        </w:rPr>
        <w:t>嘉兴市秀洲区人民政府新城街道办事处</w:t>
      </w:r>
    </w:p>
    <w:p>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新城街道部分区域绿化养护项目</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2、有效期内的法人营业执照副本复印件（加盖公章）、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pPr>
        <w:spacing w:beforeLines="50" w:line="360" w:lineRule="auto"/>
        <w:ind w:firstLine="2750" w:firstLineChars="1100"/>
        <w:rPr>
          <w:rFonts w:asciiTheme="minorEastAsia" w:hAnsiTheme="minorEastAsia" w:eastAsiaTheme="minorEastAsia"/>
          <w:color w:val="auto"/>
          <w:spacing w:val="20"/>
          <w:szCs w:val="21"/>
          <w:highlight w:val="none"/>
        </w:rPr>
      </w:pPr>
    </w:p>
    <w:p>
      <w:pPr>
        <w:spacing w:beforeLines="50" w:line="360" w:lineRule="auto"/>
        <w:ind w:firstLine="2750" w:firstLineChars="1100"/>
        <w:rPr>
          <w:rFonts w:asciiTheme="minorEastAsia" w:hAnsiTheme="minorEastAsia" w:eastAsiaTheme="minorEastAsia"/>
          <w:color w:val="auto"/>
          <w:spacing w:val="20"/>
          <w:szCs w:val="21"/>
          <w:highlight w:val="none"/>
        </w:rPr>
      </w:pPr>
    </w:p>
    <w:p>
      <w:pPr>
        <w:spacing w:beforeLines="50" w:line="360" w:lineRule="auto"/>
        <w:ind w:firstLine="2750" w:firstLineChars="110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8"/>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pPr>
              <w:spacing w:line="360" w:lineRule="auto"/>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资产总额</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净资产</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是否参加社保</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7960" w:type="dxa"/>
            <w:gridSpan w:val="4"/>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pPr>
        <w:spacing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pPr>
        <w:snapToGrid w:val="0"/>
        <w:spacing w:line="360" w:lineRule="auto"/>
        <w:rPr>
          <w:rFonts w:asciiTheme="minorEastAsia" w:hAnsiTheme="minorEastAsia" w:eastAsiaTheme="minorEastAsia"/>
          <w:b/>
          <w:color w:val="auto"/>
          <w:spacing w:val="20"/>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8"/>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bl>
    <w:p>
      <w:pPr>
        <w:pStyle w:val="28"/>
        <w:tabs>
          <w:tab w:val="left" w:pos="1200"/>
        </w:tabs>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注：1、以上项目须提供合同复印件加盖单位公章.</w:t>
      </w:r>
    </w:p>
    <w:p>
      <w:pPr>
        <w:pStyle w:val="28"/>
        <w:tabs>
          <w:tab w:val="left" w:pos="1200"/>
        </w:tabs>
        <w:spacing w:before="120" w:after="12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pStyle w:val="2"/>
        <w:ind w:firstLine="404"/>
        <w:rPr>
          <w:color w:val="auto"/>
          <w:highlight w:val="none"/>
        </w:rPr>
      </w:pP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2321"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名称</w:t>
            </w:r>
          </w:p>
        </w:tc>
        <w:tc>
          <w:tcPr>
            <w:tcW w:w="1900"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获得时间</w:t>
            </w:r>
          </w:p>
        </w:tc>
        <w:tc>
          <w:tcPr>
            <w:tcW w:w="1477"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认证机构</w:t>
            </w:r>
          </w:p>
        </w:tc>
        <w:tc>
          <w:tcPr>
            <w:tcW w:w="1796"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p>
        </w:tc>
        <w:tc>
          <w:tcPr>
            <w:tcW w:w="2321" w:type="dxa"/>
          </w:tcPr>
          <w:p>
            <w:pPr>
              <w:spacing w:line="360" w:lineRule="auto"/>
              <w:jc w:val="center"/>
              <w:rPr>
                <w:rFonts w:asciiTheme="minorEastAsia" w:hAnsiTheme="minorEastAsia" w:eastAsiaTheme="minorEastAsia"/>
                <w:bCs/>
                <w:color w:val="auto"/>
                <w:szCs w:val="21"/>
                <w:highlight w:val="none"/>
              </w:rPr>
            </w:pPr>
          </w:p>
        </w:tc>
        <w:tc>
          <w:tcPr>
            <w:tcW w:w="1900" w:type="dxa"/>
          </w:tcPr>
          <w:p>
            <w:pPr>
              <w:spacing w:line="360" w:lineRule="auto"/>
              <w:jc w:val="center"/>
              <w:rPr>
                <w:rFonts w:asciiTheme="minorEastAsia" w:hAnsiTheme="minorEastAsia" w:eastAsiaTheme="minorEastAsia"/>
                <w:bCs/>
                <w:color w:val="auto"/>
                <w:szCs w:val="21"/>
                <w:highlight w:val="none"/>
              </w:rPr>
            </w:pPr>
          </w:p>
        </w:tc>
        <w:tc>
          <w:tcPr>
            <w:tcW w:w="1477" w:type="dxa"/>
          </w:tcPr>
          <w:p>
            <w:pPr>
              <w:spacing w:line="360" w:lineRule="auto"/>
              <w:jc w:val="center"/>
              <w:rPr>
                <w:rFonts w:asciiTheme="minorEastAsia" w:hAnsiTheme="minorEastAsia" w:eastAsiaTheme="minorEastAsia"/>
                <w:bCs/>
                <w:color w:val="auto"/>
                <w:szCs w:val="21"/>
                <w:highlight w:val="none"/>
              </w:rPr>
            </w:pPr>
          </w:p>
        </w:tc>
        <w:tc>
          <w:tcPr>
            <w:tcW w:w="1796" w:type="dxa"/>
          </w:tcPr>
          <w:p>
            <w:pPr>
              <w:spacing w:line="360" w:lineRule="auto"/>
              <w:jc w:val="center"/>
              <w:rPr>
                <w:rFonts w:asciiTheme="minorEastAsia" w:hAnsiTheme="minorEastAsia" w:eastAsiaTheme="minorEastAsia"/>
                <w:bCs/>
                <w:color w:val="auto"/>
                <w:szCs w:val="21"/>
                <w:highlight w:val="none"/>
              </w:rPr>
            </w:pPr>
          </w:p>
        </w:tc>
      </w:tr>
    </w:tbl>
    <w:p>
      <w:pPr>
        <w:pStyle w:val="28"/>
        <w:tabs>
          <w:tab w:val="left" w:pos="1200"/>
        </w:tabs>
        <w:spacing w:before="120" w:after="120" w:line="360" w:lineRule="auto"/>
        <w:ind w:left="886" w:leftChars="22" w:hanging="840" w:hanging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注：1、以上项目须提供证书复印件加盖单位公章。</w:t>
      </w:r>
      <w:bookmarkStart w:id="114" w:name="OLE_LINK7"/>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w:t>
      </w:r>
      <w:bookmarkEnd w:id="114"/>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项目组人员配置表（附件7）</w:t>
      </w:r>
    </w:p>
    <w:tbl>
      <w:tblPr>
        <w:tblStyle w:val="48"/>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r>
    </w:tbl>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pPr>
        <w:adjustRightInd w:val="0"/>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2、注册证书、学历证书、职称证书、社保证明等资料复印件加盖单位公章附后。</w:t>
      </w:r>
    </w:p>
    <w:p>
      <w:pPr>
        <w:snapToGrid w:val="0"/>
        <w:spacing w:line="360" w:lineRule="auto"/>
        <w:ind w:firstLine="200"/>
        <w:jc w:val="right"/>
        <w:rPr>
          <w:rFonts w:asciiTheme="minorEastAsia" w:hAnsiTheme="minorEastAsia" w:eastAsiaTheme="minorEastAsia"/>
          <w:color w:val="auto"/>
          <w:szCs w:val="21"/>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p>
    <w:p>
      <w:pPr>
        <w:pStyle w:val="2"/>
        <w:spacing w:line="360" w:lineRule="auto"/>
        <w:ind w:firstLine="404"/>
        <w:rPr>
          <w:color w:val="auto"/>
          <w:highlight w:val="none"/>
        </w:rPr>
      </w:pPr>
    </w:p>
    <w:p>
      <w:pPr>
        <w:pStyle w:val="2"/>
        <w:spacing w:line="360" w:lineRule="auto"/>
        <w:ind w:firstLine="404"/>
        <w:rPr>
          <w:color w:val="auto"/>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8"/>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产地</w:t>
            </w:r>
          </w:p>
        </w:tc>
        <w:tc>
          <w:tcPr>
            <w:tcW w:w="1076" w:type="dxa"/>
            <w:tcBorders>
              <w:top w:val="single" w:color="auto" w:sz="4" w:space="0"/>
              <w:left w:val="single" w:color="auto" w:sz="4" w:space="0"/>
              <w:bottom w:val="single" w:color="auto" w:sz="2" w:space="0"/>
              <w:right w:val="single" w:color="auto" w:sz="4" w:space="0"/>
            </w:tcBorders>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Cs w:val="21"/>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pPr>
              <w:snapToGrid w:val="0"/>
              <w:spacing w:line="360" w:lineRule="auto"/>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pPr>
              <w:snapToGrid w:val="0"/>
              <w:spacing w:line="360" w:lineRule="auto"/>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2" w:space="0"/>
              <w:right w:val="single" w:color="auto" w:sz="6" w:space="0"/>
            </w:tcBorders>
          </w:tcPr>
          <w:p>
            <w:pPr>
              <w:snapToGrid w:val="0"/>
              <w:spacing w:line="360" w:lineRule="auto"/>
              <w:rPr>
                <w:rFonts w:ascii="微软雅黑" w:hAnsi="微软雅黑" w:eastAsia="微软雅黑"/>
                <w:color w:val="auto"/>
                <w:szCs w:val="21"/>
                <w:highlight w:val="none"/>
              </w:rPr>
            </w:pPr>
          </w:p>
        </w:tc>
      </w:tr>
    </w:tbl>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pPr>
        <w:pStyle w:val="28"/>
        <w:snapToGrid w:val="0"/>
        <w:spacing w:beforeLines="0" w:afterLines="0" w:line="360" w:lineRule="auto"/>
        <w:jc w:val="center"/>
        <w:rPr>
          <w:rFonts w:hAnsi="宋体"/>
          <w:b/>
          <w:color w:val="auto"/>
          <w:sz w:val="21"/>
          <w:szCs w:val="21"/>
          <w:highlight w:val="none"/>
        </w:rPr>
      </w:pPr>
      <w:r>
        <w:rPr>
          <w:rFonts w:hint="eastAsia" w:asciiTheme="minorEastAsia" w:hAnsiTheme="minorEastAsia" w:eastAsiaTheme="minorEastAsia"/>
          <w:b/>
          <w:color w:val="auto"/>
          <w:sz w:val="21"/>
          <w:szCs w:val="21"/>
          <w:highlight w:val="none"/>
        </w:rPr>
        <w:t>中小企业声明函</w:t>
      </w:r>
      <w:r>
        <w:rPr>
          <w:rFonts w:hint="eastAsia" w:hAnsi="宋体"/>
          <w:b/>
          <w:bCs/>
          <w:color w:val="auto"/>
          <w:sz w:val="21"/>
          <w:szCs w:val="21"/>
          <w:highlight w:val="none"/>
        </w:rPr>
        <w:t>（工程、服务）</w:t>
      </w:r>
    </w:p>
    <w:p>
      <w:pPr>
        <w:pStyle w:val="28"/>
        <w:snapToGrid w:val="0"/>
        <w:spacing w:beforeLines="0"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（附件9）</w:t>
      </w:r>
    </w:p>
    <w:p>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pPr>
        <w:widowControl/>
        <w:spacing w:line="360" w:lineRule="auto"/>
        <w:ind w:left="420" w:left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，从业人员人，营业收入为万元，资产总额为万元1，属于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spacing w:line="360" w:lineRule="auto"/>
        <w:ind w:firstLine="4515" w:firstLineChars="2150"/>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pPr>
        <w:pStyle w:val="28"/>
        <w:spacing w:beforeLines="0" w:afterLines="0" w:line="360" w:lineRule="auto"/>
        <w:ind w:firstLine="420"/>
        <w:jc w:val="center"/>
        <w:outlineLvl w:val="3"/>
        <w:rPr>
          <w:rFonts w:hAnsi="宋体"/>
          <w:color w:val="auto"/>
          <w:spacing w:val="20"/>
          <w:sz w:val="21"/>
          <w:szCs w:val="21"/>
          <w:highlight w:val="none"/>
        </w:rPr>
      </w:pPr>
      <w:r>
        <w:rPr>
          <w:rFonts w:hint="eastAsia" w:hAnsi="宋体"/>
          <w:color w:val="auto"/>
          <w:spacing w:val="20"/>
          <w:sz w:val="21"/>
          <w:szCs w:val="21"/>
          <w:highlight w:val="none"/>
        </w:rPr>
        <w:t xml:space="preserve">             日     期：</w:t>
      </w:r>
    </w:p>
    <w:p>
      <w:pPr>
        <w:widowControl/>
        <w:spacing w:line="360" w:lineRule="auto"/>
        <w:jc w:val="left"/>
        <w:rPr>
          <w:rFonts w:asciiTheme="minorEastAsia" w:hAnsiTheme="minorEastAsia" w:eastAsiaTheme="minorEastAsia"/>
          <w:b/>
          <w:color w:val="auto"/>
          <w:szCs w:val="21"/>
          <w:highlight w:val="none"/>
        </w:rPr>
      </w:pPr>
    </w:p>
    <w:p>
      <w:pPr>
        <w:widowControl/>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w:t>
      </w:r>
    </w:p>
    <w:p>
      <w:pPr>
        <w:widowControl/>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（附件10）</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5625" w:firstLineChars="225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投标人盖章：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pPr>
        <w:snapToGrid w:val="0"/>
        <w:spacing w:line="360" w:lineRule="auto"/>
        <w:rPr>
          <w:rFonts w:asciiTheme="minorEastAsia" w:hAnsiTheme="minorEastAsia" w:eastAsiaTheme="minorEastAsia"/>
          <w:color w:val="auto"/>
          <w:spacing w:val="20"/>
          <w:szCs w:val="21"/>
          <w:highlight w:val="none"/>
        </w:rPr>
      </w:pPr>
    </w:p>
    <w:p>
      <w:pPr>
        <w:pStyle w:val="2"/>
        <w:spacing w:line="360" w:lineRule="auto"/>
        <w:ind w:left="0" w:leftChars="0" w:firstLine="0" w:firstLineChars="0"/>
        <w:rPr>
          <w:rFonts w:hAnsi="宋体"/>
          <w:b/>
          <w:bCs/>
          <w:color w:val="auto"/>
          <w:szCs w:val="21"/>
          <w:highlight w:val="none"/>
        </w:rPr>
      </w:pPr>
    </w:p>
    <w:p>
      <w:pPr>
        <w:pStyle w:val="2"/>
        <w:spacing w:line="360" w:lineRule="auto"/>
        <w:ind w:left="0" w:leftChars="0" w:firstLine="0" w:firstLineChars="0"/>
        <w:rPr>
          <w:rFonts w:hAnsi="宋体"/>
          <w:b/>
          <w:bCs/>
          <w:color w:val="auto"/>
          <w:szCs w:val="21"/>
          <w:highlight w:val="none"/>
        </w:rPr>
      </w:pPr>
    </w:p>
    <w:p>
      <w:pPr>
        <w:pStyle w:val="2"/>
        <w:spacing w:line="360" w:lineRule="auto"/>
        <w:ind w:left="0" w:leftChars="0" w:firstLine="0" w:firstLineChars="0"/>
        <w:rPr>
          <w:rFonts w:hAnsi="宋体"/>
          <w:b/>
          <w:bCs/>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pPr>
        <w:adjustRightInd w:val="0"/>
        <w:snapToGri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嘉兴市秀洲区人民政府新城街道办事处</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根据贵方为的</w:t>
      </w:r>
      <w:r>
        <w:rPr>
          <w:rFonts w:hint="eastAsia" w:asciiTheme="minorEastAsia" w:hAnsiTheme="minorEastAsia" w:eastAsiaTheme="minorEastAsia"/>
          <w:color w:val="auto"/>
          <w:szCs w:val="21"/>
          <w:highlight w:val="none"/>
          <w:u w:val="single"/>
          <w:lang w:eastAsia="zh-CN"/>
        </w:rPr>
        <w:t>新城街道部分区域绿化养护项目</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，签字代表____________________（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pPr>
        <w:spacing w:beforeLines="50" w:line="360" w:lineRule="auto"/>
        <w:ind w:firstLine="1375" w:firstLineChars="550"/>
        <w:rPr>
          <w:rFonts w:asciiTheme="minorEastAsia" w:hAnsiTheme="minorEastAsia" w:eastAsiaTheme="minorEastAsia"/>
          <w:color w:val="auto"/>
          <w:spacing w:val="20"/>
          <w:szCs w:val="21"/>
          <w:highlight w:val="none"/>
        </w:rPr>
      </w:pPr>
    </w:p>
    <w:p>
      <w:pPr>
        <w:spacing w:beforeLines="50" w:line="360" w:lineRule="auto"/>
        <w:ind w:firstLine="1375" w:firstLineChars="55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spacing w:line="360" w:lineRule="auto"/>
        <w:ind w:firstLine="527" w:firstLineChars="250"/>
        <w:jc w:val="center"/>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2"/>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开标一览表（附件12）</w:t>
      </w:r>
    </w:p>
    <w:p>
      <w:pPr>
        <w:adjustRightInd w:val="0"/>
        <w:spacing w:line="360" w:lineRule="auto"/>
        <w:jc w:val="center"/>
        <w:rPr>
          <w:rFonts w:cs="Arial" w:asciiTheme="minorEastAsia" w:hAnsiTheme="minorEastAsia" w:eastAsiaTheme="minorEastAsia"/>
          <w:color w:val="auto"/>
          <w:szCs w:val="21"/>
          <w:highlight w:val="none"/>
        </w:rPr>
      </w:pPr>
    </w:p>
    <w:tbl>
      <w:tblPr>
        <w:tblStyle w:val="48"/>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22"/>
        <w:gridCol w:w="204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2222"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投标报价（万元）</w:t>
            </w:r>
          </w:p>
        </w:tc>
        <w:tc>
          <w:tcPr>
            <w:tcW w:w="2046"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1807"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lang w:eastAsia="zh-CN"/>
              </w:rPr>
              <w:t>新城街道部分区域绿化养护项目</w:t>
            </w:r>
          </w:p>
        </w:tc>
        <w:tc>
          <w:tcPr>
            <w:tcW w:w="2222"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2046"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807" w:type="dxa"/>
            <w:vAlign w:val="center"/>
          </w:tcPr>
          <w:p>
            <w:pPr>
              <w:adjustRightIn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b/>
                <w:bCs/>
                <w:color w:val="auto"/>
                <w:szCs w:val="21"/>
                <w:highlight w:val="none"/>
                <w:lang w:eastAsia="zh-CN"/>
              </w:rPr>
              <w:t>（填标段一或标段二或标段三）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人民币大写：                               </w:t>
            </w:r>
          </w:p>
        </w:tc>
      </w:tr>
    </w:tbl>
    <w:p>
      <w:pPr>
        <w:spacing w:line="360" w:lineRule="auto"/>
        <w:rPr>
          <w:rFonts w:asciiTheme="minorEastAsia" w:hAnsiTheme="minorEastAsia" w:eastAsiaTheme="minorEastAsia"/>
          <w:b/>
          <w:color w:val="auto"/>
          <w:szCs w:val="21"/>
          <w:highlight w:val="none"/>
        </w:rPr>
      </w:pPr>
    </w:p>
    <w:p>
      <w:pPr>
        <w:adjustRightInd w:val="0"/>
        <w:spacing w:line="360" w:lineRule="auto"/>
        <w:rPr>
          <w:rFonts w:asciiTheme="minorEastAsia" w:hAnsiTheme="minorEastAsia" w:eastAsiaTheme="minorEastAsia"/>
          <w:color w:val="auto"/>
          <w:szCs w:val="21"/>
          <w:highlight w:val="none"/>
        </w:rPr>
      </w:pPr>
    </w:p>
    <w:p>
      <w:pPr>
        <w:spacing w:beforeLines="50" w:line="360" w:lineRule="auto"/>
        <w:ind w:firstLine="1375" w:firstLineChars="55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pStyle w:val="2"/>
        <w:spacing w:line="360" w:lineRule="auto"/>
        <w:ind w:firstLine="404"/>
        <w:rPr>
          <w:color w:val="auto"/>
          <w:highlight w:val="none"/>
        </w:rPr>
      </w:pPr>
    </w:p>
    <w:p>
      <w:pPr>
        <w:spacing w:line="360" w:lineRule="auto"/>
        <w:jc w:val="center"/>
        <w:rPr>
          <w:rFonts w:hint="eastAsia" w:ascii="宋体" w:hAnsi="宋体"/>
          <w:b/>
          <w:color w:val="auto"/>
          <w:spacing w:val="20"/>
          <w:szCs w:val="21"/>
          <w:highlight w:val="none"/>
        </w:rPr>
      </w:pPr>
      <w:r>
        <w:rPr>
          <w:rFonts w:hint="eastAsia" w:ascii="宋体" w:hAnsi="宋体"/>
          <w:b/>
          <w:color w:val="auto"/>
          <w:spacing w:val="20"/>
          <w:szCs w:val="21"/>
          <w:highlight w:val="none"/>
        </w:rPr>
        <w:t>分项报价明</w:t>
      </w:r>
      <w:bookmarkStart w:id="115" w:name="_GoBack"/>
      <w:bookmarkEnd w:id="115"/>
      <w:r>
        <w:rPr>
          <w:rFonts w:hint="eastAsia" w:ascii="宋体" w:hAnsi="宋体"/>
          <w:b/>
          <w:color w:val="auto"/>
          <w:spacing w:val="20"/>
          <w:szCs w:val="21"/>
          <w:highlight w:val="none"/>
        </w:rPr>
        <w:t>细表</w:t>
      </w:r>
    </w:p>
    <w:tbl>
      <w:tblPr>
        <w:tblStyle w:val="48"/>
        <w:tblpPr w:leftFromText="180" w:rightFromText="180" w:vertAnchor="text" w:horzAnchor="page" w:tblpX="1577" w:tblpY="868"/>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4108"/>
        <w:gridCol w:w="570"/>
        <w:gridCol w:w="1206"/>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45"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一标段养护工程量清单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1、种类：行道树Φ20-25cm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219795.46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2、单位面积株数：64株/㎡，一年种五季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4、含场地整理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1897.07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1、种类：月季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2、单位面积株数：6株/盆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trPr>
        <w:tc>
          <w:tcPr>
            <w:tcW w:w="13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1、种类：时令草花（精品苗木）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2、单位面积株数：一组花箱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4、元旦：一叶兰（18株）、一品红（10株）、雏菊（8株）、花叶蔓L40（36株）（红、粉色系）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5、五.一：一叶兰（18株）、羽扇豆（8株）、蓝花鼠尾草（14株）、金叶番薯藤（24株）（蓝色系）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6、七.一：变叶木H45P30（4株）、天竺葵（8株）、秋海棠（8株）、金叶番薯藤L40（24株）（红、粉色系）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7、中秋、国庆：变叶木H45P30（4株）、一串红（14株）、万寿菊（8株）、花叶蔓L40（36株）（红、黄色系）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8、不限于上述品种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9、轻质种植基质（泥炭30%、园土40%、珍珠岩10%、蛭石10%、有机肥10%）约0.24m³/组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花箱修复或更换</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1、高密度PVC材料花盆；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2、黑色内镜PVC雕刻件；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3、黑色PVC底座表面烤漆；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4、高花箱590*590*950mm；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5、矮花箱490*490*725mm；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6、两个为一组，参考效果图及实地踏勘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7、损坏的修复、损毁的更换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226658.53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4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default"/>
                <w:color w:val="auto"/>
                <w:highlight w:val="none"/>
                <w:lang w:val="en-US"/>
              </w:rPr>
            </w:pPr>
            <w:r>
              <w:rPr>
                <w:rFonts w:hint="eastAsia"/>
                <w:b/>
                <w:bCs/>
                <w:color w:val="auto"/>
                <w:highlight w:val="none"/>
                <w:lang w:val="en-US" w:eastAsia="zh-CN"/>
              </w:rPr>
              <w:t>5.多标段投标的仅须提供该标段的投标报价。</w:t>
            </w:r>
          </w:p>
        </w:tc>
      </w:tr>
    </w:tbl>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tbl>
      <w:tblPr>
        <w:tblStyle w:val="4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4125"/>
        <w:gridCol w:w="600"/>
        <w:gridCol w:w="1005"/>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65"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二标段养护工程量清单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1、种类：行道树Φ20-25cm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1、种类：时令草花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2、单位面积株数：64株/㎡，一年种五季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栽植花卉</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1、种类：月季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2、单位面积株数：6株/盆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1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eastAsia"/>
                <w:color w:val="auto"/>
                <w:highlight w:val="none"/>
              </w:rPr>
            </w:pPr>
            <w:r>
              <w:rPr>
                <w:rFonts w:hint="eastAsia"/>
                <w:b/>
                <w:bCs/>
                <w:color w:val="auto"/>
                <w:highlight w:val="none"/>
                <w:lang w:val="en-US" w:eastAsia="zh-CN"/>
              </w:rPr>
              <w:t>5.多标段投标的仅须提供该标段的投标报价。</w:t>
            </w:r>
          </w:p>
        </w:tc>
      </w:tr>
    </w:tbl>
    <w:p>
      <w:pPr>
        <w:rPr>
          <w:rFonts w:hint="eastAsia"/>
          <w:color w:val="auto"/>
          <w:highlight w:val="none"/>
          <w:lang w:eastAsia="zh-CN"/>
        </w:rPr>
      </w:pPr>
      <w:r>
        <w:rPr>
          <w:rFonts w:hint="eastAsia"/>
          <w:color w:val="auto"/>
          <w:highlight w:val="none"/>
          <w:lang w:eastAsia="zh-CN"/>
        </w:rPr>
        <w:br w:type="page"/>
      </w:r>
    </w:p>
    <w:tbl>
      <w:tblPr>
        <w:tblStyle w:val="4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4125"/>
        <w:gridCol w:w="615"/>
        <w:gridCol w:w="1035"/>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10" w:type="dxa"/>
            <w:gridSpan w:val="6"/>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三标段养护工程量清单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养护内容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合价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绿地养护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1、种类：绿地养护，含乔灌木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3、含场地整理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水域养护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1、种类：水域养护，含水生植物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2、养护期：一年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铺装修复养护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1、铺装松动、下陷、不平整、损坏等；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2、原样修复（同材质、色系、工艺等）；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3、原有面层、粘结层、基层拆除及废弃料外运等；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4、基层、粘结层、面层原样修复所需全部内容。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1、区域内保洁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2、保洁标准按建设单位要求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204598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区域范围内的路灯、公园器械、坐凳、座椅等相关设施的维修更换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全费用合计金额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21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highlight w:val="none"/>
                <w:lang w:val="en-US" w:eastAsia="zh-CN"/>
              </w:rPr>
            </w:pPr>
            <w:r>
              <w:rPr>
                <w:rFonts w:hint="eastAsia"/>
                <w:color w:val="auto"/>
                <w:highlight w:val="none"/>
                <w:lang w:val="en-US" w:eastAsia="zh-CN"/>
              </w:rPr>
              <w:t xml:space="preserve">注: </w:t>
            </w:r>
            <w:r>
              <w:rPr>
                <w:rFonts w:hint="eastAsia"/>
                <w:color w:val="auto"/>
                <w:highlight w:val="none"/>
                <w:lang w:val="en-US" w:eastAsia="zh-CN"/>
              </w:rPr>
              <w:br w:type="textWrapping"/>
            </w:r>
            <w:r>
              <w:rPr>
                <w:rFonts w:hint="eastAsia"/>
                <w:color w:val="auto"/>
                <w:highlight w:val="none"/>
                <w:lang w:val="en-US" w:eastAsia="zh-CN"/>
              </w:rPr>
              <w:t>1.投标报价为1年全费用综合总价(含规费、税金及养护期内所有苗木绿化缺损、坏死补植)等一切费用，报价包含了人工费、材料费、机械费、利润、税金、其他风险费等一切费用，今后一律不得调整，请投标单位综合考虑自身实力以及市场材料、人工费等一切风险。</w:t>
            </w:r>
            <w:r>
              <w:rPr>
                <w:rFonts w:hint="eastAsia"/>
                <w:color w:val="auto"/>
                <w:highlight w:val="none"/>
                <w:lang w:val="en-US" w:eastAsia="zh-CN"/>
              </w:rPr>
              <w:br w:type="textWrapping"/>
            </w:r>
            <w:r>
              <w:rPr>
                <w:rFonts w:hint="eastAsia"/>
                <w:color w:val="auto"/>
                <w:highlight w:val="none"/>
                <w:lang w:val="en-US" w:eastAsia="zh-CN"/>
              </w:rPr>
              <w:t>2.超过上述单价上限价的投标报价不被接受。</w:t>
            </w:r>
            <w:r>
              <w:rPr>
                <w:rFonts w:hint="eastAsia"/>
                <w:color w:val="auto"/>
                <w:highlight w:val="none"/>
                <w:lang w:val="en-US" w:eastAsia="zh-CN"/>
              </w:rPr>
              <w:br w:type="textWrapping"/>
            </w:r>
            <w:r>
              <w:rPr>
                <w:rFonts w:hint="eastAsia"/>
                <w:color w:val="auto"/>
                <w:highlight w:val="none"/>
                <w:lang w:val="en-US" w:eastAsia="zh-CN"/>
              </w:rPr>
              <w:t>3.所有工程量按实际发生量核算。</w:t>
            </w:r>
            <w:r>
              <w:rPr>
                <w:rFonts w:hint="eastAsia"/>
                <w:color w:val="auto"/>
                <w:highlight w:val="none"/>
                <w:lang w:val="en-US" w:eastAsia="zh-CN"/>
              </w:rPr>
              <w:br w:type="textWrapping"/>
            </w:r>
            <w:r>
              <w:rPr>
                <w:rFonts w:hint="eastAsia"/>
                <w:color w:val="auto"/>
                <w:highlight w:val="none"/>
                <w:lang w:val="en-US" w:eastAsia="zh-CN"/>
              </w:rPr>
              <w:t>4.本工程养护提升要求详见后附招标要求。</w:t>
            </w:r>
          </w:p>
          <w:p>
            <w:pPr>
              <w:keepNext w:val="0"/>
              <w:keepLines w:val="0"/>
              <w:widowControl/>
              <w:suppressLineNumbers w:val="0"/>
              <w:jc w:val="left"/>
              <w:textAlignment w:val="top"/>
              <w:rPr>
                <w:rFonts w:hint="eastAsia"/>
                <w:color w:val="auto"/>
                <w:highlight w:val="none"/>
              </w:rPr>
            </w:pPr>
            <w:r>
              <w:rPr>
                <w:rFonts w:hint="eastAsia"/>
                <w:b/>
                <w:bCs/>
                <w:color w:val="auto"/>
                <w:highlight w:val="none"/>
                <w:lang w:val="en-US" w:eastAsia="zh-CN"/>
              </w:rPr>
              <w:t>5.多标段投标的仅须提供该标段的投标报价。</w:t>
            </w:r>
          </w:p>
        </w:tc>
      </w:tr>
    </w:tbl>
    <w:p>
      <w:pPr>
        <w:pStyle w:val="2"/>
      </w:pP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28"/>
        <w:tabs>
          <w:tab w:val="left" w:pos="1200"/>
        </w:tabs>
        <w:spacing w:before="120" w:after="120" w:line="360" w:lineRule="auto"/>
        <w:ind w:firstLine="630" w:firstLineChars="300"/>
        <w:rPr>
          <w:rFonts w:hAnsi="宋体"/>
          <w:color w:val="auto"/>
          <w:szCs w:val="21"/>
          <w:highlight w:val="none"/>
        </w:rPr>
      </w:pPr>
      <w:r>
        <w:rPr>
          <w:rFonts w:hint="eastAsia" w:hAnsi="宋体" w:cs="宋体"/>
          <w:color w:val="auto"/>
          <w:sz w:val="21"/>
          <w:szCs w:val="21"/>
          <w:highlight w:val="none"/>
          <w:lang w:val="en-US" w:eastAsia="zh-CN"/>
        </w:rPr>
        <w:t>结算时单价按投标时全费用单位计，不因任何因素变更。</w:t>
      </w:r>
    </w:p>
    <w:p>
      <w:pPr>
        <w:spacing w:line="360" w:lineRule="auto"/>
        <w:ind w:firstLine="3750" w:firstLineChars="1500"/>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p>
    <w:p>
      <w:pPr>
        <w:spacing w:line="360" w:lineRule="auto"/>
        <w:ind w:firstLine="500" w:firstLineChars="200"/>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p>
    <w:p>
      <w:pPr>
        <w:spacing w:line="360" w:lineRule="auto"/>
        <w:ind w:firstLine="525" w:firstLineChars="250"/>
        <w:jc w:val="center"/>
        <w:rPr>
          <w:rFonts w:ascii="宋体" w:hAnsi="宋体"/>
          <w:b/>
          <w:color w:val="auto"/>
          <w:szCs w:val="21"/>
          <w:highlight w:val="none"/>
        </w:rPr>
      </w:pPr>
      <w:r>
        <w:rPr>
          <w:rFonts w:hint="eastAsia" w:ascii="宋体" w:hAnsi="宋体"/>
          <w:color w:val="auto"/>
          <w:szCs w:val="21"/>
          <w:highlight w:val="none"/>
        </w:rPr>
        <w:t xml:space="preserve">                                         日        期：</w:t>
      </w:r>
    </w:p>
    <w:p>
      <w:pPr>
        <w:rPr>
          <w:rFonts w:ascii="宋体" w:hAnsi="宋体"/>
          <w:b/>
          <w:color w:val="auto"/>
          <w:szCs w:val="21"/>
          <w:highlight w:val="none"/>
        </w:rPr>
      </w:pPr>
      <w:r>
        <w:rPr>
          <w:rFonts w:ascii="宋体" w:hAnsi="宋体"/>
          <w:b/>
          <w:color w:val="auto"/>
          <w:szCs w:val="21"/>
          <w:highlight w:val="none"/>
        </w:rPr>
        <w:br w:type="page"/>
      </w:r>
    </w:p>
    <w:p>
      <w:pPr>
        <w:snapToGrid w:val="0"/>
        <w:spacing w:line="360" w:lineRule="auto"/>
        <w:rPr>
          <w:color w:val="auto"/>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4</w:t>
      </w:r>
      <w:r>
        <w:rPr>
          <w:rFonts w:hint="eastAsia" w:asciiTheme="minorEastAsia" w:hAnsiTheme="minorEastAsia" w:eastAsiaTheme="minorEastAsia"/>
          <w:b/>
          <w:color w:val="auto"/>
          <w:szCs w:val="21"/>
          <w:highlight w:val="none"/>
        </w:rPr>
        <w:t>、</w:t>
      </w:r>
    </w:p>
    <w:p>
      <w:pPr>
        <w:jc w:val="center"/>
        <w:rPr>
          <w:rFonts w:hint="eastAsia" w:ascii="宋体" w:hAnsi="宋体"/>
          <w:b/>
          <w:color w:val="auto"/>
          <w:spacing w:val="20"/>
          <w:szCs w:val="21"/>
          <w:highlight w:val="none"/>
          <w:lang w:eastAsia="zh-CN"/>
        </w:rPr>
      </w:pPr>
      <w:r>
        <w:rPr>
          <w:rFonts w:hint="eastAsia" w:ascii="宋体" w:hAnsi="宋体"/>
          <w:b/>
          <w:color w:val="auto"/>
          <w:spacing w:val="20"/>
          <w:szCs w:val="21"/>
          <w:highlight w:val="none"/>
          <w:lang w:eastAsia="zh-CN"/>
        </w:rPr>
        <w:t>承诺函</w:t>
      </w:r>
    </w:p>
    <w:p>
      <w:pPr>
        <w:spacing w:line="360" w:lineRule="auto"/>
        <w:ind w:firstLine="420" w:firstLineChars="200"/>
        <w:rPr>
          <w:rFonts w:hint="eastAsia" w:ascii="宋体" w:hAnsi="宋体" w:cs="宋体"/>
          <w:color w:val="auto"/>
          <w:sz w:val="21"/>
          <w:szCs w:val="21"/>
          <w:highlight w:val="none"/>
          <w:lang w:val="en-US" w:eastAsia="zh-CN"/>
        </w:rPr>
      </w:pP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我公司承诺在中标后按不低于招标文件[养护人员：一标段：3-10月养护人员不少于25人（包括项目负责人1名，需具有园林绿化相关专业工程师及以上职称）。其它时期不少于12人，（包括项目负责人1名，需具有园林绿化相关专业工程师及以上职称）；二标段：3-10月养护人员不少于21人（包括项目负责人1名，需具有园林绿化相关专业工程师及以上职称）。其它时期不少于10人，（包括项目负责人1名，需具有园林绿化相关专业工程师及以上职称）；三标段：3-10月养护人员不少于22人（包括项目负责人1名，需具有园林绿化相关专业工程师及以上职称）。其它时期不少于11人，（包括项目负责人1名，需具有园林绿化相关专业工程师及以上职称）。（保洁 人员：一标段：保洁人员不少于13人；二标段：保洁人员不少于11人；三标段：保洁人员不少于11人。]的人员要求到位，否则我司自愿接受相关处罚扣款，人员到位严重不足的，我司自愿解除合同，并赔偿相关损失。</w:t>
      </w:r>
    </w:p>
    <w:p>
      <w:pPr>
        <w:pStyle w:val="5"/>
        <w:rPr>
          <w:rFonts w:hint="eastAsia" w:ascii="宋体" w:hAnsi="宋体" w:cs="宋体"/>
          <w:color w:val="auto"/>
          <w:sz w:val="21"/>
          <w:szCs w:val="21"/>
          <w:highlight w:val="none"/>
          <w:lang w:val="en-US" w:eastAsia="zh-CN"/>
        </w:rPr>
      </w:pPr>
    </w:p>
    <w:p>
      <w:pPr>
        <w:spacing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jc w:val="right"/>
        <w:rPr>
          <w:rFonts w:hint="eastAsia"/>
          <w:color w:val="auto"/>
          <w:highlight w:val="none"/>
          <w:lang w:eastAsia="zh-CN"/>
        </w:rPr>
      </w:pPr>
      <w:r>
        <w:rPr>
          <w:rFonts w:hint="eastAsia" w:asciiTheme="minorEastAsia" w:hAnsiTheme="minorEastAsia" w:eastAsiaTheme="minorEastAsia"/>
          <w:color w:val="auto"/>
          <w:spacing w:val="20"/>
          <w:szCs w:val="21"/>
          <w:highlight w:val="none"/>
        </w:rPr>
        <w:t xml:space="preserve">                            日     期：</w:t>
      </w:r>
    </w:p>
    <w:p>
      <w:pPr>
        <w:rPr>
          <w:rFonts w:hint="eastAsia" w:cs="Times New Roman" w:asciiTheme="minorEastAsia" w:hAnsi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br w:type="page"/>
      </w:r>
    </w:p>
    <w:p>
      <w:pPr>
        <w:pStyle w:val="2"/>
        <w:ind w:left="0" w:leftChars="0" w:firstLine="0" w:firstLineChars="0"/>
        <w:jc w:val="center"/>
        <w:rPr>
          <w:rFonts w:hint="eastAsia" w:cs="Times New Roman" w:asciiTheme="minorEastAsia" w:hAnsiTheme="minorEastAsia" w:eastAsia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t>其他投标人认为需要递交的资料</w:t>
      </w:r>
    </w:p>
    <w:p>
      <w:pPr>
        <w:pStyle w:val="2"/>
        <w:ind w:left="0" w:leftChars="0" w:firstLine="0" w:firstLineChars="0"/>
        <w:jc w:val="center"/>
        <w:rPr>
          <w:color w:val="auto"/>
          <w:highlight w:val="none"/>
        </w:rPr>
      </w:pPr>
      <w:r>
        <w:rPr>
          <w:rFonts w:hint="eastAsia"/>
          <w:color w:val="auto"/>
          <w:highlight w:val="none"/>
        </w:rPr>
        <w:t>（格式自拟）</w:t>
      </w:r>
    </w:p>
    <w:sectPr>
      <w:footerReference r:id="rId8" w:type="default"/>
      <w:footerReference r:id="rId9"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Light">
    <w:altName w:val="黑体"/>
    <w:panose1 w:val="020B0502040204020203"/>
    <w:charset w:val="7A"/>
    <w:family w:val="swiss"/>
    <w:pitch w:val="default"/>
    <w:sig w:usb0="00000000" w:usb1="00000000" w:usb2="00000016" w:usb3="00000000" w:csb0="0004001F"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7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2"/>
      </w:rPr>
    </w:pPr>
    <w:r>
      <w:fldChar w:fldCharType="begin"/>
    </w:r>
    <w:r>
      <w:rPr>
        <w:rStyle w:val="52"/>
      </w:rPr>
      <w:instrText xml:space="preserve">PAGE  </w:instrTex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1">
    <w:nsid w:val="00000002"/>
    <w:multiLevelType w:val="multilevel"/>
    <w:tmpl w:val="00000002"/>
    <w:lvl w:ilvl="0" w:tentative="0">
      <w:start w:val="1"/>
      <w:numFmt w:val="bullet"/>
      <w:pStyle w:val="32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2"/>
    <w:multiLevelType w:val="singleLevel"/>
    <w:tmpl w:val="00000012"/>
    <w:lvl w:ilvl="0" w:tentative="0">
      <w:start w:val="1"/>
      <w:numFmt w:val="decimal"/>
      <w:pStyle w:val="23"/>
      <w:lvlText w:val="%1."/>
      <w:lvlJc w:val="left"/>
      <w:pPr>
        <w:tabs>
          <w:tab w:val="left" w:pos="1200"/>
        </w:tabs>
        <w:ind w:left="1200" w:hanging="360"/>
      </w:pPr>
    </w:lvl>
  </w:abstractNum>
  <w:abstractNum w:abstractNumId="3">
    <w:nsid w:val="0C827B20"/>
    <w:multiLevelType w:val="multilevel"/>
    <w:tmpl w:val="0C827B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B89059A"/>
    <w:multiLevelType w:val="multilevel"/>
    <w:tmpl w:val="1B89059A"/>
    <w:lvl w:ilvl="0" w:tentative="0">
      <w:start w:val="1"/>
      <w:numFmt w:val="decimal"/>
      <w:pStyle w:val="22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28AE5C"/>
    <w:multiLevelType w:val="singleLevel"/>
    <w:tmpl w:val="3F28AE5C"/>
    <w:lvl w:ilvl="0" w:tentative="0">
      <w:start w:val="2"/>
      <w:numFmt w:val="chineseCounting"/>
      <w:suff w:val="space"/>
      <w:lvlText w:val="第%1章"/>
      <w:lvlJc w:val="left"/>
      <w:rPr>
        <w:rFonts w:hint="eastAsia"/>
      </w:rPr>
    </w:lvl>
  </w:abstractNum>
  <w:abstractNum w:abstractNumId="6">
    <w:nsid w:val="61C45857"/>
    <w:multiLevelType w:val="multilevel"/>
    <w:tmpl w:val="61C45857"/>
    <w:lvl w:ilvl="0" w:tentative="0">
      <w:start w:val="1"/>
      <w:numFmt w:val="none"/>
      <w:lvlText w:val="一、"/>
      <w:lvlJc w:val="left"/>
      <w:pPr>
        <w:tabs>
          <w:tab w:val="left" w:pos="962"/>
        </w:tabs>
        <w:ind w:left="962" w:hanging="48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1"/>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C1349CD"/>
    <w:multiLevelType w:val="multilevel"/>
    <w:tmpl w:val="7C1349CD"/>
    <w:lvl w:ilvl="0" w:tentative="0">
      <w:start w:val="1"/>
      <w:numFmt w:val="decimal"/>
      <w:lvlText w:val="(%1)"/>
      <w:lvlJc w:val="left"/>
      <w:pPr>
        <w:tabs>
          <w:tab w:val="left" w:pos="840"/>
        </w:tabs>
        <w:ind w:left="840" w:hanging="36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3"/>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Tg2ZDFjNjIzYTlkOGY4N2RhNTQ1ZWI3NzA3MmQifQ=="/>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40D2D33"/>
    <w:rsid w:val="04442270"/>
    <w:rsid w:val="06117F79"/>
    <w:rsid w:val="0662732E"/>
    <w:rsid w:val="06B57A35"/>
    <w:rsid w:val="074D1FB6"/>
    <w:rsid w:val="07D55FEF"/>
    <w:rsid w:val="085632C3"/>
    <w:rsid w:val="08A57F5F"/>
    <w:rsid w:val="0A506CB7"/>
    <w:rsid w:val="0A572864"/>
    <w:rsid w:val="0BD73B39"/>
    <w:rsid w:val="0D386E82"/>
    <w:rsid w:val="0E3B5D80"/>
    <w:rsid w:val="0FCE5D2A"/>
    <w:rsid w:val="10B46A31"/>
    <w:rsid w:val="121A54B0"/>
    <w:rsid w:val="13AE28A6"/>
    <w:rsid w:val="13CD7354"/>
    <w:rsid w:val="14A003D1"/>
    <w:rsid w:val="14E13731"/>
    <w:rsid w:val="15DC4C07"/>
    <w:rsid w:val="1603288D"/>
    <w:rsid w:val="1A0B2424"/>
    <w:rsid w:val="1B3E72A5"/>
    <w:rsid w:val="1C38044D"/>
    <w:rsid w:val="1D2D24D6"/>
    <w:rsid w:val="1DB22AF9"/>
    <w:rsid w:val="1E8C30B2"/>
    <w:rsid w:val="1E932147"/>
    <w:rsid w:val="20072DF7"/>
    <w:rsid w:val="21BB015D"/>
    <w:rsid w:val="22334556"/>
    <w:rsid w:val="24096964"/>
    <w:rsid w:val="24FB5382"/>
    <w:rsid w:val="24FB6F38"/>
    <w:rsid w:val="29B32078"/>
    <w:rsid w:val="2C4E0743"/>
    <w:rsid w:val="2C6A166B"/>
    <w:rsid w:val="2DC07ADD"/>
    <w:rsid w:val="2E541BEB"/>
    <w:rsid w:val="2E774DC8"/>
    <w:rsid w:val="2FA26D23"/>
    <w:rsid w:val="31321F99"/>
    <w:rsid w:val="31E23903"/>
    <w:rsid w:val="34603CB7"/>
    <w:rsid w:val="35672368"/>
    <w:rsid w:val="35837B4B"/>
    <w:rsid w:val="38DF6D5E"/>
    <w:rsid w:val="39012615"/>
    <w:rsid w:val="3A9638A2"/>
    <w:rsid w:val="3AFA6B2D"/>
    <w:rsid w:val="3CB029DD"/>
    <w:rsid w:val="3D624A2B"/>
    <w:rsid w:val="3EAE2050"/>
    <w:rsid w:val="3F041AD9"/>
    <w:rsid w:val="423B4E6C"/>
    <w:rsid w:val="45B31A61"/>
    <w:rsid w:val="45D34FB6"/>
    <w:rsid w:val="46245A13"/>
    <w:rsid w:val="46DD4550"/>
    <w:rsid w:val="47033A9A"/>
    <w:rsid w:val="48CA6795"/>
    <w:rsid w:val="49FA03B9"/>
    <w:rsid w:val="4C0B019B"/>
    <w:rsid w:val="4C231F8F"/>
    <w:rsid w:val="4C811519"/>
    <w:rsid w:val="4D5D1394"/>
    <w:rsid w:val="4E5E6ACE"/>
    <w:rsid w:val="4EA3285D"/>
    <w:rsid w:val="4FD17D78"/>
    <w:rsid w:val="502F2AFF"/>
    <w:rsid w:val="52394071"/>
    <w:rsid w:val="52BE47B3"/>
    <w:rsid w:val="52D34A56"/>
    <w:rsid w:val="533C2574"/>
    <w:rsid w:val="534A49DB"/>
    <w:rsid w:val="540154EC"/>
    <w:rsid w:val="549661BE"/>
    <w:rsid w:val="54D90D6B"/>
    <w:rsid w:val="56C95F43"/>
    <w:rsid w:val="57673C54"/>
    <w:rsid w:val="578F46AB"/>
    <w:rsid w:val="58552D55"/>
    <w:rsid w:val="59841B2F"/>
    <w:rsid w:val="5A835EEC"/>
    <w:rsid w:val="5BE60354"/>
    <w:rsid w:val="5C5A4637"/>
    <w:rsid w:val="5D035D66"/>
    <w:rsid w:val="5D3A60F6"/>
    <w:rsid w:val="610A4A53"/>
    <w:rsid w:val="618D0DDA"/>
    <w:rsid w:val="61D651BA"/>
    <w:rsid w:val="6238577C"/>
    <w:rsid w:val="62E86106"/>
    <w:rsid w:val="65321727"/>
    <w:rsid w:val="654020E2"/>
    <w:rsid w:val="67E75A9C"/>
    <w:rsid w:val="684D717D"/>
    <w:rsid w:val="692D52EC"/>
    <w:rsid w:val="6A4E2C73"/>
    <w:rsid w:val="6ACA7F96"/>
    <w:rsid w:val="6B564F76"/>
    <w:rsid w:val="71947DA3"/>
    <w:rsid w:val="72E90C5B"/>
    <w:rsid w:val="73E63CEC"/>
    <w:rsid w:val="79627ECB"/>
    <w:rsid w:val="7E61579F"/>
    <w:rsid w:val="7EDE60CE"/>
    <w:rsid w:val="7F840320"/>
    <w:rsid w:val="BEFE6508"/>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0"/>
    <w:qFormat/>
    <w:uiPriority w:val="9"/>
    <w:pPr>
      <w:keepNext/>
      <w:keepLines/>
      <w:spacing w:before="340" w:after="330" w:line="578" w:lineRule="auto"/>
      <w:jc w:val="center"/>
      <w:outlineLvl w:val="0"/>
    </w:pPr>
    <w:rPr>
      <w:b/>
      <w:bCs/>
      <w:kern w:val="44"/>
      <w:sz w:val="32"/>
      <w:szCs w:val="44"/>
      <w:lang w:val="zh-CN"/>
    </w:rPr>
  </w:style>
  <w:style w:type="paragraph" w:styleId="5">
    <w:name w:val="heading 2"/>
    <w:basedOn w:val="1"/>
    <w:next w:val="1"/>
    <w:link w:val="61"/>
    <w:qFormat/>
    <w:uiPriority w:val="9"/>
    <w:pPr>
      <w:keepNext/>
      <w:keepLines/>
      <w:spacing w:before="260" w:after="260" w:line="416" w:lineRule="auto"/>
      <w:outlineLvl w:val="1"/>
    </w:pPr>
    <w:rPr>
      <w:rFonts w:ascii="Arial" w:hAnsi="Arial" w:eastAsia="黑体"/>
      <w:b/>
      <w:bCs/>
      <w:sz w:val="32"/>
      <w:szCs w:val="32"/>
      <w:lang w:val="zh-CN"/>
    </w:rPr>
  </w:style>
  <w:style w:type="paragraph" w:styleId="6">
    <w:name w:val="heading 3"/>
    <w:basedOn w:val="1"/>
    <w:next w:val="1"/>
    <w:link w:val="62"/>
    <w:qFormat/>
    <w:uiPriority w:val="9"/>
    <w:pPr>
      <w:keepNext/>
      <w:keepLines/>
      <w:spacing w:before="260" w:after="260" w:line="416" w:lineRule="auto"/>
      <w:outlineLvl w:val="2"/>
    </w:pPr>
    <w:rPr>
      <w:b/>
      <w:bCs/>
      <w:sz w:val="32"/>
      <w:szCs w:val="32"/>
      <w:lang w:val="zh-CN"/>
    </w:rPr>
  </w:style>
  <w:style w:type="paragraph" w:styleId="7">
    <w:name w:val="heading 4"/>
    <w:basedOn w:val="1"/>
    <w:next w:val="1"/>
    <w:link w:val="63"/>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8">
    <w:name w:val="heading 5"/>
    <w:basedOn w:val="1"/>
    <w:next w:val="1"/>
    <w:link w:val="64"/>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9">
    <w:name w:val="heading 6"/>
    <w:basedOn w:val="8"/>
    <w:next w:val="1"/>
    <w:link w:val="65"/>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10">
    <w:name w:val="heading 7"/>
    <w:basedOn w:val="9"/>
    <w:next w:val="1"/>
    <w:link w:val="66"/>
    <w:qFormat/>
    <w:uiPriority w:val="0"/>
    <w:pPr>
      <w:tabs>
        <w:tab w:val="left" w:pos="3360"/>
        <w:tab w:val="clear" w:pos="2940"/>
      </w:tabs>
      <w:outlineLvl w:val="6"/>
    </w:pPr>
  </w:style>
  <w:style w:type="paragraph" w:styleId="11">
    <w:name w:val="heading 8"/>
    <w:basedOn w:val="10"/>
    <w:next w:val="1"/>
    <w:link w:val="67"/>
    <w:qFormat/>
    <w:uiPriority w:val="0"/>
    <w:pPr>
      <w:tabs>
        <w:tab w:val="left" w:pos="3780"/>
        <w:tab w:val="clear" w:pos="3360"/>
      </w:tabs>
      <w:outlineLvl w:val="7"/>
    </w:pPr>
  </w:style>
  <w:style w:type="paragraph" w:styleId="12">
    <w:name w:val="heading 9"/>
    <w:basedOn w:val="11"/>
    <w:next w:val="1"/>
    <w:link w:val="68"/>
    <w:qFormat/>
    <w:uiPriority w:val="0"/>
    <w:pPr>
      <w:tabs>
        <w:tab w:val="left" w:pos="480"/>
        <w:tab w:val="left" w:pos="4200"/>
        <w:tab w:val="clear" w:pos="3780"/>
      </w:tabs>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qFormat/>
    <w:uiPriority w:val="0"/>
    <w:pPr>
      <w:ind w:firstLine="420" w:firstLineChars="200"/>
    </w:pPr>
    <w:rPr>
      <w:rFonts w:ascii="宋体" w:hAnsi="Courier New" w:eastAsiaTheme="minorEastAsia" w:cstheme="minorBidi"/>
      <w:spacing w:val="-4"/>
    </w:rPr>
  </w:style>
  <w:style w:type="paragraph" w:styleId="3">
    <w:name w:val="Body Text Indent"/>
    <w:basedOn w:val="1"/>
    <w:link w:val="58"/>
    <w:unhideWhenUsed/>
    <w:qFormat/>
    <w:uiPriority w:val="99"/>
    <w:pPr>
      <w:spacing w:after="120"/>
      <w:ind w:left="420" w:leftChars="200"/>
    </w:pPr>
  </w:style>
  <w:style w:type="paragraph" w:styleId="13">
    <w:name w:val="toc 7"/>
    <w:basedOn w:val="1"/>
    <w:next w:val="1"/>
    <w:unhideWhenUsed/>
    <w:qFormat/>
    <w:uiPriority w:val="0"/>
    <w:pPr>
      <w:ind w:left="2520" w:leftChars="1200"/>
    </w:pPr>
    <w:rPr>
      <w:rFonts w:cs="宋体"/>
      <w:sz w:val="24"/>
    </w:r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unhideWhenUsed/>
    <w:qFormat/>
    <w:uiPriority w:val="0"/>
    <w:pPr>
      <w:ind w:left="420" w:leftChars="200"/>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69"/>
    <w:qFormat/>
    <w:uiPriority w:val="0"/>
    <w:pPr>
      <w:ind w:firstLine="420"/>
    </w:pPr>
    <w:rPr>
      <w:rFonts w:asciiTheme="minorHAnsi" w:hAnsiTheme="minorHAnsi" w:cstheme="minorBidi"/>
      <w:szCs w:val="22"/>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0"/>
    <w:qFormat/>
    <w:uiPriority w:val="0"/>
    <w:rPr>
      <w:rFonts w:ascii="宋体" w:hAnsiTheme="minorHAnsi" w:eastAsiaTheme="minorEastAsia" w:cstheme="minorBidi"/>
      <w:sz w:val="18"/>
      <w:szCs w:val="18"/>
    </w:rPr>
  </w:style>
  <w:style w:type="paragraph" w:styleId="20">
    <w:name w:val="annotation text"/>
    <w:basedOn w:val="1"/>
    <w:link w:val="71"/>
    <w:unhideWhenUsed/>
    <w:qFormat/>
    <w:uiPriority w:val="0"/>
    <w:pPr>
      <w:jc w:val="left"/>
    </w:pPr>
  </w:style>
  <w:style w:type="paragraph" w:styleId="21">
    <w:name w:val="Body Text 3"/>
    <w:basedOn w:val="1"/>
    <w:link w:val="72"/>
    <w:qFormat/>
    <w:uiPriority w:val="0"/>
    <w:pPr>
      <w:snapToGrid w:val="0"/>
      <w:spacing w:before="50" w:after="50"/>
    </w:pPr>
    <w:rPr>
      <w:rFonts w:hAnsi="宋体" w:eastAsia="仿宋_GB2312" w:asciiTheme="minorHAnsi" w:cstheme="minorBidi"/>
      <w:b/>
      <w:bCs/>
      <w:sz w:val="24"/>
      <w:szCs w:val="22"/>
    </w:rPr>
  </w:style>
  <w:style w:type="paragraph" w:styleId="22">
    <w:name w:val="Body Text"/>
    <w:basedOn w:val="1"/>
    <w:link w:val="73"/>
    <w:qFormat/>
    <w:uiPriority w:val="0"/>
    <w:pPr>
      <w:spacing w:after="120"/>
    </w:pPr>
    <w:rPr>
      <w:rFonts w:asciiTheme="minorHAnsi" w:hAnsiTheme="minorHAnsi" w:eastAsiaTheme="minorEastAsia" w:cstheme="minorBidi"/>
      <w:sz w:val="28"/>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toc 5"/>
    <w:basedOn w:val="1"/>
    <w:next w:val="1"/>
    <w:unhideWhenUsed/>
    <w:qFormat/>
    <w:uiPriority w:val="0"/>
    <w:pPr>
      <w:ind w:left="1680" w:leftChars="800"/>
    </w:pPr>
    <w:rPr>
      <w:rFonts w:cs="宋体"/>
      <w:sz w:val="24"/>
    </w:rPr>
  </w:style>
  <w:style w:type="paragraph" w:styleId="27">
    <w:name w:val="toc 3"/>
    <w:basedOn w:val="1"/>
    <w:next w:val="1"/>
    <w:unhideWhenUsed/>
    <w:qFormat/>
    <w:uiPriority w:val="39"/>
    <w:pPr>
      <w:ind w:left="840" w:leftChars="400"/>
    </w:pPr>
    <w:rPr>
      <w:rFonts w:cs="宋体"/>
      <w:sz w:val="24"/>
    </w:rPr>
  </w:style>
  <w:style w:type="paragraph" w:styleId="28">
    <w:name w:val="Plain Text"/>
    <w:basedOn w:val="1"/>
    <w:next w:val="1"/>
    <w:link w:val="74"/>
    <w:qFormat/>
    <w:uiPriority w:val="0"/>
    <w:pPr>
      <w:spacing w:beforeLines="50" w:afterLines="50" w:line="400" w:lineRule="exact"/>
    </w:pPr>
    <w:rPr>
      <w:rFonts w:ascii="宋体" w:hAnsi="Courier New" w:cstheme="minorBidi"/>
      <w:sz w:val="24"/>
    </w:rPr>
  </w:style>
  <w:style w:type="paragraph" w:styleId="29">
    <w:name w:val="toc 8"/>
    <w:basedOn w:val="1"/>
    <w:next w:val="1"/>
    <w:unhideWhenUsed/>
    <w:qFormat/>
    <w:uiPriority w:val="0"/>
    <w:pPr>
      <w:ind w:left="2940" w:leftChars="1400"/>
    </w:pPr>
    <w:rPr>
      <w:rFonts w:cs="宋体"/>
      <w:sz w:val="24"/>
    </w:rPr>
  </w:style>
  <w:style w:type="paragraph" w:styleId="30">
    <w:name w:val="Date"/>
    <w:basedOn w:val="1"/>
    <w:next w:val="1"/>
    <w:link w:val="75"/>
    <w:qFormat/>
    <w:uiPriority w:val="0"/>
    <w:pPr>
      <w:ind w:left="2500" w:leftChars="2500"/>
    </w:pPr>
    <w:rPr>
      <w:rFonts w:eastAsia="楷体_GB2312" w:asciiTheme="minorHAnsi" w:hAnsiTheme="minorHAnsi" w:cstheme="minorBidi"/>
      <w:sz w:val="32"/>
      <w:szCs w:val="22"/>
    </w:rPr>
  </w:style>
  <w:style w:type="paragraph" w:styleId="31">
    <w:name w:val="Body Text Indent 2"/>
    <w:basedOn w:val="1"/>
    <w:link w:val="76"/>
    <w:qFormat/>
    <w:uiPriority w:val="0"/>
    <w:pPr>
      <w:snapToGrid w:val="0"/>
      <w:ind w:firstLine="542" w:firstLineChars="225"/>
    </w:pPr>
    <w:rPr>
      <w:rFonts w:ascii="仿宋_GB2312" w:hAnsi="宋体" w:cs="Arial" w:eastAsiaTheme="minorEastAsia"/>
      <w:b/>
      <w:bCs/>
      <w:color w:val="000000"/>
      <w:sz w:val="24"/>
    </w:rPr>
  </w:style>
  <w:style w:type="paragraph" w:styleId="32">
    <w:name w:val="Balloon Text"/>
    <w:basedOn w:val="1"/>
    <w:link w:val="77"/>
    <w:qFormat/>
    <w:uiPriority w:val="99"/>
    <w:rPr>
      <w:rFonts w:asciiTheme="minorHAnsi" w:hAnsiTheme="minorHAnsi" w:eastAsiaTheme="minorEastAsia" w:cstheme="minorBidi"/>
      <w:sz w:val="18"/>
      <w:szCs w:val="18"/>
    </w:rPr>
  </w:style>
  <w:style w:type="paragraph" w:styleId="33">
    <w:name w:val="footer"/>
    <w:basedOn w:val="1"/>
    <w:link w:val="78"/>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4">
    <w:name w:val="header"/>
    <w:basedOn w:val="1"/>
    <w:link w:val="79"/>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5">
    <w:name w:val="toc 1"/>
    <w:basedOn w:val="1"/>
    <w:next w:val="1"/>
    <w:qFormat/>
    <w:uiPriority w:val="39"/>
  </w:style>
  <w:style w:type="paragraph" w:styleId="36">
    <w:name w:val="toc 4"/>
    <w:basedOn w:val="1"/>
    <w:next w:val="1"/>
    <w:unhideWhenUsed/>
    <w:qFormat/>
    <w:uiPriority w:val="0"/>
    <w:pPr>
      <w:ind w:left="1260" w:leftChars="600"/>
    </w:pPr>
    <w:rPr>
      <w:rFonts w:cs="宋体"/>
      <w:sz w:val="24"/>
    </w:rPr>
  </w:style>
  <w:style w:type="paragraph" w:styleId="37">
    <w:name w:val="Subtitle"/>
    <w:basedOn w:val="1"/>
    <w:next w:val="1"/>
    <w:link w:val="80"/>
    <w:qFormat/>
    <w:uiPriority w:val="0"/>
    <w:pPr>
      <w:jc w:val="left"/>
    </w:pPr>
    <w:rPr>
      <w:rFonts w:ascii="Cambria" w:hAnsi="Cambria" w:cs="宋体" w:eastAsiaTheme="minorEastAsia"/>
      <w:bCs/>
      <w:kern w:val="28"/>
      <w:sz w:val="18"/>
      <w:szCs w:val="32"/>
    </w:rPr>
  </w:style>
  <w:style w:type="paragraph" w:styleId="38">
    <w:name w:val="List"/>
    <w:basedOn w:val="1"/>
    <w:link w:val="357"/>
    <w:qFormat/>
    <w:uiPriority w:val="0"/>
    <w:pPr>
      <w:ind w:left="200" w:hanging="200" w:hangingChars="200"/>
    </w:pPr>
    <w:rPr>
      <w:sz w:val="28"/>
    </w:rPr>
  </w:style>
  <w:style w:type="paragraph" w:styleId="39">
    <w:name w:val="toc 6"/>
    <w:basedOn w:val="1"/>
    <w:next w:val="1"/>
    <w:unhideWhenUsed/>
    <w:qFormat/>
    <w:uiPriority w:val="0"/>
    <w:pPr>
      <w:ind w:left="2100" w:leftChars="1000"/>
    </w:pPr>
    <w:rPr>
      <w:rFonts w:cs="宋体"/>
      <w:sz w:val="24"/>
    </w:rPr>
  </w:style>
  <w:style w:type="paragraph" w:styleId="40">
    <w:name w:val="Body Text Indent 3"/>
    <w:basedOn w:val="1"/>
    <w:link w:val="81"/>
    <w:qFormat/>
    <w:uiPriority w:val="0"/>
    <w:pPr>
      <w:snapToGrid w:val="0"/>
      <w:ind w:firstLine="480" w:firstLineChars="200"/>
      <w:jc w:val="left"/>
    </w:pPr>
    <w:rPr>
      <w:rFonts w:ascii="仿宋_GB2312" w:hAnsi="宋体" w:eastAsia="仿宋_GB2312" w:cstheme="minorBidi"/>
      <w:color w:val="00000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0"/>
    <w:pPr>
      <w:ind w:left="3360" w:leftChars="1600"/>
    </w:pPr>
    <w:rPr>
      <w:rFonts w:cs="宋体"/>
      <w:sz w:val="24"/>
    </w:rPr>
  </w:style>
  <w:style w:type="paragraph" w:styleId="43">
    <w:name w:val="Body Text 2"/>
    <w:basedOn w:val="1"/>
    <w:link w:val="82"/>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next w:val="1"/>
    <w:link w:val="83"/>
    <w:qFormat/>
    <w:uiPriority w:val="0"/>
    <w:pPr>
      <w:spacing w:before="240" w:after="60"/>
      <w:jc w:val="center"/>
      <w:outlineLvl w:val="0"/>
    </w:pPr>
    <w:rPr>
      <w:rFonts w:ascii="Calibri Light" w:hAnsi="Calibri Light" w:eastAsiaTheme="minorEastAsia" w:cstheme="minorBidi"/>
      <w:b/>
      <w:bCs/>
      <w:sz w:val="32"/>
      <w:szCs w:val="32"/>
    </w:rPr>
  </w:style>
  <w:style w:type="paragraph" w:styleId="46">
    <w:name w:val="annotation subject"/>
    <w:basedOn w:val="20"/>
    <w:next w:val="20"/>
    <w:link w:val="84"/>
    <w:qFormat/>
    <w:uiPriority w:val="0"/>
    <w:rPr>
      <w:rFonts w:asciiTheme="minorHAnsi" w:hAnsiTheme="minorHAnsi" w:eastAsiaTheme="minorEastAsia" w:cstheme="minorBidi"/>
      <w:b/>
      <w:bCs/>
    </w:rPr>
  </w:style>
  <w:style w:type="paragraph" w:styleId="47">
    <w:name w:val="Body Text First Indent"/>
    <w:basedOn w:val="22"/>
    <w:link w:val="366"/>
    <w:unhideWhenUsed/>
    <w:qFormat/>
    <w:uiPriority w:val="99"/>
    <w:pPr>
      <w:ind w:firstLine="420" w:firstLineChars="100"/>
    </w:pPr>
    <w:rPr>
      <w:rFonts w:ascii="Calibri" w:hAnsi="Calibri" w:eastAsia="宋体" w:cs="Times New Roman"/>
      <w:kern w:val="0"/>
      <w:sz w:val="21"/>
    </w:rPr>
  </w:style>
  <w:style w:type="table" w:styleId="49">
    <w:name w:val="Table Grid"/>
    <w:basedOn w:val="4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无间距1"/>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58">
    <w:name w:val="正文文本缩进 Char3"/>
    <w:basedOn w:val="50"/>
    <w:link w:val="3"/>
    <w:qFormat/>
    <w:uiPriority w:val="99"/>
    <w:rPr>
      <w:rFonts w:ascii="Calibri" w:hAnsi="Calibri" w:eastAsia="宋体" w:cs="Times New Roman"/>
      <w:szCs w:val="24"/>
    </w:rPr>
  </w:style>
  <w:style w:type="character" w:customStyle="1" w:styleId="59">
    <w:name w:val="正文首行缩进 2 Char2"/>
    <w:link w:val="2"/>
    <w:qFormat/>
    <w:uiPriority w:val="0"/>
    <w:rPr>
      <w:rFonts w:ascii="宋体" w:hAnsi="Courier New"/>
      <w:spacing w:val="-4"/>
      <w:szCs w:val="24"/>
    </w:rPr>
  </w:style>
  <w:style w:type="character" w:customStyle="1" w:styleId="60">
    <w:name w:val="标题 1 Char1"/>
    <w:link w:val="4"/>
    <w:qFormat/>
    <w:uiPriority w:val="0"/>
    <w:rPr>
      <w:rFonts w:ascii="Calibri" w:hAnsi="Calibri" w:eastAsia="宋体" w:cs="Times New Roman"/>
      <w:b/>
      <w:bCs/>
      <w:kern w:val="44"/>
      <w:sz w:val="32"/>
      <w:szCs w:val="44"/>
      <w:lang w:val="zh-CN" w:eastAsia="zh-CN"/>
    </w:rPr>
  </w:style>
  <w:style w:type="character" w:customStyle="1" w:styleId="61">
    <w:name w:val="标题 2 Char2"/>
    <w:link w:val="5"/>
    <w:qFormat/>
    <w:uiPriority w:val="9"/>
    <w:rPr>
      <w:rFonts w:ascii="Arial" w:hAnsi="Arial" w:eastAsia="黑体" w:cs="Times New Roman"/>
      <w:b/>
      <w:bCs/>
      <w:sz w:val="32"/>
      <w:szCs w:val="32"/>
      <w:lang w:val="zh-CN" w:eastAsia="zh-CN"/>
    </w:rPr>
  </w:style>
  <w:style w:type="character" w:customStyle="1" w:styleId="62">
    <w:name w:val="标题 3 Char1"/>
    <w:link w:val="6"/>
    <w:qFormat/>
    <w:uiPriority w:val="9"/>
    <w:rPr>
      <w:rFonts w:ascii="Calibri" w:hAnsi="Calibri" w:eastAsia="宋体" w:cs="Times New Roman"/>
      <w:b/>
      <w:bCs/>
      <w:sz w:val="32"/>
      <w:szCs w:val="32"/>
      <w:lang w:val="zh-CN" w:eastAsia="zh-CN"/>
    </w:rPr>
  </w:style>
  <w:style w:type="character" w:customStyle="1" w:styleId="63">
    <w:name w:val="标题 4 Char1"/>
    <w:link w:val="7"/>
    <w:qFormat/>
    <w:uiPriority w:val="0"/>
    <w:rPr>
      <w:rFonts w:ascii="Arial" w:hAnsi="Arial" w:eastAsia="黑体" w:cs="Times New Roman"/>
      <w:b/>
      <w:bCs/>
      <w:kern w:val="0"/>
      <w:sz w:val="28"/>
      <w:szCs w:val="28"/>
      <w:lang w:val="zh-CN" w:eastAsia="zh-CN"/>
    </w:rPr>
  </w:style>
  <w:style w:type="character" w:customStyle="1" w:styleId="64">
    <w:name w:val="标题 5 Char1"/>
    <w:link w:val="8"/>
    <w:qFormat/>
    <w:uiPriority w:val="0"/>
    <w:rPr>
      <w:rFonts w:ascii="楷体_GB2312" w:hAnsi="Calibri" w:eastAsia="楷体_GB2312" w:cs="Times New Roman"/>
      <w:b/>
      <w:bCs/>
      <w:kern w:val="0"/>
      <w:sz w:val="24"/>
      <w:szCs w:val="28"/>
      <w:lang w:val="zh-CN" w:eastAsia="zh-CN"/>
    </w:rPr>
  </w:style>
  <w:style w:type="character" w:customStyle="1" w:styleId="65">
    <w:name w:val="标题 6 Char1"/>
    <w:link w:val="9"/>
    <w:qFormat/>
    <w:uiPriority w:val="0"/>
    <w:rPr>
      <w:rFonts w:ascii="Calibri" w:hAnsi="Calibri" w:eastAsia="宋体" w:cs="Times New Roman"/>
      <w:kern w:val="0"/>
      <w:sz w:val="24"/>
      <w:szCs w:val="20"/>
      <w:lang w:val="zh-CN" w:eastAsia="zh-CN"/>
    </w:rPr>
  </w:style>
  <w:style w:type="character" w:customStyle="1" w:styleId="66">
    <w:name w:val="标题 7 Char1"/>
    <w:link w:val="10"/>
    <w:qFormat/>
    <w:uiPriority w:val="0"/>
    <w:rPr>
      <w:rFonts w:ascii="Calibri" w:hAnsi="Calibri" w:eastAsia="宋体" w:cs="Times New Roman"/>
      <w:kern w:val="0"/>
      <w:sz w:val="24"/>
      <w:szCs w:val="20"/>
      <w:lang w:val="zh-CN" w:eastAsia="zh-CN"/>
    </w:rPr>
  </w:style>
  <w:style w:type="character" w:customStyle="1" w:styleId="67">
    <w:name w:val="标题 8 Char1"/>
    <w:link w:val="11"/>
    <w:qFormat/>
    <w:uiPriority w:val="0"/>
    <w:rPr>
      <w:rFonts w:ascii="Calibri" w:hAnsi="Calibri" w:eastAsia="宋体" w:cs="Times New Roman"/>
      <w:kern w:val="0"/>
      <w:sz w:val="24"/>
      <w:szCs w:val="20"/>
      <w:lang w:val="zh-CN" w:eastAsia="zh-CN"/>
    </w:rPr>
  </w:style>
  <w:style w:type="character" w:customStyle="1" w:styleId="68">
    <w:name w:val="标题 9 Char1"/>
    <w:link w:val="12"/>
    <w:qFormat/>
    <w:uiPriority w:val="0"/>
    <w:rPr>
      <w:rFonts w:ascii="Calibri" w:hAnsi="Calibri" w:eastAsia="宋体" w:cs="Times New Roman"/>
      <w:kern w:val="0"/>
      <w:sz w:val="24"/>
      <w:szCs w:val="20"/>
      <w:lang w:val="zh-CN" w:eastAsia="zh-CN"/>
    </w:rPr>
  </w:style>
  <w:style w:type="character" w:customStyle="1" w:styleId="69">
    <w:name w:val="正文缩进 Char1"/>
    <w:link w:val="17"/>
    <w:qFormat/>
    <w:uiPriority w:val="0"/>
    <w:rPr>
      <w:rFonts w:eastAsia="宋体"/>
    </w:rPr>
  </w:style>
  <w:style w:type="character" w:customStyle="1" w:styleId="70">
    <w:name w:val="文档结构图 Char3"/>
    <w:link w:val="19"/>
    <w:qFormat/>
    <w:uiPriority w:val="0"/>
    <w:rPr>
      <w:rFonts w:ascii="宋体"/>
      <w:sz w:val="18"/>
      <w:szCs w:val="18"/>
    </w:rPr>
  </w:style>
  <w:style w:type="character" w:customStyle="1" w:styleId="71">
    <w:name w:val="批注文字 Char3"/>
    <w:basedOn w:val="50"/>
    <w:link w:val="20"/>
    <w:semiHidden/>
    <w:qFormat/>
    <w:uiPriority w:val="99"/>
    <w:rPr>
      <w:rFonts w:ascii="Calibri" w:hAnsi="Calibri" w:eastAsia="宋体" w:cs="Times New Roman"/>
      <w:szCs w:val="24"/>
    </w:rPr>
  </w:style>
  <w:style w:type="character" w:customStyle="1" w:styleId="72">
    <w:name w:val="正文文本 3 Char3"/>
    <w:link w:val="21"/>
    <w:qFormat/>
    <w:uiPriority w:val="0"/>
    <w:rPr>
      <w:rFonts w:hAnsi="宋体" w:eastAsia="仿宋_GB2312"/>
      <w:b/>
      <w:bCs/>
      <w:sz w:val="24"/>
    </w:rPr>
  </w:style>
  <w:style w:type="character" w:customStyle="1" w:styleId="73">
    <w:name w:val="正文文本 Char3"/>
    <w:link w:val="22"/>
    <w:qFormat/>
    <w:uiPriority w:val="0"/>
    <w:rPr>
      <w:sz w:val="28"/>
      <w:szCs w:val="24"/>
    </w:rPr>
  </w:style>
  <w:style w:type="character" w:customStyle="1" w:styleId="74">
    <w:name w:val="纯文本 Char5"/>
    <w:link w:val="28"/>
    <w:qFormat/>
    <w:uiPriority w:val="0"/>
    <w:rPr>
      <w:rFonts w:ascii="宋体" w:hAnsi="Courier New" w:eastAsia="宋体"/>
      <w:sz w:val="24"/>
      <w:szCs w:val="24"/>
    </w:rPr>
  </w:style>
  <w:style w:type="character" w:customStyle="1" w:styleId="75">
    <w:name w:val="日期 Char3"/>
    <w:link w:val="30"/>
    <w:qFormat/>
    <w:uiPriority w:val="0"/>
    <w:rPr>
      <w:rFonts w:eastAsia="楷体_GB2312"/>
      <w:sz w:val="32"/>
    </w:rPr>
  </w:style>
  <w:style w:type="character" w:customStyle="1" w:styleId="76">
    <w:name w:val="正文文本缩进 2 Char3"/>
    <w:link w:val="31"/>
    <w:qFormat/>
    <w:uiPriority w:val="0"/>
    <w:rPr>
      <w:rFonts w:ascii="仿宋_GB2312" w:hAnsi="宋体" w:cs="Arial"/>
      <w:b/>
      <w:bCs/>
      <w:color w:val="000000"/>
      <w:sz w:val="24"/>
      <w:szCs w:val="24"/>
    </w:rPr>
  </w:style>
  <w:style w:type="character" w:customStyle="1" w:styleId="77">
    <w:name w:val="批注框文本 Char3"/>
    <w:link w:val="32"/>
    <w:qFormat/>
    <w:locked/>
    <w:uiPriority w:val="99"/>
    <w:rPr>
      <w:sz w:val="18"/>
      <w:szCs w:val="18"/>
    </w:rPr>
  </w:style>
  <w:style w:type="character" w:customStyle="1" w:styleId="78">
    <w:name w:val="页脚 Char3"/>
    <w:link w:val="33"/>
    <w:qFormat/>
    <w:locked/>
    <w:uiPriority w:val="99"/>
    <w:rPr>
      <w:rFonts w:eastAsia="黑体"/>
      <w:snapToGrid w:val="0"/>
      <w:sz w:val="18"/>
      <w:szCs w:val="18"/>
    </w:rPr>
  </w:style>
  <w:style w:type="character" w:customStyle="1" w:styleId="79">
    <w:name w:val="页眉 Char3"/>
    <w:link w:val="34"/>
    <w:qFormat/>
    <w:uiPriority w:val="99"/>
    <w:rPr>
      <w:rFonts w:eastAsia="仿宋_GB2312"/>
      <w:sz w:val="18"/>
    </w:rPr>
  </w:style>
  <w:style w:type="character" w:customStyle="1" w:styleId="80">
    <w:name w:val="副标题 Char3"/>
    <w:link w:val="37"/>
    <w:qFormat/>
    <w:uiPriority w:val="0"/>
    <w:rPr>
      <w:rFonts w:ascii="Cambria" w:hAnsi="Cambria" w:cs="宋体"/>
      <w:bCs/>
      <w:kern w:val="28"/>
      <w:sz w:val="18"/>
      <w:szCs w:val="32"/>
    </w:rPr>
  </w:style>
  <w:style w:type="character" w:customStyle="1" w:styleId="81">
    <w:name w:val="正文文本缩进 3 Char3"/>
    <w:link w:val="40"/>
    <w:qFormat/>
    <w:uiPriority w:val="0"/>
    <w:rPr>
      <w:rFonts w:ascii="仿宋_GB2312" w:hAnsi="宋体" w:eastAsia="仿宋_GB2312"/>
      <w:color w:val="000000"/>
      <w:sz w:val="24"/>
      <w:szCs w:val="24"/>
    </w:rPr>
  </w:style>
  <w:style w:type="character" w:customStyle="1" w:styleId="82">
    <w:name w:val="正文文本 2 Char3"/>
    <w:link w:val="43"/>
    <w:qFormat/>
    <w:uiPriority w:val="0"/>
    <w:rPr>
      <w:rFonts w:ascii="宋体" w:hAnsi="宋体"/>
      <w:color w:val="000000"/>
      <w:sz w:val="24"/>
      <w:szCs w:val="24"/>
    </w:rPr>
  </w:style>
  <w:style w:type="character" w:customStyle="1" w:styleId="83">
    <w:name w:val="标题 Char4"/>
    <w:link w:val="45"/>
    <w:qFormat/>
    <w:uiPriority w:val="0"/>
    <w:rPr>
      <w:rFonts w:ascii="Calibri Light" w:hAnsi="Calibri Light"/>
      <w:b/>
      <w:bCs/>
      <w:sz w:val="32"/>
      <w:szCs w:val="32"/>
    </w:rPr>
  </w:style>
  <w:style w:type="character" w:customStyle="1" w:styleId="84">
    <w:name w:val="批注主题 Char4"/>
    <w:link w:val="46"/>
    <w:qFormat/>
    <w:uiPriority w:val="0"/>
    <w:rPr>
      <w:b/>
      <w:bCs/>
      <w:szCs w:val="24"/>
    </w:rPr>
  </w:style>
  <w:style w:type="character" w:customStyle="1" w:styleId="85">
    <w:name w:val="标题 1 Char"/>
    <w:basedOn w:val="50"/>
    <w:qFormat/>
    <w:uiPriority w:val="9"/>
    <w:rPr>
      <w:rFonts w:ascii="Calibri" w:hAnsi="Calibri" w:eastAsia="宋体" w:cs="Times New Roman"/>
      <w:b/>
      <w:bCs/>
      <w:kern w:val="44"/>
      <w:sz w:val="44"/>
      <w:szCs w:val="44"/>
    </w:rPr>
  </w:style>
  <w:style w:type="character" w:customStyle="1" w:styleId="86">
    <w:name w:val="标题 2 Char"/>
    <w:basedOn w:val="50"/>
    <w:qFormat/>
    <w:uiPriority w:val="9"/>
    <w:rPr>
      <w:rFonts w:asciiTheme="majorHAnsi" w:hAnsiTheme="majorHAnsi" w:eastAsiaTheme="majorEastAsia" w:cstheme="majorBidi"/>
      <w:b/>
      <w:bCs/>
      <w:sz w:val="32"/>
      <w:szCs w:val="32"/>
    </w:rPr>
  </w:style>
  <w:style w:type="character" w:customStyle="1" w:styleId="87">
    <w:name w:val="标题 3 Char"/>
    <w:basedOn w:val="50"/>
    <w:qFormat/>
    <w:uiPriority w:val="9"/>
    <w:rPr>
      <w:rFonts w:ascii="Calibri" w:hAnsi="Calibri" w:eastAsia="宋体" w:cs="Times New Roman"/>
      <w:b/>
      <w:bCs/>
      <w:sz w:val="32"/>
      <w:szCs w:val="32"/>
    </w:rPr>
  </w:style>
  <w:style w:type="character" w:customStyle="1" w:styleId="88">
    <w:name w:val="标题 4 Char"/>
    <w:basedOn w:val="50"/>
    <w:qFormat/>
    <w:uiPriority w:val="0"/>
    <w:rPr>
      <w:rFonts w:asciiTheme="majorHAnsi" w:hAnsiTheme="majorHAnsi" w:eastAsiaTheme="majorEastAsia" w:cstheme="majorBidi"/>
      <w:b/>
      <w:bCs/>
      <w:sz w:val="28"/>
      <w:szCs w:val="28"/>
    </w:rPr>
  </w:style>
  <w:style w:type="character" w:customStyle="1" w:styleId="89">
    <w:name w:val="标题 5 Char"/>
    <w:basedOn w:val="50"/>
    <w:qFormat/>
    <w:uiPriority w:val="0"/>
    <w:rPr>
      <w:rFonts w:ascii="Calibri" w:hAnsi="Calibri" w:eastAsia="宋体" w:cs="Times New Roman"/>
      <w:b/>
      <w:bCs/>
      <w:sz w:val="28"/>
      <w:szCs w:val="28"/>
    </w:rPr>
  </w:style>
  <w:style w:type="character" w:customStyle="1" w:styleId="90">
    <w:name w:val="标题 6 Char"/>
    <w:basedOn w:val="50"/>
    <w:qFormat/>
    <w:uiPriority w:val="0"/>
    <w:rPr>
      <w:rFonts w:asciiTheme="majorHAnsi" w:hAnsiTheme="majorHAnsi" w:eastAsiaTheme="majorEastAsia" w:cstheme="majorBidi"/>
      <w:b/>
      <w:bCs/>
      <w:sz w:val="24"/>
      <w:szCs w:val="24"/>
    </w:rPr>
  </w:style>
  <w:style w:type="character" w:customStyle="1" w:styleId="91">
    <w:name w:val="标题 7 Char"/>
    <w:basedOn w:val="50"/>
    <w:qFormat/>
    <w:uiPriority w:val="0"/>
    <w:rPr>
      <w:rFonts w:ascii="Calibri" w:hAnsi="Calibri" w:eastAsia="宋体" w:cs="Times New Roman"/>
      <w:b/>
      <w:bCs/>
      <w:sz w:val="24"/>
      <w:szCs w:val="24"/>
    </w:rPr>
  </w:style>
  <w:style w:type="character" w:customStyle="1" w:styleId="92">
    <w:name w:val="标题 8 Char"/>
    <w:basedOn w:val="50"/>
    <w:qFormat/>
    <w:uiPriority w:val="0"/>
    <w:rPr>
      <w:rFonts w:asciiTheme="majorHAnsi" w:hAnsiTheme="majorHAnsi" w:eastAsiaTheme="majorEastAsia" w:cstheme="majorBidi"/>
      <w:sz w:val="24"/>
      <w:szCs w:val="24"/>
    </w:rPr>
  </w:style>
  <w:style w:type="character" w:customStyle="1" w:styleId="93">
    <w:name w:val="标题 9 Char"/>
    <w:basedOn w:val="50"/>
    <w:qFormat/>
    <w:uiPriority w:val="0"/>
    <w:rPr>
      <w:rFonts w:asciiTheme="majorHAnsi" w:hAnsiTheme="majorHAnsi" w:eastAsiaTheme="majorEastAsia" w:cstheme="majorBidi"/>
      <w:szCs w:val="21"/>
    </w:rPr>
  </w:style>
  <w:style w:type="character" w:customStyle="1" w:styleId="94">
    <w:name w:val="纯文本 字符"/>
    <w:qFormat/>
    <w:uiPriority w:val="0"/>
    <w:rPr>
      <w:rFonts w:ascii="宋体" w:hAnsi="Courier New" w:eastAsia="宋体"/>
      <w:kern w:val="2"/>
      <w:sz w:val="21"/>
      <w:lang w:val="en-US" w:eastAsia="zh-CN" w:bidi="ar-SA"/>
    </w:rPr>
  </w:style>
  <w:style w:type="character" w:customStyle="1" w:styleId="95">
    <w:name w:val="列出段落 Char1"/>
    <w:link w:val="96"/>
    <w:qFormat/>
    <w:uiPriority w:val="34"/>
    <w:rPr>
      <w:rFonts w:ascii="Calibri" w:hAnsi="Calibri"/>
      <w:sz w:val="24"/>
    </w:rPr>
  </w:style>
  <w:style w:type="paragraph" w:styleId="96">
    <w:name w:val="List Paragraph"/>
    <w:basedOn w:val="1"/>
    <w:link w:val="95"/>
    <w:qFormat/>
    <w:uiPriority w:val="34"/>
    <w:pPr>
      <w:spacing w:line="360" w:lineRule="auto"/>
      <w:ind w:firstLine="420" w:firstLineChars="200"/>
    </w:pPr>
    <w:rPr>
      <w:rFonts w:eastAsiaTheme="minorEastAsia" w:cstheme="minorBidi"/>
      <w:sz w:val="24"/>
      <w:szCs w:val="22"/>
    </w:rPr>
  </w:style>
  <w:style w:type="character" w:customStyle="1" w:styleId="97">
    <w:name w:val="日期 Char1"/>
    <w:qFormat/>
    <w:uiPriority w:val="0"/>
    <w:rPr>
      <w:kern w:val="2"/>
      <w:sz w:val="21"/>
      <w:szCs w:val="24"/>
    </w:rPr>
  </w:style>
  <w:style w:type="character" w:customStyle="1" w:styleId="98">
    <w:name w:val="正文文本 Char1"/>
    <w:qFormat/>
    <w:uiPriority w:val="0"/>
    <w:rPr>
      <w:kern w:val="2"/>
      <w:sz w:val="21"/>
      <w:szCs w:val="24"/>
    </w:rPr>
  </w:style>
  <w:style w:type="character" w:customStyle="1" w:styleId="99">
    <w:name w:val="para1"/>
    <w:qFormat/>
    <w:uiPriority w:val="99"/>
    <w:rPr>
      <w:rFonts w:hint="default" w:ascii="Arial" w:hAnsi="Arial" w:cs="Arial"/>
      <w:sz w:val="18"/>
      <w:szCs w:val="18"/>
    </w:rPr>
  </w:style>
  <w:style w:type="character" w:customStyle="1" w:styleId="100">
    <w:name w:val="页脚 Char"/>
    <w:qFormat/>
    <w:locked/>
    <w:uiPriority w:val="99"/>
    <w:rPr>
      <w:rFonts w:eastAsia="黑体"/>
      <w:snapToGrid w:val="0"/>
      <w:sz w:val="18"/>
      <w:szCs w:val="18"/>
    </w:rPr>
  </w:style>
  <w:style w:type="character" w:customStyle="1" w:styleId="101">
    <w:name w:val="font31"/>
    <w:qFormat/>
    <w:uiPriority w:val="0"/>
    <w:rPr>
      <w:rFonts w:hint="default" w:ascii="Times New Roman" w:hAnsi="Times New Roman" w:cs="Times New Roman"/>
      <w:b/>
      <w:color w:val="000000"/>
      <w:sz w:val="24"/>
      <w:szCs w:val="24"/>
      <w:u w:val="none"/>
    </w:rPr>
  </w:style>
  <w:style w:type="character" w:customStyle="1" w:styleId="102">
    <w:name w:val="font91"/>
    <w:qFormat/>
    <w:uiPriority w:val="0"/>
    <w:rPr>
      <w:rFonts w:hint="eastAsia" w:ascii="宋体" w:hAnsi="宋体" w:eastAsia="宋体" w:cs="宋体"/>
      <w:b/>
      <w:color w:val="000000"/>
      <w:sz w:val="24"/>
      <w:szCs w:val="24"/>
      <w:u w:val="none"/>
    </w:rPr>
  </w:style>
  <w:style w:type="character" w:customStyle="1" w:styleId="103">
    <w:name w:val="文档结构图 Char1"/>
    <w:semiHidden/>
    <w:qFormat/>
    <w:uiPriority w:val="99"/>
    <w:rPr>
      <w:rFonts w:hint="eastAsia" w:ascii="宋体" w:hAnsi="宋体" w:eastAsia="宋体"/>
      <w:kern w:val="2"/>
      <w:sz w:val="18"/>
      <w:szCs w:val="18"/>
    </w:rPr>
  </w:style>
  <w:style w:type="character" w:customStyle="1" w:styleId="104">
    <w:name w:val="正文2 Char Char"/>
    <w:qFormat/>
    <w:uiPriority w:val="0"/>
    <w:rPr>
      <w:rFonts w:hint="default" w:ascii="Times New Roman" w:hAnsi="Times New Roman" w:cs="Times New Roman"/>
      <w:kern w:val="2"/>
      <w:sz w:val="24"/>
    </w:rPr>
  </w:style>
  <w:style w:type="character" w:customStyle="1" w:styleId="105">
    <w:name w:val="批注主题 Char"/>
    <w:qFormat/>
    <w:uiPriority w:val="0"/>
    <w:rPr>
      <w:b/>
      <w:bCs/>
      <w:kern w:val="2"/>
      <w:sz w:val="21"/>
      <w:szCs w:val="24"/>
    </w:rPr>
  </w:style>
  <w:style w:type="character" w:customStyle="1" w:styleId="106">
    <w:name w:val="正文文本缩进 2 Char1"/>
    <w:qFormat/>
    <w:uiPriority w:val="0"/>
    <w:rPr>
      <w:kern w:val="2"/>
      <w:sz w:val="21"/>
      <w:szCs w:val="24"/>
    </w:rPr>
  </w:style>
  <w:style w:type="character" w:customStyle="1" w:styleId="107">
    <w:name w:val="huei12b1"/>
    <w:qFormat/>
    <w:uiPriority w:val="0"/>
    <w:rPr>
      <w:b/>
      <w:bCs/>
      <w:color w:val="333333"/>
      <w:sz w:val="20"/>
      <w:szCs w:val="20"/>
    </w:rPr>
  </w:style>
  <w:style w:type="character" w:customStyle="1" w:styleId="108">
    <w:name w:val="标题 3 字符1"/>
    <w:qFormat/>
    <w:uiPriority w:val="0"/>
    <w:rPr>
      <w:b/>
      <w:bCs/>
      <w:kern w:val="2"/>
      <w:sz w:val="32"/>
      <w:szCs w:val="32"/>
    </w:rPr>
  </w:style>
  <w:style w:type="character" w:customStyle="1" w:styleId="109">
    <w:name w:val="font61"/>
    <w:qFormat/>
    <w:uiPriority w:val="0"/>
    <w:rPr>
      <w:rFonts w:hint="default" w:ascii="Times New Roman" w:hAnsi="Times New Roman" w:cs="Times New Roman"/>
      <w:color w:val="000000"/>
      <w:sz w:val="24"/>
      <w:szCs w:val="24"/>
      <w:u w:val="none"/>
    </w:rPr>
  </w:style>
  <w:style w:type="character" w:customStyle="1" w:styleId="110">
    <w:name w:val="font81"/>
    <w:qFormat/>
    <w:uiPriority w:val="0"/>
    <w:rPr>
      <w:rFonts w:hint="default" w:ascii="Times New Roman" w:hAnsi="Times New Roman" w:cs="Times New Roman"/>
      <w:b/>
      <w:color w:val="000000"/>
      <w:sz w:val="24"/>
      <w:szCs w:val="24"/>
      <w:u w:val="none"/>
    </w:rPr>
  </w:style>
  <w:style w:type="character" w:customStyle="1" w:styleId="111">
    <w:name w:val="纯文本 字符1"/>
    <w:qFormat/>
    <w:uiPriority w:val="0"/>
    <w:rPr>
      <w:rFonts w:ascii="宋体" w:hAnsi="Courier New" w:eastAsia="宋体"/>
      <w:kern w:val="2"/>
      <w:sz w:val="24"/>
      <w:szCs w:val="24"/>
      <w:lang w:val="en-US" w:eastAsia="zh-CN" w:bidi="ar-SA"/>
    </w:rPr>
  </w:style>
  <w:style w:type="character" w:customStyle="1" w:styleId="112">
    <w:name w:val="font41"/>
    <w:qFormat/>
    <w:uiPriority w:val="0"/>
    <w:rPr>
      <w:rFonts w:ascii="Arial" w:hAnsi="Arial" w:cs="Arial"/>
      <w:color w:val="333333"/>
      <w:sz w:val="18"/>
      <w:szCs w:val="18"/>
      <w:u w:val="none"/>
    </w:rPr>
  </w:style>
  <w:style w:type="character" w:customStyle="1" w:styleId="113">
    <w:name w:val="标题 Char"/>
    <w:qFormat/>
    <w:uiPriority w:val="0"/>
    <w:rPr>
      <w:rFonts w:ascii="Cambria" w:hAnsi="Cambria" w:cs="Times New Roman"/>
      <w:b/>
      <w:bCs/>
      <w:kern w:val="2"/>
      <w:sz w:val="32"/>
      <w:szCs w:val="32"/>
    </w:rPr>
  </w:style>
  <w:style w:type="character" w:customStyle="1" w:styleId="114">
    <w:name w:val="页脚 Char1"/>
    <w:semiHidden/>
    <w:qFormat/>
    <w:uiPriority w:val="99"/>
    <w:rPr>
      <w:kern w:val="2"/>
      <w:sz w:val="18"/>
      <w:szCs w:val="18"/>
    </w:rPr>
  </w:style>
  <w:style w:type="character" w:customStyle="1" w:styleId="115">
    <w:name w:val="无"/>
    <w:qFormat/>
    <w:uiPriority w:val="0"/>
  </w:style>
  <w:style w:type="character" w:customStyle="1" w:styleId="116">
    <w:name w:val="标题 Char1"/>
    <w:qFormat/>
    <w:uiPriority w:val="10"/>
    <w:rPr>
      <w:rFonts w:ascii="Cambria" w:hAnsi="Cambria" w:cs="Times New Roman"/>
      <w:b/>
      <w:bCs/>
      <w:kern w:val="2"/>
      <w:sz w:val="32"/>
      <w:szCs w:val="32"/>
    </w:rPr>
  </w:style>
  <w:style w:type="character" w:customStyle="1" w:styleId="117">
    <w:name w:val="纯文本 Char2"/>
    <w:qFormat/>
    <w:uiPriority w:val="0"/>
    <w:rPr>
      <w:rFonts w:hint="eastAsia" w:ascii="宋体" w:hAnsi="Courier New" w:eastAsia="宋体" w:cs="Courier New"/>
      <w:kern w:val="2"/>
      <w:sz w:val="21"/>
      <w:szCs w:val="21"/>
    </w:rPr>
  </w:style>
  <w:style w:type="character" w:customStyle="1" w:styleId="118">
    <w:name w:val="批注主题 Char2"/>
    <w:qFormat/>
    <w:uiPriority w:val="0"/>
    <w:rPr>
      <w:b/>
      <w:bCs/>
      <w:kern w:val="2"/>
      <w:sz w:val="21"/>
      <w:szCs w:val="24"/>
    </w:rPr>
  </w:style>
  <w:style w:type="character" w:customStyle="1" w:styleId="119">
    <w:name w:val="列出段落 Char"/>
    <w:qFormat/>
    <w:uiPriority w:val="34"/>
    <w:rPr>
      <w:rFonts w:ascii="Calibri" w:hAnsi="Calibri"/>
      <w:kern w:val="2"/>
      <w:sz w:val="24"/>
      <w:szCs w:val="22"/>
    </w:rPr>
  </w:style>
  <w:style w:type="character" w:customStyle="1" w:styleId="120">
    <w:name w:val="批注主题 Char1"/>
    <w:qFormat/>
    <w:uiPriority w:val="0"/>
    <w:rPr>
      <w:b/>
      <w:bCs/>
      <w:kern w:val="2"/>
      <w:sz w:val="21"/>
      <w:szCs w:val="24"/>
    </w:rPr>
  </w:style>
  <w:style w:type="character" w:customStyle="1" w:styleId="121">
    <w:name w:val="批注文字 Char1"/>
    <w:qFormat/>
    <w:uiPriority w:val="0"/>
    <w:rPr>
      <w:kern w:val="2"/>
      <w:sz w:val="21"/>
      <w:szCs w:val="24"/>
    </w:rPr>
  </w:style>
  <w:style w:type="character" w:customStyle="1" w:styleId="122">
    <w:name w:val="段落行文 Char"/>
    <w:link w:val="123"/>
    <w:qFormat/>
    <w:locked/>
    <w:uiPriority w:val="0"/>
    <w:rPr>
      <w:rFonts w:ascii="仿宋_GB2312" w:eastAsia="仿宋_GB2312"/>
      <w:sz w:val="24"/>
      <w:szCs w:val="24"/>
    </w:rPr>
  </w:style>
  <w:style w:type="paragraph" w:customStyle="1" w:styleId="123">
    <w:name w:val="段落行文"/>
    <w:basedOn w:val="1"/>
    <w:link w:val="122"/>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4">
    <w:name w:val="标题 Char2"/>
    <w:qFormat/>
    <w:uiPriority w:val="0"/>
    <w:rPr>
      <w:rFonts w:ascii="Calibri Light" w:hAnsi="Calibri Light"/>
      <w:b/>
      <w:bCs/>
      <w:kern w:val="2"/>
      <w:sz w:val="32"/>
      <w:szCs w:val="32"/>
    </w:rPr>
  </w:style>
  <w:style w:type="character" w:customStyle="1" w:styleId="125">
    <w:name w:val="未处理的提及1"/>
    <w:unhideWhenUsed/>
    <w:qFormat/>
    <w:uiPriority w:val="99"/>
    <w:rPr>
      <w:color w:val="605E5C"/>
      <w:shd w:val="clear" w:color="auto" w:fill="E1DFDD"/>
    </w:rPr>
  </w:style>
  <w:style w:type="character" w:customStyle="1" w:styleId="126">
    <w:name w:val="Char Char"/>
    <w:qFormat/>
    <w:uiPriority w:val="0"/>
    <w:rPr>
      <w:rFonts w:ascii="宋体" w:hAnsi="Courier New" w:eastAsia="楷体_GB2312"/>
      <w:kern w:val="2"/>
      <w:sz w:val="26"/>
      <w:lang w:val="en-US" w:eastAsia="zh-CN" w:bidi="ar-SA"/>
    </w:rPr>
  </w:style>
  <w:style w:type="character" w:customStyle="1" w:styleId="127">
    <w:name w:val="font11"/>
    <w:qFormat/>
    <w:uiPriority w:val="0"/>
    <w:rPr>
      <w:rFonts w:hint="eastAsia" w:ascii="宋体" w:hAnsi="宋体" w:eastAsia="宋体" w:cs="宋体"/>
      <w:color w:val="000000"/>
      <w:sz w:val="24"/>
      <w:szCs w:val="24"/>
      <w:u w:val="none"/>
    </w:rPr>
  </w:style>
  <w:style w:type="character" w:customStyle="1" w:styleId="128">
    <w:name w:val="批注文字 Char"/>
    <w:qFormat/>
    <w:uiPriority w:val="0"/>
    <w:rPr>
      <w:kern w:val="2"/>
      <w:sz w:val="21"/>
      <w:szCs w:val="24"/>
    </w:rPr>
  </w:style>
  <w:style w:type="character" w:customStyle="1" w:styleId="129">
    <w:name w:val="正文文本缩进 3 Char"/>
    <w:qFormat/>
    <w:uiPriority w:val="0"/>
    <w:rPr>
      <w:rFonts w:ascii="仿宋_GB2312" w:hAnsi="宋体" w:eastAsia="仿宋_GB2312"/>
      <w:color w:val="000000"/>
      <w:kern w:val="2"/>
      <w:sz w:val="24"/>
      <w:szCs w:val="24"/>
    </w:rPr>
  </w:style>
  <w:style w:type="character" w:customStyle="1" w:styleId="130">
    <w:name w:val="正文文本缩进 Char1"/>
    <w:qFormat/>
    <w:uiPriority w:val="99"/>
    <w:rPr>
      <w:kern w:val="2"/>
      <w:sz w:val="21"/>
      <w:szCs w:val="24"/>
    </w:rPr>
  </w:style>
  <w:style w:type="character" w:customStyle="1" w:styleId="131">
    <w:name w:val="无间隔 Char"/>
    <w:link w:val="132"/>
    <w:qFormat/>
    <w:locked/>
    <w:uiPriority w:val="1"/>
    <w:rPr>
      <w:rFonts w:ascii="楷体_GB2312" w:eastAsia="楷体_GB2312"/>
      <w:sz w:val="24"/>
    </w:rPr>
  </w:style>
  <w:style w:type="paragraph" w:customStyle="1" w:styleId="132">
    <w:name w:val="无间隔11"/>
    <w:link w:val="131"/>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3">
    <w:name w:val="正文文本缩进 字符"/>
    <w:qFormat/>
    <w:uiPriority w:val="0"/>
    <w:rPr>
      <w:rFonts w:ascii="宋体" w:hAnsi="Courier New"/>
      <w:spacing w:val="-4"/>
      <w:kern w:val="2"/>
      <w:sz w:val="18"/>
    </w:rPr>
  </w:style>
  <w:style w:type="character" w:customStyle="1" w:styleId="134">
    <w:name w:val="正文文本 2 Char"/>
    <w:qFormat/>
    <w:uiPriority w:val="0"/>
    <w:rPr>
      <w:rFonts w:ascii="宋体" w:hAnsi="宋体"/>
      <w:color w:val="000000"/>
      <w:kern w:val="2"/>
      <w:sz w:val="24"/>
      <w:szCs w:val="24"/>
    </w:rPr>
  </w:style>
  <w:style w:type="character" w:customStyle="1" w:styleId="135">
    <w:name w:val="纯文本 Char Char Char2"/>
    <w:qFormat/>
    <w:locked/>
    <w:uiPriority w:val="0"/>
    <w:rPr>
      <w:rFonts w:ascii="宋体" w:hAnsi="Courier New" w:eastAsia="宋体"/>
      <w:kern w:val="2"/>
      <w:sz w:val="21"/>
      <w:szCs w:val="20"/>
      <w:lang w:val="en-US" w:eastAsia="zh-CN" w:bidi="ar-SA"/>
    </w:rPr>
  </w:style>
  <w:style w:type="character" w:customStyle="1" w:styleId="136">
    <w:name w:val="正文首行缩进 2 Char"/>
    <w:qFormat/>
    <w:uiPriority w:val="0"/>
    <w:rPr>
      <w:rFonts w:ascii="宋体" w:hAnsi="Courier New"/>
      <w:spacing w:val="-4"/>
      <w:kern w:val="2"/>
      <w:sz w:val="21"/>
      <w:szCs w:val="24"/>
    </w:rPr>
  </w:style>
  <w:style w:type="character" w:customStyle="1" w:styleId="137">
    <w:name w:val="正文文本 3 Char1"/>
    <w:qFormat/>
    <w:uiPriority w:val="0"/>
    <w:rPr>
      <w:kern w:val="2"/>
      <w:sz w:val="16"/>
      <w:szCs w:val="16"/>
    </w:rPr>
  </w:style>
  <w:style w:type="character" w:customStyle="1" w:styleId="138">
    <w:name w:val="正文文本缩进 Char2"/>
    <w:qFormat/>
    <w:uiPriority w:val="0"/>
    <w:rPr>
      <w:rFonts w:ascii="宋体" w:hAnsi="Courier New"/>
      <w:spacing w:val="-4"/>
      <w:kern w:val="2"/>
      <w:sz w:val="18"/>
    </w:rPr>
  </w:style>
  <w:style w:type="character" w:customStyle="1" w:styleId="139">
    <w:name w:val="页眉 Char1"/>
    <w:semiHidden/>
    <w:qFormat/>
    <w:uiPriority w:val="99"/>
    <w:rPr>
      <w:kern w:val="2"/>
      <w:sz w:val="18"/>
      <w:szCs w:val="18"/>
    </w:rPr>
  </w:style>
  <w:style w:type="character" w:customStyle="1" w:styleId="140">
    <w:name w:val="页眉 Char"/>
    <w:qFormat/>
    <w:uiPriority w:val="99"/>
    <w:rPr>
      <w:rFonts w:eastAsia="仿宋_GB2312"/>
      <w:kern w:val="2"/>
      <w:sz w:val="18"/>
    </w:rPr>
  </w:style>
  <w:style w:type="character" w:customStyle="1" w:styleId="141">
    <w:name w:val="font21"/>
    <w:qFormat/>
    <w:uiPriority w:val="0"/>
    <w:rPr>
      <w:rFonts w:ascii="Arial" w:hAnsi="Arial" w:cs="Arial"/>
      <w:color w:val="333333"/>
      <w:sz w:val="18"/>
      <w:szCs w:val="18"/>
      <w:u w:val="none"/>
    </w:rPr>
  </w:style>
  <w:style w:type="character" w:customStyle="1" w:styleId="142">
    <w:name w:val="正文文本 3 Char"/>
    <w:qFormat/>
    <w:uiPriority w:val="0"/>
    <w:rPr>
      <w:rFonts w:hAnsi="宋体" w:eastAsia="仿宋_GB2312"/>
      <w:b/>
      <w:bCs/>
      <w:kern w:val="2"/>
      <w:sz w:val="24"/>
    </w:rPr>
  </w:style>
  <w:style w:type="character" w:customStyle="1" w:styleId="143">
    <w:name w:val="文档结构图 Char"/>
    <w:qFormat/>
    <w:uiPriority w:val="0"/>
    <w:rPr>
      <w:rFonts w:ascii="宋体"/>
      <w:kern w:val="2"/>
      <w:sz w:val="18"/>
      <w:szCs w:val="18"/>
    </w:rPr>
  </w:style>
  <w:style w:type="character" w:customStyle="1" w:styleId="144">
    <w:name w:val="纯文本 Char"/>
    <w:qFormat/>
    <w:uiPriority w:val="99"/>
    <w:rPr>
      <w:rFonts w:ascii="宋体" w:hAnsi="Courier New" w:eastAsia="宋体"/>
      <w:kern w:val="2"/>
      <w:sz w:val="24"/>
      <w:szCs w:val="24"/>
      <w:lang w:val="en-US" w:eastAsia="zh-CN" w:bidi="ar-SA"/>
    </w:rPr>
  </w:style>
  <w:style w:type="character" w:customStyle="1" w:styleId="145">
    <w:name w:val="批注框文本 Char"/>
    <w:qFormat/>
    <w:locked/>
    <w:uiPriority w:val="99"/>
    <w:rPr>
      <w:kern w:val="2"/>
      <w:sz w:val="18"/>
      <w:szCs w:val="18"/>
    </w:rPr>
  </w:style>
  <w:style w:type="character" w:customStyle="1" w:styleId="146">
    <w:name w:val="纯文本 Char1_0"/>
    <w:link w:val="147"/>
    <w:qFormat/>
    <w:uiPriority w:val="0"/>
    <w:rPr>
      <w:rFonts w:ascii="宋体" w:hAnsi="Courier New"/>
    </w:rPr>
  </w:style>
  <w:style w:type="paragraph" w:customStyle="1" w:styleId="147">
    <w:name w:val="纯文本_0"/>
    <w:basedOn w:val="1"/>
    <w:link w:val="146"/>
    <w:qFormat/>
    <w:uiPriority w:val="0"/>
    <w:rPr>
      <w:rFonts w:ascii="宋体" w:hAnsi="Courier New" w:eastAsiaTheme="minorEastAsia" w:cstheme="minorBidi"/>
      <w:szCs w:val="22"/>
    </w:rPr>
  </w:style>
  <w:style w:type="character" w:customStyle="1" w:styleId="148">
    <w:name w:val="apple-converted-space"/>
    <w:qFormat/>
    <w:uiPriority w:val="0"/>
  </w:style>
  <w:style w:type="character" w:customStyle="1" w:styleId="149">
    <w:name w:val="正文文本缩进 Char"/>
    <w:qFormat/>
    <w:uiPriority w:val="99"/>
    <w:rPr>
      <w:rFonts w:ascii="宋体" w:hAnsi="Courier New"/>
      <w:spacing w:val="-4"/>
      <w:kern w:val="2"/>
      <w:sz w:val="18"/>
    </w:rPr>
  </w:style>
  <w:style w:type="character" w:customStyle="1" w:styleId="150">
    <w:name w:val="批注文字 字符"/>
    <w:qFormat/>
    <w:uiPriority w:val="0"/>
    <w:rPr>
      <w:kern w:val="2"/>
      <w:sz w:val="21"/>
    </w:rPr>
  </w:style>
  <w:style w:type="character" w:customStyle="1" w:styleId="151">
    <w:name w:val="标题 2 Char1"/>
    <w:qFormat/>
    <w:uiPriority w:val="0"/>
    <w:rPr>
      <w:rFonts w:ascii="Arial" w:hAnsi="Arial" w:eastAsia="黑体"/>
      <w:b/>
      <w:bCs/>
      <w:kern w:val="2"/>
      <w:sz w:val="32"/>
      <w:szCs w:val="32"/>
    </w:rPr>
  </w:style>
  <w:style w:type="character" w:customStyle="1" w:styleId="152">
    <w:name w:val="gheadertext1"/>
    <w:qFormat/>
    <w:uiPriority w:val="0"/>
    <w:rPr>
      <w:rFonts w:hint="default" w:ascii="Arial" w:hAnsi="Arial" w:cs="Arial"/>
      <w:b/>
      <w:bCs/>
      <w:color w:val="005E00"/>
      <w:sz w:val="26"/>
      <w:szCs w:val="26"/>
    </w:rPr>
  </w:style>
  <w:style w:type="character" w:customStyle="1" w:styleId="153">
    <w:name w:val="纯文本 Char3"/>
    <w:qFormat/>
    <w:uiPriority w:val="0"/>
    <w:rPr>
      <w:rFonts w:ascii="宋体" w:hAnsi="Courier New" w:eastAsia="宋体"/>
      <w:kern w:val="2"/>
      <w:sz w:val="24"/>
      <w:szCs w:val="24"/>
      <w:lang w:val="en-US" w:eastAsia="zh-CN" w:bidi="ar-SA"/>
    </w:rPr>
  </w:style>
  <w:style w:type="character" w:customStyle="1" w:styleId="154">
    <w:name w:val="正文文本 Char"/>
    <w:qFormat/>
    <w:uiPriority w:val="0"/>
    <w:rPr>
      <w:kern w:val="2"/>
      <w:sz w:val="28"/>
      <w:szCs w:val="24"/>
    </w:rPr>
  </w:style>
  <w:style w:type="character" w:customStyle="1" w:styleId="155">
    <w:name w:val="副标题 Char1"/>
    <w:qFormat/>
    <w:uiPriority w:val="0"/>
    <w:rPr>
      <w:rFonts w:hint="default" w:ascii="Cambria" w:hAnsi="Cambria" w:cs="Times New Roman"/>
      <w:b/>
      <w:bCs/>
      <w:kern w:val="28"/>
      <w:sz w:val="32"/>
      <w:szCs w:val="32"/>
    </w:rPr>
  </w:style>
  <w:style w:type="character" w:customStyle="1" w:styleId="156">
    <w:name w:val="font121"/>
    <w:qFormat/>
    <w:uiPriority w:val="0"/>
    <w:rPr>
      <w:rFonts w:hint="eastAsia" w:ascii="宋体" w:hAnsi="宋体" w:eastAsia="宋体" w:cs="宋体"/>
      <w:color w:val="FF0000"/>
      <w:sz w:val="20"/>
      <w:szCs w:val="20"/>
      <w:u w:val="none"/>
    </w:rPr>
  </w:style>
  <w:style w:type="character" w:customStyle="1" w:styleId="157">
    <w:name w:val="unnamed1"/>
    <w:basedOn w:val="50"/>
    <w:qFormat/>
    <w:uiPriority w:val="0"/>
  </w:style>
  <w:style w:type="character" w:customStyle="1" w:styleId="158">
    <w:name w:val="正文2 Char"/>
    <w:link w:val="159"/>
    <w:qFormat/>
    <w:locked/>
    <w:uiPriority w:val="0"/>
    <w:rPr>
      <w:sz w:val="24"/>
    </w:rPr>
  </w:style>
  <w:style w:type="paragraph" w:customStyle="1" w:styleId="159">
    <w:name w:val="正文2"/>
    <w:basedOn w:val="1"/>
    <w:link w:val="158"/>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0">
    <w:name w:val="正文文本缩进 2 Char"/>
    <w:qFormat/>
    <w:uiPriority w:val="0"/>
    <w:rPr>
      <w:rFonts w:ascii="仿宋_GB2312" w:hAnsi="宋体" w:cs="Arial"/>
      <w:b/>
      <w:bCs/>
      <w:color w:val="000000"/>
      <w:kern w:val="2"/>
      <w:sz w:val="24"/>
      <w:szCs w:val="24"/>
    </w:rPr>
  </w:style>
  <w:style w:type="character" w:customStyle="1" w:styleId="161">
    <w:name w:val="正文文本 Char Char"/>
    <w:qFormat/>
    <w:uiPriority w:val="0"/>
    <w:rPr>
      <w:kern w:val="2"/>
      <w:sz w:val="28"/>
      <w:szCs w:val="24"/>
    </w:rPr>
  </w:style>
  <w:style w:type="character" w:customStyle="1" w:styleId="162">
    <w:name w:val="标准正文格式 Char Char"/>
    <w:link w:val="163"/>
    <w:qFormat/>
    <w:uiPriority w:val="0"/>
    <w:rPr>
      <w:rFonts w:ascii="宋体" w:eastAsia="仿宋_GB2312" w:cs="宋体"/>
      <w:color w:val="000000"/>
      <w:sz w:val="24"/>
    </w:rPr>
  </w:style>
  <w:style w:type="paragraph" w:customStyle="1" w:styleId="163">
    <w:name w:val="标准正文格式"/>
    <w:basedOn w:val="1"/>
    <w:link w:val="16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4">
    <w:name w:val="font51"/>
    <w:qFormat/>
    <w:uiPriority w:val="0"/>
    <w:rPr>
      <w:rFonts w:ascii="Arial" w:hAnsi="Arial" w:cs="Arial"/>
      <w:color w:val="333333"/>
      <w:sz w:val="18"/>
      <w:szCs w:val="18"/>
      <w:u w:val="none"/>
    </w:rPr>
  </w:style>
  <w:style w:type="character" w:customStyle="1" w:styleId="165">
    <w:name w:val="标书正文 Char Char"/>
    <w:link w:val="166"/>
    <w:qFormat/>
    <w:uiPriority w:val="0"/>
    <w:rPr>
      <w:color w:val="000000"/>
      <w:sz w:val="24"/>
    </w:rPr>
  </w:style>
  <w:style w:type="paragraph" w:customStyle="1" w:styleId="166">
    <w:name w:val="标书正文"/>
    <w:basedOn w:val="1"/>
    <w:link w:val="165"/>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7">
    <w:name w:val="c lh15"/>
    <w:qFormat/>
    <w:uiPriority w:val="0"/>
    <w:rPr>
      <w:sz w:val="28"/>
      <w:szCs w:val="20"/>
    </w:rPr>
  </w:style>
  <w:style w:type="character" w:customStyle="1" w:styleId="168">
    <w:name w:val="style1"/>
    <w:qFormat/>
    <w:uiPriority w:val="0"/>
    <w:rPr>
      <w:sz w:val="28"/>
      <w:szCs w:val="20"/>
    </w:rPr>
  </w:style>
  <w:style w:type="character" w:customStyle="1" w:styleId="169">
    <w:name w:val="批注框文本 Char1"/>
    <w:semiHidden/>
    <w:qFormat/>
    <w:uiPriority w:val="99"/>
    <w:rPr>
      <w:kern w:val="2"/>
      <w:sz w:val="18"/>
      <w:szCs w:val="18"/>
    </w:rPr>
  </w:style>
  <w:style w:type="character" w:customStyle="1" w:styleId="170">
    <w:name w:val="lineb1"/>
    <w:qFormat/>
    <w:uiPriority w:val="0"/>
  </w:style>
  <w:style w:type="character" w:customStyle="1" w:styleId="171">
    <w:name w:val="zbggmain style9"/>
    <w:basedOn w:val="50"/>
    <w:qFormat/>
    <w:uiPriority w:val="0"/>
  </w:style>
  <w:style w:type="character" w:customStyle="1" w:styleId="172">
    <w:name w:val="正文文本 2 Char1"/>
    <w:qFormat/>
    <w:uiPriority w:val="0"/>
    <w:rPr>
      <w:kern w:val="2"/>
      <w:sz w:val="21"/>
      <w:szCs w:val="24"/>
    </w:rPr>
  </w:style>
  <w:style w:type="character" w:customStyle="1" w:styleId="173">
    <w:name w:val="font71"/>
    <w:qFormat/>
    <w:uiPriority w:val="0"/>
    <w:rPr>
      <w:rFonts w:hint="default" w:ascii="Times New Roman" w:hAnsi="Times New Roman" w:cs="Times New Roman"/>
      <w:color w:val="000000"/>
      <w:sz w:val="24"/>
      <w:szCs w:val="24"/>
      <w:u w:val="none"/>
    </w:rPr>
  </w:style>
  <w:style w:type="character" w:customStyle="1" w:styleId="174">
    <w:name w:val="书籍标题1"/>
    <w:qFormat/>
    <w:uiPriority w:val="33"/>
    <w:rPr>
      <w:rFonts w:eastAsia="Songti SC Regular"/>
      <w:bCs/>
      <w:smallCaps/>
      <w:spacing w:val="5"/>
      <w:sz w:val="32"/>
    </w:rPr>
  </w:style>
  <w:style w:type="character" w:customStyle="1" w:styleId="175">
    <w:name w:val="副标题 Char"/>
    <w:qFormat/>
    <w:uiPriority w:val="0"/>
    <w:rPr>
      <w:rFonts w:ascii="Cambria" w:hAnsi="Cambria" w:cs="宋体"/>
      <w:bCs/>
      <w:kern w:val="28"/>
      <w:sz w:val="18"/>
      <w:szCs w:val="32"/>
    </w:rPr>
  </w:style>
  <w:style w:type="character" w:customStyle="1" w:styleId="176">
    <w:name w:val="正文缩进 字符1"/>
    <w:qFormat/>
    <w:uiPriority w:val="0"/>
    <w:rPr>
      <w:rFonts w:eastAsia="宋体"/>
      <w:kern w:val="2"/>
      <w:sz w:val="21"/>
      <w:lang w:val="en-US" w:eastAsia="zh-CN" w:bidi="ar-SA"/>
    </w:rPr>
  </w:style>
  <w:style w:type="character" w:customStyle="1" w:styleId="177">
    <w:name w:val="apple-style-span"/>
    <w:qFormat/>
    <w:uiPriority w:val="0"/>
  </w:style>
  <w:style w:type="character" w:customStyle="1" w:styleId="178">
    <w:name w:val="正文文本缩进 3 Char1"/>
    <w:qFormat/>
    <w:uiPriority w:val="0"/>
    <w:rPr>
      <w:kern w:val="2"/>
      <w:sz w:val="16"/>
      <w:szCs w:val="16"/>
    </w:rPr>
  </w:style>
  <w:style w:type="character" w:customStyle="1" w:styleId="179">
    <w:name w:val="正文文本缩进 字符1"/>
    <w:qFormat/>
    <w:uiPriority w:val="0"/>
    <w:rPr>
      <w:rFonts w:ascii="宋体" w:hAnsi="Courier New"/>
      <w:spacing w:val="-4"/>
      <w:kern w:val="2"/>
      <w:sz w:val="18"/>
    </w:rPr>
  </w:style>
  <w:style w:type="character" w:customStyle="1" w:styleId="180">
    <w:name w:val="font112"/>
    <w:qFormat/>
    <w:uiPriority w:val="0"/>
    <w:rPr>
      <w:rFonts w:hint="eastAsia" w:ascii="宋体" w:hAnsi="宋体" w:eastAsia="宋体" w:cs="宋体"/>
      <w:color w:val="000000"/>
      <w:sz w:val="20"/>
      <w:szCs w:val="20"/>
      <w:u w:val="none"/>
    </w:rPr>
  </w:style>
  <w:style w:type="character" w:customStyle="1" w:styleId="181">
    <w:name w:val="表正文 Char"/>
    <w:qFormat/>
    <w:uiPriority w:val="0"/>
    <w:rPr>
      <w:rFonts w:eastAsia="宋体"/>
      <w:kern w:val="2"/>
      <w:sz w:val="21"/>
      <w:lang w:val="en-US" w:eastAsia="zh-CN" w:bidi="ar-SA"/>
    </w:rPr>
  </w:style>
  <w:style w:type="character" w:customStyle="1" w:styleId="182">
    <w:name w:val="标题 1 Char Char"/>
    <w:qFormat/>
    <w:uiPriority w:val="0"/>
    <w:rPr>
      <w:rFonts w:eastAsia="宋体"/>
      <w:b/>
      <w:spacing w:val="-2"/>
      <w:sz w:val="24"/>
      <w:lang w:val="en-US" w:eastAsia="zh-CN" w:bidi="ar-SA"/>
    </w:rPr>
  </w:style>
  <w:style w:type="character" w:customStyle="1" w:styleId="183">
    <w:name w:val="style8"/>
    <w:qFormat/>
    <w:uiPriority w:val="0"/>
    <w:rPr>
      <w:sz w:val="28"/>
      <w:szCs w:val="20"/>
    </w:rPr>
  </w:style>
  <w:style w:type="character" w:customStyle="1" w:styleId="184">
    <w:name w:val="日期 Char"/>
    <w:qFormat/>
    <w:uiPriority w:val="0"/>
    <w:rPr>
      <w:rFonts w:eastAsia="楷体_GB2312"/>
      <w:kern w:val="2"/>
      <w:sz w:val="32"/>
    </w:rPr>
  </w:style>
  <w:style w:type="character" w:customStyle="1" w:styleId="185">
    <w:name w:val="正文缩进 Char"/>
    <w:qFormat/>
    <w:uiPriority w:val="0"/>
    <w:rPr>
      <w:rFonts w:eastAsia="宋体"/>
      <w:kern w:val="2"/>
      <w:sz w:val="21"/>
      <w:lang w:val="en-US" w:eastAsia="zh-CN" w:bidi="ar-SA"/>
    </w:rPr>
  </w:style>
  <w:style w:type="character" w:customStyle="1" w:styleId="186">
    <w:name w:val="批注文字 Char2"/>
    <w:qFormat/>
    <w:uiPriority w:val="0"/>
    <w:rPr>
      <w:kern w:val="2"/>
      <w:sz w:val="21"/>
    </w:rPr>
  </w:style>
  <w:style w:type="character" w:customStyle="1" w:styleId="187">
    <w:name w:val="论文正文样式 Char Char"/>
    <w:link w:val="188"/>
    <w:qFormat/>
    <w:locked/>
    <w:uiPriority w:val="0"/>
    <w:rPr>
      <w:szCs w:val="21"/>
    </w:rPr>
  </w:style>
  <w:style w:type="paragraph" w:customStyle="1" w:styleId="188">
    <w:name w:val="论文正文样式"/>
    <w:basedOn w:val="1"/>
    <w:link w:val="187"/>
    <w:qFormat/>
    <w:uiPriority w:val="0"/>
    <w:pPr>
      <w:spacing w:line="360" w:lineRule="auto"/>
    </w:pPr>
    <w:rPr>
      <w:rFonts w:asciiTheme="minorHAnsi" w:hAnsiTheme="minorHAnsi" w:eastAsiaTheme="minorEastAsia" w:cstheme="minorBidi"/>
      <w:szCs w:val="21"/>
    </w:rPr>
  </w:style>
  <w:style w:type="character" w:customStyle="1" w:styleId="189">
    <w:name w:val="纯文本 Char1"/>
    <w:qFormat/>
    <w:uiPriority w:val="0"/>
    <w:rPr>
      <w:rFonts w:ascii="宋体" w:hAnsi="Courier New" w:eastAsia="宋体"/>
      <w:kern w:val="2"/>
      <w:sz w:val="24"/>
      <w:szCs w:val="24"/>
      <w:lang w:val="en-US" w:eastAsia="zh-CN" w:bidi="ar-SA"/>
    </w:rPr>
  </w:style>
  <w:style w:type="character" w:customStyle="1" w:styleId="190">
    <w:name w:val="font01"/>
    <w:qFormat/>
    <w:uiPriority w:val="0"/>
    <w:rPr>
      <w:rFonts w:hint="eastAsia" w:ascii="宋体" w:hAnsi="宋体" w:eastAsia="宋体" w:cs="宋体"/>
      <w:b/>
      <w:color w:val="000000"/>
      <w:sz w:val="24"/>
      <w:szCs w:val="24"/>
      <w:u w:val="none"/>
    </w:rPr>
  </w:style>
  <w:style w:type="character" w:customStyle="1" w:styleId="191">
    <w:name w:val="论文正文样式 Char"/>
    <w:qFormat/>
    <w:uiPriority w:val="0"/>
    <w:rPr>
      <w:rFonts w:hint="default" w:ascii="Times New Roman" w:hAnsi="Times New Roman" w:cs="Times New Roman"/>
      <w:kern w:val="2"/>
      <w:sz w:val="21"/>
      <w:szCs w:val="21"/>
    </w:rPr>
  </w:style>
  <w:style w:type="character" w:customStyle="1" w:styleId="192">
    <w:name w:val="书籍标题111"/>
    <w:qFormat/>
    <w:uiPriority w:val="33"/>
    <w:rPr>
      <w:rFonts w:eastAsia="Songti SC Regular"/>
      <w:bCs/>
      <w:smallCaps/>
      <w:spacing w:val="5"/>
      <w:sz w:val="32"/>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5">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6">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7">
    <w:name w:val="列出段落2"/>
    <w:basedOn w:val="1"/>
    <w:qFormat/>
    <w:uiPriority w:val="0"/>
    <w:pPr>
      <w:ind w:firstLine="420" w:firstLineChars="200"/>
    </w:pPr>
    <w:rPr>
      <w:rFonts w:cs="宋体"/>
      <w:sz w:val="24"/>
      <w:szCs w:val="22"/>
    </w:rPr>
  </w:style>
  <w:style w:type="paragraph" w:customStyle="1" w:styleId="1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199">
    <w:name w:val="正文首行缩进 2 Char1"/>
    <w:basedOn w:val="58"/>
    <w:qFormat/>
    <w:uiPriority w:val="0"/>
    <w:rPr>
      <w:rFonts w:ascii="Calibri" w:hAnsi="Calibri" w:eastAsia="宋体" w:cs="Times New Roman"/>
      <w:szCs w:val="24"/>
    </w:rPr>
  </w:style>
  <w:style w:type="paragraph" w:customStyle="1" w:styleId="2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2">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3">
    <w:name w:val="批注主题 Char3"/>
    <w:basedOn w:val="71"/>
    <w:semiHidden/>
    <w:qFormat/>
    <w:uiPriority w:val="99"/>
    <w:rPr>
      <w:rFonts w:ascii="Calibri" w:hAnsi="Calibri" w:eastAsia="宋体" w:cs="Times New Roman"/>
      <w:b/>
      <w:bCs/>
      <w:szCs w:val="24"/>
    </w:rPr>
  </w:style>
  <w:style w:type="paragraph" w:styleId="204">
    <w:name w:val="No Spacing"/>
    <w:qFormat/>
    <w:uiPriority w:val="1"/>
    <w:rPr>
      <w:rFonts w:ascii="Calibri" w:hAnsi="Calibri" w:eastAsia="宋体" w:cs="宋体"/>
      <w:sz w:val="22"/>
      <w:szCs w:val="22"/>
      <w:lang w:val="en-US" w:eastAsia="zh-CN" w:bidi="ar-SA"/>
    </w:rPr>
  </w:style>
  <w:style w:type="paragraph" w:customStyle="1" w:styleId="2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6">
    <w:name w:val="正文文本 Char2"/>
    <w:basedOn w:val="50"/>
    <w:semiHidden/>
    <w:qFormat/>
    <w:uiPriority w:val="99"/>
    <w:rPr>
      <w:rFonts w:ascii="Calibri" w:hAnsi="Calibri" w:eastAsia="宋体" w:cs="Times New Roman"/>
      <w:szCs w:val="24"/>
    </w:rPr>
  </w:style>
  <w:style w:type="paragraph" w:customStyle="1" w:styleId="20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08">
    <w:name w:val="正文文本缩进 3 Char2"/>
    <w:basedOn w:val="50"/>
    <w:semiHidden/>
    <w:qFormat/>
    <w:uiPriority w:val="99"/>
    <w:rPr>
      <w:rFonts w:ascii="Calibri" w:hAnsi="Calibri" w:eastAsia="宋体" w:cs="Times New Roman"/>
      <w:sz w:val="16"/>
      <w:szCs w:val="16"/>
    </w:rPr>
  </w:style>
  <w:style w:type="paragraph" w:customStyle="1" w:styleId="209">
    <w:name w:val="Char Char Char Char"/>
    <w:basedOn w:val="1"/>
    <w:qFormat/>
    <w:uiPriority w:val="99"/>
    <w:pPr>
      <w:widowControl/>
      <w:jc w:val="left"/>
    </w:pPr>
    <w:rPr>
      <w:rFonts w:cs="宋体"/>
      <w:kern w:val="0"/>
      <w:sz w:val="24"/>
    </w:rPr>
  </w:style>
  <w:style w:type="paragraph" w:customStyle="1" w:styleId="210">
    <w:name w:val="Char Char Char Char Char Char Char1"/>
    <w:basedOn w:val="1"/>
    <w:qFormat/>
    <w:uiPriority w:val="0"/>
    <w:rPr>
      <w:rFonts w:ascii="Arial" w:hAnsi="Arial" w:cs="Arial"/>
      <w:szCs w:val="21"/>
    </w:rPr>
  </w:style>
  <w:style w:type="paragraph" w:customStyle="1" w:styleId="21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2">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4">
    <w:name w:val="正文缩进1"/>
    <w:basedOn w:val="1"/>
    <w:next w:val="3"/>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5">
    <w:name w:val="批注框文本 Char2"/>
    <w:basedOn w:val="50"/>
    <w:semiHidden/>
    <w:qFormat/>
    <w:uiPriority w:val="99"/>
    <w:rPr>
      <w:rFonts w:ascii="Calibri" w:hAnsi="Calibri" w:eastAsia="宋体" w:cs="Times New Roman"/>
      <w:sz w:val="18"/>
      <w:szCs w:val="18"/>
    </w:rPr>
  </w:style>
  <w:style w:type="paragraph" w:customStyle="1" w:styleId="216">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18">
    <w:name w:val="文档结构图 Char2"/>
    <w:basedOn w:val="50"/>
    <w:semiHidden/>
    <w:qFormat/>
    <w:uiPriority w:val="99"/>
    <w:rPr>
      <w:rFonts w:ascii="宋体" w:hAnsi="Calibri" w:eastAsia="宋体" w:cs="Times New Roman"/>
      <w:sz w:val="18"/>
      <w:szCs w:val="18"/>
    </w:rPr>
  </w:style>
  <w:style w:type="character" w:customStyle="1" w:styleId="219">
    <w:name w:val="日期 Char2"/>
    <w:basedOn w:val="50"/>
    <w:semiHidden/>
    <w:qFormat/>
    <w:uiPriority w:val="99"/>
    <w:rPr>
      <w:rFonts w:ascii="Calibri" w:hAnsi="Calibri" w:eastAsia="宋体" w:cs="Times New Roman"/>
      <w:szCs w:val="24"/>
    </w:rPr>
  </w:style>
  <w:style w:type="paragraph" w:customStyle="1" w:styleId="220">
    <w:name w:val="Char Char12"/>
    <w:basedOn w:val="1"/>
    <w:qFormat/>
    <w:uiPriority w:val="0"/>
    <w:rPr>
      <w:szCs w:val="21"/>
    </w:rPr>
  </w:style>
  <w:style w:type="paragraph" w:customStyle="1" w:styleId="221">
    <w:name w:val="Char2"/>
    <w:basedOn w:val="1"/>
    <w:qFormat/>
    <w:uiPriority w:val="0"/>
    <w:pPr>
      <w:numPr>
        <w:ilvl w:val="0"/>
        <w:numId w:val="3"/>
      </w:numPr>
      <w:tabs>
        <w:tab w:val="left" w:pos="1200"/>
        <w:tab w:val="clear" w:pos="420"/>
      </w:tabs>
    </w:pPr>
    <w:rPr>
      <w:rFonts w:cs="宋体"/>
      <w:sz w:val="24"/>
    </w:rPr>
  </w:style>
  <w:style w:type="paragraph" w:customStyle="1" w:styleId="222">
    <w:name w:val="XH BodyTextV1"/>
    <w:basedOn w:val="1"/>
    <w:qFormat/>
    <w:uiPriority w:val="0"/>
    <w:pPr>
      <w:spacing w:after="120" w:line="288" w:lineRule="auto"/>
      <w:jc w:val="left"/>
    </w:pPr>
    <w:rPr>
      <w:rFonts w:cs="宋体"/>
      <w:b/>
      <w:color w:val="FF0000"/>
      <w:sz w:val="24"/>
      <w:szCs w:val="22"/>
    </w:rPr>
  </w:style>
  <w:style w:type="character" w:customStyle="1" w:styleId="223">
    <w:name w:val="正文文本 3 Char2"/>
    <w:basedOn w:val="50"/>
    <w:semiHidden/>
    <w:qFormat/>
    <w:uiPriority w:val="99"/>
    <w:rPr>
      <w:rFonts w:ascii="Calibri" w:hAnsi="Calibri" w:eastAsia="宋体" w:cs="Times New Roman"/>
      <w:sz w:val="16"/>
      <w:szCs w:val="16"/>
    </w:rPr>
  </w:style>
  <w:style w:type="paragraph" w:customStyle="1" w:styleId="224">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7">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2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9">
    <w:name w:val="页眉 Char2"/>
    <w:basedOn w:val="50"/>
    <w:semiHidden/>
    <w:qFormat/>
    <w:uiPriority w:val="99"/>
    <w:rPr>
      <w:rFonts w:ascii="Calibri" w:hAnsi="Calibri" w:eastAsia="宋体" w:cs="Times New Roman"/>
      <w:sz w:val="18"/>
      <w:szCs w:val="18"/>
    </w:rPr>
  </w:style>
  <w:style w:type="paragraph" w:customStyle="1" w:styleId="23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1">
    <w:name w:val="Char Char Char Char Char Char"/>
    <w:basedOn w:val="1"/>
    <w:qFormat/>
    <w:uiPriority w:val="0"/>
    <w:pPr>
      <w:ind w:firstLine="200" w:firstLineChars="200"/>
    </w:pPr>
  </w:style>
  <w:style w:type="character" w:customStyle="1" w:styleId="232">
    <w:name w:val="页脚 Char2"/>
    <w:basedOn w:val="50"/>
    <w:semiHidden/>
    <w:qFormat/>
    <w:uiPriority w:val="99"/>
    <w:rPr>
      <w:rFonts w:ascii="Calibri" w:hAnsi="Calibri" w:eastAsia="宋体" w:cs="Times New Roman"/>
      <w:sz w:val="18"/>
      <w:szCs w:val="18"/>
    </w:rPr>
  </w:style>
  <w:style w:type="paragraph" w:customStyle="1" w:styleId="233">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34">
    <w:name w:val="正文文本缩进 2 Char2"/>
    <w:basedOn w:val="50"/>
    <w:semiHidden/>
    <w:qFormat/>
    <w:uiPriority w:val="99"/>
    <w:rPr>
      <w:rFonts w:ascii="Calibri" w:hAnsi="Calibri" w:eastAsia="宋体" w:cs="Times New Roman"/>
      <w:szCs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6">
    <w:name w:val="纯文本 Char4"/>
    <w:basedOn w:val="50"/>
    <w:qFormat/>
    <w:uiPriority w:val="0"/>
    <w:rPr>
      <w:rFonts w:ascii="宋体" w:hAnsi="Courier New" w:eastAsia="宋体" w:cs="Courier New"/>
      <w:szCs w:val="21"/>
    </w:rPr>
  </w:style>
  <w:style w:type="paragraph" w:customStyle="1" w:styleId="23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Char Char1 Char1"/>
    <w:basedOn w:val="1"/>
    <w:qFormat/>
    <w:uiPriority w:val="0"/>
    <w:pPr>
      <w:tabs>
        <w:tab w:val="left" w:pos="360"/>
      </w:tabs>
    </w:pPr>
    <w:rPr>
      <w:rFonts w:cs="宋体"/>
      <w:sz w:val="24"/>
    </w:rPr>
  </w:style>
  <w:style w:type="paragraph" w:customStyle="1" w:styleId="239">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0">
    <w:name w:val="副标题 Char2"/>
    <w:basedOn w:val="50"/>
    <w:qFormat/>
    <w:uiPriority w:val="11"/>
    <w:rPr>
      <w:rFonts w:eastAsia="宋体" w:asciiTheme="majorHAnsi" w:hAnsiTheme="majorHAnsi" w:cstheme="majorBidi"/>
      <w:b/>
      <w:bCs/>
      <w:kern w:val="28"/>
      <w:sz w:val="32"/>
      <w:szCs w:val="32"/>
    </w:rPr>
  </w:style>
  <w:style w:type="paragraph" w:customStyle="1" w:styleId="24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2">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3">
    <w:name w:val="标题 Char3"/>
    <w:basedOn w:val="50"/>
    <w:qFormat/>
    <w:uiPriority w:val="10"/>
    <w:rPr>
      <w:rFonts w:eastAsia="宋体" w:asciiTheme="majorHAnsi" w:hAnsiTheme="majorHAnsi" w:cstheme="majorBidi"/>
      <w:b/>
      <w:bCs/>
      <w:sz w:val="32"/>
      <w:szCs w:val="32"/>
    </w:rPr>
  </w:style>
  <w:style w:type="paragraph" w:customStyle="1" w:styleId="244">
    <w:name w:val="正文段"/>
    <w:basedOn w:val="1"/>
    <w:qFormat/>
    <w:uiPriority w:val="0"/>
    <w:pPr>
      <w:widowControl/>
      <w:snapToGrid w:val="0"/>
      <w:spacing w:afterLines="50"/>
      <w:ind w:firstLine="200" w:firstLineChars="200"/>
    </w:pPr>
    <w:rPr>
      <w:kern w:val="0"/>
      <w:sz w:val="24"/>
      <w:szCs w:val="20"/>
    </w:rPr>
  </w:style>
  <w:style w:type="paragraph" w:customStyle="1" w:styleId="245">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8">
    <w:name w:val="Char1"/>
    <w:basedOn w:val="1"/>
    <w:qFormat/>
    <w:uiPriority w:val="99"/>
    <w:rPr>
      <w:rFonts w:ascii="仿宋_GB2312" w:eastAsia="仿宋_GB2312"/>
      <w:b/>
      <w:sz w:val="32"/>
      <w:szCs w:val="32"/>
    </w:rPr>
  </w:style>
  <w:style w:type="paragraph" w:customStyle="1" w:styleId="2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0">
    <w:name w:val="正文文本 2 Char2"/>
    <w:basedOn w:val="50"/>
    <w:semiHidden/>
    <w:qFormat/>
    <w:uiPriority w:val="99"/>
    <w:rPr>
      <w:rFonts w:ascii="Calibri" w:hAnsi="Calibri" w:eastAsia="宋体" w:cs="Times New Roman"/>
      <w:szCs w:val="24"/>
    </w:rPr>
  </w:style>
  <w:style w:type="paragraph" w:customStyle="1" w:styleId="251">
    <w:name w:val="无间隔1"/>
    <w:qFormat/>
    <w:uiPriority w:val="0"/>
    <w:rPr>
      <w:rFonts w:ascii="Calibri" w:hAnsi="Calibri" w:eastAsia="宋体" w:cs="Times New Roman"/>
      <w:sz w:val="22"/>
      <w:szCs w:val="22"/>
      <w:lang w:val="en-US" w:eastAsia="zh-CN" w:bidi="ar-SA"/>
    </w:rPr>
  </w:style>
  <w:style w:type="paragraph" w:customStyle="1" w:styleId="2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6">
    <w:name w:val="Char Char Char Char Char Char1"/>
    <w:basedOn w:val="1"/>
    <w:qFormat/>
    <w:uiPriority w:val="0"/>
    <w:pPr>
      <w:widowControl/>
      <w:spacing w:after="160" w:line="240" w:lineRule="exact"/>
      <w:jc w:val="left"/>
    </w:pPr>
    <w:rPr>
      <w:kern w:val="0"/>
      <w:szCs w:val="20"/>
    </w:rPr>
  </w:style>
  <w:style w:type="paragraph" w:customStyle="1" w:styleId="2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58">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2">
    <w:name w:val="段落样式"/>
    <w:basedOn w:val="1"/>
    <w:qFormat/>
    <w:uiPriority w:val="0"/>
    <w:pPr>
      <w:spacing w:line="360" w:lineRule="auto"/>
    </w:pPr>
    <w:rPr>
      <w:rFonts w:cs="宋体"/>
      <w:sz w:val="24"/>
      <w:szCs w:val="20"/>
    </w:rPr>
  </w:style>
  <w:style w:type="paragraph" w:customStyle="1" w:styleId="263">
    <w:name w:val="Char Char1 Char"/>
    <w:basedOn w:val="1"/>
    <w:qFormat/>
    <w:uiPriority w:val="0"/>
    <w:pPr>
      <w:tabs>
        <w:tab w:val="left" w:pos="360"/>
      </w:tabs>
    </w:pPr>
    <w:rPr>
      <w:rFonts w:cs="宋体"/>
      <w:sz w:val="24"/>
    </w:rPr>
  </w:style>
  <w:style w:type="paragraph" w:customStyle="1" w:styleId="2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5">
    <w:name w:val="列出段落1"/>
    <w:basedOn w:val="1"/>
    <w:qFormat/>
    <w:uiPriority w:val="99"/>
    <w:pPr>
      <w:ind w:firstLine="420" w:firstLineChars="200"/>
    </w:pPr>
    <w:rPr>
      <w:rFonts w:cs="宋体"/>
      <w:sz w:val="24"/>
      <w:szCs w:val="22"/>
    </w:rPr>
  </w:style>
  <w:style w:type="paragraph" w:customStyle="1" w:styleId="2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9">
    <w:name w:val="Char Char Char Char Char Char Char"/>
    <w:basedOn w:val="1"/>
    <w:qFormat/>
    <w:uiPriority w:val="0"/>
    <w:rPr>
      <w:rFonts w:cs="宋体"/>
      <w:sz w:val="24"/>
      <w:szCs w:val="21"/>
    </w:rPr>
  </w:style>
  <w:style w:type="paragraph" w:customStyle="1" w:styleId="270">
    <w:name w:val="Char Char Char Char1"/>
    <w:basedOn w:val="1"/>
    <w:qFormat/>
    <w:uiPriority w:val="0"/>
    <w:pPr>
      <w:widowControl/>
      <w:jc w:val="left"/>
    </w:pPr>
    <w:rPr>
      <w:rFonts w:cs="宋体"/>
      <w:kern w:val="0"/>
      <w:sz w:val="24"/>
    </w:rPr>
  </w:style>
  <w:style w:type="paragraph" w:customStyle="1" w:styleId="27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2">
    <w:name w:val="TOC 标题1"/>
    <w:basedOn w:val="4"/>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3">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6">
    <w:name w:val="列出段落11"/>
    <w:basedOn w:val="1"/>
    <w:qFormat/>
    <w:uiPriority w:val="0"/>
    <w:pPr>
      <w:ind w:firstLine="420" w:firstLineChars="200"/>
    </w:pPr>
    <w:rPr>
      <w:rFonts w:cs="宋体"/>
      <w:sz w:val="24"/>
    </w:rPr>
  </w:style>
  <w:style w:type="paragraph" w:customStyle="1" w:styleId="2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7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0">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2">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6">
    <w:name w:val="*正文"/>
    <w:basedOn w:val="1"/>
    <w:qFormat/>
    <w:uiPriority w:val="0"/>
    <w:pPr>
      <w:spacing w:line="360" w:lineRule="auto"/>
      <w:ind w:firstLine="480" w:firstLineChars="200"/>
    </w:pPr>
    <w:rPr>
      <w:rFonts w:cs="仿宋_GB2312"/>
      <w:sz w:val="24"/>
    </w:rPr>
  </w:style>
  <w:style w:type="paragraph" w:customStyle="1" w:styleId="2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8">
    <w:name w:val="Char Char2"/>
    <w:basedOn w:val="19"/>
    <w:semiHidden/>
    <w:qFormat/>
    <w:uiPriority w:val="0"/>
    <w:pPr>
      <w:shd w:val="clear" w:color="auto" w:fill="000080"/>
      <w:jc w:val="left"/>
    </w:pPr>
    <w:rPr>
      <w:rFonts w:ascii="Tahoma" w:hAnsi="Tahoma" w:cs="Tahoma"/>
      <w:kern w:val="0"/>
      <w:szCs w:val="24"/>
    </w:rPr>
  </w:style>
  <w:style w:type="paragraph" w:customStyle="1" w:styleId="28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4">
    <w:name w:val="默认段落字体 Para Char Char Char Char Char Char Char Char Char1 Char Char Char Char"/>
    <w:basedOn w:val="1"/>
    <w:qFormat/>
    <w:uiPriority w:val="0"/>
    <w:rPr>
      <w:rFonts w:ascii="Tahoma" w:hAnsi="Tahoma"/>
      <w:sz w:val="24"/>
      <w:szCs w:val="20"/>
    </w:rPr>
  </w:style>
  <w:style w:type="paragraph" w:customStyle="1" w:styleId="2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6">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7">
    <w:name w:val="Char4"/>
    <w:basedOn w:val="1"/>
    <w:qFormat/>
    <w:uiPriority w:val="0"/>
    <w:rPr>
      <w:rFonts w:ascii="仿宋_GB2312" w:eastAsia="仿宋_GB2312" w:cs="宋体"/>
      <w:b/>
      <w:sz w:val="32"/>
      <w:szCs w:val="32"/>
    </w:rPr>
  </w:style>
  <w:style w:type="paragraph" w:customStyle="1" w:styleId="298">
    <w:name w:val="1"/>
    <w:basedOn w:val="4"/>
    <w:qFormat/>
    <w:uiPriority w:val="0"/>
    <w:pPr>
      <w:adjustRightInd w:val="0"/>
      <w:snapToGrid w:val="0"/>
      <w:spacing w:before="240" w:after="240" w:line="348" w:lineRule="auto"/>
    </w:pPr>
    <w:rPr>
      <w:rFonts w:cs="宋体"/>
    </w:rPr>
  </w:style>
  <w:style w:type="paragraph" w:customStyle="1" w:styleId="2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2">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3">
    <w:name w:val="1 Char Char Char Char"/>
    <w:basedOn w:val="1"/>
    <w:qFormat/>
    <w:uiPriority w:val="0"/>
    <w:rPr>
      <w:rFonts w:ascii="Tahoma" w:hAnsi="Tahoma"/>
      <w:sz w:val="24"/>
      <w:szCs w:val="20"/>
    </w:rPr>
  </w:style>
  <w:style w:type="paragraph" w:customStyle="1" w:styleId="304">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7">
    <w:name w:val="字元 字元"/>
    <w:basedOn w:val="1"/>
    <w:qFormat/>
    <w:uiPriority w:val="0"/>
    <w:pPr>
      <w:widowControl/>
      <w:spacing w:after="160" w:line="240" w:lineRule="exact"/>
      <w:jc w:val="left"/>
    </w:pPr>
    <w:rPr>
      <w:rFonts w:cs="宋体"/>
      <w:sz w:val="28"/>
      <w:szCs w:val="20"/>
    </w:rPr>
  </w:style>
  <w:style w:type="paragraph" w:customStyle="1" w:styleId="308">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Char Char Char Char Char Char Char Char Char"/>
    <w:basedOn w:val="1"/>
    <w:qFormat/>
    <w:uiPriority w:val="0"/>
    <w:rPr>
      <w:rFonts w:cs="宋体"/>
    </w:rPr>
  </w:style>
  <w:style w:type="paragraph" w:customStyle="1" w:styleId="310">
    <w:name w:val="Char Char Char1 Char Char Char Char"/>
    <w:basedOn w:val="1"/>
    <w:qFormat/>
    <w:uiPriority w:val="0"/>
    <w:pPr>
      <w:widowControl/>
      <w:spacing w:after="160" w:line="240" w:lineRule="exact"/>
      <w:jc w:val="left"/>
    </w:pPr>
  </w:style>
  <w:style w:type="paragraph" w:customStyle="1" w:styleId="3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表格"/>
    <w:basedOn w:val="1"/>
    <w:qFormat/>
    <w:uiPriority w:val="0"/>
    <w:pPr>
      <w:spacing w:line="400" w:lineRule="exact"/>
    </w:pPr>
    <w:rPr>
      <w:rFonts w:cs="宋体"/>
      <w:sz w:val="24"/>
    </w:rPr>
  </w:style>
  <w:style w:type="paragraph" w:customStyle="1" w:styleId="314">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15">
    <w:name w:val="正文－恩普"/>
    <w:basedOn w:val="17"/>
    <w:qFormat/>
    <w:uiPriority w:val="0"/>
    <w:pPr>
      <w:widowControl/>
      <w:spacing w:afterLines="50" w:line="360" w:lineRule="auto"/>
      <w:ind w:firstLine="480" w:firstLineChars="200"/>
      <w:jc w:val="left"/>
    </w:pPr>
    <w:rPr>
      <w:rFonts w:cs="宋体"/>
      <w:sz w:val="24"/>
    </w:rPr>
  </w:style>
  <w:style w:type="paragraph" w:customStyle="1" w:styleId="316">
    <w:name w:val="Char"/>
    <w:basedOn w:val="4"/>
    <w:qFormat/>
    <w:uiPriority w:val="0"/>
    <w:pPr>
      <w:adjustRightInd w:val="0"/>
      <w:snapToGrid w:val="0"/>
      <w:spacing w:before="240" w:after="240" w:line="348" w:lineRule="auto"/>
    </w:pPr>
  </w:style>
  <w:style w:type="paragraph" w:customStyle="1" w:styleId="317">
    <w:name w:val="Char21"/>
    <w:basedOn w:val="1"/>
    <w:qFormat/>
    <w:uiPriority w:val="0"/>
    <w:pPr>
      <w:tabs>
        <w:tab w:val="left" w:pos="360"/>
      </w:tabs>
      <w:ind w:left="360" w:hanging="360" w:hangingChars="200"/>
    </w:pPr>
    <w:rPr>
      <w:rFonts w:cs="宋体"/>
      <w:sz w:val="24"/>
    </w:rPr>
  </w:style>
  <w:style w:type="paragraph" w:customStyle="1" w:styleId="31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9">
    <w:name w:val="Char31"/>
    <w:basedOn w:val="1"/>
    <w:qFormat/>
    <w:uiPriority w:val="0"/>
    <w:pPr>
      <w:tabs>
        <w:tab w:val="left" w:pos="360"/>
      </w:tabs>
    </w:pPr>
  </w:style>
  <w:style w:type="paragraph" w:customStyle="1" w:styleId="3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2">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3">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24">
    <w:name w:val="列表内容"/>
    <w:basedOn w:val="1"/>
    <w:next w:val="1"/>
    <w:qFormat/>
    <w:uiPriority w:val="0"/>
    <w:pPr>
      <w:widowControl/>
      <w:numPr>
        <w:ilvl w:val="0"/>
        <w:numId w:val="4"/>
      </w:numPr>
      <w:jc w:val="left"/>
    </w:pPr>
    <w:rPr>
      <w:rFonts w:cs="宋体"/>
      <w:kern w:val="0"/>
      <w:sz w:val="18"/>
      <w:szCs w:val="20"/>
    </w:rPr>
  </w:style>
  <w:style w:type="paragraph" w:customStyle="1" w:styleId="3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6">
    <w:name w:val="默认段落字体 Para Char Char Char Char"/>
    <w:basedOn w:val="1"/>
    <w:qFormat/>
    <w:uiPriority w:val="0"/>
  </w:style>
  <w:style w:type="paragraph" w:customStyle="1" w:styleId="32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0">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331">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3">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34">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35">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7">
    <w:name w:val="p19"/>
    <w:basedOn w:val="1"/>
    <w:qFormat/>
    <w:uiPriority w:val="0"/>
    <w:pPr>
      <w:widowControl/>
      <w:spacing w:line="300" w:lineRule="auto"/>
      <w:jc w:val="left"/>
    </w:pPr>
    <w:rPr>
      <w:rFonts w:ascii="Arial" w:hAnsi="Arial" w:cs="Arial"/>
      <w:kern w:val="0"/>
      <w:szCs w:val="21"/>
    </w:rPr>
  </w:style>
  <w:style w:type="paragraph" w:customStyle="1" w:styleId="338">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39">
    <w:name w:val="正文文字2"/>
    <w:basedOn w:val="22"/>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0">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1">
    <w:name w:val="样式 标题 3 + 小四 非加粗 段前: 0 磅 段后: 0 磅 行距: 单倍行距"/>
    <w:basedOn w:val="6"/>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2">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5">
    <w:name w:val="Table Paragraph"/>
    <w:basedOn w:val="1"/>
    <w:qFormat/>
    <w:uiPriority w:val="1"/>
    <w:rPr>
      <w:rFonts w:ascii="宋体" w:hAnsi="宋体" w:cs="宋体"/>
      <w:sz w:val="24"/>
      <w:lang w:val="zh-CN" w:bidi="zh-CN"/>
    </w:rPr>
  </w:style>
  <w:style w:type="paragraph" w:customStyle="1" w:styleId="346">
    <w:name w:val="纯文本3"/>
    <w:basedOn w:val="1"/>
    <w:qFormat/>
    <w:uiPriority w:val="0"/>
    <w:pPr>
      <w:adjustRightInd w:val="0"/>
      <w:textAlignment w:val="baseline"/>
    </w:pPr>
    <w:rPr>
      <w:rFonts w:ascii="宋体" w:hAnsi="Courier New" w:eastAsia="楷体_GB2312"/>
      <w:sz w:val="26"/>
      <w:szCs w:val="20"/>
    </w:rPr>
  </w:style>
  <w:style w:type="paragraph" w:customStyle="1" w:styleId="34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8">
    <w:name w:val="Char Char Char Char Char Char Char2"/>
    <w:basedOn w:val="1"/>
    <w:qFormat/>
    <w:uiPriority w:val="0"/>
    <w:rPr>
      <w:szCs w:val="21"/>
    </w:rPr>
  </w:style>
  <w:style w:type="paragraph" w:customStyle="1" w:styleId="349">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50">
    <w:name w:val="网格型1"/>
    <w:basedOn w:val="4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1">
    <w:name w:val="List Paragraph1"/>
    <w:basedOn w:val="1"/>
    <w:qFormat/>
    <w:uiPriority w:val="0"/>
    <w:pPr>
      <w:ind w:firstLine="420" w:firstLineChars="200"/>
    </w:pPr>
    <w:rPr>
      <w:szCs w:val="22"/>
    </w:rPr>
  </w:style>
  <w:style w:type="character" w:customStyle="1" w:styleId="352">
    <w:name w:val="NormalCharacter"/>
    <w:qFormat/>
    <w:uiPriority w:val="0"/>
  </w:style>
  <w:style w:type="paragraph" w:customStyle="1" w:styleId="353">
    <w:name w:val="TOC 标题3"/>
    <w:basedOn w:val="4"/>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4">
    <w:name w:val="fontstyle01"/>
    <w:basedOn w:val="50"/>
    <w:qFormat/>
    <w:uiPriority w:val="0"/>
    <w:rPr>
      <w:rFonts w:hint="eastAsia" w:ascii="宋体" w:hAnsi="宋体" w:eastAsia="宋体"/>
      <w:color w:val="000000"/>
      <w:sz w:val="24"/>
      <w:szCs w:val="24"/>
    </w:rPr>
  </w:style>
  <w:style w:type="character" w:customStyle="1" w:styleId="355">
    <w:name w:val="fontstyle11"/>
    <w:basedOn w:val="50"/>
    <w:qFormat/>
    <w:uiPriority w:val="0"/>
    <w:rPr>
      <w:rFonts w:hint="default" w:ascii="Arial" w:hAnsi="Arial" w:cs="Arial"/>
      <w:color w:val="000000"/>
      <w:sz w:val="24"/>
      <w:szCs w:val="24"/>
    </w:rPr>
  </w:style>
  <w:style w:type="character" w:customStyle="1" w:styleId="356">
    <w:name w:val="fontstyle31"/>
    <w:basedOn w:val="50"/>
    <w:qFormat/>
    <w:uiPriority w:val="0"/>
    <w:rPr>
      <w:rFonts w:hint="default" w:ascii="Times New Roman" w:hAnsi="Times New Roman" w:cs="Times New Roman"/>
      <w:color w:val="000000"/>
      <w:sz w:val="18"/>
      <w:szCs w:val="18"/>
    </w:rPr>
  </w:style>
  <w:style w:type="character" w:customStyle="1" w:styleId="357">
    <w:name w:val="列表 Char"/>
    <w:link w:val="38"/>
    <w:qFormat/>
    <w:uiPriority w:val="0"/>
    <w:rPr>
      <w:rFonts w:ascii="Calibri" w:hAnsi="Calibri"/>
      <w:kern w:val="2"/>
      <w:sz w:val="28"/>
      <w:szCs w:val="24"/>
    </w:rPr>
  </w:style>
  <w:style w:type="character" w:customStyle="1" w:styleId="358">
    <w:name w:val="书籍标题11"/>
    <w:qFormat/>
    <w:uiPriority w:val="33"/>
    <w:rPr>
      <w:rFonts w:eastAsia="Songti SC Regular"/>
      <w:bCs/>
      <w:smallCaps/>
      <w:spacing w:val="5"/>
      <w:sz w:val="32"/>
    </w:rPr>
  </w:style>
  <w:style w:type="character" w:customStyle="1" w:styleId="359">
    <w:name w:val="UserStyle_117"/>
    <w:link w:val="360"/>
    <w:qFormat/>
    <w:uiPriority w:val="0"/>
    <w:rPr>
      <w:rFonts w:ascii="宋体" w:hAnsi="Courier New"/>
      <w:sz w:val="24"/>
      <w:szCs w:val="24"/>
    </w:rPr>
  </w:style>
  <w:style w:type="paragraph" w:customStyle="1" w:styleId="360">
    <w:name w:val="PlainText"/>
    <w:basedOn w:val="1"/>
    <w:link w:val="359"/>
    <w:qFormat/>
    <w:uiPriority w:val="0"/>
    <w:pPr>
      <w:widowControl/>
      <w:spacing w:before="156" w:after="156" w:line="400" w:lineRule="exact"/>
      <w:textAlignment w:val="baseline"/>
    </w:pPr>
    <w:rPr>
      <w:rFonts w:ascii="宋体" w:hAnsi="Courier New"/>
      <w:kern w:val="0"/>
      <w:sz w:val="24"/>
    </w:rPr>
  </w:style>
  <w:style w:type="character" w:customStyle="1" w:styleId="361">
    <w:name w:val="Char Char7"/>
    <w:qFormat/>
    <w:uiPriority w:val="0"/>
    <w:rPr>
      <w:rFonts w:ascii="Times New Roman" w:hAnsi="Times New Roman" w:eastAsia="宋体" w:cs="Times New Roman"/>
      <w:szCs w:val="24"/>
    </w:rPr>
  </w:style>
  <w:style w:type="paragraph" w:customStyle="1" w:styleId="362">
    <w:name w:val="2"/>
    <w:qFormat/>
    <w:uiPriority w:val="0"/>
    <w:rPr>
      <w:rFonts w:ascii="Times New Roman" w:hAnsi="Times New Roman" w:eastAsia="宋体" w:cs="Times New Roman"/>
      <w:lang w:val="en-US" w:eastAsia="zh-CN" w:bidi="ar-SA"/>
    </w:rPr>
  </w:style>
  <w:style w:type="paragraph" w:customStyle="1" w:styleId="363">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64">
    <w:name w:val="样式3"/>
    <w:basedOn w:val="1"/>
    <w:qFormat/>
    <w:uiPriority w:val="99"/>
    <w:pPr>
      <w:ind w:hanging="132"/>
    </w:pPr>
    <w:rPr>
      <w:rFonts w:ascii="Times New Roman" w:hAnsi="Times New Roman"/>
    </w:rPr>
  </w:style>
  <w:style w:type="paragraph" w:customStyle="1" w:styleId="365">
    <w:name w:val="样式2"/>
    <w:basedOn w:val="1"/>
    <w:qFormat/>
    <w:uiPriority w:val="99"/>
    <w:pPr>
      <w:tabs>
        <w:tab w:val="left" w:pos="420"/>
      </w:tabs>
      <w:ind w:left="420" w:hanging="132"/>
      <w:jc w:val="center"/>
    </w:pPr>
    <w:rPr>
      <w:rFonts w:ascii="Times New Roman" w:hAnsi="Times New Roman"/>
      <w:szCs w:val="21"/>
    </w:rPr>
  </w:style>
  <w:style w:type="character" w:customStyle="1" w:styleId="366">
    <w:name w:val="正文首行缩进 Char"/>
    <w:basedOn w:val="73"/>
    <w:link w:val="47"/>
    <w:qFormat/>
    <w:uiPriority w:val="99"/>
    <w:rPr>
      <w:rFonts w:ascii="Calibri" w:hAnsi="Calibri"/>
      <w:sz w:val="21"/>
      <w:szCs w:val="24"/>
    </w:rPr>
  </w:style>
  <w:style w:type="character" w:customStyle="1" w:styleId="367">
    <w:name w:val="fontstyle21"/>
    <w:basedOn w:val="50"/>
    <w:qFormat/>
    <w:uiPriority w:val="0"/>
    <w:rPr>
      <w:rFonts w:hint="default" w:ascii="Arial" w:hAnsi="Arial" w:cs="Arial"/>
      <w:color w:val="000000"/>
      <w:sz w:val="24"/>
      <w:szCs w:val="24"/>
    </w:rPr>
  </w:style>
  <w:style w:type="paragraph" w:customStyle="1" w:styleId="368">
    <w:name w:val="标准正文"/>
    <w:basedOn w:val="1"/>
    <w:qFormat/>
    <w:uiPriority w:val="0"/>
    <w:pPr>
      <w:spacing w:line="360" w:lineRule="auto"/>
      <w:ind w:firstLine="200" w:firstLineChars="200"/>
    </w:pPr>
    <w:rPr>
      <w:sz w:val="24"/>
      <w:szCs w:val="20"/>
    </w:rPr>
  </w:style>
  <w:style w:type="paragraph" w:customStyle="1" w:styleId="36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54</Pages>
  <Words>29148</Words>
  <Characters>31215</Characters>
  <Lines>200</Lines>
  <Paragraphs>56</Paragraphs>
  <TotalTime>0</TotalTime>
  <ScaleCrop>false</ScaleCrop>
  <LinksUpToDate>false</LinksUpToDate>
  <CharactersWithSpaces>32235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2022-02-07T10:18:00Z</dcterms:created>
  <dc:creator>嘉兴市建新工程造价咨询事务所有限公司</dc:creator>
  <cp:lastModifiedBy>QCL</cp:lastModifiedBy>
  <cp:lastPrinted>2022-02-07T03:01:00Z</cp:lastPrinted>
  <dcterms:modified xsi:type="dcterms:W3CDTF">2022-05-06T03:31:08Z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70627ADEF9EF476082491F7659FCA32F</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ies>
</file>