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rPr>
          <w:rFonts w:asciiTheme="minorEastAsia" w:hAnsiTheme="minorEastAsia" w:eastAsiaTheme="minorEastAsia"/>
          <w:b/>
          <w:bCs/>
          <w:color w:val="auto"/>
          <w:spacing w:val="-4"/>
          <w:szCs w:val="21"/>
          <w:highlight w:val="none"/>
        </w:rPr>
      </w:pPr>
    </w:p>
    <w:p>
      <w:pPr>
        <w:spacing w:line="360" w:lineRule="auto"/>
        <w:rPr>
          <w:rFonts w:asciiTheme="minorEastAsia" w:hAnsiTheme="minorEastAsia" w:eastAsiaTheme="minorEastAsia"/>
          <w:b/>
          <w:color w:val="auto"/>
          <w:szCs w:val="21"/>
          <w:highlight w:val="none"/>
        </w:rPr>
      </w:pPr>
    </w:p>
    <w:p>
      <w:pPr>
        <w:spacing w:beforeLines="50" w:line="360" w:lineRule="auto"/>
        <w:jc w:val="center"/>
        <w:rPr>
          <w:rFonts w:hint="eastAsia" w:asciiTheme="minorEastAsia" w:hAnsiTheme="minorEastAsia" w:eastAsiaTheme="minorEastAsia"/>
          <w:b/>
          <w:color w:val="auto"/>
          <w:sz w:val="44"/>
          <w:szCs w:val="44"/>
          <w:highlight w:val="none"/>
          <w:lang w:eastAsia="zh-CN"/>
        </w:rPr>
      </w:pPr>
      <w:r>
        <w:rPr>
          <w:rFonts w:hint="eastAsia" w:asciiTheme="minorEastAsia" w:hAnsiTheme="minorEastAsia" w:eastAsiaTheme="minorEastAsia"/>
          <w:b/>
          <w:color w:val="auto"/>
          <w:sz w:val="44"/>
          <w:szCs w:val="44"/>
          <w:highlight w:val="none"/>
          <w:lang w:eastAsia="zh-CN"/>
        </w:rPr>
        <w:t>新城街道市政设施养护项目</w:t>
      </w: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Cs w:val="21"/>
          <w:highlight w:val="none"/>
        </w:rPr>
      </w:pPr>
    </w:p>
    <w:p>
      <w:pPr>
        <w:spacing w:beforeLines="50" w:line="360" w:lineRule="auto"/>
        <w:rPr>
          <w:rFonts w:asciiTheme="minorEastAsia" w:hAnsiTheme="minorEastAsia" w:eastAsiaTheme="minorEastAsia"/>
          <w:b/>
          <w:color w:val="auto"/>
          <w:sz w:val="44"/>
          <w:szCs w:val="44"/>
          <w:highlight w:val="none"/>
        </w:rPr>
      </w:pPr>
    </w:p>
    <w:p>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公开招标文件</w:t>
      </w:r>
    </w:p>
    <w:p>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snapToGrid w:val="0"/>
        <w:spacing w:beforeLines="50" w:line="360" w:lineRule="auto"/>
        <w:rPr>
          <w:rFonts w:asciiTheme="minorEastAsia" w:hAnsiTheme="minorEastAsia" w:eastAsiaTheme="minorEastAsia"/>
          <w:color w:val="auto"/>
          <w:szCs w:val="21"/>
          <w:highlight w:val="none"/>
        </w:rPr>
      </w:pPr>
    </w:p>
    <w:p>
      <w:pPr>
        <w:pStyle w:val="48"/>
        <w:ind w:firstLine="404"/>
        <w:rPr>
          <w:color w:val="auto"/>
          <w:highlight w:val="none"/>
        </w:rPr>
      </w:pPr>
    </w:p>
    <w:p>
      <w:pPr>
        <w:pStyle w:val="28"/>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rPr>
      </w:pPr>
      <w:r>
        <w:rPr>
          <w:rStyle w:val="56"/>
          <w:rFonts w:hint="eastAsia" w:asciiTheme="minorEastAsia" w:hAnsiTheme="minorEastAsia" w:eastAsiaTheme="minorEastAsia"/>
          <w:b/>
          <w:color w:val="auto"/>
          <w:sz w:val="28"/>
          <w:szCs w:val="28"/>
          <w:highlight w:val="none"/>
          <w:u w:val="none"/>
        </w:rPr>
        <w:t>项目编号：</w:t>
      </w:r>
      <w:r>
        <w:rPr>
          <w:rStyle w:val="56"/>
          <w:rFonts w:hint="eastAsia" w:asciiTheme="minorEastAsia" w:hAnsiTheme="minorEastAsia" w:eastAsiaTheme="minorEastAsia"/>
          <w:b/>
          <w:color w:val="auto"/>
          <w:sz w:val="28"/>
          <w:szCs w:val="28"/>
          <w:highlight w:val="none"/>
          <w:u w:val="none"/>
          <w:lang w:eastAsia="zh-CN"/>
        </w:rPr>
        <w:t>银建-JXYJ-L（2022）15号</w:t>
      </w:r>
      <w:r>
        <w:rPr>
          <w:rStyle w:val="56"/>
          <w:rFonts w:hint="eastAsia" w:asciiTheme="minorEastAsia" w:hAnsiTheme="minorEastAsia" w:eastAsiaTheme="minorEastAsia"/>
          <w:b/>
          <w:color w:val="auto"/>
          <w:sz w:val="28"/>
          <w:szCs w:val="28"/>
          <w:highlight w:val="none"/>
          <w:u w:val="none"/>
        </w:rPr>
        <w:t xml:space="preserve"> </w:t>
      </w:r>
    </w:p>
    <w:p>
      <w:pPr>
        <w:pStyle w:val="28"/>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lang w:eastAsia="zh-CN"/>
        </w:rPr>
      </w:pPr>
      <w:r>
        <w:rPr>
          <w:rStyle w:val="56"/>
          <w:rFonts w:hint="eastAsia" w:asciiTheme="minorEastAsia" w:hAnsiTheme="minorEastAsia" w:eastAsiaTheme="minorEastAsia"/>
          <w:b/>
          <w:color w:val="auto"/>
          <w:sz w:val="28"/>
          <w:szCs w:val="28"/>
          <w:highlight w:val="none"/>
          <w:u w:val="none"/>
        </w:rPr>
        <w:t>采购单位：</w:t>
      </w:r>
      <w:r>
        <w:rPr>
          <w:rStyle w:val="56"/>
          <w:rFonts w:hint="eastAsia" w:asciiTheme="minorEastAsia" w:hAnsiTheme="minorEastAsia" w:eastAsiaTheme="minorEastAsia"/>
          <w:b/>
          <w:color w:val="auto"/>
          <w:sz w:val="28"/>
          <w:szCs w:val="28"/>
          <w:highlight w:val="none"/>
          <w:u w:val="none"/>
          <w:lang w:eastAsia="zh-CN"/>
        </w:rPr>
        <w:t>嘉兴市秀洲区人民政府新城街道办事处</w:t>
      </w:r>
    </w:p>
    <w:p>
      <w:pPr>
        <w:pStyle w:val="28"/>
        <w:spacing w:before="120" w:after="120" w:line="360" w:lineRule="auto"/>
        <w:ind w:firstLine="562" w:firstLineChars="200"/>
        <w:rPr>
          <w:rStyle w:val="56"/>
          <w:rFonts w:asciiTheme="minorEastAsia" w:hAnsiTheme="minorEastAsia" w:eastAsiaTheme="minorEastAsia"/>
          <w:b/>
          <w:color w:val="auto"/>
          <w:sz w:val="28"/>
          <w:szCs w:val="28"/>
          <w:highlight w:val="none"/>
          <w:u w:val="none"/>
        </w:rPr>
      </w:pPr>
      <w:r>
        <w:rPr>
          <w:rStyle w:val="56"/>
          <w:rFonts w:hint="eastAsia" w:asciiTheme="minorEastAsia" w:hAnsiTheme="minorEastAsia" w:eastAsiaTheme="minorEastAsia"/>
          <w:b/>
          <w:color w:val="auto"/>
          <w:sz w:val="28"/>
          <w:szCs w:val="28"/>
          <w:highlight w:val="none"/>
          <w:u w:val="none"/>
        </w:rPr>
        <w:t>采购机构：</w:t>
      </w:r>
      <w:r>
        <w:rPr>
          <w:rStyle w:val="56"/>
          <w:rFonts w:hint="eastAsia" w:asciiTheme="minorEastAsia" w:hAnsiTheme="minorEastAsia" w:eastAsiaTheme="minorEastAsia"/>
          <w:b/>
          <w:color w:val="auto"/>
          <w:sz w:val="28"/>
          <w:szCs w:val="28"/>
          <w:highlight w:val="none"/>
          <w:u w:val="none"/>
          <w:lang w:eastAsia="zh-CN"/>
        </w:rPr>
        <w:t>嘉兴市银建工程咨询评估有限公司</w:t>
      </w:r>
    </w:p>
    <w:p>
      <w:pPr>
        <w:snapToGrid w:val="0"/>
        <w:spacing w:beforeLines="50" w:line="360" w:lineRule="auto"/>
        <w:ind w:right="140"/>
        <w:jc w:val="center"/>
        <w:rPr>
          <w:rFonts w:asciiTheme="minorEastAsia" w:hAnsiTheme="minorEastAsia" w:eastAsiaTheme="minorEastAsia"/>
          <w:color w:val="auto"/>
          <w:sz w:val="28"/>
          <w:szCs w:val="28"/>
          <w:highlight w:val="none"/>
        </w:rPr>
      </w:pPr>
      <w:r>
        <w:rPr>
          <w:rFonts w:asciiTheme="minorEastAsia" w:hAnsiTheme="minorEastAsia" w:eastAsiaTheme="minorEastAsia"/>
          <w:b/>
          <w:bCs/>
          <w:color w:val="auto"/>
          <w:w w:val="95"/>
          <w:sz w:val="28"/>
          <w:szCs w:val="28"/>
          <w:highlight w:val="none"/>
        </w:rPr>
        <w:t>202</w:t>
      </w:r>
      <w:r>
        <w:rPr>
          <w:rFonts w:hint="eastAsia" w:asciiTheme="minorEastAsia" w:hAnsiTheme="minorEastAsia" w:eastAsiaTheme="minorEastAsia"/>
          <w:b/>
          <w:bCs/>
          <w:color w:val="auto"/>
          <w:w w:val="95"/>
          <w:sz w:val="28"/>
          <w:szCs w:val="28"/>
          <w:highlight w:val="none"/>
        </w:rPr>
        <w:t>2</w:t>
      </w:r>
      <w:r>
        <w:rPr>
          <w:rFonts w:asciiTheme="minorEastAsia" w:hAnsiTheme="minorEastAsia" w:eastAsiaTheme="minorEastAsia"/>
          <w:b/>
          <w:bCs/>
          <w:color w:val="auto"/>
          <w:w w:val="95"/>
          <w:sz w:val="28"/>
          <w:szCs w:val="28"/>
          <w:highlight w:val="none"/>
        </w:rPr>
        <w:t>年</w:t>
      </w:r>
      <w:r>
        <w:rPr>
          <w:rFonts w:hint="eastAsia" w:asciiTheme="minorEastAsia" w:hAnsiTheme="minorEastAsia" w:eastAsiaTheme="minorEastAsia"/>
          <w:b/>
          <w:bCs/>
          <w:color w:val="auto"/>
          <w:w w:val="95"/>
          <w:sz w:val="28"/>
          <w:szCs w:val="28"/>
          <w:highlight w:val="none"/>
          <w:lang w:val="en-US" w:eastAsia="zh-CN"/>
        </w:rPr>
        <w:t>4</w:t>
      </w:r>
      <w:r>
        <w:rPr>
          <w:rFonts w:asciiTheme="minorEastAsia" w:hAnsiTheme="minorEastAsia" w:eastAsiaTheme="minorEastAsia"/>
          <w:b/>
          <w:bCs/>
          <w:color w:val="auto"/>
          <w:w w:val="95"/>
          <w:sz w:val="28"/>
          <w:szCs w:val="28"/>
          <w:highlight w:val="none"/>
        </w:rPr>
        <w:t>月</w:t>
      </w:r>
      <w:r>
        <w:rPr>
          <w:rFonts w:hint="eastAsia" w:asciiTheme="minorEastAsia" w:hAnsiTheme="minorEastAsia" w:eastAsiaTheme="minorEastAsia"/>
          <w:b/>
          <w:bCs/>
          <w:color w:val="auto"/>
          <w:w w:val="95"/>
          <w:sz w:val="28"/>
          <w:szCs w:val="28"/>
          <w:highlight w:val="none"/>
          <w:lang w:val="en-US" w:eastAsia="zh-CN"/>
        </w:rPr>
        <w:t>18</w:t>
      </w:r>
      <w:r>
        <w:rPr>
          <w:rFonts w:asciiTheme="minorEastAsia" w:hAnsiTheme="minorEastAsia" w:eastAsiaTheme="minorEastAsia"/>
          <w:b/>
          <w:bCs/>
          <w:color w:val="auto"/>
          <w:w w:val="95"/>
          <w:sz w:val="28"/>
          <w:szCs w:val="28"/>
          <w:highlight w:val="none"/>
        </w:rPr>
        <w:t>日</w:t>
      </w:r>
    </w:p>
    <w:p>
      <w:pPr>
        <w:pStyle w:val="28"/>
        <w:spacing w:beforeLines="0" w:afterLines="0" w:line="360" w:lineRule="auto"/>
        <w:rPr>
          <w:rFonts w:asciiTheme="minorEastAsia" w:hAnsiTheme="minorEastAsia" w:eastAsiaTheme="minorEastAsia"/>
          <w:color w:val="auto"/>
          <w:sz w:val="21"/>
          <w:szCs w:val="21"/>
          <w:highlight w:val="none"/>
        </w:rPr>
      </w:pPr>
    </w:p>
    <w:p>
      <w:pPr>
        <w:pStyle w:val="28"/>
        <w:spacing w:beforeLines="0" w:afterLines="0" w:line="360" w:lineRule="auto"/>
        <w:rPr>
          <w:rFonts w:asciiTheme="minorEastAsia" w:hAnsiTheme="minorEastAsia" w:eastAsiaTheme="minorEastAsia"/>
          <w:color w:val="auto"/>
          <w:sz w:val="21"/>
          <w:szCs w:val="21"/>
          <w:highlight w:val="none"/>
        </w:rPr>
      </w:pPr>
    </w:p>
    <w:p>
      <w:pPr>
        <w:pStyle w:val="28"/>
        <w:spacing w:beforeLines="0" w:afterLines="0" w:line="360" w:lineRule="auto"/>
        <w:rPr>
          <w:rFonts w:asciiTheme="minorEastAsia" w:hAnsiTheme="minorEastAsia" w:eastAsiaTheme="minorEastAsia"/>
          <w:color w:val="auto"/>
          <w:sz w:val="21"/>
          <w:szCs w:val="21"/>
          <w:highlight w:val="none"/>
        </w:rPr>
      </w:pPr>
    </w:p>
    <w:p>
      <w:pPr>
        <w:pStyle w:val="28"/>
        <w:spacing w:beforeLines="0" w:afterLines="0" w:line="360" w:lineRule="auto"/>
        <w:rPr>
          <w:rFonts w:asciiTheme="minorEastAsia" w:hAnsiTheme="minorEastAsia" w:eastAsiaTheme="minorEastAsia"/>
          <w:color w:val="auto"/>
          <w:sz w:val="21"/>
          <w:szCs w:val="21"/>
          <w:highlight w:val="none"/>
        </w:rPr>
      </w:pPr>
    </w:p>
    <w:p>
      <w:pPr>
        <w:pStyle w:val="28"/>
        <w:spacing w:beforeLines="0" w:afterLines="0" w:line="360" w:lineRule="auto"/>
        <w:rPr>
          <w:rFonts w:asciiTheme="minorEastAsia" w:hAnsiTheme="minorEastAsia" w:eastAsiaTheme="minorEastAsia"/>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    录</w:t>
      </w:r>
    </w:p>
    <w:p>
      <w:pPr>
        <w:pStyle w:val="35"/>
        <w:tabs>
          <w:tab w:val="right" w:leader="dot" w:pos="8834"/>
        </w:tabs>
        <w:spacing w:line="480" w:lineRule="auto"/>
        <w:rPr>
          <w:rFonts w:asciiTheme="minorEastAsia" w:hAnsiTheme="minorEastAsia" w:eastAsiaTheme="minorEastAsia"/>
          <w:color w:val="auto"/>
          <w:sz w:val="30"/>
          <w:szCs w:val="30"/>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TOC \o "1-1" \h \z \u </w:instrText>
      </w:r>
      <w:r>
        <w:rPr>
          <w:rFonts w:asciiTheme="minorEastAsia" w:hAnsiTheme="minorEastAsia" w:eastAsiaTheme="minorEastAsia"/>
          <w:color w:val="auto"/>
          <w:szCs w:val="21"/>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56"/>
          <w:rFonts w:hint="eastAsia" w:asciiTheme="minorEastAsia" w:hAnsiTheme="minorEastAsia" w:eastAsiaTheme="minorEastAsia"/>
          <w:color w:val="auto"/>
          <w:sz w:val="30"/>
          <w:szCs w:val="30"/>
          <w:highlight w:val="none"/>
        </w:rPr>
        <w:t>第一章 公开招标采购公告</w:t>
      </w:r>
      <w:r>
        <w:rPr>
          <w:rFonts w:asciiTheme="minorEastAsia" w:hAnsiTheme="minorEastAsia" w:eastAsiaTheme="minorEastAsia"/>
          <w:color w:val="auto"/>
          <w:sz w:val="30"/>
          <w:szCs w:val="30"/>
          <w:highlight w:val="none"/>
        </w:rPr>
        <w:tab/>
      </w:r>
      <w:r>
        <w:rPr>
          <w:rFonts w:hint="eastAsia" w:asciiTheme="minorEastAsia" w:hAnsiTheme="minorEastAsia" w:eastAsiaTheme="minorEastAsia"/>
          <w:color w:val="auto"/>
          <w:sz w:val="30"/>
          <w:szCs w:val="30"/>
          <w:highlight w:val="none"/>
        </w:rPr>
        <w:t>0</w:t>
      </w:r>
      <w:r>
        <w:rPr>
          <w:rFonts w:asciiTheme="minorEastAsia" w:hAnsiTheme="minorEastAsia" w:eastAsiaTheme="minorEastAsia"/>
          <w:color w:val="auto"/>
          <w:sz w:val="30"/>
          <w:szCs w:val="30"/>
          <w:highlight w:val="none"/>
        </w:rPr>
        <w:t>3</w:t>
      </w:r>
      <w:r>
        <w:rPr>
          <w:rFonts w:asciiTheme="minorEastAsia" w:hAnsiTheme="minorEastAsia" w:eastAsiaTheme="minorEastAsia"/>
          <w:color w:val="auto"/>
          <w:sz w:val="30"/>
          <w:szCs w:val="30"/>
          <w:highlight w:val="none"/>
        </w:rPr>
        <w:fldChar w:fldCharType="end"/>
      </w:r>
    </w:p>
    <w:p>
      <w:pPr>
        <w:pStyle w:val="35"/>
        <w:tabs>
          <w:tab w:val="right" w:leader="dot" w:pos="8834"/>
        </w:tabs>
        <w:spacing w:line="480" w:lineRule="auto"/>
        <w:rPr>
          <w:rFonts w:asciiTheme="minorEastAsia" w:hAnsiTheme="minorEastAsia" w:eastAsiaTheme="minorEastAsia"/>
          <w:color w:val="auto"/>
          <w:sz w:val="30"/>
          <w:szCs w:val="30"/>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56"/>
          <w:rFonts w:hint="eastAsia" w:asciiTheme="minorEastAsia" w:hAnsiTheme="minorEastAsia" w:eastAsiaTheme="minorEastAsia"/>
          <w:color w:val="auto"/>
          <w:sz w:val="30"/>
          <w:szCs w:val="30"/>
          <w:highlight w:val="none"/>
        </w:rPr>
        <w:t>第二章 招标需求</w:t>
      </w:r>
      <w:r>
        <w:rPr>
          <w:rFonts w:asciiTheme="minorEastAsia" w:hAnsiTheme="minorEastAsia" w:eastAsiaTheme="minorEastAsia"/>
          <w:color w:val="auto"/>
          <w:sz w:val="30"/>
          <w:szCs w:val="30"/>
          <w:highlight w:val="none"/>
        </w:rPr>
        <w:tab/>
      </w:r>
      <w:r>
        <w:rPr>
          <w:rFonts w:hint="eastAsia" w:asciiTheme="minorEastAsia" w:hAnsiTheme="minorEastAsia" w:eastAsiaTheme="minorEastAsia"/>
          <w:color w:val="auto"/>
          <w:sz w:val="30"/>
          <w:szCs w:val="30"/>
          <w:highlight w:val="none"/>
        </w:rPr>
        <w:t>07</w:t>
      </w:r>
      <w:r>
        <w:rPr>
          <w:rFonts w:hint="eastAsia" w:asciiTheme="minorEastAsia" w:hAnsiTheme="minorEastAsia" w:eastAsiaTheme="minorEastAsia"/>
          <w:color w:val="auto"/>
          <w:sz w:val="30"/>
          <w:szCs w:val="30"/>
          <w:highlight w:val="none"/>
        </w:rPr>
        <w:fldChar w:fldCharType="end"/>
      </w:r>
    </w:p>
    <w:p>
      <w:pPr>
        <w:pStyle w:val="35"/>
        <w:tabs>
          <w:tab w:val="right" w:leader="dot" w:pos="8834"/>
        </w:tabs>
        <w:spacing w:line="480" w:lineRule="auto"/>
        <w:rPr>
          <w:rFonts w:asciiTheme="minorEastAsia" w:hAnsiTheme="minorEastAsia" w:eastAsiaTheme="minorEastAsia"/>
          <w:color w:val="auto"/>
          <w:sz w:val="30"/>
          <w:szCs w:val="30"/>
          <w:highlight w:val="none"/>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56"/>
          <w:rFonts w:hint="eastAsia" w:asciiTheme="minorEastAsia" w:hAnsiTheme="minorEastAsia" w:eastAsiaTheme="minorEastAsia"/>
          <w:color w:val="auto"/>
          <w:sz w:val="30"/>
          <w:szCs w:val="30"/>
          <w:highlight w:val="none"/>
        </w:rPr>
        <w:t>第三章 供应商须知</w:t>
      </w:r>
      <w:r>
        <w:rPr>
          <w:rFonts w:asciiTheme="minorEastAsia" w:hAnsiTheme="minorEastAsia" w:eastAsiaTheme="minorEastAsia"/>
          <w:color w:val="auto"/>
          <w:sz w:val="30"/>
          <w:szCs w:val="30"/>
          <w:highlight w:val="none"/>
        </w:rPr>
        <w:tab/>
      </w:r>
      <w:r>
        <w:rPr>
          <w:rFonts w:hint="eastAsia" w:asciiTheme="minorEastAsia" w:hAnsiTheme="minorEastAsia" w:eastAsiaTheme="minorEastAsia"/>
          <w:color w:val="auto"/>
          <w:sz w:val="30"/>
          <w:szCs w:val="30"/>
          <w:highlight w:val="none"/>
        </w:rPr>
        <w:t>18</w:t>
      </w:r>
      <w:r>
        <w:rPr>
          <w:rFonts w:hint="eastAsia" w:asciiTheme="minorEastAsia" w:hAnsiTheme="minorEastAsia" w:eastAsiaTheme="minorEastAsia"/>
          <w:color w:val="auto"/>
          <w:sz w:val="30"/>
          <w:szCs w:val="30"/>
          <w:highlight w:val="none"/>
        </w:rPr>
        <w:fldChar w:fldCharType="end"/>
      </w:r>
    </w:p>
    <w:p>
      <w:pPr>
        <w:pStyle w:val="35"/>
        <w:tabs>
          <w:tab w:val="right" w:leader="dot" w:pos="8834"/>
        </w:tabs>
        <w:spacing w:line="480" w:lineRule="auto"/>
        <w:rPr>
          <w:rFonts w:asciiTheme="minorEastAsia" w:hAnsiTheme="minorEastAsia" w:eastAsiaTheme="minorEastAsia"/>
          <w:color w:val="auto"/>
          <w:sz w:val="30"/>
          <w:szCs w:val="30"/>
          <w:highlight w:val="none"/>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56"/>
          <w:rFonts w:hint="eastAsia" w:asciiTheme="minorEastAsia" w:hAnsiTheme="minorEastAsia" w:eastAsiaTheme="minorEastAsia"/>
          <w:color w:val="auto"/>
          <w:sz w:val="30"/>
          <w:szCs w:val="30"/>
          <w:highlight w:val="none"/>
        </w:rPr>
        <w:t>第四章 评标办法及评分标准</w:t>
      </w:r>
      <w:r>
        <w:rPr>
          <w:rFonts w:asciiTheme="minorEastAsia" w:hAnsiTheme="minorEastAsia" w:eastAsiaTheme="minorEastAsia"/>
          <w:color w:val="auto"/>
          <w:sz w:val="30"/>
          <w:szCs w:val="30"/>
          <w:highlight w:val="none"/>
        </w:rPr>
        <w:tab/>
      </w:r>
      <w:r>
        <w:rPr>
          <w:rFonts w:hint="eastAsia" w:asciiTheme="minorEastAsia" w:hAnsiTheme="minorEastAsia" w:eastAsiaTheme="minorEastAsia"/>
          <w:color w:val="auto"/>
          <w:sz w:val="30"/>
          <w:szCs w:val="30"/>
          <w:highlight w:val="none"/>
        </w:rPr>
        <w:t>29</w:t>
      </w:r>
      <w:r>
        <w:rPr>
          <w:rFonts w:hint="eastAsia" w:asciiTheme="minorEastAsia" w:hAnsiTheme="minorEastAsia" w:eastAsiaTheme="minorEastAsia"/>
          <w:color w:val="auto"/>
          <w:sz w:val="30"/>
          <w:szCs w:val="30"/>
          <w:highlight w:val="none"/>
        </w:rPr>
        <w:fldChar w:fldCharType="end"/>
      </w:r>
    </w:p>
    <w:p>
      <w:pPr>
        <w:pStyle w:val="35"/>
        <w:tabs>
          <w:tab w:val="right" w:leader="dot" w:pos="8834"/>
        </w:tabs>
        <w:spacing w:line="480" w:lineRule="auto"/>
        <w:rPr>
          <w:rFonts w:asciiTheme="minorEastAsia" w:hAnsiTheme="minorEastAsia" w:eastAsiaTheme="minorEastAsia"/>
          <w:color w:val="auto"/>
          <w:sz w:val="30"/>
          <w:szCs w:val="30"/>
          <w:highlight w:val="none"/>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56"/>
          <w:rFonts w:hint="eastAsia" w:asciiTheme="minorEastAsia" w:hAnsiTheme="minorEastAsia" w:eastAsiaTheme="minorEastAsia"/>
          <w:color w:val="auto"/>
          <w:sz w:val="30"/>
          <w:szCs w:val="30"/>
          <w:highlight w:val="none"/>
        </w:rPr>
        <w:t>第五章 嘉兴市政府采购合同（指引）</w:t>
      </w:r>
      <w:r>
        <w:rPr>
          <w:rFonts w:asciiTheme="minorEastAsia" w:hAnsiTheme="minorEastAsia" w:eastAsiaTheme="minorEastAsia"/>
          <w:color w:val="auto"/>
          <w:sz w:val="30"/>
          <w:szCs w:val="30"/>
          <w:highlight w:val="none"/>
        </w:rPr>
        <w:tab/>
      </w:r>
      <w:r>
        <w:rPr>
          <w:rFonts w:hint="eastAsia" w:asciiTheme="minorEastAsia" w:hAnsiTheme="minorEastAsia" w:eastAsiaTheme="minorEastAsia"/>
          <w:color w:val="auto"/>
          <w:sz w:val="30"/>
          <w:szCs w:val="30"/>
          <w:highlight w:val="none"/>
        </w:rPr>
        <w:t>33</w:t>
      </w:r>
      <w:r>
        <w:rPr>
          <w:rFonts w:hint="eastAsia" w:asciiTheme="minorEastAsia" w:hAnsiTheme="minorEastAsia" w:eastAsiaTheme="minorEastAsia"/>
          <w:color w:val="auto"/>
          <w:sz w:val="30"/>
          <w:szCs w:val="30"/>
          <w:highlight w:val="none"/>
        </w:rPr>
        <w:fldChar w:fldCharType="end"/>
      </w:r>
    </w:p>
    <w:p>
      <w:pPr>
        <w:pStyle w:val="35"/>
        <w:tabs>
          <w:tab w:val="right" w:leader="dot" w:pos="8834"/>
        </w:tabs>
        <w:spacing w:line="480" w:lineRule="auto"/>
        <w:rPr>
          <w:rFonts w:asciiTheme="minorEastAsia" w:hAnsiTheme="minorEastAsia" w:eastAsiaTheme="minorEastAsia"/>
          <w:color w:val="auto"/>
          <w:sz w:val="30"/>
          <w:szCs w:val="30"/>
          <w:highlight w:val="none"/>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56"/>
          <w:rFonts w:hint="eastAsia" w:asciiTheme="minorEastAsia" w:hAnsiTheme="minorEastAsia" w:eastAsiaTheme="minorEastAsia"/>
          <w:color w:val="auto"/>
          <w:sz w:val="30"/>
          <w:szCs w:val="30"/>
          <w:highlight w:val="none"/>
        </w:rPr>
        <w:t>第六章　投标文件格式</w:t>
      </w:r>
      <w:r>
        <w:rPr>
          <w:rFonts w:asciiTheme="minorEastAsia" w:hAnsiTheme="minorEastAsia" w:eastAsiaTheme="minorEastAsia"/>
          <w:color w:val="auto"/>
          <w:sz w:val="30"/>
          <w:szCs w:val="30"/>
          <w:highlight w:val="none"/>
        </w:rPr>
        <w:tab/>
      </w:r>
      <w:r>
        <w:rPr>
          <w:rFonts w:hint="eastAsia" w:asciiTheme="minorEastAsia" w:hAnsiTheme="minorEastAsia" w:eastAsiaTheme="minorEastAsia"/>
          <w:color w:val="auto"/>
          <w:sz w:val="30"/>
          <w:szCs w:val="30"/>
          <w:highlight w:val="none"/>
        </w:rPr>
        <w:t>36</w:t>
      </w:r>
      <w:r>
        <w:rPr>
          <w:rFonts w:hint="eastAsia" w:asciiTheme="minorEastAsia" w:hAnsiTheme="minorEastAsia" w:eastAsiaTheme="minorEastAsia"/>
          <w:color w:val="auto"/>
          <w:sz w:val="30"/>
          <w:szCs w:val="30"/>
          <w:highlight w:val="none"/>
        </w:rPr>
        <w:fldChar w:fldCharType="end"/>
      </w:r>
    </w:p>
    <w:p>
      <w:pPr>
        <w:pStyle w:val="35"/>
        <w:tabs>
          <w:tab w:val="right" w:leader="dot" w:pos="8834"/>
        </w:tabs>
        <w:spacing w:line="360" w:lineRule="auto"/>
        <w:rPr>
          <w:rFonts w:asciiTheme="minorEastAsia" w:hAnsiTheme="minorEastAsia" w:eastAsiaTheme="minorEastAsia"/>
          <w:color w:val="auto"/>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fldChar w:fldCharType="end"/>
      </w: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pStyle w:val="28"/>
        <w:spacing w:beforeLines="0" w:afterLines="0" w:line="360" w:lineRule="auto"/>
        <w:jc w:val="center"/>
        <w:rPr>
          <w:rFonts w:asciiTheme="minorEastAsia" w:hAnsiTheme="minorEastAsia" w:eastAsiaTheme="minorEastAsia"/>
          <w:b/>
          <w:color w:val="auto"/>
          <w:sz w:val="21"/>
          <w:szCs w:val="21"/>
          <w:highlight w:val="none"/>
        </w:rPr>
      </w:pPr>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p>
    <w:p>
      <w:pPr>
        <w:pStyle w:val="48"/>
        <w:ind w:firstLine="404"/>
        <w:rPr>
          <w:color w:val="auto"/>
          <w:highlight w:val="none"/>
        </w:rPr>
      </w:pPr>
    </w:p>
    <w:p>
      <w:pPr>
        <w:snapToGrid w:val="0"/>
        <w:spacing w:beforeLines="50" w:afterLines="50" w:line="360" w:lineRule="auto"/>
        <w:ind w:left="238"/>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第一章 公开招标采购公告</w:t>
      </w:r>
    </w:p>
    <w:p>
      <w:pPr>
        <w:pStyle w:val="244"/>
        <w:spacing w:afterLines="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根据《中华人民共和国政府采购法》、</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中华人民共和国政府采购法实施条例</w:t>
      </w:r>
      <w:r>
        <w:rPr>
          <w:rFonts w:hint="eastAsia" w:asciiTheme="minorEastAsia" w:hAnsiTheme="minorEastAsia" w:eastAsiaTheme="minorEastAsia"/>
          <w:color w:val="auto"/>
          <w:sz w:val="21"/>
          <w:szCs w:val="21"/>
          <w:highlight w:val="none"/>
        </w:rPr>
        <w:t>》和</w:t>
      </w:r>
      <w:r>
        <w:rPr>
          <w:rFonts w:asciiTheme="minorEastAsia" w:hAnsiTheme="minorEastAsia" w:eastAsiaTheme="minorEastAsia"/>
          <w:color w:val="auto"/>
          <w:sz w:val="21"/>
          <w:szCs w:val="21"/>
          <w:highlight w:val="none"/>
        </w:rPr>
        <w:t>《政府采购货物和服务招标投标管理办法》</w:t>
      </w:r>
      <w:r>
        <w:rPr>
          <w:rFonts w:hint="eastAsia" w:asciiTheme="minorEastAsia" w:hAnsiTheme="minorEastAsia" w:eastAsiaTheme="minorEastAsia"/>
          <w:color w:val="auto"/>
          <w:sz w:val="21"/>
          <w:szCs w:val="21"/>
          <w:highlight w:val="none"/>
        </w:rPr>
        <w:t>、《浙江省</w:t>
      </w:r>
      <w:r>
        <w:rPr>
          <w:rFonts w:asciiTheme="minorEastAsia" w:hAnsiTheme="minorEastAsia" w:eastAsiaTheme="minorEastAsia"/>
          <w:color w:val="auto"/>
          <w:sz w:val="21"/>
          <w:szCs w:val="21"/>
          <w:highlight w:val="none"/>
        </w:rPr>
        <w:t>政府采购项目电子交易管理暂行办法</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等规定</w:t>
      </w:r>
      <w:r>
        <w:rPr>
          <w:rFonts w:hint="eastAsia" w:asciiTheme="minorEastAsia" w:hAnsiTheme="minorEastAsia" w:eastAsiaTheme="minorEastAsia"/>
          <w:color w:val="auto"/>
          <w:sz w:val="21"/>
          <w:szCs w:val="21"/>
          <w:highlight w:val="none"/>
        </w:rPr>
        <w:t>，嘉兴市银建工程咨询评估有限公司受采购人委托，经</w:t>
      </w:r>
      <w:r>
        <w:rPr>
          <w:rFonts w:hint="eastAsia" w:asciiTheme="minorEastAsia" w:hAnsiTheme="minorEastAsia" w:eastAsiaTheme="minorEastAsia"/>
          <w:color w:val="auto"/>
          <w:sz w:val="21"/>
          <w:szCs w:val="21"/>
          <w:highlight w:val="none"/>
          <w:u w:val="single"/>
          <w:lang w:eastAsia="zh-CN"/>
        </w:rPr>
        <w:t>嘉兴市秀洲区财政局临[2022]194号</w:t>
      </w:r>
      <w:r>
        <w:rPr>
          <w:rFonts w:hint="eastAsia" w:asciiTheme="minorEastAsia" w:hAnsiTheme="minorEastAsia" w:eastAsiaTheme="minorEastAsia"/>
          <w:color w:val="auto"/>
          <w:sz w:val="21"/>
          <w:szCs w:val="21"/>
          <w:highlight w:val="none"/>
        </w:rPr>
        <w:t>确认书批准，现就下列项目</w:t>
      </w:r>
      <w:r>
        <w:rPr>
          <w:rFonts w:asciiTheme="minorEastAsia" w:hAnsiTheme="minorEastAsia" w:eastAsiaTheme="minorEastAsia"/>
          <w:color w:val="auto"/>
          <w:sz w:val="21"/>
          <w:szCs w:val="21"/>
          <w:highlight w:val="none"/>
        </w:rPr>
        <w:t>进行</w:t>
      </w:r>
      <w:r>
        <w:rPr>
          <w:rFonts w:asciiTheme="minorEastAsia" w:hAnsiTheme="minorEastAsia" w:eastAsiaTheme="minorEastAsia"/>
          <w:color w:val="auto"/>
          <w:sz w:val="21"/>
          <w:szCs w:val="21"/>
          <w:highlight w:val="none"/>
          <w:u w:val="single"/>
        </w:rPr>
        <w:t>公开招标</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欢迎合格供应商前来投标，现将有关事项公告如下：</w:t>
      </w:r>
    </w:p>
    <w:p>
      <w:pPr>
        <w:snapToGrid w:val="0"/>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color w:val="auto"/>
          <w:szCs w:val="21"/>
          <w:highlight w:val="none"/>
        </w:rPr>
        <w:t>一、</w:t>
      </w:r>
      <w:r>
        <w:rPr>
          <w:rFonts w:hint="eastAsia" w:cs="Arial" w:asciiTheme="minorEastAsia" w:hAnsiTheme="minorEastAsia" w:eastAsiaTheme="minorEastAsia"/>
          <w:b/>
          <w:bCs/>
          <w:color w:val="auto"/>
          <w:szCs w:val="21"/>
          <w:highlight w:val="none"/>
        </w:rPr>
        <w:t>项目编号：</w:t>
      </w:r>
      <w:r>
        <w:rPr>
          <w:rFonts w:hint="eastAsia" w:cs="Arial" w:asciiTheme="minorEastAsia" w:hAnsiTheme="minorEastAsia" w:eastAsiaTheme="minorEastAsia"/>
          <w:color w:val="auto"/>
          <w:szCs w:val="21"/>
          <w:highlight w:val="none"/>
          <w:lang w:eastAsia="zh-CN"/>
        </w:rPr>
        <w:t>银建-JXYJ-L（2022）15号</w:t>
      </w:r>
    </w:p>
    <w:p>
      <w:pPr>
        <w:snapToGrid w:val="0"/>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color w:val="auto"/>
          <w:szCs w:val="21"/>
          <w:highlight w:val="none"/>
        </w:rPr>
        <w:t>二、</w:t>
      </w:r>
      <w:r>
        <w:rPr>
          <w:rFonts w:hint="eastAsia" w:cs="Arial" w:asciiTheme="minorEastAsia" w:hAnsiTheme="minorEastAsia" w:eastAsiaTheme="minorEastAsia"/>
          <w:b/>
          <w:color w:val="auto"/>
          <w:szCs w:val="21"/>
          <w:highlight w:val="none"/>
        </w:rPr>
        <w:t>采购组织类型：</w:t>
      </w:r>
      <w:r>
        <w:rPr>
          <w:rStyle w:val="52"/>
          <w:rFonts w:hint="eastAsia" w:asciiTheme="minorEastAsia" w:hAnsiTheme="minorEastAsia" w:eastAsiaTheme="minorEastAsia"/>
          <w:b w:val="0"/>
          <w:color w:val="auto"/>
          <w:szCs w:val="21"/>
          <w:highlight w:val="none"/>
        </w:rPr>
        <w:t>分散采购</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
          <w:color w:val="auto"/>
          <w:szCs w:val="21"/>
          <w:highlight w:val="none"/>
        </w:rPr>
        <w:t>三、采购方式：</w:t>
      </w:r>
      <w:r>
        <w:rPr>
          <w:rFonts w:hint="eastAsia" w:cs="Arial" w:asciiTheme="minorEastAsia" w:hAnsiTheme="minorEastAsia" w:eastAsiaTheme="minorEastAsia"/>
          <w:color w:val="auto"/>
          <w:szCs w:val="21"/>
          <w:highlight w:val="none"/>
        </w:rPr>
        <w:t>公开招标</w:t>
      </w:r>
    </w:p>
    <w:p>
      <w:pPr>
        <w:snapToGrid w:val="0"/>
        <w:spacing w:line="360" w:lineRule="auto"/>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b/>
          <w:color w:val="auto"/>
          <w:szCs w:val="21"/>
          <w:highlight w:val="none"/>
        </w:rPr>
        <w:t>四、招标项目:</w:t>
      </w:r>
      <w:r>
        <w:rPr>
          <w:rFonts w:hint="eastAsia" w:cs="Arial" w:asciiTheme="minorEastAsia" w:hAnsiTheme="minorEastAsia" w:eastAsiaTheme="minorEastAsia"/>
          <w:color w:val="auto"/>
          <w:szCs w:val="21"/>
          <w:highlight w:val="none"/>
        </w:rPr>
        <w:t xml:space="preserve"> </w:t>
      </w:r>
      <w:r>
        <w:rPr>
          <w:rFonts w:hint="eastAsia" w:cs="Arial" w:asciiTheme="minorEastAsia" w:hAnsiTheme="minorEastAsia" w:eastAsiaTheme="minorEastAsia"/>
          <w:color w:val="auto"/>
          <w:szCs w:val="21"/>
          <w:highlight w:val="none"/>
          <w:lang w:eastAsia="zh-CN"/>
        </w:rPr>
        <w:t>新城街道市政设施养护项目</w:t>
      </w:r>
    </w:p>
    <w:p>
      <w:pPr>
        <w:snapToGrid w:val="0"/>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五、采购预算：</w:t>
      </w:r>
      <w:r>
        <w:rPr>
          <w:rFonts w:hint="eastAsia" w:cs="Arial" w:asciiTheme="minorEastAsia" w:hAnsiTheme="minorEastAsia" w:eastAsiaTheme="minorEastAsia"/>
          <w:color w:val="auto"/>
          <w:szCs w:val="21"/>
          <w:highlight w:val="none"/>
          <w:lang w:val="en-US" w:eastAsia="zh-CN"/>
        </w:rPr>
        <w:t>1396.8680</w:t>
      </w:r>
      <w:r>
        <w:rPr>
          <w:rFonts w:hint="eastAsia" w:cs="Arial" w:asciiTheme="minorEastAsia" w:hAnsiTheme="minorEastAsia" w:eastAsiaTheme="minorEastAsia"/>
          <w:color w:val="auto"/>
          <w:szCs w:val="21"/>
          <w:highlight w:val="none"/>
        </w:rPr>
        <w:t>万元</w:t>
      </w:r>
    </w:p>
    <w:p>
      <w:pPr>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六、招标采购内容：</w:t>
      </w:r>
    </w:p>
    <w:tbl>
      <w:tblPr>
        <w:tblStyle w:val="49"/>
        <w:tblW w:w="10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3037"/>
        <w:gridCol w:w="1509"/>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项目名称</w:t>
            </w:r>
          </w:p>
        </w:tc>
        <w:tc>
          <w:tcPr>
            <w:tcW w:w="30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服务期</w:t>
            </w:r>
          </w:p>
        </w:tc>
        <w:tc>
          <w:tcPr>
            <w:tcW w:w="1509" w:type="dxa"/>
            <w:tcBorders>
              <w:top w:val="single" w:color="auto" w:sz="4" w:space="0"/>
              <w:left w:val="single" w:color="auto" w:sz="4" w:space="0"/>
              <w:bottom w:val="single" w:color="auto" w:sz="4" w:space="0"/>
              <w:right w:val="single" w:color="auto" w:sz="4" w:space="0"/>
            </w:tcBorders>
            <w:vAlign w:val="top"/>
          </w:tcPr>
          <w:p>
            <w:pPr>
              <w:snapToGrid w:val="0"/>
              <w:spacing w:line="430" w:lineRule="exact"/>
              <w:jc w:val="center"/>
              <w:rPr>
                <w:rFonts w:hint="eastAsia" w:asciiTheme="minorEastAsia" w:hAnsiTheme="minorEastAsia" w:eastAsiaTheme="minorEastAsia"/>
                <w:b/>
                <w:color w:val="auto"/>
                <w:szCs w:val="21"/>
                <w:highlight w:val="none"/>
              </w:rPr>
            </w:pPr>
            <w:r>
              <w:rPr>
                <w:rFonts w:hint="eastAsia" w:ascii="微软雅黑" w:hAnsi="微软雅黑" w:eastAsia="微软雅黑"/>
                <w:b/>
                <w:bCs/>
                <w:color w:val="auto"/>
                <w:szCs w:val="21"/>
                <w:highlight w:val="none"/>
              </w:rPr>
              <w:t>预算价（万元）</w:t>
            </w: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21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新城街道市政设施养护项目</w:t>
            </w:r>
          </w:p>
        </w:tc>
        <w:tc>
          <w:tcPr>
            <w:tcW w:w="30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eastAsia="zh-CN"/>
              </w:rPr>
              <w:t>自签订合同之日起一年</w:t>
            </w:r>
          </w:p>
        </w:tc>
        <w:tc>
          <w:tcPr>
            <w:tcW w:w="1509" w:type="dxa"/>
            <w:tcBorders>
              <w:top w:val="single" w:color="auto" w:sz="4" w:space="0"/>
              <w:left w:val="single" w:color="auto" w:sz="4" w:space="0"/>
              <w:bottom w:val="single" w:color="auto" w:sz="4" w:space="0"/>
              <w:right w:val="single" w:color="auto" w:sz="4" w:space="0"/>
            </w:tcBorders>
            <w:vAlign w:val="center"/>
          </w:tcPr>
          <w:p>
            <w:pPr>
              <w:snapToGrid w:val="0"/>
              <w:spacing w:line="430" w:lineRule="exact"/>
              <w:jc w:val="center"/>
              <w:rPr>
                <w:rFonts w:hint="eastAsia" w:asciiTheme="minorEastAsia" w:hAnsiTheme="minorEastAsia" w:eastAsiaTheme="minorEastAsia"/>
                <w:color w:val="auto"/>
                <w:szCs w:val="21"/>
                <w:highlight w:val="none"/>
              </w:rPr>
            </w:pPr>
            <w:r>
              <w:rPr>
                <w:rFonts w:hint="eastAsia" w:ascii="微软雅黑" w:hAnsi="微软雅黑" w:eastAsia="微软雅黑"/>
                <w:color w:val="auto"/>
                <w:szCs w:val="21"/>
                <w:highlight w:val="none"/>
                <w:lang w:val="en-US" w:eastAsia="zh-CN"/>
              </w:rPr>
              <w:t xml:space="preserve">1396.868万 </w:t>
            </w: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具体要求详见招标文件</w:t>
            </w:r>
          </w:p>
        </w:tc>
      </w:tr>
    </w:tbl>
    <w:p>
      <w:pPr>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七、合格供应商的资格要求</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（一）符合政府采购法第二十二条：</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1.具有独立承担民事责任的能力；</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2.具有良好的商业信誉和健全的财务会计制度；</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3.具有履行合同所必需的设备和专业技术能力；</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4.有依法缴纳税收和社会保障资金的良好记录；</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5.参加政府采购活动前三年，在经营活动中没有重大违法记录；</w:t>
      </w:r>
    </w:p>
    <w:p>
      <w:pPr>
        <w:snapToGrid w:val="0"/>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color w:val="auto"/>
          <w:szCs w:val="21"/>
          <w:highlight w:val="none"/>
        </w:rPr>
        <w:t>6.法律、行政法规规定的其他条件；</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二）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pPr>
        <w:snapToGrid w:val="0"/>
        <w:spacing w:line="360" w:lineRule="auto"/>
        <w:jc w:val="left"/>
        <w:rPr>
          <w:rFonts w:cs="Arial" w:asciiTheme="minorEastAsia" w:hAnsiTheme="minorEastAsia" w:eastAsiaTheme="minorEastAsia"/>
          <w:b/>
          <w:color w:val="auto"/>
          <w:szCs w:val="21"/>
          <w:highlight w:val="none"/>
        </w:rPr>
      </w:pPr>
      <w:r>
        <w:rPr>
          <w:rFonts w:hint="eastAsia"/>
          <w:b/>
          <w:color w:val="auto"/>
          <w:highlight w:val="none"/>
        </w:rPr>
        <w:t>（三）</w:t>
      </w:r>
      <w:r>
        <w:rPr>
          <w:rFonts w:hint="eastAsia" w:cs="Arial" w:asciiTheme="minorEastAsia" w:hAnsiTheme="minorEastAsia" w:eastAsiaTheme="minorEastAsia"/>
          <w:b/>
          <w:color w:val="auto"/>
          <w:szCs w:val="21"/>
          <w:highlight w:val="none"/>
        </w:rPr>
        <w:t>本项目</w:t>
      </w:r>
      <w:r>
        <w:rPr>
          <w:rFonts w:hint="eastAsia" w:cs="Arial" w:asciiTheme="minorEastAsia" w:hAnsiTheme="minorEastAsia" w:eastAsiaTheme="minorEastAsia"/>
          <w:b/>
          <w:color w:val="auto"/>
          <w:szCs w:val="21"/>
          <w:highlight w:val="none"/>
          <w:lang w:eastAsia="zh-CN"/>
        </w:rPr>
        <w:t>不</w:t>
      </w:r>
      <w:r>
        <w:rPr>
          <w:rFonts w:hint="eastAsia" w:cs="Arial" w:asciiTheme="minorEastAsia" w:hAnsiTheme="minorEastAsia" w:eastAsiaTheme="minorEastAsia"/>
          <w:b/>
          <w:color w:val="auto"/>
          <w:szCs w:val="21"/>
          <w:highlight w:val="none"/>
        </w:rPr>
        <w:t>接受联合体投标。</w:t>
      </w:r>
    </w:p>
    <w:p>
      <w:pPr>
        <w:snapToGrid w:val="0"/>
        <w:spacing w:line="360" w:lineRule="auto"/>
        <w:ind w:firstLine="422" w:firstLineChars="200"/>
        <w:rPr>
          <w:rFonts w:cs="Arial"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注：本采购项目，中标单位与采购人签订的政府采购合同适用于嘉兴市政府采购贷款政策，简称“政采贷”，具体内容可参阅政府采购贷款流程：</w:t>
      </w:r>
      <w:r>
        <w:rPr>
          <w:rFonts w:cs="宋体" w:asciiTheme="minorEastAsia" w:hAnsiTheme="minorEastAsia" w:eastAsiaTheme="minorEastAsia"/>
          <w:b/>
          <w:color w:val="auto"/>
          <w:szCs w:val="21"/>
          <w:highlight w:val="none"/>
        </w:rPr>
        <w:t>http://www.jxzbtb.cn/zxfw/005012/20181016/7e541bf4-ad29-4286-ace8-d12c1b2c54fc.html</w:t>
      </w:r>
    </w:p>
    <w:p>
      <w:pPr>
        <w:spacing w:line="360" w:lineRule="auto"/>
        <w:rPr>
          <w:rFonts w:asciiTheme="minorEastAsia" w:hAnsiTheme="minorEastAsia" w:eastAsiaTheme="minorEastAsia"/>
          <w:b/>
          <w:i/>
          <w:iCs/>
          <w:color w:val="auto"/>
          <w:szCs w:val="21"/>
          <w:highlight w:val="none"/>
          <w:u w:val="single"/>
        </w:rPr>
      </w:pPr>
      <w:r>
        <w:rPr>
          <w:rFonts w:hint="eastAsia" w:asciiTheme="minorEastAsia" w:hAnsiTheme="minorEastAsia" w:eastAsiaTheme="minorEastAsia"/>
          <w:b/>
          <w:color w:val="auto"/>
          <w:szCs w:val="21"/>
          <w:highlight w:val="none"/>
        </w:rPr>
        <w:t>八、公告期限：</w:t>
      </w:r>
      <w:r>
        <w:rPr>
          <w:rFonts w:hint="eastAsia" w:cs="宋体" w:asciiTheme="minorEastAsia" w:hAnsiTheme="minorEastAsia" w:eastAsiaTheme="minorEastAsia"/>
          <w:b/>
          <w:color w:val="auto"/>
          <w:szCs w:val="21"/>
          <w:highlight w:val="none"/>
          <w:u w:val="single"/>
        </w:rPr>
        <w:t xml:space="preserve">   自公告发布之日起5个工作日   </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
          <w:bCs/>
          <w:color w:val="auto"/>
          <w:szCs w:val="21"/>
          <w:highlight w:val="none"/>
        </w:rPr>
        <w:t>九、投标说明</w:t>
      </w:r>
      <w:r>
        <w:rPr>
          <w:rFonts w:hint="eastAsia" w:cs="Arial" w:asciiTheme="minorEastAsia" w:hAnsiTheme="minorEastAsia" w:eastAsiaTheme="minorEastAsia"/>
          <w:color w:val="auto"/>
          <w:szCs w:val="21"/>
          <w:highlight w:val="none"/>
        </w:rPr>
        <w:t>：</w:t>
      </w:r>
    </w:p>
    <w:p>
      <w:pPr>
        <w:spacing w:line="360" w:lineRule="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１、本项目按照《浙江省财政厅关于印发浙江省政府采购项电子交易管理暂行办法的通知》实行电子交易。</w:t>
      </w:r>
    </w:p>
    <w:p>
      <w:pPr>
        <w:spacing w:line="360" w:lineRule="auto"/>
        <w:rPr>
          <w:rFonts w:cs="宋体" w:asciiTheme="minorEastAsia" w:hAnsiTheme="minorEastAsia" w:eastAsiaTheme="minorEastAsia"/>
          <w:b/>
          <w:color w:val="auto"/>
          <w:kern w:val="0"/>
          <w:szCs w:val="21"/>
          <w:highlight w:val="none"/>
        </w:rPr>
      </w:pPr>
      <w:r>
        <w:rPr>
          <w:rFonts w:cs="宋体" w:asciiTheme="minorEastAsia" w:hAnsiTheme="minorEastAsia" w:eastAsiaTheme="minorEastAsia"/>
          <w:b/>
          <w:color w:val="auto"/>
          <w:kern w:val="0"/>
          <w:szCs w:val="21"/>
          <w:highlight w:val="none"/>
        </w:rPr>
        <w:t>2</w:t>
      </w:r>
      <w:r>
        <w:rPr>
          <w:rFonts w:hint="eastAsia" w:cs="宋体" w:asciiTheme="minorEastAsia" w:hAnsiTheme="minorEastAsia" w:eastAsiaTheme="minorEastAsia"/>
          <w:b/>
          <w:color w:val="auto"/>
          <w:kern w:val="0"/>
          <w:szCs w:val="21"/>
          <w:highlight w:val="none"/>
        </w:rPr>
        <w:t>、供应商注册</w:t>
      </w:r>
    </w:p>
    <w:p>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2.1注册网址：</w:t>
      </w:r>
    </w:p>
    <w:p>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Style w:val="56"/>
          <w:rFonts w:hint="eastAsia" w:cs="宋体" w:asciiTheme="minorEastAsia" w:hAnsiTheme="minorEastAsia" w:eastAsiaTheme="minorEastAsia"/>
          <w:color w:val="auto"/>
          <w:kern w:val="0"/>
          <w:szCs w:val="21"/>
          <w:highlight w:val="none"/>
        </w:rPr>
        <w:t>https://middle.zcygov.cn/settle-front/#/registry</w:t>
      </w:r>
      <w:r>
        <w:rPr>
          <w:rStyle w:val="56"/>
          <w:rFonts w:hint="eastAsia" w:cs="宋体" w:asciiTheme="minorEastAsia" w:hAnsiTheme="minorEastAsia" w:eastAsiaTheme="minorEastAsia"/>
          <w:color w:val="auto"/>
          <w:kern w:val="0"/>
          <w:szCs w:val="21"/>
          <w:highlight w:val="none"/>
        </w:rPr>
        <w:fldChar w:fldCharType="end"/>
      </w:r>
    </w:p>
    <w:p>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2.2供应商按照《浙江省政府采购供应商注册和诚信管理暂行办法》要求执行。</w:t>
      </w:r>
    </w:p>
    <w:p>
      <w:pPr>
        <w:spacing w:line="360" w:lineRule="auto"/>
        <w:jc w:val="left"/>
        <w:rPr>
          <w:rFonts w:cs="宋体" w:asciiTheme="minorEastAsia" w:hAnsiTheme="minorEastAsia" w:eastAsiaTheme="minorEastAsia"/>
          <w:b/>
          <w:color w:val="auto"/>
          <w:kern w:val="0"/>
          <w:szCs w:val="21"/>
          <w:highlight w:val="none"/>
        </w:rPr>
      </w:pPr>
      <w:r>
        <w:rPr>
          <w:rFonts w:cs="宋体" w:asciiTheme="minorEastAsia" w:hAnsiTheme="minorEastAsia" w:eastAsiaTheme="minorEastAsia"/>
          <w:b/>
          <w:color w:val="auto"/>
          <w:kern w:val="0"/>
          <w:szCs w:val="21"/>
          <w:highlight w:val="none"/>
        </w:rPr>
        <w:t>3、</w:t>
      </w:r>
      <w:r>
        <w:rPr>
          <w:rFonts w:hint="eastAsia" w:cs="宋体" w:asciiTheme="minorEastAsia" w:hAnsiTheme="minorEastAsia" w:eastAsiaTheme="minorEastAsia"/>
          <w:b/>
          <w:color w:val="auto"/>
          <w:kern w:val="0"/>
          <w:szCs w:val="21"/>
          <w:highlight w:val="none"/>
        </w:rPr>
        <w:t>获取招标文件（报名）：</w:t>
      </w:r>
    </w:p>
    <w:p>
      <w:pPr>
        <w:spacing w:line="360" w:lineRule="auto"/>
        <w:jc w:val="left"/>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3</w:t>
      </w:r>
      <w:r>
        <w:rPr>
          <w:rFonts w:hint="eastAsia" w:asciiTheme="minorEastAsia" w:hAnsiTheme="minorEastAsia" w:eastAsiaTheme="minorEastAsia"/>
          <w:color w:val="auto"/>
          <w:szCs w:val="21"/>
          <w:highlight w:val="none"/>
          <w:shd w:val="clear" w:color="auto" w:fill="FFFFFF"/>
        </w:rPr>
        <w:t>.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pPr>
        <w:spacing w:line="360" w:lineRule="auto"/>
        <w:jc w:val="left"/>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3</w:t>
      </w:r>
      <w:r>
        <w:rPr>
          <w:rFonts w:hint="eastAsia" w:asciiTheme="minorEastAsia" w:hAnsiTheme="minorEastAsia" w:eastAsiaTheme="minorEastAsia"/>
          <w:color w:val="auto"/>
          <w:szCs w:val="21"/>
          <w:highlight w:val="none"/>
          <w:shd w:val="clear" w:color="auto" w:fill="FFFFFF"/>
        </w:rPr>
        <w:t>.2获取网址：浙江政府采购网</w:t>
      </w:r>
      <w:r>
        <w:rPr>
          <w:color w:val="auto"/>
          <w:highlight w:val="none"/>
        </w:rPr>
        <w:fldChar w:fldCharType="begin"/>
      </w:r>
      <w:r>
        <w:rPr>
          <w:color w:val="auto"/>
          <w:highlight w:val="none"/>
        </w:rPr>
        <w:instrText xml:space="preserve"> HYPERLINK "https://login.zcygov.cn/login" \t "_blank" </w:instrText>
      </w:r>
      <w:r>
        <w:rPr>
          <w:color w:val="auto"/>
          <w:highlight w:val="none"/>
        </w:rPr>
        <w:fldChar w:fldCharType="separate"/>
      </w:r>
      <w:r>
        <w:rPr>
          <w:rFonts w:hint="eastAsia" w:asciiTheme="minorEastAsia" w:hAnsiTheme="minorEastAsia" w:eastAsiaTheme="minorEastAsia"/>
          <w:color w:val="auto"/>
          <w:szCs w:val="21"/>
          <w:highlight w:val="none"/>
          <w:shd w:val="clear" w:color="auto" w:fill="FFFFFF"/>
        </w:rPr>
        <w:t>https://login.zcygov.cn/login</w:t>
      </w:r>
      <w:r>
        <w:rPr>
          <w:rFonts w:hint="eastAsia" w:asciiTheme="minorEastAsia" w:hAnsiTheme="minorEastAsia" w:eastAsiaTheme="minorEastAsia"/>
          <w:color w:val="auto"/>
          <w:szCs w:val="21"/>
          <w:highlight w:val="none"/>
          <w:shd w:val="clear" w:color="auto" w:fill="FFFFFF"/>
        </w:rPr>
        <w:fldChar w:fldCharType="end"/>
      </w:r>
    </w:p>
    <w:p>
      <w:pPr>
        <w:spacing w:line="360" w:lineRule="auto"/>
        <w:jc w:val="left"/>
        <w:rPr>
          <w:rFonts w:asciiTheme="minorEastAsia" w:hAnsiTheme="minorEastAsia" w:eastAsiaTheme="minorEastAsia"/>
          <w:b/>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3</w:t>
      </w:r>
      <w:r>
        <w:rPr>
          <w:rFonts w:hint="eastAsia" w:asciiTheme="minorEastAsia" w:hAnsiTheme="minorEastAsia" w:eastAsiaTheme="minorEastAsia"/>
          <w:color w:val="auto"/>
          <w:szCs w:val="21"/>
          <w:highlight w:val="none"/>
          <w:shd w:val="clear" w:color="auto" w:fill="FFFFFF"/>
        </w:rPr>
        <w:t xml:space="preserve">.3获取时间： </w:t>
      </w:r>
      <w:r>
        <w:rPr>
          <w:rFonts w:hint="eastAsia" w:asciiTheme="minorEastAsia" w:hAnsiTheme="minorEastAsia" w:eastAsiaTheme="minorEastAsia"/>
          <w:b/>
          <w:color w:val="auto"/>
          <w:szCs w:val="21"/>
          <w:highlight w:val="none"/>
          <w:shd w:val="clear" w:color="auto" w:fill="FFFFFF"/>
          <w:lang w:eastAsia="zh-CN"/>
        </w:rPr>
        <w:t xml:space="preserve">2022年 </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kern w:val="0"/>
          <w:szCs w:val="21"/>
          <w:highlight w:val="none"/>
        </w:rPr>
        <w:t>14时00分整</w:t>
      </w:r>
      <w:r>
        <w:rPr>
          <w:rFonts w:hint="eastAsia" w:cs="宋体" w:asciiTheme="minorEastAsia" w:hAnsiTheme="minorEastAsia" w:eastAsiaTheme="minorEastAsia"/>
          <w:bCs/>
          <w:color w:val="auto"/>
          <w:kern w:val="0"/>
          <w:szCs w:val="21"/>
          <w:highlight w:val="none"/>
        </w:rPr>
        <w:t>前在上述时间内供应商均可获取招标文件。</w:t>
      </w:r>
    </w:p>
    <w:p>
      <w:pPr>
        <w:pStyle w:val="195"/>
        <w:spacing w:line="360" w:lineRule="auto"/>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4</w:t>
      </w:r>
      <w:r>
        <w:rPr>
          <w:rFonts w:hint="eastAsia" w:asciiTheme="minorEastAsia" w:hAnsiTheme="minorEastAsia" w:eastAsiaTheme="minorEastAsia"/>
          <w:b/>
          <w:color w:val="auto"/>
          <w:sz w:val="21"/>
          <w:szCs w:val="21"/>
          <w:highlight w:val="none"/>
        </w:rPr>
        <w:t>、投标文件</w:t>
      </w:r>
      <w:r>
        <w:rPr>
          <w:rFonts w:asciiTheme="minorEastAsia" w:hAnsiTheme="minorEastAsia" w:eastAsiaTheme="minorEastAsia"/>
          <w:b/>
          <w:color w:val="auto"/>
          <w:sz w:val="21"/>
          <w:szCs w:val="21"/>
          <w:highlight w:val="none"/>
        </w:rPr>
        <w:t>制作</w:t>
      </w:r>
      <w:r>
        <w:rPr>
          <w:rFonts w:hint="eastAsia" w:asciiTheme="minorEastAsia" w:hAnsiTheme="minorEastAsia" w:eastAsiaTheme="minorEastAsia"/>
          <w:b/>
          <w:color w:val="auto"/>
          <w:sz w:val="21"/>
          <w:szCs w:val="21"/>
          <w:highlight w:val="none"/>
        </w:rPr>
        <w:t>注意事项</w:t>
      </w:r>
    </w:p>
    <w:p>
      <w:pPr>
        <w:spacing w:beforeLines="50" w:afterLines="50" w:line="360" w:lineRule="auto"/>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4.1供应商将政采云电子交易客户端下载、安装完成后，可通过账号密码或CA登录客户端进行投标文件制作。</w:t>
      </w:r>
    </w:p>
    <w:p>
      <w:pPr>
        <w:spacing w:beforeLines="50" w:afterLines="50" w:line="360" w:lineRule="auto"/>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spacing w:beforeLines="50" w:afterLines="50" w:line="360" w:lineRule="auto"/>
        <w:rPr>
          <w:rStyle w:val="56"/>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4.2电子交易操作指南：</w:t>
      </w:r>
      <w:r>
        <w:rPr>
          <w:color w:val="auto"/>
          <w:highlight w:val="none"/>
        </w:rPr>
        <w:fldChar w:fldCharType="begin"/>
      </w:r>
      <w:r>
        <w:rPr>
          <w:color w:val="auto"/>
          <w:highlight w:val="none"/>
        </w:rPr>
        <w:instrText xml:space="preserve"> HYPERLINK "https://help.zcygov.cn/web/site_2/2018/12-28/2573.html" \t "_blank" </w:instrText>
      </w:r>
      <w:r>
        <w:rPr>
          <w:color w:val="auto"/>
          <w:highlight w:val="none"/>
        </w:rPr>
        <w:fldChar w:fldCharType="separate"/>
      </w:r>
      <w:r>
        <w:rPr>
          <w:rStyle w:val="56"/>
          <w:rFonts w:hint="eastAsia" w:asciiTheme="minorEastAsia" w:hAnsiTheme="minorEastAsia" w:eastAsiaTheme="minorEastAsia"/>
          <w:color w:val="auto"/>
          <w:szCs w:val="21"/>
          <w:highlight w:val="none"/>
          <w:shd w:val="clear" w:color="auto" w:fill="FFFFFF"/>
        </w:rPr>
        <w:t>https://help.zcygov.cn/web/site_2/2018/12-28/2573.html</w:t>
      </w:r>
      <w:r>
        <w:rPr>
          <w:rStyle w:val="56"/>
          <w:rFonts w:hint="eastAsia" w:asciiTheme="minorEastAsia" w:hAnsiTheme="minorEastAsia" w:eastAsiaTheme="minorEastAsia"/>
          <w:color w:val="auto"/>
          <w:szCs w:val="21"/>
          <w:highlight w:val="none"/>
          <w:shd w:val="clear" w:color="auto" w:fill="FFFFFF"/>
        </w:rPr>
        <w:fldChar w:fldCharType="end"/>
      </w:r>
    </w:p>
    <w:p>
      <w:pPr>
        <w:spacing w:beforeLines="50" w:afterLines="50" w:line="360" w:lineRule="auto"/>
        <w:rPr>
          <w:rStyle w:val="56"/>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《CA申领操作指南》：</w:t>
      </w:r>
      <w:r>
        <w:rPr>
          <w:color w:val="auto"/>
          <w:highlight w:val="none"/>
        </w:rPr>
        <w:fldChar w:fldCharType="begin"/>
      </w:r>
      <w:r>
        <w:rPr>
          <w:color w:val="auto"/>
          <w:highlight w:val="none"/>
        </w:rPr>
        <w:instrText xml:space="preserve"> HYPERLINK "https://help.zcygov.cn/web/site_2/2018/11-29/2452.html" \t "_blank" </w:instrText>
      </w:r>
      <w:r>
        <w:rPr>
          <w:color w:val="auto"/>
          <w:highlight w:val="none"/>
        </w:rPr>
        <w:fldChar w:fldCharType="separate"/>
      </w:r>
      <w:r>
        <w:rPr>
          <w:rStyle w:val="56"/>
          <w:rFonts w:hint="eastAsia" w:asciiTheme="minorEastAsia" w:hAnsiTheme="minorEastAsia" w:eastAsiaTheme="minorEastAsia"/>
          <w:color w:val="auto"/>
          <w:szCs w:val="21"/>
          <w:highlight w:val="none"/>
          <w:shd w:val="clear" w:color="auto" w:fill="FFFFFF"/>
        </w:rPr>
        <w:t>https://help.zcygov.cn/web/site_2/2018/11-29/2452.html</w:t>
      </w:r>
      <w:r>
        <w:rPr>
          <w:rStyle w:val="56"/>
          <w:rFonts w:hint="eastAsia" w:asciiTheme="minorEastAsia" w:hAnsiTheme="minorEastAsia" w:eastAsiaTheme="minorEastAsia"/>
          <w:color w:val="auto"/>
          <w:szCs w:val="21"/>
          <w:highlight w:val="none"/>
          <w:shd w:val="clear" w:color="auto" w:fill="FFFFFF"/>
        </w:rPr>
        <w:fldChar w:fldCharType="end"/>
      </w:r>
    </w:p>
    <w:p>
      <w:pPr>
        <w:spacing w:beforeLines="50" w:afterLines="50" w:line="360" w:lineRule="auto"/>
        <w:rPr>
          <w:rStyle w:val="56"/>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《CA管理操作指南》：</w:t>
      </w:r>
      <w:r>
        <w:rPr>
          <w:color w:val="auto"/>
          <w:highlight w:val="none"/>
        </w:rPr>
        <w:fldChar w:fldCharType="begin"/>
      </w:r>
      <w:r>
        <w:rPr>
          <w:color w:val="auto"/>
          <w:highlight w:val="none"/>
        </w:rPr>
        <w:instrText xml:space="preserve"> HYPERLINK "https://help.zcygov.cn/web/site_2/2019/08-20/3405.html" \t "_blank" </w:instrText>
      </w:r>
      <w:r>
        <w:rPr>
          <w:color w:val="auto"/>
          <w:highlight w:val="none"/>
        </w:rPr>
        <w:fldChar w:fldCharType="separate"/>
      </w:r>
      <w:r>
        <w:rPr>
          <w:rStyle w:val="56"/>
          <w:rFonts w:hint="eastAsia" w:asciiTheme="minorEastAsia" w:hAnsiTheme="minorEastAsia" w:eastAsiaTheme="minorEastAsia"/>
          <w:color w:val="auto"/>
          <w:szCs w:val="21"/>
          <w:highlight w:val="none"/>
          <w:shd w:val="clear" w:color="auto" w:fill="FFFFFF"/>
        </w:rPr>
        <w:t>https://help.zcygov.cn/web/site_2/2019/08-20/3405.html</w:t>
      </w:r>
      <w:r>
        <w:rPr>
          <w:rStyle w:val="56"/>
          <w:rFonts w:hint="eastAsia" w:asciiTheme="minorEastAsia" w:hAnsiTheme="minorEastAsia" w:eastAsiaTheme="minorEastAsia"/>
          <w:color w:val="auto"/>
          <w:szCs w:val="21"/>
          <w:highlight w:val="none"/>
          <w:shd w:val="clear" w:color="auto" w:fill="FFFFFF"/>
        </w:rPr>
        <w:fldChar w:fldCharType="end"/>
      </w:r>
    </w:p>
    <w:p>
      <w:pPr>
        <w:spacing w:beforeLines="50" w:afterLines="50" w:line="360" w:lineRule="auto"/>
        <w:rPr>
          <w:rStyle w:val="56"/>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《CA驱动和申领流程》</w:t>
      </w:r>
      <w:r>
        <w:rPr>
          <w:color w:val="auto"/>
          <w:highlight w:val="none"/>
        </w:rPr>
        <w:fldChar w:fldCharType="begin"/>
      </w:r>
      <w:r>
        <w:rPr>
          <w:color w:val="auto"/>
          <w:highlight w:val="none"/>
        </w:rPr>
        <w:instrText xml:space="preserve"> HYPERLINK "http://www.zjzfcg.gov.cn/bidClientTemplate/2019-05-27/12945.html" \t "_blank" </w:instrText>
      </w:r>
      <w:r>
        <w:rPr>
          <w:color w:val="auto"/>
          <w:highlight w:val="none"/>
        </w:rPr>
        <w:fldChar w:fldCharType="separate"/>
      </w:r>
      <w:r>
        <w:rPr>
          <w:rStyle w:val="56"/>
          <w:rFonts w:hint="eastAsia" w:asciiTheme="minorEastAsia" w:hAnsiTheme="minorEastAsia" w:eastAsiaTheme="minorEastAsia"/>
          <w:color w:val="auto"/>
          <w:szCs w:val="21"/>
          <w:highlight w:val="none"/>
          <w:shd w:val="clear" w:color="auto" w:fill="FFFFFF"/>
        </w:rPr>
        <w:t>http://www.zjzfcg.gov.cn/bidClientTemplate/2019-05-27/12945.html</w:t>
      </w:r>
      <w:r>
        <w:rPr>
          <w:rStyle w:val="56"/>
          <w:rFonts w:hint="eastAsia" w:asciiTheme="minorEastAsia" w:hAnsiTheme="minorEastAsia" w:eastAsiaTheme="minorEastAsia"/>
          <w:color w:val="auto"/>
          <w:szCs w:val="21"/>
          <w:highlight w:val="none"/>
          <w:shd w:val="clear" w:color="auto" w:fill="FFFFFF"/>
        </w:rPr>
        <w:fldChar w:fldCharType="end"/>
      </w:r>
    </w:p>
    <w:p>
      <w:pPr>
        <w:spacing w:beforeLines="50" w:afterLines="50" w:line="360" w:lineRule="auto"/>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rPr>
        <w:t>注：</w:t>
      </w:r>
      <w:r>
        <w:rPr>
          <w:rFonts w:hint="eastAsia" w:asciiTheme="minorEastAsia" w:hAnsiTheme="minorEastAsia" w:eastAsiaTheme="minorEastAsia"/>
          <w:color w:val="auto"/>
          <w:szCs w:val="21"/>
          <w:highlight w:val="none"/>
          <w:shd w:val="clear" w:color="auto" w:fill="FFFFFF"/>
        </w:rPr>
        <w:t>ＣＡ证书遗失补办、延期、解锁、质保等业务可以在联连客户端上进行操作；使用政采云投标客户端时，建议使用WIN7及以上操作系统。</w:t>
      </w:r>
    </w:p>
    <w:p>
      <w:pPr>
        <w:spacing w:beforeLines="50" w:afterLines="50" w:line="360" w:lineRule="auto"/>
        <w:rPr>
          <w:rFonts w:asciiTheme="minorEastAsia" w:hAnsiTheme="minorEastAsia" w:eastAsiaTheme="minorEastAsia"/>
          <w:b/>
          <w:color w:val="auto"/>
          <w:szCs w:val="21"/>
          <w:highlight w:val="none"/>
          <w:shd w:val="clear" w:color="auto" w:fill="FFFFFF"/>
        </w:rPr>
      </w:pPr>
      <w:r>
        <w:rPr>
          <w:rFonts w:hint="eastAsia" w:asciiTheme="minorEastAsia" w:hAnsiTheme="minorEastAsia" w:eastAsiaTheme="minorEastAsia"/>
          <w:b/>
          <w:color w:val="auto"/>
          <w:szCs w:val="21"/>
          <w:highlight w:val="none"/>
          <w:shd w:val="clear" w:color="auto" w:fill="FFFFFF"/>
        </w:rPr>
        <w:t>5、政采云咨询电话：400-881-7190；</w:t>
      </w:r>
    </w:p>
    <w:p>
      <w:pPr>
        <w:spacing w:beforeLines="50" w:after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政采云平台服务中心：</w:t>
      </w:r>
      <w:r>
        <w:rPr>
          <w:color w:val="auto"/>
          <w:highlight w:val="none"/>
        </w:rPr>
        <w:fldChar w:fldCharType="begin"/>
      </w:r>
      <w:r>
        <w:rPr>
          <w:color w:val="auto"/>
          <w:highlight w:val="none"/>
        </w:rPr>
        <w:instrText xml:space="preserve"> HYPERLINK "https://service.zcygov.cn/" \l "/" \t "_blank" </w:instrText>
      </w:r>
      <w:r>
        <w:rPr>
          <w:color w:val="auto"/>
          <w:highlight w:val="none"/>
        </w:rPr>
        <w:fldChar w:fldCharType="separate"/>
      </w:r>
      <w:r>
        <w:rPr>
          <w:rStyle w:val="56"/>
          <w:rFonts w:hint="eastAsia" w:asciiTheme="minorEastAsia" w:hAnsiTheme="minorEastAsia" w:eastAsiaTheme="minorEastAsia"/>
          <w:color w:val="auto"/>
          <w:szCs w:val="21"/>
          <w:highlight w:val="none"/>
          <w:shd w:val="clear" w:color="auto" w:fill="FFFFFF"/>
        </w:rPr>
        <w:t>https://service.zcygov.cn/#/</w:t>
      </w:r>
      <w:r>
        <w:rPr>
          <w:rStyle w:val="56"/>
          <w:rFonts w:hint="eastAsia" w:asciiTheme="minorEastAsia" w:hAnsiTheme="minorEastAsia" w:eastAsiaTheme="minorEastAsia"/>
          <w:color w:val="auto"/>
          <w:szCs w:val="21"/>
          <w:highlight w:val="none"/>
          <w:shd w:val="clear" w:color="auto" w:fill="FFFFFF"/>
        </w:rPr>
        <w:fldChar w:fldCharType="end"/>
      </w:r>
    </w:p>
    <w:p>
      <w:pPr>
        <w:spacing w:beforeLines="50" w:afterLines="50" w:line="360" w:lineRule="auto"/>
        <w:rPr>
          <w:rFonts w:asciiTheme="minorEastAsia" w:hAnsiTheme="minorEastAsia" w:eastAsiaTheme="minorEastAsia"/>
          <w:b/>
          <w:color w:val="auto"/>
          <w:szCs w:val="21"/>
          <w:highlight w:val="none"/>
          <w:shd w:val="clear" w:color="auto" w:fill="FFFFFF"/>
        </w:rPr>
      </w:pPr>
      <w:r>
        <w:rPr>
          <w:rFonts w:hint="eastAsia" w:asciiTheme="minorEastAsia" w:hAnsiTheme="minorEastAsia" w:eastAsiaTheme="minorEastAsia"/>
          <w:b/>
          <w:color w:val="auto"/>
          <w:szCs w:val="21"/>
          <w:highlight w:val="none"/>
          <w:shd w:val="clear" w:color="auto" w:fill="FFFFFF"/>
        </w:rPr>
        <w:t>6、汇信（ＣＡ）客服电话：400-888-4636</w:t>
      </w:r>
    </w:p>
    <w:p>
      <w:pPr>
        <w:snapToGrid w:val="0"/>
        <w:spacing w:line="360" w:lineRule="auto"/>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十、投标截止时间及提交注意事项</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１、投标截止时间</w:t>
      </w:r>
      <w:r>
        <w:rPr>
          <w:rFonts w:hint="eastAsia" w:cs="Arial"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shd w:val="clear" w:color="auto" w:fill="FFFFFF"/>
          <w:lang w:eastAsia="zh-CN"/>
        </w:rPr>
        <w:t>2022年</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kern w:val="0"/>
          <w:szCs w:val="21"/>
          <w:highlight w:val="none"/>
        </w:rPr>
        <w:t>14时00分整</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２、投标文件提交注意事项</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2.1供应商进行电子投标应安装客户端软件，并按照招标文件和电子交易平台的要求编制并加密投标文件。供应商未按规定加密的投标文件，代理机构应当拒收。</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2.3电子标文件制作，但如遇因应商电子投标文件解密失败等情况造成无效标，后果由供应商自负。</w:t>
      </w:r>
    </w:p>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
          <w:bCs/>
          <w:color w:val="auto"/>
          <w:szCs w:val="21"/>
          <w:highlight w:val="none"/>
        </w:rPr>
        <w:t>十一、开标时间及地点</w:t>
      </w:r>
      <w:r>
        <w:rPr>
          <w:rFonts w:hint="eastAsia" w:cs="Arial" w:asciiTheme="minorEastAsia" w:hAnsiTheme="minorEastAsia" w:eastAsiaTheme="minorEastAsia"/>
          <w:color w:val="auto"/>
          <w:szCs w:val="21"/>
          <w:highlight w:val="none"/>
        </w:rPr>
        <w:t>：</w:t>
      </w:r>
    </w:p>
    <w:p>
      <w:pPr>
        <w:snapToGrid w:val="0"/>
        <w:spacing w:line="360" w:lineRule="auto"/>
        <w:jc w:val="left"/>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本次招标将于</w:t>
      </w:r>
      <w:r>
        <w:rPr>
          <w:rFonts w:hint="eastAsia" w:asciiTheme="minorEastAsia" w:hAnsiTheme="minorEastAsia" w:eastAsiaTheme="minorEastAsia"/>
          <w:b/>
          <w:color w:val="auto"/>
          <w:szCs w:val="21"/>
          <w:highlight w:val="none"/>
          <w:shd w:val="clear" w:color="auto" w:fill="FFFFFF"/>
          <w:lang w:eastAsia="zh-CN"/>
        </w:rPr>
        <w:t xml:space="preserve">2022年 </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kern w:val="0"/>
          <w:szCs w:val="21"/>
          <w:highlight w:val="none"/>
        </w:rPr>
        <w:t>14时00分整</w:t>
      </w:r>
      <w:r>
        <w:rPr>
          <w:rFonts w:hint="eastAsia" w:cs="Arial" w:asciiTheme="minorEastAsia" w:hAnsiTheme="minorEastAsia" w:eastAsiaTheme="minorEastAsia"/>
          <w:color w:val="auto"/>
          <w:szCs w:val="21"/>
          <w:highlight w:val="none"/>
        </w:rPr>
        <w:t>在</w:t>
      </w:r>
      <w:r>
        <w:rPr>
          <w:rFonts w:hint="eastAsia" w:ascii="宋体" w:hAnsi="宋体" w:cs="Arial" w:eastAsiaTheme="minorEastAsia"/>
          <w:color w:val="auto"/>
          <w:szCs w:val="21"/>
          <w:highlight w:val="none"/>
        </w:rPr>
        <w:t>嘉兴市银建工程咨询评估有限公司</w:t>
      </w:r>
      <w:r>
        <w:rPr>
          <w:rFonts w:hint="eastAsia" w:ascii="宋体" w:hAnsi="宋体" w:cs="Arial"/>
          <w:color w:val="auto"/>
          <w:szCs w:val="21"/>
          <w:highlight w:val="none"/>
        </w:rPr>
        <w:t>（嘉兴市洪兴路2399号宝地大厦1503室）</w:t>
      </w:r>
      <w:r>
        <w:rPr>
          <w:rFonts w:hint="eastAsia" w:cs="Arial"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r>
        <w:rPr>
          <w:rFonts w:hint="eastAsia" w:cs="Arial" w:asciiTheme="minorEastAsia" w:hAnsiTheme="minorEastAsia" w:eastAsiaTheme="minorEastAsia"/>
          <w:color w:val="auto"/>
          <w:szCs w:val="21"/>
          <w:highlight w:val="none"/>
        </w:rPr>
        <w:t>开标时间后半小时内（</w:t>
      </w:r>
      <w:r>
        <w:rPr>
          <w:rFonts w:hint="eastAsia" w:asciiTheme="minorEastAsia" w:hAnsiTheme="minorEastAsia" w:eastAsiaTheme="minorEastAsia"/>
          <w:b/>
          <w:color w:val="auto"/>
          <w:szCs w:val="21"/>
          <w:highlight w:val="none"/>
          <w:shd w:val="clear" w:color="auto" w:fill="FFFFFF"/>
          <w:lang w:eastAsia="zh-CN"/>
        </w:rPr>
        <w:t>2022年</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日</w:t>
      </w:r>
      <w:r>
        <w:rPr>
          <w:rFonts w:hint="eastAsia" w:cs="宋体" w:asciiTheme="minorEastAsia" w:hAnsiTheme="minorEastAsia" w:eastAsiaTheme="minorEastAsia"/>
          <w:b/>
          <w:bCs/>
          <w:color w:val="auto"/>
          <w:kern w:val="0"/>
          <w:szCs w:val="21"/>
          <w:highlight w:val="none"/>
        </w:rPr>
        <w:t>14时30分</w:t>
      </w:r>
      <w:r>
        <w:rPr>
          <w:rFonts w:hint="eastAsia" w:cs="Arial" w:asciiTheme="minorEastAsia" w:hAnsiTheme="minorEastAsia" w:eastAsiaTheme="minorEastAsia"/>
          <w:b/>
          <w:color w:val="auto"/>
          <w:szCs w:val="21"/>
          <w:highlight w:val="none"/>
        </w:rPr>
        <w:t>前</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供应商可以登录“</w:t>
      </w:r>
      <w:r>
        <w:rPr>
          <w:rFonts w:hint="eastAsia" w:cs="Arial" w:asciiTheme="minorEastAsia" w:hAnsiTheme="minorEastAsia" w:eastAsiaTheme="minorEastAsia"/>
          <w:color w:val="auto"/>
          <w:szCs w:val="21"/>
          <w:highlight w:val="none"/>
        </w:rPr>
        <w:t>政采云</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平台</w:t>
      </w:r>
      <w:r>
        <w:rPr>
          <w:rFonts w:cs="Arial" w:asciiTheme="minorEastAsia" w:hAnsiTheme="minorEastAsia" w:eastAsiaTheme="minorEastAsia"/>
          <w:color w:val="auto"/>
          <w:szCs w:val="21"/>
          <w:highlight w:val="none"/>
        </w:rPr>
        <w:t>，用“</w:t>
      </w:r>
      <w:r>
        <w:rPr>
          <w:rFonts w:hint="eastAsia" w:cs="Arial" w:asciiTheme="minorEastAsia" w:hAnsiTheme="minorEastAsia" w:eastAsiaTheme="minorEastAsia"/>
          <w:color w:val="auto"/>
          <w:szCs w:val="21"/>
          <w:highlight w:val="none"/>
        </w:rPr>
        <w:t>项目采购-开标评标</w:t>
      </w:r>
      <w:r>
        <w:rPr>
          <w:rFonts w:cs="Arial" w:asciiTheme="minorEastAsia" w:hAnsiTheme="minorEastAsia" w:eastAsiaTheme="minorEastAsia"/>
          <w:color w:val="auto"/>
          <w:szCs w:val="21"/>
          <w:highlight w:val="none"/>
        </w:rPr>
        <w:t>”功能</w:t>
      </w:r>
      <w:r>
        <w:rPr>
          <w:rFonts w:hint="eastAsia" w:cs="Arial" w:asciiTheme="minorEastAsia" w:hAnsiTheme="minorEastAsia" w:eastAsiaTheme="minorEastAsia"/>
          <w:color w:val="auto"/>
          <w:szCs w:val="21"/>
          <w:highlight w:val="none"/>
        </w:rPr>
        <w:t>进行解密投标文件</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若供应商在规定时间内（</w:t>
      </w:r>
      <w:r>
        <w:rPr>
          <w:rFonts w:hint="eastAsia" w:asciiTheme="minorEastAsia" w:hAnsiTheme="minorEastAsia" w:eastAsiaTheme="minorEastAsia"/>
          <w:b/>
          <w:color w:val="auto"/>
          <w:szCs w:val="21"/>
          <w:highlight w:val="none"/>
          <w:shd w:val="clear" w:color="auto" w:fill="FFFFFF"/>
          <w:lang w:eastAsia="zh-CN"/>
        </w:rPr>
        <w:t>2022年</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日</w:t>
      </w:r>
      <w:r>
        <w:rPr>
          <w:rFonts w:hint="eastAsia" w:asciiTheme="minorEastAsia" w:hAnsiTheme="minorEastAsia" w:eastAsiaTheme="minorEastAsia"/>
          <w:b/>
          <w:color w:val="auto"/>
          <w:szCs w:val="21"/>
          <w:highlight w:val="none"/>
          <w:shd w:val="clear" w:color="auto" w:fill="FFFFFF"/>
        </w:rPr>
        <w:t>14时30分前</w:t>
      </w:r>
      <w:r>
        <w:rPr>
          <w:rFonts w:hint="eastAsia" w:cs="Arial" w:asciiTheme="minorEastAsia" w:hAnsiTheme="minorEastAsia" w:eastAsiaTheme="minorEastAsia"/>
          <w:color w:val="auto"/>
          <w:szCs w:val="21"/>
          <w:highlight w:val="none"/>
        </w:rPr>
        <w:t>）投</w:t>
      </w:r>
      <w:r>
        <w:rPr>
          <w:rFonts w:cs="Arial" w:asciiTheme="minorEastAsia" w:hAnsiTheme="minorEastAsia" w:eastAsiaTheme="minorEastAsia"/>
          <w:color w:val="auto"/>
          <w:szCs w:val="21"/>
          <w:highlight w:val="none"/>
        </w:rPr>
        <w:t>标文件</w:t>
      </w:r>
      <w:r>
        <w:rPr>
          <w:rFonts w:hint="eastAsia" w:cs="Arial" w:asciiTheme="minorEastAsia" w:hAnsiTheme="minorEastAsia" w:eastAsiaTheme="minorEastAsia"/>
          <w:color w:val="auto"/>
          <w:szCs w:val="21"/>
          <w:highlight w:val="none"/>
        </w:rPr>
        <w:t>无法解密或解密失败</w:t>
      </w:r>
      <w:r>
        <w:rPr>
          <w:rFonts w:cs="Arial" w:asciiTheme="minorEastAsia" w:hAnsiTheme="minorEastAsia" w:eastAsiaTheme="minorEastAsia"/>
          <w:color w:val="auto"/>
          <w:szCs w:val="21"/>
          <w:highlight w:val="none"/>
        </w:rPr>
        <w:t>（含未</w:t>
      </w:r>
      <w:r>
        <w:rPr>
          <w:rFonts w:hint="eastAsia" w:cs="Arial" w:asciiTheme="minorEastAsia" w:hAnsiTheme="minorEastAsia" w:eastAsiaTheme="minorEastAsia"/>
          <w:color w:val="auto"/>
          <w:szCs w:val="21"/>
          <w:highlight w:val="none"/>
        </w:rPr>
        <w:t>提交</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则投标无效。</w:t>
      </w:r>
    </w:p>
    <w:p>
      <w:pPr>
        <w:pStyle w:val="48"/>
        <w:ind w:left="0" w:leftChars="0" w:firstLine="0" w:firstLineChars="0"/>
        <w:rPr>
          <w:b/>
          <w:bCs/>
          <w:color w:val="auto"/>
          <w:highlight w:val="none"/>
        </w:rPr>
      </w:pPr>
      <w:r>
        <w:rPr>
          <w:rFonts w:hint="eastAsia"/>
          <w:b/>
          <w:bCs/>
          <w:color w:val="auto"/>
          <w:highlight w:val="none"/>
        </w:rPr>
        <w:t>十二、业务咨询：</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名    称：</w:t>
      </w:r>
      <w:r>
        <w:rPr>
          <w:rFonts w:hint="eastAsia" w:cs="Arial" w:asciiTheme="minorEastAsia" w:hAnsiTheme="minorEastAsia" w:eastAsiaTheme="minorEastAsia"/>
          <w:b w:val="0"/>
          <w:bCs/>
          <w:color w:val="auto"/>
          <w:szCs w:val="21"/>
          <w:highlight w:val="none"/>
          <w:lang w:eastAsia="zh-CN"/>
        </w:rPr>
        <w:t>嘉兴市秀洲区人民政府新城街道办事处</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地    址：嘉兴市中山西路977号</w:t>
      </w:r>
    </w:p>
    <w:p>
      <w:pPr>
        <w:snapToGrid w:val="0"/>
        <w:spacing w:line="360" w:lineRule="auto"/>
        <w:rPr>
          <w:rFonts w:hint="eastAsia" w:cs="Arial" w:asciiTheme="minorEastAsia" w:hAnsiTheme="minorEastAsia" w:eastAsiaTheme="minorEastAsia"/>
          <w:b w:val="0"/>
          <w:bCs/>
          <w:color w:val="auto"/>
          <w:szCs w:val="21"/>
          <w:highlight w:val="none"/>
          <w:lang w:val="en-US" w:eastAsia="zh-CN"/>
        </w:rPr>
      </w:pPr>
      <w:r>
        <w:rPr>
          <w:rFonts w:hint="eastAsia" w:cs="Arial" w:asciiTheme="minorEastAsia" w:hAnsiTheme="minorEastAsia" w:eastAsiaTheme="minorEastAsia"/>
          <w:b w:val="0"/>
          <w:bCs/>
          <w:color w:val="auto"/>
          <w:szCs w:val="21"/>
          <w:highlight w:val="none"/>
        </w:rPr>
        <w:t>传    真：</w:t>
      </w:r>
      <w:r>
        <w:rPr>
          <w:rFonts w:hint="eastAsia" w:cs="Arial" w:asciiTheme="minorEastAsia" w:hAnsiTheme="minorEastAsia" w:eastAsiaTheme="minorEastAsia"/>
          <w:b w:val="0"/>
          <w:bCs/>
          <w:color w:val="auto"/>
          <w:szCs w:val="21"/>
          <w:highlight w:val="none"/>
          <w:lang w:val="en-US" w:eastAsia="zh-CN"/>
        </w:rPr>
        <w:t>/</w:t>
      </w:r>
    </w:p>
    <w:p>
      <w:pPr>
        <w:snapToGrid w:val="0"/>
        <w:spacing w:line="360" w:lineRule="auto"/>
        <w:rPr>
          <w:rFonts w:hint="eastAsia" w:cs="Arial" w:asciiTheme="minorEastAsia" w:hAnsiTheme="minorEastAsia" w:eastAsiaTheme="minorEastAsia"/>
          <w:b w:val="0"/>
          <w:bCs/>
          <w:color w:val="auto"/>
          <w:szCs w:val="21"/>
          <w:highlight w:val="none"/>
          <w:lang w:val="en-US" w:eastAsia="zh-CN"/>
        </w:rPr>
      </w:pPr>
      <w:r>
        <w:rPr>
          <w:rFonts w:hint="eastAsia" w:cs="Arial" w:asciiTheme="minorEastAsia" w:hAnsiTheme="minorEastAsia" w:eastAsiaTheme="minorEastAsia"/>
          <w:b w:val="0"/>
          <w:bCs/>
          <w:color w:val="auto"/>
          <w:szCs w:val="21"/>
          <w:highlight w:val="none"/>
        </w:rPr>
        <w:t>项目联系人（询问）：</w:t>
      </w:r>
      <w:r>
        <w:rPr>
          <w:rFonts w:hint="eastAsia" w:cs="Arial" w:asciiTheme="minorEastAsia" w:hAnsiTheme="minorEastAsia" w:eastAsiaTheme="minorEastAsia"/>
          <w:b w:val="0"/>
          <w:bCs/>
          <w:color w:val="auto"/>
          <w:szCs w:val="21"/>
          <w:highlight w:val="none"/>
          <w:lang w:val="en-US" w:eastAsia="zh-CN"/>
        </w:rPr>
        <w:t>王先生</w:t>
      </w:r>
    </w:p>
    <w:p>
      <w:pPr>
        <w:snapToGrid w:val="0"/>
        <w:spacing w:line="360" w:lineRule="auto"/>
        <w:rPr>
          <w:rFonts w:hint="eastAsia" w:cs="Arial" w:asciiTheme="minorEastAsia" w:hAnsiTheme="minorEastAsia" w:eastAsiaTheme="minorEastAsia"/>
          <w:b w:val="0"/>
          <w:bCs/>
          <w:color w:val="auto"/>
          <w:szCs w:val="21"/>
          <w:highlight w:val="none"/>
          <w:lang w:val="en-US" w:eastAsia="zh-CN"/>
        </w:rPr>
      </w:pPr>
      <w:r>
        <w:rPr>
          <w:rFonts w:hint="eastAsia" w:cs="Arial" w:asciiTheme="minorEastAsia" w:hAnsiTheme="minorEastAsia" w:eastAsiaTheme="minorEastAsia"/>
          <w:b w:val="0"/>
          <w:bCs/>
          <w:color w:val="auto"/>
          <w:szCs w:val="21"/>
          <w:highlight w:val="none"/>
        </w:rPr>
        <w:t>项目联系方式（询问）：0573-</w:t>
      </w:r>
      <w:r>
        <w:rPr>
          <w:rFonts w:hint="eastAsia" w:cs="Arial" w:asciiTheme="minorEastAsia" w:hAnsiTheme="minorEastAsia" w:eastAsiaTheme="minorEastAsia"/>
          <w:b w:val="0"/>
          <w:bCs/>
          <w:color w:val="auto"/>
          <w:szCs w:val="21"/>
          <w:highlight w:val="none"/>
          <w:lang w:val="en-US" w:eastAsia="zh-CN"/>
        </w:rPr>
        <w:t>82712276</w:t>
      </w:r>
    </w:p>
    <w:p>
      <w:pPr>
        <w:snapToGrid w:val="0"/>
        <w:spacing w:line="360" w:lineRule="auto"/>
        <w:rPr>
          <w:rFonts w:hint="default" w:cs="Arial" w:asciiTheme="minorEastAsia" w:hAnsiTheme="minorEastAsia" w:eastAsiaTheme="minorEastAsia"/>
          <w:b w:val="0"/>
          <w:bCs/>
          <w:color w:val="auto"/>
          <w:szCs w:val="21"/>
          <w:highlight w:val="none"/>
          <w:lang w:val="en-US" w:eastAsia="zh-CN"/>
        </w:rPr>
      </w:pPr>
      <w:r>
        <w:rPr>
          <w:rFonts w:hint="eastAsia" w:cs="Arial" w:asciiTheme="minorEastAsia" w:hAnsiTheme="minorEastAsia" w:eastAsiaTheme="minorEastAsia"/>
          <w:b w:val="0"/>
          <w:bCs/>
          <w:color w:val="auto"/>
          <w:szCs w:val="21"/>
          <w:highlight w:val="none"/>
        </w:rPr>
        <w:t>质疑联系人：</w:t>
      </w:r>
      <w:r>
        <w:rPr>
          <w:rFonts w:hint="eastAsia" w:cs="Arial" w:asciiTheme="minorEastAsia" w:hAnsiTheme="minorEastAsia" w:eastAsiaTheme="minorEastAsia"/>
          <w:b w:val="0"/>
          <w:bCs/>
          <w:color w:val="auto"/>
          <w:szCs w:val="21"/>
          <w:highlight w:val="none"/>
          <w:lang w:eastAsia="zh-CN"/>
        </w:rPr>
        <w:t>俞</w:t>
      </w:r>
      <w:r>
        <w:rPr>
          <w:rFonts w:hint="eastAsia" w:cs="Arial" w:asciiTheme="minorEastAsia" w:hAnsiTheme="minorEastAsia" w:eastAsiaTheme="minorEastAsia"/>
          <w:b w:val="0"/>
          <w:bCs/>
          <w:color w:val="auto"/>
          <w:szCs w:val="21"/>
          <w:highlight w:val="none"/>
          <w:lang w:val="en-US" w:eastAsia="zh-CN"/>
        </w:rPr>
        <w:t>先生</w:t>
      </w:r>
    </w:p>
    <w:p>
      <w:pPr>
        <w:snapToGrid w:val="0"/>
        <w:spacing w:line="360" w:lineRule="auto"/>
        <w:rPr>
          <w:rFonts w:hint="eastAsia" w:cs="Arial" w:asciiTheme="minorEastAsia" w:hAnsiTheme="minorEastAsia" w:eastAsiaTheme="minorEastAsia"/>
          <w:b w:val="0"/>
          <w:bCs/>
          <w:color w:val="auto"/>
          <w:szCs w:val="21"/>
          <w:highlight w:val="none"/>
        </w:rPr>
      </w:pPr>
      <w:r>
        <w:rPr>
          <w:rFonts w:hint="eastAsia" w:cs="Arial" w:asciiTheme="minorEastAsia" w:hAnsiTheme="minorEastAsia" w:eastAsiaTheme="minorEastAsia"/>
          <w:b w:val="0"/>
          <w:bCs/>
          <w:color w:val="auto"/>
          <w:szCs w:val="21"/>
          <w:highlight w:val="none"/>
        </w:rPr>
        <w:t>质疑联系方式：0573-</w:t>
      </w:r>
      <w:r>
        <w:rPr>
          <w:rFonts w:hint="eastAsia" w:cs="Arial" w:asciiTheme="minorEastAsia" w:hAnsiTheme="minorEastAsia" w:eastAsiaTheme="minorEastAsia"/>
          <w:b w:val="0"/>
          <w:bCs/>
          <w:color w:val="auto"/>
          <w:szCs w:val="21"/>
          <w:highlight w:val="none"/>
          <w:lang w:val="en-US" w:eastAsia="zh-CN"/>
        </w:rPr>
        <w:t>82710582</w:t>
      </w:r>
    </w:p>
    <w:p>
      <w:pPr>
        <w:snapToGrid w:val="0"/>
        <w:spacing w:line="360" w:lineRule="auto"/>
        <w:rPr>
          <w:rFonts w:hint="eastAsia" w:cs="Arial" w:asciiTheme="minorEastAsia" w:hAnsiTheme="minorEastAsia" w:eastAsiaTheme="minorEastAsia"/>
          <w:b w:val="0"/>
          <w:bCs/>
          <w:color w:val="auto"/>
          <w:szCs w:val="21"/>
          <w:highlight w:val="none"/>
        </w:rPr>
      </w:pPr>
      <w:r>
        <w:rPr>
          <w:rFonts w:hint="eastAsia" w:cs="Arial" w:asciiTheme="minorEastAsia" w:hAnsiTheme="minorEastAsia" w:eastAsiaTheme="minorEastAsia"/>
          <w:b w:val="0"/>
          <w:bCs/>
          <w:color w:val="auto"/>
          <w:szCs w:val="21"/>
          <w:highlight w:val="none"/>
        </w:rPr>
        <w:t>2、采购代理机构信息</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名    称： </w:t>
      </w:r>
      <w:r>
        <w:rPr>
          <w:rFonts w:hint="eastAsia" w:cs="Arial" w:asciiTheme="minorEastAsia" w:hAnsiTheme="minorEastAsia" w:eastAsiaTheme="minorEastAsia"/>
          <w:b w:val="0"/>
          <w:bCs/>
          <w:color w:val="auto"/>
          <w:szCs w:val="21"/>
          <w:highlight w:val="none"/>
          <w:lang w:eastAsia="zh-CN"/>
        </w:rPr>
        <w:t>嘉兴市银建工程咨询评估有限公司</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地    址： </w:t>
      </w:r>
      <w:r>
        <w:rPr>
          <w:rFonts w:hint="eastAsia" w:cs="Arial" w:asciiTheme="minorEastAsia" w:hAnsiTheme="minorEastAsia" w:eastAsiaTheme="minorEastAsia"/>
          <w:b w:val="0"/>
          <w:bCs/>
          <w:color w:val="auto"/>
          <w:szCs w:val="21"/>
          <w:highlight w:val="none"/>
          <w:lang w:eastAsia="zh-CN"/>
        </w:rPr>
        <w:t>嘉兴市秀洲区洪兴路239</w:t>
      </w:r>
      <w:r>
        <w:rPr>
          <w:rFonts w:hint="eastAsia" w:cs="Arial" w:asciiTheme="minorEastAsia" w:hAnsiTheme="minorEastAsia" w:eastAsiaTheme="minorEastAsia"/>
          <w:b w:val="0"/>
          <w:bCs/>
          <w:color w:val="auto"/>
          <w:szCs w:val="21"/>
          <w:highlight w:val="none"/>
          <w:lang w:val="en-US" w:eastAsia="zh-CN"/>
        </w:rPr>
        <w:t>9</w:t>
      </w:r>
      <w:r>
        <w:rPr>
          <w:rFonts w:hint="eastAsia" w:cs="Arial" w:asciiTheme="minorEastAsia" w:hAnsiTheme="minorEastAsia" w:eastAsiaTheme="minorEastAsia"/>
          <w:b w:val="0"/>
          <w:bCs/>
          <w:color w:val="auto"/>
          <w:szCs w:val="21"/>
          <w:highlight w:val="none"/>
          <w:lang w:eastAsia="zh-CN"/>
        </w:rPr>
        <w:t>号宝地大厦1503室</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传    真：</w:t>
      </w:r>
      <w:r>
        <w:rPr>
          <w:rFonts w:hint="eastAsia" w:cs="Arial" w:asciiTheme="minorEastAsia" w:hAnsiTheme="minorEastAsia" w:eastAsiaTheme="minorEastAsia"/>
          <w:b w:val="0"/>
          <w:bCs/>
          <w:color w:val="auto"/>
          <w:szCs w:val="21"/>
          <w:highlight w:val="none"/>
          <w:lang w:val="en-US" w:eastAsia="zh-CN"/>
        </w:rPr>
        <w:t>/</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项目联系人（询问）：</w:t>
      </w:r>
      <w:r>
        <w:rPr>
          <w:rFonts w:hint="eastAsia" w:cs="Arial" w:asciiTheme="minorEastAsia" w:hAnsiTheme="minorEastAsia" w:eastAsiaTheme="minorEastAsia"/>
          <w:b w:val="0"/>
          <w:bCs/>
          <w:color w:val="auto"/>
          <w:szCs w:val="21"/>
          <w:highlight w:val="none"/>
          <w:lang w:eastAsia="zh-CN"/>
        </w:rPr>
        <w:t>吴女士</w:t>
      </w:r>
    </w:p>
    <w:p>
      <w:pPr>
        <w:snapToGrid w:val="0"/>
        <w:spacing w:line="360" w:lineRule="auto"/>
        <w:rPr>
          <w:rFonts w:hint="default" w:cs="Arial" w:asciiTheme="minorEastAsia" w:hAnsiTheme="minorEastAsia" w:eastAsiaTheme="minorEastAsia"/>
          <w:b w:val="0"/>
          <w:bCs/>
          <w:color w:val="auto"/>
          <w:szCs w:val="21"/>
          <w:highlight w:val="none"/>
          <w:lang w:val="en-US" w:eastAsia="zh-CN"/>
        </w:rPr>
      </w:pPr>
      <w:r>
        <w:rPr>
          <w:rFonts w:hint="eastAsia" w:cs="Arial" w:asciiTheme="minorEastAsia" w:hAnsiTheme="minorEastAsia" w:eastAsiaTheme="minorEastAsia"/>
          <w:b w:val="0"/>
          <w:bCs/>
          <w:color w:val="auto"/>
          <w:szCs w:val="21"/>
          <w:highlight w:val="none"/>
        </w:rPr>
        <w:t xml:space="preserve">项目联系方式（询问）： </w:t>
      </w:r>
      <w:r>
        <w:rPr>
          <w:rFonts w:hint="eastAsia" w:cs="Arial" w:asciiTheme="minorEastAsia" w:hAnsiTheme="minorEastAsia" w:eastAsiaTheme="minorEastAsia"/>
          <w:b w:val="0"/>
          <w:bCs/>
          <w:color w:val="auto"/>
          <w:szCs w:val="21"/>
          <w:highlight w:val="none"/>
          <w:lang w:val="en-US" w:eastAsia="zh-CN"/>
        </w:rPr>
        <w:t>18105730155</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质疑联系人： </w:t>
      </w:r>
      <w:r>
        <w:rPr>
          <w:rFonts w:hint="eastAsia" w:cs="Arial" w:asciiTheme="minorEastAsia" w:hAnsiTheme="minorEastAsia" w:eastAsiaTheme="minorEastAsia"/>
          <w:b w:val="0"/>
          <w:bCs/>
          <w:color w:val="auto"/>
          <w:szCs w:val="21"/>
          <w:highlight w:val="none"/>
          <w:lang w:eastAsia="zh-CN"/>
        </w:rPr>
        <w:t>李先生</w:t>
      </w:r>
    </w:p>
    <w:p>
      <w:pPr>
        <w:snapToGrid w:val="0"/>
        <w:spacing w:line="360" w:lineRule="auto"/>
        <w:rPr>
          <w:rFonts w:hint="eastAsia" w:cs="Arial" w:asciiTheme="minorEastAsia" w:hAnsiTheme="minorEastAsia" w:eastAsiaTheme="minorEastAsia"/>
          <w:b w:val="0"/>
          <w:bCs/>
          <w:color w:val="auto"/>
          <w:szCs w:val="21"/>
          <w:highlight w:val="none"/>
        </w:rPr>
      </w:pPr>
      <w:r>
        <w:rPr>
          <w:rFonts w:hint="eastAsia" w:cs="Arial" w:asciiTheme="minorEastAsia" w:hAnsiTheme="minorEastAsia" w:eastAsiaTheme="minorEastAsia"/>
          <w:b w:val="0"/>
          <w:bCs/>
          <w:color w:val="auto"/>
          <w:szCs w:val="21"/>
          <w:highlight w:val="none"/>
        </w:rPr>
        <w:t>质疑联系方式：</w:t>
      </w:r>
      <w:r>
        <w:rPr>
          <w:rFonts w:hint="eastAsia" w:cs="Arial" w:asciiTheme="minorEastAsia" w:hAnsiTheme="minorEastAsia" w:eastAsiaTheme="minorEastAsia"/>
          <w:b w:val="0"/>
          <w:bCs/>
          <w:color w:val="auto"/>
          <w:szCs w:val="21"/>
          <w:highlight w:val="none"/>
          <w:lang w:val="en-US" w:eastAsia="zh-CN"/>
        </w:rPr>
        <w:t>18006615280</w:t>
      </w:r>
    </w:p>
    <w:p>
      <w:pPr>
        <w:snapToGrid w:val="0"/>
        <w:spacing w:line="360" w:lineRule="auto"/>
        <w:rPr>
          <w:rFonts w:hint="eastAsia" w:cs="Arial" w:asciiTheme="minorEastAsia" w:hAnsiTheme="minorEastAsia" w:eastAsiaTheme="minorEastAsia"/>
          <w:b w:val="0"/>
          <w:bCs/>
          <w:color w:val="auto"/>
          <w:szCs w:val="21"/>
          <w:highlight w:val="none"/>
        </w:rPr>
      </w:pPr>
      <w:r>
        <w:rPr>
          <w:rFonts w:hint="eastAsia" w:cs="Arial" w:asciiTheme="minorEastAsia" w:hAnsiTheme="minorEastAsia" w:eastAsiaTheme="minorEastAsia"/>
          <w:b w:val="0"/>
          <w:bCs/>
          <w:color w:val="auto"/>
          <w:szCs w:val="21"/>
          <w:highlight w:val="none"/>
        </w:rPr>
        <w:t>3、同级政府采购监督管理部门</w:t>
      </w:r>
    </w:p>
    <w:p>
      <w:pPr>
        <w:snapToGrid w:val="0"/>
        <w:spacing w:line="360" w:lineRule="auto"/>
        <w:rPr>
          <w:rFonts w:hint="eastAsia" w:cs="Arial" w:asciiTheme="minorEastAsia" w:hAnsiTheme="minorEastAsia" w:eastAsiaTheme="minorEastAsia"/>
          <w:b w:val="0"/>
          <w:bCs/>
          <w:color w:val="auto"/>
          <w:szCs w:val="21"/>
          <w:highlight w:val="none"/>
          <w:lang w:eastAsia="zh-CN"/>
        </w:rPr>
      </w:pPr>
      <w:r>
        <w:rPr>
          <w:rFonts w:hint="eastAsia" w:cs="Arial" w:asciiTheme="minorEastAsia" w:hAnsiTheme="minorEastAsia" w:eastAsiaTheme="minorEastAsia"/>
          <w:b w:val="0"/>
          <w:bCs/>
          <w:color w:val="auto"/>
          <w:szCs w:val="21"/>
          <w:highlight w:val="none"/>
        </w:rPr>
        <w:t xml:space="preserve">名    称： 嘉兴市秀洲区财政局 </w:t>
      </w:r>
    </w:p>
    <w:p>
      <w:pPr>
        <w:snapToGrid w:val="0"/>
        <w:spacing w:line="360" w:lineRule="auto"/>
        <w:rPr>
          <w:rFonts w:cs="Arial" w:asciiTheme="minorEastAsia" w:hAnsiTheme="minorEastAsia" w:eastAsiaTheme="minorEastAsia"/>
          <w:b w:val="0"/>
          <w:bCs/>
          <w:color w:val="auto"/>
          <w:szCs w:val="21"/>
          <w:highlight w:val="none"/>
        </w:rPr>
      </w:pPr>
      <w:r>
        <w:rPr>
          <w:rFonts w:hint="eastAsia" w:cs="Arial" w:asciiTheme="minorEastAsia" w:hAnsiTheme="minorEastAsia" w:eastAsiaTheme="minorEastAsia"/>
          <w:b w:val="0"/>
          <w:bCs/>
          <w:color w:val="auto"/>
          <w:szCs w:val="21"/>
          <w:highlight w:val="none"/>
        </w:rPr>
        <w:t>监督投诉电话：0573-82720086</w:t>
      </w:r>
    </w:p>
    <w:p>
      <w:pPr>
        <w:snapToGrid w:val="0"/>
        <w:spacing w:line="360" w:lineRule="auto"/>
        <w:rPr>
          <w:rFonts w:ascii="宋体" w:hAnsi="宋体" w:cs="Arial"/>
          <w:b/>
          <w:bCs/>
          <w:color w:val="auto"/>
          <w:kern w:val="0"/>
          <w:szCs w:val="21"/>
          <w:highlight w:val="none"/>
        </w:rPr>
      </w:pPr>
      <w:r>
        <w:rPr>
          <w:rFonts w:ascii="宋体" w:hAnsi="宋体" w:cs="Arial"/>
          <w:b/>
          <w:bCs/>
          <w:color w:val="auto"/>
          <w:kern w:val="0"/>
          <w:szCs w:val="21"/>
          <w:highlight w:val="none"/>
        </w:rPr>
        <w:t>十</w:t>
      </w:r>
      <w:r>
        <w:rPr>
          <w:rFonts w:hint="eastAsia" w:ascii="宋体" w:hAnsi="宋体" w:cs="Arial"/>
          <w:b/>
          <w:bCs/>
          <w:color w:val="auto"/>
          <w:kern w:val="0"/>
          <w:szCs w:val="21"/>
          <w:highlight w:val="none"/>
          <w:lang w:eastAsia="zh-CN"/>
        </w:rPr>
        <w:t>三</w:t>
      </w:r>
      <w:r>
        <w:rPr>
          <w:rFonts w:ascii="宋体" w:hAnsi="宋体" w:cs="Arial"/>
          <w:b/>
          <w:bCs/>
          <w:color w:val="auto"/>
          <w:kern w:val="0"/>
          <w:szCs w:val="21"/>
          <w:highlight w:val="none"/>
        </w:rPr>
        <w:t>、其他事项：</w:t>
      </w:r>
    </w:p>
    <w:p>
      <w:pPr>
        <w:snapToGrid w:val="0"/>
        <w:spacing w:line="360" w:lineRule="auto"/>
        <w:rPr>
          <w:rFonts w:ascii="宋体" w:hAnsi="宋体"/>
          <w:color w:val="auto"/>
          <w:szCs w:val="21"/>
          <w:highlight w:val="none"/>
        </w:rPr>
      </w:pPr>
      <w:r>
        <w:rPr>
          <w:rFonts w:hint="eastAsia"/>
          <w:color w:val="auto"/>
          <w:highlight w:val="none"/>
        </w:rPr>
        <w:t>（一）</w:t>
      </w:r>
      <w:r>
        <w:rPr>
          <w:color w:val="auto"/>
          <w:highlight w:val="none"/>
        </w:rPr>
        <w:t> </w:t>
      </w:r>
      <w:r>
        <w:rPr>
          <w:rFonts w:ascii="宋体" w:hAnsi="宋体"/>
          <w:color w:val="auto"/>
          <w:szCs w:val="21"/>
          <w:highlight w:val="none"/>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p>
    <w:p>
      <w:pPr>
        <w:snapToGrid w:val="0"/>
        <w:spacing w:line="360" w:lineRule="auto"/>
        <w:jc w:val="right"/>
        <w:rPr>
          <w:rFonts w:asciiTheme="minorEastAsia" w:hAnsiTheme="minorEastAsia" w:eastAsiaTheme="minorEastAsia"/>
          <w:color w:val="auto"/>
          <w:szCs w:val="21"/>
          <w:highlight w:val="none"/>
        </w:rPr>
      </w:pPr>
    </w:p>
    <w:p>
      <w:pPr>
        <w:pStyle w:val="48"/>
        <w:ind w:firstLine="404"/>
        <w:rPr>
          <w:color w:val="auto"/>
          <w:highlight w:val="none"/>
        </w:rPr>
      </w:pPr>
    </w:p>
    <w:p>
      <w:pPr>
        <w:snapToGrid w:val="0"/>
        <w:spacing w:line="360" w:lineRule="auto"/>
        <w:jc w:val="righ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eastAsia="zh-CN"/>
        </w:rPr>
        <w:t>嘉兴市秀洲区人民政府新城街道办事处</w:t>
      </w:r>
    </w:p>
    <w:p>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代理机构：嘉兴市银建工程咨询评估有限公司</w:t>
      </w:r>
    </w:p>
    <w:p>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r>
        <w:rPr>
          <w:rFonts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4</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18</w:t>
      </w:r>
      <w:r>
        <w:rPr>
          <w:rFonts w:asciiTheme="minorEastAsia" w:hAnsiTheme="minorEastAsia" w:eastAsiaTheme="minorEastAsia"/>
          <w:color w:val="auto"/>
          <w:szCs w:val="21"/>
          <w:highlight w:val="none"/>
        </w:rPr>
        <w:t>日</w:t>
      </w:r>
    </w:p>
    <w:p>
      <w:pPr>
        <w:widowControl/>
        <w:jc w:val="left"/>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br w:type="page"/>
      </w:r>
    </w:p>
    <w:p>
      <w:pPr>
        <w:numPr>
          <w:ilvl w:val="0"/>
          <w:numId w:val="6"/>
        </w:numPr>
        <w:snapToGrid w:val="0"/>
        <w:spacing w:beforeLines="50" w:afterLines="50" w:line="360" w:lineRule="auto"/>
        <w:ind w:left="238"/>
        <w:jc w:val="center"/>
        <w:outlineLvl w:val="1"/>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 招标需求</w:t>
      </w:r>
      <w:bookmarkStart w:id="0" w:name="_Toc406402986"/>
    </w:p>
    <w:p>
      <w:pPr>
        <w:pStyle w:val="48"/>
        <w:numPr>
          <w:ilvl w:val="0"/>
          <w:numId w:val="0"/>
        </w:numPr>
        <w:rPr>
          <w:rFonts w:hint="default" w:eastAsiaTheme="minorEastAsia"/>
          <w:color w:val="auto"/>
          <w:highlight w:val="none"/>
          <w:lang w:val="en-US" w:eastAsia="zh-CN"/>
        </w:rPr>
      </w:pPr>
      <w:r>
        <w:rPr>
          <w:rFonts w:hint="eastAsia"/>
          <w:color w:val="auto"/>
          <w:highlight w:val="none"/>
          <w:lang w:val="en-US" w:eastAsia="zh-CN"/>
        </w:rPr>
        <w:t>一、项目概况</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新城街道区域内市政设施的日常巡查养护，</w:t>
      </w:r>
      <w:r>
        <w:rPr>
          <w:rFonts w:hint="eastAsia" w:ascii="宋体" w:hAnsi="宋体" w:cs="宋体"/>
          <w:color w:val="auto"/>
          <w:sz w:val="21"/>
          <w:szCs w:val="21"/>
          <w:highlight w:val="none"/>
          <w:lang w:val="en-US" w:eastAsia="zh-CN"/>
        </w:rPr>
        <w:t>包括但不限于道路路面维修（包括水泥混凝土路面、沥青路面等）、道路平侧石拆除更换、人行道维修、人行道树池维修、相关交通标志标识维修养护（含重新施画）、雨水水篦口清理、井圈井盖巡查更换、桥梁护栏维修养护等市政设施的日常巡查养护维修（详见清单）。</w:t>
      </w:r>
    </w:p>
    <w:tbl>
      <w:tblPr>
        <w:tblStyle w:val="49"/>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2363"/>
        <w:gridCol w:w="3083"/>
        <w:gridCol w:w="538"/>
        <w:gridCol w:w="666"/>
        <w:gridCol w:w="834"/>
        <w:gridCol w:w="908"/>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705"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2022年度市政设施维修养护清单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230" w:type="dxa"/>
            <w:gridSpan w:val="5"/>
            <w:tcBorders>
              <w:top w:val="nil"/>
              <w:left w:val="nil"/>
              <w:bottom w:val="nil"/>
              <w:right w:val="nil"/>
            </w:tcBorders>
            <w:shd w:val="clear" w:color="auto" w:fill="FFFFFF"/>
            <w:vAlign w:val="bottom"/>
          </w:tcPr>
          <w:p>
            <w:pPr>
              <w:jc w:val="left"/>
              <w:rPr>
                <w:rFonts w:hint="eastAsia" w:ascii="宋体" w:hAnsi="宋体" w:eastAsia="宋体" w:cs="宋体"/>
                <w:i w:val="0"/>
                <w:iCs w:val="0"/>
                <w:color w:val="auto"/>
                <w:sz w:val="18"/>
                <w:szCs w:val="18"/>
                <w:highlight w:val="none"/>
                <w:u w:val="none"/>
              </w:rPr>
            </w:pPr>
          </w:p>
        </w:tc>
        <w:tc>
          <w:tcPr>
            <w:tcW w:w="175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auto"/>
                <w:sz w:val="18"/>
                <w:szCs w:val="18"/>
                <w:highlight w:val="none"/>
                <w:u w:val="none"/>
              </w:rPr>
            </w:pPr>
          </w:p>
        </w:tc>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238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31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主要工作内容</w:t>
            </w:r>
          </w:p>
        </w:tc>
        <w:tc>
          <w:tcPr>
            <w:tcW w:w="54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计量 </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单位</w:t>
            </w:r>
          </w:p>
        </w:tc>
        <w:tc>
          <w:tcPr>
            <w:tcW w:w="60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工程量</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金 额  (元)</w:t>
            </w:r>
          </w:p>
        </w:tc>
        <w:tc>
          <w:tcPr>
            <w:tcW w:w="720" w:type="dxa"/>
            <w:vMerge w:val="restart"/>
            <w:tcBorders>
              <w:top w:val="single" w:color="000000" w:sz="4" w:space="0"/>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238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54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60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84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全费用单价</w:t>
            </w:r>
          </w:p>
        </w:tc>
        <w:tc>
          <w:tcPr>
            <w:tcW w:w="9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全费用合价</w:t>
            </w:r>
          </w:p>
        </w:tc>
        <w:tc>
          <w:tcPr>
            <w:tcW w:w="720" w:type="dxa"/>
            <w:vMerge w:val="continue"/>
            <w:tcBorders>
              <w:top w:val="single" w:color="000000" w:sz="4" w:space="0"/>
              <w:left w:val="nil"/>
              <w:bottom w:val="nil"/>
              <w:right w:val="single" w:color="000000" w:sz="4" w:space="0"/>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人行道路修复</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nil"/>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拆除人行道</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：面砖面层(荷兰砖、彩砖及花岗岩等）+混凝土基层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2、厚度：26cm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人行道整形碾压</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1、部位 ：人行道破损拆除处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2、范围：全部</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人行道块料铺设</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1、块料品种、规格 ：20mm厚M10水泥砂浆结合层+彩砖面层，规格、顔色等同原面层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2、基础、垫层：材料 品种、厚度 ：200mm厚C30混凝土</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人行道块料铺设</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1、块料品种、规格 ：20mm厚M10水泥砂浆结合层+荷兰砖（同质砖），规格、顔色等同原面层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2、基础、垫层：材料 品种、厚度 ：200mm厚C30混凝土</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人行道块料铺设</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1、块料品种、规格 ：20mm厚M10水泥砂浆结合层+花岗岩，规格、顔色等同原面层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2、基础、垫层：材料 品种、厚度 ：200mm厚C30混凝土</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一般破损道路路面修复</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：沥青路面铣刨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：PC-3乳化沥青黏层油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2、喷油量：0.45L/m2</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：A级道路石油沥青AH-70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2、沥青混凝土种类 ：细粒式SBS改性沥青混凝土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3、石料粒径 ：AC-13C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4、厚度：5CM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：沥青路面铣刨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2、厚度：10cm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：PC-2乳化沥青透层油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2、喷油量：1.1L/m2</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：A级道路石油沥青AH-70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2、沥青混凝土种类 ：粗粒式沥青混凝土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3、石料粒径 ：AC-25C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4、厚度：6CM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：PC-3乳化沥青黏层油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2、喷油量：0.45L/m2</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：A级道路石油沥青AH-70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2、沥青混凝土种类 ：细粒式SBS改性沥青混凝土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3、石料粒径 ：AC-13C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4、厚度：4CM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严重破损沥青路面修复</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拆除路面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：沥青路面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2、厚度：10cm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拆除基层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：基层+垫层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 ：70cm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路床(槽）整形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1、部位 ：车行道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2、范围：结构层底</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山皮石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1、填方材料：塘渣（应具有良好的透水性，质地坚硬，不含杂质，粒径不大于10cm，含泥量不大于10%）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2、厚度：30cm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碎石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1、石料规格 ：碎石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2、厚度：10cm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水泥稳定碎（砾）石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1、水泥含量 ：5%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2、石料规格 ：不大于31.5mm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3、厚度：30cm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：PC-2乳化沥青透层油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2、喷油量：1.1L/m2</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：A级道路石油沥青AH-70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2、沥青混凝土种类 ：粗粒式沥青混凝土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3、石料粒径 ：AC-25C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4、厚度：6CM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：PC-3乳化沥青黏层油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2、喷油量：0.45L/m2</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：A级道路石油沥青AH-70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2、沥青混凝土种类 ：细粒式SBS改性沥青混凝土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3、石料粒径 ：AC-13C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4、厚度：4CM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严重破损混凝土路面修复</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拆除路面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：混凝土面层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2、厚度：30cm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拆除基层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：基层+垫层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2、厚度：40cm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路床(槽）整形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1、部位 ：车行道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2、范围：结构层底</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山皮石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1、填方材料：塘渣（应具有良好的透水性，质地坚硬，不含杂质，粒径不大于10cm，含泥量不大于10%）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2、厚度：30cm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碎石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1、石料规格 ：碎石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2、厚度：10cm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1、混凝土强度等级 ：C30商品混凝土（28d抗弯强度不小于4.5Mpa)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 ：30cm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3、嵌缝材料：缩缝、胀缝填缝为沥青玛缔脂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4、其他：混凝土路面防滑措施符合有关要求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附属设施</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1、材质：现状混凝土侧石、平石及混凝土垫层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1、材质：现状花岗岩侧石、平石及混凝土垫层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安砌侧（平、缘）石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：混凝土侧石（规格与已建段一致）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2、基础、垫层：材料 品种、厚度：2cm厚M10水泥砂浆+C25细石砼垫层护块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3、其他：含模板制作、安装及拆除</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安砌侧（平、缘）石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：混凝土平石（规格与已建段一致）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2、基础、垫层：材料 品种、厚度：2cm厚M10水泥砂浆</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安砌侧（平、缘）石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：花岗岩侧石（规格与已建段一致）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2、基础、垫层：材料 品种、厚度：2cm厚M10水泥砂浆+C25细石砼垫层护块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3、其他：含模板制作、安装及拆除</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安砌侧（平、缘）石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：花岗岩平石（规格与已建段一致）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2、基础、垫层：材料 品种、厚度：2cm厚M10水泥砂浆</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拆除树池</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1、材质：现状混凝土树池及混凝土垫层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拆除树池</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1、材质：现状花岗岩树池及混凝土垫层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树池砌筑</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：混凝土树池侧石（规格与已建树池一致）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2、基础、垫层：材料 品种、厚度：2cm厚M10水泥砂浆+C25细石砼垫层护块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3、其他：含模板制作、安装及拆除</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树池砌筑</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：花岗岩树池侧石（规格与已建树池一致）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2、基础、垫层：材料 品种、厚度：2cm厚M10水泥砂浆+C25细石砼垫层护块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3、其他：含模板制作、安装及拆除</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标线</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：热熔反光涂料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2、线型：一般车行道标线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3、按实线面积计</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标线</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：热熔反光涂料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2、线型：路面震荡线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3、按实线面积计</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标记</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：热熔反光涂料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2、规格尺寸：路面交通标记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3、标记按外廓尺寸计面积</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沥青混凝土(坑洞修补及回填)</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：粗粒式沥青混凝土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2、厚度：平均厚10cm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金属栏杆维修及更换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1、栏杆材质、规格 ：金属栏杆，材质及做法等与原栏杆一致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2、其他：含原栏杆拆除及废料外运</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石质栏杆维修及更换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1、材料品种、规格：花岗岩栏杆，材质做法等与原栏杆一致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2、其他：含原栏杆拆除及废料外运</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石质栏杆维修及更换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1、材料品种、规格：人造石栏杆，材质做法等与原栏杆一致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2、其他：含原栏杆拆除及废料外运</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混凝土防撞栏杆维修及更换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1、材料品种、规格：C30混凝土+钢管扶手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2、规格尺寸：与原有防撞护栏一致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3、其他：含原栏杆拆除、废料外运，模板、钢筋及预埋件等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隔离护栏维修及更换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1、类型：波形护栏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2、规格、型号：与原有护栏一致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3、其他：含原栏杆拆除、废料外运，基础、模板、钢筋及预埋件等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混凝土隔离墩</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1、材料品种、规格：C30混凝土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2、规格尺寸：与原有隔离墩一致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3、其他：含原隔离墩拆除、废料外运，模板、钢筋及预埋件等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车档石（石球）</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：做法与现有石球车档石一致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2、规格、型号：直径30cm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车档石（石球）</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：做法与现有石球车档石一致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2、规格、型号：直径40cm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车档石（石球）</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：做法与现有石球车档石一致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2、规格、型号：直径50cm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车档石（石球）</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：做法与现有石球车档石一致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2、规格、型号：直径60cm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车档石（石柱）</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：做法与现有石柱一致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2、规格、型号：直径20cm*高40cm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3、工作内容涉及更换、新建等情况，综合考虑报价</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警示柱</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：钢管警示桩，规格、做法与现有一致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2、工作内容涉及拆除废料外运、维修、更换、新建及路面修复等情况，综合考虑报价</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减速垄更换及新建</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1、材料品种：橡胶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2、规格、型号：同现状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3、其他：含原有减速带拆除、废料外运等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防撞筒（墩）</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1、材料品种：滚塑防撞桶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2、规格、型号：直径800mm，内灌2/3砂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防撞筒（墩）</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1、材料品种：滚塑防撞桶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2、规格、型号：直径600mm，内灌2/3砂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2.混凝土基础</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爆闪灯</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1、LED灯板，蓄电池，太阳能板，立杆（直径 89mm、厚度2mm，高度3500mm),安装及水泥基础</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道钉</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1、反光道钉，报价含安装、胶水等全部费用</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颗</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现状桥梁护栏</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现状桥护栏水泥砂浆抹面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1、砂浆配合比 ：底层1:3水泥砂浆，面层1:2.5水泥砂浆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2、部位 ：防撞护栏面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3、厚度：14+6（mm）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4、其他：含原护栏混凝土面清理</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涂料</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1、基层类型：抹灰面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2、部位：防撞护栏两侧面及顶面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3、涂料品种、喷刷遍数：灰色外墙弹性涂料（底涂、中涂、面涂）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4、其他：满批防水腻子一遍</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涂料</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1、基层类型：混凝土面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2、部位：隔离带混凝土面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3、其他：原混凝土面清理后满批防水腻子一遍</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涂料</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1、基层类型：其它零星涂料面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2、其他：原面层清理后满批防水腻子一遍</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现状桥钢护栏油漆</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1、部位 ：钢管护栏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2、工艺要求：钢护栏清理除锈后防锈漆一遍，调和漆二遍</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桥梁伸缩装置</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：桥面伸缩缝修复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 ：与原伸缩缝一致</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桥梁伸缩缝清理</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桥梁伸缩缝清理</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井盖处、桥头跳车处理</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：φ820复合材料井盖座（防盗型带锁，加重型、承载力要求不小于40t，180度翻盖，具有防震功能），井盖需标明业主指定字样，井四周原样修复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3、其他：含原有井盖座、井圈拆除、井筒维修等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：φ750复合材料井盖座（防盗型带锁，加重型、承载力要求不小于40t，180度翻盖，具有防震功能），井盖需标明业主指定字样，井四周原样修复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3、其他：含原有井盖座、井圈拆除、井筒维修等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1、名称：井座更换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：φ750复合材料井座（普通型）+井四周原样修复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3、其他：含原有井盖座、井圈拆除、井盖拆除及安装等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1、名称：井盖更换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：φ750复合材料井盖（普通型），井盖需标明业主指定字样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3、其他：含原有井盖拆除等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：φ820球磨铸铁井盖座（防盗型带锁，加重型、承载力符合规范及行业要求，180度翻盖，具有防震功能），井盖需标明业主指定字样，井四周原样修复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3、其他：含原有井盖座、井圈拆除、井筒维修等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：φ750球磨铸铁井盖座（防盗型带锁，加重型、承载力符合规范及行业要求，180度翻盖，具有防震功能），井盖需标明业主指定字样，井四周原样修复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3、其他：含原有井盖座、井圈拆除、井筒维修等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1、名称：井盖座更换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：不规则弱电井盖座，规格同现有，井盖需标明业主指定字样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3、其他：含原有井盖座拆除等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报价需综合考虑各种规格，综合报价</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检查井周边修复</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1、名称：检查井周边修复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2、井盖、井圈材质及 规格 ：井四周破损处拆除废料外运，原样修复</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雨水口水篦盖座更换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1、名称：雨水口水篦盖座更换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：495*640球磨铸铁篦子盖座（承载力需符合规范及行业要求），井盖需标明业主指定字样，井四周原样修复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雨水口水篦盖座更换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1、名称：雨水口水篦盖座更换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：380*680球磨铸铁篦子盖座（承载力需符合规范及行业要求），井盖需标明业主指定字样，井四周原样修复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雨水口水篦盖座更换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1、名称：雨水口水篦盖座更换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：450*750球磨铸铁篦子盖座（承载力需符合规范及行业要求），井盖需标明业主指定字样，井四周原样修复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雨水水篦口清理</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1、名称：雨水水篦口清理(含雨水水篦口的内部底部的所有垃圾清理)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φ700圆形井防沉降改造</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：φ820球磨铸铁井盖座（防盗型带锁，加重型、承载力符合规范及行业要求，180度翻盖，具有防震功能），井盖需标明业主指定字样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3、C30钢筋砼1#盖板（150*150*18cm留孔φ66cm）含钢筋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4、C30钢筋砼沉降板（φ245*20cm留孔φ125cm）含钢筋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5、C15素砼垫层（φ265*10cm留孔125cm）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6、拆除：含原有井盖座、井圈拆除、井周边结构层拆除、井筒升降维修、建筑废弃料外运等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7、恢复：井周边道路结构层、面层、标线、标志等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φ1000圆形井防沉降改造</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：φ820球磨铸铁井盖座（防盗型带锁，加重型、承载力符合规范及行业要求，180度翻盖，具有防震功能），井盖需标明业主指定字样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3、C30钢筋砼2#盖板（180*180*20cm留孔φ66cm）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4、C30钢筋砼沉降板（φ275*20cm留孔φ155cm）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5、C15素砼垫层（φ295*10cm留孔155cm）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6、拆除：含原有井盖座、井圈拆除、井周边结构层拆除、井筒升降维修、建筑废弃料外运等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7、恢复：井周边道路结构层、面层、标线、标志等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桥头处理</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1、桥头沉降处理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2、原沥青面层铣刨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3、铣刨厚度按实际沉降情况处理（建筑废弃料外运）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4、细粒式SBS改性沥青砼（AC-13C）厚4cm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5、沥青黏层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6、标高不足段采用粗（细）粒式沥青找平</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日常养护巡查费用</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1、名称：市政设施（含各类桥梁）的日常养护巡查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内容：划分区域配备巡查人员，要求每天要求全天巡回巡查，并对发生的意外情形进行应急处理（包括如遇雨雪冰冻等灾害性天气，必须根据甲方安排，租用甲方指定扫雪车辆或其他应对灾害性天气所需的机械设备器具，并及时对道路路面进行清理，确保道路路面畅通）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3、各投标人根据自身条件确定相关费用计入报价，结算不作调整</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土工合成材料</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1、土工格栅</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沥青贯人式</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1、沥青灌缝</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各类型机械、器具</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1、各类型机械、器具等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2、结合本项目特点自主报价费用一次性包干，结算时不作调整</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交通及安全维护</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施工期间施工区域范围内交通及维护，交通疏导，道路围挡（需符合上级主管部门要求），安全警示标志、临时红绿灯、临时爆闪灯的设置、公众责任保险等，具体投标单位根据施工现场实际情况综合考虑，费用一次性包干，结算不作调整</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合计金额小写人民币（元）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合计金额大写人民币（元）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bl>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注：报价时按全费用综合单价考虑（含保险（人员保险、财产保险等）税金、规费、管理费、措施费、安全文明施工费、利润等一切为完成本项目涉及的费用），具体数量按实际发生量结算。</w:t>
      </w:r>
    </w:p>
    <w:p>
      <w:pPr>
        <w:pStyle w:val="48"/>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结算时单价按投标时全费用单位计，不因任何因素变更。</w:t>
      </w:r>
    </w:p>
    <w:p>
      <w:pPr>
        <w:pStyle w:val="48"/>
        <w:numPr>
          <w:ilvl w:val="0"/>
          <w:numId w:val="7"/>
        </w:numPr>
        <w:ind w:left="388" w:leftChars="0" w:firstLine="0" w:firstLineChars="0"/>
        <w:rPr>
          <w:rFonts w:hint="eastAsia" w:ascii="宋体" w:hAnsi="宋体" w:eastAsia="宋体" w:cs="宋体"/>
          <w:b/>
          <w:color w:val="auto"/>
          <w:sz w:val="21"/>
          <w:szCs w:val="21"/>
          <w:highlight w:val="none"/>
        </w:rPr>
      </w:pPr>
      <w:r>
        <w:rPr>
          <w:rFonts w:hint="eastAsia" w:hAnsi="宋体" w:eastAsia="宋体" w:cs="宋体"/>
          <w:b/>
          <w:color w:val="auto"/>
          <w:sz w:val="21"/>
          <w:szCs w:val="21"/>
          <w:highlight w:val="none"/>
          <w:lang w:eastAsia="zh-CN"/>
        </w:rPr>
        <w:t>技术</w:t>
      </w:r>
      <w:r>
        <w:rPr>
          <w:rFonts w:hint="eastAsia" w:ascii="宋体" w:hAnsi="宋体" w:eastAsia="宋体" w:cs="宋体"/>
          <w:b/>
          <w:color w:val="auto"/>
          <w:sz w:val="21"/>
          <w:szCs w:val="21"/>
          <w:highlight w:val="none"/>
        </w:rPr>
        <w:t>条款</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养护服务清单</w:t>
      </w:r>
      <w:r>
        <w:rPr>
          <w:rFonts w:hint="default" w:ascii="宋体" w:hAnsi="宋体" w:eastAsia="宋体" w:cs="宋体"/>
          <w:bCs/>
          <w:color w:val="auto"/>
          <w:sz w:val="21"/>
          <w:szCs w:val="21"/>
          <w:highlight w:val="none"/>
          <w:lang w:val="en-US" w:eastAsia="zh-CN"/>
        </w:rPr>
        <w:t>中只描述了完成本分项</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应有的主要工作内容，但投标人填报的</w:t>
      </w:r>
      <w:r>
        <w:rPr>
          <w:rFonts w:hint="eastAsia" w:hAnsi="宋体" w:cs="宋体"/>
          <w:bCs/>
          <w:color w:val="auto"/>
          <w:sz w:val="21"/>
          <w:szCs w:val="21"/>
          <w:highlight w:val="none"/>
          <w:lang w:val="en-US" w:eastAsia="zh-CN"/>
        </w:rPr>
        <w:t>全费用</w:t>
      </w:r>
      <w:r>
        <w:rPr>
          <w:rFonts w:hint="default" w:ascii="宋体" w:hAnsi="宋体" w:eastAsia="宋体" w:cs="宋体"/>
          <w:bCs/>
          <w:color w:val="auto"/>
          <w:sz w:val="21"/>
          <w:szCs w:val="21"/>
          <w:highlight w:val="none"/>
          <w:lang w:val="en-US" w:eastAsia="zh-CN"/>
        </w:rPr>
        <w:t>综合单价应是包含了分项计量范围内的所有工作内容的价格，无论本分项</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有无明确列项或表示，只要是为完成该分项</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所需要做的工作和为了满足该分项</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的完整性所需要做的工作，均视为该分项</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所包含的内容。投标人在填写每一项的</w:t>
      </w:r>
      <w:r>
        <w:rPr>
          <w:rFonts w:hint="eastAsia" w:hAnsi="宋体" w:cs="宋体"/>
          <w:bCs/>
          <w:color w:val="auto"/>
          <w:sz w:val="21"/>
          <w:szCs w:val="21"/>
          <w:highlight w:val="none"/>
          <w:lang w:val="en-US" w:eastAsia="zh-CN"/>
        </w:rPr>
        <w:t>全费用</w:t>
      </w:r>
      <w:r>
        <w:rPr>
          <w:rFonts w:hint="default" w:ascii="宋体" w:hAnsi="宋体" w:eastAsia="宋体" w:cs="宋体"/>
          <w:bCs/>
          <w:color w:val="auto"/>
          <w:sz w:val="21"/>
          <w:szCs w:val="21"/>
          <w:highlight w:val="none"/>
          <w:lang w:val="en-US" w:eastAsia="zh-CN"/>
        </w:rPr>
        <w:t>综合单价和合价时应结合</w:t>
      </w:r>
      <w:r>
        <w:rPr>
          <w:rFonts w:hint="eastAsia" w:hAnsi="宋体" w:cs="宋体"/>
          <w:bCs/>
          <w:color w:val="auto"/>
          <w:sz w:val="21"/>
          <w:szCs w:val="21"/>
          <w:highlight w:val="none"/>
          <w:lang w:val="en-US" w:eastAsia="zh-CN"/>
        </w:rPr>
        <w:t>所有</w:t>
      </w:r>
      <w:r>
        <w:rPr>
          <w:rFonts w:hint="default" w:ascii="宋体" w:hAnsi="宋体" w:eastAsia="宋体" w:cs="宋体"/>
          <w:bCs/>
          <w:color w:val="auto"/>
          <w:sz w:val="21"/>
          <w:szCs w:val="21"/>
          <w:highlight w:val="none"/>
          <w:lang w:val="en-US" w:eastAsia="zh-CN"/>
        </w:rPr>
        <w:t>情况进行报价。</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投标人认为必须或可能发生的费用应全部考虑在报价中，未在报价中体现的视作已综合在单价中或已全部优惠。</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3</w:t>
      </w:r>
      <w:r>
        <w:rPr>
          <w:rFonts w:hint="default" w:ascii="宋体" w:hAnsi="宋体" w:eastAsia="宋体" w:cs="宋体"/>
          <w:bCs/>
          <w:color w:val="auto"/>
          <w:sz w:val="21"/>
          <w:szCs w:val="21"/>
          <w:highlight w:val="none"/>
          <w:lang w:val="en-US" w:eastAsia="zh-CN"/>
        </w:rPr>
        <w:t>、投标人应按清单中列出的</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项目填报单价和合价。每一项目只允许有一个报价。任何有选择的报价不予接受，投标人未填单价或合价的</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，在实施后，招标人将不予支付，并视作该项费用已包括在其它有价款的单价或合价内。</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4</w:t>
      </w:r>
      <w:r>
        <w:rPr>
          <w:rFonts w:hint="default" w:ascii="宋体" w:hAnsi="宋体" w:eastAsia="宋体" w:cs="宋体"/>
          <w:bCs/>
          <w:color w:val="auto"/>
          <w:sz w:val="21"/>
          <w:szCs w:val="21"/>
          <w:highlight w:val="none"/>
          <w:lang w:val="en-US" w:eastAsia="zh-CN"/>
        </w:rPr>
        <w:t>、本</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施工用水、用电由施工方自行解决，所需水、电、电讯线路、临时场地、临时设施搭设、临时道路由承包人完成，发包方做好配合及协调工作，所发生的一切费用由</w:t>
      </w:r>
      <w:r>
        <w:rPr>
          <w:rFonts w:hint="eastAsia" w:hAnsi="宋体" w:cs="宋体"/>
          <w:bCs/>
          <w:color w:val="auto"/>
          <w:sz w:val="21"/>
          <w:szCs w:val="21"/>
          <w:highlight w:val="none"/>
          <w:lang w:val="en-US" w:eastAsia="zh-CN"/>
        </w:rPr>
        <w:t>养护</w:t>
      </w:r>
      <w:r>
        <w:rPr>
          <w:rFonts w:hint="default" w:ascii="宋体" w:hAnsi="宋体" w:eastAsia="宋体" w:cs="宋体"/>
          <w:bCs/>
          <w:color w:val="auto"/>
          <w:sz w:val="21"/>
          <w:szCs w:val="21"/>
          <w:highlight w:val="none"/>
          <w:lang w:val="en-US" w:eastAsia="zh-CN"/>
        </w:rPr>
        <w:t>方自行考虑按市场价计入投标报价中。养护服务期用水、用电涨价风险因素一并考虑计入报价。</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5</w:t>
      </w:r>
      <w:r>
        <w:rPr>
          <w:rFonts w:hint="default" w:ascii="宋体" w:hAnsi="宋体" w:eastAsia="宋体" w:cs="宋体"/>
          <w:bCs/>
          <w:color w:val="auto"/>
          <w:sz w:val="21"/>
          <w:szCs w:val="21"/>
          <w:highlight w:val="none"/>
          <w:lang w:val="en-US" w:eastAsia="zh-CN"/>
        </w:rPr>
        <w:t>、投标人在填报价格及费用时应充分考虑国家现行技术标准、规范等要求，工程质量检测（包括所有原材料、成品、半成品进场复试）等按设计、施工、验收规范要求送检，所需一切费用计入投标报价内。</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6</w:t>
      </w:r>
      <w:r>
        <w:rPr>
          <w:rFonts w:hint="default" w:ascii="宋体" w:hAnsi="宋体" w:eastAsia="宋体" w:cs="宋体"/>
          <w:bCs/>
          <w:color w:val="auto"/>
          <w:sz w:val="21"/>
          <w:szCs w:val="21"/>
          <w:highlight w:val="none"/>
          <w:lang w:val="en-US" w:eastAsia="zh-CN"/>
        </w:rPr>
        <w:t>、临时设施围护、行车干扰因素所产生的费用、规定范围以外的便道所增加费用竞争报价均计入报价中。</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7</w:t>
      </w:r>
      <w:r>
        <w:rPr>
          <w:rFonts w:hint="default" w:ascii="宋体" w:hAnsi="宋体" w:eastAsia="宋体" w:cs="宋体"/>
          <w:bCs/>
          <w:color w:val="auto"/>
          <w:sz w:val="21"/>
          <w:szCs w:val="21"/>
          <w:highlight w:val="none"/>
          <w:lang w:val="en-US" w:eastAsia="zh-CN"/>
        </w:rPr>
        <w:t>、若养护服务过程中遇到与其他项目需交叉</w:t>
      </w:r>
      <w:r>
        <w:rPr>
          <w:rFonts w:hint="eastAsia" w:hAnsi="宋体" w:cs="宋体"/>
          <w:bCs/>
          <w:color w:val="auto"/>
          <w:sz w:val="21"/>
          <w:szCs w:val="21"/>
          <w:highlight w:val="none"/>
          <w:lang w:val="en-US" w:eastAsia="zh-CN"/>
        </w:rPr>
        <w:t>实施</w:t>
      </w:r>
      <w:r>
        <w:rPr>
          <w:rFonts w:hint="default" w:ascii="宋体" w:hAnsi="宋体" w:eastAsia="宋体" w:cs="宋体"/>
          <w:bCs/>
          <w:color w:val="auto"/>
          <w:sz w:val="21"/>
          <w:szCs w:val="21"/>
          <w:highlight w:val="none"/>
          <w:lang w:val="en-US" w:eastAsia="zh-CN"/>
        </w:rPr>
        <w:t>的，由承包人自行协调处理，投标报价时综合考虑该因素。</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8</w:t>
      </w:r>
      <w:r>
        <w:rPr>
          <w:rFonts w:hint="default" w:ascii="宋体" w:hAnsi="宋体" w:eastAsia="宋体" w:cs="宋体"/>
          <w:bCs/>
          <w:color w:val="auto"/>
          <w:sz w:val="21"/>
          <w:szCs w:val="21"/>
          <w:highlight w:val="none"/>
          <w:lang w:val="en-US" w:eastAsia="zh-CN"/>
        </w:rPr>
        <w:t>、凡养护服务过程中涉及需要坐标点、水准点定位的，投标单位须在投标报价中综合考虑。</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9</w:t>
      </w:r>
      <w:r>
        <w:rPr>
          <w:rFonts w:hint="default" w:ascii="宋体" w:hAnsi="宋体" w:eastAsia="宋体" w:cs="宋体"/>
          <w:bCs/>
          <w:color w:val="auto"/>
          <w:sz w:val="21"/>
          <w:szCs w:val="21"/>
          <w:highlight w:val="none"/>
          <w:lang w:val="en-US" w:eastAsia="zh-CN"/>
        </w:rPr>
        <w:t>、本次招标服务期内，投标人必须对服务区域内的市政基础设施（含桥梁）进行日常养护及巡查应急处理，在巡查及施工过程中，所产生的一切事故均须由中标单位负责，该部分费用投标单位自行考虑报价，结算不作调整。</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0</w:t>
      </w:r>
      <w:r>
        <w:rPr>
          <w:rFonts w:hint="default" w:ascii="宋体" w:hAnsi="宋体" w:eastAsia="宋体" w:cs="宋体"/>
          <w:bCs/>
          <w:color w:val="auto"/>
          <w:sz w:val="21"/>
          <w:szCs w:val="21"/>
          <w:highlight w:val="none"/>
          <w:lang w:val="en-US" w:eastAsia="zh-CN"/>
        </w:rPr>
        <w:t>、本次招标为市政设施日常巡查养护维修，服务区域分布广，维修地点分散，维修时间不集中、不确定，且施工时要求边施工边通车；特要求投标单位在接到招标人通知后4小时内，即派施工人员到达维修现场进行处理。若无故不及时处理的，处以每次500元的罚款，如因不及时处理造成严重后果的由投标单位承担相应损失。通知的形式可以是电话、短信、书面或当面口头通知。因此，投标人在开标前应自行前往现场认真踏勘，并在报价时将本项目</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期间必要的交通安全措施费用充分考虑后计入报价内，结算不另增加费用。由于承包人措施不力，导致事故频发造成重大影响，引起索赔，赔偿、诉讼费用及拖延或费用增加时，由承包人承担一切责任和费用。</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、养护服务期间，应确保</w:t>
      </w:r>
      <w:r>
        <w:rPr>
          <w:rFonts w:hint="eastAsia" w:hAnsi="宋体" w:cs="宋体"/>
          <w:bCs/>
          <w:color w:val="auto"/>
          <w:sz w:val="21"/>
          <w:szCs w:val="21"/>
          <w:highlight w:val="none"/>
          <w:lang w:val="en-US" w:eastAsia="zh-CN"/>
        </w:rPr>
        <w:t>养护服务</w:t>
      </w:r>
      <w:r>
        <w:rPr>
          <w:rFonts w:hint="default" w:ascii="宋体" w:hAnsi="宋体" w:eastAsia="宋体" w:cs="宋体"/>
          <w:bCs/>
          <w:color w:val="auto"/>
          <w:sz w:val="21"/>
          <w:szCs w:val="21"/>
          <w:highlight w:val="none"/>
          <w:lang w:val="en-US" w:eastAsia="zh-CN"/>
        </w:rPr>
        <w:t>人员和通行人员的安全，道路养护服务范围要求作安全隔离处理，现场养护服务作业人员要求穿带反光安全工作服，设置必要的道路通行疏导指挥人员、必要的通行导示、导向牌等，安排专人清理道路上的抛洒物，费用包含在投标报价内。</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、本养护服务所有材料、设备、配件均由承包人采购，其质量必须符合设计和施工规范要求，进场前必须报发包人、监理人审批，未经批准的材料不得进场</w:t>
      </w:r>
      <w:r>
        <w:rPr>
          <w:rFonts w:hint="eastAsia" w:hAnsi="宋体" w:cs="宋体"/>
          <w:bCs/>
          <w:color w:val="auto"/>
          <w:sz w:val="21"/>
          <w:szCs w:val="21"/>
          <w:highlight w:val="none"/>
          <w:lang w:val="en-US" w:eastAsia="zh-CN"/>
        </w:rPr>
        <w:t>实施</w:t>
      </w:r>
      <w:r>
        <w:rPr>
          <w:rFonts w:hint="default" w:ascii="宋体" w:hAnsi="宋体" w:eastAsia="宋体" w:cs="宋体"/>
          <w:bCs/>
          <w:color w:val="auto"/>
          <w:sz w:val="21"/>
          <w:szCs w:val="21"/>
          <w:highlight w:val="none"/>
          <w:lang w:val="en-US" w:eastAsia="zh-CN"/>
        </w:rPr>
        <w:t>，否则一切损失由承包人负责。</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3</w:t>
      </w:r>
      <w:r>
        <w:rPr>
          <w:rFonts w:hint="default" w:ascii="宋体" w:hAnsi="宋体" w:eastAsia="宋体" w:cs="宋体"/>
          <w:bCs/>
          <w:color w:val="auto"/>
          <w:sz w:val="21"/>
          <w:szCs w:val="21"/>
          <w:highlight w:val="none"/>
          <w:lang w:val="en-US" w:eastAsia="zh-CN"/>
        </w:rPr>
        <w:t>、根据嘉政发【2008】16号文件《嘉兴市人民政府关于印发嘉兴市预拌混凝土（砂浆）管理办法的通知》的规定，本养护服务所用混凝土（砂浆）应采用商品预拌混凝土（砂浆），是否泵送及运距由投标单位自行考虑。</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4</w:t>
      </w:r>
      <w:r>
        <w:rPr>
          <w:rFonts w:hint="default" w:ascii="宋体" w:hAnsi="宋体" w:eastAsia="宋体" w:cs="宋体"/>
          <w:bCs/>
          <w:color w:val="auto"/>
          <w:sz w:val="21"/>
          <w:szCs w:val="21"/>
          <w:highlight w:val="none"/>
          <w:lang w:val="en-US" w:eastAsia="zh-CN"/>
        </w:rPr>
        <w:t>、养护服务时如需模板支撑、脚手架搭设必须严格按“嘉兴市住房和城乡建设局关于加强模板支撑体系安全管理和承插型盘扣式钢管脚手架推广应用的通知”中要求执行，相关费用由投标人充分考虑后计入报价内，结算不另增加费用，</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5</w:t>
      </w:r>
      <w:r>
        <w:rPr>
          <w:rFonts w:hint="default" w:ascii="宋体" w:hAnsi="宋体" w:eastAsia="宋体" w:cs="宋体"/>
          <w:bCs/>
          <w:color w:val="auto"/>
          <w:sz w:val="21"/>
          <w:szCs w:val="21"/>
          <w:highlight w:val="none"/>
          <w:lang w:val="en-US" w:eastAsia="zh-CN"/>
        </w:rPr>
        <w:t>、投标人应充分考虑养护服务进出场、大型机械进出场的措施费用和安全防护费用，包括市政、市容、环保、交通、治安等，计入措施费用中，今后一概不作调整。</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bookmarkStart w:id="1" w:name="_Toc396891429"/>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6</w:t>
      </w:r>
      <w:r>
        <w:rPr>
          <w:rFonts w:hint="default" w:ascii="宋体" w:hAnsi="宋体" w:eastAsia="宋体" w:cs="宋体"/>
          <w:bCs/>
          <w:color w:val="auto"/>
          <w:sz w:val="21"/>
          <w:szCs w:val="21"/>
          <w:highlight w:val="none"/>
          <w:lang w:val="en-US" w:eastAsia="zh-CN"/>
        </w:rPr>
        <w:t>、投标人应综合考虑对</w:t>
      </w:r>
      <w:r>
        <w:rPr>
          <w:rFonts w:hint="eastAsia" w:hAnsi="宋体" w:cs="宋体"/>
          <w:bCs/>
          <w:color w:val="auto"/>
          <w:sz w:val="21"/>
          <w:szCs w:val="21"/>
          <w:highlight w:val="none"/>
          <w:lang w:val="en-US" w:eastAsia="zh-CN"/>
        </w:rPr>
        <w:t>实施区域</w:t>
      </w:r>
      <w:r>
        <w:rPr>
          <w:rFonts w:hint="default" w:ascii="宋体" w:hAnsi="宋体" w:eastAsia="宋体" w:cs="宋体"/>
          <w:bCs/>
          <w:color w:val="auto"/>
          <w:sz w:val="21"/>
          <w:szCs w:val="21"/>
          <w:highlight w:val="none"/>
          <w:lang w:val="en-US" w:eastAsia="zh-CN"/>
        </w:rPr>
        <w:t>周围构筑物的影响，构筑物的保护所发生的费用由各单位在投标报价时综合考虑后计入报价内。</w:t>
      </w:r>
      <w:bookmarkEnd w:id="1"/>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7</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期间引起的扰民（包括：行车、噪音、污染、损坏居民物品等影响民众生活的因素）由此产生的费用由各单位在投标报价时综合考虑后计入报价内。</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18</w:t>
      </w:r>
      <w:r>
        <w:rPr>
          <w:rFonts w:hint="default" w:ascii="宋体" w:hAnsi="宋体" w:eastAsia="宋体" w:cs="宋体"/>
          <w:bCs/>
          <w:color w:val="auto"/>
          <w:sz w:val="21"/>
          <w:szCs w:val="21"/>
          <w:highlight w:val="none"/>
          <w:lang w:val="en-US" w:eastAsia="zh-CN"/>
        </w:rPr>
        <w:t>、承包人在</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中应注意对</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区域内原有设施及各类公用管线、井盖的保护保护，今后因承包人施工原因造成损坏的，承包人应及时修复并承担一切费用；如不及时修复的，招标人将请专业单位进行修复,费用从承包人</w:t>
      </w:r>
      <w:r>
        <w:rPr>
          <w:rFonts w:hint="eastAsia" w:hAnsi="宋体" w:cs="宋体"/>
          <w:bCs/>
          <w:color w:val="auto"/>
          <w:sz w:val="21"/>
          <w:szCs w:val="21"/>
          <w:highlight w:val="none"/>
          <w:lang w:val="en-US" w:eastAsia="zh-CN"/>
        </w:rPr>
        <w:t>合同</w:t>
      </w:r>
      <w:r>
        <w:rPr>
          <w:rFonts w:hint="default" w:ascii="宋体" w:hAnsi="宋体" w:eastAsia="宋体" w:cs="宋体"/>
          <w:bCs/>
          <w:color w:val="auto"/>
          <w:sz w:val="21"/>
          <w:szCs w:val="21"/>
          <w:highlight w:val="none"/>
          <w:lang w:val="en-US" w:eastAsia="zh-CN"/>
        </w:rPr>
        <w:t>款中直接扣除。</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19</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区域内道路、砖、侧平石、绿化等修补及现有苗木（含行道树）迁移等工作由投标人承担，所需费用由投标人应充分考虑后计入报价内。</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0</w:t>
      </w:r>
      <w:r>
        <w:rPr>
          <w:rFonts w:hint="default" w:ascii="宋体" w:hAnsi="宋体" w:eastAsia="宋体" w:cs="宋体"/>
          <w:bCs/>
          <w:color w:val="auto"/>
          <w:sz w:val="21"/>
          <w:szCs w:val="21"/>
          <w:highlight w:val="none"/>
          <w:lang w:val="en-US" w:eastAsia="zh-CN"/>
        </w:rPr>
        <w:t>、养护实施中所涉及到的障碍物（地下障碍物、渣土、工程废料、建筑垃圾、宿根性杂草、树根及其有害污染物等等）清理及清除外运工作由投标人负责，由此产生的费用由各单位在投标报价时综合考虑后计入报价内，今后结算不另行增加。</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过程中要求派专人及时清理，保证、保持进出道路路面及施工场地的整洁；施工结束后注意施工区域的保洁，要满足市、区、镇环保要求，临时便道、建筑垃圾、废弃物等应及时清运，所需费用由投标单位自行考虑在报价内。</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发包人不提供建筑垃圾的堆放场地及分拣场地，建筑垃圾收运处置按“嘉兴市秀洲区人民政府办公室关于印发《秀洲区建筑垃圾收运处置管理办法实施细则(试行)》的通知”执行，并工程开工前五个工作日养护实施单位向项目所在地综合行政执法局执法分队申请城市建筑垃圾处置备案，备案内容含建筑垃圾数量、种类、处置方式；所涉及的相关费用计入本次投标报价内。否则，发包人有权暂停发放工程款，待整改完成后再行发放，同时扣罚合同价款的2%的作为罚金，且一切后果由承包人承担。</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3</w:t>
      </w:r>
      <w:r>
        <w:rPr>
          <w:rFonts w:hint="default" w:ascii="宋体" w:hAnsi="宋体" w:eastAsia="宋体" w:cs="宋体"/>
          <w:bCs/>
          <w:color w:val="auto"/>
          <w:sz w:val="21"/>
          <w:szCs w:val="21"/>
          <w:highlight w:val="none"/>
          <w:lang w:val="en-US" w:eastAsia="zh-CN"/>
        </w:rPr>
        <w:t>、</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车辆必须按项目所在地综合行政执法部门的规定办理通行证，缴纳相关保证金，并在规定时间规定线路内通行，投标单位在报价中考虑相关的费用。</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4</w:t>
      </w:r>
      <w:r>
        <w:rPr>
          <w:rFonts w:hint="default" w:ascii="宋体" w:hAnsi="宋体" w:eastAsia="宋体" w:cs="宋体"/>
          <w:bCs/>
          <w:color w:val="auto"/>
          <w:sz w:val="21"/>
          <w:szCs w:val="21"/>
          <w:highlight w:val="none"/>
          <w:lang w:val="en-US" w:eastAsia="zh-CN"/>
        </w:rPr>
        <w:t>、因本项目实施处于疫情期间，承包人须按疫情期间相关文件实施</w:t>
      </w:r>
      <w:r>
        <w:rPr>
          <w:rFonts w:hint="eastAsia" w:hAnsi="宋体" w:cs="宋体"/>
          <w:bCs/>
          <w:color w:val="auto"/>
          <w:sz w:val="21"/>
          <w:szCs w:val="21"/>
          <w:highlight w:val="none"/>
          <w:lang w:val="en-US" w:eastAsia="zh-CN"/>
        </w:rPr>
        <w:t>养护</w:t>
      </w:r>
      <w:r>
        <w:rPr>
          <w:rFonts w:hint="default" w:ascii="宋体" w:hAnsi="宋体" w:eastAsia="宋体" w:cs="宋体"/>
          <w:bCs/>
          <w:color w:val="auto"/>
          <w:sz w:val="21"/>
          <w:szCs w:val="21"/>
          <w:highlight w:val="none"/>
          <w:lang w:val="en-US" w:eastAsia="zh-CN"/>
        </w:rPr>
        <w:t>，该部分费用已包含在投标报价中，不再另行支付。</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5</w:t>
      </w:r>
      <w:r>
        <w:rPr>
          <w:rFonts w:hint="default" w:ascii="宋体" w:hAnsi="宋体" w:eastAsia="宋体" w:cs="宋体"/>
          <w:bCs/>
          <w:color w:val="auto"/>
          <w:sz w:val="21"/>
          <w:szCs w:val="21"/>
          <w:highlight w:val="none"/>
          <w:lang w:val="en-US" w:eastAsia="zh-CN"/>
        </w:rPr>
        <w:t>、本养护实施期间，须在</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区域内设置多处临时围墙、围网等安全维护设施，投标人必须根据上级主管部门及招标人要求安排进行设置，涉及费用由各投标人自行踏勘现场并在投标报价时综合考虑措施项目进行报价，费用一次性包干，结算不作调整。</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2</w:t>
      </w:r>
      <w:r>
        <w:rPr>
          <w:rFonts w:hint="eastAsia" w:hAnsi="宋体" w:cs="宋体"/>
          <w:bCs/>
          <w:color w:val="auto"/>
          <w:sz w:val="21"/>
          <w:szCs w:val="21"/>
          <w:highlight w:val="none"/>
          <w:lang w:val="en-US" w:eastAsia="zh-CN"/>
        </w:rPr>
        <w:t>6</w:t>
      </w:r>
      <w:r>
        <w:rPr>
          <w:rFonts w:hint="default" w:ascii="宋体" w:hAnsi="宋体" w:eastAsia="宋体" w:cs="宋体"/>
          <w:bCs/>
          <w:color w:val="auto"/>
          <w:sz w:val="21"/>
          <w:szCs w:val="21"/>
          <w:highlight w:val="none"/>
          <w:lang w:val="en-US" w:eastAsia="zh-CN"/>
        </w:rPr>
        <w:t>、本养护实施期间如遇雨雪冰冻等灾害性天气,中标人必须根据招标人安排,租用招标人指定扫雪车辆或其他应对灾害性天气的所需的机械设备器具。并及时对道路路面进行清理，确保道路路面畅通,所涉及的应急处理费用由中标人自行向招标人申报，并由招标人委托的审计机构进行审价，在合同期满后一并结算,涉及的租用扫雪车辆或其他机械设备器具租赁费用按500元/每小时在结算价款中予以扣除。</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27</w:t>
      </w:r>
      <w:r>
        <w:rPr>
          <w:rFonts w:hint="default" w:ascii="宋体" w:hAnsi="宋体" w:eastAsia="宋体" w:cs="宋体"/>
          <w:bCs/>
          <w:color w:val="auto"/>
          <w:sz w:val="21"/>
          <w:szCs w:val="21"/>
          <w:highlight w:val="none"/>
          <w:lang w:val="en-US" w:eastAsia="zh-CN"/>
        </w:rPr>
        <w:t>、本</w:t>
      </w:r>
      <w:r>
        <w:rPr>
          <w:rFonts w:hint="eastAsia" w:hAnsi="宋体" w:cs="宋体"/>
          <w:bCs/>
          <w:color w:val="auto"/>
          <w:sz w:val="21"/>
          <w:szCs w:val="21"/>
          <w:highlight w:val="none"/>
          <w:lang w:val="en-US" w:eastAsia="zh-CN"/>
        </w:rPr>
        <w:t>养护实施</w:t>
      </w:r>
      <w:r>
        <w:rPr>
          <w:rFonts w:hint="default" w:ascii="宋体" w:hAnsi="宋体" w:eastAsia="宋体" w:cs="宋体"/>
          <w:bCs/>
          <w:color w:val="auto"/>
          <w:sz w:val="21"/>
          <w:szCs w:val="21"/>
          <w:highlight w:val="none"/>
          <w:lang w:val="en-US" w:eastAsia="zh-CN"/>
        </w:rPr>
        <w:t>期间如遇雨雪冰冻等灾害性天气，人员及设备机器械车辆配置不得低于以下要求，否则结算时将不予支付应急处置费用：暴雨天气应急人员配备不得少于50人，应急车辆不得少于2辆；暴雪天气应急人员不得少于60人，应急车辆工程车不得少于3辆，扫雪车不得少于3辆，铲车不得少于3辆。</w:t>
      </w:r>
    </w:p>
    <w:p>
      <w:pPr>
        <w:pStyle w:val="28"/>
        <w:snapToGrid w:val="0"/>
        <w:spacing w:before="0" w:beforeLines="0" w:after="0" w:afterLines="0" w:line="500" w:lineRule="exact"/>
        <w:ind w:firstLine="420" w:firstLineChars="200"/>
        <w:outlineLvl w:val="0"/>
        <w:rPr>
          <w:rFonts w:hint="default"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28</w:t>
      </w:r>
      <w:r>
        <w:rPr>
          <w:rFonts w:hint="default" w:ascii="宋体" w:hAnsi="宋体" w:eastAsia="宋体" w:cs="宋体"/>
          <w:bCs/>
          <w:color w:val="auto"/>
          <w:sz w:val="21"/>
          <w:szCs w:val="21"/>
          <w:highlight w:val="none"/>
          <w:lang w:val="en-US" w:eastAsia="zh-CN"/>
        </w:rPr>
        <w:t>、本项目增设公众责任保险，该费用综合考虑并计入安全维护措施费中（保险应包含因养护单位巡查不及时、维护不到位等原因引起的交通伤亡事故等相关公众责任），承包人在第一次申报工程款时，必须提供公众责任险发票及保单复印件，否则 发包人有权延迟支付第一次工程款直至承包人提供相应发票及保单复印件为止。公众责任保险标准不低于：每次事故赔偿限额人民币130万元，每人每次事故人身伤亡赔偿限额人民币100万元 , 每人每次事故医疗费赔偿限额10万元，每人每次事故财产损失赔偿限额人民币20万元，每次事故绝对免赔额为人民币500万元。</w:t>
      </w:r>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29、中标人在接到巡查人员通知30分钟内响应，90分钟内到达养护现场实施养护，做好相关台账记录，并留取实施前后情况依据。</w:t>
      </w:r>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30、养护单位须按月足额发放人员工资，不得存在苛扣、漏发情况，否则按考核办法扣分罚款。</w:t>
      </w:r>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31、在项目实施过程中，须做好每一次台账记录，按季度汇总交由发包人审查核对备案。</w:t>
      </w:r>
    </w:p>
    <w:p>
      <w:pPr>
        <w:pStyle w:val="28"/>
        <w:snapToGrid w:val="0"/>
        <w:spacing w:before="0" w:beforeLines="0" w:after="0" w:afterLines="0" w:line="500" w:lineRule="exact"/>
        <w:ind w:firstLine="420" w:firstLineChars="200"/>
        <w:outlineLvl w:val="0"/>
        <w:rPr>
          <w:rFonts w:hint="default"/>
          <w:color w:val="auto"/>
          <w:highlight w:val="none"/>
          <w:lang w:val="en-US" w:eastAsia="zh-CN"/>
        </w:rPr>
      </w:pPr>
      <w:r>
        <w:rPr>
          <w:rFonts w:hint="eastAsia" w:ascii="宋体" w:hAnsi="宋体" w:eastAsia="宋体" w:cs="宋体"/>
          <w:bCs/>
          <w:color w:val="auto"/>
          <w:sz w:val="21"/>
          <w:szCs w:val="21"/>
          <w:highlight w:val="none"/>
          <w:lang w:val="en-US" w:eastAsia="zh-CN"/>
        </w:rPr>
        <w:t>32、中标人中标后根据项目实际情况，储备常用的养护相关机械、材料等。</w:t>
      </w:r>
    </w:p>
    <w:p>
      <w:pPr>
        <w:pStyle w:val="28"/>
        <w:snapToGrid w:val="0"/>
        <w:spacing w:before="0" w:beforeLines="0" w:after="0" w:afterLines="0" w:line="500" w:lineRule="exact"/>
        <w:ind w:firstLine="422" w:firstLineChars="200"/>
        <w:outlineLvl w:val="0"/>
        <w:rPr>
          <w:rFonts w:hint="eastAsia" w:ascii="宋体" w:hAnsi="宋体" w:eastAsia="宋体" w:cs="宋体"/>
          <w:b/>
          <w:color w:val="auto"/>
          <w:sz w:val="21"/>
          <w:szCs w:val="21"/>
          <w:highlight w:val="none"/>
        </w:rPr>
      </w:pPr>
      <w:bookmarkStart w:id="2" w:name="_Toc3313"/>
      <w:bookmarkStart w:id="3" w:name="_Toc23319"/>
      <w:r>
        <w:rPr>
          <w:rFonts w:hint="eastAsia" w:hAnsi="宋体" w:cs="宋体"/>
          <w:b/>
          <w:color w:val="auto"/>
          <w:sz w:val="21"/>
          <w:szCs w:val="21"/>
          <w:highlight w:val="none"/>
          <w:lang w:val="en-US" w:eastAsia="zh-CN"/>
        </w:rPr>
        <w:t>四</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商务条款</w:t>
      </w:r>
      <w:bookmarkEnd w:id="2"/>
      <w:bookmarkEnd w:id="3"/>
    </w:p>
    <w:p>
      <w:pPr>
        <w:pStyle w:val="28"/>
        <w:snapToGrid w:val="0"/>
        <w:spacing w:before="0" w:beforeLines="0" w:after="0" w:afterLines="0" w:line="500" w:lineRule="exact"/>
        <w:ind w:firstLine="210" w:firstLineChars="100"/>
        <w:outlineLvl w:val="0"/>
        <w:rPr>
          <w:rFonts w:hint="eastAsia" w:ascii="宋体" w:hAnsi="宋体" w:eastAsia="宋体" w:cs="宋体"/>
          <w:bCs/>
          <w:color w:val="auto"/>
          <w:sz w:val="21"/>
          <w:szCs w:val="21"/>
          <w:highlight w:val="none"/>
          <w:lang w:eastAsia="zh-CN"/>
        </w:rPr>
      </w:pPr>
      <w:bookmarkStart w:id="4" w:name="_Toc1259"/>
      <w:bookmarkStart w:id="5" w:name="_Toc17563"/>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w:t>
      </w:r>
      <w:r>
        <w:rPr>
          <w:rFonts w:hint="eastAsia" w:ascii="宋体" w:hAnsi="宋体" w:eastAsia="宋体" w:cs="宋体"/>
          <w:bCs/>
          <w:color w:val="auto"/>
          <w:sz w:val="21"/>
          <w:szCs w:val="21"/>
          <w:highlight w:val="none"/>
          <w:lang w:eastAsia="zh-CN"/>
        </w:rPr>
        <w:t>限：</w:t>
      </w:r>
      <w:r>
        <w:rPr>
          <w:rFonts w:hint="eastAsia" w:hAnsi="宋体" w:cs="宋体"/>
          <w:b w:val="0"/>
          <w:bCs/>
          <w:color w:val="auto"/>
          <w:sz w:val="21"/>
          <w:szCs w:val="21"/>
          <w:highlight w:val="none"/>
          <w:lang w:eastAsia="zh-CN"/>
        </w:rPr>
        <w:t>自签订合同之日起一年。</w:t>
      </w:r>
      <w:bookmarkEnd w:id="4"/>
      <w:bookmarkEnd w:id="5"/>
    </w:p>
    <w:p>
      <w:pPr>
        <w:pStyle w:val="28"/>
        <w:numPr>
          <w:ilvl w:val="0"/>
          <w:numId w:val="0"/>
        </w:numPr>
        <w:snapToGrid w:val="0"/>
        <w:spacing w:before="0" w:beforeLines="0" w:after="0" w:afterLines="0" w:line="500" w:lineRule="exact"/>
        <w:ind w:firstLine="210" w:firstLineChars="100"/>
        <w:outlineLvl w:val="0"/>
        <w:rPr>
          <w:rFonts w:hint="eastAsia" w:ascii="宋体" w:hAnsi="宋体" w:eastAsia="宋体" w:cs="宋体"/>
          <w:bCs/>
          <w:color w:val="auto"/>
          <w:sz w:val="21"/>
          <w:szCs w:val="21"/>
          <w:highlight w:val="none"/>
          <w:lang w:eastAsia="zh-CN"/>
        </w:rPr>
      </w:pPr>
      <w:bookmarkStart w:id="6" w:name="_Toc17593"/>
      <w:bookmarkStart w:id="7" w:name="_Toc3853"/>
      <w:r>
        <w:rPr>
          <w:rFonts w:hint="eastAsia" w:ascii="宋体" w:hAnsi="宋体" w:eastAsia="宋体" w:cs="宋体"/>
          <w:bCs/>
          <w:color w:val="auto"/>
          <w:sz w:val="21"/>
          <w:szCs w:val="21"/>
          <w:highlight w:val="none"/>
          <w:lang w:eastAsia="zh-CN"/>
        </w:rPr>
        <w:t>（二）履约保证金：</w:t>
      </w:r>
      <w:r>
        <w:rPr>
          <w:rFonts w:hint="eastAsia" w:hAnsi="宋体" w:cs="宋体"/>
          <w:bCs/>
          <w:color w:val="auto"/>
          <w:sz w:val="21"/>
          <w:szCs w:val="21"/>
          <w:highlight w:val="none"/>
          <w:lang w:eastAsia="zh-CN"/>
        </w:rPr>
        <w:t>签订合同价的</w:t>
      </w:r>
      <w:r>
        <w:rPr>
          <w:rFonts w:hint="eastAsia" w:hAnsi="宋体" w:cs="宋体"/>
          <w:bCs/>
          <w:color w:val="auto"/>
          <w:sz w:val="21"/>
          <w:szCs w:val="21"/>
          <w:highlight w:val="none"/>
          <w:lang w:val="en-US" w:eastAsia="zh-CN"/>
        </w:rPr>
        <w:t>2.5%，养护期结束后15日内无息退回</w:t>
      </w:r>
      <w:r>
        <w:rPr>
          <w:rFonts w:hint="eastAsia" w:ascii="宋体" w:hAnsi="宋体" w:eastAsia="宋体" w:cs="宋体"/>
          <w:bCs/>
          <w:color w:val="auto"/>
          <w:sz w:val="21"/>
          <w:szCs w:val="21"/>
          <w:highlight w:val="none"/>
          <w:lang w:eastAsia="zh-CN"/>
        </w:rPr>
        <w:t>。</w:t>
      </w:r>
      <w:bookmarkEnd w:id="6"/>
      <w:bookmarkEnd w:id="7"/>
    </w:p>
    <w:p>
      <w:pPr>
        <w:pStyle w:val="28"/>
        <w:numPr>
          <w:ilvl w:val="0"/>
          <w:numId w:val="0"/>
        </w:numPr>
        <w:snapToGrid w:val="0"/>
        <w:spacing w:before="0" w:beforeLines="0" w:after="0" w:afterLines="0" w:line="500" w:lineRule="exact"/>
        <w:ind w:firstLine="210" w:firstLineChars="100"/>
        <w:outlineLvl w:val="0"/>
        <w:rPr>
          <w:rFonts w:hint="eastAsia" w:ascii="宋体" w:hAnsi="宋体" w:eastAsia="宋体" w:cs="宋体"/>
          <w:bCs/>
          <w:color w:val="auto"/>
          <w:sz w:val="21"/>
          <w:szCs w:val="21"/>
          <w:highlight w:val="none"/>
        </w:rPr>
      </w:pPr>
      <w:bookmarkStart w:id="8" w:name="_Toc31903"/>
      <w:bookmarkStart w:id="9" w:name="_Toc9234"/>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付款方式：</w:t>
      </w:r>
      <w:bookmarkEnd w:id="8"/>
      <w:bookmarkEnd w:id="9"/>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1、政策性条款：</w:t>
      </w:r>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根据浙《江省财政厅关于坚决打赢疫情防控阻击战进一步做好政府采购资金支持企业发展工作的通知》[浙财采监〔2020〕3号]规定：</w:t>
      </w:r>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各采购单位应当在政府采购合同中约定预付款，预付款比例原则上不低于合同金额的40％；项目分年安排预算的，每年预付款比例不低于项目年度计划支付资金额的40％。采购项目实施以人工投入为主的，可适当降低预付款比例，但不得低于10%。与疫情防控有关的采购合同最高预付比例可达100%，切实增强供应商履约能力。在签订合同时，供应商明确表示无需预付款或者主动要求降低预付款比例的，采购单位可不适用前述规定。政府采购工程以及与工程建设有关的货物、服务，采用招标方式采购的，预付款从其相关规定。</w:t>
      </w:r>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（2）、政府采购预付款应在合同生效以及具备实施条件后15日内支付。项目分年安排预算的，第二年预付时间为次年相对应月份，以此类推；当年度预付款尚未扣回的，次年不重复安排。</w:t>
      </w:r>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各采购单位可根据项目特点、供应商信用等情况，决定是否要求供应商提交银行、保险公司等金融机构出具的预付款保函或其他担保措施。疫情期间，对受疫情影响严重的中小微企业应当取消或者减少预付款担保。</w:t>
      </w:r>
    </w:p>
    <w:p>
      <w:pPr>
        <w:pStyle w:val="28"/>
        <w:numPr>
          <w:ilvl w:val="0"/>
          <w:numId w:val="0"/>
        </w:numPr>
        <w:snapToGrid w:val="0"/>
        <w:spacing w:before="0" w:beforeLines="0" w:after="0" w:afterLines="0" w:line="500" w:lineRule="exact"/>
        <w:ind w:firstLine="420" w:firstLineChars="200"/>
        <w:outlineLvl w:val="0"/>
        <w:rPr>
          <w:rFonts w:hint="eastAsia" w:ascii="宋体" w:hAnsi="宋体" w:eastAsia="宋体" w:cs="宋体"/>
          <w:color w:val="auto"/>
          <w:sz w:val="21"/>
          <w:szCs w:val="21"/>
          <w:highlight w:val="none"/>
        </w:rPr>
      </w:pPr>
      <w:bookmarkStart w:id="10" w:name="_Toc26078"/>
      <w:bookmarkStart w:id="11" w:name="_Toc10611"/>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每</w:t>
      </w:r>
      <w:r>
        <w:rPr>
          <w:rFonts w:hint="eastAsia" w:hAnsi="宋体" w:cs="宋体"/>
          <w:color w:val="auto"/>
          <w:sz w:val="21"/>
          <w:szCs w:val="21"/>
          <w:highlight w:val="none"/>
          <w:lang w:val="en-US" w:eastAsia="zh-CN"/>
        </w:rPr>
        <w:t>季度</w:t>
      </w:r>
      <w:r>
        <w:rPr>
          <w:rFonts w:hint="eastAsia" w:ascii="宋体" w:hAnsi="宋体" w:eastAsia="宋体" w:cs="宋体"/>
          <w:color w:val="auto"/>
          <w:sz w:val="21"/>
          <w:szCs w:val="21"/>
          <w:highlight w:val="none"/>
        </w:rPr>
        <w:t>结算一次，按照</w:t>
      </w:r>
      <w:r>
        <w:rPr>
          <w:rFonts w:hint="eastAsia" w:hAnsi="宋体" w:cs="宋体"/>
          <w:color w:val="auto"/>
          <w:sz w:val="21"/>
          <w:szCs w:val="21"/>
          <w:highlight w:val="none"/>
          <w:lang w:eastAsia="zh-CN"/>
        </w:rPr>
        <w:t>实际发生量及</w:t>
      </w:r>
      <w:r>
        <w:rPr>
          <w:rFonts w:hint="eastAsia" w:ascii="宋体" w:hAnsi="宋体" w:eastAsia="宋体" w:cs="宋体"/>
          <w:color w:val="auto"/>
          <w:sz w:val="21"/>
          <w:szCs w:val="21"/>
          <w:highlight w:val="none"/>
        </w:rPr>
        <w:t>实际考核结果扣款后在次月支付费用（须开税务发票）。</w:t>
      </w:r>
      <w:bookmarkEnd w:id="10"/>
      <w:bookmarkEnd w:id="11"/>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12" w:name="_Toc13835"/>
      <w:bookmarkStart w:id="13" w:name="_Toc17445"/>
      <w:r>
        <w:rPr>
          <w:rFonts w:hint="eastAsia" w:ascii="宋体" w:hAnsi="宋体" w:eastAsia="宋体" w:cs="宋体"/>
          <w:bCs/>
          <w:color w:val="auto"/>
          <w:sz w:val="21"/>
          <w:szCs w:val="21"/>
          <w:highlight w:val="none"/>
          <w:lang w:val="en-US" w:eastAsia="zh-CN"/>
        </w:rPr>
        <w:t>十</w:t>
      </w:r>
      <w:r>
        <w:rPr>
          <w:rFonts w:hint="eastAsia" w:ascii="宋体" w:hAnsi="宋体" w:eastAsia="宋体" w:cs="宋体"/>
          <w:bCs/>
          <w:color w:val="auto"/>
          <w:sz w:val="21"/>
          <w:szCs w:val="21"/>
          <w:highlight w:val="none"/>
        </w:rPr>
        <w:t>、考核</w:t>
      </w:r>
      <w:bookmarkEnd w:id="12"/>
      <w:bookmarkEnd w:id="13"/>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14" w:name="_Toc15351"/>
      <w:bookmarkStart w:id="15" w:name="_Toc13502"/>
      <w:r>
        <w:rPr>
          <w:rFonts w:hint="eastAsia" w:ascii="宋体" w:hAnsi="宋体" w:eastAsia="宋体" w:cs="宋体"/>
          <w:bCs/>
          <w:color w:val="auto"/>
          <w:sz w:val="21"/>
          <w:szCs w:val="21"/>
          <w:highlight w:val="none"/>
        </w:rPr>
        <w:t>按招标内容及要求及考核办法执行。</w:t>
      </w:r>
      <w:bookmarkEnd w:id="14"/>
      <w:bookmarkEnd w:id="15"/>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16" w:name="_Toc14410"/>
      <w:bookmarkStart w:id="17" w:name="_Toc7508"/>
      <w:r>
        <w:rPr>
          <w:rFonts w:hint="eastAsia" w:ascii="宋体" w:hAnsi="宋体" w:eastAsia="宋体" w:cs="宋体"/>
          <w:bCs/>
          <w:color w:val="auto"/>
          <w:sz w:val="21"/>
          <w:szCs w:val="21"/>
          <w:highlight w:val="none"/>
          <w:lang w:val="en-US" w:eastAsia="zh-CN"/>
        </w:rPr>
        <w:t>十一</w:t>
      </w:r>
      <w:r>
        <w:rPr>
          <w:rFonts w:hint="eastAsia" w:ascii="宋体" w:hAnsi="宋体" w:eastAsia="宋体" w:cs="宋体"/>
          <w:bCs/>
          <w:color w:val="auto"/>
          <w:sz w:val="21"/>
          <w:szCs w:val="21"/>
          <w:highlight w:val="none"/>
        </w:rPr>
        <w:t>、其他说明</w:t>
      </w:r>
      <w:bookmarkEnd w:id="16"/>
      <w:bookmarkEnd w:id="17"/>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18" w:name="_Toc24158"/>
      <w:bookmarkStart w:id="19" w:name="_Toc9593"/>
      <w:r>
        <w:rPr>
          <w:rFonts w:hint="eastAsia" w:ascii="宋体" w:hAnsi="宋体" w:eastAsia="宋体" w:cs="宋体"/>
          <w:bCs/>
          <w:color w:val="auto"/>
          <w:sz w:val="21"/>
          <w:szCs w:val="21"/>
          <w:highlight w:val="none"/>
        </w:rPr>
        <w:t>1、在中标通知书发出后</w:t>
      </w:r>
      <w:r>
        <w:rPr>
          <w:rFonts w:hint="eastAsia" w:ascii="宋体" w:hAnsi="宋体" w:eastAsia="宋体" w:cs="宋体"/>
          <w:bCs/>
          <w:color w:val="auto"/>
          <w:sz w:val="21"/>
          <w:szCs w:val="21"/>
          <w:highlight w:val="none"/>
          <w:lang w:val="en-US" w:eastAsia="zh-CN"/>
        </w:rPr>
        <w:t>30天内</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凭投标承诺到位</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lang w:val="en-US" w:eastAsia="zh-CN"/>
        </w:rPr>
        <w:t>人员名单和</w:t>
      </w:r>
      <w:r>
        <w:rPr>
          <w:rFonts w:hint="eastAsia" w:ascii="宋体" w:hAnsi="宋体" w:eastAsia="宋体" w:cs="宋体"/>
          <w:bCs/>
          <w:color w:val="auto"/>
          <w:sz w:val="21"/>
          <w:szCs w:val="21"/>
          <w:highlight w:val="none"/>
          <w:lang w:eastAsia="zh-CN"/>
        </w:rPr>
        <w:t>机械设备（</w:t>
      </w:r>
      <w:r>
        <w:rPr>
          <w:rFonts w:hint="eastAsia" w:ascii="宋体" w:hAnsi="宋体" w:eastAsia="宋体" w:cs="宋体"/>
          <w:bCs/>
          <w:color w:val="auto"/>
          <w:sz w:val="21"/>
          <w:szCs w:val="21"/>
          <w:highlight w:val="none"/>
          <w:lang w:val="en-US" w:eastAsia="zh-CN"/>
        </w:rPr>
        <w:t>附自有或租赁相关证明文件</w:t>
      </w:r>
      <w:r>
        <w:rPr>
          <w:rFonts w:hint="eastAsia" w:ascii="宋体" w:hAnsi="宋体" w:eastAsia="宋体" w:cs="宋体"/>
          <w:bCs/>
          <w:color w:val="auto"/>
          <w:sz w:val="21"/>
          <w:szCs w:val="21"/>
          <w:highlight w:val="none"/>
          <w:lang w:eastAsia="zh-CN"/>
        </w:rPr>
        <w:t>）清单与</w:t>
      </w:r>
      <w:r>
        <w:rPr>
          <w:rFonts w:hint="eastAsia" w:ascii="宋体" w:hAnsi="宋体" w:eastAsia="宋体" w:cs="宋体"/>
          <w:bCs/>
          <w:color w:val="auto"/>
          <w:sz w:val="21"/>
          <w:szCs w:val="21"/>
          <w:highlight w:val="none"/>
        </w:rPr>
        <w:t>采购人签订合同，</w:t>
      </w:r>
      <w:r>
        <w:rPr>
          <w:rFonts w:hint="eastAsia" w:ascii="宋体" w:hAnsi="宋体" w:eastAsia="宋体" w:cs="宋体"/>
          <w:bCs/>
          <w:color w:val="auto"/>
          <w:sz w:val="21"/>
          <w:szCs w:val="21"/>
          <w:highlight w:val="none"/>
          <w:lang w:eastAsia="zh-CN"/>
        </w:rPr>
        <w:t>如在规定时间内未提供或提供不全或拒不签合同的，</w:t>
      </w:r>
      <w:r>
        <w:rPr>
          <w:rFonts w:hint="eastAsia" w:ascii="宋体" w:hAnsi="宋体" w:eastAsia="宋体" w:cs="宋体"/>
          <w:bCs/>
          <w:color w:val="auto"/>
          <w:sz w:val="21"/>
          <w:szCs w:val="21"/>
          <w:highlight w:val="none"/>
        </w:rPr>
        <w:t>采购人有权取消</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的中标资格，报财政部门备案后推荐排序居次的中标候选人为</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，或重新招标。</w:t>
      </w:r>
      <w:bookmarkEnd w:id="18"/>
      <w:bookmarkEnd w:id="19"/>
    </w:p>
    <w:p>
      <w:pPr>
        <w:pStyle w:val="28"/>
        <w:snapToGrid w:val="0"/>
        <w:spacing w:before="0" w:beforeLines="0" w:after="0" w:afterLines="0" w:line="500" w:lineRule="exact"/>
        <w:ind w:firstLine="420" w:firstLineChars="200"/>
        <w:outlineLvl w:val="0"/>
        <w:rPr>
          <w:rFonts w:hint="eastAsia" w:ascii="宋体" w:hAnsi="宋体" w:eastAsia="宋体" w:cs="宋体"/>
          <w:bCs/>
          <w:color w:val="auto"/>
          <w:sz w:val="21"/>
          <w:szCs w:val="21"/>
          <w:highlight w:val="none"/>
        </w:rPr>
      </w:pPr>
      <w:bookmarkStart w:id="20" w:name="_Toc21031"/>
      <w:bookmarkStart w:id="21" w:name="_Toc27921"/>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招用工作人员必须按《劳动法》有关规定执行，为工人办理社会保险、职工意外伤害保险等，保障休息休假权利。</w:t>
      </w:r>
      <w:bookmarkEnd w:id="20"/>
      <w:bookmarkEnd w:id="21"/>
      <w:bookmarkStart w:id="22" w:name="_Toc24411"/>
      <w:bookmarkStart w:id="23" w:name="_Toc17657"/>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应将保洁人员的分工情况、作息时间、排班计划等告知采购单位。</w:t>
      </w:r>
      <w:bookmarkEnd w:id="22"/>
      <w:bookmarkEnd w:id="23"/>
      <w:r>
        <w:rPr>
          <w:rFonts w:hint="eastAsia" w:ascii="宋体" w:hAnsi="宋体" w:eastAsia="宋体" w:cs="宋体"/>
          <w:bCs/>
          <w:color w:val="auto"/>
          <w:sz w:val="21"/>
          <w:szCs w:val="21"/>
          <w:highlight w:val="none"/>
        </w:rPr>
        <w:t xml:space="preserve">  </w:t>
      </w:r>
    </w:p>
    <w:p>
      <w:pPr>
        <w:spacing w:line="360" w:lineRule="auto"/>
        <w:rPr>
          <w:rFonts w:hint="eastAsia" w:ascii="宋体" w:hAnsi="宋体" w:eastAsia="宋体" w:cs="宋体"/>
          <w:bCs/>
          <w:color w:val="auto"/>
          <w:sz w:val="21"/>
          <w:szCs w:val="21"/>
          <w:highlight w:val="none"/>
          <w:lang w:eastAsia="zh-CN"/>
        </w:rPr>
        <w:sectPr>
          <w:headerReference r:id="rId3" w:type="default"/>
          <w:footerReference r:id="rId4" w:type="default"/>
          <w:pgSz w:w="11906" w:h="16838"/>
          <w:pgMar w:top="1440" w:right="1289" w:bottom="1440" w:left="1797" w:header="851" w:footer="851" w:gutter="0"/>
          <w:pgBorders>
            <w:top w:val="none" w:sz="0" w:space="0"/>
            <w:left w:val="none" w:sz="0" w:space="0"/>
            <w:bottom w:val="none" w:sz="0" w:space="0"/>
            <w:right w:val="none" w:sz="0" w:space="0"/>
          </w:pgBorders>
          <w:cols w:space="720" w:num="1"/>
          <w:docGrid w:linePitch="312" w:charSpace="0"/>
        </w:sectPr>
      </w:pPr>
    </w:p>
    <w:p>
      <w:pPr>
        <w:pStyle w:val="3"/>
        <w:spacing w:line="24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t>考核办法</w:t>
      </w:r>
    </w:p>
    <w:tbl>
      <w:tblPr>
        <w:tblStyle w:val="50"/>
        <w:tblW w:w="964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373"/>
        <w:gridCol w:w="2813"/>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80" w:type="dxa"/>
            <w:noWrap w:val="0"/>
            <w:vAlign w:val="center"/>
          </w:tcPr>
          <w:p>
            <w:pPr>
              <w:spacing w:line="240" w:lineRule="exact"/>
              <w:jc w:val="center"/>
              <w:rPr>
                <w:rFonts w:hint="eastAsia" w:ascii="宋体" w:hAnsi="宋体" w:eastAsia="宋体" w:cs="宋体"/>
                <w:b/>
                <w:bCs/>
                <w:color w:val="auto"/>
                <w:sz w:val="24"/>
                <w:szCs w:val="32"/>
                <w:highlight w:val="none"/>
              </w:rPr>
            </w:pPr>
            <w:r>
              <w:rPr>
                <w:rFonts w:hint="eastAsia" w:ascii="宋体" w:hAnsi="宋体" w:eastAsia="宋体" w:cs="宋体"/>
                <w:b/>
                <w:color w:val="auto"/>
                <w:sz w:val="18"/>
                <w:szCs w:val="18"/>
                <w:highlight w:val="none"/>
              </w:rPr>
              <w:t>序号</w:t>
            </w:r>
          </w:p>
        </w:tc>
        <w:tc>
          <w:tcPr>
            <w:tcW w:w="1373" w:type="dxa"/>
            <w:noWrap w:val="0"/>
            <w:vAlign w:val="center"/>
          </w:tcPr>
          <w:p>
            <w:pPr>
              <w:spacing w:line="240" w:lineRule="exact"/>
              <w:jc w:val="center"/>
              <w:rPr>
                <w:rFonts w:hint="eastAsia" w:ascii="宋体" w:hAnsi="宋体" w:eastAsia="宋体" w:cs="宋体"/>
                <w:b/>
                <w:bCs/>
                <w:color w:val="auto"/>
                <w:sz w:val="24"/>
                <w:szCs w:val="32"/>
                <w:highlight w:val="none"/>
              </w:rPr>
            </w:pPr>
            <w:r>
              <w:rPr>
                <w:rFonts w:hint="eastAsia" w:ascii="宋体" w:hAnsi="宋体" w:eastAsia="宋体" w:cs="宋体"/>
                <w:b/>
                <w:color w:val="auto"/>
                <w:sz w:val="18"/>
                <w:szCs w:val="18"/>
                <w:highlight w:val="none"/>
              </w:rPr>
              <w:t>考核内容</w:t>
            </w:r>
          </w:p>
        </w:tc>
        <w:tc>
          <w:tcPr>
            <w:tcW w:w="2813" w:type="dxa"/>
            <w:noWrap w:val="0"/>
            <w:vAlign w:val="center"/>
          </w:tcPr>
          <w:p>
            <w:pPr>
              <w:spacing w:line="240" w:lineRule="exact"/>
              <w:jc w:val="center"/>
              <w:rPr>
                <w:rFonts w:hint="eastAsia" w:ascii="宋体" w:hAnsi="宋体" w:eastAsia="宋体" w:cs="宋体"/>
                <w:b/>
                <w:bCs/>
                <w:color w:val="auto"/>
                <w:sz w:val="24"/>
                <w:szCs w:val="32"/>
                <w:highlight w:val="none"/>
              </w:rPr>
            </w:pPr>
            <w:r>
              <w:rPr>
                <w:rFonts w:hint="eastAsia" w:ascii="宋体" w:hAnsi="宋体" w:eastAsia="宋体" w:cs="宋体"/>
                <w:b/>
                <w:color w:val="auto"/>
                <w:sz w:val="18"/>
                <w:szCs w:val="18"/>
                <w:highlight w:val="none"/>
              </w:rPr>
              <w:t>具体要求</w:t>
            </w:r>
          </w:p>
        </w:tc>
        <w:tc>
          <w:tcPr>
            <w:tcW w:w="4774" w:type="dxa"/>
            <w:noWrap w:val="0"/>
            <w:vAlign w:val="center"/>
          </w:tcPr>
          <w:p>
            <w:pPr>
              <w:spacing w:line="240" w:lineRule="exact"/>
              <w:jc w:val="center"/>
              <w:rPr>
                <w:rFonts w:hint="eastAsia" w:ascii="宋体" w:hAnsi="宋体" w:eastAsia="宋体" w:cs="宋体"/>
                <w:b/>
                <w:bCs/>
                <w:color w:val="auto"/>
                <w:sz w:val="24"/>
                <w:szCs w:val="32"/>
                <w:highlight w:val="none"/>
              </w:rPr>
            </w:pPr>
            <w:r>
              <w:rPr>
                <w:rFonts w:hint="eastAsia" w:ascii="宋体" w:hAnsi="宋体" w:eastAsia="宋体" w:cs="宋体"/>
                <w:b/>
                <w:color w:val="auto"/>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80" w:type="dxa"/>
            <w:vMerge w:val="restart"/>
            <w:noWrap w:val="0"/>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373" w:type="dxa"/>
            <w:vMerge w:val="restart"/>
            <w:noWrap w:val="0"/>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台帐资料及安全生产工作</w:t>
            </w:r>
          </w:p>
          <w:p>
            <w:pPr>
              <w:spacing w:line="240" w:lineRule="exact"/>
              <w:jc w:val="center"/>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（20分）</w:t>
            </w: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1、管理制度完善，台账资料齐全。</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台账资料不完善扣0.5-1分。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center"/>
          </w:tcPr>
          <w:p>
            <w:pPr>
              <w:spacing w:line="240" w:lineRule="exact"/>
              <w:jc w:val="center"/>
              <w:rPr>
                <w:rFonts w:hint="eastAsia" w:ascii="宋体" w:hAnsi="宋体" w:eastAsia="宋体" w:cs="宋体"/>
                <w:color w:val="auto"/>
                <w:sz w:val="18"/>
                <w:szCs w:val="18"/>
                <w:highlight w:val="none"/>
              </w:rPr>
            </w:pPr>
          </w:p>
        </w:tc>
        <w:tc>
          <w:tcPr>
            <w:tcW w:w="1373"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2、养护单位每月上报工作安排计划。</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养护单位工作计划不齐全，根据情况扣0.5至1分。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center"/>
          </w:tcPr>
          <w:p>
            <w:pPr>
              <w:spacing w:line="240" w:lineRule="exact"/>
              <w:jc w:val="center"/>
              <w:rPr>
                <w:rFonts w:hint="eastAsia" w:ascii="宋体" w:hAnsi="宋体" w:eastAsia="宋体" w:cs="宋体"/>
                <w:color w:val="auto"/>
                <w:sz w:val="18"/>
                <w:szCs w:val="18"/>
                <w:highlight w:val="none"/>
              </w:rPr>
            </w:pPr>
          </w:p>
        </w:tc>
        <w:tc>
          <w:tcPr>
            <w:tcW w:w="1373"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3、市长电话交办单、数字城管联系单和市民投诉处理单等及时处理。</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接到市长电话交办单、数字城管联系单和市民投诉处理单等4小时未处理，或处理没有结果，发现一次扣0.5-1分。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center"/>
          </w:tcPr>
          <w:p>
            <w:pPr>
              <w:spacing w:line="240" w:lineRule="exact"/>
              <w:jc w:val="center"/>
              <w:rPr>
                <w:rFonts w:hint="eastAsia" w:ascii="宋体" w:hAnsi="宋体" w:eastAsia="宋体" w:cs="宋体"/>
                <w:color w:val="auto"/>
                <w:sz w:val="18"/>
                <w:szCs w:val="18"/>
                <w:highlight w:val="none"/>
              </w:rPr>
            </w:pPr>
          </w:p>
        </w:tc>
        <w:tc>
          <w:tcPr>
            <w:tcW w:w="1373"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4、无安全生产事故，按时做好安全生产教育工作。</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发生安全生产事故，根据情况扣1至5分。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noWrap w:val="0"/>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373" w:type="dxa"/>
            <w:vMerge w:val="restart"/>
            <w:noWrap w:val="0"/>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实地检查</w:t>
            </w:r>
          </w:p>
          <w:p>
            <w:pPr>
              <w:spacing w:line="240" w:lineRule="exact"/>
              <w:jc w:val="center"/>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（50分）</w:t>
            </w: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1.路面平整，交通标记标线规范合理，及时修复道路坑洞，沉降，积水和大面积开裂。</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交通标记标线划放不合理，发现一处扣0.1-0.5分；道路坑洞未及时修复，发现一处扣0.1-0.5分；道路沉降未及时修复，发现一处扣0.1-0.5分；道路积水未及时修复，发现一处扣0.1-0.5分；道路大面积开裂未及时修复，发现一处扣0.1-0.5分；修复质量未到达相关要求和规范，发现一处扣0.1-0.5分；业主方发出整改要求后还未整改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center"/>
          </w:tcPr>
          <w:p>
            <w:pPr>
              <w:spacing w:line="240" w:lineRule="exact"/>
              <w:jc w:val="center"/>
              <w:rPr>
                <w:rFonts w:hint="eastAsia" w:ascii="宋体" w:hAnsi="宋体" w:eastAsia="宋体" w:cs="宋体"/>
                <w:color w:val="auto"/>
                <w:sz w:val="18"/>
                <w:szCs w:val="18"/>
                <w:highlight w:val="none"/>
              </w:rPr>
            </w:pPr>
          </w:p>
        </w:tc>
        <w:tc>
          <w:tcPr>
            <w:tcW w:w="1373"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2.人行道平整无破损，及时修复破损平侧石、树穴石的破损和缺失。</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人行道破损未及时修复，发现一处扣0.1-0.5分；破损平侧石未及时修复，发现一处扣0.1-0.5分；树穴的破损和缺失未及时修复，发现一处扣0.1-0.5分；修复质量未到达相关要求和规范，发现一处扣0.1-0.5分；业主方发出整改要求后还未整改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center"/>
          </w:tcPr>
          <w:p>
            <w:pPr>
              <w:spacing w:line="240" w:lineRule="exact"/>
              <w:jc w:val="center"/>
              <w:rPr>
                <w:rFonts w:hint="eastAsia" w:ascii="宋体" w:hAnsi="宋体" w:eastAsia="宋体" w:cs="宋体"/>
                <w:color w:val="auto"/>
                <w:sz w:val="18"/>
                <w:szCs w:val="18"/>
                <w:highlight w:val="none"/>
              </w:rPr>
            </w:pPr>
          </w:p>
        </w:tc>
        <w:tc>
          <w:tcPr>
            <w:tcW w:w="1373"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3.雨污主井及收集井井圈井盖无大破损，无缺失，及时修复。</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井圈井盖破损未及时修复的，发现一处扣0.1分；井圈井盖缺失，发现一处扣0.5分；修复质量未到达相关要求和规范，发现一处扣0.1-0.5分；业主方发出整改要求后还未整改的，发现一处扣1分。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center"/>
          </w:tcPr>
          <w:p>
            <w:pPr>
              <w:spacing w:line="240" w:lineRule="exact"/>
              <w:jc w:val="center"/>
              <w:rPr>
                <w:rFonts w:hint="eastAsia" w:ascii="宋体" w:hAnsi="宋体" w:eastAsia="宋体" w:cs="宋体"/>
                <w:color w:val="auto"/>
                <w:sz w:val="18"/>
                <w:szCs w:val="18"/>
                <w:highlight w:val="none"/>
              </w:rPr>
            </w:pPr>
          </w:p>
        </w:tc>
        <w:tc>
          <w:tcPr>
            <w:tcW w:w="1373"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4.桥梁维护。保持桥面平整，及时修复裂缝和辅助设施维护。</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裂缝未及时修复，发现一处扣0.1-1分；辅助设施未及时维护，发现一处扣0.2-1分。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center"/>
          </w:tcPr>
          <w:p>
            <w:pPr>
              <w:spacing w:line="240" w:lineRule="exact"/>
              <w:jc w:val="center"/>
              <w:rPr>
                <w:rFonts w:hint="eastAsia" w:ascii="宋体" w:hAnsi="宋体" w:eastAsia="宋体" w:cs="宋体"/>
                <w:color w:val="auto"/>
                <w:sz w:val="18"/>
                <w:szCs w:val="18"/>
                <w:highlight w:val="none"/>
              </w:rPr>
            </w:pPr>
          </w:p>
        </w:tc>
        <w:tc>
          <w:tcPr>
            <w:tcW w:w="1373"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5.环境保护。现场施工产生的各类垃圾清理，造成的绿化破坏及时修复或赔偿。</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各类垃圾未及时清理，绿化破坏未及时修复或赔偿，发现一次扣0.1-0.5分。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center"/>
          </w:tcPr>
          <w:p>
            <w:pPr>
              <w:spacing w:line="240" w:lineRule="exact"/>
              <w:jc w:val="center"/>
              <w:rPr>
                <w:rFonts w:hint="eastAsia" w:ascii="宋体" w:hAnsi="宋体" w:eastAsia="宋体" w:cs="宋体"/>
                <w:color w:val="auto"/>
                <w:sz w:val="18"/>
                <w:szCs w:val="18"/>
                <w:highlight w:val="none"/>
              </w:rPr>
            </w:pPr>
          </w:p>
        </w:tc>
        <w:tc>
          <w:tcPr>
            <w:tcW w:w="1373"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6.管养区域巡查及时，发现问题及时上报并整改。</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日常巡查不到位，发现问题未及时上报并整改，市政设施有明显破损或危险存在，发现一次扣0.1-0.5分；遇灾害性天气，巡查不到位，发现问题未及时上报并整改，市政设施有明显破损或危险存在，发现一处按情况扣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center"/>
          </w:tcPr>
          <w:p>
            <w:pPr>
              <w:spacing w:line="240" w:lineRule="exact"/>
              <w:jc w:val="center"/>
              <w:rPr>
                <w:rFonts w:hint="eastAsia" w:ascii="宋体" w:hAnsi="宋体" w:eastAsia="宋体" w:cs="宋体"/>
                <w:color w:val="auto"/>
                <w:sz w:val="18"/>
                <w:szCs w:val="18"/>
                <w:highlight w:val="none"/>
              </w:rPr>
            </w:pPr>
          </w:p>
        </w:tc>
        <w:tc>
          <w:tcPr>
            <w:tcW w:w="1373"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7.其他设施设置、维修及时。</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未按要求设置、维修或质量存在缺陷，发现一次扣0.1-0.5分；业主方发出整改要求后还未整改的，发现一处扣1分。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0"/>
            <w:vAlign w:val="center"/>
          </w:tcPr>
          <w:p>
            <w:pPr>
              <w:spacing w:line="24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3</w:t>
            </w:r>
          </w:p>
        </w:tc>
        <w:tc>
          <w:tcPr>
            <w:tcW w:w="1373" w:type="dxa"/>
            <w:noWrap w:val="0"/>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小型维修项目进展情况</w:t>
            </w:r>
          </w:p>
          <w:p>
            <w:pPr>
              <w:spacing w:line="240" w:lineRule="exact"/>
              <w:jc w:val="center"/>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（15分）</w:t>
            </w:r>
          </w:p>
        </w:tc>
        <w:tc>
          <w:tcPr>
            <w:tcW w:w="2813"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按照要求及时开展维修项目</w:t>
            </w:r>
            <w:r>
              <w:rPr>
                <w:rFonts w:hint="eastAsia" w:ascii="宋体" w:hAnsi="宋体" w:eastAsia="宋体" w:cs="宋体"/>
                <w:color w:val="auto"/>
                <w:sz w:val="18"/>
                <w:szCs w:val="18"/>
                <w:highlight w:val="none"/>
                <w:shd w:val="clear" w:color="auto" w:fill="FFFFFF"/>
              </w:rPr>
              <w:t>，现场效果</w:t>
            </w:r>
            <w:r>
              <w:rPr>
                <w:rFonts w:hint="eastAsia" w:ascii="宋体" w:hAnsi="宋体" w:eastAsia="宋体" w:cs="宋体"/>
                <w:color w:val="auto"/>
                <w:sz w:val="18"/>
                <w:szCs w:val="18"/>
                <w:highlight w:val="none"/>
              </w:rPr>
              <w:t>明显。</w:t>
            </w:r>
          </w:p>
        </w:tc>
        <w:tc>
          <w:tcPr>
            <w:tcW w:w="4774" w:type="dxa"/>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未提交维修项目清单的扣0.5分；要求维修的项目未及时开展，发现一处扣0.5分；对照维修清单，维修质量明显不达标、维修时间不及时的，发现一处扣0.5-5分。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noWrap w:val="0"/>
            <w:vAlign w:val="center"/>
          </w:tcPr>
          <w:p>
            <w:pPr>
              <w:spacing w:line="24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4</w:t>
            </w:r>
          </w:p>
        </w:tc>
        <w:tc>
          <w:tcPr>
            <w:tcW w:w="1373" w:type="dxa"/>
            <w:vMerge w:val="restart"/>
            <w:noWrap w:val="0"/>
            <w:vAlign w:val="center"/>
          </w:tcPr>
          <w:p>
            <w:pPr>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重点、突击性工作</w:t>
            </w:r>
          </w:p>
          <w:p>
            <w:pPr>
              <w:spacing w:line="240" w:lineRule="exact"/>
              <w:jc w:val="center"/>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（15分）</w:t>
            </w:r>
          </w:p>
        </w:tc>
        <w:tc>
          <w:tcPr>
            <w:tcW w:w="2813" w:type="dxa"/>
            <w:noWrap w:val="0"/>
            <w:vAlign w:val="center"/>
          </w:tcPr>
          <w:p>
            <w:pPr>
              <w:spacing w:line="240" w:lineRule="exac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1、全国文明城市、国家卫生城市等创建及重大活动积极配合；</w:t>
            </w:r>
          </w:p>
        </w:tc>
        <w:tc>
          <w:tcPr>
            <w:tcW w:w="4774" w:type="dxa"/>
            <w:vMerge w:val="restart"/>
            <w:noWrap w:val="0"/>
            <w:vAlign w:val="center"/>
          </w:tcPr>
          <w:p>
            <w:pPr>
              <w:spacing w:line="240" w:lineRule="exact"/>
              <w:jc w:val="lef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因配合不力或处置不当造成影响的，视情况扣1-5分。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1373" w:type="dxa"/>
            <w:vMerge w:val="continue"/>
            <w:noWrap w:val="0"/>
            <w:vAlign w:val="top"/>
          </w:tcPr>
          <w:p>
            <w:pPr>
              <w:spacing w:line="240" w:lineRule="exact"/>
              <w:jc w:val="center"/>
              <w:rPr>
                <w:rFonts w:hint="eastAsia" w:ascii="宋体" w:hAnsi="宋体" w:eastAsia="宋体" w:cs="宋体"/>
                <w:b/>
                <w:bCs/>
                <w:color w:val="auto"/>
                <w:sz w:val="24"/>
                <w:szCs w:val="32"/>
                <w:highlight w:val="none"/>
              </w:rPr>
            </w:pPr>
          </w:p>
        </w:tc>
        <w:tc>
          <w:tcPr>
            <w:tcW w:w="2813" w:type="dxa"/>
            <w:noWrap w:val="0"/>
            <w:vAlign w:val="center"/>
          </w:tcPr>
          <w:p>
            <w:pPr>
              <w:spacing w:line="240" w:lineRule="exact"/>
              <w:rPr>
                <w:rFonts w:hint="eastAsia" w:ascii="宋体" w:hAnsi="宋体" w:eastAsia="宋体" w:cs="宋体"/>
                <w:b/>
                <w:bCs/>
                <w:color w:val="auto"/>
                <w:sz w:val="24"/>
                <w:szCs w:val="32"/>
                <w:highlight w:val="none"/>
              </w:rPr>
            </w:pPr>
            <w:r>
              <w:rPr>
                <w:rFonts w:hint="eastAsia" w:ascii="宋体" w:hAnsi="宋体" w:eastAsia="宋体" w:cs="宋体"/>
                <w:color w:val="auto"/>
                <w:sz w:val="18"/>
                <w:szCs w:val="18"/>
                <w:highlight w:val="none"/>
              </w:rPr>
              <w:t>2、遇台风、暴雨、防汛等灾害性天气及时应急，处置得当。</w:t>
            </w:r>
          </w:p>
        </w:tc>
        <w:tc>
          <w:tcPr>
            <w:tcW w:w="4774" w:type="dxa"/>
            <w:vMerge w:val="continue"/>
            <w:noWrap w:val="0"/>
            <w:vAlign w:val="center"/>
          </w:tcPr>
          <w:p>
            <w:pPr>
              <w:spacing w:line="240" w:lineRule="exact"/>
              <w:jc w:val="left"/>
              <w:rPr>
                <w:rFonts w:hint="eastAsia" w:ascii="宋体" w:hAnsi="宋体" w:eastAsia="宋体" w:cs="宋体"/>
                <w:b/>
                <w:bCs/>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0"/>
            <w:vAlign w:val="top"/>
          </w:tcPr>
          <w:p>
            <w:pPr>
              <w:spacing w:line="24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1373" w:type="dxa"/>
            <w:noWrap w:val="0"/>
            <w:vAlign w:val="top"/>
          </w:tcPr>
          <w:p>
            <w:pPr>
              <w:spacing w:line="24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工资发放</w:t>
            </w:r>
          </w:p>
        </w:tc>
        <w:tc>
          <w:tcPr>
            <w:tcW w:w="2813" w:type="dxa"/>
            <w:noWrap w:val="0"/>
            <w:vAlign w:val="center"/>
          </w:tcPr>
          <w:p>
            <w:pPr>
              <w:spacing w:line="24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未按月足额发放人员工资</w:t>
            </w:r>
          </w:p>
        </w:tc>
        <w:tc>
          <w:tcPr>
            <w:tcW w:w="4774" w:type="dxa"/>
            <w:noWrap w:val="0"/>
            <w:vAlign w:val="center"/>
          </w:tcPr>
          <w:p>
            <w:pPr>
              <w:spacing w:line="2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发现1人/次扣1分，扣完为止。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0"/>
            <w:vAlign w:val="center"/>
          </w:tcPr>
          <w:p>
            <w:pPr>
              <w:spacing w:line="2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1373" w:type="dxa"/>
            <w:noWrap w:val="0"/>
            <w:vAlign w:val="center"/>
          </w:tcPr>
          <w:p>
            <w:pPr>
              <w:spacing w:line="24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上级部门考核</w:t>
            </w:r>
          </w:p>
        </w:tc>
        <w:tc>
          <w:tcPr>
            <w:tcW w:w="2813" w:type="dxa"/>
            <w:noWrap w:val="0"/>
            <w:vAlign w:val="center"/>
          </w:tcPr>
          <w:p>
            <w:pPr>
              <w:spacing w:line="240" w:lineRule="exact"/>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市、区级部门考核</w:t>
            </w:r>
          </w:p>
        </w:tc>
        <w:tc>
          <w:tcPr>
            <w:tcW w:w="4774" w:type="dxa"/>
            <w:noWrap w:val="0"/>
            <w:vAlign w:val="center"/>
          </w:tcPr>
          <w:p>
            <w:pPr>
              <w:spacing w:line="24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市、区级部门对街道辖区范围内巡查、考核发现存在任何相关问题对街道进行处罚、扣分的，再由街道根据1:3比例进行扣分（街道扣1分，养护单位扣3分）；若发生批评、通报批评的则由街道一次性扣20分，并处相应罚款，街道有权解除养护合同。</w:t>
            </w:r>
          </w:p>
        </w:tc>
      </w:tr>
    </w:tbl>
    <w:p>
      <w:pPr>
        <w:spacing w:line="2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考核要求：</w:t>
      </w:r>
    </w:p>
    <w:p>
      <w:pPr>
        <w:spacing w:line="2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1、季度考核结果汇总：每季度</w:t>
      </w:r>
      <w:r>
        <w:rPr>
          <w:rFonts w:hint="eastAsia" w:ascii="宋体" w:hAnsi="宋体" w:eastAsia="宋体" w:cs="宋体"/>
          <w:color w:val="auto"/>
          <w:sz w:val="18"/>
          <w:szCs w:val="18"/>
          <w:highlight w:val="none"/>
          <w:lang w:eastAsia="zh-CN"/>
        </w:rPr>
        <w:t>嘉兴市秀洲区人民政府新城街道办事处</w:t>
      </w:r>
      <w:r>
        <w:rPr>
          <w:rFonts w:hint="eastAsia" w:ascii="宋体" w:hAnsi="宋体" w:eastAsia="宋体" w:cs="宋体"/>
          <w:color w:val="auto"/>
          <w:sz w:val="18"/>
          <w:szCs w:val="18"/>
          <w:highlight w:val="none"/>
        </w:rPr>
        <w:t>根据当季暗查、明查情况进行汇总打分，得出该标段的当季度考核分，考核分与季度养护费挂钩。考核实行百分制。考核分值及评分标准详见</w:t>
      </w:r>
      <w:r>
        <w:rPr>
          <w:rFonts w:hint="eastAsia" w:ascii="宋体" w:hAnsi="宋体" w:eastAsia="宋体" w:cs="宋体"/>
          <w:color w:val="auto"/>
          <w:sz w:val="18"/>
          <w:szCs w:val="18"/>
          <w:highlight w:val="none"/>
          <w:lang w:eastAsia="zh-CN"/>
        </w:rPr>
        <w:t>上表</w:t>
      </w:r>
      <w:r>
        <w:rPr>
          <w:rFonts w:hint="eastAsia" w:ascii="宋体" w:hAnsi="宋体" w:eastAsia="宋体" w:cs="宋体"/>
          <w:color w:val="auto"/>
          <w:sz w:val="18"/>
          <w:szCs w:val="18"/>
          <w:highlight w:val="none"/>
        </w:rPr>
        <w:t>。</w:t>
      </w:r>
    </w:p>
    <w:p>
      <w:pPr>
        <w:spacing w:line="260" w:lineRule="exact"/>
        <w:ind w:firstLine="360" w:firstLineChars="200"/>
        <w:rPr>
          <w:rFonts w:hint="default" w:ascii="宋体" w:hAnsi="宋体" w:eastAsia="宋体" w:cs="宋体"/>
          <w:color w:val="auto"/>
          <w:sz w:val="21"/>
          <w:szCs w:val="21"/>
          <w:highlight w:val="none"/>
          <w:lang w:val="en-US" w:eastAsia="zh-CN"/>
        </w:rPr>
        <w:sectPr>
          <w:headerReference r:id="rId5" w:type="default"/>
          <w:footerReference r:id="rId6" w:type="default"/>
          <w:pgSz w:w="11910" w:h="16840"/>
          <w:pgMar w:top="980" w:right="1200" w:bottom="800" w:left="1080" w:header="857" w:footer="1004"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z w:val="18"/>
          <w:szCs w:val="18"/>
          <w:highlight w:val="none"/>
        </w:rPr>
        <w:t>2、考核结果汇总及运用：根据考核结果，季度考核分得分90分（含）以上为优秀，按实全额核拨养护费；90分以下为不合格，每降低0.1分，当季养护费扣1000元。</w:t>
      </w:r>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第三章 供应商须知</w:t>
      </w:r>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电子交易注意事项</w:t>
      </w:r>
    </w:p>
    <w:p>
      <w:pPr>
        <w:spacing w:line="360" w:lineRule="auto"/>
        <w:ind w:firstLine="210" w:firstLineChars="100"/>
        <w:jc w:val="left"/>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政府采购项目电子交易活动适用《浙江省政府采购项目电子交易管理暂行办法》，现将相关注意事项告知如下：</w:t>
      </w:r>
    </w:p>
    <w:p>
      <w:pPr>
        <w:spacing w:line="360" w:lineRule="auto"/>
        <w:ind w:firstLine="210" w:firstLineChars="1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1.代理机构按照招标文件规定的时间通过电子交易平台组织开标、开启投标文件，所有供应商均应当准时在线参加，直至评审结束。</w:t>
      </w:r>
    </w:p>
    <w:p>
      <w:pPr>
        <w:pStyle w:val="44"/>
        <w:spacing w:beforeAutospacing="0" w:afterAutospacing="0" w:line="360" w:lineRule="auto"/>
        <w:ind w:firstLine="210" w:firstLineChars="10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pPr>
        <w:pStyle w:val="44"/>
        <w:spacing w:beforeAutospacing="0" w:afterAutospacing="0" w:line="360" w:lineRule="auto"/>
        <w:ind w:firstLine="210" w:firstLineChars="10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　3.采购过程中出现以下情形，导致电子交易平台无法正常运行，或者无法保证电子交易的公平、公正和安全时，代理机构可中止电子交易活动：</w:t>
      </w:r>
    </w:p>
    <w:p>
      <w:pPr>
        <w:pStyle w:val="44"/>
        <w:spacing w:beforeAutospacing="0" w:afterAutospacing="0" w:line="360" w:lineRule="auto"/>
        <w:ind w:firstLine="64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（一）电子交易平台发生故障而无法登录访问的； </w:t>
      </w:r>
    </w:p>
    <w:p>
      <w:pPr>
        <w:pStyle w:val="44"/>
        <w:spacing w:beforeAutospacing="0" w:afterAutospacing="0" w:line="360" w:lineRule="auto"/>
        <w:ind w:firstLine="64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（二）电子交易平台应用或数据库出现错误，不能进行正常操作的；</w:t>
      </w:r>
    </w:p>
    <w:p>
      <w:pPr>
        <w:pStyle w:val="44"/>
        <w:spacing w:beforeAutospacing="0" w:afterAutospacing="0" w:line="360" w:lineRule="auto"/>
        <w:ind w:firstLine="64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（三）电子交易平台发现严重安全漏洞，有潜在泄密危险的；</w:t>
      </w:r>
    </w:p>
    <w:p>
      <w:pPr>
        <w:pStyle w:val="44"/>
        <w:spacing w:beforeAutospacing="0" w:afterAutospacing="0" w:line="360" w:lineRule="auto"/>
        <w:ind w:firstLine="64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（四）病毒发作导致不能进行正常操作的； </w:t>
      </w:r>
    </w:p>
    <w:p>
      <w:pPr>
        <w:pStyle w:val="44"/>
        <w:spacing w:beforeAutospacing="0" w:afterAutospacing="0" w:line="360" w:lineRule="auto"/>
        <w:ind w:firstLine="64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（五）其他无法保证电子交易的公平、公正和安全的情况。</w:t>
      </w:r>
    </w:p>
    <w:p>
      <w:pPr>
        <w:pStyle w:val="44"/>
        <w:spacing w:beforeAutospacing="0" w:afterAutospacing="0" w:line="360" w:lineRule="auto"/>
        <w:ind w:firstLine="48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pPr>
        <w:pStyle w:val="44"/>
        <w:spacing w:beforeAutospacing="0" w:afterAutospacing="0" w:line="360" w:lineRule="auto"/>
        <w:ind w:firstLine="480"/>
        <w:rPr>
          <w:rFonts w:asciiTheme="minorEastAsia" w:hAnsiTheme="minorEastAsia" w:eastAsiaTheme="minorEastAsia"/>
          <w:color w:val="auto"/>
          <w:sz w:val="21"/>
          <w:szCs w:val="21"/>
          <w:highlight w:val="none"/>
          <w:shd w:val="clear" w:color="auto" w:fill="FFFFFF"/>
        </w:rPr>
      </w:pPr>
      <w:r>
        <w:rPr>
          <w:rFonts w:hint="eastAsia" w:asciiTheme="minorEastAsia" w:hAnsiTheme="minorEastAsia" w:eastAsiaTheme="minorEastAsia"/>
          <w:color w:val="auto"/>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8"/>
        <w:snapToGrid w:val="0"/>
        <w:spacing w:before="120" w:after="120" w:line="360" w:lineRule="auto"/>
        <w:ind w:firstLine="422" w:firstLineChars="200"/>
        <w:rPr>
          <w:rFonts w:cs="宋体" w:asciiTheme="minorEastAsia" w:hAnsiTheme="minorEastAsia" w:eastAsiaTheme="minorEastAsia"/>
          <w:b/>
          <w:color w:val="auto"/>
          <w:kern w:val="0"/>
          <w:sz w:val="21"/>
          <w:szCs w:val="21"/>
          <w:highlight w:val="none"/>
          <w:shd w:val="clear" w:color="auto" w:fill="FFFFFF"/>
        </w:rPr>
      </w:pPr>
      <w:r>
        <w:rPr>
          <w:rFonts w:hint="eastAsia" w:cs="宋体" w:asciiTheme="minorEastAsia" w:hAnsiTheme="minorEastAsia" w:eastAsiaTheme="minorEastAsia"/>
          <w:b/>
          <w:color w:val="auto"/>
          <w:kern w:val="0"/>
          <w:sz w:val="21"/>
          <w:szCs w:val="21"/>
          <w:highlight w:val="none"/>
          <w:shd w:val="clear" w:color="auto" w:fill="FFFFFF"/>
        </w:rPr>
        <w:t>5.代理机构工作人员通过政采云通知供应商按电子交易项目要求接受询标、宣布开标报价、综合得分、签发中标通知书等事宜</w:t>
      </w:r>
      <w:r>
        <w:rPr>
          <w:rFonts w:hint="eastAsia" w:cs="宋体" w:asciiTheme="minorEastAsia" w:hAnsiTheme="minorEastAsia" w:eastAsiaTheme="minorEastAsia"/>
          <w:color w:val="auto"/>
          <w:kern w:val="0"/>
          <w:sz w:val="21"/>
          <w:szCs w:val="21"/>
          <w:highlight w:val="none"/>
          <w:shd w:val="clear" w:color="auto" w:fill="FFFFFF"/>
        </w:rPr>
        <w:t>。　　　　　</w:t>
      </w:r>
    </w:p>
    <w:p>
      <w:pPr>
        <w:pStyle w:val="48"/>
        <w:ind w:left="0" w:leftChars="0" w:firstLine="0" w:firstLineChars="0"/>
        <w:rPr>
          <w:rFonts w:hint="eastAsia"/>
          <w:color w:val="auto"/>
          <w:highlight w:val="none"/>
        </w:rPr>
        <w:sectPr>
          <w:pgSz w:w="11906" w:h="16838"/>
          <w:pgMar w:top="1440" w:right="1289"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cs="宋体" w:asciiTheme="minorEastAsia" w:hAnsiTheme="minorEastAsia" w:eastAsiaTheme="minorEastAsia"/>
          <w:b/>
          <w:color w:val="auto"/>
          <w:kern w:val="0"/>
          <w:sz w:val="21"/>
          <w:szCs w:val="21"/>
          <w:highlight w:val="none"/>
          <w:shd w:val="clear" w:color="auto" w:fill="FFFFFF"/>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p>
      <w:pPr>
        <w:snapToGrid w:val="0"/>
        <w:spacing w:beforeLines="50" w:afterLines="50" w:line="360" w:lineRule="auto"/>
        <w:outlineLvl w:val="1"/>
        <w:rPr>
          <w:rFonts w:asciiTheme="minorEastAsia" w:hAnsiTheme="minorEastAsia" w:eastAsiaTheme="minorEastAsia"/>
          <w:b/>
          <w:color w:val="auto"/>
          <w:sz w:val="30"/>
          <w:szCs w:val="30"/>
          <w:highlight w:val="none"/>
        </w:rPr>
      </w:pPr>
    </w:p>
    <w:bookmarkEnd w:id="0"/>
    <w:p>
      <w:pPr>
        <w:snapToGrid w:val="0"/>
        <w:spacing w:beforeLines="50" w:afterLines="50" w:line="360" w:lineRule="auto"/>
        <w:ind w:left="238"/>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前附表</w:t>
      </w:r>
    </w:p>
    <w:tbl>
      <w:tblPr>
        <w:tblStyle w:val="49"/>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bCs/>
                <w:color w:val="auto"/>
                <w:szCs w:val="21"/>
                <w:highlight w:val="none"/>
                <w:lang w:eastAsia="zh-CN"/>
              </w:rPr>
              <w:t>新城街道市政设施养护项目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采购内容：</w:t>
            </w:r>
            <w:r>
              <w:rPr>
                <w:rFonts w:asciiTheme="minorEastAsia" w:hAnsiTheme="minorEastAsia" w:eastAsiaTheme="minorEastAsia"/>
                <w:bCs/>
                <w:color w:val="auto"/>
                <w:szCs w:val="21"/>
                <w:highlight w:val="none"/>
              </w:rPr>
              <w:t>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投标报价及费用：</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、本项目投标应以人民币报价；</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现场踏勘：无</w:t>
            </w:r>
            <w:r>
              <w:rPr>
                <w:rFonts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开标时间及地点：</w:t>
            </w:r>
            <w:r>
              <w:rPr>
                <w:rFonts w:hint="eastAsia" w:cs="Arial" w:asciiTheme="minorEastAsia" w:hAnsiTheme="minorEastAsia" w:eastAsiaTheme="minorEastAsia"/>
                <w:b/>
                <w:color w:val="auto"/>
                <w:szCs w:val="21"/>
                <w:highlight w:val="none"/>
                <w:lang w:eastAsia="zh-CN"/>
              </w:rPr>
              <w:t>2022年</w:t>
            </w:r>
            <w:r>
              <w:rPr>
                <w:rFonts w:hint="eastAsia" w:asciiTheme="minorEastAsia" w:hAnsiTheme="minorEastAsia" w:eastAsiaTheme="minorEastAsia"/>
                <w:b/>
                <w:color w:val="auto"/>
                <w:szCs w:val="21"/>
                <w:highlight w:val="none"/>
                <w:shd w:val="clear" w:color="auto" w:fill="FFFFFF"/>
                <w:lang w:val="en-US" w:eastAsia="zh-CN"/>
              </w:rPr>
              <w:t>5</w:t>
            </w:r>
            <w:r>
              <w:rPr>
                <w:rFonts w:hint="eastAsia" w:asciiTheme="minorEastAsia" w:hAnsiTheme="minorEastAsia" w:eastAsiaTheme="minorEastAsia"/>
                <w:b/>
                <w:color w:val="auto"/>
                <w:szCs w:val="21"/>
                <w:highlight w:val="none"/>
                <w:shd w:val="clear" w:color="auto" w:fill="FFFFFF"/>
                <w:lang w:eastAsia="zh-CN"/>
              </w:rPr>
              <w:t>月</w:t>
            </w:r>
            <w:r>
              <w:rPr>
                <w:rFonts w:hint="eastAsia" w:asciiTheme="minorEastAsia" w:hAnsiTheme="minorEastAsia" w:eastAsiaTheme="minorEastAsia"/>
                <w:b/>
                <w:color w:val="auto"/>
                <w:szCs w:val="21"/>
                <w:highlight w:val="none"/>
                <w:shd w:val="clear" w:color="auto" w:fill="FFFFFF"/>
                <w:lang w:val="en-US" w:eastAsia="zh-CN"/>
              </w:rPr>
              <w:t>9</w:t>
            </w:r>
            <w:r>
              <w:rPr>
                <w:rFonts w:hint="eastAsia" w:asciiTheme="minorEastAsia" w:hAnsiTheme="minorEastAsia" w:eastAsiaTheme="minorEastAsia"/>
                <w:b/>
                <w:color w:val="auto"/>
                <w:szCs w:val="21"/>
                <w:highlight w:val="none"/>
                <w:shd w:val="clear" w:color="auto" w:fill="FFFFFF"/>
                <w:lang w:eastAsia="zh-CN"/>
              </w:rPr>
              <w:t>日</w:t>
            </w:r>
            <w:r>
              <w:rPr>
                <w:rFonts w:hint="eastAsia" w:cs="Arial" w:asciiTheme="minorEastAsia" w:hAnsiTheme="minorEastAsia" w:eastAsiaTheme="minorEastAsia"/>
                <w:b/>
                <w:color w:val="auto"/>
                <w:szCs w:val="21"/>
                <w:highlight w:val="none"/>
              </w:rPr>
              <w:t>14</w:t>
            </w:r>
            <w:r>
              <w:rPr>
                <w:rFonts w:cs="Arial" w:asciiTheme="minorEastAsia" w:hAnsiTheme="minorEastAsia" w:eastAsiaTheme="minorEastAsia"/>
                <w:b/>
                <w:color w:val="auto"/>
                <w:szCs w:val="21"/>
                <w:highlight w:val="none"/>
              </w:rPr>
              <w:t>时</w:t>
            </w:r>
            <w:r>
              <w:rPr>
                <w:rFonts w:hint="eastAsia" w:cs="Arial" w:asciiTheme="minorEastAsia" w:hAnsiTheme="minorEastAsia" w:eastAsiaTheme="minorEastAsia"/>
                <w:b/>
                <w:color w:val="auto"/>
                <w:szCs w:val="21"/>
                <w:highlight w:val="none"/>
              </w:rPr>
              <w:t>00</w:t>
            </w:r>
            <w:r>
              <w:rPr>
                <w:rFonts w:cs="Arial" w:asciiTheme="minorEastAsia" w:hAnsiTheme="minorEastAsia" w:eastAsiaTheme="minorEastAsia"/>
                <w:b/>
                <w:color w:val="auto"/>
                <w:szCs w:val="21"/>
                <w:highlight w:val="none"/>
              </w:rPr>
              <w:t>分</w:t>
            </w:r>
            <w:r>
              <w:rPr>
                <w:rFonts w:hint="eastAsia" w:ascii="宋体" w:hAnsi="宋体" w:cs="Arial" w:eastAsiaTheme="minorEastAsia"/>
                <w:color w:val="auto"/>
                <w:szCs w:val="21"/>
                <w:highlight w:val="none"/>
              </w:rPr>
              <w:t>嘉兴市银建工程咨询评估有限公司</w:t>
            </w:r>
            <w:r>
              <w:rPr>
                <w:rFonts w:hint="eastAsia" w:ascii="宋体" w:hAnsi="宋体" w:cs="Arial"/>
                <w:color w:val="auto"/>
                <w:szCs w:val="21"/>
                <w:highlight w:val="none"/>
              </w:rPr>
              <w:t>（嘉兴市洪兴路2399号宝地大厦1506室）</w:t>
            </w:r>
            <w:r>
              <w:rPr>
                <w:rFonts w:hint="eastAsia" w:cs="Arial" w:asciiTheme="minorEastAsia" w:hAnsiTheme="minorEastAsia" w:eastAsiaTheme="minorEastAsia"/>
                <w:color w:val="auto"/>
                <w:szCs w:val="21"/>
                <w:highlight w:val="none"/>
              </w:rPr>
              <w:t>。</w:t>
            </w:r>
            <w:r>
              <w:rPr>
                <w:rFonts w:hint="eastAsia" w:cs="Arial" w:asciiTheme="minorEastAsia" w:hAnsiTheme="minorEastAsia" w:eastAsiaTheme="minorEastAsia"/>
                <w:b/>
                <w:color w:val="auto"/>
                <w:szCs w:val="21"/>
                <w:highlight w:val="none"/>
                <w:u w:val="single"/>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中标公告及中标通知书：中标公告发布于上述媒体，</w:t>
            </w:r>
            <w:r>
              <w:rPr>
                <w:rFonts w:hint="eastAsia" w:cs="宋体" w:asciiTheme="minorEastAsia" w:hAnsiTheme="minorEastAsia" w:eastAsiaTheme="minorEastAsia"/>
                <w:color w:val="auto"/>
                <w:kern w:val="0"/>
                <w:szCs w:val="21"/>
                <w:highlight w:val="none"/>
              </w:rPr>
              <w:t>中标公告期限为1个工作日。在公告中标结果的同时，代理机构向中标人发出中标通知书。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eastAsia="zh-CN"/>
              </w:rPr>
              <w:t>签订合同价的</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签订合同时间：中标通知书发出后10日内。</w:t>
            </w:r>
            <w:r>
              <w:rPr>
                <w:rFonts w:hint="eastAsia" w:cs="宋体" w:asciiTheme="minorEastAsia" w:hAnsiTheme="minorEastAsia" w:eastAsiaTheme="minorEastAsia"/>
                <w:color w:val="auto"/>
                <w:kern w:val="0"/>
                <w:szCs w:val="21"/>
                <w:highlight w:val="none"/>
              </w:rPr>
              <w:t>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合同公告：本项目政府采购合同将于签订之日起2个工作日内发布于上述媒体，但政府采购合同中涉及国家秘密、商业秘密的内容除外。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最高限价：</w:t>
            </w:r>
            <w:r>
              <w:rPr>
                <w:rFonts w:hint="eastAsia" w:asciiTheme="minorEastAsia" w:hAnsiTheme="minorEastAsia" w:eastAsiaTheme="minorEastAsia"/>
                <w:b/>
                <w:color w:val="auto"/>
                <w:szCs w:val="21"/>
                <w:highlight w:val="none"/>
                <w:lang w:val="en-US" w:eastAsia="zh-CN"/>
              </w:rPr>
              <w:t>1396.8680</w:t>
            </w:r>
            <w:r>
              <w:rPr>
                <w:rFonts w:hint="eastAsia" w:asciiTheme="minorEastAsia" w:hAnsiTheme="minorEastAsia" w:eastAsiaTheme="minorEastAsia"/>
                <w:b/>
                <w:color w:val="auto"/>
                <w:szCs w:val="21"/>
                <w:highlight w:val="none"/>
              </w:rPr>
              <w:t>万元， 高于最高限价作废标处理。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投标文件有效期：</w:t>
            </w:r>
            <w:r>
              <w:rPr>
                <w:rFonts w:hint="eastAsia" w:cs="Arial" w:asciiTheme="minorEastAsia" w:hAnsiTheme="minorEastAsia" w:eastAsiaTheme="minorEastAsia"/>
                <w:color w:val="auto"/>
                <w:szCs w:val="21"/>
                <w:highlight w:val="none"/>
                <w:u w:val="single"/>
              </w:rPr>
              <w:t>90</w:t>
            </w:r>
            <w:r>
              <w:rPr>
                <w:rFonts w:hint="eastAsia" w:cs="Arial" w:asciiTheme="minorEastAsia" w:hAnsiTheme="minorEastAsia" w:eastAsiaTheme="minorEastAsia"/>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信用记录：</w:t>
            </w:r>
            <w:r>
              <w:rPr>
                <w:rFonts w:hint="eastAsia" w:cs="Arial" w:asciiTheme="minorEastAsia" w:hAnsiTheme="minorEastAsia" w:eastAsiaTheme="minorEastAsia"/>
                <w:color w:val="auto"/>
                <w:szCs w:val="21"/>
                <w:highlight w:val="none"/>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政府采购节能环保产品：无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解释：本招标文件的解释权属于采购单位。</w:t>
            </w:r>
          </w:p>
        </w:tc>
      </w:tr>
    </w:tbl>
    <w:p>
      <w:pPr>
        <w:snapToGrid w:val="0"/>
        <w:spacing w:beforeLines="50" w:afterLines="50" w:line="360" w:lineRule="auto"/>
        <w:ind w:left="238"/>
        <w:jc w:val="center"/>
        <w:outlineLvl w:val="1"/>
        <w:rPr>
          <w:rFonts w:asciiTheme="minorEastAsia" w:hAnsiTheme="minorEastAsia" w:eastAsiaTheme="minorEastAsia"/>
          <w:b/>
          <w:color w:val="auto"/>
          <w:szCs w:val="21"/>
          <w:highlight w:val="none"/>
        </w:rPr>
      </w:pPr>
    </w:p>
    <w:p>
      <w:pPr>
        <w:snapToGrid w:val="0"/>
        <w:spacing w:beforeLines="50" w:afterLines="50" w:line="360" w:lineRule="auto"/>
        <w:ind w:left="238"/>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一、总  则</w:t>
      </w:r>
    </w:p>
    <w:p>
      <w:pPr>
        <w:snapToGrid w:val="0"/>
        <w:spacing w:line="360" w:lineRule="auto"/>
        <w:ind w:firstLine="413" w:firstLineChars="196"/>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w:t>
      </w:r>
      <w:r>
        <w:rPr>
          <w:rFonts w:asciiTheme="minorEastAsia" w:hAnsiTheme="minorEastAsia" w:eastAsiaTheme="minorEastAsia"/>
          <w:b/>
          <w:color w:val="auto"/>
          <w:szCs w:val="21"/>
          <w:highlight w:val="none"/>
        </w:rPr>
        <w:t xml:space="preserve"> 适用范围</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本招标文件适用于该项目的招标、投标、评标、定标、验收、合同履约、付款等行为（法律、法规另有规定的，从其规定）。</w:t>
      </w:r>
    </w:p>
    <w:p>
      <w:pPr>
        <w:snapToGrid w:val="0"/>
        <w:spacing w:beforeLines="50" w:line="360" w:lineRule="auto"/>
        <w:ind w:firstLine="310" w:firstLineChars="147"/>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（二）定义</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招标采购人系指组织本次招标的</w:t>
      </w:r>
      <w:r>
        <w:rPr>
          <w:rFonts w:hint="eastAsia" w:asciiTheme="minorEastAsia" w:hAnsiTheme="minorEastAsia" w:eastAsiaTheme="minorEastAsia"/>
          <w:color w:val="auto"/>
          <w:szCs w:val="21"/>
          <w:highlight w:val="none"/>
        </w:rPr>
        <w:t>嘉兴市银建工程咨询评估有限公司（“招标人”）</w:t>
      </w:r>
      <w:r>
        <w:rPr>
          <w:rFonts w:asciiTheme="minorEastAsia" w:hAnsiTheme="minorEastAsia" w:eastAsiaTheme="minorEastAsia"/>
          <w:color w:val="auto"/>
          <w:szCs w:val="21"/>
          <w:highlight w:val="none"/>
        </w:rPr>
        <w:t>和采购</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供应商”系指向采购人提交投标文件的单位或个人。</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“服务”系指招标文件规定供应商须承担的安装、调试、技术协助、校准、培训、技术指导以及其他类似的义务。</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“项目”系指供应商按招标文件规定向采购人提供的产品和服务。</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“书面形式”包括信函、传真、电报等。</w:t>
      </w:r>
    </w:p>
    <w:p>
      <w:pPr>
        <w:snapToGrid w:val="0"/>
        <w:spacing w:line="360" w:lineRule="auto"/>
        <w:ind w:left="630" w:leftChars="250" w:hanging="105" w:hangingChars="5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“▲”系指实质性要求条款</w:t>
      </w:r>
      <w:r>
        <w:rPr>
          <w:rFonts w:hint="eastAsia" w:asciiTheme="minorEastAsia" w:hAnsiTheme="minorEastAsia" w:eastAsiaTheme="minorEastAsia"/>
          <w:color w:val="auto"/>
          <w:szCs w:val="21"/>
          <w:highlight w:val="none"/>
        </w:rPr>
        <w:t>，不满足实行性要求条款的投标文件无效。</w:t>
      </w:r>
    </w:p>
    <w:p>
      <w:pPr>
        <w:snapToGrid w:val="0"/>
        <w:spacing w:beforeLines="50" w:line="360" w:lineRule="auto"/>
        <w:ind w:firstLine="413" w:firstLineChars="196"/>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（三）采购方式</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本次招标采用</w:t>
      </w:r>
      <w:r>
        <w:rPr>
          <w:rFonts w:asciiTheme="minorEastAsia" w:hAnsiTheme="minorEastAsia" w:eastAsiaTheme="minorEastAsia"/>
          <w:b/>
          <w:color w:val="auto"/>
          <w:szCs w:val="21"/>
          <w:highlight w:val="none"/>
          <w:u w:val="single"/>
        </w:rPr>
        <w:t>公开</w:t>
      </w:r>
      <w:r>
        <w:rPr>
          <w:rFonts w:hint="eastAsia" w:asciiTheme="minorEastAsia" w:hAnsiTheme="minorEastAsia" w:eastAsiaTheme="minorEastAsia"/>
          <w:b/>
          <w:color w:val="auto"/>
          <w:szCs w:val="21"/>
          <w:highlight w:val="none"/>
          <w:u w:val="single"/>
        </w:rPr>
        <w:t>招标</w:t>
      </w:r>
      <w:r>
        <w:rPr>
          <w:rFonts w:hint="eastAsia" w:asciiTheme="minorEastAsia" w:hAnsiTheme="minorEastAsia" w:eastAsiaTheme="minorEastAsia"/>
          <w:color w:val="auto"/>
          <w:szCs w:val="21"/>
          <w:highlight w:val="none"/>
        </w:rPr>
        <w:t>采购方式</w:t>
      </w:r>
      <w:r>
        <w:rPr>
          <w:rFonts w:asciiTheme="minorEastAsia" w:hAnsiTheme="minorEastAsia" w:eastAsiaTheme="minorEastAsia"/>
          <w:color w:val="auto"/>
          <w:szCs w:val="21"/>
          <w:highlight w:val="none"/>
        </w:rPr>
        <w:t>进行。</w:t>
      </w:r>
    </w:p>
    <w:p>
      <w:pPr>
        <w:snapToGrid w:val="0"/>
        <w:spacing w:beforeLines="50" w:line="360" w:lineRule="auto"/>
        <w:ind w:firstLine="413" w:firstLineChars="196"/>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（四）投标委托</w:t>
      </w:r>
    </w:p>
    <w:p>
      <w:pPr>
        <w:pStyle w:val="22"/>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如供应商代表不是法定代表人，须有法定代表人出具的授权委托书（格式</w:t>
      </w:r>
      <w:r>
        <w:rPr>
          <w:rFonts w:hint="eastAsia" w:asciiTheme="minorEastAsia" w:hAnsiTheme="minorEastAsia" w:eastAsiaTheme="minorEastAsia"/>
          <w:color w:val="auto"/>
          <w:szCs w:val="21"/>
          <w:highlight w:val="none"/>
        </w:rPr>
        <w:t>详</w:t>
      </w:r>
      <w:r>
        <w:rPr>
          <w:rFonts w:asciiTheme="minorEastAsia" w:hAnsiTheme="minorEastAsia" w:eastAsiaTheme="minorEastAsia"/>
          <w:color w:val="auto"/>
          <w:szCs w:val="21"/>
          <w:highlight w:val="none"/>
        </w:rPr>
        <w:t>见第</w:t>
      </w:r>
      <w:r>
        <w:rPr>
          <w:rFonts w:hint="eastAsia" w:asciiTheme="minorEastAsia" w:hAnsiTheme="minorEastAsia" w:eastAsiaTheme="minorEastAsia"/>
          <w:color w:val="auto"/>
          <w:szCs w:val="21"/>
          <w:highlight w:val="none"/>
        </w:rPr>
        <w:t>六章</w:t>
      </w:r>
      <w:r>
        <w:rPr>
          <w:rFonts w:asciiTheme="minorEastAsia" w:hAnsiTheme="minorEastAsia" w:eastAsiaTheme="minorEastAsia"/>
          <w:color w:val="auto"/>
          <w:szCs w:val="21"/>
          <w:highlight w:val="none"/>
        </w:rPr>
        <w:t>）。</w:t>
      </w:r>
    </w:p>
    <w:p>
      <w:pPr>
        <w:snapToGrid w:val="0"/>
        <w:spacing w:beforeLines="50" w:line="360" w:lineRule="auto"/>
        <w:ind w:firstLine="413" w:firstLineChars="196"/>
        <w:jc w:val="left"/>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（五）投标费用</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不论投标结果如何，供应商均应自行承担所有与投标有关的全部费用（招标文件有相反规定除外）。</w:t>
      </w:r>
    </w:p>
    <w:p>
      <w:pPr>
        <w:snapToGrid w:val="0"/>
        <w:spacing w:beforeLines="50" w:line="360" w:lineRule="auto"/>
        <w:ind w:firstLine="413" w:firstLineChars="196"/>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（六）联合体投标</w:t>
      </w:r>
    </w:p>
    <w:p>
      <w:pPr>
        <w:snapToGrid w:val="0"/>
        <w:spacing w:line="360" w:lineRule="auto"/>
        <w:ind w:firstLine="632" w:firstLineChars="300"/>
        <w:jc w:val="left"/>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t>本项目不接受联合体投标。</w:t>
      </w:r>
    </w:p>
    <w:p>
      <w:pPr>
        <w:snapToGrid w:val="0"/>
        <w:spacing w:beforeLines="50" w:line="360" w:lineRule="auto"/>
        <w:ind w:firstLine="413" w:firstLineChars="196"/>
        <w:rPr>
          <w:rFonts w:cs="宋体"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szCs w:val="21"/>
          <w:highlight w:val="none"/>
        </w:rPr>
        <w:t>（七）</w:t>
      </w:r>
      <w:r>
        <w:rPr>
          <w:rFonts w:hint="eastAsia" w:cs="宋体" w:asciiTheme="minorEastAsia" w:hAnsiTheme="minorEastAsia" w:eastAsiaTheme="minorEastAsia"/>
          <w:b/>
          <w:color w:val="auto"/>
          <w:kern w:val="0"/>
          <w:szCs w:val="21"/>
          <w:highlight w:val="none"/>
        </w:rPr>
        <w:t>转包与分包</w:t>
      </w:r>
    </w:p>
    <w:p>
      <w:pPr>
        <w:snapToGrid w:val="0"/>
        <w:spacing w:line="360" w:lineRule="auto"/>
        <w:ind w:firstLine="420" w:firstLineChars="200"/>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 xml:space="preserve"> 本项目不允许转包。</w:t>
      </w:r>
    </w:p>
    <w:p>
      <w:pPr>
        <w:snapToGrid w:val="0"/>
        <w:spacing w:line="360" w:lineRule="auto"/>
        <w:ind w:firstLine="420" w:firstLineChars="200"/>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 xml:space="preserve"> 本项目不可以分包</w:t>
      </w:r>
      <w:r>
        <w:rPr>
          <w:rFonts w:hint="eastAsia" w:cs="宋体" w:asciiTheme="minorEastAsia" w:hAnsiTheme="minorEastAsia" w:eastAsiaTheme="minorEastAsia"/>
          <w:color w:val="auto"/>
          <w:kern w:val="0"/>
          <w:szCs w:val="21"/>
          <w:highlight w:val="none"/>
        </w:rPr>
        <w:t>。</w:t>
      </w:r>
    </w:p>
    <w:p>
      <w:pPr>
        <w:snapToGrid w:val="0"/>
        <w:spacing w:beforeLines="5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（八）是否允许采购进口产品</w:t>
      </w:r>
    </w:p>
    <w:p>
      <w:pPr>
        <w:snapToGrid w:val="0"/>
        <w:spacing w:beforeLines="50" w:line="360" w:lineRule="auto"/>
        <w:ind w:firstLine="411" w:firstLineChars="196"/>
        <w:jc w:val="left"/>
        <w:outlineLvl w:val="1"/>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不</w:t>
      </w:r>
      <w:r>
        <w:rPr>
          <w:rFonts w:cs="宋体" w:asciiTheme="minorEastAsia" w:hAnsiTheme="minorEastAsia" w:eastAsiaTheme="minorEastAsia"/>
          <w:color w:val="auto"/>
          <w:kern w:val="0"/>
          <w:szCs w:val="21"/>
          <w:highlight w:val="none"/>
        </w:rPr>
        <w:t>允许</w:t>
      </w:r>
      <w:r>
        <w:rPr>
          <w:rFonts w:hint="eastAsia" w:cs="宋体" w:asciiTheme="minorEastAsia" w:hAnsiTheme="minorEastAsia" w:eastAsiaTheme="minorEastAsia"/>
          <w:color w:val="auto"/>
          <w:kern w:val="0"/>
          <w:szCs w:val="21"/>
          <w:highlight w:val="none"/>
        </w:rPr>
        <w:t>采购进口产品。</w:t>
      </w:r>
    </w:p>
    <w:p>
      <w:pPr>
        <w:snapToGrid w:val="0"/>
        <w:spacing w:beforeLines="50" w:line="360" w:lineRule="auto"/>
        <w:ind w:firstLine="411" w:firstLineChars="196"/>
        <w:jc w:val="left"/>
        <w:outlineLvl w:val="1"/>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（九）特别说明：</w:t>
      </w:r>
    </w:p>
    <w:p>
      <w:pPr>
        <w:pStyle w:val="28"/>
        <w:snapToGrid w:val="0"/>
        <w:spacing w:beforeLines="0" w:afterLines="0" w:line="360" w:lineRule="auto"/>
        <w:ind w:left="2" w:leftChars="1"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供应商投标所使用的资格、信誉、荣誉、业绩与企业认证必须为本法人所拥有。供应商投标所使用的采购项目实施人员必须为本法人员工（或必须为本法人或控股公司正式员工）。</w:t>
      </w:r>
    </w:p>
    <w:p>
      <w:pPr>
        <w:pStyle w:val="28"/>
        <w:snapToGrid w:val="0"/>
        <w:spacing w:beforeLines="0" w:afterLines="0" w:line="360" w:lineRule="auto"/>
        <w:ind w:left="2" w:leftChars="1"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供应商应仔细阅读招标文件的所有内容，按照招标文件的要求提交投标文件，并对所提供的全部资料的真实性承担法律责任。</w:t>
      </w:r>
    </w:p>
    <w:p>
      <w:pPr>
        <w:pStyle w:val="28"/>
        <w:snapToGrid w:val="0"/>
        <w:spacing w:beforeLines="0" w:afterLines="0" w:line="360" w:lineRule="auto"/>
        <w:ind w:left="2" w:leftChars="1"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供应商在投标活动中提供任何虚假材料,其投标无效，并报监管部门查处；中标后发现的,中标人须依照《中华人民共和国消费者权益保护法》第49条之规定双倍赔偿采购人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且民事赔偿并不免除违法供应商的行政与刑事责任。</w:t>
      </w:r>
    </w:p>
    <w:p>
      <w:pPr>
        <w:pStyle w:val="28"/>
        <w:snapToGrid w:val="0"/>
        <w:spacing w:beforeLines="0" w:afterLines="0" w:line="360" w:lineRule="auto"/>
        <w:ind w:firstLine="413" w:firstLineChars="196"/>
        <w:outlineLvl w:val="1"/>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w:t>
      </w:r>
      <w:r>
        <w:rPr>
          <w:rFonts w:hint="eastAsia" w:asciiTheme="minorEastAsia" w:hAnsiTheme="minorEastAsia" w:eastAsiaTheme="minorEastAsia"/>
          <w:b/>
          <w:bCs/>
          <w:color w:val="auto"/>
          <w:sz w:val="21"/>
          <w:szCs w:val="21"/>
          <w:highlight w:val="none"/>
        </w:rPr>
        <w:t>十</w:t>
      </w:r>
      <w:r>
        <w:rPr>
          <w:rFonts w:asciiTheme="minorEastAsia" w:hAnsiTheme="minorEastAsia" w:eastAsiaTheme="minorEastAsia"/>
          <w:b/>
          <w:bCs/>
          <w:color w:val="auto"/>
          <w:sz w:val="21"/>
          <w:szCs w:val="21"/>
          <w:highlight w:val="none"/>
        </w:rPr>
        <w:t>）质疑和投诉</w:t>
      </w:r>
    </w:p>
    <w:p>
      <w:pPr>
        <w:pStyle w:val="28"/>
        <w:snapToGrid w:val="0"/>
        <w:spacing w:before="120" w:after="12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pPr>
        <w:pStyle w:val="28"/>
        <w:snapToGrid w:val="0"/>
        <w:spacing w:before="120" w:after="12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 供应商须在法定质疑期内一次性提出针对同一采购程序环节的质疑.</w:t>
      </w:r>
    </w:p>
    <w:p>
      <w:pPr>
        <w:pStyle w:val="28"/>
        <w:snapToGrid w:val="0"/>
        <w:spacing w:before="120" w:after="120" w:line="360" w:lineRule="auto"/>
        <w:ind w:firstLine="420" w:firstLineChars="200"/>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3.</w:t>
      </w:r>
      <w:r>
        <w:rPr>
          <w:rFonts w:hint="eastAsia" w:asciiTheme="minorEastAsia" w:hAnsiTheme="minorEastAsia" w:eastAsiaTheme="minorEastAsia"/>
          <w:bCs/>
          <w:color w:val="auto"/>
          <w:sz w:val="21"/>
          <w:szCs w:val="21"/>
          <w:highlight w:val="none"/>
        </w:rPr>
        <w:t xml:space="preserve"> 供应商认为代理机构在质疑答复程序中启用的调查和复评等程序，在该程序操作过程未明显违反法律禁止性规定时，不得提出疑义。</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4</w:t>
      </w:r>
      <w:r>
        <w:rPr>
          <w:rFonts w:hint="eastAsia" w:asciiTheme="minorEastAsia" w:hAnsiTheme="minorEastAsia" w:eastAsiaTheme="minorEastAsia"/>
          <w:bCs/>
          <w:color w:val="auto"/>
          <w:sz w:val="21"/>
          <w:szCs w:val="21"/>
          <w:highlight w:val="none"/>
        </w:rPr>
        <w:t>.质疑和投诉应当满足《政府采购质疑和投诉办法》（中华人民共和国财政部令第94号）要求。</w:t>
      </w:r>
    </w:p>
    <w:p>
      <w:pPr>
        <w:pStyle w:val="28"/>
        <w:snapToGrid w:val="0"/>
        <w:spacing w:before="120" w:after="120" w:line="360" w:lineRule="auto"/>
        <w:ind w:firstLine="413" w:firstLineChars="196"/>
        <w:jc w:val="center"/>
        <w:outlineLvl w:val="0"/>
        <w:rPr>
          <w:rFonts w:asciiTheme="minorEastAsia" w:hAnsiTheme="minorEastAsia" w:eastAsiaTheme="minorEastAsia"/>
          <w:b/>
          <w:color w:val="auto"/>
          <w:sz w:val="21"/>
          <w:szCs w:val="21"/>
          <w:highlight w:val="none"/>
        </w:rPr>
      </w:pPr>
      <w:bookmarkStart w:id="24" w:name="_Toc406402987"/>
      <w:bookmarkStart w:id="25" w:name="_Toc406402943"/>
    </w:p>
    <w:p>
      <w:pPr>
        <w:pStyle w:val="28"/>
        <w:snapToGrid w:val="0"/>
        <w:spacing w:before="120" w:after="120" w:line="360" w:lineRule="auto"/>
        <w:ind w:firstLine="413" w:firstLineChars="196"/>
        <w:jc w:val="center"/>
        <w:outlineLvl w:val="0"/>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二</w:t>
      </w:r>
      <w:r>
        <w:rPr>
          <w:rFonts w:hint="eastAsia" w:asciiTheme="minorEastAsia" w:hAnsiTheme="minorEastAsia" w:eastAsiaTheme="minorEastAsia"/>
          <w:b/>
          <w:color w:val="auto"/>
          <w:sz w:val="21"/>
          <w:szCs w:val="21"/>
          <w:highlight w:val="none"/>
        </w:rPr>
        <w:t>、</w:t>
      </w:r>
      <w:r>
        <w:rPr>
          <w:rFonts w:asciiTheme="minorEastAsia" w:hAnsiTheme="minorEastAsia" w:eastAsiaTheme="minorEastAsia"/>
          <w:b/>
          <w:color w:val="auto"/>
          <w:sz w:val="21"/>
          <w:szCs w:val="21"/>
          <w:highlight w:val="none"/>
        </w:rPr>
        <w:t>招标文件</w:t>
      </w:r>
      <w:bookmarkEnd w:id="24"/>
      <w:bookmarkEnd w:id="25"/>
    </w:p>
    <w:p>
      <w:pPr>
        <w:snapToGrid w:val="0"/>
        <w:spacing w:line="360" w:lineRule="auto"/>
        <w:ind w:firstLine="413" w:firstLineChars="196"/>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（一）招标文件的构成。本招标文件由以下部份组成：</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招标公告</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招标需求</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供应商须知</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评标办法及标准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合同主要条款</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投标文件格式</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7.本项目</w:t>
      </w:r>
      <w:r>
        <w:rPr>
          <w:rFonts w:asciiTheme="minorEastAsia" w:hAnsiTheme="minorEastAsia" w:eastAsiaTheme="minorEastAsia"/>
          <w:color w:val="auto"/>
          <w:szCs w:val="21"/>
          <w:highlight w:val="none"/>
        </w:rPr>
        <w:t>招标文件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澄清、答复、修改、补充的内容</w:t>
      </w:r>
    </w:p>
    <w:p>
      <w:pPr>
        <w:snapToGrid w:val="0"/>
        <w:spacing w:beforeLines="50" w:line="360" w:lineRule="auto"/>
        <w:ind w:firstLine="413" w:firstLineChars="196"/>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（二）供应商的风险</w:t>
      </w:r>
    </w:p>
    <w:p>
      <w:pPr>
        <w:pStyle w:val="40"/>
        <w:spacing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供应商没有按照招标文件要求提供全部资料，或者供应商没有对招标文件在各方面作出实质性响应是供应商的风险，并可能导致其投标为无效标。</w:t>
      </w:r>
    </w:p>
    <w:p>
      <w:pPr>
        <w:pStyle w:val="15"/>
        <w:widowControl w:val="0"/>
        <w:tabs>
          <w:tab w:val="clear" w:pos="454"/>
        </w:tabs>
        <w:snapToGrid w:val="0"/>
        <w:spacing w:beforeLines="50" w:afterLines="0" w:line="360" w:lineRule="auto"/>
        <w:ind w:left="0" w:firstLine="413" w:firstLineChars="196"/>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（三）招标文件的澄清与修改</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bCs/>
          <w:color w:val="auto"/>
          <w:sz w:val="21"/>
          <w:szCs w:val="21"/>
          <w:highlight w:val="none"/>
        </w:rPr>
        <w:t>供应商应认真阅读本招标文件，发现其中有误或有不合理要求的，</w:t>
      </w:r>
      <w:r>
        <w:rPr>
          <w:rFonts w:hint="eastAsia" w:asciiTheme="minorEastAsia" w:hAnsiTheme="minorEastAsia" w:eastAsiaTheme="minorEastAsia"/>
          <w:bCs/>
          <w:color w:val="auto"/>
          <w:sz w:val="21"/>
          <w:szCs w:val="21"/>
          <w:highlight w:val="none"/>
        </w:rPr>
        <w:t>可</w:t>
      </w:r>
      <w:r>
        <w:rPr>
          <w:rFonts w:asciiTheme="minorEastAsia" w:hAnsiTheme="minorEastAsia" w:eastAsiaTheme="minorEastAsia"/>
          <w:bCs/>
          <w:color w:val="auto"/>
          <w:sz w:val="21"/>
          <w:szCs w:val="21"/>
          <w:highlight w:val="none"/>
        </w:rPr>
        <w:t>要求招标采购人澄清</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招标采购人</w:t>
      </w:r>
      <w:r>
        <w:rPr>
          <w:rFonts w:asciiTheme="minorEastAsia" w:hAnsiTheme="minorEastAsia" w:eastAsiaTheme="minorEastAsia"/>
          <w:color w:val="auto"/>
          <w:sz w:val="21"/>
          <w:szCs w:val="21"/>
          <w:highlight w:val="none"/>
        </w:rPr>
        <w:t>对已发出的招标文件进行必要澄清</w:t>
      </w:r>
      <w:r>
        <w:rPr>
          <w:rFonts w:hint="eastAsia" w:asciiTheme="minorEastAsia" w:hAnsiTheme="minorEastAsia" w:eastAsiaTheme="minorEastAsia"/>
          <w:color w:val="auto"/>
          <w:sz w:val="21"/>
          <w:szCs w:val="21"/>
          <w:highlight w:val="none"/>
        </w:rPr>
        <w:t>或者</w:t>
      </w:r>
      <w:r>
        <w:rPr>
          <w:rFonts w:asciiTheme="minorEastAsia" w:hAnsiTheme="minorEastAsia" w:eastAsiaTheme="minorEastAsia"/>
          <w:color w:val="auto"/>
          <w:sz w:val="21"/>
          <w:szCs w:val="21"/>
          <w:highlight w:val="none"/>
        </w:rPr>
        <w:t>修改的，应当在招标文件要求提交投标文件截止</w:t>
      </w:r>
      <w:r>
        <w:rPr>
          <w:rFonts w:hint="eastAsia" w:asciiTheme="minorEastAsia" w:hAnsiTheme="minorEastAsia" w:eastAsiaTheme="minorEastAsia"/>
          <w:color w:val="auto"/>
          <w:sz w:val="21"/>
          <w:szCs w:val="21"/>
          <w:highlight w:val="none"/>
        </w:rPr>
        <w:t>十</w:t>
      </w:r>
      <w:r>
        <w:rPr>
          <w:rFonts w:asciiTheme="minorEastAsia" w:hAnsiTheme="minorEastAsia" w:eastAsiaTheme="minorEastAsia"/>
          <w:color w:val="auto"/>
          <w:sz w:val="21"/>
          <w:szCs w:val="21"/>
          <w:highlight w:val="none"/>
        </w:rPr>
        <w:t>五日前，在财政部门指定的政府采购信息发布媒体上发布更正公告，并以书面形式通知所有招标文件</w:t>
      </w:r>
      <w:r>
        <w:rPr>
          <w:rFonts w:hint="eastAsia" w:asciiTheme="minorEastAsia" w:hAnsiTheme="minorEastAsia" w:eastAsiaTheme="minorEastAsia"/>
          <w:color w:val="auto"/>
          <w:sz w:val="21"/>
          <w:szCs w:val="21"/>
          <w:highlight w:val="none"/>
        </w:rPr>
        <w:t>获取</w:t>
      </w:r>
      <w:r>
        <w:rPr>
          <w:rFonts w:asciiTheme="minorEastAsia" w:hAnsiTheme="minorEastAsia" w:eastAsiaTheme="minorEastAsia"/>
          <w:color w:val="auto"/>
          <w:sz w:val="21"/>
          <w:szCs w:val="21"/>
          <w:highlight w:val="none"/>
        </w:rPr>
        <w:t>人。</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招标文件澄清</w:t>
      </w:r>
      <w:r>
        <w:rPr>
          <w:rFonts w:hint="eastAsia" w:asciiTheme="minorEastAsia" w:hAnsiTheme="minorEastAsia" w:eastAsiaTheme="minorEastAsia"/>
          <w:color w:val="auto"/>
          <w:sz w:val="21"/>
          <w:szCs w:val="21"/>
          <w:highlight w:val="none"/>
        </w:rPr>
        <w:t>或者</w:t>
      </w:r>
      <w:r>
        <w:rPr>
          <w:rFonts w:asciiTheme="minorEastAsia" w:hAnsiTheme="minorEastAsia" w:eastAsiaTheme="minorEastAsia"/>
          <w:color w:val="auto"/>
          <w:sz w:val="21"/>
          <w:szCs w:val="21"/>
          <w:highlight w:val="none"/>
        </w:rPr>
        <w:t>修改的内容为招标文件的组成部分。当招标文件与澄清</w:t>
      </w:r>
      <w:r>
        <w:rPr>
          <w:rFonts w:hint="eastAsia" w:asciiTheme="minorEastAsia" w:hAnsiTheme="minorEastAsia" w:eastAsiaTheme="minorEastAsia"/>
          <w:color w:val="auto"/>
          <w:sz w:val="21"/>
          <w:szCs w:val="21"/>
          <w:highlight w:val="none"/>
        </w:rPr>
        <w:t>或者</w:t>
      </w:r>
      <w:r>
        <w:rPr>
          <w:rFonts w:asciiTheme="minorEastAsia" w:hAnsiTheme="minorEastAsia" w:eastAsiaTheme="minorEastAsia"/>
          <w:color w:val="auto"/>
          <w:sz w:val="21"/>
          <w:szCs w:val="21"/>
          <w:highlight w:val="none"/>
        </w:rPr>
        <w:t>修改就同一内容的表述不一致时，以最后发出的书面文件为准。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3.对</w:t>
      </w:r>
      <w:r>
        <w:rPr>
          <w:rFonts w:asciiTheme="minorEastAsia" w:hAnsiTheme="minorEastAsia" w:eastAsiaTheme="minorEastAsia"/>
          <w:color w:val="auto"/>
          <w:sz w:val="21"/>
          <w:szCs w:val="21"/>
          <w:highlight w:val="none"/>
        </w:rPr>
        <w:t>招标文件的澄清、答复、修改或补充都应该通过</w:t>
      </w:r>
      <w:r>
        <w:rPr>
          <w:rFonts w:hint="eastAsia" w:asciiTheme="minorEastAsia" w:hAnsiTheme="minorEastAsia" w:eastAsiaTheme="minorEastAsia"/>
          <w:color w:val="auto"/>
          <w:sz w:val="21"/>
          <w:szCs w:val="21"/>
          <w:highlight w:val="none"/>
        </w:rPr>
        <w:t>代理机构</w:t>
      </w:r>
      <w:r>
        <w:rPr>
          <w:rFonts w:asciiTheme="minorEastAsia" w:hAnsiTheme="minorEastAsia" w:eastAsiaTheme="minorEastAsia"/>
          <w:color w:val="auto"/>
          <w:sz w:val="21"/>
          <w:szCs w:val="21"/>
          <w:highlight w:val="none"/>
        </w:rPr>
        <w:t>以法定形式发布，采购人非通过本机构，不得擅自澄清、答复、修改或补充招标文件。</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p>
    <w:p>
      <w:pPr>
        <w:pStyle w:val="28"/>
        <w:snapToGrid w:val="0"/>
        <w:spacing w:before="120" w:after="120" w:line="360" w:lineRule="auto"/>
        <w:ind w:firstLine="413" w:firstLineChars="196"/>
        <w:jc w:val="center"/>
        <w:outlineLvl w:val="1"/>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三、投标文件的编制</w:t>
      </w:r>
    </w:p>
    <w:p>
      <w:pPr>
        <w:pStyle w:val="28"/>
        <w:snapToGrid w:val="0"/>
        <w:spacing w:before="120" w:after="120" w:line="360" w:lineRule="auto"/>
        <w:ind w:firstLine="413" w:firstLineChars="196"/>
        <w:outlineLvl w:val="1"/>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本项目所涉投标文件格式请详见第六章，未给出的格式请自拟。资信商务及技术文件中不得出现报价，否则投标文件将被视为无效。</w:t>
      </w:r>
    </w:p>
    <w:p>
      <w:pPr>
        <w:pStyle w:val="28"/>
        <w:snapToGrid w:val="0"/>
        <w:spacing w:before="120" w:after="120" w:line="360" w:lineRule="auto"/>
        <w:ind w:firstLine="413" w:firstLineChars="196"/>
        <w:outlineLvl w:val="1"/>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总体要求</w:t>
      </w:r>
      <w:r>
        <w:rPr>
          <w:rFonts w:asciiTheme="minorEastAsia" w:hAnsiTheme="minorEastAsia" w:eastAsiaTheme="minorEastAsia"/>
          <w:b/>
          <w:color w:val="auto"/>
          <w:sz w:val="21"/>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投标文件及供应商与采购有关的来往通知，函件和文件均应使用中文。</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供应商应按本文件中提供的文件格式、内容和要求制作投标文件。</w:t>
      </w:r>
    </w:p>
    <w:p>
      <w:pPr>
        <w:snapToGrid w:val="0"/>
        <w:spacing w:line="360" w:lineRule="auto"/>
        <w:ind w:firstLine="413" w:firstLineChars="196"/>
        <w:jc w:val="left"/>
        <w:outlineLvl w:val="0"/>
        <w:rPr>
          <w:rFonts w:asciiTheme="minorEastAsia" w:hAnsiTheme="minorEastAsia" w:eastAsiaTheme="minorEastAsia"/>
          <w:b/>
          <w:color w:val="auto"/>
          <w:szCs w:val="21"/>
          <w:highlight w:val="none"/>
        </w:rPr>
      </w:pPr>
      <w:bookmarkStart w:id="26" w:name="_Toc406402944"/>
      <w:bookmarkStart w:id="27" w:name="_Toc406402988"/>
      <w:r>
        <w:rPr>
          <w:rFonts w:hint="eastAsia" w:asciiTheme="minorEastAsia" w:hAnsiTheme="minorEastAsia" w:eastAsiaTheme="minorEastAsia"/>
          <w:b/>
          <w:color w:val="auto"/>
          <w:szCs w:val="21"/>
          <w:highlight w:val="none"/>
        </w:rPr>
        <w:t>（一）投标文件的组成</w:t>
      </w:r>
      <w:bookmarkEnd w:id="26"/>
      <w:bookmarkEnd w:id="27"/>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电子投标文件和备份投标文件均由资信技术文件、商务报价文件两部份组成。投标文件中所须加盖公章部分均采用CA签章。</w:t>
      </w:r>
    </w:p>
    <w:p>
      <w:pPr>
        <w:snapToGrid w:val="0"/>
        <w:spacing w:beforeLines="50"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1、资信文件：</w:t>
      </w:r>
    </w:p>
    <w:p>
      <w:pPr>
        <w:snapToGrid w:val="0"/>
        <w:spacing w:line="360" w:lineRule="auto"/>
        <w:jc w:val="left"/>
        <w:rPr>
          <w:rFonts w:asciiTheme="minorEastAsia" w:hAnsiTheme="minorEastAsia" w:eastAsiaTheme="minorEastAsia"/>
          <w:color w:val="auto"/>
          <w:szCs w:val="21"/>
          <w:highlight w:val="none"/>
        </w:rPr>
      </w:pPr>
      <w:bookmarkStart w:id="28" w:name="_Toc406402989"/>
      <w:bookmarkStart w:id="29" w:name="_Toc406402945"/>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投标声明书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（附件1）</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）法定代表人授权委托书；</w:t>
      </w:r>
      <w:r>
        <w:rPr>
          <w:rFonts w:hint="eastAsia" w:asciiTheme="minorEastAsia" w:hAnsiTheme="minorEastAsia" w:eastAsiaTheme="minorEastAsia"/>
          <w:color w:val="auto"/>
          <w:szCs w:val="21"/>
          <w:highlight w:val="none"/>
        </w:rPr>
        <w:t>（附件2）</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关于资格的声明函；（附件3）</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）投标人基本情况；</w:t>
      </w:r>
      <w:r>
        <w:rPr>
          <w:rFonts w:hint="eastAsia" w:asciiTheme="minorEastAsia" w:hAnsiTheme="minorEastAsia" w:eastAsiaTheme="minorEastAsia"/>
          <w:color w:val="auto"/>
          <w:szCs w:val="21"/>
          <w:highlight w:val="none"/>
        </w:rPr>
        <w:t>（附件4）</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业绩表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（附件5）</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认证证书情况</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（附件6）</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项目组人员配置表（附件7）</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投入设备清单格式；（附件8）</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（9）投标人符合政府采购法第二十二条资格的相关证明文件；</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（10）投标人符合特定条件的相关证明文件；</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（12）中小企业声明函、残疾人福利性单位声明函及其他符合政策性加分条件的承诺函或证明材料。（附件9、10）</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（13）未尽事宜请各供应商按评分细则制作技术部份。</w:t>
      </w:r>
    </w:p>
    <w:p>
      <w:pPr>
        <w:snapToGrid w:val="0"/>
        <w:spacing w:line="360" w:lineRule="auto"/>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技术文件</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eastAsia="zh-CN"/>
        </w:rPr>
        <w:t>投标方案</w:t>
      </w:r>
      <w:r>
        <w:rPr>
          <w:rFonts w:hint="eastAsia" w:asciiTheme="minorEastAsia" w:hAnsiTheme="minorEastAsia" w:eastAsiaTheme="minorEastAsia"/>
          <w:color w:val="auto"/>
          <w:szCs w:val="21"/>
          <w:highlight w:val="none"/>
        </w:rPr>
        <w:t>；（格式自拟）</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（2）服务承诺及质量保障；（格式自拟）</w:t>
      </w:r>
    </w:p>
    <w:p>
      <w:pPr>
        <w:pStyle w:val="48"/>
        <w:ind w:left="0" w:leftChars="0" w:firstLine="0" w:firstLineChars="0"/>
        <w:rPr>
          <w:color w:val="auto"/>
          <w:highlight w:val="none"/>
        </w:rPr>
      </w:pP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3</w:t>
      </w:r>
      <w:r>
        <w:rPr>
          <w:rFonts w:hint="eastAsia" w:asciiTheme="minorEastAsia" w:hAnsiTheme="minorEastAsia"/>
          <w:color w:val="auto"/>
          <w:szCs w:val="21"/>
          <w:highlight w:val="none"/>
        </w:rPr>
        <w:t>）</w:t>
      </w:r>
      <w:r>
        <w:rPr>
          <w:rFonts w:hint="eastAsia" w:asciiTheme="minorEastAsia" w:hAnsiTheme="minorEastAsia"/>
          <w:color w:val="auto"/>
          <w:szCs w:val="21"/>
          <w:highlight w:val="none"/>
          <w:lang w:val="en-US" w:eastAsia="zh-CN"/>
        </w:rPr>
        <w:t>人员配置</w:t>
      </w:r>
      <w:r>
        <w:rPr>
          <w:rFonts w:hint="eastAsia" w:asciiTheme="minorEastAsia" w:hAnsiTheme="minorEastAsia"/>
          <w:color w:val="auto"/>
          <w:szCs w:val="21"/>
          <w:highlight w:val="none"/>
        </w:rPr>
        <w:t>；（格式自拟）</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合理化建议</w:t>
      </w:r>
      <w:r>
        <w:rPr>
          <w:rFonts w:hint="eastAsia" w:asciiTheme="minorEastAsia" w:hAnsiTheme="minorEastAsia" w:eastAsiaTheme="minorEastAsia"/>
          <w:color w:val="auto"/>
          <w:szCs w:val="21"/>
          <w:highlight w:val="none"/>
        </w:rPr>
        <w:t>；（格式自拟）</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）投标人认为有必要提供的声明及文件资料。</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）未尽事宜请各投标人按评分细则制作。</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（注：复印件应加盖投标人公章）</w:t>
      </w:r>
    </w:p>
    <w:p>
      <w:pPr>
        <w:snapToGrid w:val="0"/>
        <w:spacing w:line="360" w:lineRule="auto"/>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w:t>
      </w:r>
      <w:r>
        <w:rPr>
          <w:rFonts w:hint="eastAsia" w:asciiTheme="minorEastAsia" w:hAnsiTheme="minorEastAsia" w:eastAsiaTheme="minorEastAsia"/>
          <w:b/>
          <w:color w:val="auto"/>
          <w:szCs w:val="21"/>
          <w:highlight w:val="none"/>
        </w:rPr>
        <w:t>、商务</w:t>
      </w:r>
      <w:r>
        <w:rPr>
          <w:rFonts w:asciiTheme="minorEastAsia" w:hAnsiTheme="minorEastAsia" w:eastAsiaTheme="minorEastAsia"/>
          <w:b/>
          <w:color w:val="auto"/>
          <w:szCs w:val="21"/>
          <w:highlight w:val="none"/>
        </w:rPr>
        <w:t>报价文件：</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（1）投标函；（附件12）</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）开标一览表；</w:t>
      </w:r>
      <w:r>
        <w:rPr>
          <w:rFonts w:hint="eastAsia" w:asciiTheme="minorEastAsia" w:hAnsiTheme="minorEastAsia" w:eastAsiaTheme="minorEastAsia"/>
          <w:color w:val="auto"/>
          <w:szCs w:val="21"/>
          <w:highlight w:val="none"/>
        </w:rPr>
        <w:t>（附件13）</w:t>
      </w:r>
    </w:p>
    <w:p>
      <w:pPr>
        <w:pStyle w:val="48"/>
        <w:spacing w:line="360" w:lineRule="auto"/>
        <w:ind w:left="0" w:leftChars="0" w:firstLine="0" w:firstLineChars="0"/>
        <w:rPr>
          <w:color w:val="auto"/>
          <w:highlight w:val="none"/>
        </w:rPr>
      </w:pPr>
      <w:r>
        <w:rPr>
          <w:rFonts w:hint="eastAsia"/>
          <w:color w:val="auto"/>
          <w:highlight w:val="none"/>
        </w:rPr>
        <w:t>（3）明细报价表</w:t>
      </w:r>
      <w:r>
        <w:rPr>
          <w:rFonts w:asciiTheme="minorEastAsia" w:hAnsiTheme="minorEastAsia"/>
          <w:color w:val="auto"/>
          <w:szCs w:val="21"/>
          <w:highlight w:val="none"/>
        </w:rPr>
        <w:t>；</w:t>
      </w:r>
      <w:r>
        <w:rPr>
          <w:rFonts w:hint="eastAsia" w:asciiTheme="minorEastAsia" w:hAnsiTheme="minorEastAsia"/>
          <w:color w:val="auto"/>
          <w:szCs w:val="21"/>
          <w:highlight w:val="none"/>
        </w:rPr>
        <w:t>（附件14）</w:t>
      </w:r>
    </w:p>
    <w:p>
      <w:pPr>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针对报价</w:t>
      </w:r>
      <w:r>
        <w:rPr>
          <w:rFonts w:asciiTheme="minorEastAsia" w:hAnsiTheme="minorEastAsia" w:eastAsiaTheme="minorEastAsia"/>
          <w:color w:val="auto"/>
          <w:szCs w:val="21"/>
          <w:highlight w:val="none"/>
        </w:rPr>
        <w:t>需要说明的其他文件和说明</w:t>
      </w:r>
      <w:r>
        <w:rPr>
          <w:rFonts w:hint="eastAsia" w:asciiTheme="minorEastAsia" w:hAnsiTheme="minorEastAsia" w:eastAsiaTheme="minorEastAsia"/>
          <w:color w:val="auto"/>
          <w:szCs w:val="21"/>
          <w:highlight w:val="none"/>
        </w:rPr>
        <w:t>；</w:t>
      </w:r>
    </w:p>
    <w:bookmarkEnd w:id="28"/>
    <w:bookmarkEnd w:id="29"/>
    <w:p>
      <w:pPr>
        <w:snapToGrid w:val="0"/>
        <w:spacing w:line="360" w:lineRule="auto"/>
        <w:jc w:val="left"/>
        <w:rPr>
          <w:rFonts w:asciiTheme="minorEastAsia" w:hAnsiTheme="minorEastAsia" w:eastAsiaTheme="minorEastAsia"/>
          <w:b/>
          <w:color w:val="auto"/>
          <w:szCs w:val="21"/>
          <w:highlight w:val="none"/>
        </w:rPr>
      </w:pPr>
      <w:bookmarkStart w:id="30" w:name="_Toc406402946"/>
      <w:bookmarkStart w:id="31" w:name="_Toc385854100"/>
      <w:bookmarkStart w:id="32" w:name="_Toc406402990"/>
      <w:bookmarkStart w:id="33" w:name="_Toc402963117"/>
      <w:bookmarkStart w:id="34" w:name="_Toc402963084"/>
      <w:bookmarkStart w:id="35" w:name="_Toc385854146"/>
      <w:r>
        <w:rPr>
          <w:rFonts w:asciiTheme="minorEastAsia" w:hAnsiTheme="minorEastAsia" w:eastAsiaTheme="minorEastAsia"/>
          <w:b/>
          <w:color w:val="auto"/>
          <w:szCs w:val="21"/>
          <w:highlight w:val="none"/>
        </w:rPr>
        <w:t>注：</w:t>
      </w:r>
      <w:r>
        <w:rPr>
          <w:rFonts w:hint="eastAsia" w:asciiTheme="minorEastAsia" w:hAnsiTheme="minorEastAsia" w:eastAsiaTheme="minorEastAsia"/>
          <w:b/>
          <w:color w:val="auto"/>
          <w:szCs w:val="21"/>
          <w:highlight w:val="none"/>
        </w:rPr>
        <w:t>1、投标人可根据评分细则按排版自行编制目录。</w:t>
      </w:r>
    </w:p>
    <w:p>
      <w:pPr>
        <w:snapToGrid w:val="0"/>
        <w:spacing w:line="360" w:lineRule="auto"/>
        <w:ind w:firstLine="413" w:firstLineChars="196"/>
        <w:jc w:val="left"/>
        <w:outlineLvl w:val="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（二）投标文件的语言及计量</w:t>
      </w:r>
      <w:bookmarkEnd w:id="30"/>
      <w:bookmarkEnd w:id="31"/>
      <w:bookmarkEnd w:id="32"/>
      <w:bookmarkEnd w:id="33"/>
      <w:bookmarkEnd w:id="34"/>
      <w:bookmarkEnd w:id="35"/>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beforeLines="50" w:line="360" w:lineRule="auto"/>
        <w:ind w:firstLine="413" w:firstLineChars="196"/>
        <w:jc w:val="left"/>
        <w:outlineLvl w:val="0"/>
        <w:rPr>
          <w:rFonts w:asciiTheme="minorEastAsia" w:hAnsiTheme="minorEastAsia" w:eastAsiaTheme="minorEastAsia"/>
          <w:b/>
          <w:color w:val="auto"/>
          <w:szCs w:val="21"/>
          <w:highlight w:val="none"/>
        </w:rPr>
      </w:pPr>
      <w:bookmarkStart w:id="36" w:name="_Toc402963118"/>
      <w:bookmarkStart w:id="37" w:name="_Toc385854101"/>
      <w:bookmarkStart w:id="38" w:name="_Toc406402991"/>
      <w:bookmarkStart w:id="39" w:name="_Toc385854147"/>
      <w:bookmarkStart w:id="40" w:name="_Toc402963085"/>
      <w:bookmarkStart w:id="41" w:name="_Toc406402947"/>
      <w:r>
        <w:rPr>
          <w:rFonts w:hint="eastAsia" w:asciiTheme="minorEastAsia" w:hAnsiTheme="minorEastAsia" w:eastAsiaTheme="minorEastAsia"/>
          <w:b/>
          <w:color w:val="auto"/>
          <w:szCs w:val="21"/>
          <w:highlight w:val="none"/>
        </w:rPr>
        <w:t>（三）投标报价</w:t>
      </w:r>
      <w:bookmarkEnd w:id="36"/>
      <w:bookmarkEnd w:id="37"/>
      <w:bookmarkEnd w:id="38"/>
      <w:bookmarkEnd w:id="39"/>
      <w:bookmarkEnd w:id="40"/>
      <w:bookmarkEnd w:id="41"/>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投标报价应按招标文件中相关附表格式填写。</w:t>
      </w:r>
    </w:p>
    <w:p>
      <w:pPr>
        <w:pStyle w:val="28"/>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投标报价是履行合同的最终价格，应包括货款、标准附件、备品备件、专用工具、包装、运输、装卸、保险、税金、货到就位以及安装、调试、培训、保修</w:t>
      </w:r>
      <w:r>
        <w:rPr>
          <w:rFonts w:hint="eastAsia" w:asciiTheme="minorEastAsia" w:hAnsiTheme="minorEastAsia" w:eastAsiaTheme="minorEastAsia"/>
          <w:color w:val="auto"/>
          <w:sz w:val="21"/>
          <w:szCs w:val="21"/>
          <w:highlight w:val="none"/>
        </w:rPr>
        <w:t>和前期方案编制、招投标、审计</w:t>
      </w:r>
      <w:r>
        <w:rPr>
          <w:rFonts w:asciiTheme="minorEastAsia" w:hAnsiTheme="minorEastAsia" w:eastAsiaTheme="minorEastAsia"/>
          <w:color w:val="auto"/>
          <w:sz w:val="21"/>
          <w:szCs w:val="21"/>
          <w:highlight w:val="none"/>
        </w:rPr>
        <w:t>等一切税金和费用。</w:t>
      </w:r>
    </w:p>
    <w:p>
      <w:pPr>
        <w:tabs>
          <w:tab w:val="left" w:pos="525"/>
        </w:tabs>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pPr>
        <w:pStyle w:val="15"/>
        <w:widowControl w:val="0"/>
        <w:tabs>
          <w:tab w:val="clear" w:pos="454"/>
        </w:tabs>
        <w:snapToGrid w:val="0"/>
        <w:spacing w:beforeLines="50" w:afterLines="0" w:line="360" w:lineRule="auto"/>
        <w:ind w:left="0" w:firstLine="413" w:firstLineChars="196"/>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（四）投标文件的有效期</w:t>
      </w:r>
    </w:p>
    <w:p>
      <w:pPr>
        <w:pStyle w:val="15"/>
        <w:widowControl w:val="0"/>
        <w:tabs>
          <w:tab w:val="left" w:pos="4500"/>
          <w:tab w:val="clear" w:pos="454"/>
        </w:tabs>
        <w:snapToGrid w:val="0"/>
        <w:spacing w:afterLines="0" w:line="360" w:lineRule="auto"/>
        <w:ind w:left="0"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自投标截止日起</w:t>
      </w:r>
      <w:r>
        <w:rPr>
          <w:rFonts w:hint="eastAsia" w:asciiTheme="minorEastAsia" w:hAnsiTheme="minorEastAsia" w:eastAsiaTheme="minorEastAsia"/>
          <w:color w:val="auto"/>
          <w:sz w:val="21"/>
          <w:szCs w:val="21"/>
          <w:highlight w:val="none"/>
          <w:u w:val="single"/>
        </w:rPr>
        <w:t>90</w:t>
      </w:r>
      <w:r>
        <w:rPr>
          <w:rFonts w:asciiTheme="minorEastAsia" w:hAnsiTheme="minorEastAsia" w:eastAsiaTheme="minorEastAsia"/>
          <w:color w:val="auto"/>
          <w:sz w:val="21"/>
          <w:szCs w:val="21"/>
          <w:highlight w:val="none"/>
        </w:rPr>
        <w:t>天投标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应保持有效。有效期</w:t>
      </w:r>
      <w:r>
        <w:rPr>
          <w:rFonts w:hint="eastAsia" w:asciiTheme="minorEastAsia" w:hAnsiTheme="minorEastAsia" w:eastAsiaTheme="minorEastAsia"/>
          <w:color w:val="auto"/>
          <w:sz w:val="21"/>
          <w:szCs w:val="21"/>
          <w:highlight w:val="none"/>
        </w:rPr>
        <w:t>不足</w:t>
      </w:r>
      <w:r>
        <w:rPr>
          <w:rFonts w:asciiTheme="minorEastAsia" w:hAnsiTheme="minorEastAsia" w:eastAsiaTheme="minorEastAsia"/>
          <w:color w:val="auto"/>
          <w:sz w:val="21"/>
          <w:szCs w:val="21"/>
          <w:highlight w:val="none"/>
        </w:rPr>
        <w:t>的投标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将被拒绝。</w:t>
      </w:r>
    </w:p>
    <w:p>
      <w:pPr>
        <w:pStyle w:val="15"/>
        <w:widowControl w:val="0"/>
        <w:tabs>
          <w:tab w:val="clear" w:pos="454"/>
        </w:tabs>
        <w:snapToGrid w:val="0"/>
        <w:spacing w:afterLines="0" w:line="360" w:lineRule="auto"/>
        <w:ind w:left="0"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在特殊情况下，招标人可与供应商协商延长投标书的有效期，这种要求和答复均以书面形式进行。</w:t>
      </w:r>
    </w:p>
    <w:p>
      <w:pPr>
        <w:snapToGrid w:val="0"/>
        <w:spacing w:line="360" w:lineRule="auto"/>
        <w:ind w:firstLine="420" w:firstLineChars="200"/>
        <w:jc w:val="left"/>
        <w:outlineLvl w:val="0"/>
        <w:rPr>
          <w:rFonts w:asciiTheme="minorEastAsia" w:hAnsiTheme="minorEastAsia" w:eastAsiaTheme="minorEastAsia"/>
          <w:b/>
          <w:color w:val="auto"/>
          <w:szCs w:val="21"/>
          <w:highlight w:val="none"/>
        </w:rPr>
      </w:pPr>
      <w:bookmarkStart w:id="42" w:name="_Toc402963086"/>
      <w:bookmarkStart w:id="43" w:name="_Toc402963119"/>
      <w:bookmarkStart w:id="44" w:name="_Toc385854148"/>
      <w:bookmarkStart w:id="45" w:name="_Toc406402948"/>
      <w:bookmarkStart w:id="46" w:name="_Toc406402992"/>
      <w:bookmarkStart w:id="47" w:name="_Toc385854102"/>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供应商可拒绝接受延期要求。同意延长有效期的供应商不能修改投标文件。</w:t>
      </w:r>
      <w:bookmarkEnd w:id="42"/>
      <w:bookmarkEnd w:id="43"/>
      <w:bookmarkEnd w:id="44"/>
      <w:bookmarkEnd w:id="45"/>
      <w:bookmarkEnd w:id="46"/>
      <w:bookmarkEnd w:id="47"/>
    </w:p>
    <w:p>
      <w:pPr>
        <w:snapToGrid w:val="0"/>
        <w:spacing w:line="360" w:lineRule="auto"/>
        <w:ind w:firstLine="420" w:firstLineChars="200"/>
        <w:jc w:val="left"/>
        <w:outlineLvl w:val="0"/>
        <w:rPr>
          <w:rFonts w:asciiTheme="minorEastAsia" w:hAnsiTheme="minorEastAsia" w:eastAsiaTheme="minorEastAsia"/>
          <w:b/>
          <w:color w:val="auto"/>
          <w:szCs w:val="21"/>
          <w:highlight w:val="none"/>
        </w:rPr>
      </w:pPr>
      <w:bookmarkStart w:id="48" w:name="_Toc406402949"/>
      <w:bookmarkStart w:id="49" w:name="_Toc402963087"/>
      <w:bookmarkStart w:id="50" w:name="_Toc385854149"/>
      <w:bookmarkStart w:id="51" w:name="_Toc402963120"/>
      <w:bookmarkStart w:id="52" w:name="_Toc406402993"/>
      <w:bookmarkStart w:id="53" w:name="_Toc385854103"/>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中标人的投标文件自开标之日起至合同履行完毕止均应保持有效。</w:t>
      </w:r>
      <w:bookmarkEnd w:id="48"/>
      <w:bookmarkEnd w:id="49"/>
      <w:bookmarkEnd w:id="50"/>
      <w:bookmarkEnd w:id="51"/>
      <w:bookmarkEnd w:id="52"/>
      <w:bookmarkEnd w:id="53"/>
    </w:p>
    <w:p>
      <w:pPr>
        <w:snapToGrid w:val="0"/>
        <w:spacing w:beforeLines="50" w:line="360" w:lineRule="auto"/>
        <w:ind w:firstLine="413" w:firstLineChars="196"/>
        <w:jc w:val="left"/>
        <w:outlineLvl w:val="0"/>
        <w:rPr>
          <w:rFonts w:asciiTheme="minorEastAsia" w:hAnsiTheme="minorEastAsia" w:eastAsiaTheme="minorEastAsia"/>
          <w:b/>
          <w:color w:val="auto"/>
          <w:szCs w:val="21"/>
          <w:highlight w:val="none"/>
        </w:rPr>
      </w:pPr>
      <w:bookmarkStart w:id="54" w:name="_Toc402963089"/>
      <w:bookmarkStart w:id="55" w:name="_Toc385854151"/>
      <w:bookmarkStart w:id="56" w:name="_Toc385854105"/>
      <w:bookmarkStart w:id="57" w:name="_Toc402963122"/>
      <w:bookmarkStart w:id="58" w:name="_Toc406402951"/>
      <w:bookmarkStart w:id="59" w:name="_Toc406402995"/>
      <w:r>
        <w:rPr>
          <w:rFonts w:hint="eastAsia" w:asciiTheme="minorEastAsia" w:hAnsiTheme="minorEastAsia" w:eastAsiaTheme="minorEastAsia"/>
          <w:b/>
          <w:color w:val="auto"/>
          <w:szCs w:val="21"/>
          <w:highlight w:val="none"/>
        </w:rPr>
        <w:t>（五）投标文件的签署和份数</w:t>
      </w:r>
      <w:bookmarkEnd w:id="54"/>
      <w:bookmarkEnd w:id="55"/>
      <w:bookmarkEnd w:id="56"/>
      <w:bookmarkEnd w:id="57"/>
      <w:bookmarkEnd w:id="58"/>
      <w:bookmarkEnd w:id="59"/>
    </w:p>
    <w:p>
      <w:pPr>
        <w:snapToGrid w:val="0"/>
        <w:spacing w:beforeLines="50" w:line="360" w:lineRule="auto"/>
        <w:ind w:firstLine="411" w:firstLineChars="196"/>
        <w:jc w:val="left"/>
        <w:outlineLvl w:val="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电子投标文件按政采云平台供应商电子招投标操作指南（网址：https://help.zcygov.cn/web/site_2/2018/12-28/2573.html）及本招标文件规定的格式和顺序编制电子投标文件并进行关联定位。</w:t>
      </w:r>
    </w:p>
    <w:p>
      <w:pPr>
        <w:snapToGrid w:val="0"/>
        <w:spacing w:line="360" w:lineRule="auto"/>
        <w:ind w:firstLine="413" w:firstLineChars="196"/>
        <w:outlineLvl w:val="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（六）投标无效的情形</w:t>
      </w:r>
    </w:p>
    <w:p>
      <w:pPr>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实质上没有响应招标文件要求的投标将被视为无效投标。供应商修改、补正投标文件后，不影响评标委员会对其投标文件所作的评价和评分结果。</w:t>
      </w:r>
    </w:p>
    <w:p>
      <w:pPr>
        <w:snapToGrid w:val="0"/>
        <w:spacing w:line="360" w:lineRule="auto"/>
        <w:ind w:firstLine="413" w:firstLineChars="196"/>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电子投标文件解密失败的，且未在规定时间内提交</w:t>
      </w:r>
      <w:r>
        <w:rPr>
          <w:rFonts w:hint="eastAsia" w:asciiTheme="minorEastAsia" w:hAnsiTheme="minorEastAsia" w:eastAsiaTheme="minorEastAsia"/>
          <w:b/>
          <w:color w:val="auto"/>
          <w:szCs w:val="21"/>
          <w:highlight w:val="none"/>
        </w:rPr>
        <w:t>有效</w:t>
      </w:r>
      <w:r>
        <w:rPr>
          <w:rFonts w:asciiTheme="minorEastAsia" w:hAnsiTheme="minorEastAsia" w:eastAsiaTheme="minorEastAsia"/>
          <w:b/>
          <w:color w:val="auto"/>
          <w:szCs w:val="21"/>
          <w:highlight w:val="none"/>
        </w:rPr>
        <w:t>备份投标文件的</w:t>
      </w:r>
      <w:r>
        <w:rPr>
          <w:rFonts w:hint="eastAsia" w:asciiTheme="minorEastAsia" w:hAnsiTheme="minorEastAsia" w:eastAsiaTheme="minorEastAsia"/>
          <w:b/>
          <w:color w:val="auto"/>
          <w:szCs w:val="21"/>
          <w:highlight w:val="none"/>
        </w:rPr>
        <w:t>。</w:t>
      </w:r>
    </w:p>
    <w:p>
      <w:pPr>
        <w:snapToGrid w:val="0"/>
        <w:spacing w:line="360" w:lineRule="auto"/>
        <w:ind w:firstLine="413" w:firstLineChars="196"/>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没有通过资格审查的，</w:t>
      </w:r>
      <w:r>
        <w:rPr>
          <w:rFonts w:asciiTheme="minorEastAsia" w:hAnsiTheme="minorEastAsia" w:eastAsiaTheme="minorEastAsia"/>
          <w:b/>
          <w:color w:val="auto"/>
          <w:szCs w:val="21"/>
          <w:highlight w:val="none"/>
        </w:rPr>
        <w:t>投标文件将被视为无效。</w:t>
      </w:r>
    </w:p>
    <w:p>
      <w:pPr>
        <w:snapToGrid w:val="0"/>
        <w:spacing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在符合性审查和商务评审时，如发现下列情形之一的，投标文件将被视为无效：</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r>
        <w:rPr>
          <w:rFonts w:asciiTheme="minorEastAsia" w:hAnsiTheme="minorEastAsia" w:eastAsiaTheme="minorEastAsia"/>
          <w:bCs/>
          <w:color w:val="auto"/>
          <w:szCs w:val="21"/>
          <w:highlight w:val="none"/>
        </w:rPr>
        <w:t>）电子投标文件未按规定要求提供电子签章的</w:t>
      </w:r>
      <w:r>
        <w:rPr>
          <w:rFonts w:hint="eastAsia" w:asciiTheme="minorEastAsia" w:hAnsiTheme="minorEastAsia" w:eastAsiaTheme="minorEastAsia"/>
          <w:bCs/>
          <w:color w:val="auto"/>
          <w:szCs w:val="21"/>
          <w:highlight w:val="none"/>
        </w:rPr>
        <w:t>；</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（2）在资信商务技术文件中出现报价的；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w:t>
      </w:r>
      <w:r>
        <w:rPr>
          <w:rFonts w:asciiTheme="minorEastAsia" w:hAnsiTheme="minorEastAsia" w:eastAsiaTheme="minorEastAsia"/>
          <w:bCs/>
          <w:color w:val="auto"/>
          <w:szCs w:val="21"/>
          <w:highlight w:val="none"/>
        </w:rPr>
        <w:t>资格证明文件不全的，或者不符合招标文件标明的资格要求的</w:t>
      </w:r>
      <w:r>
        <w:rPr>
          <w:rFonts w:hint="eastAsia" w:asciiTheme="minorEastAsia" w:hAnsiTheme="minorEastAsia" w:eastAsiaTheme="minorEastAsia"/>
          <w:bCs/>
          <w:color w:val="auto"/>
          <w:szCs w:val="21"/>
          <w:highlight w:val="none"/>
        </w:rPr>
        <w:t>；</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w:t>
      </w:r>
      <w:r>
        <w:rPr>
          <w:rFonts w:asciiTheme="minorEastAsia" w:hAnsiTheme="minorEastAsia" w:eastAsiaTheme="minorEastAsia"/>
          <w:bCs/>
          <w:color w:val="auto"/>
          <w:szCs w:val="21"/>
          <w:highlight w:val="none"/>
        </w:rPr>
        <w:t>）投标文件无法定代表人签字</w:t>
      </w:r>
      <w:r>
        <w:rPr>
          <w:rFonts w:hint="eastAsia" w:asciiTheme="minorEastAsia" w:hAnsiTheme="minorEastAsia" w:eastAsiaTheme="minorEastAsia"/>
          <w:bCs/>
          <w:color w:val="auto"/>
          <w:szCs w:val="21"/>
          <w:highlight w:val="none"/>
        </w:rPr>
        <w:t>（或盖章）</w:t>
      </w:r>
      <w:r>
        <w:rPr>
          <w:rFonts w:asciiTheme="minorEastAsia" w:hAnsiTheme="minorEastAsia" w:eastAsiaTheme="minorEastAsia"/>
          <w:bCs/>
          <w:color w:val="auto"/>
          <w:szCs w:val="21"/>
          <w:highlight w:val="none"/>
        </w:rPr>
        <w:t>,或未</w:t>
      </w:r>
      <w:r>
        <w:rPr>
          <w:rFonts w:hint="eastAsia" w:asciiTheme="minorEastAsia" w:hAnsiTheme="minorEastAsia" w:eastAsiaTheme="minorEastAsia"/>
          <w:bCs/>
          <w:color w:val="auto"/>
          <w:szCs w:val="21"/>
          <w:highlight w:val="none"/>
        </w:rPr>
        <w:t>提供法定代表人授权委托书、投标声明书或者填写项目不齐全的；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5</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投标代表人未能出具身份证明或与法定代表人授权委托人身份不符的；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6</w:t>
      </w:r>
      <w:r>
        <w:rPr>
          <w:rFonts w:asciiTheme="minorEastAsia" w:hAnsiTheme="minorEastAsia" w:eastAsiaTheme="minorEastAsia"/>
          <w:bCs/>
          <w:color w:val="auto"/>
          <w:szCs w:val="21"/>
          <w:highlight w:val="none"/>
        </w:rPr>
        <w:t>）投标文件格式不规范、项目不齐全或者内容虚假的；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7</w:t>
      </w:r>
      <w:r>
        <w:rPr>
          <w:rFonts w:asciiTheme="minorEastAsia" w:hAnsiTheme="minorEastAsia" w:eastAsiaTheme="minorEastAsia"/>
          <w:bCs/>
          <w:color w:val="auto"/>
          <w:szCs w:val="21"/>
          <w:highlight w:val="none"/>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bCs/>
          <w:color w:val="auto"/>
          <w:szCs w:val="21"/>
          <w:highlight w:val="none"/>
        </w:rPr>
        <w:t>并</w:t>
      </w:r>
      <w:r>
        <w:rPr>
          <w:rFonts w:asciiTheme="minorEastAsia" w:hAnsiTheme="minorEastAsia" w:eastAsiaTheme="minorEastAsia"/>
          <w:bCs/>
          <w:color w:val="auto"/>
          <w:szCs w:val="21"/>
          <w:highlight w:val="none"/>
        </w:rPr>
        <w:t>允许其当场更正的笔误除外）</w:t>
      </w:r>
      <w:r>
        <w:rPr>
          <w:rFonts w:hint="eastAsia" w:asciiTheme="minorEastAsia" w:hAnsiTheme="minorEastAsia" w:eastAsiaTheme="minorEastAsia"/>
          <w:bCs/>
          <w:color w:val="auto"/>
          <w:szCs w:val="21"/>
          <w:highlight w:val="none"/>
        </w:rPr>
        <w:t>；</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8</w:t>
      </w:r>
      <w:r>
        <w:rPr>
          <w:rFonts w:asciiTheme="minorEastAsia" w:hAnsiTheme="minorEastAsia" w:eastAsiaTheme="minorEastAsia"/>
          <w:bCs/>
          <w:color w:val="auto"/>
          <w:szCs w:val="21"/>
          <w:highlight w:val="none"/>
        </w:rPr>
        <w:t>）投标有效期、交货时间、质保期等商务条款不能满足招标文件要求的；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（9）未实质性</w:t>
      </w:r>
      <w:r>
        <w:rPr>
          <w:rFonts w:asciiTheme="minorEastAsia" w:hAnsiTheme="minorEastAsia" w:eastAsiaTheme="minorEastAsia"/>
          <w:bCs/>
          <w:color w:val="auto"/>
          <w:szCs w:val="21"/>
          <w:highlight w:val="none"/>
        </w:rPr>
        <w:t>响应招标文件要求或者投标文件有招标方不能接受的附加条件的</w:t>
      </w:r>
      <w:r>
        <w:rPr>
          <w:rFonts w:hint="eastAsia" w:asciiTheme="minorEastAsia" w:hAnsiTheme="minorEastAsia" w:eastAsiaTheme="minorEastAsia"/>
          <w:bCs/>
          <w:color w:val="auto"/>
          <w:szCs w:val="21"/>
          <w:highlight w:val="none"/>
        </w:rPr>
        <w:t>；</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（10）不符合本招标文件中的实质性要求条款。</w:t>
      </w:r>
    </w:p>
    <w:p>
      <w:pPr>
        <w:snapToGrid w:val="0"/>
        <w:spacing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在技术评审时，如发现下列情形之一的，投标文件将被视为无效：</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（1）未提供或未如实提供投标货物的技术参数，或者投标文件标明的响应或偏离与事实不符或虚假投标的；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（2）明显不符合招标文件</w:t>
      </w:r>
      <w:r>
        <w:rPr>
          <w:rFonts w:hint="eastAsia" w:asciiTheme="minorEastAsia" w:hAnsiTheme="minorEastAsia" w:eastAsiaTheme="minorEastAsia"/>
          <w:bCs/>
          <w:color w:val="auto"/>
          <w:szCs w:val="21"/>
          <w:highlight w:val="none"/>
        </w:rPr>
        <w:t>要求</w:t>
      </w:r>
      <w:r>
        <w:rPr>
          <w:rFonts w:asciiTheme="minorEastAsia" w:hAnsiTheme="minorEastAsia" w:eastAsiaTheme="minorEastAsia"/>
          <w:bCs/>
          <w:color w:val="auto"/>
          <w:szCs w:val="21"/>
          <w:highlight w:val="none"/>
        </w:rPr>
        <w:t>的规格型号、质量标准，或者</w:t>
      </w:r>
      <w:r>
        <w:rPr>
          <w:rFonts w:hint="eastAsia" w:asciiTheme="minorEastAsia" w:hAnsiTheme="minorEastAsia" w:eastAsiaTheme="minorEastAsia"/>
          <w:bCs/>
          <w:color w:val="auto"/>
          <w:szCs w:val="21"/>
          <w:highlight w:val="none"/>
        </w:rPr>
        <w:t>与</w:t>
      </w:r>
      <w:r>
        <w:rPr>
          <w:rFonts w:asciiTheme="minorEastAsia" w:hAnsiTheme="minorEastAsia" w:eastAsiaTheme="minorEastAsia"/>
          <w:bCs/>
          <w:color w:val="auto"/>
          <w:szCs w:val="21"/>
          <w:highlight w:val="none"/>
        </w:rPr>
        <w:t>招标文件中标“▲”的技术指标、主要功能项目发生实质性偏离的；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3</w:t>
      </w:r>
      <w:r>
        <w:rPr>
          <w:rFonts w:asciiTheme="minorEastAsia" w:hAnsiTheme="minorEastAsia" w:eastAsiaTheme="minorEastAsia"/>
          <w:bCs/>
          <w:color w:val="auto"/>
          <w:szCs w:val="21"/>
          <w:highlight w:val="none"/>
        </w:rPr>
        <w:t>）投标技术方案不明确，存在一个或一个以上备选（替代）投标方案的；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（4）与其他参加本次投标供应商的投标文件（技术文件）的文字表述内容相同连续20行以上或者差错相同2处以上的。</w:t>
      </w:r>
    </w:p>
    <w:p>
      <w:pPr>
        <w:snapToGrid w:val="0"/>
        <w:spacing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r>
        <w:rPr>
          <w:rFonts w:asciiTheme="minorEastAsia" w:hAnsiTheme="minorEastAsia" w:eastAsiaTheme="minorEastAsia"/>
          <w:b/>
          <w:color w:val="auto"/>
          <w:szCs w:val="21"/>
          <w:highlight w:val="none"/>
        </w:rPr>
        <w:t>在报价评审时，如发现下列情形之一的，投标文件将被视为无效：</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（1）未采用人民币报价或者未按照招标文件标明的币种报价的；</w:t>
      </w:r>
    </w:p>
    <w:p>
      <w:pPr>
        <w:snapToGrid w:val="0"/>
        <w:spacing w:line="360" w:lineRule="auto"/>
        <w:ind w:firstLine="411" w:firstLineChars="196"/>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（2）报价超出最高限价</w:t>
      </w:r>
      <w:r>
        <w:rPr>
          <w:rFonts w:hint="eastAsia" w:asciiTheme="minorEastAsia" w:hAnsiTheme="minorEastAsia" w:eastAsiaTheme="minorEastAsia"/>
          <w:bCs/>
          <w:color w:val="auto"/>
          <w:szCs w:val="21"/>
          <w:highlight w:val="none"/>
        </w:rPr>
        <w:t>；</w:t>
      </w:r>
    </w:p>
    <w:p>
      <w:pPr>
        <w:snapToGrid w:val="0"/>
        <w:spacing w:line="360" w:lineRule="auto"/>
        <w:ind w:firstLine="411" w:firstLineChars="19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 xml:space="preserve">（3）投标报价具有选择性，或者开标价格与投标文件承诺的优惠（折扣）价格不一致的。 </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 xml:space="preserve">（4） 投标报价明细表总额与开标一览表总价不一致，且高于总价5％的。 </w:t>
      </w:r>
    </w:p>
    <w:p>
      <w:pPr>
        <w:snapToGrid w:val="0"/>
        <w:spacing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w:t>
      </w:r>
      <w:r>
        <w:rPr>
          <w:rFonts w:asciiTheme="minorEastAsia" w:hAnsiTheme="minorEastAsia" w:eastAsiaTheme="minorEastAsia"/>
          <w:b/>
          <w:color w:val="auto"/>
          <w:szCs w:val="21"/>
          <w:highlight w:val="none"/>
        </w:rPr>
        <w:t>被拒绝的投标文件为无效。</w:t>
      </w:r>
    </w:p>
    <w:p>
      <w:pPr>
        <w:pStyle w:val="22"/>
        <w:snapToGrid w:val="0"/>
        <w:spacing w:line="360" w:lineRule="auto"/>
        <w:ind w:firstLine="413" w:firstLineChars="196"/>
        <w:rPr>
          <w:rFonts w:asciiTheme="minorEastAsia" w:hAnsiTheme="minorEastAsia" w:eastAsiaTheme="minorEastAsia"/>
          <w:b/>
          <w:snapToGrid w:val="0"/>
          <w:color w:val="auto"/>
          <w:szCs w:val="21"/>
          <w:highlight w:val="none"/>
        </w:rPr>
      </w:pPr>
    </w:p>
    <w:p>
      <w:pPr>
        <w:pStyle w:val="22"/>
        <w:snapToGrid w:val="0"/>
        <w:spacing w:line="360" w:lineRule="auto"/>
        <w:ind w:firstLine="413" w:firstLineChars="196"/>
        <w:jc w:val="center"/>
        <w:outlineLvl w:val="1"/>
        <w:rPr>
          <w:rFonts w:asciiTheme="minorEastAsia" w:hAnsiTheme="minorEastAsia" w:eastAsiaTheme="minorEastAsia"/>
          <w:b/>
          <w:snapToGrid w:val="0"/>
          <w:color w:val="auto"/>
          <w:szCs w:val="21"/>
          <w:highlight w:val="none"/>
        </w:rPr>
      </w:pPr>
      <w:r>
        <w:rPr>
          <w:rFonts w:hint="eastAsia" w:asciiTheme="minorEastAsia" w:hAnsiTheme="minorEastAsia" w:eastAsiaTheme="minorEastAsia"/>
          <w:b/>
          <w:color w:val="auto"/>
          <w:szCs w:val="21"/>
          <w:highlight w:val="none"/>
        </w:rPr>
        <w:t>四、开标</w:t>
      </w:r>
    </w:p>
    <w:p>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1、本项目实行电子开评标，供应商无需到开标现场，但须准时在线参加，直至评审结束。</w:t>
      </w:r>
    </w:p>
    <w:p>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2、电子开评标及评审程序</w:t>
      </w:r>
    </w:p>
    <w:p>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2.1投标截止时间后的半小时内，由各供应商自行对电子投标文件进行解密（请各供应商务必在规定时间内完成电子投标文件的解密工作。 </w:t>
      </w:r>
    </w:p>
    <w:p>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2.2.采购人或代理机构对供应商的资格审查文件进行</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评标委员会对供应商的资信商务及技术响应文件进行评审；</w:t>
      </w:r>
    </w:p>
    <w:p>
      <w:pPr>
        <w:pStyle w:val="22"/>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2.3评标委员会对报价文件进行评审；</w:t>
      </w:r>
    </w:p>
    <w:p>
      <w:pPr>
        <w:pStyle w:val="22"/>
        <w:snapToGrid w:val="0"/>
        <w:spacing w:line="360" w:lineRule="auto"/>
        <w:ind w:firstLine="411" w:firstLineChars="196"/>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w:t>
      </w:r>
      <w:r>
        <w:rPr>
          <w:rFonts w:hint="eastAsia" w:asciiTheme="minorEastAsia" w:hAnsiTheme="minorEastAsia" w:eastAsiaTheme="minorEastAsia"/>
          <w:color w:val="auto"/>
          <w:szCs w:val="21"/>
          <w:highlight w:val="none"/>
        </w:rPr>
        <w:t>评标委员会</w:t>
      </w:r>
      <w:r>
        <w:rPr>
          <w:rFonts w:asciiTheme="minorEastAsia" w:hAnsiTheme="minorEastAsia" w:eastAsiaTheme="minorEastAsia"/>
          <w:color w:val="auto"/>
          <w:szCs w:val="21"/>
          <w:highlight w:val="none"/>
        </w:rPr>
        <w:t>撰写评审报告，推荐中标候选人。</w:t>
      </w:r>
    </w:p>
    <w:p>
      <w:pPr>
        <w:pStyle w:val="28"/>
        <w:snapToGrid w:val="0"/>
        <w:spacing w:beforeLines="0" w:afterLines="0" w:line="360" w:lineRule="auto"/>
        <w:ind w:left="772" w:leftChars="267" w:hanging="211" w:hangingChars="100"/>
        <w:jc w:val="center"/>
        <w:outlineLvl w:val="1"/>
        <w:rPr>
          <w:rFonts w:asciiTheme="minorEastAsia" w:hAnsiTheme="minorEastAsia" w:eastAsiaTheme="minorEastAsia"/>
          <w:b/>
          <w:color w:val="auto"/>
          <w:sz w:val="21"/>
          <w:szCs w:val="21"/>
          <w:highlight w:val="none"/>
        </w:rPr>
      </w:pPr>
    </w:p>
    <w:p>
      <w:pPr>
        <w:pStyle w:val="28"/>
        <w:snapToGrid w:val="0"/>
        <w:spacing w:beforeLines="0" w:afterLines="0" w:line="360" w:lineRule="auto"/>
        <w:ind w:left="772" w:leftChars="267" w:hanging="211" w:hangingChars="100"/>
        <w:jc w:val="center"/>
        <w:outlineLvl w:val="1"/>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五、评标</w:t>
      </w:r>
    </w:p>
    <w:p>
      <w:pPr>
        <w:pStyle w:val="28"/>
        <w:snapToGrid w:val="0"/>
        <w:spacing w:beforeLines="0" w:afterLines="0" w:line="360" w:lineRule="auto"/>
        <w:ind w:left="690" w:leftChars="228" w:hanging="211" w:hangingChars="100"/>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（一）组建评标委员会</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评标委员会由采购人代表和评审专家组成，</w:t>
      </w:r>
      <w:r>
        <w:rPr>
          <w:rFonts w:asciiTheme="minorEastAsia" w:hAnsiTheme="minorEastAsia" w:eastAsiaTheme="minorEastAsia"/>
          <w:color w:val="auto"/>
          <w:sz w:val="21"/>
          <w:szCs w:val="21"/>
          <w:highlight w:val="none"/>
        </w:rPr>
        <w:t>政府采购评审专家</w:t>
      </w:r>
      <w:r>
        <w:rPr>
          <w:rFonts w:asciiTheme="minorEastAsia" w:hAnsiTheme="minorEastAsia" w:eastAsiaTheme="minorEastAsia"/>
          <w:color w:val="auto"/>
          <w:sz w:val="21"/>
          <w:szCs w:val="21"/>
          <w:highlight w:val="none"/>
          <w:u w:val="single"/>
        </w:rPr>
        <w:t>4</w:t>
      </w:r>
      <w:r>
        <w:rPr>
          <w:rFonts w:asciiTheme="minorEastAsia" w:hAnsiTheme="minorEastAsia" w:eastAsiaTheme="minorEastAsia"/>
          <w:color w:val="auto"/>
          <w:sz w:val="21"/>
          <w:szCs w:val="21"/>
          <w:highlight w:val="none"/>
        </w:rPr>
        <w:t>人和采购人代表</w:t>
      </w:r>
      <w:r>
        <w:rPr>
          <w:rFonts w:asciiTheme="minorEastAsia" w:hAnsiTheme="minorEastAsia" w:eastAsiaTheme="minorEastAsia"/>
          <w:color w:val="auto"/>
          <w:sz w:val="21"/>
          <w:szCs w:val="21"/>
          <w:highlight w:val="none"/>
          <w:u w:val="single"/>
        </w:rPr>
        <w:t>1</w:t>
      </w:r>
      <w:r>
        <w:rPr>
          <w:rFonts w:asciiTheme="minorEastAsia" w:hAnsiTheme="minorEastAsia" w:eastAsiaTheme="minorEastAsia"/>
          <w:color w:val="auto"/>
          <w:sz w:val="21"/>
          <w:szCs w:val="21"/>
          <w:highlight w:val="none"/>
        </w:rPr>
        <w:t>人,共</w:t>
      </w:r>
      <w:r>
        <w:rPr>
          <w:rFonts w:asciiTheme="minorEastAsia" w:hAnsiTheme="minorEastAsia" w:eastAsiaTheme="minorEastAsia"/>
          <w:color w:val="auto"/>
          <w:sz w:val="21"/>
          <w:szCs w:val="21"/>
          <w:highlight w:val="none"/>
          <w:u w:val="single"/>
        </w:rPr>
        <w:t xml:space="preserve"> 5</w:t>
      </w:r>
      <w:r>
        <w:rPr>
          <w:rFonts w:asciiTheme="minorEastAsia" w:hAnsiTheme="minorEastAsia" w:eastAsiaTheme="minorEastAsia"/>
          <w:color w:val="auto"/>
          <w:sz w:val="21"/>
          <w:szCs w:val="21"/>
          <w:highlight w:val="none"/>
        </w:rPr>
        <w:t>人组成。</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评标委员会负责具体评标事务，并独立履行下列职责：</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1、审查、评价投标文件是否符合招标文件的商务、技术等实质性要求;</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2、要求供应商对投标文件有关事项作出澄清或者说明;</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3、对投标文件进行比较和评价;</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4、确定中标候选人名单，以及根据采购人委托直接确定中标人;</w:t>
      </w:r>
    </w:p>
    <w:p>
      <w:pPr>
        <w:widowControl/>
        <w:shd w:val="clear" w:color="auto" w:fill="FFFFFF"/>
        <w:spacing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5、向采购人、代理机构或者有关部门报告评标中发现的违法行为。</w:t>
      </w:r>
    </w:p>
    <w:p>
      <w:pPr>
        <w:widowControl/>
        <w:shd w:val="clear" w:color="auto" w:fill="FFFFFF"/>
        <w:spacing w:line="360" w:lineRule="auto"/>
        <w:ind w:firstLine="422" w:firstLineChars="200"/>
        <w:jc w:val="left"/>
        <w:rPr>
          <w:rFonts w:cs="宋体" w:asciiTheme="minorEastAsia" w:hAnsiTheme="minorEastAsia" w:eastAsiaTheme="minorEastAsia"/>
          <w:b/>
          <w:color w:val="auto"/>
          <w:kern w:val="0"/>
          <w:szCs w:val="21"/>
          <w:highlight w:val="none"/>
          <w:u w:val="single"/>
        </w:rPr>
      </w:pPr>
      <w:r>
        <w:rPr>
          <w:rFonts w:hint="eastAsia" w:cs="宋体" w:asciiTheme="minorEastAsia" w:hAnsiTheme="minorEastAsia" w:eastAsiaTheme="minorEastAsia"/>
          <w:b/>
          <w:color w:val="auto"/>
          <w:kern w:val="0"/>
          <w:szCs w:val="21"/>
          <w:highlight w:val="none"/>
          <w:u w:val="single"/>
        </w:rPr>
        <w:t>除采购人代表、评标现场组织人员外，采购人的其他工作人员以及与评标工作无关的人员不得进入评标现场。</w:t>
      </w:r>
    </w:p>
    <w:p>
      <w:pPr>
        <w:pStyle w:val="28"/>
        <w:snapToGrid w:val="0"/>
        <w:spacing w:beforeLines="0" w:afterLines="0" w:line="360" w:lineRule="auto"/>
        <w:ind w:left="690" w:leftChars="228" w:hanging="211" w:hangingChars="100"/>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（二）评标的方式</w:t>
      </w:r>
    </w:p>
    <w:p>
      <w:pPr>
        <w:pStyle w:val="28"/>
        <w:snapToGrid w:val="0"/>
        <w:spacing w:beforeLines="0" w:afterLines="0" w:line="360" w:lineRule="auto"/>
        <w:ind w:left="689" w:leftChars="228" w:hanging="210" w:hanging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本项目采用不公开方式评标，评标的依据为招标文件和投标文件。</w:t>
      </w:r>
    </w:p>
    <w:p>
      <w:pPr>
        <w:pStyle w:val="28"/>
        <w:snapToGrid w:val="0"/>
        <w:spacing w:beforeLines="0" w:afterLines="0" w:line="360" w:lineRule="auto"/>
        <w:ind w:left="690" w:leftChars="228" w:hanging="211" w:hangingChars="100"/>
        <w:rPr>
          <w:rFonts w:asciiTheme="minorEastAsia" w:hAnsiTheme="minorEastAsia" w:eastAsiaTheme="minorEastAsia"/>
          <w:b/>
          <w:bCs/>
          <w:color w:val="auto"/>
          <w:sz w:val="21"/>
          <w:szCs w:val="21"/>
          <w:highlight w:val="none"/>
        </w:rPr>
      </w:pPr>
      <w:r>
        <w:rPr>
          <w:rFonts w:asciiTheme="minorEastAsia" w:hAnsiTheme="minorEastAsia" w:eastAsiaTheme="minorEastAsia"/>
          <w:b/>
          <w:color w:val="auto"/>
          <w:sz w:val="21"/>
          <w:szCs w:val="21"/>
          <w:highlight w:val="none"/>
        </w:rPr>
        <w:t>（三）</w:t>
      </w:r>
      <w:r>
        <w:rPr>
          <w:rFonts w:asciiTheme="minorEastAsia" w:hAnsiTheme="minorEastAsia" w:eastAsiaTheme="minorEastAsia"/>
          <w:b/>
          <w:bCs/>
          <w:color w:val="auto"/>
          <w:sz w:val="21"/>
          <w:szCs w:val="21"/>
          <w:highlight w:val="none"/>
        </w:rPr>
        <w:t>评标程序</w:t>
      </w:r>
    </w:p>
    <w:p>
      <w:pPr>
        <w:pStyle w:val="28"/>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采购人可以在评标前说明项目背景和采购需求，说明内容不得含有歧视性、倾向性意见，不得超出招标文件所述范围。说明应当提交书面材料，并随招标文件一并存档。</w:t>
      </w:r>
    </w:p>
    <w:p>
      <w:pPr>
        <w:snapToGrid w:val="0"/>
        <w:spacing w:line="360" w:lineRule="auto"/>
        <w:ind w:firstLine="413" w:firstLineChars="196"/>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形式审查</w:t>
      </w:r>
    </w:p>
    <w:p>
      <w:pPr>
        <w:snapToGrid w:val="0"/>
        <w:spacing w:line="360" w:lineRule="auto"/>
        <w:ind w:firstLine="420" w:firstLineChars="20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形式审查</w:t>
      </w:r>
      <w:r>
        <w:rPr>
          <w:rFonts w:hint="eastAsia" w:asciiTheme="minorEastAsia" w:hAnsiTheme="minorEastAsia" w:eastAsiaTheme="minorEastAsia"/>
          <w:bCs/>
          <w:color w:val="auto"/>
          <w:szCs w:val="21"/>
          <w:highlight w:val="none"/>
        </w:rPr>
        <w:t>包括资格审查（除符合性审查以外的关于供应商资格条件等内容）和符合性审查，即对供应商的资格</w:t>
      </w:r>
      <w:r>
        <w:rPr>
          <w:rFonts w:asciiTheme="minorEastAsia" w:hAnsiTheme="minorEastAsia" w:eastAsiaTheme="minorEastAsia"/>
          <w:bCs/>
          <w:color w:val="auto"/>
          <w:szCs w:val="21"/>
          <w:highlight w:val="none"/>
        </w:rPr>
        <w:t>和投标文件的完整性、合法性等进行审查。</w:t>
      </w:r>
      <w:r>
        <w:rPr>
          <w:rFonts w:hint="eastAsia" w:asciiTheme="minorEastAsia" w:hAnsiTheme="minorEastAsia" w:eastAsiaTheme="minorEastAsia"/>
          <w:bCs/>
          <w:color w:val="auto"/>
          <w:szCs w:val="21"/>
          <w:highlight w:val="none"/>
        </w:rPr>
        <w:t>投标文件形式审查未通过的供应商，其投标文件将不再评审。</w:t>
      </w:r>
    </w:p>
    <w:p>
      <w:pPr>
        <w:snapToGrid w:val="0"/>
        <w:spacing w:line="360" w:lineRule="auto"/>
        <w:ind w:firstLine="413" w:firstLineChars="196"/>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实质审查与比较</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1）评标委员会审查投标文件的实质性内容是否符合招标文件的实质性要求。</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2）评标委员会将根据供应商的投标文件进行审查、核对,如有疑问,将对供应商进行询标,供应商要向评标委员会澄清有关问题,并最终以书面形式进行答复。</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询标</w:t>
      </w:r>
      <w:r>
        <w:rPr>
          <w:rFonts w:hint="eastAsia" w:asciiTheme="minorEastAsia" w:hAnsiTheme="minorEastAsia" w:eastAsiaTheme="minorEastAsia"/>
          <w:color w:val="auto"/>
          <w:szCs w:val="21"/>
          <w:highlight w:val="none"/>
        </w:rPr>
        <w:t>时，供应商代表未到场或者拒绝澄清或者澄清的内容改变了投标文件的实质性内容的，评标委员会有权对该投标文件作出不利于供应商的评判。</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3）各供应商的</w:t>
      </w:r>
      <w:r>
        <w:rPr>
          <w:rFonts w:hint="eastAsia" w:asciiTheme="minorEastAsia" w:hAnsiTheme="minorEastAsia" w:eastAsiaTheme="minorEastAsia"/>
          <w:color w:val="auto"/>
          <w:szCs w:val="21"/>
          <w:highlight w:val="none"/>
        </w:rPr>
        <w:t>资信商务及技术分按照评标委员会成员的独立评分结果汇后的算术平均分计算</w:t>
      </w:r>
      <w:r>
        <w:rPr>
          <w:rFonts w:asciiTheme="minorEastAsia" w:hAnsiTheme="minorEastAsia" w:eastAsiaTheme="minorEastAsia"/>
          <w:color w:val="auto"/>
          <w:szCs w:val="21"/>
          <w:highlight w:val="none"/>
        </w:rPr>
        <w:t>。</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嘉兴市银建工程咨询评估有限公司工作人员协助</w:t>
      </w:r>
      <w:r>
        <w:rPr>
          <w:rFonts w:asciiTheme="minorEastAsia" w:hAnsiTheme="minorEastAsia" w:eastAsiaTheme="minorEastAsia"/>
          <w:color w:val="auto"/>
          <w:szCs w:val="21"/>
          <w:highlight w:val="none"/>
        </w:rPr>
        <w:t>评标委员会根据</w:t>
      </w:r>
      <w:r>
        <w:rPr>
          <w:rFonts w:hint="eastAsia" w:asciiTheme="minorEastAsia" w:hAnsiTheme="minorEastAsia" w:eastAsiaTheme="minorEastAsia"/>
          <w:color w:val="auto"/>
          <w:szCs w:val="21"/>
          <w:highlight w:val="none"/>
        </w:rPr>
        <w:t>本项目的评分标准操作政府采购业务系统，由系统</w:t>
      </w:r>
      <w:r>
        <w:rPr>
          <w:rFonts w:asciiTheme="minorEastAsia" w:hAnsiTheme="minorEastAsia" w:eastAsiaTheme="minorEastAsia"/>
          <w:color w:val="auto"/>
          <w:szCs w:val="21"/>
          <w:highlight w:val="none"/>
        </w:rPr>
        <w:t>计算各供应商的商务报价得分</w:t>
      </w:r>
      <w:r>
        <w:rPr>
          <w:rFonts w:hint="eastAsia" w:asciiTheme="minorEastAsia" w:hAnsiTheme="minorEastAsia" w:eastAsiaTheme="minorEastAsia"/>
          <w:color w:val="auto"/>
          <w:szCs w:val="21"/>
          <w:highlight w:val="none"/>
        </w:rPr>
        <w:t>。</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5）评标委员会完成评标后,评委对各部分得分汇总,</w:t>
      </w:r>
      <w:r>
        <w:rPr>
          <w:rFonts w:hint="eastAsia" w:asciiTheme="minorEastAsia" w:hAnsiTheme="minorEastAsia" w:eastAsiaTheme="minorEastAsia"/>
          <w:color w:val="auto"/>
          <w:szCs w:val="21"/>
          <w:highlight w:val="none"/>
        </w:rPr>
        <w:t>计算</w:t>
      </w:r>
      <w:r>
        <w:rPr>
          <w:rFonts w:asciiTheme="minorEastAsia" w:hAnsiTheme="minorEastAsia" w:eastAsiaTheme="minorEastAsia"/>
          <w:color w:val="auto"/>
          <w:szCs w:val="21"/>
          <w:highlight w:val="none"/>
        </w:rPr>
        <w:t>出本项目</w:t>
      </w:r>
      <w:r>
        <w:rPr>
          <w:rFonts w:hint="eastAsia" w:asciiTheme="minorEastAsia" w:hAnsiTheme="minorEastAsia" w:eastAsiaTheme="minorEastAsia"/>
          <w:color w:val="auto"/>
          <w:szCs w:val="21"/>
          <w:highlight w:val="none"/>
        </w:rPr>
        <w:t>最终得分、性价比、评标价等</w:t>
      </w:r>
      <w:r>
        <w:rPr>
          <w:rFonts w:asciiTheme="minorEastAsia" w:hAnsiTheme="minorEastAsia" w:eastAsiaTheme="minorEastAsia"/>
          <w:color w:val="auto"/>
          <w:szCs w:val="21"/>
          <w:highlight w:val="none"/>
        </w:rPr>
        <w:t>。评标委员会按评标原则推荐中标候选人同时起草评标报告。</w:t>
      </w:r>
    </w:p>
    <w:p>
      <w:pPr>
        <w:snapToGrid w:val="0"/>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（四）澄清问题的形式</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对投标文件中含义不明确、同类问题表述不一致或者有明显文字和计算错误的内容，评标委员会可要求供应商作出必要的澄清、说明或者纠正。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2、如果供应商代表拒绝或</w:t>
      </w:r>
      <w:r>
        <w:rPr>
          <w:rFonts w:asciiTheme="minorEastAsia" w:hAnsiTheme="minorEastAsia" w:eastAsiaTheme="minorEastAsia"/>
          <w:color w:val="auto"/>
          <w:szCs w:val="21"/>
          <w:highlight w:val="none"/>
        </w:rPr>
        <w:t>未</w:t>
      </w:r>
      <w:r>
        <w:rPr>
          <w:rFonts w:hint="eastAsia" w:asciiTheme="minorEastAsia" w:hAnsiTheme="minorEastAsia" w:eastAsiaTheme="minorEastAsia"/>
          <w:color w:val="auto"/>
          <w:szCs w:val="21"/>
          <w:highlight w:val="none"/>
        </w:rPr>
        <w:t>按评标委员会要求在“政采云”平台作出在线回复且无其他有效回复方式的，评标委员会可以对其作出无效标处理。</w:t>
      </w:r>
    </w:p>
    <w:p>
      <w:pPr>
        <w:snapToGrid w:val="0"/>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（五）错误修正</w:t>
      </w:r>
    </w:p>
    <w:p>
      <w:pPr>
        <w:pStyle w:val="28"/>
        <w:snapToGrid w:val="0"/>
        <w:spacing w:beforeLines="0" w:afterLines="0" w:line="360" w:lineRule="auto"/>
        <w:ind w:left="689" w:leftChars="228" w:hanging="210" w:hangingChars="1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投标文件如果出现计算或表达上的错误，修正错误的原则如下：</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.开标一览表总价与投标报价明细表汇总数不一致的，</w:t>
      </w:r>
      <w:r>
        <w:rPr>
          <w:rFonts w:hint="eastAsia" w:cs="Arial" w:asciiTheme="minorEastAsia" w:hAnsiTheme="minorEastAsia" w:eastAsiaTheme="minorEastAsia"/>
          <w:color w:val="auto"/>
          <w:kern w:val="0"/>
          <w:szCs w:val="21"/>
          <w:highlight w:val="none"/>
        </w:rPr>
        <w:t>以开标一览表为准；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投标文件的大写金额和小写金额不一致的，以大写金额为准；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总价金额与按单价汇总金额不一致的，以单价金额计算结果为准；</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对不同文字文本投标文件的解释发生异议的，以中文文本为准。</w:t>
      </w:r>
    </w:p>
    <w:p>
      <w:pPr>
        <w:pStyle w:val="28"/>
        <w:snapToGrid w:val="0"/>
        <w:spacing w:beforeLines="0" w:afterLines="0" w:line="360" w:lineRule="auto"/>
        <w:ind w:firstLine="422" w:firstLineChars="20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按上述修正错误的原则及方法调整或修正投标文件的投标报价，供应商同意</w:t>
      </w:r>
      <w:r>
        <w:rPr>
          <w:rFonts w:hint="eastAsia" w:asciiTheme="minorEastAsia" w:hAnsiTheme="minorEastAsia" w:eastAsiaTheme="minorEastAsia"/>
          <w:b/>
          <w:bCs/>
          <w:color w:val="auto"/>
          <w:sz w:val="21"/>
          <w:szCs w:val="21"/>
          <w:highlight w:val="none"/>
        </w:rPr>
        <w:t>并签字确认</w:t>
      </w:r>
      <w:r>
        <w:rPr>
          <w:rFonts w:asciiTheme="minorEastAsia" w:hAnsiTheme="minorEastAsia" w:eastAsiaTheme="minorEastAsia"/>
          <w:b/>
          <w:bCs/>
          <w:color w:val="auto"/>
          <w:sz w:val="21"/>
          <w:szCs w:val="21"/>
          <w:highlight w:val="none"/>
        </w:rPr>
        <w:t>后，调整后的投标报价对供应商具有约束作用。如果供应商不接受修正后的报价，则其投标将</w:t>
      </w:r>
      <w:r>
        <w:rPr>
          <w:rFonts w:hint="eastAsia" w:asciiTheme="minorEastAsia" w:hAnsiTheme="minorEastAsia" w:eastAsiaTheme="minorEastAsia"/>
          <w:b/>
          <w:bCs/>
          <w:color w:val="auto"/>
          <w:sz w:val="21"/>
          <w:szCs w:val="21"/>
          <w:highlight w:val="none"/>
        </w:rPr>
        <w:t>作为无效投标处理</w:t>
      </w:r>
      <w:r>
        <w:rPr>
          <w:rFonts w:asciiTheme="minorEastAsia" w:hAnsiTheme="minorEastAsia" w:eastAsiaTheme="minorEastAsia"/>
          <w:b/>
          <w:bCs/>
          <w:color w:val="auto"/>
          <w:sz w:val="21"/>
          <w:szCs w:val="21"/>
          <w:highlight w:val="none"/>
        </w:rPr>
        <w:t>。</w:t>
      </w:r>
    </w:p>
    <w:p>
      <w:pPr>
        <w:pStyle w:val="28"/>
        <w:tabs>
          <w:tab w:val="left" w:pos="630"/>
        </w:tabs>
        <w:snapToGrid w:val="0"/>
        <w:spacing w:beforeLines="0" w:afterLines="0" w:line="360" w:lineRule="auto"/>
        <w:ind w:firstLine="413" w:firstLineChars="196"/>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（六）评标原则和评标办法</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评标办法。本项目评标办法是</w:t>
      </w:r>
      <w:r>
        <w:rPr>
          <w:rFonts w:hint="eastAsia" w:asciiTheme="minorEastAsia" w:hAnsiTheme="minorEastAsia" w:eastAsiaTheme="minorEastAsia"/>
          <w:color w:val="auto"/>
          <w:sz w:val="21"/>
          <w:szCs w:val="21"/>
          <w:highlight w:val="none"/>
        </w:rPr>
        <w:t xml:space="preserve"> 综合评标法</w:t>
      </w:r>
      <w:r>
        <w:rPr>
          <w:rFonts w:asciiTheme="minorEastAsia" w:hAnsiTheme="minorEastAsia" w:eastAsiaTheme="minorEastAsia"/>
          <w:color w:val="auto"/>
          <w:sz w:val="21"/>
          <w:szCs w:val="21"/>
          <w:highlight w:val="none"/>
        </w:rPr>
        <w:t xml:space="preserve"> ，具体评标内容及评分标准等详见《第四章：评标办法及评分标准》。</w:t>
      </w:r>
    </w:p>
    <w:p>
      <w:pPr>
        <w:pStyle w:val="28"/>
        <w:snapToGrid w:val="0"/>
        <w:spacing w:beforeLines="0" w:afterLines="0" w:line="360" w:lineRule="auto"/>
        <w:ind w:firstLine="413" w:firstLineChars="196"/>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（七）评标过程的监控</w:t>
      </w:r>
    </w:p>
    <w:p>
      <w:pPr>
        <w:pStyle w:val="28"/>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本项目评标过程实行全程录音、录像监控</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供应商在评标过程中所进行的</w:t>
      </w:r>
      <w:r>
        <w:rPr>
          <w:rFonts w:hint="eastAsia" w:asciiTheme="minorEastAsia" w:hAnsiTheme="minorEastAsia" w:eastAsiaTheme="minorEastAsia"/>
          <w:color w:val="auto"/>
          <w:sz w:val="21"/>
          <w:szCs w:val="21"/>
          <w:highlight w:val="none"/>
        </w:rPr>
        <w:t>试</w:t>
      </w:r>
      <w:r>
        <w:rPr>
          <w:rFonts w:asciiTheme="minorEastAsia" w:hAnsiTheme="minorEastAsia" w:eastAsiaTheme="minorEastAsia"/>
          <w:color w:val="auto"/>
          <w:sz w:val="21"/>
          <w:szCs w:val="21"/>
          <w:highlight w:val="none"/>
        </w:rPr>
        <w:t>图影响评标结果的不公正活动，可能导致其投标被拒绝。</w:t>
      </w:r>
    </w:p>
    <w:p>
      <w:pPr>
        <w:pStyle w:val="28"/>
        <w:snapToGrid w:val="0"/>
        <w:spacing w:beforeLines="0" w:afterLines="0" w:line="360" w:lineRule="auto"/>
        <w:outlineLvl w:val="1"/>
        <w:rPr>
          <w:rFonts w:asciiTheme="minorEastAsia" w:hAnsiTheme="minorEastAsia" w:eastAsiaTheme="minorEastAsia"/>
          <w:b/>
          <w:color w:val="auto"/>
          <w:sz w:val="21"/>
          <w:szCs w:val="21"/>
          <w:highlight w:val="none"/>
        </w:rPr>
      </w:pPr>
    </w:p>
    <w:p>
      <w:pPr>
        <w:pStyle w:val="28"/>
        <w:snapToGrid w:val="0"/>
        <w:spacing w:beforeLines="0" w:afterLines="0" w:line="360" w:lineRule="auto"/>
        <w:ind w:firstLine="413" w:firstLineChars="196"/>
        <w:jc w:val="center"/>
        <w:outlineLvl w:val="1"/>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六、定标</w:t>
      </w:r>
    </w:p>
    <w:p>
      <w:pPr>
        <w:pStyle w:val="28"/>
        <w:snapToGrid w:val="0"/>
        <w:spacing w:beforeLines="0" w:afterLines="0" w:line="360" w:lineRule="auto"/>
        <w:ind w:firstLine="413" w:firstLineChars="196"/>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（一）确定中标人。</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.嘉兴市银建工程咨询评估有限公司</w:t>
      </w:r>
      <w:r>
        <w:rPr>
          <w:rFonts w:asciiTheme="minorEastAsia" w:hAnsiTheme="minorEastAsia" w:eastAsiaTheme="minorEastAsia"/>
          <w:color w:val="auto"/>
          <w:szCs w:val="21"/>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Cs w:val="21"/>
          <w:highlight w:val="none"/>
        </w:rPr>
        <w:t>公告</w:t>
      </w:r>
      <w:r>
        <w:rPr>
          <w:rFonts w:asciiTheme="minorEastAsia" w:hAnsiTheme="minorEastAsia" w:eastAsiaTheme="minorEastAsia"/>
          <w:color w:val="auto"/>
          <w:szCs w:val="21"/>
          <w:highlight w:val="none"/>
        </w:rPr>
        <w:t>。</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3. 在公告中标结果的同时，代理机构向中标人发出中标通知书。</w:t>
      </w:r>
    </w:p>
    <w:p>
      <w:pPr>
        <w:pStyle w:val="28"/>
        <w:snapToGrid w:val="0"/>
        <w:spacing w:beforeLines="0" w:afterLines="0" w:line="360" w:lineRule="auto"/>
        <w:ind w:firstLine="413" w:firstLineChars="196"/>
        <w:jc w:val="center"/>
        <w:outlineLvl w:val="1"/>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七、合同授予</w:t>
      </w:r>
    </w:p>
    <w:p>
      <w:pPr>
        <w:snapToGrid w:val="0"/>
        <w:spacing w:line="360" w:lineRule="auto"/>
        <w:ind w:firstLine="413" w:firstLineChars="196"/>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（一）签订合同</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.采购人与</w:t>
      </w:r>
      <w:r>
        <w:rPr>
          <w:rFonts w:asciiTheme="minorEastAsia" w:hAnsiTheme="minorEastAsia" w:eastAsiaTheme="minorEastAsia"/>
          <w:color w:val="auto"/>
          <w:szCs w:val="21"/>
          <w:highlight w:val="none"/>
        </w:rPr>
        <w:t>中标人应</w:t>
      </w:r>
      <w:r>
        <w:rPr>
          <w:rFonts w:hint="eastAsia" w:asciiTheme="minorEastAsia" w:hAnsiTheme="minorEastAsia" w:eastAsiaTheme="minorEastAsia"/>
          <w:color w:val="auto"/>
          <w:szCs w:val="21"/>
          <w:highlight w:val="none"/>
        </w:rPr>
        <w:t>当在《</w:t>
      </w:r>
      <w:r>
        <w:rPr>
          <w:rFonts w:asciiTheme="minorEastAsia" w:hAnsiTheme="minorEastAsia" w:eastAsiaTheme="minorEastAsia"/>
          <w:color w:val="auto"/>
          <w:szCs w:val="21"/>
          <w:highlight w:val="none"/>
        </w:rPr>
        <w:t>中标通知书</w:t>
      </w:r>
      <w:r>
        <w:rPr>
          <w:rFonts w:hint="eastAsia" w:asciiTheme="minorEastAsia" w:hAnsiTheme="minorEastAsia" w:eastAsiaTheme="minorEastAsia"/>
          <w:color w:val="auto"/>
          <w:szCs w:val="21"/>
          <w:highlight w:val="none"/>
        </w:rPr>
        <w:t>》发出之日起30日内签订政府采购合同。同时，代理机构对合同内容进行审查，如发现与采购结果和投标承诺内容不一致的，将予以纠正。</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中标人拖延、拒签合同的,将被取消中标资格</w:t>
      </w:r>
      <w:r>
        <w:rPr>
          <w:rFonts w:hint="eastAsia" w:asciiTheme="minorEastAsia" w:hAnsiTheme="minorEastAsia" w:eastAsiaTheme="minorEastAsia"/>
          <w:color w:val="auto"/>
          <w:szCs w:val="21"/>
          <w:highlight w:val="none"/>
        </w:rPr>
        <w:t>，并报监督管理部门</w:t>
      </w:r>
      <w:r>
        <w:rPr>
          <w:rFonts w:asciiTheme="minorEastAsia" w:hAnsiTheme="minorEastAsia" w:eastAsiaTheme="minorEastAsia"/>
          <w:color w:val="auto"/>
          <w:szCs w:val="21"/>
          <w:highlight w:val="none"/>
        </w:rPr>
        <w:t>。</w:t>
      </w:r>
    </w:p>
    <w:p>
      <w:pPr>
        <w:spacing w:line="360" w:lineRule="auto"/>
        <w:ind w:firstLine="413" w:firstLineChars="196"/>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八、招标代理费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1.招标代理机构向中标人收取招标代理服务费，中标人应在收取《中标通知书》时向采购代理机构交纳招标代理服务费，服务费的收费标准按浙价服〔2003〕77号文规定计算</w:t>
      </w:r>
    </w:p>
    <w:tbl>
      <w:tblPr>
        <w:tblStyle w:val="49"/>
        <w:tblW w:w="43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服务类招标收费费率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100以下</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100-500</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160"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double" w:color="auto" w:sz="4" w:space="0"/>
              <w:right w:val="single" w:color="auto" w:sz="6" w:space="0"/>
            </w:tcBorders>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1000-5000</w:t>
            </w:r>
          </w:p>
        </w:tc>
        <w:tc>
          <w:tcPr>
            <w:tcW w:w="2160" w:type="dxa"/>
            <w:tcBorders>
              <w:top w:val="single" w:color="auto" w:sz="6" w:space="0"/>
              <w:left w:val="single" w:color="auto" w:sz="6" w:space="0"/>
              <w:bottom w:val="double" w:color="auto" w:sz="4" w:space="0"/>
              <w:right w:val="doub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0.5％</w:t>
            </w:r>
          </w:p>
        </w:tc>
      </w:tr>
    </w:tbl>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招标代理服务收费按差额定率累进法计算</w:t>
      </w:r>
      <w:r>
        <w:rPr>
          <w:rFonts w:hint="eastAsia" w:asciiTheme="minorEastAsia" w:hAnsiTheme="minorEastAsia" w:eastAsiaTheme="minorEastAsia"/>
          <w:color w:val="auto"/>
          <w:szCs w:val="21"/>
          <w:highlight w:val="none"/>
        </w:rPr>
        <w:t>。</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2.本项目以服务类招标收费标准收取招标代理服务费服务费，对于招标代理服务费不足6000元的，按6000元计收。</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3.代理费支付方式：一次性以银行划账、现金或支票的形式支付。</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4.代理费以银行划账方式按下列要求提交：</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户名：嘉兴市银建工程咨询评估有限公司</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开户银行：建行嘉兴分行营业部</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账号：3300 1638 0470 5000 4370</w:t>
      </w:r>
    </w:p>
    <w:p>
      <w:pPr>
        <w:snapToGrid w:val="0"/>
        <w:spacing w:beforeLines="50" w:afterLines="50" w:line="360" w:lineRule="auto"/>
        <w:ind w:left="238" w:firstLine="210" w:firstLineChars="100"/>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5.代理费支付时间：代理费必须在中标人领取《中标通知书》时一次性付清，如果中标人未能按时交纳服务费，采购代理机构/采购人保留追究其责任的权利。</w:t>
      </w:r>
    </w:p>
    <w:p>
      <w:pPr>
        <w:snapToGrid w:val="0"/>
        <w:spacing w:beforeLines="50" w:afterLines="50" w:line="360" w:lineRule="auto"/>
        <w:ind w:left="238" w:firstLine="210" w:firstLineChars="10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6.服务费不在投标报价中单列。</w:t>
      </w:r>
    </w:p>
    <w:p>
      <w:pPr>
        <w:widowControl/>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pPr>
        <w:snapToGrid w:val="0"/>
        <w:spacing w:beforeLines="50" w:afterLines="50" w:line="360" w:lineRule="auto"/>
        <w:jc w:val="center"/>
        <w:outlineLvl w:val="1"/>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第四章 评分办法及评分标准</w:t>
      </w:r>
    </w:p>
    <w:p>
      <w:pPr>
        <w:spacing w:beforeLines="50" w:afterLines="50"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为公正、公平、科学地选择中标人，根据《中华人民共和国政府采购法》等有关法律法规的规定，并结合本项目的实际，制定本办法。</w:t>
      </w:r>
    </w:p>
    <w:p>
      <w:pPr>
        <w:spacing w:beforeLines="50" w:afterLines="50"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一 、总则</w:t>
      </w:r>
    </w:p>
    <w:p>
      <w:pPr>
        <w:spacing w:beforeLines="50" w:afterLines="50" w:line="360" w:lineRule="auto"/>
        <w:ind w:firstLine="420" w:firstLineChars="200"/>
        <w:rPr>
          <w:rFonts w:asciiTheme="minorEastAsia" w:hAnsiTheme="minorEastAsia" w:eastAsiaTheme="minorEastAsia"/>
          <w:color w:val="auto"/>
          <w:szCs w:val="21"/>
          <w:highlight w:val="none"/>
        </w:rPr>
      </w:pPr>
      <w:bookmarkStart w:id="60" w:name="_Toc406402998"/>
      <w:r>
        <w:rPr>
          <w:rFonts w:hint="eastAsia" w:asciiTheme="minorEastAsia" w:hAnsiTheme="minorEastAsia" w:eastAsiaTheme="minorEastAsia"/>
          <w:color w:val="auto"/>
          <w:szCs w:val="21"/>
          <w:highlight w:val="none"/>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中标人拒绝与采购人签订合同的，采购人可以按照评审报告推荐的中标候选人名单顺序，确定下一候选人为中标人，也可以重新开展政府采购活动。评分过程中采用四舍五入法，并保留小数2位。</w:t>
      </w:r>
    </w:p>
    <w:p>
      <w:pPr>
        <w:spacing w:beforeLines="50" w:after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投标人评标综合得分=商务报价分+资信技术分</w:t>
      </w:r>
    </w:p>
    <w:p>
      <w:pPr>
        <w:spacing w:beforeLines="50" w:afterLines="50"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二、评标内容及标准</w:t>
      </w:r>
    </w:p>
    <w:p>
      <w:pPr>
        <w:spacing w:beforeLines="50" w:afterLines="50"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（一）</w:t>
      </w:r>
      <w:r>
        <w:rPr>
          <w:rFonts w:hint="eastAsia" w:asciiTheme="minorEastAsia" w:hAnsiTheme="minorEastAsia" w:eastAsiaTheme="minorEastAsia"/>
          <w:b/>
          <w:color w:val="auto"/>
          <w:szCs w:val="21"/>
          <w:highlight w:val="none"/>
        </w:rPr>
        <w:t>商务报价</w:t>
      </w:r>
      <w:r>
        <w:rPr>
          <w:rFonts w:asciiTheme="minorEastAsia" w:hAnsiTheme="minorEastAsia" w:eastAsiaTheme="minorEastAsia"/>
          <w:b/>
          <w:color w:val="auto"/>
          <w:szCs w:val="21"/>
          <w:highlight w:val="none"/>
        </w:rPr>
        <w:t>分（</w:t>
      </w:r>
      <w:r>
        <w:rPr>
          <w:rFonts w:hint="eastAsia" w:asciiTheme="minorEastAsia" w:hAnsiTheme="minorEastAsia" w:eastAsiaTheme="minorEastAsia"/>
          <w:b/>
          <w:color w:val="auto"/>
          <w:szCs w:val="21"/>
          <w:highlight w:val="none"/>
        </w:rPr>
        <w:t>10分）</w:t>
      </w:r>
    </w:p>
    <w:p>
      <w:pPr>
        <w:pStyle w:val="22"/>
        <w:spacing w:beforeLines="50" w:afterLines="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1.价格分采用低价优先法计算，即满足招标文件要求且投标价格最低的投标报价为评标基准价，其他供应商的价格分按照下列公式计算：</w:t>
      </w:r>
    </w:p>
    <w:p>
      <w:pPr>
        <w:spacing w:beforeLines="50" w:after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价格分=（评标基准价/投标报价）×10%×100</w:t>
      </w:r>
    </w:p>
    <w:p>
      <w:pPr>
        <w:pStyle w:val="22"/>
        <w:spacing w:after="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w:t>
      </w:r>
      <w:r>
        <w:rPr>
          <w:rFonts w:asciiTheme="minorEastAsia" w:hAnsiTheme="minorEastAsia" w:eastAsiaTheme="minorEastAsia"/>
          <w:bCs/>
          <w:color w:val="auto"/>
          <w:szCs w:val="21"/>
          <w:highlight w:val="none"/>
        </w:rPr>
        <w:t>扶持政策说明：</w:t>
      </w:r>
    </w:p>
    <w:p>
      <w:pPr>
        <w:pStyle w:val="22"/>
        <w:spacing w:after="50" w:line="360" w:lineRule="auto"/>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r>
        <w:rPr>
          <w:rFonts w:hint="eastAsia" w:asciiTheme="minorEastAsia" w:hAnsiTheme="minorEastAsia" w:eastAsiaTheme="minorEastAsia"/>
          <w:bCs/>
          <w:color w:val="auto"/>
          <w:szCs w:val="21"/>
          <w:highlight w:val="none"/>
        </w:rPr>
        <w:t>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r>
        <w:rPr>
          <w:rFonts w:asciiTheme="minorEastAsia" w:hAnsiTheme="minorEastAsia" w:eastAsiaTheme="minorEastAsia"/>
          <w:bCs/>
          <w:color w:val="auto"/>
          <w:szCs w:val="21"/>
          <w:highlight w:val="none"/>
        </w:rPr>
        <w:t>。</w:t>
      </w:r>
    </w:p>
    <w:p>
      <w:pPr>
        <w:pStyle w:val="22"/>
        <w:spacing w:after="50" w:line="360" w:lineRule="auto"/>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 xml:space="preserve">（2）根据《政府采购促进中小企业发展管理办法》（财库 </w:t>
      </w: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2020</w:t>
      </w:r>
      <w:r>
        <w:rPr>
          <w:rFonts w:hint="eastAsia" w:asciiTheme="minorEastAsia" w:hAnsiTheme="minorEastAsia" w:eastAsiaTheme="minorEastAsia"/>
          <w:bCs/>
          <w:color w:val="auto"/>
          <w:szCs w:val="21"/>
          <w:highlight w:val="none"/>
        </w:rPr>
        <w:t>】</w:t>
      </w:r>
      <w:r>
        <w:rPr>
          <w:rFonts w:asciiTheme="minorEastAsia" w:hAnsiTheme="minorEastAsia" w:eastAsiaTheme="minorEastAsia"/>
          <w:bCs/>
          <w:color w:val="auto"/>
          <w:szCs w:val="21"/>
          <w:highlight w:val="none"/>
        </w:rPr>
        <w:t>46号）的规定</w:t>
      </w:r>
      <w:r>
        <w:rPr>
          <w:rFonts w:hint="eastAsia" w:asciiTheme="minorEastAsia" w:hAnsiTheme="minorEastAsia" w:eastAsiaTheme="minorEastAsia"/>
          <w:bCs/>
          <w:color w:val="auto"/>
          <w:szCs w:val="21"/>
          <w:highlight w:val="none"/>
        </w:rPr>
        <w:t>，小微企业（包括联合体内的小微企业和接受分包的小微企业）参加政府采购活动，应按当出具《中小企业声明函》，否则其报价不予扣除</w:t>
      </w:r>
      <w:r>
        <w:rPr>
          <w:rFonts w:asciiTheme="minorEastAsia" w:hAnsiTheme="minorEastAsia" w:eastAsiaTheme="minorEastAsia"/>
          <w:bCs/>
          <w:color w:val="auto"/>
          <w:szCs w:val="21"/>
          <w:highlight w:val="none"/>
        </w:rPr>
        <w:t>。</w:t>
      </w:r>
    </w:p>
    <w:p>
      <w:pPr>
        <w:pStyle w:val="22"/>
        <w:spacing w:after="50" w:line="360" w:lineRule="auto"/>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（3）</w:t>
      </w:r>
      <w:r>
        <w:rPr>
          <w:rFonts w:hint="eastAsia" w:asciiTheme="minorEastAsia" w:hAnsiTheme="minorEastAsia" w:eastAsiaTheme="minorEastAsia"/>
          <w:bCs/>
          <w:color w:val="auto"/>
          <w:szCs w:val="21"/>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r>
        <w:rPr>
          <w:rFonts w:asciiTheme="minorEastAsia" w:hAnsiTheme="minorEastAsia" w:eastAsiaTheme="minorEastAsia"/>
          <w:bCs/>
          <w:color w:val="auto"/>
          <w:szCs w:val="21"/>
          <w:highlight w:val="none"/>
        </w:rPr>
        <w:t>。</w:t>
      </w:r>
    </w:p>
    <w:p>
      <w:pPr>
        <w:pStyle w:val="22"/>
        <w:spacing w:after="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22"/>
        <w:spacing w:after="50" w:line="360" w:lineRule="auto"/>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2"/>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（二）资信技术分（90分）</w:t>
      </w:r>
    </w:p>
    <w:bookmarkEnd w:id="60"/>
    <w:tbl>
      <w:tblPr>
        <w:tblStyle w:val="49"/>
        <w:tblW w:w="8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5"/>
        <w:gridCol w:w="6373"/>
        <w:gridCol w:w="15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755" w:type="dxa"/>
            <w:tcBorders>
              <w:top w:val="single" w:color="auto" w:sz="12"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eastAsia="zh-CN"/>
              </w:rPr>
              <w:t>序</w:t>
            </w:r>
            <w:r>
              <w:rPr>
                <w:rFonts w:hint="eastAsia" w:ascii="宋体" w:hAnsi="宋体" w:eastAsia="宋体" w:cs="宋体"/>
                <w:color w:val="auto"/>
                <w:kern w:val="2"/>
                <w:szCs w:val="21"/>
                <w:highlight w:val="none"/>
              </w:rPr>
              <w:t>号</w:t>
            </w:r>
          </w:p>
        </w:tc>
        <w:tc>
          <w:tcPr>
            <w:tcW w:w="6373" w:type="dxa"/>
            <w:tcBorders>
              <w:top w:val="single" w:color="auto" w:sz="12" w:space="0"/>
              <w:left w:val="single" w:color="auto" w:sz="4" w:space="0"/>
              <w:bottom w:val="single" w:color="auto" w:sz="6" w:space="0"/>
              <w:right w:val="single" w:color="auto" w:sz="12" w:space="0"/>
            </w:tcBorders>
            <w:noWrap w:val="0"/>
            <w:vAlign w:val="center"/>
          </w:tcPr>
          <w:p>
            <w:pPr>
              <w:pStyle w:val="22"/>
              <w:spacing w:before="120" w:beforeLines="50" w:afterLines="50" w:line="240" w:lineRule="auto"/>
              <w:ind w:firstLine="420" w:firstLineChars="20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评分内容和标准</w:t>
            </w:r>
          </w:p>
        </w:tc>
        <w:tc>
          <w:tcPr>
            <w:tcW w:w="1530" w:type="dxa"/>
            <w:tcBorders>
              <w:top w:val="single" w:color="auto" w:sz="12" w:space="0"/>
              <w:left w:val="single" w:color="auto" w:sz="4"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最高分值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1</w:t>
            </w:r>
          </w:p>
        </w:tc>
        <w:tc>
          <w:tcPr>
            <w:tcW w:w="6373" w:type="dxa"/>
            <w:tcBorders>
              <w:top w:val="single" w:color="auto" w:sz="6" w:space="0"/>
              <w:left w:val="single" w:color="auto" w:sz="4"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rPr>
                <w:rFonts w:hint="eastAsia" w:ascii="宋体" w:hAnsi="宋体" w:eastAsia="宋体" w:cs="宋体"/>
                <w:color w:val="auto"/>
                <w:kern w:val="2"/>
                <w:szCs w:val="21"/>
                <w:highlight w:val="none"/>
                <w:lang w:val="zh-CN" w:eastAsia="zh-CN"/>
              </w:rPr>
            </w:pPr>
            <w:r>
              <w:rPr>
                <w:rFonts w:hint="eastAsia" w:ascii="宋体" w:hAnsi="宋体" w:eastAsia="宋体" w:cs="宋体"/>
                <w:color w:val="auto"/>
                <w:kern w:val="2"/>
                <w:szCs w:val="21"/>
                <w:highlight w:val="none"/>
                <w:lang w:val="zh-CN"/>
              </w:rPr>
              <w:t>根据</w:t>
            </w:r>
            <w:r>
              <w:rPr>
                <w:rFonts w:hint="eastAsia" w:ascii="宋体" w:hAnsi="宋体" w:eastAsia="宋体" w:cs="宋体"/>
                <w:color w:val="auto"/>
                <w:kern w:val="2"/>
                <w:szCs w:val="21"/>
                <w:highlight w:val="none"/>
                <w:lang w:val="en-US" w:eastAsia="zh-CN"/>
              </w:rPr>
              <w:t>道路</w:t>
            </w:r>
            <w:r>
              <w:rPr>
                <w:rFonts w:hint="eastAsia" w:ascii="宋体" w:hAnsi="宋体" w:eastAsia="宋体" w:cs="宋体"/>
                <w:color w:val="auto"/>
                <w:kern w:val="2"/>
                <w:szCs w:val="21"/>
                <w:highlight w:val="none"/>
                <w:lang w:val="zh-CN"/>
              </w:rPr>
              <w:t>分布及养护区域等特点分析、工作总体设想、工作重点等情况酌情评分</w:t>
            </w:r>
            <w:r>
              <w:rPr>
                <w:rFonts w:hint="eastAsia" w:ascii="宋体" w:hAnsi="宋体" w:eastAsia="宋体" w:cs="宋体"/>
                <w:color w:val="auto"/>
                <w:kern w:val="2"/>
                <w:szCs w:val="21"/>
                <w:highlight w:val="none"/>
                <w:lang w:val="zh-CN" w:eastAsia="zh-CN"/>
              </w:rPr>
              <w:t>（</w:t>
            </w:r>
            <w:r>
              <w:rPr>
                <w:rFonts w:hint="eastAsia" w:ascii="宋体" w:hAnsi="宋体" w:eastAsia="宋体" w:cs="宋体"/>
                <w:color w:val="auto"/>
                <w:kern w:val="2"/>
                <w:szCs w:val="21"/>
                <w:highlight w:val="none"/>
                <w:lang w:val="en-US" w:eastAsia="zh-CN"/>
              </w:rPr>
              <w:t>4-10分</w:t>
            </w:r>
            <w:r>
              <w:rPr>
                <w:rFonts w:hint="eastAsia" w:ascii="宋体" w:hAnsi="宋体" w:eastAsia="宋体" w:cs="宋体"/>
                <w:color w:val="auto"/>
                <w:kern w:val="2"/>
                <w:szCs w:val="21"/>
                <w:highlight w:val="none"/>
                <w:lang w:val="zh-CN" w:eastAsia="zh-CN"/>
              </w:rPr>
              <w:t>）</w:t>
            </w:r>
          </w:p>
        </w:tc>
        <w:tc>
          <w:tcPr>
            <w:tcW w:w="1530" w:type="dxa"/>
            <w:tcBorders>
              <w:top w:val="single" w:color="auto" w:sz="6" w:space="0"/>
              <w:left w:val="single" w:color="auto" w:sz="4"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2</w:t>
            </w:r>
          </w:p>
        </w:tc>
        <w:tc>
          <w:tcPr>
            <w:tcW w:w="6373" w:type="dxa"/>
            <w:tcBorders>
              <w:top w:val="single" w:color="auto" w:sz="6" w:space="0"/>
              <w:left w:val="single" w:color="auto" w:sz="4"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rPr>
                <w:rFonts w:hint="default" w:ascii="宋体" w:hAnsi="宋体" w:eastAsia="宋体" w:cs="宋体"/>
                <w:color w:val="auto"/>
                <w:kern w:val="2"/>
                <w:szCs w:val="21"/>
                <w:highlight w:val="none"/>
                <w:lang w:val="en-US" w:eastAsia="zh-CN"/>
              </w:rPr>
            </w:pPr>
            <w:r>
              <w:rPr>
                <w:rFonts w:hint="default" w:ascii="宋体" w:hAnsi="宋体" w:eastAsia="宋体" w:cs="宋体"/>
                <w:color w:val="auto"/>
                <w:kern w:val="2"/>
                <w:szCs w:val="21"/>
                <w:highlight w:val="none"/>
                <w:lang w:val="en-US" w:eastAsia="zh-CN"/>
              </w:rPr>
              <w:t>根据养护日常作业内容，交通工具，养护作业人员详细安排，养护</w:t>
            </w:r>
          </w:p>
          <w:p>
            <w:pPr>
              <w:pStyle w:val="22"/>
              <w:spacing w:before="120" w:beforeLines="50" w:afterLines="50" w:line="240" w:lineRule="auto"/>
              <w:ind w:left="0" w:leftChars="0" w:firstLine="0" w:firstLineChars="0"/>
              <w:rPr>
                <w:rFonts w:hint="default" w:ascii="宋体" w:hAnsi="宋体" w:eastAsia="宋体" w:cs="宋体"/>
                <w:color w:val="auto"/>
                <w:kern w:val="2"/>
                <w:szCs w:val="21"/>
                <w:highlight w:val="none"/>
                <w:lang w:val="en-US" w:eastAsia="zh-CN"/>
              </w:rPr>
            </w:pPr>
            <w:r>
              <w:rPr>
                <w:rFonts w:hint="default" w:ascii="宋体" w:hAnsi="宋体" w:eastAsia="宋体" w:cs="宋体"/>
                <w:color w:val="auto"/>
                <w:kern w:val="2"/>
                <w:szCs w:val="21"/>
                <w:highlight w:val="none"/>
                <w:lang w:val="en-US" w:eastAsia="zh-CN"/>
              </w:rPr>
              <w:t>设备配置分配，台帐档案管理，防治病虫害及抗击自然灾害的具体保证措施等酌情评分</w:t>
            </w:r>
            <w:r>
              <w:rPr>
                <w:rFonts w:hint="eastAsia" w:ascii="宋体" w:hAnsi="宋体" w:eastAsia="宋体" w:cs="宋体"/>
                <w:color w:val="auto"/>
                <w:kern w:val="2"/>
                <w:szCs w:val="21"/>
                <w:highlight w:val="none"/>
                <w:lang w:val="zh-CN" w:eastAsia="zh-CN"/>
              </w:rPr>
              <w:t>（</w:t>
            </w:r>
            <w:r>
              <w:rPr>
                <w:rFonts w:hint="eastAsia" w:ascii="宋体" w:hAnsi="宋体" w:eastAsia="宋体" w:cs="宋体"/>
                <w:color w:val="auto"/>
                <w:kern w:val="2"/>
                <w:szCs w:val="21"/>
                <w:highlight w:val="none"/>
                <w:lang w:val="en-US" w:eastAsia="zh-CN"/>
              </w:rPr>
              <w:t>3-8分</w:t>
            </w:r>
            <w:r>
              <w:rPr>
                <w:rFonts w:hint="eastAsia" w:ascii="宋体" w:hAnsi="宋体" w:eastAsia="宋体" w:cs="宋体"/>
                <w:color w:val="auto"/>
                <w:kern w:val="2"/>
                <w:szCs w:val="21"/>
                <w:highlight w:val="none"/>
                <w:lang w:val="zh-CN" w:eastAsia="zh-CN"/>
              </w:rPr>
              <w:t>）</w:t>
            </w:r>
          </w:p>
        </w:tc>
        <w:tc>
          <w:tcPr>
            <w:tcW w:w="1530" w:type="dxa"/>
            <w:tcBorders>
              <w:top w:val="single" w:color="auto" w:sz="6" w:space="0"/>
              <w:left w:val="single" w:color="auto" w:sz="4"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3</w:t>
            </w:r>
          </w:p>
        </w:tc>
        <w:tc>
          <w:tcPr>
            <w:tcW w:w="6373" w:type="dxa"/>
            <w:tcBorders>
              <w:top w:val="single" w:color="auto" w:sz="6" w:space="0"/>
              <w:left w:val="single" w:color="auto" w:sz="4"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根据作业质量标准，检查考核办法，作业人员安全教育、劳动保护、安全管理制度，意外事件应急预案等情况酌情评分</w:t>
            </w:r>
            <w:r>
              <w:rPr>
                <w:rFonts w:hint="eastAsia"/>
                <w:color w:val="auto"/>
                <w:spacing w:val="-3"/>
                <w:sz w:val="21"/>
                <w:highlight w:val="none"/>
                <w:lang w:eastAsia="zh-CN"/>
              </w:rPr>
              <w:t>（</w:t>
            </w:r>
            <w:r>
              <w:rPr>
                <w:rFonts w:hint="eastAsia"/>
                <w:color w:val="auto"/>
                <w:spacing w:val="-3"/>
                <w:sz w:val="21"/>
                <w:highlight w:val="none"/>
                <w:lang w:val="en-US" w:eastAsia="zh-CN"/>
              </w:rPr>
              <w:t>4-10分</w:t>
            </w:r>
            <w:r>
              <w:rPr>
                <w:rFonts w:hint="eastAsia"/>
                <w:color w:val="auto"/>
                <w:spacing w:val="-3"/>
                <w:sz w:val="21"/>
                <w:highlight w:val="none"/>
                <w:lang w:eastAsia="zh-CN"/>
              </w:rPr>
              <w:t>）</w:t>
            </w:r>
          </w:p>
        </w:tc>
        <w:tc>
          <w:tcPr>
            <w:tcW w:w="1530" w:type="dxa"/>
            <w:tcBorders>
              <w:top w:val="single" w:color="auto" w:sz="6" w:space="0"/>
              <w:left w:val="single" w:color="auto" w:sz="4"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7"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4</w:t>
            </w:r>
          </w:p>
        </w:tc>
        <w:tc>
          <w:tcPr>
            <w:tcW w:w="6373" w:type="dxa"/>
            <w:tcBorders>
              <w:top w:val="single" w:color="auto" w:sz="4"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both"/>
              <w:rPr>
                <w:rFonts w:hint="eastAsia" w:ascii="宋体" w:hAnsi="宋体" w:eastAsia="宋体" w:cs="宋体"/>
                <w:color w:val="auto"/>
                <w:kern w:val="2"/>
                <w:szCs w:val="21"/>
                <w:highlight w:val="none"/>
              </w:rPr>
            </w:pPr>
            <w:r>
              <w:rPr>
                <w:rFonts w:hint="eastAsia" w:ascii="宋体" w:hAnsi="宋体"/>
                <w:color w:val="auto"/>
                <w:szCs w:val="21"/>
                <w:highlight w:val="none"/>
              </w:rPr>
              <w:t>投标人针对本项目实施的项目进度安排，根据进度安排的科学性（0-</w:t>
            </w:r>
            <w:r>
              <w:rPr>
                <w:rFonts w:hint="eastAsia" w:ascii="宋体" w:hAnsi="宋体"/>
                <w:color w:val="auto"/>
                <w:szCs w:val="21"/>
                <w:highlight w:val="none"/>
                <w:lang w:val="en-US" w:eastAsia="zh-CN"/>
              </w:rPr>
              <w:t>3</w:t>
            </w:r>
            <w:r>
              <w:rPr>
                <w:rFonts w:hint="eastAsia" w:ascii="宋体" w:hAnsi="宋体"/>
                <w:color w:val="auto"/>
                <w:szCs w:val="21"/>
                <w:highlight w:val="none"/>
              </w:rPr>
              <w:t>分）、合理性（0-</w:t>
            </w:r>
            <w:r>
              <w:rPr>
                <w:rFonts w:hint="eastAsia" w:ascii="宋体" w:hAnsi="宋体"/>
                <w:color w:val="auto"/>
                <w:szCs w:val="21"/>
                <w:highlight w:val="none"/>
                <w:lang w:val="en-US" w:eastAsia="zh-CN"/>
              </w:rPr>
              <w:t>3</w:t>
            </w:r>
            <w:r>
              <w:rPr>
                <w:rFonts w:hint="eastAsia" w:ascii="宋体" w:hAnsi="宋体"/>
                <w:color w:val="auto"/>
                <w:szCs w:val="21"/>
                <w:highlight w:val="none"/>
              </w:rPr>
              <w:t>分）、规范性和可操作性（0-</w:t>
            </w:r>
            <w:r>
              <w:rPr>
                <w:rFonts w:hint="eastAsia" w:ascii="宋体" w:hAnsi="宋体"/>
                <w:color w:val="auto"/>
                <w:szCs w:val="21"/>
                <w:highlight w:val="none"/>
                <w:lang w:val="en-US" w:eastAsia="zh-CN"/>
              </w:rPr>
              <w:t>4</w:t>
            </w:r>
            <w:r>
              <w:rPr>
                <w:rFonts w:hint="eastAsia" w:ascii="宋体" w:hAnsi="宋体"/>
                <w:color w:val="auto"/>
                <w:szCs w:val="21"/>
                <w:highlight w:val="none"/>
              </w:rPr>
              <w:t>分），各投标单位比较得分</w:t>
            </w:r>
          </w:p>
        </w:tc>
        <w:tc>
          <w:tcPr>
            <w:tcW w:w="1530" w:type="dxa"/>
            <w:tcBorders>
              <w:top w:val="single" w:color="auto" w:sz="4"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7"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5</w:t>
            </w:r>
          </w:p>
        </w:tc>
        <w:tc>
          <w:tcPr>
            <w:tcW w:w="6373" w:type="dxa"/>
            <w:tcBorders>
              <w:top w:val="single" w:color="auto" w:sz="4"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安全文明礼貌的承诺及应急预案实施措施，评委根据投标方提供的安全服务方案及应急预案措施进行综合评分，应急预案要求：针对台风暴雨天气、梅雨季节、冰雪霜冻天气、污雨水井或管道或化粪池堵塞或污水外溢情况、发生火灾等特殊紧急情况进行详细方案描述</w:t>
            </w:r>
            <w:r>
              <w:rPr>
                <w:rFonts w:hint="eastAsia" w:ascii="宋体" w:hAnsi="宋体" w:eastAsia="宋体" w:cs="宋体"/>
                <w:color w:val="auto"/>
                <w:kern w:val="2"/>
                <w:szCs w:val="21"/>
                <w:highlight w:val="none"/>
                <w:lang w:val="zh-CN" w:eastAsia="zh-CN"/>
              </w:rPr>
              <w:t>（</w:t>
            </w:r>
            <w:r>
              <w:rPr>
                <w:rFonts w:hint="eastAsia" w:ascii="宋体" w:hAnsi="宋体" w:cs="宋体"/>
                <w:color w:val="auto"/>
                <w:kern w:val="2"/>
                <w:szCs w:val="21"/>
                <w:highlight w:val="none"/>
                <w:lang w:val="en-US" w:eastAsia="zh-CN"/>
              </w:rPr>
              <w:t>3</w:t>
            </w:r>
            <w:r>
              <w:rPr>
                <w:rFonts w:hint="eastAsia" w:ascii="宋体" w:hAnsi="宋体" w:eastAsia="宋体" w:cs="宋体"/>
                <w:color w:val="auto"/>
                <w:kern w:val="2"/>
                <w:szCs w:val="21"/>
                <w:highlight w:val="none"/>
                <w:lang w:val="zh-CN" w:eastAsia="zh-CN"/>
              </w:rPr>
              <w:t>-</w:t>
            </w:r>
            <w:r>
              <w:rPr>
                <w:rFonts w:hint="eastAsia" w:ascii="宋体" w:hAnsi="宋体" w:cs="宋体"/>
                <w:color w:val="auto"/>
                <w:kern w:val="2"/>
                <w:szCs w:val="21"/>
                <w:highlight w:val="none"/>
                <w:lang w:val="en-US" w:eastAsia="zh-CN"/>
              </w:rPr>
              <w:t>8</w:t>
            </w:r>
            <w:r>
              <w:rPr>
                <w:rFonts w:hint="eastAsia" w:ascii="宋体" w:hAnsi="宋体" w:eastAsia="宋体" w:cs="宋体"/>
                <w:color w:val="auto"/>
                <w:kern w:val="2"/>
                <w:szCs w:val="21"/>
                <w:highlight w:val="none"/>
                <w:lang w:val="zh-CN" w:eastAsia="zh-CN"/>
              </w:rPr>
              <w:t>分）</w:t>
            </w:r>
          </w:p>
        </w:tc>
        <w:tc>
          <w:tcPr>
            <w:tcW w:w="1530" w:type="dxa"/>
            <w:tcBorders>
              <w:top w:val="single" w:color="auto" w:sz="4"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6</w:t>
            </w:r>
          </w:p>
        </w:tc>
        <w:tc>
          <w:tcPr>
            <w:tcW w:w="6373" w:type="dxa"/>
            <w:tcBorders>
              <w:top w:val="single" w:color="auto" w:sz="4"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zh-CN"/>
              </w:rPr>
              <w:t>投标人对</w:t>
            </w:r>
            <w:r>
              <w:rPr>
                <w:rFonts w:hint="eastAsia" w:ascii="宋体" w:hAnsi="宋体" w:cs="宋体"/>
                <w:color w:val="auto"/>
                <w:kern w:val="2"/>
                <w:szCs w:val="21"/>
                <w:highlight w:val="none"/>
                <w:lang w:val="zh-CN"/>
              </w:rPr>
              <w:t>养护服务</w:t>
            </w:r>
            <w:r>
              <w:rPr>
                <w:rFonts w:hint="eastAsia" w:ascii="宋体" w:hAnsi="宋体" w:eastAsia="宋体" w:cs="宋体"/>
                <w:color w:val="auto"/>
                <w:kern w:val="2"/>
                <w:szCs w:val="21"/>
                <w:highlight w:val="none"/>
                <w:lang w:val="zh-CN"/>
              </w:rPr>
              <w:t>质量控制及服务承诺的可实现程度，由专家综合打分</w:t>
            </w:r>
            <w:r>
              <w:rPr>
                <w:rFonts w:hint="eastAsia" w:ascii="宋体" w:hAnsi="宋体" w:cs="宋体"/>
                <w:color w:val="auto"/>
                <w:kern w:val="2"/>
                <w:szCs w:val="21"/>
                <w:highlight w:val="none"/>
                <w:lang w:val="zh-CN"/>
              </w:rPr>
              <w:t>（</w:t>
            </w:r>
            <w:r>
              <w:rPr>
                <w:rFonts w:hint="eastAsia" w:ascii="宋体" w:hAnsi="宋体" w:cs="宋体"/>
                <w:color w:val="auto"/>
                <w:kern w:val="2"/>
                <w:szCs w:val="21"/>
                <w:highlight w:val="none"/>
                <w:lang w:val="en-US" w:eastAsia="zh-CN"/>
              </w:rPr>
              <w:t>2-5分）</w:t>
            </w:r>
          </w:p>
        </w:tc>
        <w:tc>
          <w:tcPr>
            <w:tcW w:w="1530" w:type="dxa"/>
            <w:tcBorders>
              <w:top w:val="single" w:color="auto" w:sz="4"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7</w:t>
            </w:r>
          </w:p>
        </w:tc>
        <w:tc>
          <w:tcPr>
            <w:tcW w:w="6373" w:type="dxa"/>
            <w:tcBorders>
              <w:top w:val="single" w:color="auto" w:sz="4"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针对本项目实施的机械及设备配备的合理性、科学性等综合评分（</w:t>
            </w:r>
            <w:r>
              <w:rPr>
                <w:rFonts w:hint="eastAsia" w:ascii="宋体" w:hAnsi="宋体" w:cs="宋体"/>
                <w:color w:val="auto"/>
                <w:kern w:val="2"/>
                <w:szCs w:val="21"/>
                <w:highlight w:val="none"/>
                <w:lang w:val="en-US" w:eastAsia="zh-CN"/>
              </w:rPr>
              <w:t>2</w:t>
            </w:r>
            <w:r>
              <w:rPr>
                <w:rFonts w:hint="eastAsia" w:ascii="宋体" w:hAnsi="宋体" w:eastAsia="宋体" w:cs="宋体"/>
                <w:color w:val="auto"/>
                <w:kern w:val="2"/>
                <w:szCs w:val="21"/>
                <w:highlight w:val="none"/>
                <w:lang w:eastAsia="zh-CN"/>
              </w:rPr>
              <w:t>-</w:t>
            </w:r>
            <w:r>
              <w:rPr>
                <w:rFonts w:hint="eastAsia" w:ascii="宋体" w:hAnsi="宋体" w:cs="宋体"/>
                <w:color w:val="auto"/>
                <w:kern w:val="2"/>
                <w:szCs w:val="21"/>
                <w:highlight w:val="none"/>
                <w:lang w:val="en-US" w:eastAsia="zh-CN"/>
              </w:rPr>
              <w:t>5</w:t>
            </w:r>
            <w:r>
              <w:rPr>
                <w:rFonts w:hint="eastAsia" w:ascii="宋体" w:hAnsi="宋体" w:eastAsia="宋体" w:cs="宋体"/>
                <w:color w:val="auto"/>
                <w:kern w:val="2"/>
                <w:szCs w:val="21"/>
                <w:highlight w:val="none"/>
                <w:lang w:eastAsia="zh-CN"/>
              </w:rPr>
              <w:t>分）</w:t>
            </w:r>
          </w:p>
        </w:tc>
        <w:tc>
          <w:tcPr>
            <w:tcW w:w="1530" w:type="dxa"/>
            <w:tcBorders>
              <w:top w:val="single" w:color="auto" w:sz="4"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8</w:t>
            </w:r>
          </w:p>
        </w:tc>
        <w:tc>
          <w:tcPr>
            <w:tcW w:w="6373" w:type="dxa"/>
            <w:tcBorders>
              <w:top w:val="single" w:color="auto" w:sz="4" w:space="0"/>
              <w:left w:val="single" w:color="auto" w:sz="6" w:space="0"/>
              <w:bottom w:val="single" w:color="auto" w:sz="4" w:space="0"/>
              <w:right w:val="single" w:color="auto" w:sz="12" w:space="0"/>
            </w:tcBorders>
            <w:noWrap w:val="0"/>
            <w:vAlign w:val="center"/>
          </w:tcPr>
          <w:p>
            <w:pPr>
              <w:pStyle w:val="22"/>
              <w:spacing w:before="120" w:beforeLines="50" w:afterLines="50" w:line="240" w:lineRule="auto"/>
              <w:ind w:left="0" w:leftChars="0" w:firstLine="0" w:firstLineChars="0"/>
              <w:rPr>
                <w:rFonts w:hint="eastAsia" w:ascii="宋体" w:hAnsi="宋体" w:eastAsia="宋体" w:cs="宋体"/>
                <w:color w:val="auto"/>
                <w:kern w:val="2"/>
                <w:szCs w:val="21"/>
                <w:highlight w:val="none"/>
                <w:lang w:val="zh-CN" w:eastAsia="zh-CN"/>
              </w:rPr>
            </w:pPr>
            <w:r>
              <w:rPr>
                <w:rFonts w:hint="eastAsia" w:ascii="宋体" w:hAnsi="宋体" w:eastAsia="宋体" w:cs="宋体"/>
                <w:color w:val="auto"/>
                <w:kern w:val="2"/>
                <w:szCs w:val="21"/>
                <w:highlight w:val="none"/>
              </w:rPr>
              <w:t>根据投标单位是否有完善的监督自查体系，以及体系的完整性、科学性、可操作性，综合打分（</w:t>
            </w:r>
            <w:r>
              <w:rPr>
                <w:rFonts w:hint="eastAsia" w:ascii="宋体" w:hAnsi="宋体" w:cs="宋体"/>
                <w:color w:val="auto"/>
                <w:kern w:val="2"/>
                <w:szCs w:val="21"/>
                <w:highlight w:val="none"/>
                <w:lang w:val="en-US" w:eastAsia="zh-CN"/>
              </w:rPr>
              <w:t>3</w:t>
            </w:r>
            <w:r>
              <w:rPr>
                <w:rFonts w:hint="eastAsia" w:ascii="宋体" w:hAnsi="宋体" w:eastAsia="宋体" w:cs="宋体"/>
                <w:color w:val="auto"/>
                <w:kern w:val="2"/>
                <w:szCs w:val="21"/>
                <w:highlight w:val="none"/>
              </w:rPr>
              <w:t>—</w:t>
            </w:r>
            <w:r>
              <w:rPr>
                <w:rFonts w:hint="eastAsia" w:ascii="宋体" w:hAnsi="宋体" w:cs="宋体"/>
                <w:color w:val="auto"/>
                <w:kern w:val="2"/>
                <w:szCs w:val="21"/>
                <w:highlight w:val="none"/>
                <w:lang w:val="en-US" w:eastAsia="zh-CN"/>
              </w:rPr>
              <w:t>7</w:t>
            </w:r>
            <w:r>
              <w:rPr>
                <w:rFonts w:hint="eastAsia" w:ascii="宋体" w:hAnsi="宋体" w:eastAsia="宋体" w:cs="宋体"/>
                <w:color w:val="auto"/>
                <w:kern w:val="2"/>
                <w:szCs w:val="21"/>
                <w:highlight w:val="none"/>
              </w:rPr>
              <w:t>分）</w:t>
            </w:r>
          </w:p>
        </w:tc>
        <w:tc>
          <w:tcPr>
            <w:tcW w:w="1530" w:type="dxa"/>
            <w:tcBorders>
              <w:top w:val="single" w:color="auto" w:sz="4" w:space="0"/>
              <w:left w:val="single" w:color="auto" w:sz="6" w:space="0"/>
              <w:bottom w:val="single" w:color="auto" w:sz="4"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9</w:t>
            </w:r>
          </w:p>
        </w:tc>
        <w:tc>
          <w:tcPr>
            <w:tcW w:w="6373" w:type="dxa"/>
            <w:tcBorders>
              <w:top w:val="single" w:color="auto" w:sz="4" w:space="0"/>
              <w:left w:val="single" w:color="auto" w:sz="6" w:space="0"/>
              <w:bottom w:val="single" w:color="auto" w:sz="4" w:space="0"/>
              <w:right w:val="single" w:color="auto" w:sz="12" w:space="0"/>
            </w:tcBorders>
            <w:noWrap w:val="0"/>
            <w:vAlign w:val="center"/>
          </w:tcPr>
          <w:p>
            <w:pPr>
              <w:pStyle w:val="22"/>
              <w:spacing w:before="120" w:beforeLines="50" w:afterLines="50" w:line="240" w:lineRule="auto"/>
              <w:ind w:left="0" w:leftChars="0" w:firstLine="0" w:firstLineChars="0"/>
              <w:rPr>
                <w:rFonts w:hint="eastAsia"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根据投标人针对本项目特点提出的研究的重点、难点分析综合打分。（0-6分）</w:t>
            </w:r>
          </w:p>
        </w:tc>
        <w:tc>
          <w:tcPr>
            <w:tcW w:w="1530" w:type="dxa"/>
            <w:tcBorders>
              <w:top w:val="single" w:color="auto" w:sz="4" w:space="0"/>
              <w:left w:val="single" w:color="auto" w:sz="6" w:space="0"/>
              <w:bottom w:val="single" w:color="auto" w:sz="4"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55" w:type="dxa"/>
            <w:tcBorders>
              <w:top w:val="single" w:color="auto" w:sz="4"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10</w:t>
            </w:r>
          </w:p>
        </w:tc>
        <w:tc>
          <w:tcPr>
            <w:tcW w:w="6373" w:type="dxa"/>
            <w:tcBorders>
              <w:top w:val="single" w:color="auto" w:sz="4" w:space="0"/>
              <w:left w:val="single" w:color="auto" w:sz="6" w:space="0"/>
              <w:bottom w:val="single" w:color="auto" w:sz="4" w:space="0"/>
              <w:right w:val="single" w:color="auto" w:sz="12" w:space="0"/>
            </w:tcBorders>
            <w:noWrap w:val="0"/>
            <w:vAlign w:val="center"/>
          </w:tcPr>
          <w:p>
            <w:pPr>
              <w:pStyle w:val="22"/>
              <w:spacing w:before="120" w:beforeLines="50" w:afterLines="50" w:line="240" w:lineRule="auto"/>
              <w:ind w:left="0" w:leftChars="0" w:firstLine="0" w:firstLineChars="0"/>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提出关于本项目的相关合理化建议，突发情况的处理，酌情打分</w:t>
            </w:r>
            <w:r>
              <w:rPr>
                <w:rFonts w:hint="eastAsia" w:ascii="宋体" w:hAnsi="宋体" w:eastAsia="宋体" w:cs="宋体"/>
                <w:color w:val="auto"/>
                <w:kern w:val="2"/>
                <w:szCs w:val="21"/>
                <w:highlight w:val="none"/>
                <w:lang w:val="zh-CN" w:eastAsia="zh-CN"/>
              </w:rPr>
              <w:t>（4-10分）</w:t>
            </w:r>
          </w:p>
        </w:tc>
        <w:tc>
          <w:tcPr>
            <w:tcW w:w="1530" w:type="dxa"/>
            <w:tcBorders>
              <w:top w:val="single" w:color="auto" w:sz="4" w:space="0"/>
              <w:left w:val="single" w:color="auto" w:sz="6" w:space="0"/>
              <w:bottom w:val="single" w:color="auto" w:sz="4"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default" w:ascii="宋体" w:hAnsi="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8"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default" w:ascii="宋体" w:hAnsi="宋体" w:cs="宋体"/>
                <w:strike w:val="0"/>
                <w:dstrike w:val="0"/>
                <w:color w:val="auto"/>
                <w:kern w:val="2"/>
                <w:szCs w:val="21"/>
                <w:highlight w:val="none"/>
                <w:lang w:val="en-US" w:eastAsia="zh-CN"/>
              </w:rPr>
            </w:pPr>
            <w:r>
              <w:rPr>
                <w:rFonts w:hint="eastAsia" w:ascii="宋体" w:hAnsi="宋体" w:cs="宋体"/>
                <w:strike w:val="0"/>
                <w:dstrike w:val="0"/>
                <w:color w:val="auto"/>
                <w:kern w:val="2"/>
                <w:szCs w:val="21"/>
                <w:highlight w:val="none"/>
                <w:lang w:val="en-US" w:eastAsia="zh-CN"/>
              </w:rPr>
              <w:t>11</w:t>
            </w:r>
          </w:p>
        </w:tc>
        <w:tc>
          <w:tcPr>
            <w:tcW w:w="6373" w:type="dxa"/>
            <w:tcBorders>
              <w:top w:val="single" w:color="auto" w:sz="6"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rPr>
                <w:rFonts w:hint="eastAsia" w:ascii="宋体" w:hAnsi="宋体" w:cs="宋体"/>
                <w:strike w:val="0"/>
                <w:dstrike w:val="0"/>
                <w:color w:val="auto"/>
                <w:kern w:val="2"/>
                <w:szCs w:val="21"/>
                <w:highlight w:val="none"/>
                <w:lang w:val="en-US" w:eastAsia="zh-CN"/>
              </w:rPr>
            </w:pPr>
            <w:r>
              <w:rPr>
                <w:rFonts w:hint="eastAsia" w:ascii="宋体" w:hAnsi="宋体" w:cs="宋体"/>
                <w:strike w:val="0"/>
                <w:dstrike w:val="0"/>
                <w:color w:val="auto"/>
                <w:kern w:val="2"/>
                <w:szCs w:val="21"/>
                <w:highlight w:val="none"/>
                <w:lang w:val="en-US" w:eastAsia="zh-CN"/>
              </w:rPr>
              <w:t>投标单位取得有效期内的质量体系认证证书、环境管理体系认证证书、职业健康安全管理体系认证证书，最高得3分。（开标时提供有效期内证书原件的复印件加盖公章，否则不得分，公证书不予确认）。</w:t>
            </w:r>
          </w:p>
        </w:tc>
        <w:tc>
          <w:tcPr>
            <w:tcW w:w="1530" w:type="dxa"/>
            <w:tcBorders>
              <w:top w:val="single" w:color="auto" w:sz="6"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default" w:ascii="宋体" w:hAnsi="宋体" w:cs="宋体"/>
                <w:strike w:val="0"/>
                <w:dstrike w:val="0"/>
                <w:color w:val="auto"/>
                <w:kern w:val="2"/>
                <w:szCs w:val="21"/>
                <w:highlight w:val="none"/>
                <w:lang w:val="en-US" w:eastAsia="zh-CN"/>
              </w:rPr>
            </w:pPr>
            <w:r>
              <w:rPr>
                <w:rFonts w:hint="eastAsia" w:ascii="宋体" w:hAnsi="宋体" w:cs="宋体"/>
                <w:strike w:val="0"/>
                <w:dstrike w:val="0"/>
                <w:color w:val="auto"/>
                <w:kern w:val="2"/>
                <w:szCs w:val="21"/>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8" w:hRule="atLeast"/>
          <w:jc w:val="center"/>
        </w:trPr>
        <w:tc>
          <w:tcPr>
            <w:tcW w:w="755" w:type="dxa"/>
            <w:tcBorders>
              <w:top w:val="single" w:color="auto" w:sz="6" w:space="0"/>
              <w:left w:val="single" w:color="auto" w:sz="12" w:space="0"/>
              <w:bottom w:val="single" w:color="auto" w:sz="6"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default" w:ascii="宋体" w:hAnsi="宋体" w:eastAsia="宋体" w:cs="宋体"/>
                <w:strike w:val="0"/>
                <w:dstrike w:val="0"/>
                <w:color w:val="auto"/>
                <w:kern w:val="2"/>
                <w:szCs w:val="21"/>
                <w:highlight w:val="none"/>
                <w:lang w:val="en-US" w:eastAsia="zh-CN"/>
              </w:rPr>
            </w:pPr>
            <w:r>
              <w:rPr>
                <w:rFonts w:hint="eastAsia" w:ascii="宋体" w:hAnsi="宋体" w:cs="宋体"/>
                <w:strike w:val="0"/>
                <w:dstrike w:val="0"/>
                <w:color w:val="auto"/>
                <w:kern w:val="2"/>
                <w:szCs w:val="21"/>
                <w:highlight w:val="none"/>
                <w:lang w:val="en-US" w:eastAsia="zh-CN"/>
              </w:rPr>
              <w:t>12</w:t>
            </w:r>
          </w:p>
        </w:tc>
        <w:tc>
          <w:tcPr>
            <w:tcW w:w="6373" w:type="dxa"/>
            <w:tcBorders>
              <w:top w:val="single" w:color="auto" w:sz="6"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rPr>
                <w:rFonts w:hint="default" w:ascii="宋体" w:hAnsi="宋体" w:eastAsia="宋体" w:cs="宋体"/>
                <w:strike w:val="0"/>
                <w:dstrike w:val="0"/>
                <w:color w:val="auto"/>
                <w:kern w:val="2"/>
                <w:szCs w:val="21"/>
                <w:highlight w:val="none"/>
                <w:lang w:val="en-US" w:eastAsia="zh-CN"/>
              </w:rPr>
            </w:pPr>
            <w:r>
              <w:rPr>
                <w:rFonts w:hint="eastAsia" w:ascii="宋体" w:hAnsi="宋体" w:cs="宋体"/>
                <w:strike w:val="0"/>
                <w:dstrike w:val="0"/>
                <w:color w:val="auto"/>
                <w:kern w:val="2"/>
                <w:szCs w:val="21"/>
                <w:highlight w:val="none"/>
                <w:lang w:val="en-US" w:eastAsia="zh-CN"/>
              </w:rPr>
              <w:t>项目负责人具有市政公用工程二级及以上注册建造师的得2分，项目负责人具有工程师及以上职称的得1分。项目组成员具有中级及以上职称的每有一个加0.5分，最高加2分。</w:t>
            </w:r>
          </w:p>
        </w:tc>
        <w:tc>
          <w:tcPr>
            <w:tcW w:w="1530" w:type="dxa"/>
            <w:tcBorders>
              <w:top w:val="single" w:color="auto" w:sz="6" w:space="0"/>
              <w:left w:val="single" w:color="auto" w:sz="6" w:space="0"/>
              <w:bottom w:val="single" w:color="auto" w:sz="6"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strike w:val="0"/>
                <w:dstrike w:val="0"/>
                <w:color w:val="auto"/>
                <w:kern w:val="2"/>
                <w:szCs w:val="21"/>
                <w:highlight w:val="none"/>
                <w:lang w:val="en-US" w:eastAsia="zh-CN"/>
              </w:rPr>
            </w:pPr>
            <w:r>
              <w:rPr>
                <w:rFonts w:hint="eastAsia" w:ascii="宋体" w:hAnsi="宋体" w:cs="宋体"/>
                <w:strike w:val="0"/>
                <w:dstrike w:val="0"/>
                <w:color w:val="auto"/>
                <w:kern w:val="2"/>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755" w:type="dxa"/>
            <w:tcBorders>
              <w:top w:val="single" w:color="auto" w:sz="6" w:space="0"/>
              <w:left w:val="single" w:color="auto" w:sz="12" w:space="0"/>
              <w:bottom w:val="single" w:color="auto" w:sz="12" w:space="0"/>
              <w:right w:val="single" w:color="auto" w:sz="6" w:space="0"/>
            </w:tcBorders>
            <w:noWrap w:val="0"/>
            <w:vAlign w:val="center"/>
          </w:tcPr>
          <w:p>
            <w:pPr>
              <w:pStyle w:val="22"/>
              <w:spacing w:before="120" w:beforeLines="50" w:afterLines="50" w:line="240" w:lineRule="auto"/>
              <w:ind w:left="0" w:leftChars="0" w:firstLine="0" w:firstLineChars="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13</w:t>
            </w:r>
            <w:bookmarkStart w:id="62" w:name="_GoBack"/>
            <w:bookmarkEnd w:id="62"/>
          </w:p>
        </w:tc>
        <w:tc>
          <w:tcPr>
            <w:tcW w:w="6373" w:type="dxa"/>
            <w:tcBorders>
              <w:top w:val="single" w:color="auto" w:sz="6" w:space="0"/>
              <w:left w:val="single" w:color="auto" w:sz="6" w:space="0"/>
              <w:bottom w:val="single" w:color="auto" w:sz="12" w:space="0"/>
              <w:right w:val="single" w:color="auto" w:sz="12" w:space="0"/>
            </w:tcBorders>
            <w:noWrap w:val="0"/>
            <w:vAlign w:val="center"/>
          </w:tcPr>
          <w:p>
            <w:pPr>
              <w:pStyle w:val="22"/>
              <w:spacing w:before="120" w:beforeLines="50" w:afterLines="50" w:line="240" w:lineRule="auto"/>
              <w:ind w:left="0" w:leftChars="0" w:firstLine="0" w:firstLineChars="0"/>
              <w:rPr>
                <w:rFonts w:hint="eastAsia" w:ascii="宋体" w:hAnsi="宋体" w:eastAsia="宋体" w:cs="宋体"/>
                <w:color w:val="auto"/>
                <w:kern w:val="2"/>
                <w:szCs w:val="21"/>
                <w:highlight w:val="none"/>
                <w:lang w:val="zh-CN" w:eastAsia="zh-CN"/>
              </w:rPr>
            </w:pPr>
            <w:r>
              <w:rPr>
                <w:rFonts w:hint="eastAsia" w:ascii="宋体" w:hAnsi="宋体" w:eastAsia="宋体" w:cs="宋体"/>
                <w:color w:val="auto"/>
                <w:kern w:val="2"/>
                <w:szCs w:val="21"/>
                <w:highlight w:val="none"/>
                <w:lang w:val="zh-CN" w:eastAsia="zh-CN"/>
              </w:rPr>
              <w:t>根据投标人在投标截止时间止前三年是否受到行政处罚、行政处理（含通报）、列入不良行为、经营异常或在政府采购专项检查、合同履约验收过程中的诚信情况酌情评分</w:t>
            </w:r>
          </w:p>
        </w:tc>
        <w:tc>
          <w:tcPr>
            <w:tcW w:w="1530" w:type="dxa"/>
            <w:tcBorders>
              <w:top w:val="single" w:color="auto" w:sz="6" w:space="0"/>
              <w:left w:val="single" w:color="auto" w:sz="6" w:space="0"/>
              <w:bottom w:val="single" w:color="auto" w:sz="12" w:space="0"/>
              <w:right w:val="single" w:color="auto" w:sz="12" w:space="0"/>
            </w:tcBorders>
            <w:noWrap w:val="0"/>
            <w:vAlign w:val="center"/>
          </w:tcPr>
          <w:p>
            <w:pPr>
              <w:pStyle w:val="22"/>
              <w:spacing w:before="120" w:beforeLines="50" w:afterLines="50" w:line="240" w:lineRule="auto"/>
              <w:ind w:left="0" w:leftChars="0" w:firstLine="0" w:firstLineChars="0"/>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3</w:t>
            </w:r>
          </w:p>
        </w:tc>
      </w:tr>
    </w:tbl>
    <w:p>
      <w:pPr>
        <w:snapToGrid w:val="0"/>
        <w:spacing w:beforeLines="50" w:afterLines="50" w:line="360" w:lineRule="auto"/>
        <w:outlineLvl w:val="1"/>
        <w:rPr>
          <w:rFonts w:asciiTheme="minorEastAsia" w:hAnsiTheme="minorEastAsia" w:eastAsiaTheme="minorEastAsia"/>
          <w:b/>
          <w:color w:val="auto"/>
          <w:sz w:val="30"/>
          <w:szCs w:val="30"/>
          <w:highlight w:val="none"/>
        </w:rPr>
      </w:pPr>
    </w:p>
    <w:p>
      <w:pPr>
        <w:widowControl/>
        <w:jc w:val="left"/>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br w:type="page"/>
      </w:r>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第五章  嘉兴市政府采购合同（指引）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Cs w:val="21"/>
          <w:highlight w:val="none"/>
          <w:lang w:eastAsia="zh-CN"/>
        </w:rPr>
      </w:pPr>
      <w:r>
        <w:rPr>
          <w:rFonts w:hint="eastAsia" w:cs="Arial" w:asciiTheme="minorEastAsia" w:hAnsiTheme="minorEastAsia" w:eastAsiaTheme="minorEastAsia"/>
          <w:color w:val="auto"/>
          <w:kern w:val="0"/>
          <w:szCs w:val="21"/>
          <w:highlight w:val="none"/>
        </w:rPr>
        <w:t>招标编号：</w:t>
      </w:r>
      <w:r>
        <w:rPr>
          <w:rFonts w:hint="eastAsia" w:cs="Arial" w:asciiTheme="minorEastAsia" w:hAnsiTheme="minorEastAsia" w:eastAsiaTheme="minorEastAsia"/>
          <w:color w:val="auto"/>
          <w:kern w:val="0"/>
          <w:szCs w:val="21"/>
          <w:highlight w:val="none"/>
          <w:lang w:eastAsia="zh-CN"/>
        </w:rPr>
        <w:t>银建-JXYJ-L（2022）15号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Cs w:val="21"/>
          <w:highlight w:val="none"/>
          <w:lang w:eastAsia="zh-CN"/>
        </w:rPr>
      </w:pPr>
      <w:r>
        <w:rPr>
          <w:rFonts w:hint="eastAsia" w:cs="Arial" w:asciiTheme="minorEastAsia" w:hAnsiTheme="minorEastAsia" w:eastAsiaTheme="minorEastAsia"/>
          <w:color w:val="auto"/>
          <w:kern w:val="0"/>
          <w:szCs w:val="21"/>
          <w:highlight w:val="none"/>
        </w:rPr>
        <w:t>合同编号：</w:t>
      </w:r>
      <w:r>
        <w:rPr>
          <w:rFonts w:hint="eastAsia" w:cs="Arial" w:asciiTheme="minorEastAsia" w:hAnsiTheme="minorEastAsia" w:eastAsiaTheme="minorEastAsia"/>
          <w:color w:val="auto"/>
          <w:kern w:val="0"/>
          <w:szCs w:val="21"/>
          <w:highlight w:val="none"/>
          <w:lang w:eastAsia="zh-CN"/>
        </w:rPr>
        <w:t>银建-JXYJ-L（2022）15号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cs="Arial" w:asciiTheme="minorEastAsia" w:hAnsiTheme="minorEastAsia" w:eastAsiaTheme="minorEastAsia"/>
          <w:color w:val="auto"/>
          <w:kern w:val="0"/>
          <w:szCs w:val="21"/>
          <w:highlight w:val="none"/>
          <w:u w:val="single"/>
          <w:lang w:val="en-US" w:eastAsia="zh-CN"/>
        </w:rPr>
      </w:pPr>
      <w:r>
        <w:rPr>
          <w:rFonts w:hint="eastAsia" w:cs="Arial" w:asciiTheme="minorEastAsia" w:hAnsiTheme="minorEastAsia" w:eastAsiaTheme="minorEastAsia"/>
          <w:color w:val="auto"/>
          <w:kern w:val="0"/>
          <w:szCs w:val="21"/>
          <w:highlight w:val="none"/>
        </w:rPr>
        <w:t>政府采购计划（预算）确认书号</w:t>
      </w:r>
      <w:r>
        <w:rPr>
          <w:rFonts w:hint="eastAsia" w:eastAsiaTheme="minorEastAsia"/>
          <w:color w:val="auto"/>
          <w:highlight w:val="none"/>
          <w:u w:val="single"/>
          <w:lang w:val="en-US" w:eastAsia="zh-CN"/>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Cs w:val="21"/>
          <w:highlight w:val="none"/>
          <w:lang w:eastAsia="zh-CN"/>
        </w:rPr>
      </w:pPr>
      <w:r>
        <w:rPr>
          <w:rFonts w:hint="eastAsia" w:cs="Arial" w:asciiTheme="minorEastAsia" w:hAnsiTheme="minorEastAsia" w:eastAsiaTheme="minorEastAsia"/>
          <w:color w:val="auto"/>
          <w:kern w:val="0"/>
          <w:szCs w:val="21"/>
          <w:highlight w:val="none"/>
        </w:rPr>
        <w:t>采购人（以下称甲方）：</w:t>
      </w:r>
      <w:r>
        <w:rPr>
          <w:rFonts w:hint="eastAsia" w:cs="Arial" w:asciiTheme="minorEastAsia" w:hAnsiTheme="minorEastAsia" w:eastAsiaTheme="minorEastAsia"/>
          <w:color w:val="auto"/>
          <w:kern w:val="0"/>
          <w:szCs w:val="21"/>
          <w:highlight w:val="none"/>
          <w:lang w:eastAsia="zh-CN"/>
        </w:rPr>
        <w:t>嘉兴市秀洲区人民政府新城街道办事处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代理机构：嘉兴市银建工程咨询评估有限公司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根据《中华人民共和国政府采购法》、《民法典》等法律法规的规定，甲乙双方按照</w:t>
      </w:r>
      <w:r>
        <w:rPr>
          <w:rFonts w:hint="eastAsia" w:cs="Arial" w:asciiTheme="minorEastAsia" w:hAnsiTheme="minorEastAsia" w:eastAsiaTheme="minorEastAsia"/>
          <w:color w:val="auto"/>
          <w:szCs w:val="21"/>
          <w:highlight w:val="none"/>
          <w:u w:val="single"/>
          <w:lang w:eastAsia="zh-CN"/>
        </w:rPr>
        <w:t>新城街道市政设施养护项目</w:t>
      </w:r>
      <w:r>
        <w:rPr>
          <w:rFonts w:hint="eastAsia" w:cs="Arial" w:asciiTheme="minorEastAsia" w:hAnsiTheme="minorEastAsia" w:eastAsiaTheme="minorEastAsia"/>
          <w:color w:val="auto"/>
          <w:kern w:val="0"/>
          <w:szCs w:val="21"/>
          <w:highlight w:val="none"/>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（2）招标文件与采购投标文件；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本次采购的是</w:t>
      </w:r>
    </w:p>
    <w:tbl>
      <w:tblPr>
        <w:tblStyle w:val="4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4004"/>
        <w:gridCol w:w="1211"/>
        <w:gridCol w:w="808"/>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4004"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项目名称</w:t>
            </w:r>
          </w:p>
        </w:tc>
        <w:tc>
          <w:tcPr>
            <w:tcW w:w="1211"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808"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采购金额</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4012" w:type="dxa"/>
            <w:gridSpan w:val="2"/>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808"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Theme="minorEastAsia" w:hAnsiTheme="minorEastAsia" w:eastAsiaTheme="minorEastAsia"/>
                <w:b/>
                <w:color w:val="auto"/>
                <w:szCs w:val="21"/>
                <w:highlight w:val="none"/>
              </w:rPr>
            </w:pPr>
          </w:p>
        </w:tc>
        <w:tc>
          <w:tcPr>
            <w:tcW w:w="5223" w:type="dxa"/>
            <w:gridSpan w:val="3"/>
            <w:tcBorders>
              <w:top w:val="single" w:color="auto" w:sz="4" w:space="0"/>
              <w:left w:val="single" w:color="auto" w:sz="4" w:space="0"/>
              <w:bottom w:val="single" w:color="auto" w:sz="4" w:space="0"/>
              <w:right w:val="single" w:color="auto" w:sz="4" w:space="0"/>
            </w:tcBorders>
          </w:tcPr>
          <w:p>
            <w:pPr>
              <w:spacing w:before="156" w:after="156"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合计</w:t>
            </w:r>
          </w:p>
        </w:tc>
        <w:tc>
          <w:tcPr>
            <w:tcW w:w="808"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c>
          <w:tcPr>
            <w:tcW w:w="1816" w:type="dxa"/>
            <w:tcBorders>
              <w:top w:val="single" w:color="auto" w:sz="4" w:space="0"/>
              <w:left w:val="single" w:color="auto" w:sz="4" w:space="0"/>
              <w:bottom w:val="single" w:color="auto" w:sz="4" w:space="0"/>
              <w:right w:val="single" w:color="auto" w:sz="4" w:space="0"/>
            </w:tcBorders>
          </w:tcPr>
          <w:p>
            <w:pPr>
              <w:spacing w:before="156" w:after="156" w:line="360" w:lineRule="auto"/>
              <w:rPr>
                <w:rFonts w:asciiTheme="minorEastAsia" w:hAnsiTheme="minorEastAsia" w:eastAsiaTheme="minorEastAsia"/>
                <w:color w:val="auto"/>
                <w:szCs w:val="21"/>
                <w:highlight w:val="none"/>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1、本合同项下总价款为（大写）人民币，分项价款在“投标报价表”中明确。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3、本合同付款方式为以下第</w:t>
      </w:r>
      <w:r>
        <w:rPr>
          <w:rFonts w:hint="eastAsia" w:cs="Arial" w:asciiTheme="minorEastAsia" w:hAnsiTheme="minorEastAsia" w:eastAsiaTheme="minorEastAsia"/>
          <w:color w:val="auto"/>
          <w:kern w:val="0"/>
          <w:szCs w:val="21"/>
          <w:highlight w:val="none"/>
          <w:u w:val="single"/>
        </w:rPr>
        <w:t xml:space="preserve">    （2）      </w:t>
      </w:r>
      <w:r>
        <w:rPr>
          <w:rFonts w:hint="eastAsia" w:cs="Arial" w:asciiTheme="minorEastAsia" w:hAnsiTheme="minorEastAsia" w:eastAsiaTheme="minorEastAsia"/>
          <w:color w:val="auto"/>
          <w:kern w:val="0"/>
          <w:szCs w:val="21"/>
          <w:highlight w:val="none"/>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（1）本合同项下的采购资金系甲方自行支付，付款程序为</w:t>
      </w:r>
      <w:r>
        <w:rPr>
          <w:rFonts w:hint="eastAsia" w:cs="Arial" w:asciiTheme="minorEastAsia" w:hAnsiTheme="minorEastAsia" w:eastAsiaTheme="minorEastAsia"/>
          <w:color w:val="auto"/>
          <w:kern w:val="0"/>
          <w:szCs w:val="21"/>
          <w:highlight w:val="none"/>
          <w:u w:val="single"/>
        </w:rPr>
        <w:t xml:space="preserve">          </w:t>
      </w:r>
      <w:r>
        <w:rPr>
          <w:rFonts w:hint="eastAsia" w:cs="Arial" w:asciiTheme="minorEastAsia" w:hAnsiTheme="minorEastAsia" w:eastAsia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u w:val="single"/>
        </w:rPr>
      </w:pPr>
      <w:r>
        <w:rPr>
          <w:rFonts w:hint="eastAsia" w:cs="Arial" w:asciiTheme="minorEastAsia" w:hAnsiTheme="minorEastAsia" w:eastAsiaTheme="minorEastAsia"/>
          <w:color w:val="auto"/>
          <w:kern w:val="0"/>
          <w:szCs w:val="21"/>
          <w:highlight w:val="none"/>
        </w:rPr>
        <w:t>（2）本合同项下的采购资金须财政直接支付，付款程序为</w:t>
      </w:r>
      <w:r>
        <w:rPr>
          <w:rFonts w:hint="eastAsia" w:cs="Arial" w:asciiTheme="minorEastAsia" w:hAnsiTheme="minorEastAsia" w:eastAsiaTheme="minorEastAsia"/>
          <w:color w:val="auto"/>
          <w:kern w:val="0"/>
          <w:szCs w:val="21"/>
          <w:highlight w:val="none"/>
          <w:u w:val="single"/>
        </w:rPr>
        <w:t xml:space="preserve">        </w:t>
      </w:r>
      <w:r>
        <w:rPr>
          <w:rFonts w:hint="eastAsia" w:cs="Arial" w:asciiTheme="minorEastAsia" w:hAnsiTheme="minorEastAsia" w:eastAsia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color w:val="auto"/>
          <w:kern w:val="0"/>
          <w:szCs w:val="21"/>
          <w:highlight w:val="none"/>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1、本项目设置履约保证金，乙方应于_________（时间）向甲方提交履约保证金_________元（不得高于本合同金额的5%）。履约保证金在_________（时间）退还乙方。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除《政府采购法》第49条、第50条第二款规定的情形外，本合同一经签订，甲乙双方不得擅自终止合同或对合同实质性条款进行变更。确有特殊情况的，须经同级财政部门备案。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本合同一式五份，甲乙双方各执二份， 一份送招标代理机构存档。</w:t>
      </w:r>
    </w:p>
    <w:p>
      <w:pPr>
        <w:snapToGrid w:val="0"/>
        <w:spacing w:beforeLines="50" w:afterLines="50" w:line="360" w:lineRule="auto"/>
        <w:jc w:val="center"/>
        <w:outlineLvl w:val="0"/>
        <w:rPr>
          <w:rFonts w:cs="Arial" w:asciiTheme="minorEastAsia" w:hAnsiTheme="minorEastAsia" w:eastAsiaTheme="minorEastAsia"/>
          <w:b/>
          <w:color w:val="auto"/>
          <w:kern w:val="0"/>
          <w:szCs w:val="21"/>
          <w:highlight w:val="none"/>
        </w:rPr>
      </w:pPr>
    </w:p>
    <w:p>
      <w:pPr>
        <w:snapToGrid w:val="0"/>
        <w:spacing w:beforeLines="50" w:afterLines="50" w:line="360" w:lineRule="auto"/>
        <w:jc w:val="center"/>
        <w:outlineLvl w:val="0"/>
        <w:rPr>
          <w:rFonts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二、特殊专用条款部分（双方协商拟定）</w:t>
      </w:r>
    </w:p>
    <w:p>
      <w:pPr>
        <w:pStyle w:val="28"/>
        <w:snapToGrid w:val="0"/>
        <w:spacing w:before="120" w:after="12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甲方：乙方：</w:t>
      </w:r>
    </w:p>
    <w:p>
      <w:pPr>
        <w:pStyle w:val="28"/>
        <w:snapToGrid w:val="0"/>
        <w:spacing w:before="120" w:after="12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地址：地址：</w:t>
      </w:r>
    </w:p>
    <w:p>
      <w:pPr>
        <w:pStyle w:val="28"/>
        <w:snapToGrid w:val="0"/>
        <w:spacing w:before="120" w:after="12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法定代表人或被授权人：法定代表人或被授权人：</w:t>
      </w:r>
    </w:p>
    <w:p>
      <w:pPr>
        <w:pStyle w:val="28"/>
        <w:snapToGrid w:val="0"/>
        <w:spacing w:before="120" w:after="12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签订地点：</w:t>
      </w:r>
    </w:p>
    <w:p>
      <w:pPr>
        <w:pStyle w:val="28"/>
        <w:snapToGrid w:val="0"/>
        <w:spacing w:before="120" w:after="120" w:line="360" w:lineRule="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签订日期：年月日</w:t>
      </w:r>
    </w:p>
    <w:p>
      <w:pP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合同协议条款</w:t>
      </w:r>
    </w:p>
    <w:p>
      <w:pPr>
        <w:rPr>
          <w:rFonts w:hint="eastAsia" w:ascii="宋体" w:hAnsi="宋体" w:eastAsia="宋体" w:cs="宋体"/>
          <w:color w:val="auto"/>
          <w:highlight w:val="none"/>
        </w:rPr>
      </w:pPr>
    </w:p>
    <w:p>
      <w:pPr>
        <w:numPr>
          <w:ilvl w:val="0"/>
          <w:numId w:val="8"/>
        </w:numPr>
        <w:adjustRightInd w:val="0"/>
        <w:snapToGrid w:val="0"/>
        <w:spacing w:line="460" w:lineRule="atLeast"/>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词语定义合同文件</w:t>
      </w:r>
    </w:p>
    <w:p>
      <w:pPr>
        <w:adjustRightInd w:val="0"/>
        <w:snapToGrid w:val="0"/>
        <w:spacing w:line="460" w:lineRule="atLeast"/>
        <w:ind w:left="482"/>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词语定义</w:t>
      </w:r>
    </w:p>
    <w:p>
      <w:pPr>
        <w:adjustRightInd w:val="0"/>
        <w:snapToGrid w:val="0"/>
        <w:spacing w:line="460" w:lineRule="atLeast"/>
        <w:ind w:left="482"/>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下列词语除补充条款另有约定外，应具有本条所赋予的定义：</w:t>
      </w:r>
    </w:p>
    <w:p>
      <w:pPr>
        <w:adjustRightInd w:val="0"/>
        <w:snapToGrid w:val="0"/>
        <w:spacing w:line="460" w:lineRule="atLeast"/>
        <w:ind w:firstLine="48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1.1协议条款：是根据法律、行政法规规定及养护要求的需要订立，通用于本项目实施的条款。</w:t>
      </w:r>
    </w:p>
    <w:p>
      <w:pPr>
        <w:adjustRightInd w:val="0"/>
        <w:snapToGrid w:val="0"/>
        <w:spacing w:line="460" w:lineRule="atLeast"/>
        <w:ind w:firstLine="48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1.2补充条款：是双方根据有关法律、行政法规规定，结合项目实际情况，经协商达成意见的条款，是对协议条款内容的具体化、补充或修改。</w:t>
      </w:r>
    </w:p>
    <w:p>
      <w:pPr>
        <w:adjustRightInd w:val="0"/>
        <w:snapToGrid w:val="0"/>
        <w:spacing w:line="460" w:lineRule="atLeast"/>
        <w:ind w:firstLine="48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1.3发包人：指在协议书中约定，被发包人接受的具有施工主体资格的当事人。</w:t>
      </w:r>
    </w:p>
    <w:p>
      <w:pPr>
        <w:adjustRightInd w:val="0"/>
        <w:snapToGrid w:val="0"/>
        <w:spacing w:line="460" w:lineRule="atLeast"/>
        <w:ind w:firstLine="48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承包人：指在协议书中约定，被发包人接受的具有施工承包主体资格的当事人。</w:t>
      </w:r>
    </w:p>
    <w:p>
      <w:pPr>
        <w:adjustRightInd w:val="0"/>
        <w:snapToGrid w:val="0"/>
        <w:spacing w:line="460" w:lineRule="atLeast"/>
        <w:ind w:firstLine="480"/>
        <w:outlineLvl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1.5项目：</w:t>
      </w:r>
      <w:r>
        <w:rPr>
          <w:rFonts w:hint="eastAsia" w:ascii="宋体" w:hAnsi="宋体" w:eastAsia="宋体" w:cs="宋体"/>
          <w:b/>
          <w:color w:val="auto"/>
          <w:szCs w:val="21"/>
          <w:highlight w:val="none"/>
          <w:lang w:eastAsia="zh-CN"/>
        </w:rPr>
        <w:t>新城街道市政设施养护项目</w:t>
      </w:r>
    </w:p>
    <w:p>
      <w:pPr>
        <w:adjustRightInd w:val="0"/>
        <w:snapToGrid w:val="0"/>
        <w:spacing w:line="460" w:lineRule="atLeast"/>
        <w:ind w:left="480"/>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1.6月日指日历月日</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语言文字和适用法律、标准及规范</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2.1语言文字</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本合同文件使用汉语书写和解释、说明。</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2.2适用法律法规</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适用中华人民共和国的法律、法规和嘉兴市的地方法规；</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2.3适用标准、规范</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综合养护质量规范</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二、双方一般权利和义务</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 甲方代表</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甲方指派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为甲方代表，全面负责日常养护作业的管理工作。</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 乙方代表</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4.1乙方指派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为养护项目负责人，具体负责本养护标段作业工作，并用书面材料报甲方备案。</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4.2项目负责人等有关人员必须按时参加由甲方召开的养护例会和各种必须参加的会议。</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4.3乙方如需更换项目负责人，应至少提前7天以书面形式通知甲方，并征得甲方同意。后任继续行使合同文件的前任的职权，履行前任的义务。</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4.4甲方可以与乙方协商，建议更换其认为不称职的项目负责人。</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 甲方工作</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5.1组织召开养护作业技术交底会。</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5.2协助乙方办理养护施工所需的有关证件，批件等。</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负责乙方的日常养护作业的管理和检查(定期检查和抽查相结合)。每个月约定月底对乙方作出养护工作计划布置和对养护工作进行考核(全年考核不少于12次)，考核按有关养护工作考核标准并结合甲方养护工作计划要求综合进行年终综合考核考评。</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5.4甲方对乙方的养护质量进行检查并进行每月考核，考核结果作为支付每季养护经费的依据。</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5.5负责合同期间的行政许可审批及协调工作，如遇突发事件，协调乙方在作业过程中与其他管理部门的关系。</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5.6进行</w:t>
      </w:r>
      <w:r>
        <w:rPr>
          <w:rFonts w:hint="eastAsia" w:ascii="宋体" w:hAnsi="宋体" w:eastAsia="宋体" w:cs="宋体"/>
          <w:color w:val="auto"/>
          <w:szCs w:val="21"/>
          <w:highlight w:val="none"/>
          <w:lang w:eastAsia="zh-CN"/>
        </w:rPr>
        <w:t>市政</w:t>
      </w:r>
      <w:r>
        <w:rPr>
          <w:rFonts w:hint="eastAsia" w:ascii="宋体" w:hAnsi="宋体" w:eastAsia="宋体" w:cs="宋体"/>
          <w:color w:val="auto"/>
          <w:szCs w:val="21"/>
          <w:highlight w:val="none"/>
        </w:rPr>
        <w:t>养护工作业务指导。</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5.7甲方应作的其他工作，双方在补充条款内约定。</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6 乙方工作</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6.1乙方提交养护工作计划经甲方核定后，由乙方承担日常养护作业。</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6.2做好日、周统计报表，并按时做好月、季、年度上报养护工作完成情况</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rPr>
        <w:t>表，按甲方要求及时上报。</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6.3应按甲方提出的以周围建筑物和各种管线的要求落实保护措施；</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6.4建立巡视报告制，每天有专人进行对</w:t>
      </w:r>
      <w:r>
        <w:rPr>
          <w:rFonts w:hint="eastAsia" w:ascii="宋体" w:hAnsi="宋体" w:eastAsia="宋体" w:cs="宋体"/>
          <w:color w:val="auto"/>
          <w:szCs w:val="21"/>
          <w:highlight w:val="none"/>
          <w:lang w:eastAsia="zh-CN"/>
        </w:rPr>
        <w:t>市政</w:t>
      </w:r>
      <w:r>
        <w:rPr>
          <w:rFonts w:hint="eastAsia" w:ascii="宋体" w:hAnsi="宋体" w:eastAsia="宋体" w:cs="宋体"/>
          <w:color w:val="auto"/>
          <w:szCs w:val="21"/>
          <w:highlight w:val="none"/>
        </w:rPr>
        <w:t>等设施的巡视，并做好每日巡视记录。发现养护范围内</w:t>
      </w:r>
      <w:r>
        <w:rPr>
          <w:rFonts w:hint="eastAsia" w:ascii="宋体" w:hAnsi="宋体" w:eastAsia="宋体" w:cs="宋体"/>
          <w:color w:val="auto"/>
          <w:szCs w:val="21"/>
          <w:highlight w:val="none"/>
          <w:lang w:eastAsia="zh-CN"/>
        </w:rPr>
        <w:t>道路、人行道等</w:t>
      </w:r>
      <w:r>
        <w:rPr>
          <w:rFonts w:hint="eastAsia" w:ascii="宋体" w:hAnsi="宋体" w:eastAsia="宋体" w:cs="宋体"/>
          <w:color w:val="auto"/>
          <w:szCs w:val="21"/>
          <w:highlight w:val="none"/>
        </w:rPr>
        <w:t>缺损，</w:t>
      </w:r>
      <w:r>
        <w:rPr>
          <w:rFonts w:hint="eastAsia" w:ascii="宋体" w:hAnsi="宋体" w:eastAsia="宋体" w:cs="宋体"/>
          <w:color w:val="auto"/>
          <w:szCs w:val="21"/>
          <w:highlight w:val="none"/>
          <w:lang w:eastAsia="zh-CN"/>
        </w:rPr>
        <w:t>及时抢修</w:t>
      </w:r>
      <w:r>
        <w:rPr>
          <w:rFonts w:hint="eastAsia" w:ascii="宋体" w:hAnsi="宋体" w:eastAsia="宋体" w:cs="宋体"/>
          <w:color w:val="auto"/>
          <w:szCs w:val="21"/>
          <w:highlight w:val="none"/>
        </w:rPr>
        <w:t>，并把结果报告甲方；</w:t>
      </w:r>
    </w:p>
    <w:p>
      <w:pPr>
        <w:adjustRightInd w:val="0"/>
        <w:snapToGrid w:val="0"/>
        <w:spacing w:line="460" w:lineRule="atLeast"/>
        <w:ind w:firstLine="482" w:firstLineChars="200"/>
        <w:rPr>
          <w:rFonts w:hint="eastAsia" w:ascii="宋体" w:hAnsi="宋体" w:eastAsia="宋体" w:cs="宋体"/>
          <w:b/>
          <w:color w:val="auto"/>
          <w:szCs w:val="21"/>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Cs w:val="21"/>
          <w:highlight w:val="none"/>
        </w:rPr>
        <w:t>巡视中发现区域内道路平侧石拆除更换、人行道维修、人行道树池维修、相关交通标志标识维修养护（含重新施画）、雨水水篦口清理、井圈井盖巡查更换、桥梁护栏维修养护等市政设施等现象，由乙方负责处理。养护区域内的所有附属设施均由乙方负责维修、安装。</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6.5超出常规小修范围的工作，需提前报甲方审批；</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6.6及时解决来信、来访，并根据甲方要求及时处理；</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6.7按时完成甲方交办的其它突击性任务和指令性任务；</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6.8认真做好防台防汛等工作；</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6.9加强法定节假日的正常养护工作；</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6.10</w:t>
      </w:r>
      <w:r>
        <w:rPr>
          <w:rFonts w:hint="eastAsia" w:ascii="宋体" w:hAnsi="宋体" w:eastAsia="宋体" w:cs="宋体"/>
          <w:color w:val="auto"/>
          <w:szCs w:val="21"/>
          <w:highlight w:val="none"/>
          <w:lang w:val="zh-CN"/>
        </w:rPr>
        <w:t>遵守地方政府和有关部门对施工场地交通、环卫和施工噪音等管理规定。所有手续的费用由承包人承担。承包人应采取有效措施尽量减小尘土和噪音污染，需要进行夜间作业时应经发包人批准。按监</w:t>
      </w:r>
      <w:r>
        <w:rPr>
          <w:rFonts w:hint="eastAsia" w:ascii="宋体" w:hAnsi="宋体" w:eastAsia="宋体" w:cs="宋体"/>
          <w:color w:val="auto"/>
          <w:szCs w:val="21"/>
          <w:highlight w:val="none"/>
        </w:rPr>
        <w:t>理要求标化管理及环保要求实施施工管理并承担相关费用，发包人给予配合；</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注意养护区的排灌水。主要是梅雨、台汛和阵雨积水，出现积水时要及时排出，一般积水不得超过4小时，应做好排水沟渠的通畅，灌排设施的完整，结合临时排水等措施进行，避免因积水而造成植物的死亡。灌溉必须根据气候条件的变化灵活掌握。一般来说，春季到初夏，苗木处于旺盛生长期，南方雨水多，只要灌溉三四次即可，初夏如果高温又干旱，必须增加灌水次数，秋季，为了让苗木组织充实和木质化，准备越冬，一般不灌水。冬季，南方不灌水；</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6.13苗木初始补植时需要适当施肥，促进苗木生长，肥料种类、数量由乙方根据实际情况确定并报甲方核准备案，以保持良好生长势；</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6.14因乙方管理不到位而引起的安全事故责任由乙方承担。</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6.15因灾害性天气单次受灾金额在10万以下的由乙方自行承担，超出部分由乙方跟甲方协商解决。 </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6.16乙方应作的其他工作，双方在补充条款内约定。</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四、养护组织设计</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 进度计划</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7.1乙方在本合同生效后15天内上报全年养护作业维修计划，并结合季节特点，制定季度、月度养护计划、材料计划送交甲方。甲方在7天内予以确认。</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乙方必须按甲方确认的进度计划组织养护作业，接受甲方对进度的检查、监督。养护作业实际进度与经确认的进度计划不一致时，乙方应按甲方的要求提出改进措施，经甲方代表确认后执行。因乙方的原因导致实际进度与计划进度不符，乙方无权就改进措施提出追加合同价款。</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五、质量与考核</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 质量标准</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养护质量标准参照补充条款约定的质量标准。因乙方原因使养护质量达不到约定的质量标准，乙方承担违约责任。</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 检查和考核</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9.1乙方应认真按照补充条款中约定的质量标准进行养护，随时接受甲方的检查和考核，为检查和考核提供便利条件。</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9.2对于养护质量或施工工期不符合要求的，甲方先通知限期整改，乙方逾期不整改的或整改效果不符合要求的，由甲方派其他队伍整改，费用在乙方养护费用中扣除。</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9.3甲方按照补充条款中约定的考核办法及奖惩措施进行考核。</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9.4乙方经考核确实不能承担养护作业的，甲方有权无条件单方终止合同。乙方接甲方通知后24小时内必须无条件清退出场，由此造成的损失由乙方承担，原已完成的工作量按实结算。</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9.5甲方结合养护新特点和行业颁布的最新标准，甲方有修改考核标准的权利。</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六、安全文明施工</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 安全文明施工与检查</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10.1乙方应遵循有关规定及行业规范，严格按照操作规程作业，并随时接受甲方或有关部门的监督检查和社会监督，采取必要的安全防护措施，消除事故隐患。</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10.2由于乙方管理不善，引起政府职能部门处罚和限期整改，或安全措施不力造成事故的责任和因此发生的费用，由乙方承担。</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 安全防护</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11.1养护作业人员应做好各项安全防范措施，必须着装上岗操作。</w:t>
      </w:r>
    </w:p>
    <w:p>
      <w:pPr>
        <w:adjustRightInd w:val="0"/>
        <w:snapToGrid w:val="0"/>
        <w:spacing w:line="460" w:lineRule="atLeast"/>
        <w:ind w:firstLine="48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12 事故处理</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12.1发生重大伤亡及其他安全事故，乙方就有关规定立即上报有关部门并通知甲方代表，同时按政府有关部门要求处理由事故责任方承担发生的费用。</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七、合同价款与支付</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13 合同价款及调整</w:t>
      </w:r>
    </w:p>
    <w:p>
      <w:pPr>
        <w:adjustRightInd w:val="0"/>
        <w:snapToGrid w:val="0"/>
        <w:spacing w:line="460" w:lineRule="atLeast"/>
        <w:ind w:firstLine="480"/>
        <w:rPr>
          <w:rFonts w:hint="eastAsia" w:ascii="宋体" w:hAnsi="宋体" w:eastAsia="宋体" w:cs="宋体"/>
          <w:color w:val="auto"/>
          <w:sz w:val="24"/>
          <w:highlight w:val="none"/>
        </w:rPr>
      </w:pPr>
      <w:r>
        <w:rPr>
          <w:rFonts w:hint="eastAsia" w:ascii="宋体" w:hAnsi="宋体" w:eastAsia="宋体" w:cs="宋体"/>
          <w:color w:val="auto"/>
          <w:szCs w:val="21"/>
          <w:highlight w:val="none"/>
        </w:rPr>
        <w:t>13.1合同价款由甲、乙双方依据中标通知书中的中标价格在协议书内约定。</w:t>
      </w:r>
    </w:p>
    <w:p>
      <w:pPr>
        <w:adjustRightInd w:val="0"/>
        <w:snapToGrid w:val="0"/>
        <w:spacing w:line="460" w:lineRule="atLeast"/>
        <w:ind w:firstLine="48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13.2</w:t>
      </w:r>
      <w:r>
        <w:rPr>
          <w:rFonts w:hint="eastAsia" w:ascii="宋体" w:hAnsi="宋体" w:eastAsia="宋体" w:cs="宋体"/>
          <w:b/>
          <w:bCs/>
          <w:color w:val="auto"/>
          <w:sz w:val="24"/>
          <w:highlight w:val="none"/>
        </w:rPr>
        <w:t>本合同价款采用固定</w:t>
      </w:r>
      <w:r>
        <w:rPr>
          <w:rFonts w:hint="eastAsia" w:ascii="宋体" w:hAnsi="宋体" w:eastAsia="宋体" w:cs="宋体"/>
          <w:b/>
          <w:bCs/>
          <w:color w:val="auto"/>
          <w:sz w:val="24"/>
          <w:highlight w:val="none"/>
          <w:lang w:eastAsia="zh-CN"/>
        </w:rPr>
        <w:t>单</w:t>
      </w:r>
      <w:r>
        <w:rPr>
          <w:rFonts w:hint="eastAsia" w:ascii="宋体" w:hAnsi="宋体" w:eastAsia="宋体" w:cs="宋体"/>
          <w:b/>
          <w:bCs/>
          <w:color w:val="auto"/>
          <w:sz w:val="24"/>
          <w:highlight w:val="none"/>
        </w:rPr>
        <w:t>价合同</w:t>
      </w:r>
      <w:r>
        <w:rPr>
          <w:rFonts w:hint="eastAsia" w:ascii="宋体" w:hAnsi="宋体" w:eastAsia="宋体" w:cs="宋体"/>
          <w:b/>
          <w:color w:val="auto"/>
          <w:sz w:val="24"/>
          <w:highlight w:val="none"/>
        </w:rPr>
        <w:t>。</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13.3双方约定合同价款的其他调整因素：</w:t>
      </w:r>
    </w:p>
    <w:p>
      <w:pPr>
        <w:adjustRightInd w:val="0"/>
        <w:snapToGrid w:val="0"/>
        <w:spacing w:line="460" w:lineRule="atLeas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(1)合同执行期间如遇政策性调整，以有关管理部门的文件为准。</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(2)双方在补充条款中约定的其他调整因素。</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(3)合同价款的变更由双方以补充合同形式予以确定。</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合同价款支付</w:t>
      </w:r>
    </w:p>
    <w:p>
      <w:pPr>
        <w:adjustRightInd w:val="0"/>
        <w:snapToGrid w:val="0"/>
        <w:spacing w:line="460" w:lineRule="atLeast"/>
        <w:ind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14.1招标方根据实际考核结果，</w:t>
      </w:r>
      <w:r>
        <w:rPr>
          <w:rFonts w:hint="eastAsia" w:ascii="宋体" w:hAnsi="宋体" w:eastAsia="宋体" w:cs="宋体"/>
          <w:b/>
          <w:color w:val="auto"/>
          <w:szCs w:val="21"/>
          <w:highlight w:val="none"/>
          <w:lang w:eastAsia="zh-CN"/>
        </w:rPr>
        <w:t>每季度先支付当季度实际发生量养护费的</w:t>
      </w:r>
      <w:r>
        <w:rPr>
          <w:rFonts w:hint="eastAsia" w:ascii="宋体" w:hAnsi="宋体" w:cs="宋体"/>
          <w:b/>
          <w:color w:val="auto"/>
          <w:szCs w:val="21"/>
          <w:highlight w:val="none"/>
          <w:lang w:val="en-US" w:eastAsia="zh-CN"/>
        </w:rPr>
        <w:t>7</w:t>
      </w:r>
      <w:r>
        <w:rPr>
          <w:rFonts w:hint="eastAsia" w:ascii="宋体" w:hAnsi="宋体" w:eastAsia="宋体" w:cs="宋体"/>
          <w:b/>
          <w:color w:val="auto"/>
          <w:szCs w:val="21"/>
          <w:highlight w:val="none"/>
          <w:lang w:val="en-US" w:eastAsia="zh-CN"/>
        </w:rPr>
        <w:t>0%，</w:t>
      </w:r>
      <w:r>
        <w:rPr>
          <w:rFonts w:hint="eastAsia" w:ascii="宋体" w:hAnsi="宋体" w:eastAsia="宋体" w:cs="宋体"/>
          <w:b/>
          <w:color w:val="auto"/>
          <w:szCs w:val="21"/>
          <w:highlight w:val="none"/>
        </w:rPr>
        <w:t>扣款后计算应付项目经费，于下一季度第一个月份（从开始履行合同后第二个季度起）</w:t>
      </w:r>
      <w:r>
        <w:rPr>
          <w:rFonts w:hint="eastAsia" w:ascii="宋体" w:hAnsi="宋体" w:eastAsia="宋体" w:cs="宋体"/>
          <w:b/>
          <w:color w:val="auto"/>
          <w:szCs w:val="21"/>
          <w:highlight w:val="none"/>
          <w:lang w:eastAsia="zh-CN"/>
        </w:rPr>
        <w:t>按考核结果</w:t>
      </w:r>
      <w:r>
        <w:rPr>
          <w:rFonts w:hint="eastAsia" w:ascii="宋体" w:hAnsi="宋体" w:eastAsia="宋体" w:cs="宋体"/>
          <w:b/>
          <w:color w:val="auto"/>
          <w:szCs w:val="21"/>
          <w:highlight w:val="none"/>
        </w:rPr>
        <w:t>支付上个季度款项</w:t>
      </w:r>
      <w:r>
        <w:rPr>
          <w:rFonts w:hint="eastAsia" w:ascii="宋体" w:hAnsi="宋体" w:eastAsia="宋体" w:cs="宋体"/>
          <w:b/>
          <w:color w:val="auto"/>
          <w:szCs w:val="21"/>
          <w:highlight w:val="none"/>
          <w:lang w:eastAsia="zh-CN"/>
        </w:rPr>
        <w:t>余款</w:t>
      </w:r>
      <w:r>
        <w:rPr>
          <w:rFonts w:hint="eastAsia" w:ascii="宋体" w:hAnsi="宋体" w:eastAsia="宋体" w:cs="宋体"/>
          <w:b/>
          <w:color w:val="auto"/>
          <w:szCs w:val="21"/>
          <w:highlight w:val="none"/>
        </w:rPr>
        <w:t>；</w:t>
      </w:r>
    </w:p>
    <w:p>
      <w:pPr>
        <w:adjustRightInd w:val="0"/>
        <w:snapToGrid w:val="0"/>
        <w:spacing w:line="460" w:lineRule="atLeast"/>
        <w:ind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15履约保证金</w:t>
      </w:r>
    </w:p>
    <w:p>
      <w:pPr>
        <w:adjustRightInd w:val="0"/>
        <w:snapToGrid w:val="0"/>
        <w:spacing w:line="460" w:lineRule="atLeas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签订合同时，乙方向甲方提交履约保证金，金额为中标价的</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%。养护期满后，一次性无息返还。</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八、材料设备供应</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16材料设备供应</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16.1养护维修所需的材料、制品、工具、设备等，原则上均由乙方自行解决，如遇特殊情况，按补充条款约定的方式采购或配备。</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九、违约和争议</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 违约</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甲方代表不能及时给出很必要指令、确认、批准，不能按合同约定履行自己的各项义务、以及发生其它使合同无法履行的行为，应承担违约责任(包括支付违约导致乙方增加经济支出和从应之日起计算的应支付款项的利息)。</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17.2乙方不能达到所承诺的养护、维修质量标准，乙方按协议条款支付违约金，赔偿因违约给甲方造成的损失。</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17.3因一方违约使合同不能履行，另一方欲终止或解除全部合同，应提前10天通知违约方后，方可终止或解除合同，由违约方承担违约责任。</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 争议</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18.1甲乙双方因合同发生争议，要求调解、仲裁、起诉的，采用以下一种方式解决：</w:t>
      </w:r>
    </w:p>
    <w:p>
      <w:pPr>
        <w:numPr>
          <w:ilvl w:val="0"/>
          <w:numId w:val="9"/>
        </w:numPr>
        <w:adjustRightInd w:val="0"/>
        <w:snapToGrid w:val="0"/>
        <w:spacing w:line="4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甲乙双方协商</w:t>
      </w:r>
    </w:p>
    <w:p>
      <w:pPr>
        <w:numPr>
          <w:ilvl w:val="0"/>
          <w:numId w:val="9"/>
        </w:numPr>
        <w:adjustRightInd w:val="0"/>
        <w:snapToGrid w:val="0"/>
        <w:spacing w:line="4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向有管辖权的经济合同仲裁机关申请仲裁；</w:t>
      </w:r>
    </w:p>
    <w:p>
      <w:pPr>
        <w:numPr>
          <w:ilvl w:val="0"/>
          <w:numId w:val="9"/>
        </w:numPr>
        <w:adjustRightInd w:val="0"/>
        <w:snapToGrid w:val="0"/>
        <w:spacing w:line="4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向有管辖权的人民法院起诉。</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18.2发生争议后，除出现以下情况的，双方都应继续履行合同，保持养护连续性：</w:t>
      </w:r>
    </w:p>
    <w:p>
      <w:pPr>
        <w:numPr>
          <w:ilvl w:val="0"/>
          <w:numId w:val="10"/>
        </w:numPr>
        <w:adjustRightInd w:val="0"/>
        <w:snapToGrid w:val="0"/>
        <w:spacing w:line="4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合同确已无法履行；</w:t>
      </w:r>
    </w:p>
    <w:p>
      <w:pPr>
        <w:numPr>
          <w:ilvl w:val="0"/>
          <w:numId w:val="10"/>
        </w:numPr>
        <w:adjustRightInd w:val="0"/>
        <w:snapToGrid w:val="0"/>
        <w:spacing w:line="4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双方协议停止养护作业；</w:t>
      </w:r>
    </w:p>
    <w:p>
      <w:pPr>
        <w:numPr>
          <w:ilvl w:val="0"/>
          <w:numId w:val="10"/>
        </w:numPr>
        <w:adjustRightInd w:val="0"/>
        <w:snapToGrid w:val="0"/>
        <w:spacing w:line="4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仲裁机关要求停止养护作业；</w:t>
      </w:r>
    </w:p>
    <w:p>
      <w:pPr>
        <w:numPr>
          <w:ilvl w:val="0"/>
          <w:numId w:val="10"/>
        </w:numPr>
        <w:adjustRightInd w:val="0"/>
        <w:snapToGrid w:val="0"/>
        <w:spacing w:line="46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法院要求停止养护作业。</w:t>
      </w:r>
    </w:p>
    <w:p>
      <w:pPr>
        <w:adjustRightInd w:val="0"/>
        <w:snapToGrid w:val="0"/>
        <w:spacing w:line="460" w:lineRule="atLeast"/>
        <w:ind w:left="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十、合同中止</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19.1承包范围内的养护管理项目，乙方不得采取任何形式实施分包和转包，凡违反此规定的，甲方将立即取消乙方的承包资格，中止养护承包合同的履行，由此产生的一切法律责任和经济损失由乙方承担；</w:t>
      </w:r>
    </w:p>
    <w:p>
      <w:pPr>
        <w:adjustRightInd w:val="0"/>
        <w:snapToGrid w:val="0"/>
        <w:spacing w:line="460" w:lineRule="atLeast"/>
        <w:ind w:firstLine="48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19.2</w:t>
      </w:r>
      <w:r>
        <w:rPr>
          <w:rFonts w:hint="eastAsia" w:ascii="宋体" w:hAnsi="宋体" w:eastAsia="宋体" w:cs="宋体"/>
          <w:color w:val="auto"/>
          <w:sz w:val="24"/>
          <w:highlight w:val="none"/>
        </w:rPr>
        <w:t xml:space="preserve"> </w:t>
      </w:r>
      <w:r>
        <w:rPr>
          <w:rFonts w:hint="eastAsia" w:ascii="宋体" w:hAnsi="宋体" w:eastAsia="宋体" w:cs="宋体"/>
          <w:b/>
          <w:color w:val="auto"/>
          <w:szCs w:val="21"/>
          <w:highlight w:val="none"/>
        </w:rPr>
        <w:t>本次养护招标期为</w:t>
      </w:r>
      <w:r>
        <w:rPr>
          <w:rFonts w:hint="eastAsia" w:ascii="宋体" w:hAnsi="宋体" w:eastAsia="宋体" w:cs="宋体"/>
          <w:b/>
          <w:color w:val="auto"/>
          <w:szCs w:val="21"/>
          <w:highlight w:val="none"/>
          <w:lang w:eastAsia="zh-CN"/>
        </w:rPr>
        <w:t>自合同签订之日起一年</w:t>
      </w:r>
      <w:r>
        <w:rPr>
          <w:rFonts w:hint="eastAsia" w:ascii="宋体" w:hAnsi="宋体" w:eastAsia="宋体" w:cs="宋体"/>
          <w:b/>
          <w:color w:val="auto"/>
          <w:szCs w:val="21"/>
          <w:highlight w:val="none"/>
        </w:rPr>
        <w:t>。</w:t>
      </w:r>
    </w:p>
    <w:p>
      <w:pPr>
        <w:adjustRightInd w:val="0"/>
        <w:snapToGrid w:val="0"/>
        <w:spacing w:line="460" w:lineRule="atLeast"/>
        <w:ind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十一、补充条款</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1、本工程涉及到提升改造工程量增减的按实际改造比例进行增减，综合单价不变。</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2、对已知的施工场地周围地下管线和临近建筑物、构筑物（含文物保护建筑）、古树名木的保护由承包方负责保护，并承担相应费用，如有发现事先未知的，承包人应及时与发包人联系，费用由发包人承担。</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、缩短工期增加费、文明施工费（临时设施围护）、行车干扰因素所产生的费用、规定范围以外的施工便道所增加费用，均由承包人承担。</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、若施工过程中遇到与其他项目需交叉施工的，由承包人自行协调处理，费用由承包人承担。</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施工期间，应确保施工人员和通行人员的安全，道路施工范围要求作安全隔离处理，现场施工作业人员要求穿带反光安全工作服，设置必要的道路通行疏导指挥人员、必要的通行导示、导向牌等，安排专人清理道路上的抛洒物，相关费用由承包人承担，结算不另增加费用。</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养本次招标为市政设施日常巡查养护维修，服务区域分布广，维修地点分散，维修时间不集中、不确定，且施工时要求边施工边通车；特要求投标单位在接到招标人通知后4小时内，即派施工人员到达维修现场进行处理。若无故不及时处理的，处以每次500元的罚款，如因不及时处理造成严重后果的由投标单位承担相应损失。通知的形式可以是电话、短信、书面或当面口头通知。因此施工期间必要的交通安全措施费用由承包人承担，结算不另增加费用。由于承包人措施不力，导致事故频发造成重大影响，引起索赔，赔偿、诉讼费用及工程拖延或施工费用增加时，由承包人承担一切责任和费用。</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、招标范围内的道路、</w:t>
      </w:r>
      <w:r>
        <w:rPr>
          <w:rFonts w:hint="eastAsia" w:ascii="宋体" w:hAnsi="宋体" w:eastAsia="宋体" w:cs="宋体"/>
          <w:color w:val="auto"/>
          <w:szCs w:val="21"/>
          <w:highlight w:val="none"/>
          <w:lang w:eastAsia="zh-CN"/>
        </w:rPr>
        <w:t>人行道</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树池</w:t>
      </w:r>
      <w:r>
        <w:rPr>
          <w:rFonts w:hint="eastAsia" w:ascii="宋体" w:hAnsi="宋体" w:eastAsia="宋体" w:cs="宋体"/>
          <w:color w:val="auto"/>
          <w:szCs w:val="21"/>
          <w:highlight w:val="none"/>
        </w:rPr>
        <w:t>等全覆盖区域，按时按点做好清洁、保洁巡查等工作。</w:t>
      </w:r>
    </w:p>
    <w:p>
      <w:pPr>
        <w:adjustRightInd w:val="0"/>
        <w:snapToGrid w:val="0"/>
        <w:spacing w:line="460" w:lineRule="atLeas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8、施工区域内道路、砖、侧平石、绿化等修补及现有苗木（含行道树）迁移的工作及费用均由承包人承担。</w:t>
      </w:r>
    </w:p>
    <w:p>
      <w:pPr>
        <w:adjustRightInd w:val="0"/>
        <w:snapToGrid w:val="0"/>
        <w:spacing w:line="460" w:lineRule="atLeas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施工过程中要求派专人及时清理，保证、保持进出道路路面及施工场地的整洁；施工结束后注意施工区域的保洁，要满足市、区、镇环保要求，临时便道、建筑垃圾、废弃物等应及时清运，所需费用由承包人承担。</w:t>
      </w:r>
    </w:p>
    <w:p>
      <w:pPr>
        <w:adjustRightInd w:val="0"/>
        <w:snapToGrid w:val="0"/>
        <w:spacing w:line="460" w:lineRule="atLeas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发包人不提供多余土方的堆放场地及处理场地，本工程所有弃方均由承包人自行处理，并按规定办理相关行政审批手续，不得随意堆放；堆放位置、运输路线、运距（包含二次搬运）由投标人自行勘察现场后确定，所涉及的相关费用由承包人承担。否则，发包人有权暂停发放工程款，待整改完成后再行发放，同时扣罚合同价款的2%的作为罚金，且一切后果由承包人承担。</w:t>
      </w:r>
    </w:p>
    <w:p>
      <w:pPr>
        <w:adjustRightInd w:val="0"/>
        <w:snapToGrid w:val="0"/>
        <w:spacing w:line="460" w:lineRule="atLeas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发包人不提供建筑垃圾的堆放场地及分拣场地，建筑垃圾收运处置按“嘉兴市秀洲区人民政府办公室关于印发《秀洲区建筑垃圾收运处置管理办法实施细则(试行)》的通知”执行，并工程开工前五个工作日施工单位向工程项目所在地综合行政执法局执法分队申请城市建筑垃圾处置备案，备案内容含建筑垃圾数量、种类、处置方式；所涉及的相关费用由承包人承担。否则，发包人有权暂停发放工程款，待整改完成后再行发放，同时扣罚合同价款的2%的作为罚金，且一切后果由承包人承担。</w:t>
      </w:r>
    </w:p>
    <w:p>
      <w:pPr>
        <w:adjustRightInd w:val="0"/>
        <w:snapToGrid w:val="0"/>
        <w:spacing w:line="460" w:lineRule="atLeas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12、施工车辆必须按项目所在地综合行政执法部门的规定办理通行证，缴纳相关保证金，并在规定时间规定线路内通行，相关费用由承包人承担。</w:t>
      </w:r>
    </w:p>
    <w:p>
      <w:pPr>
        <w:adjustRightInd w:val="0"/>
        <w:snapToGrid w:val="0"/>
        <w:spacing w:line="460" w:lineRule="atLeas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13、为保证工程质量，在现场施工时，应采用井周切割机对各类雨污水井进行维修，承包人必须自有或租赁井周切割机设备（中标后提供井周切割机设备发票），该相关费用由承包人承担，结算不另增加费用。</w:t>
      </w:r>
    </w:p>
    <w:p>
      <w:pPr>
        <w:adjustRightInd w:val="0"/>
        <w:snapToGrid w:val="0"/>
        <w:spacing w:line="460" w:lineRule="atLeas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14、施工期间，须在施工区域内设置多处临时围墙、围网等安全维护设施，投标人必须根据招标人安排进行设置，涉及费用由承包人承担，结算不另增加费用。</w:t>
      </w:r>
    </w:p>
    <w:p>
      <w:pPr>
        <w:adjustRightInd w:val="0"/>
        <w:snapToGrid w:val="0"/>
        <w:spacing w:line="460" w:lineRule="atLeas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15、本项目增设公众责任保险，该费用由承包人承担（保险应包含因养护单位巡查不及时、维护不到位等原因引起的交通伤亡事故等所有公众责任），承包人在第一次申报工程款时，必须提供公众责任险发票及 保单 复印件，否则 发包人有权延迟支付第一次工程款直至承包人提供相应发票及保单复印件为止。公众责任保险标准不低于：每次事故赔偿限额人民币130万元，每人每次事故人身伤亡赔偿限额人民币100万元 , 每人每次事故医疗费赔偿限额10万元，每人每次事故财产损失赔偿限额人民币20万元，每次事故绝对免赔额为人民币500万元。。</w:t>
      </w:r>
    </w:p>
    <w:p>
      <w:pPr>
        <w:adjustRightInd w:val="0"/>
        <w:snapToGrid w:val="0"/>
        <w:spacing w:line="460" w:lineRule="atLeas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16、提供施工许可手续办理的必备资料，协助发包人办理施工许可证；确保安全生产，文明施工，派驻现场的主要施工管理人员必须与投标文件相同。</w:t>
      </w:r>
    </w:p>
    <w:p>
      <w:pPr>
        <w:adjustRightInd w:val="0"/>
        <w:snapToGrid w:val="0"/>
        <w:spacing w:line="460" w:lineRule="atLeast"/>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施工时如需模板支撑、脚手架搭设必须严格按“嘉兴市住房和城乡建设局关于加强模板支撑体系安全管理和承插型盘扣式钢管脚手架推广应用的通知”中要求执行，相关费用由承包人承担，结算不另增加费用。</w:t>
      </w:r>
    </w:p>
    <w:p>
      <w:pPr>
        <w:adjustRightInd w:val="0"/>
        <w:snapToGrid w:val="0"/>
        <w:spacing w:line="460" w:lineRule="atLeast"/>
        <w:ind w:firstLine="48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18、因本项目实施处于疫情期间，承包人须按疫情期间相关文件实施施工，该相关费用由承包人承担，结算不另增加费用。</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根据“秀交安办〔2018〕10号”文件要求，本工程实施期间运输车辆不得使用拖拉机，详见“秀交安办〔2018〕10号”文件，本工程实施期间工作人员如需使用电瓶车，必须按要求佩戴头盔。如未按上述要求执行的，造成的所有后果均由中标单位承担，相关费用请各投标单位综合考虑在投标报价内。</w:t>
      </w:r>
    </w:p>
    <w:p>
      <w:pPr>
        <w:adjustRightInd w:val="0"/>
        <w:snapToGrid w:val="0"/>
        <w:spacing w:line="460" w:lineRule="atLeast"/>
        <w:ind w:firstLine="48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十二、其他</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21.1在本合同执行过程中如遇和国家政策、地方法规的有关规定不符时，按有关政策法规执行。</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21.2如遇自然灾害和不可抗力造成损失的，经双方协商解决。</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21.3本合同如有未尽事宜，双方可通过协商补充协议解决。</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十三、合同生效与终止</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22.1双方在合同协议书中约定合同生效方式。</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22.2双方履行合同全部义务，合同付款支付完毕后，本合同即告终止。</w:t>
      </w:r>
    </w:p>
    <w:p>
      <w:pPr>
        <w:adjustRightInd w:val="0"/>
        <w:snapToGrid w:val="0"/>
        <w:spacing w:line="460" w:lineRule="atLeas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十四、合同份数</w:t>
      </w:r>
    </w:p>
    <w:p>
      <w:pPr>
        <w:adjustRightInd w:val="0"/>
        <w:snapToGrid w:val="0"/>
        <w:spacing w:line="460" w:lineRule="atLeas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23.1本合同正本二份，具有同等效力。由甲方、乙方分别保存一份。</w:t>
      </w:r>
    </w:p>
    <w:p>
      <w:pPr>
        <w:ind w:firstLine="420" w:firstLineChars="200"/>
        <w:rPr>
          <w:color w:val="auto"/>
          <w:highlight w:val="none"/>
        </w:rPr>
      </w:pPr>
      <w:r>
        <w:rPr>
          <w:rFonts w:hint="eastAsia" w:ascii="宋体" w:hAnsi="宋体" w:eastAsia="宋体" w:cs="宋体"/>
          <w:color w:val="auto"/>
          <w:szCs w:val="21"/>
          <w:highlight w:val="none"/>
        </w:rPr>
        <w:t>23.2本合同副本六份，由甲乙双方分别保存三份。</w:t>
      </w:r>
    </w:p>
    <w:p>
      <w:pPr>
        <w:pStyle w:val="28"/>
        <w:adjustRightInd w:val="0"/>
        <w:spacing w:before="120" w:after="120" w:line="360" w:lineRule="auto"/>
        <w:rPr>
          <w:rFonts w:asciiTheme="minorEastAsia" w:hAnsiTheme="minorEastAsia" w:eastAsiaTheme="minorEastAsia"/>
          <w:bCs/>
          <w:color w:val="auto"/>
          <w:sz w:val="21"/>
          <w:szCs w:val="21"/>
          <w:highlight w:val="none"/>
        </w:rPr>
      </w:pPr>
    </w:p>
    <w:p>
      <w:pPr>
        <w:pStyle w:val="28"/>
        <w:adjustRightInd w:val="0"/>
        <w:spacing w:before="120" w:after="120" w:line="360" w:lineRule="auto"/>
        <w:rPr>
          <w:rFonts w:asciiTheme="minorEastAsia" w:hAnsiTheme="minorEastAsia" w:eastAsiaTheme="minorEastAsia"/>
          <w:bCs/>
          <w:color w:val="auto"/>
          <w:sz w:val="21"/>
          <w:szCs w:val="21"/>
          <w:highlight w:val="none"/>
        </w:rPr>
        <w:sectPr>
          <w:pgSz w:w="11906" w:h="16838"/>
          <w:pgMar w:top="1440" w:right="1289" w:bottom="1440" w:left="1797" w:header="851" w:footer="851" w:gutter="0"/>
          <w:pgBorders>
            <w:top w:val="none" w:sz="0" w:space="0"/>
            <w:left w:val="none" w:sz="0" w:space="0"/>
            <w:bottom w:val="none" w:sz="0" w:space="0"/>
            <w:right w:val="none" w:sz="0" w:space="0"/>
          </w:pgBorders>
          <w:cols w:space="720" w:num="1"/>
          <w:docGrid w:linePitch="312" w:charSpace="0"/>
        </w:sectPr>
      </w:pPr>
    </w:p>
    <w:p>
      <w:pPr>
        <w:pStyle w:val="28"/>
        <w:adjustRightInd w:val="0"/>
        <w:spacing w:before="120" w:after="120" w:line="360" w:lineRule="auto"/>
        <w:jc w:val="center"/>
        <w:rPr>
          <w:rFonts w:asciiTheme="minorEastAsia" w:hAnsiTheme="minorEastAsia" w:eastAsiaTheme="minorEastAsia"/>
          <w:bCs/>
          <w:color w:val="auto"/>
          <w:sz w:val="21"/>
          <w:szCs w:val="21"/>
          <w:highlight w:val="none"/>
        </w:rPr>
      </w:pPr>
      <w:r>
        <w:rPr>
          <w:rFonts w:hint="eastAsia" w:cs="宋体" w:asciiTheme="minorEastAsia" w:hAnsiTheme="minorEastAsia" w:eastAsiaTheme="minorEastAsia"/>
          <w:b/>
          <w:bCs/>
          <w:color w:val="auto"/>
          <w:kern w:val="0"/>
          <w:sz w:val="21"/>
          <w:szCs w:val="21"/>
          <w:highlight w:val="none"/>
        </w:rPr>
        <w:t>政 府 采 购 项 目 验 收 单</w:t>
      </w:r>
    </w:p>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按照《政府采购委托汇总确认书》</w:t>
      </w:r>
      <w:r>
        <w:rPr>
          <w:rFonts w:hint="eastAsia" w:cs="宋体" w:asciiTheme="minorEastAsia" w:hAnsiTheme="minorEastAsia" w:eastAsiaTheme="minorEastAsia"/>
          <w:color w:val="auto"/>
          <w:kern w:val="0"/>
          <w:szCs w:val="21"/>
          <w:highlight w:val="none"/>
          <w:lang w:eastAsia="zh-CN"/>
        </w:rPr>
        <w:t>嘉兴市秀洲区财政局</w:t>
      </w:r>
      <w:r>
        <w:rPr>
          <w:rFonts w:hint="eastAsia" w:cs="宋体" w:asciiTheme="minorEastAsia" w:hAnsiTheme="minorEastAsia" w:eastAsiaTheme="minorEastAsia"/>
          <w:color w:val="auto"/>
          <w:kern w:val="0"/>
          <w:szCs w:val="21"/>
          <w:highlight w:val="none"/>
          <w:u w:val="single"/>
          <w:lang w:eastAsia="zh-CN"/>
        </w:rPr>
        <w:t>临[2022]194号</w:t>
      </w:r>
      <w:r>
        <w:rPr>
          <w:rFonts w:hint="eastAsia" w:cs="宋体" w:asciiTheme="minorEastAsia" w:hAnsiTheme="minorEastAsia" w:eastAsiaTheme="minorEastAsia"/>
          <w:color w:val="auto"/>
          <w:kern w:val="0"/>
          <w:szCs w:val="21"/>
          <w:highlight w:val="none"/>
        </w:rPr>
        <w:t>，采购编号</w:t>
      </w:r>
      <w:r>
        <w:rPr>
          <w:rFonts w:hint="eastAsia" w:cs="宋体" w:asciiTheme="minorEastAsia" w:hAnsiTheme="minorEastAsia" w:eastAsiaTheme="minorEastAsia"/>
          <w:color w:val="auto"/>
          <w:kern w:val="0"/>
          <w:szCs w:val="21"/>
          <w:highlight w:val="none"/>
          <w:lang w:eastAsia="zh-CN"/>
        </w:rPr>
        <w:t>银建-JXYJ-L（2022）15号</w:t>
      </w:r>
      <w:r>
        <w:rPr>
          <w:rFonts w:hint="eastAsia" w:cs="宋体" w:asciiTheme="minorEastAsia" w:hAnsiTheme="minorEastAsia" w:eastAsiaTheme="minorEastAsia"/>
          <w:color w:val="auto"/>
          <w:kern w:val="0"/>
          <w:szCs w:val="21"/>
          <w:highlight w:val="none"/>
        </w:rPr>
        <w:t>,合同号：</w:t>
      </w:r>
      <w:r>
        <w:rPr>
          <w:rFonts w:hint="eastAsia" w:cs="宋体" w:asciiTheme="minorEastAsia" w:hAnsiTheme="minorEastAsia" w:eastAsiaTheme="minorEastAsia"/>
          <w:color w:val="auto"/>
          <w:kern w:val="0"/>
          <w:szCs w:val="21"/>
          <w:highlight w:val="none"/>
          <w:lang w:eastAsia="zh-CN"/>
        </w:rPr>
        <w:t>银建-JXYJ-L（2022）15号</w:t>
      </w:r>
      <w:r>
        <w:rPr>
          <w:rFonts w:hint="eastAsia" w:cs="宋体" w:asciiTheme="minorEastAsia" w:hAnsiTheme="minorEastAsia" w:eastAsiaTheme="minorEastAsia"/>
          <w:color w:val="auto"/>
          <w:kern w:val="0"/>
          <w:szCs w:val="21"/>
          <w:highlight w:val="none"/>
        </w:rPr>
        <w:t>以下项目已采购到位并验收合格。</w:t>
      </w:r>
    </w:p>
    <w:tbl>
      <w:tblPr>
        <w:tblStyle w:val="49"/>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采购货物（服务，工程）名称</w:t>
            </w:r>
          </w:p>
        </w:tc>
        <w:tc>
          <w:tcPr>
            <w:tcW w:w="484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规格、型号</w:t>
            </w:r>
          </w:p>
        </w:tc>
        <w:tc>
          <w:tcPr>
            <w:tcW w:w="128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tc>
        <w:tc>
          <w:tcPr>
            <w:tcW w:w="1600" w:type="dxa"/>
            <w:tcBorders>
              <w:top w:val="single" w:color="auto" w:sz="4" w:space="0"/>
              <w:left w:val="nil"/>
              <w:bottom w:val="nil"/>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核定总价</w:t>
            </w:r>
          </w:p>
        </w:tc>
        <w:tc>
          <w:tcPr>
            <w:tcW w:w="17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采购人</w:t>
            </w:r>
          </w:p>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48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12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16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1740" w:type="dxa"/>
            <w:tcBorders>
              <w:top w:val="nil"/>
              <w:left w:val="nil"/>
              <w:bottom w:val="single" w:color="auto" w:sz="4" w:space="0"/>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合计总价款（人民币）</w:t>
            </w:r>
          </w:p>
        </w:tc>
        <w:tc>
          <w:tcPr>
            <w:tcW w:w="9460" w:type="dxa"/>
            <w:gridSpan w:val="4"/>
            <w:tcBorders>
              <w:top w:val="nil"/>
              <w:left w:val="nil"/>
              <w:bottom w:val="single" w:color="auto" w:sz="4" w:space="0"/>
              <w:right w:val="single" w:color="000000" w:sz="4" w:space="0"/>
            </w:tcBorders>
            <w:vAlign w:val="center"/>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人民币元整。       ￥: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供货单位（盖章）：                     </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采购人（盖章）:</w:t>
            </w:r>
          </w:p>
        </w:tc>
        <w:tc>
          <w:tcPr>
            <w:tcW w:w="2880" w:type="dxa"/>
            <w:gridSpan w:val="2"/>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rPr>
          <w:trHeight w:val="525"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经办项目负责人：</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项目验收组组长：</w:t>
            </w:r>
          </w:p>
        </w:tc>
        <w:tc>
          <w:tcPr>
            <w:tcW w:w="2880" w:type="dxa"/>
            <w:gridSpan w:val="2"/>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p>
        </w:tc>
        <w:tc>
          <w:tcPr>
            <w:tcW w:w="128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60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开户银行：</w:t>
            </w:r>
          </w:p>
        </w:tc>
        <w:tc>
          <w:tcPr>
            <w:tcW w:w="4840" w:type="dxa"/>
            <w:tcBorders>
              <w:top w:val="nil"/>
              <w:left w:val="nil"/>
              <w:bottom w:val="nil"/>
              <w:right w:val="nil"/>
            </w:tcBorders>
            <w:vAlign w:val="center"/>
          </w:tcPr>
          <w:p>
            <w:pPr>
              <w:widowControl/>
              <w:spacing w:line="360" w:lineRule="auto"/>
              <w:jc w:val="righ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项目验收组成员（签名）：</w:t>
            </w:r>
          </w:p>
        </w:tc>
        <w:tc>
          <w:tcPr>
            <w:tcW w:w="128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600" w:type="dxa"/>
            <w:tcBorders>
              <w:top w:val="nil"/>
              <w:left w:val="nil"/>
              <w:bottom w:val="nil"/>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p>
        </w:tc>
        <w:tc>
          <w:tcPr>
            <w:tcW w:w="1740" w:type="dxa"/>
            <w:tcBorders>
              <w:top w:val="nil"/>
              <w:left w:val="nil"/>
              <w:bottom w:val="nil"/>
              <w:right w:val="single" w:color="auto" w:sz="4" w:space="0"/>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银行帐号：</w:t>
            </w:r>
          </w:p>
        </w:tc>
        <w:tc>
          <w:tcPr>
            <w:tcW w:w="4840" w:type="dxa"/>
            <w:tcBorders>
              <w:top w:val="nil"/>
              <w:left w:val="nil"/>
              <w:bottom w:val="single" w:color="auto" w:sz="4" w:space="0"/>
              <w:right w:val="nil"/>
            </w:tcBorders>
            <w:vAlign w:val="bottom"/>
          </w:tcPr>
          <w:p>
            <w:pPr>
              <w:widowControl/>
              <w:spacing w:line="360" w:lineRule="auto"/>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p>
        </w:tc>
        <w:tc>
          <w:tcPr>
            <w:tcW w:w="4620" w:type="dxa"/>
            <w:gridSpan w:val="3"/>
            <w:tcBorders>
              <w:top w:val="nil"/>
              <w:left w:val="nil"/>
              <w:bottom w:val="single" w:color="auto" w:sz="4" w:space="0"/>
              <w:right w:val="single" w:color="000000" w:sz="4" w:space="0"/>
            </w:tcBorders>
            <w:vAlign w:val="center"/>
          </w:tcPr>
          <w:p>
            <w:pPr>
              <w:widowControl/>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pPr>
              <w:widowControl/>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本单一式四联：第一联采购人留存，第二联作为财政支付凭证，第三联供货单位留存，第四联采购办存档备查。</w:t>
            </w:r>
          </w:p>
        </w:tc>
      </w:tr>
    </w:tbl>
    <w:p>
      <w:pPr>
        <w:pStyle w:val="28"/>
        <w:adjustRightInd w:val="0"/>
        <w:spacing w:before="120" w:after="120" w:line="360" w:lineRule="auto"/>
        <w:rPr>
          <w:rFonts w:asciiTheme="minorEastAsia" w:hAnsiTheme="minorEastAsia" w:eastAsiaTheme="minorEastAsia"/>
          <w:bCs/>
          <w:color w:val="auto"/>
          <w:sz w:val="21"/>
          <w:szCs w:val="21"/>
          <w:highlight w:val="none"/>
        </w:rPr>
        <w:sectPr>
          <w:pgSz w:w="16838" w:h="11906" w:orient="landscape"/>
          <w:pgMar w:top="1797" w:right="1440" w:bottom="1797" w:left="1440" w:header="851" w:footer="851" w:gutter="0"/>
          <w:pgBorders>
            <w:top w:val="none" w:sz="0" w:space="0"/>
            <w:left w:val="none" w:sz="0" w:space="0"/>
            <w:bottom w:val="none" w:sz="0" w:space="0"/>
            <w:right w:val="none" w:sz="0" w:space="0"/>
          </w:pgBorders>
          <w:cols w:space="720" w:num="1"/>
          <w:docGrid w:linePitch="312" w:charSpace="0"/>
        </w:sectPr>
      </w:pPr>
    </w:p>
    <w:p>
      <w:pPr>
        <w:snapToGrid w:val="0"/>
        <w:spacing w:beforeLines="50" w:afterLines="50" w:line="360" w:lineRule="auto"/>
        <w:ind w:left="238"/>
        <w:jc w:val="center"/>
        <w:outlineLvl w:val="1"/>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第六章  投标文件格式</w:t>
      </w:r>
    </w:p>
    <w:p>
      <w:pPr>
        <w:snapToGrid w:val="0"/>
        <w:spacing w:line="360" w:lineRule="auto"/>
        <w:jc w:val="center"/>
        <w:outlineLvl w:val="1"/>
        <w:rPr>
          <w:rFonts w:asciiTheme="minorEastAsia" w:hAnsiTheme="minorEastAsia" w:eastAsiaTheme="minorEastAsia"/>
          <w:b/>
          <w:bCs/>
          <w:color w:val="auto"/>
          <w:szCs w:val="21"/>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1.投标文件封面格式：</w:t>
      </w:r>
    </w:p>
    <w:p>
      <w:pPr>
        <w:snapToGrid w:val="0"/>
        <w:spacing w:line="360" w:lineRule="auto"/>
        <w:rPr>
          <w:rFonts w:asciiTheme="minorEastAsia" w:hAnsiTheme="minorEastAsia" w:eastAsiaTheme="minorEastAsia"/>
          <w:b/>
          <w:bCs/>
          <w:color w:val="auto"/>
          <w:szCs w:val="21"/>
          <w:highlight w:val="none"/>
        </w:rPr>
      </w:pPr>
    </w:p>
    <w:p>
      <w:pPr>
        <w:snapToGrid w:val="0"/>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资信技术文件</w:t>
      </w:r>
    </w:p>
    <w:p>
      <w:pPr>
        <w:snapToGrid w:val="0"/>
        <w:spacing w:line="360" w:lineRule="auto"/>
        <w:ind w:firstLine="934" w:firstLineChars="445"/>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p>
      <w:pPr>
        <w:snapToGrid w:val="0"/>
        <w:spacing w:line="360" w:lineRule="auto"/>
        <w:ind w:firstLine="934" w:firstLineChars="445"/>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pPr>
        <w:pStyle w:val="16"/>
        <w:snapToGrid w:val="0"/>
        <w:spacing w:line="360" w:lineRule="auto"/>
        <w:ind w:firstLine="978" w:firstLineChars="46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pPr>
        <w:pStyle w:val="16"/>
        <w:snapToGrid w:val="0"/>
        <w:spacing w:line="360" w:lineRule="auto"/>
        <w:ind w:firstLine="978" w:firstLineChars="46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商务报价文件</w:t>
      </w:r>
    </w:p>
    <w:p>
      <w:pPr>
        <w:snapToGrid w:val="0"/>
        <w:spacing w:line="360" w:lineRule="auto"/>
        <w:rPr>
          <w:rFonts w:asciiTheme="minorEastAsia" w:hAnsiTheme="minorEastAsia" w:eastAsiaTheme="minorEastAsia"/>
          <w:bCs/>
          <w:color w:val="auto"/>
          <w:szCs w:val="21"/>
          <w:highlight w:val="none"/>
        </w:rPr>
      </w:pPr>
    </w:p>
    <w:p>
      <w:pPr>
        <w:snapToGrid w:val="0"/>
        <w:spacing w:line="360" w:lineRule="auto"/>
        <w:ind w:firstLine="934" w:firstLineChars="445"/>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p>
      <w:pPr>
        <w:snapToGrid w:val="0"/>
        <w:spacing w:line="360" w:lineRule="auto"/>
        <w:ind w:firstLine="1050" w:firstLineChars="5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pPr>
        <w:pStyle w:val="16"/>
        <w:snapToGrid w:val="0"/>
        <w:spacing w:line="360" w:lineRule="auto"/>
        <w:ind w:firstLine="978" w:firstLineChars="46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pPr>
        <w:pStyle w:val="16"/>
        <w:snapToGrid w:val="0"/>
        <w:spacing w:line="360" w:lineRule="auto"/>
        <w:ind w:firstLine="978" w:firstLineChars="46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pPr>
        <w:spacing w:line="360" w:lineRule="auto"/>
        <w:rPr>
          <w:rFonts w:asciiTheme="minorEastAsia" w:hAnsiTheme="minorEastAsia" w:eastAsiaTheme="minorEastAsia"/>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snapToGrid w:val="0"/>
        <w:spacing w:line="360" w:lineRule="auto"/>
        <w:jc w:val="left"/>
        <w:rPr>
          <w:rFonts w:asciiTheme="minorEastAsia" w:hAnsiTheme="minorEastAsia" w:eastAsiaTheme="minorEastAsia"/>
          <w:b/>
          <w:color w:val="auto"/>
          <w:szCs w:val="21"/>
          <w:highlight w:val="none"/>
        </w:rPr>
      </w:pPr>
    </w:p>
    <w:p>
      <w:pPr>
        <w:pStyle w:val="48"/>
        <w:ind w:firstLine="404"/>
        <w:rPr>
          <w:color w:val="auto"/>
          <w:highlight w:val="none"/>
        </w:rPr>
      </w:pPr>
    </w:p>
    <w:p>
      <w:pPr>
        <w:pStyle w:val="48"/>
        <w:ind w:firstLine="404"/>
        <w:rPr>
          <w:color w:val="auto"/>
          <w:highlight w:val="none"/>
        </w:rPr>
      </w:pPr>
    </w:p>
    <w:p>
      <w:pPr>
        <w:pStyle w:val="48"/>
        <w:ind w:firstLine="404"/>
        <w:rPr>
          <w:color w:val="auto"/>
          <w:highlight w:val="none"/>
        </w:rPr>
      </w:pPr>
    </w:p>
    <w:p>
      <w:pPr>
        <w:snapToGrid w:val="0"/>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嘉兴市秀洲区人民政府新城街道办事处</w:t>
      </w:r>
    </w:p>
    <w:p>
      <w:pPr>
        <w:snapToGrid w:val="0"/>
        <w:spacing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（投标单位名称）系中华人民共和国合法企业，经营地址。</w:t>
      </w:r>
    </w:p>
    <w:p>
      <w:pPr>
        <w:snapToGrid w:val="0"/>
        <w:spacing w:beforeLines="50" w:after="50"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我（姓名）系（投标人名称）的法定代表人，我方愿意参加贵方组织的的投标，为便于贵方公正、择优地确定中标人及其投标产品和服务，我方就本次投标有关事项郑重声明如下：</w:t>
      </w:r>
    </w:p>
    <w:p>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我方向贵方提交的所有投标文件、资料都是准确的和真实的。</w:t>
      </w:r>
    </w:p>
    <w:p>
      <w:pPr>
        <w:snapToGrid w:val="0"/>
        <w:spacing w:beforeLines="50"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我方不是招标单位的附属机构；在获知本项目采购信息后，与招标单位聘请的为此项目提供咨询服务的公司及其附属机构没有任何联系。</w:t>
      </w:r>
    </w:p>
    <w:p>
      <w:pPr>
        <w:snapToGrid w:val="0"/>
        <w:spacing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3.我方承诺具有履行合同所必需的设备和专业技术能力； </w:t>
      </w:r>
    </w:p>
    <w:p>
      <w:pPr>
        <w:snapToGrid w:val="0"/>
        <w:spacing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 我方承诺具有良好的商业信誉和健全的财务会计制度；（附财务报表）（格式自拟） </w:t>
      </w:r>
    </w:p>
    <w:p>
      <w:pPr>
        <w:snapToGrid w:val="0"/>
        <w:spacing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5.我方承诺有依法缴纳税收和社会保障资金的良好记录；（附依法缴纳税费或依法免缴税费的证明）（格式自拟） </w:t>
      </w:r>
    </w:p>
    <w:p>
      <w:pPr>
        <w:snapToGrid w:val="0"/>
        <w:spacing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6.我方承诺参加政府采购活动前三年内，在经营活动中没有重大违法记录；（若有，请如实填写；</w:t>
      </w:r>
      <w:r>
        <w:rPr>
          <w:rFonts w:hint="eastAsia" w:asciiTheme="minorEastAsia" w:hAnsiTheme="minorEastAsia" w:eastAsiaTheme="minorEastAsia"/>
          <w:color w:val="auto"/>
          <w:szCs w:val="21"/>
          <w:highlight w:val="none"/>
          <w:u w:val="single"/>
        </w:rPr>
        <w:t>　　　　　　　　　　　　</w:t>
      </w:r>
    </w:p>
    <w:p>
      <w:pPr>
        <w:snapToGrid w:val="0"/>
        <w:spacing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以上事项如有虚假或隐瞒，我方愿意承担一切后果，并不再寻求任何旨在减轻或免除法律责任的辩解。</w:t>
      </w:r>
    </w:p>
    <w:p>
      <w:pPr>
        <w:spacing w:line="360" w:lineRule="auto"/>
        <w:ind w:firstLine="527" w:firstLineChars="250"/>
        <w:jc w:val="center"/>
        <w:rPr>
          <w:rFonts w:asciiTheme="minorEastAsia" w:hAnsiTheme="minorEastAsia" w:eastAsiaTheme="minorEastAsia"/>
          <w:b/>
          <w:color w:val="auto"/>
          <w:szCs w:val="21"/>
          <w:highlight w:val="none"/>
        </w:rPr>
      </w:pPr>
    </w:p>
    <w:p>
      <w:pPr>
        <w:spacing w:beforeLines="50" w:line="360" w:lineRule="auto"/>
        <w:ind w:firstLine="1500" w:firstLineChars="600"/>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pPr>
        <w:pStyle w:val="28"/>
        <w:snapToGrid w:val="0"/>
        <w:spacing w:beforeLines="0" w:afterLines="0" w:line="360" w:lineRule="auto"/>
        <w:rPr>
          <w:rFonts w:asciiTheme="minorEastAsia" w:hAnsiTheme="minorEastAsia" w:eastAsiaTheme="minorEastAsia"/>
          <w:color w:val="auto"/>
          <w:sz w:val="21"/>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48"/>
        <w:ind w:firstLine="404"/>
        <w:rPr>
          <w:color w:val="auto"/>
          <w:highlight w:val="none"/>
        </w:rPr>
      </w:pPr>
    </w:p>
    <w:p>
      <w:pPr>
        <w:pStyle w:val="48"/>
        <w:ind w:firstLine="404"/>
        <w:rPr>
          <w:color w:val="auto"/>
          <w:highlight w:val="none"/>
        </w:rPr>
      </w:pPr>
    </w:p>
    <w:p>
      <w:pPr>
        <w:pStyle w:val="48"/>
        <w:ind w:firstLine="404"/>
        <w:rPr>
          <w:color w:val="auto"/>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pPr>
        <w:pStyle w:val="48"/>
        <w:spacing w:line="360" w:lineRule="auto"/>
        <w:ind w:firstLine="404"/>
        <w:rPr>
          <w:color w:val="auto"/>
          <w:highlight w:val="none"/>
        </w:rPr>
      </w:pPr>
    </w:p>
    <w:p>
      <w:pPr>
        <w:snapToGrid w:val="0"/>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嘉兴市秀洲区人民政府新城街道办事处</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（招标采购单位名称）：</w:t>
      </w:r>
    </w:p>
    <w:p>
      <w:pPr>
        <w:snapToGrid w:val="0"/>
        <w:spacing w:line="360" w:lineRule="auto"/>
        <w:ind w:firstLine="630" w:firstLine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我（姓名）系（投标人名称）的法定代表人，现授权委托本单位在职职工（姓名）以我方的名义参加</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新城街道市政设施养护项目</w:t>
      </w:r>
      <w:r>
        <w:rPr>
          <w:rFonts w:hint="eastAsia" w:asciiTheme="minorEastAsia" w:hAnsiTheme="minorEastAsia" w:eastAsiaTheme="minorEastAsia"/>
          <w:color w:val="auto"/>
          <w:szCs w:val="21"/>
          <w:highlight w:val="none"/>
        </w:rPr>
        <w:t>的投标活动，并代表我方全权办理针对上述项目的投标、开标、评标、签约等具体事务和签署相关文件。</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我方对被授权人的签名事项负全部责任。</w:t>
      </w:r>
    </w:p>
    <w:p>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在撤销授权的书面通知以前，本授权书一直有效。</w:t>
      </w:r>
      <w:r>
        <w:rPr>
          <w:rFonts w:hint="eastAsia" w:asciiTheme="minorEastAsia" w:hAnsiTheme="minorEastAsia" w:eastAsiaTheme="minorEastAsia"/>
          <w:color w:val="auto"/>
          <w:szCs w:val="21"/>
          <w:highlight w:val="none"/>
        </w:rPr>
        <w:t>被授权人在授权书有效期内签署的所有文件不因授权的撤销而失效。</w:t>
      </w:r>
    </w:p>
    <w:p>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被授权人无转委托权，特此委托。</w:t>
      </w:r>
    </w:p>
    <w:p>
      <w:pPr>
        <w:snapToGrid w:val="0"/>
        <w:spacing w:line="360" w:lineRule="auto"/>
        <w:rPr>
          <w:rFonts w:asciiTheme="minorEastAsia" w:hAnsiTheme="minorEastAsia" w:eastAsiaTheme="minorEastAsia"/>
          <w:color w:val="auto"/>
          <w:szCs w:val="21"/>
          <w:highlight w:val="none"/>
        </w:rPr>
      </w:pPr>
    </w:p>
    <w:p>
      <w:pPr>
        <w:snapToGrid w:val="0"/>
        <w:spacing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法定代表人签字：                     被授权人签字：</w:t>
      </w:r>
    </w:p>
    <w:p>
      <w:pPr>
        <w:snapToGrid w:val="0"/>
        <w:spacing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法定代表人身份证号：                  被授权人身份证号：</w:t>
      </w:r>
    </w:p>
    <w:p>
      <w:pPr>
        <w:snapToGrid w:val="0"/>
        <w:spacing w:beforeLines="50" w:after="50" w:line="360" w:lineRule="auto"/>
        <w:rPr>
          <w:rFonts w:asciiTheme="minorEastAsia" w:hAnsiTheme="minorEastAsia" w:eastAsiaTheme="minorEastAsia"/>
          <w:color w:val="auto"/>
          <w:szCs w:val="21"/>
          <w:highlight w:val="none"/>
        </w:rPr>
      </w:pPr>
    </w:p>
    <w:p>
      <w:pPr>
        <w:snapToGrid w:val="0"/>
        <w:spacing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法定代表人身份证（正反面）       被授权人身份证（正反面）</w:t>
      </w:r>
    </w:p>
    <w:p>
      <w:pPr>
        <w:snapToGrid w:val="0"/>
        <w:spacing w:line="360" w:lineRule="auto"/>
        <w:rPr>
          <w:rFonts w:asciiTheme="minorEastAsia" w:hAnsiTheme="minorEastAsia" w:eastAsiaTheme="minorEastAsia"/>
          <w:color w:val="auto"/>
          <w:szCs w:val="21"/>
          <w:highlight w:val="none"/>
        </w:rPr>
      </w:pPr>
    </w:p>
    <w:p>
      <w:pPr>
        <w:snapToGrid w:val="0"/>
        <w:spacing w:line="360" w:lineRule="auto"/>
        <w:ind w:firstLine="200"/>
        <w:jc w:val="right"/>
        <w:rPr>
          <w:rFonts w:asciiTheme="minorEastAsia" w:hAnsiTheme="minorEastAsia" w:eastAsiaTheme="minorEastAsia"/>
          <w:color w:val="auto"/>
          <w:szCs w:val="21"/>
          <w:highlight w:val="none"/>
          <w:u w:val="single"/>
        </w:rPr>
      </w:pPr>
    </w:p>
    <w:p>
      <w:pPr>
        <w:spacing w:beforeLines="50" w:line="360" w:lineRule="auto"/>
        <w:rPr>
          <w:rFonts w:asciiTheme="minorEastAsia" w:hAnsiTheme="minorEastAsia" w:eastAsiaTheme="minorEastAsia"/>
          <w:color w:val="auto"/>
          <w:szCs w:val="21"/>
          <w:highlight w:val="none"/>
        </w:rPr>
      </w:pP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pPr>
        <w:snapToGrid w:val="0"/>
        <w:spacing w:line="360" w:lineRule="auto"/>
        <w:ind w:firstLine="210" w:firstLineChars="100"/>
        <w:jc w:val="right"/>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48"/>
        <w:ind w:firstLine="404"/>
        <w:rPr>
          <w:color w:val="auto"/>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pPr>
        <w:spacing w:line="360" w:lineRule="auto"/>
        <w:rPr>
          <w:rFonts w:asciiTheme="minorEastAsia" w:hAnsiTheme="minorEastAsia" w:eastAsiaTheme="minorEastAsia"/>
          <w:color w:val="auto"/>
          <w:szCs w:val="21"/>
          <w:highlight w:val="none"/>
        </w:rPr>
      </w:pPr>
    </w:p>
    <w:p>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lang w:eastAsia="zh-CN"/>
        </w:rPr>
        <w:t>嘉兴市秀洲区人民政府新城街道办事处</w:t>
      </w:r>
    </w:p>
    <w:p>
      <w:pPr>
        <w:spacing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关于贵方</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新城街道市政设施养护项目</w:t>
      </w:r>
      <w:r>
        <w:rPr>
          <w:rFonts w:asciiTheme="minorEastAsia" w:hAnsiTheme="minorEastAsia" w:eastAsiaTheme="minorEastAsia"/>
          <w:color w:val="auto"/>
          <w:szCs w:val="21"/>
          <w:highlight w:val="none"/>
        </w:rPr>
        <w:t>招标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，本签字人愿意参加投标，提供</w:t>
      </w:r>
      <w:r>
        <w:rPr>
          <w:rFonts w:hint="eastAsia" w:asciiTheme="minorEastAsia" w:hAnsiTheme="minorEastAsia" w:eastAsiaTheme="minorEastAsia"/>
          <w:color w:val="auto"/>
          <w:szCs w:val="21"/>
          <w:highlight w:val="none"/>
        </w:rPr>
        <w:t>招标文件</w:t>
      </w:r>
      <w:r>
        <w:rPr>
          <w:rFonts w:asciiTheme="minorEastAsia" w:hAnsiTheme="minorEastAsia" w:eastAsiaTheme="minorEastAsia"/>
          <w:color w:val="auto"/>
          <w:szCs w:val="21"/>
          <w:highlight w:val="none"/>
        </w:rPr>
        <w:t>规定的</w:t>
      </w:r>
      <w:r>
        <w:rPr>
          <w:rFonts w:hint="eastAsia" w:asciiTheme="minorEastAsia" w:hAnsiTheme="minorEastAsia" w:eastAsiaTheme="minorEastAsia"/>
          <w:color w:val="auto"/>
          <w:szCs w:val="21"/>
          <w:highlight w:val="none"/>
        </w:rPr>
        <w:t>要求及服务，</w:t>
      </w:r>
      <w:r>
        <w:rPr>
          <w:rFonts w:asciiTheme="minorEastAsia" w:hAnsiTheme="minorEastAsia" w:eastAsiaTheme="minorEastAsia"/>
          <w:color w:val="auto"/>
          <w:szCs w:val="21"/>
          <w:highlight w:val="none"/>
        </w:rPr>
        <w:t>并证实提交的下列文件和说明是准确的和真实的</w:t>
      </w:r>
      <w:r>
        <w:rPr>
          <w:rFonts w:hint="eastAsia" w:asciiTheme="minorEastAsia" w:hAnsiTheme="minorEastAsia" w:eastAsiaTheme="minorEastAsia"/>
          <w:color w:val="auto"/>
          <w:szCs w:val="21"/>
          <w:highlight w:val="none"/>
        </w:rPr>
        <w:t>：</w:t>
      </w:r>
    </w:p>
    <w:p>
      <w:pPr>
        <w:spacing w:line="360" w:lineRule="auto"/>
        <w:ind w:firstLine="315" w:firstLineChars="1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投标人概况。</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2、有效期内的法人营业执照副本复印件（加盖公章）、</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3、招标文件要求的相关资格资质证明文件及附件资料复印件（加盖公章）。</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4、投标人认为有必要提供的声明及文件资料。</w:t>
      </w: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N、</w:t>
      </w:r>
      <w:r>
        <w:rPr>
          <w:rFonts w:asciiTheme="minorEastAsia" w:hAnsiTheme="minorEastAsia" w:eastAsiaTheme="minorEastAsia"/>
          <w:color w:val="auto"/>
          <w:szCs w:val="21"/>
          <w:highlight w:val="none"/>
        </w:rPr>
        <w:t>……</w:t>
      </w:r>
    </w:p>
    <w:p>
      <w:pPr>
        <w:spacing w:beforeLines="50" w:line="360" w:lineRule="auto"/>
        <w:ind w:firstLine="2750" w:firstLineChars="1100"/>
        <w:rPr>
          <w:rFonts w:asciiTheme="minorEastAsia" w:hAnsiTheme="minorEastAsia" w:eastAsiaTheme="minorEastAsia"/>
          <w:color w:val="auto"/>
          <w:spacing w:val="20"/>
          <w:szCs w:val="21"/>
          <w:highlight w:val="none"/>
        </w:rPr>
      </w:pPr>
    </w:p>
    <w:p>
      <w:pPr>
        <w:spacing w:beforeLines="50" w:line="360" w:lineRule="auto"/>
        <w:ind w:firstLine="2750" w:firstLineChars="1100"/>
        <w:rPr>
          <w:rFonts w:asciiTheme="minorEastAsia" w:hAnsiTheme="minorEastAsia" w:eastAsiaTheme="minorEastAsia"/>
          <w:color w:val="auto"/>
          <w:spacing w:val="20"/>
          <w:szCs w:val="21"/>
          <w:highlight w:val="none"/>
        </w:rPr>
      </w:pPr>
    </w:p>
    <w:p>
      <w:pPr>
        <w:spacing w:beforeLines="50" w:line="360" w:lineRule="auto"/>
        <w:ind w:firstLine="2750" w:firstLineChars="1100"/>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49"/>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50" w:type="dxa"/>
            <w:vMerge w:val="restart"/>
            <w:vAlign w:val="center"/>
          </w:tcPr>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概</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况</w:t>
            </w: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公司名称</w:t>
            </w:r>
          </w:p>
        </w:tc>
        <w:tc>
          <w:tcPr>
            <w:tcW w:w="6147" w:type="dxa"/>
            <w:gridSpan w:val="3"/>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p>
        </w:tc>
        <w:tc>
          <w:tcPr>
            <w:tcW w:w="6147" w:type="dxa"/>
            <w:gridSpan w:val="3"/>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经营范围</w:t>
            </w:r>
          </w:p>
        </w:tc>
        <w:tc>
          <w:tcPr>
            <w:tcW w:w="6147" w:type="dxa"/>
            <w:gridSpan w:val="3"/>
            <w:vAlign w:val="center"/>
          </w:tcPr>
          <w:p>
            <w:pPr>
              <w:spacing w:line="360" w:lineRule="auto"/>
              <w:ind w:firstLine="420" w:firstLineChars="200"/>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经济性质</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注册资金</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人员数</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资产总额</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净资产</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1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是否依法纳税</w:t>
            </w:r>
          </w:p>
        </w:tc>
        <w:tc>
          <w:tcPr>
            <w:tcW w:w="2538" w:type="dxa"/>
            <w:vAlign w:val="center"/>
          </w:tcPr>
          <w:p>
            <w:pPr>
              <w:spacing w:line="360" w:lineRule="auto"/>
              <w:jc w:val="center"/>
              <w:rPr>
                <w:rFonts w:asciiTheme="minorEastAsia" w:hAnsiTheme="minorEastAsia" w:eastAsiaTheme="minorEastAsia"/>
                <w:color w:val="auto"/>
                <w:szCs w:val="21"/>
                <w:highlight w:val="none"/>
              </w:rPr>
            </w:pPr>
          </w:p>
        </w:tc>
        <w:tc>
          <w:tcPr>
            <w:tcW w:w="153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是否参加社保</w:t>
            </w:r>
          </w:p>
        </w:tc>
        <w:tc>
          <w:tcPr>
            <w:tcW w:w="2079" w:type="dxa"/>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trPr>
        <w:tc>
          <w:tcPr>
            <w:tcW w:w="650"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7960" w:type="dxa"/>
            <w:gridSpan w:val="4"/>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单位优势及特点：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10" w:type="dxa"/>
            <w:gridSpan w:val="5"/>
            <w:vAlign w:val="center"/>
          </w:tcPr>
          <w:p>
            <w:pPr>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（单位公章）年   月   日</w:t>
            </w:r>
          </w:p>
        </w:tc>
      </w:tr>
    </w:tbl>
    <w:p>
      <w:pPr>
        <w:spacing w:before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注：附营业执照。</w:t>
      </w:r>
    </w:p>
    <w:p>
      <w:pPr>
        <w:snapToGrid w:val="0"/>
        <w:spacing w:line="360" w:lineRule="auto"/>
        <w:rPr>
          <w:rFonts w:asciiTheme="minorEastAsia" w:hAnsiTheme="minorEastAsia" w:eastAsiaTheme="minorEastAsia"/>
          <w:b/>
          <w:color w:val="auto"/>
          <w:spacing w:val="20"/>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bCs/>
          <w:color w:val="auto"/>
          <w:kern w:val="44"/>
          <w:szCs w:val="21"/>
          <w:highlight w:val="none"/>
        </w:rPr>
      </w:pPr>
    </w:p>
    <w:p>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49"/>
        <w:tblW w:w="9907"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rPr>
              <w:t>项目名称</w:t>
            </w:r>
          </w:p>
        </w:tc>
        <w:tc>
          <w:tcPr>
            <w:tcW w:w="2067" w:type="dxa"/>
            <w:vAlign w:val="center"/>
          </w:tcPr>
          <w:p>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项目金额</w:t>
            </w:r>
          </w:p>
          <w:p>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rPr>
              <w:t>万元）</w:t>
            </w:r>
          </w:p>
        </w:tc>
        <w:tc>
          <w:tcPr>
            <w:tcW w:w="1720"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合同时间</w:t>
            </w:r>
          </w:p>
        </w:tc>
        <w:tc>
          <w:tcPr>
            <w:tcW w:w="206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pPr>
              <w:spacing w:line="360" w:lineRule="auto"/>
              <w:ind w:firstLine="525" w:firstLineChars="250"/>
              <w:jc w:val="center"/>
              <w:rPr>
                <w:rFonts w:asciiTheme="minorEastAsia" w:hAnsiTheme="minorEastAsia" w:eastAsiaTheme="minorEastAsia"/>
                <w:color w:val="auto"/>
                <w:szCs w:val="21"/>
                <w:highlight w:val="none"/>
              </w:rPr>
            </w:pPr>
          </w:p>
        </w:tc>
      </w:tr>
    </w:tbl>
    <w:p>
      <w:pPr>
        <w:pStyle w:val="28"/>
        <w:tabs>
          <w:tab w:val="left" w:pos="1200"/>
        </w:tabs>
        <w:spacing w:before="120" w:after="12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注：1、以上项目须提供合同复印件加盖单位公章.</w:t>
      </w:r>
    </w:p>
    <w:p>
      <w:pPr>
        <w:pStyle w:val="28"/>
        <w:tabs>
          <w:tab w:val="left" w:pos="1200"/>
        </w:tabs>
        <w:spacing w:before="120" w:after="12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2、本表可在不改变格式的情况下根据具体需要自行增减。</w:t>
      </w: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snapToGrid w:val="0"/>
        <w:spacing w:line="360" w:lineRule="auto"/>
        <w:rPr>
          <w:rFonts w:asciiTheme="minorEastAsia" w:hAnsiTheme="minorEastAsia" w:eastAsiaTheme="minorEastAsia"/>
          <w:color w:val="auto"/>
          <w:spacing w:val="20"/>
          <w:szCs w:val="21"/>
          <w:highlight w:val="none"/>
        </w:rPr>
      </w:pPr>
    </w:p>
    <w:p>
      <w:pPr>
        <w:pStyle w:val="48"/>
        <w:ind w:firstLine="404"/>
        <w:rPr>
          <w:color w:val="auto"/>
          <w:highlight w:val="none"/>
        </w:rPr>
      </w:pPr>
    </w:p>
    <w:p>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7.</w:t>
      </w:r>
    </w:p>
    <w:p>
      <w:pPr>
        <w:snapToGrid w:val="0"/>
        <w:spacing w:line="360" w:lineRule="auto"/>
        <w:jc w:val="center"/>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认证证书情况（附件6）</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321"/>
        <w:gridCol w:w="1900"/>
        <w:gridCol w:w="1477"/>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序号</w:t>
            </w:r>
          </w:p>
        </w:tc>
        <w:tc>
          <w:tcPr>
            <w:tcW w:w="2321"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名称</w:t>
            </w:r>
          </w:p>
        </w:tc>
        <w:tc>
          <w:tcPr>
            <w:tcW w:w="1900"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获得时间</w:t>
            </w:r>
          </w:p>
        </w:tc>
        <w:tc>
          <w:tcPr>
            <w:tcW w:w="1477"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认证机构</w:t>
            </w:r>
          </w:p>
        </w:tc>
        <w:tc>
          <w:tcPr>
            <w:tcW w:w="1796"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p>
        </w:tc>
        <w:tc>
          <w:tcPr>
            <w:tcW w:w="2321" w:type="dxa"/>
          </w:tcPr>
          <w:p>
            <w:pPr>
              <w:spacing w:line="360" w:lineRule="auto"/>
              <w:rPr>
                <w:rFonts w:asciiTheme="minorEastAsia" w:hAnsiTheme="minorEastAsia" w:eastAsiaTheme="minorEastAsia"/>
                <w:bCs/>
                <w:color w:val="auto"/>
                <w:szCs w:val="21"/>
                <w:highlight w:val="none"/>
              </w:rPr>
            </w:pPr>
          </w:p>
        </w:tc>
        <w:tc>
          <w:tcPr>
            <w:tcW w:w="1900" w:type="dxa"/>
          </w:tcPr>
          <w:p>
            <w:pPr>
              <w:spacing w:line="360" w:lineRule="auto"/>
              <w:rPr>
                <w:rFonts w:asciiTheme="minorEastAsia" w:hAnsiTheme="minorEastAsia" w:eastAsiaTheme="minorEastAsia"/>
                <w:bCs/>
                <w:color w:val="auto"/>
                <w:szCs w:val="21"/>
                <w:highlight w:val="none"/>
              </w:rPr>
            </w:pPr>
          </w:p>
        </w:tc>
        <w:tc>
          <w:tcPr>
            <w:tcW w:w="1477" w:type="dxa"/>
          </w:tcPr>
          <w:p>
            <w:pPr>
              <w:spacing w:line="360" w:lineRule="auto"/>
              <w:rPr>
                <w:rFonts w:asciiTheme="minorEastAsia" w:hAnsiTheme="minorEastAsia" w:eastAsiaTheme="minorEastAsia"/>
                <w:bCs/>
                <w:color w:val="auto"/>
                <w:szCs w:val="21"/>
                <w:highlight w:val="none"/>
              </w:rPr>
            </w:pPr>
          </w:p>
        </w:tc>
        <w:tc>
          <w:tcPr>
            <w:tcW w:w="1796" w:type="dxa"/>
          </w:tcPr>
          <w:p>
            <w:pPr>
              <w:spacing w:line="360" w:lineRule="auto"/>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w:t>
            </w:r>
          </w:p>
        </w:tc>
        <w:tc>
          <w:tcPr>
            <w:tcW w:w="2321" w:type="dxa"/>
          </w:tcPr>
          <w:p>
            <w:pPr>
              <w:spacing w:line="360" w:lineRule="auto"/>
              <w:rPr>
                <w:rFonts w:asciiTheme="minorEastAsia" w:hAnsiTheme="minorEastAsia" w:eastAsiaTheme="minorEastAsia"/>
                <w:bCs/>
                <w:color w:val="auto"/>
                <w:szCs w:val="21"/>
                <w:highlight w:val="none"/>
              </w:rPr>
            </w:pPr>
          </w:p>
        </w:tc>
        <w:tc>
          <w:tcPr>
            <w:tcW w:w="1900" w:type="dxa"/>
          </w:tcPr>
          <w:p>
            <w:pPr>
              <w:spacing w:line="360" w:lineRule="auto"/>
              <w:rPr>
                <w:rFonts w:asciiTheme="minorEastAsia" w:hAnsiTheme="minorEastAsia" w:eastAsiaTheme="minorEastAsia"/>
                <w:bCs/>
                <w:color w:val="auto"/>
                <w:szCs w:val="21"/>
                <w:highlight w:val="none"/>
              </w:rPr>
            </w:pPr>
          </w:p>
        </w:tc>
        <w:tc>
          <w:tcPr>
            <w:tcW w:w="1477" w:type="dxa"/>
          </w:tcPr>
          <w:p>
            <w:pPr>
              <w:spacing w:line="360" w:lineRule="auto"/>
              <w:rPr>
                <w:rFonts w:asciiTheme="minorEastAsia" w:hAnsiTheme="minorEastAsia" w:eastAsiaTheme="minorEastAsia"/>
                <w:bCs/>
                <w:color w:val="auto"/>
                <w:szCs w:val="21"/>
                <w:highlight w:val="none"/>
              </w:rPr>
            </w:pPr>
          </w:p>
        </w:tc>
        <w:tc>
          <w:tcPr>
            <w:tcW w:w="1796" w:type="dxa"/>
          </w:tcPr>
          <w:p>
            <w:pPr>
              <w:spacing w:line="360" w:lineRule="auto"/>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w:t>
            </w:r>
          </w:p>
        </w:tc>
        <w:tc>
          <w:tcPr>
            <w:tcW w:w="2321" w:type="dxa"/>
          </w:tcPr>
          <w:p>
            <w:pPr>
              <w:spacing w:line="360" w:lineRule="auto"/>
              <w:rPr>
                <w:rFonts w:asciiTheme="minorEastAsia" w:hAnsiTheme="minorEastAsia" w:eastAsiaTheme="minorEastAsia"/>
                <w:bCs/>
                <w:color w:val="auto"/>
                <w:szCs w:val="21"/>
                <w:highlight w:val="none"/>
              </w:rPr>
            </w:pPr>
          </w:p>
        </w:tc>
        <w:tc>
          <w:tcPr>
            <w:tcW w:w="1900" w:type="dxa"/>
          </w:tcPr>
          <w:p>
            <w:pPr>
              <w:spacing w:line="360" w:lineRule="auto"/>
              <w:rPr>
                <w:rFonts w:asciiTheme="minorEastAsia" w:hAnsiTheme="minorEastAsia" w:eastAsiaTheme="minorEastAsia"/>
                <w:bCs/>
                <w:color w:val="auto"/>
                <w:szCs w:val="21"/>
                <w:highlight w:val="none"/>
              </w:rPr>
            </w:pPr>
          </w:p>
        </w:tc>
        <w:tc>
          <w:tcPr>
            <w:tcW w:w="1477" w:type="dxa"/>
          </w:tcPr>
          <w:p>
            <w:pPr>
              <w:spacing w:line="360" w:lineRule="auto"/>
              <w:rPr>
                <w:rFonts w:asciiTheme="minorEastAsia" w:hAnsiTheme="minorEastAsia" w:eastAsiaTheme="minorEastAsia"/>
                <w:bCs/>
                <w:color w:val="auto"/>
                <w:szCs w:val="21"/>
                <w:highlight w:val="none"/>
              </w:rPr>
            </w:pPr>
          </w:p>
        </w:tc>
        <w:tc>
          <w:tcPr>
            <w:tcW w:w="1796" w:type="dxa"/>
          </w:tcPr>
          <w:p>
            <w:pPr>
              <w:spacing w:line="360" w:lineRule="auto"/>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w:t>
            </w:r>
          </w:p>
        </w:tc>
        <w:tc>
          <w:tcPr>
            <w:tcW w:w="2321" w:type="dxa"/>
          </w:tcPr>
          <w:p>
            <w:pPr>
              <w:spacing w:line="360" w:lineRule="auto"/>
              <w:rPr>
                <w:rFonts w:asciiTheme="minorEastAsia" w:hAnsiTheme="minorEastAsia" w:eastAsiaTheme="minorEastAsia"/>
                <w:bCs/>
                <w:color w:val="auto"/>
                <w:szCs w:val="21"/>
                <w:highlight w:val="none"/>
              </w:rPr>
            </w:pPr>
          </w:p>
        </w:tc>
        <w:tc>
          <w:tcPr>
            <w:tcW w:w="1900" w:type="dxa"/>
          </w:tcPr>
          <w:p>
            <w:pPr>
              <w:spacing w:line="360" w:lineRule="auto"/>
              <w:rPr>
                <w:rFonts w:asciiTheme="minorEastAsia" w:hAnsiTheme="minorEastAsia" w:eastAsiaTheme="minorEastAsia"/>
                <w:bCs/>
                <w:color w:val="auto"/>
                <w:szCs w:val="21"/>
                <w:highlight w:val="none"/>
              </w:rPr>
            </w:pPr>
          </w:p>
        </w:tc>
        <w:tc>
          <w:tcPr>
            <w:tcW w:w="1477" w:type="dxa"/>
          </w:tcPr>
          <w:p>
            <w:pPr>
              <w:spacing w:line="360" w:lineRule="auto"/>
              <w:rPr>
                <w:rFonts w:asciiTheme="minorEastAsia" w:hAnsiTheme="minorEastAsia" w:eastAsiaTheme="minorEastAsia"/>
                <w:bCs/>
                <w:color w:val="auto"/>
                <w:szCs w:val="21"/>
                <w:highlight w:val="none"/>
              </w:rPr>
            </w:pPr>
          </w:p>
        </w:tc>
        <w:tc>
          <w:tcPr>
            <w:tcW w:w="1796" w:type="dxa"/>
          </w:tcPr>
          <w:p>
            <w:pPr>
              <w:spacing w:line="360" w:lineRule="auto"/>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w:t>
            </w:r>
          </w:p>
        </w:tc>
        <w:tc>
          <w:tcPr>
            <w:tcW w:w="2321" w:type="dxa"/>
          </w:tcPr>
          <w:p>
            <w:pPr>
              <w:spacing w:line="360" w:lineRule="auto"/>
              <w:rPr>
                <w:rFonts w:asciiTheme="minorEastAsia" w:hAnsiTheme="minorEastAsia" w:eastAsiaTheme="minorEastAsia"/>
                <w:bCs/>
                <w:color w:val="auto"/>
                <w:szCs w:val="21"/>
                <w:highlight w:val="none"/>
              </w:rPr>
            </w:pPr>
          </w:p>
        </w:tc>
        <w:tc>
          <w:tcPr>
            <w:tcW w:w="1900" w:type="dxa"/>
          </w:tcPr>
          <w:p>
            <w:pPr>
              <w:spacing w:line="360" w:lineRule="auto"/>
              <w:rPr>
                <w:rFonts w:asciiTheme="minorEastAsia" w:hAnsiTheme="minorEastAsia" w:eastAsiaTheme="minorEastAsia"/>
                <w:bCs/>
                <w:color w:val="auto"/>
                <w:szCs w:val="21"/>
                <w:highlight w:val="none"/>
              </w:rPr>
            </w:pPr>
          </w:p>
        </w:tc>
        <w:tc>
          <w:tcPr>
            <w:tcW w:w="1477" w:type="dxa"/>
          </w:tcPr>
          <w:p>
            <w:pPr>
              <w:spacing w:line="360" w:lineRule="auto"/>
              <w:rPr>
                <w:rFonts w:asciiTheme="minorEastAsia" w:hAnsiTheme="minorEastAsia" w:eastAsiaTheme="minorEastAsia"/>
                <w:bCs/>
                <w:color w:val="auto"/>
                <w:szCs w:val="21"/>
                <w:highlight w:val="none"/>
              </w:rPr>
            </w:pPr>
          </w:p>
        </w:tc>
        <w:tc>
          <w:tcPr>
            <w:tcW w:w="1796" w:type="dxa"/>
          </w:tcPr>
          <w:p>
            <w:pPr>
              <w:spacing w:line="360" w:lineRule="auto"/>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pPr>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p>
        </w:tc>
        <w:tc>
          <w:tcPr>
            <w:tcW w:w="2321" w:type="dxa"/>
          </w:tcPr>
          <w:p>
            <w:pPr>
              <w:spacing w:line="360" w:lineRule="auto"/>
              <w:jc w:val="center"/>
              <w:rPr>
                <w:rFonts w:asciiTheme="minorEastAsia" w:hAnsiTheme="minorEastAsia" w:eastAsiaTheme="minorEastAsia"/>
                <w:bCs/>
                <w:color w:val="auto"/>
                <w:szCs w:val="21"/>
                <w:highlight w:val="none"/>
              </w:rPr>
            </w:pPr>
          </w:p>
        </w:tc>
        <w:tc>
          <w:tcPr>
            <w:tcW w:w="1900" w:type="dxa"/>
          </w:tcPr>
          <w:p>
            <w:pPr>
              <w:spacing w:line="360" w:lineRule="auto"/>
              <w:jc w:val="center"/>
              <w:rPr>
                <w:rFonts w:asciiTheme="minorEastAsia" w:hAnsiTheme="minorEastAsia" w:eastAsiaTheme="minorEastAsia"/>
                <w:bCs/>
                <w:color w:val="auto"/>
                <w:szCs w:val="21"/>
                <w:highlight w:val="none"/>
              </w:rPr>
            </w:pPr>
          </w:p>
        </w:tc>
        <w:tc>
          <w:tcPr>
            <w:tcW w:w="1477" w:type="dxa"/>
          </w:tcPr>
          <w:p>
            <w:pPr>
              <w:spacing w:line="360" w:lineRule="auto"/>
              <w:jc w:val="center"/>
              <w:rPr>
                <w:rFonts w:asciiTheme="minorEastAsia" w:hAnsiTheme="minorEastAsia" w:eastAsiaTheme="minorEastAsia"/>
                <w:bCs/>
                <w:color w:val="auto"/>
                <w:szCs w:val="21"/>
                <w:highlight w:val="none"/>
              </w:rPr>
            </w:pPr>
          </w:p>
        </w:tc>
        <w:tc>
          <w:tcPr>
            <w:tcW w:w="1796" w:type="dxa"/>
          </w:tcPr>
          <w:p>
            <w:pPr>
              <w:spacing w:line="360" w:lineRule="auto"/>
              <w:jc w:val="center"/>
              <w:rPr>
                <w:rFonts w:asciiTheme="minorEastAsia" w:hAnsiTheme="minorEastAsia" w:eastAsiaTheme="minorEastAsia"/>
                <w:bCs/>
                <w:color w:val="auto"/>
                <w:szCs w:val="21"/>
                <w:highlight w:val="none"/>
              </w:rPr>
            </w:pPr>
          </w:p>
        </w:tc>
      </w:tr>
    </w:tbl>
    <w:p>
      <w:pPr>
        <w:pStyle w:val="28"/>
        <w:tabs>
          <w:tab w:val="left" w:pos="1200"/>
        </w:tabs>
        <w:spacing w:before="120" w:after="120" w:line="360" w:lineRule="auto"/>
        <w:ind w:left="886" w:leftChars="22" w:hanging="840" w:hangingChars="4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注：1、以上项目须提供证书复印件加盖单位公章。</w:t>
      </w:r>
      <w:bookmarkStart w:id="61" w:name="OLE_LINK7"/>
    </w:p>
    <w:p>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w:t>
      </w:r>
      <w:bookmarkEnd w:id="61"/>
    </w:p>
    <w:p>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项目组人员配置表（附件7）</w:t>
      </w:r>
    </w:p>
    <w:tbl>
      <w:tblPr>
        <w:tblStyle w:val="49"/>
        <w:tblW w:w="87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988"/>
        <w:gridCol w:w="1276"/>
        <w:gridCol w:w="1730"/>
        <w:gridCol w:w="2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姓名</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专业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分组情况</w:t>
            </w: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职称</w:t>
            </w: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b/>
                <w:bCs/>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pacing w:val="-20"/>
                <w:szCs w:val="21"/>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right"/>
              <w:rPr>
                <w:rFonts w:cs="Arial" w:asciiTheme="minorEastAsia" w:hAnsiTheme="minorEastAsia" w:eastAsiaTheme="minorEastAsia"/>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pPr>
              <w:adjustRightInd w:val="0"/>
              <w:spacing w:line="360" w:lineRule="auto"/>
              <w:jc w:val="right"/>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1" w:hRule="atLeast"/>
        </w:trPr>
        <w:tc>
          <w:tcPr>
            <w:tcW w:w="255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合计总人数</w:t>
            </w:r>
          </w:p>
        </w:tc>
        <w:tc>
          <w:tcPr>
            <w:tcW w:w="623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cs="Arial" w:asciiTheme="minorEastAsia" w:hAnsiTheme="minorEastAsia" w:eastAsiaTheme="minorEastAsia"/>
                <w:color w:val="auto"/>
                <w:szCs w:val="21"/>
                <w:highlight w:val="none"/>
              </w:rPr>
            </w:pPr>
          </w:p>
        </w:tc>
      </w:tr>
    </w:tbl>
    <w:p>
      <w:pPr>
        <w:adjustRightInd w:val="0"/>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注：1、上表中行数不够可自加。</w:t>
      </w:r>
    </w:p>
    <w:p>
      <w:pPr>
        <w:adjustRightInd w:val="0"/>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2、注册证书、学历证书、职称证书、社保证明等资料复印件加盖单位公章附后。</w:t>
      </w:r>
    </w:p>
    <w:p>
      <w:pPr>
        <w:snapToGrid w:val="0"/>
        <w:spacing w:line="360" w:lineRule="auto"/>
        <w:ind w:firstLine="200"/>
        <w:jc w:val="right"/>
        <w:rPr>
          <w:rFonts w:asciiTheme="minorEastAsia" w:hAnsiTheme="minorEastAsia" w:eastAsiaTheme="minorEastAsia"/>
          <w:color w:val="auto"/>
          <w:szCs w:val="21"/>
          <w:highlight w:val="none"/>
        </w:rPr>
      </w:pPr>
    </w:p>
    <w:p>
      <w:pPr>
        <w:snapToGrid w:val="0"/>
        <w:spacing w:line="360" w:lineRule="auto"/>
        <w:ind w:firstLine="211" w:firstLineChars="100"/>
        <w:jc w:val="left"/>
        <w:rPr>
          <w:rFonts w:asciiTheme="minorEastAsia" w:hAnsiTheme="minorEastAsia" w:eastAsiaTheme="minorEastAsia"/>
          <w:b/>
          <w:bCs/>
          <w:color w:val="auto"/>
          <w:szCs w:val="21"/>
          <w:highlight w:val="none"/>
        </w:rPr>
      </w:pPr>
    </w:p>
    <w:p>
      <w:pPr>
        <w:pStyle w:val="48"/>
        <w:spacing w:line="360" w:lineRule="auto"/>
        <w:ind w:firstLine="404"/>
        <w:rPr>
          <w:color w:val="auto"/>
          <w:highlight w:val="none"/>
        </w:rPr>
      </w:pPr>
    </w:p>
    <w:p>
      <w:pPr>
        <w:pStyle w:val="48"/>
        <w:spacing w:line="360" w:lineRule="auto"/>
        <w:ind w:firstLine="404"/>
        <w:rPr>
          <w:color w:val="auto"/>
          <w:highlight w:val="none"/>
        </w:rPr>
      </w:pPr>
    </w:p>
    <w:p>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9.</w:t>
      </w:r>
    </w:p>
    <w:p>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投入设备清单格式（附件8）</w:t>
      </w:r>
    </w:p>
    <w:tbl>
      <w:tblPr>
        <w:tblStyle w:val="49"/>
        <w:tblW w:w="86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73"/>
        <w:gridCol w:w="3011"/>
        <w:gridCol w:w="2410"/>
        <w:gridCol w:w="1134"/>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序号</w:t>
            </w:r>
          </w:p>
        </w:tc>
        <w:tc>
          <w:tcPr>
            <w:tcW w:w="3011" w:type="dxa"/>
            <w:tcBorders>
              <w:top w:val="single" w:color="auto" w:sz="4" w:space="0"/>
              <w:left w:val="single" w:color="auto" w:sz="4" w:space="0"/>
              <w:bottom w:val="single" w:color="auto" w:sz="2"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名称</w:t>
            </w:r>
          </w:p>
        </w:tc>
        <w:tc>
          <w:tcPr>
            <w:tcW w:w="2410" w:type="dxa"/>
            <w:tcBorders>
              <w:top w:val="single" w:color="auto" w:sz="4" w:space="0"/>
              <w:left w:val="single" w:color="auto" w:sz="4" w:space="0"/>
              <w:bottom w:val="single" w:color="auto" w:sz="2"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规格型号</w:t>
            </w:r>
          </w:p>
        </w:tc>
        <w:tc>
          <w:tcPr>
            <w:tcW w:w="1134"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产地</w:t>
            </w:r>
          </w:p>
        </w:tc>
        <w:tc>
          <w:tcPr>
            <w:tcW w:w="1076" w:type="dxa"/>
            <w:tcBorders>
              <w:top w:val="single" w:color="auto" w:sz="4" w:space="0"/>
              <w:left w:val="single" w:color="auto" w:sz="4" w:space="0"/>
              <w:bottom w:val="single" w:color="auto" w:sz="2" w:space="0"/>
              <w:right w:val="single" w:color="auto" w:sz="4" w:space="0"/>
            </w:tcBorders>
          </w:tcPr>
          <w:p>
            <w:pPr>
              <w:snapToGrid w:val="0"/>
              <w:spacing w:line="36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1</w:t>
            </w:r>
          </w:p>
        </w:tc>
        <w:tc>
          <w:tcPr>
            <w:tcW w:w="3011" w:type="dxa"/>
            <w:tcBorders>
              <w:top w:val="single" w:color="auto" w:sz="2"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2"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2"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2</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3</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4</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5</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6</w:t>
            </w: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3011" w:type="dxa"/>
            <w:tcBorders>
              <w:top w:val="single" w:color="auto" w:sz="6" w:space="0"/>
              <w:left w:val="single" w:color="auto" w:sz="2" w:space="0"/>
              <w:bottom w:val="single" w:color="auto" w:sz="6" w:space="0"/>
              <w:right w:val="single" w:color="auto" w:sz="4" w:space="0"/>
            </w:tcBorders>
            <w:vAlign w:val="center"/>
          </w:tcPr>
          <w:p>
            <w:pPr>
              <w:snapToGrid w:val="0"/>
              <w:spacing w:line="360" w:lineRule="auto"/>
              <w:jc w:val="center"/>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微软雅黑" w:hAnsi="微软雅黑" w:eastAsia="微软雅黑"/>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line="360" w:lineRule="auto"/>
              <w:rPr>
                <w:rFonts w:ascii="微软雅黑" w:hAnsi="微软雅黑" w:eastAsia="微软雅黑"/>
                <w:color w:val="auto"/>
                <w:szCs w:val="21"/>
                <w:highlight w:val="none"/>
              </w:rPr>
            </w:pPr>
          </w:p>
        </w:tc>
        <w:tc>
          <w:tcPr>
            <w:tcW w:w="3011" w:type="dxa"/>
            <w:tcBorders>
              <w:top w:val="single" w:color="auto" w:sz="6" w:space="0"/>
              <w:left w:val="single" w:color="auto" w:sz="2" w:space="0"/>
              <w:bottom w:val="single" w:color="auto" w:sz="2" w:space="0"/>
              <w:right w:val="single" w:color="auto" w:sz="4" w:space="0"/>
            </w:tcBorders>
            <w:vAlign w:val="center"/>
          </w:tcPr>
          <w:p>
            <w:pPr>
              <w:snapToGrid w:val="0"/>
              <w:spacing w:line="360" w:lineRule="auto"/>
              <w:rPr>
                <w:rFonts w:ascii="微软雅黑" w:hAnsi="微软雅黑" w:eastAsia="微软雅黑"/>
                <w:color w:val="auto"/>
                <w:szCs w:val="21"/>
                <w:highlight w:val="none"/>
              </w:rPr>
            </w:pPr>
          </w:p>
        </w:tc>
        <w:tc>
          <w:tcPr>
            <w:tcW w:w="2410" w:type="dxa"/>
            <w:tcBorders>
              <w:top w:val="single" w:color="auto" w:sz="6" w:space="0"/>
              <w:left w:val="single" w:color="auto" w:sz="4" w:space="0"/>
              <w:bottom w:val="single" w:color="auto" w:sz="2" w:space="0"/>
              <w:right w:val="single" w:color="auto" w:sz="6" w:space="0"/>
            </w:tcBorders>
            <w:vAlign w:val="center"/>
          </w:tcPr>
          <w:p>
            <w:pPr>
              <w:snapToGrid w:val="0"/>
              <w:spacing w:line="360" w:lineRule="auto"/>
              <w:rPr>
                <w:rFonts w:ascii="微软雅黑" w:hAnsi="微软雅黑" w:eastAsia="微软雅黑"/>
                <w:color w:val="auto"/>
                <w:szCs w:val="21"/>
                <w:highlight w:val="none"/>
              </w:rPr>
            </w:pPr>
          </w:p>
        </w:tc>
        <w:tc>
          <w:tcPr>
            <w:tcW w:w="1134" w:type="dxa"/>
            <w:tcBorders>
              <w:top w:val="single" w:color="auto" w:sz="6" w:space="0"/>
              <w:left w:val="single" w:color="auto" w:sz="6" w:space="0"/>
              <w:bottom w:val="single" w:color="auto" w:sz="2" w:space="0"/>
              <w:right w:val="single" w:color="auto" w:sz="6" w:space="0"/>
            </w:tcBorders>
            <w:tcMar>
              <w:top w:w="15" w:type="dxa"/>
              <w:left w:w="15" w:type="dxa"/>
              <w:bottom w:w="0" w:type="dxa"/>
              <w:right w:w="15" w:type="dxa"/>
            </w:tcMar>
            <w:vAlign w:val="center"/>
          </w:tcPr>
          <w:p>
            <w:pPr>
              <w:snapToGrid w:val="0"/>
              <w:spacing w:line="360" w:lineRule="auto"/>
              <w:rPr>
                <w:rFonts w:ascii="微软雅黑" w:hAnsi="微软雅黑" w:eastAsia="微软雅黑"/>
                <w:color w:val="auto"/>
                <w:szCs w:val="21"/>
                <w:highlight w:val="none"/>
              </w:rPr>
            </w:pPr>
          </w:p>
        </w:tc>
        <w:tc>
          <w:tcPr>
            <w:tcW w:w="1076" w:type="dxa"/>
            <w:tcBorders>
              <w:top w:val="single" w:color="auto" w:sz="6" w:space="0"/>
              <w:left w:val="single" w:color="auto" w:sz="6" w:space="0"/>
              <w:bottom w:val="single" w:color="auto" w:sz="2" w:space="0"/>
              <w:right w:val="single" w:color="auto" w:sz="6" w:space="0"/>
            </w:tcBorders>
          </w:tcPr>
          <w:p>
            <w:pPr>
              <w:snapToGrid w:val="0"/>
              <w:spacing w:line="360" w:lineRule="auto"/>
              <w:rPr>
                <w:rFonts w:ascii="微软雅黑" w:hAnsi="微软雅黑" w:eastAsia="微软雅黑"/>
                <w:color w:val="auto"/>
                <w:szCs w:val="21"/>
                <w:highlight w:val="none"/>
              </w:rPr>
            </w:pPr>
          </w:p>
        </w:tc>
      </w:tr>
    </w:tbl>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p>
    <w:p>
      <w:pPr>
        <w:pStyle w:val="28"/>
        <w:snapToGrid w:val="0"/>
        <w:spacing w:beforeLines="0" w:afterLines="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10、</w:t>
      </w:r>
    </w:p>
    <w:p>
      <w:pPr>
        <w:pStyle w:val="28"/>
        <w:snapToGrid w:val="0"/>
        <w:spacing w:beforeLines="0" w:afterLines="0" w:line="360" w:lineRule="auto"/>
        <w:jc w:val="center"/>
        <w:rPr>
          <w:rFonts w:hAnsi="宋体"/>
          <w:b/>
          <w:color w:val="auto"/>
          <w:sz w:val="21"/>
          <w:szCs w:val="21"/>
          <w:highlight w:val="none"/>
        </w:rPr>
      </w:pPr>
      <w:r>
        <w:rPr>
          <w:rFonts w:hint="eastAsia" w:asciiTheme="minorEastAsia" w:hAnsiTheme="minorEastAsia" w:eastAsiaTheme="minorEastAsia"/>
          <w:b/>
          <w:color w:val="auto"/>
          <w:sz w:val="21"/>
          <w:szCs w:val="21"/>
          <w:highlight w:val="none"/>
        </w:rPr>
        <w:t>中小企业声明函</w:t>
      </w:r>
      <w:r>
        <w:rPr>
          <w:rFonts w:hint="eastAsia" w:hAnsi="宋体"/>
          <w:b/>
          <w:bCs/>
          <w:color w:val="auto"/>
          <w:sz w:val="21"/>
          <w:szCs w:val="21"/>
          <w:highlight w:val="none"/>
        </w:rPr>
        <w:t>（工程、服务）</w:t>
      </w:r>
    </w:p>
    <w:p>
      <w:pPr>
        <w:pStyle w:val="28"/>
        <w:snapToGrid w:val="0"/>
        <w:spacing w:beforeLines="0"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bCs/>
          <w:color w:val="auto"/>
          <w:sz w:val="21"/>
          <w:szCs w:val="21"/>
          <w:highlight w:val="none"/>
        </w:rPr>
        <w:t>（附件9）</w:t>
      </w:r>
    </w:p>
    <w:p>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工程的施工单位</w:t>
      </w:r>
      <w:r>
        <w:rPr>
          <w:rFonts w:ascii="宋体" w:hAnsi="宋体"/>
          <w:color w:val="auto"/>
          <w:szCs w:val="21"/>
          <w:highlight w:val="none"/>
        </w:rPr>
        <w:t>全部</w:t>
      </w:r>
      <w:r>
        <w:rPr>
          <w:rFonts w:hint="eastAsia" w:ascii="宋体" w:hAnsi="宋体"/>
          <w:color w:val="auto"/>
          <w:szCs w:val="21"/>
          <w:highlight w:val="none"/>
        </w:rPr>
        <w:t>为</w:t>
      </w:r>
      <w:r>
        <w:rPr>
          <w:rFonts w:ascii="宋体" w:hAnsi="宋体"/>
          <w:color w:val="auto"/>
          <w:szCs w:val="21"/>
          <w:highlight w:val="none"/>
        </w:rPr>
        <w:t>符合政策要求的中小企业</w:t>
      </w:r>
      <w:r>
        <w:rPr>
          <w:rFonts w:hint="eastAsia" w:ascii="宋体" w:hAnsi="宋体"/>
          <w:color w:val="auto"/>
          <w:szCs w:val="21"/>
          <w:highlight w:val="none"/>
        </w:rPr>
        <w:t>（或者服务全部由符合政策要求的中小企业承接）</w:t>
      </w:r>
      <w:r>
        <w:rPr>
          <w:rFonts w:ascii="宋体" w:hAnsi="宋体"/>
          <w:color w:val="auto"/>
          <w:szCs w:val="21"/>
          <w:highlight w:val="none"/>
        </w:rPr>
        <w:t>。相关企业（含联合体中的中小企业、签订分包意向协议的中小企业）的具体情况如下：</w:t>
      </w:r>
    </w:p>
    <w:p>
      <w:pPr>
        <w:widowControl/>
        <w:spacing w:line="360" w:lineRule="auto"/>
        <w:ind w:left="420" w:leftChars="200"/>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（采购文件中明确的所属行业）</w:t>
      </w:r>
      <w:r>
        <w:rPr>
          <w:rFonts w:ascii="宋体" w:hAnsi="宋体"/>
          <w:color w:val="auto"/>
          <w:szCs w:val="21"/>
          <w:highlight w:val="none"/>
        </w:rPr>
        <w:t>行业；</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w:t>
      </w:r>
      <w:r>
        <w:rPr>
          <w:rFonts w:ascii="宋体" w:hAnsi="宋体"/>
          <w:color w:val="auto"/>
          <w:szCs w:val="21"/>
          <w:highlight w:val="none"/>
        </w:rPr>
        <w:t>，从业人员人，营业收入为万元，资产总额为万元1，属于</w:t>
      </w:r>
      <w:r>
        <w:rPr>
          <w:rFonts w:ascii="宋体" w:hAnsi="宋体"/>
          <w:color w:val="auto"/>
          <w:szCs w:val="21"/>
          <w:highlight w:val="none"/>
          <w:u w:val="single"/>
        </w:rPr>
        <w:t>（中型企业、小型企业、微型企业）</w:t>
      </w:r>
      <w:r>
        <w:rPr>
          <w:rFonts w:ascii="宋体" w:hAnsi="宋体"/>
          <w:color w:val="auto"/>
          <w:szCs w:val="21"/>
          <w:highlight w:val="none"/>
        </w:rPr>
        <w:t>；</w:t>
      </w:r>
    </w:p>
    <w:p>
      <w:pPr>
        <w:widowControl/>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pPr>
        <w:widowControl/>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pPr>
        <w:widowControl/>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从业人员、营业收入、资产总额填报上一年度数据，无上一年度数据的新成立企业可不填报。</w:t>
      </w:r>
    </w:p>
    <w:p>
      <w:pPr>
        <w:spacing w:line="360" w:lineRule="auto"/>
        <w:ind w:firstLine="4515" w:firstLineChars="2150"/>
        <w:rPr>
          <w:rFonts w:ascii="宋体" w:hAnsi="宋体"/>
          <w:color w:val="auto"/>
          <w:spacing w:val="20"/>
          <w:szCs w:val="21"/>
          <w:highlight w:val="none"/>
          <w:u w:val="single"/>
        </w:rPr>
      </w:pPr>
      <w:r>
        <w:rPr>
          <w:rFonts w:ascii="宋体" w:hAnsi="宋体"/>
          <w:color w:val="auto"/>
          <w:szCs w:val="21"/>
          <w:highlight w:val="none"/>
        </w:rPr>
        <w:t>企业称（盖章）</w:t>
      </w:r>
      <w:r>
        <w:rPr>
          <w:rFonts w:hint="eastAsia" w:ascii="宋体" w:hAnsi="宋体"/>
          <w:color w:val="auto"/>
          <w:szCs w:val="21"/>
          <w:highlight w:val="none"/>
        </w:rPr>
        <w:t>：</w:t>
      </w:r>
    </w:p>
    <w:p>
      <w:pPr>
        <w:pStyle w:val="28"/>
        <w:spacing w:beforeLines="0" w:afterLines="0" w:line="360" w:lineRule="auto"/>
        <w:ind w:firstLine="420"/>
        <w:jc w:val="center"/>
        <w:outlineLvl w:val="3"/>
        <w:rPr>
          <w:rFonts w:hAnsi="宋体"/>
          <w:color w:val="auto"/>
          <w:spacing w:val="20"/>
          <w:sz w:val="21"/>
          <w:szCs w:val="21"/>
          <w:highlight w:val="none"/>
        </w:rPr>
      </w:pPr>
      <w:r>
        <w:rPr>
          <w:rFonts w:hint="eastAsia" w:hAnsi="宋体"/>
          <w:color w:val="auto"/>
          <w:spacing w:val="20"/>
          <w:sz w:val="21"/>
          <w:szCs w:val="21"/>
          <w:highlight w:val="none"/>
        </w:rPr>
        <w:t xml:space="preserve">             日     期：</w:t>
      </w:r>
    </w:p>
    <w:p>
      <w:pPr>
        <w:widowControl/>
        <w:spacing w:line="360" w:lineRule="auto"/>
        <w:jc w:val="left"/>
        <w:rPr>
          <w:rFonts w:asciiTheme="minorEastAsia" w:hAnsiTheme="minorEastAsia" w:eastAsiaTheme="minorEastAsia"/>
          <w:b/>
          <w:color w:val="auto"/>
          <w:szCs w:val="21"/>
          <w:highlight w:val="none"/>
        </w:rPr>
      </w:pPr>
    </w:p>
    <w:p>
      <w:pPr>
        <w:widowControl/>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11、</w:t>
      </w:r>
    </w:p>
    <w:p>
      <w:pPr>
        <w:widowControl/>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残疾人福利性单位声明函</w:t>
      </w:r>
      <w:r>
        <w:rPr>
          <w:rFonts w:hint="eastAsia" w:asciiTheme="minorEastAsia" w:hAnsiTheme="minorEastAsia" w:eastAsiaTheme="minorEastAsia"/>
          <w:b/>
          <w:bCs/>
          <w:color w:val="auto"/>
          <w:szCs w:val="21"/>
          <w:highlight w:val="none"/>
        </w:rPr>
        <w:t>（附件10）</w:t>
      </w:r>
    </w:p>
    <w:p>
      <w:pPr>
        <w:widowControl/>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本单位对上述声明的真实性负责。如有虚假，将依法承担相应责任</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5625" w:firstLineChars="225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投标人盖章：</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日        期：</w:t>
      </w:r>
    </w:p>
    <w:p>
      <w:pPr>
        <w:snapToGrid w:val="0"/>
        <w:spacing w:line="360" w:lineRule="auto"/>
        <w:rPr>
          <w:rFonts w:asciiTheme="minorEastAsia" w:hAnsiTheme="minorEastAsia" w:eastAsiaTheme="minorEastAsia"/>
          <w:color w:val="auto"/>
          <w:spacing w:val="20"/>
          <w:szCs w:val="21"/>
          <w:highlight w:val="none"/>
        </w:rPr>
      </w:pPr>
    </w:p>
    <w:p>
      <w:pPr>
        <w:pStyle w:val="48"/>
        <w:spacing w:line="360" w:lineRule="auto"/>
        <w:ind w:left="0" w:leftChars="0" w:firstLine="0" w:firstLineChars="0"/>
        <w:rPr>
          <w:rFonts w:hAnsi="宋体"/>
          <w:b/>
          <w:bCs/>
          <w:color w:val="auto"/>
          <w:szCs w:val="21"/>
          <w:highlight w:val="none"/>
        </w:rPr>
      </w:pPr>
    </w:p>
    <w:p>
      <w:pPr>
        <w:pStyle w:val="48"/>
        <w:spacing w:line="360" w:lineRule="auto"/>
        <w:ind w:left="0" w:leftChars="0" w:firstLine="0" w:firstLineChars="0"/>
        <w:rPr>
          <w:rFonts w:hAnsi="宋体"/>
          <w:b/>
          <w:bCs/>
          <w:color w:val="auto"/>
          <w:szCs w:val="21"/>
          <w:highlight w:val="none"/>
        </w:rPr>
      </w:pPr>
    </w:p>
    <w:p>
      <w:pPr>
        <w:pStyle w:val="48"/>
        <w:spacing w:line="360" w:lineRule="auto"/>
        <w:ind w:left="0" w:leftChars="0" w:firstLine="0" w:firstLineChars="0"/>
        <w:rPr>
          <w:rFonts w:hAnsi="宋体"/>
          <w:b/>
          <w:bCs/>
          <w:color w:val="auto"/>
          <w:szCs w:val="21"/>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（附件11）</w:t>
      </w:r>
    </w:p>
    <w:p>
      <w:pPr>
        <w:adjustRightInd w:val="0"/>
        <w:snapToGri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嘉兴市秀洲区人民政府新城街道办事处</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根据贵方为的</w:t>
      </w:r>
      <w:r>
        <w:rPr>
          <w:rFonts w:hint="eastAsia" w:asciiTheme="minorEastAsia" w:hAnsiTheme="minorEastAsia" w:eastAsiaTheme="minorEastAsia"/>
          <w:color w:val="auto"/>
          <w:szCs w:val="21"/>
          <w:highlight w:val="none"/>
          <w:u w:val="single"/>
          <w:lang w:eastAsia="zh-CN"/>
        </w:rPr>
        <w:t>新城街道市政设施养护项目</w:t>
      </w:r>
      <w:r>
        <w:rPr>
          <w:rFonts w:hint="eastAsia" w:asciiTheme="minorEastAsia" w:hAnsiTheme="minorEastAsia" w:eastAsiaTheme="minorEastAsia"/>
          <w:color w:val="auto"/>
          <w:szCs w:val="21"/>
          <w:highlight w:val="none"/>
        </w:rPr>
        <w:t>招</w:t>
      </w:r>
      <w:r>
        <w:rPr>
          <w:rFonts w:asciiTheme="minorEastAsia" w:hAnsiTheme="minorEastAsia" w:eastAsiaTheme="minorEastAsia"/>
          <w:color w:val="auto"/>
          <w:szCs w:val="21"/>
          <w:highlight w:val="none"/>
        </w:rPr>
        <w:t>标</w:t>
      </w:r>
      <w:r>
        <w:rPr>
          <w:rFonts w:hint="eastAsia" w:asciiTheme="minorEastAsia" w:hAnsiTheme="minorEastAsia" w:eastAsiaTheme="minorEastAsia"/>
          <w:color w:val="auto"/>
          <w:szCs w:val="21"/>
          <w:highlight w:val="none"/>
        </w:rPr>
        <w:t>公告</w:t>
      </w:r>
      <w:r>
        <w:rPr>
          <w:rFonts w:asciiTheme="minorEastAsia" w:hAnsiTheme="minorEastAsia" w:eastAsiaTheme="minorEastAsia"/>
          <w:color w:val="auto"/>
          <w:szCs w:val="21"/>
          <w:highlight w:val="none"/>
        </w:rPr>
        <w:t>，签字代表____________________（</w:t>
      </w:r>
      <w:r>
        <w:rPr>
          <w:rFonts w:hint="eastAsia" w:asciiTheme="minorEastAsia" w:hAnsiTheme="minorEastAsia" w:eastAsiaTheme="minorEastAsia"/>
          <w:color w:val="auto"/>
          <w:szCs w:val="21"/>
          <w:highlight w:val="none"/>
        </w:rPr>
        <w:t>法人</w:t>
      </w:r>
      <w:r>
        <w:rPr>
          <w:rFonts w:asciiTheme="minorEastAsia" w:hAnsiTheme="minorEastAsia" w:eastAsiaTheme="minorEastAsia"/>
          <w:color w:val="auto"/>
          <w:szCs w:val="21"/>
          <w:highlight w:val="none"/>
        </w:rPr>
        <w:t>全名）经正式授权</w:t>
      </w:r>
      <w:r>
        <w:rPr>
          <w:rFonts w:hint="eastAsia" w:asciiTheme="minorEastAsia" w:hAnsiTheme="minorEastAsia" w:eastAsiaTheme="minorEastAsia"/>
          <w:color w:val="auto"/>
          <w:szCs w:val="21"/>
          <w:highlight w:val="none"/>
        </w:rPr>
        <w:t>（被授权人）</w:t>
      </w:r>
      <w:r>
        <w:rPr>
          <w:rFonts w:asciiTheme="minorEastAsia" w:hAnsiTheme="minorEastAsia" w:eastAsiaTheme="minorEastAsia"/>
          <w:color w:val="auto"/>
          <w:szCs w:val="21"/>
          <w:highlight w:val="none"/>
        </w:rPr>
        <w:t>并代表投标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________________________________________（投标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名称）提交</w:t>
      </w:r>
      <w:r>
        <w:rPr>
          <w:rFonts w:hint="eastAsia" w:asciiTheme="minorEastAsia" w:hAnsiTheme="minorEastAsia" w:eastAsiaTheme="minorEastAsia"/>
          <w:color w:val="auto"/>
          <w:szCs w:val="21"/>
          <w:highlight w:val="none"/>
        </w:rPr>
        <w:t>投标文件、开标过程中的工作</w:t>
      </w:r>
      <w:r>
        <w:rPr>
          <w:rFonts w:asciiTheme="minorEastAsia" w:hAnsiTheme="minorEastAsia" w:eastAsiaTheme="minorEastAsia"/>
          <w:color w:val="auto"/>
          <w:szCs w:val="21"/>
          <w:highlight w:val="none"/>
        </w:rPr>
        <w:t>。</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据此函，</w:t>
      </w:r>
      <w:r>
        <w:rPr>
          <w:rFonts w:hint="eastAsia" w:asciiTheme="minorEastAsia" w:hAnsiTheme="minorEastAsia" w:eastAsiaTheme="minorEastAsia"/>
          <w:color w:val="auto"/>
          <w:szCs w:val="21"/>
          <w:highlight w:val="none"/>
        </w:rPr>
        <w:t>签字代表宣布同意如下：</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2、投标人在投标之前已经与贵方进行了充分的沟通，完全理解并接受招标文件的各项规定和要求，对招标文件的合理性、合法性不再有异议。</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3、本投标有效期自开标日起 90个日历天</w:t>
      </w:r>
      <w:r>
        <w:rPr>
          <w:rFonts w:asciiTheme="minorEastAsia" w:hAnsiTheme="minorEastAsia" w:eastAsiaTheme="minorEastAsia"/>
          <w:color w:val="auto"/>
          <w:szCs w:val="21"/>
          <w:highlight w:val="none"/>
        </w:rPr>
        <w:t>。</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4、如中标，本投标文件至本项目合同履行完毕止均保持有效，本投标人将按“招标文件”及政府采购法律、法规的规定履行合同责任和义务。</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5、投标人同意按照贵方要求提供与投标有关的一切数据或资料，并保证其真实性、合法性。</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6、与本投标有关的一切正式往来信函请寄：</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rPr>
        <w:t>____________________邮编：__________</w:t>
      </w:r>
      <w:r>
        <w:rPr>
          <w:rFonts w:hint="eastAsia" w:asciiTheme="minorEastAsia" w:hAnsiTheme="minorEastAsia" w:eastAsiaTheme="minorEastAsia"/>
          <w:color w:val="auto"/>
          <w:szCs w:val="21"/>
          <w:highlight w:val="none"/>
        </w:rPr>
        <w:t xml:space="preserve">   电话：</w:t>
      </w:r>
      <w:r>
        <w:rPr>
          <w:rFonts w:asciiTheme="minorEastAsia" w:hAnsiTheme="minorEastAsia" w:eastAsiaTheme="minorEastAsia"/>
          <w:color w:val="auto"/>
          <w:szCs w:val="21"/>
          <w:highlight w:val="none"/>
        </w:rPr>
        <w:t>______________</w:t>
      </w:r>
    </w:p>
    <w:p>
      <w:pPr>
        <w:adjustRightInd w:val="0"/>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传真：______________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职务：______________</w:t>
      </w: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(盖章):___________________</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开户银行：   </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银行帐号：</w:t>
      </w:r>
    </w:p>
    <w:p>
      <w:pPr>
        <w:spacing w:beforeLines="50" w:line="360" w:lineRule="auto"/>
        <w:ind w:firstLine="1375" w:firstLineChars="550"/>
        <w:rPr>
          <w:rFonts w:asciiTheme="minorEastAsia" w:hAnsiTheme="minorEastAsia" w:eastAsiaTheme="minorEastAsia"/>
          <w:color w:val="auto"/>
          <w:spacing w:val="20"/>
          <w:szCs w:val="21"/>
          <w:highlight w:val="none"/>
        </w:rPr>
      </w:pPr>
    </w:p>
    <w:p>
      <w:pPr>
        <w:spacing w:beforeLines="50" w:line="360" w:lineRule="auto"/>
        <w:ind w:firstLine="1375" w:firstLineChars="550"/>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pPr>
        <w:spacing w:line="360" w:lineRule="auto"/>
        <w:ind w:firstLine="527" w:firstLineChars="250"/>
        <w:jc w:val="center"/>
        <w:rPr>
          <w:rFonts w:asciiTheme="minorEastAsia" w:hAnsiTheme="minorEastAsia" w:eastAsiaTheme="minorEastAsia"/>
          <w:b/>
          <w:color w:val="auto"/>
          <w:szCs w:val="21"/>
          <w:highlight w:val="none"/>
        </w:rPr>
      </w:pPr>
    </w:p>
    <w:p>
      <w:pPr>
        <w:snapToGrid w:val="0"/>
        <w:spacing w:line="360" w:lineRule="auto"/>
        <w:rPr>
          <w:rFonts w:asciiTheme="minorEastAsia" w:hAnsiTheme="minorEastAsia" w:eastAsiaTheme="minorEastAsia"/>
          <w:b/>
          <w:color w:val="auto"/>
          <w:szCs w:val="21"/>
          <w:highlight w:val="none"/>
        </w:rPr>
      </w:pPr>
    </w:p>
    <w:p>
      <w:pPr>
        <w:pStyle w:val="48"/>
        <w:ind w:firstLine="404"/>
        <w:rPr>
          <w:color w:val="auto"/>
          <w:highlight w:val="none"/>
        </w:rPr>
      </w:pP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p>
    <w:p>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开标一览表（附件12）</w:t>
      </w:r>
    </w:p>
    <w:p>
      <w:pPr>
        <w:adjustRightInd w:val="0"/>
        <w:spacing w:line="360" w:lineRule="auto"/>
        <w:jc w:val="center"/>
        <w:rPr>
          <w:rFonts w:cs="Arial" w:asciiTheme="minorEastAsia" w:hAnsiTheme="minorEastAsia" w:eastAsiaTheme="minorEastAsia"/>
          <w:color w:val="auto"/>
          <w:szCs w:val="21"/>
          <w:highlight w:val="none"/>
        </w:rPr>
      </w:pPr>
    </w:p>
    <w:tbl>
      <w:tblPr>
        <w:tblStyle w:val="49"/>
        <w:tblW w:w="8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2504"/>
        <w:gridCol w:w="191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093"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项目名称</w:t>
            </w:r>
          </w:p>
        </w:tc>
        <w:tc>
          <w:tcPr>
            <w:tcW w:w="2504"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投标报价（万元）</w:t>
            </w:r>
          </w:p>
        </w:tc>
        <w:tc>
          <w:tcPr>
            <w:tcW w:w="1915"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项目负责人</w:t>
            </w:r>
          </w:p>
        </w:tc>
        <w:tc>
          <w:tcPr>
            <w:tcW w:w="1178" w:type="dxa"/>
            <w:vAlign w:val="center"/>
          </w:tcPr>
          <w:p>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093" w:type="dxa"/>
            <w:vAlign w:val="center"/>
          </w:tcPr>
          <w:p>
            <w:pPr>
              <w:adjustRightInd w:val="0"/>
              <w:spacing w:line="360" w:lineRule="auto"/>
              <w:jc w:val="center"/>
              <w:rPr>
                <w:rFonts w:hint="eastAsia" w:cs="Arial" w:asciiTheme="minorEastAsia" w:hAnsiTheme="minorEastAsia" w:eastAsiaTheme="minorEastAsia"/>
                <w:color w:val="auto"/>
                <w:szCs w:val="21"/>
                <w:highlight w:val="none"/>
                <w:lang w:eastAsia="zh-CN"/>
              </w:rPr>
            </w:pPr>
            <w:r>
              <w:rPr>
                <w:rFonts w:hint="eastAsia" w:cs="Arial" w:asciiTheme="minorEastAsia" w:hAnsiTheme="minorEastAsia" w:eastAsiaTheme="minorEastAsia"/>
                <w:color w:val="auto"/>
                <w:szCs w:val="21"/>
                <w:highlight w:val="none"/>
                <w:lang w:eastAsia="zh-CN"/>
              </w:rPr>
              <w:t>新城街道市政设施养护项目</w:t>
            </w:r>
          </w:p>
        </w:tc>
        <w:tc>
          <w:tcPr>
            <w:tcW w:w="2504" w:type="dxa"/>
            <w:vAlign w:val="center"/>
          </w:tcPr>
          <w:p>
            <w:pPr>
              <w:adjustRightInd w:val="0"/>
              <w:spacing w:line="360" w:lineRule="auto"/>
              <w:jc w:val="center"/>
              <w:rPr>
                <w:rFonts w:cs="Arial" w:asciiTheme="minorEastAsia" w:hAnsiTheme="minorEastAsia" w:eastAsiaTheme="minorEastAsia"/>
                <w:color w:val="auto"/>
                <w:szCs w:val="21"/>
                <w:highlight w:val="none"/>
              </w:rPr>
            </w:pPr>
          </w:p>
        </w:tc>
        <w:tc>
          <w:tcPr>
            <w:tcW w:w="1915" w:type="dxa"/>
            <w:vAlign w:val="center"/>
          </w:tcPr>
          <w:p>
            <w:pPr>
              <w:adjustRightInd w:val="0"/>
              <w:spacing w:line="360" w:lineRule="auto"/>
              <w:jc w:val="center"/>
              <w:rPr>
                <w:rFonts w:cs="Arial" w:asciiTheme="minorEastAsia" w:hAnsiTheme="minorEastAsia" w:eastAsiaTheme="minorEastAsia"/>
                <w:color w:val="auto"/>
                <w:szCs w:val="21"/>
                <w:highlight w:val="none"/>
              </w:rPr>
            </w:pPr>
          </w:p>
        </w:tc>
        <w:tc>
          <w:tcPr>
            <w:tcW w:w="1178" w:type="dxa"/>
            <w:vAlign w:val="center"/>
          </w:tcPr>
          <w:p>
            <w:pPr>
              <w:adjustRightInd w:val="0"/>
              <w:spacing w:line="360" w:lineRule="auto"/>
              <w:jc w:val="center"/>
              <w:rPr>
                <w:rFonts w:cs="Arial"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690" w:type="dxa"/>
            <w:gridSpan w:val="4"/>
            <w:vAlign w:val="center"/>
          </w:tcPr>
          <w:p>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人民币大写：                               </w:t>
            </w:r>
          </w:p>
        </w:tc>
      </w:tr>
    </w:tbl>
    <w:p>
      <w:pPr>
        <w:spacing w:line="360" w:lineRule="auto"/>
        <w:rPr>
          <w:rFonts w:asciiTheme="minorEastAsia" w:hAnsiTheme="minorEastAsia" w:eastAsiaTheme="minorEastAsia"/>
          <w:b/>
          <w:color w:val="auto"/>
          <w:szCs w:val="21"/>
          <w:highlight w:val="none"/>
        </w:rPr>
      </w:pPr>
    </w:p>
    <w:p>
      <w:pPr>
        <w:adjustRightInd w:val="0"/>
        <w:spacing w:line="360" w:lineRule="auto"/>
        <w:rPr>
          <w:rFonts w:asciiTheme="minorEastAsia" w:hAnsiTheme="minorEastAsia" w:eastAsiaTheme="minorEastAsia"/>
          <w:color w:val="auto"/>
          <w:szCs w:val="21"/>
          <w:highlight w:val="none"/>
        </w:rPr>
      </w:pPr>
    </w:p>
    <w:p>
      <w:pPr>
        <w:spacing w:beforeLines="50" w:line="360" w:lineRule="auto"/>
        <w:ind w:firstLine="1375" w:firstLineChars="550"/>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pPr>
        <w:spacing w:line="360" w:lineRule="auto"/>
        <w:ind w:firstLine="50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p>
    <w:p>
      <w:pPr>
        <w:pStyle w:val="48"/>
        <w:spacing w:line="360" w:lineRule="auto"/>
        <w:ind w:firstLine="404"/>
        <w:rPr>
          <w:color w:val="auto"/>
          <w:highlight w:val="none"/>
        </w:rPr>
      </w:pPr>
    </w:p>
    <w:p>
      <w:pPr>
        <w:spacing w:line="360" w:lineRule="auto"/>
        <w:jc w:val="center"/>
        <w:rPr>
          <w:rFonts w:ascii="宋体" w:hAnsi="宋体"/>
          <w:color w:val="auto"/>
          <w:szCs w:val="21"/>
          <w:highlight w:val="none"/>
        </w:rPr>
      </w:pPr>
      <w:r>
        <w:rPr>
          <w:rFonts w:hint="eastAsia" w:ascii="宋体" w:hAnsi="宋体"/>
          <w:b/>
          <w:color w:val="auto"/>
          <w:spacing w:val="20"/>
          <w:szCs w:val="21"/>
          <w:highlight w:val="none"/>
        </w:rPr>
        <w:t>分项报价明细表</w:t>
      </w:r>
    </w:p>
    <w:tbl>
      <w:tblPr>
        <w:tblStyle w:val="49"/>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2363"/>
        <w:gridCol w:w="3083"/>
        <w:gridCol w:w="538"/>
        <w:gridCol w:w="666"/>
        <w:gridCol w:w="834"/>
        <w:gridCol w:w="908"/>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705"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2022年度市政设施维修养护清单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230" w:type="dxa"/>
            <w:gridSpan w:val="5"/>
            <w:tcBorders>
              <w:top w:val="nil"/>
              <w:left w:val="nil"/>
              <w:bottom w:val="nil"/>
              <w:right w:val="nil"/>
            </w:tcBorders>
            <w:shd w:val="clear" w:color="auto" w:fill="FFFFFF"/>
            <w:vAlign w:val="bottom"/>
          </w:tcPr>
          <w:p>
            <w:pPr>
              <w:jc w:val="left"/>
              <w:rPr>
                <w:rFonts w:hint="eastAsia" w:ascii="宋体" w:hAnsi="宋体" w:eastAsia="宋体" w:cs="宋体"/>
                <w:i w:val="0"/>
                <w:iCs w:val="0"/>
                <w:color w:val="auto"/>
                <w:sz w:val="18"/>
                <w:szCs w:val="18"/>
                <w:highlight w:val="none"/>
                <w:u w:val="none"/>
              </w:rPr>
            </w:pPr>
          </w:p>
        </w:tc>
        <w:tc>
          <w:tcPr>
            <w:tcW w:w="1755"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auto"/>
                <w:sz w:val="18"/>
                <w:szCs w:val="18"/>
                <w:highlight w:val="none"/>
                <w:u w:val="none"/>
              </w:rPr>
            </w:pPr>
          </w:p>
        </w:tc>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238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31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主要工作内容</w:t>
            </w:r>
          </w:p>
        </w:tc>
        <w:tc>
          <w:tcPr>
            <w:tcW w:w="54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计量 </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单位</w:t>
            </w:r>
          </w:p>
        </w:tc>
        <w:tc>
          <w:tcPr>
            <w:tcW w:w="60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工程量</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金 额  (元)</w:t>
            </w:r>
          </w:p>
        </w:tc>
        <w:tc>
          <w:tcPr>
            <w:tcW w:w="720" w:type="dxa"/>
            <w:vMerge w:val="restart"/>
            <w:tcBorders>
              <w:top w:val="single" w:color="000000" w:sz="4" w:space="0"/>
              <w:left w:val="nil"/>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238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31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54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60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84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全费用单价</w:t>
            </w:r>
          </w:p>
        </w:tc>
        <w:tc>
          <w:tcPr>
            <w:tcW w:w="9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全费用合价</w:t>
            </w:r>
          </w:p>
        </w:tc>
        <w:tc>
          <w:tcPr>
            <w:tcW w:w="720" w:type="dxa"/>
            <w:vMerge w:val="continue"/>
            <w:tcBorders>
              <w:top w:val="single" w:color="000000" w:sz="4" w:space="0"/>
              <w:left w:val="nil"/>
              <w:bottom w:val="nil"/>
              <w:right w:val="single" w:color="000000" w:sz="4" w:space="0"/>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人行道路修复</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nil"/>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拆除人行道</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：面砖面层(荷兰砖、彩砖及花岗岩等）+混凝土基层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2、厚度：26cm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人行道整形碾压</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1、部位 ：人行道破损拆除处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2、范围：全部</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人行道块料铺设</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1、块料品种、规格 ：20mm厚M10水泥砂浆结合层+彩砖面层，规格、顔色等同原面层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2、基础、垫层：材料 品种、厚度 ：200mm厚C30混凝土</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人行道块料铺设</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1、块料品种、规格 ：20mm厚M10水泥砂浆结合层+荷兰砖（同质砖），规格、顔色等同原面层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2、基础、垫层：材料 品种、厚度 ：200mm厚C30混凝土</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人行道块料铺设</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1、块料品种、规格 ：20mm厚M10水泥砂浆结合层+花岗岩，规格、顔色等同原面层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2、基础、垫层：材料 品种、厚度 ：200mm厚C30混凝土</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一般破损道路路面修复</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：沥青路面铣刨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：PC-3乳化沥青黏层油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2、喷油量：0.45L/m2</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：A级道路石油沥青AH-70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2、沥青混凝土种类 ：细粒式SBS改性沥青混凝土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3、石料粒径 ：AC-13C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4、厚度：5CM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铣刨路面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：沥青路面铣刨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2、厚度：10cm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：PC-2乳化沥青透层油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2、喷油量：1.1L/m2</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：A级道路石油沥青AH-70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2、沥青混凝土种类 ：粗粒式沥青混凝土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3、石料粒径 ：AC-25C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4、厚度：6CM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：PC-3乳化沥青黏层油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2、喷油量：0.45L/m2</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：A级道路石油沥青AH-70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2、沥青混凝土种类 ：细粒式SBS改性沥青混凝土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3、石料粒径 ：AC-13C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4、厚度：4CM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严重破损沥青路面修复</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拆除路面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：沥青路面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2、厚度：10cm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拆除基层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：基层+垫层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 ：70cm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路床(槽）整形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1、部位 ：车行道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2、范围：结构层底</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山皮石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1、填方材料：塘渣（应具有良好的透水性，质地坚硬，不含杂质，粒径不大于10cm，含泥量不大于10%）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2、厚度：30cm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碎石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1、石料规格 ：碎石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2、厚度：10cm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水泥稳定碎（砾）石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1、水泥含量 ：5%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2、石料规格 ：不大于31.5mm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3、厚度：30cm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：PC-2乳化沥青透层油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2、喷油量：1.1L/m2</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：A级道路石油沥青AH-70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2、沥青混凝土种类 ：粗粒式沥青混凝土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3、石料粒径 ：AC-25C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4、厚度：6CM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粘层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：PC-3乳化沥青黏层油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2、喷油量：0.45L/m2</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：A级道路石油沥青AH-70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2、沥青混凝土种类 ：细粒式SBS改性沥青混凝土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3、石料粒径 ：AC-13C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4、厚度：4CM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严重破损混凝土路面修复</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拆除路面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：混凝土面层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2、厚度：30cm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拆除基层</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 ：基层+垫层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2、厚度：40cm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路床(槽）整形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1、部位 ：车行道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2、范围：结构层底</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山皮石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1、填方材料：塘渣（应具有良好的透水性，质地坚硬，不含杂质，粒径不大于10cm，含泥量不大于10%）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2、厚度：30cm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碎石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1、石料规格 ：碎石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2、厚度：10cm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水泥混凝土</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1、混凝土强度等级 ：C30商品混凝土（28d抗弯强度不小于4.5Mpa)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2、厚度 ：30cm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3、嵌缝材料：缩缝、胀缝填缝为沥青玛缔脂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4、其他：混凝土路面防滑措施符合有关要求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附属设施</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1、材质：现状混凝土侧石、平石及混凝土垫层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1、材质：现状花岗岩侧石、平石及混凝土垫层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安砌侧（平、缘）石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：混凝土侧石（规格与已建段一致）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2、基础、垫层：材料 品种、厚度：2cm厚M10水泥砂浆+C25细石砼垫层护块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3、其他：含模板制作、安装及拆除</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安砌侧（平、缘）石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：混凝土平石（规格与已建段一致）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2、基础、垫层：材料 品种、厚度：2cm厚M10水泥砂浆</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安砌侧（平、缘）石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：花岗岩侧石（规格与已建段一致）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2、基础、垫层：材料 品种、厚度：2cm厚M10水泥砂浆+C25细石砼垫层护块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3、其他：含模板制作、安装及拆除</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安砌侧（平、缘）石</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：花岗岩平石（规格与已建段一致）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2、基础、垫层：材料 品种、厚度：2cm厚M10水泥砂浆</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拆除树池</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1、材质：现状混凝土树池及混凝土垫层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拆除树池</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1、材质：现状花岗岩树池及混凝土垫层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树池砌筑</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：混凝土树池侧石（规格与已建树池一致）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2、基础、垫层：材料 品种、厚度：2cm厚M10水泥砂浆+C25细石砼垫层护块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3、其他：含模板制作、安装及拆除</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树池砌筑</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 ：花岗岩树池侧石（规格与已建树池一致）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2、基础、垫层：材料 品种、厚度：2cm厚M10水泥砂浆+C25细石砼垫层护块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3、其他：含模板制作、安装及拆除</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标线</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：热熔反光涂料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2、线型：一般车行道标线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3、按实线面积计</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标线</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：热熔反光涂料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2、线型：路面震荡线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3、按实线面积计</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标记</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：热熔反光涂料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2、规格尺寸：路面交通标记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3、标记按外廓尺寸计面积</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沥青混凝土(坑洞修补及回填)</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1、沥青品种 ：粗粒式沥青混凝土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2、厚度：平均厚10cm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金属栏杆维修及更换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1、栏杆材质、规格 ：金属栏杆，材质及做法等与原栏杆一致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2、其他：含原栏杆拆除及废料外运</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石质栏杆维修及更换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1、材料品种、规格：花岗岩栏杆，材质做法等与原栏杆一致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2、其他：含原栏杆拆除及废料外运</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石质栏杆维修及更换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1、材料品种、规格：人造石栏杆，材质做法等与原栏杆一致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2、其他：含原栏杆拆除及废料外运</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混凝土防撞栏杆维修及更换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1、材料品种、规格：C30混凝土+钢管扶手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2、规格尺寸：与原有防撞护栏一致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3、其他：含原栏杆拆除、废料外运，模板、钢筋及预埋件等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隔离护栏维修及更换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1、类型：波形护栏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2、规格、型号：与原有护栏一致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3、其他：含原栏杆拆除、废料外运，基础、模板、钢筋及预埋件等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混凝土隔离墩</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1、材料品种、规格：C30混凝土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2、规格尺寸：与原有隔离墩一致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3、其他：含原隔离墩拆除、废料外运，模板、钢筋及预埋件等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车档石（石球）</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：做法与现有石球车档石一致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2、规格、型号：直径30cm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车档石（石球）</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：做法与现有石球车档石一致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2、规格、型号：直径40cm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车档石（石球）</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：做法与现有石球车档石一致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2、规格、型号：直径50cm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车档石（石球）</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：做法与现有石球车档石一致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2、规格、型号：直径60cm</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车档石（石柱）</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：做法与现有石柱一致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2、规格、型号：直径20cm*高40cm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3、工作内容涉及更换、新建等情况，综合考虑报价</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警示柱</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：钢管警示桩，规格、做法与现有一致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2、工作内容涉及拆除废料外运、维修、更换、新建及路面修复等情况，综合考虑报价</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减速垄更换及新建</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1、材料品种：橡胶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2、规格、型号：同现状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3、其他：含原有减速带拆除、废料外运等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防撞筒（墩）</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1、材料品种：滚塑防撞桶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2、规格、型号：直径800mm，内灌2/3砂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防撞筒（墩）</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1、材料品种：滚塑防撞桶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2、规格、型号：直径600mm，内灌2/3砂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2.混凝土基础</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爆闪灯</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1、LED灯板，蓄电池，太阳能板，立杆（直径 89mm、厚度2mm，高度3500mm),安装及水泥基础</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道钉</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1、反光道钉，报价含安装、胶水等全部费用</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颗</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现状桥梁护栏</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现状桥护栏水泥砂浆抹面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1、砂浆配合比 ：底层1:3水泥砂浆，面层1:2.5水泥砂浆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2、部位 ：防撞护栏面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3、厚度：14+6（mm）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4、其他：含原护栏混凝土面清理</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涂料</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1、基层类型：抹灰面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2、部位：防撞护栏两侧面及顶面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3、涂料品种、喷刷遍数：灰色外墙弹性涂料（底涂、中涂、面涂）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4、其他：满批防水腻子一遍</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涂料</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1、基层类型：混凝土面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2、部位：隔离带混凝土面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3、其他：原混凝土面清理后满批防水腻子一遍</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涂料</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1、基层类型：其它零星涂料面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2、其他：原面层清理后满批防水腻子一遍</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现状桥钢护栏油漆</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1、部位 ：钢管护栏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2、工艺要求：钢护栏清理除锈后防锈漆一遍，调和漆二遍</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桥梁伸缩装置</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1、材料品种 ：桥面伸缩缝修复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2、规格、型号 ：与原伸缩缝一致</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桥梁伸缩缝清理</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桥梁伸缩缝清理</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井盖处、桥头跳车处理</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：φ820复合材料井盖座（防盗型带锁，加重型、承载力要求不小于40t，180度翻盖，具有防震功能），井盖需标明业主指定字样，井四周原样修复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3、其他：含原有井盖座、井圈拆除、井筒维修等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：φ750复合材料井盖座（防盗型带锁，加重型、承载力要求不小于40t，180度翻盖，具有防震功能），井盖需标明业主指定字样，井四周原样修复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3、其他：含原有井盖座、井圈拆除、井筒维修等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1、名称：井座更换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：φ750复合材料井座（普通型）+井四周原样修复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3、其他：含原有井盖座、井圈拆除、井盖拆除及安装等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1、名称：井盖更换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：φ750复合材料井盖（普通型），井盖需标明业主指定字样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3、其他：含原有井盖拆除等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：φ820球磨铸铁井盖座（防盗型带锁，加重型、承载力符合规范及行业要求，180度翻盖，具有防震功能），井盖需标明业主指定字样，井四周原样修复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3、其他：含原有井盖座、井圈拆除、井筒维修等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：φ750球磨铸铁井盖座（防盗型带锁，加重型、承载力符合规范及行业要求，180度翻盖，具有防震功能），井盖需标明业主指定字样，井四周原样修复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3、其他：含原有井盖座、井圈拆除、井筒维修等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井圈井盖座维修及更换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1、名称：井盖座更换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：不规则弱电井盖座，规格同现有，井盖需标明业主指定字样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3、其他：含原有井盖座拆除等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报价需综合考虑各种规格，综合报价</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检查井周边修复</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1、名称：检查井周边修复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2、井盖、井圈材质及 规格 ：井四周破损处拆除废料外运，原样修复</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雨水口水篦盖座更换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1、名称：雨水口水篦盖座更换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：495*640球磨铸铁篦子盖座（承载力需符合规范及行业要求），井盖需标明业主指定字样，井四周原样修复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雨水口水篦盖座更换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1、名称：雨水口水篦盖座更换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：380*680球磨铸铁篦子盖座（承载力需符合规范及行业要求），井盖需标明业主指定字样，井四周原样修复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雨水口水篦盖座更换</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1、名称：雨水口水篦盖座更换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：450*750球磨铸铁篦子盖座（承载力需符合规范及行业要求），井盖需标明业主指定字样，井四周原样修复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3、其他：含原有井盖座、井圈拆除等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雨水水篦口清理</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1、名称：雨水水篦口清理(含雨水水篦口的内部底部的所有垃圾清理)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2、其他：含废料外运，堆放场地由各投标人自行解决，运距自定，且须满足城管、环保等需求</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φ700圆形井防沉降改造</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：φ820球磨铸铁井盖座（防盗型带锁，加重型、承载力符合规范及行业要求，180度翻盖，具有防震功能），井盖需标明业主指定字样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3、C30钢筋砼1#盖板（150*150*18cm留孔φ66cm）含钢筋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4、C30钢筋砼沉降板（φ245*20cm留孔φ125cm）含钢筋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5、C15素砼垫层（φ265*10cm留孔125cm）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6、拆除：含原有井盖座、井圈拆除、井周边结构层拆除、井筒升降维修、建筑废弃料外运等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7、恢复：井周边道路结构层、面层、标线、标志等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φ1000圆形井防沉降改造</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1、名称：井圈井盖座维修及更换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2、井盖、井圈材质及 规格 ：φ820球磨铸铁井盖座（防盗型带锁，加重型、承载力符合规范及行业要求，180度翻盖，具有防震功能），井盖需标明业主指定字样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3、C30钢筋砼2#盖板（180*180*20cm留孔φ66cm）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4、C30钢筋砼沉降板（φ275*20cm留孔φ155cm）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5、C15素砼垫层（φ295*10cm留孔155cm）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6、拆除：含原有井盖座、井圈拆除、井周边结构层拆除、井筒升降维修、建筑废弃料外运等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7、恢复：井周边道路结构层、面层、标线、标志等</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桥头处理</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1、桥头沉降处理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2、原沥青面层铣刨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3、铣刨厚度按实际沉降情况处理（建筑废弃料外运）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4、细粒式SBS改性沥青砼（AC-13C）厚4cm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5、沥青黏层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6、标高不足段采用粗（细）粒式沥青找平</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310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54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00"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日常养护巡查费用</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1、名称：市政设施（含各类桥梁）的日常养护巡查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内容：划分区域配备巡查人员，要求每天要求全天巡回巡查，并对发生的意外情形进行应急处理（包括如遇雨雪冰冻等灾害性天气，必须根据甲方安排，租用甲方指定扫雪车辆或其他应对灾害性天气所需的机械设备器具，并及时对道路路面进行清理，确保道路路面畅通）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3、各投标人根据自身条件确定相关费用计入报价，结算不作调整</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土工合成材料</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1、土工格栅</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沥青贯人式</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1、沥青灌缝</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各类型机械、器具</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1、各类型机械、器具等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2、结合本项目特点自主报价费用一次性包干，结算时不作调整</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23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交通及安全维护</w:t>
            </w:r>
          </w:p>
        </w:tc>
        <w:tc>
          <w:tcPr>
            <w:tcW w:w="31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施工期间施工区域范围内交通及维护，交通疏导，道路围挡（需符合上级主管部门要求），安全警示标志、临时红绿灯、临时爆闪灯的设置、公众责任保险等，具体投标单位根据施工现场实际情况综合考虑，费用一次性包干，结算不作调整</w:t>
            </w:r>
          </w:p>
        </w:tc>
        <w:tc>
          <w:tcPr>
            <w:tcW w:w="5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60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auto"/>
                <w:sz w:val="18"/>
                <w:szCs w:val="18"/>
                <w:highlight w:val="none"/>
                <w:u w:val="none"/>
              </w:rPr>
            </w:pPr>
          </w:p>
        </w:tc>
        <w:tc>
          <w:tcPr>
            <w:tcW w:w="72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合计金额小写人民币（元）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auto"/>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合计金额大写人民币（元）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auto"/>
                <w:sz w:val="22"/>
                <w:szCs w:val="22"/>
                <w:highlight w:val="none"/>
                <w:u w:val="none"/>
              </w:rPr>
            </w:pPr>
          </w:p>
        </w:tc>
      </w:tr>
    </w:tbl>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注：报价时按全费用综合单价考虑（含保险（人员保险、财产保险等）税金、规费、管理费、措施费、安全文明施工费、利润等一切为完成本项目涉及的费用），具体数量按实际发生量结算。</w:t>
      </w:r>
    </w:p>
    <w:p>
      <w:pPr>
        <w:pStyle w:val="28"/>
        <w:tabs>
          <w:tab w:val="left" w:pos="1200"/>
        </w:tabs>
        <w:spacing w:before="120" w:after="120" w:line="360" w:lineRule="auto"/>
        <w:ind w:firstLine="630" w:firstLineChars="300"/>
        <w:rPr>
          <w:rFonts w:hAnsi="宋体"/>
          <w:color w:val="auto"/>
          <w:szCs w:val="21"/>
          <w:highlight w:val="none"/>
        </w:rPr>
      </w:pPr>
      <w:r>
        <w:rPr>
          <w:rFonts w:hint="eastAsia" w:hAnsi="宋体" w:cs="宋体"/>
          <w:color w:val="auto"/>
          <w:sz w:val="21"/>
          <w:szCs w:val="21"/>
          <w:highlight w:val="none"/>
          <w:lang w:val="en-US" w:eastAsia="zh-CN"/>
        </w:rPr>
        <w:t>结算时单价按投标时全费用单位计，不因任何因素变更。</w:t>
      </w:r>
    </w:p>
    <w:p>
      <w:pPr>
        <w:spacing w:line="360" w:lineRule="auto"/>
        <w:ind w:firstLine="3750" w:firstLineChars="1500"/>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p>
    <w:p>
      <w:pPr>
        <w:spacing w:line="360" w:lineRule="auto"/>
        <w:ind w:firstLine="500" w:firstLineChars="200"/>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p>
    <w:p>
      <w:pPr>
        <w:spacing w:line="360" w:lineRule="auto"/>
        <w:ind w:firstLine="525" w:firstLineChars="250"/>
        <w:jc w:val="center"/>
        <w:rPr>
          <w:rFonts w:ascii="宋体" w:hAnsi="宋体"/>
          <w:b/>
          <w:color w:val="auto"/>
          <w:szCs w:val="21"/>
          <w:highlight w:val="none"/>
        </w:rPr>
      </w:pPr>
      <w:r>
        <w:rPr>
          <w:rFonts w:hint="eastAsia" w:ascii="宋体" w:hAnsi="宋体"/>
          <w:color w:val="auto"/>
          <w:szCs w:val="21"/>
          <w:highlight w:val="none"/>
        </w:rPr>
        <w:t xml:space="preserve">                                         日        期：</w:t>
      </w:r>
    </w:p>
    <w:p>
      <w:pPr>
        <w:rPr>
          <w:rFonts w:ascii="宋体" w:hAnsi="宋体"/>
          <w:b/>
          <w:color w:val="auto"/>
          <w:szCs w:val="21"/>
          <w:highlight w:val="none"/>
        </w:rPr>
      </w:pPr>
      <w:r>
        <w:rPr>
          <w:rFonts w:ascii="宋体" w:hAnsi="宋体"/>
          <w:b/>
          <w:color w:val="auto"/>
          <w:szCs w:val="21"/>
          <w:highlight w:val="none"/>
        </w:rPr>
        <w:br w:type="page"/>
      </w:r>
    </w:p>
    <w:p>
      <w:pPr>
        <w:pStyle w:val="48"/>
        <w:ind w:left="0" w:leftChars="0" w:firstLine="0" w:firstLineChars="0"/>
        <w:jc w:val="center"/>
        <w:rPr>
          <w:rFonts w:hint="eastAsia" w:cs="Times New Roman" w:asciiTheme="minorEastAsia" w:hAnsiTheme="minorEastAsia" w:eastAsiaTheme="minorEastAsia"/>
          <w:b/>
          <w:color w:val="auto"/>
          <w:spacing w:val="0"/>
          <w:szCs w:val="21"/>
          <w:highlight w:val="none"/>
          <w:lang w:eastAsia="zh-CN"/>
        </w:rPr>
      </w:pPr>
      <w:r>
        <w:rPr>
          <w:rFonts w:hint="eastAsia" w:cs="Times New Roman" w:asciiTheme="minorEastAsia" w:hAnsiTheme="minorEastAsia"/>
          <w:b/>
          <w:color w:val="auto"/>
          <w:spacing w:val="0"/>
          <w:szCs w:val="21"/>
          <w:highlight w:val="none"/>
          <w:lang w:eastAsia="zh-CN"/>
        </w:rPr>
        <w:t>其他投标人认为需要递交的资料</w:t>
      </w:r>
    </w:p>
    <w:p>
      <w:pPr>
        <w:pStyle w:val="48"/>
        <w:ind w:left="0" w:leftChars="0" w:firstLine="0" w:firstLineChars="0"/>
        <w:jc w:val="center"/>
        <w:rPr>
          <w:color w:val="auto"/>
          <w:highlight w:val="none"/>
        </w:rPr>
      </w:pPr>
      <w:r>
        <w:rPr>
          <w:rFonts w:hint="eastAsia"/>
          <w:color w:val="auto"/>
          <w:highlight w:val="none"/>
        </w:rPr>
        <w:t>（格式自拟）</w:t>
      </w:r>
    </w:p>
    <w:sectPr>
      <w:footerReference r:id="rId7" w:type="default"/>
      <w:footerReference r:id="rId8" w:type="even"/>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Light">
    <w:altName w:val="黑体"/>
    <w:panose1 w:val="00000000000000000000"/>
    <w:charset w:val="7A"/>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ongti SC Regular">
    <w:altName w:val="微软雅黑"/>
    <w:panose1 w:val="00000000000000000000"/>
    <w:charset w:val="50"/>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outside" w:y="1"/>
      <w:rPr>
        <w:rStyle w:val="53"/>
      </w:rPr>
    </w:pPr>
    <w:r>
      <w:fldChar w:fldCharType="begin"/>
    </w:r>
    <w:r>
      <w:rPr>
        <w:rStyle w:val="53"/>
      </w:rPr>
      <w:instrText xml:space="preserve">PAGE  </w:instrText>
    </w:r>
    <w:r>
      <w:fldChar w:fldCharType="end"/>
    </w:r>
  </w:p>
  <w:p>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3AE6E"/>
    <w:multiLevelType w:val="singleLevel"/>
    <w:tmpl w:val="87C3AE6E"/>
    <w:lvl w:ilvl="0" w:tentative="0">
      <w:start w:val="3"/>
      <w:numFmt w:val="chineseCounting"/>
      <w:suff w:val="nothing"/>
      <w:lvlText w:val="%1、"/>
      <w:lvlJc w:val="left"/>
      <w:pPr>
        <w:ind w:left="388" w:leftChars="0" w:firstLine="0" w:firstLineChars="0"/>
      </w:pPr>
      <w:rPr>
        <w:rFonts w:hint="eastAsia"/>
      </w:rPr>
    </w:lvl>
  </w:abstractNum>
  <w:abstractNum w:abstractNumId="1">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2">
    <w:nsid w:val="00000002"/>
    <w:multiLevelType w:val="multilevel"/>
    <w:tmpl w:val="00000002"/>
    <w:lvl w:ilvl="0" w:tentative="0">
      <w:start w:val="1"/>
      <w:numFmt w:val="bullet"/>
      <w:pStyle w:val="32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12"/>
    <w:multiLevelType w:val="singleLevel"/>
    <w:tmpl w:val="00000012"/>
    <w:lvl w:ilvl="0" w:tentative="0">
      <w:start w:val="1"/>
      <w:numFmt w:val="decimal"/>
      <w:pStyle w:val="23"/>
      <w:lvlText w:val="%1."/>
      <w:lvlJc w:val="left"/>
      <w:pPr>
        <w:tabs>
          <w:tab w:val="left" w:pos="1200"/>
        </w:tabs>
        <w:ind w:left="1200" w:hanging="360"/>
      </w:pPr>
    </w:lvl>
  </w:abstractNum>
  <w:abstractNum w:abstractNumId="4">
    <w:nsid w:val="0C827B20"/>
    <w:multiLevelType w:val="multilevel"/>
    <w:tmpl w:val="0C827B2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B89059A"/>
    <w:multiLevelType w:val="multilevel"/>
    <w:tmpl w:val="1B89059A"/>
    <w:lvl w:ilvl="0" w:tentative="0">
      <w:start w:val="1"/>
      <w:numFmt w:val="decimal"/>
      <w:pStyle w:val="22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F28AE5C"/>
    <w:multiLevelType w:val="singleLevel"/>
    <w:tmpl w:val="3F28AE5C"/>
    <w:lvl w:ilvl="0" w:tentative="0">
      <w:start w:val="2"/>
      <w:numFmt w:val="chineseCounting"/>
      <w:suff w:val="space"/>
      <w:lvlText w:val="第%1章"/>
      <w:lvlJc w:val="left"/>
      <w:rPr>
        <w:rFonts w:hint="eastAsia"/>
      </w:rPr>
    </w:lvl>
  </w:abstractNum>
  <w:abstractNum w:abstractNumId="7">
    <w:nsid w:val="61C45857"/>
    <w:multiLevelType w:val="multilevel"/>
    <w:tmpl w:val="61C45857"/>
    <w:lvl w:ilvl="0" w:tentative="0">
      <w:start w:val="1"/>
      <w:numFmt w:val="none"/>
      <w:lvlText w:val="一、"/>
      <w:lvlJc w:val="left"/>
      <w:pPr>
        <w:tabs>
          <w:tab w:val="left" w:pos="962"/>
        </w:tabs>
        <w:ind w:left="962" w:hanging="48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8">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41"/>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C1349CD"/>
    <w:multiLevelType w:val="multilevel"/>
    <w:tmpl w:val="7C1349CD"/>
    <w:lvl w:ilvl="0" w:tentative="0">
      <w:start w:val="1"/>
      <w:numFmt w:val="decimal"/>
      <w:lvlText w:val="(%1)"/>
      <w:lvlJc w:val="left"/>
      <w:pPr>
        <w:tabs>
          <w:tab w:val="left" w:pos="840"/>
        </w:tabs>
        <w:ind w:left="840" w:hanging="360"/>
      </w:pPr>
      <w:rPr>
        <w:rFonts w:hint="eastAsia"/>
      </w:rPr>
    </w:lvl>
    <w:lvl w:ilvl="1" w:tentative="0">
      <w:start w:val="1"/>
      <w:numFmt w:val="japaneseCounting"/>
      <w:lvlText w:val="%2、"/>
      <w:lvlJc w:val="left"/>
      <w:pPr>
        <w:tabs>
          <w:tab w:val="left" w:pos="1380"/>
        </w:tabs>
        <w:ind w:left="1380" w:hanging="480"/>
      </w:pPr>
      <w:rPr>
        <w:rFonts w:hint="eastAsia"/>
      </w:rPr>
    </w:lvl>
    <w:lvl w:ilvl="2" w:tentative="0">
      <w:start w:val="3"/>
      <w:numFmt w:val="decimal"/>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DF"/>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7FBA"/>
    <w:rsid w:val="00040353"/>
    <w:rsid w:val="000406D5"/>
    <w:rsid w:val="0004112D"/>
    <w:rsid w:val="000442D0"/>
    <w:rsid w:val="000448B0"/>
    <w:rsid w:val="00044A78"/>
    <w:rsid w:val="00046C1A"/>
    <w:rsid w:val="00046F7F"/>
    <w:rsid w:val="0004736C"/>
    <w:rsid w:val="0004775A"/>
    <w:rsid w:val="0005038C"/>
    <w:rsid w:val="000512FA"/>
    <w:rsid w:val="0005189A"/>
    <w:rsid w:val="00051AFD"/>
    <w:rsid w:val="00051C7F"/>
    <w:rsid w:val="00052543"/>
    <w:rsid w:val="00052A69"/>
    <w:rsid w:val="00053E79"/>
    <w:rsid w:val="00054F19"/>
    <w:rsid w:val="00055974"/>
    <w:rsid w:val="00056BD6"/>
    <w:rsid w:val="000574E3"/>
    <w:rsid w:val="0006115B"/>
    <w:rsid w:val="0006636F"/>
    <w:rsid w:val="0006714A"/>
    <w:rsid w:val="00067695"/>
    <w:rsid w:val="000703C3"/>
    <w:rsid w:val="0007121F"/>
    <w:rsid w:val="000721E0"/>
    <w:rsid w:val="00072A26"/>
    <w:rsid w:val="00072C4D"/>
    <w:rsid w:val="00073A40"/>
    <w:rsid w:val="00073B10"/>
    <w:rsid w:val="000775ED"/>
    <w:rsid w:val="000776C8"/>
    <w:rsid w:val="00080C78"/>
    <w:rsid w:val="0008153D"/>
    <w:rsid w:val="0008271D"/>
    <w:rsid w:val="00082751"/>
    <w:rsid w:val="000854C7"/>
    <w:rsid w:val="000860E4"/>
    <w:rsid w:val="000864E4"/>
    <w:rsid w:val="00086AE8"/>
    <w:rsid w:val="00087AF2"/>
    <w:rsid w:val="00090646"/>
    <w:rsid w:val="000908F0"/>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4C0"/>
    <w:rsid w:val="000B3409"/>
    <w:rsid w:val="000B38B1"/>
    <w:rsid w:val="000B39B4"/>
    <w:rsid w:val="000B3E91"/>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D0D9C"/>
    <w:rsid w:val="000D0F7D"/>
    <w:rsid w:val="000D1611"/>
    <w:rsid w:val="000D20F5"/>
    <w:rsid w:val="000D2925"/>
    <w:rsid w:val="000D2CC2"/>
    <w:rsid w:val="000D355A"/>
    <w:rsid w:val="000D730E"/>
    <w:rsid w:val="000D7584"/>
    <w:rsid w:val="000D7946"/>
    <w:rsid w:val="000D79AD"/>
    <w:rsid w:val="000D7FE8"/>
    <w:rsid w:val="000E026B"/>
    <w:rsid w:val="000E02B0"/>
    <w:rsid w:val="000E0887"/>
    <w:rsid w:val="000E130D"/>
    <w:rsid w:val="000E1367"/>
    <w:rsid w:val="000E17E0"/>
    <w:rsid w:val="000E36F3"/>
    <w:rsid w:val="000E4311"/>
    <w:rsid w:val="000E6EA1"/>
    <w:rsid w:val="000E7016"/>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B6F"/>
    <w:rsid w:val="0012666B"/>
    <w:rsid w:val="001267AA"/>
    <w:rsid w:val="00126875"/>
    <w:rsid w:val="0012694D"/>
    <w:rsid w:val="00126FC5"/>
    <w:rsid w:val="00130192"/>
    <w:rsid w:val="001301C5"/>
    <w:rsid w:val="00130725"/>
    <w:rsid w:val="00131B61"/>
    <w:rsid w:val="00131E3E"/>
    <w:rsid w:val="00132B8E"/>
    <w:rsid w:val="00133278"/>
    <w:rsid w:val="0013352C"/>
    <w:rsid w:val="00134008"/>
    <w:rsid w:val="001341DF"/>
    <w:rsid w:val="001361FE"/>
    <w:rsid w:val="00136C35"/>
    <w:rsid w:val="0014246C"/>
    <w:rsid w:val="00142EBC"/>
    <w:rsid w:val="00142F5E"/>
    <w:rsid w:val="001437F0"/>
    <w:rsid w:val="00144BEA"/>
    <w:rsid w:val="0014503B"/>
    <w:rsid w:val="00145AAF"/>
    <w:rsid w:val="001463AC"/>
    <w:rsid w:val="00146400"/>
    <w:rsid w:val="0014725B"/>
    <w:rsid w:val="00147E87"/>
    <w:rsid w:val="00150673"/>
    <w:rsid w:val="00150936"/>
    <w:rsid w:val="00150C28"/>
    <w:rsid w:val="00151420"/>
    <w:rsid w:val="00151891"/>
    <w:rsid w:val="00152B1B"/>
    <w:rsid w:val="00152E79"/>
    <w:rsid w:val="00154D37"/>
    <w:rsid w:val="0015546E"/>
    <w:rsid w:val="00155FF4"/>
    <w:rsid w:val="001562FF"/>
    <w:rsid w:val="001568BA"/>
    <w:rsid w:val="00157202"/>
    <w:rsid w:val="001649F3"/>
    <w:rsid w:val="00164AF6"/>
    <w:rsid w:val="00166BAB"/>
    <w:rsid w:val="001670D2"/>
    <w:rsid w:val="00167282"/>
    <w:rsid w:val="00167E16"/>
    <w:rsid w:val="001702BE"/>
    <w:rsid w:val="00170404"/>
    <w:rsid w:val="00171A20"/>
    <w:rsid w:val="001737F8"/>
    <w:rsid w:val="00175C43"/>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5F77"/>
    <w:rsid w:val="00186E75"/>
    <w:rsid w:val="001870B8"/>
    <w:rsid w:val="00187113"/>
    <w:rsid w:val="00187732"/>
    <w:rsid w:val="00187E57"/>
    <w:rsid w:val="0019023B"/>
    <w:rsid w:val="00190726"/>
    <w:rsid w:val="001911AC"/>
    <w:rsid w:val="001920B1"/>
    <w:rsid w:val="00192241"/>
    <w:rsid w:val="001933FB"/>
    <w:rsid w:val="00193A4E"/>
    <w:rsid w:val="001956D9"/>
    <w:rsid w:val="00196739"/>
    <w:rsid w:val="001972CF"/>
    <w:rsid w:val="001976F2"/>
    <w:rsid w:val="00197893"/>
    <w:rsid w:val="00197A93"/>
    <w:rsid w:val="001A0209"/>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6187"/>
    <w:rsid w:val="001B735B"/>
    <w:rsid w:val="001B7E2B"/>
    <w:rsid w:val="001C16A8"/>
    <w:rsid w:val="001C23BE"/>
    <w:rsid w:val="001C3759"/>
    <w:rsid w:val="001C4D28"/>
    <w:rsid w:val="001C609E"/>
    <w:rsid w:val="001C70B8"/>
    <w:rsid w:val="001D1850"/>
    <w:rsid w:val="001D1FF0"/>
    <w:rsid w:val="001D229A"/>
    <w:rsid w:val="001D2E59"/>
    <w:rsid w:val="001D31CB"/>
    <w:rsid w:val="001D33E0"/>
    <w:rsid w:val="001D44E2"/>
    <w:rsid w:val="001D53A3"/>
    <w:rsid w:val="001D5A62"/>
    <w:rsid w:val="001D66E6"/>
    <w:rsid w:val="001D76F7"/>
    <w:rsid w:val="001D7F61"/>
    <w:rsid w:val="001E09D9"/>
    <w:rsid w:val="001E0ABA"/>
    <w:rsid w:val="001E0D12"/>
    <w:rsid w:val="001E1313"/>
    <w:rsid w:val="001E18BB"/>
    <w:rsid w:val="001E24E8"/>
    <w:rsid w:val="001E2D73"/>
    <w:rsid w:val="001E402D"/>
    <w:rsid w:val="001E48D2"/>
    <w:rsid w:val="001E4D05"/>
    <w:rsid w:val="001E57B9"/>
    <w:rsid w:val="001F0045"/>
    <w:rsid w:val="001F0E4E"/>
    <w:rsid w:val="001F184B"/>
    <w:rsid w:val="001F4807"/>
    <w:rsid w:val="001F601C"/>
    <w:rsid w:val="001F670D"/>
    <w:rsid w:val="001F7840"/>
    <w:rsid w:val="001F7A46"/>
    <w:rsid w:val="002026D3"/>
    <w:rsid w:val="00202CF4"/>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1369"/>
    <w:rsid w:val="00225021"/>
    <w:rsid w:val="0022579A"/>
    <w:rsid w:val="00225BCD"/>
    <w:rsid w:val="00226154"/>
    <w:rsid w:val="00226B69"/>
    <w:rsid w:val="00226B89"/>
    <w:rsid w:val="00226CEA"/>
    <w:rsid w:val="00230DF5"/>
    <w:rsid w:val="002322A0"/>
    <w:rsid w:val="00232874"/>
    <w:rsid w:val="0023390A"/>
    <w:rsid w:val="002342DE"/>
    <w:rsid w:val="002350EA"/>
    <w:rsid w:val="002355B4"/>
    <w:rsid w:val="002357C6"/>
    <w:rsid w:val="00236BBA"/>
    <w:rsid w:val="002375F9"/>
    <w:rsid w:val="00241126"/>
    <w:rsid w:val="00241335"/>
    <w:rsid w:val="00241E77"/>
    <w:rsid w:val="00242494"/>
    <w:rsid w:val="002438D5"/>
    <w:rsid w:val="00245B47"/>
    <w:rsid w:val="00245D41"/>
    <w:rsid w:val="0024782E"/>
    <w:rsid w:val="002507F6"/>
    <w:rsid w:val="00254E99"/>
    <w:rsid w:val="00254FFD"/>
    <w:rsid w:val="00256A23"/>
    <w:rsid w:val="00260A56"/>
    <w:rsid w:val="00260C34"/>
    <w:rsid w:val="0026153F"/>
    <w:rsid w:val="002616BB"/>
    <w:rsid w:val="00262834"/>
    <w:rsid w:val="00263AD4"/>
    <w:rsid w:val="002642F6"/>
    <w:rsid w:val="00264513"/>
    <w:rsid w:val="002650BA"/>
    <w:rsid w:val="002661C0"/>
    <w:rsid w:val="002675D7"/>
    <w:rsid w:val="00267D03"/>
    <w:rsid w:val="00270195"/>
    <w:rsid w:val="002713BB"/>
    <w:rsid w:val="00272B28"/>
    <w:rsid w:val="00272CCE"/>
    <w:rsid w:val="00272FC5"/>
    <w:rsid w:val="0027384F"/>
    <w:rsid w:val="00273FB9"/>
    <w:rsid w:val="002740A4"/>
    <w:rsid w:val="002741D8"/>
    <w:rsid w:val="002744BA"/>
    <w:rsid w:val="002745F8"/>
    <w:rsid w:val="00276DEC"/>
    <w:rsid w:val="00284528"/>
    <w:rsid w:val="00285B7F"/>
    <w:rsid w:val="00286666"/>
    <w:rsid w:val="00286DF7"/>
    <w:rsid w:val="00287A67"/>
    <w:rsid w:val="00290F46"/>
    <w:rsid w:val="00291947"/>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A7584"/>
    <w:rsid w:val="002B0600"/>
    <w:rsid w:val="002B0E03"/>
    <w:rsid w:val="002B135E"/>
    <w:rsid w:val="002B1D35"/>
    <w:rsid w:val="002B211B"/>
    <w:rsid w:val="002B484C"/>
    <w:rsid w:val="002B516C"/>
    <w:rsid w:val="002B542F"/>
    <w:rsid w:val="002C0DDE"/>
    <w:rsid w:val="002C12E2"/>
    <w:rsid w:val="002C14A7"/>
    <w:rsid w:val="002C197B"/>
    <w:rsid w:val="002C23E2"/>
    <w:rsid w:val="002C29A7"/>
    <w:rsid w:val="002C2B4F"/>
    <w:rsid w:val="002C40A7"/>
    <w:rsid w:val="002C52E1"/>
    <w:rsid w:val="002C5F0E"/>
    <w:rsid w:val="002C6775"/>
    <w:rsid w:val="002C6E91"/>
    <w:rsid w:val="002C7659"/>
    <w:rsid w:val="002D14EF"/>
    <w:rsid w:val="002D15FB"/>
    <w:rsid w:val="002D1D7C"/>
    <w:rsid w:val="002D2808"/>
    <w:rsid w:val="002D2C22"/>
    <w:rsid w:val="002D2C78"/>
    <w:rsid w:val="002D33A0"/>
    <w:rsid w:val="002D362E"/>
    <w:rsid w:val="002D3F64"/>
    <w:rsid w:val="002D4894"/>
    <w:rsid w:val="002D4E17"/>
    <w:rsid w:val="002D63CC"/>
    <w:rsid w:val="002D788C"/>
    <w:rsid w:val="002D7E49"/>
    <w:rsid w:val="002E0C3F"/>
    <w:rsid w:val="002E0FA0"/>
    <w:rsid w:val="002E10FD"/>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63F"/>
    <w:rsid w:val="002F5A6D"/>
    <w:rsid w:val="002F709B"/>
    <w:rsid w:val="002F719A"/>
    <w:rsid w:val="002F72C4"/>
    <w:rsid w:val="002F7FF0"/>
    <w:rsid w:val="003007E9"/>
    <w:rsid w:val="003018D6"/>
    <w:rsid w:val="00302B2D"/>
    <w:rsid w:val="00302E28"/>
    <w:rsid w:val="0030422F"/>
    <w:rsid w:val="003045DB"/>
    <w:rsid w:val="00304644"/>
    <w:rsid w:val="00304707"/>
    <w:rsid w:val="00304DC3"/>
    <w:rsid w:val="0030521F"/>
    <w:rsid w:val="0030656D"/>
    <w:rsid w:val="00306CAE"/>
    <w:rsid w:val="003106B2"/>
    <w:rsid w:val="0031088C"/>
    <w:rsid w:val="00310C53"/>
    <w:rsid w:val="00310E84"/>
    <w:rsid w:val="00311441"/>
    <w:rsid w:val="003118B2"/>
    <w:rsid w:val="00312B0D"/>
    <w:rsid w:val="00313044"/>
    <w:rsid w:val="003137C3"/>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66B0"/>
    <w:rsid w:val="003679D2"/>
    <w:rsid w:val="00370BAC"/>
    <w:rsid w:val="0037228F"/>
    <w:rsid w:val="00372AB4"/>
    <w:rsid w:val="00373016"/>
    <w:rsid w:val="00373997"/>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B0E"/>
    <w:rsid w:val="003A0FCD"/>
    <w:rsid w:val="003A1691"/>
    <w:rsid w:val="003A246F"/>
    <w:rsid w:val="003A2985"/>
    <w:rsid w:val="003A2BA8"/>
    <w:rsid w:val="003A313F"/>
    <w:rsid w:val="003A4CD7"/>
    <w:rsid w:val="003A5AE9"/>
    <w:rsid w:val="003A72EF"/>
    <w:rsid w:val="003A7F9F"/>
    <w:rsid w:val="003B0176"/>
    <w:rsid w:val="003B026E"/>
    <w:rsid w:val="003B0423"/>
    <w:rsid w:val="003B0721"/>
    <w:rsid w:val="003B0C7A"/>
    <w:rsid w:val="003B287D"/>
    <w:rsid w:val="003B389A"/>
    <w:rsid w:val="003B4317"/>
    <w:rsid w:val="003B60B2"/>
    <w:rsid w:val="003B79C7"/>
    <w:rsid w:val="003B7FB4"/>
    <w:rsid w:val="003C0207"/>
    <w:rsid w:val="003C083E"/>
    <w:rsid w:val="003C3DB1"/>
    <w:rsid w:val="003C3E45"/>
    <w:rsid w:val="003C4CFB"/>
    <w:rsid w:val="003C56F0"/>
    <w:rsid w:val="003C6DE8"/>
    <w:rsid w:val="003C6E2D"/>
    <w:rsid w:val="003D0059"/>
    <w:rsid w:val="003D0186"/>
    <w:rsid w:val="003D37BA"/>
    <w:rsid w:val="003D42BB"/>
    <w:rsid w:val="003D5151"/>
    <w:rsid w:val="003D53BA"/>
    <w:rsid w:val="003D7B8E"/>
    <w:rsid w:val="003E0424"/>
    <w:rsid w:val="003E195F"/>
    <w:rsid w:val="003E1F35"/>
    <w:rsid w:val="003E21B2"/>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2720"/>
    <w:rsid w:val="00403909"/>
    <w:rsid w:val="004039A3"/>
    <w:rsid w:val="00404E4B"/>
    <w:rsid w:val="00405A57"/>
    <w:rsid w:val="00410716"/>
    <w:rsid w:val="004109CE"/>
    <w:rsid w:val="00413902"/>
    <w:rsid w:val="004145DD"/>
    <w:rsid w:val="0041595B"/>
    <w:rsid w:val="0041601C"/>
    <w:rsid w:val="00416032"/>
    <w:rsid w:val="004168EC"/>
    <w:rsid w:val="00417A77"/>
    <w:rsid w:val="00417B61"/>
    <w:rsid w:val="00420D19"/>
    <w:rsid w:val="0042167D"/>
    <w:rsid w:val="00421D0F"/>
    <w:rsid w:val="00422A39"/>
    <w:rsid w:val="00422C25"/>
    <w:rsid w:val="00423295"/>
    <w:rsid w:val="00424242"/>
    <w:rsid w:val="00425923"/>
    <w:rsid w:val="00425F86"/>
    <w:rsid w:val="00426D91"/>
    <w:rsid w:val="004301DB"/>
    <w:rsid w:val="004307C4"/>
    <w:rsid w:val="00430B68"/>
    <w:rsid w:val="0043326A"/>
    <w:rsid w:val="004334A8"/>
    <w:rsid w:val="0043379D"/>
    <w:rsid w:val="00433967"/>
    <w:rsid w:val="004345D2"/>
    <w:rsid w:val="004356AB"/>
    <w:rsid w:val="00435F42"/>
    <w:rsid w:val="004369F3"/>
    <w:rsid w:val="00436C95"/>
    <w:rsid w:val="00437A5C"/>
    <w:rsid w:val="004406B4"/>
    <w:rsid w:val="00440FC0"/>
    <w:rsid w:val="004432DF"/>
    <w:rsid w:val="0044392C"/>
    <w:rsid w:val="00443988"/>
    <w:rsid w:val="00443A0B"/>
    <w:rsid w:val="00444543"/>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2725"/>
    <w:rsid w:val="00464C97"/>
    <w:rsid w:val="004654E4"/>
    <w:rsid w:val="004657C1"/>
    <w:rsid w:val="0047031C"/>
    <w:rsid w:val="00470E06"/>
    <w:rsid w:val="00470EBE"/>
    <w:rsid w:val="0047107B"/>
    <w:rsid w:val="0047137E"/>
    <w:rsid w:val="00471DB9"/>
    <w:rsid w:val="00472697"/>
    <w:rsid w:val="004764A5"/>
    <w:rsid w:val="004768D1"/>
    <w:rsid w:val="00477B2E"/>
    <w:rsid w:val="00477E47"/>
    <w:rsid w:val="00477F1B"/>
    <w:rsid w:val="0048081A"/>
    <w:rsid w:val="004818D7"/>
    <w:rsid w:val="00481F32"/>
    <w:rsid w:val="004844E1"/>
    <w:rsid w:val="00484B85"/>
    <w:rsid w:val="00484C3C"/>
    <w:rsid w:val="00485E3D"/>
    <w:rsid w:val="00486E0A"/>
    <w:rsid w:val="00487E10"/>
    <w:rsid w:val="00490EF9"/>
    <w:rsid w:val="004910D9"/>
    <w:rsid w:val="00492469"/>
    <w:rsid w:val="00492A0F"/>
    <w:rsid w:val="004932AE"/>
    <w:rsid w:val="004955CF"/>
    <w:rsid w:val="004960B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4FEC"/>
    <w:rsid w:val="004C5590"/>
    <w:rsid w:val="004C5F35"/>
    <w:rsid w:val="004C6B47"/>
    <w:rsid w:val="004D1141"/>
    <w:rsid w:val="004D177F"/>
    <w:rsid w:val="004D1935"/>
    <w:rsid w:val="004D1C27"/>
    <w:rsid w:val="004D1D70"/>
    <w:rsid w:val="004D200A"/>
    <w:rsid w:val="004D2C81"/>
    <w:rsid w:val="004D3A51"/>
    <w:rsid w:val="004D3C57"/>
    <w:rsid w:val="004D3C61"/>
    <w:rsid w:val="004D5BAF"/>
    <w:rsid w:val="004D5ECB"/>
    <w:rsid w:val="004D6328"/>
    <w:rsid w:val="004E0E13"/>
    <w:rsid w:val="004E2F75"/>
    <w:rsid w:val="004E58A6"/>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7D4"/>
    <w:rsid w:val="00505986"/>
    <w:rsid w:val="0050686D"/>
    <w:rsid w:val="00507D87"/>
    <w:rsid w:val="0051051A"/>
    <w:rsid w:val="00511AB4"/>
    <w:rsid w:val="005134D0"/>
    <w:rsid w:val="00514A01"/>
    <w:rsid w:val="00514D1E"/>
    <w:rsid w:val="00517DE9"/>
    <w:rsid w:val="0052020C"/>
    <w:rsid w:val="005216E6"/>
    <w:rsid w:val="00521EFD"/>
    <w:rsid w:val="0052215D"/>
    <w:rsid w:val="00523916"/>
    <w:rsid w:val="00524891"/>
    <w:rsid w:val="005251EA"/>
    <w:rsid w:val="0052540C"/>
    <w:rsid w:val="00527A0F"/>
    <w:rsid w:val="00527A67"/>
    <w:rsid w:val="0053102E"/>
    <w:rsid w:val="0053196A"/>
    <w:rsid w:val="005327EF"/>
    <w:rsid w:val="0053336D"/>
    <w:rsid w:val="0053382A"/>
    <w:rsid w:val="00535342"/>
    <w:rsid w:val="005362A5"/>
    <w:rsid w:val="005363F9"/>
    <w:rsid w:val="005369AA"/>
    <w:rsid w:val="00536B9B"/>
    <w:rsid w:val="00536F87"/>
    <w:rsid w:val="005374E6"/>
    <w:rsid w:val="005403B9"/>
    <w:rsid w:val="00540484"/>
    <w:rsid w:val="00540DFC"/>
    <w:rsid w:val="005412C9"/>
    <w:rsid w:val="00543498"/>
    <w:rsid w:val="00543B0F"/>
    <w:rsid w:val="005445CB"/>
    <w:rsid w:val="00544601"/>
    <w:rsid w:val="005448FA"/>
    <w:rsid w:val="005449AF"/>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ED2"/>
    <w:rsid w:val="005719F7"/>
    <w:rsid w:val="005724D8"/>
    <w:rsid w:val="005727A7"/>
    <w:rsid w:val="0057280F"/>
    <w:rsid w:val="00573088"/>
    <w:rsid w:val="0057331F"/>
    <w:rsid w:val="005745D9"/>
    <w:rsid w:val="005753CE"/>
    <w:rsid w:val="0057558F"/>
    <w:rsid w:val="00575779"/>
    <w:rsid w:val="005762F4"/>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8F7"/>
    <w:rsid w:val="00593BC4"/>
    <w:rsid w:val="00595C0C"/>
    <w:rsid w:val="00595E0B"/>
    <w:rsid w:val="005961EF"/>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2D05"/>
    <w:rsid w:val="005B4191"/>
    <w:rsid w:val="005B5521"/>
    <w:rsid w:val="005B5A8A"/>
    <w:rsid w:val="005B63BC"/>
    <w:rsid w:val="005B652B"/>
    <w:rsid w:val="005B6637"/>
    <w:rsid w:val="005C1994"/>
    <w:rsid w:val="005C2156"/>
    <w:rsid w:val="005C2E7D"/>
    <w:rsid w:val="005C3C65"/>
    <w:rsid w:val="005C3D0E"/>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44D0"/>
    <w:rsid w:val="0065451D"/>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E11"/>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1402"/>
    <w:rsid w:val="006A28AF"/>
    <w:rsid w:val="006A3247"/>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5524"/>
    <w:rsid w:val="006E56B8"/>
    <w:rsid w:val="006F0032"/>
    <w:rsid w:val="006F2084"/>
    <w:rsid w:val="006F6A42"/>
    <w:rsid w:val="006F6A8B"/>
    <w:rsid w:val="006F6D30"/>
    <w:rsid w:val="006F7635"/>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7FCC"/>
    <w:rsid w:val="00720F26"/>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B2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436A"/>
    <w:rsid w:val="00754437"/>
    <w:rsid w:val="0075641B"/>
    <w:rsid w:val="0075664D"/>
    <w:rsid w:val="0075680C"/>
    <w:rsid w:val="00756DC3"/>
    <w:rsid w:val="00761888"/>
    <w:rsid w:val="00761F0F"/>
    <w:rsid w:val="00762145"/>
    <w:rsid w:val="007624FD"/>
    <w:rsid w:val="007628BB"/>
    <w:rsid w:val="0076360E"/>
    <w:rsid w:val="0076627A"/>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1D3C"/>
    <w:rsid w:val="00782859"/>
    <w:rsid w:val="00782BEF"/>
    <w:rsid w:val="007832CB"/>
    <w:rsid w:val="00783882"/>
    <w:rsid w:val="00783976"/>
    <w:rsid w:val="00784A8A"/>
    <w:rsid w:val="00784A95"/>
    <w:rsid w:val="00784FBD"/>
    <w:rsid w:val="00786C2D"/>
    <w:rsid w:val="00791498"/>
    <w:rsid w:val="007917E1"/>
    <w:rsid w:val="007918A3"/>
    <w:rsid w:val="00791C4B"/>
    <w:rsid w:val="00791DA2"/>
    <w:rsid w:val="00792C1B"/>
    <w:rsid w:val="0079369E"/>
    <w:rsid w:val="00793EB2"/>
    <w:rsid w:val="0079493D"/>
    <w:rsid w:val="00794F31"/>
    <w:rsid w:val="007958CA"/>
    <w:rsid w:val="00795F8F"/>
    <w:rsid w:val="00796E28"/>
    <w:rsid w:val="007A023C"/>
    <w:rsid w:val="007A0797"/>
    <w:rsid w:val="007A21BA"/>
    <w:rsid w:val="007A48F3"/>
    <w:rsid w:val="007A4AE4"/>
    <w:rsid w:val="007A4EBD"/>
    <w:rsid w:val="007B04D1"/>
    <w:rsid w:val="007B06B5"/>
    <w:rsid w:val="007B2432"/>
    <w:rsid w:val="007B2757"/>
    <w:rsid w:val="007B4C3C"/>
    <w:rsid w:val="007B52B5"/>
    <w:rsid w:val="007B6C50"/>
    <w:rsid w:val="007B7DCA"/>
    <w:rsid w:val="007B7F84"/>
    <w:rsid w:val="007C0A32"/>
    <w:rsid w:val="007C0CA1"/>
    <w:rsid w:val="007C1092"/>
    <w:rsid w:val="007C1CC8"/>
    <w:rsid w:val="007C1D1C"/>
    <w:rsid w:val="007C1E55"/>
    <w:rsid w:val="007C2E69"/>
    <w:rsid w:val="007C3710"/>
    <w:rsid w:val="007C39F3"/>
    <w:rsid w:val="007C6497"/>
    <w:rsid w:val="007C6C0F"/>
    <w:rsid w:val="007C7244"/>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F06"/>
    <w:rsid w:val="007F350F"/>
    <w:rsid w:val="007F3708"/>
    <w:rsid w:val="007F3CAC"/>
    <w:rsid w:val="007F42C2"/>
    <w:rsid w:val="007F49DF"/>
    <w:rsid w:val="007F52B2"/>
    <w:rsid w:val="007F6FBB"/>
    <w:rsid w:val="007F752D"/>
    <w:rsid w:val="0080075C"/>
    <w:rsid w:val="00802774"/>
    <w:rsid w:val="00802C13"/>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967"/>
    <w:rsid w:val="00827691"/>
    <w:rsid w:val="008307AA"/>
    <w:rsid w:val="00830D1F"/>
    <w:rsid w:val="00830DFB"/>
    <w:rsid w:val="0083138D"/>
    <w:rsid w:val="0083187B"/>
    <w:rsid w:val="0083267B"/>
    <w:rsid w:val="00832AA8"/>
    <w:rsid w:val="00832B3A"/>
    <w:rsid w:val="00833719"/>
    <w:rsid w:val="00833C2E"/>
    <w:rsid w:val="00834C48"/>
    <w:rsid w:val="00835E6D"/>
    <w:rsid w:val="00836295"/>
    <w:rsid w:val="00836B26"/>
    <w:rsid w:val="00837A0F"/>
    <w:rsid w:val="00837AFB"/>
    <w:rsid w:val="00841241"/>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432C"/>
    <w:rsid w:val="00874ADB"/>
    <w:rsid w:val="008773C1"/>
    <w:rsid w:val="008777FE"/>
    <w:rsid w:val="00881402"/>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76F"/>
    <w:rsid w:val="008A298A"/>
    <w:rsid w:val="008A35CC"/>
    <w:rsid w:val="008A3BAC"/>
    <w:rsid w:val="008A561E"/>
    <w:rsid w:val="008A5DFB"/>
    <w:rsid w:val="008A6641"/>
    <w:rsid w:val="008A70B4"/>
    <w:rsid w:val="008B024C"/>
    <w:rsid w:val="008B2834"/>
    <w:rsid w:val="008B2E03"/>
    <w:rsid w:val="008B37B0"/>
    <w:rsid w:val="008B7447"/>
    <w:rsid w:val="008B78F0"/>
    <w:rsid w:val="008B7957"/>
    <w:rsid w:val="008C2BE9"/>
    <w:rsid w:val="008C2C30"/>
    <w:rsid w:val="008C3B3D"/>
    <w:rsid w:val="008C4262"/>
    <w:rsid w:val="008C4904"/>
    <w:rsid w:val="008C5716"/>
    <w:rsid w:val="008C6C8D"/>
    <w:rsid w:val="008C7CD6"/>
    <w:rsid w:val="008D1464"/>
    <w:rsid w:val="008D20B9"/>
    <w:rsid w:val="008D24FD"/>
    <w:rsid w:val="008D3D9B"/>
    <w:rsid w:val="008D589F"/>
    <w:rsid w:val="008D6866"/>
    <w:rsid w:val="008D6900"/>
    <w:rsid w:val="008D6E50"/>
    <w:rsid w:val="008D6F5F"/>
    <w:rsid w:val="008E2314"/>
    <w:rsid w:val="008E497A"/>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460"/>
    <w:rsid w:val="00911C23"/>
    <w:rsid w:val="00912D7D"/>
    <w:rsid w:val="00912E37"/>
    <w:rsid w:val="00913329"/>
    <w:rsid w:val="00913FFB"/>
    <w:rsid w:val="00915B60"/>
    <w:rsid w:val="00916194"/>
    <w:rsid w:val="00916DE7"/>
    <w:rsid w:val="0091713A"/>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72"/>
    <w:rsid w:val="00950DC1"/>
    <w:rsid w:val="009517C1"/>
    <w:rsid w:val="00952494"/>
    <w:rsid w:val="009527F2"/>
    <w:rsid w:val="0095296A"/>
    <w:rsid w:val="00953174"/>
    <w:rsid w:val="0095371D"/>
    <w:rsid w:val="00953A22"/>
    <w:rsid w:val="00954549"/>
    <w:rsid w:val="0095582B"/>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138"/>
    <w:rsid w:val="00977346"/>
    <w:rsid w:val="00977361"/>
    <w:rsid w:val="00980C43"/>
    <w:rsid w:val="00980DF6"/>
    <w:rsid w:val="009829A6"/>
    <w:rsid w:val="009835EF"/>
    <w:rsid w:val="009878DC"/>
    <w:rsid w:val="00990B11"/>
    <w:rsid w:val="009915AE"/>
    <w:rsid w:val="00992943"/>
    <w:rsid w:val="00992A4B"/>
    <w:rsid w:val="00993C05"/>
    <w:rsid w:val="009943A7"/>
    <w:rsid w:val="00995C43"/>
    <w:rsid w:val="00995C4D"/>
    <w:rsid w:val="009961EC"/>
    <w:rsid w:val="009963DA"/>
    <w:rsid w:val="009963FE"/>
    <w:rsid w:val="009975A4"/>
    <w:rsid w:val="009979D6"/>
    <w:rsid w:val="009A1EF3"/>
    <w:rsid w:val="009A3841"/>
    <w:rsid w:val="009A3B26"/>
    <w:rsid w:val="009A43D6"/>
    <w:rsid w:val="009A43FD"/>
    <w:rsid w:val="009A47E6"/>
    <w:rsid w:val="009A53B2"/>
    <w:rsid w:val="009A56F9"/>
    <w:rsid w:val="009A5CC4"/>
    <w:rsid w:val="009B125C"/>
    <w:rsid w:val="009B1A2C"/>
    <w:rsid w:val="009B1B1D"/>
    <w:rsid w:val="009B228A"/>
    <w:rsid w:val="009B42AE"/>
    <w:rsid w:val="009B4FBB"/>
    <w:rsid w:val="009B6F7A"/>
    <w:rsid w:val="009B7579"/>
    <w:rsid w:val="009B75E8"/>
    <w:rsid w:val="009B7CA8"/>
    <w:rsid w:val="009C0AC7"/>
    <w:rsid w:val="009C17B9"/>
    <w:rsid w:val="009C1B73"/>
    <w:rsid w:val="009C2C1A"/>
    <w:rsid w:val="009C33A8"/>
    <w:rsid w:val="009C4392"/>
    <w:rsid w:val="009C4D2C"/>
    <w:rsid w:val="009C5431"/>
    <w:rsid w:val="009C5EB8"/>
    <w:rsid w:val="009C7313"/>
    <w:rsid w:val="009C785D"/>
    <w:rsid w:val="009D1531"/>
    <w:rsid w:val="009D19E6"/>
    <w:rsid w:val="009D3444"/>
    <w:rsid w:val="009D4047"/>
    <w:rsid w:val="009D5F98"/>
    <w:rsid w:val="009D62E1"/>
    <w:rsid w:val="009D69D6"/>
    <w:rsid w:val="009E01F4"/>
    <w:rsid w:val="009E0663"/>
    <w:rsid w:val="009E0862"/>
    <w:rsid w:val="009E1277"/>
    <w:rsid w:val="009E3483"/>
    <w:rsid w:val="009E35C4"/>
    <w:rsid w:val="009E40F3"/>
    <w:rsid w:val="009E4CE4"/>
    <w:rsid w:val="009E60EF"/>
    <w:rsid w:val="009E632C"/>
    <w:rsid w:val="009E6753"/>
    <w:rsid w:val="009E7BA5"/>
    <w:rsid w:val="009F0486"/>
    <w:rsid w:val="009F0626"/>
    <w:rsid w:val="009F08F1"/>
    <w:rsid w:val="009F30FE"/>
    <w:rsid w:val="009F31B9"/>
    <w:rsid w:val="009F6011"/>
    <w:rsid w:val="009F645F"/>
    <w:rsid w:val="009F67DF"/>
    <w:rsid w:val="009F755E"/>
    <w:rsid w:val="00A001A8"/>
    <w:rsid w:val="00A00E01"/>
    <w:rsid w:val="00A02E98"/>
    <w:rsid w:val="00A03AA5"/>
    <w:rsid w:val="00A0538A"/>
    <w:rsid w:val="00A05A76"/>
    <w:rsid w:val="00A06115"/>
    <w:rsid w:val="00A06597"/>
    <w:rsid w:val="00A06811"/>
    <w:rsid w:val="00A06985"/>
    <w:rsid w:val="00A128BA"/>
    <w:rsid w:val="00A15C37"/>
    <w:rsid w:val="00A16B4F"/>
    <w:rsid w:val="00A20A20"/>
    <w:rsid w:val="00A212FD"/>
    <w:rsid w:val="00A24749"/>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537"/>
    <w:rsid w:val="00A43AD0"/>
    <w:rsid w:val="00A44C82"/>
    <w:rsid w:val="00A45BEA"/>
    <w:rsid w:val="00A46EA3"/>
    <w:rsid w:val="00A47547"/>
    <w:rsid w:val="00A475D7"/>
    <w:rsid w:val="00A47FFA"/>
    <w:rsid w:val="00A5052B"/>
    <w:rsid w:val="00A50FF6"/>
    <w:rsid w:val="00A51718"/>
    <w:rsid w:val="00A523B7"/>
    <w:rsid w:val="00A52473"/>
    <w:rsid w:val="00A52540"/>
    <w:rsid w:val="00A53F06"/>
    <w:rsid w:val="00A54355"/>
    <w:rsid w:val="00A54A4A"/>
    <w:rsid w:val="00A54E0A"/>
    <w:rsid w:val="00A55071"/>
    <w:rsid w:val="00A55EE7"/>
    <w:rsid w:val="00A562DB"/>
    <w:rsid w:val="00A56313"/>
    <w:rsid w:val="00A56FCE"/>
    <w:rsid w:val="00A573D3"/>
    <w:rsid w:val="00A57E59"/>
    <w:rsid w:val="00A6074E"/>
    <w:rsid w:val="00A60A29"/>
    <w:rsid w:val="00A616B6"/>
    <w:rsid w:val="00A61E96"/>
    <w:rsid w:val="00A62B77"/>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46D"/>
    <w:rsid w:val="00A9710F"/>
    <w:rsid w:val="00A97724"/>
    <w:rsid w:val="00AA03E5"/>
    <w:rsid w:val="00AA07C7"/>
    <w:rsid w:val="00AA102B"/>
    <w:rsid w:val="00AA1817"/>
    <w:rsid w:val="00AA1DC3"/>
    <w:rsid w:val="00AA22E6"/>
    <w:rsid w:val="00AA3236"/>
    <w:rsid w:val="00AA35F1"/>
    <w:rsid w:val="00AA4573"/>
    <w:rsid w:val="00AA4C8B"/>
    <w:rsid w:val="00AA6820"/>
    <w:rsid w:val="00AA70BE"/>
    <w:rsid w:val="00AB2D11"/>
    <w:rsid w:val="00AB3490"/>
    <w:rsid w:val="00AB3EB2"/>
    <w:rsid w:val="00AB4D4E"/>
    <w:rsid w:val="00AB579D"/>
    <w:rsid w:val="00AB5AFC"/>
    <w:rsid w:val="00AB5BF7"/>
    <w:rsid w:val="00AB6133"/>
    <w:rsid w:val="00AB62EB"/>
    <w:rsid w:val="00AB705A"/>
    <w:rsid w:val="00AB77F3"/>
    <w:rsid w:val="00AC2F74"/>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125F"/>
    <w:rsid w:val="00AE1278"/>
    <w:rsid w:val="00AE1718"/>
    <w:rsid w:val="00AE2CA5"/>
    <w:rsid w:val="00AE560C"/>
    <w:rsid w:val="00AE67B5"/>
    <w:rsid w:val="00AE7BA5"/>
    <w:rsid w:val="00AF01BD"/>
    <w:rsid w:val="00AF08A9"/>
    <w:rsid w:val="00AF272C"/>
    <w:rsid w:val="00AF2FEF"/>
    <w:rsid w:val="00AF33AA"/>
    <w:rsid w:val="00AF3540"/>
    <w:rsid w:val="00AF4693"/>
    <w:rsid w:val="00AF53F7"/>
    <w:rsid w:val="00AF61F3"/>
    <w:rsid w:val="00B008B1"/>
    <w:rsid w:val="00B01F92"/>
    <w:rsid w:val="00B02F55"/>
    <w:rsid w:val="00B030A1"/>
    <w:rsid w:val="00B035C1"/>
    <w:rsid w:val="00B045E4"/>
    <w:rsid w:val="00B0502D"/>
    <w:rsid w:val="00B0625F"/>
    <w:rsid w:val="00B06A90"/>
    <w:rsid w:val="00B07E5D"/>
    <w:rsid w:val="00B10B8D"/>
    <w:rsid w:val="00B11664"/>
    <w:rsid w:val="00B12D95"/>
    <w:rsid w:val="00B133AF"/>
    <w:rsid w:val="00B14769"/>
    <w:rsid w:val="00B151A1"/>
    <w:rsid w:val="00B162D6"/>
    <w:rsid w:val="00B16638"/>
    <w:rsid w:val="00B170F0"/>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911"/>
    <w:rsid w:val="00B65C88"/>
    <w:rsid w:val="00B6619F"/>
    <w:rsid w:val="00B67BA7"/>
    <w:rsid w:val="00B708B0"/>
    <w:rsid w:val="00B7155C"/>
    <w:rsid w:val="00B716CF"/>
    <w:rsid w:val="00B71B04"/>
    <w:rsid w:val="00B72950"/>
    <w:rsid w:val="00B729BE"/>
    <w:rsid w:val="00B72F39"/>
    <w:rsid w:val="00B73043"/>
    <w:rsid w:val="00B7374F"/>
    <w:rsid w:val="00B7401B"/>
    <w:rsid w:val="00B75960"/>
    <w:rsid w:val="00B76220"/>
    <w:rsid w:val="00B769B0"/>
    <w:rsid w:val="00B7712F"/>
    <w:rsid w:val="00B77356"/>
    <w:rsid w:val="00B80F24"/>
    <w:rsid w:val="00B81A8F"/>
    <w:rsid w:val="00B81DBA"/>
    <w:rsid w:val="00B81FAA"/>
    <w:rsid w:val="00B821E9"/>
    <w:rsid w:val="00B84B7A"/>
    <w:rsid w:val="00B85E94"/>
    <w:rsid w:val="00B90B09"/>
    <w:rsid w:val="00B92563"/>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E59"/>
    <w:rsid w:val="00BC13F7"/>
    <w:rsid w:val="00BC1B88"/>
    <w:rsid w:val="00BC1D9B"/>
    <w:rsid w:val="00BC221E"/>
    <w:rsid w:val="00BC227C"/>
    <w:rsid w:val="00BC3047"/>
    <w:rsid w:val="00BC3C74"/>
    <w:rsid w:val="00BC4139"/>
    <w:rsid w:val="00BC4254"/>
    <w:rsid w:val="00BC46C6"/>
    <w:rsid w:val="00BC546B"/>
    <w:rsid w:val="00BC5837"/>
    <w:rsid w:val="00BC6A74"/>
    <w:rsid w:val="00BC7688"/>
    <w:rsid w:val="00BC7C9B"/>
    <w:rsid w:val="00BD0857"/>
    <w:rsid w:val="00BD0943"/>
    <w:rsid w:val="00BD14E5"/>
    <w:rsid w:val="00BD260D"/>
    <w:rsid w:val="00BD31E0"/>
    <w:rsid w:val="00BD34B7"/>
    <w:rsid w:val="00BD35FC"/>
    <w:rsid w:val="00BD391A"/>
    <w:rsid w:val="00BD3938"/>
    <w:rsid w:val="00BD54C1"/>
    <w:rsid w:val="00BD63AA"/>
    <w:rsid w:val="00BD74AF"/>
    <w:rsid w:val="00BE0500"/>
    <w:rsid w:val="00BE1639"/>
    <w:rsid w:val="00BE24C3"/>
    <w:rsid w:val="00BE28B8"/>
    <w:rsid w:val="00BE29F1"/>
    <w:rsid w:val="00BE2DB0"/>
    <w:rsid w:val="00BE344A"/>
    <w:rsid w:val="00BE4CC6"/>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496E"/>
    <w:rsid w:val="00C04CEA"/>
    <w:rsid w:val="00C04D3D"/>
    <w:rsid w:val="00C0503C"/>
    <w:rsid w:val="00C05170"/>
    <w:rsid w:val="00C05649"/>
    <w:rsid w:val="00C0566A"/>
    <w:rsid w:val="00C05DD6"/>
    <w:rsid w:val="00C07C8C"/>
    <w:rsid w:val="00C07FDD"/>
    <w:rsid w:val="00C1166F"/>
    <w:rsid w:val="00C129F7"/>
    <w:rsid w:val="00C13C82"/>
    <w:rsid w:val="00C14D67"/>
    <w:rsid w:val="00C1544B"/>
    <w:rsid w:val="00C15A9A"/>
    <w:rsid w:val="00C1717D"/>
    <w:rsid w:val="00C21DDF"/>
    <w:rsid w:val="00C22824"/>
    <w:rsid w:val="00C22B93"/>
    <w:rsid w:val="00C2389A"/>
    <w:rsid w:val="00C239AB"/>
    <w:rsid w:val="00C25062"/>
    <w:rsid w:val="00C25BD3"/>
    <w:rsid w:val="00C2619F"/>
    <w:rsid w:val="00C2649C"/>
    <w:rsid w:val="00C268B4"/>
    <w:rsid w:val="00C27349"/>
    <w:rsid w:val="00C30296"/>
    <w:rsid w:val="00C302A1"/>
    <w:rsid w:val="00C309AF"/>
    <w:rsid w:val="00C3145C"/>
    <w:rsid w:val="00C31E7A"/>
    <w:rsid w:val="00C32AD0"/>
    <w:rsid w:val="00C32ED9"/>
    <w:rsid w:val="00C33195"/>
    <w:rsid w:val="00C3545E"/>
    <w:rsid w:val="00C35E71"/>
    <w:rsid w:val="00C3625D"/>
    <w:rsid w:val="00C372CD"/>
    <w:rsid w:val="00C3758F"/>
    <w:rsid w:val="00C37F0B"/>
    <w:rsid w:val="00C40662"/>
    <w:rsid w:val="00C40AB7"/>
    <w:rsid w:val="00C41048"/>
    <w:rsid w:val="00C4203D"/>
    <w:rsid w:val="00C423BA"/>
    <w:rsid w:val="00C42871"/>
    <w:rsid w:val="00C43A26"/>
    <w:rsid w:val="00C44285"/>
    <w:rsid w:val="00C4485C"/>
    <w:rsid w:val="00C45E24"/>
    <w:rsid w:val="00C4629B"/>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CEE"/>
    <w:rsid w:val="00C71764"/>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3024"/>
    <w:rsid w:val="00C9394A"/>
    <w:rsid w:val="00C95EBC"/>
    <w:rsid w:val="00C96392"/>
    <w:rsid w:val="00C976A0"/>
    <w:rsid w:val="00C97EC3"/>
    <w:rsid w:val="00CA093B"/>
    <w:rsid w:val="00CA0E38"/>
    <w:rsid w:val="00CA1519"/>
    <w:rsid w:val="00CA207E"/>
    <w:rsid w:val="00CA230C"/>
    <w:rsid w:val="00CA2AB8"/>
    <w:rsid w:val="00CA3C59"/>
    <w:rsid w:val="00CA3F92"/>
    <w:rsid w:val="00CA5B5D"/>
    <w:rsid w:val="00CA6CCE"/>
    <w:rsid w:val="00CA7A43"/>
    <w:rsid w:val="00CB02E5"/>
    <w:rsid w:val="00CB1CC9"/>
    <w:rsid w:val="00CB1D5B"/>
    <w:rsid w:val="00CB3E1B"/>
    <w:rsid w:val="00CB420B"/>
    <w:rsid w:val="00CB43A6"/>
    <w:rsid w:val="00CB49BE"/>
    <w:rsid w:val="00CB4B44"/>
    <w:rsid w:val="00CB5E40"/>
    <w:rsid w:val="00CB7255"/>
    <w:rsid w:val="00CB7F58"/>
    <w:rsid w:val="00CC19F2"/>
    <w:rsid w:val="00CC383B"/>
    <w:rsid w:val="00CC4F61"/>
    <w:rsid w:val="00CC5100"/>
    <w:rsid w:val="00CC55FE"/>
    <w:rsid w:val="00CC6428"/>
    <w:rsid w:val="00CC6EBC"/>
    <w:rsid w:val="00CC72F0"/>
    <w:rsid w:val="00CC7EC8"/>
    <w:rsid w:val="00CD1F25"/>
    <w:rsid w:val="00CD21B7"/>
    <w:rsid w:val="00CD2A94"/>
    <w:rsid w:val="00CD2DF9"/>
    <w:rsid w:val="00CD30E1"/>
    <w:rsid w:val="00CD311D"/>
    <w:rsid w:val="00CD65E3"/>
    <w:rsid w:val="00CD6AF0"/>
    <w:rsid w:val="00CE03F0"/>
    <w:rsid w:val="00CE0D0E"/>
    <w:rsid w:val="00CE115F"/>
    <w:rsid w:val="00CE1D25"/>
    <w:rsid w:val="00CE288C"/>
    <w:rsid w:val="00CE480A"/>
    <w:rsid w:val="00CE5263"/>
    <w:rsid w:val="00CE60C7"/>
    <w:rsid w:val="00CE6A5D"/>
    <w:rsid w:val="00CE6FE0"/>
    <w:rsid w:val="00CE7D4F"/>
    <w:rsid w:val="00CE7DC7"/>
    <w:rsid w:val="00CF008B"/>
    <w:rsid w:val="00CF0714"/>
    <w:rsid w:val="00CF2077"/>
    <w:rsid w:val="00CF22E7"/>
    <w:rsid w:val="00CF25FC"/>
    <w:rsid w:val="00CF2CEA"/>
    <w:rsid w:val="00CF2F14"/>
    <w:rsid w:val="00CF35DB"/>
    <w:rsid w:val="00CF3642"/>
    <w:rsid w:val="00CF5BAF"/>
    <w:rsid w:val="00CF6113"/>
    <w:rsid w:val="00CF7148"/>
    <w:rsid w:val="00D00DC5"/>
    <w:rsid w:val="00D00E92"/>
    <w:rsid w:val="00D00FA9"/>
    <w:rsid w:val="00D0204C"/>
    <w:rsid w:val="00D02BF0"/>
    <w:rsid w:val="00D0407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1BC9"/>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465"/>
    <w:rsid w:val="00D60F3E"/>
    <w:rsid w:val="00D611B2"/>
    <w:rsid w:val="00D619C7"/>
    <w:rsid w:val="00D622D2"/>
    <w:rsid w:val="00D6251F"/>
    <w:rsid w:val="00D63256"/>
    <w:rsid w:val="00D633E8"/>
    <w:rsid w:val="00D63CAA"/>
    <w:rsid w:val="00D64773"/>
    <w:rsid w:val="00D653FF"/>
    <w:rsid w:val="00D65839"/>
    <w:rsid w:val="00D65C04"/>
    <w:rsid w:val="00D65C7B"/>
    <w:rsid w:val="00D6617F"/>
    <w:rsid w:val="00D66FDA"/>
    <w:rsid w:val="00D675D3"/>
    <w:rsid w:val="00D70AA0"/>
    <w:rsid w:val="00D71A19"/>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700"/>
    <w:rsid w:val="00D90E22"/>
    <w:rsid w:val="00D91577"/>
    <w:rsid w:val="00D917CC"/>
    <w:rsid w:val="00D917D7"/>
    <w:rsid w:val="00D91E2C"/>
    <w:rsid w:val="00D91F3C"/>
    <w:rsid w:val="00D932FB"/>
    <w:rsid w:val="00D9407E"/>
    <w:rsid w:val="00D94590"/>
    <w:rsid w:val="00D94AC1"/>
    <w:rsid w:val="00D9505D"/>
    <w:rsid w:val="00D95449"/>
    <w:rsid w:val="00D961AC"/>
    <w:rsid w:val="00DA0553"/>
    <w:rsid w:val="00DA112F"/>
    <w:rsid w:val="00DA1DC7"/>
    <w:rsid w:val="00DA252C"/>
    <w:rsid w:val="00DA289C"/>
    <w:rsid w:val="00DA2DD8"/>
    <w:rsid w:val="00DA39F9"/>
    <w:rsid w:val="00DA49A7"/>
    <w:rsid w:val="00DA4A7F"/>
    <w:rsid w:val="00DA4C1F"/>
    <w:rsid w:val="00DA593F"/>
    <w:rsid w:val="00DB0950"/>
    <w:rsid w:val="00DB0BDE"/>
    <w:rsid w:val="00DB146A"/>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585"/>
    <w:rsid w:val="00DF61A6"/>
    <w:rsid w:val="00DF6678"/>
    <w:rsid w:val="00DF73EC"/>
    <w:rsid w:val="00DF740C"/>
    <w:rsid w:val="00E01458"/>
    <w:rsid w:val="00E01F55"/>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7130"/>
    <w:rsid w:val="00E179BC"/>
    <w:rsid w:val="00E2017B"/>
    <w:rsid w:val="00E210D0"/>
    <w:rsid w:val="00E226C1"/>
    <w:rsid w:val="00E22DAE"/>
    <w:rsid w:val="00E23AE9"/>
    <w:rsid w:val="00E23C52"/>
    <w:rsid w:val="00E2477F"/>
    <w:rsid w:val="00E24E3C"/>
    <w:rsid w:val="00E25DB1"/>
    <w:rsid w:val="00E26D85"/>
    <w:rsid w:val="00E300FA"/>
    <w:rsid w:val="00E316FB"/>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88F"/>
    <w:rsid w:val="00E43ED3"/>
    <w:rsid w:val="00E461FD"/>
    <w:rsid w:val="00E46A83"/>
    <w:rsid w:val="00E502CE"/>
    <w:rsid w:val="00E506BC"/>
    <w:rsid w:val="00E5149A"/>
    <w:rsid w:val="00E515BF"/>
    <w:rsid w:val="00E51EC1"/>
    <w:rsid w:val="00E525A5"/>
    <w:rsid w:val="00E5261F"/>
    <w:rsid w:val="00E52A4F"/>
    <w:rsid w:val="00E52E8F"/>
    <w:rsid w:val="00E53FCB"/>
    <w:rsid w:val="00E545DB"/>
    <w:rsid w:val="00E55591"/>
    <w:rsid w:val="00E56228"/>
    <w:rsid w:val="00E57356"/>
    <w:rsid w:val="00E578CC"/>
    <w:rsid w:val="00E610BF"/>
    <w:rsid w:val="00E61B6B"/>
    <w:rsid w:val="00E61CB3"/>
    <w:rsid w:val="00E61DB3"/>
    <w:rsid w:val="00E620EE"/>
    <w:rsid w:val="00E62EF1"/>
    <w:rsid w:val="00E639FB"/>
    <w:rsid w:val="00E67953"/>
    <w:rsid w:val="00E702C3"/>
    <w:rsid w:val="00E70737"/>
    <w:rsid w:val="00E716AB"/>
    <w:rsid w:val="00E72C43"/>
    <w:rsid w:val="00E73128"/>
    <w:rsid w:val="00E736C3"/>
    <w:rsid w:val="00E741F1"/>
    <w:rsid w:val="00E74547"/>
    <w:rsid w:val="00E75B4C"/>
    <w:rsid w:val="00E75CCC"/>
    <w:rsid w:val="00E763DC"/>
    <w:rsid w:val="00E7721F"/>
    <w:rsid w:val="00E7726D"/>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552"/>
    <w:rsid w:val="00EB6484"/>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3FA2"/>
    <w:rsid w:val="00EE47A6"/>
    <w:rsid w:val="00EE4DC6"/>
    <w:rsid w:val="00EE5041"/>
    <w:rsid w:val="00EE6691"/>
    <w:rsid w:val="00EF03B7"/>
    <w:rsid w:val="00EF0614"/>
    <w:rsid w:val="00EF0B92"/>
    <w:rsid w:val="00EF0DC3"/>
    <w:rsid w:val="00EF1A67"/>
    <w:rsid w:val="00EF1A99"/>
    <w:rsid w:val="00EF4062"/>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E04"/>
    <w:rsid w:val="00F27A5C"/>
    <w:rsid w:val="00F30365"/>
    <w:rsid w:val="00F31B2D"/>
    <w:rsid w:val="00F32242"/>
    <w:rsid w:val="00F3466C"/>
    <w:rsid w:val="00F36F47"/>
    <w:rsid w:val="00F408E3"/>
    <w:rsid w:val="00F428F9"/>
    <w:rsid w:val="00F44915"/>
    <w:rsid w:val="00F4509A"/>
    <w:rsid w:val="00F46BBA"/>
    <w:rsid w:val="00F46EAE"/>
    <w:rsid w:val="00F47472"/>
    <w:rsid w:val="00F47FA3"/>
    <w:rsid w:val="00F508B3"/>
    <w:rsid w:val="00F52791"/>
    <w:rsid w:val="00F53889"/>
    <w:rsid w:val="00F5479B"/>
    <w:rsid w:val="00F550F5"/>
    <w:rsid w:val="00F55A21"/>
    <w:rsid w:val="00F55DCF"/>
    <w:rsid w:val="00F56001"/>
    <w:rsid w:val="00F57B06"/>
    <w:rsid w:val="00F57E48"/>
    <w:rsid w:val="00F61128"/>
    <w:rsid w:val="00F61341"/>
    <w:rsid w:val="00F6236C"/>
    <w:rsid w:val="00F62FD7"/>
    <w:rsid w:val="00F63D45"/>
    <w:rsid w:val="00F63ED7"/>
    <w:rsid w:val="00F643AF"/>
    <w:rsid w:val="00F65145"/>
    <w:rsid w:val="00F652B9"/>
    <w:rsid w:val="00F6635C"/>
    <w:rsid w:val="00F67691"/>
    <w:rsid w:val="00F67AC9"/>
    <w:rsid w:val="00F67AD8"/>
    <w:rsid w:val="00F718E6"/>
    <w:rsid w:val="00F7195A"/>
    <w:rsid w:val="00F719A6"/>
    <w:rsid w:val="00F723C6"/>
    <w:rsid w:val="00F72931"/>
    <w:rsid w:val="00F72FFF"/>
    <w:rsid w:val="00F74332"/>
    <w:rsid w:val="00F75370"/>
    <w:rsid w:val="00F76D4C"/>
    <w:rsid w:val="00F82D8F"/>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8D0"/>
    <w:rsid w:val="00FC311A"/>
    <w:rsid w:val="00FC3852"/>
    <w:rsid w:val="00FC3ABF"/>
    <w:rsid w:val="00FC4263"/>
    <w:rsid w:val="00FC4BC1"/>
    <w:rsid w:val="00FC5396"/>
    <w:rsid w:val="00FC6962"/>
    <w:rsid w:val="00FC7F79"/>
    <w:rsid w:val="00FD04D7"/>
    <w:rsid w:val="00FD0E07"/>
    <w:rsid w:val="00FD1908"/>
    <w:rsid w:val="00FD2227"/>
    <w:rsid w:val="00FD28E4"/>
    <w:rsid w:val="00FD3076"/>
    <w:rsid w:val="00FD4A2A"/>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40D2D33"/>
    <w:rsid w:val="04442270"/>
    <w:rsid w:val="06117F79"/>
    <w:rsid w:val="0662732E"/>
    <w:rsid w:val="06B57A35"/>
    <w:rsid w:val="07D55FEF"/>
    <w:rsid w:val="085632C3"/>
    <w:rsid w:val="0A572864"/>
    <w:rsid w:val="0D386E82"/>
    <w:rsid w:val="0E3B5D80"/>
    <w:rsid w:val="0EFB0CFB"/>
    <w:rsid w:val="0FCE5D2A"/>
    <w:rsid w:val="121A54B0"/>
    <w:rsid w:val="13AE28A6"/>
    <w:rsid w:val="13CD7354"/>
    <w:rsid w:val="14A003D1"/>
    <w:rsid w:val="14E13731"/>
    <w:rsid w:val="15DC4C07"/>
    <w:rsid w:val="1603288D"/>
    <w:rsid w:val="1A0B2424"/>
    <w:rsid w:val="1B3E72A5"/>
    <w:rsid w:val="1C38044D"/>
    <w:rsid w:val="1D2D24D6"/>
    <w:rsid w:val="1DB22AF9"/>
    <w:rsid w:val="1E8C30B2"/>
    <w:rsid w:val="1E932147"/>
    <w:rsid w:val="20F931FB"/>
    <w:rsid w:val="21726CD5"/>
    <w:rsid w:val="24FB5382"/>
    <w:rsid w:val="24FB6F38"/>
    <w:rsid w:val="29B32078"/>
    <w:rsid w:val="2C4E0743"/>
    <w:rsid w:val="2C6A166B"/>
    <w:rsid w:val="2DC07ADD"/>
    <w:rsid w:val="2E541BEB"/>
    <w:rsid w:val="2E774DC8"/>
    <w:rsid w:val="2FA26D23"/>
    <w:rsid w:val="31321F99"/>
    <w:rsid w:val="34603CB7"/>
    <w:rsid w:val="38DF6D5E"/>
    <w:rsid w:val="39012615"/>
    <w:rsid w:val="3A9638A2"/>
    <w:rsid w:val="3AFA6B2D"/>
    <w:rsid w:val="3CB029DD"/>
    <w:rsid w:val="3D624A2B"/>
    <w:rsid w:val="3F041AD9"/>
    <w:rsid w:val="3F244E5C"/>
    <w:rsid w:val="423B4E6C"/>
    <w:rsid w:val="45B31A61"/>
    <w:rsid w:val="45D34FB6"/>
    <w:rsid w:val="46245A13"/>
    <w:rsid w:val="46DD4550"/>
    <w:rsid w:val="49FA03B9"/>
    <w:rsid w:val="4C231F8F"/>
    <w:rsid w:val="4D5D1394"/>
    <w:rsid w:val="52394071"/>
    <w:rsid w:val="52BE47B3"/>
    <w:rsid w:val="52D34A56"/>
    <w:rsid w:val="533C2574"/>
    <w:rsid w:val="549661BE"/>
    <w:rsid w:val="54D90D6B"/>
    <w:rsid w:val="56C95F43"/>
    <w:rsid w:val="578F46AB"/>
    <w:rsid w:val="58552D55"/>
    <w:rsid w:val="5A835EEC"/>
    <w:rsid w:val="5BE60354"/>
    <w:rsid w:val="5C5A4637"/>
    <w:rsid w:val="5D035D66"/>
    <w:rsid w:val="5D3A60F6"/>
    <w:rsid w:val="610A4A53"/>
    <w:rsid w:val="618D0DDA"/>
    <w:rsid w:val="62E86106"/>
    <w:rsid w:val="65321727"/>
    <w:rsid w:val="684D717D"/>
    <w:rsid w:val="6A4E2C73"/>
    <w:rsid w:val="6ACA7F96"/>
    <w:rsid w:val="70702414"/>
    <w:rsid w:val="72E90C5B"/>
    <w:rsid w:val="73E63CEC"/>
    <w:rsid w:val="7E61579F"/>
    <w:rsid w:val="7EDE60CE"/>
    <w:rsid w:val="BEFE6508"/>
    <w:rsid w:val="FB9F87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0"/>
    <w:qFormat/>
    <w:uiPriority w:val="9"/>
    <w:pPr>
      <w:keepNext/>
      <w:keepLines/>
      <w:spacing w:before="340" w:after="330" w:line="578" w:lineRule="auto"/>
      <w:jc w:val="center"/>
      <w:outlineLvl w:val="0"/>
    </w:pPr>
    <w:rPr>
      <w:b/>
      <w:bCs/>
      <w:kern w:val="44"/>
      <w:sz w:val="32"/>
      <w:szCs w:val="44"/>
      <w:lang w:val="zh-CN"/>
    </w:rPr>
  </w:style>
  <w:style w:type="paragraph" w:styleId="4">
    <w:name w:val="heading 2"/>
    <w:basedOn w:val="1"/>
    <w:next w:val="1"/>
    <w:link w:val="6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1"/>
    <w:next w:val="1"/>
    <w:link w:val="62"/>
    <w:qFormat/>
    <w:uiPriority w:val="9"/>
    <w:pPr>
      <w:keepNext/>
      <w:keepLines/>
      <w:spacing w:before="260" w:after="260" w:line="416" w:lineRule="auto"/>
      <w:outlineLvl w:val="2"/>
    </w:pPr>
    <w:rPr>
      <w:b/>
      <w:bCs/>
      <w:sz w:val="32"/>
      <w:szCs w:val="32"/>
      <w:lang w:val="zh-CN"/>
    </w:rPr>
  </w:style>
  <w:style w:type="paragraph" w:styleId="6">
    <w:name w:val="heading 4"/>
    <w:basedOn w:val="1"/>
    <w:next w:val="1"/>
    <w:link w:val="63"/>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7">
    <w:name w:val="heading 5"/>
    <w:basedOn w:val="1"/>
    <w:next w:val="1"/>
    <w:link w:val="64"/>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8">
    <w:name w:val="heading 6"/>
    <w:basedOn w:val="7"/>
    <w:next w:val="1"/>
    <w:link w:val="65"/>
    <w:qFormat/>
    <w:uiPriority w:val="0"/>
    <w:pPr>
      <w:keepNext w:val="0"/>
      <w:keepLines w:val="0"/>
      <w:tabs>
        <w:tab w:val="left" w:pos="2940"/>
        <w:tab w:val="clear" w:pos="1701"/>
      </w:tabs>
      <w:adjustRightInd w:val="0"/>
      <w:spacing w:before="0" w:after="0" w:line="400" w:lineRule="exact"/>
      <w:textAlignment w:val="baseline"/>
      <w:outlineLvl w:val="5"/>
    </w:pPr>
    <w:rPr>
      <w:rFonts w:ascii="Calibri" w:eastAsia="宋体"/>
      <w:b w:val="0"/>
      <w:bCs w:val="0"/>
      <w:szCs w:val="20"/>
    </w:rPr>
  </w:style>
  <w:style w:type="paragraph" w:styleId="9">
    <w:name w:val="heading 7"/>
    <w:basedOn w:val="8"/>
    <w:next w:val="1"/>
    <w:link w:val="66"/>
    <w:qFormat/>
    <w:uiPriority w:val="0"/>
    <w:pPr>
      <w:tabs>
        <w:tab w:val="left" w:pos="3360"/>
        <w:tab w:val="clear" w:pos="2940"/>
      </w:tabs>
      <w:outlineLvl w:val="6"/>
    </w:pPr>
  </w:style>
  <w:style w:type="paragraph" w:styleId="10">
    <w:name w:val="heading 8"/>
    <w:basedOn w:val="9"/>
    <w:next w:val="1"/>
    <w:link w:val="67"/>
    <w:qFormat/>
    <w:uiPriority w:val="0"/>
    <w:pPr>
      <w:tabs>
        <w:tab w:val="left" w:pos="3780"/>
        <w:tab w:val="clear" w:pos="3360"/>
      </w:tabs>
      <w:outlineLvl w:val="7"/>
    </w:pPr>
  </w:style>
  <w:style w:type="paragraph" w:styleId="11">
    <w:name w:val="heading 9"/>
    <w:basedOn w:val="10"/>
    <w:next w:val="1"/>
    <w:link w:val="68"/>
    <w:qFormat/>
    <w:uiPriority w:val="0"/>
    <w:pPr>
      <w:tabs>
        <w:tab w:val="left" w:pos="480"/>
        <w:tab w:val="left" w:pos="4200"/>
        <w:tab w:val="clear" w:pos="3780"/>
      </w:tabs>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styleId="12">
    <w:name w:val="toc 7"/>
    <w:basedOn w:val="1"/>
    <w:next w:val="1"/>
    <w:unhideWhenUsed/>
    <w:qFormat/>
    <w:uiPriority w:val="0"/>
    <w:pPr>
      <w:ind w:left="2520" w:leftChars="1200"/>
    </w:pPr>
    <w:rPr>
      <w:rFonts w:cs="宋体"/>
      <w:sz w:val="24"/>
    </w:rPr>
  </w:style>
  <w:style w:type="paragraph" w:styleId="13">
    <w:name w:val="List Number 2"/>
    <w:basedOn w:val="1"/>
    <w:semiHidden/>
    <w:unhideWhenUsed/>
    <w:qFormat/>
    <w:uiPriority w:val="99"/>
    <w:pPr>
      <w:numPr>
        <w:ilvl w:val="0"/>
        <w:numId w:val="1"/>
      </w:numPr>
      <w:contextualSpacing/>
    </w:pPr>
  </w:style>
  <w:style w:type="paragraph" w:styleId="14">
    <w:name w:val="table of authorities"/>
    <w:basedOn w:val="1"/>
    <w:next w:val="1"/>
    <w:unhideWhenUsed/>
    <w:qFormat/>
    <w:uiPriority w:val="0"/>
    <w:pPr>
      <w:ind w:left="420" w:leftChars="200"/>
    </w:p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link w:val="69"/>
    <w:qFormat/>
    <w:uiPriority w:val="0"/>
    <w:pPr>
      <w:ind w:firstLine="420"/>
    </w:pPr>
    <w:rPr>
      <w:rFonts w:asciiTheme="minorHAnsi" w:hAnsiTheme="minorHAnsi" w:cstheme="minorBidi"/>
      <w:szCs w:val="22"/>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70"/>
    <w:qFormat/>
    <w:uiPriority w:val="0"/>
    <w:rPr>
      <w:rFonts w:ascii="宋体" w:hAnsiTheme="minorHAnsi" w:eastAsiaTheme="minorEastAsia" w:cstheme="minorBidi"/>
      <w:sz w:val="18"/>
      <w:szCs w:val="18"/>
    </w:rPr>
  </w:style>
  <w:style w:type="paragraph" w:styleId="19">
    <w:name w:val="annotation text"/>
    <w:basedOn w:val="1"/>
    <w:link w:val="71"/>
    <w:unhideWhenUsed/>
    <w:qFormat/>
    <w:uiPriority w:val="0"/>
    <w:pPr>
      <w:jc w:val="left"/>
    </w:pPr>
  </w:style>
  <w:style w:type="paragraph" w:styleId="20">
    <w:name w:val="Body Text 3"/>
    <w:basedOn w:val="1"/>
    <w:link w:val="72"/>
    <w:qFormat/>
    <w:uiPriority w:val="0"/>
    <w:pPr>
      <w:snapToGrid w:val="0"/>
      <w:spacing w:before="50" w:after="50"/>
    </w:pPr>
    <w:rPr>
      <w:rFonts w:hAnsi="宋体" w:eastAsia="仿宋_GB2312" w:asciiTheme="minorHAnsi" w:cstheme="minorBidi"/>
      <w:b/>
      <w:bCs/>
      <w:sz w:val="24"/>
      <w:szCs w:val="22"/>
    </w:rPr>
  </w:style>
  <w:style w:type="paragraph" w:styleId="21">
    <w:name w:val="Body Text"/>
    <w:basedOn w:val="1"/>
    <w:link w:val="73"/>
    <w:qFormat/>
    <w:uiPriority w:val="0"/>
    <w:pPr>
      <w:spacing w:after="120"/>
    </w:pPr>
    <w:rPr>
      <w:rFonts w:asciiTheme="minorHAnsi" w:hAnsiTheme="minorHAnsi" w:eastAsiaTheme="minorEastAsia" w:cstheme="minorBidi"/>
      <w:sz w:val="28"/>
    </w:rPr>
  </w:style>
  <w:style w:type="paragraph" w:styleId="22">
    <w:name w:val="Body Text Indent"/>
    <w:basedOn w:val="1"/>
    <w:link w:val="58"/>
    <w:unhideWhenUsed/>
    <w:qFormat/>
    <w:uiPriority w:val="99"/>
    <w:pPr>
      <w:spacing w:after="120"/>
      <w:ind w:left="420" w:leftChars="200"/>
    </w:pPr>
  </w:style>
  <w:style w:type="paragraph" w:styleId="23">
    <w:name w:val="List Number 3"/>
    <w:basedOn w:val="1"/>
    <w:qFormat/>
    <w:uiPriority w:val="0"/>
    <w:pPr>
      <w:numPr>
        <w:ilvl w:val="0"/>
        <w:numId w:val="2"/>
      </w:numPr>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6">
    <w:name w:val="toc 5"/>
    <w:basedOn w:val="1"/>
    <w:next w:val="1"/>
    <w:unhideWhenUsed/>
    <w:qFormat/>
    <w:uiPriority w:val="0"/>
    <w:pPr>
      <w:ind w:left="1680" w:leftChars="800"/>
    </w:pPr>
    <w:rPr>
      <w:rFonts w:cs="宋体"/>
      <w:sz w:val="24"/>
    </w:rPr>
  </w:style>
  <w:style w:type="paragraph" w:styleId="27">
    <w:name w:val="toc 3"/>
    <w:basedOn w:val="1"/>
    <w:next w:val="1"/>
    <w:unhideWhenUsed/>
    <w:qFormat/>
    <w:uiPriority w:val="39"/>
    <w:pPr>
      <w:ind w:left="840" w:leftChars="400"/>
    </w:pPr>
    <w:rPr>
      <w:rFonts w:cs="宋体"/>
      <w:sz w:val="24"/>
    </w:rPr>
  </w:style>
  <w:style w:type="paragraph" w:styleId="28">
    <w:name w:val="Plain Text"/>
    <w:basedOn w:val="1"/>
    <w:next w:val="1"/>
    <w:link w:val="74"/>
    <w:qFormat/>
    <w:uiPriority w:val="0"/>
    <w:pPr>
      <w:spacing w:beforeLines="50" w:afterLines="50" w:line="400" w:lineRule="exact"/>
    </w:pPr>
    <w:rPr>
      <w:rFonts w:ascii="宋体" w:hAnsi="Courier New" w:cstheme="minorBidi"/>
      <w:sz w:val="24"/>
    </w:rPr>
  </w:style>
  <w:style w:type="paragraph" w:styleId="29">
    <w:name w:val="toc 8"/>
    <w:basedOn w:val="1"/>
    <w:next w:val="1"/>
    <w:unhideWhenUsed/>
    <w:qFormat/>
    <w:uiPriority w:val="0"/>
    <w:pPr>
      <w:ind w:left="2940" w:leftChars="1400"/>
    </w:pPr>
    <w:rPr>
      <w:rFonts w:cs="宋体"/>
      <w:sz w:val="24"/>
    </w:rPr>
  </w:style>
  <w:style w:type="paragraph" w:styleId="30">
    <w:name w:val="Date"/>
    <w:basedOn w:val="1"/>
    <w:next w:val="1"/>
    <w:link w:val="75"/>
    <w:qFormat/>
    <w:uiPriority w:val="0"/>
    <w:pPr>
      <w:ind w:left="2500" w:leftChars="2500"/>
    </w:pPr>
    <w:rPr>
      <w:rFonts w:eastAsia="楷体_GB2312" w:asciiTheme="minorHAnsi" w:hAnsiTheme="minorHAnsi" w:cstheme="minorBidi"/>
      <w:sz w:val="32"/>
      <w:szCs w:val="22"/>
    </w:rPr>
  </w:style>
  <w:style w:type="paragraph" w:styleId="31">
    <w:name w:val="Body Text Indent 2"/>
    <w:basedOn w:val="1"/>
    <w:link w:val="76"/>
    <w:qFormat/>
    <w:uiPriority w:val="0"/>
    <w:pPr>
      <w:snapToGrid w:val="0"/>
      <w:ind w:firstLine="542" w:firstLineChars="225"/>
    </w:pPr>
    <w:rPr>
      <w:rFonts w:ascii="仿宋_GB2312" w:hAnsi="宋体" w:cs="Arial" w:eastAsiaTheme="minorEastAsia"/>
      <w:b/>
      <w:bCs/>
      <w:color w:val="000000"/>
      <w:sz w:val="24"/>
    </w:rPr>
  </w:style>
  <w:style w:type="paragraph" w:styleId="32">
    <w:name w:val="Balloon Text"/>
    <w:basedOn w:val="1"/>
    <w:link w:val="77"/>
    <w:qFormat/>
    <w:uiPriority w:val="99"/>
    <w:rPr>
      <w:rFonts w:asciiTheme="minorHAnsi" w:hAnsiTheme="minorHAnsi" w:eastAsiaTheme="minorEastAsia" w:cstheme="minorBidi"/>
      <w:sz w:val="18"/>
      <w:szCs w:val="18"/>
    </w:rPr>
  </w:style>
  <w:style w:type="paragraph" w:styleId="33">
    <w:name w:val="footer"/>
    <w:basedOn w:val="1"/>
    <w:link w:val="78"/>
    <w:qFormat/>
    <w:uiPriority w:val="99"/>
    <w:pPr>
      <w:tabs>
        <w:tab w:val="center" w:pos="4153"/>
        <w:tab w:val="right" w:pos="8306"/>
      </w:tabs>
      <w:snapToGrid w:val="0"/>
      <w:jc w:val="left"/>
    </w:pPr>
    <w:rPr>
      <w:rFonts w:eastAsia="黑体" w:asciiTheme="minorHAnsi" w:hAnsiTheme="minorHAnsi" w:cstheme="minorBidi"/>
      <w:snapToGrid w:val="0"/>
      <w:sz w:val="18"/>
      <w:szCs w:val="18"/>
    </w:rPr>
  </w:style>
  <w:style w:type="paragraph" w:styleId="34">
    <w:name w:val="header"/>
    <w:basedOn w:val="1"/>
    <w:link w:val="79"/>
    <w:qFormat/>
    <w:uiPriority w:val="0"/>
    <w:pPr>
      <w:pBdr>
        <w:bottom w:val="single" w:color="auto" w:sz="6" w:space="1"/>
      </w:pBdr>
      <w:tabs>
        <w:tab w:val="center" w:pos="4153"/>
        <w:tab w:val="right" w:pos="8306"/>
      </w:tabs>
      <w:snapToGrid w:val="0"/>
      <w:jc w:val="center"/>
    </w:pPr>
    <w:rPr>
      <w:rFonts w:eastAsia="仿宋_GB2312" w:asciiTheme="minorHAnsi" w:hAnsiTheme="minorHAnsi" w:cstheme="minorBidi"/>
      <w:sz w:val="18"/>
      <w:szCs w:val="22"/>
    </w:rPr>
  </w:style>
  <w:style w:type="paragraph" w:styleId="35">
    <w:name w:val="toc 1"/>
    <w:basedOn w:val="1"/>
    <w:next w:val="1"/>
    <w:qFormat/>
    <w:uiPriority w:val="39"/>
  </w:style>
  <w:style w:type="paragraph" w:styleId="36">
    <w:name w:val="toc 4"/>
    <w:basedOn w:val="1"/>
    <w:next w:val="1"/>
    <w:unhideWhenUsed/>
    <w:qFormat/>
    <w:uiPriority w:val="0"/>
    <w:pPr>
      <w:ind w:left="1260" w:leftChars="600"/>
    </w:pPr>
    <w:rPr>
      <w:rFonts w:cs="宋体"/>
      <w:sz w:val="24"/>
    </w:rPr>
  </w:style>
  <w:style w:type="paragraph" w:styleId="37">
    <w:name w:val="Subtitle"/>
    <w:basedOn w:val="1"/>
    <w:next w:val="1"/>
    <w:link w:val="80"/>
    <w:qFormat/>
    <w:uiPriority w:val="0"/>
    <w:pPr>
      <w:jc w:val="left"/>
    </w:pPr>
    <w:rPr>
      <w:rFonts w:ascii="Cambria" w:hAnsi="Cambria" w:cs="宋体" w:eastAsiaTheme="minorEastAsia"/>
      <w:bCs/>
      <w:kern w:val="28"/>
      <w:sz w:val="18"/>
      <w:szCs w:val="32"/>
    </w:rPr>
  </w:style>
  <w:style w:type="paragraph" w:styleId="38">
    <w:name w:val="List"/>
    <w:basedOn w:val="1"/>
    <w:link w:val="357"/>
    <w:qFormat/>
    <w:uiPriority w:val="0"/>
    <w:pPr>
      <w:ind w:left="200" w:hanging="200" w:hangingChars="200"/>
    </w:pPr>
    <w:rPr>
      <w:sz w:val="28"/>
    </w:rPr>
  </w:style>
  <w:style w:type="paragraph" w:styleId="39">
    <w:name w:val="toc 6"/>
    <w:basedOn w:val="1"/>
    <w:next w:val="1"/>
    <w:unhideWhenUsed/>
    <w:qFormat/>
    <w:uiPriority w:val="0"/>
    <w:pPr>
      <w:ind w:left="2100" w:leftChars="1000"/>
    </w:pPr>
    <w:rPr>
      <w:rFonts w:cs="宋体"/>
      <w:sz w:val="24"/>
    </w:rPr>
  </w:style>
  <w:style w:type="paragraph" w:styleId="40">
    <w:name w:val="Body Text Indent 3"/>
    <w:basedOn w:val="1"/>
    <w:link w:val="81"/>
    <w:qFormat/>
    <w:uiPriority w:val="0"/>
    <w:pPr>
      <w:snapToGrid w:val="0"/>
      <w:ind w:firstLine="480" w:firstLineChars="200"/>
      <w:jc w:val="left"/>
    </w:pPr>
    <w:rPr>
      <w:rFonts w:ascii="仿宋_GB2312" w:hAnsi="宋体" w:eastAsia="仿宋_GB2312" w:cstheme="minorBidi"/>
      <w:color w:val="000000"/>
      <w:sz w:val="24"/>
    </w:rPr>
  </w:style>
  <w:style w:type="paragraph" w:styleId="41">
    <w:name w:val="toc 2"/>
    <w:basedOn w:val="1"/>
    <w:next w:val="1"/>
    <w:qFormat/>
    <w:uiPriority w:val="39"/>
    <w:pPr>
      <w:ind w:left="420" w:leftChars="200"/>
    </w:pPr>
  </w:style>
  <w:style w:type="paragraph" w:styleId="42">
    <w:name w:val="toc 9"/>
    <w:basedOn w:val="1"/>
    <w:next w:val="1"/>
    <w:unhideWhenUsed/>
    <w:qFormat/>
    <w:uiPriority w:val="0"/>
    <w:pPr>
      <w:ind w:left="3360" w:leftChars="1600"/>
    </w:pPr>
    <w:rPr>
      <w:rFonts w:cs="宋体"/>
      <w:sz w:val="24"/>
    </w:rPr>
  </w:style>
  <w:style w:type="paragraph" w:styleId="43">
    <w:name w:val="Body Text 2"/>
    <w:basedOn w:val="1"/>
    <w:link w:val="82"/>
    <w:qFormat/>
    <w:uiPriority w:val="0"/>
    <w:pPr>
      <w:widowControl/>
      <w:snapToGrid w:val="0"/>
      <w:spacing w:before="50" w:afterLines="50" w:line="400" w:lineRule="exact"/>
      <w:jc w:val="left"/>
    </w:pPr>
    <w:rPr>
      <w:rFonts w:ascii="宋体" w:hAnsi="宋体" w:eastAsiaTheme="minorEastAsia" w:cstheme="minorBidi"/>
      <w:color w:val="000000"/>
      <w:sz w:val="24"/>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Title"/>
    <w:basedOn w:val="1"/>
    <w:next w:val="1"/>
    <w:link w:val="83"/>
    <w:qFormat/>
    <w:uiPriority w:val="0"/>
    <w:pPr>
      <w:spacing w:before="240" w:after="60"/>
      <w:jc w:val="center"/>
      <w:outlineLvl w:val="0"/>
    </w:pPr>
    <w:rPr>
      <w:rFonts w:ascii="Calibri Light" w:hAnsi="Calibri Light" w:eastAsiaTheme="minorEastAsia" w:cstheme="minorBidi"/>
      <w:b/>
      <w:bCs/>
      <w:sz w:val="32"/>
      <w:szCs w:val="32"/>
    </w:rPr>
  </w:style>
  <w:style w:type="paragraph" w:styleId="46">
    <w:name w:val="annotation subject"/>
    <w:basedOn w:val="19"/>
    <w:next w:val="19"/>
    <w:link w:val="84"/>
    <w:qFormat/>
    <w:uiPriority w:val="0"/>
    <w:rPr>
      <w:rFonts w:asciiTheme="minorHAnsi" w:hAnsiTheme="minorHAnsi" w:eastAsiaTheme="minorEastAsia" w:cstheme="minorBidi"/>
      <w:b/>
      <w:bCs/>
    </w:rPr>
  </w:style>
  <w:style w:type="paragraph" w:styleId="47">
    <w:name w:val="Body Text First Indent"/>
    <w:basedOn w:val="21"/>
    <w:link w:val="366"/>
    <w:unhideWhenUsed/>
    <w:qFormat/>
    <w:uiPriority w:val="99"/>
    <w:pPr>
      <w:ind w:firstLine="420" w:firstLineChars="100"/>
    </w:pPr>
    <w:rPr>
      <w:rFonts w:ascii="Calibri" w:hAnsi="Calibri" w:eastAsia="宋体" w:cs="Times New Roman"/>
      <w:kern w:val="0"/>
      <w:sz w:val="21"/>
    </w:rPr>
  </w:style>
  <w:style w:type="paragraph" w:styleId="48">
    <w:name w:val="Body Text First Indent 2"/>
    <w:basedOn w:val="22"/>
    <w:link w:val="59"/>
    <w:qFormat/>
    <w:uiPriority w:val="0"/>
    <w:pPr>
      <w:ind w:firstLine="420" w:firstLineChars="200"/>
    </w:pPr>
    <w:rPr>
      <w:rFonts w:ascii="宋体" w:hAnsi="Courier New" w:eastAsiaTheme="minorEastAsia" w:cstheme="minorBidi"/>
      <w:spacing w:val="-4"/>
    </w:rPr>
  </w:style>
  <w:style w:type="table" w:styleId="50">
    <w:name w:val="Table Grid"/>
    <w:basedOn w:val="4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20"/>
    <w:rPr>
      <w:i/>
      <w:iCs/>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正文文本缩进 Char3"/>
    <w:basedOn w:val="51"/>
    <w:link w:val="22"/>
    <w:qFormat/>
    <w:uiPriority w:val="99"/>
    <w:rPr>
      <w:rFonts w:ascii="Calibri" w:hAnsi="Calibri" w:eastAsia="宋体" w:cs="Times New Roman"/>
      <w:szCs w:val="24"/>
    </w:rPr>
  </w:style>
  <w:style w:type="character" w:customStyle="1" w:styleId="59">
    <w:name w:val="正文首行缩进 2 Char2"/>
    <w:link w:val="48"/>
    <w:qFormat/>
    <w:uiPriority w:val="0"/>
    <w:rPr>
      <w:rFonts w:ascii="宋体" w:hAnsi="Courier New"/>
      <w:spacing w:val="-4"/>
      <w:szCs w:val="24"/>
    </w:rPr>
  </w:style>
  <w:style w:type="character" w:customStyle="1" w:styleId="60">
    <w:name w:val="标题 1 Char1"/>
    <w:link w:val="3"/>
    <w:qFormat/>
    <w:uiPriority w:val="0"/>
    <w:rPr>
      <w:rFonts w:ascii="Calibri" w:hAnsi="Calibri" w:eastAsia="宋体" w:cs="Times New Roman"/>
      <w:b/>
      <w:bCs/>
      <w:kern w:val="44"/>
      <w:sz w:val="32"/>
      <w:szCs w:val="44"/>
      <w:lang w:val="zh-CN" w:eastAsia="zh-CN"/>
    </w:rPr>
  </w:style>
  <w:style w:type="character" w:customStyle="1" w:styleId="61">
    <w:name w:val="标题 2 Char2"/>
    <w:link w:val="4"/>
    <w:qFormat/>
    <w:uiPriority w:val="9"/>
    <w:rPr>
      <w:rFonts w:ascii="Arial" w:hAnsi="Arial" w:eastAsia="黑体" w:cs="Times New Roman"/>
      <w:b/>
      <w:bCs/>
      <w:sz w:val="32"/>
      <w:szCs w:val="32"/>
      <w:lang w:val="zh-CN" w:eastAsia="zh-CN"/>
    </w:rPr>
  </w:style>
  <w:style w:type="character" w:customStyle="1" w:styleId="62">
    <w:name w:val="标题 3 Char1"/>
    <w:link w:val="5"/>
    <w:qFormat/>
    <w:uiPriority w:val="9"/>
    <w:rPr>
      <w:rFonts w:ascii="Calibri" w:hAnsi="Calibri" w:eastAsia="宋体" w:cs="Times New Roman"/>
      <w:b/>
      <w:bCs/>
      <w:sz w:val="32"/>
      <w:szCs w:val="32"/>
      <w:lang w:val="zh-CN" w:eastAsia="zh-CN"/>
    </w:rPr>
  </w:style>
  <w:style w:type="character" w:customStyle="1" w:styleId="63">
    <w:name w:val="标题 4 Char1"/>
    <w:link w:val="6"/>
    <w:qFormat/>
    <w:uiPriority w:val="0"/>
    <w:rPr>
      <w:rFonts w:ascii="Arial" w:hAnsi="Arial" w:eastAsia="黑体" w:cs="Times New Roman"/>
      <w:b/>
      <w:bCs/>
      <w:kern w:val="0"/>
      <w:sz w:val="28"/>
      <w:szCs w:val="28"/>
      <w:lang w:val="zh-CN" w:eastAsia="zh-CN"/>
    </w:rPr>
  </w:style>
  <w:style w:type="character" w:customStyle="1" w:styleId="64">
    <w:name w:val="标题 5 Char1"/>
    <w:link w:val="7"/>
    <w:qFormat/>
    <w:uiPriority w:val="0"/>
    <w:rPr>
      <w:rFonts w:ascii="楷体_GB2312" w:hAnsi="Calibri" w:eastAsia="楷体_GB2312" w:cs="Times New Roman"/>
      <w:b/>
      <w:bCs/>
      <w:kern w:val="0"/>
      <w:sz w:val="24"/>
      <w:szCs w:val="28"/>
      <w:lang w:val="zh-CN" w:eastAsia="zh-CN"/>
    </w:rPr>
  </w:style>
  <w:style w:type="character" w:customStyle="1" w:styleId="65">
    <w:name w:val="标题 6 Char1"/>
    <w:link w:val="8"/>
    <w:qFormat/>
    <w:uiPriority w:val="0"/>
    <w:rPr>
      <w:rFonts w:ascii="Calibri" w:hAnsi="Calibri" w:eastAsia="宋体" w:cs="Times New Roman"/>
      <w:kern w:val="0"/>
      <w:sz w:val="24"/>
      <w:szCs w:val="20"/>
      <w:lang w:val="zh-CN" w:eastAsia="zh-CN"/>
    </w:rPr>
  </w:style>
  <w:style w:type="character" w:customStyle="1" w:styleId="66">
    <w:name w:val="标题 7 Char1"/>
    <w:link w:val="9"/>
    <w:qFormat/>
    <w:uiPriority w:val="0"/>
    <w:rPr>
      <w:rFonts w:ascii="Calibri" w:hAnsi="Calibri" w:eastAsia="宋体" w:cs="Times New Roman"/>
      <w:kern w:val="0"/>
      <w:sz w:val="24"/>
      <w:szCs w:val="20"/>
      <w:lang w:val="zh-CN" w:eastAsia="zh-CN"/>
    </w:rPr>
  </w:style>
  <w:style w:type="character" w:customStyle="1" w:styleId="67">
    <w:name w:val="标题 8 Char1"/>
    <w:link w:val="10"/>
    <w:qFormat/>
    <w:uiPriority w:val="0"/>
    <w:rPr>
      <w:rFonts w:ascii="Calibri" w:hAnsi="Calibri" w:eastAsia="宋体" w:cs="Times New Roman"/>
      <w:kern w:val="0"/>
      <w:sz w:val="24"/>
      <w:szCs w:val="20"/>
      <w:lang w:val="zh-CN" w:eastAsia="zh-CN"/>
    </w:rPr>
  </w:style>
  <w:style w:type="character" w:customStyle="1" w:styleId="68">
    <w:name w:val="标题 9 Char1"/>
    <w:link w:val="11"/>
    <w:qFormat/>
    <w:uiPriority w:val="0"/>
    <w:rPr>
      <w:rFonts w:ascii="Calibri" w:hAnsi="Calibri" w:eastAsia="宋体" w:cs="Times New Roman"/>
      <w:kern w:val="0"/>
      <w:sz w:val="24"/>
      <w:szCs w:val="20"/>
      <w:lang w:val="zh-CN" w:eastAsia="zh-CN"/>
    </w:rPr>
  </w:style>
  <w:style w:type="character" w:customStyle="1" w:styleId="69">
    <w:name w:val="正文缩进 Char1"/>
    <w:link w:val="16"/>
    <w:qFormat/>
    <w:uiPriority w:val="0"/>
    <w:rPr>
      <w:rFonts w:eastAsia="宋体"/>
    </w:rPr>
  </w:style>
  <w:style w:type="character" w:customStyle="1" w:styleId="70">
    <w:name w:val="文档结构图 Char3"/>
    <w:link w:val="18"/>
    <w:qFormat/>
    <w:uiPriority w:val="0"/>
    <w:rPr>
      <w:rFonts w:ascii="宋体"/>
      <w:sz w:val="18"/>
      <w:szCs w:val="18"/>
    </w:rPr>
  </w:style>
  <w:style w:type="character" w:customStyle="1" w:styleId="71">
    <w:name w:val="批注文字 Char3"/>
    <w:basedOn w:val="51"/>
    <w:link w:val="19"/>
    <w:semiHidden/>
    <w:qFormat/>
    <w:uiPriority w:val="99"/>
    <w:rPr>
      <w:rFonts w:ascii="Calibri" w:hAnsi="Calibri" w:eastAsia="宋体" w:cs="Times New Roman"/>
      <w:szCs w:val="24"/>
    </w:rPr>
  </w:style>
  <w:style w:type="character" w:customStyle="1" w:styleId="72">
    <w:name w:val="正文文本 3 Char3"/>
    <w:link w:val="20"/>
    <w:qFormat/>
    <w:uiPriority w:val="0"/>
    <w:rPr>
      <w:rFonts w:hAnsi="宋体" w:eastAsia="仿宋_GB2312"/>
      <w:b/>
      <w:bCs/>
      <w:sz w:val="24"/>
    </w:rPr>
  </w:style>
  <w:style w:type="character" w:customStyle="1" w:styleId="73">
    <w:name w:val="正文文本 Char3"/>
    <w:link w:val="21"/>
    <w:qFormat/>
    <w:uiPriority w:val="0"/>
    <w:rPr>
      <w:sz w:val="28"/>
      <w:szCs w:val="24"/>
    </w:rPr>
  </w:style>
  <w:style w:type="character" w:customStyle="1" w:styleId="74">
    <w:name w:val="纯文本 Char5"/>
    <w:link w:val="28"/>
    <w:qFormat/>
    <w:uiPriority w:val="0"/>
    <w:rPr>
      <w:rFonts w:ascii="宋体" w:hAnsi="Courier New" w:eastAsia="宋体"/>
      <w:sz w:val="24"/>
      <w:szCs w:val="24"/>
    </w:rPr>
  </w:style>
  <w:style w:type="character" w:customStyle="1" w:styleId="75">
    <w:name w:val="日期 Char3"/>
    <w:link w:val="30"/>
    <w:qFormat/>
    <w:uiPriority w:val="0"/>
    <w:rPr>
      <w:rFonts w:eastAsia="楷体_GB2312"/>
      <w:sz w:val="32"/>
    </w:rPr>
  </w:style>
  <w:style w:type="character" w:customStyle="1" w:styleId="76">
    <w:name w:val="正文文本缩进 2 Char3"/>
    <w:link w:val="31"/>
    <w:qFormat/>
    <w:uiPriority w:val="0"/>
    <w:rPr>
      <w:rFonts w:ascii="仿宋_GB2312" w:hAnsi="宋体" w:cs="Arial"/>
      <w:b/>
      <w:bCs/>
      <w:color w:val="000000"/>
      <w:sz w:val="24"/>
      <w:szCs w:val="24"/>
    </w:rPr>
  </w:style>
  <w:style w:type="character" w:customStyle="1" w:styleId="77">
    <w:name w:val="批注框文本 Char3"/>
    <w:link w:val="32"/>
    <w:qFormat/>
    <w:locked/>
    <w:uiPriority w:val="99"/>
    <w:rPr>
      <w:sz w:val="18"/>
      <w:szCs w:val="18"/>
    </w:rPr>
  </w:style>
  <w:style w:type="character" w:customStyle="1" w:styleId="78">
    <w:name w:val="页脚 Char3"/>
    <w:link w:val="33"/>
    <w:qFormat/>
    <w:locked/>
    <w:uiPriority w:val="99"/>
    <w:rPr>
      <w:rFonts w:eastAsia="黑体"/>
      <w:snapToGrid w:val="0"/>
      <w:sz w:val="18"/>
      <w:szCs w:val="18"/>
    </w:rPr>
  </w:style>
  <w:style w:type="character" w:customStyle="1" w:styleId="79">
    <w:name w:val="页眉 Char3"/>
    <w:link w:val="34"/>
    <w:qFormat/>
    <w:uiPriority w:val="99"/>
    <w:rPr>
      <w:rFonts w:eastAsia="仿宋_GB2312"/>
      <w:sz w:val="18"/>
    </w:rPr>
  </w:style>
  <w:style w:type="character" w:customStyle="1" w:styleId="80">
    <w:name w:val="副标题 Char3"/>
    <w:link w:val="37"/>
    <w:qFormat/>
    <w:uiPriority w:val="0"/>
    <w:rPr>
      <w:rFonts w:ascii="Cambria" w:hAnsi="Cambria" w:cs="宋体"/>
      <w:bCs/>
      <w:kern w:val="28"/>
      <w:sz w:val="18"/>
      <w:szCs w:val="32"/>
    </w:rPr>
  </w:style>
  <w:style w:type="character" w:customStyle="1" w:styleId="81">
    <w:name w:val="正文文本缩进 3 Char3"/>
    <w:link w:val="40"/>
    <w:qFormat/>
    <w:uiPriority w:val="0"/>
    <w:rPr>
      <w:rFonts w:ascii="仿宋_GB2312" w:hAnsi="宋体" w:eastAsia="仿宋_GB2312"/>
      <w:color w:val="000000"/>
      <w:sz w:val="24"/>
      <w:szCs w:val="24"/>
    </w:rPr>
  </w:style>
  <w:style w:type="character" w:customStyle="1" w:styleId="82">
    <w:name w:val="正文文本 2 Char3"/>
    <w:link w:val="43"/>
    <w:qFormat/>
    <w:uiPriority w:val="0"/>
    <w:rPr>
      <w:rFonts w:ascii="宋体" w:hAnsi="宋体"/>
      <w:color w:val="000000"/>
      <w:sz w:val="24"/>
      <w:szCs w:val="24"/>
    </w:rPr>
  </w:style>
  <w:style w:type="character" w:customStyle="1" w:styleId="83">
    <w:name w:val="标题 Char4"/>
    <w:link w:val="45"/>
    <w:qFormat/>
    <w:uiPriority w:val="0"/>
    <w:rPr>
      <w:rFonts w:ascii="Calibri Light" w:hAnsi="Calibri Light"/>
      <w:b/>
      <w:bCs/>
      <w:sz w:val="32"/>
      <w:szCs w:val="32"/>
    </w:rPr>
  </w:style>
  <w:style w:type="character" w:customStyle="1" w:styleId="84">
    <w:name w:val="批注主题 Char4"/>
    <w:link w:val="46"/>
    <w:qFormat/>
    <w:uiPriority w:val="0"/>
    <w:rPr>
      <w:b/>
      <w:bCs/>
      <w:szCs w:val="24"/>
    </w:rPr>
  </w:style>
  <w:style w:type="character" w:customStyle="1" w:styleId="85">
    <w:name w:val="标题 1 Char"/>
    <w:basedOn w:val="51"/>
    <w:qFormat/>
    <w:uiPriority w:val="9"/>
    <w:rPr>
      <w:rFonts w:ascii="Calibri" w:hAnsi="Calibri" w:eastAsia="宋体" w:cs="Times New Roman"/>
      <w:b/>
      <w:bCs/>
      <w:kern w:val="44"/>
      <w:sz w:val="44"/>
      <w:szCs w:val="44"/>
    </w:rPr>
  </w:style>
  <w:style w:type="character" w:customStyle="1" w:styleId="86">
    <w:name w:val="标题 2 Char"/>
    <w:basedOn w:val="51"/>
    <w:qFormat/>
    <w:uiPriority w:val="9"/>
    <w:rPr>
      <w:rFonts w:asciiTheme="majorHAnsi" w:hAnsiTheme="majorHAnsi" w:eastAsiaTheme="majorEastAsia" w:cstheme="majorBidi"/>
      <w:b/>
      <w:bCs/>
      <w:sz w:val="32"/>
      <w:szCs w:val="32"/>
    </w:rPr>
  </w:style>
  <w:style w:type="character" w:customStyle="1" w:styleId="87">
    <w:name w:val="标题 3 Char"/>
    <w:basedOn w:val="51"/>
    <w:qFormat/>
    <w:uiPriority w:val="9"/>
    <w:rPr>
      <w:rFonts w:ascii="Calibri" w:hAnsi="Calibri" w:eastAsia="宋体" w:cs="Times New Roman"/>
      <w:b/>
      <w:bCs/>
      <w:sz w:val="32"/>
      <w:szCs w:val="32"/>
    </w:rPr>
  </w:style>
  <w:style w:type="character" w:customStyle="1" w:styleId="88">
    <w:name w:val="标题 4 Char"/>
    <w:basedOn w:val="51"/>
    <w:qFormat/>
    <w:uiPriority w:val="0"/>
    <w:rPr>
      <w:rFonts w:asciiTheme="majorHAnsi" w:hAnsiTheme="majorHAnsi" w:eastAsiaTheme="majorEastAsia" w:cstheme="majorBidi"/>
      <w:b/>
      <w:bCs/>
      <w:sz w:val="28"/>
      <w:szCs w:val="28"/>
    </w:rPr>
  </w:style>
  <w:style w:type="character" w:customStyle="1" w:styleId="89">
    <w:name w:val="标题 5 Char"/>
    <w:basedOn w:val="51"/>
    <w:qFormat/>
    <w:uiPriority w:val="0"/>
    <w:rPr>
      <w:rFonts w:ascii="Calibri" w:hAnsi="Calibri" w:eastAsia="宋体" w:cs="Times New Roman"/>
      <w:b/>
      <w:bCs/>
      <w:sz w:val="28"/>
      <w:szCs w:val="28"/>
    </w:rPr>
  </w:style>
  <w:style w:type="character" w:customStyle="1" w:styleId="90">
    <w:name w:val="标题 6 Char"/>
    <w:basedOn w:val="51"/>
    <w:qFormat/>
    <w:uiPriority w:val="0"/>
    <w:rPr>
      <w:rFonts w:asciiTheme="majorHAnsi" w:hAnsiTheme="majorHAnsi" w:eastAsiaTheme="majorEastAsia" w:cstheme="majorBidi"/>
      <w:b/>
      <w:bCs/>
      <w:sz w:val="24"/>
      <w:szCs w:val="24"/>
    </w:rPr>
  </w:style>
  <w:style w:type="character" w:customStyle="1" w:styleId="91">
    <w:name w:val="标题 7 Char"/>
    <w:basedOn w:val="51"/>
    <w:qFormat/>
    <w:uiPriority w:val="0"/>
    <w:rPr>
      <w:rFonts w:ascii="Calibri" w:hAnsi="Calibri" w:eastAsia="宋体" w:cs="Times New Roman"/>
      <w:b/>
      <w:bCs/>
      <w:sz w:val="24"/>
      <w:szCs w:val="24"/>
    </w:rPr>
  </w:style>
  <w:style w:type="character" w:customStyle="1" w:styleId="92">
    <w:name w:val="标题 8 Char"/>
    <w:basedOn w:val="51"/>
    <w:qFormat/>
    <w:uiPriority w:val="0"/>
    <w:rPr>
      <w:rFonts w:asciiTheme="majorHAnsi" w:hAnsiTheme="majorHAnsi" w:eastAsiaTheme="majorEastAsia" w:cstheme="majorBidi"/>
      <w:sz w:val="24"/>
      <w:szCs w:val="24"/>
    </w:rPr>
  </w:style>
  <w:style w:type="character" w:customStyle="1" w:styleId="93">
    <w:name w:val="标题 9 Char"/>
    <w:basedOn w:val="51"/>
    <w:qFormat/>
    <w:uiPriority w:val="0"/>
    <w:rPr>
      <w:rFonts w:asciiTheme="majorHAnsi" w:hAnsiTheme="majorHAnsi" w:eastAsiaTheme="majorEastAsia" w:cstheme="majorBidi"/>
      <w:szCs w:val="21"/>
    </w:rPr>
  </w:style>
  <w:style w:type="character" w:customStyle="1" w:styleId="94">
    <w:name w:val="纯文本 字符"/>
    <w:qFormat/>
    <w:uiPriority w:val="0"/>
    <w:rPr>
      <w:rFonts w:ascii="宋体" w:hAnsi="Courier New" w:eastAsia="宋体"/>
      <w:kern w:val="2"/>
      <w:sz w:val="21"/>
      <w:lang w:val="en-US" w:eastAsia="zh-CN" w:bidi="ar-SA"/>
    </w:rPr>
  </w:style>
  <w:style w:type="character" w:customStyle="1" w:styleId="95">
    <w:name w:val="列出段落 Char1"/>
    <w:link w:val="96"/>
    <w:qFormat/>
    <w:uiPriority w:val="34"/>
    <w:rPr>
      <w:rFonts w:ascii="Calibri" w:hAnsi="Calibri"/>
      <w:sz w:val="24"/>
    </w:rPr>
  </w:style>
  <w:style w:type="paragraph" w:styleId="96">
    <w:name w:val="List Paragraph"/>
    <w:basedOn w:val="1"/>
    <w:link w:val="95"/>
    <w:qFormat/>
    <w:uiPriority w:val="34"/>
    <w:pPr>
      <w:spacing w:line="360" w:lineRule="auto"/>
      <w:ind w:firstLine="420" w:firstLineChars="200"/>
    </w:pPr>
    <w:rPr>
      <w:rFonts w:eastAsiaTheme="minorEastAsia" w:cstheme="minorBidi"/>
      <w:sz w:val="24"/>
      <w:szCs w:val="22"/>
    </w:rPr>
  </w:style>
  <w:style w:type="character" w:customStyle="1" w:styleId="97">
    <w:name w:val="日期 Char1"/>
    <w:qFormat/>
    <w:uiPriority w:val="0"/>
    <w:rPr>
      <w:kern w:val="2"/>
      <w:sz w:val="21"/>
      <w:szCs w:val="24"/>
    </w:rPr>
  </w:style>
  <w:style w:type="character" w:customStyle="1" w:styleId="98">
    <w:name w:val="正文文本 Char1"/>
    <w:qFormat/>
    <w:uiPriority w:val="0"/>
    <w:rPr>
      <w:kern w:val="2"/>
      <w:sz w:val="21"/>
      <w:szCs w:val="24"/>
    </w:rPr>
  </w:style>
  <w:style w:type="character" w:customStyle="1" w:styleId="99">
    <w:name w:val="para1"/>
    <w:qFormat/>
    <w:uiPriority w:val="99"/>
    <w:rPr>
      <w:rFonts w:hint="default" w:ascii="Arial" w:hAnsi="Arial" w:cs="Arial"/>
      <w:sz w:val="18"/>
      <w:szCs w:val="18"/>
    </w:rPr>
  </w:style>
  <w:style w:type="character" w:customStyle="1" w:styleId="100">
    <w:name w:val="页脚 Char"/>
    <w:qFormat/>
    <w:locked/>
    <w:uiPriority w:val="99"/>
    <w:rPr>
      <w:rFonts w:eastAsia="黑体"/>
      <w:snapToGrid w:val="0"/>
      <w:sz w:val="18"/>
      <w:szCs w:val="18"/>
    </w:rPr>
  </w:style>
  <w:style w:type="character" w:customStyle="1" w:styleId="101">
    <w:name w:val="font31"/>
    <w:qFormat/>
    <w:uiPriority w:val="0"/>
    <w:rPr>
      <w:rFonts w:hint="default" w:ascii="Times New Roman" w:hAnsi="Times New Roman" w:cs="Times New Roman"/>
      <w:b/>
      <w:color w:val="000000"/>
      <w:sz w:val="24"/>
      <w:szCs w:val="24"/>
      <w:u w:val="none"/>
    </w:rPr>
  </w:style>
  <w:style w:type="character" w:customStyle="1" w:styleId="102">
    <w:name w:val="font91"/>
    <w:qFormat/>
    <w:uiPriority w:val="0"/>
    <w:rPr>
      <w:rFonts w:hint="eastAsia" w:ascii="宋体" w:hAnsi="宋体" w:eastAsia="宋体" w:cs="宋体"/>
      <w:b/>
      <w:color w:val="000000"/>
      <w:sz w:val="24"/>
      <w:szCs w:val="24"/>
      <w:u w:val="none"/>
    </w:rPr>
  </w:style>
  <w:style w:type="character" w:customStyle="1" w:styleId="103">
    <w:name w:val="文档结构图 Char1"/>
    <w:semiHidden/>
    <w:qFormat/>
    <w:uiPriority w:val="99"/>
    <w:rPr>
      <w:rFonts w:hint="eastAsia" w:ascii="宋体" w:hAnsi="宋体" w:eastAsia="宋体"/>
      <w:kern w:val="2"/>
      <w:sz w:val="18"/>
      <w:szCs w:val="18"/>
    </w:rPr>
  </w:style>
  <w:style w:type="character" w:customStyle="1" w:styleId="104">
    <w:name w:val="正文2 Char Char"/>
    <w:qFormat/>
    <w:uiPriority w:val="0"/>
    <w:rPr>
      <w:rFonts w:hint="default" w:ascii="Times New Roman" w:hAnsi="Times New Roman" w:cs="Times New Roman"/>
      <w:kern w:val="2"/>
      <w:sz w:val="24"/>
    </w:rPr>
  </w:style>
  <w:style w:type="character" w:customStyle="1" w:styleId="105">
    <w:name w:val="批注主题 Char"/>
    <w:qFormat/>
    <w:uiPriority w:val="0"/>
    <w:rPr>
      <w:b/>
      <w:bCs/>
      <w:kern w:val="2"/>
      <w:sz w:val="21"/>
      <w:szCs w:val="24"/>
    </w:rPr>
  </w:style>
  <w:style w:type="character" w:customStyle="1" w:styleId="106">
    <w:name w:val="正文文本缩进 2 Char1"/>
    <w:qFormat/>
    <w:uiPriority w:val="0"/>
    <w:rPr>
      <w:kern w:val="2"/>
      <w:sz w:val="21"/>
      <w:szCs w:val="24"/>
    </w:rPr>
  </w:style>
  <w:style w:type="character" w:customStyle="1" w:styleId="107">
    <w:name w:val="huei12b1"/>
    <w:qFormat/>
    <w:uiPriority w:val="0"/>
    <w:rPr>
      <w:b/>
      <w:bCs/>
      <w:color w:val="333333"/>
      <w:sz w:val="20"/>
      <w:szCs w:val="20"/>
    </w:rPr>
  </w:style>
  <w:style w:type="character" w:customStyle="1" w:styleId="108">
    <w:name w:val="标题 3 字符1"/>
    <w:qFormat/>
    <w:uiPriority w:val="0"/>
    <w:rPr>
      <w:b/>
      <w:bCs/>
      <w:kern w:val="2"/>
      <w:sz w:val="32"/>
      <w:szCs w:val="32"/>
    </w:rPr>
  </w:style>
  <w:style w:type="character" w:customStyle="1" w:styleId="109">
    <w:name w:val="font61"/>
    <w:qFormat/>
    <w:uiPriority w:val="0"/>
    <w:rPr>
      <w:rFonts w:hint="default" w:ascii="Times New Roman" w:hAnsi="Times New Roman" w:cs="Times New Roman"/>
      <w:color w:val="000000"/>
      <w:sz w:val="24"/>
      <w:szCs w:val="24"/>
      <w:u w:val="none"/>
    </w:rPr>
  </w:style>
  <w:style w:type="character" w:customStyle="1" w:styleId="110">
    <w:name w:val="font81"/>
    <w:qFormat/>
    <w:uiPriority w:val="0"/>
    <w:rPr>
      <w:rFonts w:hint="default" w:ascii="Times New Roman" w:hAnsi="Times New Roman" w:cs="Times New Roman"/>
      <w:b/>
      <w:color w:val="000000"/>
      <w:sz w:val="24"/>
      <w:szCs w:val="24"/>
      <w:u w:val="none"/>
    </w:rPr>
  </w:style>
  <w:style w:type="character" w:customStyle="1" w:styleId="111">
    <w:name w:val="纯文本 字符1"/>
    <w:qFormat/>
    <w:uiPriority w:val="0"/>
    <w:rPr>
      <w:rFonts w:ascii="宋体" w:hAnsi="Courier New" w:eastAsia="宋体"/>
      <w:kern w:val="2"/>
      <w:sz w:val="24"/>
      <w:szCs w:val="24"/>
      <w:lang w:val="en-US" w:eastAsia="zh-CN" w:bidi="ar-SA"/>
    </w:rPr>
  </w:style>
  <w:style w:type="character" w:customStyle="1" w:styleId="112">
    <w:name w:val="font41"/>
    <w:qFormat/>
    <w:uiPriority w:val="0"/>
    <w:rPr>
      <w:rFonts w:ascii="Arial" w:hAnsi="Arial" w:cs="Arial"/>
      <w:color w:val="333333"/>
      <w:sz w:val="18"/>
      <w:szCs w:val="18"/>
      <w:u w:val="none"/>
    </w:rPr>
  </w:style>
  <w:style w:type="character" w:customStyle="1" w:styleId="113">
    <w:name w:val="标题 Char"/>
    <w:qFormat/>
    <w:uiPriority w:val="0"/>
    <w:rPr>
      <w:rFonts w:ascii="Cambria" w:hAnsi="Cambria" w:cs="Times New Roman"/>
      <w:b/>
      <w:bCs/>
      <w:kern w:val="2"/>
      <w:sz w:val="32"/>
      <w:szCs w:val="32"/>
    </w:rPr>
  </w:style>
  <w:style w:type="character" w:customStyle="1" w:styleId="114">
    <w:name w:val="页脚 Char1"/>
    <w:semiHidden/>
    <w:qFormat/>
    <w:uiPriority w:val="99"/>
    <w:rPr>
      <w:kern w:val="2"/>
      <w:sz w:val="18"/>
      <w:szCs w:val="18"/>
    </w:rPr>
  </w:style>
  <w:style w:type="character" w:customStyle="1" w:styleId="115">
    <w:name w:val="无"/>
    <w:qFormat/>
    <w:uiPriority w:val="0"/>
  </w:style>
  <w:style w:type="character" w:customStyle="1" w:styleId="116">
    <w:name w:val="标题 Char1"/>
    <w:qFormat/>
    <w:uiPriority w:val="10"/>
    <w:rPr>
      <w:rFonts w:ascii="Cambria" w:hAnsi="Cambria" w:cs="Times New Roman"/>
      <w:b/>
      <w:bCs/>
      <w:kern w:val="2"/>
      <w:sz w:val="32"/>
      <w:szCs w:val="32"/>
    </w:rPr>
  </w:style>
  <w:style w:type="character" w:customStyle="1" w:styleId="117">
    <w:name w:val="纯文本 Char2"/>
    <w:qFormat/>
    <w:uiPriority w:val="0"/>
    <w:rPr>
      <w:rFonts w:hint="eastAsia" w:ascii="宋体" w:hAnsi="Courier New" w:eastAsia="宋体" w:cs="Courier New"/>
      <w:kern w:val="2"/>
      <w:sz w:val="21"/>
      <w:szCs w:val="21"/>
    </w:rPr>
  </w:style>
  <w:style w:type="character" w:customStyle="1" w:styleId="118">
    <w:name w:val="批注主题 Char2"/>
    <w:qFormat/>
    <w:uiPriority w:val="0"/>
    <w:rPr>
      <w:b/>
      <w:bCs/>
      <w:kern w:val="2"/>
      <w:sz w:val="21"/>
      <w:szCs w:val="24"/>
    </w:rPr>
  </w:style>
  <w:style w:type="character" w:customStyle="1" w:styleId="119">
    <w:name w:val="列出段落 Char"/>
    <w:qFormat/>
    <w:uiPriority w:val="34"/>
    <w:rPr>
      <w:rFonts w:ascii="Calibri" w:hAnsi="Calibri"/>
      <w:kern w:val="2"/>
      <w:sz w:val="24"/>
      <w:szCs w:val="22"/>
    </w:rPr>
  </w:style>
  <w:style w:type="character" w:customStyle="1" w:styleId="120">
    <w:name w:val="批注主题 Char1"/>
    <w:qFormat/>
    <w:uiPriority w:val="0"/>
    <w:rPr>
      <w:b/>
      <w:bCs/>
      <w:kern w:val="2"/>
      <w:sz w:val="21"/>
      <w:szCs w:val="24"/>
    </w:rPr>
  </w:style>
  <w:style w:type="character" w:customStyle="1" w:styleId="121">
    <w:name w:val="批注文字 Char1"/>
    <w:qFormat/>
    <w:uiPriority w:val="0"/>
    <w:rPr>
      <w:kern w:val="2"/>
      <w:sz w:val="21"/>
      <w:szCs w:val="24"/>
    </w:rPr>
  </w:style>
  <w:style w:type="character" w:customStyle="1" w:styleId="122">
    <w:name w:val="段落行文 Char"/>
    <w:link w:val="123"/>
    <w:qFormat/>
    <w:locked/>
    <w:uiPriority w:val="0"/>
    <w:rPr>
      <w:rFonts w:ascii="仿宋_GB2312" w:eastAsia="仿宋_GB2312"/>
      <w:sz w:val="24"/>
      <w:szCs w:val="24"/>
    </w:rPr>
  </w:style>
  <w:style w:type="paragraph" w:customStyle="1" w:styleId="123">
    <w:name w:val="段落行文"/>
    <w:basedOn w:val="1"/>
    <w:link w:val="122"/>
    <w:qFormat/>
    <w:uiPriority w:val="0"/>
    <w:pPr>
      <w:adjustRightInd w:val="0"/>
      <w:snapToGrid w:val="0"/>
      <w:spacing w:line="480" w:lineRule="auto"/>
      <w:ind w:firstLine="480" w:firstLineChars="200"/>
    </w:pPr>
    <w:rPr>
      <w:rFonts w:ascii="仿宋_GB2312" w:eastAsia="仿宋_GB2312" w:hAnsiTheme="minorHAnsi" w:cstheme="minorBidi"/>
      <w:sz w:val="24"/>
    </w:rPr>
  </w:style>
  <w:style w:type="character" w:customStyle="1" w:styleId="124">
    <w:name w:val="标题 Char2"/>
    <w:qFormat/>
    <w:uiPriority w:val="0"/>
    <w:rPr>
      <w:rFonts w:ascii="Calibri Light" w:hAnsi="Calibri Light"/>
      <w:b/>
      <w:bCs/>
      <w:kern w:val="2"/>
      <w:sz w:val="32"/>
      <w:szCs w:val="32"/>
    </w:rPr>
  </w:style>
  <w:style w:type="character" w:customStyle="1" w:styleId="125">
    <w:name w:val="未处理的提及1"/>
    <w:unhideWhenUsed/>
    <w:qFormat/>
    <w:uiPriority w:val="99"/>
    <w:rPr>
      <w:color w:val="605E5C"/>
      <w:shd w:val="clear" w:color="auto" w:fill="E1DFDD"/>
    </w:rPr>
  </w:style>
  <w:style w:type="character" w:customStyle="1" w:styleId="126">
    <w:name w:val="Char Char"/>
    <w:qFormat/>
    <w:uiPriority w:val="0"/>
    <w:rPr>
      <w:rFonts w:ascii="宋体" w:hAnsi="Courier New" w:eastAsia="楷体_GB2312"/>
      <w:kern w:val="2"/>
      <w:sz w:val="26"/>
      <w:lang w:val="en-US" w:eastAsia="zh-CN" w:bidi="ar-SA"/>
    </w:rPr>
  </w:style>
  <w:style w:type="character" w:customStyle="1" w:styleId="127">
    <w:name w:val="font11"/>
    <w:qFormat/>
    <w:uiPriority w:val="0"/>
    <w:rPr>
      <w:rFonts w:hint="eastAsia" w:ascii="宋体" w:hAnsi="宋体" w:eastAsia="宋体" w:cs="宋体"/>
      <w:color w:val="000000"/>
      <w:sz w:val="24"/>
      <w:szCs w:val="24"/>
      <w:u w:val="none"/>
    </w:rPr>
  </w:style>
  <w:style w:type="character" w:customStyle="1" w:styleId="128">
    <w:name w:val="批注文字 Char"/>
    <w:qFormat/>
    <w:uiPriority w:val="0"/>
    <w:rPr>
      <w:kern w:val="2"/>
      <w:sz w:val="21"/>
      <w:szCs w:val="24"/>
    </w:rPr>
  </w:style>
  <w:style w:type="character" w:customStyle="1" w:styleId="129">
    <w:name w:val="正文文本缩进 3 Char"/>
    <w:qFormat/>
    <w:uiPriority w:val="0"/>
    <w:rPr>
      <w:rFonts w:ascii="仿宋_GB2312" w:hAnsi="宋体" w:eastAsia="仿宋_GB2312"/>
      <w:color w:val="000000"/>
      <w:kern w:val="2"/>
      <w:sz w:val="24"/>
      <w:szCs w:val="24"/>
    </w:rPr>
  </w:style>
  <w:style w:type="character" w:customStyle="1" w:styleId="130">
    <w:name w:val="正文文本缩进 Char1"/>
    <w:qFormat/>
    <w:uiPriority w:val="99"/>
    <w:rPr>
      <w:kern w:val="2"/>
      <w:sz w:val="21"/>
      <w:szCs w:val="24"/>
    </w:rPr>
  </w:style>
  <w:style w:type="character" w:customStyle="1" w:styleId="131">
    <w:name w:val="无间隔 Char"/>
    <w:link w:val="132"/>
    <w:qFormat/>
    <w:locked/>
    <w:uiPriority w:val="1"/>
    <w:rPr>
      <w:rFonts w:ascii="楷体_GB2312" w:eastAsia="楷体_GB2312"/>
      <w:sz w:val="24"/>
    </w:rPr>
  </w:style>
  <w:style w:type="paragraph" w:customStyle="1" w:styleId="132">
    <w:name w:val="无间隔11"/>
    <w:link w:val="131"/>
    <w:qFormat/>
    <w:uiPriority w:val="1"/>
    <w:pPr>
      <w:widowControl w:val="0"/>
      <w:jc w:val="both"/>
    </w:pPr>
    <w:rPr>
      <w:rFonts w:ascii="楷体_GB2312" w:eastAsia="楷体_GB2312" w:hAnsiTheme="minorHAnsi" w:cstheme="minorBidi"/>
      <w:kern w:val="2"/>
      <w:sz w:val="24"/>
      <w:szCs w:val="22"/>
      <w:lang w:val="en-US" w:eastAsia="zh-CN" w:bidi="ar-SA"/>
    </w:rPr>
  </w:style>
  <w:style w:type="character" w:customStyle="1" w:styleId="133">
    <w:name w:val="正文文本缩进 字符"/>
    <w:qFormat/>
    <w:uiPriority w:val="0"/>
    <w:rPr>
      <w:rFonts w:ascii="宋体" w:hAnsi="Courier New"/>
      <w:spacing w:val="-4"/>
      <w:kern w:val="2"/>
      <w:sz w:val="18"/>
    </w:rPr>
  </w:style>
  <w:style w:type="character" w:customStyle="1" w:styleId="134">
    <w:name w:val="正文文本 2 Char"/>
    <w:qFormat/>
    <w:uiPriority w:val="0"/>
    <w:rPr>
      <w:rFonts w:ascii="宋体" w:hAnsi="宋体"/>
      <w:color w:val="000000"/>
      <w:kern w:val="2"/>
      <w:sz w:val="24"/>
      <w:szCs w:val="24"/>
    </w:rPr>
  </w:style>
  <w:style w:type="character" w:customStyle="1" w:styleId="135">
    <w:name w:val="纯文本 Char Char Char2"/>
    <w:qFormat/>
    <w:locked/>
    <w:uiPriority w:val="0"/>
    <w:rPr>
      <w:rFonts w:ascii="宋体" w:hAnsi="Courier New" w:eastAsia="宋体"/>
      <w:kern w:val="2"/>
      <w:sz w:val="21"/>
      <w:szCs w:val="20"/>
      <w:lang w:val="en-US" w:eastAsia="zh-CN" w:bidi="ar-SA"/>
    </w:rPr>
  </w:style>
  <w:style w:type="character" w:customStyle="1" w:styleId="136">
    <w:name w:val="正文首行缩进 2 Char"/>
    <w:qFormat/>
    <w:uiPriority w:val="0"/>
    <w:rPr>
      <w:rFonts w:ascii="宋体" w:hAnsi="Courier New"/>
      <w:spacing w:val="-4"/>
      <w:kern w:val="2"/>
      <w:sz w:val="21"/>
      <w:szCs w:val="24"/>
    </w:rPr>
  </w:style>
  <w:style w:type="character" w:customStyle="1" w:styleId="137">
    <w:name w:val="正文文本 3 Char1"/>
    <w:qFormat/>
    <w:uiPriority w:val="0"/>
    <w:rPr>
      <w:kern w:val="2"/>
      <w:sz w:val="16"/>
      <w:szCs w:val="16"/>
    </w:rPr>
  </w:style>
  <w:style w:type="character" w:customStyle="1" w:styleId="138">
    <w:name w:val="正文文本缩进 Char2"/>
    <w:qFormat/>
    <w:uiPriority w:val="0"/>
    <w:rPr>
      <w:rFonts w:ascii="宋体" w:hAnsi="Courier New"/>
      <w:spacing w:val="-4"/>
      <w:kern w:val="2"/>
      <w:sz w:val="18"/>
    </w:rPr>
  </w:style>
  <w:style w:type="character" w:customStyle="1" w:styleId="139">
    <w:name w:val="页眉 Char1"/>
    <w:semiHidden/>
    <w:qFormat/>
    <w:uiPriority w:val="99"/>
    <w:rPr>
      <w:kern w:val="2"/>
      <w:sz w:val="18"/>
      <w:szCs w:val="18"/>
    </w:rPr>
  </w:style>
  <w:style w:type="character" w:customStyle="1" w:styleId="140">
    <w:name w:val="页眉 Char"/>
    <w:qFormat/>
    <w:uiPriority w:val="99"/>
    <w:rPr>
      <w:rFonts w:eastAsia="仿宋_GB2312"/>
      <w:kern w:val="2"/>
      <w:sz w:val="18"/>
    </w:rPr>
  </w:style>
  <w:style w:type="character" w:customStyle="1" w:styleId="141">
    <w:name w:val="font21"/>
    <w:qFormat/>
    <w:uiPriority w:val="0"/>
    <w:rPr>
      <w:rFonts w:ascii="Arial" w:hAnsi="Arial" w:cs="Arial"/>
      <w:color w:val="333333"/>
      <w:sz w:val="18"/>
      <w:szCs w:val="18"/>
      <w:u w:val="none"/>
    </w:rPr>
  </w:style>
  <w:style w:type="character" w:customStyle="1" w:styleId="142">
    <w:name w:val="正文文本 3 Char"/>
    <w:qFormat/>
    <w:uiPriority w:val="0"/>
    <w:rPr>
      <w:rFonts w:hAnsi="宋体" w:eastAsia="仿宋_GB2312"/>
      <w:b/>
      <w:bCs/>
      <w:kern w:val="2"/>
      <w:sz w:val="24"/>
    </w:rPr>
  </w:style>
  <w:style w:type="character" w:customStyle="1" w:styleId="143">
    <w:name w:val="文档结构图 Char"/>
    <w:qFormat/>
    <w:uiPriority w:val="0"/>
    <w:rPr>
      <w:rFonts w:ascii="宋体"/>
      <w:kern w:val="2"/>
      <w:sz w:val="18"/>
      <w:szCs w:val="18"/>
    </w:rPr>
  </w:style>
  <w:style w:type="character" w:customStyle="1" w:styleId="144">
    <w:name w:val="纯文本 Char"/>
    <w:qFormat/>
    <w:uiPriority w:val="99"/>
    <w:rPr>
      <w:rFonts w:ascii="宋体" w:hAnsi="Courier New" w:eastAsia="宋体"/>
      <w:kern w:val="2"/>
      <w:sz w:val="24"/>
      <w:szCs w:val="24"/>
      <w:lang w:val="en-US" w:eastAsia="zh-CN" w:bidi="ar-SA"/>
    </w:rPr>
  </w:style>
  <w:style w:type="character" w:customStyle="1" w:styleId="145">
    <w:name w:val="批注框文本 Char"/>
    <w:qFormat/>
    <w:locked/>
    <w:uiPriority w:val="99"/>
    <w:rPr>
      <w:kern w:val="2"/>
      <w:sz w:val="18"/>
      <w:szCs w:val="18"/>
    </w:rPr>
  </w:style>
  <w:style w:type="character" w:customStyle="1" w:styleId="146">
    <w:name w:val="纯文本 Char1_0"/>
    <w:link w:val="147"/>
    <w:qFormat/>
    <w:uiPriority w:val="0"/>
    <w:rPr>
      <w:rFonts w:ascii="宋体" w:hAnsi="Courier New"/>
    </w:rPr>
  </w:style>
  <w:style w:type="paragraph" w:customStyle="1" w:styleId="147">
    <w:name w:val="纯文本_0"/>
    <w:basedOn w:val="1"/>
    <w:link w:val="146"/>
    <w:qFormat/>
    <w:uiPriority w:val="0"/>
    <w:rPr>
      <w:rFonts w:ascii="宋体" w:hAnsi="Courier New" w:eastAsiaTheme="minorEastAsia" w:cstheme="minorBidi"/>
      <w:szCs w:val="22"/>
    </w:rPr>
  </w:style>
  <w:style w:type="character" w:customStyle="1" w:styleId="148">
    <w:name w:val="apple-converted-space"/>
    <w:qFormat/>
    <w:uiPriority w:val="0"/>
  </w:style>
  <w:style w:type="character" w:customStyle="1" w:styleId="149">
    <w:name w:val="正文文本缩进 Char"/>
    <w:qFormat/>
    <w:uiPriority w:val="99"/>
    <w:rPr>
      <w:rFonts w:ascii="宋体" w:hAnsi="Courier New"/>
      <w:spacing w:val="-4"/>
      <w:kern w:val="2"/>
      <w:sz w:val="18"/>
    </w:rPr>
  </w:style>
  <w:style w:type="character" w:customStyle="1" w:styleId="150">
    <w:name w:val="批注文字 字符"/>
    <w:qFormat/>
    <w:uiPriority w:val="0"/>
    <w:rPr>
      <w:kern w:val="2"/>
      <w:sz w:val="21"/>
    </w:rPr>
  </w:style>
  <w:style w:type="character" w:customStyle="1" w:styleId="151">
    <w:name w:val="标题 2 Char1"/>
    <w:qFormat/>
    <w:uiPriority w:val="0"/>
    <w:rPr>
      <w:rFonts w:ascii="Arial" w:hAnsi="Arial" w:eastAsia="黑体"/>
      <w:b/>
      <w:bCs/>
      <w:kern w:val="2"/>
      <w:sz w:val="32"/>
      <w:szCs w:val="32"/>
    </w:rPr>
  </w:style>
  <w:style w:type="character" w:customStyle="1" w:styleId="152">
    <w:name w:val="gheadertext1"/>
    <w:qFormat/>
    <w:uiPriority w:val="0"/>
    <w:rPr>
      <w:rFonts w:hint="default" w:ascii="Arial" w:hAnsi="Arial" w:cs="Arial"/>
      <w:b/>
      <w:bCs/>
      <w:color w:val="005E00"/>
      <w:sz w:val="26"/>
      <w:szCs w:val="26"/>
    </w:rPr>
  </w:style>
  <w:style w:type="character" w:customStyle="1" w:styleId="153">
    <w:name w:val="纯文本 Char3"/>
    <w:qFormat/>
    <w:uiPriority w:val="0"/>
    <w:rPr>
      <w:rFonts w:ascii="宋体" w:hAnsi="Courier New" w:eastAsia="宋体"/>
      <w:kern w:val="2"/>
      <w:sz w:val="24"/>
      <w:szCs w:val="24"/>
      <w:lang w:val="en-US" w:eastAsia="zh-CN" w:bidi="ar-SA"/>
    </w:rPr>
  </w:style>
  <w:style w:type="character" w:customStyle="1" w:styleId="154">
    <w:name w:val="正文文本 Char"/>
    <w:qFormat/>
    <w:uiPriority w:val="0"/>
    <w:rPr>
      <w:kern w:val="2"/>
      <w:sz w:val="28"/>
      <w:szCs w:val="24"/>
    </w:rPr>
  </w:style>
  <w:style w:type="character" w:customStyle="1" w:styleId="155">
    <w:name w:val="副标题 Char1"/>
    <w:qFormat/>
    <w:uiPriority w:val="0"/>
    <w:rPr>
      <w:rFonts w:hint="default" w:ascii="Cambria" w:hAnsi="Cambria" w:cs="Times New Roman"/>
      <w:b/>
      <w:bCs/>
      <w:kern w:val="28"/>
      <w:sz w:val="32"/>
      <w:szCs w:val="32"/>
    </w:rPr>
  </w:style>
  <w:style w:type="character" w:customStyle="1" w:styleId="156">
    <w:name w:val="font121"/>
    <w:qFormat/>
    <w:uiPriority w:val="0"/>
    <w:rPr>
      <w:rFonts w:hint="eastAsia" w:ascii="宋体" w:hAnsi="宋体" w:eastAsia="宋体" w:cs="宋体"/>
      <w:color w:val="FF0000"/>
      <w:sz w:val="20"/>
      <w:szCs w:val="20"/>
      <w:u w:val="none"/>
    </w:rPr>
  </w:style>
  <w:style w:type="character" w:customStyle="1" w:styleId="157">
    <w:name w:val="unnamed1"/>
    <w:basedOn w:val="51"/>
    <w:qFormat/>
    <w:uiPriority w:val="0"/>
  </w:style>
  <w:style w:type="character" w:customStyle="1" w:styleId="158">
    <w:name w:val="正文2 Char"/>
    <w:link w:val="159"/>
    <w:qFormat/>
    <w:locked/>
    <w:uiPriority w:val="0"/>
    <w:rPr>
      <w:sz w:val="24"/>
    </w:rPr>
  </w:style>
  <w:style w:type="paragraph" w:customStyle="1" w:styleId="159">
    <w:name w:val="正文2"/>
    <w:basedOn w:val="1"/>
    <w:link w:val="158"/>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60">
    <w:name w:val="正文文本缩进 2 Char"/>
    <w:qFormat/>
    <w:uiPriority w:val="0"/>
    <w:rPr>
      <w:rFonts w:ascii="仿宋_GB2312" w:hAnsi="宋体" w:cs="Arial"/>
      <w:b/>
      <w:bCs/>
      <w:color w:val="000000"/>
      <w:kern w:val="2"/>
      <w:sz w:val="24"/>
      <w:szCs w:val="24"/>
    </w:rPr>
  </w:style>
  <w:style w:type="character" w:customStyle="1" w:styleId="161">
    <w:name w:val="正文文本 Char Char"/>
    <w:qFormat/>
    <w:uiPriority w:val="0"/>
    <w:rPr>
      <w:kern w:val="2"/>
      <w:sz w:val="28"/>
      <w:szCs w:val="24"/>
    </w:rPr>
  </w:style>
  <w:style w:type="character" w:customStyle="1" w:styleId="162">
    <w:name w:val="标准正文格式 Char Char"/>
    <w:link w:val="163"/>
    <w:qFormat/>
    <w:uiPriority w:val="0"/>
    <w:rPr>
      <w:rFonts w:ascii="宋体" w:eastAsia="仿宋_GB2312" w:cs="宋体"/>
      <w:color w:val="000000"/>
      <w:sz w:val="24"/>
    </w:rPr>
  </w:style>
  <w:style w:type="paragraph" w:customStyle="1" w:styleId="163">
    <w:name w:val="标准正文格式"/>
    <w:basedOn w:val="1"/>
    <w:link w:val="16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szCs w:val="22"/>
    </w:rPr>
  </w:style>
  <w:style w:type="character" w:customStyle="1" w:styleId="164">
    <w:name w:val="font51"/>
    <w:qFormat/>
    <w:uiPriority w:val="0"/>
    <w:rPr>
      <w:rFonts w:ascii="Arial" w:hAnsi="Arial" w:cs="Arial"/>
      <w:color w:val="333333"/>
      <w:sz w:val="18"/>
      <w:szCs w:val="18"/>
      <w:u w:val="none"/>
    </w:rPr>
  </w:style>
  <w:style w:type="character" w:customStyle="1" w:styleId="165">
    <w:name w:val="标书正文 Char Char"/>
    <w:link w:val="166"/>
    <w:qFormat/>
    <w:uiPriority w:val="0"/>
    <w:rPr>
      <w:color w:val="000000"/>
      <w:sz w:val="24"/>
    </w:rPr>
  </w:style>
  <w:style w:type="paragraph" w:customStyle="1" w:styleId="166">
    <w:name w:val="标书正文"/>
    <w:basedOn w:val="1"/>
    <w:link w:val="165"/>
    <w:qFormat/>
    <w:uiPriority w:val="0"/>
    <w:pPr>
      <w:spacing w:line="360" w:lineRule="auto"/>
      <w:ind w:firstLine="200" w:firstLineChars="200"/>
      <w:jc w:val="left"/>
    </w:pPr>
    <w:rPr>
      <w:rFonts w:asciiTheme="minorHAnsi" w:hAnsiTheme="minorHAnsi" w:eastAsiaTheme="minorEastAsia" w:cstheme="minorBidi"/>
      <w:color w:val="000000"/>
      <w:sz w:val="24"/>
      <w:szCs w:val="22"/>
    </w:rPr>
  </w:style>
  <w:style w:type="character" w:customStyle="1" w:styleId="167">
    <w:name w:val="c lh15"/>
    <w:qFormat/>
    <w:uiPriority w:val="0"/>
    <w:rPr>
      <w:sz w:val="28"/>
      <w:szCs w:val="20"/>
    </w:rPr>
  </w:style>
  <w:style w:type="character" w:customStyle="1" w:styleId="168">
    <w:name w:val="style1"/>
    <w:qFormat/>
    <w:uiPriority w:val="0"/>
    <w:rPr>
      <w:sz w:val="28"/>
      <w:szCs w:val="20"/>
    </w:rPr>
  </w:style>
  <w:style w:type="character" w:customStyle="1" w:styleId="169">
    <w:name w:val="批注框文本 Char1"/>
    <w:semiHidden/>
    <w:qFormat/>
    <w:uiPriority w:val="99"/>
    <w:rPr>
      <w:kern w:val="2"/>
      <w:sz w:val="18"/>
      <w:szCs w:val="18"/>
    </w:rPr>
  </w:style>
  <w:style w:type="character" w:customStyle="1" w:styleId="170">
    <w:name w:val="lineb1"/>
    <w:qFormat/>
    <w:uiPriority w:val="0"/>
  </w:style>
  <w:style w:type="character" w:customStyle="1" w:styleId="171">
    <w:name w:val="zbggmain style9"/>
    <w:basedOn w:val="51"/>
    <w:qFormat/>
    <w:uiPriority w:val="0"/>
  </w:style>
  <w:style w:type="character" w:customStyle="1" w:styleId="172">
    <w:name w:val="正文文本 2 Char1"/>
    <w:qFormat/>
    <w:uiPriority w:val="0"/>
    <w:rPr>
      <w:kern w:val="2"/>
      <w:sz w:val="21"/>
      <w:szCs w:val="24"/>
    </w:rPr>
  </w:style>
  <w:style w:type="character" w:customStyle="1" w:styleId="173">
    <w:name w:val="font71"/>
    <w:qFormat/>
    <w:uiPriority w:val="0"/>
    <w:rPr>
      <w:rFonts w:hint="default" w:ascii="Times New Roman" w:hAnsi="Times New Roman" w:cs="Times New Roman"/>
      <w:color w:val="000000"/>
      <w:sz w:val="24"/>
      <w:szCs w:val="24"/>
      <w:u w:val="none"/>
    </w:rPr>
  </w:style>
  <w:style w:type="character" w:customStyle="1" w:styleId="174">
    <w:name w:val="书籍标题1"/>
    <w:qFormat/>
    <w:uiPriority w:val="33"/>
    <w:rPr>
      <w:rFonts w:eastAsia="Songti SC Regular"/>
      <w:bCs/>
      <w:smallCaps/>
      <w:spacing w:val="5"/>
      <w:sz w:val="32"/>
    </w:rPr>
  </w:style>
  <w:style w:type="character" w:customStyle="1" w:styleId="175">
    <w:name w:val="副标题 Char"/>
    <w:qFormat/>
    <w:uiPriority w:val="0"/>
    <w:rPr>
      <w:rFonts w:ascii="Cambria" w:hAnsi="Cambria" w:cs="宋体"/>
      <w:bCs/>
      <w:kern w:val="28"/>
      <w:sz w:val="18"/>
      <w:szCs w:val="32"/>
    </w:rPr>
  </w:style>
  <w:style w:type="character" w:customStyle="1" w:styleId="176">
    <w:name w:val="正文缩进 字符1"/>
    <w:qFormat/>
    <w:uiPriority w:val="0"/>
    <w:rPr>
      <w:rFonts w:eastAsia="宋体"/>
      <w:kern w:val="2"/>
      <w:sz w:val="21"/>
      <w:lang w:val="en-US" w:eastAsia="zh-CN" w:bidi="ar-SA"/>
    </w:rPr>
  </w:style>
  <w:style w:type="character" w:customStyle="1" w:styleId="177">
    <w:name w:val="apple-style-span"/>
    <w:qFormat/>
    <w:uiPriority w:val="0"/>
  </w:style>
  <w:style w:type="character" w:customStyle="1" w:styleId="178">
    <w:name w:val="正文文本缩进 3 Char1"/>
    <w:qFormat/>
    <w:uiPriority w:val="0"/>
    <w:rPr>
      <w:kern w:val="2"/>
      <w:sz w:val="16"/>
      <w:szCs w:val="16"/>
    </w:rPr>
  </w:style>
  <w:style w:type="character" w:customStyle="1" w:styleId="179">
    <w:name w:val="正文文本缩进 字符1"/>
    <w:qFormat/>
    <w:uiPriority w:val="0"/>
    <w:rPr>
      <w:rFonts w:ascii="宋体" w:hAnsi="Courier New"/>
      <w:spacing w:val="-4"/>
      <w:kern w:val="2"/>
      <w:sz w:val="18"/>
    </w:rPr>
  </w:style>
  <w:style w:type="character" w:customStyle="1" w:styleId="180">
    <w:name w:val="font112"/>
    <w:qFormat/>
    <w:uiPriority w:val="0"/>
    <w:rPr>
      <w:rFonts w:hint="eastAsia" w:ascii="宋体" w:hAnsi="宋体" w:eastAsia="宋体" w:cs="宋体"/>
      <w:color w:val="000000"/>
      <w:sz w:val="20"/>
      <w:szCs w:val="20"/>
      <w:u w:val="none"/>
    </w:rPr>
  </w:style>
  <w:style w:type="character" w:customStyle="1" w:styleId="181">
    <w:name w:val="表正文 Char"/>
    <w:qFormat/>
    <w:uiPriority w:val="0"/>
    <w:rPr>
      <w:rFonts w:eastAsia="宋体"/>
      <w:kern w:val="2"/>
      <w:sz w:val="21"/>
      <w:lang w:val="en-US" w:eastAsia="zh-CN" w:bidi="ar-SA"/>
    </w:rPr>
  </w:style>
  <w:style w:type="character" w:customStyle="1" w:styleId="182">
    <w:name w:val="标题 1 Char Char"/>
    <w:qFormat/>
    <w:uiPriority w:val="0"/>
    <w:rPr>
      <w:rFonts w:eastAsia="宋体"/>
      <w:b/>
      <w:spacing w:val="-2"/>
      <w:sz w:val="24"/>
      <w:lang w:val="en-US" w:eastAsia="zh-CN" w:bidi="ar-SA"/>
    </w:rPr>
  </w:style>
  <w:style w:type="character" w:customStyle="1" w:styleId="183">
    <w:name w:val="style8"/>
    <w:qFormat/>
    <w:uiPriority w:val="0"/>
    <w:rPr>
      <w:sz w:val="28"/>
      <w:szCs w:val="20"/>
    </w:rPr>
  </w:style>
  <w:style w:type="character" w:customStyle="1" w:styleId="184">
    <w:name w:val="日期 Char"/>
    <w:qFormat/>
    <w:uiPriority w:val="0"/>
    <w:rPr>
      <w:rFonts w:eastAsia="楷体_GB2312"/>
      <w:kern w:val="2"/>
      <w:sz w:val="32"/>
    </w:rPr>
  </w:style>
  <w:style w:type="character" w:customStyle="1" w:styleId="185">
    <w:name w:val="正文缩进 Char"/>
    <w:qFormat/>
    <w:uiPriority w:val="0"/>
    <w:rPr>
      <w:rFonts w:eastAsia="宋体"/>
      <w:kern w:val="2"/>
      <w:sz w:val="21"/>
      <w:lang w:val="en-US" w:eastAsia="zh-CN" w:bidi="ar-SA"/>
    </w:rPr>
  </w:style>
  <w:style w:type="character" w:customStyle="1" w:styleId="186">
    <w:name w:val="批注文字 Char2"/>
    <w:qFormat/>
    <w:uiPriority w:val="0"/>
    <w:rPr>
      <w:kern w:val="2"/>
      <w:sz w:val="21"/>
    </w:rPr>
  </w:style>
  <w:style w:type="character" w:customStyle="1" w:styleId="187">
    <w:name w:val="论文正文样式 Char Char"/>
    <w:link w:val="188"/>
    <w:qFormat/>
    <w:locked/>
    <w:uiPriority w:val="0"/>
    <w:rPr>
      <w:szCs w:val="21"/>
    </w:rPr>
  </w:style>
  <w:style w:type="paragraph" w:customStyle="1" w:styleId="188">
    <w:name w:val="论文正文样式"/>
    <w:basedOn w:val="1"/>
    <w:link w:val="187"/>
    <w:qFormat/>
    <w:uiPriority w:val="0"/>
    <w:pPr>
      <w:spacing w:line="360" w:lineRule="auto"/>
    </w:pPr>
    <w:rPr>
      <w:rFonts w:asciiTheme="minorHAnsi" w:hAnsiTheme="minorHAnsi" w:eastAsiaTheme="minorEastAsia" w:cstheme="minorBidi"/>
      <w:szCs w:val="21"/>
    </w:rPr>
  </w:style>
  <w:style w:type="character" w:customStyle="1" w:styleId="189">
    <w:name w:val="纯文本 Char1"/>
    <w:qFormat/>
    <w:uiPriority w:val="0"/>
    <w:rPr>
      <w:rFonts w:ascii="宋体" w:hAnsi="Courier New" w:eastAsia="宋体"/>
      <w:kern w:val="2"/>
      <w:sz w:val="24"/>
      <w:szCs w:val="24"/>
      <w:lang w:val="en-US" w:eastAsia="zh-CN" w:bidi="ar-SA"/>
    </w:rPr>
  </w:style>
  <w:style w:type="character" w:customStyle="1" w:styleId="190">
    <w:name w:val="font01"/>
    <w:qFormat/>
    <w:uiPriority w:val="0"/>
    <w:rPr>
      <w:rFonts w:hint="eastAsia" w:ascii="宋体" w:hAnsi="宋体" w:eastAsia="宋体" w:cs="宋体"/>
      <w:b/>
      <w:color w:val="000000"/>
      <w:sz w:val="24"/>
      <w:szCs w:val="24"/>
      <w:u w:val="none"/>
    </w:rPr>
  </w:style>
  <w:style w:type="character" w:customStyle="1" w:styleId="191">
    <w:name w:val="论文正文样式 Char"/>
    <w:qFormat/>
    <w:uiPriority w:val="0"/>
    <w:rPr>
      <w:rFonts w:hint="default" w:ascii="Times New Roman" w:hAnsi="Times New Roman" w:cs="Times New Roman"/>
      <w:kern w:val="2"/>
      <w:sz w:val="21"/>
      <w:szCs w:val="21"/>
    </w:rPr>
  </w:style>
  <w:style w:type="character" w:customStyle="1" w:styleId="192">
    <w:name w:val="书籍标题111"/>
    <w:qFormat/>
    <w:uiPriority w:val="33"/>
    <w:rPr>
      <w:rFonts w:eastAsia="Songti SC Regular"/>
      <w:bCs/>
      <w:smallCaps/>
      <w:spacing w:val="5"/>
      <w:sz w:val="32"/>
    </w:rPr>
  </w:style>
  <w:style w:type="paragraph" w:customStyle="1" w:styleId="19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195">
    <w:name w:val="Default"/>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196">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97">
    <w:name w:val="列出段落2"/>
    <w:basedOn w:val="1"/>
    <w:qFormat/>
    <w:uiPriority w:val="0"/>
    <w:pPr>
      <w:ind w:firstLine="420" w:firstLineChars="200"/>
    </w:pPr>
    <w:rPr>
      <w:rFonts w:cs="宋体"/>
      <w:sz w:val="24"/>
      <w:szCs w:val="22"/>
    </w:rPr>
  </w:style>
  <w:style w:type="paragraph" w:customStyle="1" w:styleId="19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199">
    <w:name w:val="正文首行缩进 2 Char1"/>
    <w:basedOn w:val="58"/>
    <w:qFormat/>
    <w:uiPriority w:val="0"/>
    <w:rPr>
      <w:rFonts w:ascii="Calibri" w:hAnsi="Calibri" w:eastAsia="宋体" w:cs="Times New Roman"/>
      <w:szCs w:val="24"/>
    </w:rPr>
  </w:style>
  <w:style w:type="paragraph" w:customStyle="1" w:styleId="20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2">
    <w:name w:val="font7"/>
    <w:basedOn w:val="1"/>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03">
    <w:name w:val="批注主题 Char3"/>
    <w:basedOn w:val="71"/>
    <w:semiHidden/>
    <w:qFormat/>
    <w:uiPriority w:val="99"/>
    <w:rPr>
      <w:rFonts w:ascii="Calibri" w:hAnsi="Calibri" w:eastAsia="宋体" w:cs="Times New Roman"/>
      <w:b/>
      <w:bCs/>
      <w:szCs w:val="24"/>
    </w:rPr>
  </w:style>
  <w:style w:type="paragraph" w:styleId="204">
    <w:name w:val="No Spacing"/>
    <w:qFormat/>
    <w:uiPriority w:val="1"/>
    <w:rPr>
      <w:rFonts w:ascii="Calibri" w:hAnsi="Calibri" w:eastAsia="宋体" w:cs="宋体"/>
      <w:sz w:val="22"/>
      <w:szCs w:val="22"/>
      <w:lang w:val="en-US" w:eastAsia="zh-CN" w:bidi="ar-SA"/>
    </w:rPr>
  </w:style>
  <w:style w:type="paragraph" w:customStyle="1" w:styleId="20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06">
    <w:name w:val="正文文本 Char2"/>
    <w:basedOn w:val="51"/>
    <w:semiHidden/>
    <w:qFormat/>
    <w:uiPriority w:val="99"/>
    <w:rPr>
      <w:rFonts w:ascii="Calibri" w:hAnsi="Calibri" w:eastAsia="宋体" w:cs="Times New Roman"/>
      <w:szCs w:val="24"/>
    </w:rPr>
  </w:style>
  <w:style w:type="paragraph" w:customStyle="1" w:styleId="20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08">
    <w:name w:val="正文文本缩进 3 Char2"/>
    <w:basedOn w:val="51"/>
    <w:semiHidden/>
    <w:qFormat/>
    <w:uiPriority w:val="99"/>
    <w:rPr>
      <w:rFonts w:ascii="Calibri" w:hAnsi="Calibri" w:eastAsia="宋体" w:cs="Times New Roman"/>
      <w:sz w:val="16"/>
      <w:szCs w:val="16"/>
    </w:rPr>
  </w:style>
  <w:style w:type="paragraph" w:customStyle="1" w:styleId="209">
    <w:name w:val="Char Char Char Char"/>
    <w:basedOn w:val="1"/>
    <w:qFormat/>
    <w:uiPriority w:val="99"/>
    <w:pPr>
      <w:widowControl/>
      <w:jc w:val="left"/>
    </w:pPr>
    <w:rPr>
      <w:rFonts w:cs="宋体"/>
      <w:kern w:val="0"/>
      <w:sz w:val="24"/>
    </w:rPr>
  </w:style>
  <w:style w:type="paragraph" w:customStyle="1" w:styleId="210">
    <w:name w:val="Char Char Char Char Char Char Char1"/>
    <w:basedOn w:val="1"/>
    <w:qFormat/>
    <w:uiPriority w:val="0"/>
    <w:rPr>
      <w:rFonts w:ascii="Arial" w:hAnsi="Arial" w:cs="Arial"/>
      <w:szCs w:val="21"/>
    </w:rPr>
  </w:style>
  <w:style w:type="paragraph" w:customStyle="1" w:styleId="21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2">
    <w:name w:val="样式1"/>
    <w:basedOn w:val="1"/>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1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4">
    <w:name w:val="正文缩进1"/>
    <w:basedOn w:val="1"/>
    <w:next w:val="22"/>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15">
    <w:name w:val="批注框文本 Char2"/>
    <w:basedOn w:val="51"/>
    <w:semiHidden/>
    <w:qFormat/>
    <w:uiPriority w:val="99"/>
    <w:rPr>
      <w:rFonts w:ascii="Calibri" w:hAnsi="Calibri" w:eastAsia="宋体" w:cs="Times New Roman"/>
      <w:sz w:val="18"/>
      <w:szCs w:val="18"/>
    </w:rPr>
  </w:style>
  <w:style w:type="paragraph" w:customStyle="1" w:styleId="216">
    <w:name w:val="xl11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18">
    <w:name w:val="文档结构图 Char2"/>
    <w:basedOn w:val="51"/>
    <w:semiHidden/>
    <w:qFormat/>
    <w:uiPriority w:val="99"/>
    <w:rPr>
      <w:rFonts w:ascii="宋体" w:hAnsi="Calibri" w:eastAsia="宋体" w:cs="Times New Roman"/>
      <w:sz w:val="18"/>
      <w:szCs w:val="18"/>
    </w:rPr>
  </w:style>
  <w:style w:type="character" w:customStyle="1" w:styleId="219">
    <w:name w:val="日期 Char2"/>
    <w:basedOn w:val="51"/>
    <w:semiHidden/>
    <w:qFormat/>
    <w:uiPriority w:val="99"/>
    <w:rPr>
      <w:rFonts w:ascii="Calibri" w:hAnsi="Calibri" w:eastAsia="宋体" w:cs="Times New Roman"/>
      <w:szCs w:val="24"/>
    </w:rPr>
  </w:style>
  <w:style w:type="paragraph" w:customStyle="1" w:styleId="220">
    <w:name w:val="Char Char12"/>
    <w:basedOn w:val="1"/>
    <w:qFormat/>
    <w:uiPriority w:val="0"/>
    <w:rPr>
      <w:szCs w:val="21"/>
    </w:rPr>
  </w:style>
  <w:style w:type="paragraph" w:customStyle="1" w:styleId="221">
    <w:name w:val="Char2"/>
    <w:basedOn w:val="1"/>
    <w:qFormat/>
    <w:uiPriority w:val="0"/>
    <w:pPr>
      <w:numPr>
        <w:ilvl w:val="0"/>
        <w:numId w:val="3"/>
      </w:numPr>
      <w:tabs>
        <w:tab w:val="left" w:pos="1200"/>
        <w:tab w:val="clear" w:pos="420"/>
      </w:tabs>
    </w:pPr>
    <w:rPr>
      <w:rFonts w:cs="宋体"/>
      <w:sz w:val="24"/>
    </w:rPr>
  </w:style>
  <w:style w:type="paragraph" w:customStyle="1" w:styleId="222">
    <w:name w:val="XH BodyTextV1"/>
    <w:basedOn w:val="1"/>
    <w:qFormat/>
    <w:uiPriority w:val="0"/>
    <w:pPr>
      <w:spacing w:after="120" w:line="288" w:lineRule="auto"/>
      <w:jc w:val="left"/>
    </w:pPr>
    <w:rPr>
      <w:rFonts w:cs="宋体"/>
      <w:b/>
      <w:color w:val="FF0000"/>
      <w:sz w:val="24"/>
      <w:szCs w:val="22"/>
    </w:rPr>
  </w:style>
  <w:style w:type="character" w:customStyle="1" w:styleId="223">
    <w:name w:val="正文文本 3 Char2"/>
    <w:basedOn w:val="51"/>
    <w:semiHidden/>
    <w:qFormat/>
    <w:uiPriority w:val="99"/>
    <w:rPr>
      <w:rFonts w:ascii="Calibri" w:hAnsi="Calibri" w:eastAsia="宋体" w:cs="Times New Roman"/>
      <w:sz w:val="16"/>
      <w:szCs w:val="16"/>
    </w:rPr>
  </w:style>
  <w:style w:type="paragraph" w:customStyle="1" w:styleId="224">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2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27">
    <w:name w:val="样式 仿宋_GB2312 五号 黑色 行距: 单倍行距"/>
    <w:basedOn w:val="1"/>
    <w:qFormat/>
    <w:uiPriority w:val="0"/>
    <w:pPr>
      <w:snapToGrid w:val="0"/>
    </w:pPr>
    <w:rPr>
      <w:rFonts w:ascii="仿宋_GB2312" w:eastAsia="仿宋_GB2312" w:cs="宋体"/>
      <w:color w:val="000000"/>
      <w:sz w:val="24"/>
      <w:szCs w:val="20"/>
    </w:rPr>
  </w:style>
  <w:style w:type="paragraph" w:customStyle="1" w:styleId="22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29">
    <w:name w:val="页眉 Char2"/>
    <w:basedOn w:val="51"/>
    <w:semiHidden/>
    <w:qFormat/>
    <w:uiPriority w:val="99"/>
    <w:rPr>
      <w:rFonts w:ascii="Calibri" w:hAnsi="Calibri" w:eastAsia="宋体" w:cs="Times New Roman"/>
      <w:sz w:val="18"/>
      <w:szCs w:val="18"/>
    </w:rPr>
  </w:style>
  <w:style w:type="paragraph" w:customStyle="1" w:styleId="23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1">
    <w:name w:val="Char Char Char Char Char Char"/>
    <w:basedOn w:val="1"/>
    <w:qFormat/>
    <w:uiPriority w:val="0"/>
    <w:pPr>
      <w:ind w:firstLine="200" w:firstLineChars="200"/>
    </w:pPr>
  </w:style>
  <w:style w:type="character" w:customStyle="1" w:styleId="232">
    <w:name w:val="页脚 Char2"/>
    <w:basedOn w:val="51"/>
    <w:semiHidden/>
    <w:qFormat/>
    <w:uiPriority w:val="99"/>
    <w:rPr>
      <w:rFonts w:ascii="Calibri" w:hAnsi="Calibri" w:eastAsia="宋体" w:cs="Times New Roman"/>
      <w:sz w:val="18"/>
      <w:szCs w:val="18"/>
    </w:rPr>
  </w:style>
  <w:style w:type="paragraph" w:customStyle="1" w:styleId="233">
    <w:name w:val="Table Text"/>
    <w:basedOn w:val="1"/>
    <w:qFormat/>
    <w:uiPriority w:val="0"/>
    <w:pPr>
      <w:topLinePunct/>
      <w:adjustRightInd w:val="0"/>
      <w:snapToGrid w:val="0"/>
      <w:spacing w:before="80" w:after="80" w:line="240" w:lineRule="atLeast"/>
      <w:jc w:val="left"/>
    </w:pPr>
    <w:rPr>
      <w:rFonts w:cs="Arial"/>
      <w:kern w:val="0"/>
      <w:sz w:val="24"/>
      <w:szCs w:val="21"/>
    </w:rPr>
  </w:style>
  <w:style w:type="character" w:customStyle="1" w:styleId="234">
    <w:name w:val="正文文本缩进 2 Char2"/>
    <w:basedOn w:val="51"/>
    <w:semiHidden/>
    <w:qFormat/>
    <w:uiPriority w:val="99"/>
    <w:rPr>
      <w:rFonts w:ascii="Calibri" w:hAnsi="Calibri" w:eastAsia="宋体" w:cs="Times New Roman"/>
      <w:szCs w:val="24"/>
    </w:rPr>
  </w:style>
  <w:style w:type="paragraph" w:customStyle="1" w:styleId="2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36">
    <w:name w:val="纯文本 Char4"/>
    <w:basedOn w:val="51"/>
    <w:qFormat/>
    <w:uiPriority w:val="0"/>
    <w:rPr>
      <w:rFonts w:ascii="宋体" w:hAnsi="Courier New" w:eastAsia="宋体" w:cs="Courier New"/>
      <w:szCs w:val="21"/>
    </w:rPr>
  </w:style>
  <w:style w:type="paragraph" w:customStyle="1" w:styleId="23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Char Char1 Char1"/>
    <w:basedOn w:val="1"/>
    <w:qFormat/>
    <w:uiPriority w:val="0"/>
    <w:pPr>
      <w:tabs>
        <w:tab w:val="left" w:pos="360"/>
      </w:tabs>
    </w:pPr>
    <w:rPr>
      <w:rFonts w:cs="宋体"/>
      <w:sz w:val="24"/>
    </w:rPr>
  </w:style>
  <w:style w:type="paragraph" w:customStyle="1" w:styleId="239">
    <w:name w:val="xl93"/>
    <w:basedOn w:val="1"/>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40">
    <w:name w:val="副标题 Char2"/>
    <w:basedOn w:val="51"/>
    <w:qFormat/>
    <w:uiPriority w:val="11"/>
    <w:rPr>
      <w:rFonts w:eastAsia="宋体" w:asciiTheme="majorHAnsi" w:hAnsiTheme="majorHAnsi" w:cstheme="majorBidi"/>
      <w:b/>
      <w:bCs/>
      <w:kern w:val="28"/>
      <w:sz w:val="32"/>
      <w:szCs w:val="32"/>
    </w:rPr>
  </w:style>
  <w:style w:type="paragraph" w:customStyle="1" w:styleId="24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2">
    <w:name w:val="样式 首行缩进:  2 字符 段后: 0.5 行"/>
    <w:basedOn w:val="1"/>
    <w:qFormat/>
    <w:uiPriority w:val="0"/>
    <w:pPr>
      <w:spacing w:line="360" w:lineRule="auto"/>
      <w:ind w:firstLine="480" w:firstLineChars="200"/>
    </w:pPr>
    <w:rPr>
      <w:rFonts w:ascii="宋体" w:hAnsi="宋体" w:cs="宋体"/>
      <w:sz w:val="24"/>
    </w:rPr>
  </w:style>
  <w:style w:type="character" w:customStyle="1" w:styleId="243">
    <w:name w:val="标题 Char3"/>
    <w:basedOn w:val="51"/>
    <w:qFormat/>
    <w:uiPriority w:val="10"/>
    <w:rPr>
      <w:rFonts w:eastAsia="宋体" w:asciiTheme="majorHAnsi" w:hAnsiTheme="majorHAnsi" w:cstheme="majorBidi"/>
      <w:b/>
      <w:bCs/>
      <w:sz w:val="32"/>
      <w:szCs w:val="32"/>
    </w:rPr>
  </w:style>
  <w:style w:type="paragraph" w:customStyle="1" w:styleId="244">
    <w:name w:val="正文段"/>
    <w:basedOn w:val="1"/>
    <w:qFormat/>
    <w:uiPriority w:val="0"/>
    <w:pPr>
      <w:widowControl/>
      <w:snapToGrid w:val="0"/>
      <w:spacing w:afterLines="50"/>
      <w:ind w:firstLine="200" w:firstLineChars="200"/>
    </w:pPr>
    <w:rPr>
      <w:kern w:val="0"/>
      <w:sz w:val="24"/>
      <w:szCs w:val="20"/>
    </w:rPr>
  </w:style>
  <w:style w:type="paragraph" w:customStyle="1" w:styleId="245">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6">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4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48">
    <w:name w:val="Char1"/>
    <w:basedOn w:val="1"/>
    <w:qFormat/>
    <w:uiPriority w:val="99"/>
    <w:rPr>
      <w:rFonts w:ascii="仿宋_GB2312" w:eastAsia="仿宋_GB2312"/>
      <w:b/>
      <w:sz w:val="32"/>
      <w:szCs w:val="32"/>
    </w:rPr>
  </w:style>
  <w:style w:type="paragraph" w:customStyle="1" w:styleId="2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50">
    <w:name w:val="正文文本 2 Char2"/>
    <w:basedOn w:val="51"/>
    <w:semiHidden/>
    <w:qFormat/>
    <w:uiPriority w:val="99"/>
    <w:rPr>
      <w:rFonts w:ascii="Calibri" w:hAnsi="Calibri" w:eastAsia="宋体" w:cs="Times New Roman"/>
      <w:szCs w:val="24"/>
    </w:rPr>
  </w:style>
  <w:style w:type="paragraph" w:customStyle="1" w:styleId="251">
    <w:name w:val="无间隔1"/>
    <w:qFormat/>
    <w:uiPriority w:val="0"/>
    <w:rPr>
      <w:rFonts w:ascii="Calibri" w:hAnsi="Calibri" w:eastAsia="宋体" w:cs="Times New Roman"/>
      <w:sz w:val="22"/>
      <w:szCs w:val="22"/>
      <w:lang w:val="en-US" w:eastAsia="zh-CN" w:bidi="ar-SA"/>
    </w:rPr>
  </w:style>
  <w:style w:type="paragraph" w:customStyle="1" w:styleId="25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5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55">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6">
    <w:name w:val="Char Char Char Char Char Char1"/>
    <w:basedOn w:val="1"/>
    <w:qFormat/>
    <w:uiPriority w:val="0"/>
    <w:pPr>
      <w:widowControl/>
      <w:spacing w:after="160" w:line="240" w:lineRule="exact"/>
      <w:jc w:val="left"/>
    </w:pPr>
    <w:rPr>
      <w:kern w:val="0"/>
      <w:szCs w:val="20"/>
    </w:rPr>
  </w:style>
  <w:style w:type="paragraph" w:customStyle="1" w:styleId="25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58">
    <w:name w:val="样式 标题4 + 首行缩进:  1.47 字符"/>
    <w:basedOn w:val="1"/>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2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2">
    <w:name w:val="段落样式"/>
    <w:basedOn w:val="1"/>
    <w:qFormat/>
    <w:uiPriority w:val="0"/>
    <w:pPr>
      <w:spacing w:line="360" w:lineRule="auto"/>
    </w:pPr>
    <w:rPr>
      <w:rFonts w:cs="宋体"/>
      <w:sz w:val="24"/>
      <w:szCs w:val="20"/>
    </w:rPr>
  </w:style>
  <w:style w:type="paragraph" w:customStyle="1" w:styleId="263">
    <w:name w:val="Char Char1 Char"/>
    <w:basedOn w:val="1"/>
    <w:qFormat/>
    <w:uiPriority w:val="0"/>
    <w:pPr>
      <w:tabs>
        <w:tab w:val="left" w:pos="360"/>
      </w:tabs>
    </w:pPr>
    <w:rPr>
      <w:rFonts w:cs="宋体"/>
      <w:sz w:val="24"/>
    </w:rPr>
  </w:style>
  <w:style w:type="paragraph" w:customStyle="1" w:styleId="26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5">
    <w:name w:val="列出段落1"/>
    <w:basedOn w:val="1"/>
    <w:qFormat/>
    <w:uiPriority w:val="99"/>
    <w:pPr>
      <w:ind w:firstLine="420" w:firstLineChars="200"/>
    </w:pPr>
    <w:rPr>
      <w:rFonts w:cs="宋体"/>
      <w:sz w:val="24"/>
      <w:szCs w:val="22"/>
    </w:rPr>
  </w:style>
  <w:style w:type="paragraph" w:customStyle="1" w:styleId="26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9">
    <w:name w:val="Char Char Char Char Char Char Char"/>
    <w:basedOn w:val="1"/>
    <w:qFormat/>
    <w:uiPriority w:val="0"/>
    <w:rPr>
      <w:rFonts w:cs="宋体"/>
      <w:sz w:val="24"/>
      <w:szCs w:val="21"/>
    </w:rPr>
  </w:style>
  <w:style w:type="paragraph" w:customStyle="1" w:styleId="270">
    <w:name w:val="Char Char Char Char1"/>
    <w:basedOn w:val="1"/>
    <w:qFormat/>
    <w:uiPriority w:val="0"/>
    <w:pPr>
      <w:widowControl/>
      <w:jc w:val="left"/>
    </w:pPr>
    <w:rPr>
      <w:rFonts w:cs="宋体"/>
      <w:kern w:val="0"/>
      <w:sz w:val="24"/>
    </w:rPr>
  </w:style>
  <w:style w:type="paragraph" w:customStyle="1" w:styleId="27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2">
    <w:name w:val="TOC 标题1"/>
    <w:basedOn w:val="3"/>
    <w:next w:val="1"/>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273">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7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6">
    <w:name w:val="列出段落11"/>
    <w:basedOn w:val="1"/>
    <w:qFormat/>
    <w:uiPriority w:val="0"/>
    <w:pPr>
      <w:ind w:firstLine="420" w:firstLineChars="200"/>
    </w:pPr>
    <w:rPr>
      <w:rFonts w:cs="宋体"/>
      <w:sz w:val="24"/>
    </w:rPr>
  </w:style>
  <w:style w:type="paragraph" w:customStyle="1" w:styleId="27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7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2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80">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81">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82">
    <w:name w:val="_Style 19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86">
    <w:name w:val="*正文"/>
    <w:basedOn w:val="1"/>
    <w:qFormat/>
    <w:uiPriority w:val="0"/>
    <w:pPr>
      <w:spacing w:line="360" w:lineRule="auto"/>
      <w:ind w:firstLine="480" w:firstLineChars="200"/>
    </w:pPr>
    <w:rPr>
      <w:rFonts w:cs="仿宋_GB2312"/>
      <w:sz w:val="24"/>
    </w:rPr>
  </w:style>
  <w:style w:type="paragraph" w:customStyle="1" w:styleId="28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8">
    <w:name w:val="Char Char2"/>
    <w:basedOn w:val="18"/>
    <w:semiHidden/>
    <w:qFormat/>
    <w:uiPriority w:val="0"/>
    <w:pPr>
      <w:shd w:val="clear" w:color="auto" w:fill="000080"/>
      <w:jc w:val="left"/>
    </w:pPr>
    <w:rPr>
      <w:rFonts w:ascii="Tahoma" w:hAnsi="Tahoma" w:cs="Tahoma"/>
      <w:kern w:val="0"/>
      <w:szCs w:val="24"/>
    </w:rPr>
  </w:style>
  <w:style w:type="paragraph" w:customStyle="1" w:styleId="28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1">
    <w:name w:val="font8"/>
    <w:basedOn w:val="1"/>
    <w:qFormat/>
    <w:uiPriority w:val="0"/>
    <w:pPr>
      <w:widowControl/>
      <w:spacing w:before="100" w:beforeAutospacing="1" w:after="100" w:afterAutospacing="1"/>
      <w:jc w:val="left"/>
    </w:pPr>
    <w:rPr>
      <w:rFonts w:cs="宋体"/>
      <w:color w:val="0000FF"/>
      <w:kern w:val="0"/>
      <w:sz w:val="20"/>
      <w:szCs w:val="20"/>
    </w:rPr>
  </w:style>
  <w:style w:type="paragraph" w:customStyle="1" w:styleId="292">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4">
    <w:name w:val="默认段落字体 Para Char Char Char Char Char Char Char Char Char1 Char Char Char Char"/>
    <w:basedOn w:val="1"/>
    <w:qFormat/>
    <w:uiPriority w:val="0"/>
    <w:rPr>
      <w:rFonts w:ascii="Tahoma" w:hAnsi="Tahoma"/>
      <w:sz w:val="24"/>
      <w:szCs w:val="20"/>
    </w:rPr>
  </w:style>
  <w:style w:type="paragraph" w:customStyle="1" w:styleId="29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96">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97">
    <w:name w:val="Char4"/>
    <w:basedOn w:val="1"/>
    <w:qFormat/>
    <w:uiPriority w:val="0"/>
    <w:rPr>
      <w:rFonts w:ascii="仿宋_GB2312" w:eastAsia="仿宋_GB2312" w:cs="宋体"/>
      <w:b/>
      <w:sz w:val="32"/>
      <w:szCs w:val="32"/>
    </w:rPr>
  </w:style>
  <w:style w:type="paragraph" w:customStyle="1" w:styleId="298">
    <w:name w:val="1"/>
    <w:basedOn w:val="3"/>
    <w:qFormat/>
    <w:uiPriority w:val="0"/>
    <w:pPr>
      <w:adjustRightInd w:val="0"/>
      <w:snapToGrid w:val="0"/>
      <w:spacing w:before="240" w:after="240" w:line="348" w:lineRule="auto"/>
    </w:pPr>
    <w:rPr>
      <w:rFonts w:cs="宋体"/>
    </w:rPr>
  </w:style>
  <w:style w:type="paragraph" w:customStyle="1" w:styleId="29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2">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303">
    <w:name w:val="1 Char Char Char Char"/>
    <w:basedOn w:val="1"/>
    <w:qFormat/>
    <w:uiPriority w:val="0"/>
    <w:rPr>
      <w:rFonts w:ascii="Tahoma" w:hAnsi="Tahoma"/>
      <w:sz w:val="24"/>
      <w:szCs w:val="20"/>
    </w:rPr>
  </w:style>
  <w:style w:type="paragraph" w:customStyle="1" w:styleId="304">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6">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7">
    <w:name w:val="字元 字元"/>
    <w:basedOn w:val="1"/>
    <w:qFormat/>
    <w:uiPriority w:val="0"/>
    <w:pPr>
      <w:widowControl/>
      <w:spacing w:after="160" w:line="240" w:lineRule="exact"/>
      <w:jc w:val="left"/>
    </w:pPr>
    <w:rPr>
      <w:rFonts w:cs="宋体"/>
      <w:sz w:val="28"/>
      <w:szCs w:val="20"/>
    </w:rPr>
  </w:style>
  <w:style w:type="paragraph" w:customStyle="1" w:styleId="308">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9">
    <w:name w:val="Char Char Char Char Char Char Char Char Char"/>
    <w:basedOn w:val="1"/>
    <w:qFormat/>
    <w:uiPriority w:val="0"/>
    <w:rPr>
      <w:rFonts w:cs="宋体"/>
    </w:rPr>
  </w:style>
  <w:style w:type="paragraph" w:customStyle="1" w:styleId="310">
    <w:name w:val="Char Char Char1 Char Char Char Char"/>
    <w:basedOn w:val="1"/>
    <w:qFormat/>
    <w:uiPriority w:val="0"/>
    <w:pPr>
      <w:widowControl/>
      <w:spacing w:after="160" w:line="240" w:lineRule="exact"/>
      <w:jc w:val="left"/>
    </w:pPr>
  </w:style>
  <w:style w:type="paragraph" w:customStyle="1" w:styleId="31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3">
    <w:name w:val="表格"/>
    <w:basedOn w:val="1"/>
    <w:qFormat/>
    <w:uiPriority w:val="0"/>
    <w:pPr>
      <w:spacing w:line="400" w:lineRule="exact"/>
    </w:pPr>
    <w:rPr>
      <w:rFonts w:cs="宋体"/>
      <w:sz w:val="24"/>
    </w:rPr>
  </w:style>
  <w:style w:type="paragraph" w:customStyle="1" w:styleId="314">
    <w:name w:val="纯文本1"/>
    <w:basedOn w:val="1"/>
    <w:qFormat/>
    <w:uiPriority w:val="0"/>
    <w:pPr>
      <w:adjustRightInd w:val="0"/>
      <w:textAlignment w:val="baseline"/>
    </w:pPr>
    <w:rPr>
      <w:rFonts w:ascii="宋体" w:hAnsi="Courier New" w:eastAsia="楷体_GB2312" w:cs="宋体"/>
      <w:sz w:val="26"/>
      <w:szCs w:val="20"/>
    </w:rPr>
  </w:style>
  <w:style w:type="paragraph" w:customStyle="1" w:styleId="315">
    <w:name w:val="正文－恩普"/>
    <w:basedOn w:val="16"/>
    <w:qFormat/>
    <w:uiPriority w:val="0"/>
    <w:pPr>
      <w:widowControl/>
      <w:spacing w:afterLines="50" w:line="360" w:lineRule="auto"/>
      <w:ind w:firstLine="480" w:firstLineChars="200"/>
      <w:jc w:val="left"/>
    </w:pPr>
    <w:rPr>
      <w:rFonts w:cs="宋体"/>
      <w:sz w:val="24"/>
    </w:rPr>
  </w:style>
  <w:style w:type="paragraph" w:customStyle="1" w:styleId="316">
    <w:name w:val="Char"/>
    <w:basedOn w:val="3"/>
    <w:qFormat/>
    <w:uiPriority w:val="0"/>
    <w:pPr>
      <w:adjustRightInd w:val="0"/>
      <w:snapToGrid w:val="0"/>
      <w:spacing w:before="240" w:after="240" w:line="348" w:lineRule="auto"/>
    </w:pPr>
  </w:style>
  <w:style w:type="paragraph" w:customStyle="1" w:styleId="317">
    <w:name w:val="Char21"/>
    <w:basedOn w:val="1"/>
    <w:qFormat/>
    <w:uiPriority w:val="0"/>
    <w:pPr>
      <w:tabs>
        <w:tab w:val="left" w:pos="360"/>
      </w:tabs>
      <w:ind w:left="360" w:hanging="360" w:hangingChars="200"/>
    </w:pPr>
    <w:rPr>
      <w:rFonts w:cs="宋体"/>
      <w:sz w:val="24"/>
    </w:rPr>
  </w:style>
  <w:style w:type="paragraph" w:customStyle="1" w:styleId="31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9">
    <w:name w:val="Char31"/>
    <w:basedOn w:val="1"/>
    <w:qFormat/>
    <w:uiPriority w:val="0"/>
    <w:pPr>
      <w:tabs>
        <w:tab w:val="left" w:pos="360"/>
      </w:tabs>
    </w:pPr>
  </w:style>
  <w:style w:type="paragraph" w:customStyle="1" w:styleId="3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2">
    <w:name w:val="_Style 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3">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324">
    <w:name w:val="列表内容"/>
    <w:basedOn w:val="1"/>
    <w:next w:val="1"/>
    <w:qFormat/>
    <w:uiPriority w:val="0"/>
    <w:pPr>
      <w:widowControl/>
      <w:numPr>
        <w:ilvl w:val="0"/>
        <w:numId w:val="4"/>
      </w:numPr>
      <w:jc w:val="left"/>
    </w:pPr>
    <w:rPr>
      <w:rFonts w:cs="宋体"/>
      <w:kern w:val="0"/>
      <w:sz w:val="18"/>
      <w:szCs w:val="20"/>
    </w:rPr>
  </w:style>
  <w:style w:type="paragraph" w:customStyle="1" w:styleId="32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26">
    <w:name w:val="默认段落字体 Para Char Char Char Char"/>
    <w:basedOn w:val="1"/>
    <w:qFormat/>
    <w:uiPriority w:val="0"/>
  </w:style>
  <w:style w:type="paragraph" w:customStyle="1" w:styleId="327">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0">
    <w:name w:val="标题6"/>
    <w:basedOn w:val="1"/>
    <w:next w:val="3"/>
    <w:qFormat/>
    <w:uiPriority w:val="0"/>
    <w:pPr>
      <w:widowControl/>
      <w:snapToGrid w:val="0"/>
      <w:spacing w:beforeLines="50" w:afterLines="50" w:line="520" w:lineRule="atLeast"/>
      <w:ind w:firstLine="200" w:firstLineChars="200"/>
    </w:pPr>
    <w:rPr>
      <w:rFonts w:cs="Arial"/>
      <w:b/>
      <w:sz w:val="24"/>
    </w:rPr>
  </w:style>
  <w:style w:type="paragraph" w:customStyle="1" w:styleId="331">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3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3">
    <w:name w:val="Char1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334">
    <w:name w:val="Char Char7 Char Char Char Char"/>
    <w:basedOn w:val="1"/>
    <w:qFormat/>
    <w:uiPriority w:val="0"/>
    <w:pPr>
      <w:spacing w:line="360" w:lineRule="auto"/>
      <w:ind w:firstLine="200" w:firstLineChars="200"/>
    </w:pPr>
    <w:rPr>
      <w:rFonts w:ascii="Tahoma" w:hAnsi="Tahoma" w:eastAsia="楷体_GB2312" w:cs="宋体"/>
      <w:sz w:val="24"/>
      <w:szCs w:val="20"/>
    </w:rPr>
  </w:style>
  <w:style w:type="paragraph" w:customStyle="1" w:styleId="335">
    <w:name w:val="正文3"/>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37">
    <w:name w:val="p19"/>
    <w:basedOn w:val="1"/>
    <w:qFormat/>
    <w:uiPriority w:val="0"/>
    <w:pPr>
      <w:widowControl/>
      <w:spacing w:line="300" w:lineRule="auto"/>
      <w:jc w:val="left"/>
    </w:pPr>
    <w:rPr>
      <w:rFonts w:ascii="Arial" w:hAnsi="Arial" w:cs="Arial"/>
      <w:kern w:val="0"/>
      <w:szCs w:val="21"/>
    </w:rPr>
  </w:style>
  <w:style w:type="paragraph" w:customStyle="1" w:styleId="338">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39">
    <w:name w:val="正文文字2"/>
    <w:basedOn w:val="21"/>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40">
    <w:name w:val="Char3"/>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41">
    <w:name w:val="样式 标题 3 + 小四 非加粗 段前: 0 磅 段后: 0 磅 行距: 单倍行距"/>
    <w:basedOn w:val="5"/>
    <w:qFormat/>
    <w:uiPriority w:val="0"/>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342">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5">
    <w:name w:val="Table Paragraph"/>
    <w:basedOn w:val="1"/>
    <w:qFormat/>
    <w:uiPriority w:val="1"/>
    <w:rPr>
      <w:rFonts w:ascii="宋体" w:hAnsi="宋体" w:cs="宋体"/>
      <w:sz w:val="24"/>
      <w:lang w:val="zh-CN" w:bidi="zh-CN"/>
    </w:rPr>
  </w:style>
  <w:style w:type="paragraph" w:customStyle="1" w:styleId="346">
    <w:name w:val="纯文本3"/>
    <w:basedOn w:val="1"/>
    <w:qFormat/>
    <w:uiPriority w:val="0"/>
    <w:pPr>
      <w:adjustRightInd w:val="0"/>
      <w:textAlignment w:val="baseline"/>
    </w:pPr>
    <w:rPr>
      <w:rFonts w:ascii="宋体" w:hAnsi="Courier New" w:eastAsia="楷体_GB2312"/>
      <w:sz w:val="26"/>
      <w:szCs w:val="20"/>
    </w:rPr>
  </w:style>
  <w:style w:type="paragraph" w:customStyle="1" w:styleId="347">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48">
    <w:name w:val="Char Char Char Char Char Char Char2"/>
    <w:basedOn w:val="1"/>
    <w:qFormat/>
    <w:uiPriority w:val="0"/>
    <w:rPr>
      <w:szCs w:val="21"/>
    </w:rPr>
  </w:style>
  <w:style w:type="paragraph" w:customStyle="1" w:styleId="349">
    <w:name w:val="Char Char Char Char Char Char Char Char Char Char"/>
    <w:basedOn w:val="1"/>
    <w:qFormat/>
    <w:uiPriority w:val="0"/>
    <w:pPr>
      <w:widowControl/>
      <w:spacing w:after="160" w:line="360" w:lineRule="auto"/>
      <w:jc w:val="left"/>
    </w:pPr>
    <w:rPr>
      <w:rFonts w:ascii="Verdana" w:hAnsi="Verdana" w:cs="Verdana"/>
      <w:kern w:val="0"/>
      <w:sz w:val="24"/>
      <w:szCs w:val="21"/>
      <w:lang w:eastAsia="en-US"/>
    </w:rPr>
  </w:style>
  <w:style w:type="table" w:customStyle="1" w:styleId="350">
    <w:name w:val="网格型1"/>
    <w:basedOn w:val="4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1">
    <w:name w:val="List Paragraph1"/>
    <w:basedOn w:val="1"/>
    <w:qFormat/>
    <w:uiPriority w:val="0"/>
    <w:pPr>
      <w:ind w:firstLine="420" w:firstLineChars="200"/>
    </w:pPr>
    <w:rPr>
      <w:szCs w:val="22"/>
    </w:rPr>
  </w:style>
  <w:style w:type="character" w:customStyle="1" w:styleId="352">
    <w:name w:val="NormalCharacter"/>
    <w:qFormat/>
    <w:uiPriority w:val="0"/>
  </w:style>
  <w:style w:type="paragraph" w:customStyle="1" w:styleId="353">
    <w:name w:val="TOC 标题3"/>
    <w:basedOn w:val="3"/>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54">
    <w:name w:val="fontstyle01"/>
    <w:basedOn w:val="51"/>
    <w:qFormat/>
    <w:uiPriority w:val="0"/>
    <w:rPr>
      <w:rFonts w:hint="eastAsia" w:ascii="宋体" w:hAnsi="宋体" w:eastAsia="宋体"/>
      <w:color w:val="000000"/>
      <w:sz w:val="24"/>
      <w:szCs w:val="24"/>
    </w:rPr>
  </w:style>
  <w:style w:type="character" w:customStyle="1" w:styleId="355">
    <w:name w:val="fontstyle11"/>
    <w:basedOn w:val="51"/>
    <w:qFormat/>
    <w:uiPriority w:val="0"/>
    <w:rPr>
      <w:rFonts w:hint="default" w:ascii="Arial" w:hAnsi="Arial" w:cs="Arial"/>
      <w:color w:val="000000"/>
      <w:sz w:val="24"/>
      <w:szCs w:val="24"/>
    </w:rPr>
  </w:style>
  <w:style w:type="character" w:customStyle="1" w:styleId="356">
    <w:name w:val="fontstyle31"/>
    <w:basedOn w:val="51"/>
    <w:qFormat/>
    <w:uiPriority w:val="0"/>
    <w:rPr>
      <w:rFonts w:hint="default" w:ascii="Times New Roman" w:hAnsi="Times New Roman" w:cs="Times New Roman"/>
      <w:color w:val="000000"/>
      <w:sz w:val="18"/>
      <w:szCs w:val="18"/>
    </w:rPr>
  </w:style>
  <w:style w:type="character" w:customStyle="1" w:styleId="357">
    <w:name w:val="列表 Char"/>
    <w:link w:val="38"/>
    <w:qFormat/>
    <w:uiPriority w:val="0"/>
    <w:rPr>
      <w:rFonts w:ascii="Calibri" w:hAnsi="Calibri"/>
      <w:kern w:val="2"/>
      <w:sz w:val="28"/>
      <w:szCs w:val="24"/>
    </w:rPr>
  </w:style>
  <w:style w:type="character" w:customStyle="1" w:styleId="358">
    <w:name w:val="书籍标题11"/>
    <w:qFormat/>
    <w:uiPriority w:val="33"/>
    <w:rPr>
      <w:rFonts w:eastAsia="Songti SC Regular"/>
      <w:bCs/>
      <w:smallCaps/>
      <w:spacing w:val="5"/>
      <w:sz w:val="32"/>
    </w:rPr>
  </w:style>
  <w:style w:type="character" w:customStyle="1" w:styleId="359">
    <w:name w:val="UserStyle_117"/>
    <w:link w:val="360"/>
    <w:qFormat/>
    <w:uiPriority w:val="0"/>
    <w:rPr>
      <w:rFonts w:ascii="宋体" w:hAnsi="Courier New"/>
      <w:sz w:val="24"/>
      <w:szCs w:val="24"/>
    </w:rPr>
  </w:style>
  <w:style w:type="paragraph" w:customStyle="1" w:styleId="360">
    <w:name w:val="PlainText"/>
    <w:basedOn w:val="1"/>
    <w:link w:val="359"/>
    <w:qFormat/>
    <w:uiPriority w:val="0"/>
    <w:pPr>
      <w:widowControl/>
      <w:spacing w:before="156" w:after="156" w:line="400" w:lineRule="exact"/>
      <w:textAlignment w:val="baseline"/>
    </w:pPr>
    <w:rPr>
      <w:rFonts w:ascii="宋体" w:hAnsi="Courier New"/>
      <w:kern w:val="0"/>
      <w:sz w:val="24"/>
    </w:rPr>
  </w:style>
  <w:style w:type="character" w:customStyle="1" w:styleId="361">
    <w:name w:val="Char Char7"/>
    <w:qFormat/>
    <w:uiPriority w:val="0"/>
    <w:rPr>
      <w:rFonts w:ascii="Times New Roman" w:hAnsi="Times New Roman" w:eastAsia="宋体" w:cs="Times New Roman"/>
      <w:szCs w:val="24"/>
    </w:rPr>
  </w:style>
  <w:style w:type="paragraph" w:customStyle="1" w:styleId="362">
    <w:name w:val="2"/>
    <w:qFormat/>
    <w:uiPriority w:val="0"/>
    <w:rPr>
      <w:rFonts w:ascii="Times New Roman" w:hAnsi="Times New Roman" w:eastAsia="宋体" w:cs="Times New Roman"/>
      <w:lang w:val="en-US" w:eastAsia="zh-CN" w:bidi="ar-SA"/>
    </w:rPr>
  </w:style>
  <w:style w:type="paragraph" w:customStyle="1" w:styleId="363">
    <w:name w:val="Char Char4"/>
    <w:basedOn w:val="1"/>
    <w:qFormat/>
    <w:uiPriority w:val="0"/>
    <w:pPr>
      <w:widowControl/>
      <w:spacing w:after="160" w:line="240" w:lineRule="exact"/>
      <w:jc w:val="left"/>
    </w:pPr>
    <w:rPr>
      <w:rFonts w:ascii="Times New Roman" w:hAnsi="Times New Roman"/>
      <w:sz w:val="28"/>
      <w:szCs w:val="20"/>
    </w:rPr>
  </w:style>
  <w:style w:type="paragraph" w:customStyle="1" w:styleId="364">
    <w:name w:val="样式3"/>
    <w:basedOn w:val="1"/>
    <w:qFormat/>
    <w:uiPriority w:val="99"/>
    <w:pPr>
      <w:ind w:hanging="132"/>
    </w:pPr>
    <w:rPr>
      <w:rFonts w:ascii="Times New Roman" w:hAnsi="Times New Roman"/>
    </w:rPr>
  </w:style>
  <w:style w:type="paragraph" w:customStyle="1" w:styleId="365">
    <w:name w:val="样式2"/>
    <w:basedOn w:val="1"/>
    <w:qFormat/>
    <w:uiPriority w:val="99"/>
    <w:pPr>
      <w:tabs>
        <w:tab w:val="left" w:pos="420"/>
      </w:tabs>
      <w:ind w:left="420" w:hanging="132"/>
      <w:jc w:val="center"/>
    </w:pPr>
    <w:rPr>
      <w:rFonts w:ascii="Times New Roman" w:hAnsi="Times New Roman"/>
      <w:szCs w:val="21"/>
    </w:rPr>
  </w:style>
  <w:style w:type="character" w:customStyle="1" w:styleId="366">
    <w:name w:val="正文首行缩进 Char"/>
    <w:basedOn w:val="73"/>
    <w:link w:val="47"/>
    <w:qFormat/>
    <w:uiPriority w:val="99"/>
    <w:rPr>
      <w:rFonts w:ascii="Calibri" w:hAnsi="Calibri"/>
      <w:sz w:val="21"/>
      <w:szCs w:val="24"/>
    </w:rPr>
  </w:style>
  <w:style w:type="character" w:customStyle="1" w:styleId="367">
    <w:name w:val="fontstyle21"/>
    <w:basedOn w:val="51"/>
    <w:qFormat/>
    <w:uiPriority w:val="0"/>
    <w:rPr>
      <w:rFonts w:hint="default" w:ascii="Arial" w:hAnsi="Arial" w:cs="Arial"/>
      <w:color w:val="000000"/>
      <w:sz w:val="24"/>
      <w:szCs w:val="24"/>
    </w:rPr>
  </w:style>
  <w:style w:type="paragraph" w:customStyle="1" w:styleId="368">
    <w:name w:val="标准正文"/>
    <w:basedOn w:val="1"/>
    <w:qFormat/>
    <w:uiPriority w:val="0"/>
    <w:pPr>
      <w:spacing w:line="360" w:lineRule="auto"/>
      <w:ind w:firstLine="200" w:firstLineChars="200"/>
    </w:pPr>
    <w:rPr>
      <w:sz w:val="24"/>
      <w:szCs w:val="20"/>
    </w:rPr>
  </w:style>
  <w:style w:type="paragraph" w:customStyle="1" w:styleId="369">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67</Pages>
  <Words>39522</Words>
  <Characters>42941</Characters>
  <Lines>200</Lines>
  <Paragraphs>56</Paragraphs>
  <TotalTime>13</TotalTime>
  <ScaleCrop>false</ScaleCrop>
  <LinksUpToDate>false</LinksUpToDate>
  <CharactersWithSpaces>44397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2022-02-07T10:18:00Z</dcterms:created>
  <dc:creator>嘉兴市建新工程造价咨询事务所有限公司</dc:creator>
  <cp:lastModifiedBy>QCL</cp:lastModifiedBy>
  <cp:lastPrinted>2022-02-07T03:01:00Z</cp:lastPrinted>
  <dcterms:modified xsi:type="dcterms:W3CDTF">2022-04-19T02:24:17Z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70627ADEF9EF476082491F7659FCA32F</vt:lpwstr>
  </property>
  <property fmtid="{D5CDD505-2E9C-101B-9397-08002B2CF9AE}" pid="4" name="woTemplateTypoMode" linkTarget="0">
    <vt:lpwstr>web</vt:lpwstr>
  </property>
  <property fmtid="{D5CDD505-2E9C-101B-9397-08002B2CF9AE}" pid="5" name="woTemplate" linkTarget="0">
    <vt:i4>1</vt:i4>
  </property>
</Properties>
</file>