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image/tiff" Extension="tiff"/>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CCE8CF"/>
  <w:body>
    <w:p>
      <w:pPr>
        <w:jc w:val="center"/>
        <w:rPr>
          <w:rFonts w:ascii="宋体" w:hAnsi="宋体" w:cs="仿宋"/>
          <w:b/>
          <w:sz w:val="44"/>
          <w:szCs w:val="44"/>
        </w:rPr>
      </w:pPr>
      <w:bookmarkStart w:id="242" w:name="_GoBack"/>
      <w:bookmarkEnd w:id="242"/>
      <w:r>
        <w:rPr>
          <w:rFonts w:hint="eastAsia" w:ascii="宋体" w:hAnsi="宋体" w:cs="仿宋"/>
          <w:b/>
          <w:sz w:val="44"/>
          <w:szCs w:val="44"/>
        </w:rPr>
        <w:t>2022年度嘉兴市公安局交通警察支队交通设施日常维护、更新项目</w:t>
      </w:r>
    </w:p>
    <w:p>
      <w:pPr>
        <w:pStyle w:val="45"/>
        <w:rPr>
          <w:rFonts w:ascii="宋体" w:hAnsi="宋体"/>
          <w:sz w:val="48"/>
          <w:szCs w:val="48"/>
        </w:rPr>
      </w:pPr>
    </w:p>
    <w:p>
      <w:pPr>
        <w:pStyle w:val="45"/>
        <w:rPr>
          <w:rFonts w:ascii="宋体" w:hAnsi="宋体"/>
          <w:sz w:val="48"/>
          <w:szCs w:val="48"/>
        </w:rPr>
      </w:pPr>
    </w:p>
    <w:p>
      <w:pPr>
        <w:pStyle w:val="45"/>
        <w:rPr>
          <w:rFonts w:ascii="宋体" w:hAnsi="宋体"/>
          <w:sz w:val="48"/>
          <w:szCs w:val="48"/>
        </w:rPr>
      </w:pPr>
    </w:p>
    <w:p>
      <w:pPr>
        <w:pStyle w:val="45"/>
        <w:rPr>
          <w:rFonts w:ascii="宋体" w:hAnsi="宋体"/>
          <w:sz w:val="48"/>
          <w:szCs w:val="48"/>
        </w:rPr>
      </w:pPr>
    </w:p>
    <w:p>
      <w:pPr>
        <w:pStyle w:val="45"/>
        <w:rPr>
          <w:rFonts w:ascii="宋体" w:hAnsi="宋体"/>
          <w:sz w:val="48"/>
          <w:szCs w:val="48"/>
        </w:rPr>
      </w:pPr>
      <w:r>
        <w:rPr>
          <w:rFonts w:hint="eastAsia" w:ascii="宋体" w:hAnsi="宋体"/>
          <w:sz w:val="48"/>
          <w:szCs w:val="48"/>
        </w:rPr>
        <w:t>招标采购文件</w:t>
      </w:r>
    </w:p>
    <w:p>
      <w:pPr>
        <w:pStyle w:val="45"/>
        <w:rPr>
          <w:rFonts w:ascii="宋体" w:hAnsi="宋体"/>
          <w:sz w:val="48"/>
          <w:szCs w:val="48"/>
        </w:rPr>
      </w:pPr>
    </w:p>
    <w:p>
      <w:pPr>
        <w:pStyle w:val="45"/>
        <w:rPr>
          <w:rFonts w:ascii="宋体" w:hAnsi="宋体"/>
          <w:sz w:val="48"/>
          <w:szCs w:val="48"/>
        </w:rPr>
      </w:pPr>
    </w:p>
    <w:p>
      <w:pPr>
        <w:pStyle w:val="45"/>
        <w:rPr>
          <w:rFonts w:ascii="宋体" w:hAnsi="宋体"/>
          <w:sz w:val="48"/>
          <w:szCs w:val="48"/>
        </w:rPr>
      </w:pPr>
    </w:p>
    <w:p>
      <w:pPr>
        <w:pStyle w:val="45"/>
        <w:rPr>
          <w:rFonts w:ascii="宋体" w:hAnsi="宋体"/>
          <w:sz w:val="48"/>
          <w:szCs w:val="48"/>
        </w:rPr>
      </w:pPr>
    </w:p>
    <w:p>
      <w:pPr>
        <w:ind w:firstLine="643" w:firstLineChars="200"/>
        <w:rPr>
          <w:rFonts w:ascii="宋体" w:hAnsi="宋体"/>
          <w:b/>
          <w:sz w:val="32"/>
          <w:szCs w:val="32"/>
        </w:rPr>
      </w:pPr>
      <w:r>
        <w:rPr>
          <w:rFonts w:hint="eastAsia" w:ascii="宋体" w:hAnsi="宋体"/>
          <w:b/>
          <w:sz w:val="32"/>
          <w:szCs w:val="32"/>
        </w:rPr>
        <w:t>项目编号：ZJFY-20220050</w:t>
      </w:r>
    </w:p>
    <w:p>
      <w:pPr>
        <w:ind w:firstLine="643" w:firstLineChars="200"/>
        <w:rPr>
          <w:rFonts w:ascii="宋体" w:hAnsi="宋体"/>
          <w:b/>
          <w:sz w:val="32"/>
          <w:szCs w:val="32"/>
        </w:rPr>
      </w:pPr>
      <w:r>
        <w:rPr>
          <w:rFonts w:hint="eastAsia" w:ascii="宋体" w:hAnsi="宋体"/>
          <w:b/>
          <w:sz w:val="32"/>
          <w:szCs w:val="32"/>
        </w:rPr>
        <w:t>采购单位：嘉兴市公安局交通警察支队</w:t>
      </w:r>
    </w:p>
    <w:p>
      <w:pPr>
        <w:ind w:firstLine="643" w:firstLineChars="200"/>
        <w:rPr>
          <w:rFonts w:ascii="宋体" w:hAnsi="宋体"/>
          <w:b/>
          <w:sz w:val="32"/>
          <w:szCs w:val="32"/>
        </w:rPr>
      </w:pPr>
      <w:r>
        <w:rPr>
          <w:rFonts w:hint="eastAsia" w:ascii="宋体" w:hAnsi="宋体"/>
          <w:b/>
          <w:sz w:val="32"/>
          <w:szCs w:val="32"/>
        </w:rPr>
        <w:t>代理单位：浙江富昱项目管理有限公司</w:t>
      </w:r>
    </w:p>
    <w:p>
      <w:pPr>
        <w:ind w:firstLine="643" w:firstLineChars="200"/>
        <w:rPr>
          <w:rFonts w:ascii="宋体" w:hAnsi="宋体"/>
          <w:b/>
          <w:sz w:val="32"/>
          <w:szCs w:val="32"/>
        </w:rPr>
      </w:pPr>
      <w:r>
        <w:rPr>
          <w:rFonts w:hint="eastAsia" w:ascii="宋体" w:hAnsi="宋体"/>
          <w:b/>
          <w:sz w:val="32"/>
          <w:szCs w:val="32"/>
        </w:rPr>
        <w:t>备案单位：嘉兴市财政局</w:t>
      </w:r>
    </w:p>
    <w:p>
      <w:pPr>
        <w:ind w:firstLine="643" w:firstLineChars="200"/>
        <w:rPr>
          <w:rFonts w:ascii="宋体" w:hAnsi="宋体"/>
          <w:b/>
          <w:sz w:val="32"/>
          <w:szCs w:val="32"/>
        </w:rPr>
      </w:pPr>
    </w:p>
    <w:p>
      <w:pPr>
        <w:jc w:val="center"/>
        <w:rPr>
          <w:rFonts w:ascii="宋体" w:hAnsi="宋体"/>
          <w:b/>
          <w:sz w:val="32"/>
          <w:szCs w:val="32"/>
        </w:rPr>
      </w:pPr>
      <w:r>
        <w:rPr>
          <w:rFonts w:hint="eastAsia" w:ascii="宋体" w:hAnsi="宋体"/>
          <w:b/>
          <w:sz w:val="32"/>
          <w:szCs w:val="32"/>
        </w:rPr>
        <w:t>2022年10月</w:t>
      </w:r>
    </w:p>
    <w:p>
      <w:pPr>
        <w:ind w:firstLine="420" w:firstLineChars="200"/>
        <w:outlineLvl w:val="0"/>
        <w:rPr>
          <w:rFonts w:ascii="宋体" w:hAnsi="宋体"/>
        </w:rPr>
        <w:sectPr>
          <w:footerReference r:id="rId5" w:type="default"/>
          <w:footerReference r:id="rId6" w:type="even"/>
          <w:pgSz w:w="11906" w:h="16838"/>
          <w:pgMar w:top="1418" w:right="1134" w:bottom="1134" w:left="1134" w:header="851" w:footer="992" w:gutter="0"/>
          <w:pgNumType w:start="0"/>
          <w:cols w:space="720" w:num="1"/>
          <w:titlePg/>
          <w:docGrid w:linePitch="312" w:charSpace="0"/>
        </w:sectPr>
      </w:pPr>
    </w:p>
    <w:p>
      <w:pPr>
        <w:pStyle w:val="374"/>
        <w:tabs>
          <w:tab w:val="clear" w:pos="1247"/>
        </w:tabs>
        <w:ind w:left="0"/>
        <w:jc w:val="center"/>
        <w:rPr>
          <w:rFonts w:ascii="宋体" w:hAnsi="宋体"/>
          <w:sz w:val="44"/>
          <w:szCs w:val="44"/>
        </w:rPr>
      </w:pPr>
      <w:r>
        <w:rPr>
          <w:rFonts w:hint="eastAsia" w:ascii="宋体" w:hAnsi="宋体"/>
          <w:sz w:val="44"/>
          <w:szCs w:val="44"/>
        </w:rPr>
        <w:t>目录</w:t>
      </w:r>
    </w:p>
    <w:p>
      <w:pPr>
        <w:pStyle w:val="680"/>
        <w:spacing w:before="0" w:line="360" w:lineRule="auto"/>
        <w:ind w:firstLine="480" w:firstLineChars="200"/>
      </w:pPr>
    </w:p>
    <w:p>
      <w:pPr>
        <w:pStyle w:val="34"/>
        <w:tabs>
          <w:tab w:val="right" w:leader="dot" w:pos="9062"/>
        </w:tabs>
        <w:spacing w:line="480" w:lineRule="auto"/>
        <w:rPr>
          <w:rFonts w:ascii="宋体" w:hAnsi="宋体"/>
          <w:sz w:val="24"/>
          <w:szCs w:val="28"/>
          <w:lang/>
        </w:rPr>
      </w:pPr>
      <w:r>
        <w:rPr>
          <w:rFonts w:ascii="宋体" w:hAnsi="宋体"/>
          <w:sz w:val="24"/>
        </w:rPr>
        <w:fldChar w:fldCharType="begin"/>
      </w:r>
      <w:r>
        <w:rPr>
          <w:rFonts w:ascii="宋体" w:hAnsi="宋体"/>
          <w:sz w:val="24"/>
        </w:rPr>
        <w:instrText xml:space="preserve"> TOC \o "1-1" \h \z \u </w:instrText>
      </w:r>
      <w:r>
        <w:rPr>
          <w:rFonts w:ascii="宋体" w:hAnsi="宋体"/>
          <w:sz w:val="24"/>
        </w:rPr>
        <w:fldChar w:fldCharType="separate"/>
      </w: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"_Toc89897650"</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第一章 公开招标公告</w:t>
      </w:r>
      <w:bookmarkStart w:id="0" w:name="_Hlt115455401"/>
      <w:bookmarkStart w:id="1" w:name="_Hlt115455402"/>
      <w:r>
        <w:rPr>
          <w:rFonts w:ascii="宋体" w:hAnsi="宋体"/>
          <w:sz w:val="24"/>
          <w:szCs w:val="32"/>
          <w:lang/>
        </w:rPr>
        <w:tab/>
      </w:r>
      <w:bookmarkEnd w:id="0"/>
      <w:bookmarkEnd w:id="1"/>
      <w:r>
        <w:rPr>
          <w:rFonts w:ascii="宋体" w:hAnsi="宋体"/>
          <w:sz w:val="24"/>
          <w:szCs w:val="32"/>
          <w:lang/>
        </w:rPr>
        <w:fldChar w:fldCharType="begin"/>
      </w:r>
      <w:r>
        <w:rPr>
          <w:rFonts w:ascii="宋体" w:hAnsi="宋体"/>
          <w:sz w:val="24"/>
          <w:szCs w:val="32"/>
          <w:lang/>
        </w:rPr>
        <w:instrText xml:space="preserve"> PAGEREF _Toc89897650 \h </w:instrText>
      </w:r>
      <w:r>
        <w:rPr>
          <w:rFonts w:ascii="宋体" w:hAnsi="宋体"/>
          <w:sz w:val="24"/>
          <w:szCs w:val="32"/>
          <w:lang/>
        </w:rPr>
        <w:fldChar w:fldCharType="separate"/>
      </w:r>
      <w:r>
        <w:rPr>
          <w:rFonts w:ascii="宋体" w:hAnsi="宋体"/>
          <w:sz w:val="24"/>
          <w:szCs w:val="32"/>
          <w:lang/>
        </w:rPr>
        <w:t>1</w:t>
      </w:r>
      <w:r>
        <w:rPr>
          <w:rFonts w:ascii="宋体" w:hAnsi="宋体"/>
          <w:sz w:val="24"/>
          <w:szCs w:val="32"/>
          <w:lang/>
        </w:rPr>
        <w:fldChar w:fldCharType="end"/>
      </w:r>
      <w:r>
        <w:rPr>
          <w:rFonts w:ascii="宋体" w:hAnsi="宋体"/>
          <w:sz w:val="24"/>
          <w:szCs w:val="32"/>
          <w:lang/>
        </w:rPr>
        <w:fldChar w:fldCharType="end"/>
      </w:r>
    </w:p>
    <w:p>
      <w:pPr>
        <w:pStyle w:val="34"/>
        <w:tabs>
          <w:tab w:val="right" w:leader="dot" w:pos="9062"/>
        </w:tabs>
        <w:spacing w:line="480" w:lineRule="auto"/>
        <w:rPr>
          <w:rFonts w:ascii="宋体" w:hAnsi="宋体"/>
          <w:sz w:val="24"/>
          <w:szCs w:val="28"/>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"_Toc89897651"</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第二章 招标</w:t>
      </w:r>
      <w:bookmarkStart w:id="2" w:name="_Hlt97112144"/>
      <w:bookmarkStart w:id="3" w:name="_Hlt97112143"/>
      <w:r>
        <w:rPr>
          <w:rStyle w:val="61"/>
          <w:rFonts w:ascii="宋体" w:hAnsi="宋体"/>
          <w:sz w:val="24"/>
          <w:szCs w:val="32"/>
          <w:lang/>
        </w:rPr>
        <w:t>需</w:t>
      </w:r>
      <w:bookmarkEnd w:id="2"/>
      <w:bookmarkEnd w:id="3"/>
      <w:bookmarkStart w:id="4" w:name="_Hlt98314823"/>
      <w:bookmarkStart w:id="5" w:name="_Hlt102386544"/>
      <w:r>
        <w:rPr>
          <w:rStyle w:val="61"/>
          <w:rFonts w:ascii="宋体" w:hAnsi="宋体"/>
          <w:sz w:val="24"/>
          <w:szCs w:val="32"/>
          <w:lang/>
        </w:rPr>
        <w:t>求</w:t>
      </w:r>
      <w:bookmarkEnd w:id="4"/>
      <w:bookmarkEnd w:id="5"/>
      <w:r>
        <w:rPr>
          <w:rFonts w:ascii="宋体" w:hAnsi="宋体"/>
          <w:sz w:val="24"/>
          <w:szCs w:val="32"/>
          <w:lang/>
        </w:rPr>
        <w:tab/>
      </w:r>
      <w:r>
        <w:rPr>
          <w:rFonts w:ascii="宋体" w:hAnsi="宋体"/>
          <w:sz w:val="24"/>
          <w:szCs w:val="32"/>
          <w:lang/>
        </w:rPr>
        <w:fldChar w:fldCharType="begin"/>
      </w:r>
      <w:r>
        <w:rPr>
          <w:rFonts w:ascii="宋体" w:hAnsi="宋体"/>
          <w:sz w:val="24"/>
          <w:szCs w:val="32"/>
          <w:lang/>
        </w:rPr>
        <w:instrText xml:space="preserve"> PAGEREF _Toc89897651 \h </w:instrText>
      </w:r>
      <w:r>
        <w:rPr>
          <w:rFonts w:ascii="宋体" w:hAnsi="宋体"/>
          <w:sz w:val="24"/>
          <w:szCs w:val="32"/>
          <w:lang/>
        </w:rPr>
        <w:fldChar w:fldCharType="separate"/>
      </w:r>
      <w:r>
        <w:rPr>
          <w:rFonts w:ascii="宋体" w:hAnsi="宋体"/>
          <w:sz w:val="24"/>
          <w:szCs w:val="32"/>
          <w:lang/>
        </w:rPr>
        <w:t>5</w:t>
      </w:r>
      <w:r>
        <w:rPr>
          <w:rFonts w:ascii="宋体" w:hAnsi="宋体"/>
          <w:sz w:val="24"/>
          <w:szCs w:val="32"/>
          <w:lang/>
        </w:rPr>
        <w:fldChar w:fldCharType="end"/>
      </w:r>
      <w:r>
        <w:rPr>
          <w:rFonts w:ascii="宋体" w:hAnsi="宋体"/>
          <w:sz w:val="24"/>
          <w:szCs w:val="32"/>
          <w:lang/>
        </w:rPr>
        <w:fldChar w:fldCharType="end"/>
      </w:r>
    </w:p>
    <w:p>
      <w:pPr>
        <w:pStyle w:val="34"/>
        <w:tabs>
          <w:tab w:val="right" w:leader="dot" w:pos="9062"/>
        </w:tabs>
        <w:spacing w:line="480" w:lineRule="auto"/>
        <w:rPr>
          <w:rFonts w:hint="eastAsia" w:ascii="宋体" w:hAnsi="宋体"/>
          <w:sz w:val="24"/>
          <w:szCs w:val="28"/>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"_Toc89897652"</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第三章 供应商</w:t>
      </w:r>
      <w:bookmarkStart w:id="6" w:name="_Hlt106015511"/>
      <w:bookmarkStart w:id="7" w:name="_Hlt106015510"/>
      <w:r>
        <w:rPr>
          <w:rStyle w:val="61"/>
          <w:rFonts w:ascii="宋体" w:hAnsi="宋体"/>
          <w:sz w:val="24"/>
          <w:szCs w:val="32"/>
          <w:lang/>
        </w:rPr>
        <w:t>须</w:t>
      </w:r>
      <w:bookmarkEnd w:id="6"/>
      <w:bookmarkEnd w:id="7"/>
      <w:bookmarkStart w:id="8" w:name="_Hlt115535100"/>
      <w:bookmarkStart w:id="9" w:name="_Hlt115535101"/>
      <w:r>
        <w:rPr>
          <w:rStyle w:val="61"/>
          <w:rFonts w:ascii="宋体" w:hAnsi="宋体"/>
          <w:sz w:val="24"/>
          <w:szCs w:val="32"/>
          <w:lang/>
        </w:rPr>
        <w:t>知</w:t>
      </w:r>
      <w:bookmarkEnd w:id="8"/>
      <w:bookmarkEnd w:id="9"/>
      <w:bookmarkStart w:id="10" w:name="_Hlt116284667"/>
      <w:bookmarkStart w:id="11" w:name="_Hlt116214158"/>
      <w:bookmarkStart w:id="12" w:name="_Hlt116284666"/>
      <w:r>
        <w:rPr>
          <w:rFonts w:ascii="宋体" w:hAnsi="宋体"/>
          <w:sz w:val="24"/>
          <w:szCs w:val="32"/>
          <w:lang/>
        </w:rPr>
        <w:tab/>
      </w:r>
      <w:bookmarkEnd w:id="10"/>
      <w:bookmarkEnd w:id="11"/>
      <w:bookmarkEnd w:id="12"/>
      <w:r>
        <w:rPr>
          <w:rFonts w:ascii="宋体" w:hAnsi="宋体"/>
          <w:sz w:val="24"/>
          <w:szCs w:val="32"/>
          <w:lang/>
        </w:rPr>
        <w:fldChar w:fldCharType="begin"/>
      </w:r>
      <w:r>
        <w:rPr>
          <w:rFonts w:ascii="宋体" w:hAnsi="宋体"/>
          <w:sz w:val="24"/>
          <w:szCs w:val="32"/>
          <w:lang/>
        </w:rPr>
        <w:instrText xml:space="preserve"> PAGEREF _Toc89897652 \h </w:instrText>
      </w:r>
      <w:r>
        <w:rPr>
          <w:rFonts w:ascii="宋体" w:hAnsi="宋体"/>
          <w:sz w:val="24"/>
          <w:szCs w:val="32"/>
          <w:lang/>
        </w:rPr>
        <w:fldChar w:fldCharType="separate"/>
      </w:r>
      <w:r>
        <w:rPr>
          <w:rFonts w:ascii="宋体" w:hAnsi="宋体"/>
          <w:sz w:val="24"/>
          <w:szCs w:val="32"/>
          <w:lang/>
        </w:rPr>
        <w:t>83</w:t>
      </w:r>
      <w:r>
        <w:rPr>
          <w:rFonts w:ascii="宋体" w:hAnsi="宋体"/>
          <w:sz w:val="24"/>
          <w:szCs w:val="32"/>
          <w:lang/>
        </w:rPr>
        <w:fldChar w:fldCharType="end"/>
      </w:r>
      <w:r>
        <w:rPr>
          <w:rFonts w:ascii="宋体" w:hAnsi="宋体"/>
          <w:sz w:val="24"/>
          <w:szCs w:val="32"/>
          <w:lang/>
        </w:rPr>
        <w:fldChar w:fldCharType="end"/>
      </w:r>
    </w:p>
    <w:p>
      <w:pPr>
        <w:pStyle w:val="34"/>
        <w:tabs>
          <w:tab w:val="right" w:leader="dot" w:pos="9062"/>
        </w:tabs>
        <w:spacing w:line="480" w:lineRule="auto"/>
        <w:rPr>
          <w:rFonts w:ascii="宋体" w:hAnsi="宋体"/>
          <w:sz w:val="24"/>
          <w:szCs w:val="28"/>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"_Toc89897660"</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第四章 评标办法及评</w:t>
      </w:r>
      <w:bookmarkStart w:id="13" w:name="_Hlt90042841"/>
      <w:bookmarkStart w:id="14" w:name="_Hlt90042840"/>
      <w:r>
        <w:rPr>
          <w:rStyle w:val="61"/>
          <w:rFonts w:ascii="宋体" w:hAnsi="宋体"/>
          <w:sz w:val="24"/>
          <w:szCs w:val="32"/>
          <w:lang/>
        </w:rPr>
        <w:t>分</w:t>
      </w:r>
      <w:bookmarkEnd w:id="13"/>
      <w:bookmarkEnd w:id="14"/>
      <w:r>
        <w:rPr>
          <w:rStyle w:val="61"/>
          <w:rFonts w:ascii="宋体" w:hAnsi="宋体"/>
          <w:sz w:val="24"/>
          <w:szCs w:val="32"/>
          <w:lang/>
        </w:rPr>
        <w:t>标准</w:t>
      </w:r>
      <w:r>
        <w:rPr>
          <w:rFonts w:ascii="宋体" w:hAnsi="宋体"/>
          <w:sz w:val="24"/>
          <w:szCs w:val="32"/>
          <w:lang/>
        </w:rPr>
        <w:tab/>
      </w:r>
      <w:r>
        <w:rPr>
          <w:rFonts w:ascii="宋体" w:hAnsi="宋体"/>
          <w:sz w:val="24"/>
          <w:szCs w:val="32"/>
          <w:lang/>
        </w:rPr>
        <w:fldChar w:fldCharType="begin"/>
      </w:r>
      <w:r>
        <w:rPr>
          <w:rFonts w:ascii="宋体" w:hAnsi="宋体"/>
          <w:sz w:val="24"/>
          <w:szCs w:val="32"/>
          <w:lang/>
        </w:rPr>
        <w:instrText xml:space="preserve"> PAGEREF _Toc89897660 \h </w:instrText>
      </w:r>
      <w:r>
        <w:rPr>
          <w:rFonts w:ascii="宋体" w:hAnsi="宋体"/>
          <w:sz w:val="24"/>
          <w:szCs w:val="32"/>
          <w:lang/>
        </w:rPr>
        <w:fldChar w:fldCharType="separate"/>
      </w:r>
      <w:r>
        <w:rPr>
          <w:rFonts w:ascii="宋体" w:hAnsi="宋体"/>
          <w:sz w:val="24"/>
          <w:szCs w:val="32"/>
          <w:lang/>
        </w:rPr>
        <w:t>98</w:t>
      </w:r>
      <w:r>
        <w:rPr>
          <w:rFonts w:ascii="宋体" w:hAnsi="宋体"/>
          <w:sz w:val="24"/>
          <w:szCs w:val="32"/>
          <w:lang/>
        </w:rPr>
        <w:fldChar w:fldCharType="end"/>
      </w:r>
      <w:r>
        <w:rPr>
          <w:rFonts w:ascii="宋体" w:hAnsi="宋体"/>
          <w:sz w:val="24"/>
          <w:szCs w:val="32"/>
          <w:lang/>
        </w:rPr>
        <w:fldChar w:fldCharType="end"/>
      </w:r>
    </w:p>
    <w:p>
      <w:pPr>
        <w:pStyle w:val="34"/>
        <w:tabs>
          <w:tab w:val="right" w:leader="dot" w:pos="9062"/>
        </w:tabs>
        <w:spacing w:line="480" w:lineRule="auto"/>
        <w:rPr>
          <w:rFonts w:hint="eastAsia" w:ascii="宋体" w:hAnsi="宋体"/>
          <w:sz w:val="24"/>
          <w:szCs w:val="28"/>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"_Toc89897661"</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第五章 政府采购合同主要条款（指引）</w:t>
      </w:r>
      <w:r>
        <w:rPr>
          <w:rFonts w:ascii="宋体" w:hAnsi="宋体"/>
          <w:sz w:val="24"/>
          <w:szCs w:val="32"/>
          <w:lang/>
        </w:rPr>
        <w:tab/>
      </w:r>
      <w:r>
        <w:rPr>
          <w:rFonts w:ascii="宋体" w:hAnsi="宋体"/>
          <w:sz w:val="24"/>
          <w:szCs w:val="32"/>
          <w:lang/>
        </w:rPr>
        <w:fldChar w:fldCharType="begin"/>
      </w:r>
      <w:r>
        <w:rPr>
          <w:rFonts w:ascii="宋体" w:hAnsi="宋体"/>
          <w:sz w:val="24"/>
          <w:szCs w:val="32"/>
          <w:lang/>
        </w:rPr>
        <w:instrText xml:space="preserve"> PAGEREF _Toc89897661 \h </w:instrText>
      </w:r>
      <w:r>
        <w:rPr>
          <w:rFonts w:ascii="宋体" w:hAnsi="宋体"/>
          <w:sz w:val="24"/>
          <w:szCs w:val="32"/>
          <w:lang/>
        </w:rPr>
        <w:fldChar w:fldCharType="separate"/>
      </w:r>
      <w:r>
        <w:rPr>
          <w:rFonts w:ascii="宋体" w:hAnsi="宋体"/>
          <w:sz w:val="24"/>
          <w:szCs w:val="32"/>
          <w:lang/>
        </w:rPr>
        <w:t>111</w:t>
      </w:r>
      <w:r>
        <w:rPr>
          <w:rFonts w:ascii="宋体" w:hAnsi="宋体"/>
          <w:sz w:val="24"/>
          <w:szCs w:val="32"/>
          <w:lang/>
        </w:rPr>
        <w:fldChar w:fldCharType="end"/>
      </w:r>
      <w:r>
        <w:rPr>
          <w:rFonts w:ascii="宋体" w:hAnsi="宋体"/>
          <w:sz w:val="24"/>
          <w:szCs w:val="32"/>
          <w:lang/>
        </w:rPr>
        <w:fldChar w:fldCharType="end"/>
      </w:r>
    </w:p>
    <w:p>
      <w:pPr>
        <w:pStyle w:val="34"/>
        <w:tabs>
          <w:tab w:val="right" w:leader="dot" w:pos="9062"/>
        </w:tabs>
        <w:spacing w:line="480" w:lineRule="auto"/>
        <w:rPr>
          <w:rFonts w:ascii="宋体" w:hAnsi="宋体"/>
          <w:szCs w:val="22"/>
          <w:lang/>
        </w:rPr>
      </w:pPr>
      <w:r>
        <w:rPr>
          <w:rFonts w:ascii="宋体" w:hAnsi="宋体"/>
          <w:sz w:val="24"/>
          <w:szCs w:val="32"/>
          <w:lang/>
        </w:rPr>
        <w:fldChar w:fldCharType="begin"/>
      </w:r>
      <w:r>
        <w:rPr>
          <w:rStyle w:val="61"/>
          <w:rFonts w:ascii="宋体" w:hAnsi="宋体"/>
          <w:sz w:val="24"/>
          <w:szCs w:val="32"/>
          <w:lang/>
        </w:rPr>
        <w:instrText xml:space="preserve"> </w:instrText>
      </w:r>
      <w:r>
        <w:rPr>
          <w:rFonts w:ascii="宋体" w:hAnsi="宋体"/>
          <w:sz w:val="24"/>
          <w:szCs w:val="32"/>
          <w:lang/>
        </w:rPr>
        <w:instrText xml:space="preserve">HYPERLINK \l "_Toc89897664"</w:instrText>
      </w:r>
      <w:r>
        <w:rPr>
          <w:rStyle w:val="61"/>
          <w:rFonts w:ascii="宋体" w:hAnsi="宋体"/>
          <w:sz w:val="24"/>
          <w:szCs w:val="32"/>
          <w:lang/>
        </w:rPr>
        <w:instrText xml:space="preserve"> </w:instrText>
      </w:r>
      <w:r>
        <w:rPr>
          <w:rFonts w:ascii="宋体" w:hAnsi="宋体"/>
          <w:sz w:val="24"/>
          <w:szCs w:val="32"/>
          <w:lang/>
        </w:rPr>
        <w:fldChar w:fldCharType="separate"/>
      </w:r>
      <w:r>
        <w:rPr>
          <w:rStyle w:val="61"/>
          <w:rFonts w:ascii="宋体" w:hAnsi="宋体"/>
          <w:sz w:val="24"/>
          <w:szCs w:val="32"/>
          <w:lang/>
        </w:rPr>
        <w:t>第六章 投</w:t>
      </w:r>
      <w:bookmarkStart w:id="15" w:name="_Hlt106189527"/>
      <w:r>
        <w:rPr>
          <w:rStyle w:val="61"/>
          <w:rFonts w:ascii="宋体" w:hAnsi="宋体"/>
          <w:sz w:val="24"/>
          <w:szCs w:val="32"/>
          <w:lang/>
        </w:rPr>
        <w:t>标</w:t>
      </w:r>
      <w:bookmarkEnd w:id="15"/>
      <w:r>
        <w:rPr>
          <w:rStyle w:val="61"/>
          <w:rFonts w:ascii="宋体" w:hAnsi="宋体"/>
          <w:sz w:val="24"/>
          <w:szCs w:val="32"/>
          <w:lang/>
        </w:rPr>
        <w:t>文</w:t>
      </w:r>
      <w:bookmarkStart w:id="16" w:name="_Hlt116214139"/>
      <w:r>
        <w:rPr>
          <w:rStyle w:val="61"/>
          <w:rFonts w:ascii="宋体" w:hAnsi="宋体"/>
          <w:sz w:val="24"/>
          <w:szCs w:val="32"/>
          <w:lang/>
        </w:rPr>
        <w:t>件</w:t>
      </w:r>
      <w:bookmarkEnd w:id="16"/>
      <w:bookmarkStart w:id="17" w:name="_Hlt90038938"/>
      <w:bookmarkStart w:id="18" w:name="_Hlt90038939"/>
      <w:r>
        <w:rPr>
          <w:rStyle w:val="61"/>
          <w:rFonts w:ascii="宋体" w:hAnsi="宋体"/>
          <w:sz w:val="24"/>
          <w:szCs w:val="32"/>
          <w:lang/>
        </w:rPr>
        <w:t>格</w:t>
      </w:r>
      <w:bookmarkEnd w:id="17"/>
      <w:bookmarkEnd w:id="18"/>
      <w:bookmarkStart w:id="19" w:name="_Hlt104398501"/>
      <w:bookmarkStart w:id="20" w:name="_Hlt104398502"/>
      <w:r>
        <w:rPr>
          <w:rStyle w:val="61"/>
          <w:rFonts w:ascii="宋体" w:hAnsi="宋体"/>
          <w:sz w:val="24"/>
          <w:szCs w:val="32"/>
          <w:lang/>
        </w:rPr>
        <w:t>式</w:t>
      </w:r>
      <w:bookmarkEnd w:id="19"/>
      <w:bookmarkEnd w:id="20"/>
      <w:r>
        <w:rPr>
          <w:rFonts w:ascii="宋体" w:hAnsi="宋体"/>
          <w:sz w:val="24"/>
          <w:szCs w:val="32"/>
          <w:lang/>
        </w:rPr>
        <w:tab/>
      </w:r>
      <w:r>
        <w:rPr>
          <w:rFonts w:ascii="宋体" w:hAnsi="宋体"/>
          <w:sz w:val="24"/>
          <w:szCs w:val="32"/>
          <w:lang/>
        </w:rPr>
        <w:fldChar w:fldCharType="begin"/>
      </w:r>
      <w:r>
        <w:rPr>
          <w:rFonts w:ascii="宋体" w:hAnsi="宋体"/>
          <w:sz w:val="24"/>
          <w:szCs w:val="32"/>
          <w:lang/>
        </w:rPr>
        <w:instrText xml:space="preserve"> PAGEREF _Toc89897664 \h </w:instrText>
      </w:r>
      <w:r>
        <w:rPr>
          <w:rFonts w:ascii="宋体" w:hAnsi="宋体"/>
          <w:sz w:val="24"/>
          <w:szCs w:val="32"/>
          <w:lang/>
        </w:rPr>
        <w:fldChar w:fldCharType="separate"/>
      </w:r>
      <w:r>
        <w:rPr>
          <w:rFonts w:ascii="宋体" w:hAnsi="宋体"/>
          <w:sz w:val="24"/>
          <w:szCs w:val="32"/>
          <w:lang/>
        </w:rPr>
        <w:t>116</w:t>
      </w:r>
      <w:r>
        <w:rPr>
          <w:rFonts w:ascii="宋体" w:hAnsi="宋体"/>
          <w:sz w:val="24"/>
          <w:szCs w:val="32"/>
          <w:lang/>
        </w:rPr>
        <w:fldChar w:fldCharType="end"/>
      </w:r>
      <w:r>
        <w:rPr>
          <w:rFonts w:ascii="宋体" w:hAnsi="宋体"/>
          <w:sz w:val="24"/>
          <w:szCs w:val="32"/>
          <w:lang/>
        </w:rPr>
        <w:fldChar w:fldCharType="end"/>
      </w:r>
    </w:p>
    <w:p>
      <w:pPr>
        <w:spacing w:line="480" w:lineRule="auto"/>
        <w:ind w:firstLine="480" w:firstLineChars="200"/>
        <w:rPr>
          <w:rFonts w:ascii="宋体" w:hAnsi="宋体"/>
        </w:rPr>
        <w:sectPr>
          <w:pgSz w:w="11906" w:h="16838"/>
          <w:pgMar w:top="1440" w:right="1274" w:bottom="1440" w:left="1560" w:header="851" w:footer="992" w:gutter="0"/>
          <w:pgNumType w:start="0"/>
          <w:cols w:space="720" w:num="1"/>
          <w:titlePg/>
          <w:docGrid w:linePitch="312" w:charSpace="0"/>
        </w:sectPr>
      </w:pPr>
      <w:r>
        <w:rPr>
          <w:rFonts w:ascii="宋体" w:hAnsi="宋体"/>
          <w:sz w:val="24"/>
          <w:szCs w:val="24"/>
        </w:rPr>
        <w:fldChar w:fldCharType="end"/>
      </w:r>
    </w:p>
    <w:p>
      <w:pPr>
        <w:pStyle w:val="3"/>
        <w:ind w:firstLine="602" w:firstLineChars="200"/>
        <w:rPr>
          <w:rFonts w:ascii="宋体" w:hAnsi="宋体"/>
        </w:rPr>
      </w:pPr>
      <w:bookmarkStart w:id="21" w:name="_Toc13042322"/>
      <w:bookmarkStart w:id="22" w:name="_Toc89897650"/>
      <w:r>
        <w:rPr>
          <w:rFonts w:hint="eastAsia" w:ascii="宋体" w:hAnsi="宋体"/>
        </w:rPr>
        <w:t>第一章 公开招标公告</w:t>
      </w:r>
      <w:bookmarkEnd w:id="21"/>
      <w:bookmarkEnd w:id="22"/>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9286" w:type="dxa"/>
            <w:noWrap w:val="0"/>
            <w:vAlign w:val="top"/>
          </w:tcPr>
          <w:p>
            <w:pPr>
              <w:snapToGrid w:val="0"/>
              <w:spacing w:after="60" w:afterLines="25" w:line="360" w:lineRule="exact"/>
              <w:ind w:firstLine="420" w:firstLineChars="200"/>
              <w:contextualSpacing/>
              <w:rPr>
                <w:rFonts w:ascii="宋体" w:hAnsi="宋体"/>
                <w:szCs w:val="21"/>
              </w:rPr>
            </w:pPr>
            <w:r>
              <w:rPr>
                <w:rFonts w:ascii="宋体" w:hAnsi="宋体"/>
                <w:szCs w:val="21"/>
              </w:rPr>
              <w:t>项目概况</w:t>
            </w:r>
          </w:p>
          <w:p>
            <w:pPr>
              <w:snapToGrid w:val="0"/>
              <w:spacing w:after="60" w:afterLines="25" w:line="360" w:lineRule="exact"/>
              <w:ind w:firstLine="420" w:firstLineChars="200"/>
              <w:contextualSpacing/>
              <w:rPr>
                <w:rFonts w:ascii="宋体" w:hAnsi="宋体"/>
                <w:szCs w:val="21"/>
              </w:rPr>
            </w:pPr>
            <w:r>
              <w:rPr>
                <w:rFonts w:ascii="宋体" w:hAnsi="宋体"/>
                <w:szCs w:val="21"/>
              </w:rPr>
              <w:t>2022年度嘉兴市公安局交通警察支队交通设施日常维护、更新项目</w:t>
            </w:r>
            <w:r>
              <w:rPr>
                <w:rFonts w:hint="eastAsia" w:ascii="宋体" w:hAnsi="宋体"/>
                <w:szCs w:val="21"/>
              </w:rPr>
              <w:t>招标项目</w:t>
            </w:r>
            <w:r>
              <w:rPr>
                <w:rFonts w:ascii="宋体" w:hAnsi="宋体"/>
                <w:szCs w:val="21"/>
              </w:rPr>
              <w:t>的潜在供应商应在浙江政府采购网https：//zfcg.czt.zj.gov.cn/获取（下载）招标文件，并于2022年11月01日09：00（北京时间）前递交（上传）投标文件。</w:t>
            </w:r>
          </w:p>
        </w:tc>
      </w:tr>
    </w:tbl>
    <w:p>
      <w:pPr>
        <w:snapToGrid w:val="0"/>
        <w:spacing w:before="120" w:beforeLines="50"/>
        <w:contextualSpacing/>
        <w:rPr>
          <w:rFonts w:ascii="宋体" w:hAnsi="宋体"/>
          <w:szCs w:val="21"/>
        </w:rPr>
      </w:pPr>
      <w:r>
        <w:rPr>
          <w:rFonts w:hint="eastAsia" w:ascii="宋体" w:hAnsi="宋体"/>
          <w:b/>
          <w:bCs/>
          <w:szCs w:val="21"/>
        </w:rPr>
        <w:t>一、项目基本情况</w:t>
      </w:r>
    </w:p>
    <w:p>
      <w:pPr>
        <w:snapToGrid w:val="0"/>
        <w:ind w:firstLine="420" w:firstLineChars="200"/>
        <w:contextualSpacing/>
        <w:rPr>
          <w:rFonts w:ascii="宋体" w:hAnsi="宋体"/>
          <w:szCs w:val="21"/>
        </w:rPr>
      </w:pPr>
      <w:r>
        <w:rPr>
          <w:rFonts w:ascii="宋体" w:hAnsi="宋体"/>
          <w:szCs w:val="21"/>
        </w:rPr>
        <w:t>项目编号：ZJFY-20220050</w:t>
      </w:r>
    </w:p>
    <w:p>
      <w:pPr>
        <w:snapToGrid w:val="0"/>
        <w:ind w:firstLine="420" w:firstLineChars="200"/>
        <w:contextualSpacing/>
        <w:rPr>
          <w:rFonts w:ascii="宋体" w:hAnsi="宋体"/>
          <w:szCs w:val="21"/>
        </w:rPr>
      </w:pPr>
      <w:r>
        <w:rPr>
          <w:rFonts w:ascii="宋体" w:hAnsi="宋体"/>
          <w:szCs w:val="21"/>
        </w:rPr>
        <w:t>项目名称：2022年度嘉兴市公安局交通警察支队交通设施日常维护、更新项目</w:t>
      </w:r>
    </w:p>
    <w:p>
      <w:pPr>
        <w:snapToGrid w:val="0"/>
        <w:ind w:firstLine="420" w:firstLineChars="200"/>
        <w:contextualSpacing/>
        <w:rPr>
          <w:rFonts w:ascii="宋体" w:hAnsi="宋体"/>
          <w:szCs w:val="21"/>
        </w:rPr>
      </w:pPr>
      <w:r>
        <w:rPr>
          <w:rFonts w:ascii="宋体" w:hAnsi="宋体"/>
          <w:szCs w:val="21"/>
        </w:rPr>
        <w:t>预算金额（元）：13590000</w:t>
      </w:r>
    </w:p>
    <w:p>
      <w:pPr>
        <w:snapToGrid w:val="0"/>
        <w:ind w:firstLine="420" w:firstLineChars="200"/>
        <w:contextualSpacing/>
        <w:rPr>
          <w:rFonts w:ascii="宋体" w:hAnsi="宋体"/>
          <w:szCs w:val="21"/>
        </w:rPr>
      </w:pPr>
      <w:r>
        <w:rPr>
          <w:rFonts w:ascii="宋体" w:hAnsi="宋体"/>
          <w:szCs w:val="21"/>
        </w:rPr>
        <w:t>最高限价（元）：8590000</w:t>
      </w:r>
      <w:r>
        <w:rPr>
          <w:rFonts w:hint="eastAsia" w:ascii="宋体" w:hAnsi="宋体"/>
          <w:szCs w:val="21"/>
        </w:rPr>
        <w:t>，</w:t>
      </w:r>
      <w:r>
        <w:rPr>
          <w:rFonts w:ascii="宋体" w:hAnsi="宋体"/>
          <w:szCs w:val="21"/>
        </w:rPr>
        <w:t>3000000</w:t>
      </w:r>
      <w:r>
        <w:rPr>
          <w:rFonts w:hint="eastAsia" w:ascii="宋体" w:hAnsi="宋体"/>
          <w:szCs w:val="21"/>
        </w:rPr>
        <w:t>，</w:t>
      </w:r>
      <w:r>
        <w:rPr>
          <w:rFonts w:ascii="宋体" w:hAnsi="宋体"/>
          <w:szCs w:val="21"/>
        </w:rPr>
        <w:t>2000000</w:t>
      </w:r>
    </w:p>
    <w:p>
      <w:pPr>
        <w:snapToGrid w:val="0"/>
        <w:ind w:firstLine="420" w:firstLineChars="200"/>
        <w:contextualSpacing/>
        <w:rPr>
          <w:rFonts w:hint="eastAsia" w:ascii="宋体" w:hAnsi="宋体"/>
          <w:szCs w:val="21"/>
        </w:rPr>
      </w:pPr>
      <w:r>
        <w:rPr>
          <w:rFonts w:ascii="宋体" w:hAnsi="宋体"/>
          <w:szCs w:val="21"/>
        </w:rPr>
        <w:t>采购需求：</w:t>
      </w:r>
    </w:p>
    <w:p>
      <w:pPr>
        <w:snapToGrid w:val="0"/>
        <w:ind w:firstLine="420" w:firstLineChars="200"/>
        <w:contextualSpacing/>
        <w:rPr>
          <w:rFonts w:ascii="宋体" w:hAnsi="宋体"/>
          <w:szCs w:val="21"/>
        </w:rPr>
      </w:pPr>
    </w:p>
    <w:p>
      <w:pPr>
        <w:snapToGrid w:val="0"/>
        <w:ind w:firstLine="420" w:firstLineChars="200"/>
        <w:contextualSpacing/>
        <w:rPr>
          <w:rFonts w:hint="eastAsia" w:ascii="宋体" w:hAnsi="宋体"/>
          <w:szCs w:val="21"/>
        </w:rPr>
      </w:pPr>
      <w:r>
        <w:rPr>
          <w:rFonts w:hint="eastAsia" w:ascii="宋体" w:hAnsi="宋体"/>
          <w:szCs w:val="21"/>
        </w:rPr>
        <w:t>标项一</w:t>
      </w:r>
    </w:p>
    <w:p>
      <w:pPr>
        <w:snapToGrid w:val="0"/>
        <w:ind w:firstLine="420" w:firstLineChars="200"/>
        <w:contextualSpacing/>
        <w:rPr>
          <w:rFonts w:ascii="宋体" w:hAnsi="宋体"/>
          <w:szCs w:val="21"/>
        </w:rPr>
      </w:pPr>
      <w:r>
        <w:rPr>
          <w:rFonts w:hint="eastAsia" w:ascii="宋体" w:hAnsi="宋体"/>
          <w:szCs w:val="21"/>
        </w:rPr>
        <w:t>标项</w:t>
      </w:r>
      <w:r>
        <w:rPr>
          <w:rFonts w:ascii="宋体" w:hAnsi="宋体"/>
          <w:szCs w:val="21"/>
        </w:rPr>
        <w:t>名称：</w:t>
      </w:r>
      <w:r>
        <w:rPr>
          <w:rFonts w:hint="eastAsia" w:ascii="宋体" w:hAnsi="宋体"/>
          <w:szCs w:val="21"/>
        </w:rPr>
        <w:t>嘉兴市市区交通标线复划项目</w:t>
      </w:r>
    </w:p>
    <w:p>
      <w:pPr>
        <w:snapToGrid w:val="0"/>
        <w:ind w:firstLine="420" w:firstLineChars="200"/>
        <w:contextualSpacing/>
        <w:rPr>
          <w:rFonts w:ascii="宋体" w:hAnsi="宋体"/>
          <w:szCs w:val="21"/>
        </w:rPr>
      </w:pPr>
      <w:r>
        <w:rPr>
          <w:rFonts w:hint="eastAsia" w:ascii="宋体" w:hAnsi="宋体"/>
          <w:szCs w:val="21"/>
        </w:rPr>
        <w:t>数量：不限</w:t>
      </w:r>
    </w:p>
    <w:p>
      <w:pPr>
        <w:snapToGrid w:val="0"/>
        <w:ind w:firstLine="420" w:firstLineChars="200"/>
        <w:contextualSpacing/>
        <w:rPr>
          <w:rFonts w:hint="eastAsia" w:ascii="宋体" w:hAnsi="宋体"/>
          <w:szCs w:val="21"/>
        </w:rPr>
      </w:pPr>
      <w:r>
        <w:rPr>
          <w:rFonts w:ascii="宋体" w:hAnsi="宋体"/>
          <w:szCs w:val="21"/>
        </w:rPr>
        <w:t>预算金额（元）：8590000</w:t>
      </w:r>
    </w:p>
    <w:p>
      <w:pPr>
        <w:ind w:firstLine="420" w:firstLineChars="200"/>
        <w:rPr>
          <w:rFonts w:ascii="宋体" w:hAnsi="宋体"/>
          <w:iCs/>
        </w:rPr>
      </w:pPr>
      <w:r>
        <w:rPr>
          <w:rFonts w:ascii="宋体" w:hAnsi="宋体" w:cs="宋体"/>
          <w:iCs/>
        </w:rPr>
        <w:t>简要规格描述或项目基本概况介绍、用途：</w:t>
      </w:r>
      <w:r>
        <w:rPr>
          <w:rFonts w:hint="eastAsia" w:ascii="宋体" w:hAnsi="宋体" w:cs="宋体"/>
          <w:iCs/>
        </w:rPr>
        <w:t>详见采购文件。</w:t>
      </w:r>
    </w:p>
    <w:p>
      <w:pPr>
        <w:ind w:firstLine="420" w:firstLineChars="200"/>
        <w:rPr>
          <w:rFonts w:ascii="宋体" w:hAnsi="宋体"/>
          <w:szCs w:val="21"/>
        </w:rPr>
      </w:pPr>
      <w:r>
        <w:rPr>
          <w:rFonts w:ascii="宋体" w:hAnsi="宋体"/>
          <w:szCs w:val="21"/>
        </w:rPr>
        <w:t>备注：</w:t>
      </w:r>
      <w:r>
        <w:rPr>
          <w:rFonts w:hint="eastAsia" w:ascii="宋体" w:hAnsi="宋体"/>
          <w:szCs w:val="21"/>
        </w:rPr>
        <w:t>/</w:t>
      </w:r>
    </w:p>
    <w:p>
      <w:pPr>
        <w:snapToGrid w:val="0"/>
        <w:ind w:firstLine="420" w:firstLineChars="200"/>
        <w:contextualSpacing/>
        <w:rPr>
          <w:rFonts w:ascii="宋体" w:hAnsi="宋体"/>
          <w:szCs w:val="21"/>
        </w:rPr>
      </w:pPr>
    </w:p>
    <w:p>
      <w:pPr>
        <w:snapToGrid w:val="0"/>
        <w:ind w:firstLine="420" w:firstLineChars="200"/>
        <w:contextualSpacing/>
        <w:rPr>
          <w:rFonts w:hint="eastAsia" w:ascii="宋体" w:hAnsi="宋体"/>
          <w:szCs w:val="21"/>
        </w:rPr>
      </w:pPr>
      <w:r>
        <w:rPr>
          <w:rFonts w:hint="eastAsia" w:ascii="宋体" w:hAnsi="宋体"/>
          <w:szCs w:val="21"/>
        </w:rPr>
        <w:t>标项二</w:t>
      </w:r>
    </w:p>
    <w:p>
      <w:pPr>
        <w:snapToGrid w:val="0"/>
        <w:ind w:firstLine="420" w:firstLineChars="200"/>
        <w:contextualSpacing/>
        <w:rPr>
          <w:rFonts w:ascii="宋体" w:hAnsi="宋体"/>
          <w:szCs w:val="21"/>
        </w:rPr>
      </w:pPr>
      <w:r>
        <w:rPr>
          <w:rFonts w:hint="eastAsia" w:ascii="宋体" w:hAnsi="宋体"/>
          <w:szCs w:val="21"/>
        </w:rPr>
        <w:t>标项</w:t>
      </w:r>
      <w:r>
        <w:rPr>
          <w:rFonts w:ascii="宋体" w:hAnsi="宋体"/>
          <w:szCs w:val="21"/>
        </w:rPr>
        <w:t>名称：</w:t>
      </w:r>
      <w:r>
        <w:rPr>
          <w:rFonts w:hint="eastAsia" w:ascii="宋体" w:hAnsi="宋体"/>
          <w:szCs w:val="21"/>
        </w:rPr>
        <w:t>嘉兴市市区交通标志、标线、护栏等更新、新增项目</w:t>
      </w:r>
    </w:p>
    <w:p>
      <w:pPr>
        <w:snapToGrid w:val="0"/>
        <w:ind w:firstLine="420" w:firstLineChars="200"/>
        <w:contextualSpacing/>
        <w:rPr>
          <w:rFonts w:ascii="宋体" w:hAnsi="宋体"/>
          <w:szCs w:val="21"/>
        </w:rPr>
      </w:pPr>
      <w:r>
        <w:rPr>
          <w:rFonts w:hint="eastAsia" w:ascii="宋体" w:hAnsi="宋体"/>
          <w:szCs w:val="21"/>
        </w:rPr>
        <w:t>数量：不限</w:t>
      </w:r>
    </w:p>
    <w:p>
      <w:pPr>
        <w:snapToGrid w:val="0"/>
        <w:ind w:firstLine="420" w:firstLineChars="200"/>
        <w:contextualSpacing/>
        <w:rPr>
          <w:rFonts w:hint="eastAsia" w:ascii="宋体" w:hAnsi="宋体"/>
          <w:szCs w:val="21"/>
        </w:rPr>
      </w:pPr>
      <w:r>
        <w:rPr>
          <w:rFonts w:ascii="宋体" w:hAnsi="宋体"/>
          <w:szCs w:val="21"/>
        </w:rPr>
        <w:t>预算金额（元）：3000000</w:t>
      </w:r>
    </w:p>
    <w:p>
      <w:pPr>
        <w:ind w:firstLine="420" w:firstLineChars="200"/>
        <w:rPr>
          <w:rFonts w:ascii="宋体" w:hAnsi="宋体"/>
          <w:iCs/>
        </w:rPr>
      </w:pPr>
      <w:r>
        <w:rPr>
          <w:rFonts w:ascii="宋体" w:hAnsi="宋体" w:cs="宋体"/>
          <w:iCs/>
        </w:rPr>
        <w:t>简要规格描述或项目基本概况介绍、用途：</w:t>
      </w:r>
      <w:r>
        <w:rPr>
          <w:rFonts w:hint="eastAsia" w:ascii="宋体" w:hAnsi="宋体" w:cs="宋体"/>
          <w:iCs/>
        </w:rPr>
        <w:t>详见采购文件。</w:t>
      </w:r>
    </w:p>
    <w:p>
      <w:pPr>
        <w:snapToGrid w:val="0"/>
        <w:ind w:firstLine="420" w:firstLineChars="200"/>
        <w:contextualSpacing/>
        <w:rPr>
          <w:rFonts w:ascii="宋体" w:hAnsi="宋体"/>
          <w:szCs w:val="21"/>
        </w:rPr>
      </w:pPr>
      <w:r>
        <w:rPr>
          <w:rFonts w:ascii="宋体" w:hAnsi="宋体"/>
          <w:szCs w:val="21"/>
        </w:rPr>
        <w:t>备注：</w:t>
      </w:r>
      <w:r>
        <w:rPr>
          <w:rFonts w:hint="eastAsia" w:ascii="宋体" w:hAnsi="宋体"/>
          <w:szCs w:val="21"/>
        </w:rPr>
        <w:t>/</w:t>
      </w:r>
    </w:p>
    <w:p>
      <w:pPr>
        <w:snapToGrid w:val="0"/>
        <w:ind w:firstLine="420" w:firstLineChars="200"/>
        <w:contextualSpacing/>
        <w:rPr>
          <w:rFonts w:ascii="宋体" w:hAnsi="宋体"/>
          <w:szCs w:val="21"/>
        </w:rPr>
      </w:pPr>
    </w:p>
    <w:p>
      <w:pPr>
        <w:snapToGrid w:val="0"/>
        <w:ind w:firstLine="420" w:firstLineChars="200"/>
        <w:contextualSpacing/>
        <w:rPr>
          <w:rFonts w:hint="eastAsia" w:ascii="宋体" w:hAnsi="宋体"/>
          <w:szCs w:val="21"/>
        </w:rPr>
      </w:pPr>
      <w:r>
        <w:rPr>
          <w:rFonts w:hint="eastAsia" w:ascii="宋体" w:hAnsi="宋体"/>
          <w:szCs w:val="21"/>
        </w:rPr>
        <w:t>标项三</w:t>
      </w:r>
    </w:p>
    <w:p>
      <w:pPr>
        <w:snapToGrid w:val="0"/>
        <w:ind w:firstLine="420" w:firstLineChars="200"/>
        <w:contextualSpacing/>
        <w:rPr>
          <w:rFonts w:ascii="宋体" w:hAnsi="宋体"/>
          <w:szCs w:val="21"/>
        </w:rPr>
      </w:pPr>
      <w:r>
        <w:rPr>
          <w:rFonts w:hint="eastAsia" w:ascii="宋体" w:hAnsi="宋体"/>
          <w:szCs w:val="21"/>
        </w:rPr>
        <w:t>标项</w:t>
      </w:r>
      <w:r>
        <w:rPr>
          <w:rFonts w:ascii="宋体" w:hAnsi="宋体"/>
          <w:szCs w:val="21"/>
        </w:rPr>
        <w:t>名称：</w:t>
      </w:r>
      <w:r>
        <w:rPr>
          <w:rFonts w:hint="eastAsia" w:ascii="宋体" w:hAnsi="宋体"/>
          <w:szCs w:val="21"/>
        </w:rPr>
        <w:t>嘉兴市市区</w:t>
      </w:r>
      <w:r>
        <w:rPr>
          <w:rFonts w:hint="eastAsia" w:ascii="宋体" w:hAnsi="宋体"/>
          <w:szCs w:val="21"/>
          <w:lang w:val="en-GB"/>
        </w:rPr>
        <w:t>交通信号灯的更新维护项目</w:t>
      </w:r>
    </w:p>
    <w:p>
      <w:pPr>
        <w:snapToGrid w:val="0"/>
        <w:ind w:firstLine="420" w:firstLineChars="200"/>
        <w:contextualSpacing/>
        <w:rPr>
          <w:rFonts w:ascii="宋体" w:hAnsi="宋体"/>
          <w:szCs w:val="21"/>
        </w:rPr>
      </w:pPr>
      <w:r>
        <w:rPr>
          <w:rFonts w:hint="eastAsia" w:ascii="宋体" w:hAnsi="宋体"/>
          <w:szCs w:val="21"/>
        </w:rPr>
        <w:t>数量：不限</w:t>
      </w:r>
    </w:p>
    <w:p>
      <w:pPr>
        <w:snapToGrid w:val="0"/>
        <w:ind w:firstLine="420" w:firstLineChars="200"/>
        <w:contextualSpacing/>
        <w:rPr>
          <w:rFonts w:hint="eastAsia" w:ascii="宋体" w:hAnsi="宋体"/>
          <w:szCs w:val="21"/>
        </w:rPr>
      </w:pPr>
      <w:r>
        <w:rPr>
          <w:rFonts w:ascii="宋体" w:hAnsi="宋体"/>
          <w:szCs w:val="21"/>
        </w:rPr>
        <w:t>预算金额（元）：2000000</w:t>
      </w:r>
    </w:p>
    <w:p>
      <w:pPr>
        <w:ind w:firstLine="420" w:firstLineChars="200"/>
        <w:rPr>
          <w:rFonts w:ascii="宋体" w:hAnsi="宋体"/>
          <w:iCs/>
        </w:rPr>
      </w:pPr>
      <w:r>
        <w:rPr>
          <w:rFonts w:ascii="宋体" w:hAnsi="宋体" w:cs="宋体"/>
          <w:iCs/>
        </w:rPr>
        <w:t>简要规格描述或项目基本概况介绍、用途：</w:t>
      </w:r>
      <w:r>
        <w:rPr>
          <w:rFonts w:hint="eastAsia" w:ascii="宋体" w:hAnsi="宋体" w:cs="宋体"/>
          <w:iCs/>
        </w:rPr>
        <w:t>详见采购文件。</w:t>
      </w:r>
    </w:p>
    <w:p>
      <w:pPr>
        <w:ind w:firstLine="420" w:firstLineChars="200"/>
        <w:rPr>
          <w:rFonts w:ascii="宋体" w:hAnsi="宋体"/>
          <w:szCs w:val="21"/>
        </w:rPr>
      </w:pPr>
      <w:r>
        <w:rPr>
          <w:rFonts w:ascii="宋体" w:hAnsi="宋体"/>
          <w:szCs w:val="21"/>
        </w:rPr>
        <w:t>备注：</w:t>
      </w:r>
      <w:r>
        <w:rPr>
          <w:rFonts w:hint="eastAsia" w:ascii="宋体" w:hAnsi="宋体"/>
          <w:szCs w:val="21"/>
        </w:rPr>
        <w:t>/</w:t>
      </w:r>
    </w:p>
    <w:p>
      <w:pPr>
        <w:snapToGrid w:val="0"/>
        <w:ind w:firstLine="420" w:firstLineChars="200"/>
        <w:contextualSpacing/>
        <w:rPr>
          <w:rFonts w:hint="eastAsia" w:ascii="宋体" w:hAnsi="宋体"/>
        </w:rPr>
      </w:pPr>
    </w:p>
    <w:p>
      <w:pPr>
        <w:ind w:firstLine="420" w:firstLineChars="200"/>
        <w:rPr>
          <w:rFonts w:ascii="宋体" w:hAnsi="宋体"/>
          <w:iCs/>
        </w:rPr>
      </w:pPr>
      <w:r>
        <w:rPr>
          <w:rFonts w:ascii="宋体" w:hAnsi="宋体"/>
          <w:iCs/>
        </w:rPr>
        <w:t>合同履约期限：标项1</w:t>
      </w:r>
      <w:r>
        <w:rPr>
          <w:rFonts w:hint="eastAsia" w:ascii="宋体" w:hAnsi="宋体"/>
          <w:iCs/>
        </w:rPr>
        <w:t>、2、3</w:t>
      </w:r>
      <w:r>
        <w:rPr>
          <w:rFonts w:ascii="宋体" w:hAnsi="宋体"/>
          <w:iCs/>
        </w:rPr>
        <w:t>，</w:t>
      </w:r>
      <w:r>
        <w:rPr>
          <w:rFonts w:hint="eastAsia" w:ascii="宋体" w:hAnsi="宋体"/>
          <w:iCs/>
        </w:rPr>
        <w:t>详见采购文件</w:t>
      </w:r>
    </w:p>
    <w:p>
      <w:pPr>
        <w:snapToGrid w:val="0"/>
        <w:ind w:firstLine="420" w:firstLineChars="200"/>
        <w:contextualSpacing/>
        <w:rPr>
          <w:rFonts w:ascii="宋体" w:hAnsi="宋体"/>
          <w:szCs w:val="21"/>
        </w:rPr>
      </w:pPr>
      <w:r>
        <w:rPr>
          <w:rFonts w:ascii="宋体" w:hAnsi="宋体"/>
          <w:szCs w:val="21"/>
        </w:rPr>
        <w:t>本项目（否）接受联合体投标。</w:t>
      </w:r>
    </w:p>
    <w:p>
      <w:pPr>
        <w:snapToGrid w:val="0"/>
        <w:contextualSpacing/>
        <w:rPr>
          <w:rFonts w:ascii="宋体" w:hAnsi="宋体"/>
          <w:b/>
          <w:bCs/>
          <w:szCs w:val="21"/>
        </w:rPr>
      </w:pPr>
      <w:r>
        <w:rPr>
          <w:rFonts w:hint="eastAsia" w:ascii="宋体" w:hAnsi="宋体"/>
          <w:b/>
          <w:bCs/>
          <w:szCs w:val="21"/>
        </w:rPr>
        <w:t>二、申请人的资格要求：</w:t>
      </w:r>
    </w:p>
    <w:p>
      <w:pPr>
        <w:snapToGrid w:val="0"/>
        <w:ind w:firstLine="420" w:firstLineChars="200"/>
        <w:contextualSpacing/>
        <w:rPr>
          <w:rFonts w:ascii="宋体" w:hAnsi="宋体"/>
          <w:szCs w:val="21"/>
        </w:rPr>
      </w:pPr>
      <w:r>
        <w:rPr>
          <w:rFonts w:ascii="宋体" w:hAnsi="宋体"/>
          <w:szCs w:val="21"/>
        </w:rPr>
        <w:t>1.满足《中华人民共和国政府采购法》第二十二条规定；未被“信用中国”（www.creditchina.gov.cn）、中国政府采购网（www.ccgp.gov.cn）列入失信被执行人、重大税收违法案件当事人名单、政府采购严重违法失信行为记录名单。</w:t>
      </w:r>
    </w:p>
    <w:p>
      <w:pPr>
        <w:ind w:firstLine="420" w:firstLineChars="200"/>
        <w:rPr>
          <w:rFonts w:ascii="宋体" w:hAnsi="宋体" w:cs="宋体"/>
          <w:iCs/>
        </w:rPr>
      </w:pPr>
      <w:r>
        <w:rPr>
          <w:rFonts w:ascii="宋体" w:hAnsi="宋体" w:cs="宋体"/>
          <w:iCs/>
        </w:rPr>
        <w:t>2.落实政府采购政策需满足的资格要求：标项1</w:t>
      </w:r>
      <w:r>
        <w:rPr>
          <w:rFonts w:hint="eastAsia" w:ascii="宋体" w:hAnsi="宋体" w:cs="宋体"/>
          <w:iCs/>
        </w:rPr>
        <w:t>、2、3</w:t>
      </w:r>
      <w:r>
        <w:rPr>
          <w:rFonts w:ascii="宋体" w:hAnsi="宋体" w:cs="宋体"/>
          <w:iCs/>
        </w:rPr>
        <w:t>：供应商为中小企业</w:t>
      </w:r>
    </w:p>
    <w:p>
      <w:pPr>
        <w:snapToGrid w:val="0"/>
        <w:ind w:firstLine="420" w:firstLineChars="200"/>
        <w:contextualSpacing/>
        <w:rPr>
          <w:rFonts w:ascii="宋体" w:hAnsi="宋体"/>
          <w:szCs w:val="21"/>
        </w:rPr>
      </w:pPr>
      <w:r>
        <w:rPr>
          <w:rFonts w:ascii="宋体" w:hAnsi="宋体"/>
          <w:szCs w:val="21"/>
        </w:rPr>
        <w:t>3.本项目的特定资格要求：</w:t>
      </w:r>
      <w:r>
        <w:rPr>
          <w:rFonts w:hint="eastAsia" w:ascii="宋体" w:hAnsi="宋体"/>
          <w:szCs w:val="21"/>
        </w:rPr>
        <w:t>无</w:t>
      </w:r>
    </w:p>
    <w:p>
      <w:pPr>
        <w:snapToGrid w:val="0"/>
        <w:contextualSpacing/>
        <w:rPr>
          <w:rFonts w:ascii="宋体" w:hAnsi="宋体"/>
          <w:b/>
          <w:bCs/>
          <w:szCs w:val="21"/>
        </w:rPr>
      </w:pPr>
      <w:r>
        <w:rPr>
          <w:rFonts w:hint="eastAsia" w:ascii="宋体" w:hAnsi="宋体"/>
          <w:b/>
          <w:bCs/>
          <w:szCs w:val="21"/>
        </w:rPr>
        <w:t>三、获取招标文件</w:t>
      </w:r>
    </w:p>
    <w:p>
      <w:pPr>
        <w:snapToGrid w:val="0"/>
        <w:ind w:firstLine="420" w:firstLineChars="200"/>
        <w:contextualSpacing/>
        <w:rPr>
          <w:rFonts w:ascii="宋体" w:hAnsi="宋体"/>
          <w:szCs w:val="21"/>
        </w:rPr>
      </w:pPr>
      <w:r>
        <w:rPr>
          <w:rFonts w:ascii="宋体" w:hAnsi="宋体"/>
          <w:szCs w:val="21"/>
        </w:rPr>
        <w:t>时间：/至2022年11月01日，每天上午00：00至12：00，下午12：00至23：59（北京时间，线上获取法定节假日均可，线下获取文件法定节假日除外）</w:t>
      </w:r>
    </w:p>
    <w:p>
      <w:pPr>
        <w:snapToGrid w:val="0"/>
        <w:ind w:firstLine="420" w:firstLineChars="200"/>
        <w:contextualSpacing/>
        <w:rPr>
          <w:rFonts w:ascii="宋体" w:hAnsi="宋体"/>
          <w:szCs w:val="21"/>
        </w:rPr>
      </w:pPr>
      <w:r>
        <w:rPr>
          <w:rFonts w:ascii="宋体" w:hAnsi="宋体"/>
          <w:szCs w:val="21"/>
        </w:rPr>
        <w:t>地点（网址）：浙江政府采购网</w:t>
      </w:r>
      <w:r>
        <w:rPr>
          <w:rFonts w:ascii="宋体" w:hAnsi="宋体"/>
        </w:rPr>
        <w:fldChar w:fldCharType="begin"/>
      </w:r>
      <w:r>
        <w:rPr>
          <w:rFonts w:ascii="宋体" w:hAnsi="宋体"/>
        </w:rPr>
        <w:instrText xml:space="preserve"> HYPERLINK "https://zfcg.czt.zj.gov.cn/" </w:instrText>
      </w:r>
      <w:r>
        <w:rPr>
          <w:rFonts w:ascii="宋体" w:hAnsi="宋体"/>
        </w:rPr>
        <w:fldChar w:fldCharType="separate"/>
      </w:r>
      <w:r>
        <w:rPr>
          <w:rStyle w:val="206"/>
          <w:rFonts w:ascii="宋体" w:hAnsi="宋体"/>
          <w:sz w:val="21"/>
          <w:szCs w:val="21"/>
        </w:rPr>
        <w:t>https：//zfcg.czt.zj.gov.cn/</w:t>
      </w:r>
      <w:r>
        <w:rPr>
          <w:rFonts w:ascii="宋体" w:hAnsi="宋体"/>
          <w:szCs w:val="21"/>
        </w:rPr>
        <w:fldChar w:fldCharType="end"/>
      </w:r>
    </w:p>
    <w:p>
      <w:pPr>
        <w:snapToGrid w:val="0"/>
        <w:ind w:firstLine="420" w:firstLineChars="200"/>
        <w:contextualSpacing/>
        <w:rPr>
          <w:rFonts w:ascii="宋体" w:hAnsi="宋体"/>
          <w:szCs w:val="21"/>
        </w:rPr>
      </w:pPr>
      <w:r>
        <w:rPr>
          <w:rFonts w:ascii="宋体" w:hAnsi="宋体"/>
          <w:szCs w:val="21"/>
        </w:rPr>
        <w:t>方式：供应商登录政采云平台https：//www.zcygov.cn/在线申请获取采购文件（进入“项目采购”应用，在获取采购文件菜单中选择项目，申请获取采购文件）</w:t>
      </w:r>
    </w:p>
    <w:p>
      <w:pPr>
        <w:snapToGrid w:val="0"/>
        <w:ind w:firstLine="420" w:firstLineChars="200"/>
        <w:contextualSpacing/>
        <w:rPr>
          <w:rFonts w:ascii="宋体" w:hAnsi="宋体"/>
          <w:szCs w:val="21"/>
        </w:rPr>
      </w:pPr>
      <w:r>
        <w:rPr>
          <w:rFonts w:ascii="宋体" w:hAnsi="宋体"/>
          <w:szCs w:val="21"/>
        </w:rPr>
        <w:t>售价（元）：0</w:t>
      </w:r>
    </w:p>
    <w:p>
      <w:pPr>
        <w:snapToGrid w:val="0"/>
        <w:contextualSpacing/>
        <w:rPr>
          <w:rFonts w:ascii="宋体" w:hAnsi="宋体"/>
          <w:b/>
          <w:bCs/>
          <w:szCs w:val="21"/>
        </w:rPr>
      </w:pPr>
      <w:r>
        <w:rPr>
          <w:rFonts w:hint="eastAsia" w:ascii="宋体" w:hAnsi="宋体"/>
          <w:b/>
          <w:bCs/>
          <w:szCs w:val="21"/>
        </w:rPr>
        <w:t>四、提交投标文件截止时间、开标时间和地点</w:t>
      </w:r>
    </w:p>
    <w:p>
      <w:pPr>
        <w:snapToGrid w:val="0"/>
        <w:ind w:firstLine="420" w:firstLineChars="200"/>
        <w:contextualSpacing/>
        <w:rPr>
          <w:rFonts w:ascii="宋体" w:hAnsi="宋体"/>
          <w:szCs w:val="21"/>
        </w:rPr>
      </w:pPr>
      <w:r>
        <w:rPr>
          <w:rFonts w:ascii="宋体" w:hAnsi="宋体"/>
          <w:szCs w:val="21"/>
        </w:rPr>
        <w:t>提交投标文件截止时间：2022年11月01日09：00（北京时间）</w:t>
      </w:r>
    </w:p>
    <w:p>
      <w:pPr>
        <w:snapToGrid w:val="0"/>
        <w:ind w:firstLine="420" w:firstLineChars="200"/>
        <w:contextualSpacing/>
        <w:rPr>
          <w:rFonts w:ascii="宋体" w:hAnsi="宋体"/>
          <w:szCs w:val="21"/>
        </w:rPr>
      </w:pPr>
      <w:r>
        <w:rPr>
          <w:rFonts w:ascii="宋体" w:hAnsi="宋体"/>
          <w:szCs w:val="21"/>
        </w:rPr>
        <w:t>投标地点（网址）：</w:t>
      </w:r>
      <w:r>
        <w:rPr>
          <w:rFonts w:hint="eastAsia" w:ascii="宋体" w:hAnsi="宋体"/>
          <w:szCs w:val="21"/>
        </w:rPr>
        <w:t>政采云线上投标</w:t>
      </w:r>
    </w:p>
    <w:p>
      <w:pPr>
        <w:snapToGrid w:val="0"/>
        <w:ind w:firstLine="420" w:firstLineChars="200"/>
        <w:contextualSpacing/>
        <w:rPr>
          <w:rFonts w:ascii="宋体" w:hAnsi="宋体"/>
          <w:szCs w:val="21"/>
        </w:rPr>
      </w:pPr>
      <w:r>
        <w:rPr>
          <w:rFonts w:ascii="宋体" w:hAnsi="宋体"/>
          <w:szCs w:val="21"/>
        </w:rPr>
        <w:t>开标时间：2022年11月01日09：00</w:t>
      </w:r>
    </w:p>
    <w:p>
      <w:pPr>
        <w:snapToGrid w:val="0"/>
        <w:ind w:firstLine="420" w:firstLineChars="200"/>
        <w:contextualSpacing/>
        <w:rPr>
          <w:rFonts w:ascii="宋体" w:hAnsi="宋体"/>
          <w:szCs w:val="21"/>
        </w:rPr>
      </w:pPr>
      <w:r>
        <w:rPr>
          <w:rFonts w:ascii="宋体" w:hAnsi="宋体"/>
          <w:szCs w:val="21"/>
        </w:rPr>
        <w:t>开标地点（网址）：</w:t>
      </w:r>
      <w:r>
        <w:rPr>
          <w:rFonts w:hint="eastAsia" w:ascii="宋体" w:hAnsi="宋体"/>
          <w:szCs w:val="21"/>
        </w:rPr>
        <w:t>嘉兴市公共资源交易中心开标室（嘉兴市广场路350号）</w:t>
      </w:r>
    </w:p>
    <w:p>
      <w:pPr>
        <w:snapToGrid w:val="0"/>
        <w:contextualSpacing/>
        <w:rPr>
          <w:rFonts w:ascii="宋体" w:hAnsi="宋体"/>
          <w:b/>
          <w:bCs/>
          <w:szCs w:val="21"/>
        </w:rPr>
      </w:pPr>
      <w:r>
        <w:rPr>
          <w:rFonts w:hint="eastAsia" w:ascii="宋体" w:hAnsi="宋体"/>
          <w:b/>
          <w:bCs/>
          <w:szCs w:val="21"/>
        </w:rPr>
        <w:t>五、公告期限</w:t>
      </w:r>
    </w:p>
    <w:p>
      <w:pPr>
        <w:snapToGrid w:val="0"/>
        <w:ind w:firstLine="420" w:firstLineChars="200"/>
        <w:contextualSpacing/>
        <w:rPr>
          <w:rFonts w:ascii="宋体" w:hAnsi="宋体"/>
          <w:szCs w:val="21"/>
        </w:rPr>
      </w:pPr>
      <w:r>
        <w:rPr>
          <w:rFonts w:ascii="宋体" w:hAnsi="宋体"/>
          <w:szCs w:val="21"/>
        </w:rPr>
        <w:t>自本公告发布之日起5个工作日。</w:t>
      </w:r>
    </w:p>
    <w:p>
      <w:pPr>
        <w:snapToGrid w:val="0"/>
        <w:contextualSpacing/>
        <w:rPr>
          <w:rFonts w:ascii="宋体" w:hAnsi="宋体"/>
          <w:b/>
          <w:bCs/>
          <w:szCs w:val="21"/>
        </w:rPr>
      </w:pPr>
      <w:r>
        <w:rPr>
          <w:rFonts w:hint="eastAsia" w:ascii="宋体" w:hAnsi="宋体"/>
          <w:b/>
          <w:bCs/>
          <w:szCs w:val="21"/>
        </w:rPr>
        <w:t>六、其他补充事宜</w:t>
      </w:r>
    </w:p>
    <w:p>
      <w:pPr>
        <w:snapToGrid w:val="0"/>
        <w:ind w:firstLine="420" w:firstLineChars="200"/>
        <w:contextualSpacing/>
        <w:rPr>
          <w:rFonts w:ascii="宋体" w:hAnsi="宋体"/>
          <w:szCs w:val="21"/>
        </w:rPr>
      </w:pPr>
      <w:r>
        <w:rPr>
          <w:rFonts w:hint="eastAsia" w:ascii="宋体" w:hAnsi="宋体"/>
          <w:szCs w:val="21"/>
        </w:rPr>
        <w:t>1.《浙江省财政厅关于进一步发挥政府采购政策功能全力推动经济稳进提质的通知》（浙财采监（2022）3号）、《浙江省财政厅关于进一步促进政府采购公平竞争打造最优营商环境的通知》（浙财采监（2021）22号）已分别于2022年1月29日和2022年2月1日开始实施，此前有关规定与上述文件内容不一致的，按上述文件要求执行。</w:t>
      </w:r>
    </w:p>
    <w:p>
      <w:pPr>
        <w:snapToGrid w:val="0"/>
        <w:ind w:firstLine="420" w:firstLineChars="200"/>
        <w:contextualSpacing/>
        <w:rPr>
          <w:rFonts w:hint="eastAsia" w:ascii="宋体" w:hAnsi="宋体"/>
          <w:szCs w:val="21"/>
        </w:rPr>
      </w:pPr>
      <w:r>
        <w:rPr>
          <w:rFonts w:hint="eastAsia" w:ascii="宋体" w:hAnsi="宋体"/>
          <w:szCs w:val="21"/>
        </w:rPr>
        <w:t>2</w:t>
      </w:r>
      <w:r>
        <w:rPr>
          <w:rFonts w:ascii="宋体" w:hAnsi="宋体"/>
          <w:szCs w:val="21"/>
        </w:rPr>
        <w:t>.</w:t>
      </w:r>
      <w:r>
        <w:rPr>
          <w:rFonts w:hint="eastAsia" w:ascii="宋体" w:hAnsi="宋体"/>
          <w:szCs w:val="21"/>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napToGrid w:val="0"/>
        <w:ind w:firstLine="420" w:firstLineChars="200"/>
        <w:contextualSpacing/>
        <w:rPr>
          <w:rFonts w:ascii="宋体" w:hAnsi="宋体"/>
          <w:szCs w:val="21"/>
        </w:rPr>
      </w:pPr>
      <w:r>
        <w:rPr>
          <w:rFonts w:hint="eastAsia" w:ascii="宋体" w:hAnsi="宋体"/>
          <w:szCs w:val="21"/>
        </w:rPr>
        <w:t>3</w:t>
      </w:r>
      <w:r>
        <w:rPr>
          <w:rFonts w:ascii="宋体" w:hAnsi="宋体"/>
          <w:szCs w:val="21"/>
        </w:rPr>
        <w:t>.</w:t>
      </w:r>
      <w:r>
        <w:rPr>
          <w:rFonts w:hint="eastAsia" w:ascii="宋体" w:hAnsi="宋体"/>
          <w:szCs w:val="21"/>
        </w:rPr>
        <w:t>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napToGrid w:val="0"/>
        <w:ind w:firstLine="420" w:firstLineChars="200"/>
        <w:contextualSpacing/>
        <w:rPr>
          <w:rFonts w:ascii="宋体" w:hAnsi="宋体"/>
          <w:szCs w:val="21"/>
        </w:rPr>
      </w:pPr>
      <w:r>
        <w:rPr>
          <w:rFonts w:ascii="宋体" w:hAnsi="宋体"/>
          <w:szCs w:val="21"/>
        </w:rPr>
        <w:t>4</w:t>
      </w:r>
      <w:r>
        <w:rPr>
          <w:rFonts w:hint="eastAsia" w:ascii="宋体" w:hAnsi="宋体"/>
          <w:szCs w:val="21"/>
        </w:rPr>
        <w:t>.其他事项：</w:t>
      </w:r>
    </w:p>
    <w:p>
      <w:pPr>
        <w:ind w:firstLine="420" w:firstLineChars="200"/>
        <w:rPr>
          <w:rFonts w:ascii="宋体" w:hAnsi="宋体"/>
          <w:szCs w:val="21"/>
        </w:rPr>
      </w:pPr>
      <w:bookmarkStart w:id="23" w:name="_Hlk115455416"/>
      <w:r>
        <w:rPr>
          <w:rFonts w:hint="eastAsia" w:ascii="宋体" w:hAnsi="宋体"/>
          <w:szCs w:val="21"/>
        </w:rPr>
        <w:t>（1）</w:t>
      </w:r>
      <w:r>
        <w:rPr>
          <w:rFonts w:ascii="宋体" w:hAnsi="宋体"/>
        </w:rPr>
        <w:t>为支持和促进中小企业发展，进一步发挥政府采购政策功能，鼓励供应商使用</w:t>
      </w:r>
      <w:r>
        <w:rPr>
          <w:rFonts w:ascii="宋体" w:hAnsi="宋体"/>
          <w:b/>
        </w:rPr>
        <w:t>保险/保函替代保证金</w:t>
      </w:r>
      <w:r>
        <w:rPr>
          <w:rFonts w:ascii="宋体" w:hAnsi="宋体"/>
        </w:rPr>
        <w:t>及</w:t>
      </w:r>
      <w:r>
        <w:rPr>
          <w:rFonts w:ascii="宋体" w:hAnsi="宋体"/>
          <w:b/>
        </w:rPr>
        <w:t>进行预付款增信</w:t>
      </w:r>
      <w:r>
        <w:rPr>
          <w:rFonts w:ascii="宋体" w:hAnsi="宋体"/>
        </w:rPr>
        <w:t>，支持供应商基于中标项目进行</w:t>
      </w:r>
      <w:r>
        <w:rPr>
          <w:rFonts w:ascii="宋体" w:hAnsi="宋体"/>
          <w:b/>
        </w:rPr>
        <w:t>应收账款融资</w:t>
      </w:r>
      <w:r>
        <w:rPr>
          <w:rFonts w:ascii="宋体" w:hAnsi="宋体"/>
        </w:rPr>
        <w:t>。中标供应商若想了解或使用相关服务，</w:t>
      </w:r>
      <w:r>
        <w:rPr>
          <w:rFonts w:hint="eastAsia" w:ascii="宋体" w:hAnsi="宋体"/>
        </w:rPr>
        <w:t>可通过政采云平台或其他渠道进行咨询。</w:t>
      </w:r>
      <w:r>
        <w:rPr>
          <w:rFonts w:ascii="宋体" w:hAnsi="宋体"/>
          <w:b/>
        </w:rPr>
        <w:t>政采云金融热线400-903-9583</w:t>
      </w:r>
      <w:r>
        <w:rPr>
          <w:rFonts w:ascii="宋体" w:hAnsi="宋体"/>
        </w:rPr>
        <w:t>，</w:t>
      </w:r>
      <w:r>
        <w:rPr>
          <w:rFonts w:hint="eastAsia" w:ascii="宋体" w:hAnsi="宋体"/>
        </w:rPr>
        <w:t>也可登录</w:t>
      </w:r>
      <w:r>
        <w:rPr>
          <w:rFonts w:ascii="宋体" w:hAnsi="宋体"/>
          <w:b/>
        </w:rPr>
        <w:t>政采云平台查看相应政策文件及各相关服务方案∶</w:t>
      </w:r>
      <w:r>
        <w:rPr>
          <w:rFonts w:ascii="宋体" w:hAnsi="宋体"/>
        </w:rPr>
        <w:t>https://jinrong.zcygov.cn/finance-service/#/home</w:t>
      </w:r>
    </w:p>
    <w:p>
      <w:pPr>
        <w:snapToGrid w:val="0"/>
        <w:ind w:firstLine="420" w:firstLineChars="200"/>
        <w:contextualSpacing/>
        <w:rPr>
          <w:rFonts w:ascii="宋体" w:hAnsi="宋体"/>
          <w:szCs w:val="21"/>
        </w:rPr>
      </w:pPr>
      <w:r>
        <w:rPr>
          <w:rFonts w:hint="eastAsia" w:ascii="宋体" w:hAnsi="宋体"/>
          <w:szCs w:val="21"/>
        </w:rPr>
        <w:t>（2）采购项目需要落实的政府采购政策：《政府采购促进中小企业发展管理办法》（财库﹝2020﹞46号）、《关于促进残疾人就业政府采购政策的通知》（财库〔2017〕141号）、《关于政府采购支持监狱企业发展有关问题的通知》（财库[2014]68号）、《关于调整优化节能产品环境标志产品政府采购执行机制的通知》（财库[2019]9号）。</w:t>
      </w:r>
    </w:p>
    <w:p>
      <w:pPr>
        <w:snapToGrid w:val="0"/>
        <w:ind w:firstLine="420" w:firstLineChars="200"/>
        <w:contextualSpacing/>
        <w:rPr>
          <w:rFonts w:ascii="宋体" w:hAnsi="宋体"/>
          <w:szCs w:val="21"/>
        </w:rPr>
      </w:pPr>
      <w:r>
        <w:rPr>
          <w:rFonts w:hint="eastAsia" w:ascii="宋体" w:hAnsi="宋体"/>
          <w:szCs w:val="21"/>
        </w:rPr>
        <w:t>（</w:t>
      </w:r>
      <w:r>
        <w:rPr>
          <w:rFonts w:ascii="宋体" w:hAnsi="宋体"/>
          <w:szCs w:val="21"/>
        </w:rPr>
        <w:t>3</w:t>
      </w:r>
      <w:r>
        <w:rPr>
          <w:rFonts w:hint="eastAsia" w:ascii="宋体" w:hAnsi="宋体"/>
          <w:szCs w:val="21"/>
        </w:rPr>
        <w:t>）本项目采取电子招投标，电子招投标有关事项说明：</w:t>
      </w:r>
    </w:p>
    <w:p>
      <w:pPr>
        <w:snapToGrid w:val="0"/>
        <w:ind w:firstLine="420" w:firstLineChars="200"/>
        <w:contextualSpacing/>
        <w:rPr>
          <w:rFonts w:ascii="宋体" w:hAnsi="宋体"/>
          <w:szCs w:val="21"/>
        </w:rPr>
      </w:pPr>
      <w:r>
        <w:rPr>
          <w:rFonts w:hint="eastAsia" w:ascii="宋体" w:hAnsi="宋体"/>
          <w:szCs w:val="21"/>
        </w:rPr>
        <w:t>A.本项目通过“浙江政府采购网（http：//zfcg.czt.zj.gov.cn）”实行电子投标，供应商须安装客户端软件，并按照采购文件和电子交易平台的要求制作投标文件。</w:t>
      </w:r>
    </w:p>
    <w:p>
      <w:pPr>
        <w:snapToGrid w:val="0"/>
        <w:ind w:firstLine="420" w:firstLineChars="200"/>
        <w:contextualSpacing/>
        <w:rPr>
          <w:rFonts w:ascii="宋体" w:hAnsi="宋体"/>
          <w:szCs w:val="21"/>
        </w:rPr>
      </w:pPr>
      <w:r>
        <w:rPr>
          <w:rFonts w:hint="eastAsia" w:ascii="宋体" w:hAnsi="宋体"/>
          <w:szCs w:val="21"/>
        </w:rPr>
        <w:t>客户端软件下载方式：供应商可通过“浙江政府采购网-下载专区-电子交易客户端”进行下载。</w:t>
      </w:r>
    </w:p>
    <w:p>
      <w:pPr>
        <w:snapToGrid w:val="0"/>
        <w:ind w:firstLine="420" w:firstLineChars="200"/>
        <w:contextualSpacing/>
        <w:rPr>
          <w:rFonts w:ascii="宋体" w:hAnsi="宋体"/>
          <w:szCs w:val="21"/>
        </w:rPr>
      </w:pPr>
      <w:r>
        <w:rPr>
          <w:rFonts w:hint="eastAsia" w:ascii="宋体" w:hAnsi="宋体"/>
          <w:szCs w:val="21"/>
        </w:rPr>
        <w:t>B.供应商须申领CA，并在浙江政府采购网完成绑定方可进行投标文件的编制，CA相关操作可参考“浙江政府采购网-下载专区-电子交易客户端-CA驱动和申领流程”。</w:t>
      </w:r>
    </w:p>
    <w:p>
      <w:pPr>
        <w:snapToGrid w:val="0"/>
        <w:ind w:firstLine="420" w:firstLineChars="200"/>
        <w:contextualSpacing/>
        <w:rPr>
          <w:rFonts w:hint="eastAsia" w:ascii="宋体" w:hAnsi="宋体"/>
          <w:szCs w:val="21"/>
        </w:rPr>
      </w:pPr>
      <w:r>
        <w:rPr>
          <w:rFonts w:hint="eastAsia" w:ascii="宋体" w:hAnsi="宋体"/>
          <w:szCs w:val="21"/>
        </w:rPr>
        <w:t>若对项目采购电子交易系统操作有疑问，可登录政采云。</w:t>
      </w:r>
    </w:p>
    <w:p>
      <w:pPr>
        <w:snapToGrid w:val="0"/>
        <w:ind w:firstLine="420" w:firstLineChars="200"/>
        <w:contextualSpacing/>
        <w:rPr>
          <w:rFonts w:hint="eastAsia" w:ascii="宋体" w:hAnsi="宋体"/>
          <w:szCs w:val="21"/>
        </w:rPr>
      </w:pPr>
      <w:r>
        <w:rPr>
          <w:rFonts w:hint="eastAsia" w:ascii="宋体" w:hAnsi="宋体"/>
          <w:szCs w:val="21"/>
        </w:rPr>
        <w:t>（</w:t>
      </w:r>
      <w:r>
        <w:rPr>
          <w:rFonts w:ascii="宋体" w:hAnsi="宋体"/>
          <w:szCs w:val="21"/>
        </w:rPr>
        <w:t>4</w:t>
      </w:r>
      <w:r>
        <w:rPr>
          <w:rFonts w:hint="eastAsia" w:ascii="宋体" w:hAnsi="宋体"/>
          <w:szCs w:val="21"/>
        </w:rPr>
        <w:t>）本采购项目，中标单位与采购人签订的政府采购合同适用于嘉兴市政府采购贷款政策，简称“政采贷”，具体内容可参阅政府采购贷款流程：http：//www.jxzbtb.cn/zxfw/005012/20181016/7e541bf4-ad29-4286-ace8-d12c1b2c54fc.html</w:t>
      </w:r>
      <w:bookmarkEnd w:id="23"/>
    </w:p>
    <w:p>
      <w:pPr>
        <w:snapToGrid w:val="0"/>
        <w:contextualSpacing/>
        <w:rPr>
          <w:rFonts w:ascii="宋体" w:hAnsi="宋体"/>
          <w:b/>
          <w:bCs/>
          <w:szCs w:val="21"/>
        </w:rPr>
      </w:pPr>
      <w:r>
        <w:rPr>
          <w:rFonts w:hint="eastAsia" w:ascii="宋体" w:hAnsi="宋体"/>
          <w:b/>
          <w:bCs/>
          <w:szCs w:val="21"/>
        </w:rPr>
        <w:t>七、对本次采购提出询问、质疑、投诉，请按以下方式联系</w:t>
      </w:r>
    </w:p>
    <w:p>
      <w:pPr>
        <w:snapToGrid w:val="0"/>
        <w:ind w:firstLine="420" w:firstLineChars="200"/>
        <w:contextualSpacing/>
        <w:rPr>
          <w:rFonts w:ascii="宋体" w:hAnsi="宋体"/>
          <w:szCs w:val="21"/>
        </w:rPr>
      </w:pPr>
      <w:r>
        <w:rPr>
          <w:rFonts w:hint="eastAsia" w:ascii="宋体" w:hAnsi="宋体"/>
          <w:szCs w:val="21"/>
        </w:rPr>
        <w:t>1.采购人信息</w:t>
      </w:r>
    </w:p>
    <w:p>
      <w:pPr>
        <w:snapToGrid w:val="0"/>
        <w:ind w:firstLine="420" w:firstLineChars="200"/>
        <w:contextualSpacing/>
        <w:rPr>
          <w:rFonts w:ascii="宋体" w:hAnsi="宋体"/>
          <w:szCs w:val="21"/>
        </w:rPr>
      </w:pPr>
      <w:r>
        <w:rPr>
          <w:rFonts w:hint="eastAsia" w:ascii="宋体" w:hAnsi="宋体"/>
          <w:szCs w:val="21"/>
        </w:rPr>
        <w:t>名称：嘉兴市公安局交通警察支队</w:t>
      </w:r>
    </w:p>
    <w:p>
      <w:pPr>
        <w:snapToGrid w:val="0"/>
        <w:ind w:firstLine="420" w:firstLineChars="200"/>
        <w:contextualSpacing/>
        <w:rPr>
          <w:rFonts w:ascii="宋体" w:hAnsi="宋体"/>
          <w:szCs w:val="21"/>
        </w:rPr>
      </w:pPr>
      <w:r>
        <w:rPr>
          <w:rFonts w:hint="eastAsia" w:ascii="宋体" w:hAnsi="宋体"/>
          <w:szCs w:val="21"/>
        </w:rPr>
        <w:t>地址：嘉兴市中山西路439号</w:t>
      </w:r>
    </w:p>
    <w:p>
      <w:pPr>
        <w:snapToGrid w:val="0"/>
        <w:ind w:firstLine="420" w:firstLineChars="200"/>
        <w:contextualSpacing/>
        <w:rPr>
          <w:rFonts w:ascii="宋体" w:hAnsi="宋体"/>
          <w:szCs w:val="21"/>
        </w:rPr>
      </w:pPr>
      <w:r>
        <w:rPr>
          <w:rFonts w:hint="eastAsia" w:ascii="宋体" w:hAnsi="宋体"/>
          <w:szCs w:val="21"/>
        </w:rPr>
        <w:t>传真：/</w:t>
      </w:r>
    </w:p>
    <w:p>
      <w:pPr>
        <w:snapToGrid w:val="0"/>
        <w:ind w:firstLine="420" w:firstLineChars="200"/>
        <w:contextualSpacing/>
        <w:rPr>
          <w:rFonts w:ascii="宋体" w:hAnsi="宋体"/>
          <w:szCs w:val="21"/>
        </w:rPr>
      </w:pPr>
      <w:r>
        <w:rPr>
          <w:rFonts w:hint="eastAsia" w:ascii="宋体" w:hAnsi="宋体"/>
          <w:szCs w:val="21"/>
        </w:rPr>
        <w:t>项目联系人（询问）：</w:t>
      </w:r>
      <w:r>
        <w:rPr>
          <w:rFonts w:hint="eastAsia" w:ascii="宋体" w:hAnsi="宋体" w:cs="宋体"/>
          <w:szCs w:val="21"/>
        </w:rPr>
        <w:t>吴警官</w:t>
      </w:r>
    </w:p>
    <w:p>
      <w:pPr>
        <w:snapToGrid w:val="0"/>
        <w:ind w:firstLine="420" w:firstLineChars="200"/>
        <w:contextualSpacing/>
        <w:rPr>
          <w:rFonts w:ascii="宋体" w:hAnsi="宋体"/>
          <w:szCs w:val="21"/>
        </w:rPr>
      </w:pPr>
      <w:r>
        <w:rPr>
          <w:rFonts w:hint="eastAsia" w:ascii="宋体" w:hAnsi="宋体"/>
          <w:szCs w:val="21"/>
        </w:rPr>
        <w:t>项目联系方式（询问）：</w:t>
      </w:r>
      <w:r>
        <w:rPr>
          <w:rFonts w:ascii="宋体" w:hAnsi="宋体" w:cs="宋体"/>
          <w:szCs w:val="21"/>
        </w:rPr>
        <w:t>0573-82086537</w:t>
      </w:r>
    </w:p>
    <w:p>
      <w:pPr>
        <w:snapToGrid w:val="0"/>
        <w:ind w:firstLine="420" w:firstLineChars="200"/>
        <w:contextualSpacing/>
        <w:rPr>
          <w:rFonts w:ascii="宋体" w:hAnsi="宋体"/>
          <w:szCs w:val="21"/>
        </w:rPr>
      </w:pPr>
      <w:r>
        <w:rPr>
          <w:rFonts w:hint="eastAsia" w:ascii="宋体" w:hAnsi="宋体"/>
          <w:szCs w:val="21"/>
        </w:rPr>
        <w:t>质疑联系人：焉警官</w:t>
      </w:r>
    </w:p>
    <w:p>
      <w:pPr>
        <w:snapToGrid w:val="0"/>
        <w:ind w:firstLine="420" w:firstLineChars="200"/>
        <w:contextualSpacing/>
        <w:rPr>
          <w:rFonts w:ascii="宋体" w:hAnsi="宋体"/>
          <w:szCs w:val="21"/>
        </w:rPr>
      </w:pPr>
      <w:r>
        <w:rPr>
          <w:rFonts w:hint="eastAsia" w:ascii="宋体" w:hAnsi="宋体"/>
          <w:szCs w:val="21"/>
        </w:rPr>
        <w:t>质疑联系方式：</w:t>
      </w:r>
      <w:r>
        <w:rPr>
          <w:rFonts w:ascii="宋体" w:hAnsi="宋体"/>
          <w:szCs w:val="21"/>
        </w:rPr>
        <w:t>13388639990</w:t>
      </w:r>
    </w:p>
    <w:p>
      <w:pPr>
        <w:snapToGrid w:val="0"/>
        <w:ind w:firstLine="420" w:firstLineChars="200"/>
        <w:contextualSpacing/>
        <w:rPr>
          <w:rFonts w:hint="eastAsia" w:ascii="宋体" w:hAnsi="宋体"/>
          <w:szCs w:val="21"/>
        </w:rPr>
      </w:pPr>
    </w:p>
    <w:p>
      <w:pPr>
        <w:snapToGrid w:val="0"/>
        <w:ind w:firstLine="420" w:firstLineChars="200"/>
        <w:contextualSpacing/>
        <w:rPr>
          <w:rFonts w:ascii="宋体" w:hAnsi="宋体"/>
          <w:szCs w:val="21"/>
        </w:rPr>
      </w:pPr>
      <w:r>
        <w:rPr>
          <w:rFonts w:hint="eastAsia" w:ascii="宋体" w:hAnsi="宋体"/>
          <w:szCs w:val="21"/>
        </w:rPr>
        <w:t>2.采购代理机构信息</w:t>
      </w:r>
    </w:p>
    <w:p>
      <w:pPr>
        <w:snapToGrid w:val="0"/>
        <w:ind w:firstLine="420" w:firstLineChars="200"/>
        <w:contextualSpacing/>
        <w:rPr>
          <w:rFonts w:ascii="宋体" w:hAnsi="宋体"/>
          <w:szCs w:val="21"/>
        </w:rPr>
      </w:pPr>
      <w:r>
        <w:rPr>
          <w:rFonts w:hint="eastAsia" w:ascii="宋体" w:hAnsi="宋体"/>
          <w:szCs w:val="21"/>
        </w:rPr>
        <w:t>名称：浙江富昱项目管理有限公司</w:t>
      </w:r>
    </w:p>
    <w:p>
      <w:pPr>
        <w:snapToGrid w:val="0"/>
        <w:ind w:firstLine="420" w:firstLineChars="200"/>
        <w:contextualSpacing/>
        <w:rPr>
          <w:rFonts w:ascii="宋体" w:hAnsi="宋体"/>
          <w:szCs w:val="21"/>
        </w:rPr>
      </w:pPr>
      <w:r>
        <w:rPr>
          <w:rFonts w:hint="eastAsia" w:ascii="宋体" w:hAnsi="宋体"/>
          <w:szCs w:val="21"/>
        </w:rPr>
        <w:t>地址：嘉兴市秀洲区高照街道丽晶广场1幢1401-1</w:t>
      </w:r>
    </w:p>
    <w:p>
      <w:pPr>
        <w:snapToGrid w:val="0"/>
        <w:ind w:firstLine="420" w:firstLineChars="200"/>
        <w:contextualSpacing/>
        <w:rPr>
          <w:rFonts w:ascii="宋体" w:hAnsi="宋体"/>
          <w:szCs w:val="21"/>
        </w:rPr>
      </w:pPr>
      <w:r>
        <w:rPr>
          <w:rFonts w:hint="eastAsia" w:ascii="宋体" w:hAnsi="宋体"/>
          <w:szCs w:val="21"/>
        </w:rPr>
        <w:t>传真：</w:t>
      </w:r>
      <w:r>
        <w:rPr>
          <w:rFonts w:ascii="宋体" w:hAnsi="宋体"/>
          <w:szCs w:val="21"/>
        </w:rPr>
        <w:t>/</w:t>
      </w:r>
    </w:p>
    <w:p>
      <w:pPr>
        <w:snapToGrid w:val="0"/>
        <w:ind w:firstLine="420" w:firstLineChars="200"/>
        <w:contextualSpacing/>
        <w:rPr>
          <w:rFonts w:ascii="宋体" w:hAnsi="宋体"/>
          <w:szCs w:val="21"/>
        </w:rPr>
      </w:pPr>
      <w:r>
        <w:rPr>
          <w:rFonts w:hint="eastAsia" w:ascii="宋体" w:hAnsi="宋体"/>
          <w:szCs w:val="21"/>
        </w:rPr>
        <w:t>项目联系人（询问）：陈娟</w:t>
      </w:r>
    </w:p>
    <w:p>
      <w:pPr>
        <w:snapToGrid w:val="0"/>
        <w:ind w:firstLine="420" w:firstLineChars="200"/>
        <w:contextualSpacing/>
        <w:rPr>
          <w:rFonts w:ascii="宋体" w:hAnsi="宋体"/>
          <w:szCs w:val="21"/>
        </w:rPr>
      </w:pPr>
      <w:r>
        <w:rPr>
          <w:rFonts w:hint="eastAsia" w:ascii="宋体" w:hAnsi="宋体"/>
          <w:szCs w:val="21"/>
        </w:rPr>
        <w:t>项目联系方式（询问）：</w:t>
      </w:r>
      <w:r>
        <w:rPr>
          <w:rFonts w:ascii="宋体" w:hAnsi="宋体"/>
          <w:szCs w:val="21"/>
        </w:rPr>
        <w:t>15888364231</w:t>
      </w:r>
    </w:p>
    <w:p>
      <w:pPr>
        <w:snapToGrid w:val="0"/>
        <w:ind w:firstLine="420" w:firstLineChars="200"/>
        <w:contextualSpacing/>
        <w:rPr>
          <w:rFonts w:ascii="宋体" w:hAnsi="宋体"/>
          <w:szCs w:val="21"/>
        </w:rPr>
      </w:pPr>
      <w:r>
        <w:rPr>
          <w:rFonts w:hint="eastAsia" w:ascii="宋体" w:hAnsi="宋体"/>
          <w:szCs w:val="21"/>
        </w:rPr>
        <w:t>质疑联系人：宋水龙</w:t>
      </w:r>
    </w:p>
    <w:p>
      <w:pPr>
        <w:snapToGrid w:val="0"/>
        <w:ind w:firstLine="420" w:firstLineChars="200"/>
        <w:contextualSpacing/>
        <w:rPr>
          <w:rFonts w:ascii="宋体" w:hAnsi="宋体"/>
          <w:szCs w:val="21"/>
        </w:rPr>
      </w:pPr>
      <w:r>
        <w:rPr>
          <w:rFonts w:hint="eastAsia" w:ascii="宋体" w:hAnsi="宋体"/>
          <w:szCs w:val="21"/>
        </w:rPr>
        <w:t>质疑联系方式：0573-82281307</w:t>
      </w:r>
    </w:p>
    <w:p>
      <w:pPr>
        <w:snapToGrid w:val="0"/>
        <w:ind w:firstLine="420" w:firstLineChars="200"/>
        <w:contextualSpacing/>
        <w:rPr>
          <w:rFonts w:hint="eastAsia" w:ascii="宋体" w:hAnsi="宋体"/>
          <w:szCs w:val="21"/>
        </w:rPr>
      </w:pPr>
    </w:p>
    <w:p>
      <w:pPr>
        <w:snapToGrid w:val="0"/>
        <w:ind w:firstLine="420" w:firstLineChars="200"/>
        <w:contextualSpacing/>
        <w:rPr>
          <w:rFonts w:ascii="宋体" w:hAnsi="宋体"/>
          <w:szCs w:val="21"/>
        </w:rPr>
      </w:pPr>
      <w:r>
        <w:rPr>
          <w:rFonts w:hint="eastAsia" w:ascii="宋体" w:hAnsi="宋体"/>
          <w:szCs w:val="21"/>
        </w:rPr>
        <w:t>3.同级政府采购监督管理部门</w:t>
      </w:r>
    </w:p>
    <w:p>
      <w:pPr>
        <w:snapToGrid w:val="0"/>
        <w:ind w:firstLine="420" w:firstLineChars="200"/>
        <w:contextualSpacing/>
        <w:rPr>
          <w:rFonts w:ascii="宋体" w:hAnsi="宋体"/>
          <w:szCs w:val="21"/>
        </w:rPr>
      </w:pPr>
      <w:r>
        <w:rPr>
          <w:rFonts w:hint="eastAsia" w:ascii="宋体" w:hAnsi="宋体"/>
          <w:szCs w:val="21"/>
        </w:rPr>
        <w:t>名称：嘉兴市财政局</w:t>
      </w:r>
    </w:p>
    <w:p>
      <w:pPr>
        <w:snapToGrid w:val="0"/>
        <w:ind w:firstLine="420" w:firstLineChars="200"/>
        <w:contextualSpacing/>
        <w:rPr>
          <w:rFonts w:ascii="宋体" w:hAnsi="宋体"/>
          <w:szCs w:val="21"/>
        </w:rPr>
      </w:pPr>
      <w:r>
        <w:rPr>
          <w:rFonts w:hint="eastAsia" w:ascii="宋体" w:hAnsi="宋体"/>
          <w:szCs w:val="21"/>
        </w:rPr>
        <w:t>地址：</w:t>
      </w:r>
      <w:r>
        <w:rPr>
          <w:rFonts w:ascii="宋体" w:hAnsi="宋体"/>
          <w:szCs w:val="21"/>
        </w:rPr>
        <w:t>嘉兴市</w:t>
      </w:r>
      <w:r>
        <w:rPr>
          <w:rFonts w:hint="eastAsia" w:ascii="宋体" w:hAnsi="宋体"/>
          <w:szCs w:val="21"/>
        </w:rPr>
        <w:t>环城西路5</w:t>
      </w:r>
      <w:r>
        <w:rPr>
          <w:rFonts w:ascii="宋体" w:hAnsi="宋体"/>
          <w:szCs w:val="21"/>
        </w:rPr>
        <w:t>5</w:t>
      </w:r>
      <w:r>
        <w:rPr>
          <w:rFonts w:hint="eastAsia" w:ascii="宋体" w:hAnsi="宋体"/>
          <w:szCs w:val="21"/>
        </w:rPr>
        <w:t>号</w:t>
      </w:r>
    </w:p>
    <w:p>
      <w:pPr>
        <w:snapToGrid w:val="0"/>
        <w:ind w:firstLine="420" w:firstLineChars="200"/>
        <w:contextualSpacing/>
        <w:rPr>
          <w:rFonts w:ascii="宋体" w:hAnsi="宋体"/>
          <w:szCs w:val="21"/>
        </w:rPr>
      </w:pPr>
      <w:r>
        <w:rPr>
          <w:rFonts w:hint="eastAsia" w:ascii="宋体" w:hAnsi="宋体"/>
          <w:szCs w:val="21"/>
        </w:rPr>
        <w:t>传真：/</w:t>
      </w:r>
    </w:p>
    <w:p>
      <w:pPr>
        <w:snapToGrid w:val="0"/>
        <w:ind w:firstLine="420" w:firstLineChars="200"/>
        <w:contextualSpacing/>
        <w:rPr>
          <w:rFonts w:ascii="宋体" w:hAnsi="宋体"/>
          <w:szCs w:val="21"/>
        </w:rPr>
      </w:pPr>
      <w:r>
        <w:rPr>
          <w:rFonts w:hint="eastAsia" w:ascii="宋体" w:hAnsi="宋体"/>
          <w:szCs w:val="21"/>
        </w:rPr>
        <w:t>联系人：嘉兴市财政局</w:t>
      </w:r>
    </w:p>
    <w:p>
      <w:pPr>
        <w:snapToGrid w:val="0"/>
        <w:ind w:firstLine="420" w:firstLineChars="200"/>
        <w:contextualSpacing/>
        <w:rPr>
          <w:rFonts w:ascii="宋体" w:hAnsi="宋体"/>
          <w:szCs w:val="21"/>
        </w:rPr>
      </w:pPr>
      <w:r>
        <w:rPr>
          <w:rFonts w:hint="eastAsia" w:ascii="宋体" w:hAnsi="宋体"/>
          <w:szCs w:val="21"/>
        </w:rPr>
        <w:t>监督投诉电话：0573-82031217</w:t>
      </w:r>
    </w:p>
    <w:p>
      <w:pPr>
        <w:snapToGrid w:val="0"/>
        <w:ind w:firstLine="420" w:firstLineChars="200"/>
        <w:contextualSpacing/>
        <w:rPr>
          <w:rFonts w:ascii="宋体" w:hAnsi="宋体"/>
          <w:szCs w:val="21"/>
        </w:rPr>
      </w:pPr>
    </w:p>
    <w:p>
      <w:pPr>
        <w:snapToGrid w:val="0"/>
        <w:contextualSpacing/>
        <w:rPr>
          <w:rFonts w:ascii="宋体" w:hAnsi="宋体"/>
          <w:sz w:val="18"/>
          <w:szCs w:val="18"/>
        </w:rPr>
      </w:pPr>
      <w:r>
        <w:rPr>
          <w:rFonts w:ascii="宋体" w:hAnsi="宋体"/>
          <w:sz w:val="18"/>
          <w:szCs w:val="18"/>
        </w:rPr>
        <w:t>若对项目采购电子交易系统操作有疑问，可登录政采云（https：//www.zcygov.cn/），点击右侧咨询小采，获取采小蜜智能服务管家帮助，或拨打政采云服务热线400-881-7190获取热线服务帮助。</w:t>
      </w:r>
    </w:p>
    <w:p>
      <w:pPr>
        <w:snapToGrid w:val="0"/>
        <w:contextualSpacing/>
        <w:rPr>
          <w:rFonts w:ascii="宋体" w:hAnsi="宋体"/>
          <w:szCs w:val="21"/>
        </w:rPr>
      </w:pPr>
      <w:r>
        <w:rPr>
          <w:rFonts w:ascii="宋体" w:hAnsi="宋体"/>
          <w:sz w:val="18"/>
          <w:szCs w:val="18"/>
        </w:rPr>
        <w:t>CA问题联系电话（人工）：汇信CA400-888-4636；天谷CA400-087-8198。</w:t>
      </w:r>
    </w:p>
    <w:p>
      <w:pPr>
        <w:pStyle w:val="3"/>
        <w:ind w:firstLine="602" w:firstLineChars="200"/>
        <w:rPr>
          <w:rFonts w:ascii="宋体" w:hAnsi="宋体"/>
        </w:rPr>
      </w:pPr>
      <w:r>
        <w:rPr>
          <w:rFonts w:hint="eastAsia" w:ascii="宋体" w:hAnsi="宋体"/>
          <w:szCs w:val="30"/>
        </w:rPr>
        <w:br w:type="page"/>
      </w:r>
      <w:bookmarkStart w:id="24" w:name="_Toc89897651"/>
      <w:bookmarkStart w:id="25" w:name="_Toc13042323"/>
      <w:r>
        <w:rPr>
          <w:rFonts w:hint="eastAsia" w:ascii="宋体" w:hAnsi="宋体"/>
        </w:rPr>
        <w:t>第二章 招标需求</w:t>
      </w:r>
      <w:bookmarkEnd w:id="24"/>
      <w:bookmarkEnd w:id="25"/>
      <w:bookmarkStart w:id="26" w:name="_Toc418711332"/>
    </w:p>
    <w:bookmarkEnd w:id="26"/>
    <w:p>
      <w:pPr>
        <w:ind w:firstLine="422" w:firstLineChars="200"/>
        <w:rPr>
          <w:rFonts w:ascii="宋体" w:hAnsi="宋体" w:cs="宋体"/>
          <w:b/>
          <w:bCs/>
          <w:szCs w:val="21"/>
        </w:rPr>
      </w:pPr>
      <w:r>
        <w:rPr>
          <w:rFonts w:hint="eastAsia" w:ascii="宋体" w:hAnsi="宋体" w:cs="宋体"/>
          <w:b/>
          <w:bCs/>
          <w:szCs w:val="21"/>
        </w:rPr>
        <w:t>一、项目概况</w:t>
      </w:r>
    </w:p>
    <w:p>
      <w:pPr>
        <w:ind w:firstLine="420" w:firstLineChars="200"/>
        <w:rPr>
          <w:rFonts w:ascii="宋体" w:hAnsi="宋体"/>
          <w:szCs w:val="21"/>
          <w:lang w:val="en-GB"/>
        </w:rPr>
      </w:pPr>
      <w:r>
        <w:rPr>
          <w:rFonts w:hint="eastAsia" w:ascii="宋体" w:hAnsi="宋体"/>
          <w:szCs w:val="21"/>
          <w:lang w:val="en-GB"/>
        </w:rPr>
        <w:t>本项目包括嘉兴市市区的交通标志、标线及交通信号灯等安全设施等维护更新的采购安装项目，本项目总投资约</w:t>
      </w:r>
      <w:r>
        <w:rPr>
          <w:rFonts w:hint="eastAsia" w:ascii="宋体" w:hAnsi="宋体"/>
          <w:szCs w:val="21"/>
        </w:rPr>
        <w:t>1359</w:t>
      </w:r>
      <w:r>
        <w:rPr>
          <w:rFonts w:hint="eastAsia" w:ascii="宋体" w:hAnsi="宋体"/>
          <w:szCs w:val="21"/>
          <w:lang w:val="en-GB"/>
        </w:rPr>
        <w:t>万元（见招标项目一览表）。包括交通标线的复划、交通信号灯的更新维护、交通标志板更新、标志杆、警示桩、杆件基础及其他交通安全设施的制作与安装以及道路交通信号灯维护更新工程；包括信号灯、支撑杆、杆件基础的制作与安装，管道、电缆的铺设等（详见采购设施清单）。</w:t>
      </w:r>
    </w:p>
    <w:p>
      <w:pPr>
        <w:ind w:firstLine="420" w:firstLineChars="200"/>
        <w:rPr>
          <w:rFonts w:hint="eastAsia" w:ascii="宋体" w:hAnsi="宋体"/>
          <w:szCs w:val="21"/>
        </w:rPr>
      </w:pPr>
      <w:r>
        <w:rPr>
          <w:rFonts w:hint="eastAsia" w:ascii="宋体" w:hAnsi="宋体"/>
          <w:szCs w:val="21"/>
        </w:rPr>
        <w:t>本次招标项目有效期为合同生效之日起一年。由嘉兴市公安局交通警察支队开具工程联系单交中标单位施工，采购数量、制作工期、安装工期根据工程项目具体商定。本项目投标报价按固定单价折扣率报价，固定单价包括材料、人工、标准附件、备品备件、专用工具、包装、运输、装卸、保险、货到就位以及安装、调试、培训、保修、利润、税金等一切费用。</w:t>
      </w:r>
    </w:p>
    <w:p>
      <w:pPr>
        <w:ind w:firstLine="422" w:firstLineChars="200"/>
        <w:rPr>
          <w:rFonts w:ascii="宋体" w:hAnsi="宋体"/>
          <w:b/>
          <w:szCs w:val="21"/>
        </w:rPr>
      </w:pPr>
      <w:r>
        <w:rPr>
          <w:rFonts w:hint="eastAsia" w:ascii="宋体" w:hAnsi="宋体"/>
          <w:b/>
          <w:szCs w:val="21"/>
        </w:rPr>
        <w:t>二、招标项目一览表</w:t>
      </w:r>
    </w:p>
    <w:p>
      <w:pPr>
        <w:ind w:firstLine="420" w:firstLineChars="200"/>
        <w:rPr>
          <w:rFonts w:ascii="宋体" w:hAnsi="宋体"/>
          <w:szCs w:val="21"/>
        </w:rPr>
      </w:pPr>
      <w:r>
        <w:rPr>
          <w:rFonts w:hint="eastAsia" w:ascii="宋体" w:hAnsi="宋体"/>
          <w:szCs w:val="21"/>
        </w:rPr>
        <w:t>本次招标共3个标项，具体内容如下表：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1"/>
        <w:gridCol w:w="3030"/>
        <w:gridCol w:w="1177"/>
        <w:gridCol w:w="679"/>
        <w:gridCol w:w="645"/>
        <w:gridCol w:w="1110"/>
        <w:gridCol w:w="1394"/>
        <w:gridCol w:w="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481"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标项</w:t>
            </w:r>
          </w:p>
        </w:tc>
        <w:tc>
          <w:tcPr>
            <w:tcW w:w="3030"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标项名称</w:t>
            </w:r>
          </w:p>
        </w:tc>
        <w:tc>
          <w:tcPr>
            <w:tcW w:w="1177"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技术、服务要求</w:t>
            </w:r>
          </w:p>
        </w:tc>
        <w:tc>
          <w:tcPr>
            <w:tcW w:w="679"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数量</w:t>
            </w:r>
          </w:p>
        </w:tc>
        <w:tc>
          <w:tcPr>
            <w:tcW w:w="645"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单位</w:t>
            </w:r>
          </w:p>
        </w:tc>
        <w:tc>
          <w:tcPr>
            <w:tcW w:w="1110"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预算</w:t>
            </w:r>
          </w:p>
          <w:p>
            <w:pPr>
              <w:spacing w:after="60" w:afterLines="25" w:line="360" w:lineRule="exact"/>
              <w:jc w:val="center"/>
              <w:rPr>
                <w:rFonts w:hint="eastAsia" w:ascii="宋体" w:hAnsi="宋体"/>
                <w:b/>
                <w:bCs/>
                <w:szCs w:val="21"/>
              </w:rPr>
            </w:pPr>
            <w:r>
              <w:rPr>
                <w:rFonts w:hint="eastAsia" w:ascii="宋体" w:hAnsi="宋体"/>
                <w:b/>
                <w:bCs/>
                <w:szCs w:val="21"/>
              </w:rPr>
              <w:t>（万元）</w:t>
            </w:r>
          </w:p>
        </w:tc>
        <w:tc>
          <w:tcPr>
            <w:tcW w:w="1394"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项目有效期</w:t>
            </w:r>
          </w:p>
        </w:tc>
        <w:tc>
          <w:tcPr>
            <w:tcW w:w="733"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交货地点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48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303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嘉兴市市区交通标线复划项目</w:t>
            </w:r>
          </w:p>
        </w:tc>
        <w:tc>
          <w:tcPr>
            <w:tcW w:w="11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详见技术需求</w:t>
            </w:r>
          </w:p>
        </w:tc>
        <w:tc>
          <w:tcPr>
            <w:tcW w:w="67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64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批</w:t>
            </w:r>
          </w:p>
        </w:tc>
        <w:tc>
          <w:tcPr>
            <w:tcW w:w="111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859</w:t>
            </w:r>
          </w:p>
        </w:tc>
        <w:tc>
          <w:tcPr>
            <w:tcW w:w="139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合同生效之日起一年</w:t>
            </w:r>
          </w:p>
        </w:tc>
        <w:tc>
          <w:tcPr>
            <w:tcW w:w="73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48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303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嘉兴市市区交通标志、标线、护栏等更新、新增项目</w:t>
            </w:r>
          </w:p>
        </w:tc>
        <w:tc>
          <w:tcPr>
            <w:tcW w:w="11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详见技术需求</w:t>
            </w:r>
          </w:p>
        </w:tc>
        <w:tc>
          <w:tcPr>
            <w:tcW w:w="67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64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批</w:t>
            </w:r>
          </w:p>
        </w:tc>
        <w:tc>
          <w:tcPr>
            <w:tcW w:w="111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139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合同生效之日起一年</w:t>
            </w:r>
          </w:p>
        </w:tc>
        <w:tc>
          <w:tcPr>
            <w:tcW w:w="73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48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w:t>
            </w:r>
          </w:p>
        </w:tc>
        <w:tc>
          <w:tcPr>
            <w:tcW w:w="303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嘉兴市市区</w:t>
            </w:r>
            <w:r>
              <w:rPr>
                <w:rFonts w:hint="eastAsia" w:ascii="宋体" w:hAnsi="宋体"/>
                <w:szCs w:val="21"/>
                <w:lang w:val="en-GB"/>
              </w:rPr>
              <w:t>交通信号灯的更新维护项目</w:t>
            </w:r>
          </w:p>
        </w:tc>
        <w:tc>
          <w:tcPr>
            <w:tcW w:w="11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详见技术需求</w:t>
            </w:r>
          </w:p>
        </w:tc>
        <w:tc>
          <w:tcPr>
            <w:tcW w:w="67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64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批</w:t>
            </w:r>
          </w:p>
        </w:tc>
        <w:tc>
          <w:tcPr>
            <w:tcW w:w="1110"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200</w:t>
            </w:r>
          </w:p>
        </w:tc>
        <w:tc>
          <w:tcPr>
            <w:tcW w:w="139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合同生效之日起一年</w:t>
            </w:r>
          </w:p>
        </w:tc>
        <w:tc>
          <w:tcPr>
            <w:tcW w:w="73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嘉兴市区</w:t>
            </w:r>
          </w:p>
        </w:tc>
      </w:tr>
    </w:tbl>
    <w:p>
      <w:pPr>
        <w:pStyle w:val="20"/>
        <w:spacing w:before="120" w:beforeLines="50"/>
        <w:ind w:firstLine="420"/>
        <w:rPr>
          <w:rFonts w:hint="eastAsia" w:ascii="宋体" w:hAnsi="宋体"/>
          <w:sz w:val="21"/>
          <w:szCs w:val="21"/>
        </w:rPr>
      </w:pPr>
      <w:r>
        <w:rPr>
          <w:rFonts w:hint="eastAsia" w:ascii="宋体" w:hAnsi="宋体"/>
          <w:sz w:val="21"/>
          <w:szCs w:val="21"/>
        </w:rPr>
        <w:t>注：本项目3个标项以</w:t>
      </w:r>
      <w:r>
        <w:rPr>
          <w:rFonts w:hint="eastAsia" w:ascii="宋体" w:hAnsi="宋体"/>
          <w:b/>
          <w:bCs/>
          <w:sz w:val="21"/>
          <w:szCs w:val="21"/>
        </w:rPr>
        <w:t>总体投标折扣率</w:t>
      </w:r>
      <w:r>
        <w:rPr>
          <w:rFonts w:hint="eastAsia" w:ascii="宋体" w:hAnsi="宋体"/>
          <w:sz w:val="21"/>
          <w:szCs w:val="21"/>
        </w:rPr>
        <w:t>进行报价，实际费用以固定单价×中标折扣率×实际采购数量据实结算。</w:t>
      </w:r>
    </w:p>
    <w:p>
      <w:pPr>
        <w:ind w:firstLine="422" w:firstLineChars="200"/>
        <w:rPr>
          <w:rFonts w:ascii="宋体" w:hAnsi="宋体"/>
          <w:b/>
          <w:szCs w:val="21"/>
        </w:rPr>
      </w:pPr>
      <w:r>
        <w:rPr>
          <w:rFonts w:hint="eastAsia" w:ascii="宋体" w:hAnsi="宋体"/>
          <w:b/>
          <w:szCs w:val="21"/>
        </w:rPr>
        <w:t>三、采购设施清单、技术要求</w:t>
      </w:r>
    </w:p>
    <w:p>
      <w:pPr>
        <w:ind w:firstLine="422" w:firstLineChars="200"/>
        <w:rPr>
          <w:rFonts w:ascii="宋体" w:hAnsi="宋体"/>
          <w:b/>
          <w:szCs w:val="21"/>
        </w:rPr>
      </w:pPr>
      <w:r>
        <w:rPr>
          <w:rFonts w:hint="eastAsia" w:ascii="宋体" w:hAnsi="宋体"/>
          <w:b/>
          <w:szCs w:val="21"/>
        </w:rPr>
        <w:t>标项1：嘉兴市市区交通标线复划项目</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582"/>
        <w:gridCol w:w="851"/>
        <w:gridCol w:w="3969"/>
        <w:gridCol w:w="708"/>
        <w:gridCol w:w="709"/>
        <w:gridCol w:w="1275"/>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28" w:hRule="atLeast"/>
        </w:trPr>
        <w:tc>
          <w:tcPr>
            <w:tcW w:w="582"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序号</w:t>
            </w:r>
          </w:p>
        </w:tc>
        <w:tc>
          <w:tcPr>
            <w:tcW w:w="851" w:type="dxa"/>
            <w:noWrap w:val="0"/>
            <w:vAlign w:val="center"/>
          </w:tcPr>
          <w:p>
            <w:pPr>
              <w:spacing w:after="60" w:afterLines="25" w:line="360" w:lineRule="exact"/>
              <w:jc w:val="center"/>
              <w:rPr>
                <w:rFonts w:ascii="宋体" w:hAnsi="宋体"/>
                <w:b/>
                <w:bCs/>
                <w:szCs w:val="21"/>
              </w:rPr>
            </w:pPr>
            <w:r>
              <w:rPr>
                <w:rFonts w:hint="eastAsia" w:ascii="宋体" w:hAnsi="宋体"/>
                <w:b/>
                <w:bCs/>
                <w:szCs w:val="21"/>
              </w:rPr>
              <w:t>货物</w:t>
            </w:r>
          </w:p>
          <w:p>
            <w:pPr>
              <w:spacing w:after="60" w:afterLines="25" w:line="360" w:lineRule="exact"/>
              <w:jc w:val="center"/>
              <w:rPr>
                <w:rFonts w:hint="eastAsia" w:ascii="宋体" w:hAnsi="宋体"/>
                <w:b/>
                <w:bCs/>
                <w:szCs w:val="21"/>
              </w:rPr>
            </w:pPr>
            <w:r>
              <w:rPr>
                <w:rFonts w:hint="eastAsia" w:ascii="宋体" w:hAnsi="宋体"/>
                <w:b/>
                <w:bCs/>
                <w:szCs w:val="21"/>
              </w:rPr>
              <w:t>名称</w:t>
            </w:r>
          </w:p>
        </w:tc>
        <w:tc>
          <w:tcPr>
            <w:tcW w:w="3969"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技术规格</w:t>
            </w:r>
          </w:p>
        </w:tc>
        <w:tc>
          <w:tcPr>
            <w:tcW w:w="708" w:type="dxa"/>
            <w:noWrap w:val="0"/>
            <w:vAlign w:val="center"/>
          </w:tcPr>
          <w:p>
            <w:pPr>
              <w:spacing w:after="60" w:afterLines="25" w:line="360" w:lineRule="exact"/>
              <w:jc w:val="center"/>
              <w:rPr>
                <w:rFonts w:ascii="宋体" w:hAnsi="宋体"/>
                <w:b/>
                <w:bCs/>
                <w:szCs w:val="21"/>
              </w:rPr>
            </w:pPr>
            <w:r>
              <w:rPr>
                <w:rFonts w:hint="eastAsia" w:ascii="宋体" w:hAnsi="宋体"/>
                <w:b/>
                <w:bCs/>
                <w:szCs w:val="21"/>
              </w:rPr>
              <w:t>计量</w:t>
            </w:r>
          </w:p>
          <w:p>
            <w:pPr>
              <w:spacing w:after="60" w:afterLines="25" w:line="360" w:lineRule="exact"/>
              <w:jc w:val="center"/>
              <w:rPr>
                <w:rFonts w:hint="eastAsia" w:ascii="宋体" w:hAnsi="宋体"/>
                <w:b/>
                <w:bCs/>
                <w:szCs w:val="21"/>
              </w:rPr>
            </w:pPr>
            <w:r>
              <w:rPr>
                <w:rFonts w:hint="eastAsia" w:ascii="宋体" w:hAnsi="宋体"/>
                <w:b/>
                <w:bCs/>
                <w:szCs w:val="21"/>
              </w:rPr>
              <w:t>单位</w:t>
            </w:r>
          </w:p>
        </w:tc>
        <w:tc>
          <w:tcPr>
            <w:tcW w:w="709" w:type="dxa"/>
            <w:noWrap w:val="0"/>
            <w:vAlign w:val="center"/>
          </w:tcPr>
          <w:p>
            <w:pPr>
              <w:spacing w:after="60" w:afterLines="25" w:line="360" w:lineRule="exact"/>
              <w:jc w:val="center"/>
              <w:rPr>
                <w:rFonts w:ascii="宋体" w:hAnsi="宋体"/>
                <w:b/>
                <w:bCs/>
                <w:szCs w:val="21"/>
              </w:rPr>
            </w:pPr>
            <w:r>
              <w:rPr>
                <w:rFonts w:hint="eastAsia" w:ascii="宋体" w:hAnsi="宋体"/>
                <w:b/>
                <w:bCs/>
                <w:szCs w:val="21"/>
              </w:rPr>
              <w:t>工程</w:t>
            </w:r>
          </w:p>
          <w:p>
            <w:pPr>
              <w:spacing w:after="60" w:afterLines="25" w:line="360" w:lineRule="exact"/>
              <w:jc w:val="center"/>
              <w:rPr>
                <w:rFonts w:hint="eastAsia" w:ascii="宋体" w:hAnsi="宋体"/>
                <w:b/>
                <w:bCs/>
                <w:szCs w:val="21"/>
              </w:rPr>
            </w:pPr>
            <w:r>
              <w:rPr>
                <w:rFonts w:hint="eastAsia" w:ascii="宋体" w:hAnsi="宋体"/>
                <w:b/>
                <w:bCs/>
                <w:szCs w:val="21"/>
              </w:rPr>
              <w:t>数量</w:t>
            </w:r>
          </w:p>
        </w:tc>
        <w:tc>
          <w:tcPr>
            <w:tcW w:w="1275" w:type="dxa"/>
            <w:noWrap w:val="0"/>
            <w:vAlign w:val="center"/>
          </w:tcPr>
          <w:p>
            <w:pPr>
              <w:spacing w:after="60" w:afterLines="25" w:line="360" w:lineRule="exact"/>
              <w:jc w:val="center"/>
              <w:rPr>
                <w:rFonts w:ascii="宋体" w:hAnsi="宋体"/>
                <w:b/>
                <w:bCs/>
                <w:szCs w:val="21"/>
              </w:rPr>
            </w:pPr>
            <w:r>
              <w:rPr>
                <w:rFonts w:hint="eastAsia" w:ascii="宋体" w:hAnsi="宋体"/>
                <w:b/>
                <w:bCs/>
                <w:szCs w:val="21"/>
              </w:rPr>
              <w:t>固定单价</w:t>
            </w:r>
          </w:p>
          <w:p>
            <w:pPr>
              <w:spacing w:after="60" w:afterLines="25" w:line="360" w:lineRule="exact"/>
              <w:jc w:val="center"/>
              <w:rPr>
                <w:rFonts w:ascii="宋体" w:hAnsi="宋体"/>
                <w:b/>
                <w:bCs/>
                <w:szCs w:val="21"/>
              </w:rPr>
            </w:pPr>
            <w:r>
              <w:rPr>
                <w:rFonts w:hint="eastAsia" w:ascii="宋体" w:hAnsi="宋体"/>
                <w:b/>
                <w:bCs/>
                <w:szCs w:val="21"/>
              </w:rPr>
              <w:t>预算金额</w:t>
            </w:r>
          </w:p>
          <w:p>
            <w:pPr>
              <w:spacing w:after="60" w:afterLines="25" w:line="360" w:lineRule="exact"/>
              <w:jc w:val="center"/>
              <w:rPr>
                <w:rFonts w:hint="eastAsia" w:ascii="宋体" w:hAnsi="宋体"/>
                <w:b/>
                <w:bCs/>
                <w:szCs w:val="21"/>
              </w:rPr>
            </w:pPr>
            <w:r>
              <w:rPr>
                <w:rFonts w:hint="eastAsia" w:ascii="宋体" w:hAnsi="宋体"/>
                <w:b/>
                <w:bCs/>
                <w:szCs w:val="21"/>
              </w:rPr>
              <w:t>（元）</w:t>
            </w:r>
          </w:p>
        </w:tc>
        <w:tc>
          <w:tcPr>
            <w:tcW w:w="993"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851"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交通标线</w:t>
            </w: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普通热熔型振动标线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ascii="宋体" w:hAnsi="宋体"/>
                <w:szCs w:val="21"/>
              </w:rPr>
            </w:pPr>
            <w:r>
              <w:rPr>
                <w:rFonts w:hint="eastAsia" w:ascii="宋体" w:hAnsi="宋体"/>
                <w:szCs w:val="21"/>
              </w:rPr>
              <w:t>140</w:t>
            </w:r>
          </w:p>
        </w:tc>
        <w:tc>
          <w:tcPr>
            <w:tcW w:w="993"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施工工艺见技术要求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7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常温型标线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7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普通热熔型反光标线（150）</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40</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热熔型反光标线（250）</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0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热熔型反光标线（350）</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85</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道路除线（机械清除）</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35</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00"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道路除线（超高压水清除）</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65</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1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交通标线清除（双组份刮涂）</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9</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双组份喷涂标线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85</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10</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双组份甩涂标线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135</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11</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双组份刮涂(点涂）标线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195</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0"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12</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双组份振动标线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235</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13</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3M雨夜反光标线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200</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14</w:t>
            </w:r>
          </w:p>
        </w:tc>
        <w:tc>
          <w:tcPr>
            <w:tcW w:w="851" w:type="dxa"/>
            <w:vMerge w:val="continue"/>
            <w:noWrap w:val="0"/>
            <w:vAlign w:val="center"/>
          </w:tcPr>
          <w:p>
            <w:pPr>
              <w:spacing w:after="60" w:afterLines="25" w:line="360" w:lineRule="exact"/>
              <w:jc w:val="center"/>
              <w:rPr>
                <w:rFonts w:hint="eastAsia" w:ascii="宋体" w:hAnsi="宋体"/>
                <w:szCs w:val="21"/>
              </w:rPr>
            </w:pP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反光水性标线</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120</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15</w:t>
            </w:r>
          </w:p>
        </w:tc>
        <w:tc>
          <w:tcPr>
            <w:tcW w:w="85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标线带</w:t>
            </w: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见技术要求</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900</w:t>
            </w:r>
          </w:p>
        </w:tc>
        <w:tc>
          <w:tcPr>
            <w:tcW w:w="993" w:type="dxa"/>
            <w:vMerge w:val="continue"/>
            <w:noWrap w:val="0"/>
            <w:vAlign w:val="center"/>
          </w:tcPr>
          <w:p>
            <w:pPr>
              <w:spacing w:after="60" w:afterLines="25" w:line="3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35" w:hRule="atLeast"/>
        </w:trPr>
        <w:tc>
          <w:tcPr>
            <w:tcW w:w="582"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16</w:t>
            </w:r>
          </w:p>
        </w:tc>
        <w:tc>
          <w:tcPr>
            <w:tcW w:w="85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彩色防滑铺装</w:t>
            </w:r>
          </w:p>
        </w:tc>
        <w:tc>
          <w:tcPr>
            <w:tcW w:w="3969" w:type="dxa"/>
            <w:noWrap w:val="0"/>
            <w:vAlign w:val="center"/>
          </w:tcPr>
          <w:p>
            <w:pPr>
              <w:spacing w:after="60" w:afterLines="25" w:line="360" w:lineRule="exact"/>
              <w:rPr>
                <w:rFonts w:hint="eastAsia" w:ascii="宋体" w:hAnsi="宋体"/>
                <w:szCs w:val="21"/>
              </w:rPr>
            </w:pPr>
            <w:r>
              <w:rPr>
                <w:rFonts w:hint="eastAsia" w:ascii="宋体" w:hAnsi="宋体"/>
                <w:szCs w:val="21"/>
              </w:rPr>
              <w:t>彩色防滑铺装（MMA甲基丙烯酸甲酯防滑树脂）见技术要求</w:t>
            </w:r>
          </w:p>
        </w:tc>
        <w:tc>
          <w:tcPr>
            <w:tcW w:w="70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275"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400</w:t>
            </w:r>
          </w:p>
        </w:tc>
        <w:tc>
          <w:tcPr>
            <w:tcW w:w="993" w:type="dxa"/>
            <w:vMerge w:val="continue"/>
            <w:noWrap w:val="0"/>
            <w:vAlign w:val="center"/>
          </w:tcPr>
          <w:p>
            <w:pPr>
              <w:spacing w:after="60" w:afterLines="25" w:line="360" w:lineRule="exact"/>
              <w:jc w:val="center"/>
              <w:rPr>
                <w:rFonts w:hint="eastAsia" w:ascii="宋体" w:hAnsi="宋体"/>
                <w:szCs w:val="21"/>
              </w:rPr>
            </w:pPr>
          </w:p>
        </w:tc>
      </w:tr>
    </w:tbl>
    <w:p>
      <w:pPr>
        <w:spacing w:before="120" w:beforeLines="50"/>
        <w:ind w:firstLine="422" w:firstLineChars="200"/>
        <w:rPr>
          <w:rFonts w:ascii="宋体" w:hAnsi="宋体"/>
          <w:b/>
          <w:szCs w:val="21"/>
          <w:lang w:val="en-GB"/>
        </w:rPr>
      </w:pPr>
      <w:r>
        <w:rPr>
          <w:rFonts w:hint="eastAsia" w:ascii="宋体" w:hAnsi="宋体"/>
          <w:b/>
          <w:szCs w:val="21"/>
          <w:lang w:val="en-GB"/>
        </w:rPr>
        <w:t>标项2：嘉兴市市区交通标志、标线、护栏等更新、新增项目</w:t>
      </w:r>
    </w:p>
    <w:tbl>
      <w:tblPr>
        <w:tblStyle w:val="53"/>
        <w:tblW w:w="9677"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
        <w:gridCol w:w="834"/>
        <w:gridCol w:w="4820"/>
        <w:gridCol w:w="709"/>
        <w:gridCol w:w="709"/>
        <w:gridCol w:w="1134"/>
        <w:gridCol w:w="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18" w:hRule="atLeast"/>
        </w:trPr>
        <w:tc>
          <w:tcPr>
            <w:tcW w:w="568"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序号</w:t>
            </w:r>
          </w:p>
        </w:tc>
        <w:tc>
          <w:tcPr>
            <w:tcW w:w="834"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货物</w:t>
            </w:r>
          </w:p>
          <w:p>
            <w:pPr>
              <w:spacing w:after="60" w:afterLines="25" w:line="360" w:lineRule="exact"/>
              <w:jc w:val="center"/>
              <w:rPr>
                <w:rFonts w:hint="eastAsia" w:ascii="宋体" w:hAnsi="宋体"/>
                <w:b/>
                <w:bCs/>
                <w:szCs w:val="21"/>
              </w:rPr>
            </w:pPr>
            <w:r>
              <w:rPr>
                <w:rFonts w:hint="eastAsia" w:ascii="宋体" w:hAnsi="宋体"/>
                <w:b/>
                <w:bCs/>
                <w:szCs w:val="21"/>
              </w:rPr>
              <w:t>名称</w:t>
            </w:r>
          </w:p>
        </w:tc>
        <w:tc>
          <w:tcPr>
            <w:tcW w:w="4820"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技术规格</w:t>
            </w:r>
          </w:p>
        </w:tc>
        <w:tc>
          <w:tcPr>
            <w:tcW w:w="709"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计量</w:t>
            </w:r>
          </w:p>
          <w:p>
            <w:pPr>
              <w:spacing w:after="60" w:afterLines="25" w:line="360" w:lineRule="exact"/>
              <w:jc w:val="center"/>
              <w:rPr>
                <w:rFonts w:hint="eastAsia" w:ascii="宋体" w:hAnsi="宋体"/>
                <w:b/>
                <w:bCs/>
                <w:szCs w:val="21"/>
              </w:rPr>
            </w:pPr>
            <w:r>
              <w:rPr>
                <w:rFonts w:hint="eastAsia" w:ascii="宋体" w:hAnsi="宋体"/>
                <w:b/>
                <w:bCs/>
                <w:szCs w:val="21"/>
              </w:rPr>
              <w:t>单位</w:t>
            </w:r>
          </w:p>
        </w:tc>
        <w:tc>
          <w:tcPr>
            <w:tcW w:w="709"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工程</w:t>
            </w:r>
          </w:p>
          <w:p>
            <w:pPr>
              <w:spacing w:after="60" w:afterLines="25" w:line="360" w:lineRule="exact"/>
              <w:jc w:val="center"/>
              <w:rPr>
                <w:rFonts w:hint="eastAsia" w:ascii="宋体" w:hAnsi="宋体"/>
                <w:b/>
                <w:bCs/>
                <w:szCs w:val="21"/>
              </w:rPr>
            </w:pPr>
            <w:r>
              <w:rPr>
                <w:rFonts w:hint="eastAsia" w:ascii="宋体" w:hAnsi="宋体"/>
                <w:b/>
                <w:bCs/>
                <w:szCs w:val="21"/>
              </w:rPr>
              <w:t>数量</w:t>
            </w:r>
          </w:p>
        </w:tc>
        <w:tc>
          <w:tcPr>
            <w:tcW w:w="1134"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固定单价</w:t>
            </w:r>
          </w:p>
          <w:p>
            <w:pPr>
              <w:spacing w:after="60" w:afterLines="25" w:line="360" w:lineRule="exact"/>
              <w:jc w:val="center"/>
              <w:rPr>
                <w:rFonts w:hint="eastAsia" w:ascii="宋体" w:hAnsi="宋体"/>
                <w:b/>
                <w:bCs/>
                <w:szCs w:val="21"/>
              </w:rPr>
            </w:pPr>
            <w:r>
              <w:rPr>
                <w:rFonts w:hint="eastAsia" w:ascii="宋体" w:hAnsi="宋体"/>
                <w:b/>
                <w:bCs/>
                <w:szCs w:val="21"/>
              </w:rPr>
              <w:t>预算金额</w:t>
            </w:r>
          </w:p>
          <w:p>
            <w:pPr>
              <w:spacing w:after="60" w:afterLines="25" w:line="360" w:lineRule="exact"/>
              <w:jc w:val="center"/>
              <w:rPr>
                <w:rFonts w:hint="eastAsia" w:ascii="宋体" w:hAnsi="宋体"/>
                <w:b/>
                <w:bCs/>
                <w:szCs w:val="21"/>
              </w:rPr>
            </w:pPr>
            <w:r>
              <w:rPr>
                <w:rFonts w:hint="eastAsia" w:ascii="宋体" w:hAnsi="宋体"/>
                <w:b/>
                <w:bCs/>
                <w:szCs w:val="21"/>
              </w:rPr>
              <w:t>（元）</w:t>
            </w:r>
          </w:p>
        </w:tc>
        <w:tc>
          <w:tcPr>
            <w:tcW w:w="903" w:type="dxa"/>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44"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8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指路标志</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标志规格：铝板厚度3mm，铝槽宽度10cm，底膜、字膜、边膜、图案反光膜Ⅳ类（超强级），采用滑动槽钢加固，与立柱采用抱箍与抱箍底衬连接。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ascii="宋体" w:hAnsi="宋体"/>
                <w:szCs w:val="21"/>
              </w:rPr>
            </w:pPr>
            <w:r>
              <w:rPr>
                <w:rFonts w:hint="eastAsia" w:ascii="宋体" w:hAnsi="宋体"/>
                <w:szCs w:val="21"/>
              </w:rPr>
              <w:t>700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0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其他标志</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标志规格：根据实际情况定；铝板厚度2mm，底膜、字膜边膜、图案反光膜Ⅳ类（超强级），采用滑动槽钢加固，与立柱采用抱箍与抱箍底衬连接。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630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2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标志规格：根据实际情况定；铝板厚度3mm，底膜、字膜边膜、图案反光膜V类（大角度），采用滑动槽钢加固，与立柱采用抱箍与抱箍底衬连接。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870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6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标志规格：根据实际情况定；铝板厚度2mm，底膜、字膜边膜、图案反光膜V类（大角度），采用滑动槽钢加固，与立柱采用抱箍与抱箍底衬连接。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820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693"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w:t>
            </w:r>
          </w:p>
        </w:tc>
        <w:tc>
          <w:tcPr>
            <w:tcW w:w="8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标志牌改版</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标志牌去膜改版：底膜、字膜、边膜、图案反光膜Ⅳ类（超强级）。</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1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小型标志</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三角形标志，规格：边长90cm；铝板厚度2mm，底膜、字膜边膜、图案反光膜Ⅳ类（超强级），采用滑动槽钢加固，与立柱采用抱箍与抱箍底衬连接。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312</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34"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三角形标志，规格：边长70cm；铝板厚度2mm，底膜、字膜边膜、图案反光膜Ⅳ类（超强级），采用滑动槽钢加固，与立柱采用抱箍与抱箍底衬连接。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215</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44"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圆形标志，规格：Φ80cm；铝板厚度2mm，底膜、字膜边膜、图案反光膜Ⅳ类（超强级），采用滑动槽钢加固，与立柱采用抱箍与抱箍底衬连接。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310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29"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9</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圆形标志，规格：Φ60cm；铝板厚度2mm，底膜、字膜边膜、图案反光膜Ⅳ类（超强级），采用滑动槽钢加固，与立柱采用抱箍与抱箍底衬连接。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189</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4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10</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八角形标志，规格：边长80cm；铝板厚度2mm，底膜、字膜边膜、图案反光膜Ⅳ类（超强级），采用滑动槽钢加固，与立柱采用抱箍与抱箍底衬连接。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445</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38"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11</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八角形标志，规格：边长60cm；铝板厚度2mm，底膜、字膜边膜、图案反光膜Ⅳ类（超强级），采用滑动槽钢加固，与立柱采用抱箍与抱箍底衬连接。</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260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92"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12</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单悬臂标志杆</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立柱：Ф377×12×9500mm；</w:t>
            </w:r>
          </w:p>
          <w:p>
            <w:pPr>
              <w:spacing w:after="60" w:afterLines="25" w:line="360" w:lineRule="exact"/>
              <w:rPr>
                <w:rFonts w:hint="eastAsia" w:ascii="宋体" w:hAnsi="宋体"/>
                <w:szCs w:val="21"/>
              </w:rPr>
            </w:pPr>
            <w:r>
              <w:rPr>
                <w:rFonts w:hint="eastAsia" w:ascii="宋体" w:hAnsi="宋体"/>
                <w:szCs w:val="21"/>
              </w:rPr>
              <w:t>横臂：Ф203×8×5500mm×3支；</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C25砼基础1600×1800×2400mm，地笼。</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36,000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22"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13</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立柱：Ф325×12×8500mm；</w:t>
            </w:r>
          </w:p>
          <w:p>
            <w:pPr>
              <w:spacing w:after="60" w:afterLines="25" w:line="360" w:lineRule="exact"/>
              <w:rPr>
                <w:rFonts w:hint="eastAsia" w:ascii="宋体" w:hAnsi="宋体"/>
                <w:szCs w:val="21"/>
              </w:rPr>
            </w:pPr>
            <w:r>
              <w:rPr>
                <w:rFonts w:hint="eastAsia" w:ascii="宋体" w:hAnsi="宋体"/>
                <w:szCs w:val="21"/>
              </w:rPr>
              <w:t>横臂：Ф180×8×5000mm×2支；</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C25砼基础：1600×1800×2200mm，地笼。</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30,000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1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14</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立柱：Ф273×10×8300mm；</w:t>
            </w:r>
          </w:p>
          <w:p>
            <w:pPr>
              <w:spacing w:after="60" w:afterLines="25" w:line="360" w:lineRule="exact"/>
              <w:rPr>
                <w:rFonts w:hint="eastAsia" w:ascii="宋体" w:hAnsi="宋体"/>
                <w:szCs w:val="21"/>
              </w:rPr>
            </w:pPr>
            <w:r>
              <w:rPr>
                <w:rFonts w:hint="eastAsia" w:ascii="宋体" w:hAnsi="宋体"/>
                <w:szCs w:val="21"/>
              </w:rPr>
              <w:t>横臂：Ф152×6×5000mm×2支；</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C25砼基础：1600×1800×2000mm，地笼。</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19,000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938"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15</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立柱：Ф219×8×7500mm；</w:t>
            </w:r>
          </w:p>
          <w:p>
            <w:pPr>
              <w:spacing w:after="60" w:afterLines="25" w:line="360" w:lineRule="exact"/>
              <w:rPr>
                <w:rFonts w:hint="eastAsia" w:ascii="宋体" w:hAnsi="宋体"/>
                <w:szCs w:val="21"/>
              </w:rPr>
            </w:pPr>
            <w:r>
              <w:rPr>
                <w:rFonts w:hint="eastAsia" w:ascii="宋体" w:hAnsi="宋体"/>
                <w:szCs w:val="21"/>
              </w:rPr>
              <w:t>横臂：Ф140×6×4500mm×2支；</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C25砼基础：1400×1600×1800mm，地笼。</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12,000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53"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16</w:t>
            </w:r>
          </w:p>
        </w:tc>
        <w:tc>
          <w:tcPr>
            <w:tcW w:w="834" w:type="dxa"/>
            <w:vMerge w:val="continue"/>
            <w:noWrap w:val="0"/>
            <w:vAlign w:val="center"/>
          </w:tcPr>
          <w:p>
            <w:pPr>
              <w:spacing w:after="60" w:afterLines="25" w:line="360" w:lineRule="exact"/>
              <w:ind w:firstLine="420" w:firstLineChars="200"/>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立柱：Ф165×6×6500mm；</w:t>
            </w:r>
          </w:p>
          <w:p>
            <w:pPr>
              <w:spacing w:after="60" w:afterLines="25" w:line="360" w:lineRule="exact"/>
              <w:rPr>
                <w:rFonts w:hint="eastAsia" w:ascii="宋体" w:hAnsi="宋体"/>
                <w:szCs w:val="21"/>
              </w:rPr>
            </w:pPr>
            <w:r>
              <w:rPr>
                <w:rFonts w:hint="eastAsia" w:ascii="宋体" w:hAnsi="宋体"/>
                <w:szCs w:val="21"/>
              </w:rPr>
              <w:t>横臂：Ф114×5×4000mm×2支；</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C25砼基础：1000×1200×1400mm，地笼。</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5,230</w:t>
            </w:r>
          </w:p>
        </w:tc>
        <w:tc>
          <w:tcPr>
            <w:tcW w:w="903" w:type="dxa"/>
            <w:noWrap w:val="0"/>
            <w:vAlign w:val="center"/>
          </w:tcPr>
          <w:p>
            <w:pPr>
              <w:spacing w:after="60" w:afterLines="25" w:line="360" w:lineRule="exact"/>
              <w:ind w:firstLine="420" w:firstLineChars="200"/>
              <w:jc w:val="center"/>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067"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17</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单柱式标志杆</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立柱：Ф89×4.5×3000mm；</w:t>
            </w:r>
          </w:p>
          <w:p>
            <w:pPr>
              <w:spacing w:after="60" w:afterLines="25" w:line="360" w:lineRule="exact"/>
              <w:rPr>
                <w:rFonts w:hint="eastAsia" w:ascii="宋体" w:hAnsi="宋体"/>
                <w:szCs w:val="21"/>
              </w:rPr>
            </w:pPr>
            <w:r>
              <w:rPr>
                <w:rFonts w:hint="eastAsia" w:ascii="宋体" w:hAnsi="宋体"/>
                <w:szCs w:val="21"/>
              </w:rPr>
              <w:t>底座：400×400×16mm；</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C25砼基础：400×600×800mm。</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750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70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18</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直埋立柱：Ф89×4.5×4000mm；</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C25砼基础：500×700×800mm。</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860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68"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19</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立柱：Ф76×3.5×3000mm；</w:t>
            </w:r>
          </w:p>
          <w:p>
            <w:pPr>
              <w:spacing w:after="60" w:afterLines="25" w:line="360" w:lineRule="exact"/>
              <w:rPr>
                <w:rFonts w:hint="eastAsia" w:ascii="宋体" w:hAnsi="宋体"/>
                <w:szCs w:val="21"/>
              </w:rPr>
            </w:pPr>
            <w:r>
              <w:rPr>
                <w:rFonts w:hint="eastAsia" w:ascii="宋体" w:hAnsi="宋体"/>
                <w:szCs w:val="21"/>
              </w:rPr>
              <w:t>底座：400×400×16mm；</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C25砼基础：400×600×800mm。</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720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2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20</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立柱：Ф76×3.5×4000mm；</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C25砼基础：500×700×800mm。</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700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51"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21</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直埋单柱式标志杆</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立柱：Ф89×4.5×3600mm；</w:t>
            </w:r>
          </w:p>
          <w:p>
            <w:pPr>
              <w:spacing w:after="60" w:afterLines="25" w:line="360" w:lineRule="exact"/>
              <w:rPr>
                <w:rFonts w:hint="eastAsia" w:ascii="宋体" w:hAnsi="宋体"/>
                <w:szCs w:val="21"/>
              </w:rPr>
            </w:pPr>
            <w:r>
              <w:rPr>
                <w:rFonts w:hint="eastAsia" w:ascii="宋体" w:hAnsi="宋体"/>
                <w:szCs w:val="21"/>
              </w:rPr>
              <w:t>材料：钢管热镀锌处理。</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720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71"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22</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直埋立柱：Ф89×4.5×4600mm；</w:t>
            </w:r>
          </w:p>
          <w:p>
            <w:pPr>
              <w:spacing w:after="60" w:afterLines="25" w:line="360" w:lineRule="exact"/>
              <w:rPr>
                <w:rFonts w:hint="eastAsia" w:ascii="宋体" w:hAnsi="宋体"/>
                <w:szCs w:val="21"/>
              </w:rPr>
            </w:pPr>
            <w:r>
              <w:rPr>
                <w:rFonts w:hint="eastAsia" w:ascii="宋体" w:hAnsi="宋体"/>
                <w:szCs w:val="21"/>
              </w:rPr>
              <w:t>材料：钢管热镀锌处理。</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790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71"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23</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立柱：Ф76×3.5×3600mm；</w:t>
            </w:r>
          </w:p>
          <w:p>
            <w:pPr>
              <w:spacing w:after="60" w:afterLines="25" w:line="360" w:lineRule="exact"/>
              <w:rPr>
                <w:rFonts w:hint="eastAsia" w:ascii="宋体" w:hAnsi="宋体"/>
                <w:szCs w:val="21"/>
              </w:rPr>
            </w:pPr>
            <w:r>
              <w:rPr>
                <w:rFonts w:hint="eastAsia" w:ascii="宋体" w:hAnsi="宋体"/>
                <w:szCs w:val="21"/>
              </w:rPr>
              <w:t>材料：钢管热镀锌处理。</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700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71"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24</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立柱：Ф76×3.5×4600mm；</w:t>
            </w:r>
          </w:p>
          <w:p>
            <w:pPr>
              <w:spacing w:after="60" w:afterLines="25" w:line="360" w:lineRule="exact"/>
              <w:rPr>
                <w:rFonts w:hint="eastAsia" w:ascii="宋体" w:hAnsi="宋体"/>
                <w:szCs w:val="21"/>
              </w:rPr>
            </w:pPr>
            <w:r>
              <w:rPr>
                <w:rFonts w:hint="eastAsia" w:ascii="宋体" w:hAnsi="宋体"/>
                <w:szCs w:val="21"/>
              </w:rPr>
              <w:t>材料：钢管热镀锌处理。</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720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571"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25</w:t>
            </w:r>
          </w:p>
        </w:tc>
        <w:tc>
          <w:tcPr>
            <w:tcW w:w="834" w:type="dxa"/>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大型吊车台班费</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班</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1,600</w:t>
            </w:r>
          </w:p>
        </w:tc>
        <w:tc>
          <w:tcPr>
            <w:tcW w:w="903" w:type="dxa"/>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4"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26</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标志牌拆除</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版面9.6㎡以上标志牌拆除及运输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730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0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27</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版面4.5㎡以上，9.6㎡以下标志牌拆除及运输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510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28</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版面3㎡以下标志牌拆除及运输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85</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29</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标志杆拆除</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Ф377单悬臂标志杆拆除及运输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1,950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Ф325单悬臂标志杆拆除及运输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1,900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31</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Ф273单悬臂标志杆拆除及运输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1,600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32</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Ф219单悬臂标志杆拆除及运输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1,350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33</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Ф189、Ф168、Ф140单悬臂标志杆拆除及运输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220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34</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Ф76、Ф89单立柱标志杆拆除及运输</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100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35</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交</w:t>
            </w:r>
          </w:p>
          <w:p>
            <w:pPr>
              <w:spacing w:after="60" w:afterLines="25" w:line="360" w:lineRule="exact"/>
              <w:jc w:val="center"/>
              <w:rPr>
                <w:rFonts w:hint="eastAsia" w:ascii="宋体" w:hAnsi="宋体"/>
                <w:szCs w:val="21"/>
              </w:rPr>
            </w:pPr>
            <w:r>
              <w:rPr>
                <w:rFonts w:hint="eastAsia" w:ascii="宋体" w:hAnsi="宋体"/>
                <w:szCs w:val="21"/>
              </w:rPr>
              <w:t>通</w:t>
            </w:r>
          </w:p>
          <w:p>
            <w:pPr>
              <w:spacing w:after="60" w:afterLines="25" w:line="360" w:lineRule="exact"/>
              <w:jc w:val="center"/>
              <w:rPr>
                <w:rFonts w:hint="eastAsia" w:ascii="宋体" w:hAnsi="宋体"/>
                <w:szCs w:val="21"/>
              </w:rPr>
            </w:pPr>
            <w:r>
              <w:rPr>
                <w:rFonts w:hint="eastAsia" w:ascii="宋体" w:hAnsi="宋体"/>
                <w:szCs w:val="21"/>
              </w:rPr>
              <w:t>隔</w:t>
            </w:r>
          </w:p>
          <w:p>
            <w:pPr>
              <w:spacing w:after="60" w:afterLines="25" w:line="360" w:lineRule="exact"/>
              <w:jc w:val="center"/>
              <w:rPr>
                <w:rFonts w:hint="eastAsia" w:ascii="宋体" w:hAnsi="宋体"/>
                <w:szCs w:val="21"/>
              </w:rPr>
            </w:pPr>
            <w:r>
              <w:rPr>
                <w:rFonts w:hint="eastAsia" w:ascii="宋体" w:hAnsi="宋体"/>
                <w:szCs w:val="21"/>
              </w:rPr>
              <w:t>离</w:t>
            </w:r>
          </w:p>
          <w:p>
            <w:pPr>
              <w:spacing w:after="60" w:afterLines="25" w:line="360" w:lineRule="exact"/>
              <w:jc w:val="center"/>
              <w:rPr>
                <w:rFonts w:hint="eastAsia" w:ascii="宋体" w:hAnsi="宋体"/>
                <w:szCs w:val="21"/>
              </w:rPr>
            </w:pPr>
            <w:r>
              <w:rPr>
                <w:rFonts w:hint="eastAsia" w:ascii="宋体" w:hAnsi="宋体"/>
                <w:szCs w:val="21"/>
              </w:rPr>
              <w:t>护</w:t>
            </w:r>
          </w:p>
          <w:p>
            <w:pPr>
              <w:spacing w:after="60" w:afterLines="25" w:line="360" w:lineRule="exact"/>
              <w:jc w:val="center"/>
              <w:rPr>
                <w:rFonts w:hint="eastAsia" w:ascii="宋体" w:hAnsi="宋体"/>
                <w:szCs w:val="21"/>
              </w:rPr>
            </w:pPr>
            <w:r>
              <w:rPr>
                <w:rFonts w:hint="eastAsia" w:ascii="宋体" w:hAnsi="宋体"/>
                <w:szCs w:val="21"/>
              </w:rPr>
              <w:t>栏</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新款防眩板道路护栏</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230</w:t>
            </w:r>
          </w:p>
        </w:tc>
        <w:tc>
          <w:tcPr>
            <w:tcW w:w="903" w:type="dxa"/>
            <w:vMerge w:val="restart"/>
            <w:noWrap w:val="0"/>
            <w:vAlign w:val="center"/>
          </w:tcPr>
          <w:p>
            <w:pPr>
              <w:spacing w:after="60" w:afterLines="25" w:line="360" w:lineRule="exact"/>
              <w:rPr>
                <w:rFonts w:hint="eastAsia" w:ascii="宋体" w:hAnsi="宋体"/>
                <w:szCs w:val="21"/>
              </w:rPr>
            </w:pPr>
            <w:r>
              <w:rPr>
                <w:rFonts w:hint="eastAsia" w:ascii="宋体" w:hAnsi="宋体"/>
                <w:szCs w:val="21"/>
              </w:rPr>
              <w:t>见技术要求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36</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镀锌钢静电喷涂护栏（中央、机非）</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280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37</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人非钢质镀锌钢静电喷涂护栏（含基础构件预埋件）</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38</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人非钢质镀锌钢静电喷涂护栏（不含基础构件预埋件）</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280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39</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船桨市政道路护栏机非护栏（2500×800）</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40</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船桨市政道路护栏机非护栏（2500×1100）</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340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41</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船桨市政道路护栏立柱160×160×800</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根</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150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42</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船桨市政道路护栏立柱160×160×1100</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根</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190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16"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43</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警</w:t>
            </w:r>
          </w:p>
          <w:p>
            <w:pPr>
              <w:spacing w:after="60" w:afterLines="25" w:line="360" w:lineRule="exact"/>
              <w:jc w:val="center"/>
              <w:rPr>
                <w:rFonts w:hint="eastAsia" w:ascii="宋体" w:hAnsi="宋体"/>
                <w:szCs w:val="21"/>
              </w:rPr>
            </w:pPr>
            <w:r>
              <w:rPr>
                <w:rFonts w:hint="eastAsia" w:ascii="宋体" w:hAnsi="宋体"/>
                <w:szCs w:val="21"/>
              </w:rPr>
              <w:t>示</w:t>
            </w:r>
          </w:p>
          <w:p>
            <w:pPr>
              <w:spacing w:after="60" w:afterLines="25" w:line="360" w:lineRule="exact"/>
              <w:jc w:val="center"/>
              <w:rPr>
                <w:rFonts w:hint="eastAsia" w:ascii="宋体" w:hAnsi="宋体"/>
                <w:szCs w:val="21"/>
              </w:rPr>
            </w:pPr>
            <w:r>
              <w:rPr>
                <w:rFonts w:hint="eastAsia" w:ascii="宋体" w:hAnsi="宋体"/>
                <w:szCs w:val="21"/>
              </w:rPr>
              <w:t>柱</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直埋立柱Ф219×6×1200；</w:t>
            </w:r>
          </w:p>
          <w:p>
            <w:pPr>
              <w:spacing w:after="60" w:afterLines="25" w:line="360" w:lineRule="exact"/>
              <w:rPr>
                <w:rFonts w:hint="eastAsia" w:ascii="宋体" w:hAnsi="宋体"/>
                <w:szCs w:val="21"/>
              </w:rPr>
            </w:pPr>
            <w:r>
              <w:rPr>
                <w:rFonts w:hint="eastAsia" w:ascii="宋体" w:hAnsi="宋体"/>
                <w:szCs w:val="21"/>
              </w:rPr>
              <w:t>材料：钢管热镀锌处理，内注混凝土；</w:t>
            </w:r>
          </w:p>
          <w:p>
            <w:pPr>
              <w:spacing w:after="60" w:afterLines="25" w:line="360" w:lineRule="exact"/>
              <w:rPr>
                <w:rFonts w:hint="eastAsia" w:ascii="宋体" w:hAnsi="宋体"/>
                <w:szCs w:val="21"/>
              </w:rPr>
            </w:pPr>
            <w:r>
              <w:rPr>
                <w:rFonts w:hint="eastAsia" w:ascii="宋体" w:hAnsi="宋体"/>
                <w:szCs w:val="21"/>
              </w:rPr>
              <w:t>C25砼基础：300×300×500mm，反光膜：Ⅳ类。</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600</w:t>
            </w:r>
          </w:p>
        </w:tc>
        <w:tc>
          <w:tcPr>
            <w:tcW w:w="903"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内</w:t>
            </w:r>
          </w:p>
          <w:p>
            <w:pPr>
              <w:spacing w:after="60" w:afterLines="25" w:line="360" w:lineRule="exact"/>
              <w:jc w:val="center"/>
              <w:rPr>
                <w:rFonts w:hint="eastAsia" w:ascii="宋体" w:hAnsi="宋体"/>
                <w:szCs w:val="21"/>
              </w:rPr>
            </w:pPr>
            <w:r>
              <w:rPr>
                <w:rFonts w:hint="eastAsia" w:ascii="宋体" w:hAnsi="宋体"/>
                <w:szCs w:val="21"/>
              </w:rPr>
              <w:t>注</w:t>
            </w:r>
          </w:p>
          <w:p>
            <w:pPr>
              <w:spacing w:after="60" w:afterLines="25" w:line="360" w:lineRule="exact"/>
              <w:jc w:val="center"/>
              <w:rPr>
                <w:rFonts w:hint="eastAsia" w:ascii="宋体" w:hAnsi="宋体"/>
                <w:szCs w:val="21"/>
              </w:rPr>
            </w:pPr>
            <w:r>
              <w:rPr>
                <w:rFonts w:hint="eastAsia" w:ascii="宋体" w:hAnsi="宋体"/>
                <w:szCs w:val="21"/>
              </w:rPr>
              <w:t>混</w:t>
            </w:r>
          </w:p>
          <w:p>
            <w:pPr>
              <w:spacing w:after="60" w:afterLines="25" w:line="360" w:lineRule="exact"/>
              <w:jc w:val="center"/>
              <w:rPr>
                <w:rFonts w:hint="eastAsia" w:ascii="宋体" w:hAnsi="宋体"/>
                <w:szCs w:val="21"/>
              </w:rPr>
            </w:pPr>
            <w:r>
              <w:rPr>
                <w:rFonts w:hint="eastAsia" w:ascii="宋体" w:hAnsi="宋体"/>
                <w:szCs w:val="21"/>
              </w:rPr>
              <w:t>凝</w:t>
            </w:r>
          </w:p>
          <w:p>
            <w:pPr>
              <w:spacing w:after="60" w:afterLines="25" w:line="360" w:lineRule="exact"/>
              <w:jc w:val="center"/>
              <w:rPr>
                <w:rFonts w:hint="eastAsia" w:ascii="宋体" w:hAnsi="宋体"/>
                <w:szCs w:val="21"/>
              </w:rPr>
            </w:pPr>
            <w:r>
              <w:rPr>
                <w:rFonts w:hint="eastAsia" w:ascii="宋体" w:hAnsi="宋体"/>
                <w:szCs w:val="21"/>
              </w:rPr>
              <w:t>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10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44</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直埋立柱Ф168×5×1200；</w:t>
            </w:r>
          </w:p>
          <w:p>
            <w:pPr>
              <w:spacing w:after="60" w:afterLines="25" w:line="360" w:lineRule="exact"/>
              <w:rPr>
                <w:rFonts w:hint="eastAsia" w:ascii="宋体" w:hAnsi="宋体"/>
                <w:szCs w:val="21"/>
              </w:rPr>
            </w:pPr>
            <w:r>
              <w:rPr>
                <w:rFonts w:hint="eastAsia" w:ascii="宋体" w:hAnsi="宋体"/>
                <w:szCs w:val="21"/>
              </w:rPr>
              <w:t>材料：钢管热镀锌处理，内注混凝土；</w:t>
            </w:r>
          </w:p>
          <w:p>
            <w:pPr>
              <w:spacing w:after="60" w:afterLines="25" w:line="360" w:lineRule="exact"/>
              <w:rPr>
                <w:rFonts w:hint="eastAsia" w:ascii="宋体" w:hAnsi="宋体"/>
                <w:szCs w:val="21"/>
              </w:rPr>
            </w:pPr>
            <w:r>
              <w:rPr>
                <w:rFonts w:hint="eastAsia" w:ascii="宋体" w:hAnsi="宋体"/>
                <w:szCs w:val="21"/>
              </w:rPr>
              <w:t>C25砼基础：300×300×500mm。</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400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10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45</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直埋立柱Ф114×6×1200mm；</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C25砼基础：300×300×500mm，反光膜：Ⅳ类。</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110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46</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直埋立柱Ф89×6×1200mm；</w:t>
            </w:r>
          </w:p>
          <w:p>
            <w:pPr>
              <w:spacing w:after="60" w:afterLines="25" w:line="360" w:lineRule="exact"/>
              <w:rPr>
                <w:rFonts w:hint="eastAsia" w:ascii="宋体" w:hAnsi="宋体"/>
                <w:szCs w:val="21"/>
              </w:rPr>
            </w:pPr>
            <w:r>
              <w:rPr>
                <w:rFonts w:hint="eastAsia" w:ascii="宋体" w:hAnsi="宋体"/>
                <w:szCs w:val="21"/>
              </w:rPr>
              <w:t>材料：钢管热镀锌处理；</w:t>
            </w:r>
          </w:p>
          <w:p>
            <w:pPr>
              <w:spacing w:after="60" w:afterLines="25" w:line="360" w:lineRule="exact"/>
              <w:rPr>
                <w:rFonts w:hint="eastAsia" w:ascii="宋体" w:hAnsi="宋体"/>
                <w:szCs w:val="21"/>
              </w:rPr>
            </w:pPr>
            <w:r>
              <w:rPr>
                <w:rFonts w:hint="eastAsia" w:ascii="宋体" w:hAnsi="宋体"/>
                <w:szCs w:val="21"/>
              </w:rPr>
              <w:t>C25砼基础：300×300×500mm，反光膜：Ⅳ类。</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280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47</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弹性隔离防炫板</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340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见技术要求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48</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D13-H80弹性防撞柱</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200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见技术要求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49</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D16-H100弹性防撞柱（含缓冲器）</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610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见技术要求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50</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D16-H100弹性防撞柱（不含缓冲器）</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300</w:t>
            </w:r>
          </w:p>
        </w:tc>
        <w:tc>
          <w:tcPr>
            <w:tcW w:w="903" w:type="dxa"/>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51</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80CMPU预埋式弹性交通柱</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135</w:t>
            </w:r>
          </w:p>
        </w:tc>
        <w:tc>
          <w:tcPr>
            <w:tcW w:w="903" w:type="dxa"/>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52</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反光道钉</w:t>
            </w: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3M反光道钉（单面）</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36</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270"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53</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rPr>
                <w:rFonts w:hint="eastAsia" w:ascii="宋体" w:hAnsi="宋体"/>
                <w:szCs w:val="21"/>
              </w:rPr>
            </w:pPr>
            <w:r>
              <w:rPr>
                <w:rFonts w:hint="eastAsia" w:ascii="宋体" w:hAnsi="宋体"/>
                <w:szCs w:val="21"/>
              </w:rPr>
              <w:t>3M反光道钉（双面）</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块</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40</w:t>
            </w:r>
          </w:p>
        </w:tc>
        <w:tc>
          <w:tcPr>
            <w:tcW w:w="903" w:type="dxa"/>
            <w:noWrap w:val="0"/>
            <w:vAlign w:val="center"/>
          </w:tcPr>
          <w:p>
            <w:pPr>
              <w:spacing w:after="60" w:afterLines="25" w:line="360" w:lineRule="exact"/>
              <w:rPr>
                <w:rFonts w:hint="eastAsia" w:ascii="宋体" w:hAnsi="宋体"/>
                <w:szCs w:val="21"/>
              </w:rPr>
            </w:pPr>
            <w:r>
              <w:rPr>
                <w:rFonts w:hint="eastAsia" w:ascii="宋体" w:hAnsi="宋体"/>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54</w:t>
            </w:r>
          </w:p>
        </w:tc>
        <w:tc>
          <w:tcPr>
            <w:tcW w:w="834" w:type="dxa"/>
            <w:vMerge w:val="restart"/>
            <w:noWrap w:val="0"/>
            <w:vAlign w:val="center"/>
          </w:tcPr>
          <w:p>
            <w:pPr>
              <w:spacing w:after="60" w:afterLines="25" w:line="360" w:lineRule="exact"/>
              <w:jc w:val="center"/>
              <w:rPr>
                <w:rFonts w:hint="eastAsia" w:ascii="宋体" w:hAnsi="宋体"/>
                <w:szCs w:val="21"/>
              </w:rPr>
            </w:pPr>
            <w:r>
              <w:rPr>
                <w:rFonts w:hint="eastAsia" w:ascii="宋体" w:hAnsi="宋体"/>
                <w:szCs w:val="21"/>
              </w:rPr>
              <w:t>交通标线</w:t>
            </w: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普通热熔型振动标线见技术要求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150</w:t>
            </w:r>
          </w:p>
        </w:tc>
        <w:tc>
          <w:tcPr>
            <w:tcW w:w="903" w:type="dxa"/>
            <w:vMerge w:val="restart"/>
            <w:noWrap w:val="0"/>
            <w:vAlign w:val="center"/>
          </w:tcPr>
          <w:p>
            <w:pPr>
              <w:spacing w:after="60" w:afterLines="25" w:line="360" w:lineRule="exact"/>
              <w:rPr>
                <w:rFonts w:hint="eastAsia" w:ascii="宋体" w:hAnsi="宋体"/>
                <w:szCs w:val="21"/>
              </w:rPr>
            </w:pPr>
            <w:r>
              <w:rPr>
                <w:rFonts w:hint="eastAsia" w:ascii="宋体" w:hAnsi="宋体"/>
                <w:szCs w:val="21"/>
              </w:rPr>
              <w:t>施工工艺见技术要求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55</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常温型标线见技术要求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56</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普通热熔型反光标线（150）见技术要求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57</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热熔型反光标线（250）见技术要求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58</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热熔型反光标线（350）见技术要求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59</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道路除线（机械清除）</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35</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60</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道路除线（热熔标线超高压水清除）</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65</w:t>
            </w:r>
          </w:p>
        </w:tc>
        <w:tc>
          <w:tcPr>
            <w:tcW w:w="903" w:type="dxa"/>
            <w:vMerge w:val="continue"/>
            <w:noWrap w:val="0"/>
            <w:vAlign w:val="center"/>
          </w:tcPr>
          <w:p>
            <w:pPr>
              <w:spacing w:after="60" w:afterLines="25" w:line="360" w:lineRule="exact"/>
              <w:rPr>
                <w:rFonts w:hint="eastAsia" w:ascii="宋体" w:hAnsi="宋体"/>
                <w:szCs w:val="21"/>
              </w:rPr>
            </w:pPr>
          </w:p>
        </w:tc>
      </w:tr>
      <w:tr>
        <w:tblPrEx>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61</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交通标线清除（双组份刮涂）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62</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双组份喷涂标线见技术要求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85</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63</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双组份甩涂标线见技术要求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135</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64</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双组份刮涂(点涂）标线见技术要求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195</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65</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双组份振动标线见技术要求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235</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66</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3M雨夜反光标线见技术要求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200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9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67</w:t>
            </w:r>
          </w:p>
        </w:tc>
        <w:tc>
          <w:tcPr>
            <w:tcW w:w="834" w:type="dxa"/>
            <w:vMerge w:val="continue"/>
            <w:noWrap w:val="0"/>
            <w:vAlign w:val="center"/>
          </w:tcPr>
          <w:p>
            <w:pPr>
              <w:spacing w:after="60" w:afterLines="25" w:line="360" w:lineRule="exact"/>
              <w:jc w:val="center"/>
              <w:rPr>
                <w:rFonts w:hint="eastAsia" w:ascii="宋体" w:hAnsi="宋体"/>
                <w:szCs w:val="21"/>
              </w:rPr>
            </w:pP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反光水性标线见技术要求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120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5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68</w:t>
            </w:r>
          </w:p>
        </w:tc>
        <w:tc>
          <w:tcPr>
            <w:tcW w:w="8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彩色防滑铺装</w:t>
            </w: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标线带见技术要求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900</w:t>
            </w:r>
          </w:p>
        </w:tc>
        <w:tc>
          <w:tcPr>
            <w:tcW w:w="903" w:type="dxa"/>
            <w:vMerge w:val="continue"/>
            <w:noWrap w:val="0"/>
            <w:vAlign w:val="center"/>
          </w:tcPr>
          <w:p>
            <w:pPr>
              <w:spacing w:after="60" w:afterLines="25" w:line="360" w:lineRule="exact"/>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855" w:hRule="atLeast"/>
        </w:trPr>
        <w:tc>
          <w:tcPr>
            <w:tcW w:w="56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69</w:t>
            </w:r>
          </w:p>
        </w:tc>
        <w:tc>
          <w:tcPr>
            <w:tcW w:w="8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标线带</w:t>
            </w:r>
          </w:p>
        </w:tc>
        <w:tc>
          <w:tcPr>
            <w:tcW w:w="4820" w:type="dxa"/>
            <w:noWrap w:val="0"/>
            <w:vAlign w:val="center"/>
          </w:tcPr>
          <w:p>
            <w:pPr>
              <w:spacing w:after="60" w:afterLines="25" w:line="360" w:lineRule="exact"/>
              <w:jc w:val="left"/>
              <w:rPr>
                <w:rFonts w:hint="eastAsia" w:ascii="宋体" w:hAnsi="宋体"/>
                <w:szCs w:val="21"/>
              </w:rPr>
            </w:pPr>
            <w:r>
              <w:rPr>
                <w:rFonts w:hint="eastAsia" w:ascii="宋体" w:hAnsi="宋体"/>
                <w:szCs w:val="21"/>
              </w:rPr>
              <w:t>彩色防滑铺装（MMA甲基丙烯酸甲酯防滑树脂）见技术要求</w:t>
            </w:r>
          </w:p>
        </w:tc>
        <w:tc>
          <w:tcPr>
            <w:tcW w:w="709"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w:t>
            </w:r>
          </w:p>
        </w:tc>
        <w:tc>
          <w:tcPr>
            <w:tcW w:w="709" w:type="dxa"/>
            <w:noWrap w:val="0"/>
            <w:vAlign w:val="center"/>
          </w:tcPr>
          <w:p>
            <w:pPr>
              <w:spacing w:after="60" w:afterLines="25" w:line="360" w:lineRule="exact"/>
              <w:ind w:firstLine="210" w:firstLineChars="100"/>
              <w:jc w:val="center"/>
              <w:rPr>
                <w:rFonts w:hint="eastAsia" w:ascii="宋体" w:hAnsi="宋体"/>
                <w:szCs w:val="21"/>
              </w:rPr>
            </w:pPr>
            <w:r>
              <w:rPr>
                <w:rFonts w:hint="eastAsia" w:ascii="宋体" w:hAnsi="宋体"/>
                <w:szCs w:val="21"/>
              </w:rPr>
              <w:t>1</w:t>
            </w:r>
          </w:p>
        </w:tc>
        <w:tc>
          <w:tcPr>
            <w:tcW w:w="1134"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400</w:t>
            </w:r>
          </w:p>
        </w:tc>
        <w:tc>
          <w:tcPr>
            <w:tcW w:w="903" w:type="dxa"/>
            <w:noWrap w:val="0"/>
            <w:vAlign w:val="top"/>
          </w:tcPr>
          <w:p>
            <w:pPr>
              <w:spacing w:after="60" w:afterLines="25" w:line="360" w:lineRule="exact"/>
              <w:rPr>
                <w:rFonts w:hint="eastAsia" w:ascii="宋体" w:hAnsi="宋体"/>
                <w:szCs w:val="21"/>
              </w:rPr>
            </w:pPr>
          </w:p>
        </w:tc>
      </w:tr>
    </w:tbl>
    <w:p>
      <w:pPr>
        <w:spacing w:before="120" w:beforeLines="50"/>
        <w:ind w:firstLine="422" w:firstLineChars="200"/>
        <w:rPr>
          <w:rFonts w:hint="eastAsia" w:ascii="宋体" w:hAnsi="宋体"/>
          <w:b/>
          <w:szCs w:val="21"/>
          <w:lang w:val="en-GB"/>
        </w:rPr>
      </w:pPr>
      <w:r>
        <w:rPr>
          <w:rFonts w:hint="eastAsia" w:ascii="宋体" w:hAnsi="宋体"/>
          <w:b/>
          <w:szCs w:val="21"/>
          <w:lang w:val="en-GB"/>
        </w:rPr>
        <w:t>注：▲1、所有标志反光膜均采用3M或具有同等质量的产品。</w:t>
      </w:r>
    </w:p>
    <w:p>
      <w:pPr>
        <w:pStyle w:val="20"/>
        <w:spacing w:before="120" w:beforeLines="50"/>
        <w:ind w:firstLine="1048" w:firstLineChars="497"/>
        <w:rPr>
          <w:rFonts w:ascii="宋体" w:hAnsi="宋体"/>
          <w:b/>
          <w:bCs/>
          <w:sz w:val="21"/>
          <w:szCs w:val="21"/>
        </w:rPr>
      </w:pPr>
      <w:r>
        <w:rPr>
          <w:rFonts w:ascii="宋体" w:hAnsi="宋体" w:cs="宋体"/>
          <w:b/>
          <w:bCs/>
          <w:sz w:val="21"/>
          <w:szCs w:val="21"/>
        </w:rPr>
        <w:t>2</w:t>
      </w:r>
      <w:r>
        <w:rPr>
          <w:rFonts w:hint="eastAsia" w:ascii="宋体" w:hAnsi="宋体" w:cs="宋体"/>
          <w:b/>
          <w:bCs/>
          <w:sz w:val="21"/>
          <w:szCs w:val="21"/>
        </w:rPr>
        <w:t>、提交投标文件的同时，提供船桨市政道路护栏机非护栏、D13-H80弹性防撞柱、反光道</w:t>
      </w:r>
      <w:r>
        <w:rPr>
          <w:rFonts w:hint="eastAsia" w:ascii="宋体" w:hAnsi="宋体"/>
          <w:b/>
          <w:bCs/>
          <w:sz w:val="21"/>
          <w:szCs w:val="21"/>
        </w:rPr>
        <w:t>钉（双面）样品各1套。</w:t>
      </w:r>
    </w:p>
    <w:p>
      <w:pPr>
        <w:pStyle w:val="20"/>
        <w:ind w:firstLine="422"/>
        <w:rPr>
          <w:rFonts w:ascii="宋体" w:hAnsi="宋体"/>
          <w:b/>
          <w:bCs/>
          <w:sz w:val="21"/>
          <w:szCs w:val="21"/>
        </w:rPr>
      </w:pPr>
      <w:r>
        <w:rPr>
          <w:rFonts w:hint="eastAsia" w:ascii="宋体" w:hAnsi="宋体"/>
          <w:b/>
          <w:bCs/>
          <w:sz w:val="21"/>
          <w:szCs w:val="21"/>
        </w:rPr>
        <w:t>（1）样品要求：船桨式镀锌钢静电喷涂护栏样品（包括立柱、底座、反射器等），长度：2.5m,高度：0.8m；颜色：国际灰颜色（灰色RAL7015），1.25m表面涂层处理，1.25m不得表面涂层处理；</w:t>
      </w:r>
    </w:p>
    <w:p>
      <w:pPr>
        <w:pStyle w:val="20"/>
        <w:ind w:firstLine="422"/>
        <w:rPr>
          <w:rFonts w:ascii="宋体" w:hAnsi="宋体"/>
          <w:b/>
          <w:bCs/>
          <w:sz w:val="21"/>
          <w:szCs w:val="21"/>
        </w:rPr>
      </w:pPr>
      <w:r>
        <w:rPr>
          <w:rFonts w:hint="eastAsia" w:ascii="宋体" w:hAnsi="宋体"/>
          <w:b/>
          <w:bCs/>
          <w:sz w:val="21"/>
          <w:szCs w:val="21"/>
        </w:rPr>
        <w:t>（2）送达时间：投标截止时间前需送至嘉兴市公共资源交易中心一楼南侧样品处（嘉兴市广场路350号），所提供样品的费用由投标单位自行负责（进入嘉兴市公共资源交易中心主动扫“场所码”，主动出示“健康码”“行程卡”“48小时核酸检测证明”等相关信息，配合测量个人体温，无异常状况后方可进入开评标场所）。</w:t>
      </w:r>
    </w:p>
    <w:p>
      <w:pPr>
        <w:pStyle w:val="20"/>
        <w:ind w:firstLine="422"/>
        <w:rPr>
          <w:rFonts w:ascii="宋体" w:hAnsi="宋体"/>
          <w:b/>
          <w:bCs/>
          <w:sz w:val="21"/>
          <w:szCs w:val="21"/>
        </w:rPr>
      </w:pPr>
      <w:r>
        <w:rPr>
          <w:rFonts w:hint="eastAsia" w:ascii="宋体" w:hAnsi="宋体"/>
          <w:b/>
          <w:bCs/>
          <w:sz w:val="21"/>
          <w:szCs w:val="21"/>
        </w:rPr>
        <w:t>（3）请将供应商全称及联系方式密封在样品上，密封外侧不得体现供应商相关信息，否则将拒收；</w:t>
      </w:r>
    </w:p>
    <w:p>
      <w:pPr>
        <w:ind w:firstLine="422" w:firstLineChars="200"/>
        <w:rPr>
          <w:rFonts w:ascii="宋体" w:hAnsi="宋体"/>
          <w:b/>
          <w:szCs w:val="21"/>
          <w:lang w:val="en-GB"/>
        </w:rPr>
      </w:pPr>
      <w:r>
        <w:rPr>
          <w:rFonts w:hint="eastAsia" w:ascii="宋体" w:hAnsi="宋体"/>
          <w:b/>
          <w:bCs/>
          <w:szCs w:val="21"/>
        </w:rPr>
        <w:t>（4）样品的退还：中标人所提供的货物样品不予退还，由采购单位封存作为验收依据，未中标单位可在公示结束后2个工作日内取回样品，逾期将由采购人自行处理。</w:t>
      </w:r>
    </w:p>
    <w:p>
      <w:pPr>
        <w:ind w:firstLine="422" w:firstLineChars="200"/>
        <w:rPr>
          <w:rFonts w:hint="eastAsia" w:ascii="宋体" w:hAnsi="宋体"/>
          <w:b/>
          <w:szCs w:val="21"/>
          <w:lang w:val="en-GB"/>
        </w:rPr>
      </w:pPr>
      <w:r>
        <w:rPr>
          <w:rFonts w:hint="eastAsia" w:ascii="宋体" w:hAnsi="宋体"/>
          <w:b/>
          <w:szCs w:val="21"/>
          <w:lang w:val="en-GB"/>
        </w:rPr>
        <w:t>标项3：道路交通信号灯的维护更新项目</w:t>
      </w:r>
    </w:p>
    <w:tbl>
      <w:tblPr>
        <w:tblStyle w:val="53"/>
        <w:tblW w:w="9498" w:type="dxa"/>
        <w:tblInd w:w="-269" w:type="dxa"/>
        <w:tblLayout w:type="fixed"/>
        <w:tblCellMar>
          <w:top w:w="15" w:type="dxa"/>
          <w:left w:w="15" w:type="dxa"/>
          <w:bottom w:w="15" w:type="dxa"/>
          <w:right w:w="15" w:type="dxa"/>
        </w:tblCellMar>
      </w:tblPr>
      <w:tblGrid>
        <w:gridCol w:w="568"/>
        <w:gridCol w:w="1134"/>
        <w:gridCol w:w="5245"/>
        <w:gridCol w:w="705"/>
        <w:gridCol w:w="720"/>
        <w:gridCol w:w="1126"/>
      </w:tblGrid>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序号</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货物名称</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b/>
                <w:bCs/>
                <w:szCs w:val="21"/>
              </w:rPr>
            </w:pPr>
            <w:r>
              <w:rPr>
                <w:rFonts w:hint="eastAsia" w:ascii="宋体" w:hAnsi="宋体"/>
                <w:b/>
                <w:bCs/>
                <w:szCs w:val="21"/>
              </w:rPr>
              <w:t>技术规格</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计量</w:t>
            </w:r>
          </w:p>
          <w:p>
            <w:pPr>
              <w:spacing w:after="60" w:afterLines="25" w:line="360" w:lineRule="exact"/>
              <w:jc w:val="center"/>
              <w:rPr>
                <w:rFonts w:hint="eastAsia" w:ascii="宋体" w:hAnsi="宋体"/>
                <w:b/>
                <w:bCs/>
                <w:szCs w:val="21"/>
              </w:rPr>
            </w:pPr>
            <w:r>
              <w:rPr>
                <w:rFonts w:hint="eastAsia" w:ascii="宋体" w:hAnsi="宋体"/>
                <w:b/>
                <w:bCs/>
                <w:szCs w:val="21"/>
              </w:rPr>
              <w:t>单位</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工程</w:t>
            </w:r>
          </w:p>
          <w:p>
            <w:pPr>
              <w:spacing w:after="60" w:afterLines="25" w:line="360" w:lineRule="exact"/>
              <w:jc w:val="center"/>
              <w:rPr>
                <w:rFonts w:hint="eastAsia" w:ascii="宋体" w:hAnsi="宋体"/>
                <w:b/>
                <w:bCs/>
                <w:szCs w:val="21"/>
              </w:rPr>
            </w:pPr>
            <w:r>
              <w:rPr>
                <w:rFonts w:hint="eastAsia" w:ascii="宋体" w:hAnsi="宋体"/>
                <w:b/>
                <w:bCs/>
                <w:szCs w:val="21"/>
              </w:rPr>
              <w:t>数量</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b/>
                <w:bCs/>
                <w:szCs w:val="21"/>
              </w:rPr>
            </w:pPr>
            <w:r>
              <w:rPr>
                <w:rFonts w:hint="eastAsia" w:ascii="宋体" w:hAnsi="宋体"/>
                <w:b/>
                <w:bCs/>
                <w:szCs w:val="21"/>
              </w:rPr>
              <w:t>固定单价</w:t>
            </w:r>
          </w:p>
          <w:p>
            <w:pPr>
              <w:spacing w:after="60" w:afterLines="25" w:line="360" w:lineRule="exact"/>
              <w:jc w:val="center"/>
              <w:rPr>
                <w:rFonts w:ascii="宋体" w:hAnsi="宋体"/>
                <w:b/>
                <w:bCs/>
                <w:szCs w:val="21"/>
              </w:rPr>
            </w:pPr>
            <w:r>
              <w:rPr>
                <w:rFonts w:hint="eastAsia" w:ascii="宋体" w:hAnsi="宋体"/>
                <w:b/>
                <w:bCs/>
                <w:szCs w:val="21"/>
              </w:rPr>
              <w:t>预算金额</w:t>
            </w:r>
          </w:p>
          <w:p>
            <w:pPr>
              <w:spacing w:after="60" w:afterLines="25" w:line="360" w:lineRule="exact"/>
              <w:jc w:val="center"/>
              <w:rPr>
                <w:rFonts w:hint="eastAsia" w:ascii="宋体" w:hAnsi="宋体"/>
                <w:b/>
                <w:bCs/>
                <w:szCs w:val="21"/>
              </w:rPr>
            </w:pPr>
            <w:r>
              <w:rPr>
                <w:rFonts w:hint="eastAsia" w:ascii="宋体" w:hAnsi="宋体"/>
                <w:b/>
                <w:bCs/>
                <w:szCs w:val="21"/>
              </w:rPr>
              <w:t>（元）</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信号灯标杆：材料品种：八角热镀锌钢管，规格：6M（悬臂长）×6.8m；立柱壁厚大于6mm，大径大于320mm，小径大于280mm；悬臂厚度大于5mm，大径大于280mm，小径大于110mm。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8800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信号灯标杆：材料品种：八角热镀锌钢管，规格：7M（悬臂长）×6.8m；立柱壁厚大于6mm，大径大于320mm，小径大于280mm；悬臂厚度大于5mm，大径大于280mm，小径大于110mm。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10800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信号灯标杆：材料品种：八角热镀锌钢管，规格：9M（悬臂长）×6.8m；立柱壁厚大于8mm，大径大于320mm，小径大于280mm；悬臂厚度大于6mm，大径大于280mm，小径大于110mm。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12800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信号灯标杆：材料品种：八角热镀锌钢管，规格：11M（悬臂长）×6.8m；立柱壁厚大于8mm，大径大于360mm，小径大于280mm；悬臂厚度大于6mm，大径大于280mm，小径大于110mm。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13800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信号灯标杆：材料品种：八角热镀锌钢管，规格：12M（悬臂长）×6.8m；立柱壁厚大于8mm，大径大于360mm，小径大于280mm；悬臂厚度大于6mm，大径大于280mm，小径大于110mm。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14800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信号灯标杆：材料品种：圆形热镀锌钢管；规格：高5500mm； 立柱壁厚大于6mm，直径165mm。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3762</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F型φ273机动车信号灯杆（挑臂8m）：材料品种：热镀锌钢管，规格：立柱φ273×10×7600，上横臂φ140×6×9423，下横臂□120×120×4×8673，热镀锌处理，喷黑色亚光金属漆</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24000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人行横道灯杆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信号灯标杆：材料品种：圆形热镀锌钢管；规格：高300mm；立柱壁厚大于5mm，直径114mm。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900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9</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电缆辅设</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电缆保护管铺设：材料品种：顶管尼龙管；规格：DN89×5×1孔；包括开挖埋设恢复路面。</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210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10</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电缆辅设</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电缆保护管铺设：材料品种：顶管尼龙管；规格：DN89×5×2孔；包括开挖埋设恢复路面。</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360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电缆辅设</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电缆保护管铺设：材料品种：顶管尼龙管；规格：DN89×5×3孔；包括开挖埋设恢复路面。</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400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电缆辅设</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车行道电缆保护管铺设：材料品种：镀锌钢管；规格：DN100。</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55</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电缆辅设</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人行道电缆保护管铺设：材料品种：尼龙管；规格：DN76。</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45</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电缆辅设</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人行道电缆保护管铺设：材料品种： 尼龙管；规格：DN50。</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46</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道路开挖</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车行道开挖，恢复路面。开挖规模：宽500mm，深500mm。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52</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16</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道路开挖</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人行道开挖，恢复路面（道砖）。开挖规模：宽300mm，深500mm。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41</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17</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道路开挖</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人行道开挖，恢复路面（大理石）。开挖规模：宽300mm，深500mm。</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51</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18</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管内穿线：规格：KVV22-450/750 10×1.5。</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17</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19</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电缆</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管内穿线：规格：KVVP-5×1.5。</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电源线</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管内穿线：规格：电缆RVV 5×1。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电源线</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管内穿线：规格：电缆RVV 3×6。</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米</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手井</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接线工作井 500×500×1000mm，含复合井盖</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510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信号仪基础</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信号控制仪基础：C25砼600×500×500 mm（其中地面以上150mm）；含预埋铁件；土方开挖及回填。(挖填土工程计入本清单)</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1500</w:t>
            </w:r>
          </w:p>
        </w:tc>
      </w:tr>
      <w:tr>
        <w:tblPrEx>
          <w:tblCellMar>
            <w:top w:w="15" w:type="dxa"/>
            <w:left w:w="15" w:type="dxa"/>
            <w:bottom w:w="15" w:type="dxa"/>
            <w:right w:w="15" w:type="dxa"/>
          </w:tblCellMar>
        </w:tblPrEx>
        <w:trPr>
          <w:trHeight w:val="675"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信号灯杆基础</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基础材料品种、厚度、强度：钢筋C25砼基础：2000×2700×500+1500×2000×1700mm；预埋铁件；200mm厚片石夯实,100mm厚C10细石砼垫层；土方开挖及回填。(钢筋工程、挖填土工程计入本清单)</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6500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信号灯杆基础</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基础材料品种、厚度、强度：钢筋C25砼基础：1500×1500×2000 mm3；预埋铁件；100mm厚碎石垫层；土方开挖及回填。(钢筋工程、挖填土工程计入本清单)</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3700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26</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信号灯杆基础</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基础材料品种、厚度、强度：钢筋C25砼基础：1200×1200×1500 mm3；预埋铁件；100mm厚碎石垫层；土方开挖及回填。(钢筋工程、挖填土工程计入本清单)</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2000</w:t>
            </w:r>
          </w:p>
        </w:tc>
      </w:tr>
      <w:tr>
        <w:tblPrEx>
          <w:tblCellMar>
            <w:top w:w="15" w:type="dxa"/>
            <w:left w:w="15" w:type="dxa"/>
            <w:bottom w:w="15" w:type="dxa"/>
            <w:right w:w="15" w:type="dxa"/>
          </w:tblCellMar>
        </w:tblPrEx>
        <w:trPr>
          <w:trHeight w:val="450"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27</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人行横道灯杆基础</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基础材料品种、厚度、强度：C25砼基础：500×500×1000 mm；预埋铁件；100mm厚碎石垫层；土方开挖及回填。(钢筋工程、挖填土工程计入本清单)</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座</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500</w:t>
            </w:r>
          </w:p>
        </w:tc>
      </w:tr>
      <w:tr>
        <w:tblPrEx>
          <w:tblCellMar>
            <w:top w:w="15" w:type="dxa"/>
            <w:left w:w="15" w:type="dxa"/>
            <w:bottom w:w="15" w:type="dxa"/>
            <w:right w:w="15" w:type="dxa"/>
          </w:tblCellMar>
        </w:tblPrEx>
        <w:trPr>
          <w:trHeight w:val="33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28</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top"/>
          </w:tcPr>
          <w:p>
            <w:pPr>
              <w:spacing w:after="60" w:afterLines="25" w:line="360" w:lineRule="exact"/>
              <w:jc w:val="left"/>
              <w:rPr>
                <w:rFonts w:ascii="宋体" w:hAnsi="宋体"/>
                <w:szCs w:val="21"/>
              </w:rPr>
            </w:pPr>
            <w:r>
              <w:rPr>
                <w:rFonts w:hint="eastAsia" w:ascii="宋体" w:hAnsi="宋体"/>
                <w:szCs w:val="21"/>
              </w:rPr>
              <w:t>Φ400LED铝壳箭头（红、黄、绿分立三个一组）。</w:t>
            </w:r>
          </w:p>
          <w:p>
            <w:pPr>
              <w:spacing w:after="60" w:afterLines="25" w:line="360" w:lineRule="exact"/>
              <w:jc w:val="left"/>
              <w:rPr>
                <w:rFonts w:ascii="宋体" w:hAnsi="宋体"/>
                <w:szCs w:val="21"/>
              </w:rPr>
            </w:pPr>
            <w:r>
              <w:rPr>
                <w:rFonts w:hint="eastAsia" w:ascii="宋体" w:hAnsi="宋体"/>
                <w:szCs w:val="21"/>
              </w:rPr>
              <w:t>•图案样式：方向箭头，独立红黄绿；</w:t>
            </w:r>
          </w:p>
          <w:p>
            <w:pPr>
              <w:spacing w:after="60" w:afterLines="25" w:line="360" w:lineRule="exact"/>
              <w:jc w:val="left"/>
              <w:rPr>
                <w:rFonts w:ascii="宋体" w:hAnsi="宋体"/>
                <w:szCs w:val="21"/>
              </w:rPr>
            </w:pPr>
            <w:r>
              <w:rPr>
                <w:rFonts w:hint="eastAsia" w:ascii="宋体" w:hAnsi="宋体"/>
                <w:szCs w:val="21"/>
              </w:rPr>
              <w:t>•产品尺寸：（长×宽×厚）1380~1395mm×455~465mm×120~135mm；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功率≤20W；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•LED数量：信号灯：红≥90，黄≥90，绿≥90；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2900</w:t>
            </w:r>
          </w:p>
        </w:tc>
      </w:tr>
      <w:tr>
        <w:tblPrEx>
          <w:tblCellMar>
            <w:top w:w="15" w:type="dxa"/>
            <w:left w:w="15" w:type="dxa"/>
            <w:bottom w:w="15" w:type="dxa"/>
            <w:right w:w="15" w:type="dxa"/>
          </w:tblCellMar>
        </w:tblPrEx>
        <w:trPr>
          <w:trHeight w:val="395"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29</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top"/>
          </w:tcPr>
          <w:p>
            <w:pPr>
              <w:spacing w:after="60" w:afterLines="25" w:line="360" w:lineRule="exact"/>
              <w:jc w:val="left"/>
              <w:rPr>
                <w:rFonts w:ascii="宋体" w:hAnsi="宋体"/>
                <w:szCs w:val="21"/>
              </w:rPr>
            </w:pPr>
            <w:r>
              <w:rPr>
                <w:rFonts w:hint="eastAsia" w:ascii="宋体" w:hAnsi="宋体"/>
                <w:szCs w:val="21"/>
              </w:rPr>
              <w:t>Φ400LED铝壳满屏（红、黄、绿分立三个一组）。</w:t>
            </w:r>
          </w:p>
          <w:p>
            <w:pPr>
              <w:spacing w:after="60" w:afterLines="25" w:line="360" w:lineRule="exact"/>
              <w:jc w:val="left"/>
              <w:rPr>
                <w:rFonts w:ascii="宋体" w:hAnsi="宋体"/>
                <w:szCs w:val="21"/>
              </w:rPr>
            </w:pPr>
            <w:r>
              <w:rPr>
                <w:rFonts w:hint="eastAsia" w:ascii="宋体" w:hAnsi="宋体"/>
                <w:szCs w:val="21"/>
              </w:rPr>
              <w:t>•图案样式：同心圆盘，独立红黄绿；</w:t>
            </w:r>
          </w:p>
          <w:p>
            <w:pPr>
              <w:spacing w:after="60" w:afterLines="25" w:line="360" w:lineRule="exact"/>
              <w:jc w:val="left"/>
              <w:rPr>
                <w:rFonts w:ascii="宋体" w:hAnsi="宋体"/>
                <w:szCs w:val="21"/>
              </w:rPr>
            </w:pPr>
            <w:r>
              <w:rPr>
                <w:rFonts w:hint="eastAsia" w:ascii="宋体" w:hAnsi="宋体"/>
                <w:szCs w:val="21"/>
              </w:rPr>
              <w:t>•产品尺寸：（长×宽×厚）1380~1395mm×455~465mm×120~135mm；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功率≤20W；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•LED数量：信号灯：红≥156，黄≥156，绿≥156</w:t>
            </w:r>
            <w:r>
              <w:rPr>
                <w:rFonts w:hint="eastAsia" w:ascii="宋体" w:hAnsi="宋体"/>
                <w:szCs w:val="21"/>
              </w:rPr>
              <w:br w:type="textWrapping"/>
            </w: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2900</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30</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LED铝壳红色箭头灯</w:t>
            </w:r>
          </w:p>
          <w:p>
            <w:pPr>
              <w:spacing w:after="60" w:afterLines="25" w:line="360" w:lineRule="exact"/>
              <w:jc w:val="left"/>
              <w:rPr>
                <w:rFonts w:ascii="宋体" w:hAnsi="宋体"/>
                <w:szCs w:val="21"/>
              </w:rPr>
            </w:pPr>
            <w:r>
              <w:rPr>
                <w:rFonts w:hint="eastAsia" w:ascii="宋体" w:hAnsi="宋体"/>
                <w:szCs w:val="21"/>
              </w:rPr>
              <w:t>•产品尺寸：（长×宽×厚） 455~465mm×455~465mm×120~135mm；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功率≤20W；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•LED数量：信号灯：红≥90，黄≥90，绿≥90；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850</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 mmLED铝壳绿色箭头灯</w:t>
            </w:r>
          </w:p>
          <w:p>
            <w:pPr>
              <w:spacing w:after="60" w:afterLines="25" w:line="360" w:lineRule="exact"/>
              <w:jc w:val="left"/>
              <w:rPr>
                <w:rFonts w:ascii="宋体" w:hAnsi="宋体"/>
                <w:szCs w:val="21"/>
              </w:rPr>
            </w:pPr>
            <w:r>
              <w:rPr>
                <w:rFonts w:hint="eastAsia" w:ascii="宋体" w:hAnsi="宋体"/>
                <w:szCs w:val="21"/>
              </w:rPr>
              <w:t>•产品尺寸：（长×宽×厚） 455~465mm×455~465mm×120~135mm；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功率≤20W；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•LED数量：信号灯：红≥90，黄≥90，绿≥90；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850</w:t>
            </w:r>
          </w:p>
        </w:tc>
      </w:tr>
      <w:tr>
        <w:tblPrEx>
          <w:tblCellMar>
            <w:top w:w="15" w:type="dxa"/>
            <w:left w:w="15" w:type="dxa"/>
            <w:bottom w:w="15" w:type="dxa"/>
            <w:right w:w="15" w:type="dxa"/>
          </w:tblCellMar>
        </w:tblPrEx>
        <w:trPr>
          <w:trHeight w:val="20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LED铝壳红色满屏灯</w:t>
            </w:r>
          </w:p>
          <w:p>
            <w:pPr>
              <w:spacing w:after="60" w:afterLines="25" w:line="360" w:lineRule="exact"/>
              <w:jc w:val="left"/>
              <w:rPr>
                <w:rFonts w:ascii="宋体" w:hAnsi="宋体"/>
                <w:szCs w:val="21"/>
              </w:rPr>
            </w:pPr>
            <w:r>
              <w:rPr>
                <w:rFonts w:hint="eastAsia" w:ascii="宋体" w:hAnsi="宋体"/>
                <w:szCs w:val="21"/>
              </w:rPr>
              <w:t>•产品尺寸：（长×宽×厚） 455~465mm×455~465mm×120~135mm；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功率≤20W；</w:t>
            </w:r>
          </w:p>
          <w:p>
            <w:pPr>
              <w:spacing w:after="60" w:afterLines="25" w:line="360" w:lineRule="exact"/>
              <w:jc w:val="left"/>
              <w:rPr>
                <w:rFonts w:ascii="宋体" w:hAnsi="宋体"/>
                <w:szCs w:val="21"/>
              </w:rPr>
            </w:pPr>
            <w:r>
              <w:rPr>
                <w:rFonts w:hint="eastAsia" w:ascii="宋体" w:hAnsi="宋体"/>
                <w:szCs w:val="21"/>
              </w:rPr>
              <w:t>•中心亮度：≥400cd；</w:t>
            </w:r>
          </w:p>
          <w:p>
            <w:pPr>
              <w:spacing w:after="60" w:afterLines="25" w:line="360" w:lineRule="exact"/>
              <w:jc w:val="left"/>
              <w:rPr>
                <w:rFonts w:ascii="宋体" w:hAnsi="宋体"/>
                <w:szCs w:val="21"/>
              </w:rPr>
            </w:pPr>
            <w:r>
              <w:rPr>
                <w:rFonts w:hint="eastAsia" w:ascii="宋体" w:hAnsi="宋体"/>
                <w:szCs w:val="21"/>
              </w:rPr>
              <w:t>•LED数量：信号灯：红≥90，黄≥90，绿≥90；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850</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LED铝壳绿色满屏灯</w:t>
            </w:r>
          </w:p>
          <w:p>
            <w:pPr>
              <w:spacing w:after="60" w:afterLines="25" w:line="360" w:lineRule="exact"/>
              <w:jc w:val="left"/>
              <w:rPr>
                <w:rFonts w:ascii="宋体" w:hAnsi="宋体"/>
                <w:szCs w:val="21"/>
              </w:rPr>
            </w:pPr>
            <w:r>
              <w:rPr>
                <w:rFonts w:hint="eastAsia" w:ascii="宋体" w:hAnsi="宋体"/>
                <w:szCs w:val="21"/>
              </w:rPr>
              <w:t>•产品尺寸：（长×宽×厚） 455~465mm×455~465mm×120~135mm；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功率≤20W；</w:t>
            </w:r>
          </w:p>
          <w:p>
            <w:pPr>
              <w:spacing w:after="60" w:afterLines="25" w:line="360" w:lineRule="exact"/>
              <w:jc w:val="left"/>
              <w:rPr>
                <w:rFonts w:ascii="宋体" w:hAnsi="宋体"/>
                <w:szCs w:val="21"/>
              </w:rPr>
            </w:pPr>
            <w:r>
              <w:rPr>
                <w:rFonts w:hint="eastAsia" w:ascii="宋体" w:hAnsi="宋体"/>
                <w:szCs w:val="21"/>
              </w:rPr>
              <w:t>•中心亮度：≥400cd；</w:t>
            </w:r>
          </w:p>
          <w:p>
            <w:pPr>
              <w:spacing w:after="60" w:afterLines="25" w:line="360" w:lineRule="exact"/>
              <w:jc w:val="left"/>
              <w:rPr>
                <w:rFonts w:ascii="宋体" w:hAnsi="宋体"/>
                <w:szCs w:val="21"/>
              </w:rPr>
            </w:pPr>
            <w:r>
              <w:rPr>
                <w:rFonts w:hint="eastAsia" w:ascii="宋体" w:hAnsi="宋体"/>
                <w:szCs w:val="21"/>
              </w:rPr>
              <w:t>•LED数量：信号灯：红≥90，黄≥90，绿≥90；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850</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LED铝壳黄色箭头灯</w:t>
            </w:r>
          </w:p>
          <w:p>
            <w:pPr>
              <w:spacing w:after="60" w:afterLines="25" w:line="360" w:lineRule="exact"/>
              <w:jc w:val="left"/>
              <w:rPr>
                <w:rFonts w:ascii="宋体" w:hAnsi="宋体"/>
                <w:szCs w:val="21"/>
              </w:rPr>
            </w:pPr>
            <w:r>
              <w:rPr>
                <w:rFonts w:hint="eastAsia" w:ascii="宋体" w:hAnsi="宋体"/>
                <w:szCs w:val="21"/>
              </w:rPr>
              <w:t>•产品尺寸：（长×宽×厚） 455~465mm×455~465mm×120~135mm；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功率≤20W；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•LED数量：信号灯：红≥90，黄≥90，绿≥90；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850</w:t>
            </w:r>
          </w:p>
        </w:tc>
      </w:tr>
      <w:tr>
        <w:tblPrEx>
          <w:tblCellMar>
            <w:top w:w="15" w:type="dxa"/>
            <w:left w:w="15" w:type="dxa"/>
            <w:bottom w:w="15" w:type="dxa"/>
            <w:right w:w="15" w:type="dxa"/>
          </w:tblCellMar>
        </w:tblPrEx>
        <w:trPr>
          <w:trHeight w:val="6525"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3.35米申请式带语音LED屏一体化不锈钢制303双8静态人行灯。</w:t>
            </w:r>
          </w:p>
          <w:p>
            <w:pPr>
              <w:spacing w:after="60" w:afterLines="25" w:line="360" w:lineRule="exact"/>
              <w:jc w:val="left"/>
              <w:rPr>
                <w:rFonts w:ascii="宋体" w:hAnsi="宋体"/>
                <w:szCs w:val="21"/>
              </w:rPr>
            </w:pPr>
            <w:r>
              <w:rPr>
                <w:rFonts w:hint="eastAsia" w:ascii="宋体" w:hAnsi="宋体"/>
                <w:szCs w:val="21"/>
              </w:rPr>
              <w:t>•工作电压：220VAC±20%；</w:t>
            </w:r>
          </w:p>
          <w:p>
            <w:pPr>
              <w:spacing w:after="60" w:afterLines="25" w:line="360" w:lineRule="exact"/>
              <w:jc w:val="left"/>
              <w:rPr>
                <w:rFonts w:ascii="宋体" w:hAnsi="宋体"/>
                <w:szCs w:val="21"/>
              </w:rPr>
            </w:pPr>
            <w:r>
              <w:rPr>
                <w:rFonts w:hint="eastAsia" w:ascii="宋体" w:hAnsi="宋体"/>
                <w:szCs w:val="21"/>
              </w:rPr>
              <w:t>•功率：≤200W；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•LED数量：人行灯：红≥60，绿≥56；倒计时：红≥140，绿≥140；</w:t>
            </w:r>
          </w:p>
          <w:p>
            <w:pPr>
              <w:spacing w:after="60" w:afterLines="25" w:line="360" w:lineRule="exact"/>
              <w:jc w:val="left"/>
              <w:rPr>
                <w:rFonts w:ascii="宋体" w:hAnsi="宋体"/>
                <w:szCs w:val="21"/>
              </w:rPr>
            </w:pPr>
            <w:r>
              <w:rPr>
                <w:rFonts w:hint="eastAsia" w:ascii="宋体" w:hAnsi="宋体"/>
                <w:szCs w:val="21"/>
              </w:rPr>
              <w:t>•LED直径：Φ5mm 单管电流 &lt; 18mA；</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•倒计时：双8倒计时，计数范围99~1；</w:t>
            </w:r>
          </w:p>
          <w:p>
            <w:pPr>
              <w:spacing w:after="60" w:afterLines="25" w:line="360" w:lineRule="exact"/>
              <w:jc w:val="left"/>
              <w:rPr>
                <w:rFonts w:ascii="宋体" w:hAnsi="宋体"/>
                <w:szCs w:val="21"/>
              </w:rPr>
            </w:pPr>
            <w:r>
              <w:rPr>
                <w:rFonts w:hint="eastAsia" w:ascii="宋体" w:hAnsi="宋体"/>
                <w:szCs w:val="21"/>
              </w:rPr>
              <w:t>•计时方式：跟随/触发/RS485通讯；</w:t>
            </w:r>
          </w:p>
          <w:p>
            <w:pPr>
              <w:spacing w:after="60" w:afterLines="25" w:line="360" w:lineRule="exact"/>
              <w:jc w:val="left"/>
              <w:rPr>
                <w:rFonts w:ascii="宋体" w:hAnsi="宋体"/>
                <w:szCs w:val="21"/>
              </w:rPr>
            </w:pPr>
            <w:r>
              <w:rPr>
                <w:rFonts w:hint="eastAsia" w:ascii="宋体" w:hAnsi="宋体"/>
                <w:szCs w:val="21"/>
              </w:rPr>
              <w:t>•语音提示：红灯：“现在是红灯行人请止步”；绿灯：“现在是绿灯行人请走斑马线+嘟嘟嘟”；</w:t>
            </w:r>
          </w:p>
          <w:p>
            <w:pPr>
              <w:spacing w:after="60" w:afterLines="25" w:line="360" w:lineRule="exact"/>
              <w:jc w:val="left"/>
              <w:rPr>
                <w:rFonts w:ascii="宋体" w:hAnsi="宋体"/>
                <w:szCs w:val="21"/>
              </w:rPr>
            </w:pPr>
            <w:r>
              <w:rPr>
                <w:rFonts w:hint="eastAsia" w:ascii="宋体" w:hAnsi="宋体"/>
                <w:szCs w:val="21"/>
              </w:rPr>
              <w:t>•播报时间：微电脑时段可调；</w:t>
            </w:r>
          </w:p>
          <w:p>
            <w:pPr>
              <w:spacing w:after="60" w:afterLines="25" w:line="360" w:lineRule="exact"/>
              <w:jc w:val="left"/>
              <w:rPr>
                <w:rFonts w:ascii="宋体" w:hAnsi="宋体"/>
                <w:szCs w:val="21"/>
              </w:rPr>
            </w:pPr>
            <w:r>
              <w:rPr>
                <w:rFonts w:hint="eastAsia" w:ascii="宋体" w:hAnsi="宋体"/>
                <w:szCs w:val="21"/>
              </w:rPr>
              <w:t>•播放音量：90dB Max；</w:t>
            </w:r>
          </w:p>
          <w:p>
            <w:pPr>
              <w:spacing w:after="60" w:afterLines="25" w:line="360" w:lineRule="exact"/>
              <w:jc w:val="left"/>
              <w:rPr>
                <w:rFonts w:ascii="宋体" w:hAnsi="宋体"/>
                <w:szCs w:val="21"/>
              </w:rPr>
            </w:pPr>
            <w:r>
              <w:rPr>
                <w:rFonts w:hint="eastAsia" w:ascii="宋体" w:hAnsi="宋体"/>
                <w:szCs w:val="21"/>
              </w:rPr>
              <w:t>•LED屏：P10间距，像素160×32dot；</w:t>
            </w:r>
          </w:p>
          <w:p>
            <w:pPr>
              <w:spacing w:after="60" w:afterLines="25" w:line="360" w:lineRule="exact"/>
              <w:jc w:val="left"/>
              <w:rPr>
                <w:rFonts w:ascii="宋体" w:hAnsi="宋体"/>
                <w:szCs w:val="21"/>
              </w:rPr>
            </w:pPr>
            <w:r>
              <w:rPr>
                <w:rFonts w:hint="eastAsia" w:ascii="宋体" w:hAnsi="宋体"/>
                <w:szCs w:val="21"/>
              </w:rPr>
              <w:t>•内容切换：自动定时切换、远程联网更新、现场笔记本更新、现场U盘更新；</w:t>
            </w:r>
          </w:p>
          <w:p>
            <w:pPr>
              <w:spacing w:after="60" w:afterLines="25" w:line="360" w:lineRule="exact"/>
              <w:jc w:val="left"/>
              <w:rPr>
                <w:rFonts w:ascii="宋体" w:hAnsi="宋体"/>
                <w:szCs w:val="21"/>
              </w:rPr>
            </w:pPr>
            <w:r>
              <w:rPr>
                <w:rFonts w:hint="eastAsia" w:ascii="宋体" w:hAnsi="宋体"/>
                <w:szCs w:val="21"/>
              </w:rPr>
              <w:t>•LED屏接口：≥1个10/100M以太网（RJ45网口）；</w:t>
            </w:r>
          </w:p>
          <w:p>
            <w:pPr>
              <w:spacing w:after="60" w:afterLines="25" w:line="360" w:lineRule="exact"/>
              <w:jc w:val="left"/>
              <w:rPr>
                <w:rFonts w:ascii="宋体" w:hAnsi="宋体"/>
                <w:szCs w:val="21"/>
              </w:rPr>
            </w:pPr>
            <w:r>
              <w:rPr>
                <w:rFonts w:hint="eastAsia" w:ascii="宋体" w:hAnsi="宋体"/>
                <w:szCs w:val="21"/>
              </w:rPr>
              <w:t>•LED屏颜色：红绿双色，自动跟随信号灯颜色；</w:t>
            </w:r>
          </w:p>
          <w:p>
            <w:pPr>
              <w:spacing w:after="60" w:afterLines="25" w:line="360" w:lineRule="exact"/>
              <w:jc w:val="left"/>
              <w:rPr>
                <w:rFonts w:ascii="宋体" w:hAnsi="宋体"/>
                <w:szCs w:val="21"/>
              </w:rPr>
            </w:pPr>
            <w:r>
              <w:rPr>
                <w:rFonts w:hint="eastAsia" w:ascii="宋体" w:hAnsi="宋体"/>
                <w:szCs w:val="21"/>
              </w:rPr>
              <w:t>•申请按钮：2线按钮(5VDC)常开，带语音、指示灯；侧面高度1.2米处中间；</w:t>
            </w:r>
          </w:p>
          <w:p>
            <w:pPr>
              <w:spacing w:after="60" w:afterLines="25" w:line="360" w:lineRule="exact"/>
              <w:jc w:val="left"/>
              <w:rPr>
                <w:rFonts w:ascii="宋体" w:hAnsi="宋体"/>
                <w:szCs w:val="21"/>
              </w:rPr>
            </w:pPr>
            <w:r>
              <w:rPr>
                <w:rFonts w:hint="eastAsia" w:ascii="宋体" w:hAnsi="宋体"/>
                <w:szCs w:val="21"/>
              </w:rPr>
              <w:t>•申请指示：红色指示灯亮允许申请过街；</w:t>
            </w:r>
          </w:p>
          <w:p>
            <w:pPr>
              <w:spacing w:after="60" w:afterLines="25" w:line="360" w:lineRule="exact"/>
              <w:jc w:val="left"/>
              <w:rPr>
                <w:rFonts w:ascii="宋体" w:hAnsi="宋体"/>
                <w:szCs w:val="21"/>
              </w:rPr>
            </w:pPr>
            <w:r>
              <w:rPr>
                <w:rFonts w:hint="eastAsia" w:ascii="宋体" w:hAnsi="宋体"/>
                <w:szCs w:val="21"/>
              </w:rPr>
              <w:t>•申请语音：按下按钮发出“请稍候”语音提示；</w:t>
            </w:r>
          </w:p>
          <w:p>
            <w:pPr>
              <w:spacing w:after="60" w:afterLines="25" w:line="360" w:lineRule="exact"/>
              <w:jc w:val="left"/>
              <w:rPr>
                <w:rFonts w:ascii="宋体" w:hAnsi="宋体"/>
                <w:szCs w:val="21"/>
              </w:rPr>
            </w:pPr>
            <w:r>
              <w:rPr>
                <w:rFonts w:hint="eastAsia" w:ascii="宋体" w:hAnsi="宋体"/>
                <w:szCs w:val="21"/>
              </w:rPr>
              <w:t>•定时提示：语音提示“行人过街请按按钮”，按钮调整间隔“30秒、1分钟、2分钟、5分钟”；</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•外壳材质：不锈钢板1.2mm、底座10mm喷塑铁板，黑色哑光；</w:t>
            </w:r>
          </w:p>
          <w:p>
            <w:pPr>
              <w:spacing w:after="60" w:afterLines="25" w:line="360" w:lineRule="exact"/>
              <w:jc w:val="left"/>
              <w:rPr>
                <w:rFonts w:ascii="宋体" w:hAnsi="宋体"/>
                <w:szCs w:val="21"/>
              </w:rPr>
            </w:pPr>
            <w:r>
              <w:rPr>
                <w:rFonts w:hint="eastAsia" w:ascii="宋体" w:hAnsi="宋体"/>
                <w:szCs w:val="21"/>
              </w:rPr>
              <w:t>•外壳颜色：壳体黑色，他色需定制；</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ascii="宋体" w:hAnsi="宋体"/>
                <w:szCs w:val="21"/>
              </w:rPr>
            </w:pPr>
            <w:r>
              <w:rPr>
                <w:rFonts w:hint="eastAsia" w:ascii="宋体" w:hAnsi="宋体"/>
                <w:szCs w:val="21"/>
              </w:rPr>
              <w:t>•外形尺寸：3350mm×420mm×185mm；</w:t>
            </w:r>
          </w:p>
          <w:p>
            <w:pPr>
              <w:spacing w:after="60" w:afterLines="25" w:line="360" w:lineRule="exact"/>
              <w:jc w:val="left"/>
              <w:rPr>
                <w:rFonts w:ascii="宋体" w:hAnsi="宋体"/>
                <w:szCs w:val="21"/>
              </w:rPr>
            </w:pPr>
            <w:r>
              <w:rPr>
                <w:rFonts w:hint="eastAsia" w:ascii="宋体" w:hAnsi="宋体"/>
                <w:szCs w:val="21"/>
              </w:rPr>
              <w:t>•参考标准：信号灯GB14887-2011  倒计时GAT508-2014；</w:t>
            </w:r>
          </w:p>
          <w:p>
            <w:pPr>
              <w:spacing w:after="60" w:afterLines="25" w:line="360" w:lineRule="exact"/>
              <w:jc w:val="left"/>
              <w:rPr>
                <w:rFonts w:hint="eastAsia" w:ascii="宋体" w:hAnsi="宋体"/>
                <w:szCs w:val="21"/>
              </w:rPr>
            </w:pPr>
            <w:r>
              <w:rPr>
                <w:rFonts w:hint="eastAsia" w:ascii="宋体" w:hAnsi="宋体"/>
                <w:szCs w:val="21"/>
              </w:rPr>
              <w:t>•安装模式：竖装JC5324，基础固定（建议M16螺杆）。</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12500</w:t>
            </w:r>
          </w:p>
        </w:tc>
      </w:tr>
      <w:tr>
        <w:tblPrEx>
          <w:tblCellMar>
            <w:top w:w="15" w:type="dxa"/>
            <w:left w:w="15" w:type="dxa"/>
            <w:bottom w:w="15" w:type="dxa"/>
            <w:right w:w="15" w:type="dxa"/>
          </w:tblCellMar>
        </w:tblPrEx>
        <w:trPr>
          <w:trHeight w:val="6525"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36</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3米带语言LED屏一体化不锈钢制302静态人行灯</w:t>
            </w:r>
          </w:p>
          <w:p>
            <w:pPr>
              <w:spacing w:after="60" w:afterLines="25" w:line="360" w:lineRule="exact"/>
              <w:jc w:val="left"/>
              <w:rPr>
                <w:rFonts w:ascii="宋体" w:hAnsi="宋体"/>
                <w:szCs w:val="21"/>
              </w:rPr>
            </w:pPr>
            <w:r>
              <w:rPr>
                <w:rFonts w:hint="eastAsia" w:ascii="宋体" w:hAnsi="宋体"/>
                <w:szCs w:val="21"/>
              </w:rPr>
              <w:t>•面罩规格：信号灯300mm   LED点阵屏160cm×32cm；</w:t>
            </w:r>
          </w:p>
          <w:p>
            <w:pPr>
              <w:spacing w:after="60" w:afterLines="25" w:line="360" w:lineRule="exact"/>
              <w:jc w:val="left"/>
              <w:rPr>
                <w:rFonts w:ascii="宋体" w:hAnsi="宋体"/>
                <w:szCs w:val="21"/>
              </w:rPr>
            </w:pPr>
            <w:r>
              <w:rPr>
                <w:rFonts w:hint="eastAsia" w:ascii="宋体" w:hAnsi="宋体"/>
                <w:szCs w:val="21"/>
              </w:rPr>
              <w:t>•面罩材质：耐力板 玻璃；</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•信号灯：302静态人行灯RX300-3-2010；</w:t>
            </w:r>
          </w:p>
          <w:p>
            <w:pPr>
              <w:spacing w:after="60" w:afterLines="25" w:line="360" w:lineRule="exact"/>
              <w:jc w:val="left"/>
              <w:rPr>
                <w:rFonts w:ascii="宋体" w:hAnsi="宋体"/>
                <w:szCs w:val="21"/>
              </w:rPr>
            </w:pPr>
            <w:r>
              <w:rPr>
                <w:rFonts w:hint="eastAsia" w:ascii="宋体" w:hAnsi="宋体"/>
                <w:szCs w:val="21"/>
              </w:rPr>
              <w:t>•LED屏像素：160×32 红绿双色 间距P10；</w:t>
            </w:r>
          </w:p>
          <w:p>
            <w:pPr>
              <w:spacing w:after="60" w:afterLines="25" w:line="360" w:lineRule="exact"/>
              <w:jc w:val="left"/>
              <w:rPr>
                <w:rFonts w:ascii="宋体" w:hAnsi="宋体"/>
                <w:szCs w:val="21"/>
              </w:rPr>
            </w:pPr>
            <w:r>
              <w:rPr>
                <w:rFonts w:hint="eastAsia" w:ascii="宋体" w:hAnsi="宋体"/>
                <w:szCs w:val="21"/>
              </w:rPr>
              <w:t>•电压：220±20%VAC功率 100W；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•波长：红：625 nm绿：505 nm；</w:t>
            </w:r>
          </w:p>
          <w:p>
            <w:pPr>
              <w:spacing w:after="60" w:afterLines="25" w:line="360" w:lineRule="exact"/>
              <w:jc w:val="left"/>
              <w:rPr>
                <w:rFonts w:ascii="宋体" w:hAnsi="宋体"/>
                <w:szCs w:val="21"/>
              </w:rPr>
            </w:pPr>
            <w:r>
              <w:rPr>
                <w:rFonts w:hint="eastAsia" w:ascii="宋体" w:hAnsi="宋体"/>
                <w:szCs w:val="21"/>
              </w:rPr>
              <w:t>•数量：站立红人：≥60；静态绿人：≥56；</w:t>
            </w:r>
          </w:p>
          <w:p>
            <w:pPr>
              <w:spacing w:after="60" w:afterLines="25" w:line="360" w:lineRule="exact"/>
              <w:jc w:val="left"/>
              <w:rPr>
                <w:rFonts w:ascii="宋体" w:hAnsi="宋体"/>
                <w:szCs w:val="21"/>
              </w:rPr>
            </w:pPr>
            <w:r>
              <w:rPr>
                <w:rFonts w:hint="eastAsia" w:ascii="宋体" w:hAnsi="宋体"/>
                <w:szCs w:val="21"/>
              </w:rPr>
              <w:t>•可视距离：&gt;200米 可视角度 &gt;30°；</w:t>
            </w:r>
          </w:p>
          <w:p>
            <w:pPr>
              <w:spacing w:after="60" w:afterLines="25" w:line="360" w:lineRule="exact"/>
              <w:jc w:val="left"/>
              <w:rPr>
                <w:rFonts w:ascii="宋体" w:hAnsi="宋体"/>
                <w:szCs w:val="21"/>
              </w:rPr>
            </w:pPr>
            <w:r>
              <w:rPr>
                <w:rFonts w:hint="eastAsia" w:ascii="宋体" w:hAnsi="宋体"/>
                <w:szCs w:val="21"/>
              </w:rPr>
              <w:t>•语音提示：红灯：“现在是红灯行人请止步”；绿灯：“现在是绿灯行人请走斑马线+嘟嘟嘟”；</w:t>
            </w:r>
          </w:p>
          <w:p>
            <w:pPr>
              <w:spacing w:after="60" w:afterLines="25" w:line="360" w:lineRule="exact"/>
              <w:jc w:val="left"/>
              <w:rPr>
                <w:rFonts w:ascii="宋体" w:hAnsi="宋体"/>
                <w:szCs w:val="21"/>
              </w:rPr>
            </w:pPr>
            <w:r>
              <w:rPr>
                <w:rFonts w:hint="eastAsia" w:ascii="宋体" w:hAnsi="宋体"/>
                <w:szCs w:val="21"/>
              </w:rPr>
              <w:t>•播报时间：微电脑时段可调；</w:t>
            </w:r>
          </w:p>
          <w:p>
            <w:pPr>
              <w:spacing w:after="60" w:afterLines="25" w:line="360" w:lineRule="exact"/>
              <w:jc w:val="left"/>
              <w:rPr>
                <w:rFonts w:ascii="宋体" w:hAnsi="宋体"/>
                <w:szCs w:val="21"/>
              </w:rPr>
            </w:pPr>
            <w:r>
              <w:rPr>
                <w:rFonts w:hint="eastAsia" w:ascii="宋体" w:hAnsi="宋体"/>
                <w:szCs w:val="21"/>
              </w:rPr>
              <w:t>•播放音量：90dB Max；</w:t>
            </w:r>
          </w:p>
          <w:p>
            <w:pPr>
              <w:spacing w:after="60" w:afterLines="25" w:line="360" w:lineRule="exact"/>
              <w:jc w:val="left"/>
              <w:rPr>
                <w:rFonts w:ascii="宋体" w:hAnsi="宋体"/>
                <w:szCs w:val="21"/>
              </w:rPr>
            </w:pPr>
            <w:r>
              <w:rPr>
                <w:rFonts w:hint="eastAsia" w:ascii="宋体" w:hAnsi="宋体"/>
                <w:szCs w:val="21"/>
              </w:rPr>
              <w:t>•语音功率：≤15W；</w:t>
            </w:r>
          </w:p>
          <w:p>
            <w:pPr>
              <w:spacing w:after="60" w:afterLines="25" w:line="360" w:lineRule="exact"/>
              <w:jc w:val="left"/>
              <w:rPr>
                <w:rFonts w:ascii="宋体" w:hAnsi="宋体"/>
                <w:szCs w:val="21"/>
              </w:rPr>
            </w:pPr>
            <w:r>
              <w:rPr>
                <w:rFonts w:hint="eastAsia" w:ascii="宋体" w:hAnsi="宋体"/>
                <w:szCs w:val="21"/>
              </w:rPr>
              <w:t>•LED屏：红绿双色P10间距，像素160×32dot；</w:t>
            </w:r>
          </w:p>
          <w:p>
            <w:pPr>
              <w:spacing w:after="60" w:afterLines="25" w:line="360" w:lineRule="exact"/>
              <w:jc w:val="left"/>
              <w:rPr>
                <w:rFonts w:ascii="宋体" w:hAnsi="宋体"/>
                <w:szCs w:val="21"/>
              </w:rPr>
            </w:pPr>
            <w:r>
              <w:rPr>
                <w:rFonts w:hint="eastAsia" w:ascii="宋体" w:hAnsi="宋体"/>
                <w:szCs w:val="21"/>
              </w:rPr>
              <w:t>•内容切换：自动定时切换、远程联网更新、现场笔记本更新、现场U盘更新；</w:t>
            </w:r>
          </w:p>
          <w:p>
            <w:pPr>
              <w:spacing w:after="60" w:afterLines="25" w:line="360" w:lineRule="exact"/>
              <w:jc w:val="left"/>
              <w:rPr>
                <w:rFonts w:ascii="宋体" w:hAnsi="宋体"/>
                <w:szCs w:val="21"/>
              </w:rPr>
            </w:pPr>
            <w:r>
              <w:rPr>
                <w:rFonts w:hint="eastAsia" w:ascii="宋体" w:hAnsi="宋体"/>
                <w:szCs w:val="21"/>
              </w:rPr>
              <w:t>•LED屏接口：≥1个10/100M以太网（RJ45网口）；</w:t>
            </w:r>
          </w:p>
          <w:p>
            <w:pPr>
              <w:spacing w:after="60" w:afterLines="25" w:line="360" w:lineRule="exact"/>
              <w:jc w:val="left"/>
              <w:rPr>
                <w:rFonts w:ascii="宋体" w:hAnsi="宋体"/>
                <w:szCs w:val="21"/>
              </w:rPr>
            </w:pPr>
            <w:r>
              <w:rPr>
                <w:rFonts w:hint="eastAsia" w:ascii="宋体" w:hAnsi="宋体"/>
                <w:szCs w:val="21"/>
              </w:rPr>
              <w:t>•LED屏颜色：红绿双色，自动跟随信号灯颜色；</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•外壳材质：不锈钢板1.2mm、底座10mm喷塑铁板，黑色哑光；</w:t>
            </w:r>
          </w:p>
          <w:p>
            <w:pPr>
              <w:spacing w:after="60" w:afterLines="25" w:line="360" w:lineRule="exact"/>
              <w:jc w:val="left"/>
              <w:rPr>
                <w:rFonts w:ascii="宋体" w:hAnsi="宋体"/>
                <w:szCs w:val="21"/>
              </w:rPr>
            </w:pPr>
            <w:r>
              <w:rPr>
                <w:rFonts w:hint="eastAsia" w:ascii="宋体" w:hAnsi="宋体"/>
                <w:szCs w:val="21"/>
              </w:rPr>
              <w:t>•外壳颜色：壳体黑色，他色需定制；</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ascii="宋体" w:hAnsi="宋体"/>
                <w:szCs w:val="21"/>
              </w:rPr>
            </w:pPr>
            <w:r>
              <w:rPr>
                <w:rFonts w:hint="eastAsia" w:ascii="宋体" w:hAnsi="宋体"/>
                <w:szCs w:val="21"/>
              </w:rPr>
              <w:t>•外形尺寸：3000mm×400mm×200mm；</w:t>
            </w:r>
          </w:p>
          <w:p>
            <w:pPr>
              <w:spacing w:after="60" w:afterLines="25" w:line="360" w:lineRule="exact"/>
              <w:jc w:val="left"/>
              <w:rPr>
                <w:rFonts w:ascii="宋体" w:hAnsi="宋体"/>
                <w:szCs w:val="21"/>
              </w:rPr>
            </w:pPr>
            <w:r>
              <w:rPr>
                <w:rFonts w:hint="eastAsia" w:ascii="宋体" w:hAnsi="宋体"/>
                <w:szCs w:val="21"/>
              </w:rPr>
              <w:t>•参考标准：信号灯GB14887-2011 倒计时GAT508-2014；</w:t>
            </w:r>
          </w:p>
          <w:p>
            <w:pPr>
              <w:spacing w:after="60" w:afterLines="25" w:line="360" w:lineRule="exact"/>
              <w:jc w:val="left"/>
              <w:rPr>
                <w:rFonts w:ascii="宋体" w:hAnsi="宋体"/>
                <w:szCs w:val="21"/>
              </w:rPr>
            </w:pPr>
            <w:r>
              <w:rPr>
                <w:rFonts w:hint="eastAsia" w:ascii="宋体" w:hAnsi="宋体"/>
                <w:szCs w:val="21"/>
              </w:rPr>
              <w:t>•非RoHS；</w:t>
            </w:r>
          </w:p>
          <w:p>
            <w:pPr>
              <w:spacing w:after="60" w:afterLines="25" w:line="360" w:lineRule="exact"/>
              <w:jc w:val="left"/>
              <w:rPr>
                <w:rFonts w:hint="eastAsia" w:ascii="宋体" w:hAnsi="宋体"/>
                <w:szCs w:val="21"/>
              </w:rPr>
            </w:pPr>
            <w:r>
              <w:rPr>
                <w:rFonts w:hint="eastAsia" w:ascii="宋体" w:hAnsi="宋体"/>
                <w:szCs w:val="21"/>
              </w:rPr>
              <w:t>•安装模式：竖装JC5324（建议M16螺杆）。</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9500</w:t>
            </w:r>
          </w:p>
        </w:tc>
      </w:tr>
      <w:tr>
        <w:tblPrEx>
          <w:tblCellMar>
            <w:top w:w="15" w:type="dxa"/>
            <w:left w:w="15" w:type="dxa"/>
            <w:bottom w:w="15" w:type="dxa"/>
            <w:right w:w="15" w:type="dxa"/>
          </w:tblCellMar>
        </w:tblPrEx>
        <w:trPr>
          <w:trHeight w:val="450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37</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LED一体化铝壳人行灯（红、绿分立二个一组）•面罩规格：300mm 面罩材质 玻璃；</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•信号灯：302人行灯RX300-3-2010；</w:t>
            </w:r>
          </w:p>
          <w:p>
            <w:pPr>
              <w:spacing w:after="60" w:afterLines="25" w:line="360" w:lineRule="exact"/>
              <w:jc w:val="left"/>
              <w:rPr>
                <w:rFonts w:ascii="宋体" w:hAnsi="宋体"/>
                <w:szCs w:val="21"/>
              </w:rPr>
            </w:pPr>
            <w:r>
              <w:rPr>
                <w:rFonts w:hint="eastAsia" w:ascii="宋体" w:hAnsi="宋体"/>
                <w:szCs w:val="21"/>
              </w:rPr>
              <w:t>•工作电压：220VAC±20%；</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•LED数量：人行灯：站立红≥60，静态绿人≥56；</w:t>
            </w:r>
          </w:p>
          <w:p>
            <w:pPr>
              <w:spacing w:after="60" w:afterLines="25" w:line="360" w:lineRule="exact"/>
              <w:jc w:val="left"/>
              <w:rPr>
                <w:rFonts w:ascii="宋体" w:hAnsi="宋体"/>
                <w:szCs w:val="21"/>
              </w:rPr>
            </w:pPr>
            <w:r>
              <w:rPr>
                <w:rFonts w:hint="eastAsia" w:ascii="宋体" w:hAnsi="宋体"/>
                <w:szCs w:val="21"/>
              </w:rPr>
              <w:t>•LED直径：Φ5mm 单管电流&lt;18mA；</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w:t>
            </w:r>
          </w:p>
          <w:p>
            <w:pPr>
              <w:spacing w:after="60" w:afterLines="25" w:line="360" w:lineRule="exact"/>
              <w:jc w:val="left"/>
              <w:rPr>
                <w:rFonts w:ascii="宋体" w:hAnsi="宋体"/>
                <w:szCs w:val="21"/>
              </w:rPr>
            </w:pPr>
            <w:r>
              <w:rPr>
                <w:rFonts w:hint="eastAsia" w:ascii="宋体" w:hAnsi="宋体"/>
                <w:szCs w:val="21"/>
              </w:rPr>
              <w:t>•相对湿度：10％~90%；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•外壳材质：铝槽、不锈钢板1.2mm、底座10mm喷塑铁板，灰白哑光；</w:t>
            </w:r>
          </w:p>
          <w:p>
            <w:pPr>
              <w:spacing w:after="60" w:afterLines="25" w:line="360" w:lineRule="exact"/>
              <w:jc w:val="left"/>
              <w:rPr>
                <w:rFonts w:ascii="宋体" w:hAnsi="宋体"/>
                <w:szCs w:val="21"/>
              </w:rPr>
            </w:pPr>
            <w:r>
              <w:rPr>
                <w:rFonts w:hint="eastAsia" w:ascii="宋体" w:hAnsi="宋体"/>
                <w:szCs w:val="21"/>
              </w:rPr>
              <w:t>•外壳颜色：铝槽烟灰色，壳体米白，他色需定制；</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ascii="宋体" w:hAnsi="宋体"/>
                <w:szCs w:val="21"/>
              </w:rPr>
            </w:pPr>
            <w:r>
              <w:rPr>
                <w:rFonts w:hint="eastAsia" w:ascii="宋体" w:hAnsi="宋体"/>
                <w:szCs w:val="21"/>
              </w:rPr>
              <w:t>•外形尺寸：3000mm×420mm×150mm；</w:t>
            </w:r>
          </w:p>
          <w:p>
            <w:pPr>
              <w:spacing w:after="60" w:afterLines="25" w:line="360" w:lineRule="exact"/>
              <w:jc w:val="left"/>
              <w:rPr>
                <w:rFonts w:ascii="宋体" w:hAnsi="宋体"/>
                <w:szCs w:val="21"/>
              </w:rPr>
            </w:pPr>
            <w:r>
              <w:rPr>
                <w:rFonts w:hint="eastAsia" w:ascii="宋体" w:hAnsi="宋体"/>
                <w:szCs w:val="21"/>
              </w:rPr>
              <w:t>•执行标准：信号灯GB14887-2011；</w:t>
            </w:r>
          </w:p>
          <w:p>
            <w:pPr>
              <w:spacing w:after="60" w:afterLines="25" w:line="360" w:lineRule="exact"/>
              <w:jc w:val="left"/>
              <w:rPr>
                <w:rFonts w:hint="eastAsia" w:ascii="宋体" w:hAnsi="宋体"/>
                <w:szCs w:val="21"/>
              </w:rPr>
            </w:pPr>
            <w:r>
              <w:rPr>
                <w:rFonts w:hint="eastAsia" w:ascii="宋体" w:hAnsi="宋体"/>
                <w:szCs w:val="21"/>
              </w:rPr>
              <w:t>•安装模式：竖装JC5024，基础固定（建议M16螺杆）。</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5000</w:t>
            </w:r>
          </w:p>
        </w:tc>
      </w:tr>
      <w:tr>
        <w:tblPrEx>
          <w:tblCellMar>
            <w:top w:w="15" w:type="dxa"/>
            <w:left w:w="15" w:type="dxa"/>
            <w:bottom w:w="15" w:type="dxa"/>
            <w:right w:w="15" w:type="dxa"/>
          </w:tblCellMar>
        </w:tblPrEx>
        <w:trPr>
          <w:trHeight w:val="2102"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38</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Φ300mmLED悬挂式铝壳人行灯（红、绿分立二个一组）</w:t>
            </w:r>
          </w:p>
          <w:p>
            <w:pPr>
              <w:spacing w:after="60" w:afterLines="25" w:line="360" w:lineRule="exact"/>
              <w:jc w:val="left"/>
              <w:rPr>
                <w:rFonts w:ascii="宋体" w:hAnsi="宋体"/>
                <w:szCs w:val="21"/>
              </w:rPr>
            </w:pPr>
            <w:r>
              <w:rPr>
                <w:rFonts w:hint="eastAsia" w:ascii="宋体" w:hAnsi="宋体"/>
                <w:szCs w:val="21"/>
              </w:rPr>
              <w:t>•图案样式：红色站立人，绿色静止行人；</w:t>
            </w:r>
          </w:p>
          <w:p>
            <w:pPr>
              <w:spacing w:after="60" w:afterLines="25" w:line="360" w:lineRule="exact"/>
              <w:jc w:val="left"/>
              <w:rPr>
                <w:rFonts w:ascii="宋体" w:hAnsi="宋体"/>
                <w:szCs w:val="21"/>
              </w:rPr>
            </w:pPr>
            <w:r>
              <w:rPr>
                <w:rFonts w:hint="eastAsia" w:ascii="宋体" w:hAnsi="宋体"/>
                <w:szCs w:val="21"/>
              </w:rPr>
              <w:t>•产品尺寸：710mm×350mm×120mm；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•LED数量：信号灯：红≥60，绿≥56；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1800</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39</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LED铝壳红色人行灯</w:t>
            </w:r>
          </w:p>
          <w:p>
            <w:pPr>
              <w:spacing w:after="60" w:afterLines="25" w:line="360" w:lineRule="exact"/>
              <w:jc w:val="left"/>
              <w:rPr>
                <w:rFonts w:ascii="宋体" w:hAnsi="宋体"/>
                <w:szCs w:val="21"/>
              </w:rPr>
            </w:pPr>
            <w:r>
              <w:rPr>
                <w:rFonts w:hint="eastAsia" w:ascii="宋体" w:hAnsi="宋体"/>
                <w:szCs w:val="21"/>
              </w:rPr>
              <w:t>•产品尺寸：350mm×350mm×120mm；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•LED数量：信号灯：红≥60，绿≥56；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670</w:t>
            </w:r>
          </w:p>
        </w:tc>
      </w:tr>
      <w:tr>
        <w:tblPrEx>
          <w:tblCellMar>
            <w:top w:w="15" w:type="dxa"/>
            <w:left w:w="15" w:type="dxa"/>
            <w:bottom w:w="15" w:type="dxa"/>
            <w:right w:w="15" w:type="dxa"/>
          </w:tblCellMar>
        </w:tblPrEx>
        <w:trPr>
          <w:trHeight w:val="834"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40</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LED铝壳绿色人行灯</w:t>
            </w:r>
          </w:p>
          <w:p>
            <w:pPr>
              <w:spacing w:after="60" w:afterLines="25" w:line="360" w:lineRule="exact"/>
              <w:jc w:val="left"/>
              <w:rPr>
                <w:rFonts w:ascii="宋体" w:hAnsi="宋体"/>
                <w:szCs w:val="21"/>
              </w:rPr>
            </w:pPr>
            <w:r>
              <w:rPr>
                <w:rFonts w:hint="eastAsia" w:ascii="宋体" w:hAnsi="宋体"/>
                <w:szCs w:val="21"/>
              </w:rPr>
              <w:t>•产品尺寸：350mm×350mm×120mm；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•LED数量：信号灯：红≥60，绿≥56；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635</w:t>
            </w:r>
          </w:p>
        </w:tc>
      </w:tr>
      <w:tr>
        <w:tblPrEx>
          <w:tblCellMar>
            <w:top w:w="15" w:type="dxa"/>
            <w:left w:w="15" w:type="dxa"/>
            <w:bottom w:w="15" w:type="dxa"/>
            <w:right w:w="15" w:type="dxa"/>
          </w:tblCellMar>
        </w:tblPrEx>
        <w:trPr>
          <w:trHeight w:val="161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LED红色满屏灯芯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•LED数量：红156，黄156，绿156；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540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LED绿色满屏灯芯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•LED数量：红≥156，黄≥156，绿≥156；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570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LED黄色满屏灯芯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•LED数量：红≥156，黄≥156，绿≥156；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540</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LED黄色单8满屏灯芯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•工作电压：220V型号：220VAC±20%，50HZ±2HZ；</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•LED数量：信号灯：黄≥170；倒计时：红≥98，绿≥98；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•倒计时：黄灯嵌入单8倒计时；</w:t>
            </w:r>
          </w:p>
          <w:p>
            <w:pPr>
              <w:spacing w:after="60" w:afterLines="25" w:line="360" w:lineRule="exact"/>
              <w:jc w:val="left"/>
              <w:rPr>
                <w:rFonts w:ascii="宋体" w:hAnsi="宋体"/>
                <w:szCs w:val="21"/>
              </w:rPr>
            </w:pPr>
            <w:r>
              <w:rPr>
                <w:rFonts w:hint="eastAsia" w:ascii="宋体" w:hAnsi="宋体"/>
                <w:szCs w:val="21"/>
              </w:rPr>
              <w:t>•计时方式：学习/触发/RS485通信；</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hint="eastAsia" w:ascii="宋体" w:hAnsi="宋体"/>
                <w:szCs w:val="21"/>
              </w:rPr>
            </w:pPr>
            <w:r>
              <w:rPr>
                <w:rFonts w:hint="eastAsia" w:ascii="宋体" w:hAnsi="宋体"/>
                <w:szCs w:val="21"/>
              </w:rPr>
              <w:t>•参考标准：信号灯GB14887-2011倒计时GAT508-2014。</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1180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LED绿色箭头灯芯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540</w:t>
            </w:r>
          </w:p>
        </w:tc>
      </w:tr>
      <w:tr>
        <w:tblPrEx>
          <w:tblCellMar>
            <w:top w:w="15" w:type="dxa"/>
            <w:left w:w="15" w:type="dxa"/>
            <w:bottom w:w="15" w:type="dxa"/>
            <w:right w:w="15" w:type="dxa"/>
          </w:tblCellMar>
        </w:tblPrEx>
        <w:trPr>
          <w:trHeight w:val="68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46</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LED红色箭头灯芯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540</w:t>
            </w:r>
          </w:p>
        </w:tc>
      </w:tr>
      <w:tr>
        <w:tblPrEx>
          <w:tblCellMar>
            <w:top w:w="15" w:type="dxa"/>
            <w:left w:w="15" w:type="dxa"/>
            <w:bottom w:w="15" w:type="dxa"/>
            <w:right w:w="15" w:type="dxa"/>
          </w:tblCellMar>
        </w:tblPrEx>
        <w:trPr>
          <w:trHeight w:val="270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47</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LED黄色箭头灯芯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540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LED红色人行灯芯</w:t>
            </w:r>
          </w:p>
          <w:p>
            <w:pPr>
              <w:spacing w:after="60" w:afterLines="25" w:line="360" w:lineRule="exact"/>
              <w:jc w:val="left"/>
              <w:rPr>
                <w:rFonts w:ascii="宋体" w:hAnsi="宋体"/>
                <w:szCs w:val="21"/>
              </w:rPr>
            </w:pPr>
            <w:r>
              <w:rPr>
                <w:rFonts w:hint="eastAsia" w:ascii="宋体" w:hAnsi="宋体"/>
                <w:szCs w:val="21"/>
              </w:rPr>
              <w:t>•面罩规格：Φ300mm；</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•LED数量：红≥60，绿≥56；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420</w:t>
            </w:r>
          </w:p>
        </w:tc>
      </w:tr>
      <w:tr>
        <w:tblPrEx>
          <w:tblCellMar>
            <w:top w:w="15" w:type="dxa"/>
            <w:left w:w="15" w:type="dxa"/>
            <w:bottom w:w="15" w:type="dxa"/>
            <w:right w:w="15" w:type="dxa"/>
          </w:tblCellMar>
        </w:tblPrEx>
        <w:trPr>
          <w:trHeight w:val="134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49</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LED绿色人行灯芯</w:t>
            </w:r>
          </w:p>
          <w:p>
            <w:pPr>
              <w:spacing w:after="60" w:afterLines="25" w:line="360" w:lineRule="exact"/>
              <w:jc w:val="left"/>
              <w:rPr>
                <w:rFonts w:ascii="宋体" w:hAnsi="宋体"/>
                <w:szCs w:val="21"/>
              </w:rPr>
            </w:pPr>
            <w:r>
              <w:rPr>
                <w:rFonts w:hint="eastAsia" w:ascii="宋体" w:hAnsi="宋体"/>
                <w:szCs w:val="21"/>
              </w:rPr>
              <w:t>•面罩规格：Φ300mm；</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•LED数量：红≥60，绿≥56；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420</w:t>
            </w:r>
          </w:p>
        </w:tc>
      </w:tr>
      <w:tr>
        <w:tblPrEx>
          <w:tblCellMar>
            <w:top w:w="15" w:type="dxa"/>
            <w:left w:w="15" w:type="dxa"/>
            <w:bottom w:w="15" w:type="dxa"/>
            <w:right w:w="15" w:type="dxa"/>
          </w:tblCellMar>
        </w:tblPrEx>
        <w:trPr>
          <w:trHeight w:val="33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50</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Φ300mmLED铝壳箭头（红、黄、绿分立三个一组）</w:t>
            </w:r>
          </w:p>
          <w:p>
            <w:pPr>
              <w:spacing w:after="60" w:afterLines="25" w:line="360" w:lineRule="exact"/>
              <w:jc w:val="left"/>
              <w:rPr>
                <w:rFonts w:ascii="宋体" w:hAnsi="宋体"/>
                <w:szCs w:val="21"/>
              </w:rPr>
            </w:pPr>
            <w:r>
              <w:rPr>
                <w:rFonts w:hint="eastAsia" w:ascii="宋体" w:hAnsi="宋体"/>
                <w:szCs w:val="21"/>
              </w:rPr>
              <w:t>•产品尺寸：1065mm×350mm×120mm；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•中心亮度：≥5000 cd/m2；</w:t>
            </w:r>
          </w:p>
          <w:p>
            <w:pPr>
              <w:spacing w:after="60" w:afterLines="25" w:line="360" w:lineRule="exact"/>
              <w:jc w:val="left"/>
              <w:rPr>
                <w:rFonts w:ascii="宋体" w:hAnsi="宋体"/>
                <w:szCs w:val="21"/>
              </w:rPr>
            </w:pPr>
            <w:r>
              <w:rPr>
                <w:rFonts w:hint="eastAsia" w:ascii="宋体" w:hAnsi="宋体"/>
                <w:szCs w:val="21"/>
              </w:rPr>
              <w:t>•LED数量：信号灯：红≥66，黄≥66，绿≥66；</w:t>
            </w:r>
          </w:p>
          <w:p>
            <w:pPr>
              <w:spacing w:after="60" w:afterLines="25" w:line="360" w:lineRule="exact"/>
              <w:jc w:val="left"/>
              <w:rPr>
                <w:rFonts w:ascii="宋体" w:hAnsi="宋体"/>
                <w:szCs w:val="21"/>
              </w:rPr>
            </w:pPr>
            <w:r>
              <w:rPr>
                <w:rFonts w:hint="eastAsia" w:ascii="宋体" w:hAnsi="宋体"/>
                <w:szCs w:val="21"/>
              </w:rPr>
              <w:t>•LED直径：Φ5mm 单管电流 &lt; 18mA；</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2800</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Φ300mmLED铝壳满屏（红、黄、绿分立三个一组）</w:t>
            </w:r>
          </w:p>
          <w:p>
            <w:pPr>
              <w:spacing w:after="60" w:afterLines="25" w:line="360" w:lineRule="exact"/>
              <w:jc w:val="left"/>
              <w:rPr>
                <w:rFonts w:ascii="宋体" w:hAnsi="宋体"/>
                <w:szCs w:val="21"/>
              </w:rPr>
            </w:pPr>
            <w:r>
              <w:rPr>
                <w:rFonts w:hint="eastAsia" w:ascii="宋体" w:hAnsi="宋体"/>
                <w:szCs w:val="21"/>
              </w:rPr>
              <w:t>•产品尺寸：1065mm×350mm×120mm；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•LED数量：信号灯：红≥125，黄≥125，绿≥125；</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2800</w:t>
            </w:r>
          </w:p>
        </w:tc>
      </w:tr>
      <w:tr>
        <w:tblPrEx>
          <w:tblCellMar>
            <w:top w:w="15" w:type="dxa"/>
            <w:left w:w="15" w:type="dxa"/>
            <w:bottom w:w="15" w:type="dxa"/>
            <w:right w:w="15" w:type="dxa"/>
          </w:tblCellMar>
        </w:tblPrEx>
        <w:trPr>
          <w:trHeight w:val="33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Φ300mmLED铝壳红色箭头灯</w:t>
            </w:r>
          </w:p>
          <w:p>
            <w:pPr>
              <w:spacing w:after="60" w:afterLines="25" w:line="360" w:lineRule="exact"/>
              <w:jc w:val="left"/>
              <w:rPr>
                <w:rFonts w:ascii="宋体" w:hAnsi="宋体"/>
                <w:szCs w:val="21"/>
              </w:rPr>
            </w:pPr>
            <w:r>
              <w:rPr>
                <w:rFonts w:hint="eastAsia" w:ascii="宋体" w:hAnsi="宋体"/>
                <w:szCs w:val="21"/>
              </w:rPr>
              <w:t>•产品尺寸：350mm×350mm×120mm；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•中心亮度：≥5000 cd/m2；</w:t>
            </w:r>
          </w:p>
          <w:p>
            <w:pPr>
              <w:spacing w:after="60" w:afterLines="25" w:line="360" w:lineRule="exact"/>
              <w:jc w:val="left"/>
              <w:rPr>
                <w:rFonts w:ascii="宋体" w:hAnsi="宋体"/>
                <w:szCs w:val="21"/>
              </w:rPr>
            </w:pPr>
            <w:r>
              <w:rPr>
                <w:rFonts w:hint="eastAsia" w:ascii="宋体" w:hAnsi="宋体"/>
                <w:szCs w:val="21"/>
              </w:rPr>
              <w:t>•LED数量：信号灯：红≥66，黄≥66，绿≥66；</w:t>
            </w:r>
          </w:p>
          <w:p>
            <w:pPr>
              <w:spacing w:after="60" w:afterLines="25" w:line="360" w:lineRule="exact"/>
              <w:jc w:val="left"/>
              <w:rPr>
                <w:rFonts w:ascii="宋体" w:hAnsi="宋体"/>
                <w:szCs w:val="21"/>
              </w:rPr>
            </w:pPr>
            <w:r>
              <w:rPr>
                <w:rFonts w:hint="eastAsia" w:ascii="宋体" w:hAnsi="宋体"/>
                <w:szCs w:val="21"/>
              </w:rPr>
              <w:t>•LED直径：Φ5mm 单管电流 &lt; 18mA；</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670</w:t>
            </w:r>
          </w:p>
        </w:tc>
      </w:tr>
      <w:tr>
        <w:tblPrEx>
          <w:tblCellMar>
            <w:top w:w="15" w:type="dxa"/>
            <w:left w:w="15" w:type="dxa"/>
            <w:bottom w:w="15" w:type="dxa"/>
            <w:right w:w="15" w:type="dxa"/>
          </w:tblCellMar>
        </w:tblPrEx>
        <w:trPr>
          <w:trHeight w:val="33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LED铝壳黄色箭头灯</w:t>
            </w:r>
          </w:p>
          <w:p>
            <w:pPr>
              <w:spacing w:after="60" w:afterLines="25" w:line="360" w:lineRule="exact"/>
              <w:jc w:val="left"/>
              <w:rPr>
                <w:rFonts w:ascii="宋体" w:hAnsi="宋体"/>
                <w:szCs w:val="21"/>
              </w:rPr>
            </w:pPr>
            <w:r>
              <w:rPr>
                <w:rFonts w:hint="eastAsia" w:ascii="宋体" w:hAnsi="宋体"/>
                <w:szCs w:val="21"/>
              </w:rPr>
              <w:t>•产品尺寸：350mm×350mm×120mm；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•中心亮度：≥5000 cd/m2；</w:t>
            </w:r>
          </w:p>
          <w:p>
            <w:pPr>
              <w:spacing w:after="60" w:afterLines="25" w:line="360" w:lineRule="exact"/>
              <w:jc w:val="left"/>
              <w:rPr>
                <w:rFonts w:ascii="宋体" w:hAnsi="宋体"/>
                <w:szCs w:val="21"/>
              </w:rPr>
            </w:pPr>
            <w:r>
              <w:rPr>
                <w:rFonts w:hint="eastAsia" w:ascii="宋体" w:hAnsi="宋体"/>
                <w:szCs w:val="21"/>
              </w:rPr>
              <w:t>•LED数量：信号灯：红≥66，黄≥66，绿≥66；</w:t>
            </w:r>
          </w:p>
          <w:p>
            <w:pPr>
              <w:spacing w:after="60" w:afterLines="25" w:line="360" w:lineRule="exact"/>
              <w:jc w:val="left"/>
              <w:rPr>
                <w:rFonts w:ascii="宋体" w:hAnsi="宋体"/>
                <w:szCs w:val="21"/>
              </w:rPr>
            </w:pPr>
            <w:r>
              <w:rPr>
                <w:rFonts w:hint="eastAsia" w:ascii="宋体" w:hAnsi="宋体"/>
                <w:szCs w:val="21"/>
              </w:rPr>
              <w:t>•LED直径：Φ5mm 单管电流 &lt; 18mA；</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635</w:t>
            </w:r>
          </w:p>
        </w:tc>
      </w:tr>
      <w:tr>
        <w:tblPrEx>
          <w:tblCellMar>
            <w:top w:w="15" w:type="dxa"/>
            <w:left w:w="15" w:type="dxa"/>
            <w:bottom w:w="15" w:type="dxa"/>
            <w:right w:w="15" w:type="dxa"/>
          </w:tblCellMar>
        </w:tblPrEx>
        <w:trPr>
          <w:trHeight w:val="33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LED铝壳绿色箭头灯</w:t>
            </w:r>
          </w:p>
          <w:p>
            <w:pPr>
              <w:spacing w:after="60" w:afterLines="25" w:line="360" w:lineRule="exact"/>
              <w:jc w:val="left"/>
              <w:rPr>
                <w:rFonts w:ascii="宋体" w:hAnsi="宋体"/>
                <w:szCs w:val="21"/>
              </w:rPr>
            </w:pPr>
            <w:r>
              <w:rPr>
                <w:rFonts w:hint="eastAsia" w:ascii="宋体" w:hAnsi="宋体"/>
                <w:szCs w:val="21"/>
              </w:rPr>
              <w:t>•产品尺寸：350mm×350mm×120mm；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•中心亮度：≥5000 cd/m2；</w:t>
            </w:r>
          </w:p>
          <w:p>
            <w:pPr>
              <w:spacing w:after="60" w:afterLines="25" w:line="360" w:lineRule="exact"/>
              <w:jc w:val="left"/>
              <w:rPr>
                <w:rFonts w:ascii="宋体" w:hAnsi="宋体"/>
                <w:szCs w:val="21"/>
              </w:rPr>
            </w:pPr>
            <w:r>
              <w:rPr>
                <w:rFonts w:hint="eastAsia" w:ascii="宋体" w:hAnsi="宋体"/>
                <w:szCs w:val="21"/>
              </w:rPr>
              <w:t>•LED数量：信号灯：红≥66，黄≥66，绿≥66；</w:t>
            </w:r>
          </w:p>
          <w:p>
            <w:pPr>
              <w:spacing w:after="60" w:afterLines="25" w:line="360" w:lineRule="exact"/>
              <w:jc w:val="left"/>
              <w:rPr>
                <w:rFonts w:ascii="宋体" w:hAnsi="宋体"/>
                <w:szCs w:val="21"/>
              </w:rPr>
            </w:pPr>
            <w:r>
              <w:rPr>
                <w:rFonts w:hint="eastAsia" w:ascii="宋体" w:hAnsi="宋体"/>
                <w:szCs w:val="21"/>
              </w:rPr>
              <w:t>•LED直径：Φ5mm 单管电流 &lt; 18mA；</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635</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LED铝壳红色满屏灯</w:t>
            </w:r>
          </w:p>
          <w:p>
            <w:pPr>
              <w:spacing w:after="60" w:afterLines="25" w:line="360" w:lineRule="exact"/>
              <w:jc w:val="left"/>
              <w:rPr>
                <w:rFonts w:ascii="宋体" w:hAnsi="宋体"/>
                <w:szCs w:val="21"/>
              </w:rPr>
            </w:pPr>
            <w:r>
              <w:rPr>
                <w:rFonts w:hint="eastAsia" w:ascii="宋体" w:hAnsi="宋体"/>
                <w:szCs w:val="21"/>
              </w:rPr>
              <w:t>•产品尺寸：350mm×350mm×120mm；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•LED数量：信号灯：红≥125，黄≥125，绿≥125；</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635</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56</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LED铝壳黄色满屏灯</w:t>
            </w:r>
          </w:p>
          <w:p>
            <w:pPr>
              <w:spacing w:after="60" w:afterLines="25" w:line="360" w:lineRule="exact"/>
              <w:jc w:val="left"/>
              <w:rPr>
                <w:rFonts w:ascii="宋体" w:hAnsi="宋体"/>
                <w:szCs w:val="21"/>
              </w:rPr>
            </w:pPr>
            <w:r>
              <w:rPr>
                <w:rFonts w:hint="eastAsia" w:ascii="宋体" w:hAnsi="宋体"/>
                <w:szCs w:val="21"/>
              </w:rPr>
              <w:t>•产品尺寸：350mm×350mm×120mm；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•LED数量：信号灯：红≥125，黄≥125，绿≥125；</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635</w:t>
            </w:r>
          </w:p>
        </w:tc>
      </w:tr>
      <w:tr>
        <w:tblPrEx>
          <w:tblCellMar>
            <w:top w:w="15" w:type="dxa"/>
            <w:left w:w="15" w:type="dxa"/>
            <w:bottom w:w="15" w:type="dxa"/>
            <w:right w:w="15" w:type="dxa"/>
          </w:tblCellMar>
        </w:tblPrEx>
        <w:trPr>
          <w:trHeight w:val="315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57</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LED铝壳绿色满屏灯</w:t>
            </w:r>
          </w:p>
          <w:p>
            <w:pPr>
              <w:spacing w:after="60" w:afterLines="25" w:line="360" w:lineRule="exact"/>
              <w:jc w:val="left"/>
              <w:rPr>
                <w:rFonts w:ascii="宋体" w:hAnsi="宋体"/>
                <w:szCs w:val="21"/>
              </w:rPr>
            </w:pPr>
            <w:r>
              <w:rPr>
                <w:rFonts w:hint="eastAsia" w:ascii="宋体" w:hAnsi="宋体"/>
                <w:szCs w:val="21"/>
              </w:rPr>
              <w:t>•产品尺寸：350mm×350mm×120mm；</w:t>
            </w:r>
          </w:p>
          <w:p>
            <w:pPr>
              <w:spacing w:after="60" w:afterLines="25" w:line="360" w:lineRule="exact"/>
              <w:jc w:val="left"/>
              <w:rPr>
                <w:rFonts w:ascii="宋体" w:hAnsi="宋体"/>
                <w:szCs w:val="21"/>
              </w:rPr>
            </w:pPr>
            <w:r>
              <w:rPr>
                <w:rFonts w:hint="eastAsia" w:ascii="宋体" w:hAnsi="宋体"/>
                <w:szCs w:val="21"/>
              </w:rPr>
              <w:t>•面罩规格：Φ300mm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•遮沿帽檐：300帽檐长度≥33.3cm；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•LED数量：信号灯：红≥125，黄≥125，绿≥125；</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635</w:t>
            </w:r>
          </w:p>
        </w:tc>
      </w:tr>
      <w:tr>
        <w:tblPrEx>
          <w:tblCellMar>
            <w:top w:w="15" w:type="dxa"/>
            <w:left w:w="15" w:type="dxa"/>
            <w:bottom w:w="15" w:type="dxa"/>
            <w:right w:w="15" w:type="dxa"/>
          </w:tblCellMar>
        </w:tblPrEx>
        <w:trPr>
          <w:trHeight w:val="170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58</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LED红色满屏灯芯</w:t>
            </w:r>
          </w:p>
          <w:p>
            <w:pPr>
              <w:spacing w:after="60" w:afterLines="25" w:line="360" w:lineRule="exact"/>
              <w:jc w:val="left"/>
              <w:rPr>
                <w:rFonts w:ascii="宋体" w:hAnsi="宋体"/>
                <w:szCs w:val="21"/>
              </w:rPr>
            </w:pPr>
            <w:r>
              <w:rPr>
                <w:rFonts w:hint="eastAsia" w:ascii="宋体" w:hAnsi="宋体"/>
                <w:szCs w:val="21"/>
              </w:rPr>
              <w:t>•面罩规格：Φ300mm；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•LED数量：红≥125，黄≥125，绿≥125；</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59</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LED黄色满屏灯芯</w:t>
            </w:r>
          </w:p>
          <w:p>
            <w:pPr>
              <w:spacing w:after="60" w:afterLines="25" w:line="360" w:lineRule="exact"/>
              <w:jc w:val="left"/>
              <w:rPr>
                <w:rFonts w:ascii="宋体" w:hAnsi="宋体"/>
                <w:szCs w:val="21"/>
              </w:rPr>
            </w:pPr>
            <w:r>
              <w:rPr>
                <w:rFonts w:hint="eastAsia" w:ascii="宋体" w:hAnsi="宋体"/>
                <w:szCs w:val="21"/>
              </w:rPr>
              <w:t>•面罩规格：Φ300mm；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•LED数量：红≥125，黄≥125，绿≥125；</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60</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LED绿色满屏灯芯</w:t>
            </w:r>
          </w:p>
          <w:p>
            <w:pPr>
              <w:spacing w:after="60" w:afterLines="25" w:line="360" w:lineRule="exact"/>
              <w:jc w:val="left"/>
              <w:rPr>
                <w:rFonts w:ascii="宋体" w:hAnsi="宋体"/>
                <w:szCs w:val="21"/>
              </w:rPr>
            </w:pPr>
            <w:r>
              <w:rPr>
                <w:rFonts w:hint="eastAsia" w:ascii="宋体" w:hAnsi="宋体"/>
                <w:szCs w:val="21"/>
              </w:rPr>
              <w:t>•面罩规格：Φ300mm；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•LED数量：红≥125，黄≥125，绿≥125；</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270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LED红色箭头灯芯</w:t>
            </w:r>
          </w:p>
          <w:p>
            <w:pPr>
              <w:spacing w:after="60" w:afterLines="25" w:line="360" w:lineRule="exact"/>
              <w:jc w:val="left"/>
              <w:rPr>
                <w:rFonts w:ascii="宋体" w:hAnsi="宋体"/>
                <w:szCs w:val="21"/>
              </w:rPr>
            </w:pPr>
            <w:r>
              <w:rPr>
                <w:rFonts w:hint="eastAsia" w:ascii="宋体" w:hAnsi="宋体"/>
                <w:szCs w:val="21"/>
              </w:rPr>
              <w:t>•面罩规格：Φ300mm；</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•LED数量：红≥66，黄≥66，绿≥66；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•可视距离：&gt;300m 可视角度 &gt;30°；</w:t>
            </w:r>
          </w:p>
          <w:p>
            <w:pPr>
              <w:spacing w:after="60" w:afterLines="25" w:line="360" w:lineRule="exact"/>
              <w:jc w:val="left"/>
              <w:rPr>
                <w:rFonts w:ascii="宋体" w:hAnsi="宋体"/>
                <w:szCs w:val="21"/>
              </w:rPr>
            </w:pPr>
            <w:r>
              <w:rPr>
                <w:rFonts w:hint="eastAsia" w:ascii="宋体" w:hAnsi="宋体"/>
                <w:szCs w:val="21"/>
              </w:rPr>
              <w:t>•工作温度：-40~+70℃ 湿度10％~90%；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270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LED黄色箭头灯芯</w:t>
            </w:r>
          </w:p>
          <w:p>
            <w:pPr>
              <w:spacing w:after="60" w:afterLines="25" w:line="360" w:lineRule="exact"/>
              <w:jc w:val="left"/>
              <w:rPr>
                <w:rFonts w:ascii="宋体" w:hAnsi="宋体"/>
                <w:szCs w:val="21"/>
              </w:rPr>
            </w:pPr>
            <w:r>
              <w:rPr>
                <w:rFonts w:hint="eastAsia" w:ascii="宋体" w:hAnsi="宋体"/>
                <w:szCs w:val="21"/>
              </w:rPr>
              <w:t>•面罩规格：Φ300mm；</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•LED数量：红≥66，黄≥66，绿≥66；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•可视距离：&gt;300m 可视角度 &gt;30°；</w:t>
            </w:r>
          </w:p>
          <w:p>
            <w:pPr>
              <w:spacing w:after="60" w:afterLines="25" w:line="360" w:lineRule="exact"/>
              <w:jc w:val="left"/>
              <w:rPr>
                <w:rFonts w:ascii="宋体" w:hAnsi="宋体"/>
                <w:szCs w:val="21"/>
              </w:rPr>
            </w:pPr>
            <w:r>
              <w:rPr>
                <w:rFonts w:hint="eastAsia" w:ascii="宋体" w:hAnsi="宋体"/>
                <w:szCs w:val="21"/>
              </w:rPr>
              <w:t>•工作温度：-40~+70℃ 湿度10％~90%；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270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Φ300mm LED绿色箭头灯芯</w:t>
            </w:r>
          </w:p>
          <w:p>
            <w:pPr>
              <w:spacing w:after="60" w:afterLines="25" w:line="360" w:lineRule="exact"/>
              <w:jc w:val="left"/>
              <w:rPr>
                <w:rFonts w:ascii="宋体" w:hAnsi="宋体"/>
                <w:szCs w:val="21"/>
              </w:rPr>
            </w:pPr>
            <w:r>
              <w:rPr>
                <w:rFonts w:hint="eastAsia" w:ascii="宋体" w:hAnsi="宋体"/>
                <w:szCs w:val="21"/>
              </w:rPr>
              <w:t>•面罩规格：Φ300mm；</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•中心亮度：≥5000cd/m2；</w:t>
            </w:r>
          </w:p>
          <w:p>
            <w:pPr>
              <w:spacing w:after="60" w:afterLines="25" w:line="360" w:lineRule="exact"/>
              <w:jc w:val="left"/>
              <w:rPr>
                <w:rFonts w:ascii="宋体" w:hAnsi="宋体"/>
                <w:szCs w:val="21"/>
              </w:rPr>
            </w:pPr>
            <w:r>
              <w:rPr>
                <w:rFonts w:hint="eastAsia" w:ascii="宋体" w:hAnsi="宋体"/>
                <w:szCs w:val="21"/>
              </w:rPr>
              <w:t>•LED数量：红≥66，黄≥66，绿≥66；</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•可视距离：&gt;300m 可视角度 &gt;30°；</w:t>
            </w:r>
          </w:p>
          <w:p>
            <w:pPr>
              <w:spacing w:after="60" w:afterLines="25" w:line="360" w:lineRule="exact"/>
              <w:jc w:val="left"/>
              <w:rPr>
                <w:rFonts w:ascii="宋体" w:hAnsi="宋体"/>
                <w:szCs w:val="21"/>
              </w:rPr>
            </w:pPr>
            <w:r>
              <w:rPr>
                <w:rFonts w:hint="eastAsia" w:ascii="宋体" w:hAnsi="宋体"/>
                <w:szCs w:val="21"/>
              </w:rPr>
              <w:t>•工作温度：-40~+70℃ 湿度10％~90%；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33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Φ400铝壳非机动车灯</w:t>
            </w:r>
          </w:p>
          <w:p>
            <w:pPr>
              <w:spacing w:after="60" w:afterLines="25" w:line="360" w:lineRule="exact"/>
              <w:jc w:val="left"/>
              <w:rPr>
                <w:rFonts w:ascii="宋体" w:hAnsi="宋体"/>
                <w:szCs w:val="21"/>
              </w:rPr>
            </w:pPr>
            <w:r>
              <w:rPr>
                <w:rFonts w:hint="eastAsia" w:ascii="宋体" w:hAnsi="宋体"/>
                <w:szCs w:val="21"/>
              </w:rPr>
              <w:t>•图案样式：非机动车，独立红黄绿；</w:t>
            </w:r>
          </w:p>
          <w:p>
            <w:pPr>
              <w:spacing w:after="60" w:afterLines="25" w:line="360" w:lineRule="exact"/>
              <w:jc w:val="left"/>
              <w:rPr>
                <w:rFonts w:ascii="宋体" w:hAnsi="宋体"/>
                <w:szCs w:val="21"/>
              </w:rPr>
            </w:pPr>
            <w:r>
              <w:rPr>
                <w:rFonts w:hint="eastAsia" w:ascii="宋体" w:hAnsi="宋体"/>
                <w:szCs w:val="21"/>
              </w:rPr>
              <w:t>•产品尺寸：（长×宽×厚）1380~1395mm×455~465mm×120~135mm；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•LED数量：信号灯：红≥90，黄≥90，绿≥90；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2950</w:t>
            </w:r>
          </w:p>
        </w:tc>
      </w:tr>
      <w:tr>
        <w:tblPrEx>
          <w:tblCellMar>
            <w:top w:w="15" w:type="dxa"/>
            <w:left w:w="15" w:type="dxa"/>
            <w:bottom w:w="15" w:type="dxa"/>
            <w:right w:w="15" w:type="dxa"/>
          </w:tblCellMar>
        </w:tblPrEx>
        <w:trPr>
          <w:trHeight w:val="33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Φ400铝壳非机动车灯（左转）</w:t>
            </w:r>
          </w:p>
          <w:p>
            <w:pPr>
              <w:spacing w:after="60" w:afterLines="25" w:line="360" w:lineRule="exact"/>
              <w:jc w:val="left"/>
              <w:rPr>
                <w:rFonts w:ascii="宋体" w:hAnsi="宋体"/>
                <w:szCs w:val="21"/>
              </w:rPr>
            </w:pPr>
            <w:r>
              <w:rPr>
                <w:rFonts w:hint="eastAsia" w:ascii="宋体" w:hAnsi="宋体"/>
                <w:szCs w:val="21"/>
              </w:rPr>
              <w:t>•图案样式：非机动车左转，独立红黄绿</w:t>
            </w:r>
            <w:r>
              <w:rPr>
                <w:rFonts w:hint="eastAsia" w:ascii="宋体" w:hAnsi="宋体"/>
                <w:szCs w:val="21"/>
              </w:rPr>
              <w:br w:type="textWrapping"/>
            </w:r>
            <w:r>
              <w:rPr>
                <w:rFonts w:hint="eastAsia" w:ascii="宋体" w:hAnsi="宋体"/>
                <w:szCs w:val="21"/>
              </w:rPr>
              <w:t>•产品尺寸：（长×宽×厚）1380~1395mm×455~465mm×120~135mm；</w:t>
            </w:r>
          </w:p>
          <w:p>
            <w:pPr>
              <w:spacing w:after="60" w:afterLines="25" w:line="360" w:lineRule="exact"/>
              <w:jc w:val="left"/>
              <w:rPr>
                <w:rFonts w:ascii="宋体" w:hAnsi="宋体"/>
                <w:szCs w:val="21"/>
              </w:rPr>
            </w:pPr>
            <w:r>
              <w:rPr>
                <w:rFonts w:hint="eastAsia" w:ascii="宋体" w:hAnsi="宋体"/>
                <w:szCs w:val="21"/>
              </w:rPr>
              <w:t>•面罩规格：Φ400mm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•LED数量：信号灯：红≥128，黄≥128，绿≥128；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组</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2950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66</w:t>
            </w:r>
          </w:p>
        </w:tc>
        <w:tc>
          <w:tcPr>
            <w:tcW w:w="1134" w:type="dxa"/>
            <w:tcBorders>
              <w:top w:val="single" w:color="000000" w:sz="4" w:space="0"/>
              <w:left w:val="single" w:color="000000" w:sz="4" w:space="0"/>
              <w:bottom w:val="single" w:color="000000" w:sz="4" w:space="0"/>
              <w:right w:val="single" w:color="000000" w:sz="4" w:space="0"/>
            </w:tcBorders>
            <w:noWrap w:val="0"/>
            <w:vAlign w:val="top"/>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Φ400红非机动车灯芯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67</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Φ400绿非机动车灯芯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  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98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68</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Φ400黄非机动车灯芯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•LED数量：红≥90，黄≥90，绿≥90；</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29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69</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Φ400红非机动车灯芯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•LED数量：红≥128，黄≥128，绿≥128；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270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70</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Φ400绿非机动车灯芯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•LED数量：红≥128，黄≥128，绿≥128；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171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Φ400黄非机动车灯芯</w:t>
            </w:r>
          </w:p>
          <w:p>
            <w:pPr>
              <w:spacing w:after="60" w:afterLines="25" w:line="360" w:lineRule="exact"/>
              <w:jc w:val="left"/>
              <w:rPr>
                <w:rFonts w:ascii="宋体" w:hAnsi="宋体"/>
                <w:szCs w:val="21"/>
              </w:rPr>
            </w:pPr>
            <w:r>
              <w:rPr>
                <w:rFonts w:hint="eastAsia" w:ascii="宋体" w:hAnsi="宋体"/>
                <w:szCs w:val="21"/>
              </w:rPr>
              <w:t>•面罩规格：Φ400mm；</w:t>
            </w:r>
          </w:p>
          <w:p>
            <w:pPr>
              <w:spacing w:after="60" w:afterLines="25" w:line="360" w:lineRule="exact"/>
              <w:jc w:val="left"/>
              <w:rPr>
                <w:rFonts w:ascii="宋体" w:hAnsi="宋体"/>
                <w:szCs w:val="21"/>
              </w:rPr>
            </w:pPr>
            <w:r>
              <w:rPr>
                <w:rFonts w:hint="eastAsia" w:ascii="宋体" w:hAnsi="宋体"/>
                <w:szCs w:val="21"/>
              </w:rPr>
              <w:t>•灯芯材质：PC工程塑料  黑色；</w:t>
            </w:r>
          </w:p>
          <w:p>
            <w:pPr>
              <w:spacing w:after="60" w:afterLines="25" w:line="360" w:lineRule="exact"/>
              <w:jc w:val="left"/>
              <w:rPr>
                <w:rFonts w:ascii="宋体" w:hAnsi="宋体"/>
                <w:szCs w:val="21"/>
              </w:rPr>
            </w:pPr>
            <w:r>
              <w:rPr>
                <w:rFonts w:hint="eastAsia" w:ascii="宋体" w:hAnsi="宋体"/>
                <w:szCs w:val="21"/>
              </w:rPr>
              <w:t>•工作电压：220V型号：220VAC±20%，24V型号：AC19.2～28.8V，50HZ±2HZ；</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•中心光强：≥150cd；</w:t>
            </w:r>
          </w:p>
          <w:p>
            <w:pPr>
              <w:spacing w:after="60" w:afterLines="25" w:line="360" w:lineRule="exact"/>
              <w:jc w:val="left"/>
              <w:rPr>
                <w:rFonts w:ascii="宋体" w:hAnsi="宋体"/>
                <w:szCs w:val="21"/>
              </w:rPr>
            </w:pPr>
            <w:r>
              <w:rPr>
                <w:rFonts w:hint="eastAsia" w:ascii="宋体" w:hAnsi="宋体"/>
                <w:szCs w:val="21"/>
              </w:rPr>
              <w:t>•LED数量：红≥128，黄≥128，绿≥128；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nm黄：590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w:t>
            </w:r>
          </w:p>
        </w:tc>
      </w:tr>
      <w:tr>
        <w:tblPrEx>
          <w:tblCellMar>
            <w:top w:w="15" w:type="dxa"/>
            <w:left w:w="15" w:type="dxa"/>
            <w:bottom w:w="15" w:type="dxa"/>
            <w:right w:w="15" w:type="dxa"/>
          </w:tblCellMar>
        </w:tblPrEx>
        <w:trPr>
          <w:trHeight w:val="42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倒计时灯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LED单8倒计时灯（含红、绿倒计时）</w:t>
            </w:r>
          </w:p>
          <w:p>
            <w:pPr>
              <w:spacing w:after="60" w:afterLines="25" w:line="360" w:lineRule="exact"/>
              <w:jc w:val="left"/>
              <w:rPr>
                <w:rFonts w:ascii="宋体" w:hAnsi="宋体"/>
                <w:szCs w:val="21"/>
              </w:rPr>
            </w:pPr>
            <w:r>
              <w:rPr>
                <w:rFonts w:hint="eastAsia" w:ascii="宋体" w:hAnsi="宋体"/>
                <w:szCs w:val="21"/>
              </w:rPr>
              <w:t>•产品尺寸：455~465mm×455~465mm×120~135mm；</w:t>
            </w:r>
          </w:p>
          <w:p>
            <w:pPr>
              <w:spacing w:after="60" w:afterLines="25" w:line="360" w:lineRule="exact"/>
              <w:jc w:val="left"/>
              <w:rPr>
                <w:rFonts w:ascii="宋体" w:hAnsi="宋体"/>
                <w:szCs w:val="21"/>
              </w:rPr>
            </w:pPr>
            <w:r>
              <w:rPr>
                <w:rFonts w:hint="eastAsia" w:ascii="宋体" w:hAnsi="宋体"/>
                <w:szCs w:val="21"/>
              </w:rPr>
              <w:t>•面罩规格：Φ400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•取电方式：信号灯取电；</w:t>
            </w:r>
          </w:p>
          <w:p>
            <w:pPr>
              <w:spacing w:after="60" w:afterLines="25" w:line="360" w:lineRule="exact"/>
              <w:jc w:val="left"/>
              <w:rPr>
                <w:rFonts w:ascii="宋体" w:hAnsi="宋体"/>
                <w:szCs w:val="21"/>
              </w:rPr>
            </w:pPr>
            <w:r>
              <w:rPr>
                <w:rFonts w:hint="eastAsia" w:ascii="宋体" w:hAnsi="宋体"/>
                <w:szCs w:val="21"/>
              </w:rPr>
              <w:t>•接入信号：一组信号（红、黄、绿）接入；</w:t>
            </w:r>
          </w:p>
          <w:p>
            <w:pPr>
              <w:spacing w:after="60" w:afterLines="25" w:line="360" w:lineRule="exact"/>
              <w:jc w:val="left"/>
              <w:rPr>
                <w:rFonts w:ascii="宋体" w:hAnsi="宋体"/>
                <w:szCs w:val="21"/>
              </w:rPr>
            </w:pPr>
            <w:r>
              <w:rPr>
                <w:rFonts w:hint="eastAsia" w:ascii="宋体" w:hAnsi="宋体"/>
                <w:szCs w:val="21"/>
              </w:rPr>
              <w:t>•倒计时：数字显示范围红绿9~1；</w:t>
            </w:r>
          </w:p>
          <w:p>
            <w:pPr>
              <w:spacing w:after="60" w:afterLines="25" w:line="360" w:lineRule="exact"/>
              <w:jc w:val="left"/>
              <w:rPr>
                <w:rFonts w:ascii="宋体" w:hAnsi="宋体"/>
                <w:szCs w:val="21"/>
              </w:rPr>
            </w:pPr>
            <w:r>
              <w:rPr>
                <w:rFonts w:hint="eastAsia" w:ascii="宋体" w:hAnsi="宋体"/>
                <w:szCs w:val="21"/>
              </w:rPr>
              <w:t>•显示字体：七段码数字；</w:t>
            </w:r>
          </w:p>
          <w:p>
            <w:pPr>
              <w:spacing w:after="60" w:afterLines="25" w:line="360" w:lineRule="exact"/>
              <w:jc w:val="left"/>
              <w:rPr>
                <w:rFonts w:ascii="宋体" w:hAnsi="宋体"/>
                <w:szCs w:val="21"/>
              </w:rPr>
            </w:pPr>
            <w:r>
              <w:rPr>
                <w:rFonts w:hint="eastAsia" w:ascii="宋体" w:hAnsi="宋体"/>
                <w:szCs w:val="21"/>
              </w:rPr>
              <w:t>•计时方式：跟随/触发/RS485通信；</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•中心亮度：红&gt;5000 cd/m2；绿&gt;5000 cd/m2；</w:t>
            </w:r>
          </w:p>
          <w:p>
            <w:pPr>
              <w:spacing w:after="60" w:afterLines="25" w:line="360" w:lineRule="exact"/>
              <w:jc w:val="left"/>
              <w:rPr>
                <w:rFonts w:ascii="宋体" w:hAnsi="宋体"/>
                <w:szCs w:val="21"/>
              </w:rPr>
            </w:pPr>
            <w:r>
              <w:rPr>
                <w:rFonts w:hint="eastAsia" w:ascii="宋体" w:hAnsi="宋体"/>
                <w:szCs w:val="21"/>
              </w:rPr>
              <w:t>•LED数量：红≥98，绿≥98；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2000</w:t>
            </w:r>
          </w:p>
        </w:tc>
      </w:tr>
      <w:tr>
        <w:tblPrEx>
          <w:tblCellMar>
            <w:top w:w="15" w:type="dxa"/>
            <w:left w:w="15" w:type="dxa"/>
            <w:bottom w:w="15" w:type="dxa"/>
            <w:right w:w="15" w:type="dxa"/>
          </w:tblCellMar>
        </w:tblPrEx>
        <w:trPr>
          <w:trHeight w:val="206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倒计时灯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LED双8倒计时灯（含红、绿倒计时）</w:t>
            </w:r>
          </w:p>
          <w:p>
            <w:pPr>
              <w:spacing w:after="60" w:afterLines="25" w:line="360" w:lineRule="exact"/>
              <w:jc w:val="left"/>
              <w:rPr>
                <w:rFonts w:ascii="宋体" w:hAnsi="宋体"/>
                <w:szCs w:val="21"/>
              </w:rPr>
            </w:pPr>
            <w:r>
              <w:rPr>
                <w:rFonts w:hint="eastAsia" w:ascii="宋体" w:hAnsi="宋体"/>
                <w:szCs w:val="21"/>
              </w:rPr>
              <w:t>•产品尺寸：455~465mm×455~465mm×120~135mm；</w:t>
            </w:r>
          </w:p>
          <w:p>
            <w:pPr>
              <w:spacing w:after="60" w:afterLines="25" w:line="360" w:lineRule="exact"/>
              <w:jc w:val="left"/>
              <w:rPr>
                <w:rFonts w:ascii="宋体" w:hAnsi="宋体"/>
                <w:szCs w:val="21"/>
              </w:rPr>
            </w:pPr>
            <w:r>
              <w:rPr>
                <w:rFonts w:hint="eastAsia" w:ascii="宋体" w:hAnsi="宋体"/>
                <w:szCs w:val="21"/>
              </w:rPr>
              <w:t>•面罩规格：Φ400 面罩材质 玻璃；</w:t>
            </w:r>
          </w:p>
          <w:p>
            <w:pPr>
              <w:spacing w:after="60" w:afterLines="25" w:line="360" w:lineRule="exact"/>
              <w:jc w:val="left"/>
              <w:rPr>
                <w:rFonts w:ascii="宋体" w:hAnsi="宋体"/>
                <w:szCs w:val="21"/>
              </w:rPr>
            </w:pPr>
            <w:r>
              <w:rPr>
                <w:rFonts w:hint="eastAsia" w:ascii="宋体" w:hAnsi="宋体"/>
                <w:szCs w:val="21"/>
              </w:rPr>
              <w:t>•外壳材质：铝压铸  表面处理 黑色喷塑哑光；</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•取电方式：信号灯取电；</w:t>
            </w:r>
          </w:p>
          <w:p>
            <w:pPr>
              <w:spacing w:after="60" w:afterLines="25" w:line="360" w:lineRule="exact"/>
              <w:jc w:val="left"/>
              <w:rPr>
                <w:rFonts w:ascii="宋体" w:hAnsi="宋体"/>
                <w:szCs w:val="21"/>
              </w:rPr>
            </w:pPr>
            <w:r>
              <w:rPr>
                <w:rFonts w:hint="eastAsia" w:ascii="宋体" w:hAnsi="宋体"/>
                <w:szCs w:val="21"/>
              </w:rPr>
              <w:t>•接入信号：一组信号（红、黄、绿）接入；</w:t>
            </w:r>
          </w:p>
          <w:p>
            <w:pPr>
              <w:spacing w:after="60" w:afterLines="25" w:line="360" w:lineRule="exact"/>
              <w:jc w:val="left"/>
              <w:rPr>
                <w:rFonts w:ascii="宋体" w:hAnsi="宋体"/>
                <w:szCs w:val="21"/>
              </w:rPr>
            </w:pPr>
            <w:r>
              <w:rPr>
                <w:rFonts w:hint="eastAsia" w:ascii="宋体" w:hAnsi="宋体"/>
                <w:szCs w:val="21"/>
              </w:rPr>
              <w:t>•倒计时：数字显示范围红绿99~1；</w:t>
            </w:r>
          </w:p>
          <w:p>
            <w:pPr>
              <w:spacing w:after="60" w:afterLines="25" w:line="360" w:lineRule="exact"/>
              <w:jc w:val="left"/>
              <w:rPr>
                <w:rFonts w:ascii="宋体" w:hAnsi="宋体"/>
                <w:szCs w:val="21"/>
              </w:rPr>
            </w:pPr>
            <w:r>
              <w:rPr>
                <w:rFonts w:hint="eastAsia" w:ascii="宋体" w:hAnsi="宋体"/>
                <w:szCs w:val="21"/>
              </w:rPr>
              <w:t>•显示字体：七段码数字；</w:t>
            </w:r>
          </w:p>
          <w:p>
            <w:pPr>
              <w:spacing w:after="60" w:afterLines="25" w:line="360" w:lineRule="exact"/>
              <w:jc w:val="left"/>
              <w:rPr>
                <w:rFonts w:ascii="宋体" w:hAnsi="宋体"/>
                <w:szCs w:val="21"/>
              </w:rPr>
            </w:pPr>
            <w:r>
              <w:rPr>
                <w:rFonts w:hint="eastAsia" w:ascii="宋体" w:hAnsi="宋体"/>
                <w:szCs w:val="21"/>
              </w:rPr>
              <w:t>•计时方式：跟随/触发/RS485通信；</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•中心亮度：红&gt;5000 cd/m2；绿&gt;5000 cd/m2；</w:t>
            </w:r>
          </w:p>
          <w:p>
            <w:pPr>
              <w:spacing w:after="60" w:afterLines="25" w:line="360" w:lineRule="exact"/>
              <w:jc w:val="left"/>
              <w:rPr>
                <w:rFonts w:ascii="宋体" w:hAnsi="宋体"/>
                <w:szCs w:val="21"/>
              </w:rPr>
            </w:pPr>
            <w:r>
              <w:rPr>
                <w:rFonts w:hint="eastAsia" w:ascii="宋体" w:hAnsi="宋体"/>
                <w:szCs w:val="21"/>
              </w:rPr>
              <w:t>•LED数量：红≥98，绿≥98；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2000</w:t>
            </w:r>
          </w:p>
        </w:tc>
      </w:tr>
      <w:tr>
        <w:tblPrEx>
          <w:tblCellMar>
            <w:top w:w="15" w:type="dxa"/>
            <w:left w:w="15" w:type="dxa"/>
            <w:bottom w:w="15" w:type="dxa"/>
            <w:right w:w="15" w:type="dxa"/>
          </w:tblCellMar>
        </w:tblPrEx>
        <w:trPr>
          <w:trHeight w:val="252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倒计时灯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LED单8倒计时灯芯（含红、绿倒计时）</w:t>
            </w:r>
          </w:p>
          <w:p>
            <w:pPr>
              <w:spacing w:after="60" w:afterLines="25" w:line="360" w:lineRule="exact"/>
              <w:jc w:val="left"/>
              <w:rPr>
                <w:rFonts w:ascii="宋体" w:hAnsi="宋体"/>
                <w:szCs w:val="21"/>
              </w:rPr>
            </w:pPr>
            <w:r>
              <w:rPr>
                <w:rFonts w:hint="eastAsia" w:ascii="宋体" w:hAnsi="宋体"/>
                <w:szCs w:val="21"/>
              </w:rPr>
              <w:t>•面罩规格：Φ400；</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•取电方式：信号灯取电；</w:t>
            </w:r>
          </w:p>
          <w:p>
            <w:pPr>
              <w:spacing w:after="60" w:afterLines="25" w:line="360" w:lineRule="exact"/>
              <w:jc w:val="left"/>
              <w:rPr>
                <w:rFonts w:ascii="宋体" w:hAnsi="宋体"/>
                <w:szCs w:val="21"/>
              </w:rPr>
            </w:pPr>
            <w:r>
              <w:rPr>
                <w:rFonts w:hint="eastAsia" w:ascii="宋体" w:hAnsi="宋体"/>
                <w:szCs w:val="21"/>
              </w:rPr>
              <w:t>•接入信号：一组信号（红、黄、绿）接入；</w:t>
            </w:r>
          </w:p>
          <w:p>
            <w:pPr>
              <w:spacing w:after="60" w:afterLines="25" w:line="360" w:lineRule="exact"/>
              <w:jc w:val="left"/>
              <w:rPr>
                <w:rFonts w:ascii="宋体" w:hAnsi="宋体"/>
                <w:szCs w:val="21"/>
              </w:rPr>
            </w:pPr>
            <w:r>
              <w:rPr>
                <w:rFonts w:hint="eastAsia" w:ascii="宋体" w:hAnsi="宋体"/>
                <w:szCs w:val="21"/>
              </w:rPr>
              <w:t>•倒计时：数字显示范围红绿9~1；</w:t>
            </w:r>
          </w:p>
          <w:p>
            <w:pPr>
              <w:spacing w:after="60" w:afterLines="25" w:line="360" w:lineRule="exact"/>
              <w:jc w:val="left"/>
              <w:rPr>
                <w:rFonts w:ascii="宋体" w:hAnsi="宋体"/>
                <w:szCs w:val="21"/>
              </w:rPr>
            </w:pPr>
            <w:r>
              <w:rPr>
                <w:rFonts w:hint="eastAsia" w:ascii="宋体" w:hAnsi="宋体"/>
                <w:szCs w:val="21"/>
              </w:rPr>
              <w:t>•显示字体：七段码数字；</w:t>
            </w:r>
          </w:p>
          <w:p>
            <w:pPr>
              <w:spacing w:after="60" w:afterLines="25" w:line="360" w:lineRule="exact"/>
              <w:jc w:val="left"/>
              <w:rPr>
                <w:rFonts w:ascii="宋体" w:hAnsi="宋体"/>
                <w:szCs w:val="21"/>
              </w:rPr>
            </w:pPr>
            <w:r>
              <w:rPr>
                <w:rFonts w:hint="eastAsia" w:ascii="宋体" w:hAnsi="宋体"/>
                <w:szCs w:val="21"/>
              </w:rPr>
              <w:t>•计时方式：跟随/触发/RS485通信；</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•中心亮度：红&gt;5000 cd/m2；绿&gt;5000 cd/m2；</w:t>
            </w:r>
          </w:p>
          <w:p>
            <w:pPr>
              <w:spacing w:after="60" w:afterLines="25" w:line="360" w:lineRule="exact"/>
              <w:jc w:val="left"/>
              <w:rPr>
                <w:rFonts w:ascii="宋体" w:hAnsi="宋体"/>
                <w:szCs w:val="21"/>
              </w:rPr>
            </w:pPr>
            <w:r>
              <w:rPr>
                <w:rFonts w:hint="eastAsia" w:ascii="宋体" w:hAnsi="宋体"/>
                <w:szCs w:val="21"/>
              </w:rPr>
              <w:t>•LED数量：红≥98，绿≥98；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1200</w:t>
            </w:r>
          </w:p>
        </w:tc>
      </w:tr>
      <w:tr>
        <w:tblPrEx>
          <w:tblCellMar>
            <w:top w:w="15" w:type="dxa"/>
            <w:left w:w="15" w:type="dxa"/>
            <w:bottom w:w="15" w:type="dxa"/>
            <w:right w:w="15" w:type="dxa"/>
          </w:tblCellMar>
        </w:tblPrEx>
        <w:trPr>
          <w:trHeight w:val="174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倒计时灯</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Φ400mm LED双8倒计时灯芯（含红、绿倒计时）</w:t>
            </w:r>
          </w:p>
          <w:p>
            <w:pPr>
              <w:spacing w:after="60" w:afterLines="25" w:line="360" w:lineRule="exact"/>
              <w:jc w:val="left"/>
              <w:rPr>
                <w:rFonts w:ascii="宋体" w:hAnsi="宋体"/>
                <w:szCs w:val="21"/>
              </w:rPr>
            </w:pPr>
            <w:r>
              <w:rPr>
                <w:rFonts w:hint="eastAsia" w:ascii="宋体" w:hAnsi="宋体"/>
                <w:szCs w:val="21"/>
              </w:rPr>
              <w:t>•面罩规格：Φ400；</w:t>
            </w:r>
          </w:p>
          <w:p>
            <w:pPr>
              <w:spacing w:after="60" w:afterLines="25" w:line="360" w:lineRule="exact"/>
              <w:jc w:val="left"/>
              <w:rPr>
                <w:rFonts w:ascii="宋体" w:hAnsi="宋体"/>
                <w:szCs w:val="21"/>
              </w:rPr>
            </w:pPr>
            <w:r>
              <w:rPr>
                <w:rFonts w:hint="eastAsia" w:ascii="宋体" w:hAnsi="宋体"/>
                <w:szCs w:val="21"/>
              </w:rPr>
              <w:t>•外壳材质：PC工程塑料  黑色；</w:t>
            </w:r>
          </w:p>
          <w:p>
            <w:pPr>
              <w:spacing w:after="60" w:afterLines="25" w:line="360" w:lineRule="exact"/>
              <w:jc w:val="left"/>
              <w:rPr>
                <w:rFonts w:ascii="宋体" w:hAnsi="宋体"/>
                <w:szCs w:val="21"/>
              </w:rPr>
            </w:pPr>
            <w:r>
              <w:rPr>
                <w:rFonts w:hint="eastAsia" w:ascii="宋体" w:hAnsi="宋体"/>
                <w:szCs w:val="21"/>
              </w:rPr>
              <w:t>•遮沿帽檐：400帽檐长度≥40cm；</w:t>
            </w:r>
          </w:p>
          <w:p>
            <w:pPr>
              <w:spacing w:after="60" w:afterLines="25" w:line="360" w:lineRule="exact"/>
              <w:jc w:val="left"/>
              <w:rPr>
                <w:rFonts w:ascii="宋体" w:hAnsi="宋体"/>
                <w:szCs w:val="21"/>
              </w:rPr>
            </w:pPr>
            <w:r>
              <w:rPr>
                <w:rFonts w:hint="eastAsia" w:ascii="宋体" w:hAnsi="宋体"/>
                <w:szCs w:val="21"/>
              </w:rPr>
              <w:t>•取电方式：信号灯取电；</w:t>
            </w:r>
          </w:p>
          <w:p>
            <w:pPr>
              <w:spacing w:after="60" w:afterLines="25" w:line="360" w:lineRule="exact"/>
              <w:jc w:val="left"/>
              <w:rPr>
                <w:rFonts w:ascii="宋体" w:hAnsi="宋体"/>
                <w:szCs w:val="21"/>
              </w:rPr>
            </w:pPr>
            <w:r>
              <w:rPr>
                <w:rFonts w:hint="eastAsia" w:ascii="宋体" w:hAnsi="宋体"/>
                <w:szCs w:val="21"/>
              </w:rPr>
              <w:t>•接入信号：一组信号（红、黄、绿）接入；</w:t>
            </w:r>
          </w:p>
          <w:p>
            <w:pPr>
              <w:spacing w:after="60" w:afterLines="25" w:line="360" w:lineRule="exact"/>
              <w:jc w:val="left"/>
              <w:rPr>
                <w:rFonts w:ascii="宋体" w:hAnsi="宋体"/>
                <w:szCs w:val="21"/>
              </w:rPr>
            </w:pPr>
            <w:r>
              <w:rPr>
                <w:rFonts w:hint="eastAsia" w:ascii="宋体" w:hAnsi="宋体"/>
                <w:szCs w:val="21"/>
              </w:rPr>
              <w:t>•倒计时：数字显示范围红绿99~1；</w:t>
            </w:r>
          </w:p>
          <w:p>
            <w:pPr>
              <w:spacing w:after="60" w:afterLines="25" w:line="360" w:lineRule="exact"/>
              <w:jc w:val="left"/>
              <w:rPr>
                <w:rFonts w:ascii="宋体" w:hAnsi="宋体"/>
                <w:szCs w:val="21"/>
              </w:rPr>
            </w:pPr>
            <w:r>
              <w:rPr>
                <w:rFonts w:hint="eastAsia" w:ascii="宋体" w:hAnsi="宋体"/>
                <w:szCs w:val="21"/>
              </w:rPr>
              <w:t>•显示字体：七段码数字；</w:t>
            </w:r>
          </w:p>
          <w:p>
            <w:pPr>
              <w:spacing w:after="60" w:afterLines="25" w:line="360" w:lineRule="exact"/>
              <w:jc w:val="left"/>
              <w:rPr>
                <w:rFonts w:ascii="宋体" w:hAnsi="宋体"/>
                <w:szCs w:val="21"/>
              </w:rPr>
            </w:pPr>
            <w:r>
              <w:rPr>
                <w:rFonts w:hint="eastAsia" w:ascii="宋体" w:hAnsi="宋体"/>
                <w:szCs w:val="21"/>
              </w:rPr>
              <w:t>•计时方式：跟随/触发/RS485通信；</w:t>
            </w:r>
          </w:p>
          <w:p>
            <w:pPr>
              <w:spacing w:after="60" w:afterLines="25" w:line="360" w:lineRule="exact"/>
              <w:jc w:val="left"/>
              <w:rPr>
                <w:rFonts w:ascii="宋体" w:hAnsi="宋体"/>
                <w:szCs w:val="21"/>
              </w:rPr>
            </w:pPr>
            <w:r>
              <w:rPr>
                <w:rFonts w:hint="eastAsia" w:ascii="宋体" w:hAnsi="宋体"/>
                <w:szCs w:val="21"/>
              </w:rPr>
              <w:t>•工作电压：220VAC±20％，50HZ±2HZ   功率≤15W；</w:t>
            </w:r>
          </w:p>
          <w:p>
            <w:pPr>
              <w:spacing w:after="60" w:afterLines="25" w:line="360" w:lineRule="exact"/>
              <w:jc w:val="left"/>
              <w:rPr>
                <w:rFonts w:ascii="宋体" w:hAnsi="宋体"/>
                <w:szCs w:val="21"/>
              </w:rPr>
            </w:pPr>
            <w:r>
              <w:rPr>
                <w:rFonts w:hint="eastAsia" w:ascii="宋体" w:hAnsi="宋体"/>
                <w:szCs w:val="21"/>
              </w:rPr>
              <w:t>•中心亮度：红&gt;5000 cd/m2；绿&gt;5000 cd/m2；</w:t>
            </w:r>
          </w:p>
          <w:p>
            <w:pPr>
              <w:spacing w:after="60" w:afterLines="25" w:line="360" w:lineRule="exact"/>
              <w:jc w:val="left"/>
              <w:rPr>
                <w:rFonts w:ascii="宋体" w:hAnsi="宋体"/>
                <w:szCs w:val="21"/>
              </w:rPr>
            </w:pPr>
            <w:r>
              <w:rPr>
                <w:rFonts w:hint="eastAsia" w:ascii="宋体" w:hAnsi="宋体"/>
                <w:szCs w:val="21"/>
              </w:rPr>
              <w:t>•LED数量：红≥98，绿≥98；</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•LED波长：红：625 nm绿：505 nm；</w:t>
            </w:r>
          </w:p>
          <w:p>
            <w:pPr>
              <w:spacing w:after="60" w:afterLines="25" w:line="360" w:lineRule="exact"/>
              <w:jc w:val="left"/>
              <w:rPr>
                <w:rFonts w:ascii="宋体" w:hAnsi="宋体"/>
                <w:szCs w:val="21"/>
              </w:rPr>
            </w:pPr>
            <w:r>
              <w:rPr>
                <w:rFonts w:hint="eastAsia" w:ascii="宋体" w:hAnsi="宋体"/>
                <w:szCs w:val="21"/>
              </w:rPr>
              <w:t>•可视距离：&gt;200m 可视角度 &gt;30°；</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•执行标准：信号灯GB14887-2011。</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个</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1200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76</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配电箱</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与336信号控控制仪主机箱匹配</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2100</w:t>
            </w:r>
          </w:p>
        </w:tc>
      </w:tr>
      <w:tr>
        <w:tblPrEx>
          <w:tblCellMar>
            <w:top w:w="15" w:type="dxa"/>
            <w:left w:w="15" w:type="dxa"/>
            <w:bottom w:w="15" w:type="dxa"/>
            <w:right w:w="15" w:type="dxa"/>
          </w:tblCellMar>
        </w:tblPrEx>
        <w:trPr>
          <w:trHeight w:val="472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77</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卡口信号转换设备</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转换设备报警主机接口输出+12V时为无车（面板对应的LED灯熄灭），输出为0V时为有车（LED灯亮）；</w:t>
            </w:r>
          </w:p>
          <w:p>
            <w:pPr>
              <w:spacing w:after="60" w:afterLines="25" w:line="360" w:lineRule="exact"/>
              <w:jc w:val="left"/>
              <w:rPr>
                <w:rFonts w:ascii="宋体" w:hAnsi="宋体"/>
                <w:szCs w:val="21"/>
              </w:rPr>
            </w:pPr>
            <w:r>
              <w:rPr>
                <w:rFonts w:hint="eastAsia" w:ascii="宋体" w:hAnsi="宋体"/>
                <w:szCs w:val="21"/>
              </w:rPr>
              <w:t>输出信号为存在型，即检测到车辆时接口输出电平为0V,一直维持到车辆离开，输出电平才变为+12V；</w:t>
            </w:r>
          </w:p>
          <w:p>
            <w:pPr>
              <w:spacing w:after="60" w:afterLines="25" w:line="360" w:lineRule="exact"/>
              <w:jc w:val="left"/>
              <w:rPr>
                <w:rFonts w:ascii="宋体" w:hAnsi="宋体"/>
                <w:szCs w:val="21"/>
              </w:rPr>
            </w:pPr>
            <w:r>
              <w:rPr>
                <w:rFonts w:hint="eastAsia" w:ascii="宋体" w:hAnsi="宋体"/>
                <w:szCs w:val="21"/>
              </w:rPr>
              <w:t>接口输出支持“线或”的功能，即可将多个车道的输出端并联输出；</w:t>
            </w:r>
          </w:p>
          <w:p>
            <w:pPr>
              <w:spacing w:after="60" w:afterLines="25" w:line="360" w:lineRule="exact"/>
              <w:jc w:val="left"/>
              <w:rPr>
                <w:rFonts w:ascii="宋体" w:hAnsi="宋体"/>
                <w:szCs w:val="21"/>
              </w:rPr>
            </w:pPr>
            <w:r>
              <w:rPr>
                <w:rFonts w:hint="eastAsia" w:ascii="宋体" w:hAnsi="宋体"/>
                <w:szCs w:val="21"/>
              </w:rPr>
              <w:t>在本设备或视频检测设备出现故障时，要保持接口输出是0V（不能是高阻状态）；</w:t>
            </w:r>
          </w:p>
          <w:p>
            <w:pPr>
              <w:spacing w:after="60" w:afterLines="25" w:line="360" w:lineRule="exact"/>
              <w:jc w:val="left"/>
              <w:rPr>
                <w:rFonts w:ascii="宋体" w:hAnsi="宋体"/>
                <w:szCs w:val="21"/>
              </w:rPr>
            </w:pPr>
            <w:r>
              <w:rPr>
                <w:rFonts w:hint="eastAsia" w:ascii="宋体" w:hAnsi="宋体"/>
                <w:szCs w:val="21"/>
              </w:rPr>
              <w:t>支持≥16 路报警输入，具有防剪、短功能；</w:t>
            </w:r>
          </w:p>
          <w:p>
            <w:pPr>
              <w:spacing w:after="60" w:afterLines="25" w:line="360" w:lineRule="exact"/>
              <w:jc w:val="left"/>
              <w:rPr>
                <w:rFonts w:ascii="宋体" w:hAnsi="宋体"/>
                <w:szCs w:val="21"/>
              </w:rPr>
            </w:pPr>
            <w:r>
              <w:rPr>
                <w:rFonts w:hint="eastAsia" w:ascii="宋体" w:hAnsi="宋体"/>
                <w:szCs w:val="21"/>
              </w:rPr>
              <w:t>支持≥16 路报警输出 ，并支持软件直接控制其输出端口的开关状态、报警延时间；</w:t>
            </w:r>
          </w:p>
          <w:p>
            <w:pPr>
              <w:spacing w:after="60" w:afterLines="25" w:line="360" w:lineRule="exact"/>
              <w:jc w:val="left"/>
              <w:rPr>
                <w:rFonts w:ascii="宋体" w:hAnsi="宋体"/>
                <w:szCs w:val="21"/>
              </w:rPr>
            </w:pPr>
            <w:r>
              <w:rPr>
                <w:rFonts w:hint="eastAsia" w:ascii="宋体" w:hAnsi="宋体"/>
                <w:szCs w:val="21"/>
              </w:rPr>
              <w:t>支持≥16 个远程用户，≥1个远程数据接收中心，≥1个远程监听中心；</w:t>
            </w:r>
          </w:p>
          <w:p>
            <w:pPr>
              <w:spacing w:after="60" w:afterLines="25" w:line="360" w:lineRule="exact"/>
              <w:jc w:val="left"/>
              <w:rPr>
                <w:rFonts w:ascii="宋体" w:hAnsi="宋体"/>
                <w:szCs w:val="21"/>
              </w:rPr>
            </w:pPr>
            <w:r>
              <w:rPr>
                <w:rFonts w:hint="eastAsia" w:ascii="宋体" w:hAnsi="宋体"/>
                <w:szCs w:val="21"/>
              </w:rPr>
              <w:t>支持≥1000条报警事件记录，带日期；</w:t>
            </w:r>
          </w:p>
          <w:p>
            <w:pPr>
              <w:spacing w:after="60" w:afterLines="25" w:line="360" w:lineRule="exact"/>
              <w:jc w:val="left"/>
              <w:rPr>
                <w:rFonts w:ascii="宋体" w:hAnsi="宋体"/>
                <w:szCs w:val="21"/>
              </w:rPr>
            </w:pPr>
            <w:r>
              <w:rPr>
                <w:rFonts w:hint="eastAsia" w:ascii="宋体" w:hAnsi="宋体"/>
                <w:szCs w:val="21"/>
              </w:rPr>
              <w:t>支持电锁门（和移）两禁控制；</w:t>
            </w:r>
          </w:p>
          <w:p>
            <w:pPr>
              <w:spacing w:after="60" w:afterLines="25" w:line="360" w:lineRule="exact"/>
              <w:jc w:val="left"/>
              <w:rPr>
                <w:rFonts w:ascii="宋体" w:hAnsi="宋体"/>
                <w:szCs w:val="21"/>
              </w:rPr>
            </w:pPr>
            <w:r>
              <w:rPr>
                <w:rFonts w:hint="eastAsia" w:ascii="宋体" w:hAnsi="宋体"/>
                <w:szCs w:val="21"/>
              </w:rPr>
              <w:t>支持远程报警事件检索；</w:t>
            </w:r>
          </w:p>
          <w:p>
            <w:pPr>
              <w:spacing w:after="60" w:afterLines="25" w:line="360" w:lineRule="exact"/>
              <w:jc w:val="left"/>
              <w:rPr>
                <w:rFonts w:ascii="宋体" w:hAnsi="宋体"/>
                <w:szCs w:val="21"/>
              </w:rPr>
            </w:pPr>
            <w:r>
              <w:rPr>
                <w:rFonts w:hint="eastAsia" w:ascii="宋体" w:hAnsi="宋体"/>
                <w:szCs w:val="21"/>
              </w:rPr>
              <w:t>支持配置参数掉电保护；</w:t>
            </w:r>
          </w:p>
          <w:p>
            <w:pPr>
              <w:spacing w:after="60" w:afterLines="25" w:line="360" w:lineRule="exact"/>
              <w:jc w:val="left"/>
              <w:rPr>
                <w:rFonts w:ascii="宋体" w:hAnsi="宋体"/>
                <w:szCs w:val="21"/>
              </w:rPr>
            </w:pPr>
            <w:r>
              <w:rPr>
                <w:rFonts w:hint="eastAsia" w:ascii="宋体" w:hAnsi="宋体"/>
                <w:szCs w:val="21"/>
              </w:rPr>
              <w:t>支持报警联动、随和灯光控制；</w:t>
            </w:r>
          </w:p>
          <w:p>
            <w:pPr>
              <w:spacing w:after="60" w:afterLines="25" w:line="360" w:lineRule="exact"/>
              <w:jc w:val="left"/>
              <w:rPr>
                <w:rFonts w:ascii="宋体" w:hAnsi="宋体"/>
                <w:szCs w:val="21"/>
              </w:rPr>
            </w:pPr>
            <w:r>
              <w:rPr>
                <w:rFonts w:hint="eastAsia" w:ascii="宋体" w:hAnsi="宋体"/>
                <w:szCs w:val="21"/>
              </w:rPr>
              <w:t>支持 NTP NTP校时操作；</w:t>
            </w:r>
          </w:p>
          <w:p>
            <w:pPr>
              <w:spacing w:after="60" w:afterLines="25" w:line="360" w:lineRule="exact"/>
              <w:jc w:val="left"/>
              <w:rPr>
                <w:rFonts w:ascii="宋体" w:hAnsi="宋体"/>
                <w:szCs w:val="21"/>
              </w:rPr>
            </w:pPr>
            <w:r>
              <w:rPr>
                <w:rFonts w:hint="eastAsia" w:ascii="宋体" w:hAnsi="宋体"/>
                <w:szCs w:val="21"/>
              </w:rPr>
              <w:t>支持 SADPSADPSADP 协议；</w:t>
            </w:r>
          </w:p>
          <w:p>
            <w:pPr>
              <w:spacing w:after="60" w:afterLines="25" w:line="360" w:lineRule="exact"/>
              <w:jc w:val="left"/>
              <w:rPr>
                <w:rFonts w:ascii="宋体" w:hAnsi="宋体"/>
                <w:szCs w:val="21"/>
              </w:rPr>
            </w:pPr>
            <w:r>
              <w:rPr>
                <w:rFonts w:hint="eastAsia" w:ascii="宋体" w:hAnsi="宋体"/>
                <w:szCs w:val="21"/>
              </w:rPr>
              <w:t>支持 RS232/RS485等多种通讯模式，支持≥485透明通道；</w:t>
            </w:r>
          </w:p>
          <w:p>
            <w:pPr>
              <w:spacing w:after="60" w:afterLines="25" w:line="360" w:lineRule="exact"/>
              <w:jc w:val="left"/>
              <w:rPr>
                <w:rFonts w:ascii="宋体" w:hAnsi="宋体"/>
                <w:szCs w:val="21"/>
              </w:rPr>
            </w:pPr>
            <w:r>
              <w:rPr>
                <w:rFonts w:hint="eastAsia" w:ascii="宋体" w:hAnsi="宋体"/>
                <w:szCs w:val="21"/>
              </w:rPr>
              <w:t>支持≥1路受控 DC12V警号输出；</w:t>
            </w:r>
          </w:p>
          <w:p>
            <w:pPr>
              <w:spacing w:after="60" w:afterLines="25" w:line="360" w:lineRule="exact"/>
              <w:jc w:val="left"/>
              <w:rPr>
                <w:rFonts w:ascii="宋体" w:hAnsi="宋体"/>
                <w:szCs w:val="21"/>
              </w:rPr>
            </w:pPr>
            <w:r>
              <w:rPr>
                <w:rFonts w:hint="eastAsia" w:ascii="宋体" w:hAnsi="宋体"/>
                <w:szCs w:val="21"/>
              </w:rPr>
              <w:t>支持对外 DC12V/5V 供电，可以为报警探头、读卡器提工供电源；</w:t>
            </w:r>
          </w:p>
          <w:p>
            <w:pPr>
              <w:spacing w:after="60" w:afterLines="25" w:line="360" w:lineRule="exact"/>
              <w:jc w:val="left"/>
              <w:rPr>
                <w:rFonts w:ascii="宋体" w:hAnsi="宋体"/>
                <w:szCs w:val="21"/>
              </w:rPr>
            </w:pPr>
            <w:r>
              <w:rPr>
                <w:rFonts w:hint="eastAsia" w:ascii="宋体" w:hAnsi="宋体"/>
                <w:szCs w:val="21"/>
              </w:rPr>
              <w:t>支持 AC 220VAC 220V 主电源接口，辅自动切换；</w:t>
            </w:r>
          </w:p>
          <w:p>
            <w:pPr>
              <w:spacing w:after="60" w:afterLines="25" w:line="360" w:lineRule="exact"/>
              <w:jc w:val="left"/>
              <w:rPr>
                <w:rFonts w:hint="eastAsia" w:ascii="宋体" w:hAnsi="宋体"/>
                <w:szCs w:val="21"/>
              </w:rPr>
            </w:pPr>
            <w:r>
              <w:rPr>
                <w:rFonts w:hint="eastAsia" w:ascii="宋体" w:hAnsi="宋体"/>
                <w:szCs w:val="21"/>
              </w:rPr>
              <w:t>支持外置辅助电源（标准蓄池），自动充点控制 ，电压实时监测；</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4200</w:t>
            </w:r>
          </w:p>
        </w:tc>
      </w:tr>
      <w:tr>
        <w:tblPrEx>
          <w:tblCellMar>
            <w:top w:w="15" w:type="dxa"/>
            <w:left w:w="15" w:type="dxa"/>
            <w:bottom w:w="15" w:type="dxa"/>
            <w:right w:w="15" w:type="dxa"/>
          </w:tblCellMar>
        </w:tblPrEx>
        <w:trPr>
          <w:trHeight w:val="385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78</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可变车道显示屏</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铝板+超强级反光膜；</w:t>
            </w:r>
          </w:p>
          <w:p>
            <w:pPr>
              <w:spacing w:after="60" w:afterLines="25" w:line="360" w:lineRule="exact"/>
              <w:jc w:val="left"/>
              <w:rPr>
                <w:rFonts w:ascii="宋体" w:hAnsi="宋体"/>
                <w:szCs w:val="21"/>
              </w:rPr>
            </w:pPr>
            <w:r>
              <w:rPr>
                <w:rFonts w:ascii="宋体" w:hAnsi="宋体"/>
                <w:szCs w:val="21"/>
              </w:rPr>
              <w:t>Φ</w:t>
            </w:r>
            <w:r>
              <w:rPr>
                <w:rFonts w:hint="eastAsia" w:ascii="宋体" w:hAnsi="宋体"/>
                <w:szCs w:val="21"/>
              </w:rPr>
              <w:t>5LED方阵排列；</w:t>
            </w:r>
          </w:p>
          <w:p>
            <w:pPr>
              <w:spacing w:after="60" w:afterLines="25" w:line="360" w:lineRule="exact"/>
              <w:jc w:val="left"/>
              <w:rPr>
                <w:rFonts w:ascii="宋体" w:hAnsi="宋体"/>
                <w:szCs w:val="21"/>
              </w:rPr>
            </w:pPr>
            <w:r>
              <w:rPr>
                <w:rFonts w:hint="eastAsia" w:ascii="宋体" w:hAnsi="宋体"/>
                <w:szCs w:val="21"/>
              </w:rPr>
              <w:t>•规格：1410mm×920mm；</w:t>
            </w:r>
          </w:p>
          <w:p>
            <w:pPr>
              <w:spacing w:after="60" w:afterLines="25" w:line="360" w:lineRule="exact"/>
              <w:jc w:val="left"/>
              <w:rPr>
                <w:rFonts w:ascii="宋体" w:hAnsi="宋体"/>
                <w:szCs w:val="21"/>
              </w:rPr>
            </w:pPr>
            <w:r>
              <w:rPr>
                <w:rFonts w:hint="eastAsia" w:ascii="宋体" w:hAnsi="宋体"/>
                <w:szCs w:val="21"/>
              </w:rPr>
              <w:t>•材质：铝板+超强级反光膜；</w:t>
            </w:r>
          </w:p>
          <w:p>
            <w:pPr>
              <w:spacing w:after="60" w:afterLines="25" w:line="360" w:lineRule="exact"/>
              <w:jc w:val="left"/>
              <w:rPr>
                <w:rFonts w:ascii="宋体" w:hAnsi="宋体"/>
                <w:szCs w:val="21"/>
              </w:rPr>
            </w:pPr>
            <w:r>
              <w:rPr>
                <w:rFonts w:hint="eastAsia" w:ascii="宋体" w:hAnsi="宋体"/>
                <w:szCs w:val="21"/>
              </w:rPr>
              <w:t>•车道图案  白LED点阵排列直行+左转2个图案，底色为反光膜；</w:t>
            </w:r>
          </w:p>
          <w:p>
            <w:pPr>
              <w:spacing w:after="60" w:afterLines="25" w:line="360" w:lineRule="exact"/>
              <w:jc w:val="left"/>
              <w:rPr>
                <w:rFonts w:ascii="宋体" w:hAnsi="宋体"/>
                <w:szCs w:val="21"/>
              </w:rPr>
            </w:pPr>
            <w:r>
              <w:rPr>
                <w:rFonts w:hint="eastAsia" w:ascii="宋体" w:hAnsi="宋体"/>
                <w:szCs w:val="21"/>
              </w:rPr>
              <w:t>•电压：24±5%VDC；</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•亮度：白&gt;5000cd/m2；</w:t>
            </w:r>
          </w:p>
          <w:p>
            <w:pPr>
              <w:spacing w:after="60" w:afterLines="25" w:line="360" w:lineRule="exact"/>
              <w:jc w:val="left"/>
              <w:rPr>
                <w:rFonts w:ascii="宋体" w:hAnsi="宋体"/>
                <w:szCs w:val="21"/>
              </w:rPr>
            </w:pPr>
            <w:r>
              <w:rPr>
                <w:rFonts w:hint="eastAsia" w:ascii="宋体" w:hAnsi="宋体"/>
                <w:szCs w:val="21"/>
              </w:rPr>
              <w:t xml:space="preserve">•LED：直径 </w:t>
            </w:r>
            <w:r>
              <w:rPr>
                <w:rFonts w:ascii="宋体" w:hAnsi="宋体"/>
                <w:szCs w:val="21"/>
              </w:rPr>
              <w:t>Φ</w:t>
            </w:r>
            <w:r>
              <w:rPr>
                <w:rFonts w:hint="eastAsia" w:ascii="宋体" w:hAnsi="宋体"/>
                <w:szCs w:val="21"/>
              </w:rPr>
              <w:t>5  方阵排列；</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•波长：黄：590~595 nm白：冷色，超高亮；</w:t>
            </w:r>
          </w:p>
          <w:p>
            <w:pPr>
              <w:spacing w:after="60" w:afterLines="25" w:line="360" w:lineRule="exact"/>
              <w:jc w:val="left"/>
              <w:rPr>
                <w:rFonts w:ascii="宋体" w:hAnsi="宋体"/>
                <w:szCs w:val="21"/>
              </w:rPr>
            </w:pPr>
            <w:r>
              <w:rPr>
                <w:rFonts w:hint="eastAsia" w:ascii="宋体" w:hAnsi="宋体"/>
                <w:szCs w:val="21"/>
              </w:rPr>
              <w:t>•可视距离：&gt;2000米；</w:t>
            </w:r>
          </w:p>
          <w:p>
            <w:pPr>
              <w:spacing w:after="60" w:afterLines="25" w:line="360" w:lineRule="exact"/>
              <w:jc w:val="left"/>
              <w:rPr>
                <w:rFonts w:ascii="宋体" w:hAnsi="宋体"/>
                <w:szCs w:val="21"/>
              </w:rPr>
            </w:pPr>
            <w:r>
              <w:rPr>
                <w:rFonts w:hint="eastAsia" w:ascii="宋体" w:hAnsi="宋体"/>
                <w:szCs w:val="21"/>
              </w:rPr>
              <w:t>•可视角度：&gt;30°；</w:t>
            </w:r>
          </w:p>
          <w:p>
            <w:pPr>
              <w:spacing w:after="60" w:afterLines="25" w:line="360" w:lineRule="exact"/>
              <w:jc w:val="left"/>
              <w:rPr>
                <w:rFonts w:ascii="宋体" w:hAnsi="宋体"/>
                <w:szCs w:val="21"/>
              </w:rPr>
            </w:pPr>
            <w:r>
              <w:rPr>
                <w:rFonts w:hint="eastAsia" w:ascii="宋体" w:hAnsi="宋体"/>
                <w:szCs w:val="21"/>
              </w:rPr>
              <w:t>•工作温度：-40~+70℃；</w:t>
            </w:r>
          </w:p>
          <w:p>
            <w:pPr>
              <w:spacing w:after="60" w:afterLines="25" w:line="360" w:lineRule="exact"/>
              <w:jc w:val="left"/>
              <w:rPr>
                <w:rFonts w:ascii="宋体" w:hAnsi="宋体"/>
                <w:szCs w:val="21"/>
              </w:rPr>
            </w:pPr>
            <w:r>
              <w:rPr>
                <w:rFonts w:hint="eastAsia" w:ascii="宋体" w:hAnsi="宋体"/>
                <w:szCs w:val="21"/>
              </w:rPr>
              <w:t>•相对湿度：10％~90%；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ascii="宋体" w:hAnsi="宋体"/>
                <w:szCs w:val="21"/>
              </w:rPr>
            </w:pPr>
            <w:r>
              <w:rPr>
                <w:rFonts w:hint="eastAsia" w:ascii="宋体" w:hAnsi="宋体"/>
                <w:szCs w:val="21"/>
              </w:rPr>
              <w:t>•参考标准：GB 5768.2-2009；</w:t>
            </w:r>
          </w:p>
          <w:p>
            <w:pPr>
              <w:spacing w:after="60" w:afterLines="25" w:line="360" w:lineRule="exact"/>
              <w:jc w:val="left"/>
              <w:rPr>
                <w:rFonts w:hint="eastAsia" w:ascii="宋体" w:hAnsi="宋体"/>
                <w:szCs w:val="21"/>
              </w:rPr>
            </w:pPr>
            <w:r>
              <w:rPr>
                <w:rFonts w:hint="eastAsia" w:ascii="宋体" w:hAnsi="宋体"/>
                <w:szCs w:val="21"/>
              </w:rPr>
              <w:t>•安装模式：竖装抱箍固定。</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6600</w:t>
            </w:r>
          </w:p>
        </w:tc>
      </w:tr>
      <w:tr>
        <w:tblPrEx>
          <w:tblCellMar>
            <w:top w:w="15" w:type="dxa"/>
            <w:left w:w="15" w:type="dxa"/>
            <w:bottom w:w="15" w:type="dxa"/>
            <w:right w:w="15" w:type="dxa"/>
          </w:tblCellMar>
        </w:tblPrEx>
        <w:trPr>
          <w:trHeight w:val="209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79</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可变车道显示屏</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铝板+超强级反光膜；</w:t>
            </w:r>
          </w:p>
          <w:p>
            <w:pPr>
              <w:spacing w:after="60" w:afterLines="25" w:line="360" w:lineRule="exact"/>
              <w:jc w:val="left"/>
              <w:rPr>
                <w:rFonts w:ascii="宋体" w:hAnsi="宋体"/>
                <w:szCs w:val="21"/>
              </w:rPr>
            </w:pPr>
            <w:r>
              <w:rPr>
                <w:rFonts w:ascii="宋体" w:hAnsi="宋体"/>
                <w:szCs w:val="21"/>
              </w:rPr>
              <w:t>Φ</w:t>
            </w:r>
            <w:r>
              <w:rPr>
                <w:rFonts w:hint="eastAsia" w:ascii="宋体" w:hAnsi="宋体"/>
                <w:szCs w:val="21"/>
              </w:rPr>
              <w:t>5LED方阵排列；</w:t>
            </w:r>
          </w:p>
          <w:p>
            <w:pPr>
              <w:spacing w:after="60" w:afterLines="25" w:line="360" w:lineRule="exact"/>
              <w:jc w:val="left"/>
              <w:rPr>
                <w:rFonts w:ascii="宋体" w:hAnsi="宋体"/>
                <w:szCs w:val="21"/>
              </w:rPr>
            </w:pPr>
            <w:r>
              <w:rPr>
                <w:rFonts w:hint="eastAsia" w:ascii="宋体" w:hAnsi="宋体"/>
                <w:szCs w:val="21"/>
              </w:rPr>
              <w:t>•规格：900mm×700mm；</w:t>
            </w:r>
          </w:p>
          <w:p>
            <w:pPr>
              <w:spacing w:after="60" w:afterLines="25" w:line="360" w:lineRule="exact"/>
              <w:jc w:val="left"/>
              <w:rPr>
                <w:rFonts w:ascii="宋体" w:hAnsi="宋体"/>
                <w:szCs w:val="21"/>
              </w:rPr>
            </w:pPr>
            <w:r>
              <w:rPr>
                <w:rFonts w:hint="eastAsia" w:ascii="宋体" w:hAnsi="宋体"/>
                <w:szCs w:val="21"/>
              </w:rPr>
              <w:t>•材质：铝板+超强级反光膜；</w:t>
            </w:r>
          </w:p>
          <w:p>
            <w:pPr>
              <w:spacing w:after="60" w:afterLines="25" w:line="360" w:lineRule="exact"/>
              <w:jc w:val="left"/>
              <w:rPr>
                <w:rFonts w:ascii="宋体" w:hAnsi="宋体"/>
                <w:szCs w:val="21"/>
              </w:rPr>
            </w:pPr>
            <w:r>
              <w:rPr>
                <w:rFonts w:hint="eastAsia" w:ascii="宋体" w:hAnsi="宋体"/>
                <w:szCs w:val="21"/>
              </w:rPr>
              <w:t>•车道图案：白LED点阵排列直行+左转2个图案，底色为反光膜；</w:t>
            </w:r>
          </w:p>
          <w:p>
            <w:pPr>
              <w:spacing w:after="60" w:afterLines="25" w:line="360" w:lineRule="exact"/>
              <w:jc w:val="left"/>
              <w:rPr>
                <w:rFonts w:ascii="宋体" w:hAnsi="宋体"/>
                <w:szCs w:val="21"/>
              </w:rPr>
            </w:pPr>
            <w:r>
              <w:rPr>
                <w:rFonts w:hint="eastAsia" w:ascii="宋体" w:hAnsi="宋体"/>
                <w:szCs w:val="21"/>
              </w:rPr>
              <w:t>•电压：24±5%VDC；</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•亮度：白&gt;5000 mcd；</w:t>
            </w:r>
          </w:p>
          <w:p>
            <w:pPr>
              <w:spacing w:after="60" w:afterLines="25" w:line="360" w:lineRule="exact"/>
              <w:jc w:val="left"/>
              <w:rPr>
                <w:rFonts w:ascii="宋体" w:hAnsi="宋体"/>
                <w:szCs w:val="21"/>
              </w:rPr>
            </w:pPr>
            <w:r>
              <w:rPr>
                <w:rFonts w:hint="eastAsia" w:ascii="宋体" w:hAnsi="宋体"/>
                <w:szCs w:val="21"/>
              </w:rPr>
              <w:t>•LED：直径</w:t>
            </w:r>
            <w:r>
              <w:rPr>
                <w:rFonts w:ascii="宋体" w:hAnsi="宋体"/>
                <w:szCs w:val="21"/>
              </w:rPr>
              <w:t>Φ</w:t>
            </w:r>
            <w:r>
              <w:rPr>
                <w:rFonts w:hint="eastAsia" w:ascii="宋体" w:hAnsi="宋体"/>
                <w:szCs w:val="21"/>
              </w:rPr>
              <w:t>5方阵排列；</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•波长：白：冷色，超高亮；</w:t>
            </w:r>
          </w:p>
          <w:p>
            <w:pPr>
              <w:spacing w:after="60" w:afterLines="25" w:line="360" w:lineRule="exact"/>
              <w:jc w:val="left"/>
              <w:rPr>
                <w:rFonts w:ascii="宋体" w:hAnsi="宋体"/>
                <w:szCs w:val="21"/>
              </w:rPr>
            </w:pPr>
            <w:r>
              <w:rPr>
                <w:rFonts w:hint="eastAsia" w:ascii="宋体" w:hAnsi="宋体"/>
                <w:szCs w:val="21"/>
              </w:rPr>
              <w:t>•可视距离：&gt;450米；</w:t>
            </w:r>
          </w:p>
          <w:p>
            <w:pPr>
              <w:spacing w:after="60" w:afterLines="25" w:line="360" w:lineRule="exact"/>
              <w:jc w:val="left"/>
              <w:rPr>
                <w:rFonts w:ascii="宋体" w:hAnsi="宋体"/>
                <w:szCs w:val="21"/>
              </w:rPr>
            </w:pPr>
            <w:r>
              <w:rPr>
                <w:rFonts w:hint="eastAsia" w:ascii="宋体" w:hAnsi="宋体"/>
                <w:szCs w:val="21"/>
              </w:rPr>
              <w:t>•可视角度：&gt;30°；</w:t>
            </w:r>
          </w:p>
          <w:p>
            <w:pPr>
              <w:spacing w:after="60" w:afterLines="25" w:line="360" w:lineRule="exact"/>
              <w:jc w:val="left"/>
              <w:rPr>
                <w:rFonts w:ascii="宋体" w:hAnsi="宋体"/>
                <w:szCs w:val="21"/>
              </w:rPr>
            </w:pPr>
            <w:r>
              <w:rPr>
                <w:rFonts w:hint="eastAsia" w:ascii="宋体" w:hAnsi="宋体"/>
                <w:szCs w:val="21"/>
              </w:rPr>
              <w:t>•工作温度：-40~+70℃；</w:t>
            </w:r>
          </w:p>
          <w:p>
            <w:pPr>
              <w:spacing w:after="60" w:afterLines="25" w:line="360" w:lineRule="exact"/>
              <w:jc w:val="left"/>
              <w:rPr>
                <w:rFonts w:ascii="宋体" w:hAnsi="宋体"/>
                <w:szCs w:val="21"/>
              </w:rPr>
            </w:pPr>
            <w:r>
              <w:rPr>
                <w:rFonts w:hint="eastAsia" w:ascii="宋体" w:hAnsi="宋体"/>
                <w:szCs w:val="21"/>
              </w:rPr>
              <w:t>•相对湿度：10％~90%；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ascii="宋体" w:hAnsi="宋体"/>
                <w:szCs w:val="21"/>
              </w:rPr>
            </w:pPr>
            <w:r>
              <w:rPr>
                <w:rFonts w:hint="eastAsia" w:ascii="宋体" w:hAnsi="宋体"/>
                <w:szCs w:val="21"/>
              </w:rPr>
              <w:t>•参考标准：GB 5768.2-2009；</w:t>
            </w:r>
          </w:p>
          <w:p>
            <w:pPr>
              <w:spacing w:after="60" w:afterLines="25" w:line="360" w:lineRule="exact"/>
              <w:jc w:val="left"/>
              <w:rPr>
                <w:rFonts w:hint="eastAsia" w:ascii="宋体" w:hAnsi="宋体"/>
                <w:szCs w:val="21"/>
              </w:rPr>
            </w:pPr>
            <w:r>
              <w:rPr>
                <w:rFonts w:hint="eastAsia" w:ascii="宋体" w:hAnsi="宋体"/>
                <w:szCs w:val="21"/>
              </w:rPr>
              <w:t>•安装模式：在原标志牌上拉铆钉固定。</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4800</w:t>
            </w:r>
          </w:p>
        </w:tc>
      </w:tr>
      <w:tr>
        <w:tblPrEx>
          <w:tblCellMar>
            <w:top w:w="15" w:type="dxa"/>
            <w:left w:w="15" w:type="dxa"/>
            <w:bottom w:w="15" w:type="dxa"/>
            <w:right w:w="15" w:type="dxa"/>
          </w:tblCellMar>
        </w:tblPrEx>
        <w:trPr>
          <w:trHeight w:val="33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80</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可变车道控制器</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与可变车道显示屏配套。</w:t>
            </w:r>
          </w:p>
          <w:p>
            <w:pPr>
              <w:spacing w:after="60" w:afterLines="25" w:line="360" w:lineRule="exact"/>
              <w:jc w:val="left"/>
              <w:rPr>
                <w:rFonts w:ascii="宋体" w:hAnsi="宋体"/>
                <w:szCs w:val="21"/>
              </w:rPr>
            </w:pPr>
            <w:r>
              <w:rPr>
                <w:rFonts w:hint="eastAsia" w:ascii="宋体" w:hAnsi="宋体"/>
                <w:szCs w:val="21"/>
              </w:rPr>
              <w:t>•规格：≥4路输出车道牌控制器（含机箱、开关电源、串口服务器）；</w:t>
            </w:r>
          </w:p>
          <w:p>
            <w:pPr>
              <w:spacing w:after="60" w:afterLines="25" w:line="360" w:lineRule="exact"/>
              <w:jc w:val="left"/>
              <w:rPr>
                <w:rFonts w:ascii="宋体" w:hAnsi="宋体"/>
                <w:szCs w:val="21"/>
              </w:rPr>
            </w:pPr>
            <w:r>
              <w:rPr>
                <w:rFonts w:hint="eastAsia" w:ascii="宋体" w:hAnsi="宋体"/>
                <w:szCs w:val="21"/>
              </w:rPr>
              <w:t>•输入电压：220±20%VAC；</w:t>
            </w:r>
          </w:p>
          <w:p>
            <w:pPr>
              <w:spacing w:after="60" w:afterLines="25" w:line="360" w:lineRule="exact"/>
              <w:jc w:val="left"/>
              <w:rPr>
                <w:rFonts w:ascii="宋体" w:hAnsi="宋体"/>
                <w:szCs w:val="21"/>
              </w:rPr>
            </w:pPr>
            <w:r>
              <w:rPr>
                <w:rFonts w:hint="eastAsia" w:ascii="宋体" w:hAnsi="宋体"/>
                <w:szCs w:val="21"/>
              </w:rPr>
              <w:t>•输出电压：24±5%VDC；</w:t>
            </w:r>
          </w:p>
          <w:p>
            <w:pPr>
              <w:spacing w:after="60" w:afterLines="25" w:line="360" w:lineRule="exact"/>
              <w:jc w:val="left"/>
              <w:rPr>
                <w:rFonts w:ascii="宋体" w:hAnsi="宋体"/>
                <w:szCs w:val="21"/>
              </w:rPr>
            </w:pPr>
            <w:r>
              <w:rPr>
                <w:rFonts w:hint="eastAsia" w:ascii="宋体" w:hAnsi="宋体"/>
                <w:szCs w:val="21"/>
              </w:rPr>
              <w:t>•输出路数：（按实际车道牌）2/3/4路，每路3Amax；</w:t>
            </w:r>
          </w:p>
          <w:p>
            <w:pPr>
              <w:spacing w:after="60" w:afterLines="25" w:line="360" w:lineRule="exact"/>
              <w:jc w:val="left"/>
              <w:rPr>
                <w:rFonts w:ascii="宋体" w:hAnsi="宋体"/>
                <w:szCs w:val="21"/>
              </w:rPr>
            </w:pPr>
            <w:r>
              <w:rPr>
                <w:rFonts w:hint="eastAsia" w:ascii="宋体" w:hAnsi="宋体"/>
                <w:szCs w:val="21"/>
              </w:rPr>
              <w:t>•空载功率：≤5W；</w:t>
            </w:r>
          </w:p>
          <w:p>
            <w:pPr>
              <w:spacing w:after="60" w:afterLines="25" w:line="360" w:lineRule="exact"/>
              <w:jc w:val="left"/>
              <w:rPr>
                <w:rFonts w:ascii="宋体" w:hAnsi="宋体"/>
                <w:szCs w:val="21"/>
              </w:rPr>
            </w:pPr>
            <w:r>
              <w:rPr>
                <w:rFonts w:hint="eastAsia" w:ascii="宋体" w:hAnsi="宋体"/>
                <w:szCs w:val="21"/>
              </w:rPr>
              <w:t>•控制接口：≥1个RS232或以太网（串口服务器）；</w:t>
            </w:r>
          </w:p>
          <w:p>
            <w:pPr>
              <w:spacing w:after="60" w:afterLines="25" w:line="360" w:lineRule="exact"/>
              <w:jc w:val="left"/>
              <w:rPr>
                <w:rFonts w:ascii="宋体" w:hAnsi="宋体"/>
                <w:szCs w:val="21"/>
              </w:rPr>
            </w:pPr>
            <w:r>
              <w:rPr>
                <w:rFonts w:hint="eastAsia" w:ascii="宋体" w:hAnsi="宋体"/>
                <w:szCs w:val="21"/>
              </w:rPr>
              <w:t>•控制模式：远程控制、定时控制、现场手动；</w:t>
            </w:r>
          </w:p>
          <w:p>
            <w:pPr>
              <w:spacing w:after="60" w:afterLines="25" w:line="360" w:lineRule="exact"/>
              <w:jc w:val="left"/>
              <w:rPr>
                <w:rFonts w:ascii="宋体" w:hAnsi="宋体"/>
                <w:szCs w:val="21"/>
              </w:rPr>
            </w:pPr>
            <w:r>
              <w:rPr>
                <w:rFonts w:hint="eastAsia" w:ascii="宋体" w:hAnsi="宋体"/>
                <w:szCs w:val="21"/>
              </w:rPr>
              <w:t>•定时时段：每天6个时段，每周7个日期方案（周一～周六方案0～5，周日方案6）；</w:t>
            </w:r>
          </w:p>
          <w:p>
            <w:pPr>
              <w:spacing w:after="60" w:afterLines="25" w:line="360" w:lineRule="exact"/>
              <w:jc w:val="left"/>
              <w:rPr>
                <w:rFonts w:ascii="宋体" w:hAnsi="宋体"/>
                <w:szCs w:val="21"/>
              </w:rPr>
            </w:pPr>
            <w:r>
              <w:rPr>
                <w:rFonts w:hint="eastAsia" w:ascii="宋体" w:hAnsi="宋体"/>
                <w:szCs w:val="21"/>
              </w:rPr>
              <w:t>•遥控控制：315MHz遥控，4个预案，≤30米；</w:t>
            </w:r>
          </w:p>
          <w:p>
            <w:pPr>
              <w:spacing w:after="60" w:afterLines="25" w:line="360" w:lineRule="exact"/>
              <w:jc w:val="left"/>
              <w:rPr>
                <w:rFonts w:ascii="宋体" w:hAnsi="宋体"/>
                <w:szCs w:val="21"/>
              </w:rPr>
            </w:pPr>
            <w:r>
              <w:rPr>
                <w:rFonts w:hint="eastAsia" w:ascii="宋体" w:hAnsi="宋体"/>
                <w:szCs w:val="21"/>
              </w:rPr>
              <w:t>•工作温度：-10~+70℃；</w:t>
            </w:r>
          </w:p>
          <w:p>
            <w:pPr>
              <w:spacing w:after="60" w:afterLines="25" w:line="360" w:lineRule="exact"/>
              <w:jc w:val="left"/>
              <w:rPr>
                <w:rFonts w:ascii="宋体" w:hAnsi="宋体"/>
                <w:szCs w:val="21"/>
              </w:rPr>
            </w:pPr>
            <w:r>
              <w:rPr>
                <w:rFonts w:hint="eastAsia" w:ascii="宋体" w:hAnsi="宋体"/>
                <w:szCs w:val="21"/>
              </w:rPr>
              <w:t>•相对湿度：10％~90%；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ascii="宋体" w:hAnsi="宋体"/>
                <w:szCs w:val="21"/>
              </w:rPr>
            </w:pPr>
            <w:r>
              <w:rPr>
                <w:rFonts w:hint="eastAsia" w:ascii="宋体" w:hAnsi="宋体"/>
                <w:szCs w:val="21"/>
              </w:rPr>
              <w:t>•外壳材质：不锈钢喷塑；</w:t>
            </w:r>
          </w:p>
          <w:p>
            <w:pPr>
              <w:spacing w:after="60" w:afterLines="25" w:line="360" w:lineRule="exact"/>
              <w:jc w:val="left"/>
              <w:rPr>
                <w:rFonts w:ascii="宋体" w:hAnsi="宋体"/>
                <w:szCs w:val="21"/>
              </w:rPr>
            </w:pPr>
            <w:r>
              <w:rPr>
                <w:rFonts w:hint="eastAsia" w:ascii="宋体" w:hAnsi="宋体"/>
                <w:szCs w:val="21"/>
              </w:rPr>
              <w:t>•防护等级：IP53；</w:t>
            </w:r>
          </w:p>
          <w:p>
            <w:pPr>
              <w:spacing w:after="60" w:afterLines="25" w:line="360" w:lineRule="exact"/>
              <w:jc w:val="left"/>
              <w:rPr>
                <w:rFonts w:hint="eastAsia" w:ascii="宋体" w:hAnsi="宋体"/>
                <w:szCs w:val="21"/>
              </w:rPr>
            </w:pPr>
            <w:r>
              <w:rPr>
                <w:rFonts w:hint="eastAsia" w:ascii="宋体" w:hAnsi="宋体"/>
                <w:szCs w:val="21"/>
              </w:rPr>
              <w:t>•安装模式：抱杆安装。</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1600</w:t>
            </w:r>
          </w:p>
        </w:tc>
      </w:tr>
      <w:tr>
        <w:tblPrEx>
          <w:tblCellMar>
            <w:top w:w="15" w:type="dxa"/>
            <w:left w:w="15" w:type="dxa"/>
            <w:bottom w:w="15" w:type="dxa"/>
            <w:right w:w="15" w:type="dxa"/>
          </w:tblCellMar>
        </w:tblPrEx>
        <w:trPr>
          <w:trHeight w:val="408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81</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三图文待驶区提示屏</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DZQ-25040-31L，铝板喷塑；</w:t>
            </w:r>
          </w:p>
          <w:p>
            <w:pPr>
              <w:spacing w:after="60" w:afterLines="25" w:line="360" w:lineRule="exact"/>
              <w:jc w:val="left"/>
              <w:rPr>
                <w:rFonts w:ascii="宋体" w:hAnsi="宋体"/>
                <w:szCs w:val="21"/>
              </w:rPr>
            </w:pPr>
            <w:r>
              <w:rPr>
                <w:rFonts w:hint="eastAsia" w:ascii="宋体" w:hAnsi="宋体"/>
                <w:szCs w:val="21"/>
              </w:rPr>
              <w:t>绿（黄）色</w:t>
            </w:r>
            <w:r>
              <w:rPr>
                <w:rFonts w:ascii="宋体" w:hAnsi="宋体"/>
                <w:szCs w:val="21"/>
              </w:rPr>
              <w:t>Φ</w:t>
            </w:r>
            <w:r>
              <w:rPr>
                <w:rFonts w:hint="eastAsia" w:ascii="宋体" w:hAnsi="宋体"/>
                <w:szCs w:val="21"/>
              </w:rPr>
              <w:t>5LED 方阵排列；</w:t>
            </w:r>
          </w:p>
          <w:p>
            <w:pPr>
              <w:spacing w:after="60" w:afterLines="25" w:line="360" w:lineRule="exact"/>
              <w:jc w:val="left"/>
              <w:rPr>
                <w:rFonts w:ascii="宋体" w:hAnsi="宋体"/>
                <w:szCs w:val="21"/>
              </w:rPr>
            </w:pPr>
            <w:r>
              <w:rPr>
                <w:rFonts w:hint="eastAsia" w:ascii="宋体" w:hAnsi="宋体"/>
                <w:szCs w:val="21"/>
              </w:rPr>
              <w:t>绿字“左转进入待行区”“直行进入待行区”，黄字“路口遇堵不得进入”；</w:t>
            </w:r>
          </w:p>
          <w:p>
            <w:pPr>
              <w:spacing w:after="60" w:afterLines="25" w:line="360" w:lineRule="exact"/>
              <w:jc w:val="left"/>
              <w:rPr>
                <w:rFonts w:ascii="宋体" w:hAnsi="宋体"/>
                <w:szCs w:val="21"/>
              </w:rPr>
            </w:pPr>
            <w:r>
              <w:rPr>
                <w:rFonts w:hint="eastAsia" w:ascii="宋体" w:hAnsi="宋体"/>
                <w:szCs w:val="21"/>
              </w:rPr>
              <w:t>•产品尺寸：2500mm×400mm；</w:t>
            </w:r>
          </w:p>
          <w:p>
            <w:pPr>
              <w:spacing w:after="60" w:afterLines="25" w:line="360" w:lineRule="exact"/>
              <w:jc w:val="left"/>
              <w:rPr>
                <w:rFonts w:ascii="宋体" w:hAnsi="宋体"/>
                <w:szCs w:val="21"/>
              </w:rPr>
            </w:pPr>
            <w:r>
              <w:rPr>
                <w:rFonts w:hint="eastAsia" w:ascii="宋体" w:hAnsi="宋体"/>
                <w:szCs w:val="21"/>
              </w:rPr>
              <w:t>•外壳材质：铝材；</w:t>
            </w:r>
          </w:p>
          <w:p>
            <w:pPr>
              <w:spacing w:after="60" w:afterLines="25" w:line="360" w:lineRule="exact"/>
              <w:jc w:val="left"/>
              <w:rPr>
                <w:rFonts w:ascii="宋体" w:hAnsi="宋体"/>
                <w:szCs w:val="21"/>
              </w:rPr>
            </w:pPr>
            <w:r>
              <w:rPr>
                <w:rFonts w:hint="eastAsia" w:ascii="宋体" w:hAnsi="宋体"/>
                <w:szCs w:val="21"/>
              </w:rPr>
              <w:t>•外壳颜色：黑色；</w:t>
            </w:r>
          </w:p>
          <w:p>
            <w:pPr>
              <w:spacing w:after="60" w:afterLines="25" w:line="360" w:lineRule="exact"/>
              <w:jc w:val="left"/>
              <w:rPr>
                <w:rFonts w:ascii="宋体" w:hAnsi="宋体"/>
                <w:szCs w:val="21"/>
              </w:rPr>
            </w:pPr>
            <w:r>
              <w:rPr>
                <w:rFonts w:hint="eastAsia" w:ascii="宋体" w:hAnsi="宋体"/>
                <w:szCs w:val="21"/>
              </w:rPr>
              <w:t>•显示内容：直行/左转进入待行区+小车+直行/左转动态箭头；路口遇堵不得进入；</w:t>
            </w:r>
          </w:p>
          <w:p>
            <w:pPr>
              <w:spacing w:after="60" w:afterLines="25" w:line="360" w:lineRule="exact"/>
              <w:jc w:val="left"/>
              <w:rPr>
                <w:rFonts w:ascii="宋体" w:hAnsi="宋体"/>
                <w:szCs w:val="21"/>
              </w:rPr>
            </w:pPr>
            <w:r>
              <w:rPr>
                <w:rFonts w:hint="eastAsia" w:ascii="宋体" w:hAnsi="宋体"/>
                <w:szCs w:val="21"/>
              </w:rPr>
              <w:t>•发光颜色：绿色，黄色；</w:t>
            </w:r>
          </w:p>
          <w:p>
            <w:pPr>
              <w:spacing w:after="60" w:afterLines="25" w:line="360" w:lineRule="exact"/>
              <w:jc w:val="left"/>
              <w:rPr>
                <w:rFonts w:ascii="宋体" w:hAnsi="宋体"/>
                <w:szCs w:val="21"/>
              </w:rPr>
            </w:pPr>
            <w:r>
              <w:rPr>
                <w:rFonts w:hint="eastAsia" w:ascii="宋体" w:hAnsi="宋体"/>
                <w:szCs w:val="21"/>
              </w:rPr>
              <w:t>•工作电压：220±20%VAC（176～264VAC）；</w:t>
            </w:r>
          </w:p>
          <w:p>
            <w:pPr>
              <w:spacing w:after="60" w:afterLines="25" w:line="360" w:lineRule="exact"/>
              <w:jc w:val="left"/>
              <w:rPr>
                <w:rFonts w:ascii="宋体" w:hAnsi="宋体"/>
                <w:szCs w:val="21"/>
              </w:rPr>
            </w:pPr>
            <w:r>
              <w:rPr>
                <w:rFonts w:hint="eastAsia" w:ascii="宋体" w:hAnsi="宋体"/>
                <w:szCs w:val="21"/>
              </w:rPr>
              <w:t>•功率：≤20W；</w:t>
            </w:r>
          </w:p>
          <w:p>
            <w:pPr>
              <w:spacing w:after="60" w:afterLines="25" w:line="360" w:lineRule="exact"/>
              <w:jc w:val="left"/>
              <w:rPr>
                <w:rFonts w:ascii="宋体" w:hAnsi="宋体"/>
                <w:szCs w:val="21"/>
              </w:rPr>
            </w:pPr>
            <w:r>
              <w:rPr>
                <w:rFonts w:hint="eastAsia" w:ascii="宋体" w:hAnsi="宋体"/>
                <w:szCs w:val="21"/>
              </w:rPr>
              <w:t>•中心光强：≥400cd；</w:t>
            </w:r>
          </w:p>
          <w:p>
            <w:pPr>
              <w:spacing w:after="60" w:afterLines="25" w:line="360" w:lineRule="exact"/>
              <w:jc w:val="left"/>
              <w:rPr>
                <w:rFonts w:ascii="宋体" w:hAnsi="宋体"/>
                <w:szCs w:val="21"/>
              </w:rPr>
            </w:pPr>
            <w:r>
              <w:rPr>
                <w:rFonts w:hint="eastAsia" w:ascii="宋体" w:hAnsi="宋体"/>
                <w:szCs w:val="21"/>
              </w:rPr>
              <w:t>•LED直径：</w:t>
            </w:r>
            <w:r>
              <w:rPr>
                <w:rFonts w:ascii="宋体" w:hAnsi="宋体"/>
                <w:szCs w:val="21"/>
              </w:rPr>
              <w:t>Φ</w:t>
            </w:r>
            <w:r>
              <w:rPr>
                <w:rFonts w:hint="eastAsia" w:ascii="宋体" w:hAnsi="宋体"/>
                <w:szCs w:val="21"/>
              </w:rPr>
              <w:t>5 方阵排列；</w:t>
            </w:r>
          </w:p>
          <w:p>
            <w:pPr>
              <w:spacing w:after="60" w:afterLines="25" w:line="360" w:lineRule="exact"/>
              <w:jc w:val="left"/>
              <w:rPr>
                <w:rFonts w:ascii="宋体" w:hAnsi="宋体"/>
                <w:szCs w:val="21"/>
              </w:rPr>
            </w:pPr>
            <w:r>
              <w:rPr>
                <w:rFonts w:hint="eastAsia" w:ascii="宋体" w:hAnsi="宋体"/>
                <w:szCs w:val="21"/>
              </w:rPr>
              <w:t>•LED寿命：≥50000小时；</w:t>
            </w:r>
          </w:p>
          <w:p>
            <w:pPr>
              <w:spacing w:after="60" w:afterLines="25" w:line="360" w:lineRule="exact"/>
              <w:jc w:val="left"/>
              <w:rPr>
                <w:rFonts w:ascii="宋体" w:hAnsi="宋体"/>
                <w:szCs w:val="21"/>
              </w:rPr>
            </w:pPr>
            <w:r>
              <w:rPr>
                <w:rFonts w:hint="eastAsia" w:ascii="宋体" w:hAnsi="宋体"/>
                <w:szCs w:val="21"/>
              </w:rPr>
              <w:t>•波长：绿：505nm，黄：590nm；</w:t>
            </w:r>
          </w:p>
          <w:p>
            <w:pPr>
              <w:spacing w:after="60" w:afterLines="25" w:line="360" w:lineRule="exact"/>
              <w:jc w:val="left"/>
              <w:rPr>
                <w:rFonts w:ascii="宋体" w:hAnsi="宋体"/>
                <w:szCs w:val="21"/>
              </w:rPr>
            </w:pPr>
            <w:r>
              <w:rPr>
                <w:rFonts w:hint="eastAsia" w:ascii="宋体" w:hAnsi="宋体"/>
                <w:szCs w:val="21"/>
              </w:rPr>
              <w:t>•可视距离：&gt;200m；</w:t>
            </w:r>
          </w:p>
          <w:p>
            <w:pPr>
              <w:spacing w:after="60" w:afterLines="25" w:line="360" w:lineRule="exact"/>
              <w:jc w:val="left"/>
              <w:rPr>
                <w:rFonts w:ascii="宋体" w:hAnsi="宋体"/>
                <w:szCs w:val="21"/>
              </w:rPr>
            </w:pPr>
            <w:r>
              <w:rPr>
                <w:rFonts w:hint="eastAsia" w:ascii="宋体" w:hAnsi="宋体"/>
                <w:szCs w:val="21"/>
              </w:rPr>
              <w:t>•可视角度：&gt;30°；</w:t>
            </w:r>
          </w:p>
          <w:p>
            <w:pPr>
              <w:spacing w:after="60" w:afterLines="25" w:line="360" w:lineRule="exact"/>
              <w:jc w:val="left"/>
              <w:rPr>
                <w:rFonts w:ascii="宋体" w:hAnsi="宋体"/>
                <w:szCs w:val="21"/>
              </w:rPr>
            </w:pPr>
            <w:r>
              <w:rPr>
                <w:rFonts w:hint="eastAsia" w:ascii="宋体" w:hAnsi="宋体"/>
                <w:szCs w:val="21"/>
              </w:rPr>
              <w:t>•工作温度：-40~+70℃；</w:t>
            </w:r>
          </w:p>
          <w:p>
            <w:pPr>
              <w:spacing w:after="60" w:afterLines="25" w:line="360" w:lineRule="exact"/>
              <w:jc w:val="left"/>
              <w:rPr>
                <w:rFonts w:ascii="宋体" w:hAnsi="宋体"/>
                <w:szCs w:val="21"/>
              </w:rPr>
            </w:pPr>
            <w:r>
              <w:rPr>
                <w:rFonts w:hint="eastAsia" w:ascii="宋体" w:hAnsi="宋体"/>
                <w:szCs w:val="21"/>
              </w:rPr>
              <w:t>•相对湿度：10％~90%；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hint="eastAsia" w:ascii="宋体" w:hAnsi="宋体"/>
                <w:szCs w:val="21"/>
              </w:rPr>
            </w:pPr>
            <w:r>
              <w:rPr>
                <w:rFonts w:hint="eastAsia" w:ascii="宋体" w:hAnsi="宋体"/>
                <w:szCs w:val="21"/>
              </w:rPr>
              <w:t>•防护等级：IP53。</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6800</w:t>
            </w:r>
          </w:p>
        </w:tc>
      </w:tr>
      <w:tr>
        <w:tblPrEx>
          <w:tblCellMar>
            <w:top w:w="15" w:type="dxa"/>
            <w:left w:w="15" w:type="dxa"/>
            <w:bottom w:w="15" w:type="dxa"/>
            <w:right w:w="15" w:type="dxa"/>
          </w:tblCellMar>
        </w:tblPrEx>
        <w:trPr>
          <w:trHeight w:val="209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82</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盲人声响提示装置</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与人行横道灯配套。</w:t>
            </w:r>
          </w:p>
          <w:p>
            <w:pPr>
              <w:spacing w:after="60" w:afterLines="25" w:line="360" w:lineRule="exact"/>
              <w:jc w:val="left"/>
              <w:rPr>
                <w:rFonts w:ascii="宋体" w:hAnsi="宋体"/>
                <w:szCs w:val="21"/>
              </w:rPr>
            </w:pPr>
            <w:r>
              <w:rPr>
                <w:rFonts w:hint="eastAsia" w:ascii="宋体" w:hAnsi="宋体"/>
                <w:szCs w:val="21"/>
              </w:rPr>
              <w:t>•材质：不锈钢壳体 黑色喷塑；</w:t>
            </w:r>
          </w:p>
          <w:p>
            <w:pPr>
              <w:spacing w:after="60" w:afterLines="25" w:line="360" w:lineRule="exact"/>
              <w:jc w:val="left"/>
              <w:rPr>
                <w:rFonts w:ascii="宋体" w:hAnsi="宋体"/>
                <w:szCs w:val="21"/>
              </w:rPr>
            </w:pPr>
            <w:r>
              <w:rPr>
                <w:rFonts w:hint="eastAsia" w:ascii="宋体" w:hAnsi="宋体"/>
                <w:szCs w:val="21"/>
              </w:rPr>
              <w:t>•尺寸：260mm×160mm×100mm（长宽高）；</w:t>
            </w:r>
          </w:p>
          <w:p>
            <w:pPr>
              <w:spacing w:after="60" w:afterLines="25" w:line="360" w:lineRule="exact"/>
              <w:jc w:val="left"/>
              <w:rPr>
                <w:rFonts w:ascii="宋体" w:hAnsi="宋体"/>
                <w:szCs w:val="21"/>
              </w:rPr>
            </w:pPr>
            <w:r>
              <w:rPr>
                <w:rFonts w:hint="eastAsia" w:ascii="宋体" w:hAnsi="宋体"/>
                <w:szCs w:val="21"/>
              </w:rPr>
              <w:t>•电源：人行灯红绿信号220VAC(±20%)黑护套线；红：红灯，绿：绿灯；黑：零线；</w:t>
            </w:r>
          </w:p>
          <w:p>
            <w:pPr>
              <w:spacing w:after="60" w:afterLines="25" w:line="360" w:lineRule="exact"/>
              <w:jc w:val="left"/>
              <w:rPr>
                <w:rFonts w:ascii="宋体" w:hAnsi="宋体"/>
                <w:szCs w:val="21"/>
              </w:rPr>
            </w:pPr>
            <w:r>
              <w:rPr>
                <w:rFonts w:hint="eastAsia" w:ascii="宋体" w:hAnsi="宋体"/>
                <w:szCs w:val="21"/>
              </w:rPr>
              <w:t>•功率：≤15W；</w:t>
            </w:r>
          </w:p>
          <w:p>
            <w:pPr>
              <w:spacing w:after="60" w:afterLines="25" w:line="360" w:lineRule="exact"/>
              <w:jc w:val="left"/>
              <w:rPr>
                <w:rFonts w:ascii="宋体" w:hAnsi="宋体"/>
                <w:szCs w:val="21"/>
              </w:rPr>
            </w:pPr>
            <w:r>
              <w:rPr>
                <w:rFonts w:hint="eastAsia" w:ascii="宋体" w:hAnsi="宋体"/>
                <w:szCs w:val="21"/>
              </w:rPr>
              <w:t>•语音内容：红灯：女声“现在是红灯，禁止通行”绿灯：女声“现在是绿灯，请通行”；</w:t>
            </w:r>
          </w:p>
          <w:p>
            <w:pPr>
              <w:spacing w:after="60" w:afterLines="25" w:line="360" w:lineRule="exact"/>
              <w:jc w:val="left"/>
              <w:rPr>
                <w:rFonts w:ascii="宋体" w:hAnsi="宋体"/>
                <w:szCs w:val="21"/>
              </w:rPr>
            </w:pPr>
            <w:r>
              <w:rPr>
                <w:rFonts w:hint="eastAsia" w:ascii="宋体" w:hAnsi="宋体"/>
                <w:szCs w:val="21"/>
              </w:rPr>
              <w:t>•语音遍数：人声播报遍数可设（0-9遍）；</w:t>
            </w:r>
          </w:p>
          <w:p>
            <w:pPr>
              <w:spacing w:after="60" w:afterLines="25" w:line="360" w:lineRule="exact"/>
              <w:jc w:val="left"/>
              <w:rPr>
                <w:rFonts w:ascii="宋体" w:hAnsi="宋体"/>
                <w:szCs w:val="21"/>
              </w:rPr>
            </w:pPr>
            <w:r>
              <w:rPr>
                <w:rFonts w:hint="eastAsia" w:ascii="宋体" w:hAnsi="宋体"/>
                <w:szCs w:val="21"/>
              </w:rPr>
              <w:t>•音量：0~9级；</w:t>
            </w:r>
          </w:p>
          <w:p>
            <w:pPr>
              <w:spacing w:after="60" w:afterLines="25" w:line="360" w:lineRule="exact"/>
              <w:jc w:val="left"/>
              <w:rPr>
                <w:rFonts w:ascii="宋体" w:hAnsi="宋体"/>
                <w:szCs w:val="21"/>
              </w:rPr>
            </w:pPr>
            <w:r>
              <w:rPr>
                <w:rFonts w:hint="eastAsia" w:ascii="宋体" w:hAnsi="宋体"/>
                <w:szCs w:val="21"/>
              </w:rPr>
              <w:t>•时段控制：内置实时钟，10个时段音量可调节；</w:t>
            </w:r>
          </w:p>
          <w:p>
            <w:pPr>
              <w:spacing w:after="60" w:afterLines="25" w:line="360" w:lineRule="exact"/>
              <w:jc w:val="left"/>
              <w:rPr>
                <w:rFonts w:ascii="宋体" w:hAnsi="宋体"/>
                <w:szCs w:val="21"/>
              </w:rPr>
            </w:pPr>
            <w:r>
              <w:rPr>
                <w:rFonts w:hint="eastAsia" w:ascii="宋体" w:hAnsi="宋体"/>
                <w:szCs w:val="21"/>
              </w:rPr>
              <w:t>•喇叭功率：10Wmax；</w:t>
            </w:r>
          </w:p>
          <w:p>
            <w:pPr>
              <w:spacing w:after="60" w:afterLines="25" w:line="360" w:lineRule="exact"/>
              <w:jc w:val="left"/>
              <w:rPr>
                <w:rFonts w:ascii="宋体" w:hAnsi="宋体"/>
                <w:szCs w:val="21"/>
              </w:rPr>
            </w:pPr>
            <w:r>
              <w:rPr>
                <w:rFonts w:hint="eastAsia" w:ascii="宋体" w:hAnsi="宋体"/>
                <w:szCs w:val="21"/>
              </w:rPr>
              <w:t>•声压级：70~90db；</w:t>
            </w:r>
          </w:p>
          <w:p>
            <w:pPr>
              <w:spacing w:after="60" w:afterLines="25" w:line="360" w:lineRule="exact"/>
              <w:jc w:val="left"/>
              <w:rPr>
                <w:rFonts w:ascii="宋体" w:hAnsi="宋体"/>
                <w:szCs w:val="21"/>
              </w:rPr>
            </w:pPr>
            <w:r>
              <w:rPr>
                <w:rFonts w:hint="eastAsia" w:ascii="宋体" w:hAnsi="宋体"/>
                <w:szCs w:val="21"/>
              </w:rPr>
              <w:t>•工作温度：-40~+70℃ 相对湿度 10％~90%；</w:t>
            </w:r>
          </w:p>
          <w:p>
            <w:pPr>
              <w:spacing w:after="60" w:afterLines="25" w:line="360" w:lineRule="exact"/>
              <w:jc w:val="left"/>
              <w:rPr>
                <w:rFonts w:ascii="宋体" w:hAnsi="宋体"/>
                <w:szCs w:val="21"/>
              </w:rPr>
            </w:pPr>
            <w:r>
              <w:rPr>
                <w:rFonts w:hint="eastAsia" w:ascii="宋体" w:hAnsi="宋体"/>
                <w:szCs w:val="21"/>
              </w:rPr>
              <w:t>•保存环境：0~50℃，40~60%RH；</w:t>
            </w:r>
          </w:p>
          <w:p>
            <w:pPr>
              <w:spacing w:after="60" w:afterLines="25" w:line="360" w:lineRule="exact"/>
              <w:jc w:val="left"/>
              <w:rPr>
                <w:rFonts w:hint="eastAsia" w:ascii="宋体" w:hAnsi="宋体"/>
                <w:szCs w:val="21"/>
              </w:rPr>
            </w:pPr>
            <w:r>
              <w:rPr>
                <w:rFonts w:hint="eastAsia" w:ascii="宋体" w:hAnsi="宋体"/>
                <w:szCs w:val="21"/>
              </w:rPr>
              <w:t>•安装方式：人行灯上方固定或抱灯杆。</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1000</w:t>
            </w:r>
          </w:p>
        </w:tc>
      </w:tr>
      <w:tr>
        <w:tblPrEx>
          <w:tblCellMar>
            <w:top w:w="15" w:type="dxa"/>
            <w:left w:w="15" w:type="dxa"/>
            <w:bottom w:w="15" w:type="dxa"/>
            <w:right w:w="15" w:type="dxa"/>
          </w:tblCellMar>
        </w:tblPrEx>
        <w:trPr>
          <w:trHeight w:val="427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83</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一体式人行灯显示屏</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3216P10双色模组</w:t>
            </w:r>
          </w:p>
          <w:p>
            <w:pPr>
              <w:spacing w:after="60" w:afterLines="25" w:line="360" w:lineRule="exact"/>
              <w:jc w:val="left"/>
              <w:rPr>
                <w:rFonts w:ascii="宋体" w:hAnsi="宋体"/>
                <w:szCs w:val="21"/>
              </w:rPr>
            </w:pPr>
            <w:r>
              <w:rPr>
                <w:rFonts w:hint="eastAsia" w:ascii="宋体" w:hAnsi="宋体"/>
                <w:szCs w:val="21"/>
              </w:rPr>
              <w:t>•LED模组：P10间距，像素32×16dot；</w:t>
            </w:r>
          </w:p>
          <w:p>
            <w:pPr>
              <w:spacing w:after="60" w:afterLines="25" w:line="360" w:lineRule="exact"/>
              <w:jc w:val="left"/>
              <w:rPr>
                <w:rFonts w:ascii="宋体" w:hAnsi="宋体"/>
                <w:szCs w:val="21"/>
              </w:rPr>
            </w:pPr>
            <w:r>
              <w:rPr>
                <w:rFonts w:hint="eastAsia" w:ascii="宋体" w:hAnsi="宋体"/>
                <w:szCs w:val="21"/>
              </w:rPr>
              <w:t>•LED颜色：红绿双色；</w:t>
            </w:r>
          </w:p>
          <w:p>
            <w:pPr>
              <w:spacing w:after="60" w:afterLines="25" w:line="360" w:lineRule="exact"/>
              <w:jc w:val="left"/>
              <w:rPr>
                <w:rFonts w:ascii="宋体" w:hAnsi="宋体"/>
                <w:szCs w:val="21"/>
              </w:rPr>
            </w:pPr>
            <w:r>
              <w:rPr>
                <w:rFonts w:hint="eastAsia" w:ascii="宋体" w:hAnsi="宋体"/>
                <w:szCs w:val="21"/>
              </w:rPr>
              <w:t>•供电电压：5VDC；</w:t>
            </w:r>
          </w:p>
          <w:p>
            <w:pPr>
              <w:spacing w:after="60" w:afterLines="25" w:line="360" w:lineRule="exact"/>
              <w:jc w:val="left"/>
              <w:rPr>
                <w:rFonts w:ascii="宋体" w:hAnsi="宋体"/>
                <w:szCs w:val="21"/>
              </w:rPr>
            </w:pPr>
            <w:r>
              <w:rPr>
                <w:rFonts w:hint="eastAsia" w:ascii="宋体" w:hAnsi="宋体"/>
                <w:szCs w:val="21"/>
              </w:rPr>
              <w:t>•信号接口：HUB12；</w:t>
            </w:r>
          </w:p>
          <w:p>
            <w:pPr>
              <w:spacing w:after="60" w:afterLines="25" w:line="360" w:lineRule="exact"/>
              <w:jc w:val="left"/>
              <w:rPr>
                <w:rFonts w:ascii="宋体" w:hAnsi="宋体"/>
                <w:szCs w:val="21"/>
              </w:rPr>
            </w:pPr>
            <w:r>
              <w:rPr>
                <w:rFonts w:hint="eastAsia" w:ascii="宋体" w:hAnsi="宋体"/>
                <w:szCs w:val="21"/>
              </w:rPr>
              <w:t>•红LED：420mcd &lt;红&lt;614mcd；波长620-625nm；</w:t>
            </w:r>
          </w:p>
          <w:p>
            <w:pPr>
              <w:spacing w:after="60" w:afterLines="25" w:line="360" w:lineRule="exact"/>
              <w:jc w:val="left"/>
              <w:rPr>
                <w:rFonts w:ascii="宋体" w:hAnsi="宋体"/>
                <w:szCs w:val="21"/>
              </w:rPr>
            </w:pPr>
            <w:r>
              <w:rPr>
                <w:rFonts w:hint="eastAsia" w:ascii="宋体" w:hAnsi="宋体"/>
                <w:szCs w:val="21"/>
              </w:rPr>
              <w:t>•绿LED：500mcd&lt;绿&lt;3296mcd；波长520-530nm；</w:t>
            </w:r>
          </w:p>
          <w:p>
            <w:pPr>
              <w:spacing w:after="60" w:afterLines="25" w:line="360" w:lineRule="exact"/>
              <w:jc w:val="left"/>
              <w:rPr>
                <w:rFonts w:ascii="宋体" w:hAnsi="宋体"/>
                <w:szCs w:val="21"/>
              </w:rPr>
            </w:pPr>
            <w:r>
              <w:rPr>
                <w:rFonts w:hint="eastAsia" w:ascii="宋体" w:hAnsi="宋体"/>
                <w:szCs w:val="21"/>
              </w:rPr>
              <w:t>•像素构成：1R1G；模组分辨率 16*32=512Dots；</w:t>
            </w:r>
          </w:p>
          <w:p>
            <w:pPr>
              <w:spacing w:after="60" w:afterLines="25" w:line="360" w:lineRule="exact"/>
              <w:jc w:val="left"/>
              <w:rPr>
                <w:rFonts w:ascii="宋体" w:hAnsi="宋体"/>
                <w:szCs w:val="21"/>
              </w:rPr>
            </w:pPr>
            <w:r>
              <w:rPr>
                <w:rFonts w:hint="eastAsia" w:ascii="宋体" w:hAnsi="宋体"/>
                <w:szCs w:val="21"/>
              </w:rPr>
              <w:t>•驱动方式：1/4恒流驱动；</w:t>
            </w:r>
          </w:p>
          <w:p>
            <w:pPr>
              <w:spacing w:after="60" w:afterLines="25" w:line="360" w:lineRule="exact"/>
              <w:jc w:val="left"/>
              <w:rPr>
                <w:rFonts w:ascii="宋体" w:hAnsi="宋体"/>
                <w:szCs w:val="21"/>
              </w:rPr>
            </w:pPr>
            <w:r>
              <w:rPr>
                <w:rFonts w:hint="eastAsia" w:ascii="宋体" w:hAnsi="宋体"/>
                <w:szCs w:val="21"/>
              </w:rPr>
              <w:t>•屏幕水平视角：80±15度；</w:t>
            </w:r>
          </w:p>
          <w:p>
            <w:pPr>
              <w:spacing w:after="60" w:afterLines="25" w:line="360" w:lineRule="exact"/>
              <w:jc w:val="left"/>
              <w:rPr>
                <w:rFonts w:ascii="宋体" w:hAnsi="宋体"/>
                <w:szCs w:val="21"/>
              </w:rPr>
            </w:pPr>
            <w:r>
              <w:rPr>
                <w:rFonts w:hint="eastAsia" w:ascii="宋体" w:hAnsi="宋体"/>
                <w:szCs w:val="21"/>
              </w:rPr>
              <w:t>•亮度：&gt;2000cd/㎡；</w:t>
            </w:r>
          </w:p>
          <w:p>
            <w:pPr>
              <w:spacing w:after="60" w:afterLines="25" w:line="360" w:lineRule="exact"/>
              <w:jc w:val="left"/>
              <w:rPr>
                <w:rFonts w:ascii="宋体" w:hAnsi="宋体"/>
                <w:szCs w:val="21"/>
              </w:rPr>
            </w:pPr>
            <w:r>
              <w:rPr>
                <w:rFonts w:hint="eastAsia" w:ascii="宋体" w:hAnsi="宋体"/>
                <w:szCs w:val="21"/>
              </w:rPr>
              <w:t>•最佳视距：&gt;10m；</w:t>
            </w:r>
          </w:p>
          <w:p>
            <w:pPr>
              <w:spacing w:after="60" w:afterLines="25" w:line="360" w:lineRule="exact"/>
              <w:jc w:val="left"/>
              <w:rPr>
                <w:rFonts w:ascii="宋体" w:hAnsi="宋体"/>
                <w:szCs w:val="21"/>
              </w:rPr>
            </w:pPr>
            <w:r>
              <w:rPr>
                <w:rFonts w:hint="eastAsia" w:ascii="宋体" w:hAnsi="宋体"/>
                <w:szCs w:val="21"/>
              </w:rPr>
              <w:t>•可视距离：&gt;200m；</w:t>
            </w:r>
          </w:p>
          <w:p>
            <w:pPr>
              <w:spacing w:after="60" w:afterLines="25" w:line="360" w:lineRule="exact"/>
              <w:jc w:val="left"/>
              <w:rPr>
                <w:rFonts w:ascii="宋体" w:hAnsi="宋体"/>
                <w:szCs w:val="21"/>
              </w:rPr>
            </w:pPr>
            <w:r>
              <w:rPr>
                <w:rFonts w:hint="eastAsia" w:ascii="宋体" w:hAnsi="宋体"/>
                <w:szCs w:val="21"/>
              </w:rPr>
              <w:t>•亮度均匀性：&gt;0.8；</w:t>
            </w:r>
          </w:p>
          <w:p>
            <w:pPr>
              <w:spacing w:after="60" w:afterLines="25" w:line="360" w:lineRule="exact"/>
              <w:jc w:val="left"/>
              <w:rPr>
                <w:rFonts w:ascii="宋体" w:hAnsi="宋体"/>
                <w:szCs w:val="21"/>
              </w:rPr>
            </w:pPr>
            <w:r>
              <w:rPr>
                <w:rFonts w:hint="eastAsia" w:ascii="宋体" w:hAnsi="宋体"/>
                <w:szCs w:val="21"/>
              </w:rPr>
              <w:t>•屏幕垂直视角：45±10度；</w:t>
            </w:r>
          </w:p>
          <w:p>
            <w:pPr>
              <w:spacing w:after="60" w:afterLines="25" w:line="360" w:lineRule="exact"/>
              <w:jc w:val="left"/>
              <w:rPr>
                <w:rFonts w:ascii="宋体" w:hAnsi="宋体"/>
                <w:szCs w:val="21"/>
              </w:rPr>
            </w:pPr>
            <w:r>
              <w:rPr>
                <w:rFonts w:hint="eastAsia" w:ascii="宋体" w:hAnsi="宋体"/>
                <w:szCs w:val="21"/>
              </w:rPr>
              <w:t>•盲点率：小于万分之三；</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hint="eastAsia" w:ascii="宋体" w:hAnsi="宋体"/>
                <w:szCs w:val="21"/>
              </w:rPr>
            </w:pPr>
            <w:r>
              <w:rPr>
                <w:rFonts w:hint="eastAsia" w:ascii="宋体" w:hAnsi="宋体"/>
                <w:szCs w:val="21"/>
              </w:rPr>
              <w:t>•保存环境：0~50℃，40~60%RH。</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400</w:t>
            </w:r>
          </w:p>
        </w:tc>
      </w:tr>
      <w:tr>
        <w:tblPrEx>
          <w:tblCellMar>
            <w:top w:w="15" w:type="dxa"/>
            <w:left w:w="15" w:type="dxa"/>
            <w:bottom w:w="15" w:type="dxa"/>
            <w:right w:w="15" w:type="dxa"/>
          </w:tblCellMar>
        </w:tblPrEx>
        <w:trPr>
          <w:trHeight w:val="39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一体式人行灯开关电源</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200W开关电源</w:t>
            </w:r>
          </w:p>
          <w:p>
            <w:pPr>
              <w:spacing w:after="60" w:afterLines="25" w:line="360" w:lineRule="exact"/>
              <w:jc w:val="left"/>
              <w:rPr>
                <w:rFonts w:ascii="宋体" w:hAnsi="宋体"/>
                <w:szCs w:val="21"/>
              </w:rPr>
            </w:pPr>
            <w:r>
              <w:rPr>
                <w:rFonts w:hint="eastAsia" w:ascii="宋体" w:hAnsi="宋体"/>
                <w:szCs w:val="21"/>
              </w:rPr>
              <w:t>•输入电压：220VAC 50Hz；</w:t>
            </w:r>
          </w:p>
          <w:p>
            <w:pPr>
              <w:spacing w:after="60" w:afterLines="25" w:line="360" w:lineRule="exact"/>
              <w:jc w:val="left"/>
              <w:rPr>
                <w:rFonts w:ascii="宋体" w:hAnsi="宋体"/>
                <w:szCs w:val="21"/>
              </w:rPr>
            </w:pPr>
            <w:r>
              <w:rPr>
                <w:rFonts w:hint="eastAsia" w:ascii="宋体" w:hAnsi="宋体"/>
                <w:szCs w:val="21"/>
              </w:rPr>
              <w:t>•输出电压：5VDC；</w:t>
            </w:r>
          </w:p>
          <w:p>
            <w:pPr>
              <w:spacing w:after="60" w:afterLines="25" w:line="360" w:lineRule="exact"/>
              <w:jc w:val="left"/>
              <w:rPr>
                <w:rFonts w:ascii="宋体" w:hAnsi="宋体"/>
                <w:szCs w:val="21"/>
              </w:rPr>
            </w:pPr>
            <w:r>
              <w:rPr>
                <w:rFonts w:hint="eastAsia" w:ascii="宋体" w:hAnsi="宋体"/>
                <w:szCs w:val="21"/>
              </w:rPr>
              <w:t>•额定电流：40A；</w:t>
            </w:r>
          </w:p>
          <w:p>
            <w:pPr>
              <w:spacing w:after="60" w:afterLines="25" w:line="360" w:lineRule="exact"/>
              <w:jc w:val="left"/>
              <w:rPr>
                <w:rFonts w:ascii="宋体" w:hAnsi="宋体"/>
                <w:szCs w:val="21"/>
              </w:rPr>
            </w:pPr>
            <w:r>
              <w:rPr>
                <w:rFonts w:hint="eastAsia" w:ascii="宋体" w:hAnsi="宋体"/>
                <w:szCs w:val="21"/>
              </w:rPr>
              <w:t>•额定功率：200W；</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hint="eastAsia" w:ascii="宋体" w:hAnsi="宋体"/>
                <w:szCs w:val="21"/>
              </w:rPr>
            </w:pPr>
            <w:r>
              <w:rPr>
                <w:rFonts w:hint="eastAsia" w:ascii="宋体" w:hAnsi="宋体"/>
                <w:szCs w:val="21"/>
              </w:rPr>
              <w:t>•保存环境：0~50℃，40~60%RH。</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250</w:t>
            </w:r>
          </w:p>
        </w:tc>
      </w:tr>
      <w:tr>
        <w:tblPrEx>
          <w:tblCellMar>
            <w:top w:w="15" w:type="dxa"/>
            <w:left w:w="15" w:type="dxa"/>
            <w:bottom w:w="15" w:type="dxa"/>
            <w:right w:w="15" w:type="dxa"/>
          </w:tblCellMar>
        </w:tblPrEx>
        <w:trPr>
          <w:trHeight w:val="1801"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一体式人行灯LED屏控制卡</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ascii="宋体" w:hAnsi="宋体"/>
                <w:szCs w:val="21"/>
              </w:rPr>
            </w:pPr>
            <w:r>
              <w:rPr>
                <w:rFonts w:hint="eastAsia" w:ascii="宋体" w:hAnsi="宋体"/>
                <w:szCs w:val="21"/>
              </w:rPr>
              <w:t>•供电电压：5VDC；</w:t>
            </w:r>
          </w:p>
          <w:p>
            <w:pPr>
              <w:spacing w:after="60" w:afterLines="25" w:line="360" w:lineRule="exact"/>
              <w:jc w:val="left"/>
              <w:rPr>
                <w:rFonts w:ascii="宋体" w:hAnsi="宋体"/>
                <w:szCs w:val="21"/>
              </w:rPr>
            </w:pPr>
            <w:r>
              <w:rPr>
                <w:rFonts w:hint="eastAsia" w:ascii="宋体" w:hAnsi="宋体"/>
                <w:szCs w:val="21"/>
              </w:rPr>
              <w:t>•信号接口：一路交流24V；</w:t>
            </w:r>
          </w:p>
          <w:p>
            <w:pPr>
              <w:spacing w:after="60" w:afterLines="25" w:line="360" w:lineRule="exact"/>
              <w:jc w:val="left"/>
              <w:rPr>
                <w:rFonts w:ascii="宋体" w:hAnsi="宋体"/>
                <w:szCs w:val="21"/>
              </w:rPr>
            </w:pPr>
            <w:r>
              <w:rPr>
                <w:rFonts w:hint="eastAsia" w:ascii="宋体" w:hAnsi="宋体"/>
                <w:szCs w:val="21"/>
              </w:rPr>
              <w:t>•扫描接口：HUB12；</w:t>
            </w:r>
          </w:p>
          <w:p>
            <w:pPr>
              <w:spacing w:after="60" w:afterLines="25" w:line="360" w:lineRule="exact"/>
              <w:jc w:val="left"/>
              <w:rPr>
                <w:rFonts w:ascii="宋体" w:hAnsi="宋体"/>
                <w:szCs w:val="21"/>
              </w:rPr>
            </w:pPr>
            <w:r>
              <w:rPr>
                <w:rFonts w:hint="eastAsia" w:ascii="宋体" w:hAnsi="宋体"/>
                <w:szCs w:val="21"/>
              </w:rPr>
              <w:t>•内容切换：自动定时切换、远程联网更新、现场笔记本更新、现场U盘更新；</w:t>
            </w:r>
          </w:p>
          <w:p>
            <w:pPr>
              <w:spacing w:after="60" w:afterLines="25" w:line="360" w:lineRule="exact"/>
              <w:jc w:val="left"/>
              <w:rPr>
                <w:rFonts w:ascii="宋体" w:hAnsi="宋体"/>
                <w:szCs w:val="21"/>
              </w:rPr>
            </w:pPr>
            <w:r>
              <w:rPr>
                <w:rFonts w:hint="eastAsia" w:ascii="宋体" w:hAnsi="宋体"/>
                <w:szCs w:val="21"/>
              </w:rPr>
              <w:t>•控制接口：≥1个10/100M以太网（RJ45网口）；</w:t>
            </w:r>
          </w:p>
          <w:p>
            <w:pPr>
              <w:spacing w:after="60" w:afterLines="25" w:line="360" w:lineRule="exact"/>
              <w:jc w:val="left"/>
              <w:rPr>
                <w:rFonts w:ascii="宋体" w:hAnsi="宋体"/>
                <w:szCs w:val="21"/>
              </w:rPr>
            </w:pPr>
            <w:r>
              <w:rPr>
                <w:rFonts w:hint="eastAsia" w:ascii="宋体" w:hAnsi="宋体"/>
                <w:szCs w:val="21"/>
              </w:rPr>
              <w:t>•工作温度：-40~+70℃ 湿度 10％~90%；</w:t>
            </w:r>
          </w:p>
          <w:p>
            <w:pPr>
              <w:spacing w:after="60" w:afterLines="25" w:line="360" w:lineRule="exact"/>
              <w:jc w:val="left"/>
              <w:rPr>
                <w:rFonts w:hint="eastAsia" w:ascii="宋体" w:hAnsi="宋体"/>
                <w:szCs w:val="21"/>
              </w:rPr>
            </w:pPr>
            <w:r>
              <w:rPr>
                <w:rFonts w:hint="eastAsia" w:ascii="宋体" w:hAnsi="宋体"/>
                <w:szCs w:val="21"/>
              </w:rPr>
              <w:t>•保存环境：0~50℃，40~60%RH。</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650</w:t>
            </w:r>
          </w:p>
        </w:tc>
      </w:tr>
      <w:tr>
        <w:tblPrEx>
          <w:tblCellMar>
            <w:top w:w="15" w:type="dxa"/>
            <w:left w:w="15" w:type="dxa"/>
            <w:bottom w:w="15" w:type="dxa"/>
            <w:right w:w="15" w:type="dxa"/>
          </w:tblCellMar>
        </w:tblPrEx>
        <w:trPr>
          <w:trHeight w:val="286" w:hRule="atLeast"/>
        </w:trPr>
        <w:tc>
          <w:tcPr>
            <w:tcW w:w="568"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86</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信号控制仪</w:t>
            </w:r>
          </w:p>
        </w:tc>
        <w:tc>
          <w:tcPr>
            <w:tcW w:w="524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left"/>
              <w:rPr>
                <w:rFonts w:hint="eastAsia" w:ascii="宋体" w:hAnsi="宋体"/>
                <w:szCs w:val="21"/>
              </w:rPr>
            </w:pPr>
            <w:r>
              <w:rPr>
                <w:rFonts w:hint="eastAsia" w:ascii="宋体" w:hAnsi="宋体"/>
                <w:szCs w:val="21"/>
              </w:rPr>
              <w:t>C270主机/336机柜，16相位独立输出。需接入交警支队信号控制系统。</w:t>
            </w:r>
          </w:p>
        </w:tc>
        <w:tc>
          <w:tcPr>
            <w:tcW w:w="705"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套</w:t>
            </w:r>
          </w:p>
        </w:tc>
        <w:tc>
          <w:tcPr>
            <w:tcW w:w="720"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126" w:type="dxa"/>
            <w:tcBorders>
              <w:top w:val="single" w:color="000000" w:sz="4" w:space="0"/>
              <w:left w:val="single" w:color="000000" w:sz="4" w:space="0"/>
              <w:bottom w:val="single" w:color="000000" w:sz="4" w:space="0"/>
              <w:right w:val="single" w:color="000000" w:sz="4" w:space="0"/>
            </w:tcBorders>
            <w:noWrap w:val="0"/>
            <w:vAlign w:val="center"/>
          </w:tcPr>
          <w:p>
            <w:pPr>
              <w:spacing w:after="60" w:afterLines="25" w:line="360" w:lineRule="exact"/>
              <w:jc w:val="center"/>
              <w:rPr>
                <w:rFonts w:hint="eastAsia" w:ascii="宋体" w:hAnsi="宋体"/>
                <w:szCs w:val="21"/>
              </w:rPr>
            </w:pPr>
            <w:r>
              <w:rPr>
                <w:rFonts w:hint="eastAsia" w:ascii="宋体" w:hAnsi="宋体"/>
                <w:szCs w:val="21"/>
              </w:rPr>
              <w:t>60000</w:t>
            </w:r>
          </w:p>
        </w:tc>
      </w:tr>
    </w:tbl>
    <w:p>
      <w:pPr>
        <w:spacing w:before="120" w:beforeLines="50"/>
        <w:ind w:firstLine="420" w:firstLineChars="200"/>
        <w:rPr>
          <w:rFonts w:hint="eastAsia" w:ascii="宋体" w:hAnsi="宋体"/>
          <w:b/>
          <w:szCs w:val="21"/>
          <w:lang w:val="en-GB"/>
        </w:rPr>
      </w:pPr>
      <w:r>
        <w:rPr>
          <w:rFonts w:hint="eastAsia" w:ascii="宋体" w:hAnsi="宋体"/>
          <w:szCs w:val="21"/>
        </w:rPr>
        <w:t>▲</w:t>
      </w:r>
      <w:r>
        <w:rPr>
          <w:rFonts w:hint="eastAsia" w:ascii="宋体" w:hAnsi="宋体"/>
          <w:b/>
          <w:szCs w:val="21"/>
        </w:rPr>
        <w:t>注：1、</w:t>
      </w:r>
      <w:r>
        <w:rPr>
          <w:rFonts w:hint="eastAsia" w:ascii="宋体" w:hAnsi="宋体"/>
          <w:b/>
          <w:szCs w:val="21"/>
          <w:lang w:val="en-GB"/>
        </w:rPr>
        <w:t>投标产品性能必须与现有的信号灯设备相匹配。</w:t>
      </w:r>
    </w:p>
    <w:p>
      <w:pPr>
        <w:pStyle w:val="20"/>
        <w:ind w:firstLine="1063" w:firstLineChars="504"/>
        <w:rPr>
          <w:rFonts w:ascii="宋体" w:hAnsi="宋体" w:cs="宋体"/>
          <w:b/>
          <w:bCs/>
          <w:sz w:val="21"/>
          <w:szCs w:val="21"/>
        </w:rPr>
      </w:pPr>
      <w:r>
        <w:rPr>
          <w:rFonts w:hint="eastAsia" w:ascii="宋体" w:hAnsi="宋体" w:cs="宋体"/>
          <w:b/>
          <w:bCs/>
          <w:sz w:val="21"/>
          <w:szCs w:val="21"/>
        </w:rPr>
        <w:t>2、提交投标文件的同时，提供Φ400mm LED单8倒计时灯（含红、绿倒计时）样品1套。</w:t>
      </w:r>
    </w:p>
    <w:p>
      <w:pPr>
        <w:pStyle w:val="20"/>
        <w:ind w:firstLine="422"/>
        <w:rPr>
          <w:rFonts w:ascii="宋体" w:hAnsi="宋体"/>
          <w:b/>
          <w:bCs/>
          <w:sz w:val="21"/>
          <w:szCs w:val="21"/>
        </w:rPr>
      </w:pPr>
      <w:r>
        <w:rPr>
          <w:rFonts w:hint="eastAsia" w:ascii="宋体" w:hAnsi="宋体"/>
          <w:b/>
          <w:bCs/>
          <w:sz w:val="21"/>
          <w:szCs w:val="21"/>
        </w:rPr>
        <w:t>（1）送达时间：投标截止时间前需送至嘉兴市公共资源交易中心一楼南侧样品处（嘉兴市广场路350号），所提供样品的费用由投标单位自行负责（进入嘉兴市公共资源交易中心主动扫“场所码”，主动出示“健康码”“行程卡”“48小时核酸检测证明”等相关信息，配合测量个人体温，无异常状况后方可进入开评标场所）。</w:t>
      </w:r>
    </w:p>
    <w:p>
      <w:pPr>
        <w:pStyle w:val="20"/>
        <w:ind w:firstLine="422"/>
        <w:rPr>
          <w:rFonts w:ascii="宋体" w:hAnsi="宋体"/>
          <w:b/>
          <w:bCs/>
          <w:sz w:val="21"/>
          <w:szCs w:val="21"/>
        </w:rPr>
      </w:pPr>
      <w:r>
        <w:rPr>
          <w:rFonts w:hint="eastAsia" w:ascii="宋体" w:hAnsi="宋体"/>
          <w:b/>
          <w:bCs/>
          <w:sz w:val="21"/>
          <w:szCs w:val="21"/>
        </w:rPr>
        <w:t>（</w:t>
      </w:r>
      <w:r>
        <w:rPr>
          <w:rFonts w:ascii="宋体" w:hAnsi="宋体"/>
          <w:b/>
          <w:bCs/>
          <w:sz w:val="21"/>
          <w:szCs w:val="21"/>
        </w:rPr>
        <w:t>2</w:t>
      </w:r>
      <w:r>
        <w:rPr>
          <w:rFonts w:hint="eastAsia" w:ascii="宋体" w:hAnsi="宋体"/>
          <w:b/>
          <w:bCs/>
          <w:sz w:val="21"/>
          <w:szCs w:val="21"/>
        </w:rPr>
        <w:t>）请将供应商全称及联系方式密封在样品上，密封外侧不得体现供应商相关信息，否则将拒收；</w:t>
      </w:r>
    </w:p>
    <w:p>
      <w:pPr>
        <w:ind w:firstLine="422" w:firstLineChars="200"/>
        <w:rPr>
          <w:rFonts w:ascii="宋体" w:hAnsi="宋体"/>
          <w:b/>
          <w:bCs/>
          <w:lang w:val="en-GB"/>
        </w:rPr>
      </w:pPr>
      <w:r>
        <w:rPr>
          <w:rFonts w:hint="eastAsia" w:ascii="宋体" w:hAnsi="宋体"/>
          <w:b/>
          <w:bCs/>
          <w:szCs w:val="21"/>
        </w:rPr>
        <w:t>（</w:t>
      </w:r>
      <w:r>
        <w:rPr>
          <w:rFonts w:ascii="宋体" w:hAnsi="宋体"/>
          <w:b/>
          <w:bCs/>
          <w:szCs w:val="21"/>
        </w:rPr>
        <w:t>3</w:t>
      </w:r>
      <w:r>
        <w:rPr>
          <w:rFonts w:hint="eastAsia" w:ascii="宋体" w:hAnsi="宋体"/>
          <w:b/>
          <w:bCs/>
          <w:szCs w:val="21"/>
        </w:rPr>
        <w:t>）样品的退还：中标人所提供的货物样品不予退还，由采购单位封存作为验收依据，未中标单位可在公示结束后2个工作日内取回样品，逾期将由采购人自行处理。</w:t>
      </w:r>
    </w:p>
    <w:p>
      <w:pPr>
        <w:ind w:firstLine="422" w:firstLineChars="200"/>
        <w:rPr>
          <w:rFonts w:ascii="宋体" w:hAnsi="宋体"/>
          <w:b/>
          <w:bCs/>
          <w:lang w:val="en-GB"/>
        </w:rPr>
      </w:pPr>
      <w:r>
        <w:rPr>
          <w:rFonts w:hint="eastAsia" w:ascii="宋体" w:hAnsi="宋体"/>
          <w:b/>
          <w:bCs/>
          <w:lang w:val="en-GB"/>
        </w:rPr>
        <w:t>四、质量及技术规范</w:t>
      </w:r>
    </w:p>
    <w:p>
      <w:pPr>
        <w:ind w:firstLine="422" w:firstLineChars="200"/>
        <w:rPr>
          <w:rFonts w:ascii="宋体" w:hAnsi="宋体"/>
          <w:b/>
          <w:bCs/>
          <w:szCs w:val="21"/>
          <w:lang w:val="en-GB"/>
        </w:rPr>
      </w:pPr>
      <w:r>
        <w:rPr>
          <w:rFonts w:hint="eastAsia" w:ascii="宋体" w:hAnsi="宋体"/>
          <w:b/>
          <w:bCs/>
          <w:szCs w:val="21"/>
          <w:lang w:val="en-GB"/>
        </w:rPr>
        <w:t>（一）、本工程质量要求及施工中需遵循的技术规范（包括但不限于）</w:t>
      </w:r>
    </w:p>
    <w:p>
      <w:pPr>
        <w:ind w:firstLine="420" w:firstLineChars="200"/>
        <w:rPr>
          <w:rFonts w:ascii="宋体" w:hAnsi="宋体"/>
          <w:szCs w:val="21"/>
          <w:lang w:val="en-GB"/>
        </w:rPr>
      </w:pPr>
      <w:r>
        <w:rPr>
          <w:rFonts w:hint="eastAsia" w:ascii="宋体" w:hAnsi="宋体"/>
          <w:szCs w:val="21"/>
          <w:lang w:val="en-GB"/>
        </w:rPr>
        <w:t>1、</w:t>
      </w:r>
      <w:r>
        <w:rPr>
          <w:rFonts w:ascii="宋体" w:hAnsi="宋体"/>
          <w:szCs w:val="21"/>
          <w:lang w:val="en-GB"/>
        </w:rPr>
        <w:t>GB5768《道路</w:t>
      </w:r>
      <w:r>
        <w:rPr>
          <w:rFonts w:hint="eastAsia" w:ascii="宋体" w:hAnsi="宋体"/>
          <w:szCs w:val="21"/>
          <w:lang w:val="en-GB"/>
        </w:rPr>
        <w:t>交通</w:t>
      </w:r>
      <w:r>
        <w:rPr>
          <w:rFonts w:ascii="宋体" w:hAnsi="宋体"/>
          <w:szCs w:val="21"/>
          <w:lang w:val="en-GB"/>
        </w:rPr>
        <w:t>标志</w:t>
      </w:r>
      <w:r>
        <w:rPr>
          <w:rFonts w:hint="eastAsia" w:ascii="宋体" w:hAnsi="宋体"/>
          <w:szCs w:val="21"/>
          <w:lang w:val="en-GB"/>
        </w:rPr>
        <w:t>和</w:t>
      </w:r>
      <w:r>
        <w:rPr>
          <w:rFonts w:ascii="宋体" w:hAnsi="宋体"/>
          <w:szCs w:val="21"/>
          <w:lang w:val="en-GB"/>
        </w:rPr>
        <w:t>标线》国家标准；</w:t>
      </w:r>
    </w:p>
    <w:p>
      <w:pPr>
        <w:ind w:firstLine="420" w:firstLineChars="200"/>
        <w:rPr>
          <w:rFonts w:ascii="宋体" w:hAnsi="宋体"/>
          <w:szCs w:val="21"/>
          <w:lang w:val="en-GB"/>
        </w:rPr>
      </w:pPr>
      <w:r>
        <w:rPr>
          <w:rFonts w:hint="eastAsia" w:ascii="宋体" w:hAnsi="宋体"/>
          <w:szCs w:val="21"/>
          <w:lang w:val="en-GB"/>
        </w:rPr>
        <w:t>2、</w:t>
      </w:r>
      <w:r>
        <w:rPr>
          <w:rFonts w:ascii="宋体" w:hAnsi="宋体"/>
          <w:szCs w:val="21"/>
          <w:lang w:val="en-GB"/>
        </w:rPr>
        <w:t>GB14886《道路交通信号灯</w:t>
      </w:r>
      <w:r>
        <w:rPr>
          <w:rFonts w:hint="eastAsia" w:ascii="宋体" w:hAnsi="宋体"/>
          <w:szCs w:val="21"/>
          <w:lang w:val="en-GB"/>
        </w:rPr>
        <w:t>设置与</w:t>
      </w:r>
      <w:r>
        <w:rPr>
          <w:rFonts w:ascii="宋体" w:hAnsi="宋体"/>
          <w:szCs w:val="21"/>
          <w:lang w:val="en-GB"/>
        </w:rPr>
        <w:t>安装规范》国家标准，同时在设置时结合城市的实际情况；</w:t>
      </w:r>
    </w:p>
    <w:p>
      <w:pPr>
        <w:ind w:firstLine="420" w:firstLineChars="200"/>
        <w:rPr>
          <w:rFonts w:ascii="宋体" w:hAnsi="宋体"/>
          <w:szCs w:val="21"/>
          <w:lang w:val="en-GB"/>
        </w:rPr>
      </w:pPr>
      <w:r>
        <w:rPr>
          <w:rFonts w:hint="eastAsia" w:ascii="宋体" w:hAnsi="宋体"/>
          <w:szCs w:val="21"/>
          <w:lang w:val="en-GB"/>
        </w:rPr>
        <w:t>3、</w:t>
      </w:r>
      <w:r>
        <w:rPr>
          <w:rFonts w:ascii="宋体" w:hAnsi="宋体"/>
          <w:szCs w:val="21"/>
          <w:lang w:val="en-GB"/>
        </w:rPr>
        <w:t>GB14887《道路交通信号灯》国家标准；</w:t>
      </w:r>
    </w:p>
    <w:p>
      <w:pPr>
        <w:ind w:firstLine="420" w:firstLineChars="200"/>
        <w:rPr>
          <w:rFonts w:ascii="宋体" w:hAnsi="宋体"/>
          <w:szCs w:val="21"/>
          <w:lang w:val="en-GB"/>
        </w:rPr>
      </w:pPr>
      <w:r>
        <w:rPr>
          <w:rFonts w:hint="eastAsia" w:ascii="宋体" w:hAnsi="宋体"/>
          <w:szCs w:val="21"/>
          <w:lang w:val="en-GB"/>
        </w:rPr>
        <w:t>4、GAT508《道路交通信号倒计时显示器》行业标准；</w:t>
      </w:r>
    </w:p>
    <w:p>
      <w:pPr>
        <w:ind w:firstLine="420" w:firstLineChars="200"/>
        <w:rPr>
          <w:rFonts w:ascii="宋体" w:hAnsi="宋体"/>
          <w:szCs w:val="21"/>
          <w:lang w:val="en-GB"/>
        </w:rPr>
      </w:pPr>
      <w:r>
        <w:rPr>
          <w:rFonts w:hint="eastAsia" w:ascii="宋体" w:hAnsi="宋体"/>
          <w:szCs w:val="21"/>
          <w:lang w:val="en-GB"/>
        </w:rPr>
        <w:t>5、</w:t>
      </w:r>
      <w:r>
        <w:rPr>
          <w:rFonts w:ascii="宋体" w:hAnsi="宋体"/>
          <w:szCs w:val="21"/>
          <w:lang w:val="en-GB"/>
        </w:rPr>
        <w:t>GB/T16311《道路交通标线质量要求和检测方法》国家标准；</w:t>
      </w:r>
    </w:p>
    <w:p>
      <w:pPr>
        <w:ind w:firstLine="420" w:firstLineChars="200"/>
        <w:rPr>
          <w:rFonts w:ascii="宋体" w:hAnsi="宋体"/>
          <w:szCs w:val="21"/>
          <w:lang w:val="en-GB"/>
        </w:rPr>
      </w:pPr>
      <w:r>
        <w:rPr>
          <w:rFonts w:hint="eastAsia" w:ascii="宋体" w:hAnsi="宋体"/>
          <w:szCs w:val="21"/>
          <w:lang w:val="en-GB"/>
        </w:rPr>
        <w:t>6、</w:t>
      </w:r>
      <w:r>
        <w:rPr>
          <w:rFonts w:ascii="宋体" w:hAnsi="宋体"/>
          <w:szCs w:val="21"/>
          <w:lang w:val="en-GB"/>
        </w:rPr>
        <w:t>GB/T18833《公路交通标志反光膜》行业标准；</w:t>
      </w:r>
    </w:p>
    <w:p>
      <w:pPr>
        <w:ind w:firstLine="420" w:firstLineChars="200"/>
        <w:rPr>
          <w:rFonts w:ascii="宋体" w:hAnsi="宋体"/>
          <w:szCs w:val="21"/>
          <w:lang w:val="en-GB"/>
        </w:rPr>
      </w:pPr>
      <w:r>
        <w:rPr>
          <w:rFonts w:hint="eastAsia" w:ascii="宋体" w:hAnsi="宋体"/>
          <w:szCs w:val="21"/>
          <w:lang w:val="en-GB"/>
        </w:rPr>
        <w:t>7、</w:t>
      </w:r>
      <w:r>
        <w:rPr>
          <w:rFonts w:ascii="宋体" w:hAnsi="宋体"/>
          <w:szCs w:val="21"/>
          <w:lang w:val="en-GB"/>
        </w:rPr>
        <w:t>TJ/T279《公路交通标志板技术条件》行业标准；</w:t>
      </w:r>
    </w:p>
    <w:p>
      <w:pPr>
        <w:ind w:firstLine="420" w:firstLineChars="200"/>
        <w:rPr>
          <w:rFonts w:hint="eastAsia" w:ascii="宋体" w:hAnsi="宋体"/>
          <w:szCs w:val="21"/>
          <w:lang w:val="en-GB"/>
        </w:rPr>
      </w:pPr>
      <w:r>
        <w:rPr>
          <w:rFonts w:hint="eastAsia" w:ascii="宋体" w:hAnsi="宋体"/>
          <w:szCs w:val="21"/>
          <w:lang w:val="en-GB"/>
        </w:rPr>
        <w:t>8、</w:t>
      </w:r>
      <w:r>
        <w:rPr>
          <w:rFonts w:ascii="宋体" w:hAnsi="宋体"/>
          <w:szCs w:val="21"/>
          <w:lang w:val="en-GB"/>
        </w:rPr>
        <w:t>GAT652</w:t>
      </w:r>
      <w:r>
        <w:rPr>
          <w:rFonts w:hint="eastAsia" w:ascii="宋体" w:hAnsi="宋体"/>
          <w:szCs w:val="21"/>
          <w:lang w:val="en-GB"/>
        </w:rPr>
        <w:t>《公安交通管理场外设备》行业标准；</w:t>
      </w:r>
    </w:p>
    <w:p>
      <w:pPr>
        <w:ind w:firstLine="420" w:firstLineChars="200"/>
        <w:rPr>
          <w:rFonts w:hint="eastAsia" w:ascii="宋体" w:hAnsi="宋体"/>
          <w:szCs w:val="21"/>
          <w:lang w:val="en-GB"/>
        </w:rPr>
      </w:pPr>
      <w:r>
        <w:rPr>
          <w:rFonts w:hint="eastAsia" w:ascii="宋体" w:hAnsi="宋体"/>
          <w:szCs w:val="21"/>
          <w:lang w:val="en-GB"/>
        </w:rPr>
        <w:t>9、DB33/T818-2010《浙江省城市道路交通标志和标线设置规范》；</w:t>
      </w:r>
    </w:p>
    <w:p>
      <w:pPr>
        <w:ind w:firstLine="420" w:firstLineChars="200"/>
        <w:rPr>
          <w:rFonts w:hint="eastAsia" w:ascii="宋体" w:hAnsi="宋体"/>
          <w:szCs w:val="21"/>
          <w:lang w:val="en-GB"/>
        </w:rPr>
      </w:pPr>
      <w:r>
        <w:rPr>
          <w:rFonts w:hint="eastAsia" w:ascii="宋体" w:hAnsi="宋体"/>
          <w:szCs w:val="21"/>
          <w:lang w:val="en-GB"/>
        </w:rPr>
        <w:t>10、GB51038-2015《城市道路交通标志和标线设置规范》；</w:t>
      </w:r>
    </w:p>
    <w:p>
      <w:pPr>
        <w:ind w:firstLine="420" w:firstLineChars="200"/>
        <w:rPr>
          <w:rFonts w:ascii="宋体" w:hAnsi="宋体"/>
          <w:szCs w:val="21"/>
          <w:lang w:val="en-GB"/>
        </w:rPr>
      </w:pPr>
      <w:r>
        <w:rPr>
          <w:rFonts w:hint="eastAsia" w:ascii="宋体" w:hAnsi="宋体"/>
          <w:szCs w:val="21"/>
          <w:lang w:val="en-GB"/>
        </w:rPr>
        <w:t>以上标准均采用现行最新标准。</w:t>
      </w:r>
    </w:p>
    <w:p>
      <w:pPr>
        <w:ind w:firstLine="420" w:firstLineChars="200"/>
        <w:rPr>
          <w:rFonts w:ascii="宋体" w:hAnsi="宋体"/>
          <w:szCs w:val="21"/>
          <w:lang w:val="en-GB"/>
        </w:rPr>
      </w:pPr>
      <w:r>
        <w:rPr>
          <w:rFonts w:hint="eastAsia" w:ascii="宋体" w:hAnsi="宋体"/>
          <w:szCs w:val="21"/>
          <w:lang w:val="en-GB"/>
        </w:rPr>
        <w:t>2、施工产品、材料、规格、品牌及质量技术要求，各类参数必须符合设计技术要求（附设计说明及图纸），交通标志、标线制作必须符合GB5768—2009规定。中标人所用主要原材料均需提供质保单或产品质量合格证或权威机构的产品质量报告。</w:t>
      </w:r>
    </w:p>
    <w:p>
      <w:pPr>
        <w:ind w:firstLine="420" w:firstLineChars="200"/>
        <w:rPr>
          <w:rFonts w:ascii="宋体" w:hAnsi="宋体"/>
          <w:szCs w:val="21"/>
          <w:lang w:val="en-GB"/>
        </w:rPr>
      </w:pPr>
      <w:r>
        <w:rPr>
          <w:rFonts w:hint="eastAsia" w:ascii="宋体" w:hAnsi="宋体"/>
          <w:szCs w:val="21"/>
          <w:lang w:val="en-GB"/>
        </w:rPr>
        <w:t>3、工程质量要求达到国家现行的施工质量验收标准，及本招标文件设定的工程施工标准、规范和有关技术文件、技术要求。并要求在投标书中予以承诺，若工程完工后在质量鉴定中达不到此要求的，必须返工，并按总工程款的5%进行处罚。</w:t>
      </w:r>
    </w:p>
    <w:p>
      <w:pPr>
        <w:ind w:firstLine="420" w:firstLineChars="200"/>
        <w:rPr>
          <w:rFonts w:ascii="宋体" w:hAnsi="宋体"/>
          <w:szCs w:val="21"/>
          <w:lang w:val="en-GB"/>
        </w:rPr>
      </w:pPr>
      <w:r>
        <w:rPr>
          <w:rFonts w:hint="eastAsia" w:ascii="宋体" w:hAnsi="宋体"/>
          <w:szCs w:val="21"/>
          <w:lang w:val="en-GB"/>
        </w:rPr>
        <w:t>4、除非招标人另有要求，供应商应按招标人提供的施工图和有关国家规范和标准施工，未提到的其他规范和标准，只要与本工程有关，中标人都必须遵照执行。</w:t>
      </w:r>
    </w:p>
    <w:p>
      <w:pPr>
        <w:ind w:firstLine="420" w:firstLineChars="200"/>
        <w:rPr>
          <w:rFonts w:hint="eastAsia" w:ascii="宋体" w:hAnsi="宋体"/>
          <w:szCs w:val="21"/>
          <w:lang w:val="en-GB"/>
        </w:rPr>
      </w:pPr>
      <w:r>
        <w:rPr>
          <w:rFonts w:hint="eastAsia" w:ascii="宋体" w:hAnsi="宋体"/>
          <w:szCs w:val="21"/>
          <w:lang w:val="en-GB"/>
        </w:rPr>
        <w:t>5、产品提供相关检测资质部门出具的检测报告。</w:t>
      </w:r>
    </w:p>
    <w:p>
      <w:pPr>
        <w:ind w:firstLine="422" w:firstLineChars="200"/>
        <w:rPr>
          <w:rFonts w:hint="eastAsia" w:ascii="宋体" w:hAnsi="宋体"/>
          <w:b/>
          <w:bCs/>
          <w:szCs w:val="21"/>
          <w:lang w:val="en-GB"/>
        </w:rPr>
      </w:pPr>
      <w:r>
        <w:rPr>
          <w:rFonts w:hint="eastAsia" w:ascii="宋体" w:hAnsi="宋体"/>
          <w:b/>
          <w:bCs/>
          <w:szCs w:val="21"/>
          <w:lang w:val="en-GB"/>
        </w:rPr>
        <w:t>（二）交通标线的技术要求</w:t>
      </w:r>
    </w:p>
    <w:p>
      <w:pPr>
        <w:ind w:firstLine="420" w:firstLineChars="200"/>
        <w:rPr>
          <w:rFonts w:hint="eastAsia" w:ascii="宋体" w:hAnsi="宋体"/>
          <w:szCs w:val="21"/>
          <w:lang w:val="en-GB"/>
        </w:rPr>
      </w:pPr>
      <w:r>
        <w:rPr>
          <w:rFonts w:hint="eastAsia" w:ascii="宋体" w:hAnsi="宋体"/>
          <w:szCs w:val="21"/>
          <w:lang w:val="en-GB"/>
        </w:rPr>
        <w:t>1、制作标线材料分为常温型、普通反光热熔型、水性反光型、双组份反光型涂料、雨夜反光标线（雨夜陶瓷珠）反光热熔型、彩色防滑路面标线。</w:t>
      </w:r>
    </w:p>
    <w:p>
      <w:pPr>
        <w:ind w:firstLine="420" w:firstLineChars="200"/>
        <w:rPr>
          <w:rFonts w:hint="eastAsia" w:ascii="宋体" w:hAnsi="宋体"/>
          <w:szCs w:val="21"/>
          <w:lang w:val="en-GB"/>
        </w:rPr>
      </w:pPr>
      <w:r>
        <w:rPr>
          <w:rFonts w:hint="eastAsia" w:ascii="宋体" w:hAnsi="宋体"/>
          <w:szCs w:val="21"/>
          <w:lang w:val="en-GB"/>
        </w:rPr>
        <w:t>2、涂膜外观：涂膜冷凝后应无皱纹、斑点、起泡、裂纹、脱落及表面无发粘现象，涂膜的颜色和外观与标准板差别不大；</w:t>
      </w:r>
    </w:p>
    <w:p>
      <w:pPr>
        <w:ind w:firstLine="420" w:firstLineChars="200"/>
        <w:rPr>
          <w:rFonts w:ascii="宋体" w:hAnsi="宋体"/>
          <w:szCs w:val="21"/>
          <w:lang w:val="en-GB"/>
        </w:rPr>
      </w:pPr>
      <w:r>
        <w:rPr>
          <w:rFonts w:hint="eastAsia" w:ascii="宋体" w:hAnsi="宋体"/>
          <w:szCs w:val="21"/>
          <w:lang w:val="en-GB"/>
        </w:rPr>
        <w:t>3、根据GB5768—2009规定，按道路的情况及车速要求，制作道路标线；</w:t>
      </w:r>
    </w:p>
    <w:p>
      <w:pPr>
        <w:ind w:firstLine="420" w:firstLineChars="200"/>
        <w:rPr>
          <w:rFonts w:ascii="宋体" w:hAnsi="宋体"/>
          <w:szCs w:val="21"/>
          <w:lang w:val="en-GB"/>
        </w:rPr>
      </w:pPr>
      <w:r>
        <w:rPr>
          <w:rFonts w:hint="eastAsia" w:ascii="宋体" w:hAnsi="宋体"/>
          <w:szCs w:val="21"/>
          <w:lang w:val="en-GB"/>
        </w:rPr>
        <w:t>4、制作标线的热熔涂料、底漆要经交通部检测机构检测合格才能使用；</w:t>
      </w:r>
    </w:p>
    <w:p>
      <w:pPr>
        <w:ind w:firstLine="420" w:firstLineChars="200"/>
        <w:rPr>
          <w:rFonts w:ascii="宋体" w:hAnsi="宋体"/>
          <w:szCs w:val="21"/>
          <w:lang w:val="en-GB"/>
        </w:rPr>
      </w:pPr>
      <w:r>
        <w:rPr>
          <w:rFonts w:hint="eastAsia" w:ascii="宋体" w:hAnsi="宋体"/>
          <w:szCs w:val="21"/>
          <w:lang w:val="en-GB"/>
        </w:rPr>
        <w:t>5、人行横道线、人行预告标志、箭头、导流线制作符合GB5768—2009规定；</w:t>
      </w:r>
    </w:p>
    <w:p>
      <w:pPr>
        <w:ind w:firstLine="420" w:firstLineChars="200"/>
        <w:rPr>
          <w:rFonts w:hint="eastAsia" w:ascii="宋体" w:hAnsi="宋体"/>
          <w:szCs w:val="21"/>
          <w:lang w:val="en-GB"/>
        </w:rPr>
      </w:pPr>
      <w:r>
        <w:rPr>
          <w:rFonts w:hint="eastAsia" w:ascii="宋体" w:hAnsi="宋体"/>
          <w:szCs w:val="21"/>
          <w:lang w:val="en-GB"/>
        </w:rPr>
        <w:t>6、制作标线、人行横线及其箭头、导流线等等，要将路面清干净再制作新标线；</w:t>
      </w:r>
    </w:p>
    <w:p>
      <w:pPr>
        <w:ind w:firstLine="420" w:firstLineChars="200"/>
        <w:rPr>
          <w:rFonts w:hint="eastAsia" w:ascii="宋体" w:hAnsi="宋体"/>
          <w:szCs w:val="21"/>
          <w:lang w:val="en-GB"/>
        </w:rPr>
      </w:pPr>
      <w:r>
        <w:rPr>
          <w:rFonts w:hint="eastAsia" w:ascii="宋体" w:hAnsi="宋体"/>
          <w:szCs w:val="21"/>
          <w:lang w:val="en-GB"/>
        </w:rPr>
        <w:t>7、耐候性，经12个月试验，涂膜的起皱、斑点、裂纹、脱落及变色等都不大于标准样板。</w:t>
      </w:r>
    </w:p>
    <w:p>
      <w:pPr>
        <w:ind w:firstLine="422" w:firstLineChars="200"/>
        <w:rPr>
          <w:rFonts w:hint="eastAsia" w:ascii="宋体" w:hAnsi="宋体"/>
          <w:b/>
          <w:bCs/>
          <w:szCs w:val="21"/>
          <w:lang w:val="en-GB"/>
        </w:rPr>
      </w:pPr>
      <w:r>
        <w:rPr>
          <w:rFonts w:hint="eastAsia" w:ascii="宋体" w:hAnsi="宋体"/>
          <w:b/>
          <w:bCs/>
          <w:szCs w:val="21"/>
          <w:lang w:val="en-GB"/>
        </w:rPr>
        <w:t>各类标线详细参数：</w:t>
      </w:r>
    </w:p>
    <w:p>
      <w:pPr>
        <w:ind w:firstLine="422" w:firstLineChars="200"/>
        <w:rPr>
          <w:rFonts w:hint="eastAsia" w:ascii="宋体" w:hAnsi="宋体"/>
          <w:b/>
          <w:bCs/>
          <w:szCs w:val="21"/>
          <w:lang w:val="en-GB"/>
        </w:rPr>
      </w:pPr>
      <w:r>
        <w:rPr>
          <w:rFonts w:hint="eastAsia" w:ascii="宋体" w:hAnsi="宋体"/>
          <w:b/>
          <w:bCs/>
          <w:szCs w:val="21"/>
          <w:lang w:val="en-GB"/>
        </w:rPr>
        <w:t>普通反光热熔型（150）</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涂料密度（g/cm3）：1.8-2.3；</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软化点(℃)：90~125；</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选用热熔型反光涂料，内含反光微珠必须≥20%，施划时面洒反光微珠,微珠粒径0.425-1mm；</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抗压强度：MPa≥12；</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耐磨性（200r/1000g后减重）：≤50；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施划初始逆反射系数mcd.1×1.m-2，白色≥200；黄色≥100；</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涂料用下涂剂颜色应无透明或琥珀色流体；固体含量：30±5；干燥时间：min≤5；</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标线厚度不少于1.8mm，亮度因数≥0.27，双实线为黄色，车道线为白色，其他标线、箭头等符合GB5768—2009规定。</w:t>
      </w:r>
    </w:p>
    <w:p>
      <w:pPr>
        <w:ind w:firstLine="422" w:firstLineChars="200"/>
        <w:rPr>
          <w:rFonts w:hint="eastAsia" w:ascii="宋体" w:hAnsi="宋体"/>
          <w:b/>
          <w:bCs/>
          <w:szCs w:val="21"/>
          <w:lang w:val="en-GB"/>
        </w:rPr>
      </w:pPr>
      <w:r>
        <w:rPr>
          <w:rFonts w:hint="eastAsia" w:ascii="宋体" w:hAnsi="宋体"/>
          <w:b/>
          <w:bCs/>
          <w:szCs w:val="21"/>
          <w:lang w:val="en-GB"/>
        </w:rPr>
        <w:t>Ⅱ级热熔反光型（250）</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涂料密度（g/cm3）：1.8-2.3；</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软化点(℃)：105~140；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热熔型反光涂料，内含反光微珠必须≥30%，面撒玻璃微珠应采用双撒工艺，前撒大颗粒玻璃微珠，微珠粒径美3珠0.85-1.4mm用量约为0.2－0.3kg/㎡，后撒小颗粒微珠，微珠粒径美2珠0.35-0.85mm用量约为0.2-0.3kg/㎡；前后微珠撒布要足量均匀，总用量应控制为0.4-0.6kg/㎡。成圆率≥80%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抗压强度：MPa≥20（23±1℃），MPa≥4（50±2℃）；</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耐磨性（200r/1000g后减重）：≤80；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施划初始逆反射系数mcd.1×1.m-2，白色≥250；黄色≥150；正常通车14天后mcd.1×1.m-2，干态：白色≥250；黄色≥150；湿态：白色≥100；黄色≥50；</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涂料用下涂剂颜色应无透明或琥珀色流体；固体含量：30±5；不粘胎干燥时间：min≤3；</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标线厚度不少于2.0mm，亮度因数≥0.27，双实线为黄色，车道线为白色，其他标线、箭头等符合GB5768—2009规定；</w:t>
      </w:r>
    </w:p>
    <w:p>
      <w:pPr>
        <w:ind w:firstLine="420" w:firstLineChars="200"/>
        <w:rPr>
          <w:rFonts w:hint="eastAsia" w:ascii="宋体" w:hAnsi="宋体"/>
          <w:szCs w:val="21"/>
          <w:lang w:val="en-GB"/>
        </w:rPr>
      </w:pPr>
      <w:r>
        <w:rPr>
          <w:rFonts w:hint="eastAsia" w:ascii="宋体" w:hAnsi="宋体"/>
          <w:szCs w:val="21"/>
        </w:rPr>
        <w:t>9、</w:t>
      </w:r>
      <w:r>
        <w:rPr>
          <w:rFonts w:hint="eastAsia" w:ascii="宋体" w:hAnsi="宋体"/>
          <w:szCs w:val="21"/>
          <w:lang w:val="en-GB"/>
        </w:rPr>
        <w:t>总有机物含量≥17%，颜料含量白≥5，黄≥2.5。</w:t>
      </w:r>
    </w:p>
    <w:p>
      <w:pPr>
        <w:ind w:firstLine="422" w:firstLineChars="200"/>
        <w:rPr>
          <w:rFonts w:hint="eastAsia" w:ascii="宋体" w:hAnsi="宋体"/>
          <w:b/>
          <w:bCs/>
          <w:szCs w:val="21"/>
          <w:lang w:val="en-GB"/>
        </w:rPr>
      </w:pPr>
      <w:r>
        <w:rPr>
          <w:rFonts w:hint="eastAsia" w:ascii="宋体" w:hAnsi="宋体"/>
          <w:b/>
          <w:bCs/>
          <w:szCs w:val="21"/>
          <w:lang w:val="en-GB"/>
        </w:rPr>
        <w:t>Ⅲ级热熔反光型（350）</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 xml:space="preserve">涂料密度，（g/cm3） 1.8-2.3； </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软化点(℃)：105~140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热熔型反光涂料，内含反光微珠必须≥30%，面撒玻璃微珠应采用双撒工艺，前撒大颗粒玻璃微珠，微珠粒径美3珠0.85-1.4mm用量约为0.2－0.3kg/㎡，后撒小颗粒微珠，微珠粒径美2珠0.35-0.85mm用量约为0.2-0.3kg/㎡；前后微珠撒布要足量均匀，总用量应控制为0.4-0.6kg/㎡。成圆率≥80%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抗压强度：MPa≥20（23±1℃），MPa≥4（50±2℃）；</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耐磨性（200r/1000g后减重）：≤80；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施划初始逆反射系数mcd.1×1.m-2，白色≥350；黄色≥200；正常通车14天后mcd.1×1.m-2，干态：白色≥350；黄色≥200；湿态：白色≥150；黄色≥85；</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涂料用下涂剂颜色应无透明或琥珀色流体；固体含量，30±5；不粘胎干燥时间，min≤3；</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标线厚度不少于2.0mm，亮度因数≥0.27，双实线为黄色，车道线为白色，其他标线、箭头等符合GB5768—2009规定。</w:t>
      </w:r>
    </w:p>
    <w:p>
      <w:pPr>
        <w:ind w:firstLine="420" w:firstLineChars="200"/>
        <w:rPr>
          <w:rFonts w:hint="eastAsia" w:ascii="宋体" w:hAnsi="宋体"/>
          <w:szCs w:val="21"/>
          <w:lang w:val="en-GB"/>
        </w:rPr>
      </w:pPr>
      <w:r>
        <w:rPr>
          <w:rFonts w:hint="eastAsia" w:ascii="宋体" w:hAnsi="宋体"/>
          <w:szCs w:val="21"/>
        </w:rPr>
        <w:t>9、</w:t>
      </w:r>
      <w:r>
        <w:rPr>
          <w:rFonts w:hint="eastAsia" w:ascii="宋体" w:hAnsi="宋体"/>
          <w:szCs w:val="21"/>
          <w:lang w:val="en-GB"/>
        </w:rPr>
        <w:t>总有机物含量≥19%，颜料含量白≥7，黄≥3。</w:t>
      </w:r>
    </w:p>
    <w:p>
      <w:pPr>
        <w:ind w:firstLine="422" w:firstLineChars="200"/>
        <w:rPr>
          <w:rFonts w:hint="eastAsia" w:ascii="宋体" w:hAnsi="宋体"/>
          <w:b/>
          <w:bCs/>
          <w:szCs w:val="21"/>
          <w:lang w:val="en-GB"/>
        </w:rPr>
      </w:pPr>
      <w:r>
        <w:rPr>
          <w:rFonts w:hint="eastAsia" w:ascii="宋体" w:hAnsi="宋体"/>
          <w:b/>
          <w:bCs/>
          <w:szCs w:val="21"/>
          <w:lang w:val="en-GB"/>
        </w:rPr>
        <w:t>双组份反光型涂料（喷涂）</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密度（g/cm3）：1.5-2.0；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选用双组份反光涂料，施划时面洒反光微珠；</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不粘胎干燥时间≤35min；</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耐磨性（mg）：200 转/1000g 后减重≤30；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标线厚度≥0.</w:t>
      </w:r>
      <w:r>
        <w:rPr>
          <w:rFonts w:hint="eastAsia" w:ascii="宋体" w:hAnsi="宋体"/>
          <w:szCs w:val="21"/>
        </w:rPr>
        <w:t>6</w:t>
      </w:r>
      <w:r>
        <w:rPr>
          <w:rFonts w:hint="eastAsia" w:ascii="宋体" w:hAnsi="宋体"/>
          <w:szCs w:val="21"/>
          <w:lang w:val="en-GB"/>
        </w:rPr>
        <w:t>mm。</w:t>
      </w:r>
    </w:p>
    <w:p>
      <w:pPr>
        <w:ind w:firstLine="422" w:firstLineChars="200"/>
        <w:rPr>
          <w:rFonts w:hint="eastAsia" w:ascii="宋体" w:hAnsi="宋体"/>
          <w:b/>
          <w:bCs/>
          <w:szCs w:val="21"/>
          <w:lang w:val="en-GB"/>
        </w:rPr>
      </w:pPr>
      <w:r>
        <w:rPr>
          <w:rFonts w:hint="eastAsia" w:ascii="宋体" w:hAnsi="宋体"/>
          <w:b/>
          <w:bCs/>
          <w:szCs w:val="21"/>
          <w:lang w:val="en-GB"/>
        </w:rPr>
        <w:t>双组份反光型涂料（刮涂）</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密度（g/cm3）：1.5-2.0；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选用双组份反光涂料，内含反光微珠必须≥20%，施划时面撒玻璃微珠应采用双撒工艺，前撒大颗粒玻璃微珠，微珠粒径美3珠0.85-1.4mm用量约为0.2－0.3kg/㎡，后撒小颗粒微珠，微珠粒径美2珠0.35-0.85mm用量约为0.2-0.3kg/㎡；前后微珠撒布要足量均匀，总用量应控制为0.4-0.6kg/㎡。成圆率≥80%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不粘胎干燥时间≤35min；</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耐磨性（mg）：200 转/1000g 后减重≤30；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w:t>
      </w:r>
      <w:r>
        <w:rPr>
          <w:rFonts w:hint="eastAsia" w:ascii="宋体" w:hAnsi="宋体"/>
          <w:szCs w:val="21"/>
        </w:rPr>
        <w:t>1.8</w:t>
      </w:r>
      <w:r>
        <w:rPr>
          <w:rFonts w:hint="eastAsia" w:ascii="宋体" w:hAnsi="宋体"/>
          <w:szCs w:val="21"/>
          <w:lang w:val="en-GB"/>
        </w:rPr>
        <w:t>mm。</w:t>
      </w:r>
    </w:p>
    <w:p>
      <w:pPr>
        <w:ind w:firstLine="422" w:firstLineChars="200"/>
        <w:rPr>
          <w:rFonts w:hint="eastAsia" w:ascii="宋体" w:hAnsi="宋体"/>
          <w:b/>
          <w:bCs/>
          <w:szCs w:val="21"/>
          <w:lang w:val="en-GB"/>
        </w:rPr>
      </w:pPr>
      <w:r>
        <w:rPr>
          <w:rFonts w:hint="eastAsia" w:ascii="宋体" w:hAnsi="宋体"/>
          <w:b/>
          <w:bCs/>
          <w:szCs w:val="21"/>
          <w:lang w:val="en-GB"/>
        </w:rPr>
        <w:t>双组份突起型反光涂料</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密度（g/cm3）：1.5-2.0；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选用</w:t>
      </w:r>
      <w:r>
        <w:rPr>
          <w:rFonts w:hint="eastAsia" w:ascii="宋体" w:hAnsi="宋体"/>
          <w:szCs w:val="21"/>
          <w:lang w:val="zh-CN"/>
        </w:rPr>
        <w:t>双组份突起型</w:t>
      </w:r>
      <w:r>
        <w:rPr>
          <w:rFonts w:hint="eastAsia" w:ascii="宋体" w:hAnsi="宋体"/>
          <w:szCs w:val="21"/>
          <w:lang w:val="en-GB"/>
        </w:rPr>
        <w:t>反光涂料，内含反光微珠必须≥20%；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不粘胎干燥时间≤35min；</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耐磨性（mg）：200 转/1000g 后减重≤30；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标线厚度≥5mm。</w:t>
      </w:r>
    </w:p>
    <w:p>
      <w:pPr>
        <w:ind w:firstLine="422" w:firstLineChars="200"/>
        <w:rPr>
          <w:rFonts w:hint="eastAsia" w:ascii="宋体" w:hAnsi="宋体"/>
          <w:b/>
          <w:bCs/>
          <w:szCs w:val="21"/>
          <w:lang w:val="en-GB"/>
        </w:rPr>
      </w:pPr>
      <w:r>
        <w:rPr>
          <w:rFonts w:hint="eastAsia" w:ascii="宋体" w:hAnsi="宋体"/>
          <w:b/>
          <w:bCs/>
          <w:szCs w:val="21"/>
          <w:lang w:val="en-GB"/>
        </w:rPr>
        <w:t>甩涂状结构型双组份标线</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密度（g/cm3）：1.5-2.0；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选用双组份反光涂料，内含反光微珠必须≥20%，施划时面撒玻璃微珠，微珠粒径高亮突起珠0.3-0.625mm；</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不粘胎干燥时间≤35min；</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耐磨性（mg）：200 转/1000g 后减重≤30；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w:t>
      </w:r>
      <w:r>
        <w:rPr>
          <w:rFonts w:hint="eastAsia" w:ascii="宋体" w:hAnsi="宋体"/>
          <w:szCs w:val="21"/>
        </w:rPr>
        <w:t>2.0</w:t>
      </w:r>
      <w:r>
        <w:rPr>
          <w:rFonts w:hint="eastAsia" w:ascii="宋体" w:hAnsi="宋体"/>
          <w:szCs w:val="21"/>
          <w:lang w:val="en-GB"/>
        </w:rPr>
        <w:t>mm；</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遮盖率应≥80%。</w:t>
      </w:r>
    </w:p>
    <w:p>
      <w:pPr>
        <w:ind w:firstLine="422" w:firstLineChars="200"/>
        <w:rPr>
          <w:rFonts w:hint="eastAsia" w:ascii="宋体" w:hAnsi="宋体"/>
          <w:b/>
          <w:bCs/>
          <w:szCs w:val="21"/>
          <w:lang w:val="en-GB"/>
        </w:rPr>
      </w:pPr>
      <w:r>
        <w:rPr>
          <w:rFonts w:hint="eastAsia" w:ascii="宋体" w:hAnsi="宋体"/>
          <w:b/>
          <w:bCs/>
          <w:szCs w:val="21"/>
          <w:lang w:val="en-GB"/>
        </w:rPr>
        <w:t>反光水性标线</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粘度（KU 值）：80～120；</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密度（g/cm3）：≥1.6；</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选用环保型水性标线涂料；</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施划时面撒反光微珠；</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初始施划时逆反射系数：白色≥350，黄色≥200；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标线厚度≥0.7mm；</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不粘胎干燥时间≤10min，开放交通干燥时间≤20min；</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耐磨性（mg）：200 转/1000g 后减重≤40；</w:t>
      </w:r>
    </w:p>
    <w:p>
      <w:pPr>
        <w:ind w:firstLine="420" w:firstLineChars="200"/>
        <w:rPr>
          <w:rFonts w:hint="eastAsia" w:ascii="宋体" w:hAnsi="宋体"/>
          <w:szCs w:val="21"/>
          <w:lang w:val="en-GB"/>
        </w:rPr>
      </w:pPr>
      <w:r>
        <w:rPr>
          <w:rFonts w:hint="eastAsia" w:ascii="宋体" w:hAnsi="宋体"/>
          <w:szCs w:val="21"/>
        </w:rPr>
        <w:t>9、</w:t>
      </w:r>
      <w:r>
        <w:rPr>
          <w:rFonts w:hint="eastAsia" w:ascii="宋体" w:hAnsi="宋体"/>
          <w:szCs w:val="21"/>
          <w:lang w:val="en-GB"/>
        </w:rPr>
        <w:t>固体含量（%）：≥75。</w:t>
      </w:r>
    </w:p>
    <w:p>
      <w:pPr>
        <w:ind w:firstLine="422" w:firstLineChars="200"/>
        <w:rPr>
          <w:rFonts w:hint="eastAsia" w:ascii="宋体" w:hAnsi="宋体"/>
          <w:b/>
          <w:bCs/>
          <w:szCs w:val="21"/>
          <w:lang w:val="en-GB"/>
        </w:rPr>
      </w:pPr>
      <w:r>
        <w:rPr>
          <w:rFonts w:hint="eastAsia" w:ascii="宋体" w:hAnsi="宋体"/>
          <w:b/>
          <w:bCs/>
          <w:szCs w:val="21"/>
          <w:lang w:val="en-GB"/>
        </w:rPr>
        <w:t>雨夜反光标线（雨夜陶瓷珠）反光热熔型</w:t>
      </w:r>
    </w:p>
    <w:p>
      <w:pPr>
        <w:ind w:firstLine="420" w:firstLineChars="200"/>
        <w:rPr>
          <w:rFonts w:hint="eastAsia" w:ascii="宋体" w:hAnsi="宋体"/>
          <w:szCs w:val="21"/>
          <w:lang w:val="en-GB"/>
        </w:rPr>
      </w:pPr>
      <w:r>
        <w:rPr>
          <w:rFonts w:hint="eastAsia" w:ascii="宋体" w:hAnsi="宋体"/>
          <w:szCs w:val="21"/>
        </w:rPr>
        <w:t>1、</w:t>
      </w:r>
      <w:r>
        <w:rPr>
          <w:rFonts w:hint="eastAsia" w:ascii="宋体" w:hAnsi="宋体"/>
          <w:szCs w:val="21"/>
          <w:lang w:val="en-GB"/>
        </w:rPr>
        <w:t>涂料密度（g/cm3）：1.8-2.3；</w:t>
      </w:r>
    </w:p>
    <w:p>
      <w:pPr>
        <w:ind w:firstLine="420" w:firstLineChars="200"/>
        <w:rPr>
          <w:rFonts w:hint="eastAsia" w:ascii="宋体" w:hAnsi="宋体"/>
          <w:szCs w:val="21"/>
          <w:lang w:val="en-GB"/>
        </w:rPr>
      </w:pPr>
      <w:r>
        <w:rPr>
          <w:rFonts w:hint="eastAsia" w:ascii="宋体" w:hAnsi="宋体"/>
          <w:szCs w:val="21"/>
        </w:rPr>
        <w:t>2、</w:t>
      </w:r>
      <w:r>
        <w:rPr>
          <w:rFonts w:hint="eastAsia" w:ascii="宋体" w:hAnsi="宋体"/>
          <w:szCs w:val="21"/>
          <w:lang w:val="en-GB"/>
        </w:rPr>
        <w:t>软化点(℃)：105~140；</w:t>
      </w:r>
    </w:p>
    <w:p>
      <w:pPr>
        <w:ind w:firstLine="420" w:firstLineChars="200"/>
        <w:rPr>
          <w:rFonts w:hint="eastAsia" w:ascii="宋体" w:hAnsi="宋体"/>
          <w:szCs w:val="21"/>
          <w:lang w:val="en-GB"/>
        </w:rPr>
      </w:pPr>
      <w:r>
        <w:rPr>
          <w:rFonts w:hint="eastAsia" w:ascii="宋体" w:hAnsi="宋体"/>
          <w:szCs w:val="21"/>
        </w:rPr>
        <w:t>3、</w:t>
      </w:r>
      <w:r>
        <w:rPr>
          <w:rFonts w:hint="eastAsia" w:ascii="宋体" w:hAnsi="宋体"/>
          <w:szCs w:val="21"/>
          <w:lang w:val="en-GB"/>
        </w:rPr>
        <w:t>选用热熔型反光涂料，内含反光微珠必须≥30%，面撒玻璃微珠应采用双撒工艺，前撒大颗粒玻璃微珠，用量约为0.2－0.3kg/㎡，后撒小颗粒微珠，用量约为0.2-0.3kg/㎡；前后微珠撒布要足量均匀，总用量应控制为0.4-0.6kg/㎡。成圆率≥80%；</w:t>
      </w:r>
    </w:p>
    <w:p>
      <w:pPr>
        <w:ind w:firstLine="420" w:firstLineChars="200"/>
        <w:rPr>
          <w:rFonts w:hint="eastAsia" w:ascii="宋体" w:hAnsi="宋体"/>
          <w:szCs w:val="21"/>
          <w:lang w:val="en-GB"/>
        </w:rPr>
      </w:pPr>
      <w:r>
        <w:rPr>
          <w:rFonts w:hint="eastAsia" w:ascii="宋体" w:hAnsi="宋体"/>
          <w:szCs w:val="21"/>
        </w:rPr>
        <w:t>4、</w:t>
      </w:r>
      <w:r>
        <w:rPr>
          <w:rFonts w:hint="eastAsia" w:ascii="宋体" w:hAnsi="宋体"/>
          <w:szCs w:val="21"/>
          <w:lang w:val="en-GB"/>
        </w:rPr>
        <w:t>抗压强度：MPa≥20（23±1℃），MPa≥4（50±2℃）；</w:t>
      </w:r>
    </w:p>
    <w:p>
      <w:pPr>
        <w:ind w:firstLine="420" w:firstLineChars="200"/>
        <w:rPr>
          <w:rFonts w:hint="eastAsia" w:ascii="宋体" w:hAnsi="宋体"/>
          <w:szCs w:val="21"/>
          <w:lang w:val="en-GB"/>
        </w:rPr>
      </w:pPr>
      <w:r>
        <w:rPr>
          <w:rFonts w:hint="eastAsia" w:ascii="宋体" w:hAnsi="宋体"/>
          <w:szCs w:val="21"/>
        </w:rPr>
        <w:t>5、</w:t>
      </w:r>
      <w:r>
        <w:rPr>
          <w:rFonts w:hint="eastAsia" w:ascii="宋体" w:hAnsi="宋体"/>
          <w:szCs w:val="21"/>
          <w:lang w:val="en-GB"/>
        </w:rPr>
        <w:t>耐磨性（200r/1000g后减重）：≤80；</w:t>
      </w:r>
    </w:p>
    <w:p>
      <w:pPr>
        <w:ind w:firstLine="420" w:firstLineChars="200"/>
        <w:rPr>
          <w:rFonts w:hint="eastAsia" w:ascii="宋体" w:hAnsi="宋体"/>
          <w:szCs w:val="21"/>
          <w:lang w:val="en-GB"/>
        </w:rPr>
      </w:pPr>
      <w:r>
        <w:rPr>
          <w:rFonts w:hint="eastAsia" w:ascii="宋体" w:hAnsi="宋体"/>
          <w:szCs w:val="21"/>
        </w:rPr>
        <w:t>6、</w:t>
      </w:r>
      <w:r>
        <w:rPr>
          <w:rFonts w:hint="eastAsia" w:ascii="宋体" w:hAnsi="宋体"/>
          <w:szCs w:val="21"/>
          <w:lang w:val="en-GB"/>
        </w:rPr>
        <w:t>施划初始逆反射系数mcd.1×1.m-2，白色≥350；黄色≥200；</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涂料用下涂剂颜色应无透明或琥珀色流体；固体含量，30±5；不粘胎干燥时间，min≤3；</w:t>
      </w:r>
    </w:p>
    <w:p>
      <w:pPr>
        <w:ind w:firstLine="420" w:firstLineChars="200"/>
        <w:rPr>
          <w:rFonts w:hint="eastAsia" w:ascii="宋体" w:hAnsi="宋体"/>
          <w:szCs w:val="21"/>
          <w:lang w:val="en-GB"/>
        </w:rPr>
      </w:pPr>
      <w:r>
        <w:rPr>
          <w:rFonts w:hint="eastAsia" w:ascii="宋体" w:hAnsi="宋体"/>
          <w:szCs w:val="21"/>
        </w:rPr>
        <w:t>8、</w:t>
      </w:r>
      <w:r>
        <w:rPr>
          <w:rFonts w:hint="eastAsia" w:ascii="宋体" w:hAnsi="宋体"/>
          <w:szCs w:val="21"/>
          <w:lang w:val="en-GB"/>
        </w:rPr>
        <w:t>标线厚度不少于2.0mm，亮度因数≥0.27，双实线为黄色，车道线为白色，其他标线、箭头等符合GB5768—2009规定；</w:t>
      </w:r>
    </w:p>
    <w:p>
      <w:pPr>
        <w:ind w:firstLine="420" w:firstLineChars="200"/>
        <w:rPr>
          <w:rFonts w:hint="eastAsia" w:ascii="宋体" w:hAnsi="宋体"/>
          <w:szCs w:val="21"/>
          <w:lang w:val="en-GB"/>
        </w:rPr>
      </w:pPr>
      <w:r>
        <w:rPr>
          <w:rFonts w:hint="eastAsia" w:ascii="宋体" w:hAnsi="宋体"/>
          <w:szCs w:val="21"/>
        </w:rPr>
        <w:t>9、</w:t>
      </w:r>
      <w:r>
        <w:rPr>
          <w:rFonts w:hint="eastAsia" w:ascii="宋体" w:hAnsi="宋体"/>
          <w:szCs w:val="21"/>
          <w:lang w:val="en-GB"/>
        </w:rPr>
        <w:t>总有机物含量≥19%，颜料含量白≥7，黄≥3。</w:t>
      </w:r>
    </w:p>
    <w:p>
      <w:pPr>
        <w:ind w:firstLine="422" w:firstLineChars="200"/>
        <w:rPr>
          <w:rFonts w:ascii="宋体" w:hAnsi="宋体"/>
          <w:b/>
          <w:bCs/>
          <w:szCs w:val="21"/>
          <w:lang w:val="en-GB"/>
        </w:rPr>
      </w:pPr>
      <w:r>
        <w:rPr>
          <w:rFonts w:ascii="宋体" w:hAnsi="宋体"/>
          <w:b/>
          <w:bCs/>
          <w:szCs w:val="21"/>
          <w:lang w:val="en-GB"/>
        </w:rPr>
        <w:t>MMA</w:t>
      </w:r>
      <w:r>
        <w:rPr>
          <w:rFonts w:hint="eastAsia" w:ascii="宋体" w:hAnsi="宋体"/>
          <w:b/>
          <w:bCs/>
          <w:szCs w:val="21"/>
          <w:lang w:val="en-GB"/>
        </w:rPr>
        <w:t>甲基丙烯酸甲酯彩色防滑铺装工艺规范要求</w:t>
      </w:r>
    </w:p>
    <w:p>
      <w:pPr>
        <w:ind w:firstLine="422" w:firstLineChars="200"/>
        <w:rPr>
          <w:rFonts w:ascii="宋体" w:hAnsi="宋体"/>
          <w:b/>
          <w:bCs/>
          <w:szCs w:val="21"/>
          <w:lang w:val="en-GB"/>
        </w:rPr>
      </w:pPr>
      <w:r>
        <w:rPr>
          <w:rFonts w:hint="eastAsia" w:ascii="宋体" w:hAnsi="宋体"/>
          <w:b/>
          <w:bCs/>
          <w:szCs w:val="21"/>
          <w:lang w:val="en-GB"/>
        </w:rPr>
        <w:t>材料要求</w:t>
      </w:r>
    </w:p>
    <w:p>
      <w:pPr>
        <w:ind w:firstLine="420" w:firstLineChars="200"/>
        <w:rPr>
          <w:rFonts w:ascii="宋体" w:hAnsi="宋体"/>
          <w:szCs w:val="21"/>
          <w:lang w:val="en-GB"/>
        </w:rPr>
      </w:pPr>
      <w:r>
        <w:rPr>
          <w:rFonts w:hint="eastAsia" w:ascii="宋体" w:hAnsi="宋体"/>
          <w:szCs w:val="21"/>
          <w:lang w:val="en-GB"/>
        </w:rPr>
        <w:t>1、铺装用</w:t>
      </w:r>
      <w:r>
        <w:rPr>
          <w:rFonts w:ascii="宋体" w:hAnsi="宋体"/>
          <w:szCs w:val="21"/>
          <w:lang w:val="en-GB"/>
        </w:rPr>
        <w:t>MMA</w:t>
      </w:r>
      <w:r>
        <w:rPr>
          <w:rFonts w:hint="eastAsia" w:ascii="宋体" w:hAnsi="宋体"/>
          <w:szCs w:val="21"/>
          <w:lang w:val="en-GB"/>
        </w:rPr>
        <w:t>甲基丙烯酸甲酯，要求有很好的耐候性和透明性。防滑树脂应为纯树脂，不额外添加填料；</w:t>
      </w:r>
    </w:p>
    <w:p>
      <w:pPr>
        <w:ind w:firstLine="420" w:firstLineChars="200"/>
        <w:rPr>
          <w:rFonts w:ascii="宋体" w:hAnsi="宋体"/>
          <w:szCs w:val="21"/>
          <w:lang w:val="en-GB"/>
        </w:rPr>
      </w:pPr>
      <w:r>
        <w:rPr>
          <w:rFonts w:hint="eastAsia" w:ascii="宋体" w:hAnsi="宋体"/>
          <w:szCs w:val="21"/>
          <w:lang w:val="en-GB"/>
        </w:rPr>
        <w:t>2、</w:t>
      </w:r>
      <w:r>
        <w:rPr>
          <w:rFonts w:ascii="宋体" w:hAnsi="宋体"/>
          <w:szCs w:val="21"/>
          <w:lang w:val="en-GB"/>
        </w:rPr>
        <w:t>MMA</w:t>
      </w:r>
      <w:r>
        <w:rPr>
          <w:rFonts w:hint="eastAsia" w:ascii="宋体" w:hAnsi="宋体"/>
          <w:szCs w:val="21"/>
          <w:lang w:val="en-GB"/>
        </w:rPr>
        <w:t>甲基丙烯酸甲酯防滑树脂的比重</w:t>
      </w:r>
      <w:r>
        <w:rPr>
          <w:rFonts w:ascii="宋体" w:hAnsi="宋体"/>
          <w:szCs w:val="21"/>
          <w:lang w:val="en-GB"/>
        </w:rPr>
        <w:t>1.02</w:t>
      </w:r>
      <w:r>
        <w:rPr>
          <w:rFonts w:hint="eastAsia" w:ascii="宋体" w:hAnsi="宋体"/>
          <w:szCs w:val="21"/>
          <w:lang w:val="en-GB"/>
        </w:rPr>
        <w:t>±</w:t>
      </w:r>
      <w:r>
        <w:rPr>
          <w:rFonts w:ascii="宋体" w:hAnsi="宋体"/>
          <w:szCs w:val="21"/>
          <w:lang w:val="en-GB"/>
        </w:rPr>
        <w:t>0.02</w:t>
      </w:r>
      <w:r>
        <w:rPr>
          <w:rFonts w:hint="eastAsia" w:ascii="宋体" w:hAnsi="宋体"/>
          <w:szCs w:val="21"/>
          <w:lang w:val="en-GB"/>
        </w:rPr>
        <w:t>（说明：添加填料后会显著增加比重）；</w:t>
      </w:r>
    </w:p>
    <w:p>
      <w:pPr>
        <w:ind w:firstLine="420" w:firstLineChars="200"/>
        <w:rPr>
          <w:rFonts w:ascii="宋体" w:hAnsi="宋体"/>
          <w:szCs w:val="21"/>
          <w:lang w:val="en-GB"/>
        </w:rPr>
      </w:pPr>
      <w:r>
        <w:rPr>
          <w:rFonts w:hint="eastAsia" w:ascii="宋体" w:hAnsi="宋体"/>
          <w:szCs w:val="21"/>
          <w:lang w:val="en-GB"/>
        </w:rPr>
        <w:t>3、</w:t>
      </w:r>
      <w:r>
        <w:rPr>
          <w:rFonts w:ascii="宋体" w:hAnsi="宋体"/>
          <w:szCs w:val="21"/>
          <w:lang w:val="en-GB"/>
        </w:rPr>
        <w:t>MMA</w:t>
      </w:r>
      <w:r>
        <w:rPr>
          <w:rFonts w:hint="eastAsia" w:ascii="宋体" w:hAnsi="宋体"/>
          <w:szCs w:val="21"/>
          <w:lang w:val="en-GB"/>
        </w:rPr>
        <w:t>甲基丙烯酸甲酯防滑树脂断裂伸长率≥</w:t>
      </w:r>
      <w:r>
        <w:rPr>
          <w:rFonts w:ascii="宋体" w:hAnsi="宋体"/>
          <w:szCs w:val="21"/>
          <w:lang w:val="en-GB"/>
        </w:rPr>
        <w:t>200</w:t>
      </w:r>
      <w:r>
        <w:rPr>
          <w:rFonts w:hint="eastAsia" w:ascii="宋体" w:hAnsi="宋体"/>
          <w:szCs w:val="21"/>
          <w:lang w:val="en-GB"/>
        </w:rPr>
        <w:t>；</w:t>
      </w:r>
    </w:p>
    <w:p>
      <w:pPr>
        <w:ind w:firstLine="420" w:firstLineChars="200"/>
        <w:rPr>
          <w:rFonts w:ascii="宋体" w:hAnsi="宋体"/>
          <w:szCs w:val="21"/>
          <w:lang w:val="en-GB"/>
        </w:rPr>
      </w:pPr>
      <w:r>
        <w:rPr>
          <w:rFonts w:hint="eastAsia" w:ascii="宋体" w:hAnsi="宋体"/>
          <w:szCs w:val="21"/>
          <w:lang w:val="en-GB"/>
        </w:rPr>
        <w:t>4、</w:t>
      </w:r>
      <w:r>
        <w:rPr>
          <w:rFonts w:ascii="宋体" w:hAnsi="宋体"/>
          <w:szCs w:val="21"/>
          <w:lang w:val="en-GB"/>
        </w:rPr>
        <w:t>MMA</w:t>
      </w:r>
      <w:r>
        <w:rPr>
          <w:rFonts w:hint="eastAsia" w:ascii="宋体" w:hAnsi="宋体"/>
          <w:szCs w:val="21"/>
          <w:lang w:val="en-GB"/>
        </w:rPr>
        <w:t>甲基丙烯酸甲酯防滑树脂拉伸强度≥</w:t>
      </w:r>
      <w:r>
        <w:rPr>
          <w:rFonts w:ascii="宋体" w:hAnsi="宋体"/>
          <w:szCs w:val="21"/>
          <w:lang w:val="en-GB"/>
        </w:rPr>
        <w:t>7Mpa</w:t>
      </w:r>
      <w:r>
        <w:rPr>
          <w:rFonts w:hint="eastAsia" w:ascii="宋体" w:hAnsi="宋体"/>
          <w:szCs w:val="21"/>
          <w:lang w:val="en-GB"/>
        </w:rPr>
        <w:t>；</w:t>
      </w:r>
    </w:p>
    <w:p>
      <w:pPr>
        <w:ind w:firstLine="420" w:firstLineChars="200"/>
        <w:rPr>
          <w:rFonts w:ascii="宋体" w:hAnsi="宋体"/>
          <w:szCs w:val="21"/>
          <w:lang w:val="en-GB"/>
        </w:rPr>
      </w:pPr>
      <w:r>
        <w:rPr>
          <w:rFonts w:hint="eastAsia" w:ascii="宋体" w:hAnsi="宋体"/>
          <w:szCs w:val="21"/>
          <w:lang w:val="en-GB"/>
        </w:rPr>
        <w:t>5、骨料应为彩色陶瓷颗粒，而非染色骨料或者天然石。</w:t>
      </w:r>
    </w:p>
    <w:p>
      <w:pPr>
        <w:ind w:firstLine="422" w:firstLineChars="200"/>
        <w:rPr>
          <w:rFonts w:ascii="宋体" w:hAnsi="宋体"/>
          <w:b/>
          <w:bCs/>
          <w:szCs w:val="21"/>
          <w:lang w:val="en-GB"/>
        </w:rPr>
      </w:pPr>
      <w:r>
        <w:rPr>
          <w:rFonts w:hint="eastAsia" w:ascii="宋体" w:hAnsi="宋体"/>
          <w:b/>
          <w:bCs/>
          <w:szCs w:val="21"/>
          <w:lang w:val="en-GB"/>
        </w:rPr>
        <w:t>标线带</w:t>
      </w:r>
    </w:p>
    <w:p>
      <w:pPr>
        <w:ind w:firstLine="420" w:firstLineChars="200"/>
        <w:rPr>
          <w:rFonts w:ascii="宋体" w:hAnsi="宋体"/>
          <w:szCs w:val="21"/>
          <w:lang w:val="en-GB"/>
        </w:rPr>
      </w:pPr>
      <w:r>
        <w:rPr>
          <w:rFonts w:hint="eastAsia" w:ascii="宋体" w:hAnsi="宋体"/>
          <w:szCs w:val="21"/>
          <w:lang w:val="en-GB"/>
        </w:rPr>
        <w:t>1、标线带为含有反光元素的预成型柔性聚合物材料，表面为规则凸起结构，有不小于0.8mm的突起菱形花纹，自带压敏胶，除本说明中指定的性能参数之外，其它指标应满足《道路预成型标线带》（GB/T24717）中I级反光长效II型标线带的要求，并具备干燥和潮湿条件下逆反射性能。标线带应柔韧、清洁，边缘清晰，无裂纹。</w:t>
      </w:r>
    </w:p>
    <w:p>
      <w:pPr>
        <w:ind w:firstLine="420" w:firstLineChars="200"/>
        <w:rPr>
          <w:rFonts w:ascii="宋体" w:hAnsi="宋体"/>
          <w:szCs w:val="21"/>
          <w:lang w:val="en-GB"/>
        </w:rPr>
      </w:pPr>
      <w:r>
        <w:rPr>
          <w:rFonts w:hint="eastAsia" w:ascii="宋体" w:hAnsi="宋体"/>
          <w:szCs w:val="21"/>
          <w:lang w:val="en-GB"/>
        </w:rPr>
        <w:t>2、标线带的初始逆反射系数（mcd/m2/lux）应不低于如下数值：</w:t>
      </w:r>
    </w:p>
    <w:tbl>
      <w:tblPr>
        <w:tblStyle w:val="53"/>
        <w:tblW w:w="0" w:type="auto"/>
        <w:jc w:val="center"/>
        <w:tblLayout w:type="fixed"/>
        <w:tblCellMar>
          <w:top w:w="0" w:type="dxa"/>
          <w:left w:w="0" w:type="dxa"/>
          <w:bottom w:w="0" w:type="dxa"/>
          <w:right w:w="0" w:type="dxa"/>
        </w:tblCellMar>
      </w:tblPr>
      <w:tblGrid>
        <w:gridCol w:w="2899"/>
        <w:gridCol w:w="1559"/>
        <w:gridCol w:w="1418"/>
        <w:gridCol w:w="1559"/>
        <w:gridCol w:w="1559"/>
      </w:tblGrid>
      <w:tr>
        <w:tblPrEx>
          <w:tblCellMar>
            <w:top w:w="0" w:type="dxa"/>
            <w:left w:w="0" w:type="dxa"/>
            <w:bottom w:w="0" w:type="dxa"/>
            <w:right w:w="0" w:type="dxa"/>
          </w:tblCellMar>
        </w:tblPrEx>
        <w:trPr>
          <w:wBefore w:w="0" w:type="dxa"/>
          <w:wAfter w:w="0" w:type="dxa"/>
          <w:trHeight w:val="477" w:hRule="atLeast"/>
          <w:jc w:val="center"/>
        </w:trPr>
        <w:tc>
          <w:tcPr>
            <w:tcW w:w="2899"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颜色</w:t>
            </w:r>
          </w:p>
        </w:tc>
        <w:tc>
          <w:tcPr>
            <w:tcW w:w="2977" w:type="dxa"/>
            <w:gridSpan w:val="2"/>
            <w:tcBorders>
              <w:top w:val="single" w:color="auto" w:sz="4" w:space="0"/>
              <w:left w:val="nil"/>
              <w:bottom w:val="single" w:color="auto" w:sz="4" w:space="0"/>
              <w:right w:val="single" w:color="000000"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白色</w:t>
            </w:r>
          </w:p>
        </w:tc>
        <w:tc>
          <w:tcPr>
            <w:tcW w:w="3118" w:type="dxa"/>
            <w:gridSpan w:val="2"/>
            <w:tcBorders>
              <w:top w:val="single" w:color="auto" w:sz="4" w:space="0"/>
              <w:left w:val="nil"/>
              <w:bottom w:val="single" w:color="auto" w:sz="4" w:space="0"/>
              <w:right w:val="single" w:color="000000"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黄色</w:t>
            </w:r>
          </w:p>
        </w:tc>
      </w:tr>
      <w:tr>
        <w:tblPrEx>
          <w:tblCellMar>
            <w:top w:w="0" w:type="dxa"/>
            <w:left w:w="0" w:type="dxa"/>
            <w:bottom w:w="0" w:type="dxa"/>
            <w:right w:w="0" w:type="dxa"/>
          </w:tblCellMar>
        </w:tblPrEx>
        <w:trPr>
          <w:wBefore w:w="0" w:type="dxa"/>
          <w:wAfter w:w="0" w:type="dxa"/>
          <w:trHeight w:val="477" w:hRule="atLeast"/>
          <w:jc w:val="center"/>
        </w:trPr>
        <w:tc>
          <w:tcPr>
            <w:tcW w:w="2899" w:type="dxa"/>
            <w:tcBorders>
              <w:top w:val="nil"/>
              <w:left w:val="single" w:color="auto" w:sz="4" w:space="0"/>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测试条件</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干燥</w:t>
            </w:r>
          </w:p>
        </w:tc>
        <w:tc>
          <w:tcPr>
            <w:tcW w:w="1418"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潮湿</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干燥</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潮湿</w:t>
            </w:r>
          </w:p>
        </w:tc>
      </w:tr>
      <w:tr>
        <w:tblPrEx>
          <w:tblCellMar>
            <w:top w:w="0" w:type="dxa"/>
            <w:left w:w="0" w:type="dxa"/>
            <w:bottom w:w="0" w:type="dxa"/>
            <w:right w:w="0" w:type="dxa"/>
          </w:tblCellMar>
        </w:tblPrEx>
        <w:trPr>
          <w:wBefore w:w="0" w:type="dxa"/>
          <w:wAfter w:w="0" w:type="dxa"/>
          <w:trHeight w:val="477" w:hRule="atLeast"/>
          <w:jc w:val="center"/>
        </w:trPr>
        <w:tc>
          <w:tcPr>
            <w:tcW w:w="2899" w:type="dxa"/>
            <w:tcBorders>
              <w:top w:val="nil"/>
              <w:left w:val="single" w:color="auto" w:sz="4" w:space="0"/>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逆反射系数（不低于）</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500</w:t>
            </w:r>
          </w:p>
        </w:tc>
        <w:tc>
          <w:tcPr>
            <w:tcW w:w="1418"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250</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300</w:t>
            </w:r>
          </w:p>
        </w:tc>
        <w:tc>
          <w:tcPr>
            <w:tcW w:w="1559" w:type="dxa"/>
            <w:tcBorders>
              <w:top w:val="nil"/>
              <w:left w:val="nil"/>
              <w:bottom w:val="single" w:color="auto" w:sz="4" w:space="0"/>
              <w:right w:val="single" w:color="auto" w:sz="4" w:space="0"/>
            </w:tcBorders>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200</w:t>
            </w:r>
          </w:p>
        </w:tc>
      </w:tr>
    </w:tbl>
    <w:p>
      <w:pPr>
        <w:spacing w:before="120" w:beforeLines="50"/>
        <w:ind w:firstLine="420" w:firstLineChars="200"/>
        <w:rPr>
          <w:rFonts w:ascii="宋体" w:hAnsi="宋体"/>
          <w:szCs w:val="21"/>
          <w:lang w:val="en-GB"/>
        </w:rPr>
      </w:pPr>
      <w:r>
        <w:rPr>
          <w:rFonts w:hint="eastAsia" w:ascii="宋体" w:hAnsi="宋体"/>
          <w:szCs w:val="21"/>
          <w:lang w:val="en-GB"/>
        </w:rPr>
        <w:t>3、标线带的色品坐标（昼间色）</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98"/>
        <w:gridCol w:w="709"/>
        <w:gridCol w:w="1276"/>
        <w:gridCol w:w="1274"/>
        <w:gridCol w:w="1271"/>
        <w:gridCol w:w="1425"/>
        <w:gridCol w:w="1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颜色</w:t>
            </w:r>
          </w:p>
        </w:tc>
        <w:tc>
          <w:tcPr>
            <w:tcW w:w="5955" w:type="dxa"/>
            <w:gridSpan w:val="5"/>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色品坐标</w:t>
            </w:r>
          </w:p>
        </w:tc>
        <w:tc>
          <w:tcPr>
            <w:tcW w:w="1762"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亮度因子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vMerge w:val="restart"/>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白色</w:t>
            </w:r>
          </w:p>
        </w:tc>
        <w:tc>
          <w:tcPr>
            <w:tcW w:w="709"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x</w:t>
            </w:r>
          </w:p>
        </w:tc>
        <w:tc>
          <w:tcPr>
            <w:tcW w:w="1276"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0.35</w:t>
            </w:r>
          </w:p>
        </w:tc>
        <w:tc>
          <w:tcPr>
            <w:tcW w:w="1274"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w:t>
            </w:r>
          </w:p>
        </w:tc>
        <w:tc>
          <w:tcPr>
            <w:tcW w:w="1271"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0.29</w:t>
            </w:r>
          </w:p>
        </w:tc>
        <w:tc>
          <w:tcPr>
            <w:tcW w:w="1425"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0.34</w:t>
            </w:r>
          </w:p>
        </w:tc>
        <w:tc>
          <w:tcPr>
            <w:tcW w:w="1762" w:type="dxa"/>
            <w:vMerge w:val="restart"/>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Y≥0.35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vMerge w:val="continue"/>
            <w:noWrap w:val="0"/>
            <w:tcMar>
              <w:top w:w="15" w:type="dxa"/>
              <w:left w:w="15" w:type="dxa"/>
              <w:right w:w="15" w:type="dxa"/>
            </w:tcMar>
            <w:vAlign w:val="center"/>
          </w:tcPr>
          <w:p>
            <w:pPr>
              <w:spacing w:after="60" w:afterLines="25" w:line="360" w:lineRule="exact"/>
              <w:jc w:val="center"/>
              <w:rPr>
                <w:rFonts w:ascii="宋体" w:hAnsi="宋体"/>
              </w:rPr>
            </w:pPr>
          </w:p>
        </w:tc>
        <w:tc>
          <w:tcPr>
            <w:tcW w:w="709"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y</w:t>
            </w:r>
          </w:p>
        </w:tc>
        <w:tc>
          <w:tcPr>
            <w:tcW w:w="1276"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0.36</w:t>
            </w:r>
          </w:p>
        </w:tc>
        <w:tc>
          <w:tcPr>
            <w:tcW w:w="1274"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0.31</w:t>
            </w:r>
          </w:p>
        </w:tc>
        <w:tc>
          <w:tcPr>
            <w:tcW w:w="1271"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0.32</w:t>
            </w:r>
          </w:p>
        </w:tc>
        <w:tc>
          <w:tcPr>
            <w:tcW w:w="1425"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0.37</w:t>
            </w:r>
          </w:p>
        </w:tc>
        <w:tc>
          <w:tcPr>
            <w:tcW w:w="1762" w:type="dxa"/>
            <w:vMerge w:val="continue"/>
            <w:noWrap w:val="0"/>
            <w:tcMar>
              <w:top w:w="15" w:type="dxa"/>
              <w:left w:w="15" w:type="dxa"/>
              <w:right w:w="15" w:type="dxa"/>
            </w:tcMar>
            <w:vAlign w:val="center"/>
          </w:tcPr>
          <w:p>
            <w:pPr>
              <w:spacing w:after="60" w:afterLines="25" w:line="360" w:lineRule="exact"/>
              <w:jc w:val="center"/>
              <w:rPr>
                <w:rFonts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vMerge w:val="restart"/>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黄色</w:t>
            </w:r>
          </w:p>
        </w:tc>
        <w:tc>
          <w:tcPr>
            <w:tcW w:w="709"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x</w:t>
            </w:r>
          </w:p>
        </w:tc>
        <w:tc>
          <w:tcPr>
            <w:tcW w:w="1276"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0.545</w:t>
            </w:r>
          </w:p>
        </w:tc>
        <w:tc>
          <w:tcPr>
            <w:tcW w:w="1274"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0.487</w:t>
            </w:r>
          </w:p>
        </w:tc>
        <w:tc>
          <w:tcPr>
            <w:tcW w:w="1271"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0.427</w:t>
            </w:r>
          </w:p>
        </w:tc>
        <w:tc>
          <w:tcPr>
            <w:tcW w:w="1425"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0.465</w:t>
            </w:r>
          </w:p>
        </w:tc>
        <w:tc>
          <w:tcPr>
            <w:tcW w:w="1762" w:type="dxa"/>
            <w:vMerge w:val="restart"/>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Y≥0.27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wBefore w:w="0" w:type="dxa"/>
          <w:wAfter w:w="0" w:type="dxa"/>
          <w:trHeight w:val="402" w:hRule="atLeast"/>
          <w:jc w:val="center"/>
        </w:trPr>
        <w:tc>
          <w:tcPr>
            <w:tcW w:w="1198" w:type="dxa"/>
            <w:vMerge w:val="continue"/>
            <w:noWrap w:val="0"/>
            <w:tcMar>
              <w:top w:w="15" w:type="dxa"/>
              <w:left w:w="15" w:type="dxa"/>
              <w:right w:w="15" w:type="dxa"/>
            </w:tcMar>
            <w:vAlign w:val="center"/>
          </w:tcPr>
          <w:p>
            <w:pPr>
              <w:spacing w:after="60" w:afterLines="25" w:line="360" w:lineRule="exact"/>
              <w:jc w:val="center"/>
              <w:rPr>
                <w:rFonts w:ascii="宋体" w:hAnsi="宋体"/>
              </w:rPr>
            </w:pPr>
          </w:p>
        </w:tc>
        <w:tc>
          <w:tcPr>
            <w:tcW w:w="709"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y</w:t>
            </w:r>
          </w:p>
        </w:tc>
        <w:tc>
          <w:tcPr>
            <w:tcW w:w="1276"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0.454</w:t>
            </w:r>
          </w:p>
        </w:tc>
        <w:tc>
          <w:tcPr>
            <w:tcW w:w="1274"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0.423</w:t>
            </w:r>
          </w:p>
        </w:tc>
        <w:tc>
          <w:tcPr>
            <w:tcW w:w="1271"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0.483</w:t>
            </w:r>
          </w:p>
        </w:tc>
        <w:tc>
          <w:tcPr>
            <w:tcW w:w="1425" w:type="dxa"/>
            <w:noWrap w:val="0"/>
            <w:tcMar>
              <w:top w:w="15" w:type="dxa"/>
              <w:left w:w="15" w:type="dxa"/>
              <w:right w:w="15" w:type="dxa"/>
            </w:tcMar>
            <w:vAlign w:val="center"/>
          </w:tcPr>
          <w:p>
            <w:pPr>
              <w:spacing w:after="60" w:afterLines="25" w:line="360" w:lineRule="exact"/>
              <w:jc w:val="center"/>
              <w:rPr>
                <w:rFonts w:ascii="宋体" w:hAnsi="宋体"/>
              </w:rPr>
            </w:pPr>
            <w:r>
              <w:rPr>
                <w:rFonts w:hint="eastAsia" w:ascii="宋体" w:hAnsi="宋体"/>
              </w:rPr>
              <w:t>0.534</w:t>
            </w:r>
          </w:p>
        </w:tc>
        <w:tc>
          <w:tcPr>
            <w:tcW w:w="1762" w:type="dxa"/>
            <w:vMerge w:val="continue"/>
            <w:noWrap w:val="0"/>
            <w:tcMar>
              <w:top w:w="15" w:type="dxa"/>
              <w:left w:w="15" w:type="dxa"/>
              <w:right w:w="15" w:type="dxa"/>
            </w:tcMar>
            <w:vAlign w:val="center"/>
          </w:tcPr>
          <w:p>
            <w:pPr>
              <w:spacing w:after="60" w:afterLines="25" w:line="360" w:lineRule="exact"/>
              <w:jc w:val="center"/>
              <w:rPr>
                <w:rFonts w:ascii="宋体" w:hAnsi="宋体"/>
              </w:rPr>
            </w:pPr>
          </w:p>
        </w:tc>
      </w:tr>
    </w:tbl>
    <w:p>
      <w:pPr>
        <w:spacing w:before="120" w:beforeLines="50"/>
        <w:ind w:firstLine="420" w:firstLineChars="200"/>
        <w:rPr>
          <w:rFonts w:ascii="宋体" w:hAnsi="宋体"/>
          <w:szCs w:val="21"/>
          <w:lang w:val="en-GB"/>
        </w:rPr>
      </w:pPr>
      <w:r>
        <w:rPr>
          <w:rFonts w:hint="eastAsia" w:ascii="宋体" w:hAnsi="宋体"/>
          <w:szCs w:val="21"/>
          <w:lang w:val="en-GB"/>
        </w:rPr>
        <w:t>4、标线带初始抗滑指数不低于55BPN，满足GB/T24717-2009中B级抗滑长效标线带的技术要求。</w:t>
      </w:r>
    </w:p>
    <w:p>
      <w:pPr>
        <w:ind w:firstLine="420" w:firstLineChars="200"/>
        <w:rPr>
          <w:rFonts w:ascii="宋体" w:hAnsi="宋体"/>
          <w:szCs w:val="21"/>
          <w:lang w:val="en-GB"/>
        </w:rPr>
      </w:pPr>
      <w:r>
        <w:rPr>
          <w:rFonts w:hint="eastAsia" w:ascii="宋体" w:hAnsi="宋体"/>
          <w:szCs w:val="21"/>
          <w:lang w:val="en-GB"/>
        </w:rPr>
        <w:t>5、标线带正常使用期间的白色干燥逆反射系数不低于100mcd/m2/lux，黄色干燥逆反射系数不低于50mcd/m2/lux。</w:t>
      </w:r>
    </w:p>
    <w:p>
      <w:pPr>
        <w:ind w:firstLine="420" w:firstLineChars="200"/>
        <w:rPr>
          <w:rFonts w:hint="eastAsia" w:ascii="宋体" w:hAnsi="宋体"/>
          <w:szCs w:val="21"/>
          <w:lang w:val="en-GB"/>
        </w:rPr>
      </w:pPr>
      <w:r>
        <w:rPr>
          <w:rFonts w:hint="eastAsia" w:ascii="宋体" w:hAnsi="宋体"/>
          <w:szCs w:val="21"/>
          <w:lang w:val="en-GB"/>
        </w:rPr>
        <w:t>6、标线带施工时应使用标线带厂家配套的底涂剂，并按推荐的施工流程进行施工。</w:t>
      </w:r>
    </w:p>
    <w:p>
      <w:pPr>
        <w:ind w:firstLine="420" w:firstLineChars="200"/>
        <w:rPr>
          <w:rFonts w:hint="eastAsia" w:ascii="宋体" w:hAnsi="宋体"/>
          <w:szCs w:val="21"/>
          <w:lang w:val="en-GB"/>
        </w:rPr>
      </w:pPr>
      <w:r>
        <w:rPr>
          <w:rFonts w:hint="eastAsia" w:ascii="宋体" w:hAnsi="宋体"/>
          <w:szCs w:val="21"/>
        </w:rPr>
        <w:t>7、</w:t>
      </w:r>
      <w:r>
        <w:rPr>
          <w:rFonts w:hint="eastAsia" w:ascii="宋体" w:hAnsi="宋体"/>
          <w:szCs w:val="21"/>
          <w:lang w:val="en-GB"/>
        </w:rPr>
        <w:t>I级反光长效II型预成型标线带外观</w:t>
      </w:r>
    </w:p>
    <w:p>
      <w:pPr>
        <w:pStyle w:val="2"/>
        <w:rPr>
          <w:rFonts w:ascii="宋体" w:hAnsi="宋体"/>
          <w:lang w:val="en-GB"/>
        </w:rPr>
      </w:pPr>
      <w:r>
        <w:rPr>
          <w:rFonts w:hint="eastAsia" w:ascii="宋体" w:hAnsi="宋体" w:cs="宋体"/>
          <w:color w:val="FF8080"/>
          <w:spacing w:val="160"/>
          <w:szCs w:val="21"/>
        </w:rPr>
        <w:t xml:space="preserve">      </w:t>
      </w:r>
      <w:r>
        <w:rPr>
          <w:rFonts w:hint="eastAsia" w:ascii="宋体" w:hAnsi="宋体" w:cs="宋体"/>
          <w:color w:val="FF8080"/>
          <w:spacing w:val="160"/>
          <w:szCs w:val="21"/>
        </w:rPr>
        <w:drawing>
          <wp:inline distT="0" distB="0" distL="114300" distR="114300">
            <wp:extent cx="1219200" cy="1247775"/>
            <wp:effectExtent l="0" t="0" r="0" b="9525"/>
            <wp:docPr id="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6"/>
                    <pic:cNvPicPr>
                      <a:picLocks noChangeAspect="1"/>
                    </pic:cNvPicPr>
                  </pic:nvPicPr>
                  <pic:blipFill>
                    <a:blip r:embed="rId16"/>
                    <a:srcRect l="8087" t="3592" r="4791" b="34245"/>
                    <a:stretch>
                      <a:fillRect/>
                    </a:stretch>
                  </pic:blipFill>
                  <pic:spPr>
                    <a:xfrm>
                      <a:off x="0" y="0"/>
                      <a:ext cx="1219200" cy="1247775"/>
                    </a:xfrm>
                    <a:prstGeom prst="rect">
                      <a:avLst/>
                    </a:prstGeom>
                    <a:noFill/>
                    <a:ln>
                      <a:noFill/>
                    </a:ln>
                  </pic:spPr>
                </pic:pic>
              </a:graphicData>
            </a:graphic>
          </wp:inline>
        </w:drawing>
      </w:r>
      <w:r>
        <w:rPr>
          <w:rFonts w:hint="eastAsia" w:ascii="宋体" w:hAnsi="宋体" w:cs="宋体"/>
          <w:color w:val="FF8080"/>
          <w:spacing w:val="160"/>
          <w:szCs w:val="21"/>
        </w:rPr>
        <w:t xml:space="preserve">       </w:t>
      </w:r>
      <w:r>
        <w:rPr>
          <w:rFonts w:hint="eastAsia" w:ascii="宋体" w:hAnsi="宋体" w:cs="宋体"/>
          <w:color w:val="FF8080"/>
          <w:spacing w:val="160"/>
          <w:szCs w:val="21"/>
        </w:rPr>
        <w:drawing>
          <wp:inline distT="0" distB="0" distL="114300" distR="114300">
            <wp:extent cx="1314450" cy="1266825"/>
            <wp:effectExtent l="0" t="0" r="0" b="9525"/>
            <wp:docPr id="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5"/>
                    <pic:cNvPicPr>
                      <a:picLocks noChangeAspect="1"/>
                    </pic:cNvPicPr>
                  </pic:nvPicPr>
                  <pic:blipFill>
                    <a:blip r:embed="rId17"/>
                    <a:srcRect l="10023" t="3253" r="3580" b="39000"/>
                    <a:stretch>
                      <a:fillRect/>
                    </a:stretch>
                  </pic:blipFill>
                  <pic:spPr>
                    <a:xfrm>
                      <a:off x="0" y="0"/>
                      <a:ext cx="1314450" cy="1266825"/>
                    </a:xfrm>
                    <a:prstGeom prst="rect">
                      <a:avLst/>
                    </a:prstGeom>
                    <a:noFill/>
                    <a:ln>
                      <a:noFill/>
                    </a:ln>
                  </pic:spPr>
                </pic:pic>
              </a:graphicData>
            </a:graphic>
          </wp:inline>
        </w:drawing>
      </w:r>
    </w:p>
    <w:p>
      <w:pPr>
        <w:ind w:firstLine="422" w:firstLineChars="200"/>
        <w:rPr>
          <w:rFonts w:hint="eastAsia" w:ascii="宋体" w:hAnsi="宋体"/>
          <w:b/>
          <w:bCs/>
          <w:szCs w:val="21"/>
          <w:lang w:val="en-GB"/>
        </w:rPr>
      </w:pPr>
      <w:r>
        <w:rPr>
          <w:rFonts w:hint="eastAsia" w:ascii="宋体" w:hAnsi="宋体"/>
          <w:b/>
          <w:bCs/>
          <w:szCs w:val="21"/>
          <w:lang w:val="en-GB"/>
        </w:rPr>
        <w:t>（三）标线施工要求</w:t>
      </w:r>
    </w:p>
    <w:p>
      <w:pPr>
        <w:ind w:firstLine="420" w:firstLineChars="200"/>
        <w:rPr>
          <w:rFonts w:ascii="宋体" w:hAnsi="宋体"/>
          <w:szCs w:val="21"/>
          <w:lang w:val="en-GB"/>
        </w:rPr>
      </w:pPr>
      <w:r>
        <w:rPr>
          <w:rFonts w:hint="eastAsia" w:ascii="宋体" w:hAnsi="宋体"/>
          <w:szCs w:val="21"/>
          <w:lang w:val="en-GB"/>
        </w:rPr>
        <w:t>1、对需要铲除的旧线，要做到铲除后不会引起驾驶员的误解和投诉。</w:t>
      </w:r>
    </w:p>
    <w:p>
      <w:pPr>
        <w:ind w:firstLine="420" w:firstLineChars="200"/>
        <w:rPr>
          <w:rFonts w:ascii="宋体" w:hAnsi="宋体"/>
          <w:szCs w:val="21"/>
          <w:lang w:val="en-GB"/>
        </w:rPr>
      </w:pPr>
      <w:r>
        <w:rPr>
          <w:rFonts w:hint="eastAsia" w:ascii="宋体" w:hAnsi="宋体"/>
          <w:szCs w:val="21"/>
          <w:lang w:val="en-GB"/>
        </w:rPr>
        <w:t>2、交叉路口驶入段的导向车道内应有导向箭头标明各车道的行驶方向。距路口最近的第一组导向箭头在距停止线</w:t>
      </w:r>
      <w:r>
        <w:rPr>
          <w:rFonts w:ascii="宋体" w:hAnsi="宋体"/>
          <w:szCs w:val="21"/>
          <w:lang w:val="en-GB"/>
        </w:rPr>
        <w:t>2m</w:t>
      </w:r>
      <w:r>
        <w:rPr>
          <w:rFonts w:hint="eastAsia" w:ascii="宋体" w:hAnsi="宋体"/>
          <w:szCs w:val="21"/>
          <w:lang w:val="en-GB"/>
        </w:rPr>
        <w:t>处设置，第二组在导向车道的起始位置设置，箭头起始端部与导向车道线起始端部平齐，第三组作为预告箭头，在距第二组箭头前</w:t>
      </w:r>
      <w:r>
        <w:rPr>
          <w:rFonts w:ascii="宋体" w:hAnsi="宋体"/>
          <w:szCs w:val="21"/>
          <w:lang w:val="en-GB"/>
        </w:rPr>
        <w:t>30m</w:t>
      </w:r>
      <w:r>
        <w:rPr>
          <w:rFonts w:hint="eastAsia" w:ascii="宋体" w:hAnsi="宋体"/>
          <w:szCs w:val="21"/>
          <w:lang w:val="en-GB"/>
        </w:rPr>
        <w:t>～</w:t>
      </w:r>
      <w:r>
        <w:rPr>
          <w:rFonts w:ascii="宋体" w:hAnsi="宋体"/>
          <w:szCs w:val="21"/>
          <w:lang w:val="en-GB"/>
        </w:rPr>
        <w:t>50m</w:t>
      </w:r>
      <w:r>
        <w:rPr>
          <w:rFonts w:hint="eastAsia" w:ascii="宋体" w:hAnsi="宋体"/>
          <w:szCs w:val="21"/>
          <w:lang w:val="en-GB"/>
        </w:rPr>
        <w:t>间隔设置，预告箭头指示方向应与前方导向车道允许行驶方向保持一致。道路设计速度≤</w:t>
      </w:r>
      <w:r>
        <w:rPr>
          <w:rFonts w:ascii="宋体" w:hAnsi="宋体"/>
          <w:szCs w:val="21"/>
          <w:lang w:val="en-GB"/>
        </w:rPr>
        <w:t>40km/h</w:t>
      </w:r>
      <w:r>
        <w:rPr>
          <w:rFonts w:hint="eastAsia" w:ascii="宋体" w:hAnsi="宋体"/>
          <w:szCs w:val="21"/>
          <w:lang w:val="en-GB"/>
        </w:rPr>
        <w:t>，导向箭头设置</w:t>
      </w:r>
      <w:r>
        <w:rPr>
          <w:rFonts w:ascii="宋体" w:hAnsi="宋体"/>
          <w:szCs w:val="21"/>
          <w:lang w:val="en-GB"/>
        </w:rPr>
        <w:t>2</w:t>
      </w:r>
      <w:r>
        <w:rPr>
          <w:rFonts w:hint="eastAsia" w:ascii="宋体" w:hAnsi="宋体"/>
          <w:szCs w:val="21"/>
          <w:lang w:val="en-GB"/>
        </w:rPr>
        <w:t>组；道路设计速度</w:t>
      </w:r>
      <w:r>
        <w:rPr>
          <w:rFonts w:ascii="宋体" w:hAnsi="宋体"/>
          <w:szCs w:val="21"/>
          <w:lang w:val="en-GB"/>
        </w:rPr>
        <w:t>40~100km/h</w:t>
      </w:r>
      <w:r>
        <w:rPr>
          <w:rFonts w:hint="eastAsia" w:ascii="宋体" w:hAnsi="宋体"/>
          <w:szCs w:val="21"/>
          <w:lang w:val="en-GB"/>
        </w:rPr>
        <w:t>，导向箭头设置</w:t>
      </w:r>
      <w:r>
        <w:rPr>
          <w:rFonts w:ascii="宋体" w:hAnsi="宋体"/>
          <w:szCs w:val="21"/>
          <w:lang w:val="en-GB"/>
        </w:rPr>
        <w:t>3</w:t>
      </w:r>
      <w:r>
        <w:rPr>
          <w:rFonts w:hint="eastAsia" w:ascii="宋体" w:hAnsi="宋体"/>
          <w:szCs w:val="21"/>
          <w:lang w:val="en-GB"/>
        </w:rPr>
        <w:t>组。</w:t>
      </w:r>
    </w:p>
    <w:p>
      <w:pPr>
        <w:ind w:firstLine="422" w:firstLineChars="200"/>
        <w:rPr>
          <w:rFonts w:hint="eastAsia" w:ascii="宋体" w:hAnsi="宋体"/>
          <w:b/>
          <w:bCs/>
          <w:szCs w:val="21"/>
          <w:lang w:val="en-GB"/>
        </w:rPr>
      </w:pPr>
      <w:r>
        <w:rPr>
          <w:rFonts w:hint="eastAsia" w:ascii="宋体" w:hAnsi="宋体"/>
          <w:b/>
          <w:bCs/>
          <w:szCs w:val="21"/>
          <w:lang w:val="en-GB"/>
        </w:rPr>
        <w:t>标线施工注意：</w:t>
      </w:r>
    </w:p>
    <w:p>
      <w:pPr>
        <w:ind w:firstLine="420" w:firstLineChars="200"/>
        <w:rPr>
          <w:rFonts w:hint="eastAsia" w:ascii="宋体" w:hAnsi="宋体"/>
          <w:szCs w:val="21"/>
          <w:lang w:val="en-GB"/>
        </w:rPr>
      </w:pPr>
      <w:r>
        <w:rPr>
          <w:rFonts w:hint="eastAsia" w:ascii="宋体" w:hAnsi="宋体"/>
          <w:szCs w:val="21"/>
          <w:lang w:val="en-GB"/>
        </w:rPr>
        <w:t>1、交通标线的划法应符合国家和地方的有关规定，做到整齐、清晰、醒目</w:t>
      </w:r>
      <w:r>
        <w:rPr>
          <w:rFonts w:ascii="宋体" w:hAnsi="宋体"/>
          <w:szCs w:val="21"/>
          <w:lang w:val="en-GB"/>
        </w:rPr>
        <w:t>，</w:t>
      </w:r>
      <w:r>
        <w:rPr>
          <w:rFonts w:hint="eastAsia" w:ascii="宋体" w:hAnsi="宋体"/>
          <w:szCs w:val="21"/>
          <w:lang w:val="en-GB"/>
        </w:rPr>
        <w:t>色泽与漆膜厚薄均匀；划漆线条流畅，线性规则。</w:t>
      </w:r>
    </w:p>
    <w:p>
      <w:pPr>
        <w:ind w:firstLine="420" w:firstLineChars="200"/>
        <w:rPr>
          <w:rFonts w:hint="eastAsia" w:ascii="宋体" w:hAnsi="宋体"/>
          <w:szCs w:val="21"/>
          <w:lang w:val="en-GB"/>
        </w:rPr>
      </w:pPr>
      <w:r>
        <w:rPr>
          <w:rFonts w:hint="eastAsia" w:ascii="宋体" w:hAnsi="宋体"/>
          <w:szCs w:val="21"/>
          <w:lang w:val="en-GB"/>
        </w:rPr>
        <w:t>2、交通标线材料应具有良好的耐磨性、防滑性和辨认性，并按照规范采用符合要求的涂料。</w:t>
      </w:r>
    </w:p>
    <w:p>
      <w:pPr>
        <w:ind w:firstLine="420" w:firstLineChars="200"/>
        <w:rPr>
          <w:rFonts w:hint="eastAsia" w:ascii="宋体" w:hAnsi="宋体"/>
          <w:szCs w:val="21"/>
          <w:lang w:val="en-GB"/>
        </w:rPr>
      </w:pPr>
      <w:r>
        <w:rPr>
          <w:rFonts w:hint="eastAsia" w:ascii="宋体" w:hAnsi="宋体"/>
          <w:szCs w:val="21"/>
          <w:lang w:val="en-GB"/>
        </w:rPr>
        <w:t>3、交通标线施工前要清洗地面，除净灰尘和泥土，然后按设计要求放样漆划。标线或底漆施划后，应放置锥形交通路标，待标线干燥后才能撤走。</w:t>
      </w:r>
    </w:p>
    <w:p>
      <w:pPr>
        <w:ind w:firstLine="420" w:firstLineChars="200"/>
        <w:rPr>
          <w:rFonts w:hint="eastAsia" w:ascii="宋体" w:hAnsi="宋体"/>
          <w:szCs w:val="21"/>
          <w:lang w:val="en-GB"/>
        </w:rPr>
      </w:pPr>
      <w:r>
        <w:rPr>
          <w:rFonts w:hint="eastAsia" w:ascii="宋体" w:hAnsi="宋体"/>
          <w:szCs w:val="21"/>
          <w:lang w:val="en-GB"/>
        </w:rPr>
        <w:t>4、交通标线施工禁止在雨天和潮湿冰冻的路面上进行。热熔型涂料施工时气温不低于</w:t>
      </w:r>
      <w:r>
        <w:rPr>
          <w:rFonts w:ascii="宋体" w:hAnsi="宋体"/>
          <w:szCs w:val="21"/>
          <w:lang w:val="en-GB"/>
        </w:rPr>
        <w:t>10</w:t>
      </w:r>
      <w:r>
        <w:rPr>
          <w:rFonts w:hint="eastAsia" w:ascii="宋体" w:hAnsi="宋体"/>
          <w:szCs w:val="21"/>
          <w:lang w:val="en-GB"/>
        </w:rPr>
        <w:t>℃。</w:t>
      </w:r>
    </w:p>
    <w:p>
      <w:pPr>
        <w:ind w:firstLine="420" w:firstLineChars="200"/>
        <w:rPr>
          <w:rFonts w:hint="eastAsia" w:ascii="宋体" w:hAnsi="宋体"/>
          <w:szCs w:val="21"/>
          <w:lang w:val="en-GB"/>
        </w:rPr>
      </w:pPr>
      <w:r>
        <w:rPr>
          <w:rFonts w:hint="eastAsia" w:ascii="宋体" w:hAnsi="宋体"/>
          <w:szCs w:val="21"/>
          <w:lang w:val="en-GB"/>
        </w:rPr>
        <w:t>5、标线施工前要和业主方一起踏看施工范围，制作施工计划，并每周向业主方反馈施工进度。</w:t>
      </w:r>
    </w:p>
    <w:p>
      <w:pPr>
        <w:ind w:firstLine="422" w:firstLineChars="200"/>
        <w:rPr>
          <w:rFonts w:ascii="宋体" w:hAnsi="宋体"/>
          <w:b/>
          <w:bCs/>
          <w:szCs w:val="21"/>
          <w:lang w:val="en-GB"/>
        </w:rPr>
      </w:pPr>
      <w:r>
        <w:rPr>
          <w:rFonts w:hint="eastAsia" w:ascii="宋体" w:hAnsi="宋体"/>
          <w:b/>
          <w:bCs/>
          <w:szCs w:val="21"/>
          <w:lang w:val="en-GB"/>
        </w:rPr>
        <w:t>（四）交通标志的技术要求</w:t>
      </w:r>
    </w:p>
    <w:p>
      <w:pPr>
        <w:ind w:firstLine="420" w:firstLineChars="200"/>
        <w:rPr>
          <w:rFonts w:ascii="宋体" w:hAnsi="宋体"/>
          <w:szCs w:val="21"/>
          <w:lang w:val="en-GB"/>
        </w:rPr>
      </w:pPr>
      <w:r>
        <w:rPr>
          <w:rFonts w:hint="eastAsia" w:ascii="宋体" w:hAnsi="宋体"/>
          <w:szCs w:val="21"/>
          <w:lang w:val="en-GB"/>
        </w:rPr>
        <w:t>1、标志立柱和横梁，采用普通碳素结构钢（A3）焊接钢管，应符合BG700—88的要求；</w:t>
      </w:r>
    </w:p>
    <w:p>
      <w:pPr>
        <w:ind w:firstLine="420" w:firstLineChars="200"/>
        <w:rPr>
          <w:rFonts w:ascii="宋体" w:hAnsi="宋体"/>
          <w:szCs w:val="21"/>
          <w:lang w:val="en-GB"/>
        </w:rPr>
      </w:pPr>
      <w:r>
        <w:rPr>
          <w:rFonts w:hint="eastAsia" w:ascii="宋体" w:hAnsi="宋体"/>
          <w:szCs w:val="21"/>
          <w:lang w:val="en-GB"/>
        </w:rPr>
        <w:t>2、标志板、滑动横梁，采用符合GB768—1999标准的铝合金板材，并符合GB3194—82“铝及铝合金热轧板材的尺寸及允许偏差”，GB3193—82“铝及铝合金热轧板”的规定；</w:t>
      </w:r>
    </w:p>
    <w:p>
      <w:pPr>
        <w:ind w:firstLine="420" w:firstLineChars="200"/>
        <w:rPr>
          <w:rFonts w:ascii="宋体" w:hAnsi="宋体"/>
          <w:szCs w:val="21"/>
          <w:lang w:val="en-GB"/>
        </w:rPr>
      </w:pPr>
      <w:r>
        <w:rPr>
          <w:rFonts w:hint="eastAsia" w:ascii="宋体" w:hAnsi="宋体"/>
          <w:szCs w:val="21"/>
          <w:lang w:val="en-GB"/>
        </w:rPr>
        <w:t>3、高强螺栓，高强连接螺栓（包括相应螺母、垫圈）应采用40B式45号钢，并符合GB1231—76的规定。地脚螺栓（包括相应螺母、垫圈）应采用普通碳素钢机构钢（A3）；</w:t>
      </w:r>
    </w:p>
    <w:p>
      <w:pPr>
        <w:ind w:firstLine="420" w:firstLineChars="200"/>
        <w:rPr>
          <w:rFonts w:ascii="宋体" w:hAnsi="宋体"/>
          <w:szCs w:val="21"/>
          <w:lang w:val="en-GB"/>
        </w:rPr>
      </w:pPr>
      <w:r>
        <w:rPr>
          <w:rFonts w:hint="eastAsia" w:ascii="宋体" w:hAnsi="宋体"/>
          <w:szCs w:val="21"/>
          <w:lang w:val="en-GB"/>
        </w:rPr>
        <w:t>4、基础混凝土为C25砼。并符合现行《公路钢筋混凝土及预应力混凝土桥涵设计规范》的有关规定；</w:t>
      </w:r>
    </w:p>
    <w:p>
      <w:pPr>
        <w:ind w:firstLine="420" w:firstLineChars="200"/>
        <w:rPr>
          <w:rFonts w:ascii="宋体" w:hAnsi="宋体"/>
          <w:szCs w:val="21"/>
          <w:lang w:val="en-GB"/>
        </w:rPr>
      </w:pPr>
      <w:r>
        <w:rPr>
          <w:rFonts w:hint="eastAsia" w:ascii="宋体" w:hAnsi="宋体"/>
          <w:szCs w:val="21"/>
          <w:lang w:val="en-GB"/>
        </w:rPr>
        <w:t>5、钢筋采用热轧结构等级圆钢筋，Ⅰ级3号钢（位于桥梁式挡土上的标志基础钢筋采用Ⅱ级）并符合现行《公路钢筋混凝土及预应力混凝土设计规范》规定；</w:t>
      </w:r>
    </w:p>
    <w:p>
      <w:pPr>
        <w:ind w:firstLine="420" w:firstLineChars="200"/>
        <w:rPr>
          <w:rFonts w:ascii="宋体" w:hAnsi="宋体"/>
          <w:szCs w:val="21"/>
          <w:lang w:val="en-GB"/>
        </w:rPr>
      </w:pPr>
      <w:r>
        <w:rPr>
          <w:rFonts w:hint="eastAsia" w:ascii="宋体" w:hAnsi="宋体"/>
          <w:szCs w:val="21"/>
          <w:lang w:val="en-GB"/>
        </w:rPr>
        <w:t>6、定向反光标志膜需符合标项2有关要求，其回归反射光度值（最小值）反光膜颜色的角关座标和标志色泽耐用期应满足GB-T2023827-2009《道路交通标志板技术条件》的要求；</w:t>
      </w:r>
    </w:p>
    <w:p>
      <w:pPr>
        <w:ind w:firstLine="420" w:firstLineChars="200"/>
        <w:rPr>
          <w:rFonts w:ascii="宋体" w:hAnsi="宋体"/>
          <w:szCs w:val="21"/>
          <w:lang w:val="en-GB"/>
        </w:rPr>
      </w:pPr>
      <w:r>
        <w:rPr>
          <w:rFonts w:hint="eastAsia" w:ascii="宋体" w:hAnsi="宋体"/>
          <w:szCs w:val="21"/>
          <w:lang w:val="en-GB"/>
        </w:rPr>
        <w:t>7、标志板由铝合金板制作，其厚度要求2</w:t>
      </w:r>
      <w:r>
        <w:rPr>
          <w:rFonts w:ascii="宋体" w:hAnsi="宋体"/>
          <w:szCs w:val="21"/>
          <w:lang w:val="en-GB"/>
        </w:rPr>
        <w:t>mm</w:t>
      </w:r>
      <w:r>
        <w:rPr>
          <w:rFonts w:hint="eastAsia" w:ascii="宋体" w:hAnsi="宋体"/>
          <w:szCs w:val="21"/>
          <w:lang w:val="en-GB"/>
        </w:rPr>
        <w:t>至</w:t>
      </w:r>
      <w:r>
        <w:rPr>
          <w:rFonts w:ascii="宋体" w:hAnsi="宋体"/>
          <w:szCs w:val="21"/>
          <w:lang w:val="en-GB"/>
        </w:rPr>
        <w:t>3mm</w:t>
      </w:r>
      <w:r>
        <w:rPr>
          <w:rFonts w:hint="eastAsia" w:ascii="宋体" w:hAnsi="宋体"/>
          <w:szCs w:val="21"/>
          <w:lang w:val="en-GB"/>
        </w:rPr>
        <w:t>规格，指路标志不小于3</w:t>
      </w:r>
      <w:r>
        <w:rPr>
          <w:rFonts w:ascii="宋体" w:hAnsi="宋体"/>
          <w:szCs w:val="21"/>
          <w:lang w:val="en-GB"/>
        </w:rPr>
        <w:t>mm</w:t>
      </w:r>
      <w:r>
        <w:rPr>
          <w:rFonts w:hint="eastAsia" w:ascii="宋体" w:hAnsi="宋体"/>
          <w:szCs w:val="21"/>
          <w:lang w:val="en-GB"/>
        </w:rPr>
        <w:t>；</w:t>
      </w:r>
    </w:p>
    <w:p>
      <w:pPr>
        <w:ind w:firstLine="420" w:firstLineChars="200"/>
        <w:rPr>
          <w:rFonts w:ascii="宋体" w:hAnsi="宋体"/>
          <w:szCs w:val="21"/>
          <w:lang w:val="en-GB"/>
        </w:rPr>
      </w:pPr>
      <w:r>
        <w:rPr>
          <w:rFonts w:hint="eastAsia" w:ascii="宋体" w:hAnsi="宋体"/>
          <w:szCs w:val="21"/>
          <w:lang w:val="en-GB"/>
        </w:rPr>
        <w:t>8、交通标志的形状图案、颜色应严格按照GB5768—2009《道路交通标志和标线》标准，或设计图的规定执行。为了确保指路标志的视认性，指路标志汉字必须采用等粗线，字体、阿拉伯数字和英文文字应符合GB5768—2009的规定，不允许采用其他字体；</w:t>
      </w:r>
    </w:p>
    <w:p>
      <w:pPr>
        <w:ind w:firstLine="420" w:firstLineChars="200"/>
        <w:rPr>
          <w:rFonts w:ascii="宋体" w:hAnsi="宋体"/>
          <w:lang w:val="en-GB"/>
        </w:rPr>
      </w:pPr>
      <w:r>
        <w:rPr>
          <w:rFonts w:hint="eastAsia" w:ascii="宋体" w:hAnsi="宋体"/>
          <w:szCs w:val="21"/>
          <w:lang w:val="en-GB"/>
        </w:rPr>
        <w:t>9、标志板与滑动槽钢，卷边加固件连接，在保证连接强度标志板面平整，不影响贴反光膜的前提</w:t>
      </w:r>
      <w:r>
        <w:rPr>
          <w:rFonts w:hint="eastAsia" w:ascii="宋体" w:hAnsi="宋体"/>
          <w:lang w:val="en-GB"/>
        </w:rPr>
        <w:t>下，可采用铆接式点焊；</w:t>
      </w:r>
    </w:p>
    <w:p>
      <w:pPr>
        <w:ind w:firstLine="420" w:firstLineChars="200"/>
        <w:rPr>
          <w:rFonts w:ascii="宋体" w:hAnsi="宋体"/>
          <w:szCs w:val="21"/>
          <w:lang w:val="en-GB"/>
        </w:rPr>
      </w:pPr>
      <w:r>
        <w:rPr>
          <w:rFonts w:hint="eastAsia" w:ascii="宋体" w:hAnsi="宋体"/>
          <w:szCs w:val="21"/>
          <w:lang w:val="en-GB"/>
        </w:rPr>
        <w:t>10、本次招标的道路标志的底膜、图案、文字均采用符合GB18833-2012标准的Ⅳ类（超强级）反光膜；另有注明的除外；</w:t>
      </w:r>
    </w:p>
    <w:p>
      <w:pPr>
        <w:ind w:firstLine="420" w:firstLineChars="200"/>
        <w:rPr>
          <w:rFonts w:ascii="宋体" w:hAnsi="宋体"/>
          <w:szCs w:val="21"/>
          <w:lang w:val="en-GB"/>
        </w:rPr>
      </w:pPr>
      <w:r>
        <w:rPr>
          <w:rFonts w:hint="eastAsia" w:ascii="宋体" w:hAnsi="宋体"/>
          <w:szCs w:val="21"/>
          <w:lang w:val="en-GB"/>
        </w:rPr>
        <w:t>11、指示标牌表面无明显皱纹、凹槽或弯形，每平方米的平整度公差小于</w:t>
      </w:r>
      <w:r>
        <w:rPr>
          <w:rFonts w:ascii="宋体" w:hAnsi="宋体"/>
          <w:szCs w:val="21"/>
          <w:lang w:val="en-GB"/>
        </w:rPr>
        <w:t>1.0mm</w:t>
      </w:r>
      <w:r>
        <w:rPr>
          <w:rFonts w:hint="eastAsia" w:ascii="宋体" w:hAnsi="宋体"/>
          <w:szCs w:val="21"/>
          <w:lang w:val="en-GB"/>
        </w:rPr>
        <w:t>；</w:t>
      </w:r>
    </w:p>
    <w:p>
      <w:pPr>
        <w:ind w:firstLine="420" w:firstLineChars="200"/>
        <w:rPr>
          <w:rFonts w:ascii="宋体" w:hAnsi="宋体"/>
          <w:szCs w:val="21"/>
          <w:lang w:val="en-GB"/>
        </w:rPr>
      </w:pPr>
      <w:r>
        <w:rPr>
          <w:rFonts w:hint="eastAsia" w:ascii="宋体" w:hAnsi="宋体"/>
          <w:szCs w:val="21"/>
          <w:lang w:val="en-GB"/>
        </w:rPr>
        <w:t>12、标牌面无裂纹、无明显划痕、无损伤、无颜色不均和污染等现象；应按规范规定进行热浸镀锌处理，镀锌量为500</w:t>
      </w:r>
      <w:r>
        <w:rPr>
          <w:rFonts w:ascii="宋体" w:hAnsi="宋体"/>
          <w:szCs w:val="21"/>
          <w:lang w:val="en-GB"/>
        </w:rPr>
        <w:t>g/㎡</w:t>
      </w:r>
      <w:r>
        <w:rPr>
          <w:rFonts w:hint="eastAsia" w:ascii="宋体" w:hAnsi="宋体"/>
          <w:szCs w:val="21"/>
          <w:lang w:val="en-GB"/>
        </w:rPr>
        <w:t>。螺栓、螺母、垫圈进行热浸镀锌，必须清理螺纹或作离心处理；</w:t>
      </w:r>
    </w:p>
    <w:p>
      <w:pPr>
        <w:ind w:firstLine="420" w:firstLineChars="200"/>
        <w:rPr>
          <w:rFonts w:ascii="宋体" w:hAnsi="宋体"/>
          <w:szCs w:val="21"/>
          <w:lang w:val="en-GB"/>
        </w:rPr>
      </w:pPr>
      <w:r>
        <w:rPr>
          <w:rFonts w:hint="eastAsia" w:ascii="宋体" w:hAnsi="宋体"/>
          <w:szCs w:val="21"/>
          <w:lang w:val="en-GB"/>
        </w:rPr>
        <w:t>13、标志板与立杆采用铝槽接驳；</w:t>
      </w:r>
    </w:p>
    <w:p>
      <w:pPr>
        <w:ind w:firstLine="420" w:firstLineChars="200"/>
        <w:rPr>
          <w:rFonts w:ascii="宋体" w:hAnsi="宋体"/>
          <w:szCs w:val="21"/>
          <w:lang w:val="en-GB"/>
        </w:rPr>
      </w:pPr>
      <w:r>
        <w:rPr>
          <w:rFonts w:hint="eastAsia" w:ascii="宋体" w:hAnsi="宋体"/>
          <w:szCs w:val="21"/>
          <w:lang w:val="en-GB"/>
        </w:rPr>
        <w:t>14、大型标志使用铝合金板材最大尺寸，最多不超过2块铝合金板拼接，以减少接缝，保持版面的平整度；大型标志尺寸以下标志不允许存在任何铝合金板拼接；</w:t>
      </w:r>
    </w:p>
    <w:p>
      <w:pPr>
        <w:ind w:firstLine="420" w:firstLineChars="200"/>
        <w:rPr>
          <w:rFonts w:ascii="宋体" w:hAnsi="宋体"/>
          <w:szCs w:val="21"/>
          <w:lang w:val="en-GB"/>
        </w:rPr>
      </w:pPr>
      <w:r>
        <w:rPr>
          <w:rFonts w:hint="eastAsia" w:ascii="宋体" w:hAnsi="宋体"/>
          <w:szCs w:val="21"/>
          <w:lang w:val="en-GB"/>
        </w:rPr>
        <w:t>15、标志立柱和横梁不允许存在任何接驳；</w:t>
      </w:r>
    </w:p>
    <w:p>
      <w:pPr>
        <w:ind w:firstLine="420" w:firstLineChars="200"/>
        <w:rPr>
          <w:rFonts w:ascii="宋体" w:hAnsi="宋体"/>
          <w:szCs w:val="21"/>
          <w:lang w:val="en-GB"/>
        </w:rPr>
      </w:pPr>
      <w:r>
        <w:rPr>
          <w:rFonts w:hint="eastAsia" w:ascii="宋体" w:hAnsi="宋体"/>
          <w:szCs w:val="21"/>
          <w:lang w:val="en-GB"/>
        </w:rPr>
        <w:t>16、中标人先定样板，由招标人确定后方能施工；</w:t>
      </w:r>
    </w:p>
    <w:p>
      <w:pPr>
        <w:ind w:firstLine="420" w:firstLineChars="200"/>
        <w:rPr>
          <w:rFonts w:ascii="宋体" w:hAnsi="宋体"/>
          <w:szCs w:val="21"/>
          <w:lang w:val="en-GB"/>
        </w:rPr>
      </w:pPr>
      <w:r>
        <w:rPr>
          <w:rFonts w:hint="eastAsia" w:ascii="宋体" w:hAnsi="宋体"/>
          <w:szCs w:val="21"/>
          <w:lang w:val="en-GB"/>
        </w:rPr>
        <w:t>17、F标志立柱强热镀锌。</w:t>
      </w:r>
    </w:p>
    <w:p>
      <w:pPr>
        <w:ind w:firstLine="420" w:firstLineChars="200"/>
        <w:rPr>
          <w:rFonts w:hint="eastAsia" w:ascii="宋体" w:hAnsi="宋体"/>
          <w:szCs w:val="21"/>
          <w:lang w:val="en-GB"/>
        </w:rPr>
        <w:sectPr>
          <w:headerReference r:id="rId7" w:type="default"/>
          <w:footerReference r:id="rId8" w:type="default"/>
          <w:pgSz w:w="11906" w:h="16838"/>
          <w:pgMar w:top="1418" w:right="1418" w:bottom="1418" w:left="1418" w:header="851" w:footer="851" w:gutter="0"/>
          <w:pgNumType w:start="1"/>
          <w:cols w:space="720" w:num="1"/>
          <w:docGrid w:linePitch="312" w:charSpace="0"/>
        </w:sectPr>
      </w:pPr>
    </w:p>
    <w:p>
      <w:pPr>
        <w:ind w:firstLine="422" w:firstLineChars="200"/>
        <w:rPr>
          <w:rFonts w:ascii="宋体" w:hAnsi="宋体"/>
          <w:b/>
          <w:bCs/>
          <w:szCs w:val="21"/>
          <w:lang w:val="en-GB"/>
        </w:rPr>
      </w:pPr>
      <w:r>
        <w:rPr>
          <w:rFonts w:hint="eastAsia" w:ascii="宋体" w:hAnsi="宋体"/>
          <w:b/>
          <w:bCs/>
          <w:szCs w:val="21"/>
          <w:lang w:val="en-GB"/>
        </w:rPr>
        <w:t>（五）设备设施技术要求</w:t>
      </w:r>
    </w:p>
    <w:p>
      <w:pPr>
        <w:ind w:firstLine="422" w:firstLineChars="200"/>
        <w:rPr>
          <w:rFonts w:ascii="宋体" w:hAnsi="宋体"/>
          <w:b/>
          <w:bCs/>
          <w:szCs w:val="21"/>
          <w:lang w:val="en-GB"/>
        </w:rPr>
      </w:pPr>
      <w:r>
        <w:rPr>
          <w:rFonts w:hint="eastAsia" w:ascii="宋体" w:hAnsi="宋体"/>
          <w:b/>
          <w:bCs/>
          <w:szCs w:val="21"/>
          <w:lang w:val="en-GB"/>
        </w:rPr>
        <w:t>1、镀锌钢静电喷涂-----新款防眩板道路护栏的技术要求</w:t>
      </w:r>
    </w:p>
    <w:p>
      <w:pPr>
        <w:ind w:firstLine="420" w:firstLineChars="200"/>
        <w:rPr>
          <w:rFonts w:ascii="宋体" w:hAnsi="宋体"/>
          <w:szCs w:val="21"/>
          <w:lang w:val="en-GB"/>
        </w:rPr>
      </w:pPr>
      <w:r>
        <w:rPr>
          <w:rFonts w:hint="eastAsia" w:ascii="宋体" w:hAnsi="宋体"/>
          <w:szCs w:val="21"/>
          <w:lang w:val="en-GB"/>
        </w:rPr>
        <w:t>彩色效果图及尺寸图如下：（图一）</w:t>
      </w:r>
    </w:p>
    <w:p>
      <w:pPr>
        <w:rPr>
          <w:rFonts w:ascii="宋体" w:hAnsi="宋体"/>
        </w:rPr>
      </w:pPr>
      <w:r>
        <w:rPr>
          <w:rFonts w:ascii="宋体" w:hAnsi="宋体"/>
        </w:rPr>
        <w:drawing>
          <wp:inline distT="0" distB="0" distL="114300" distR="114300">
            <wp:extent cx="6191885" cy="3354705"/>
            <wp:effectExtent l="0" t="0" r="18415" b="1714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8"/>
                    <a:srcRect l="10666" t="3384" r="13078" b="806"/>
                    <a:stretch>
                      <a:fillRect/>
                    </a:stretch>
                  </pic:blipFill>
                  <pic:spPr>
                    <a:xfrm>
                      <a:off x="0" y="0"/>
                      <a:ext cx="6191885" cy="3354705"/>
                    </a:xfrm>
                    <a:prstGeom prst="rect">
                      <a:avLst/>
                    </a:prstGeom>
                    <a:noFill/>
                    <a:ln>
                      <a:noFill/>
                    </a:ln>
                  </pic:spPr>
                </pic:pic>
              </a:graphicData>
            </a:graphic>
          </wp:inline>
        </w:drawing>
      </w:r>
    </w:p>
    <w:p>
      <w:pPr>
        <w:ind w:firstLine="422" w:firstLineChars="200"/>
        <w:rPr>
          <w:rFonts w:ascii="宋体" w:hAnsi="宋体"/>
          <w:b/>
          <w:bCs/>
          <w:szCs w:val="21"/>
          <w:lang w:val="en-GB"/>
        </w:rPr>
      </w:pPr>
      <w:r>
        <w:rPr>
          <w:rFonts w:hint="eastAsia" w:ascii="宋体" w:hAnsi="宋体"/>
          <w:b/>
          <w:bCs/>
          <w:szCs w:val="21"/>
          <w:lang w:val="en-GB"/>
        </w:rPr>
        <w:t>技术说明如下：</w:t>
      </w:r>
    </w:p>
    <w:p>
      <w:pPr>
        <w:ind w:firstLine="420" w:firstLineChars="200"/>
        <w:rPr>
          <w:rFonts w:ascii="宋体" w:hAnsi="宋体"/>
          <w:szCs w:val="21"/>
          <w:lang w:val="en-GB"/>
        </w:rPr>
      </w:pPr>
      <w:r>
        <w:rPr>
          <w:rFonts w:hint="eastAsia" w:ascii="宋体" w:hAnsi="宋体"/>
          <w:szCs w:val="21"/>
          <w:lang w:val="en-GB"/>
        </w:rPr>
        <w:t>护栏片总长度（中到中）为3000mm，总高度为1100mm，其中地面到下横杆下弦为200mm，上横杆上弦到立柱顶端为100mm。每片护栏上、下横杆为65×38×1.2的热镀锌异型管。竖杆为10×</w:t>
      </w:r>
      <w:r>
        <w:rPr>
          <w:rFonts w:ascii="宋体" w:hAnsi="宋体"/>
          <w:szCs w:val="21"/>
          <w:lang w:val="en-GB"/>
        </w:rPr>
        <w:t>78</w:t>
      </w:r>
      <w:r>
        <w:rPr>
          <w:rFonts w:hint="eastAsia" w:ascii="宋体" w:hAnsi="宋体"/>
          <w:szCs w:val="21"/>
          <w:lang w:val="en-GB"/>
        </w:rPr>
        <w:t>×1.0的热镀锌波形板。每片护栏含有15片竖片。护栏片与立柱由钢质连接件相连，且用螺丝固定。底座为6-7公斤复合材料或铸铁底座。立柱为80×80×1.5的热镀锌方管组成，采用钢制柱帽和黄色轮廓标。护栏片整体按国家标准进行彩色粉末静电喷涂后再进行二次蓝色油漆喷涂。</w:t>
      </w:r>
    </w:p>
    <w:p>
      <w:pPr>
        <w:ind w:firstLine="420" w:firstLineChars="200"/>
        <w:rPr>
          <w:rFonts w:ascii="宋体" w:hAnsi="宋体"/>
          <w:szCs w:val="21"/>
          <w:lang w:val="en-GB"/>
        </w:rPr>
      </w:pPr>
      <w:r>
        <w:rPr>
          <w:rFonts w:hint="eastAsia" w:ascii="宋体" w:hAnsi="宋体"/>
          <w:szCs w:val="21"/>
          <w:lang w:val="en-GB"/>
        </w:rPr>
        <w:t>油漆具体要求如下：</w:t>
      </w:r>
    </w:p>
    <w:p>
      <w:pPr>
        <w:ind w:firstLine="420" w:firstLineChars="200"/>
        <w:rPr>
          <w:rFonts w:ascii="宋体" w:hAnsi="宋体"/>
          <w:szCs w:val="21"/>
          <w:lang w:val="en-GB"/>
        </w:rPr>
      </w:pPr>
      <w:r>
        <w:rPr>
          <w:rFonts w:hint="eastAsia" w:ascii="宋体" w:hAnsi="宋体"/>
          <w:szCs w:val="21"/>
          <w:lang w:val="en-GB"/>
        </w:rPr>
        <w:t>1、一次喷涂后要求表面作无尘处理。</w:t>
      </w:r>
    </w:p>
    <w:p>
      <w:pPr>
        <w:ind w:firstLine="420" w:firstLineChars="200"/>
        <w:rPr>
          <w:rFonts w:ascii="宋体" w:hAnsi="宋体"/>
          <w:szCs w:val="21"/>
          <w:lang w:val="en-GB"/>
        </w:rPr>
      </w:pPr>
      <w:r>
        <w:rPr>
          <w:rFonts w:hint="eastAsia" w:ascii="宋体" w:hAnsi="宋体"/>
          <w:szCs w:val="21"/>
          <w:lang w:val="en-GB"/>
        </w:rPr>
        <w:t>2、按要求配备专用模具，并使用耐高温户外专用树脂漆。</w:t>
      </w:r>
    </w:p>
    <w:p>
      <w:pPr>
        <w:ind w:firstLine="420" w:firstLineChars="200"/>
        <w:rPr>
          <w:rFonts w:ascii="宋体" w:hAnsi="宋体"/>
          <w:szCs w:val="21"/>
          <w:lang w:val="en-GB"/>
        </w:rPr>
      </w:pPr>
      <w:r>
        <w:rPr>
          <w:rFonts w:hint="eastAsia" w:ascii="宋体" w:hAnsi="宋体"/>
          <w:szCs w:val="21"/>
          <w:lang w:val="en-GB"/>
        </w:rPr>
        <w:t>3、喷漆过程中不得有飞边、粘结点及污点。</w:t>
      </w:r>
    </w:p>
    <w:p>
      <w:pPr>
        <w:ind w:firstLine="420" w:firstLineChars="200"/>
        <w:rPr>
          <w:rFonts w:ascii="宋体" w:hAnsi="宋体"/>
          <w:szCs w:val="21"/>
          <w:lang w:val="en-GB"/>
        </w:rPr>
      </w:pPr>
      <w:r>
        <w:rPr>
          <w:rFonts w:hint="eastAsia" w:ascii="宋体" w:hAnsi="宋体"/>
          <w:szCs w:val="21"/>
          <w:lang w:val="en-GB"/>
        </w:rPr>
        <w:t>4、喷漆完成后须经烘箱高温烘干，且须保温一小时以上，出箱后经试验不得显示出划痕、变色和泛色。</w:t>
      </w:r>
    </w:p>
    <w:p>
      <w:pPr>
        <w:ind w:firstLine="420" w:firstLineChars="200"/>
        <w:rPr>
          <w:rFonts w:ascii="宋体" w:hAnsi="宋体"/>
          <w:szCs w:val="21"/>
          <w:lang w:val="en-GB"/>
        </w:rPr>
        <w:sectPr>
          <w:pgSz w:w="11906" w:h="16838"/>
          <w:pgMar w:top="1418" w:right="1418" w:bottom="1418" w:left="1418" w:header="851" w:footer="851" w:gutter="0"/>
          <w:cols w:space="720" w:num="1"/>
          <w:docGrid w:linePitch="312" w:charSpace="0"/>
        </w:sectPr>
      </w:pPr>
    </w:p>
    <w:p>
      <w:pPr>
        <w:ind w:firstLine="422" w:firstLineChars="200"/>
        <w:rPr>
          <w:rFonts w:ascii="宋体" w:hAnsi="宋体"/>
          <w:b/>
          <w:szCs w:val="21"/>
        </w:rPr>
      </w:pPr>
      <w:r>
        <w:rPr>
          <w:rFonts w:hint="eastAsia" w:ascii="宋体" w:hAnsi="宋体"/>
          <w:b/>
          <w:szCs w:val="21"/>
        </w:rPr>
        <w:t>2、镀锌钢静电喷涂护栏（中央、机非）的规格及技术要求</w:t>
      </w:r>
    </w:p>
    <w:p>
      <w:pPr>
        <w:ind w:firstLine="422" w:firstLineChars="200"/>
        <w:rPr>
          <w:rFonts w:hint="eastAsia" w:ascii="宋体" w:hAnsi="宋体"/>
          <w:b/>
          <w:szCs w:val="21"/>
        </w:rPr>
      </w:pPr>
      <w:r>
        <w:rPr>
          <w:rFonts w:hint="eastAsia" w:ascii="宋体" w:hAnsi="宋体"/>
          <w:b/>
          <w:szCs w:val="21"/>
        </w:rPr>
        <w:t>技术说明如下：</w:t>
      </w:r>
    </w:p>
    <w:p>
      <w:pPr>
        <w:rPr>
          <w:rFonts w:ascii="宋体" w:hAnsi="宋体"/>
        </w:rPr>
      </w:pPr>
      <w:r>
        <w:rPr>
          <w:rFonts w:ascii="宋体" w:hAnsi="宋体"/>
        </w:rPr>
        <w:drawing>
          <wp:inline distT="0" distB="0" distL="114300" distR="114300">
            <wp:extent cx="5760085" cy="4241165"/>
            <wp:effectExtent l="0" t="0" r="12065" b="6985"/>
            <wp:docPr id="5" name="图片 2" descr="护栏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护栏调整"/>
                    <pic:cNvPicPr>
                      <a:picLocks noChangeAspect="1"/>
                    </pic:cNvPicPr>
                  </pic:nvPicPr>
                  <pic:blipFill>
                    <a:blip r:embed="rId19"/>
                    <a:srcRect t="4225" b="4216"/>
                    <a:stretch>
                      <a:fillRect/>
                    </a:stretch>
                  </pic:blipFill>
                  <pic:spPr>
                    <a:xfrm>
                      <a:off x="0" y="0"/>
                      <a:ext cx="5760085" cy="4241165"/>
                    </a:xfrm>
                    <a:prstGeom prst="rect">
                      <a:avLst/>
                    </a:prstGeom>
                    <a:noFill/>
                    <a:ln>
                      <a:noFill/>
                    </a:ln>
                  </pic:spPr>
                </pic:pic>
              </a:graphicData>
            </a:graphic>
          </wp:inline>
        </w:drawing>
      </w:r>
    </w:p>
    <w:p>
      <w:pPr>
        <w:ind w:firstLine="420" w:firstLineChars="200"/>
        <w:rPr>
          <w:rFonts w:ascii="宋体" w:hAnsi="宋体"/>
          <w:szCs w:val="21"/>
        </w:rPr>
      </w:pPr>
      <w:r>
        <w:rPr>
          <w:rFonts w:hint="eastAsia" w:ascii="宋体" w:hAnsi="宋体"/>
          <w:szCs w:val="21"/>
        </w:rPr>
        <w:t>（1）具体规格、尺寸按照上图所示；</w:t>
      </w:r>
    </w:p>
    <w:p>
      <w:pPr>
        <w:ind w:firstLine="420" w:firstLineChars="200"/>
        <w:rPr>
          <w:rFonts w:ascii="宋体" w:hAnsi="宋体"/>
          <w:szCs w:val="21"/>
        </w:rPr>
      </w:pPr>
      <w:r>
        <w:rPr>
          <w:rFonts w:hint="eastAsia" w:ascii="宋体" w:hAnsi="宋体"/>
          <w:szCs w:val="21"/>
        </w:rPr>
        <w:t>（2）护栏必须采用整体制作后再热镀锌；</w:t>
      </w:r>
    </w:p>
    <w:p>
      <w:pPr>
        <w:ind w:firstLine="420" w:firstLineChars="200"/>
        <w:rPr>
          <w:rFonts w:ascii="宋体" w:hAnsi="宋体"/>
          <w:szCs w:val="21"/>
        </w:rPr>
      </w:pPr>
      <w:r>
        <w:rPr>
          <w:rFonts w:hint="eastAsia" w:ascii="宋体" w:hAnsi="宋体"/>
          <w:szCs w:val="21"/>
        </w:rPr>
        <w:t>（3）工艺必须符合国家标准GB18704-2008；</w:t>
      </w:r>
    </w:p>
    <w:p>
      <w:pPr>
        <w:ind w:firstLine="420" w:firstLineChars="200"/>
        <w:rPr>
          <w:rFonts w:ascii="宋体" w:hAnsi="宋体"/>
          <w:szCs w:val="21"/>
        </w:rPr>
      </w:pPr>
      <w:r>
        <w:rPr>
          <w:rFonts w:hint="eastAsia" w:ascii="宋体" w:hAnsi="宋体"/>
          <w:szCs w:val="21"/>
        </w:rPr>
        <w:t>（4）焊接部分使用高频焊接，焊点平滑，无虚焊、无气焊；</w:t>
      </w:r>
    </w:p>
    <w:p>
      <w:pPr>
        <w:ind w:firstLine="420" w:firstLineChars="200"/>
        <w:rPr>
          <w:rFonts w:ascii="宋体" w:hAnsi="宋体"/>
          <w:szCs w:val="21"/>
        </w:rPr>
      </w:pPr>
      <w:r>
        <w:rPr>
          <w:rFonts w:hint="eastAsia" w:ascii="宋体" w:hAnsi="宋体"/>
          <w:szCs w:val="21"/>
        </w:rPr>
        <w:t>（5）倒“U”竖件与下横杆要求打孔连接后再焊接；</w:t>
      </w:r>
    </w:p>
    <w:p>
      <w:pPr>
        <w:ind w:firstLine="420" w:firstLineChars="200"/>
        <w:rPr>
          <w:rFonts w:ascii="宋体" w:hAnsi="宋体"/>
          <w:szCs w:val="21"/>
        </w:rPr>
      </w:pPr>
      <w:r>
        <w:rPr>
          <w:rFonts w:hint="eastAsia" w:ascii="宋体" w:hAnsi="宋体"/>
          <w:szCs w:val="21"/>
        </w:rPr>
        <w:t>（6）护栏钢制部分表面处理采用静电粉末喷涂工艺，第一层涂料为环氧富锌粉末喷涂，第二层涂料为聚酯户外、耐候性粉末喷涂（白色），每层厚度50um，表面涂层平滑、无凹坑、无滴漏、不露青、变色和泛色；</w:t>
      </w:r>
    </w:p>
    <w:p>
      <w:pPr>
        <w:ind w:firstLine="420" w:firstLineChars="200"/>
        <w:rPr>
          <w:rFonts w:ascii="宋体" w:hAnsi="宋体"/>
          <w:szCs w:val="21"/>
        </w:rPr>
      </w:pPr>
      <w:r>
        <w:rPr>
          <w:rFonts w:hint="eastAsia" w:ascii="宋体" w:hAnsi="宋体"/>
          <w:szCs w:val="21"/>
        </w:rPr>
        <w:t>（7）底座为6-7公斤复合材料或铸铁底座。</w:t>
      </w:r>
    </w:p>
    <w:p>
      <w:pPr>
        <w:ind w:firstLine="420" w:firstLineChars="200"/>
        <w:rPr>
          <w:rFonts w:ascii="宋体" w:hAnsi="宋体"/>
          <w:szCs w:val="21"/>
        </w:rPr>
      </w:pPr>
    </w:p>
    <w:p>
      <w:pPr>
        <w:pStyle w:val="2"/>
        <w:ind w:firstLine="643" w:firstLineChars="200"/>
        <w:rPr>
          <w:rFonts w:ascii="宋体" w:hAnsi="宋体"/>
        </w:rPr>
        <w:sectPr>
          <w:pgSz w:w="11906" w:h="16838"/>
          <w:pgMar w:top="1418" w:right="1418" w:bottom="1418" w:left="1418" w:header="851" w:footer="851" w:gutter="0"/>
          <w:cols w:space="720" w:num="1"/>
          <w:docGrid w:linePitch="312" w:charSpace="0"/>
        </w:sectPr>
      </w:pPr>
    </w:p>
    <w:p>
      <w:pPr>
        <w:pStyle w:val="621"/>
        <w:ind w:firstLine="422"/>
        <w:rPr>
          <w:rFonts w:hint="eastAsia" w:ascii="宋体" w:hAnsi="宋体" w:eastAsia="宋体" w:cs="宋体"/>
          <w:b/>
          <w:sz w:val="21"/>
          <w:szCs w:val="21"/>
        </w:rPr>
      </w:pPr>
      <w:r>
        <w:rPr>
          <w:rFonts w:hint="eastAsia" w:ascii="宋体" w:hAnsi="宋体" w:eastAsia="宋体" w:cs="宋体"/>
          <w:b/>
          <w:sz w:val="21"/>
          <w:szCs w:val="21"/>
        </w:rPr>
        <w:t>3、草坪护栏的规格及技术要求</w:t>
      </w:r>
    </w:p>
    <w:p>
      <w:pPr>
        <w:pStyle w:val="621"/>
        <w:ind w:firstLine="0" w:firstLineChars="0"/>
        <w:rPr>
          <w:rFonts w:hint="eastAsia" w:ascii="宋体" w:hAnsi="宋体" w:eastAsia="宋体" w:cs="宋体"/>
          <w:b/>
          <w:szCs w:val="21"/>
        </w:rPr>
      </w:pPr>
      <w:r>
        <w:rPr>
          <w:rFonts w:hint="eastAsia" w:ascii="宋体" w:hAnsi="宋体" w:eastAsia="宋体" w:cs="宋体"/>
          <w:b/>
          <w:szCs w:val="21"/>
        </w:rPr>
        <w:drawing>
          <wp:inline distT="0" distB="0" distL="114300" distR="114300">
            <wp:extent cx="5766435" cy="3820795"/>
            <wp:effectExtent l="0" t="0" r="5715" b="8255"/>
            <wp:docPr id="6" name="图片 1" descr="86e4fd611f5ab585281cbece1342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86e4fd611f5ab585281cbece134211b"/>
                    <pic:cNvPicPr>
                      <a:picLocks noChangeAspect="1"/>
                    </pic:cNvPicPr>
                  </pic:nvPicPr>
                  <pic:blipFill>
                    <a:blip r:embed="rId20"/>
                    <a:stretch>
                      <a:fillRect/>
                    </a:stretch>
                  </pic:blipFill>
                  <pic:spPr>
                    <a:xfrm>
                      <a:off x="0" y="0"/>
                      <a:ext cx="5766435" cy="3820795"/>
                    </a:xfrm>
                    <a:prstGeom prst="rect">
                      <a:avLst/>
                    </a:prstGeom>
                    <a:noFill/>
                    <a:ln>
                      <a:noFill/>
                    </a:ln>
                  </pic:spPr>
                </pic:pic>
              </a:graphicData>
            </a:graphic>
          </wp:inline>
        </w:drawing>
      </w:r>
    </w:p>
    <w:p>
      <w:pPr>
        <w:spacing w:before="120" w:beforeLines="50"/>
        <w:ind w:firstLine="420" w:firstLineChars="200"/>
        <w:rPr>
          <w:rFonts w:hint="eastAsia" w:ascii="宋体" w:hAnsi="宋体" w:cs="宋体"/>
          <w:szCs w:val="21"/>
        </w:rPr>
      </w:pPr>
      <w:r>
        <w:rPr>
          <w:rFonts w:hint="eastAsia" w:ascii="宋体" w:hAnsi="宋体" w:cs="宋体"/>
          <w:szCs w:val="21"/>
        </w:rPr>
        <w:t xml:space="preserve"> 技术说明如下：</w:t>
      </w:r>
    </w:p>
    <w:p>
      <w:pPr>
        <w:ind w:firstLine="420" w:firstLineChars="200"/>
        <w:rPr>
          <w:rFonts w:hint="eastAsia" w:ascii="宋体" w:hAnsi="宋体"/>
          <w:bCs/>
          <w:szCs w:val="21"/>
        </w:rPr>
      </w:pPr>
      <w:r>
        <w:rPr>
          <w:rFonts w:hint="eastAsia" w:ascii="宋体" w:hAnsi="宋体"/>
          <w:bCs/>
          <w:szCs w:val="21"/>
        </w:rPr>
        <w:t>（1）具体规格、尺寸按照上图所示。</w:t>
      </w:r>
    </w:p>
    <w:p>
      <w:pPr>
        <w:ind w:firstLine="420" w:firstLineChars="200"/>
        <w:rPr>
          <w:rFonts w:hint="eastAsia" w:ascii="宋体" w:hAnsi="宋体"/>
          <w:bCs/>
          <w:szCs w:val="21"/>
        </w:rPr>
      </w:pPr>
      <w:r>
        <w:rPr>
          <w:rFonts w:hint="eastAsia" w:ascii="宋体" w:hAnsi="宋体"/>
          <w:bCs/>
          <w:szCs w:val="21"/>
        </w:rPr>
        <w:t>（2）护栏必须采用镀锌方管；</w:t>
      </w:r>
    </w:p>
    <w:p>
      <w:pPr>
        <w:ind w:firstLine="420" w:firstLineChars="200"/>
        <w:rPr>
          <w:rFonts w:hint="eastAsia" w:ascii="宋体" w:hAnsi="宋体"/>
          <w:bCs/>
          <w:szCs w:val="21"/>
        </w:rPr>
      </w:pPr>
      <w:r>
        <w:rPr>
          <w:rFonts w:hint="eastAsia" w:ascii="宋体" w:hAnsi="宋体"/>
          <w:bCs/>
          <w:szCs w:val="21"/>
        </w:rPr>
        <w:t>（3）工艺必须符合国家标准GB 18704-2002。</w:t>
      </w:r>
    </w:p>
    <w:p>
      <w:pPr>
        <w:ind w:firstLine="420" w:firstLineChars="200"/>
        <w:rPr>
          <w:rFonts w:hint="eastAsia" w:ascii="宋体" w:hAnsi="宋体"/>
          <w:bCs/>
          <w:szCs w:val="21"/>
        </w:rPr>
      </w:pPr>
      <w:r>
        <w:rPr>
          <w:rFonts w:hint="eastAsia" w:ascii="宋体" w:hAnsi="宋体"/>
          <w:bCs/>
          <w:szCs w:val="21"/>
        </w:rPr>
        <w:t>（4）焊接部分使用高频焊接，焊点平滑，无虚焊、无气焊。</w:t>
      </w:r>
    </w:p>
    <w:p>
      <w:pPr>
        <w:ind w:firstLine="420" w:firstLineChars="200"/>
        <w:rPr>
          <w:rFonts w:hint="eastAsia" w:ascii="宋体" w:hAnsi="宋体"/>
          <w:bCs/>
          <w:szCs w:val="21"/>
        </w:rPr>
      </w:pPr>
      <w:r>
        <w:rPr>
          <w:rFonts w:hint="eastAsia" w:ascii="宋体" w:hAnsi="宋体"/>
          <w:bCs/>
          <w:szCs w:val="21"/>
        </w:rPr>
        <w:t>（5）护栏钢制部分表面处理采用静电粉末喷涂工艺，第一层涂料为环氧富锌粉末喷涂，第二层涂料为聚酯户外、耐候性粉末喷涂（绿色），每层厚度50um,表面涂层平滑、无凹坑、无滴漏、不露青、变色和泛色。</w:t>
      </w:r>
    </w:p>
    <w:p>
      <w:pPr>
        <w:ind w:firstLine="420" w:firstLineChars="200"/>
        <w:rPr>
          <w:rFonts w:hint="eastAsia" w:ascii="宋体" w:hAnsi="宋体"/>
          <w:b/>
          <w:szCs w:val="21"/>
        </w:rPr>
      </w:pPr>
      <w:r>
        <w:rPr>
          <w:rFonts w:hint="eastAsia" w:ascii="宋体" w:hAnsi="宋体"/>
          <w:bCs/>
          <w:szCs w:val="21"/>
        </w:rPr>
        <w:t>（6）立柱下部采用200×200×300mm C20混凝土固定。</w:t>
      </w:r>
    </w:p>
    <w:p>
      <w:pPr>
        <w:rPr>
          <w:rFonts w:ascii="宋体" w:hAnsi="宋体"/>
        </w:rPr>
        <w:sectPr>
          <w:pgSz w:w="11906" w:h="16838"/>
          <w:pgMar w:top="1474" w:right="1797" w:bottom="1247" w:left="1797" w:header="851" w:footer="851" w:gutter="0"/>
          <w:cols w:space="720" w:num="1"/>
          <w:docGrid w:linePitch="312" w:charSpace="0"/>
        </w:sectPr>
      </w:pPr>
    </w:p>
    <w:p>
      <w:pPr>
        <w:rPr>
          <w:rFonts w:ascii="宋体" w:hAnsi="宋体"/>
        </w:rPr>
      </w:pPr>
      <w:r>
        <w:rPr>
          <w:rFonts w:hint="eastAsia" w:ascii="宋体" w:hAnsi="宋体"/>
          <w:b/>
          <w:szCs w:val="21"/>
        </w:rPr>
        <w:t>4、人非钢质镀锌钢静电喷涂护栏的规格及技术要求</w:t>
      </w:r>
    </w:p>
    <w:p>
      <w:pPr>
        <w:rPr>
          <w:rFonts w:ascii="宋体" w:hAnsi="宋体"/>
        </w:rPr>
      </w:pPr>
      <w:r>
        <w:rPr>
          <w:rFonts w:ascii="宋体" w:hAnsi="宋体"/>
        </w:rPr>
        <w:drawing>
          <wp:inline distT="0" distB="0" distL="114300" distR="114300">
            <wp:extent cx="8948420" cy="4577080"/>
            <wp:effectExtent l="0" t="0" r="5080" b="13970"/>
            <wp:docPr id="7" name="图片 3" descr="护栏-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护栏-Model"/>
                    <pic:cNvPicPr>
                      <a:picLocks noChangeAspect="1"/>
                    </pic:cNvPicPr>
                  </pic:nvPicPr>
                  <pic:blipFill>
                    <a:blip r:embed="rId21"/>
                    <a:srcRect t="4774" b="5243"/>
                    <a:stretch>
                      <a:fillRect/>
                    </a:stretch>
                  </pic:blipFill>
                  <pic:spPr>
                    <a:xfrm>
                      <a:off x="0" y="0"/>
                      <a:ext cx="8948420" cy="4577080"/>
                    </a:xfrm>
                    <a:prstGeom prst="rect">
                      <a:avLst/>
                    </a:prstGeom>
                    <a:noFill/>
                    <a:ln>
                      <a:noFill/>
                    </a:ln>
                  </pic:spPr>
                </pic:pic>
              </a:graphicData>
            </a:graphic>
          </wp:inline>
        </w:drawing>
      </w:r>
    </w:p>
    <w:p>
      <w:pPr>
        <w:ind w:firstLine="420" w:firstLineChars="200"/>
        <w:rPr>
          <w:rFonts w:ascii="宋体" w:hAnsi="宋体"/>
        </w:rPr>
        <w:sectPr>
          <w:pgSz w:w="16838" w:h="11906" w:orient="landscape"/>
          <w:pgMar w:top="1797" w:right="1474" w:bottom="1797" w:left="1247" w:header="851" w:footer="851" w:gutter="0"/>
          <w:cols w:space="720" w:num="1"/>
          <w:docGrid w:linePitch="312" w:charSpace="0"/>
        </w:sectPr>
      </w:pPr>
    </w:p>
    <w:p>
      <w:pPr>
        <w:ind w:firstLine="422" w:firstLineChars="200"/>
        <w:rPr>
          <w:rFonts w:ascii="宋体" w:hAnsi="宋体"/>
          <w:b/>
          <w:bCs/>
          <w:szCs w:val="21"/>
        </w:rPr>
      </w:pPr>
      <w:r>
        <w:rPr>
          <w:rFonts w:hint="eastAsia" w:ascii="宋体" w:hAnsi="宋体"/>
          <w:b/>
          <w:bCs/>
          <w:szCs w:val="21"/>
        </w:rPr>
        <w:t>技术说明如下：</w:t>
      </w:r>
    </w:p>
    <w:p>
      <w:pPr>
        <w:ind w:firstLine="420" w:firstLineChars="200"/>
        <w:rPr>
          <w:rFonts w:ascii="宋体" w:hAnsi="宋体"/>
          <w:szCs w:val="21"/>
        </w:rPr>
      </w:pPr>
      <w:r>
        <w:rPr>
          <w:rFonts w:hint="eastAsia" w:ascii="宋体" w:hAnsi="宋体"/>
          <w:szCs w:val="21"/>
        </w:rPr>
        <w:t>（1）具体规格、尺寸按照上图所示；</w:t>
      </w:r>
    </w:p>
    <w:p>
      <w:pPr>
        <w:ind w:firstLine="420" w:firstLineChars="200"/>
        <w:rPr>
          <w:rFonts w:ascii="宋体" w:hAnsi="宋体"/>
          <w:szCs w:val="21"/>
        </w:rPr>
      </w:pPr>
      <w:r>
        <w:rPr>
          <w:rFonts w:hint="eastAsia" w:ascii="宋体" w:hAnsi="宋体"/>
          <w:szCs w:val="21"/>
        </w:rPr>
        <w:t>（2）护栏各构件整体制作后再热镀锌；</w:t>
      </w:r>
    </w:p>
    <w:p>
      <w:pPr>
        <w:ind w:firstLine="420" w:firstLineChars="200"/>
        <w:rPr>
          <w:rFonts w:ascii="宋体" w:hAnsi="宋体"/>
          <w:szCs w:val="21"/>
        </w:rPr>
      </w:pPr>
      <w:r>
        <w:rPr>
          <w:rFonts w:hint="eastAsia" w:ascii="宋体" w:hAnsi="宋体"/>
          <w:szCs w:val="21"/>
        </w:rPr>
        <w:t>（3）工艺必须符合国家标准GB18704-2002；</w:t>
      </w:r>
    </w:p>
    <w:p>
      <w:pPr>
        <w:ind w:firstLine="420" w:firstLineChars="200"/>
        <w:rPr>
          <w:rFonts w:ascii="宋体" w:hAnsi="宋体"/>
          <w:szCs w:val="21"/>
        </w:rPr>
      </w:pPr>
      <w:r>
        <w:rPr>
          <w:rFonts w:hint="eastAsia" w:ascii="宋体" w:hAnsi="宋体"/>
          <w:szCs w:val="21"/>
        </w:rPr>
        <w:t>（4）焊接部分使用高频焊接，焊点平滑，无虚焊、无气焊；</w:t>
      </w:r>
    </w:p>
    <w:p>
      <w:pPr>
        <w:ind w:firstLine="420" w:firstLineChars="200"/>
        <w:rPr>
          <w:rFonts w:ascii="宋体" w:hAnsi="宋体"/>
          <w:szCs w:val="21"/>
        </w:rPr>
      </w:pPr>
      <w:r>
        <w:rPr>
          <w:rFonts w:hint="eastAsia" w:ascii="宋体" w:hAnsi="宋体"/>
          <w:szCs w:val="21"/>
        </w:rPr>
        <w:t>（5）竖件与上、下横杆要求打孔连接后再焊接。下横杆底部要求至少打三个出水孔，均匀分布。</w:t>
      </w:r>
    </w:p>
    <w:p>
      <w:pPr>
        <w:ind w:firstLine="420" w:firstLineChars="200"/>
        <w:rPr>
          <w:rFonts w:ascii="宋体" w:hAnsi="宋体"/>
          <w:szCs w:val="21"/>
        </w:rPr>
      </w:pPr>
      <w:r>
        <w:rPr>
          <w:rFonts w:hint="eastAsia" w:ascii="宋体" w:hAnsi="宋体"/>
          <w:szCs w:val="21"/>
        </w:rPr>
        <w:t>（6）护栏钢制部分表面处理采用静电粉末喷涂工艺，第一层涂料为环氧富锌粉末喷涂，第二层涂料为聚酯户外、耐候性粉末喷涂，</w:t>
      </w:r>
      <w:r>
        <w:rPr>
          <w:rFonts w:hint="eastAsia" w:ascii="宋体" w:hAnsi="宋体"/>
          <w:b/>
          <w:bCs/>
          <w:szCs w:val="21"/>
        </w:rPr>
        <w:t>（颜色：灰色PCF0270）</w:t>
      </w:r>
      <w:r>
        <w:rPr>
          <w:rFonts w:hint="eastAsia" w:ascii="宋体" w:hAnsi="宋体"/>
          <w:szCs w:val="21"/>
        </w:rPr>
        <w:t>每层厚度50um，表面涂层平滑、无凹坑、无滴漏、不露青、变色和泛色；</w:t>
      </w:r>
    </w:p>
    <w:p>
      <w:pPr>
        <w:ind w:firstLine="420" w:firstLineChars="200"/>
        <w:rPr>
          <w:rFonts w:hint="eastAsia" w:ascii="宋体" w:hAnsi="宋体"/>
          <w:szCs w:val="21"/>
        </w:rPr>
      </w:pPr>
      <w:r>
        <w:rPr>
          <w:rFonts w:hint="eastAsia" w:ascii="宋体" w:hAnsi="宋体"/>
          <w:szCs w:val="21"/>
        </w:rPr>
        <w:t>（7）立柱下部采用钢板法兰构成一体。基础构件独立成件（需预埋），基础构件与立柱采用热镀锌或不锈钢螺栓（10mm</w:t>
      </w:r>
      <w:r>
        <w:rPr>
          <w:rFonts w:ascii="宋体" w:hAnsi="宋体"/>
          <w:szCs w:val="21"/>
        </w:rPr>
        <w:t>）</w:t>
      </w:r>
      <w:r>
        <w:rPr>
          <w:rFonts w:hint="eastAsia" w:ascii="宋体" w:hAnsi="宋体"/>
          <w:szCs w:val="21"/>
        </w:rPr>
        <w:t>两法兰件连接固定；</w:t>
      </w:r>
    </w:p>
    <w:p>
      <w:pPr>
        <w:ind w:firstLine="420" w:firstLineChars="200"/>
        <w:rPr>
          <w:rFonts w:ascii="宋体" w:hAnsi="宋体"/>
          <w:szCs w:val="21"/>
        </w:rPr>
      </w:pPr>
      <w:r>
        <w:rPr>
          <w:rFonts w:hint="eastAsia" w:ascii="宋体" w:hAnsi="宋体"/>
          <w:szCs w:val="21"/>
        </w:rPr>
        <w:t>（8）立柱下部采用钢板法兰构成一体。无设置基础构件条件道路可与地面连接采用4个长10×100mm膨胀螺钉固定。</w:t>
      </w:r>
    </w:p>
    <w:p>
      <w:pPr>
        <w:ind w:firstLine="422" w:firstLineChars="200"/>
        <w:rPr>
          <w:rFonts w:ascii="宋体" w:hAnsi="宋体"/>
          <w:b/>
          <w:bCs/>
          <w:szCs w:val="21"/>
        </w:rPr>
      </w:pPr>
      <w:r>
        <w:rPr>
          <w:rFonts w:hint="eastAsia" w:ascii="宋体" w:hAnsi="宋体"/>
          <w:b/>
          <w:bCs/>
          <w:szCs w:val="21"/>
        </w:rPr>
        <w:t>5、船桨式镀锌钢静电喷涂护栏（中央、机非）的规格及技术要求</w:t>
      </w:r>
    </w:p>
    <w:p>
      <w:pPr>
        <w:ind w:firstLine="422" w:firstLineChars="200"/>
        <w:rPr>
          <w:rFonts w:hint="eastAsia" w:ascii="宋体" w:hAnsi="宋体"/>
          <w:b/>
          <w:bCs/>
          <w:szCs w:val="21"/>
        </w:rPr>
      </w:pPr>
      <w:r>
        <w:rPr>
          <w:rFonts w:hint="eastAsia" w:ascii="宋体" w:hAnsi="宋体"/>
          <w:b/>
          <w:bCs/>
          <w:szCs w:val="21"/>
        </w:rPr>
        <w:t>技术说明如下：</w:t>
      </w:r>
    </w:p>
    <w:p>
      <w:pPr>
        <w:ind w:firstLine="422" w:firstLineChars="200"/>
        <w:rPr>
          <w:rFonts w:ascii="宋体" w:hAnsi="宋体"/>
          <w:b/>
          <w:bCs/>
          <w:szCs w:val="21"/>
        </w:rPr>
      </w:pPr>
      <w:r>
        <w:rPr>
          <w:rFonts w:hint="eastAsia" w:ascii="宋体" w:hAnsi="宋体"/>
          <w:b/>
          <w:bCs/>
          <w:szCs w:val="21"/>
        </w:rPr>
        <w:t>（1）800cm船桨式镀锌钢静电喷涂护栏（整体热镀锌）</w:t>
      </w:r>
    </w:p>
    <w:p>
      <w:pPr>
        <w:rPr>
          <w:rFonts w:hint="eastAsia" w:ascii="宋体" w:hAnsi="宋体"/>
        </w:rPr>
      </w:pPr>
      <w:r>
        <w:rPr>
          <w:rFonts w:ascii="宋体" w:hAnsi="宋体"/>
          <w:lang/>
        </w:rPr>
        <w:drawing>
          <wp:inline distT="0" distB="0" distL="114300" distR="114300">
            <wp:extent cx="5683250" cy="3982085"/>
            <wp:effectExtent l="0" t="0" r="12700" b="18415"/>
            <wp:docPr id="8" name="图片 4" descr="说明: C:\Users\Administrator\Desktop\船桨护栏CAD定稿\800\800船桨护栏CAD定稿2-Model.jpg800船桨护栏CAD定稿2-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descr="说明: C:\Users\Administrator\Desktop\船桨护栏CAD定稿\800\800船桨护栏CAD定稿2-Model.jpg800船桨护栏CAD定稿2-Model"/>
                    <pic:cNvPicPr>
                      <a:picLocks noChangeAspect="1"/>
                    </pic:cNvPicPr>
                  </pic:nvPicPr>
                  <pic:blipFill>
                    <a:blip r:embed="rId22"/>
                    <a:stretch>
                      <a:fillRect/>
                    </a:stretch>
                  </pic:blipFill>
                  <pic:spPr>
                    <a:xfrm>
                      <a:off x="0" y="0"/>
                      <a:ext cx="5683250" cy="3982085"/>
                    </a:xfrm>
                    <a:prstGeom prst="rect">
                      <a:avLst/>
                    </a:prstGeom>
                    <a:noFill/>
                    <a:ln>
                      <a:noFill/>
                    </a:ln>
                  </pic:spPr>
                </pic:pic>
              </a:graphicData>
            </a:graphic>
          </wp:inline>
        </w:drawing>
      </w:r>
    </w:p>
    <w:p>
      <w:pPr>
        <w:rPr>
          <w:rFonts w:ascii="宋体" w:hAnsi="宋体"/>
          <w:lang/>
        </w:rPr>
      </w:pPr>
      <w:r>
        <w:rPr>
          <w:rFonts w:ascii="宋体" w:hAnsi="宋体"/>
          <w:lang/>
        </w:rPr>
        <w:drawing>
          <wp:inline distT="0" distB="0" distL="114300" distR="114300">
            <wp:extent cx="5715000" cy="4008120"/>
            <wp:effectExtent l="0" t="0" r="0" b="11430"/>
            <wp:docPr id="9" name="图片 4" descr="说明: C:\Users\Administrator\Desktop\船桨护栏CAD定稿\800\800船桨护栏CAD定稿2-Model.jpg800船桨护栏CAD定稿2-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说明: C:\Users\Administrator\Desktop\船桨护栏CAD定稿\800\800船桨护栏CAD定稿2-Model.jpg800船桨护栏CAD定稿2-Model"/>
                    <pic:cNvPicPr>
                      <a:picLocks noChangeAspect="1"/>
                    </pic:cNvPicPr>
                  </pic:nvPicPr>
                  <pic:blipFill>
                    <a:blip r:embed="rId22"/>
                    <a:stretch>
                      <a:fillRect/>
                    </a:stretch>
                  </pic:blipFill>
                  <pic:spPr>
                    <a:xfrm>
                      <a:off x="0" y="0"/>
                      <a:ext cx="5715000" cy="4008120"/>
                    </a:xfrm>
                    <a:prstGeom prst="rect">
                      <a:avLst/>
                    </a:prstGeom>
                    <a:noFill/>
                    <a:ln>
                      <a:noFill/>
                    </a:ln>
                  </pic:spPr>
                </pic:pic>
              </a:graphicData>
            </a:graphic>
          </wp:inline>
        </w:drawing>
      </w:r>
    </w:p>
    <w:p>
      <w:pPr>
        <w:ind w:firstLine="420" w:firstLineChars="200"/>
        <w:rPr>
          <w:rFonts w:ascii="宋体" w:hAnsi="宋体"/>
          <w:lang/>
        </w:rPr>
      </w:pPr>
    </w:p>
    <w:p>
      <w:pPr>
        <w:rPr>
          <w:rFonts w:ascii="宋体" w:hAnsi="宋体"/>
        </w:rPr>
      </w:pPr>
      <w:r>
        <w:rPr>
          <w:rFonts w:ascii="宋体" w:hAnsi="宋体"/>
          <w:lang/>
        </w:rPr>
        <w:drawing>
          <wp:inline distT="0" distB="0" distL="114300" distR="114300">
            <wp:extent cx="5681345" cy="3933825"/>
            <wp:effectExtent l="0" t="0" r="14605" b="9525"/>
            <wp:docPr id="10" name="图片 5" descr="说明: C:\Users\Administrator\Desktop\船桨护栏CAD定稿\800\800船桨护栏CAD定稿3-Model.jpg800船桨护栏CAD定稿3-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说明: C:\Users\Administrator\Desktop\船桨护栏CAD定稿\800\800船桨护栏CAD定稿3-Model.jpg800船桨护栏CAD定稿3-Model"/>
                    <pic:cNvPicPr>
                      <a:picLocks noChangeAspect="1"/>
                    </pic:cNvPicPr>
                  </pic:nvPicPr>
                  <pic:blipFill>
                    <a:blip r:embed="rId23"/>
                    <a:stretch>
                      <a:fillRect/>
                    </a:stretch>
                  </pic:blipFill>
                  <pic:spPr>
                    <a:xfrm>
                      <a:off x="0" y="0"/>
                      <a:ext cx="5681345" cy="3933825"/>
                    </a:xfrm>
                    <a:prstGeom prst="rect">
                      <a:avLst/>
                    </a:prstGeom>
                    <a:noFill/>
                    <a:ln>
                      <a:noFill/>
                    </a:ln>
                  </pic:spPr>
                </pic:pic>
              </a:graphicData>
            </a:graphic>
          </wp:inline>
        </w:drawing>
      </w:r>
    </w:p>
    <w:p>
      <w:pPr>
        <w:rPr>
          <w:rFonts w:ascii="宋体" w:hAnsi="宋体"/>
          <w:lang/>
        </w:rPr>
      </w:pPr>
      <w:r>
        <w:rPr>
          <w:rFonts w:ascii="宋体" w:hAnsi="宋体"/>
          <w:lang/>
        </w:rPr>
        <w:drawing>
          <wp:inline distT="0" distB="0" distL="114300" distR="114300">
            <wp:extent cx="5750560" cy="3976370"/>
            <wp:effectExtent l="0" t="0" r="2540" b="5080"/>
            <wp:docPr id="11" name="图片 6" descr="说明: C:\Users\Administrator\Desktop\船桨护栏CAD定稿\800\800船桨护栏CAD定稿4-Model.jpg800船桨护栏CAD定稿4-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descr="说明: C:\Users\Administrator\Desktop\船桨护栏CAD定稿\800\800船桨护栏CAD定稿4-Model.jpg800船桨护栏CAD定稿4-Model"/>
                    <pic:cNvPicPr>
                      <a:picLocks noChangeAspect="1"/>
                    </pic:cNvPicPr>
                  </pic:nvPicPr>
                  <pic:blipFill>
                    <a:blip r:embed="rId24"/>
                    <a:stretch>
                      <a:fillRect/>
                    </a:stretch>
                  </pic:blipFill>
                  <pic:spPr>
                    <a:xfrm>
                      <a:off x="0" y="0"/>
                      <a:ext cx="5750560" cy="3976370"/>
                    </a:xfrm>
                    <a:prstGeom prst="rect">
                      <a:avLst/>
                    </a:prstGeom>
                    <a:noFill/>
                    <a:ln>
                      <a:noFill/>
                    </a:ln>
                  </pic:spPr>
                </pic:pic>
              </a:graphicData>
            </a:graphic>
          </wp:inline>
        </w:drawing>
      </w:r>
    </w:p>
    <w:p>
      <w:pPr>
        <w:ind w:firstLine="420" w:firstLineChars="200"/>
        <w:rPr>
          <w:rFonts w:hint="eastAsia" w:ascii="宋体" w:hAnsi="宋体"/>
          <w:lang/>
        </w:rPr>
      </w:pPr>
    </w:p>
    <w:p>
      <w:pPr>
        <w:rPr>
          <w:rFonts w:ascii="宋体" w:hAnsi="宋体"/>
        </w:rPr>
      </w:pPr>
      <w:r>
        <w:rPr>
          <w:rFonts w:ascii="宋体" w:hAnsi="宋体"/>
          <w:lang/>
        </w:rPr>
        <w:drawing>
          <wp:inline distT="0" distB="0" distL="114300" distR="114300">
            <wp:extent cx="5749925" cy="3973195"/>
            <wp:effectExtent l="0" t="0" r="3175" b="8255"/>
            <wp:docPr id="12" name="图片 7" descr="说明: C:\Users\Administrator\Desktop\船桨护栏CAD定稿\800\800船桨护栏CAD定稿5-Model.jpg800船桨护栏CAD定稿5-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说明: C:\Users\Administrator\Desktop\船桨护栏CAD定稿\800\800船桨护栏CAD定稿5-Model.jpg800船桨护栏CAD定稿5-Model"/>
                    <pic:cNvPicPr>
                      <a:picLocks noChangeAspect="1"/>
                    </pic:cNvPicPr>
                  </pic:nvPicPr>
                  <pic:blipFill>
                    <a:blip r:embed="rId25"/>
                    <a:stretch>
                      <a:fillRect/>
                    </a:stretch>
                  </pic:blipFill>
                  <pic:spPr>
                    <a:xfrm>
                      <a:off x="0" y="0"/>
                      <a:ext cx="5749925" cy="3973195"/>
                    </a:xfrm>
                    <a:prstGeom prst="rect">
                      <a:avLst/>
                    </a:prstGeom>
                    <a:noFill/>
                    <a:ln>
                      <a:noFill/>
                    </a:ln>
                  </pic:spPr>
                </pic:pic>
              </a:graphicData>
            </a:graphic>
          </wp:inline>
        </w:drawing>
      </w:r>
    </w:p>
    <w:p>
      <w:pPr>
        <w:ind w:firstLine="420" w:firstLineChars="200"/>
        <w:rPr>
          <w:rFonts w:hint="eastAsia" w:ascii="宋体" w:hAnsi="宋体"/>
          <w:szCs w:val="21"/>
        </w:rPr>
      </w:pPr>
      <w:r>
        <w:rPr>
          <w:rFonts w:ascii="宋体" w:hAnsi="宋体"/>
        </w:rPr>
        <w:br w:type="page"/>
      </w:r>
      <w:r>
        <w:rPr>
          <w:rFonts w:hint="eastAsia" w:ascii="宋体" w:hAnsi="宋体"/>
          <w:szCs w:val="21"/>
        </w:rPr>
        <w:t>技术要求：</w:t>
      </w:r>
    </w:p>
    <w:p>
      <w:pPr>
        <w:rPr>
          <w:rFonts w:ascii="宋体" w:hAnsi="宋体"/>
        </w:rPr>
      </w:pPr>
      <w:r>
        <w:rPr>
          <w:rFonts w:ascii="宋体" w:hAnsi="宋体"/>
          <w:lang/>
        </w:rPr>
        <w:drawing>
          <wp:inline distT="0" distB="0" distL="114300" distR="114300">
            <wp:extent cx="5262245" cy="1624965"/>
            <wp:effectExtent l="0" t="0" r="14605" b="13335"/>
            <wp:docPr id="13" name="图片 9" descr="说明: C:\Users\Administrator\Desktop\船桨护栏CAD定稿\800\800表格.jpg800表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说明: C:\Users\Administrator\Desktop\船桨护栏CAD定稿\800\800表格.jpg800表格"/>
                    <pic:cNvPicPr>
                      <a:picLocks noChangeAspect="1"/>
                    </pic:cNvPicPr>
                  </pic:nvPicPr>
                  <pic:blipFill>
                    <a:blip r:embed="rId26"/>
                    <a:stretch>
                      <a:fillRect/>
                    </a:stretch>
                  </pic:blipFill>
                  <pic:spPr>
                    <a:xfrm>
                      <a:off x="0" y="0"/>
                      <a:ext cx="5262245" cy="1624965"/>
                    </a:xfrm>
                    <a:prstGeom prst="rect">
                      <a:avLst/>
                    </a:prstGeom>
                    <a:noFill/>
                    <a:ln>
                      <a:noFill/>
                    </a:ln>
                  </pic:spPr>
                </pic:pic>
              </a:graphicData>
            </a:graphic>
          </wp:inline>
        </w:drawing>
      </w:r>
    </w:p>
    <w:p>
      <w:pPr>
        <w:ind w:firstLine="420" w:firstLineChars="200"/>
        <w:rPr>
          <w:rFonts w:ascii="宋体" w:hAnsi="宋体"/>
          <w:szCs w:val="21"/>
        </w:rPr>
      </w:pPr>
      <w:r>
        <w:rPr>
          <w:rFonts w:hint="eastAsia" w:ascii="宋体" w:hAnsi="宋体"/>
          <w:szCs w:val="21"/>
        </w:rPr>
        <w:t>（a）具体规格、尺寸按照上图所示；</w:t>
      </w:r>
    </w:p>
    <w:p>
      <w:pPr>
        <w:ind w:firstLine="420" w:firstLineChars="200"/>
        <w:rPr>
          <w:rFonts w:ascii="宋体" w:hAnsi="宋体"/>
          <w:szCs w:val="21"/>
        </w:rPr>
      </w:pPr>
      <w:r>
        <w:rPr>
          <w:rFonts w:hint="eastAsia" w:ascii="宋体" w:hAnsi="宋体"/>
          <w:szCs w:val="21"/>
        </w:rPr>
        <w:t>（b）制作前要求各单体平整，并除去毛刺锈迹；</w:t>
      </w:r>
    </w:p>
    <w:p>
      <w:pPr>
        <w:ind w:firstLine="420" w:firstLineChars="200"/>
        <w:rPr>
          <w:rFonts w:ascii="宋体" w:hAnsi="宋体"/>
          <w:szCs w:val="21"/>
        </w:rPr>
      </w:pPr>
      <w:r>
        <w:rPr>
          <w:rFonts w:hint="eastAsia" w:ascii="宋体" w:hAnsi="宋体"/>
          <w:szCs w:val="21"/>
        </w:rPr>
        <w:t>（c）焊接部位要求焊接缝过渡圆滑，无夹渣，虚焊，气孔等缺陷；</w:t>
      </w:r>
    </w:p>
    <w:p>
      <w:pPr>
        <w:ind w:firstLine="420" w:firstLineChars="200"/>
        <w:rPr>
          <w:rFonts w:ascii="宋体" w:hAnsi="宋体"/>
          <w:szCs w:val="21"/>
        </w:rPr>
      </w:pPr>
      <w:r>
        <w:rPr>
          <w:rFonts w:hint="eastAsia" w:ascii="宋体" w:hAnsi="宋体"/>
          <w:szCs w:val="21"/>
        </w:rPr>
        <w:t>（d）构件焊毕修整后，整体曲翘度不得大于8MM；</w:t>
      </w:r>
    </w:p>
    <w:p>
      <w:pPr>
        <w:ind w:firstLine="420" w:firstLineChars="200"/>
        <w:rPr>
          <w:rFonts w:ascii="宋体" w:hAnsi="宋体"/>
          <w:szCs w:val="21"/>
        </w:rPr>
      </w:pPr>
      <w:r>
        <w:rPr>
          <w:rFonts w:hint="eastAsia" w:ascii="宋体" w:hAnsi="宋体"/>
          <w:szCs w:val="21"/>
        </w:rPr>
        <w:t>（e）工艺必须符合国家标准GB18704-2002；</w:t>
      </w:r>
    </w:p>
    <w:p>
      <w:pPr>
        <w:ind w:firstLine="420" w:firstLineChars="200"/>
        <w:rPr>
          <w:rFonts w:ascii="宋体" w:hAnsi="宋体"/>
          <w:szCs w:val="21"/>
        </w:rPr>
      </w:pPr>
      <w:r>
        <w:rPr>
          <w:rFonts w:hint="eastAsia" w:ascii="宋体" w:hAnsi="宋体"/>
          <w:szCs w:val="21"/>
        </w:rPr>
        <w:t>（f）护栏整体热镀锌，再进行静电喷涂处理。单立柱要求安装四个反光标（尺寸以图纸为主）；</w:t>
      </w:r>
    </w:p>
    <w:p>
      <w:pPr>
        <w:ind w:firstLine="420" w:firstLineChars="200"/>
        <w:rPr>
          <w:rFonts w:ascii="宋体" w:hAnsi="宋体"/>
          <w:szCs w:val="21"/>
        </w:rPr>
      </w:pPr>
      <w:r>
        <w:rPr>
          <w:rFonts w:hint="eastAsia" w:ascii="宋体" w:hAnsi="宋体"/>
          <w:szCs w:val="21"/>
        </w:rPr>
        <w:t>（g）护栏钢制部分表面处理采用静电粉末喷涂工艺，第一层涂料为环氧富锌粉末喷涂，第二层涂料为聚酯户外、耐候性粉末喷涂（国际灰颜色：灰色RAL7015），表面涂层平滑、无凹坑、无滴漏、不露青、变色和泛色；</w:t>
      </w:r>
    </w:p>
    <w:p>
      <w:pPr>
        <w:ind w:firstLine="420" w:firstLineChars="200"/>
        <w:rPr>
          <w:rFonts w:hint="eastAsia" w:ascii="宋体" w:hAnsi="宋体"/>
          <w:szCs w:val="21"/>
        </w:rPr>
      </w:pPr>
      <w:r>
        <w:rPr>
          <w:rFonts w:hint="eastAsia" w:ascii="宋体" w:hAnsi="宋体"/>
          <w:szCs w:val="21"/>
        </w:rPr>
        <w:t>（h）立柱下部采用钢板法兰构成一体。与地面连接采用4个长10×100mm膨胀螺钉固定。立柱盖板采用方形圆角一体成型工艺。</w:t>
      </w:r>
    </w:p>
    <w:p>
      <w:pPr>
        <w:rPr>
          <w:rFonts w:hint="eastAsia" w:ascii="宋体" w:hAnsi="宋体"/>
          <w:lang/>
        </w:rPr>
      </w:pPr>
      <w:r>
        <w:rPr>
          <w:rFonts w:ascii="宋体" w:hAnsi="宋体"/>
          <w:lang/>
        </w:rPr>
        <w:drawing>
          <wp:inline distT="0" distB="0" distL="114300" distR="114300">
            <wp:extent cx="5267960" cy="3554730"/>
            <wp:effectExtent l="0" t="0" r="8890" b="7620"/>
            <wp:docPr id="14" name="图片 13" descr="C:\Users\admin\Desktop\lADPDgtYwfRZQ0PNB33NCxk_2841_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C:\Users\admin\Desktop\lADPDgtYwfRZQ0PNB33NCxk_2841_1917.jpg"/>
                    <pic:cNvPicPr>
                      <a:picLocks noChangeAspect="1"/>
                    </pic:cNvPicPr>
                  </pic:nvPicPr>
                  <pic:blipFill>
                    <a:blip r:embed="rId27"/>
                    <a:stretch>
                      <a:fillRect/>
                    </a:stretch>
                  </pic:blipFill>
                  <pic:spPr>
                    <a:xfrm>
                      <a:off x="0" y="0"/>
                      <a:ext cx="5267960" cy="3554730"/>
                    </a:xfrm>
                    <a:prstGeom prst="rect">
                      <a:avLst/>
                    </a:prstGeom>
                    <a:noFill/>
                    <a:ln>
                      <a:noFill/>
                    </a:ln>
                  </pic:spPr>
                </pic:pic>
              </a:graphicData>
            </a:graphic>
          </wp:inline>
        </w:drawing>
      </w:r>
    </w:p>
    <w:p>
      <w:pPr>
        <w:ind w:firstLine="420" w:firstLineChars="200"/>
        <w:rPr>
          <w:rFonts w:hint="eastAsia" w:ascii="宋体" w:hAnsi="宋体"/>
          <w:lang/>
        </w:rPr>
      </w:pPr>
    </w:p>
    <w:p>
      <w:pPr>
        <w:ind w:firstLine="420" w:firstLineChars="200"/>
        <w:rPr>
          <w:rFonts w:ascii="宋体" w:hAnsi="宋体"/>
          <w:b/>
          <w:bCs/>
          <w:szCs w:val="21"/>
        </w:rPr>
      </w:pPr>
      <w:r>
        <w:rPr>
          <w:rFonts w:ascii="宋体" w:hAnsi="宋体"/>
        </w:rPr>
        <w:br w:type="page"/>
      </w:r>
      <w:r>
        <w:rPr>
          <w:rFonts w:hint="eastAsia" w:ascii="宋体" w:hAnsi="宋体"/>
          <w:b/>
          <w:bCs/>
          <w:szCs w:val="21"/>
        </w:rPr>
        <w:t>（2）</w:t>
      </w:r>
      <w:r>
        <w:rPr>
          <w:rFonts w:ascii="宋体" w:hAnsi="宋体"/>
          <w:b/>
          <w:bCs/>
          <w:szCs w:val="21"/>
        </w:rPr>
        <w:t>1100</w:t>
      </w:r>
      <w:r>
        <w:rPr>
          <w:rFonts w:hint="eastAsia" w:ascii="宋体" w:hAnsi="宋体"/>
          <w:b/>
          <w:bCs/>
          <w:szCs w:val="21"/>
        </w:rPr>
        <w:t>cm船桨式镀锌钢静电喷涂护栏（整体热镀锌）</w:t>
      </w:r>
    </w:p>
    <w:p>
      <w:pPr>
        <w:ind w:firstLine="420" w:firstLineChars="200"/>
        <w:rPr>
          <w:rFonts w:hint="eastAsia" w:ascii="宋体" w:hAnsi="宋体"/>
          <w:szCs w:val="21"/>
        </w:rPr>
      </w:pPr>
      <w:r>
        <w:rPr>
          <w:rFonts w:hint="eastAsia" w:ascii="宋体" w:hAnsi="宋体"/>
          <w:szCs w:val="21"/>
        </w:rPr>
        <w:t>规格要求</w:t>
      </w:r>
    </w:p>
    <w:p>
      <w:pPr>
        <w:rPr>
          <w:rFonts w:ascii="宋体" w:hAnsi="宋体"/>
          <w:lang/>
        </w:rPr>
      </w:pPr>
      <w:r>
        <w:rPr>
          <w:rFonts w:ascii="宋体" w:hAnsi="宋体"/>
          <w:lang/>
        </w:rPr>
        <w:drawing>
          <wp:inline distT="0" distB="0" distL="114300" distR="114300">
            <wp:extent cx="5796280" cy="4010660"/>
            <wp:effectExtent l="0" t="0" r="13970" b="8890"/>
            <wp:docPr id="15" name="图片 1" descr="说明: 船桨护栏CAD定稿1-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说明: 船桨护栏CAD定稿1-Model"/>
                    <pic:cNvPicPr>
                      <a:picLocks noChangeAspect="1"/>
                    </pic:cNvPicPr>
                  </pic:nvPicPr>
                  <pic:blipFill>
                    <a:blip r:embed="rId28"/>
                    <a:stretch>
                      <a:fillRect/>
                    </a:stretch>
                  </pic:blipFill>
                  <pic:spPr>
                    <a:xfrm>
                      <a:off x="0" y="0"/>
                      <a:ext cx="5796280" cy="4010660"/>
                    </a:xfrm>
                    <a:prstGeom prst="rect">
                      <a:avLst/>
                    </a:prstGeom>
                    <a:noFill/>
                    <a:ln>
                      <a:noFill/>
                    </a:ln>
                  </pic:spPr>
                </pic:pic>
              </a:graphicData>
            </a:graphic>
          </wp:inline>
        </w:drawing>
      </w:r>
    </w:p>
    <w:p>
      <w:pPr>
        <w:ind w:firstLine="420" w:firstLineChars="200"/>
        <w:rPr>
          <w:rFonts w:hint="eastAsia" w:ascii="宋体" w:hAnsi="宋体"/>
          <w:lang/>
        </w:rPr>
      </w:pPr>
    </w:p>
    <w:p>
      <w:pPr>
        <w:rPr>
          <w:rFonts w:hint="eastAsia" w:ascii="宋体" w:hAnsi="宋体"/>
          <w:lang/>
        </w:rPr>
      </w:pPr>
      <w:r>
        <w:rPr>
          <w:rFonts w:ascii="宋体" w:hAnsi="宋体"/>
          <w:lang/>
        </w:rPr>
        <w:drawing>
          <wp:inline distT="0" distB="0" distL="114300" distR="114300">
            <wp:extent cx="5819140" cy="4077970"/>
            <wp:effectExtent l="0" t="0" r="10160" b="17780"/>
            <wp:docPr id="16" name="图片 4" descr="说明: 船桨护栏CAD定稿2-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说明: 船桨护栏CAD定稿2-Model"/>
                    <pic:cNvPicPr>
                      <a:picLocks noChangeAspect="1"/>
                    </pic:cNvPicPr>
                  </pic:nvPicPr>
                  <pic:blipFill>
                    <a:blip r:embed="rId29"/>
                    <a:stretch>
                      <a:fillRect/>
                    </a:stretch>
                  </pic:blipFill>
                  <pic:spPr>
                    <a:xfrm>
                      <a:off x="0" y="0"/>
                      <a:ext cx="5819140" cy="4077970"/>
                    </a:xfrm>
                    <a:prstGeom prst="rect">
                      <a:avLst/>
                    </a:prstGeom>
                    <a:noFill/>
                    <a:ln>
                      <a:noFill/>
                    </a:ln>
                  </pic:spPr>
                </pic:pic>
              </a:graphicData>
            </a:graphic>
          </wp:inline>
        </w:drawing>
      </w:r>
    </w:p>
    <w:p>
      <w:pPr>
        <w:rPr>
          <w:rFonts w:ascii="宋体" w:hAnsi="宋体"/>
          <w:lang/>
        </w:rPr>
      </w:pPr>
      <w:r>
        <w:rPr>
          <w:rFonts w:ascii="宋体" w:hAnsi="宋体"/>
          <w:lang/>
        </w:rPr>
        <w:drawing>
          <wp:inline distT="0" distB="0" distL="114300" distR="114300">
            <wp:extent cx="5744845" cy="3981450"/>
            <wp:effectExtent l="0" t="0" r="8255" b="0"/>
            <wp:docPr id="17" name="图片 5" descr="说明: 船桨护栏CAD定稿3-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descr="说明: 船桨护栏CAD定稿3-Model"/>
                    <pic:cNvPicPr>
                      <a:picLocks noChangeAspect="1"/>
                    </pic:cNvPicPr>
                  </pic:nvPicPr>
                  <pic:blipFill>
                    <a:blip r:embed="rId30"/>
                    <a:stretch>
                      <a:fillRect/>
                    </a:stretch>
                  </pic:blipFill>
                  <pic:spPr>
                    <a:xfrm>
                      <a:off x="0" y="0"/>
                      <a:ext cx="5744845" cy="3981450"/>
                    </a:xfrm>
                    <a:prstGeom prst="rect">
                      <a:avLst/>
                    </a:prstGeom>
                    <a:noFill/>
                    <a:ln>
                      <a:noFill/>
                    </a:ln>
                  </pic:spPr>
                </pic:pic>
              </a:graphicData>
            </a:graphic>
          </wp:inline>
        </w:drawing>
      </w:r>
    </w:p>
    <w:p>
      <w:pPr>
        <w:ind w:firstLine="420" w:firstLineChars="200"/>
        <w:rPr>
          <w:rFonts w:hint="eastAsia" w:ascii="宋体" w:hAnsi="宋体"/>
          <w:lang/>
        </w:rPr>
      </w:pPr>
    </w:p>
    <w:p>
      <w:pPr>
        <w:rPr>
          <w:rFonts w:hint="eastAsia" w:ascii="宋体" w:hAnsi="宋体"/>
          <w:lang/>
        </w:rPr>
      </w:pPr>
      <w:r>
        <w:rPr>
          <w:rFonts w:ascii="宋体" w:hAnsi="宋体"/>
          <w:lang/>
        </w:rPr>
        <w:drawing>
          <wp:inline distT="0" distB="0" distL="114300" distR="114300">
            <wp:extent cx="5729605" cy="3965575"/>
            <wp:effectExtent l="0" t="0" r="4445" b="15875"/>
            <wp:docPr id="18" name="图片 6" descr="说明: 船桨护栏CAD定稿4-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说明: 船桨护栏CAD定稿4-Model"/>
                    <pic:cNvPicPr>
                      <a:picLocks noChangeAspect="1"/>
                    </pic:cNvPicPr>
                  </pic:nvPicPr>
                  <pic:blipFill>
                    <a:blip r:embed="rId31"/>
                    <a:stretch>
                      <a:fillRect/>
                    </a:stretch>
                  </pic:blipFill>
                  <pic:spPr>
                    <a:xfrm>
                      <a:off x="0" y="0"/>
                      <a:ext cx="5729605" cy="3965575"/>
                    </a:xfrm>
                    <a:prstGeom prst="rect">
                      <a:avLst/>
                    </a:prstGeom>
                    <a:noFill/>
                    <a:ln>
                      <a:noFill/>
                    </a:ln>
                  </pic:spPr>
                </pic:pic>
              </a:graphicData>
            </a:graphic>
          </wp:inline>
        </w:drawing>
      </w:r>
    </w:p>
    <w:p>
      <w:pPr>
        <w:rPr>
          <w:rFonts w:hint="eastAsia" w:ascii="宋体" w:hAnsi="宋体"/>
          <w:lang/>
        </w:rPr>
      </w:pPr>
      <w:r>
        <w:rPr>
          <w:rFonts w:ascii="宋体" w:hAnsi="宋体"/>
          <w:lang/>
        </w:rPr>
        <w:drawing>
          <wp:inline distT="0" distB="0" distL="114300" distR="114300">
            <wp:extent cx="5739765" cy="3969385"/>
            <wp:effectExtent l="0" t="0" r="13335" b="12065"/>
            <wp:docPr id="19" name="图片 7" descr="说明: 船桨护栏CAD定稿5-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说明: 船桨护栏CAD定稿5-Model"/>
                    <pic:cNvPicPr>
                      <a:picLocks noChangeAspect="1"/>
                    </pic:cNvPicPr>
                  </pic:nvPicPr>
                  <pic:blipFill>
                    <a:blip r:embed="rId32"/>
                    <a:stretch>
                      <a:fillRect/>
                    </a:stretch>
                  </pic:blipFill>
                  <pic:spPr>
                    <a:xfrm>
                      <a:off x="0" y="0"/>
                      <a:ext cx="5739765" cy="3969385"/>
                    </a:xfrm>
                    <a:prstGeom prst="rect">
                      <a:avLst/>
                    </a:prstGeom>
                    <a:noFill/>
                    <a:ln>
                      <a:noFill/>
                    </a:ln>
                  </pic:spPr>
                </pic:pic>
              </a:graphicData>
            </a:graphic>
          </wp:inline>
        </w:drawing>
      </w:r>
    </w:p>
    <w:p>
      <w:pPr>
        <w:ind w:firstLine="420" w:firstLineChars="200"/>
        <w:rPr>
          <w:rFonts w:ascii="宋体" w:hAnsi="宋体"/>
          <w:lang w:val="zh-CN"/>
        </w:rPr>
      </w:pPr>
    </w:p>
    <w:p>
      <w:pPr>
        <w:rPr>
          <w:rFonts w:ascii="宋体" w:hAnsi="宋体"/>
          <w:lang/>
        </w:rPr>
      </w:pPr>
      <w:r>
        <w:rPr>
          <w:rFonts w:ascii="宋体" w:hAnsi="宋体"/>
          <w:lang/>
        </w:rPr>
        <w:drawing>
          <wp:inline distT="0" distB="0" distL="114300" distR="114300">
            <wp:extent cx="5678170" cy="1753235"/>
            <wp:effectExtent l="0" t="0" r="17780" b="18415"/>
            <wp:docPr id="20" name="图片 9" descr="说明: 表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descr="说明: 表格"/>
                    <pic:cNvPicPr>
                      <a:picLocks noChangeAspect="1"/>
                    </pic:cNvPicPr>
                  </pic:nvPicPr>
                  <pic:blipFill>
                    <a:blip r:embed="rId33"/>
                    <a:stretch>
                      <a:fillRect/>
                    </a:stretch>
                  </pic:blipFill>
                  <pic:spPr>
                    <a:xfrm>
                      <a:off x="0" y="0"/>
                      <a:ext cx="5678170" cy="1753235"/>
                    </a:xfrm>
                    <a:prstGeom prst="rect">
                      <a:avLst/>
                    </a:prstGeom>
                    <a:noFill/>
                    <a:ln>
                      <a:noFill/>
                    </a:ln>
                  </pic:spPr>
                </pic:pic>
              </a:graphicData>
            </a:graphic>
          </wp:inline>
        </w:drawing>
      </w:r>
    </w:p>
    <w:p>
      <w:pPr>
        <w:ind w:firstLine="420" w:firstLineChars="200"/>
        <w:rPr>
          <w:rFonts w:ascii="宋体" w:hAnsi="宋体"/>
          <w:szCs w:val="21"/>
        </w:rPr>
      </w:pPr>
      <w:r>
        <w:rPr>
          <w:rFonts w:hint="eastAsia" w:ascii="宋体" w:hAnsi="宋体"/>
          <w:szCs w:val="21"/>
        </w:rPr>
        <w:t>技术要求：</w:t>
      </w:r>
    </w:p>
    <w:p>
      <w:pPr>
        <w:ind w:firstLine="420" w:firstLineChars="200"/>
        <w:rPr>
          <w:rFonts w:ascii="宋体" w:hAnsi="宋体"/>
          <w:szCs w:val="21"/>
        </w:rPr>
      </w:pPr>
      <w:r>
        <w:rPr>
          <w:rFonts w:hint="eastAsia" w:ascii="宋体" w:hAnsi="宋体"/>
          <w:szCs w:val="21"/>
        </w:rPr>
        <w:t>（a）具体规格、尺寸按照上图所示；</w:t>
      </w:r>
    </w:p>
    <w:p>
      <w:pPr>
        <w:ind w:firstLine="420" w:firstLineChars="200"/>
        <w:rPr>
          <w:rFonts w:ascii="宋体" w:hAnsi="宋体"/>
          <w:szCs w:val="21"/>
        </w:rPr>
      </w:pPr>
      <w:r>
        <w:rPr>
          <w:rFonts w:hint="eastAsia" w:ascii="宋体" w:hAnsi="宋体"/>
          <w:szCs w:val="21"/>
        </w:rPr>
        <w:t>（b）制作前要求各单体平整，并除去毛刺锈迹；</w:t>
      </w:r>
    </w:p>
    <w:p>
      <w:pPr>
        <w:ind w:firstLine="420" w:firstLineChars="200"/>
        <w:rPr>
          <w:rFonts w:ascii="宋体" w:hAnsi="宋体"/>
          <w:szCs w:val="21"/>
        </w:rPr>
      </w:pPr>
      <w:r>
        <w:rPr>
          <w:rFonts w:hint="eastAsia" w:ascii="宋体" w:hAnsi="宋体"/>
          <w:szCs w:val="21"/>
        </w:rPr>
        <w:t>（c）焊接部位要求焊接缝过渡圆滑，无夹渣，虚焊，气孔等缺陷；</w:t>
      </w:r>
    </w:p>
    <w:p>
      <w:pPr>
        <w:ind w:firstLine="420" w:firstLineChars="200"/>
        <w:rPr>
          <w:rFonts w:ascii="宋体" w:hAnsi="宋体"/>
          <w:szCs w:val="21"/>
        </w:rPr>
      </w:pPr>
      <w:r>
        <w:rPr>
          <w:rFonts w:hint="eastAsia" w:ascii="宋体" w:hAnsi="宋体"/>
          <w:szCs w:val="21"/>
        </w:rPr>
        <w:t>（d）构件焊毕修整后，整体曲翘度不得大于8MM；</w:t>
      </w:r>
    </w:p>
    <w:p>
      <w:pPr>
        <w:ind w:firstLine="420" w:firstLineChars="200"/>
        <w:rPr>
          <w:rFonts w:ascii="宋体" w:hAnsi="宋体"/>
          <w:szCs w:val="21"/>
        </w:rPr>
      </w:pPr>
      <w:r>
        <w:rPr>
          <w:rFonts w:hint="eastAsia" w:ascii="宋体" w:hAnsi="宋体"/>
          <w:szCs w:val="21"/>
        </w:rPr>
        <w:t>（e）工艺必须符合国家标准GB18704-2002；</w:t>
      </w:r>
    </w:p>
    <w:p>
      <w:pPr>
        <w:ind w:firstLine="420" w:firstLineChars="200"/>
        <w:rPr>
          <w:rFonts w:ascii="宋体" w:hAnsi="宋体"/>
          <w:szCs w:val="21"/>
        </w:rPr>
      </w:pPr>
      <w:r>
        <w:rPr>
          <w:rFonts w:hint="eastAsia" w:ascii="宋体" w:hAnsi="宋体"/>
          <w:szCs w:val="21"/>
        </w:rPr>
        <w:t>（f）护栏整体热镀锌，再进行静电喷涂处理。单立柱要求安装四个反光标（尺寸以图纸为主）；</w:t>
      </w:r>
    </w:p>
    <w:p>
      <w:pPr>
        <w:ind w:firstLine="420" w:firstLineChars="200"/>
        <w:rPr>
          <w:rFonts w:ascii="宋体" w:hAnsi="宋体"/>
          <w:szCs w:val="21"/>
        </w:rPr>
      </w:pPr>
      <w:r>
        <w:rPr>
          <w:rFonts w:hint="eastAsia" w:ascii="宋体" w:hAnsi="宋体"/>
          <w:szCs w:val="21"/>
        </w:rPr>
        <w:t>（g）护栏钢制部分表面处理采用静电粉末喷涂工艺，第一层涂料为环氧富锌粉末喷涂，第二层涂料为聚酯户外、耐候性粉末喷涂（国际灰颜色：灰色RAL7015），表面涂层平滑、无凹坑、无滴漏、不露青、变色和泛色；</w:t>
      </w:r>
    </w:p>
    <w:p>
      <w:pPr>
        <w:ind w:firstLine="420" w:firstLineChars="200"/>
        <w:rPr>
          <w:rFonts w:hint="eastAsia" w:ascii="宋体" w:hAnsi="宋体"/>
          <w:szCs w:val="21"/>
        </w:rPr>
      </w:pPr>
      <w:r>
        <w:rPr>
          <w:rFonts w:hint="eastAsia" w:ascii="宋体" w:hAnsi="宋体"/>
          <w:szCs w:val="21"/>
        </w:rPr>
        <w:t>（h）立柱下部采用钢板法兰构成一体。与地面连接采用4个长10×100mm膨胀螺钉固定。立柱盖板采用方形圆角一体成型工艺。</w:t>
      </w:r>
    </w:p>
    <w:p>
      <w:pPr>
        <w:ind w:firstLine="422" w:firstLineChars="200"/>
        <w:rPr>
          <w:rFonts w:hint="eastAsia" w:ascii="宋体" w:hAnsi="宋体"/>
          <w:b/>
          <w:bCs/>
          <w:szCs w:val="21"/>
        </w:rPr>
      </w:pPr>
      <w:r>
        <w:rPr>
          <w:rFonts w:hint="eastAsia" w:ascii="宋体" w:hAnsi="宋体"/>
          <w:b/>
          <w:bCs/>
          <w:szCs w:val="21"/>
        </w:rPr>
        <w:t>6、护栏端头警示柱（弹性防撞柱）</w:t>
      </w:r>
    </w:p>
    <w:p>
      <w:pPr>
        <w:ind w:firstLine="422" w:firstLineChars="200"/>
        <w:rPr>
          <w:rFonts w:ascii="宋体" w:hAnsi="宋体"/>
          <w:b/>
          <w:bCs/>
          <w:szCs w:val="21"/>
        </w:rPr>
      </w:pPr>
      <w:r>
        <w:rPr>
          <w:rFonts w:hint="eastAsia" w:ascii="宋体" w:hAnsi="宋体"/>
          <w:b/>
          <w:bCs/>
          <w:szCs w:val="21"/>
        </w:rPr>
        <w:t>（1）D13-H80弹性防撞柱：</w:t>
      </w:r>
    </w:p>
    <w:p>
      <w:pPr>
        <w:ind w:firstLine="422" w:firstLineChars="200"/>
        <w:rPr>
          <w:rFonts w:ascii="宋体" w:hAnsi="宋体"/>
          <w:b/>
          <w:bCs/>
          <w:szCs w:val="21"/>
        </w:rPr>
      </w:pPr>
      <w:r>
        <w:rPr>
          <w:rFonts w:hint="eastAsia" w:ascii="宋体" w:hAnsi="宋体"/>
          <w:b/>
          <w:bCs/>
          <w:szCs w:val="21"/>
        </w:rPr>
        <w:t>规格要求：</w:t>
      </w:r>
    </w:p>
    <w:tbl>
      <w:tblPr>
        <w:tblStyle w:val="53"/>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3"/>
        <w:gridCol w:w="1555"/>
        <w:gridCol w:w="1442"/>
        <w:gridCol w:w="1835"/>
        <w:gridCol w:w="1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58" w:hRule="atLeast"/>
        </w:trPr>
        <w:tc>
          <w:tcPr>
            <w:tcW w:w="2413" w:type="dxa"/>
            <w:noWrap w:val="0"/>
            <w:vAlign w:val="center"/>
          </w:tcPr>
          <w:p>
            <w:pPr>
              <w:spacing w:after="60" w:afterLines="25" w:line="360" w:lineRule="exact"/>
              <w:jc w:val="center"/>
              <w:rPr>
                <w:rFonts w:ascii="宋体" w:hAnsi="宋体"/>
              </w:rPr>
            </w:pPr>
            <w:r>
              <w:rPr>
                <w:rFonts w:hint="eastAsia" w:ascii="宋体" w:hAnsi="宋体"/>
              </w:rPr>
              <w:t>型号</w:t>
            </w:r>
          </w:p>
        </w:tc>
        <w:tc>
          <w:tcPr>
            <w:tcW w:w="1555" w:type="dxa"/>
            <w:noWrap w:val="0"/>
            <w:vAlign w:val="center"/>
          </w:tcPr>
          <w:p>
            <w:pPr>
              <w:spacing w:after="60" w:afterLines="25" w:line="360" w:lineRule="exact"/>
              <w:jc w:val="center"/>
              <w:rPr>
                <w:rFonts w:hint="eastAsia" w:ascii="宋体" w:hAnsi="宋体"/>
              </w:rPr>
            </w:pPr>
            <w:r>
              <w:rPr>
                <w:rFonts w:hint="eastAsia" w:ascii="宋体" w:hAnsi="宋体"/>
              </w:rPr>
              <w:t>高度</w:t>
            </w:r>
          </w:p>
        </w:tc>
        <w:tc>
          <w:tcPr>
            <w:tcW w:w="1442" w:type="dxa"/>
            <w:noWrap w:val="0"/>
            <w:vAlign w:val="center"/>
          </w:tcPr>
          <w:p>
            <w:pPr>
              <w:spacing w:after="60" w:afterLines="25" w:line="360" w:lineRule="exact"/>
              <w:jc w:val="center"/>
              <w:rPr>
                <w:rFonts w:ascii="宋体" w:hAnsi="宋体"/>
              </w:rPr>
            </w:pPr>
            <w:r>
              <w:rPr>
                <w:rFonts w:hint="eastAsia" w:ascii="宋体" w:hAnsi="宋体"/>
              </w:rPr>
              <w:t>柱径</w:t>
            </w:r>
          </w:p>
        </w:tc>
        <w:tc>
          <w:tcPr>
            <w:tcW w:w="1835" w:type="dxa"/>
            <w:noWrap w:val="0"/>
            <w:vAlign w:val="center"/>
          </w:tcPr>
          <w:p>
            <w:pPr>
              <w:spacing w:after="60" w:afterLines="25" w:line="360" w:lineRule="exact"/>
              <w:jc w:val="center"/>
              <w:rPr>
                <w:rFonts w:ascii="宋体" w:hAnsi="宋体"/>
              </w:rPr>
            </w:pPr>
            <w:r>
              <w:rPr>
                <w:rFonts w:hint="eastAsia" w:ascii="宋体" w:hAnsi="宋体"/>
              </w:rPr>
              <w:t>反光膜尺寸</w:t>
            </w:r>
          </w:p>
        </w:tc>
        <w:tc>
          <w:tcPr>
            <w:tcW w:w="1544" w:type="dxa"/>
            <w:noWrap w:val="0"/>
            <w:vAlign w:val="center"/>
          </w:tcPr>
          <w:p>
            <w:pPr>
              <w:spacing w:after="60" w:afterLines="25" w:line="360" w:lineRule="exact"/>
              <w:jc w:val="center"/>
              <w:rPr>
                <w:rFonts w:ascii="宋体" w:hAnsi="宋体"/>
              </w:rPr>
            </w:pPr>
            <w:r>
              <w:rPr>
                <w:rFonts w:hint="eastAsia" w:ascii="宋体" w:hAnsi="宋体"/>
              </w:rPr>
              <w:t>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92" w:hRule="atLeast"/>
        </w:trPr>
        <w:tc>
          <w:tcPr>
            <w:tcW w:w="2413" w:type="dxa"/>
            <w:noWrap w:val="0"/>
            <w:vAlign w:val="center"/>
          </w:tcPr>
          <w:p>
            <w:pPr>
              <w:spacing w:after="60" w:afterLines="25" w:line="360" w:lineRule="exact"/>
              <w:jc w:val="center"/>
              <w:rPr>
                <w:rFonts w:ascii="宋体" w:hAnsi="宋体"/>
              </w:rPr>
            </w:pPr>
            <w:r>
              <w:rPr>
                <w:rFonts w:hint="eastAsia" w:ascii="宋体" w:hAnsi="宋体"/>
              </w:rPr>
              <w:t>D13-H80</w:t>
            </w:r>
          </w:p>
        </w:tc>
        <w:tc>
          <w:tcPr>
            <w:tcW w:w="1555" w:type="dxa"/>
            <w:noWrap w:val="0"/>
            <w:vAlign w:val="center"/>
          </w:tcPr>
          <w:p>
            <w:pPr>
              <w:spacing w:after="60" w:afterLines="25" w:line="360" w:lineRule="exact"/>
              <w:jc w:val="center"/>
              <w:rPr>
                <w:rFonts w:ascii="宋体" w:hAnsi="宋体"/>
              </w:rPr>
            </w:pPr>
            <w:r>
              <w:rPr>
                <w:rFonts w:hint="eastAsia" w:ascii="宋体" w:hAnsi="宋体"/>
              </w:rPr>
              <w:t>80CM</w:t>
            </w:r>
          </w:p>
        </w:tc>
        <w:tc>
          <w:tcPr>
            <w:tcW w:w="1442" w:type="dxa"/>
            <w:noWrap w:val="0"/>
            <w:vAlign w:val="center"/>
          </w:tcPr>
          <w:p>
            <w:pPr>
              <w:spacing w:after="60" w:afterLines="25" w:line="360" w:lineRule="exact"/>
              <w:jc w:val="center"/>
              <w:rPr>
                <w:rFonts w:ascii="宋体" w:hAnsi="宋体"/>
              </w:rPr>
            </w:pPr>
            <w:r>
              <w:rPr>
                <w:rFonts w:hint="eastAsia" w:ascii="宋体" w:hAnsi="宋体"/>
              </w:rPr>
              <w:t>13CM</w:t>
            </w:r>
          </w:p>
        </w:tc>
        <w:tc>
          <w:tcPr>
            <w:tcW w:w="1835" w:type="dxa"/>
            <w:noWrap w:val="0"/>
            <w:vAlign w:val="center"/>
          </w:tcPr>
          <w:p>
            <w:pPr>
              <w:spacing w:after="60" w:afterLines="25" w:line="360" w:lineRule="exact"/>
              <w:jc w:val="center"/>
              <w:rPr>
                <w:rFonts w:ascii="宋体" w:hAnsi="宋体"/>
              </w:rPr>
            </w:pPr>
            <w:r>
              <w:rPr>
                <w:rFonts w:hint="eastAsia" w:ascii="宋体" w:hAnsi="宋体"/>
              </w:rPr>
              <w:t>20CM×2条</w:t>
            </w:r>
          </w:p>
        </w:tc>
        <w:tc>
          <w:tcPr>
            <w:tcW w:w="1544" w:type="dxa"/>
            <w:noWrap w:val="0"/>
            <w:vAlign w:val="center"/>
          </w:tcPr>
          <w:p>
            <w:pPr>
              <w:spacing w:after="60" w:afterLines="25" w:line="360" w:lineRule="exact"/>
              <w:jc w:val="center"/>
              <w:rPr>
                <w:rFonts w:ascii="宋体" w:hAnsi="宋体"/>
              </w:rPr>
            </w:pPr>
            <w:r>
              <w:rPr>
                <w:rFonts w:hint="eastAsia" w:ascii="宋体" w:hAnsi="宋体"/>
              </w:rPr>
              <w:t>2.0KG</w:t>
            </w:r>
          </w:p>
        </w:tc>
      </w:tr>
    </w:tbl>
    <w:p>
      <w:pPr>
        <w:ind w:firstLine="420" w:firstLineChars="200"/>
        <w:rPr>
          <w:rFonts w:ascii="宋体" w:hAnsi="宋体"/>
          <w:lang/>
        </w:rPr>
      </w:pPr>
    </w:p>
    <w:p>
      <w:pPr>
        <w:rPr>
          <w:rFonts w:ascii="宋体" w:hAnsi="宋体"/>
        </w:rPr>
      </w:pPr>
      <w:r>
        <w:rPr>
          <w:rFonts w:ascii="宋体" w:hAnsi="宋体"/>
          <w:lang/>
        </w:rPr>
        <w:drawing>
          <wp:inline distT="0" distB="0" distL="114300" distR="114300">
            <wp:extent cx="5627370" cy="3982085"/>
            <wp:effectExtent l="0" t="0" r="11430" b="1841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34"/>
                    <a:stretch>
                      <a:fillRect/>
                    </a:stretch>
                  </pic:blipFill>
                  <pic:spPr>
                    <a:xfrm>
                      <a:off x="0" y="0"/>
                      <a:ext cx="5627370" cy="3982085"/>
                    </a:xfrm>
                    <a:prstGeom prst="rect">
                      <a:avLst/>
                    </a:prstGeom>
                    <a:noFill/>
                    <a:ln>
                      <a:noFill/>
                    </a:ln>
                  </pic:spPr>
                </pic:pic>
              </a:graphicData>
            </a:graphic>
          </wp:inline>
        </w:drawing>
      </w:r>
    </w:p>
    <w:p>
      <w:pPr>
        <w:ind w:firstLine="422" w:firstLineChars="200"/>
        <w:rPr>
          <w:rFonts w:ascii="宋体" w:hAnsi="宋体"/>
          <w:b/>
          <w:bCs/>
          <w:szCs w:val="21"/>
        </w:rPr>
      </w:pPr>
      <w:r>
        <w:rPr>
          <w:rFonts w:hint="eastAsia" w:ascii="宋体" w:hAnsi="宋体"/>
          <w:b/>
          <w:bCs/>
          <w:szCs w:val="21"/>
        </w:rPr>
        <w:t>技术指标：</w:t>
      </w:r>
    </w:p>
    <w:p>
      <w:pPr>
        <w:ind w:firstLine="420" w:firstLineChars="200"/>
        <w:rPr>
          <w:rFonts w:ascii="宋体" w:hAnsi="宋体"/>
          <w:szCs w:val="21"/>
        </w:rPr>
      </w:pPr>
      <w:r>
        <w:rPr>
          <w:rFonts w:hint="eastAsia" w:ascii="宋体" w:hAnsi="宋体"/>
          <w:szCs w:val="21"/>
        </w:rPr>
        <w:t>（a）采用全新TPU高性能材料制成，通体壁厚不小于3</w:t>
      </w:r>
      <w:r>
        <w:rPr>
          <w:rFonts w:ascii="宋体" w:hAnsi="宋体"/>
          <w:szCs w:val="21"/>
        </w:rPr>
        <w:t>.7</w:t>
      </w:r>
      <w:r>
        <w:rPr>
          <w:rFonts w:hint="eastAsia" w:ascii="宋体" w:hAnsi="宋体"/>
          <w:szCs w:val="21"/>
        </w:rPr>
        <w:t>mm；</w:t>
      </w:r>
    </w:p>
    <w:p>
      <w:pPr>
        <w:ind w:firstLine="420" w:firstLineChars="200"/>
        <w:rPr>
          <w:rFonts w:ascii="宋体" w:hAnsi="宋体"/>
          <w:szCs w:val="21"/>
        </w:rPr>
      </w:pPr>
      <w:r>
        <w:rPr>
          <w:rFonts w:hint="eastAsia" w:ascii="宋体" w:hAnsi="宋体"/>
          <w:szCs w:val="21"/>
        </w:rPr>
        <w:t>（b）抗撞击，车辆碾压后可回弹；</w:t>
      </w:r>
    </w:p>
    <w:p>
      <w:pPr>
        <w:ind w:firstLine="420" w:firstLineChars="200"/>
        <w:rPr>
          <w:rFonts w:ascii="宋体" w:hAnsi="宋体"/>
          <w:szCs w:val="21"/>
        </w:rPr>
      </w:pPr>
      <w:r>
        <w:rPr>
          <w:rFonts w:hint="eastAsia" w:ascii="宋体" w:hAnsi="宋体"/>
          <w:szCs w:val="21"/>
        </w:rPr>
        <w:t>（c）柱体保持2年以上不褪色；</w:t>
      </w:r>
    </w:p>
    <w:p>
      <w:pPr>
        <w:ind w:firstLine="420" w:firstLineChars="200"/>
        <w:rPr>
          <w:rFonts w:ascii="宋体" w:hAnsi="宋体"/>
          <w:szCs w:val="21"/>
        </w:rPr>
      </w:pPr>
      <w:r>
        <w:rPr>
          <w:rFonts w:hint="eastAsia" w:ascii="宋体" w:hAnsi="宋体"/>
          <w:szCs w:val="21"/>
        </w:rPr>
        <w:t>（d）柔性反光膜符合GB/T18833TypeⅣ类以上指标；</w:t>
      </w:r>
    </w:p>
    <w:p>
      <w:pPr>
        <w:ind w:firstLine="420" w:firstLineChars="200"/>
        <w:rPr>
          <w:rFonts w:ascii="宋体" w:hAnsi="宋体"/>
          <w:szCs w:val="21"/>
        </w:rPr>
      </w:pPr>
      <w:r>
        <w:rPr>
          <w:rFonts w:hint="eastAsia" w:ascii="宋体" w:hAnsi="宋体"/>
          <w:szCs w:val="21"/>
        </w:rPr>
        <w:t>（e）柱体底座预制安装螺丝M22；</w:t>
      </w:r>
    </w:p>
    <w:p>
      <w:pPr>
        <w:ind w:firstLine="420" w:firstLineChars="200"/>
        <w:rPr>
          <w:rFonts w:ascii="宋体" w:hAnsi="宋体"/>
          <w:szCs w:val="21"/>
        </w:rPr>
      </w:pPr>
      <w:r>
        <w:rPr>
          <w:rFonts w:hint="eastAsia" w:ascii="宋体" w:hAnsi="宋体"/>
          <w:szCs w:val="21"/>
        </w:rPr>
        <w:t>（f）使用温度范围-25–60℃.</w:t>
      </w:r>
    </w:p>
    <w:p>
      <w:pPr>
        <w:ind w:firstLine="422" w:firstLineChars="200"/>
        <w:rPr>
          <w:rFonts w:ascii="宋体" w:hAnsi="宋体"/>
          <w:b/>
          <w:bCs/>
          <w:szCs w:val="21"/>
        </w:rPr>
      </w:pPr>
      <w:r>
        <w:rPr>
          <w:rFonts w:hint="eastAsia" w:ascii="宋体" w:hAnsi="宋体"/>
          <w:b/>
          <w:bCs/>
          <w:szCs w:val="21"/>
        </w:rPr>
        <w:t>安装和使用：</w:t>
      </w:r>
    </w:p>
    <w:p>
      <w:pPr>
        <w:ind w:firstLine="420" w:firstLineChars="200"/>
        <w:rPr>
          <w:rFonts w:ascii="宋体" w:hAnsi="宋体"/>
          <w:szCs w:val="21"/>
        </w:rPr>
      </w:pPr>
      <w:r>
        <w:rPr>
          <w:rFonts w:hint="eastAsia" w:ascii="宋体" w:hAnsi="宋体"/>
          <w:szCs w:val="21"/>
        </w:rPr>
        <w:t>（a）地面钻孔，清理孔位；</w:t>
      </w:r>
    </w:p>
    <w:p>
      <w:pPr>
        <w:ind w:firstLine="420" w:firstLineChars="200"/>
        <w:rPr>
          <w:rFonts w:ascii="宋体" w:hAnsi="宋体"/>
          <w:szCs w:val="21"/>
        </w:rPr>
      </w:pPr>
      <w:r>
        <w:rPr>
          <w:rFonts w:hint="eastAsia" w:ascii="宋体" w:hAnsi="宋体"/>
          <w:szCs w:val="21"/>
        </w:rPr>
        <w:t>（b）灌注专用胶，埋设预埋件；</w:t>
      </w:r>
    </w:p>
    <w:p>
      <w:pPr>
        <w:ind w:firstLine="420" w:firstLineChars="200"/>
        <w:rPr>
          <w:rFonts w:ascii="宋体" w:hAnsi="宋体"/>
          <w:szCs w:val="21"/>
        </w:rPr>
      </w:pPr>
      <w:r>
        <w:rPr>
          <w:rFonts w:hint="eastAsia" w:ascii="宋体" w:hAnsi="宋体"/>
          <w:szCs w:val="21"/>
        </w:rPr>
        <w:t>（c）待胶水凝固以后，旋转柱体将内置螺丝拧入固定件。</w:t>
      </w:r>
    </w:p>
    <w:p>
      <w:pPr>
        <w:ind w:firstLine="422" w:firstLineChars="200"/>
        <w:rPr>
          <w:rFonts w:ascii="宋体" w:hAnsi="宋体"/>
          <w:b/>
          <w:bCs/>
          <w:szCs w:val="21"/>
        </w:rPr>
      </w:pPr>
      <w:r>
        <w:rPr>
          <w:rFonts w:hint="eastAsia" w:ascii="宋体" w:hAnsi="宋体"/>
          <w:b/>
          <w:bCs/>
          <w:szCs w:val="21"/>
        </w:rPr>
        <w:t>产品性能：</w:t>
      </w:r>
    </w:p>
    <w:p>
      <w:pPr>
        <w:ind w:firstLine="420" w:firstLineChars="200"/>
        <w:rPr>
          <w:rFonts w:ascii="宋体" w:hAnsi="宋体"/>
          <w:szCs w:val="21"/>
        </w:rPr>
      </w:pPr>
      <w:r>
        <w:rPr>
          <w:rFonts w:hint="eastAsia" w:ascii="宋体" w:hAnsi="宋体"/>
          <w:szCs w:val="21"/>
        </w:rPr>
        <w:t>采用优质TPU材料一次成型，适用于寒冷和炎热的环境.柱体在生产过程中内置螺丝，地面预先埋放固定镶件后，柱体旋转拧入，可以快速安装或者拆卸；</w:t>
      </w:r>
    </w:p>
    <w:p>
      <w:pPr>
        <w:ind w:firstLine="420" w:firstLineChars="200"/>
        <w:rPr>
          <w:rFonts w:ascii="宋体" w:hAnsi="宋体"/>
          <w:szCs w:val="21"/>
        </w:rPr>
      </w:pPr>
      <w:r>
        <w:rPr>
          <w:rFonts w:hint="eastAsia" w:ascii="宋体" w:hAnsi="宋体"/>
          <w:szCs w:val="21"/>
        </w:rPr>
        <w:t>柱体使用大面积3M反光膜，反光性能卓越，能清晰勾画道路轮廓，提高安全性；</w:t>
      </w:r>
    </w:p>
    <w:p>
      <w:pPr>
        <w:ind w:firstLine="420" w:firstLineChars="200"/>
        <w:rPr>
          <w:rFonts w:ascii="宋体" w:hAnsi="宋体"/>
          <w:szCs w:val="21"/>
        </w:rPr>
      </w:pPr>
      <w:r>
        <w:rPr>
          <w:rFonts w:hint="eastAsia" w:ascii="宋体" w:hAnsi="宋体"/>
          <w:szCs w:val="21"/>
        </w:rPr>
        <w:t>独特的无底座设计，可以减少安装面积，尤其适用于拥挤的城市道路；</w:t>
      </w:r>
    </w:p>
    <w:p>
      <w:pPr>
        <w:ind w:firstLine="420" w:firstLineChars="200"/>
        <w:rPr>
          <w:rFonts w:hint="eastAsia" w:ascii="宋体" w:hAnsi="宋体"/>
          <w:szCs w:val="21"/>
        </w:rPr>
      </w:pPr>
      <w:r>
        <w:rPr>
          <w:rFonts w:hint="eastAsia" w:ascii="宋体" w:hAnsi="宋体"/>
          <w:szCs w:val="21"/>
        </w:rPr>
        <w:t>如柱体损坏需更换时可用新柱子直接替换，无需重新打孔更换底部配件。</w:t>
      </w:r>
    </w:p>
    <w:p>
      <w:pPr>
        <w:ind w:firstLine="422" w:firstLineChars="200"/>
        <w:rPr>
          <w:rFonts w:ascii="宋体" w:hAnsi="宋体"/>
          <w:b/>
          <w:bCs/>
          <w:szCs w:val="21"/>
        </w:rPr>
      </w:pPr>
      <w:r>
        <w:rPr>
          <w:rFonts w:hint="eastAsia" w:ascii="宋体" w:hAnsi="宋体"/>
          <w:b/>
          <w:bCs/>
          <w:szCs w:val="21"/>
        </w:rPr>
        <w:t>（2）D16-H100弹性防撞柱</w:t>
      </w:r>
    </w:p>
    <w:p>
      <w:pPr>
        <w:ind w:firstLine="422" w:firstLineChars="200"/>
        <w:rPr>
          <w:rFonts w:ascii="宋体" w:hAnsi="宋体"/>
          <w:szCs w:val="21"/>
        </w:rPr>
      </w:pPr>
      <w:r>
        <w:rPr>
          <w:rFonts w:hint="eastAsia" w:ascii="宋体" w:hAnsi="宋体"/>
          <w:b/>
          <w:bCs/>
          <w:szCs w:val="21"/>
        </w:rPr>
        <w:t>规格要求：</w:t>
      </w:r>
    </w:p>
    <w:tbl>
      <w:tblPr>
        <w:tblStyle w:val="53"/>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1"/>
        <w:gridCol w:w="1387"/>
        <w:gridCol w:w="1859"/>
        <w:gridCol w:w="1859"/>
        <w:gridCol w:w="1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44" w:hRule="atLeast"/>
        </w:trPr>
        <w:tc>
          <w:tcPr>
            <w:tcW w:w="2071" w:type="dxa"/>
            <w:noWrap w:val="0"/>
            <w:vAlign w:val="center"/>
          </w:tcPr>
          <w:p>
            <w:pPr>
              <w:spacing w:after="60" w:afterLines="25" w:line="360" w:lineRule="exact"/>
              <w:jc w:val="center"/>
              <w:rPr>
                <w:rFonts w:ascii="宋体" w:hAnsi="宋体"/>
              </w:rPr>
            </w:pPr>
            <w:r>
              <w:rPr>
                <w:rFonts w:hint="eastAsia" w:ascii="宋体" w:hAnsi="宋体"/>
              </w:rPr>
              <w:t>型号</w:t>
            </w:r>
          </w:p>
        </w:tc>
        <w:tc>
          <w:tcPr>
            <w:tcW w:w="1387" w:type="dxa"/>
            <w:noWrap w:val="0"/>
            <w:vAlign w:val="center"/>
          </w:tcPr>
          <w:p>
            <w:pPr>
              <w:spacing w:after="60" w:afterLines="25" w:line="360" w:lineRule="exact"/>
              <w:jc w:val="center"/>
              <w:rPr>
                <w:rFonts w:ascii="宋体" w:hAnsi="宋体"/>
              </w:rPr>
            </w:pPr>
            <w:r>
              <w:rPr>
                <w:rFonts w:hint="eastAsia" w:ascii="宋体" w:hAnsi="宋体"/>
              </w:rPr>
              <w:t>高度</w:t>
            </w:r>
          </w:p>
        </w:tc>
        <w:tc>
          <w:tcPr>
            <w:tcW w:w="1859" w:type="dxa"/>
            <w:noWrap w:val="0"/>
            <w:vAlign w:val="center"/>
          </w:tcPr>
          <w:p>
            <w:pPr>
              <w:spacing w:after="60" w:afterLines="25" w:line="360" w:lineRule="exact"/>
              <w:jc w:val="center"/>
              <w:rPr>
                <w:rFonts w:ascii="宋体" w:hAnsi="宋体"/>
              </w:rPr>
            </w:pPr>
            <w:r>
              <w:rPr>
                <w:rFonts w:hint="eastAsia" w:ascii="宋体" w:hAnsi="宋体"/>
              </w:rPr>
              <w:t>底座尺寸</w:t>
            </w:r>
          </w:p>
        </w:tc>
        <w:tc>
          <w:tcPr>
            <w:tcW w:w="1859" w:type="dxa"/>
            <w:noWrap w:val="0"/>
            <w:vAlign w:val="center"/>
          </w:tcPr>
          <w:p>
            <w:pPr>
              <w:spacing w:after="60" w:afterLines="25" w:line="360" w:lineRule="exact"/>
              <w:jc w:val="center"/>
              <w:rPr>
                <w:rFonts w:ascii="宋体" w:hAnsi="宋体"/>
              </w:rPr>
            </w:pPr>
            <w:r>
              <w:rPr>
                <w:rFonts w:hint="eastAsia" w:ascii="宋体" w:hAnsi="宋体"/>
              </w:rPr>
              <w:t>重量</w:t>
            </w:r>
          </w:p>
        </w:tc>
        <w:tc>
          <w:tcPr>
            <w:tcW w:w="1752" w:type="dxa"/>
            <w:noWrap w:val="0"/>
            <w:vAlign w:val="center"/>
          </w:tcPr>
          <w:p>
            <w:pPr>
              <w:spacing w:after="60" w:afterLines="25" w:line="360" w:lineRule="exact"/>
              <w:jc w:val="center"/>
              <w:rPr>
                <w:rFonts w:ascii="宋体" w:hAnsi="宋体"/>
              </w:rPr>
            </w:pPr>
            <w:r>
              <w:rPr>
                <w:rFonts w:hint="eastAsia" w:ascii="宋体" w:hAnsi="宋体"/>
              </w:rPr>
              <w:t>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422" w:hRule="atLeast"/>
        </w:trPr>
        <w:tc>
          <w:tcPr>
            <w:tcW w:w="2071" w:type="dxa"/>
            <w:noWrap w:val="0"/>
            <w:vAlign w:val="center"/>
          </w:tcPr>
          <w:p>
            <w:pPr>
              <w:spacing w:after="60" w:afterLines="25" w:line="360" w:lineRule="exact"/>
              <w:jc w:val="center"/>
              <w:rPr>
                <w:rFonts w:ascii="宋体" w:hAnsi="宋体"/>
              </w:rPr>
            </w:pPr>
            <w:r>
              <w:rPr>
                <w:rFonts w:hint="eastAsia" w:ascii="宋体" w:hAnsi="宋体"/>
              </w:rPr>
              <w:t>D16-H100</w:t>
            </w:r>
          </w:p>
        </w:tc>
        <w:tc>
          <w:tcPr>
            <w:tcW w:w="1387" w:type="dxa"/>
            <w:noWrap w:val="0"/>
            <w:vAlign w:val="center"/>
          </w:tcPr>
          <w:p>
            <w:pPr>
              <w:spacing w:after="60" w:afterLines="25" w:line="360" w:lineRule="exact"/>
              <w:jc w:val="center"/>
              <w:rPr>
                <w:rFonts w:ascii="宋体" w:hAnsi="宋体"/>
              </w:rPr>
            </w:pPr>
            <w:r>
              <w:rPr>
                <w:rFonts w:hint="eastAsia" w:ascii="宋体" w:hAnsi="宋体"/>
              </w:rPr>
              <w:t>100CM</w:t>
            </w:r>
          </w:p>
        </w:tc>
        <w:tc>
          <w:tcPr>
            <w:tcW w:w="1859" w:type="dxa"/>
            <w:noWrap w:val="0"/>
            <w:vAlign w:val="center"/>
          </w:tcPr>
          <w:p>
            <w:pPr>
              <w:spacing w:after="60" w:afterLines="25" w:line="360" w:lineRule="exact"/>
              <w:jc w:val="center"/>
              <w:rPr>
                <w:rFonts w:ascii="宋体" w:hAnsi="宋体"/>
              </w:rPr>
            </w:pPr>
            <w:r>
              <w:rPr>
                <w:rFonts w:hint="eastAsia" w:ascii="宋体" w:hAnsi="宋体"/>
              </w:rPr>
              <w:t>25×20CM</w:t>
            </w:r>
          </w:p>
        </w:tc>
        <w:tc>
          <w:tcPr>
            <w:tcW w:w="1859" w:type="dxa"/>
            <w:noWrap w:val="0"/>
            <w:vAlign w:val="center"/>
          </w:tcPr>
          <w:p>
            <w:pPr>
              <w:spacing w:after="60" w:afterLines="25" w:line="360" w:lineRule="exact"/>
              <w:jc w:val="center"/>
              <w:rPr>
                <w:rFonts w:ascii="宋体" w:hAnsi="宋体"/>
              </w:rPr>
            </w:pPr>
            <w:r>
              <w:rPr>
                <w:rFonts w:ascii="宋体" w:hAnsi="宋体"/>
              </w:rPr>
              <w:t>9</w:t>
            </w:r>
            <w:r>
              <w:rPr>
                <w:rFonts w:hint="eastAsia" w:ascii="宋体" w:hAnsi="宋体"/>
              </w:rPr>
              <w:t>.0KG</w:t>
            </w:r>
          </w:p>
        </w:tc>
        <w:tc>
          <w:tcPr>
            <w:tcW w:w="1752" w:type="dxa"/>
            <w:noWrap w:val="0"/>
            <w:vAlign w:val="center"/>
          </w:tcPr>
          <w:p>
            <w:pPr>
              <w:spacing w:after="60" w:afterLines="25" w:line="360" w:lineRule="exact"/>
              <w:jc w:val="center"/>
              <w:rPr>
                <w:rFonts w:ascii="宋体" w:hAnsi="宋体"/>
              </w:rPr>
            </w:pPr>
            <w:r>
              <w:rPr>
                <w:rFonts w:hint="eastAsia" w:ascii="宋体" w:hAnsi="宋体"/>
              </w:rPr>
              <w:t>柱体</w:t>
            </w:r>
            <w:r>
              <w:rPr>
                <w:rFonts w:ascii="宋体" w:hAnsi="宋体"/>
              </w:rPr>
              <w:t>含缓冲器</w:t>
            </w:r>
          </w:p>
        </w:tc>
      </w:tr>
    </w:tbl>
    <w:p>
      <w:pPr>
        <w:ind w:firstLine="420" w:firstLineChars="200"/>
        <w:rPr>
          <w:rFonts w:ascii="宋体" w:hAnsi="宋体"/>
        </w:rPr>
      </w:pPr>
    </w:p>
    <w:p>
      <w:pPr>
        <w:rPr>
          <w:rFonts w:hint="eastAsia" w:ascii="宋体" w:hAnsi="宋体"/>
        </w:rPr>
      </w:pPr>
      <w:r>
        <w:rPr>
          <w:rFonts w:ascii="宋体" w:hAnsi="宋体"/>
        </w:rPr>
        <w:drawing>
          <wp:inline distT="0" distB="0" distL="114300" distR="114300">
            <wp:extent cx="5810885" cy="4133850"/>
            <wp:effectExtent l="0" t="0" r="18415" b="0"/>
            <wp:docPr id="22"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IMG_256"/>
                    <pic:cNvPicPr>
                      <a:picLocks noChangeAspect="1"/>
                    </pic:cNvPicPr>
                  </pic:nvPicPr>
                  <pic:blipFill>
                    <a:blip r:embed="rId35"/>
                    <a:stretch>
                      <a:fillRect/>
                    </a:stretch>
                  </pic:blipFill>
                  <pic:spPr>
                    <a:xfrm>
                      <a:off x="0" y="0"/>
                      <a:ext cx="5810885" cy="4133850"/>
                    </a:xfrm>
                    <a:prstGeom prst="rect">
                      <a:avLst/>
                    </a:prstGeom>
                    <a:noFill/>
                    <a:ln>
                      <a:noFill/>
                    </a:ln>
                  </pic:spPr>
                </pic:pic>
              </a:graphicData>
            </a:graphic>
          </wp:inline>
        </w:drawing>
      </w:r>
    </w:p>
    <w:p>
      <w:pPr>
        <w:ind w:firstLine="422" w:firstLineChars="200"/>
        <w:rPr>
          <w:rFonts w:ascii="宋体" w:hAnsi="宋体"/>
          <w:b/>
          <w:bCs/>
          <w:szCs w:val="21"/>
        </w:rPr>
      </w:pPr>
      <w:r>
        <w:rPr>
          <w:rFonts w:hint="eastAsia" w:ascii="宋体" w:hAnsi="宋体"/>
          <w:b/>
          <w:bCs/>
          <w:szCs w:val="21"/>
        </w:rPr>
        <w:t>技术指标：</w:t>
      </w:r>
    </w:p>
    <w:p>
      <w:pPr>
        <w:ind w:firstLine="420" w:firstLineChars="200"/>
        <w:rPr>
          <w:rFonts w:hint="eastAsia" w:ascii="宋体" w:hAnsi="宋体"/>
          <w:szCs w:val="21"/>
        </w:rPr>
      </w:pPr>
      <w:r>
        <w:rPr>
          <w:rFonts w:hint="eastAsia" w:ascii="宋体" w:hAnsi="宋体"/>
          <w:szCs w:val="21"/>
        </w:rPr>
        <w:t>（a）主体采用全新TPU高性能材料制成；</w:t>
      </w:r>
    </w:p>
    <w:p>
      <w:pPr>
        <w:ind w:firstLine="420" w:firstLineChars="200"/>
        <w:rPr>
          <w:rFonts w:hint="eastAsia" w:ascii="宋体" w:hAnsi="宋体"/>
          <w:szCs w:val="21"/>
        </w:rPr>
      </w:pPr>
      <w:r>
        <w:rPr>
          <w:rFonts w:hint="eastAsia" w:ascii="宋体" w:hAnsi="宋体"/>
          <w:szCs w:val="21"/>
        </w:rPr>
        <w:t>（b）内装工业缓冲器，可抵挡1.5吨小车40KM/H撞击；</w:t>
      </w:r>
    </w:p>
    <w:p>
      <w:pPr>
        <w:ind w:firstLine="420" w:firstLineChars="200"/>
        <w:rPr>
          <w:rFonts w:hint="eastAsia" w:ascii="宋体" w:hAnsi="宋体"/>
          <w:szCs w:val="21"/>
        </w:rPr>
      </w:pPr>
      <w:r>
        <w:rPr>
          <w:rFonts w:hint="eastAsia" w:ascii="宋体" w:hAnsi="宋体"/>
          <w:szCs w:val="21"/>
        </w:rPr>
        <w:t>（c）使用GB/T18833TypeIV类柔性反光膜；</w:t>
      </w:r>
    </w:p>
    <w:p>
      <w:pPr>
        <w:ind w:firstLine="420" w:firstLineChars="200"/>
        <w:rPr>
          <w:rFonts w:hint="eastAsia" w:ascii="宋体" w:hAnsi="宋体"/>
          <w:szCs w:val="21"/>
        </w:rPr>
      </w:pPr>
      <w:r>
        <w:rPr>
          <w:rFonts w:hint="eastAsia" w:ascii="宋体" w:hAnsi="宋体"/>
          <w:szCs w:val="21"/>
        </w:rPr>
        <w:t>（d）底座增加反光器设计；</w:t>
      </w:r>
    </w:p>
    <w:p>
      <w:pPr>
        <w:ind w:firstLine="420" w:firstLineChars="200"/>
        <w:rPr>
          <w:rFonts w:hint="eastAsia" w:ascii="宋体" w:hAnsi="宋体"/>
          <w:szCs w:val="21"/>
        </w:rPr>
      </w:pPr>
      <w:r>
        <w:rPr>
          <w:rFonts w:hint="eastAsia" w:ascii="宋体" w:hAnsi="宋体"/>
          <w:szCs w:val="21"/>
        </w:rPr>
        <w:t>（e）通体壁厚不小于3mm；</w:t>
      </w:r>
    </w:p>
    <w:p>
      <w:pPr>
        <w:ind w:firstLine="420" w:firstLineChars="200"/>
        <w:rPr>
          <w:rFonts w:hint="eastAsia" w:ascii="宋体" w:hAnsi="宋体"/>
          <w:szCs w:val="21"/>
        </w:rPr>
      </w:pPr>
      <w:r>
        <w:rPr>
          <w:rFonts w:hint="eastAsia" w:ascii="宋体" w:hAnsi="宋体"/>
          <w:szCs w:val="21"/>
        </w:rPr>
        <w:t>（</w:t>
      </w:r>
      <w:r>
        <w:rPr>
          <w:rFonts w:ascii="宋体" w:hAnsi="宋体"/>
          <w:szCs w:val="21"/>
        </w:rPr>
        <w:t>f</w:t>
      </w:r>
      <w:r>
        <w:rPr>
          <w:rFonts w:hint="eastAsia" w:ascii="宋体" w:hAnsi="宋体"/>
          <w:szCs w:val="21"/>
        </w:rPr>
        <w:t>）使用温度范围-25℃–60℃；</w:t>
      </w:r>
    </w:p>
    <w:p>
      <w:pPr>
        <w:ind w:firstLine="420" w:firstLineChars="200"/>
        <w:rPr>
          <w:rFonts w:ascii="宋体" w:hAnsi="宋体"/>
          <w:szCs w:val="21"/>
        </w:rPr>
      </w:pPr>
      <w:r>
        <w:rPr>
          <w:rFonts w:hint="eastAsia" w:ascii="宋体" w:hAnsi="宋体"/>
          <w:szCs w:val="21"/>
        </w:rPr>
        <w:t>（</w:t>
      </w:r>
      <w:r>
        <w:rPr>
          <w:rFonts w:ascii="宋体" w:hAnsi="宋体"/>
          <w:szCs w:val="21"/>
        </w:rPr>
        <w:t>g</w:t>
      </w:r>
      <w:r>
        <w:rPr>
          <w:rFonts w:hint="eastAsia" w:ascii="宋体" w:hAnsi="宋体"/>
          <w:szCs w:val="21"/>
        </w:rPr>
        <w:t>）弯折测试次数大于1万次。</w:t>
      </w:r>
    </w:p>
    <w:p>
      <w:pPr>
        <w:ind w:firstLine="422" w:firstLineChars="200"/>
        <w:rPr>
          <w:rFonts w:ascii="宋体" w:hAnsi="宋体"/>
          <w:b/>
          <w:bCs/>
          <w:szCs w:val="21"/>
        </w:rPr>
      </w:pPr>
      <w:r>
        <w:rPr>
          <w:rFonts w:hint="eastAsia" w:ascii="宋体" w:hAnsi="宋体"/>
          <w:b/>
          <w:bCs/>
          <w:szCs w:val="21"/>
        </w:rPr>
        <w:t>安装和使用：</w:t>
      </w:r>
    </w:p>
    <w:p>
      <w:pPr>
        <w:ind w:firstLine="420" w:firstLineChars="200"/>
        <w:rPr>
          <w:rFonts w:hint="eastAsia" w:ascii="宋体" w:hAnsi="宋体"/>
          <w:szCs w:val="21"/>
        </w:rPr>
      </w:pPr>
      <w:r>
        <w:rPr>
          <w:rFonts w:hint="eastAsia" w:ascii="宋体" w:hAnsi="宋体"/>
          <w:szCs w:val="21"/>
        </w:rPr>
        <w:t>（a）钻孔，灌入环氧胶，采用膨胀螺丝固定；</w:t>
      </w:r>
    </w:p>
    <w:p>
      <w:pPr>
        <w:ind w:firstLine="420" w:firstLineChars="200"/>
        <w:rPr>
          <w:rFonts w:hint="eastAsia" w:ascii="宋体" w:hAnsi="宋体"/>
          <w:szCs w:val="21"/>
        </w:rPr>
      </w:pPr>
      <w:r>
        <w:rPr>
          <w:rFonts w:hint="eastAsia" w:ascii="宋体" w:hAnsi="宋体"/>
          <w:szCs w:val="21"/>
        </w:rPr>
        <w:t>（b）推荐用于车道分隔，导流区等场景；</w:t>
      </w:r>
    </w:p>
    <w:p>
      <w:pPr>
        <w:ind w:firstLine="420" w:firstLineChars="200"/>
        <w:rPr>
          <w:rFonts w:hint="eastAsia" w:ascii="宋体" w:hAnsi="宋体"/>
          <w:szCs w:val="21"/>
        </w:rPr>
      </w:pPr>
      <w:r>
        <w:rPr>
          <w:rFonts w:hint="eastAsia" w:ascii="宋体" w:hAnsi="宋体"/>
          <w:szCs w:val="21"/>
        </w:rPr>
        <w:t>（c）可抵挡1.5吨车辆40KM/H速度撞击，不会造成二次伤害；</w:t>
      </w:r>
    </w:p>
    <w:p>
      <w:pPr>
        <w:ind w:firstLine="420" w:firstLineChars="200"/>
        <w:rPr>
          <w:rFonts w:hint="eastAsia" w:ascii="宋体" w:hAnsi="宋体"/>
          <w:szCs w:val="21"/>
        </w:rPr>
      </w:pPr>
      <w:r>
        <w:rPr>
          <w:rFonts w:hint="eastAsia" w:ascii="宋体" w:hAnsi="宋体"/>
          <w:szCs w:val="21"/>
        </w:rPr>
        <w:t>（d）正常使用寿命可达2年。</w:t>
      </w:r>
    </w:p>
    <w:p>
      <w:pPr>
        <w:ind w:firstLine="422" w:firstLineChars="200"/>
        <w:rPr>
          <w:rFonts w:ascii="宋体" w:hAnsi="宋体"/>
          <w:b/>
          <w:bCs/>
          <w:szCs w:val="21"/>
        </w:rPr>
      </w:pPr>
      <w:r>
        <w:rPr>
          <w:rFonts w:hint="eastAsia" w:ascii="宋体" w:hAnsi="宋体"/>
          <w:b/>
          <w:bCs/>
          <w:szCs w:val="21"/>
        </w:rPr>
        <w:t>6.1、弹性隔离防炫板技术要求</w:t>
      </w:r>
    </w:p>
    <w:p>
      <w:pPr>
        <w:ind w:firstLine="420" w:firstLineChars="200"/>
        <w:rPr>
          <w:rFonts w:ascii="宋体" w:hAnsi="宋体"/>
          <w:szCs w:val="21"/>
        </w:rPr>
      </w:pPr>
      <w:r>
        <w:rPr>
          <w:rFonts w:hint="eastAsia" w:ascii="宋体" w:hAnsi="宋体"/>
          <w:szCs w:val="21"/>
        </w:rPr>
        <w:t>（1）该款产品高度为85CM，底部由三个内径100MM内膨胀固定地面，底部距上360MM起至顶端有宽210MM的防炫面，内贴有两条符合GB18833-2012标准</w:t>
      </w:r>
      <w:r>
        <w:rPr>
          <w:rFonts w:ascii="宋体" w:hAnsi="宋体"/>
          <w:szCs w:val="21"/>
        </w:rPr>
        <w:fldChar w:fldCharType="begin"/>
      </w:r>
      <w:r>
        <w:rPr>
          <w:rFonts w:ascii="宋体" w:hAnsi="宋体"/>
          <w:szCs w:val="21"/>
        </w:rPr>
        <w:instrText xml:space="preserve"> </w:instrText>
      </w:r>
      <w:r>
        <w:rPr>
          <w:rFonts w:hint="eastAsia" w:ascii="宋体" w:hAnsi="宋体"/>
          <w:szCs w:val="21"/>
        </w:rPr>
        <w:instrText xml:space="preserve">= 4 \* ROMAN</w:instrText>
      </w:r>
      <w:r>
        <w:rPr>
          <w:rFonts w:ascii="宋体" w:hAnsi="宋体"/>
          <w:szCs w:val="21"/>
        </w:rPr>
        <w:instrText xml:space="preserve"> </w:instrText>
      </w:r>
      <w:r>
        <w:rPr>
          <w:rFonts w:ascii="宋体" w:hAnsi="宋体"/>
          <w:szCs w:val="21"/>
        </w:rPr>
        <w:fldChar w:fldCharType="separate"/>
      </w:r>
      <w:r>
        <w:rPr>
          <w:rFonts w:ascii="宋体" w:hAnsi="宋体"/>
          <w:szCs w:val="21"/>
        </w:rPr>
        <w:t>IV</w:t>
      </w:r>
      <w:r>
        <w:rPr>
          <w:rFonts w:ascii="宋体" w:hAnsi="宋体"/>
          <w:szCs w:val="21"/>
        </w:rPr>
        <w:fldChar w:fldCharType="end"/>
      </w:r>
      <w:r>
        <w:rPr>
          <w:rFonts w:hint="eastAsia" w:ascii="宋体" w:hAnsi="宋体"/>
          <w:szCs w:val="21"/>
        </w:rPr>
        <w:t>类黄色反光膜，增加防炫面能更好隔离对向车辆灯光。</w:t>
      </w:r>
    </w:p>
    <w:p>
      <w:pPr>
        <w:ind w:firstLine="420" w:firstLineChars="200"/>
        <w:rPr>
          <w:rFonts w:ascii="宋体" w:hAnsi="宋体"/>
          <w:szCs w:val="21"/>
        </w:rPr>
      </w:pPr>
      <w:r>
        <w:rPr>
          <w:rFonts w:hint="eastAsia" w:ascii="宋体" w:hAnsi="宋体"/>
          <w:szCs w:val="21"/>
        </w:rPr>
        <w:t>（2）反光面与交通柱的附着性能：垂直与交通柱反光面切割后，反光面不应从柱体上切割线处脱离或出现层间剥离现象。</w:t>
      </w:r>
    </w:p>
    <w:p>
      <w:pPr>
        <w:ind w:firstLine="420" w:firstLineChars="200"/>
        <w:rPr>
          <w:rFonts w:ascii="宋体" w:hAnsi="宋体"/>
          <w:szCs w:val="21"/>
        </w:rPr>
      </w:pPr>
      <w:r>
        <w:rPr>
          <w:rFonts w:hint="eastAsia" w:ascii="宋体" w:hAnsi="宋体"/>
          <w:szCs w:val="21"/>
          <w:lang/>
        </w:rPr>
        <w:drawing>
          <wp:anchor distT="0" distB="0" distL="114300" distR="114300" simplePos="0" relativeHeight="251662336" behindDoc="1" locked="0" layoutInCell="1" allowOverlap="1">
            <wp:simplePos x="0" y="0"/>
            <wp:positionH relativeFrom="column">
              <wp:posOffset>4351655</wp:posOffset>
            </wp:positionH>
            <wp:positionV relativeFrom="paragraph">
              <wp:posOffset>287655</wp:posOffset>
            </wp:positionV>
            <wp:extent cx="1201420" cy="1488440"/>
            <wp:effectExtent l="0" t="0" r="17780" b="16510"/>
            <wp:wrapSquare wrapText="bothSides"/>
            <wp:docPr id="1" name="图片 170" descr="IMG_0952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70" descr="IMG_0952_看图王"/>
                    <pic:cNvPicPr>
                      <a:picLocks noChangeAspect="1"/>
                    </pic:cNvPicPr>
                  </pic:nvPicPr>
                  <pic:blipFill>
                    <a:blip r:embed="rId36"/>
                    <a:stretch>
                      <a:fillRect/>
                    </a:stretch>
                  </pic:blipFill>
                  <pic:spPr>
                    <a:xfrm>
                      <a:off x="0" y="0"/>
                      <a:ext cx="1201420" cy="1488440"/>
                    </a:xfrm>
                    <a:prstGeom prst="rect">
                      <a:avLst/>
                    </a:prstGeom>
                    <a:noFill/>
                    <a:ln>
                      <a:noFill/>
                    </a:ln>
                  </pic:spPr>
                </pic:pic>
              </a:graphicData>
            </a:graphic>
          </wp:anchor>
        </w:drawing>
      </w:r>
      <w:r>
        <w:rPr>
          <w:rFonts w:hint="eastAsia" w:ascii="宋体" w:hAnsi="宋体"/>
          <w:szCs w:val="21"/>
        </w:rPr>
        <w:t>（3）低温抗撞击作用：在</w:t>
      </w:r>
      <w:r>
        <w:rPr>
          <w:rFonts w:ascii="宋体" w:hAnsi="宋体"/>
          <w:szCs w:val="21"/>
        </w:rPr>
        <w:t>—</w:t>
      </w:r>
      <w:r>
        <w:rPr>
          <w:rFonts w:hint="eastAsia" w:ascii="宋体" w:hAnsi="宋体"/>
          <w:szCs w:val="21"/>
        </w:rPr>
        <w:t>18度+2度的低温下，交通柱经受0.9KG实心钢球的撞击后，其柱体，底座，反光面不得破裂或损坏，并应在撞击后迅速恢复原状撞击后反光面的逆反射系数值不低于撞击前的80%。</w:t>
      </w:r>
    </w:p>
    <w:p>
      <w:pPr>
        <w:ind w:firstLine="420" w:firstLineChars="200"/>
        <w:rPr>
          <w:rFonts w:ascii="宋体" w:hAnsi="宋体"/>
          <w:szCs w:val="21"/>
        </w:rPr>
      </w:pPr>
      <w:r>
        <w:rPr>
          <w:rFonts w:hint="eastAsia" w:ascii="宋体" w:hAnsi="宋体"/>
          <w:szCs w:val="21"/>
        </w:rPr>
        <w:t>（4）抗弯曲性能：交通柱经弯曲性能试验机往返20次碾压后，其柱体，底座，反光面不得有裂缝，破碎或分离，并应在试验完后恢复原状，其柱体顶端在任意水平方向的残余偏斜不得超过柱体高度的7%。</w:t>
      </w:r>
    </w:p>
    <w:p>
      <w:pPr>
        <w:ind w:firstLine="420" w:firstLineChars="200"/>
        <w:rPr>
          <w:rFonts w:ascii="宋体" w:hAnsi="宋体"/>
          <w:szCs w:val="21"/>
        </w:rPr>
      </w:pPr>
      <w:r>
        <w:rPr>
          <w:rFonts w:hint="eastAsia" w:ascii="宋体" w:hAnsi="宋体"/>
          <w:szCs w:val="21"/>
        </w:rPr>
        <w:t>（5）安装要求：该款产品底座水平与路面，用高强度环氧树脂粘合并用道钉固定。</w:t>
      </w:r>
    </w:p>
    <w:p>
      <w:pPr>
        <w:ind w:firstLine="422" w:firstLineChars="200"/>
        <w:rPr>
          <w:rFonts w:ascii="宋体" w:hAnsi="宋体"/>
          <w:b/>
          <w:bCs/>
          <w:szCs w:val="21"/>
        </w:rPr>
      </w:pPr>
      <w:r>
        <w:rPr>
          <w:rFonts w:hint="eastAsia" w:ascii="宋体" w:hAnsi="宋体"/>
          <w:b/>
          <w:bCs/>
          <w:szCs w:val="21"/>
        </w:rPr>
        <w:t>7、交通信号仪技术要求</w:t>
      </w:r>
    </w:p>
    <w:p>
      <w:pPr>
        <w:ind w:firstLine="422" w:firstLineChars="200"/>
        <w:rPr>
          <w:rFonts w:hint="eastAsia" w:ascii="宋体" w:hAnsi="宋体"/>
          <w:b/>
          <w:bCs/>
          <w:szCs w:val="21"/>
        </w:rPr>
      </w:pPr>
      <w:r>
        <w:rPr>
          <w:rFonts w:hint="eastAsia" w:ascii="宋体" w:hAnsi="宋体"/>
          <w:b/>
          <w:bCs/>
          <w:szCs w:val="21"/>
        </w:rPr>
        <w:t>路口控制机主体功能</w:t>
      </w:r>
    </w:p>
    <w:p>
      <w:pPr>
        <w:ind w:firstLine="420" w:firstLineChars="200"/>
        <w:rPr>
          <w:rFonts w:hint="eastAsia" w:ascii="宋体" w:hAnsi="宋体"/>
          <w:szCs w:val="21"/>
        </w:rPr>
      </w:pPr>
      <w:r>
        <w:rPr>
          <w:rFonts w:hint="eastAsia" w:ascii="宋体" w:hAnsi="宋体"/>
          <w:szCs w:val="21"/>
        </w:rPr>
        <w:t>路口信号灯控制机采用联网式协调信号控制机，路口信号灯控制机操作系统采用嵌入式Linux操作系统，信号控制软件采用WEB操作界面；信号控制机具有单点自适应控制、协调控制等功能；路口信号控制机与信号灯中心控制系统连接，实现在线数据上载、下载功能，路口控制机接受中心控制指令并执行，确保交通信号控制系统的延续和正常使用。</w:t>
      </w:r>
    </w:p>
    <w:p>
      <w:pPr>
        <w:ind w:firstLine="420" w:firstLineChars="200"/>
        <w:rPr>
          <w:rFonts w:hint="eastAsia" w:ascii="宋体" w:hAnsi="宋体"/>
          <w:szCs w:val="21"/>
        </w:rPr>
      </w:pPr>
      <w:r>
        <w:rPr>
          <w:rFonts w:hint="eastAsia" w:ascii="宋体" w:hAnsi="宋体"/>
          <w:szCs w:val="21"/>
        </w:rPr>
        <w:t>控制机接口不少于1个RJ45网口、2个RS232串口，用于与控制中心的通信和现场连接手持终端。可实现在控制中心、路口现场的编程，对相关路口进行预设绿波递进方案控制，或路口通行相位、通行时间的灵活组合，以满足路口应急控制、紧急车辆通行的需要。</w:t>
      </w:r>
    </w:p>
    <w:p>
      <w:pPr>
        <w:ind w:firstLine="420" w:firstLineChars="200"/>
        <w:rPr>
          <w:rFonts w:hint="eastAsia" w:ascii="宋体" w:hAnsi="宋体"/>
          <w:szCs w:val="21"/>
        </w:rPr>
      </w:pPr>
      <w:r>
        <w:rPr>
          <w:rFonts w:hint="eastAsia" w:ascii="宋体" w:hAnsi="宋体"/>
          <w:szCs w:val="21"/>
        </w:rPr>
        <w:t>路口信号控制机采用防锈防腐蚀铝合金机柜，采用19吋标准机架，机柜内电源、控制主机、输入输出等模组独立分区安装。路口相位信号采用模块化设计，不少于8个主相位、4个跟随相位、4个行人相位。</w:t>
      </w:r>
    </w:p>
    <w:p>
      <w:pPr>
        <w:ind w:firstLine="420" w:firstLineChars="200"/>
        <w:rPr>
          <w:rFonts w:ascii="宋体" w:hAnsi="宋体"/>
          <w:szCs w:val="21"/>
        </w:rPr>
      </w:pPr>
      <w:r>
        <w:rPr>
          <w:rFonts w:hint="eastAsia" w:ascii="宋体" w:hAnsi="宋体"/>
          <w:szCs w:val="21"/>
        </w:rPr>
        <w:t>路口信号控制机可适应-20～70</w:t>
      </w:r>
      <w:r>
        <w:rPr>
          <w:rFonts w:ascii="宋体" w:hAnsi="宋体"/>
          <w:szCs w:val="21"/>
        </w:rPr>
        <w:t>℃</w:t>
      </w:r>
      <w:r>
        <w:rPr>
          <w:rFonts w:hint="eastAsia" w:ascii="宋体" w:hAnsi="宋体"/>
          <w:szCs w:val="21"/>
        </w:rPr>
        <w:t>、95%湿度（无结露）工作环境，2</w:t>
      </w:r>
      <w:r>
        <w:rPr>
          <w:rFonts w:ascii="宋体" w:hAnsi="宋体"/>
          <w:szCs w:val="21"/>
        </w:rPr>
        <w:t>20V</w:t>
      </w:r>
      <w:r>
        <w:rPr>
          <w:rFonts w:hint="eastAsia" w:ascii="宋体" w:hAnsi="宋体"/>
          <w:szCs w:val="21"/>
        </w:rPr>
        <w:t>±</w:t>
      </w:r>
      <w:r>
        <w:rPr>
          <w:rFonts w:ascii="宋体" w:hAnsi="宋体"/>
          <w:szCs w:val="21"/>
        </w:rPr>
        <w:t>20%</w:t>
      </w:r>
      <w:r>
        <w:rPr>
          <w:rFonts w:hint="eastAsia" w:ascii="宋体" w:hAnsi="宋体"/>
          <w:szCs w:val="21"/>
        </w:rPr>
        <w:t>电力环境，机柜内带风冷设备。</w:t>
      </w:r>
    </w:p>
    <w:p>
      <w:pPr>
        <w:ind w:firstLine="420" w:firstLineChars="200"/>
        <w:rPr>
          <w:rFonts w:hint="eastAsia" w:ascii="宋体" w:hAnsi="宋体"/>
          <w:szCs w:val="21"/>
        </w:rPr>
      </w:pPr>
      <w:r>
        <w:rPr>
          <w:rFonts w:hint="eastAsia" w:ascii="宋体" w:hAnsi="宋体"/>
          <w:szCs w:val="21"/>
        </w:rPr>
        <w:t>路口信号控制机通过公安部交通安全产品质量监督检测中心检测。</w:t>
      </w:r>
    </w:p>
    <w:p>
      <w:pPr>
        <w:ind w:firstLine="422" w:firstLineChars="200"/>
        <w:rPr>
          <w:rFonts w:hint="eastAsia" w:ascii="宋体" w:hAnsi="宋体"/>
          <w:b/>
          <w:bCs/>
          <w:szCs w:val="21"/>
        </w:rPr>
      </w:pPr>
      <w:r>
        <w:rPr>
          <w:rFonts w:ascii="宋体" w:hAnsi="宋体"/>
          <w:b/>
          <w:bCs/>
          <w:szCs w:val="21"/>
        </w:rPr>
        <w:t>7.1</w:t>
      </w:r>
      <w:r>
        <w:rPr>
          <w:rFonts w:hint="eastAsia" w:ascii="宋体" w:hAnsi="宋体"/>
          <w:b/>
          <w:bCs/>
          <w:szCs w:val="21"/>
        </w:rPr>
        <w:t>路口控制机管理功能</w:t>
      </w:r>
    </w:p>
    <w:p>
      <w:pPr>
        <w:ind w:firstLine="422" w:firstLineChars="200"/>
        <w:rPr>
          <w:rFonts w:hint="eastAsia" w:ascii="宋体" w:hAnsi="宋体"/>
          <w:b/>
          <w:bCs/>
          <w:szCs w:val="21"/>
        </w:rPr>
      </w:pPr>
      <w:r>
        <w:rPr>
          <w:rFonts w:hint="eastAsia" w:ascii="宋体" w:hAnsi="宋体"/>
          <w:b/>
          <w:bCs/>
          <w:szCs w:val="21"/>
        </w:rPr>
        <w:t>（1）图形与界面</w:t>
      </w:r>
    </w:p>
    <w:p>
      <w:pPr>
        <w:ind w:firstLine="420" w:firstLineChars="200"/>
        <w:rPr>
          <w:rFonts w:hint="eastAsia" w:ascii="宋体" w:hAnsi="宋体"/>
          <w:szCs w:val="21"/>
        </w:rPr>
      </w:pPr>
      <w:r>
        <w:rPr>
          <w:rFonts w:hint="eastAsia" w:ascii="宋体" w:hAnsi="宋体"/>
          <w:szCs w:val="21"/>
        </w:rPr>
        <w:t>（a）人机界面图形化、菜单化。命令操作方式灵活多样，并对错误操作发出警告或禁止执行；</w:t>
      </w:r>
    </w:p>
    <w:p>
      <w:pPr>
        <w:ind w:firstLine="420" w:firstLineChars="200"/>
        <w:rPr>
          <w:rFonts w:hint="eastAsia" w:ascii="宋体" w:hAnsi="宋体"/>
          <w:szCs w:val="21"/>
        </w:rPr>
      </w:pPr>
      <w:r>
        <w:rPr>
          <w:rFonts w:hint="eastAsia" w:ascii="宋体" w:hAnsi="宋体"/>
          <w:szCs w:val="21"/>
        </w:rPr>
        <w:t>（b）能多窗口显示，显示窗口可缩放、移动；</w:t>
      </w:r>
    </w:p>
    <w:p>
      <w:pPr>
        <w:ind w:firstLine="420" w:firstLineChars="200"/>
        <w:rPr>
          <w:rFonts w:hint="eastAsia" w:ascii="宋体" w:hAnsi="宋体"/>
          <w:szCs w:val="21"/>
        </w:rPr>
      </w:pPr>
      <w:r>
        <w:rPr>
          <w:rFonts w:hint="eastAsia" w:ascii="宋体" w:hAnsi="宋体"/>
          <w:szCs w:val="21"/>
        </w:rPr>
        <w:t>（c）具有图形编辑工具，可以多层次地对图形的背景、显示符号、颜色和属性等进行用户化编辑；</w:t>
      </w:r>
    </w:p>
    <w:p>
      <w:pPr>
        <w:ind w:firstLine="420" w:firstLineChars="200"/>
        <w:rPr>
          <w:rFonts w:hint="eastAsia" w:ascii="宋体" w:hAnsi="宋体"/>
          <w:szCs w:val="21"/>
        </w:rPr>
      </w:pPr>
      <w:r>
        <w:rPr>
          <w:rFonts w:hint="eastAsia" w:ascii="宋体" w:hAnsi="宋体"/>
          <w:szCs w:val="21"/>
        </w:rPr>
        <w:t>（d）能够图形化实时显示路口设备、传输设备、路口设备工作状态及信号控制状态等信息。</w:t>
      </w:r>
    </w:p>
    <w:p>
      <w:pPr>
        <w:ind w:firstLine="422" w:firstLineChars="200"/>
        <w:rPr>
          <w:rFonts w:hint="eastAsia" w:ascii="宋体" w:hAnsi="宋体"/>
          <w:b/>
          <w:bCs/>
          <w:szCs w:val="21"/>
        </w:rPr>
      </w:pPr>
      <w:r>
        <w:rPr>
          <w:rFonts w:hint="eastAsia" w:ascii="宋体" w:hAnsi="宋体"/>
          <w:b/>
          <w:bCs/>
          <w:szCs w:val="21"/>
        </w:rPr>
        <w:t>（2）用户管理</w:t>
      </w:r>
    </w:p>
    <w:p>
      <w:pPr>
        <w:ind w:firstLine="420" w:firstLineChars="200"/>
        <w:rPr>
          <w:rFonts w:hint="eastAsia" w:ascii="宋体" w:hAnsi="宋体"/>
          <w:szCs w:val="21"/>
        </w:rPr>
      </w:pPr>
      <w:r>
        <w:rPr>
          <w:rFonts w:hint="eastAsia" w:ascii="宋体" w:hAnsi="宋体"/>
          <w:szCs w:val="21"/>
        </w:rPr>
        <w:t>（a）能够对用户名、密码等相关内容进行设置管理，系统登录用户身份认证；</w:t>
      </w:r>
    </w:p>
    <w:p>
      <w:pPr>
        <w:ind w:firstLine="420" w:firstLineChars="200"/>
        <w:rPr>
          <w:rFonts w:hint="eastAsia" w:ascii="宋体" w:hAnsi="宋体"/>
          <w:szCs w:val="21"/>
        </w:rPr>
      </w:pPr>
      <w:r>
        <w:rPr>
          <w:rFonts w:hint="eastAsia" w:ascii="宋体" w:hAnsi="宋体"/>
          <w:szCs w:val="21"/>
        </w:rPr>
        <w:t>（b）支持移动终端远程通过WEB方式访问路口信号控制系统，进行系统状态查询、数据修改、方案调试或其它命令操作；最大可对</w:t>
      </w:r>
      <w:r>
        <w:rPr>
          <w:rFonts w:ascii="宋体" w:hAnsi="宋体"/>
          <w:szCs w:val="21"/>
        </w:rPr>
        <w:t>40</w:t>
      </w:r>
      <w:r>
        <w:rPr>
          <w:rFonts w:hint="eastAsia" w:ascii="宋体" w:hAnsi="宋体"/>
          <w:szCs w:val="21"/>
        </w:rPr>
        <w:t>个相位数据的管理，其中包括</w:t>
      </w:r>
      <w:r>
        <w:rPr>
          <w:rFonts w:ascii="宋体" w:hAnsi="宋体"/>
          <w:szCs w:val="21"/>
        </w:rPr>
        <w:t>16</w:t>
      </w:r>
      <w:r>
        <w:rPr>
          <w:rFonts w:hint="eastAsia" w:ascii="宋体" w:hAnsi="宋体"/>
          <w:szCs w:val="21"/>
        </w:rPr>
        <w:t>个车行相位、</w:t>
      </w:r>
      <w:r>
        <w:rPr>
          <w:rFonts w:ascii="宋体" w:hAnsi="宋体"/>
          <w:szCs w:val="21"/>
        </w:rPr>
        <w:t>8</w:t>
      </w:r>
      <w:r>
        <w:rPr>
          <w:rFonts w:hint="eastAsia" w:ascii="宋体" w:hAnsi="宋体"/>
          <w:szCs w:val="21"/>
        </w:rPr>
        <w:t>个行人相位、</w:t>
      </w:r>
      <w:r>
        <w:rPr>
          <w:rFonts w:ascii="宋体" w:hAnsi="宋体"/>
          <w:szCs w:val="21"/>
        </w:rPr>
        <w:t>16</w:t>
      </w:r>
      <w:r>
        <w:rPr>
          <w:rFonts w:hint="eastAsia" w:ascii="宋体" w:hAnsi="宋体"/>
          <w:szCs w:val="21"/>
        </w:rPr>
        <w:t>个跟随相位。远程WEB方式访问时需通过用户名及密码进行认证。</w:t>
      </w:r>
    </w:p>
    <w:p>
      <w:pPr>
        <w:ind w:firstLine="422" w:firstLineChars="200"/>
        <w:rPr>
          <w:rFonts w:hint="eastAsia" w:ascii="宋体" w:hAnsi="宋体"/>
          <w:b/>
          <w:bCs/>
          <w:szCs w:val="21"/>
        </w:rPr>
      </w:pPr>
      <w:r>
        <w:rPr>
          <w:rFonts w:hint="eastAsia" w:ascii="宋体" w:hAnsi="宋体"/>
          <w:b/>
          <w:bCs/>
          <w:szCs w:val="21"/>
        </w:rPr>
        <w:t>（3）系统数据库</w:t>
      </w:r>
    </w:p>
    <w:p>
      <w:pPr>
        <w:ind w:firstLine="420" w:firstLineChars="200"/>
        <w:rPr>
          <w:rFonts w:hint="eastAsia" w:ascii="宋体" w:hAnsi="宋体"/>
          <w:szCs w:val="21"/>
        </w:rPr>
      </w:pPr>
      <w:r>
        <w:rPr>
          <w:rFonts w:hint="eastAsia" w:ascii="宋体" w:hAnsi="宋体"/>
          <w:szCs w:val="21"/>
        </w:rPr>
        <w:t>（a）总体要求：采用通用数据库，具有系统参数设置、交通数据存储、数据管理功能；</w:t>
      </w:r>
    </w:p>
    <w:p>
      <w:pPr>
        <w:ind w:firstLine="420" w:firstLineChars="200"/>
        <w:rPr>
          <w:rFonts w:hint="eastAsia" w:ascii="宋体" w:hAnsi="宋体"/>
          <w:szCs w:val="21"/>
        </w:rPr>
      </w:pPr>
      <w:r>
        <w:rPr>
          <w:rFonts w:hint="eastAsia" w:ascii="宋体" w:hAnsi="宋体"/>
          <w:szCs w:val="21"/>
        </w:rPr>
        <w:t>（b）参数设置：每个数据项均附有数据定义和有效值范围的在线说明；系统自动检测所有数据项输入数据的合理性，提示并拒绝不合理及非法的数据输入；易于数据修改和更新；</w:t>
      </w:r>
    </w:p>
    <w:p>
      <w:pPr>
        <w:ind w:firstLine="420" w:firstLineChars="200"/>
        <w:rPr>
          <w:rFonts w:hint="eastAsia" w:ascii="宋体" w:hAnsi="宋体"/>
          <w:szCs w:val="21"/>
        </w:rPr>
      </w:pPr>
      <w:r>
        <w:rPr>
          <w:rFonts w:hint="eastAsia" w:ascii="宋体" w:hAnsi="宋体"/>
          <w:szCs w:val="21"/>
        </w:rPr>
        <w:t>（c）交通数据存储：能够对采集的交通实时数据和历史数据进行储存和管理，保证数据的快速存取、编辑和删除；</w:t>
      </w:r>
    </w:p>
    <w:p>
      <w:pPr>
        <w:ind w:firstLine="420" w:firstLineChars="200"/>
        <w:rPr>
          <w:rFonts w:hint="eastAsia" w:ascii="宋体" w:hAnsi="宋体"/>
          <w:szCs w:val="21"/>
        </w:rPr>
      </w:pPr>
      <w:r>
        <w:rPr>
          <w:rFonts w:hint="eastAsia" w:ascii="宋体" w:hAnsi="宋体"/>
          <w:szCs w:val="21"/>
        </w:rPr>
        <w:t>（d）数据库管理：</w:t>
      </w:r>
    </w:p>
    <w:p>
      <w:pPr>
        <w:ind w:firstLine="420" w:firstLineChars="200"/>
        <w:rPr>
          <w:rFonts w:hint="eastAsia" w:ascii="宋体" w:hAnsi="宋体"/>
          <w:szCs w:val="21"/>
        </w:rPr>
      </w:pPr>
      <w:r>
        <w:rPr>
          <w:rFonts w:hint="eastAsia" w:ascii="宋体" w:hAnsi="宋体"/>
          <w:szCs w:val="21"/>
        </w:rPr>
        <w:t>禁止未授权使用者进入数据库操作界面；</w:t>
      </w:r>
    </w:p>
    <w:p>
      <w:pPr>
        <w:ind w:firstLine="420" w:firstLineChars="200"/>
        <w:rPr>
          <w:rFonts w:hint="eastAsia" w:ascii="宋体" w:hAnsi="宋体"/>
          <w:szCs w:val="21"/>
        </w:rPr>
      </w:pPr>
      <w:r>
        <w:rPr>
          <w:rFonts w:hint="eastAsia" w:ascii="宋体" w:hAnsi="宋体"/>
          <w:szCs w:val="21"/>
        </w:rPr>
        <w:t>多用户同时对不同数据对象的修改、删除无冲突，禁止同时修改同一数据对象并有冲突报警显示；</w:t>
      </w:r>
    </w:p>
    <w:p>
      <w:pPr>
        <w:ind w:firstLine="420" w:firstLineChars="200"/>
        <w:rPr>
          <w:rFonts w:hint="eastAsia" w:ascii="宋体" w:hAnsi="宋体"/>
          <w:szCs w:val="21"/>
        </w:rPr>
      </w:pPr>
      <w:r>
        <w:rPr>
          <w:rFonts w:hint="eastAsia" w:ascii="宋体" w:hAnsi="宋体"/>
          <w:szCs w:val="21"/>
        </w:rPr>
        <w:t>详细记录数据修改人员、修改内容和时间；</w:t>
      </w:r>
    </w:p>
    <w:p>
      <w:pPr>
        <w:ind w:firstLine="420" w:firstLineChars="200"/>
        <w:rPr>
          <w:rFonts w:hint="eastAsia" w:ascii="宋体" w:hAnsi="宋体"/>
          <w:szCs w:val="21"/>
        </w:rPr>
      </w:pPr>
      <w:r>
        <w:rPr>
          <w:rFonts w:hint="eastAsia" w:ascii="宋体" w:hAnsi="宋体"/>
          <w:szCs w:val="21"/>
        </w:rPr>
        <w:t>能够快速地进行完整的数据备份与数据恢复；</w:t>
      </w:r>
    </w:p>
    <w:p>
      <w:pPr>
        <w:ind w:firstLine="420" w:firstLineChars="200"/>
        <w:rPr>
          <w:rFonts w:hint="eastAsia" w:ascii="宋体" w:hAnsi="宋体"/>
          <w:szCs w:val="21"/>
        </w:rPr>
      </w:pPr>
      <w:r>
        <w:rPr>
          <w:rFonts w:hint="eastAsia" w:ascii="宋体" w:hAnsi="宋体"/>
          <w:szCs w:val="21"/>
        </w:rPr>
        <w:t>支持多用户数据库查询、访问。</w:t>
      </w:r>
    </w:p>
    <w:p>
      <w:pPr>
        <w:ind w:firstLine="422" w:firstLineChars="200"/>
        <w:rPr>
          <w:rFonts w:hint="eastAsia" w:ascii="宋体" w:hAnsi="宋体"/>
          <w:b/>
          <w:bCs/>
          <w:szCs w:val="21"/>
        </w:rPr>
      </w:pPr>
      <w:r>
        <w:rPr>
          <w:rFonts w:hint="eastAsia" w:ascii="宋体" w:hAnsi="宋体"/>
          <w:b/>
          <w:bCs/>
          <w:szCs w:val="21"/>
        </w:rPr>
        <w:t>（4）日志管理</w:t>
      </w:r>
    </w:p>
    <w:p>
      <w:pPr>
        <w:ind w:firstLine="420" w:firstLineChars="200"/>
        <w:rPr>
          <w:rFonts w:hint="eastAsia" w:ascii="宋体" w:hAnsi="宋体"/>
          <w:szCs w:val="21"/>
        </w:rPr>
      </w:pPr>
      <w:r>
        <w:rPr>
          <w:rFonts w:hint="eastAsia" w:ascii="宋体" w:hAnsi="宋体"/>
          <w:szCs w:val="21"/>
        </w:rPr>
        <w:t>（a）操作员记录：操作员登录/退出时间、所有操作命令记录；</w:t>
      </w:r>
    </w:p>
    <w:p>
      <w:pPr>
        <w:ind w:firstLine="420" w:firstLineChars="200"/>
        <w:rPr>
          <w:rFonts w:hint="eastAsia" w:ascii="宋体" w:hAnsi="宋体"/>
          <w:szCs w:val="21"/>
        </w:rPr>
      </w:pPr>
      <w:r>
        <w:rPr>
          <w:rFonts w:hint="eastAsia" w:ascii="宋体" w:hAnsi="宋体"/>
          <w:szCs w:val="21"/>
        </w:rPr>
        <w:t>（b）系统运行记录：系统命令执行、控制方式与系统设备状态记录；</w:t>
      </w:r>
    </w:p>
    <w:p>
      <w:pPr>
        <w:ind w:firstLine="420" w:firstLineChars="200"/>
        <w:rPr>
          <w:rFonts w:hint="eastAsia" w:ascii="宋体" w:hAnsi="宋体"/>
          <w:szCs w:val="21"/>
        </w:rPr>
      </w:pPr>
      <w:r>
        <w:rPr>
          <w:rFonts w:hint="eastAsia" w:ascii="宋体" w:hAnsi="宋体"/>
          <w:szCs w:val="21"/>
        </w:rPr>
        <w:t>（c）系统故障记录：传输设备以及路口设备故障记录；</w:t>
      </w:r>
    </w:p>
    <w:p>
      <w:pPr>
        <w:ind w:firstLine="420" w:firstLineChars="200"/>
        <w:rPr>
          <w:rFonts w:ascii="宋体" w:hAnsi="宋体"/>
          <w:szCs w:val="21"/>
        </w:rPr>
      </w:pPr>
      <w:r>
        <w:rPr>
          <w:rFonts w:hint="eastAsia" w:ascii="宋体" w:hAnsi="宋体"/>
          <w:szCs w:val="21"/>
        </w:rPr>
        <w:t>（d）记录查询：可根据日期范围、时间范围、时刻、控制区域、用户、设备等各种限定，方便快捷地查询各类日志记录，并能以常用表格形式打印。路口机控制系统至少记录6</w:t>
      </w:r>
      <w:r>
        <w:rPr>
          <w:rFonts w:ascii="宋体" w:hAnsi="宋体"/>
          <w:szCs w:val="21"/>
        </w:rPr>
        <w:t>0</w:t>
      </w:r>
      <w:r>
        <w:rPr>
          <w:rFonts w:hint="eastAsia" w:ascii="宋体" w:hAnsi="宋体"/>
          <w:szCs w:val="21"/>
        </w:rPr>
        <w:t>个事件进行监测，系统日志、详细操作日志、检测器数据事件记录；</w:t>
      </w:r>
    </w:p>
    <w:p>
      <w:pPr>
        <w:ind w:firstLine="420" w:firstLineChars="200"/>
        <w:rPr>
          <w:rFonts w:hint="eastAsia" w:ascii="宋体" w:hAnsi="宋体"/>
          <w:szCs w:val="21"/>
        </w:rPr>
      </w:pPr>
      <w:r>
        <w:rPr>
          <w:rFonts w:hint="eastAsia" w:ascii="宋体" w:hAnsi="宋体"/>
          <w:szCs w:val="21"/>
        </w:rPr>
        <w:t>（e）对采集的交通流量进行记录，过车信息包括过车时间、车道。</w:t>
      </w:r>
    </w:p>
    <w:p>
      <w:pPr>
        <w:ind w:firstLine="422" w:firstLineChars="200"/>
        <w:rPr>
          <w:rFonts w:hint="eastAsia" w:ascii="宋体" w:hAnsi="宋体"/>
          <w:b/>
          <w:bCs/>
          <w:szCs w:val="21"/>
        </w:rPr>
      </w:pPr>
      <w:r>
        <w:rPr>
          <w:rFonts w:hint="eastAsia" w:ascii="宋体" w:hAnsi="宋体"/>
          <w:b/>
          <w:bCs/>
          <w:szCs w:val="21"/>
        </w:rPr>
        <w:t>（5）系统故障报警</w:t>
      </w:r>
    </w:p>
    <w:p>
      <w:pPr>
        <w:ind w:firstLine="420" w:firstLineChars="200"/>
        <w:rPr>
          <w:rFonts w:hint="eastAsia" w:ascii="宋体" w:hAnsi="宋体"/>
          <w:szCs w:val="21"/>
        </w:rPr>
      </w:pPr>
      <w:r>
        <w:rPr>
          <w:rFonts w:hint="eastAsia" w:ascii="宋体" w:hAnsi="宋体"/>
          <w:szCs w:val="21"/>
        </w:rPr>
        <w:t>传输单元故障，信号控制器、车辆检测器、可变标志等路口设备故障，均能有详细的分类故障代码；故障发生时能通过异常信息生成故障记录并实时上传至中心，在故障消除后或操作员确认后取消报警。</w:t>
      </w:r>
    </w:p>
    <w:p>
      <w:pPr>
        <w:ind w:firstLine="422" w:firstLineChars="200"/>
        <w:rPr>
          <w:rFonts w:hint="eastAsia" w:ascii="宋体" w:hAnsi="宋体"/>
          <w:b/>
          <w:bCs/>
          <w:szCs w:val="21"/>
        </w:rPr>
      </w:pPr>
      <w:r>
        <w:rPr>
          <w:rFonts w:ascii="宋体" w:hAnsi="宋体"/>
          <w:b/>
          <w:bCs/>
          <w:szCs w:val="21"/>
        </w:rPr>
        <w:t>7.2</w:t>
      </w:r>
      <w:r>
        <w:rPr>
          <w:rFonts w:hint="eastAsia" w:ascii="宋体" w:hAnsi="宋体"/>
          <w:b/>
          <w:bCs/>
          <w:szCs w:val="21"/>
        </w:rPr>
        <w:t>控制功能</w:t>
      </w:r>
    </w:p>
    <w:p>
      <w:pPr>
        <w:ind w:firstLine="420" w:firstLineChars="200"/>
        <w:rPr>
          <w:rFonts w:hint="eastAsia" w:ascii="宋体" w:hAnsi="宋体"/>
          <w:szCs w:val="21"/>
        </w:rPr>
      </w:pPr>
      <w:r>
        <w:rPr>
          <w:rFonts w:hint="eastAsia" w:ascii="宋体" w:hAnsi="宋体"/>
          <w:szCs w:val="21"/>
        </w:rPr>
        <w:t>（1）路口信号控制机可作位独立信号控制器使用。确保在信号通讯不畅或中央控制计算机停止工作状态时，不影响路口可实行单点自适应方案：可设置本相位最小绿灯时间时长，根据路口车流量、车辆占有率以及车速自主调整实际绿灯时长，同时可设置本相位最长绿灯时长。</w:t>
      </w:r>
    </w:p>
    <w:p>
      <w:pPr>
        <w:ind w:firstLine="420" w:firstLineChars="200"/>
        <w:rPr>
          <w:rFonts w:hint="eastAsia" w:ascii="宋体" w:hAnsi="宋体"/>
          <w:szCs w:val="21"/>
        </w:rPr>
      </w:pPr>
      <w:r>
        <w:rPr>
          <w:rFonts w:hint="eastAsia" w:ascii="宋体" w:hAnsi="宋体"/>
          <w:szCs w:val="21"/>
        </w:rPr>
        <w:t>（2）接受并执行控制中心的指令，同时可接受手动控制方式的介入。手动控制方式的介入与退出时，信号灯相位转换做到平滑过渡。手动控制方式可通过路口机柜控制，也可通过近距离遥控器进行遥控；手动遥控距离达到100米。</w:t>
      </w:r>
    </w:p>
    <w:p>
      <w:pPr>
        <w:ind w:firstLine="420" w:firstLineChars="200"/>
        <w:rPr>
          <w:rFonts w:ascii="宋体" w:hAnsi="宋体"/>
          <w:szCs w:val="21"/>
        </w:rPr>
      </w:pPr>
      <w:r>
        <w:rPr>
          <w:rFonts w:hint="eastAsia" w:ascii="宋体" w:hAnsi="宋体"/>
          <w:szCs w:val="21"/>
        </w:rPr>
        <w:t xml:space="preserve">（3）可预置对特殊事件的优先控制。对需求相位进行延长绿灯时长，其他相位缩短绿灯时长，实现各类优先通行政策。 </w:t>
      </w:r>
    </w:p>
    <w:p>
      <w:pPr>
        <w:ind w:firstLine="420" w:firstLineChars="200"/>
        <w:rPr>
          <w:rFonts w:ascii="宋体" w:hAnsi="宋体"/>
          <w:szCs w:val="21"/>
        </w:rPr>
      </w:pPr>
      <w:r>
        <w:rPr>
          <w:rFonts w:hint="eastAsia" w:ascii="宋体" w:hAnsi="宋体"/>
          <w:szCs w:val="21"/>
        </w:rPr>
        <w:t>（a）紧急车辆优先控制。系统能够按预定时间和预定路线进行绿波信号推进，以满足各种重大活动、重大事件及特殊**的通行需求。系统能响应特殊情况下的**、消防、救护、抢险等特种车辆的紧急请求，使车辆迅速通过沿线路口，并可设定级别。同时可利用人工控制方式即时控制某一方向的信号；</w:t>
      </w:r>
    </w:p>
    <w:p>
      <w:pPr>
        <w:ind w:firstLine="420" w:firstLineChars="200"/>
        <w:rPr>
          <w:rFonts w:hint="eastAsia" w:ascii="宋体" w:hAnsi="宋体"/>
          <w:szCs w:val="21"/>
        </w:rPr>
      </w:pPr>
      <w:r>
        <w:rPr>
          <w:rFonts w:hint="eastAsia" w:ascii="宋体" w:hAnsi="宋体"/>
          <w:szCs w:val="21"/>
        </w:rPr>
        <w:t>（b）公交优先控制。系统具有一种或多种科学合理、灵活实用的公交优先控制算法并能执行相应的优先控制，以满足一般公交优先、双向高频度公交优先或多方向公交优先的需求。</w:t>
      </w:r>
    </w:p>
    <w:p>
      <w:pPr>
        <w:ind w:firstLine="420" w:firstLineChars="200"/>
        <w:rPr>
          <w:rFonts w:hint="eastAsia" w:ascii="宋体" w:hAnsi="宋体"/>
          <w:szCs w:val="21"/>
        </w:rPr>
      </w:pPr>
      <w:r>
        <w:rPr>
          <w:rFonts w:hint="eastAsia" w:ascii="宋体" w:hAnsi="宋体"/>
          <w:szCs w:val="21"/>
        </w:rPr>
        <w:t>（4）路口机动车、行人相位单独输出控制。路口信号控制器采用不少于8个主相位控制、4个跟随相位控制、4个行人独立相位，车辆、行人可独立控制。</w:t>
      </w:r>
    </w:p>
    <w:p>
      <w:pPr>
        <w:ind w:firstLine="420" w:firstLineChars="200"/>
        <w:rPr>
          <w:rFonts w:hint="eastAsia" w:ascii="宋体" w:hAnsi="宋体"/>
          <w:szCs w:val="21"/>
        </w:rPr>
      </w:pPr>
      <w:r>
        <w:rPr>
          <w:rFonts w:hint="eastAsia" w:ascii="宋体" w:hAnsi="宋体"/>
          <w:szCs w:val="21"/>
        </w:rPr>
        <w:t>（5）机动车信号灯灯色转换顺序如下：红灯-全红-绿灯-绿脉冲（绿灯倒计时触发脉冲信号2</w:t>
      </w:r>
      <w:r>
        <w:rPr>
          <w:rFonts w:ascii="宋体" w:hAnsi="宋体"/>
          <w:szCs w:val="21"/>
        </w:rPr>
        <w:t>00ms</w:t>
      </w:r>
      <w:r>
        <w:rPr>
          <w:rFonts w:hint="eastAsia" w:ascii="宋体" w:hAnsi="宋体"/>
          <w:szCs w:val="21"/>
        </w:rPr>
        <w:t>灭灯）-绿灯（1秒以上可设置）-绿闪（0.</w:t>
      </w:r>
      <w:r>
        <w:rPr>
          <w:rFonts w:ascii="宋体" w:hAnsi="宋体"/>
          <w:szCs w:val="21"/>
        </w:rPr>
        <w:t>5</w:t>
      </w:r>
      <w:r>
        <w:rPr>
          <w:rFonts w:hint="eastAsia" w:ascii="宋体" w:hAnsi="宋体"/>
          <w:szCs w:val="21"/>
        </w:rPr>
        <w:t>秒灭-</w:t>
      </w:r>
      <w:r>
        <w:rPr>
          <w:rFonts w:ascii="宋体" w:hAnsi="宋体"/>
          <w:szCs w:val="21"/>
        </w:rPr>
        <w:t>0</w:t>
      </w:r>
      <w:r>
        <w:rPr>
          <w:rFonts w:hint="eastAsia" w:ascii="宋体" w:hAnsi="宋体"/>
          <w:szCs w:val="21"/>
        </w:rPr>
        <w:t>.</w:t>
      </w:r>
      <w:r>
        <w:rPr>
          <w:rFonts w:ascii="宋体" w:hAnsi="宋体"/>
          <w:szCs w:val="21"/>
        </w:rPr>
        <w:t>5</w:t>
      </w:r>
      <w:r>
        <w:rPr>
          <w:rFonts w:hint="eastAsia" w:ascii="宋体" w:hAnsi="宋体"/>
          <w:szCs w:val="21"/>
        </w:rPr>
        <w:t>秒亮…-</w:t>
      </w:r>
      <w:r>
        <w:rPr>
          <w:rFonts w:ascii="宋体" w:hAnsi="宋体"/>
          <w:szCs w:val="21"/>
        </w:rPr>
        <w:t>0</w:t>
      </w:r>
      <w:r>
        <w:rPr>
          <w:rFonts w:hint="eastAsia" w:ascii="宋体" w:hAnsi="宋体"/>
          <w:szCs w:val="21"/>
        </w:rPr>
        <w:t>.</w:t>
      </w:r>
      <w:r>
        <w:rPr>
          <w:rFonts w:ascii="宋体" w:hAnsi="宋体"/>
          <w:szCs w:val="21"/>
        </w:rPr>
        <w:t>5</w:t>
      </w:r>
      <w:r>
        <w:rPr>
          <w:rFonts w:hint="eastAsia" w:ascii="宋体" w:hAnsi="宋体"/>
          <w:szCs w:val="21"/>
        </w:rPr>
        <w:t>秒灭）-黄灯-红灯-红脉冲（红灯倒计时触发脉冲信号2</w:t>
      </w:r>
      <w:r>
        <w:rPr>
          <w:rFonts w:ascii="宋体" w:hAnsi="宋体"/>
          <w:szCs w:val="21"/>
        </w:rPr>
        <w:t>00ms</w:t>
      </w:r>
      <w:r>
        <w:rPr>
          <w:rFonts w:hint="eastAsia" w:ascii="宋体" w:hAnsi="宋体"/>
          <w:szCs w:val="21"/>
        </w:rPr>
        <w:t>灭灯）-红灯；行人信号灯灯色转换顺序如下：红灯-全红-绿灯-绿脉冲（绿灯倒计时触发脉冲信号2</w:t>
      </w:r>
      <w:r>
        <w:rPr>
          <w:rFonts w:ascii="宋体" w:hAnsi="宋体"/>
          <w:szCs w:val="21"/>
        </w:rPr>
        <w:t>00ms</w:t>
      </w:r>
      <w:r>
        <w:rPr>
          <w:rFonts w:hint="eastAsia" w:ascii="宋体" w:hAnsi="宋体"/>
          <w:szCs w:val="21"/>
        </w:rPr>
        <w:t>灭灯）-绿灯（1秒以上可设置）-绿闪（0.</w:t>
      </w:r>
      <w:r>
        <w:rPr>
          <w:rFonts w:ascii="宋体" w:hAnsi="宋体"/>
          <w:szCs w:val="21"/>
        </w:rPr>
        <w:t>5</w:t>
      </w:r>
      <w:r>
        <w:rPr>
          <w:rFonts w:hint="eastAsia" w:ascii="宋体" w:hAnsi="宋体"/>
          <w:szCs w:val="21"/>
        </w:rPr>
        <w:t>秒灭-</w:t>
      </w:r>
      <w:r>
        <w:rPr>
          <w:rFonts w:ascii="宋体" w:hAnsi="宋体"/>
          <w:szCs w:val="21"/>
        </w:rPr>
        <w:t>0</w:t>
      </w:r>
      <w:r>
        <w:rPr>
          <w:rFonts w:hint="eastAsia" w:ascii="宋体" w:hAnsi="宋体"/>
          <w:szCs w:val="21"/>
        </w:rPr>
        <w:t>.</w:t>
      </w:r>
      <w:r>
        <w:rPr>
          <w:rFonts w:ascii="宋体" w:hAnsi="宋体"/>
          <w:szCs w:val="21"/>
        </w:rPr>
        <w:t>5</w:t>
      </w:r>
      <w:r>
        <w:rPr>
          <w:rFonts w:hint="eastAsia" w:ascii="宋体" w:hAnsi="宋体"/>
          <w:szCs w:val="21"/>
        </w:rPr>
        <w:t>秒亮…-</w:t>
      </w:r>
      <w:r>
        <w:rPr>
          <w:rFonts w:ascii="宋体" w:hAnsi="宋体"/>
          <w:szCs w:val="21"/>
        </w:rPr>
        <w:t>0</w:t>
      </w:r>
      <w:r>
        <w:rPr>
          <w:rFonts w:hint="eastAsia" w:ascii="宋体" w:hAnsi="宋体"/>
          <w:szCs w:val="21"/>
        </w:rPr>
        <w:t>.</w:t>
      </w:r>
      <w:r>
        <w:rPr>
          <w:rFonts w:ascii="宋体" w:hAnsi="宋体"/>
          <w:szCs w:val="21"/>
        </w:rPr>
        <w:t>5</w:t>
      </w:r>
      <w:r>
        <w:rPr>
          <w:rFonts w:hint="eastAsia" w:ascii="宋体" w:hAnsi="宋体"/>
          <w:szCs w:val="21"/>
        </w:rPr>
        <w:t>秒灭）-红灯-红脉冲（红灯倒计时触发脉冲信号2</w:t>
      </w:r>
      <w:r>
        <w:rPr>
          <w:rFonts w:ascii="宋体" w:hAnsi="宋体"/>
          <w:szCs w:val="21"/>
        </w:rPr>
        <w:t>00ms</w:t>
      </w:r>
      <w:r>
        <w:rPr>
          <w:rFonts w:hint="eastAsia" w:ascii="宋体" w:hAnsi="宋体"/>
          <w:szCs w:val="21"/>
        </w:rPr>
        <w:t>灭灯）-红灯。灯色转换如下图（2相序为例）：</w:t>
      </w:r>
    </w:p>
    <w:p>
      <w:pPr>
        <w:rPr>
          <w:rFonts w:hint="eastAsia" w:ascii="宋体" w:hAnsi="宋体"/>
          <w:lang w:val="zh-CN"/>
        </w:rPr>
      </w:pPr>
      <w:r>
        <w:rPr>
          <w:rFonts w:ascii="宋体" w:hAnsi="宋体"/>
          <w:lang/>
        </w:rPr>
        <w:drawing>
          <wp:inline distT="0" distB="0" distL="114300" distR="114300">
            <wp:extent cx="5848985" cy="2340610"/>
            <wp:effectExtent l="0" t="0" r="18415" b="2540"/>
            <wp:docPr id="23" name="图片 1" descr="说明: 信号灯灯色转换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说明: 信号灯灯色转换示意图"/>
                    <pic:cNvPicPr>
                      <a:picLocks noChangeAspect="1"/>
                    </pic:cNvPicPr>
                  </pic:nvPicPr>
                  <pic:blipFill>
                    <a:blip r:embed="rId37"/>
                    <a:stretch>
                      <a:fillRect/>
                    </a:stretch>
                  </pic:blipFill>
                  <pic:spPr>
                    <a:xfrm>
                      <a:off x="0" y="0"/>
                      <a:ext cx="5848985" cy="2340610"/>
                    </a:xfrm>
                    <a:prstGeom prst="rect">
                      <a:avLst/>
                    </a:prstGeom>
                    <a:noFill/>
                    <a:ln>
                      <a:noFill/>
                    </a:ln>
                  </pic:spPr>
                </pic:pic>
              </a:graphicData>
            </a:graphic>
          </wp:inline>
        </w:drawing>
      </w:r>
    </w:p>
    <w:p>
      <w:pPr>
        <w:ind w:firstLine="420" w:firstLineChars="200"/>
        <w:rPr>
          <w:rFonts w:hint="eastAsia" w:ascii="宋体" w:hAnsi="宋体"/>
          <w:szCs w:val="21"/>
        </w:rPr>
      </w:pPr>
      <w:r>
        <w:rPr>
          <w:rFonts w:hint="eastAsia" w:ascii="宋体" w:hAnsi="宋体"/>
          <w:szCs w:val="21"/>
        </w:rPr>
        <w:t>（6）具备灵活的跟随相位设置功能，优先相位的紧急调用功能；自适应绿信比调整、自适应信号周期调整、自适应相位差调整。</w:t>
      </w:r>
    </w:p>
    <w:p>
      <w:pPr>
        <w:ind w:firstLine="420" w:firstLineChars="200"/>
        <w:rPr>
          <w:rFonts w:hint="eastAsia" w:ascii="宋体" w:hAnsi="宋体"/>
          <w:szCs w:val="21"/>
        </w:rPr>
      </w:pPr>
      <w:r>
        <w:rPr>
          <w:rFonts w:hint="eastAsia" w:ascii="宋体" w:hAnsi="宋体"/>
          <w:szCs w:val="21"/>
        </w:rPr>
        <w:t>（7）动态方案选择控制</w:t>
      </w:r>
    </w:p>
    <w:p>
      <w:pPr>
        <w:ind w:firstLine="420" w:firstLineChars="200"/>
        <w:rPr>
          <w:rFonts w:hint="eastAsia" w:ascii="宋体" w:hAnsi="宋体"/>
          <w:szCs w:val="21"/>
        </w:rPr>
      </w:pPr>
      <w:r>
        <w:rPr>
          <w:rFonts w:hint="eastAsia" w:ascii="宋体" w:hAnsi="宋体"/>
          <w:szCs w:val="21"/>
        </w:rPr>
        <w:t>根据实时交通流检测信息，从系统方案库中调用适宜方案。</w:t>
      </w:r>
    </w:p>
    <w:p>
      <w:pPr>
        <w:ind w:firstLine="420" w:firstLineChars="200"/>
        <w:rPr>
          <w:rFonts w:hint="eastAsia" w:ascii="宋体" w:hAnsi="宋体"/>
          <w:szCs w:val="21"/>
        </w:rPr>
      </w:pPr>
      <w:r>
        <w:rPr>
          <w:rFonts w:hint="eastAsia" w:ascii="宋体" w:hAnsi="宋体"/>
          <w:szCs w:val="21"/>
        </w:rPr>
        <w:t>（8）线协调控制</w:t>
      </w:r>
    </w:p>
    <w:p>
      <w:pPr>
        <w:ind w:firstLine="420" w:firstLineChars="200"/>
        <w:rPr>
          <w:rFonts w:hint="eastAsia" w:ascii="宋体" w:hAnsi="宋体"/>
          <w:szCs w:val="21"/>
        </w:rPr>
      </w:pPr>
      <w:r>
        <w:rPr>
          <w:rFonts w:hint="eastAsia" w:ascii="宋体" w:hAnsi="宋体"/>
          <w:szCs w:val="21"/>
        </w:rPr>
        <w:t>按照系统时间表设置进行线协调控制。协调控制方案不少于32个。</w:t>
      </w:r>
    </w:p>
    <w:p>
      <w:pPr>
        <w:ind w:firstLine="420" w:firstLineChars="200"/>
        <w:rPr>
          <w:rFonts w:hint="eastAsia" w:ascii="宋体" w:hAnsi="宋体"/>
          <w:szCs w:val="21"/>
        </w:rPr>
      </w:pPr>
      <w:r>
        <w:rPr>
          <w:rFonts w:hint="eastAsia" w:ascii="宋体" w:hAnsi="宋体"/>
          <w:szCs w:val="21"/>
        </w:rPr>
        <w:t>（9）感应式线协调控制</w:t>
      </w:r>
    </w:p>
    <w:p>
      <w:pPr>
        <w:ind w:firstLine="420" w:firstLineChars="200"/>
        <w:rPr>
          <w:rFonts w:hint="eastAsia" w:ascii="宋体" w:hAnsi="宋体"/>
          <w:szCs w:val="21"/>
        </w:rPr>
      </w:pPr>
      <w:r>
        <w:rPr>
          <w:rFonts w:hint="eastAsia" w:ascii="宋体" w:hAnsi="宋体"/>
          <w:szCs w:val="21"/>
        </w:rPr>
        <w:t>系统能够在保证线协调控制的条件下响应冲突方向车辆感应请求。</w:t>
      </w:r>
    </w:p>
    <w:p>
      <w:pPr>
        <w:ind w:firstLine="420" w:firstLineChars="200"/>
        <w:rPr>
          <w:rFonts w:hint="eastAsia" w:ascii="宋体" w:hAnsi="宋体"/>
          <w:szCs w:val="21"/>
        </w:rPr>
      </w:pPr>
      <w:r>
        <w:rPr>
          <w:rFonts w:hint="eastAsia" w:ascii="宋体" w:hAnsi="宋体"/>
          <w:szCs w:val="21"/>
        </w:rPr>
        <w:t>（10）行人控制</w:t>
      </w:r>
    </w:p>
    <w:p>
      <w:pPr>
        <w:ind w:firstLine="420" w:firstLineChars="200"/>
        <w:rPr>
          <w:rFonts w:hint="eastAsia" w:ascii="宋体" w:hAnsi="宋体"/>
          <w:szCs w:val="21"/>
        </w:rPr>
      </w:pPr>
      <w:r>
        <w:rPr>
          <w:rFonts w:hint="eastAsia" w:ascii="宋体" w:hAnsi="宋体"/>
          <w:szCs w:val="21"/>
        </w:rPr>
        <w:t>（a）路口行人过街控制应具有请求式控制方式和预案式控制方式；</w:t>
      </w:r>
    </w:p>
    <w:p>
      <w:pPr>
        <w:ind w:firstLine="420" w:firstLineChars="200"/>
        <w:rPr>
          <w:rFonts w:hint="eastAsia" w:ascii="宋体" w:hAnsi="宋体"/>
          <w:szCs w:val="21"/>
        </w:rPr>
      </w:pPr>
      <w:r>
        <w:rPr>
          <w:rFonts w:hint="eastAsia" w:ascii="宋体" w:hAnsi="宋体"/>
          <w:szCs w:val="21"/>
        </w:rPr>
        <w:t>（b）系统能够在线协调或区域协调控制的条件下及时响应或等待响应路段行人过街请求，使行人利用交通流间隙过街通行；</w:t>
      </w:r>
    </w:p>
    <w:p>
      <w:pPr>
        <w:ind w:firstLine="420" w:firstLineChars="200"/>
        <w:rPr>
          <w:rFonts w:hint="eastAsia" w:ascii="宋体" w:hAnsi="宋体"/>
          <w:szCs w:val="21"/>
        </w:rPr>
      </w:pPr>
      <w:r>
        <w:rPr>
          <w:rFonts w:hint="eastAsia" w:ascii="宋体" w:hAnsi="宋体"/>
          <w:szCs w:val="21"/>
        </w:rPr>
        <w:t>（c）利用感应技术，判断行人与非机动车过街情况，确保行人与非机动车过街基本时间。</w:t>
      </w:r>
    </w:p>
    <w:p>
      <w:pPr>
        <w:ind w:firstLine="420" w:firstLineChars="200"/>
        <w:rPr>
          <w:rFonts w:hint="eastAsia" w:ascii="宋体" w:hAnsi="宋体"/>
          <w:szCs w:val="21"/>
        </w:rPr>
      </w:pPr>
      <w:r>
        <w:rPr>
          <w:rFonts w:hint="eastAsia" w:ascii="宋体" w:hAnsi="宋体"/>
          <w:szCs w:val="21"/>
        </w:rPr>
        <w:t>（11）快速路出入口控制</w:t>
      </w:r>
    </w:p>
    <w:p>
      <w:pPr>
        <w:ind w:firstLine="420" w:firstLineChars="200"/>
        <w:rPr>
          <w:rFonts w:hint="eastAsia" w:ascii="宋体" w:hAnsi="宋体"/>
          <w:szCs w:val="21"/>
        </w:rPr>
      </w:pPr>
      <w:r>
        <w:rPr>
          <w:rFonts w:hint="eastAsia" w:ascii="宋体" w:hAnsi="宋体"/>
          <w:szCs w:val="21"/>
        </w:rPr>
        <w:t>（a）系统能够对快速路出入口进行协调优化控制；</w:t>
      </w:r>
    </w:p>
    <w:p>
      <w:pPr>
        <w:ind w:firstLine="420" w:firstLineChars="200"/>
        <w:rPr>
          <w:rFonts w:hint="eastAsia" w:ascii="宋体" w:hAnsi="宋体"/>
          <w:szCs w:val="21"/>
        </w:rPr>
      </w:pPr>
      <w:r>
        <w:rPr>
          <w:rFonts w:hint="eastAsia" w:ascii="宋体" w:hAnsi="宋体"/>
          <w:szCs w:val="21"/>
        </w:rPr>
        <w:t>（b）系统能够根据快速路出入口的交通需求及其相邻道路的交通状态实时调整控制方式，达到快速路出入口与其相邻路口相互协调的自适应控制。</w:t>
      </w:r>
    </w:p>
    <w:p>
      <w:pPr>
        <w:ind w:firstLine="420" w:firstLineChars="200"/>
        <w:rPr>
          <w:rFonts w:hint="eastAsia" w:ascii="宋体" w:hAnsi="宋体"/>
          <w:szCs w:val="21"/>
        </w:rPr>
      </w:pPr>
      <w:r>
        <w:rPr>
          <w:rFonts w:hint="eastAsia" w:ascii="宋体" w:hAnsi="宋体"/>
          <w:szCs w:val="21"/>
        </w:rPr>
        <w:t>（12）城市轻轨交叉口控制</w:t>
      </w:r>
    </w:p>
    <w:p>
      <w:pPr>
        <w:ind w:firstLine="420" w:firstLineChars="200"/>
        <w:rPr>
          <w:rFonts w:hint="eastAsia" w:ascii="宋体" w:hAnsi="宋体"/>
          <w:szCs w:val="21"/>
        </w:rPr>
      </w:pPr>
      <w:r>
        <w:rPr>
          <w:rFonts w:hint="eastAsia" w:ascii="宋体" w:hAnsi="宋体"/>
          <w:szCs w:val="21"/>
        </w:rPr>
        <w:t>系统具有城市轻轨与市政道路交叉口的交通组织信号控制功能。实现轨道交通最优先放行，无轨道交通不放行的需求。</w:t>
      </w:r>
    </w:p>
    <w:p>
      <w:pPr>
        <w:ind w:firstLine="420" w:firstLineChars="200"/>
        <w:rPr>
          <w:rFonts w:hint="eastAsia" w:ascii="宋体" w:hAnsi="宋体"/>
          <w:szCs w:val="21"/>
        </w:rPr>
      </w:pPr>
      <w:r>
        <w:rPr>
          <w:rFonts w:hint="eastAsia" w:ascii="宋体" w:hAnsi="宋体"/>
          <w:szCs w:val="21"/>
        </w:rPr>
        <w:t>（13）强制控制</w:t>
      </w:r>
    </w:p>
    <w:p>
      <w:pPr>
        <w:ind w:firstLine="420" w:firstLineChars="200"/>
        <w:rPr>
          <w:rFonts w:ascii="宋体" w:hAnsi="宋体"/>
          <w:szCs w:val="21"/>
        </w:rPr>
      </w:pPr>
      <w:r>
        <w:rPr>
          <w:rFonts w:hint="eastAsia" w:ascii="宋体" w:hAnsi="宋体"/>
          <w:szCs w:val="21"/>
        </w:rPr>
        <w:t>允许系统中心操作员直接控制系统内设置的相位组信号。</w:t>
      </w:r>
    </w:p>
    <w:p>
      <w:pPr>
        <w:ind w:firstLine="420" w:firstLineChars="200"/>
        <w:rPr>
          <w:rFonts w:ascii="宋体" w:hAnsi="宋体"/>
          <w:szCs w:val="21"/>
        </w:rPr>
      </w:pPr>
      <w:bookmarkStart w:id="27" w:name="_Toc343071674"/>
      <w:bookmarkStart w:id="28" w:name="_Toc207597835"/>
      <w:bookmarkStart w:id="29" w:name="_Toc342919272"/>
      <w:bookmarkStart w:id="30" w:name="_Toc343169457"/>
      <w:r>
        <w:rPr>
          <w:rFonts w:hint="eastAsia" w:ascii="宋体" w:hAnsi="宋体"/>
          <w:szCs w:val="21"/>
        </w:rPr>
        <w:t>（14）闪光控制</w:t>
      </w:r>
      <w:bookmarkEnd w:id="27"/>
      <w:bookmarkEnd w:id="28"/>
      <w:bookmarkEnd w:id="29"/>
      <w:bookmarkEnd w:id="30"/>
    </w:p>
    <w:p>
      <w:pPr>
        <w:ind w:firstLine="420" w:firstLineChars="200"/>
        <w:rPr>
          <w:rFonts w:ascii="宋体" w:hAnsi="宋体"/>
          <w:szCs w:val="21"/>
        </w:rPr>
      </w:pPr>
      <w:r>
        <w:rPr>
          <w:rFonts w:hint="eastAsia" w:ascii="宋体" w:hAnsi="宋体"/>
          <w:szCs w:val="21"/>
        </w:rPr>
        <w:t>在闪光控制方式下，各信号源对应的通道按照预先设定的闪光模式和一定的频率进行闪光；</w:t>
      </w:r>
    </w:p>
    <w:p>
      <w:pPr>
        <w:ind w:firstLine="420" w:firstLineChars="200"/>
        <w:rPr>
          <w:rFonts w:ascii="宋体" w:hAnsi="宋体"/>
          <w:szCs w:val="21"/>
        </w:rPr>
      </w:pPr>
      <w:r>
        <w:rPr>
          <w:rFonts w:hint="eastAsia" w:ascii="宋体" w:hAnsi="宋体"/>
          <w:szCs w:val="21"/>
        </w:rPr>
        <w:t>（a）启动闪光：信号机加电启动后，为了保证安全，首先进行一段时间的闪光时间；</w:t>
      </w:r>
    </w:p>
    <w:p>
      <w:pPr>
        <w:ind w:firstLine="420" w:firstLineChars="200"/>
        <w:rPr>
          <w:rFonts w:ascii="宋体" w:hAnsi="宋体"/>
          <w:szCs w:val="21"/>
        </w:rPr>
      </w:pPr>
      <w:r>
        <w:rPr>
          <w:rFonts w:hint="eastAsia" w:ascii="宋体" w:hAnsi="宋体"/>
          <w:szCs w:val="21"/>
        </w:rPr>
        <w:t>（b）时段闪光：通过在时段表中配置的闪光时段方案，达到部分地区需要夜间闪光的需求；</w:t>
      </w:r>
    </w:p>
    <w:p>
      <w:pPr>
        <w:ind w:firstLine="420" w:firstLineChars="200"/>
        <w:rPr>
          <w:rFonts w:ascii="宋体" w:hAnsi="宋体"/>
          <w:szCs w:val="21"/>
        </w:rPr>
      </w:pPr>
      <w:r>
        <w:rPr>
          <w:rFonts w:hint="eastAsia" w:ascii="宋体" w:hAnsi="宋体"/>
          <w:szCs w:val="21"/>
        </w:rPr>
        <w:t>（c）命令闪光：由中心系统、信号机维护工具、遥控器或手动面板向信号机发送闪光控制命令，无论当前系统正在运行何种低优先级控制，将立即进入闪光控制；</w:t>
      </w:r>
    </w:p>
    <w:p>
      <w:pPr>
        <w:ind w:firstLine="420" w:firstLineChars="200"/>
        <w:rPr>
          <w:rFonts w:ascii="宋体" w:hAnsi="宋体"/>
          <w:szCs w:val="21"/>
        </w:rPr>
      </w:pPr>
      <w:r>
        <w:rPr>
          <w:rFonts w:hint="eastAsia" w:ascii="宋体" w:hAnsi="宋体"/>
          <w:szCs w:val="21"/>
        </w:rPr>
        <w:t>（d）降级闪光：当系统运行过程中遇到严重故障、方案配置错误等情况时，系统自动降级为闪光控制，并立即执行。</w:t>
      </w:r>
    </w:p>
    <w:p>
      <w:pPr>
        <w:ind w:firstLine="420" w:firstLineChars="200"/>
        <w:rPr>
          <w:rFonts w:ascii="宋体" w:hAnsi="宋体"/>
          <w:szCs w:val="21"/>
        </w:rPr>
      </w:pPr>
      <w:r>
        <w:rPr>
          <w:rFonts w:hint="eastAsia" w:ascii="宋体" w:hAnsi="宋体"/>
          <w:szCs w:val="21"/>
        </w:rPr>
        <w:t>（</w:t>
      </w:r>
      <w:r>
        <w:rPr>
          <w:rFonts w:ascii="宋体" w:hAnsi="宋体"/>
          <w:szCs w:val="21"/>
        </w:rPr>
        <w:t>1</w:t>
      </w:r>
      <w:r>
        <w:rPr>
          <w:rFonts w:hint="eastAsia" w:ascii="宋体" w:hAnsi="宋体"/>
          <w:szCs w:val="21"/>
        </w:rPr>
        <w:t>5</w:t>
      </w:r>
      <w:r>
        <w:rPr>
          <w:rFonts w:ascii="宋体" w:hAnsi="宋体"/>
          <w:szCs w:val="21"/>
        </w:rPr>
        <w:t>）</w:t>
      </w:r>
      <w:bookmarkStart w:id="31" w:name="_Toc343071677"/>
      <w:bookmarkStart w:id="32" w:name="_Toc343169460"/>
      <w:bookmarkStart w:id="33" w:name="_Toc342919275"/>
      <w:bookmarkStart w:id="34" w:name="_Toc207597838"/>
      <w:r>
        <w:rPr>
          <w:rFonts w:hint="eastAsia" w:ascii="宋体" w:hAnsi="宋体"/>
          <w:szCs w:val="21"/>
        </w:rPr>
        <w:t>步进控制</w:t>
      </w:r>
      <w:bookmarkEnd w:id="31"/>
      <w:bookmarkEnd w:id="32"/>
      <w:bookmarkEnd w:id="33"/>
      <w:bookmarkEnd w:id="34"/>
    </w:p>
    <w:p>
      <w:pPr>
        <w:ind w:firstLine="420" w:firstLineChars="200"/>
        <w:rPr>
          <w:rFonts w:hint="eastAsia" w:ascii="宋体" w:hAnsi="宋体"/>
          <w:szCs w:val="21"/>
        </w:rPr>
      </w:pPr>
      <w:r>
        <w:rPr>
          <w:rFonts w:hint="eastAsia" w:ascii="宋体" w:hAnsi="宋体"/>
          <w:szCs w:val="21"/>
        </w:rPr>
        <w:t>信号机可以接收手动面板的步进按键、中心系统和信号机维护工具的步进控制命令，使各相位按预先设置的相序进行灯色转换。同时支持相位“跳跃”功能。</w:t>
      </w:r>
    </w:p>
    <w:p>
      <w:pPr>
        <w:ind w:firstLine="420" w:firstLineChars="200"/>
        <w:rPr>
          <w:rFonts w:ascii="宋体" w:hAnsi="宋体"/>
          <w:szCs w:val="21"/>
        </w:rPr>
      </w:pPr>
      <w:r>
        <w:rPr>
          <w:rFonts w:hint="eastAsia" w:ascii="宋体" w:hAnsi="宋体"/>
          <w:szCs w:val="21"/>
        </w:rPr>
        <w:t>（16）提供可编程的内部逻辑。</w:t>
      </w:r>
    </w:p>
    <w:p>
      <w:pPr>
        <w:ind w:firstLine="420" w:firstLineChars="200"/>
        <w:rPr>
          <w:rFonts w:ascii="宋体" w:hAnsi="宋体"/>
          <w:szCs w:val="21"/>
        </w:rPr>
      </w:pPr>
      <w:r>
        <w:rPr>
          <w:rFonts w:hint="eastAsia" w:ascii="宋体" w:hAnsi="宋体"/>
          <w:szCs w:val="21"/>
        </w:rPr>
        <w:t>提供可编程的逻辑循环，在不使用“定制”的软件或额外的硬件的前提下，以“建筑模块”的方式来提供特殊的功能。可以通过与门、与非门、或门、非门等逻辑功能建立逻辑关系，从而达到特定的信号控制功能需求。至少提供4个与门、2个与非门 、</w:t>
      </w:r>
      <w:r>
        <w:rPr>
          <w:rFonts w:ascii="宋体" w:hAnsi="宋体"/>
          <w:szCs w:val="21"/>
        </w:rPr>
        <w:t>6</w:t>
      </w:r>
      <w:r>
        <w:rPr>
          <w:rFonts w:hint="eastAsia" w:ascii="宋体" w:hAnsi="宋体"/>
          <w:szCs w:val="21"/>
        </w:rPr>
        <w:t>个或门和4个非门。</w:t>
      </w:r>
    </w:p>
    <w:p>
      <w:pPr>
        <w:ind w:firstLine="420" w:firstLineChars="200"/>
        <w:rPr>
          <w:rFonts w:hint="eastAsia" w:ascii="宋体" w:hAnsi="宋体"/>
          <w:szCs w:val="21"/>
        </w:rPr>
      </w:pPr>
      <w:r>
        <w:rPr>
          <w:rFonts w:hint="eastAsia" w:ascii="宋体" w:hAnsi="宋体"/>
          <w:szCs w:val="21"/>
        </w:rPr>
        <w:t>（17）时间表控制功能</w:t>
      </w:r>
    </w:p>
    <w:p>
      <w:pPr>
        <w:ind w:firstLine="420" w:firstLineChars="200"/>
        <w:rPr>
          <w:rFonts w:hint="eastAsia" w:ascii="宋体" w:hAnsi="宋体"/>
          <w:szCs w:val="21"/>
        </w:rPr>
      </w:pPr>
      <w:r>
        <w:rPr>
          <w:rFonts w:hint="eastAsia" w:ascii="宋体" w:hAnsi="宋体"/>
          <w:szCs w:val="21"/>
        </w:rPr>
        <w:t>（a）设置时间包括年、月、周、日、时、分、秒；</w:t>
      </w:r>
    </w:p>
    <w:p>
      <w:pPr>
        <w:ind w:firstLine="420" w:firstLineChars="200"/>
        <w:rPr>
          <w:rFonts w:hint="eastAsia" w:ascii="宋体" w:hAnsi="宋体"/>
          <w:szCs w:val="21"/>
        </w:rPr>
      </w:pPr>
      <w:r>
        <w:rPr>
          <w:rFonts w:hint="eastAsia" w:ascii="宋体" w:hAnsi="宋体"/>
          <w:szCs w:val="21"/>
        </w:rPr>
        <w:t>（b）日时段划分不得低于16个，方案数不得少于32个；</w:t>
      </w:r>
    </w:p>
    <w:p>
      <w:pPr>
        <w:ind w:firstLine="420" w:firstLineChars="200"/>
        <w:rPr>
          <w:rFonts w:hint="eastAsia" w:ascii="宋体" w:hAnsi="宋体"/>
          <w:szCs w:val="21"/>
        </w:rPr>
      </w:pPr>
      <w:r>
        <w:rPr>
          <w:rFonts w:hint="eastAsia" w:ascii="宋体" w:hAnsi="宋体"/>
          <w:szCs w:val="21"/>
        </w:rPr>
        <w:t>（c）设置内容应包括事件、控制模式、控制方案等；</w:t>
      </w:r>
    </w:p>
    <w:p>
      <w:pPr>
        <w:ind w:firstLine="420" w:firstLineChars="200"/>
        <w:rPr>
          <w:rFonts w:hint="eastAsia" w:ascii="宋体" w:hAnsi="宋体"/>
          <w:szCs w:val="21"/>
        </w:rPr>
      </w:pPr>
      <w:r>
        <w:rPr>
          <w:rFonts w:hint="eastAsia" w:ascii="宋体" w:hAnsi="宋体"/>
          <w:szCs w:val="21"/>
        </w:rPr>
        <w:t>（d）系统可分别设置工作日、周末、节日或特别指定日的时间表，系统根据日期自动改变执行时间表。</w:t>
      </w:r>
    </w:p>
    <w:p>
      <w:pPr>
        <w:ind w:firstLine="422" w:firstLineChars="200"/>
        <w:rPr>
          <w:rFonts w:hint="eastAsia" w:ascii="宋体" w:hAnsi="宋体"/>
          <w:b/>
          <w:bCs/>
          <w:szCs w:val="21"/>
        </w:rPr>
      </w:pPr>
      <w:r>
        <w:rPr>
          <w:rFonts w:hint="eastAsia" w:ascii="宋体" w:hAnsi="宋体"/>
          <w:b/>
          <w:bCs/>
          <w:szCs w:val="21"/>
        </w:rPr>
        <w:t>3、传输功能</w:t>
      </w:r>
    </w:p>
    <w:p>
      <w:pPr>
        <w:ind w:firstLine="420" w:firstLineChars="200"/>
        <w:rPr>
          <w:rFonts w:hint="eastAsia" w:ascii="宋体" w:hAnsi="宋体"/>
          <w:szCs w:val="21"/>
        </w:rPr>
      </w:pPr>
      <w:r>
        <w:rPr>
          <w:rFonts w:hint="eastAsia" w:ascii="宋体" w:hAnsi="宋体"/>
          <w:szCs w:val="21"/>
        </w:rPr>
        <w:t>在传输设计时须充分考虑系统的可靠性、扩展性与开发性，同时考虑与其他系统信号传输的复用。信号控制机与中心信号控制系统的通讯决定采用无线通讯方式（电信VPDN专网），并支持有线光纤通讯方式。目前，仍延续使用电信VPDN专网通信，采用4G无线物联技术。</w:t>
      </w:r>
    </w:p>
    <w:p>
      <w:pPr>
        <w:ind w:firstLine="420" w:firstLineChars="200"/>
        <w:rPr>
          <w:rFonts w:hint="eastAsia" w:ascii="宋体" w:hAnsi="宋体"/>
          <w:szCs w:val="21"/>
        </w:rPr>
      </w:pPr>
      <w:r>
        <w:rPr>
          <w:rFonts w:hint="eastAsia" w:ascii="宋体" w:hAnsi="宋体"/>
          <w:szCs w:val="21"/>
        </w:rPr>
        <w:t>所采用的无线通讯模块技术要求：</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8"/>
        <w:gridCol w:w="6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供电</w:t>
            </w:r>
          </w:p>
        </w:tc>
        <w:tc>
          <w:tcPr>
            <w:tcW w:w="6989" w:type="dxa"/>
            <w:noWrap w:val="0"/>
            <w:vAlign w:val="top"/>
          </w:tcPr>
          <w:p>
            <w:pPr>
              <w:spacing w:after="60" w:afterLines="25" w:line="360" w:lineRule="exact"/>
              <w:jc w:val="left"/>
              <w:rPr>
                <w:rFonts w:hint="eastAsia" w:ascii="宋体" w:hAnsi="宋体"/>
              </w:rPr>
            </w:pPr>
            <w:r>
              <w:rPr>
                <w:rFonts w:hint="eastAsia" w:ascii="宋体" w:hAnsi="宋体"/>
              </w:rPr>
              <w:t>＋9</w:t>
            </w:r>
            <w:r>
              <w:rPr>
                <w:rFonts w:ascii="宋体" w:hAnsi="宋体"/>
              </w:rPr>
              <w:t xml:space="preserve">—36V </w:t>
            </w:r>
            <w:r>
              <w:rPr>
                <w:rFonts w:hint="eastAsia" w:ascii="宋体" w:hAnsi="宋体"/>
              </w:rPr>
              <w:t>宽电压输入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工作电流最大</w:t>
            </w:r>
          </w:p>
        </w:tc>
        <w:tc>
          <w:tcPr>
            <w:tcW w:w="6989" w:type="dxa"/>
            <w:noWrap w:val="0"/>
            <w:vAlign w:val="top"/>
          </w:tcPr>
          <w:p>
            <w:pPr>
              <w:spacing w:after="60" w:afterLines="25" w:line="360" w:lineRule="exact"/>
              <w:jc w:val="left"/>
              <w:rPr>
                <w:rFonts w:hint="eastAsia" w:ascii="宋体" w:hAnsi="宋体"/>
              </w:rPr>
            </w:pPr>
            <w:r>
              <w:rPr>
                <w:rFonts w:hint="eastAsia" w:ascii="宋体" w:hAnsi="宋体"/>
              </w:rPr>
              <w:t>23</w:t>
            </w:r>
            <w:r>
              <w:rPr>
                <w:rFonts w:ascii="宋体" w:hAnsi="宋体"/>
              </w:rPr>
              <w:t>0mA@+</w:t>
            </w:r>
            <w:r>
              <w:rPr>
                <w:rFonts w:hint="eastAsia" w:ascii="宋体" w:hAnsi="宋体"/>
              </w:rPr>
              <w:t>12</w:t>
            </w:r>
            <w:r>
              <w:rPr>
                <w:rFonts w:ascii="宋体" w:hAnsi="宋体"/>
              </w:rPr>
              <w:t>V DC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待机电流</w:t>
            </w:r>
          </w:p>
        </w:tc>
        <w:tc>
          <w:tcPr>
            <w:tcW w:w="6989" w:type="dxa"/>
            <w:noWrap w:val="0"/>
            <w:vAlign w:val="top"/>
          </w:tcPr>
          <w:p>
            <w:pPr>
              <w:spacing w:after="60" w:afterLines="25" w:line="360" w:lineRule="exact"/>
              <w:jc w:val="left"/>
              <w:rPr>
                <w:rFonts w:hint="eastAsia" w:ascii="宋体" w:hAnsi="宋体"/>
              </w:rPr>
            </w:pPr>
            <w:r>
              <w:rPr>
                <w:rFonts w:hint="eastAsia" w:ascii="宋体" w:hAnsi="宋体"/>
              </w:rPr>
              <w:t>13</w:t>
            </w:r>
            <w:r>
              <w:rPr>
                <w:rFonts w:ascii="宋体" w:hAnsi="宋体"/>
              </w:rPr>
              <w:t>0mA@+</w:t>
            </w:r>
            <w:r>
              <w:rPr>
                <w:rFonts w:hint="eastAsia" w:ascii="宋体" w:hAnsi="宋体"/>
              </w:rPr>
              <w:t>12</w:t>
            </w:r>
            <w:r>
              <w:rPr>
                <w:rFonts w:ascii="宋体" w:hAnsi="宋体"/>
              </w:rPr>
              <w:t>V DC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数据接口</w:t>
            </w:r>
          </w:p>
        </w:tc>
        <w:tc>
          <w:tcPr>
            <w:tcW w:w="6989" w:type="dxa"/>
            <w:noWrap w:val="0"/>
            <w:vAlign w:val="top"/>
          </w:tcPr>
          <w:p>
            <w:pPr>
              <w:spacing w:after="60" w:afterLines="25" w:line="360" w:lineRule="exact"/>
              <w:jc w:val="left"/>
              <w:rPr>
                <w:rFonts w:hint="eastAsia" w:ascii="宋体" w:hAnsi="宋体"/>
              </w:rPr>
            </w:pPr>
            <w:r>
              <w:rPr>
                <w:rFonts w:ascii="宋体" w:hAnsi="宋体"/>
              </w:rPr>
              <w:t>RS232/</w:t>
            </w:r>
            <w:r>
              <w:rPr>
                <w:rFonts w:hint="eastAsia" w:ascii="宋体" w:hAnsi="宋体"/>
              </w:rPr>
              <w:t>RS485，</w:t>
            </w:r>
            <w:r>
              <w:rPr>
                <w:rFonts w:ascii="宋体" w:hAnsi="宋体"/>
              </w:rPr>
              <w:t>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网络</w:t>
            </w:r>
          </w:p>
        </w:tc>
        <w:tc>
          <w:tcPr>
            <w:tcW w:w="6989" w:type="dxa"/>
            <w:noWrap w:val="0"/>
            <w:vAlign w:val="top"/>
          </w:tcPr>
          <w:p>
            <w:pPr>
              <w:spacing w:after="60" w:afterLines="25" w:line="360" w:lineRule="exact"/>
              <w:jc w:val="left"/>
              <w:rPr>
                <w:rFonts w:ascii="宋体" w:hAnsi="宋体"/>
              </w:rPr>
            </w:pPr>
            <w:r>
              <w:rPr>
                <w:rFonts w:ascii="宋体" w:hAnsi="宋体"/>
              </w:rPr>
              <w:t>LTE-TDD/LTE-FDD/TD-SCDMA/HSPA+/UMTS/EDGE/GPRS/GSM</w:t>
            </w:r>
            <w:r>
              <w:rPr>
                <w:rFonts w:hint="eastAsia" w:ascii="宋体" w:hAnsi="宋体"/>
              </w:rPr>
              <w:t>网络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缓存</w:t>
            </w:r>
          </w:p>
        </w:tc>
        <w:tc>
          <w:tcPr>
            <w:tcW w:w="6989" w:type="dxa"/>
            <w:noWrap w:val="0"/>
            <w:vAlign w:val="top"/>
          </w:tcPr>
          <w:p>
            <w:pPr>
              <w:spacing w:after="60" w:afterLines="25" w:line="360" w:lineRule="exact"/>
              <w:jc w:val="left"/>
              <w:rPr>
                <w:rFonts w:ascii="宋体" w:hAnsi="宋体"/>
              </w:rPr>
            </w:pPr>
            <w:r>
              <w:rPr>
                <w:rFonts w:ascii="宋体" w:hAnsi="宋体"/>
              </w:rPr>
              <w:t>RAM 64M FLASH 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工作频段</w:t>
            </w:r>
          </w:p>
        </w:tc>
        <w:tc>
          <w:tcPr>
            <w:tcW w:w="6989" w:type="dxa"/>
            <w:noWrap w:val="0"/>
            <w:vAlign w:val="top"/>
          </w:tcPr>
          <w:p>
            <w:pPr>
              <w:spacing w:after="60" w:afterLines="25" w:line="360" w:lineRule="exact"/>
              <w:jc w:val="left"/>
              <w:rPr>
                <w:rFonts w:ascii="宋体" w:hAnsi="宋体"/>
              </w:rPr>
            </w:pPr>
            <w:r>
              <w:rPr>
                <w:rFonts w:hint="eastAsia" w:ascii="宋体" w:hAnsi="宋体"/>
              </w:rPr>
              <w:t>TDD-LTE Band 38/39/40/41</w:t>
            </w:r>
          </w:p>
          <w:p>
            <w:pPr>
              <w:spacing w:after="60" w:afterLines="25" w:line="360" w:lineRule="exact"/>
              <w:jc w:val="left"/>
              <w:rPr>
                <w:rFonts w:ascii="宋体" w:hAnsi="宋体"/>
              </w:rPr>
            </w:pPr>
            <w:r>
              <w:rPr>
                <w:rFonts w:hint="eastAsia" w:ascii="宋体" w:hAnsi="宋体"/>
              </w:rPr>
              <w:t>FDD-LTE Band 1/3/5</w:t>
            </w:r>
          </w:p>
          <w:p>
            <w:pPr>
              <w:spacing w:after="60" w:afterLines="25" w:line="360" w:lineRule="exact"/>
              <w:jc w:val="left"/>
              <w:rPr>
                <w:rFonts w:ascii="宋体" w:hAnsi="宋体"/>
              </w:rPr>
            </w:pPr>
            <w:r>
              <w:rPr>
                <w:rFonts w:hint="eastAsia" w:ascii="宋体" w:hAnsi="宋体"/>
              </w:rPr>
              <w:t>TD-SCDMA Band 34/39</w:t>
            </w:r>
          </w:p>
          <w:p>
            <w:pPr>
              <w:spacing w:after="60" w:afterLines="25" w:line="360" w:lineRule="exact"/>
              <w:jc w:val="left"/>
              <w:rPr>
                <w:rFonts w:ascii="宋体" w:hAnsi="宋体"/>
              </w:rPr>
            </w:pPr>
            <w:r>
              <w:rPr>
                <w:rFonts w:hint="eastAsia" w:ascii="宋体" w:hAnsi="宋体"/>
              </w:rPr>
              <w:t>HSPA+ Band 1/5</w:t>
            </w:r>
          </w:p>
          <w:p>
            <w:pPr>
              <w:spacing w:after="60" w:afterLines="25" w:line="360" w:lineRule="exact"/>
              <w:jc w:val="left"/>
              <w:rPr>
                <w:rFonts w:ascii="宋体" w:hAnsi="宋体"/>
              </w:rPr>
            </w:pPr>
            <w:r>
              <w:rPr>
                <w:rFonts w:hint="eastAsia" w:ascii="宋体" w:hAnsi="宋体"/>
              </w:rPr>
              <w:t>UMTS Band 1/5</w:t>
            </w:r>
          </w:p>
          <w:p>
            <w:pPr>
              <w:spacing w:after="60" w:afterLines="25" w:line="360" w:lineRule="exact"/>
              <w:jc w:val="left"/>
              <w:rPr>
                <w:rFonts w:hint="eastAsia" w:ascii="宋体" w:hAnsi="宋体"/>
              </w:rPr>
            </w:pPr>
            <w:r>
              <w:rPr>
                <w:rFonts w:hint="eastAsia" w:ascii="宋体" w:hAnsi="宋体"/>
              </w:rPr>
              <w:t>GSM 850/</w:t>
            </w:r>
            <w:r>
              <w:rPr>
                <w:rFonts w:ascii="宋体" w:hAnsi="宋体"/>
              </w:rPr>
              <w:t>900/1800</w:t>
            </w:r>
            <w:r>
              <w:rPr>
                <w:rFonts w:hint="eastAsia" w:ascii="宋体" w:hAnsi="宋体"/>
              </w:rPr>
              <w:t>/1900</w:t>
            </w:r>
            <w:r>
              <w:rPr>
                <w:rFonts w:ascii="宋体" w:hAnsi="宋体"/>
              </w:rPr>
              <w:t>MHz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工作温度</w:t>
            </w:r>
          </w:p>
        </w:tc>
        <w:tc>
          <w:tcPr>
            <w:tcW w:w="6989" w:type="dxa"/>
            <w:noWrap w:val="0"/>
            <w:vAlign w:val="top"/>
          </w:tcPr>
          <w:p>
            <w:pPr>
              <w:spacing w:after="60" w:afterLines="25" w:line="360" w:lineRule="exact"/>
              <w:jc w:val="left"/>
              <w:rPr>
                <w:rFonts w:hint="eastAsia" w:ascii="宋体" w:hAnsi="宋体"/>
              </w:rPr>
            </w:pPr>
            <w:r>
              <w:rPr>
                <w:rFonts w:ascii="宋体" w:hAnsi="宋体"/>
              </w:rPr>
              <w:t>-</w:t>
            </w:r>
            <w:r>
              <w:rPr>
                <w:rFonts w:hint="eastAsia" w:ascii="宋体" w:hAnsi="宋体"/>
              </w:rPr>
              <w:t>30℃</w:t>
            </w:r>
            <w:r>
              <w:rPr>
                <w:rFonts w:ascii="宋体" w:hAnsi="宋体"/>
              </w:rPr>
              <w:t xml:space="preserve"> ~ </w:t>
            </w:r>
            <w:r>
              <w:rPr>
                <w:rFonts w:hint="eastAsia" w:ascii="宋体" w:hAnsi="宋体"/>
              </w:rPr>
              <w:t>＋</w:t>
            </w:r>
            <w:r>
              <w:rPr>
                <w:rFonts w:ascii="宋体" w:hAnsi="宋体"/>
              </w:rPr>
              <w:t>70</w:t>
            </w:r>
            <w:r>
              <w:rPr>
                <w:rFonts w:hint="eastAsia" w:ascii="宋体" w:hAnsi="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相对湿度</w:t>
            </w:r>
          </w:p>
        </w:tc>
        <w:tc>
          <w:tcPr>
            <w:tcW w:w="6989" w:type="dxa"/>
            <w:noWrap w:val="0"/>
            <w:vAlign w:val="top"/>
          </w:tcPr>
          <w:p>
            <w:pPr>
              <w:spacing w:after="60" w:afterLines="25" w:line="360" w:lineRule="exact"/>
              <w:jc w:val="left"/>
              <w:rPr>
                <w:rFonts w:hint="eastAsia" w:ascii="宋体" w:hAnsi="宋体"/>
              </w:rPr>
            </w:pPr>
            <w:r>
              <w:rPr>
                <w:rFonts w:hint="eastAsia" w:ascii="宋体" w:hAnsi="宋体"/>
              </w:rPr>
              <w:t>95%/40℃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dxa"/>
        </w:trPr>
        <w:tc>
          <w:tcPr>
            <w:tcW w:w="1908" w:type="dxa"/>
            <w:noWrap w:val="0"/>
            <w:vAlign w:val="center"/>
          </w:tcPr>
          <w:p>
            <w:pPr>
              <w:spacing w:after="60" w:afterLines="25" w:line="360" w:lineRule="exact"/>
              <w:jc w:val="center"/>
              <w:rPr>
                <w:rFonts w:hint="eastAsia" w:ascii="宋体" w:hAnsi="宋体"/>
              </w:rPr>
            </w:pPr>
            <w:r>
              <w:rPr>
                <w:rFonts w:hint="eastAsia" w:ascii="宋体" w:hAnsi="宋体"/>
              </w:rPr>
              <w:t>基本功能</w:t>
            </w:r>
          </w:p>
        </w:tc>
        <w:tc>
          <w:tcPr>
            <w:tcW w:w="6989" w:type="dxa"/>
            <w:noWrap w:val="0"/>
            <w:vAlign w:val="top"/>
          </w:tcPr>
          <w:p>
            <w:pPr>
              <w:spacing w:after="60" w:afterLines="25" w:line="360" w:lineRule="exact"/>
              <w:jc w:val="left"/>
              <w:rPr>
                <w:rFonts w:ascii="宋体" w:hAnsi="宋体"/>
              </w:rPr>
            </w:pPr>
            <w:r>
              <w:rPr>
                <w:rFonts w:hint="eastAsia" w:ascii="宋体" w:hAnsi="宋体"/>
              </w:rPr>
              <w:t>支持</w:t>
            </w:r>
            <w:r>
              <w:rPr>
                <w:rFonts w:ascii="宋体" w:hAnsi="宋体"/>
              </w:rPr>
              <w:t>NAT</w:t>
            </w:r>
            <w:r>
              <w:rPr>
                <w:rFonts w:hint="eastAsia" w:ascii="宋体" w:hAnsi="宋体"/>
              </w:rPr>
              <w:t>共享上网</w:t>
            </w:r>
          </w:p>
          <w:p>
            <w:pPr>
              <w:spacing w:after="60" w:afterLines="25" w:line="360" w:lineRule="exact"/>
              <w:jc w:val="left"/>
              <w:rPr>
                <w:rFonts w:ascii="宋体" w:hAnsi="宋体"/>
              </w:rPr>
            </w:pPr>
            <w:r>
              <w:rPr>
                <w:rFonts w:hint="eastAsia" w:ascii="宋体" w:hAnsi="宋体"/>
              </w:rPr>
              <w:t>支持</w:t>
            </w:r>
            <w:r>
              <w:rPr>
                <w:rFonts w:ascii="宋体" w:hAnsi="宋体"/>
              </w:rPr>
              <w:t>DHCP Serve</w:t>
            </w:r>
          </w:p>
          <w:p>
            <w:pPr>
              <w:spacing w:after="60" w:afterLines="25" w:line="360" w:lineRule="exact"/>
              <w:jc w:val="left"/>
              <w:rPr>
                <w:rFonts w:ascii="宋体" w:hAnsi="宋体"/>
              </w:rPr>
            </w:pPr>
            <w:r>
              <w:rPr>
                <w:rFonts w:hint="eastAsia" w:ascii="宋体" w:hAnsi="宋体"/>
              </w:rPr>
              <w:t>支持</w:t>
            </w:r>
            <w:r>
              <w:rPr>
                <w:rFonts w:ascii="宋体" w:hAnsi="宋体"/>
              </w:rPr>
              <w:t>DNS Proxy</w:t>
            </w:r>
          </w:p>
          <w:p>
            <w:pPr>
              <w:spacing w:after="60" w:afterLines="25" w:line="360" w:lineRule="exact"/>
              <w:jc w:val="left"/>
              <w:rPr>
                <w:rFonts w:ascii="宋体" w:hAnsi="宋体"/>
              </w:rPr>
            </w:pPr>
            <w:r>
              <w:rPr>
                <w:rFonts w:hint="eastAsia" w:ascii="宋体" w:hAnsi="宋体"/>
              </w:rPr>
              <w:t>支持端口映射</w:t>
            </w:r>
          </w:p>
          <w:p>
            <w:pPr>
              <w:spacing w:after="60" w:afterLines="25" w:line="360" w:lineRule="exact"/>
              <w:jc w:val="left"/>
              <w:rPr>
                <w:rFonts w:ascii="宋体" w:hAnsi="宋体"/>
              </w:rPr>
            </w:pPr>
            <w:r>
              <w:rPr>
                <w:rFonts w:hint="eastAsia" w:ascii="宋体" w:hAnsi="宋体"/>
              </w:rPr>
              <w:t>支持</w:t>
            </w:r>
            <w:r>
              <w:rPr>
                <w:rFonts w:ascii="宋体" w:hAnsi="宋体"/>
              </w:rPr>
              <w:t>DMZ</w:t>
            </w:r>
            <w:r>
              <w:rPr>
                <w:rFonts w:hint="eastAsia" w:ascii="宋体" w:hAnsi="宋体"/>
              </w:rPr>
              <w:t>主机（</w:t>
            </w:r>
            <w:r>
              <w:rPr>
                <w:rFonts w:ascii="宋体" w:hAnsi="宋体"/>
              </w:rPr>
              <w:t>IP</w:t>
            </w:r>
            <w:r>
              <w:rPr>
                <w:rFonts w:hint="eastAsia" w:ascii="宋体" w:hAnsi="宋体"/>
              </w:rPr>
              <w:t>地址映射）</w:t>
            </w:r>
          </w:p>
          <w:p>
            <w:pPr>
              <w:spacing w:after="60" w:afterLines="25" w:line="360" w:lineRule="exact"/>
              <w:jc w:val="left"/>
              <w:rPr>
                <w:rFonts w:ascii="宋体" w:hAnsi="宋体"/>
              </w:rPr>
            </w:pPr>
            <w:r>
              <w:rPr>
                <w:rFonts w:hint="eastAsia" w:ascii="宋体" w:hAnsi="宋体"/>
              </w:rPr>
              <w:t>支持</w:t>
            </w:r>
            <w:r>
              <w:rPr>
                <w:rFonts w:ascii="宋体" w:hAnsi="宋体"/>
              </w:rPr>
              <w:t>VPN</w:t>
            </w:r>
            <w:r>
              <w:rPr>
                <w:rFonts w:hint="eastAsia" w:ascii="宋体" w:hAnsi="宋体"/>
              </w:rPr>
              <w:t>功能</w:t>
            </w:r>
          </w:p>
          <w:p>
            <w:pPr>
              <w:spacing w:after="60" w:afterLines="25" w:line="360" w:lineRule="exact"/>
              <w:jc w:val="left"/>
              <w:rPr>
                <w:rFonts w:ascii="宋体" w:hAnsi="宋体"/>
              </w:rPr>
            </w:pPr>
            <w:r>
              <w:rPr>
                <w:rFonts w:hint="eastAsia" w:ascii="宋体" w:hAnsi="宋体"/>
              </w:rPr>
              <w:t>支持动态域名自动注册</w:t>
            </w:r>
            <w:r>
              <w:rPr>
                <w:rFonts w:ascii="宋体" w:hAnsi="宋体"/>
              </w:rPr>
              <w:t xml:space="preserve"> </w:t>
            </w:r>
          </w:p>
          <w:p>
            <w:pPr>
              <w:spacing w:after="60" w:afterLines="25" w:line="360" w:lineRule="exact"/>
              <w:jc w:val="left"/>
              <w:rPr>
                <w:rFonts w:ascii="宋体" w:hAnsi="宋体"/>
              </w:rPr>
            </w:pPr>
            <w:r>
              <w:rPr>
                <w:rFonts w:hint="eastAsia" w:ascii="宋体" w:hAnsi="宋体"/>
              </w:rPr>
              <w:t>支持静态路由表配置</w:t>
            </w:r>
          </w:p>
          <w:p>
            <w:pPr>
              <w:spacing w:after="60" w:afterLines="25" w:line="360" w:lineRule="exact"/>
              <w:jc w:val="left"/>
              <w:rPr>
                <w:rFonts w:ascii="宋体" w:hAnsi="宋体"/>
              </w:rPr>
            </w:pPr>
            <w:r>
              <w:rPr>
                <w:rFonts w:hint="eastAsia" w:ascii="宋体" w:hAnsi="宋体"/>
              </w:rPr>
              <w:t>支持无线实时速度显示</w:t>
            </w:r>
          </w:p>
          <w:p>
            <w:pPr>
              <w:spacing w:after="60" w:afterLines="25" w:line="360" w:lineRule="exact"/>
              <w:jc w:val="left"/>
              <w:rPr>
                <w:rFonts w:ascii="宋体" w:hAnsi="宋体"/>
              </w:rPr>
            </w:pPr>
            <w:r>
              <w:rPr>
                <w:rFonts w:hint="eastAsia" w:ascii="宋体" w:hAnsi="宋体"/>
              </w:rPr>
              <w:t>支持网络制式显示（4G/3G/2G）</w:t>
            </w:r>
          </w:p>
          <w:p>
            <w:pPr>
              <w:spacing w:after="60" w:afterLines="25" w:line="360" w:lineRule="exact"/>
              <w:jc w:val="left"/>
              <w:rPr>
                <w:rFonts w:ascii="宋体" w:hAnsi="宋体"/>
              </w:rPr>
            </w:pPr>
            <w:r>
              <w:rPr>
                <w:rFonts w:hint="eastAsia" w:ascii="宋体" w:hAnsi="宋体"/>
              </w:rPr>
              <w:t>支持网络制式自动切换</w:t>
            </w:r>
          </w:p>
          <w:p>
            <w:pPr>
              <w:spacing w:after="60" w:afterLines="25" w:line="360" w:lineRule="exact"/>
              <w:jc w:val="left"/>
              <w:rPr>
                <w:rFonts w:ascii="宋体" w:hAnsi="宋体"/>
              </w:rPr>
            </w:pPr>
            <w:r>
              <w:rPr>
                <w:rFonts w:hint="eastAsia" w:ascii="宋体" w:hAnsi="宋体"/>
              </w:rPr>
              <w:t>支持串口配置、</w:t>
            </w:r>
            <w:r>
              <w:rPr>
                <w:rFonts w:ascii="宋体" w:hAnsi="宋体"/>
              </w:rPr>
              <w:t xml:space="preserve"> Telnet </w:t>
            </w:r>
            <w:r>
              <w:rPr>
                <w:rFonts w:hint="eastAsia" w:ascii="宋体" w:hAnsi="宋体"/>
              </w:rPr>
              <w:t>配置、</w:t>
            </w:r>
            <w:r>
              <w:rPr>
                <w:rFonts w:ascii="宋体" w:hAnsi="宋体"/>
              </w:rPr>
              <w:t xml:space="preserve"> WEB </w:t>
            </w:r>
            <w:r>
              <w:rPr>
                <w:rFonts w:hint="eastAsia" w:ascii="宋体" w:hAnsi="宋体"/>
              </w:rPr>
              <w:t>页面配置</w:t>
            </w:r>
            <w:r>
              <w:rPr>
                <w:rFonts w:ascii="宋体" w:hAnsi="宋体"/>
              </w:rPr>
              <w:t xml:space="preserve"> </w:t>
            </w:r>
          </w:p>
          <w:p>
            <w:pPr>
              <w:spacing w:after="60" w:afterLines="25" w:line="360" w:lineRule="exact"/>
              <w:jc w:val="left"/>
              <w:rPr>
                <w:rFonts w:ascii="宋体" w:hAnsi="宋体"/>
              </w:rPr>
            </w:pPr>
            <w:r>
              <w:rPr>
                <w:rFonts w:hint="eastAsia" w:ascii="宋体" w:hAnsi="宋体"/>
              </w:rPr>
              <w:t>支持串口</w:t>
            </w:r>
            <w:r>
              <w:rPr>
                <w:rFonts w:ascii="宋体" w:hAnsi="宋体"/>
              </w:rPr>
              <w:t>DTU</w:t>
            </w:r>
            <w:r>
              <w:rPr>
                <w:rFonts w:hint="eastAsia" w:ascii="宋体" w:hAnsi="宋体"/>
              </w:rPr>
              <w:t>功能，网口串口同时可用</w:t>
            </w:r>
          </w:p>
          <w:p>
            <w:pPr>
              <w:spacing w:after="60" w:afterLines="25" w:line="360" w:lineRule="exact"/>
              <w:jc w:val="left"/>
              <w:rPr>
                <w:rFonts w:ascii="宋体" w:hAnsi="宋体"/>
              </w:rPr>
            </w:pPr>
            <w:r>
              <w:rPr>
                <w:rFonts w:hint="eastAsia" w:ascii="宋体" w:hAnsi="宋体"/>
              </w:rPr>
              <w:t>支持月上网流量限制、月上网时长限制</w:t>
            </w:r>
          </w:p>
          <w:p>
            <w:pPr>
              <w:spacing w:after="60" w:afterLines="25" w:line="360" w:lineRule="exact"/>
              <w:jc w:val="left"/>
              <w:rPr>
                <w:rFonts w:hint="eastAsia" w:ascii="宋体" w:hAnsi="宋体"/>
              </w:rPr>
            </w:pPr>
            <w:r>
              <w:rPr>
                <w:rFonts w:hint="eastAsia" w:ascii="宋体" w:hAnsi="宋体"/>
              </w:rPr>
              <w:t>支持流量唤醒、电话、短信唤醒</w:t>
            </w:r>
          </w:p>
        </w:tc>
      </w:tr>
    </w:tbl>
    <w:p>
      <w:pPr>
        <w:spacing w:before="120" w:beforeLines="50"/>
        <w:ind w:firstLine="422" w:firstLineChars="200"/>
        <w:rPr>
          <w:rFonts w:ascii="宋体" w:hAnsi="宋体"/>
          <w:b/>
          <w:bCs/>
          <w:szCs w:val="21"/>
        </w:rPr>
      </w:pPr>
      <w:r>
        <w:rPr>
          <w:rFonts w:hint="eastAsia" w:ascii="宋体" w:hAnsi="宋体"/>
          <w:b/>
          <w:bCs/>
          <w:szCs w:val="21"/>
        </w:rPr>
        <w:t>8、信号灯及相关配套设施技术要求及指标</w:t>
      </w:r>
    </w:p>
    <w:p>
      <w:pPr>
        <w:ind w:firstLine="422" w:firstLineChars="200"/>
        <w:rPr>
          <w:rFonts w:ascii="宋体" w:hAnsi="宋体"/>
          <w:b/>
          <w:bCs/>
          <w:szCs w:val="21"/>
        </w:rPr>
      </w:pPr>
      <w:r>
        <w:rPr>
          <w:rFonts w:hint="eastAsia" w:ascii="宋体" w:hAnsi="宋体"/>
          <w:b/>
          <w:bCs/>
          <w:szCs w:val="21"/>
        </w:rPr>
        <w:t>8.1、交通信号灯技术要求及指标</w:t>
      </w:r>
    </w:p>
    <w:p>
      <w:pPr>
        <w:ind w:firstLine="420" w:firstLineChars="200"/>
        <w:rPr>
          <w:rFonts w:ascii="宋体" w:hAnsi="宋体"/>
          <w:szCs w:val="21"/>
        </w:rPr>
      </w:pPr>
      <w:r>
        <w:rPr>
          <w:rFonts w:hint="eastAsia" w:ascii="宋体" w:hAnsi="宋体"/>
          <w:szCs w:val="21"/>
        </w:rPr>
        <w:t>8.1.1信号灯采用四元素半导体发光二极管，使用寿命不少于50000小时；</w:t>
      </w:r>
    </w:p>
    <w:p>
      <w:pPr>
        <w:ind w:firstLine="420" w:firstLineChars="200"/>
        <w:rPr>
          <w:rFonts w:ascii="宋体" w:hAnsi="宋体"/>
          <w:szCs w:val="21"/>
        </w:rPr>
      </w:pPr>
      <w:r>
        <w:rPr>
          <w:rFonts w:hint="eastAsia" w:ascii="宋体" w:hAnsi="宋体"/>
          <w:szCs w:val="21"/>
        </w:rPr>
        <w:t>8.1.2所有的信号灯必须符合GB14887《道路交通信号灯》或同等国际标准的要求；</w:t>
      </w:r>
    </w:p>
    <w:p>
      <w:pPr>
        <w:ind w:firstLine="420" w:firstLineChars="200"/>
        <w:rPr>
          <w:rFonts w:ascii="宋体" w:hAnsi="宋体"/>
          <w:szCs w:val="21"/>
        </w:rPr>
      </w:pPr>
      <w:r>
        <w:rPr>
          <w:rFonts w:hint="eastAsia" w:ascii="宋体" w:hAnsi="宋体"/>
          <w:szCs w:val="21"/>
        </w:rPr>
        <w:t>8.1.3所提供灯具的各项技术指标（如：防护等级、湿度、高低温、振动、电气性能等）需经公安部或同级交通产品质量监督检测中心检测，并出具相应的检测报告；</w:t>
      </w:r>
    </w:p>
    <w:p>
      <w:pPr>
        <w:ind w:firstLine="420" w:firstLineChars="200"/>
        <w:rPr>
          <w:rFonts w:ascii="宋体" w:hAnsi="宋体"/>
          <w:szCs w:val="21"/>
        </w:rPr>
      </w:pPr>
      <w:r>
        <w:rPr>
          <w:rFonts w:hint="eastAsia" w:ascii="宋体" w:hAnsi="宋体"/>
          <w:szCs w:val="21"/>
        </w:rPr>
        <w:t>8.1.4信号灯要求：红色、黄色、绿色三个几何位置分立，外壳要求采用超薄铝压铸外壳，每个发光单元装有遮阳板。结构新颖，外形美观；多重密封，防水，防尘；色度均匀。亮度：大于300</w:t>
      </w:r>
      <w:r>
        <w:rPr>
          <w:rFonts w:ascii="宋体" w:hAnsi="宋体"/>
          <w:szCs w:val="21"/>
        </w:rPr>
        <w:t>cd</w:t>
      </w:r>
      <w:r>
        <w:rPr>
          <w:rFonts w:hint="eastAsia" w:ascii="宋体" w:hAnsi="宋体"/>
          <w:szCs w:val="21"/>
        </w:rPr>
        <w:t>；温度：-20度-55度；湿度：10-95%；可视距离：大于200米；</w:t>
      </w:r>
    </w:p>
    <w:p>
      <w:pPr>
        <w:ind w:firstLine="420" w:firstLineChars="200"/>
        <w:rPr>
          <w:rFonts w:ascii="宋体" w:hAnsi="宋体"/>
          <w:szCs w:val="21"/>
        </w:rPr>
      </w:pPr>
      <w:r>
        <w:rPr>
          <w:rFonts w:hint="eastAsia" w:ascii="宋体" w:hAnsi="宋体"/>
          <w:szCs w:val="21"/>
        </w:rPr>
        <w:t>8.1.5电压设计：部分LED损坏不影响整灯电性能；精密恒流电源：电压正常波动，单路电流变化＜</w:t>
      </w:r>
      <w:r>
        <w:rPr>
          <w:rFonts w:ascii="宋体" w:hAnsi="宋体"/>
          <w:szCs w:val="21"/>
        </w:rPr>
        <w:t>0.5m</w:t>
      </w:r>
      <w:r>
        <w:rPr>
          <w:rFonts w:hint="eastAsia" w:ascii="宋体" w:hAnsi="宋体"/>
          <w:szCs w:val="21"/>
        </w:rPr>
        <w:t>A，且不影响灯盘亮度；红色、黄色、绿色分立式结构：便于维护；工作电压范围：工作电压：AC160-295V；低功耗：单灯额定功率＜1</w:t>
      </w:r>
      <w:r>
        <w:rPr>
          <w:rFonts w:ascii="宋体" w:hAnsi="宋体"/>
          <w:szCs w:val="21"/>
        </w:rPr>
        <w:t>0</w:t>
      </w:r>
      <w:r>
        <w:rPr>
          <w:rFonts w:hint="eastAsia" w:ascii="宋体" w:hAnsi="宋体"/>
          <w:szCs w:val="21"/>
        </w:rPr>
        <w:t>W；</w:t>
      </w:r>
    </w:p>
    <w:p>
      <w:pPr>
        <w:ind w:firstLine="420" w:firstLineChars="200"/>
        <w:rPr>
          <w:rFonts w:ascii="宋体" w:hAnsi="宋体"/>
          <w:szCs w:val="21"/>
        </w:rPr>
      </w:pPr>
      <w:r>
        <w:rPr>
          <w:rFonts w:hint="eastAsia" w:ascii="宋体" w:hAnsi="宋体"/>
          <w:szCs w:val="21"/>
        </w:rPr>
        <w:t>8.1.6机动车信号灯要求：采用圆形透光面；超薄铝压铸外壳：外壳厚度＜130</w:t>
      </w:r>
      <w:r>
        <w:rPr>
          <w:rFonts w:ascii="宋体" w:hAnsi="宋体"/>
          <w:szCs w:val="21"/>
        </w:rPr>
        <w:t>mm</w:t>
      </w:r>
      <w:r>
        <w:rPr>
          <w:rFonts w:hint="eastAsia" w:ascii="宋体" w:hAnsi="宋体"/>
          <w:szCs w:val="21"/>
        </w:rPr>
        <w:t>；</w:t>
      </w:r>
    </w:p>
    <w:p>
      <w:pPr>
        <w:ind w:firstLine="420" w:firstLineChars="200"/>
        <w:rPr>
          <w:rFonts w:ascii="宋体" w:hAnsi="宋体"/>
          <w:szCs w:val="21"/>
        </w:rPr>
      </w:pPr>
      <w:r>
        <w:rPr>
          <w:rFonts w:hint="eastAsia" w:ascii="宋体" w:hAnsi="宋体"/>
          <w:szCs w:val="21"/>
        </w:rPr>
        <w:t>8.1.7非机动车信号灯要求：采用方形透光面；超薄铝压铸外壳：外壳厚度＜130</w:t>
      </w:r>
      <w:r>
        <w:rPr>
          <w:rFonts w:ascii="宋体" w:hAnsi="宋体"/>
          <w:szCs w:val="21"/>
        </w:rPr>
        <w:t>mm</w:t>
      </w:r>
      <w:r>
        <w:rPr>
          <w:rFonts w:hint="eastAsia" w:ascii="宋体" w:hAnsi="宋体"/>
          <w:szCs w:val="21"/>
        </w:rPr>
        <w:t>；</w:t>
      </w:r>
    </w:p>
    <w:p>
      <w:pPr>
        <w:ind w:firstLine="420" w:firstLineChars="200"/>
        <w:rPr>
          <w:rFonts w:ascii="宋体" w:hAnsi="宋体"/>
          <w:szCs w:val="21"/>
        </w:rPr>
      </w:pPr>
      <w:r>
        <w:rPr>
          <w:rFonts w:hint="eastAsia" w:ascii="宋体" w:hAnsi="宋体"/>
          <w:szCs w:val="21"/>
        </w:rPr>
        <w:t>8.1.8人行灯要求：绿色人形二条腿动态显示，形象生动；超薄铝压铸外壳：外壳厚度＜110</w:t>
      </w:r>
      <w:r>
        <w:rPr>
          <w:rFonts w:ascii="宋体" w:hAnsi="宋体"/>
          <w:szCs w:val="21"/>
        </w:rPr>
        <w:t>mm</w:t>
      </w:r>
      <w:r>
        <w:rPr>
          <w:rFonts w:hint="eastAsia" w:ascii="宋体" w:hAnsi="宋体"/>
          <w:szCs w:val="21"/>
        </w:rPr>
        <w:t>。</w:t>
      </w:r>
    </w:p>
    <w:p>
      <w:pPr>
        <w:ind w:firstLine="422" w:firstLineChars="200"/>
        <w:rPr>
          <w:rFonts w:ascii="宋体" w:hAnsi="宋体"/>
          <w:b/>
          <w:bCs/>
          <w:szCs w:val="21"/>
        </w:rPr>
      </w:pPr>
      <w:r>
        <w:rPr>
          <w:rFonts w:hint="eastAsia" w:ascii="宋体" w:hAnsi="宋体"/>
          <w:b/>
          <w:bCs/>
          <w:szCs w:val="21"/>
        </w:rPr>
        <w:t>8.2交通信号灯杆（含人行道灯杆）技术要求</w:t>
      </w:r>
    </w:p>
    <w:p>
      <w:pPr>
        <w:ind w:firstLine="420" w:firstLineChars="200"/>
        <w:rPr>
          <w:rFonts w:ascii="宋体" w:hAnsi="宋体"/>
          <w:szCs w:val="21"/>
        </w:rPr>
      </w:pPr>
      <w:r>
        <w:rPr>
          <w:rFonts w:hint="eastAsia" w:ascii="宋体" w:hAnsi="宋体"/>
          <w:szCs w:val="21"/>
        </w:rPr>
        <w:t>8.2.1立柱底座与基础预埋件、立柱与悬臂之间必须通过法兰盘连接；</w:t>
      </w:r>
    </w:p>
    <w:p>
      <w:pPr>
        <w:ind w:firstLine="420" w:firstLineChars="200"/>
        <w:rPr>
          <w:rFonts w:ascii="宋体" w:hAnsi="宋体"/>
          <w:szCs w:val="21"/>
        </w:rPr>
      </w:pPr>
      <w:r>
        <w:rPr>
          <w:rFonts w:hint="eastAsia" w:ascii="宋体" w:hAnsi="宋体"/>
          <w:szCs w:val="21"/>
        </w:rPr>
        <w:t>8.2.2悬臂灯杆与竖灯杆的夹角必须保证在</w:t>
      </w:r>
      <w:r>
        <w:rPr>
          <w:rFonts w:ascii="宋体" w:hAnsi="宋体"/>
          <w:szCs w:val="21"/>
        </w:rPr>
        <w:t>91.4</w:t>
      </w:r>
      <w:r>
        <w:rPr>
          <w:rFonts w:hint="eastAsia" w:ascii="宋体" w:hAnsi="宋体"/>
          <w:szCs w:val="21"/>
        </w:rPr>
        <w:t>°-91</w:t>
      </w:r>
      <w:r>
        <w:rPr>
          <w:rFonts w:ascii="宋体" w:hAnsi="宋体"/>
          <w:szCs w:val="21"/>
        </w:rPr>
        <w:t>.</w:t>
      </w:r>
      <w:r>
        <w:rPr>
          <w:rFonts w:hint="eastAsia" w:ascii="宋体" w:hAnsi="宋体"/>
          <w:szCs w:val="21"/>
        </w:rPr>
        <w:t>6°；</w:t>
      </w:r>
    </w:p>
    <w:p>
      <w:pPr>
        <w:ind w:firstLine="420" w:firstLineChars="200"/>
        <w:rPr>
          <w:rFonts w:ascii="宋体" w:hAnsi="宋体"/>
          <w:szCs w:val="21"/>
        </w:rPr>
      </w:pPr>
      <w:r>
        <w:rPr>
          <w:rFonts w:hint="eastAsia" w:ascii="宋体" w:hAnsi="宋体"/>
          <w:szCs w:val="21"/>
        </w:rPr>
        <w:t>8.2.3表面热浸镀锌，镀锌量不少于500克/㎡。底座法兰盘的厚度大于10</w:t>
      </w:r>
      <w:r>
        <w:rPr>
          <w:rFonts w:ascii="宋体" w:hAnsi="宋体"/>
          <w:szCs w:val="21"/>
        </w:rPr>
        <w:t>mm</w:t>
      </w:r>
      <w:r>
        <w:rPr>
          <w:rFonts w:hint="eastAsia" w:ascii="宋体" w:hAnsi="宋体"/>
          <w:szCs w:val="21"/>
        </w:rPr>
        <w:t>；</w:t>
      </w:r>
    </w:p>
    <w:p>
      <w:pPr>
        <w:ind w:firstLine="420" w:firstLineChars="200"/>
        <w:rPr>
          <w:rFonts w:ascii="宋体" w:hAnsi="宋体"/>
          <w:szCs w:val="21"/>
        </w:rPr>
      </w:pPr>
      <w:r>
        <w:rPr>
          <w:rFonts w:hint="eastAsia" w:ascii="宋体" w:hAnsi="宋体"/>
          <w:szCs w:val="21"/>
        </w:rPr>
        <w:t>8.2.4钢管杆立柱及横臂均采用八角锥形，断面为正八边形，角度误差控制在</w:t>
      </w:r>
      <w:r>
        <w:rPr>
          <w:rFonts w:ascii="宋体" w:hAnsi="宋体"/>
          <w:szCs w:val="21"/>
        </w:rPr>
        <w:t>0.5</w:t>
      </w:r>
      <w:r>
        <w:rPr>
          <w:rFonts w:hint="eastAsia" w:ascii="宋体" w:hAnsi="宋体"/>
          <w:szCs w:val="21"/>
        </w:rPr>
        <w:t>°范围内；</w:t>
      </w:r>
    </w:p>
    <w:p>
      <w:pPr>
        <w:ind w:firstLine="420" w:firstLineChars="200"/>
        <w:rPr>
          <w:rFonts w:ascii="宋体" w:hAnsi="宋体"/>
          <w:szCs w:val="21"/>
        </w:rPr>
      </w:pPr>
      <w:r>
        <w:rPr>
          <w:rFonts w:hint="eastAsia" w:ascii="宋体" w:hAnsi="宋体"/>
          <w:szCs w:val="21"/>
        </w:rPr>
        <w:t>8.2.5悬臂式安装立柱高度为</w:t>
      </w:r>
      <w:r>
        <w:rPr>
          <w:rFonts w:ascii="宋体" w:hAnsi="宋体"/>
          <w:szCs w:val="21"/>
        </w:rPr>
        <w:t>6.</w:t>
      </w:r>
      <w:r>
        <w:rPr>
          <w:rFonts w:hint="eastAsia" w:ascii="宋体" w:hAnsi="宋体"/>
          <w:szCs w:val="21"/>
        </w:rPr>
        <w:t>8</w:t>
      </w:r>
      <w:r>
        <w:rPr>
          <w:rFonts w:ascii="宋体" w:hAnsi="宋体"/>
          <w:szCs w:val="21"/>
        </w:rPr>
        <w:t>m</w:t>
      </w:r>
      <w:r>
        <w:rPr>
          <w:rFonts w:hint="eastAsia" w:ascii="宋体" w:hAnsi="宋体"/>
          <w:szCs w:val="21"/>
        </w:rPr>
        <w:t>，立柱杆体距地面约</w:t>
      </w:r>
      <w:r>
        <w:rPr>
          <w:rFonts w:ascii="宋体" w:hAnsi="宋体"/>
          <w:szCs w:val="21"/>
        </w:rPr>
        <w:t>400mm</w:t>
      </w:r>
      <w:r>
        <w:rPr>
          <w:rFonts w:hint="eastAsia" w:ascii="宋体" w:hAnsi="宋体"/>
          <w:szCs w:val="21"/>
        </w:rPr>
        <w:t>处，须有检修孔；</w:t>
      </w:r>
    </w:p>
    <w:p>
      <w:pPr>
        <w:ind w:firstLine="420" w:firstLineChars="200"/>
        <w:rPr>
          <w:rFonts w:ascii="宋体" w:hAnsi="宋体"/>
          <w:szCs w:val="21"/>
        </w:rPr>
      </w:pPr>
      <w:r>
        <w:rPr>
          <w:rFonts w:hint="eastAsia" w:ascii="宋体" w:hAnsi="宋体"/>
          <w:szCs w:val="21"/>
        </w:rPr>
        <w:t>8.2.6行人灯与人行道路路面的净空高度要求为</w:t>
      </w:r>
      <w:r>
        <w:rPr>
          <w:rFonts w:ascii="宋体" w:hAnsi="宋体"/>
          <w:szCs w:val="21"/>
        </w:rPr>
        <w:t>2.3</w:t>
      </w:r>
      <w:r>
        <w:rPr>
          <w:rFonts w:hint="eastAsia" w:ascii="宋体" w:hAnsi="宋体"/>
          <w:szCs w:val="21"/>
        </w:rPr>
        <w:t>米；</w:t>
      </w:r>
    </w:p>
    <w:p>
      <w:pPr>
        <w:ind w:firstLine="420" w:firstLineChars="200"/>
        <w:rPr>
          <w:rFonts w:ascii="宋体" w:hAnsi="宋体"/>
          <w:szCs w:val="21"/>
        </w:rPr>
      </w:pPr>
      <w:r>
        <w:rPr>
          <w:rFonts w:hint="eastAsia" w:ascii="宋体" w:hAnsi="宋体"/>
          <w:szCs w:val="21"/>
        </w:rPr>
        <w:t>8.2.7悬臂长度在12米以内为整根不分段式；</w:t>
      </w:r>
    </w:p>
    <w:p>
      <w:pPr>
        <w:ind w:firstLine="420" w:firstLineChars="200"/>
        <w:rPr>
          <w:rFonts w:ascii="宋体" w:hAnsi="宋体"/>
          <w:szCs w:val="21"/>
        </w:rPr>
      </w:pPr>
      <w:r>
        <w:rPr>
          <w:rFonts w:hint="eastAsia" w:ascii="宋体" w:hAnsi="宋体"/>
          <w:szCs w:val="21"/>
        </w:rPr>
        <w:t>8.2.8杆体设计要求美观大方：所有负载安装就位，杆体投入使用后，整体外形应与厂家提供图纸效果一致；</w:t>
      </w:r>
    </w:p>
    <w:p>
      <w:pPr>
        <w:ind w:firstLine="420" w:firstLineChars="200"/>
        <w:rPr>
          <w:rFonts w:ascii="宋体" w:hAnsi="宋体"/>
          <w:szCs w:val="21"/>
        </w:rPr>
      </w:pPr>
      <w:r>
        <w:rPr>
          <w:rFonts w:hint="eastAsia" w:ascii="宋体" w:hAnsi="宋体"/>
          <w:szCs w:val="21"/>
        </w:rPr>
        <w:t>8.2.9杆体可抗最大风速40</w:t>
      </w:r>
      <w:r>
        <w:rPr>
          <w:rFonts w:ascii="宋体" w:hAnsi="宋体"/>
          <w:szCs w:val="21"/>
        </w:rPr>
        <w:t>m/s</w:t>
      </w:r>
      <w:r>
        <w:rPr>
          <w:rFonts w:hint="eastAsia" w:ascii="宋体" w:hAnsi="宋体"/>
          <w:szCs w:val="21"/>
        </w:rPr>
        <w:t>，疲劳寿命大于30年；</w:t>
      </w:r>
    </w:p>
    <w:p>
      <w:pPr>
        <w:ind w:firstLine="420" w:firstLineChars="200"/>
        <w:rPr>
          <w:rFonts w:ascii="宋体" w:hAnsi="宋体"/>
          <w:szCs w:val="21"/>
        </w:rPr>
      </w:pPr>
      <w:r>
        <w:rPr>
          <w:rFonts w:hint="eastAsia" w:ascii="宋体" w:hAnsi="宋体"/>
          <w:szCs w:val="21"/>
        </w:rPr>
        <w:t>8.2.10所有焊接件均要求双面全满焊，务必焊牢。</w:t>
      </w:r>
    </w:p>
    <w:p>
      <w:pPr>
        <w:ind w:firstLine="422" w:firstLineChars="200"/>
        <w:rPr>
          <w:rFonts w:ascii="宋体" w:hAnsi="宋体"/>
          <w:b/>
          <w:bCs/>
          <w:szCs w:val="21"/>
        </w:rPr>
      </w:pPr>
      <w:r>
        <w:rPr>
          <w:rFonts w:hint="eastAsia" w:ascii="宋体" w:hAnsi="宋体"/>
          <w:b/>
          <w:bCs/>
          <w:szCs w:val="21"/>
        </w:rPr>
        <w:t>8.3、信号灯杆土建工程施工要求</w:t>
      </w:r>
    </w:p>
    <w:p>
      <w:pPr>
        <w:ind w:firstLine="420" w:firstLineChars="200"/>
        <w:rPr>
          <w:rFonts w:ascii="宋体" w:hAnsi="宋体"/>
          <w:szCs w:val="21"/>
        </w:rPr>
      </w:pPr>
      <w:r>
        <w:rPr>
          <w:rFonts w:hint="eastAsia" w:ascii="宋体" w:hAnsi="宋体"/>
          <w:szCs w:val="21"/>
        </w:rPr>
        <w:t>8.3.1中标人在开挖前应事先通知招标人/工程师及监理工程师。未得到招标人/工程师及监理工程师允许，相邻地面不能破坏。管道和基础的开挖应按照招标中所示线型、坡度和标高或按招标人/工程师及监理工程的要求施工。回填必须至少恢复到原来地面并夯实；</w:t>
      </w:r>
    </w:p>
    <w:p>
      <w:pPr>
        <w:ind w:firstLine="420" w:firstLineChars="200"/>
        <w:rPr>
          <w:rFonts w:ascii="宋体" w:hAnsi="宋体"/>
          <w:szCs w:val="21"/>
        </w:rPr>
      </w:pPr>
      <w:r>
        <w:rPr>
          <w:rFonts w:hint="eastAsia" w:ascii="宋体" w:hAnsi="宋体"/>
          <w:szCs w:val="21"/>
        </w:rPr>
        <w:t>8.3.2除非图纸另有指定，所有信号灯柱基础混凝土为C25砼。混凝土的配比和最小水泥用量应符合GBJ204-83的规定；</w:t>
      </w:r>
    </w:p>
    <w:p>
      <w:pPr>
        <w:ind w:firstLine="420" w:firstLineChars="200"/>
        <w:rPr>
          <w:rFonts w:ascii="宋体" w:hAnsi="宋体"/>
          <w:szCs w:val="21"/>
        </w:rPr>
      </w:pPr>
      <w:r>
        <w:rPr>
          <w:rFonts w:hint="eastAsia" w:ascii="宋体" w:hAnsi="宋体"/>
          <w:szCs w:val="21"/>
        </w:rPr>
        <w:t>8.3.3每一条灯杆都必须接地，其接地电阻＜10欧姆；</w:t>
      </w:r>
    </w:p>
    <w:p>
      <w:pPr>
        <w:ind w:firstLine="420" w:firstLineChars="200"/>
        <w:rPr>
          <w:rFonts w:ascii="宋体" w:hAnsi="宋体"/>
          <w:szCs w:val="21"/>
        </w:rPr>
      </w:pPr>
      <w:r>
        <w:rPr>
          <w:rFonts w:hint="eastAsia" w:ascii="宋体" w:hAnsi="宋体"/>
          <w:szCs w:val="21"/>
        </w:rPr>
        <w:t>8.3.4预埋件地脚螺栓法兰盘以上的螺纹必须包扎好，以防损坏螺纹。根据预埋件安装图正常放置预埋件，保证悬臂灯杆的方向与行车道垂直；</w:t>
      </w:r>
    </w:p>
    <w:p>
      <w:pPr>
        <w:ind w:firstLine="420" w:firstLineChars="200"/>
        <w:rPr>
          <w:rFonts w:ascii="宋体" w:hAnsi="宋体"/>
          <w:szCs w:val="21"/>
        </w:rPr>
      </w:pPr>
      <w:r>
        <w:rPr>
          <w:rFonts w:hint="eastAsia" w:ascii="宋体" w:hAnsi="宋体"/>
          <w:szCs w:val="21"/>
        </w:rPr>
        <w:t>8.3.5信号灯基础的混凝土浇注面平整度＜5</w:t>
      </w:r>
      <w:r>
        <w:rPr>
          <w:rFonts w:ascii="宋体" w:hAnsi="宋体"/>
          <w:szCs w:val="21"/>
        </w:rPr>
        <w:t>mm/m</w:t>
      </w:r>
      <w:r>
        <w:rPr>
          <w:rFonts w:hint="eastAsia" w:ascii="宋体" w:hAnsi="宋体"/>
          <w:szCs w:val="21"/>
        </w:rPr>
        <w:t>。预埋件法兰低于周围地面50-80</w:t>
      </w:r>
      <w:r>
        <w:rPr>
          <w:rFonts w:ascii="宋体" w:hAnsi="宋体"/>
          <w:szCs w:val="21"/>
        </w:rPr>
        <w:t>mm</w:t>
      </w:r>
      <w:r>
        <w:rPr>
          <w:rFonts w:hint="eastAsia" w:ascii="宋体" w:hAnsi="宋体"/>
          <w:szCs w:val="21"/>
        </w:rPr>
        <w:t>；</w:t>
      </w:r>
    </w:p>
    <w:p>
      <w:pPr>
        <w:ind w:firstLine="420" w:firstLineChars="200"/>
        <w:rPr>
          <w:rFonts w:ascii="宋体" w:hAnsi="宋体"/>
          <w:szCs w:val="21"/>
        </w:rPr>
      </w:pPr>
      <w:r>
        <w:rPr>
          <w:rFonts w:hint="eastAsia" w:ascii="宋体" w:hAnsi="宋体"/>
          <w:szCs w:val="21"/>
        </w:rPr>
        <w:t>8.3.6地下铺设的电缆不得有接头，每根电缆线应留有4</w:t>
      </w:r>
      <w:r>
        <w:rPr>
          <w:rFonts w:ascii="宋体" w:hAnsi="宋体"/>
          <w:szCs w:val="21"/>
        </w:rPr>
        <w:t>m</w:t>
      </w:r>
      <w:r>
        <w:rPr>
          <w:rFonts w:hint="eastAsia" w:ascii="宋体" w:hAnsi="宋体"/>
          <w:szCs w:val="21"/>
        </w:rPr>
        <w:t>余量；</w:t>
      </w:r>
    </w:p>
    <w:p>
      <w:pPr>
        <w:ind w:firstLine="420" w:firstLineChars="200"/>
        <w:rPr>
          <w:rFonts w:ascii="宋体" w:hAnsi="宋体"/>
          <w:szCs w:val="21"/>
        </w:rPr>
      </w:pPr>
      <w:r>
        <w:rPr>
          <w:rFonts w:hint="eastAsia" w:ascii="宋体" w:hAnsi="宋体"/>
          <w:szCs w:val="21"/>
        </w:rPr>
        <w:t>8.3.7电缆沟的宽度≮500</w:t>
      </w:r>
      <w:r>
        <w:rPr>
          <w:rFonts w:ascii="宋体" w:hAnsi="宋体"/>
          <w:szCs w:val="21"/>
        </w:rPr>
        <w:t>mm</w:t>
      </w:r>
      <w:r>
        <w:rPr>
          <w:rFonts w:hint="eastAsia" w:ascii="宋体" w:hAnsi="宋体"/>
          <w:szCs w:val="21"/>
        </w:rPr>
        <w:t>或以当地市政要求为准，深度以电缆穿线套管理置后其顶部距路面的距离≮450</w:t>
      </w:r>
      <w:r>
        <w:rPr>
          <w:rFonts w:ascii="宋体" w:hAnsi="宋体"/>
          <w:szCs w:val="21"/>
        </w:rPr>
        <w:t>mm</w:t>
      </w:r>
      <w:r>
        <w:rPr>
          <w:rFonts w:hint="eastAsia" w:ascii="宋体" w:hAnsi="宋体"/>
          <w:szCs w:val="21"/>
        </w:rPr>
        <w:t>。电缆沟要求尽量平直，或略呈倒“U”字型。电缆沟底部要求平整，所有碎屑干净并填上50-80</w:t>
      </w:r>
      <w:r>
        <w:rPr>
          <w:rFonts w:ascii="宋体" w:hAnsi="宋体"/>
          <w:szCs w:val="21"/>
        </w:rPr>
        <w:t>mm</w:t>
      </w:r>
      <w:r>
        <w:rPr>
          <w:rFonts w:hint="eastAsia" w:ascii="宋体" w:hAnsi="宋体"/>
          <w:szCs w:val="21"/>
        </w:rPr>
        <w:t>的细软沙土。不设窨井的拐弯处线管的圆角半径要求量大（R≮20D，D为电缆外径），且线管转向应圆滑、流畅；</w:t>
      </w:r>
    </w:p>
    <w:p>
      <w:pPr>
        <w:ind w:firstLine="420" w:firstLineChars="200"/>
        <w:rPr>
          <w:rFonts w:ascii="宋体" w:hAnsi="宋体"/>
          <w:szCs w:val="21"/>
        </w:rPr>
      </w:pPr>
      <w:r>
        <w:rPr>
          <w:rFonts w:hint="eastAsia" w:ascii="宋体" w:hAnsi="宋体"/>
          <w:szCs w:val="21"/>
        </w:rPr>
        <w:t>8.3.8机动车道的电缆沟修复应用C25以上的混凝土修复，修复后的高度应高出0-5</w:t>
      </w:r>
      <w:r>
        <w:rPr>
          <w:rFonts w:ascii="宋体" w:hAnsi="宋体"/>
          <w:szCs w:val="21"/>
        </w:rPr>
        <w:t>mm</w:t>
      </w:r>
      <w:r>
        <w:rPr>
          <w:rFonts w:hint="eastAsia" w:ascii="宋体" w:hAnsi="宋体"/>
          <w:szCs w:val="21"/>
        </w:rPr>
        <w:t>，行人道和绿化带上的电缆沟，应按原地貌修复。使有硬质塑料管做电缆管时，管的周围应有30-50</w:t>
      </w:r>
      <w:r>
        <w:rPr>
          <w:rFonts w:ascii="宋体" w:hAnsi="宋体"/>
          <w:szCs w:val="21"/>
        </w:rPr>
        <w:t>mm</w:t>
      </w:r>
      <w:r>
        <w:rPr>
          <w:rFonts w:hint="eastAsia" w:ascii="宋体" w:hAnsi="宋体"/>
          <w:szCs w:val="21"/>
        </w:rPr>
        <w:t>的混凝土的保护层；</w:t>
      </w:r>
    </w:p>
    <w:p>
      <w:pPr>
        <w:ind w:firstLine="420" w:firstLineChars="200"/>
        <w:rPr>
          <w:rFonts w:ascii="宋体" w:hAnsi="宋体"/>
          <w:szCs w:val="21"/>
        </w:rPr>
      </w:pPr>
      <w:r>
        <w:rPr>
          <w:rFonts w:hint="eastAsia" w:ascii="宋体" w:hAnsi="宋体"/>
          <w:szCs w:val="21"/>
        </w:rPr>
        <w:t>8.3.9信号灯杆旁、信号灯控制机旁、电缆拐弯处、电缆管直线长度超过50米时，或两端电缆管深度不在同一平面相距100</w:t>
      </w:r>
      <w:r>
        <w:rPr>
          <w:rFonts w:ascii="宋体" w:hAnsi="宋体"/>
          <w:szCs w:val="21"/>
        </w:rPr>
        <w:t>mm</w:t>
      </w:r>
      <w:r>
        <w:rPr>
          <w:rFonts w:hint="eastAsia" w:ascii="宋体" w:hAnsi="宋体"/>
          <w:szCs w:val="21"/>
        </w:rPr>
        <w:t>以上时，必须设置窨井。窨井的内围尺寸要求为500（长）×500（宽）×1000（深）</w:t>
      </w:r>
      <w:r>
        <w:rPr>
          <w:rFonts w:ascii="宋体" w:hAnsi="宋体"/>
          <w:szCs w:val="21"/>
        </w:rPr>
        <w:t>mm</w:t>
      </w:r>
      <w:r>
        <w:rPr>
          <w:rFonts w:hint="eastAsia" w:ascii="宋体" w:hAnsi="宋体"/>
          <w:szCs w:val="21"/>
        </w:rPr>
        <w:t>，窨井四壁及底部（除渗水孔外）必须批荡水泥沙浆。渗水孔面应略低于底部5</w:t>
      </w:r>
      <w:r>
        <w:rPr>
          <w:rFonts w:ascii="宋体" w:hAnsi="宋体"/>
          <w:szCs w:val="21"/>
        </w:rPr>
        <w:t>mm</w:t>
      </w:r>
      <w:r>
        <w:rPr>
          <w:rFonts w:hint="eastAsia" w:ascii="宋体" w:hAnsi="宋体"/>
          <w:szCs w:val="21"/>
        </w:rPr>
        <w:t>以方便渗水；</w:t>
      </w:r>
    </w:p>
    <w:p>
      <w:pPr>
        <w:ind w:firstLine="420" w:firstLineChars="200"/>
        <w:rPr>
          <w:rFonts w:ascii="宋体" w:hAnsi="宋体"/>
          <w:szCs w:val="21"/>
        </w:rPr>
      </w:pPr>
      <w:r>
        <w:rPr>
          <w:rFonts w:hint="eastAsia" w:ascii="宋体" w:hAnsi="宋体"/>
          <w:szCs w:val="21"/>
        </w:rPr>
        <w:t>8.3.10控制机柜放置于路口非岗亭内时，为确保设备的正常运转，必须将信号机柜提高，防止浸水。抬高高度150</w:t>
      </w:r>
      <w:r>
        <w:rPr>
          <w:rFonts w:ascii="宋体" w:hAnsi="宋体"/>
          <w:szCs w:val="21"/>
        </w:rPr>
        <w:t>mm</w:t>
      </w:r>
      <w:r>
        <w:rPr>
          <w:rFonts w:hint="eastAsia" w:ascii="宋体" w:hAnsi="宋体"/>
          <w:szCs w:val="21"/>
        </w:rPr>
        <w:t>，机柜基础与旁边最近窨井之间用管径2孔Φ110mm电缆管线连接。基础内部的电缆管周围必须用混凝土填实；主电源线必须经窨井进入信号机柜。控制机拒必须接地，接地电阻小于10欧姆；</w:t>
      </w:r>
    </w:p>
    <w:p>
      <w:pPr>
        <w:ind w:firstLine="420" w:firstLineChars="200"/>
        <w:rPr>
          <w:rFonts w:ascii="宋体" w:hAnsi="宋体"/>
          <w:szCs w:val="21"/>
        </w:rPr>
      </w:pPr>
      <w:r>
        <w:rPr>
          <w:rFonts w:hint="eastAsia" w:ascii="宋体" w:hAnsi="宋体"/>
          <w:szCs w:val="21"/>
        </w:rPr>
        <w:t>8.3.11预埋管及电缆要符合国家规范。</w:t>
      </w:r>
    </w:p>
    <w:p>
      <w:pPr>
        <w:ind w:firstLine="422" w:firstLineChars="200"/>
        <w:rPr>
          <w:rFonts w:ascii="宋体" w:hAnsi="宋体"/>
          <w:b/>
          <w:bCs/>
          <w:szCs w:val="21"/>
        </w:rPr>
      </w:pPr>
      <w:r>
        <w:rPr>
          <w:rFonts w:hint="eastAsia" w:ascii="宋体" w:hAnsi="宋体"/>
          <w:b/>
          <w:bCs/>
          <w:szCs w:val="21"/>
        </w:rPr>
        <w:t>8.4、倒计时显示屏技术要求</w:t>
      </w:r>
    </w:p>
    <w:p>
      <w:pPr>
        <w:ind w:firstLine="420" w:firstLineChars="200"/>
        <w:rPr>
          <w:rFonts w:ascii="宋体" w:hAnsi="宋体"/>
          <w:szCs w:val="21"/>
        </w:rPr>
      </w:pPr>
      <w:r>
        <w:rPr>
          <w:rFonts w:hint="eastAsia" w:ascii="宋体" w:hAnsi="宋体"/>
          <w:szCs w:val="21"/>
        </w:rPr>
        <w:t>8.4.1倒计时采用单8红绿倒计时，设置方式为单独灯具方式；</w:t>
      </w:r>
    </w:p>
    <w:p>
      <w:pPr>
        <w:ind w:firstLine="420" w:firstLineChars="200"/>
        <w:rPr>
          <w:rFonts w:ascii="宋体" w:hAnsi="宋体"/>
          <w:szCs w:val="21"/>
        </w:rPr>
      </w:pPr>
      <w:r>
        <w:rPr>
          <w:rFonts w:hint="eastAsia" w:ascii="宋体" w:hAnsi="宋体"/>
          <w:szCs w:val="21"/>
        </w:rPr>
        <w:t>8.4.2倒计时显示颜色为红、绿二色，其红色波长为625±5</w:t>
      </w:r>
      <w:r>
        <w:rPr>
          <w:rFonts w:ascii="宋体" w:hAnsi="宋体"/>
          <w:szCs w:val="21"/>
        </w:rPr>
        <w:t>nm</w:t>
      </w:r>
      <w:r>
        <w:rPr>
          <w:rFonts w:hint="eastAsia" w:ascii="宋体" w:hAnsi="宋体"/>
          <w:szCs w:val="21"/>
        </w:rPr>
        <w:t>；绿色为505±2</w:t>
      </w:r>
      <w:r>
        <w:rPr>
          <w:rFonts w:ascii="宋体" w:hAnsi="宋体"/>
          <w:szCs w:val="21"/>
        </w:rPr>
        <w:t>nm</w:t>
      </w:r>
      <w:r>
        <w:rPr>
          <w:rFonts w:hint="eastAsia" w:ascii="宋体" w:hAnsi="宋体"/>
          <w:szCs w:val="21"/>
        </w:rPr>
        <w:t>；</w:t>
      </w:r>
    </w:p>
    <w:p>
      <w:pPr>
        <w:ind w:firstLine="420" w:firstLineChars="200"/>
        <w:rPr>
          <w:rFonts w:ascii="宋体" w:hAnsi="宋体"/>
          <w:szCs w:val="21"/>
        </w:rPr>
      </w:pPr>
      <w:r>
        <w:rPr>
          <w:rFonts w:hint="eastAsia" w:ascii="宋体" w:hAnsi="宋体"/>
          <w:szCs w:val="21"/>
        </w:rPr>
        <w:t>8.4.3倒计时器触发方式为脉冲学习型。倒计时器接受到200ms后，学习红灯或绿灯到下一灯色时间，并显示剩余时长（最大为9秒）；</w:t>
      </w:r>
    </w:p>
    <w:p>
      <w:pPr>
        <w:ind w:firstLine="420" w:firstLineChars="200"/>
        <w:rPr>
          <w:rFonts w:ascii="宋体" w:hAnsi="宋体"/>
          <w:szCs w:val="21"/>
        </w:rPr>
      </w:pPr>
      <w:r>
        <w:rPr>
          <w:rFonts w:hint="eastAsia" w:ascii="宋体" w:hAnsi="宋体"/>
          <w:szCs w:val="21"/>
        </w:rPr>
        <w:t>8.4.4工作电压：AC220V±10%；</w:t>
      </w:r>
    </w:p>
    <w:p>
      <w:pPr>
        <w:ind w:firstLine="420" w:firstLineChars="200"/>
        <w:rPr>
          <w:rFonts w:ascii="宋体" w:hAnsi="宋体"/>
          <w:szCs w:val="21"/>
        </w:rPr>
      </w:pPr>
      <w:r>
        <w:rPr>
          <w:rFonts w:hint="eastAsia" w:ascii="宋体" w:hAnsi="宋体"/>
          <w:szCs w:val="21"/>
        </w:rPr>
        <w:t>8.4.5可视距离：大于200</w:t>
      </w:r>
      <w:r>
        <w:rPr>
          <w:rFonts w:ascii="宋体" w:hAnsi="宋体"/>
          <w:szCs w:val="21"/>
        </w:rPr>
        <w:t>m</w:t>
      </w:r>
      <w:r>
        <w:rPr>
          <w:rFonts w:hint="eastAsia" w:ascii="宋体" w:hAnsi="宋体"/>
          <w:szCs w:val="21"/>
        </w:rPr>
        <w:t>；</w:t>
      </w:r>
    </w:p>
    <w:p>
      <w:pPr>
        <w:ind w:firstLine="420" w:firstLineChars="200"/>
        <w:rPr>
          <w:rFonts w:ascii="宋体" w:hAnsi="宋体"/>
          <w:szCs w:val="21"/>
        </w:rPr>
      </w:pPr>
      <w:r>
        <w:rPr>
          <w:rFonts w:hint="eastAsia" w:ascii="宋体" w:hAnsi="宋体"/>
          <w:szCs w:val="21"/>
        </w:rPr>
        <w:t>8.4.6使用寿命：大于50000</w:t>
      </w:r>
      <w:r>
        <w:rPr>
          <w:rFonts w:ascii="宋体" w:hAnsi="宋体"/>
          <w:szCs w:val="21"/>
        </w:rPr>
        <w:t>h</w:t>
      </w:r>
      <w:r>
        <w:rPr>
          <w:rFonts w:hint="eastAsia" w:ascii="宋体" w:hAnsi="宋体"/>
          <w:szCs w:val="21"/>
        </w:rPr>
        <w:t>；</w:t>
      </w:r>
    </w:p>
    <w:p>
      <w:pPr>
        <w:ind w:firstLine="420" w:firstLineChars="200"/>
        <w:rPr>
          <w:rFonts w:hint="eastAsia" w:ascii="宋体" w:hAnsi="宋体"/>
          <w:szCs w:val="21"/>
        </w:rPr>
      </w:pPr>
      <w:r>
        <w:rPr>
          <w:rFonts w:hint="eastAsia" w:ascii="宋体" w:hAnsi="宋体"/>
          <w:szCs w:val="21"/>
        </w:rPr>
        <w:t>8.4.7光强：红色4000</w:t>
      </w:r>
      <w:r>
        <w:rPr>
          <w:rFonts w:ascii="宋体" w:hAnsi="宋体"/>
          <w:szCs w:val="21"/>
        </w:rPr>
        <w:t>cd/㎡</w:t>
      </w:r>
      <w:r>
        <w:rPr>
          <w:rFonts w:hint="eastAsia" w:ascii="宋体" w:hAnsi="宋体"/>
          <w:szCs w:val="21"/>
        </w:rPr>
        <w:t>；绿色4000</w:t>
      </w:r>
      <w:r>
        <w:rPr>
          <w:rFonts w:ascii="宋体" w:hAnsi="宋体"/>
          <w:szCs w:val="21"/>
        </w:rPr>
        <w:t>cd/㎡</w:t>
      </w:r>
      <w:r>
        <w:rPr>
          <w:rFonts w:hint="eastAsia" w:ascii="宋体" w:hAnsi="宋体"/>
          <w:szCs w:val="21"/>
        </w:rPr>
        <w:t>。</w:t>
      </w:r>
    </w:p>
    <w:p>
      <w:pPr>
        <w:ind w:firstLine="422" w:firstLineChars="200"/>
        <w:rPr>
          <w:rFonts w:ascii="宋体" w:hAnsi="宋体"/>
          <w:b/>
          <w:bCs/>
          <w:szCs w:val="21"/>
        </w:rPr>
      </w:pPr>
      <w:r>
        <w:rPr>
          <w:rFonts w:hint="eastAsia" w:ascii="宋体" w:hAnsi="宋体"/>
          <w:b/>
          <w:bCs/>
          <w:szCs w:val="21"/>
        </w:rPr>
        <w:t>9、新型LED面阵发光道路交通警示标志技术要求</w:t>
      </w:r>
    </w:p>
    <w:p>
      <w:pPr>
        <w:ind w:firstLine="422" w:firstLineChars="200"/>
        <w:rPr>
          <w:rFonts w:ascii="宋体" w:hAnsi="宋体"/>
          <w:b/>
          <w:bCs/>
          <w:szCs w:val="21"/>
        </w:rPr>
      </w:pPr>
      <w:r>
        <w:rPr>
          <w:rFonts w:hint="eastAsia" w:ascii="宋体" w:hAnsi="宋体"/>
          <w:b/>
          <w:bCs/>
          <w:szCs w:val="21"/>
        </w:rPr>
        <w:t>9.1技术标准引用规范</w:t>
      </w:r>
    </w:p>
    <w:p>
      <w:pPr>
        <w:ind w:firstLine="420" w:firstLineChars="200"/>
        <w:rPr>
          <w:rFonts w:ascii="宋体" w:hAnsi="宋体"/>
          <w:szCs w:val="21"/>
        </w:rPr>
      </w:pPr>
      <w:r>
        <w:rPr>
          <w:rFonts w:hint="eastAsia" w:ascii="宋体" w:hAnsi="宋体"/>
          <w:szCs w:val="21"/>
        </w:rPr>
        <w:t>GB5768.2道路交通标志和标线第2部分：道路交通标志；</w:t>
      </w:r>
    </w:p>
    <w:p>
      <w:pPr>
        <w:ind w:firstLine="420" w:firstLineChars="200"/>
        <w:rPr>
          <w:rFonts w:ascii="宋体" w:hAnsi="宋体"/>
          <w:szCs w:val="21"/>
        </w:rPr>
      </w:pPr>
      <w:r>
        <w:rPr>
          <w:rFonts w:ascii="宋体" w:hAnsi="宋体"/>
          <w:szCs w:val="21"/>
        </w:rPr>
        <w:t>GB/T18833道路交通反光膜</w:t>
      </w:r>
      <w:r>
        <w:rPr>
          <w:rFonts w:hint="eastAsia" w:ascii="宋体" w:hAnsi="宋体"/>
          <w:szCs w:val="21"/>
        </w:rPr>
        <w:t>；</w:t>
      </w:r>
    </w:p>
    <w:p>
      <w:pPr>
        <w:ind w:firstLine="420" w:firstLineChars="200"/>
        <w:rPr>
          <w:rFonts w:ascii="宋体" w:hAnsi="宋体"/>
          <w:szCs w:val="21"/>
        </w:rPr>
      </w:pPr>
      <w:r>
        <w:rPr>
          <w:rFonts w:hint="eastAsia" w:ascii="宋体" w:hAnsi="宋体"/>
          <w:szCs w:val="21"/>
        </w:rPr>
        <w:t>GA/T1246-2015道路交叉口发光警示柱；</w:t>
      </w:r>
    </w:p>
    <w:p>
      <w:pPr>
        <w:ind w:firstLine="420" w:firstLineChars="200"/>
        <w:rPr>
          <w:rFonts w:ascii="宋体" w:hAnsi="宋体"/>
          <w:szCs w:val="21"/>
        </w:rPr>
      </w:pPr>
      <w:r>
        <w:rPr>
          <w:rFonts w:hint="eastAsia" w:ascii="宋体" w:hAnsi="宋体"/>
          <w:szCs w:val="21"/>
        </w:rPr>
        <w:t>GB/T23827道路交通标志板及支撑件；</w:t>
      </w:r>
    </w:p>
    <w:p>
      <w:pPr>
        <w:ind w:firstLine="420" w:firstLineChars="200"/>
        <w:rPr>
          <w:rFonts w:ascii="宋体" w:hAnsi="宋体"/>
          <w:szCs w:val="21"/>
        </w:rPr>
      </w:pPr>
      <w:r>
        <w:rPr>
          <w:rFonts w:hint="eastAsia" w:ascii="宋体" w:hAnsi="宋体"/>
          <w:szCs w:val="21"/>
        </w:rPr>
        <w:t>GB/T24716公路沿线设施太阳能供电系统通用技术规范；</w:t>
      </w:r>
    </w:p>
    <w:p>
      <w:pPr>
        <w:ind w:firstLine="422" w:firstLineChars="200"/>
        <w:rPr>
          <w:rFonts w:ascii="宋体" w:hAnsi="宋体"/>
          <w:b/>
          <w:bCs/>
          <w:szCs w:val="21"/>
        </w:rPr>
      </w:pPr>
      <w:r>
        <w:rPr>
          <w:rFonts w:hint="eastAsia" w:ascii="宋体" w:hAnsi="宋体"/>
          <w:b/>
          <w:bCs/>
          <w:szCs w:val="21"/>
        </w:rPr>
        <w:t>9.2术语及定义</w:t>
      </w:r>
    </w:p>
    <w:p>
      <w:pPr>
        <w:ind w:firstLine="422" w:firstLineChars="200"/>
        <w:rPr>
          <w:rFonts w:ascii="宋体" w:hAnsi="宋体"/>
        </w:rPr>
      </w:pPr>
      <w:r>
        <w:rPr>
          <w:rFonts w:hint="eastAsia" w:ascii="宋体" w:hAnsi="宋体"/>
          <w:b/>
          <w:bCs/>
          <w:lang w:val="zh-CN"/>
        </w:rPr>
        <w:t>●</w:t>
      </w:r>
      <w:r>
        <w:rPr>
          <w:rFonts w:hint="eastAsia" w:ascii="宋体" w:hAnsi="宋体"/>
          <w:b/>
          <w:bCs/>
        </w:rPr>
        <w:t>面阵发光道路交通警示标志：</w:t>
      </w:r>
      <w:r>
        <w:rPr>
          <w:rFonts w:hint="eastAsia" w:ascii="宋体" w:hAnsi="宋体"/>
        </w:rPr>
        <w:t>一种符合GB5768.2道路交通标志规范，通过逆反光和自发光双重功能，以显示标志的颜色、形状、字符、图形等信息的交通设施。</w:t>
      </w:r>
    </w:p>
    <w:p>
      <w:pPr>
        <w:ind w:firstLine="422" w:firstLineChars="200"/>
        <w:rPr>
          <w:rFonts w:ascii="宋体" w:hAnsi="宋体"/>
        </w:rPr>
      </w:pPr>
      <w:r>
        <w:rPr>
          <w:rFonts w:hint="eastAsia" w:ascii="宋体" w:hAnsi="宋体"/>
          <w:b/>
          <w:bCs/>
          <w:lang w:val="zh-CN"/>
        </w:rPr>
        <w:t>●</w:t>
      </w:r>
      <w:r>
        <w:rPr>
          <w:rFonts w:hint="eastAsia" w:ascii="宋体" w:hAnsi="宋体"/>
          <w:b/>
          <w:bCs/>
        </w:rPr>
        <w:t>LED面阵发光：</w:t>
      </w:r>
      <w:r>
        <w:rPr>
          <w:rFonts w:hint="eastAsia" w:ascii="宋体" w:hAnsi="宋体"/>
        </w:rPr>
        <w:t>一种采用LED作为光源，并通过光导传输原理所形成的高像素信息显示器。</w:t>
      </w:r>
    </w:p>
    <w:p>
      <w:pPr>
        <w:ind w:firstLine="422" w:firstLineChars="200"/>
        <w:rPr>
          <w:rFonts w:ascii="宋体" w:hAnsi="宋体"/>
        </w:rPr>
      </w:pPr>
      <w:r>
        <w:rPr>
          <w:rFonts w:hint="eastAsia" w:ascii="宋体" w:hAnsi="宋体"/>
          <w:b/>
          <w:bCs/>
          <w:lang w:val="zh-CN"/>
        </w:rPr>
        <w:t>●</w:t>
      </w:r>
      <w:r>
        <w:rPr>
          <w:rFonts w:hint="eastAsia" w:ascii="宋体" w:hAnsi="宋体"/>
          <w:b/>
          <w:bCs/>
        </w:rPr>
        <w:t>视认角：</w:t>
      </w:r>
      <w:r>
        <w:rPr>
          <w:rFonts w:hint="eastAsia" w:ascii="宋体" w:hAnsi="宋体"/>
        </w:rPr>
        <w:t>观察者（正常人，矫正视力1.0以上)在任何环境照度下偏离产品表面法线方向后，在规定距离内仍能有效识别标志内容的最大偏离角度。</w:t>
      </w:r>
    </w:p>
    <w:p>
      <w:pPr>
        <w:ind w:firstLine="422" w:firstLineChars="200"/>
        <w:rPr>
          <w:rFonts w:ascii="宋体" w:hAnsi="宋体"/>
        </w:rPr>
      </w:pPr>
      <w:r>
        <w:rPr>
          <w:rFonts w:hint="eastAsia" w:ascii="宋体" w:hAnsi="宋体"/>
          <w:b/>
          <w:bCs/>
          <w:lang w:val="zh-CN"/>
        </w:rPr>
        <w:t>●</w:t>
      </w:r>
      <w:r>
        <w:rPr>
          <w:rFonts w:hint="eastAsia" w:ascii="宋体" w:hAnsi="宋体"/>
          <w:b/>
          <w:bCs/>
        </w:rPr>
        <w:t>视认距离：</w:t>
      </w:r>
      <w:r>
        <w:rPr>
          <w:rFonts w:hint="eastAsia" w:ascii="宋体" w:hAnsi="宋体"/>
        </w:rPr>
        <w:t>当观察者（正常人，矫正视力1.0以上)处于静止、动态（30km/h运动速度）下，在规定的视认角内，仍能有效识别标志内容的最大距离。</w:t>
      </w:r>
    </w:p>
    <w:p>
      <w:pPr>
        <w:ind w:firstLine="422" w:firstLineChars="200"/>
        <w:rPr>
          <w:rFonts w:ascii="宋体" w:hAnsi="宋体"/>
          <w:b/>
          <w:bCs/>
        </w:rPr>
      </w:pPr>
      <w:r>
        <w:rPr>
          <w:rFonts w:hint="eastAsia" w:ascii="宋体" w:hAnsi="宋体"/>
          <w:b/>
          <w:bCs/>
        </w:rPr>
        <w:t>9.3产品技术要求：</w:t>
      </w:r>
    </w:p>
    <w:p>
      <w:pPr>
        <w:ind w:firstLine="420" w:firstLineChars="200"/>
        <w:rPr>
          <w:rFonts w:ascii="宋体" w:hAnsi="宋体"/>
        </w:rPr>
      </w:pPr>
      <w:r>
        <w:rPr>
          <w:rFonts w:hint="eastAsia" w:ascii="宋体" w:hAnsi="宋体"/>
        </w:rPr>
        <w:t>9.3.1具备逆反光、自发光双重显示特性。如图示：</w:t>
      </w:r>
    </w:p>
    <w:p>
      <w:pPr>
        <w:rPr>
          <w:rFonts w:ascii="宋体" w:hAnsi="宋体"/>
        </w:rPr>
      </w:pPr>
      <w:r>
        <w:rPr>
          <w:rFonts w:ascii="宋体" w:hAnsi="宋体"/>
        </w:rPr>
        <w:drawing>
          <wp:inline distT="0" distB="0" distL="114300" distR="114300">
            <wp:extent cx="5732780" cy="2172335"/>
            <wp:effectExtent l="0" t="0" r="1270" b="18415"/>
            <wp:docPr id="24" name="图片 19" descr="交通标志发光设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descr="交通标志发光设计"/>
                    <pic:cNvPicPr>
                      <a:picLocks noChangeAspect="1"/>
                    </pic:cNvPicPr>
                  </pic:nvPicPr>
                  <pic:blipFill>
                    <a:blip r:embed="rId38"/>
                    <a:stretch>
                      <a:fillRect/>
                    </a:stretch>
                  </pic:blipFill>
                  <pic:spPr>
                    <a:xfrm>
                      <a:off x="0" y="0"/>
                      <a:ext cx="5732780" cy="2172335"/>
                    </a:xfrm>
                    <a:prstGeom prst="rect">
                      <a:avLst/>
                    </a:prstGeom>
                    <a:noFill/>
                    <a:ln>
                      <a:noFill/>
                    </a:ln>
                  </pic:spPr>
                </pic:pic>
              </a:graphicData>
            </a:graphic>
          </wp:inline>
        </w:drawing>
      </w:r>
    </w:p>
    <w:p>
      <w:pPr>
        <w:ind w:firstLine="420" w:firstLineChars="200"/>
        <w:rPr>
          <w:rFonts w:ascii="宋体" w:hAnsi="宋体"/>
          <w:szCs w:val="21"/>
        </w:rPr>
      </w:pPr>
      <w:r>
        <w:rPr>
          <w:rFonts w:hint="eastAsia" w:ascii="宋体" w:hAnsi="宋体"/>
          <w:szCs w:val="21"/>
        </w:rPr>
        <w:t>9.3.2产品须在符合GB5768.2道路交通标志规范的前提下加之主动发光技术。标志的底和面采用全反光膜结构，即使连续几十天阴雨天极端天气造成储能电池电量耗尽，也能完全如同普通反光标志一样，夜间通过反光膜的逆反射功能清晰显示警示图案或文字，保障最基本的安全警示效果。</w:t>
      </w:r>
    </w:p>
    <w:p>
      <w:pPr>
        <w:ind w:firstLine="420" w:firstLineChars="200"/>
        <w:rPr>
          <w:rFonts w:ascii="宋体" w:hAnsi="宋体"/>
          <w:szCs w:val="21"/>
        </w:rPr>
      </w:pPr>
      <w:r>
        <w:rPr>
          <w:rFonts w:hint="eastAsia" w:ascii="宋体" w:hAnsi="宋体"/>
          <w:szCs w:val="21"/>
        </w:rPr>
        <w:t>9.3.3产品运行在主动发光的状态下，警示图案或文字必须明亮而不炫目刺眼，无论距离远近，都具有极好的视认性，警示效果明显。当用于辅助标志的文字显示内容时，要求能显示字高小于100mm的内容，且保证边缘清晰。</w:t>
      </w:r>
    </w:p>
    <w:p>
      <w:pPr>
        <w:ind w:firstLine="420" w:firstLineChars="200"/>
        <w:rPr>
          <w:rFonts w:ascii="宋体" w:hAnsi="宋体"/>
          <w:szCs w:val="21"/>
        </w:rPr>
      </w:pPr>
      <w:r>
        <w:rPr>
          <w:rFonts w:hint="eastAsia" w:ascii="宋体" w:hAnsi="宋体"/>
          <w:szCs w:val="21"/>
        </w:rPr>
        <w:t>9.3.4须采用LED发光技术作为标志的显示光源，并通过光学级亚克力（PMM（a）导光平板进行图案、文字定向发光。而非由LED点阵直接进行图案、文字的构建，以防止个别点阵的故障所引起的显示缺陷或内容不完整现象。宜采用点光源转换为面光源（面阵发光）的显示技术，即使个别LED的缺损也不会造成显示内容的黑点黑斑现象，始终保证发光警示图案或文字的完整性。除非产品被撞击损坏因素，应确保产品在六年以上的免维护性能。</w:t>
      </w:r>
    </w:p>
    <w:p>
      <w:pPr>
        <w:ind w:firstLine="420" w:firstLineChars="200"/>
        <w:rPr>
          <w:rFonts w:ascii="宋体" w:hAnsi="宋体"/>
          <w:szCs w:val="21"/>
        </w:rPr>
      </w:pPr>
      <w:r>
        <w:rPr>
          <w:rFonts w:hint="eastAsia" w:ascii="宋体" w:hAnsi="宋体"/>
          <w:szCs w:val="21"/>
        </w:rPr>
        <w:t>9.3.5显示标志的LED布局工艺宜采用表面贴装工艺（SMT），具有较高的散热和接触性能。防止因高热阻散热不良及触点氧化而引起的显示故障。</w:t>
      </w:r>
    </w:p>
    <w:p>
      <w:pPr>
        <w:ind w:firstLine="420" w:firstLineChars="200"/>
        <w:rPr>
          <w:rFonts w:ascii="宋体" w:hAnsi="宋体"/>
          <w:szCs w:val="21"/>
        </w:rPr>
      </w:pPr>
      <w:r>
        <w:rPr>
          <w:rFonts w:hint="eastAsia" w:ascii="宋体" w:hAnsi="宋体"/>
          <w:szCs w:val="21"/>
        </w:rPr>
        <w:t>9.3.6产品供电须采用太阳能光伏电池方式，材料宜选用转换效率较高的A级单晶或多晶硅太阳能电池。其性能须符合GJB1431.1和GB/T9535规定。储能电池采用密封铅酸电池或磷酸铁锂电池。储能电池须提供二年以上的质保期。</w:t>
      </w:r>
    </w:p>
    <w:p>
      <w:pPr>
        <w:ind w:firstLine="420" w:firstLineChars="200"/>
        <w:rPr>
          <w:rFonts w:ascii="宋体" w:hAnsi="宋体"/>
          <w:szCs w:val="21"/>
        </w:rPr>
      </w:pPr>
      <w:r>
        <w:rPr>
          <w:rFonts w:hint="eastAsia" w:ascii="宋体" w:hAnsi="宋体"/>
          <w:szCs w:val="21"/>
        </w:rPr>
        <w:t>9.3.7产品具备单面或双面显示功能，标志的整体外框结构须采用工业级高强铝合金轻型材料。尺寸符合GB5768.2道路交通标志规范。外观光滑美观，结构坚固，标志整体结构在-20℃至70℃环境下不得产生形变。</w:t>
      </w:r>
    </w:p>
    <w:p>
      <w:pPr>
        <w:ind w:firstLine="422" w:firstLineChars="200"/>
        <w:rPr>
          <w:rFonts w:ascii="宋体" w:hAnsi="宋体"/>
          <w:b/>
          <w:bCs/>
          <w:szCs w:val="21"/>
        </w:rPr>
      </w:pPr>
      <w:r>
        <w:rPr>
          <w:rFonts w:hint="eastAsia" w:ascii="宋体" w:hAnsi="宋体"/>
          <w:b/>
          <w:bCs/>
          <w:szCs w:val="21"/>
        </w:rPr>
        <w:t>9.4产品的组成</w:t>
      </w:r>
    </w:p>
    <w:p>
      <w:pPr>
        <w:ind w:firstLine="420" w:firstLineChars="200"/>
        <w:rPr>
          <w:rFonts w:ascii="宋体" w:hAnsi="宋体"/>
          <w:szCs w:val="21"/>
        </w:rPr>
      </w:pPr>
      <w:r>
        <w:rPr>
          <w:rFonts w:hint="eastAsia" w:ascii="宋体" w:hAnsi="宋体"/>
          <w:szCs w:val="21"/>
        </w:rPr>
        <w:t>产品由标志显示板面或柱体、控制电路、供电系统等组成。根据用户需求和现场实际状况，也可以附加告知交通标志信息的部件。</w:t>
      </w:r>
    </w:p>
    <w:p>
      <w:pPr>
        <w:ind w:firstLine="420" w:firstLineChars="200"/>
        <w:rPr>
          <w:rFonts w:ascii="宋体" w:hAnsi="宋体"/>
          <w:szCs w:val="21"/>
        </w:rPr>
      </w:pPr>
      <w:r>
        <w:rPr>
          <w:rFonts w:hint="eastAsia" w:ascii="宋体" w:hAnsi="宋体"/>
          <w:szCs w:val="21"/>
        </w:rPr>
        <w:t>9.5性能参数与指标要求：</w:t>
      </w:r>
    </w:p>
    <w:p>
      <w:pPr>
        <w:ind w:firstLine="420" w:firstLineChars="200"/>
        <w:rPr>
          <w:rFonts w:ascii="宋体" w:hAnsi="宋体"/>
          <w:szCs w:val="21"/>
        </w:rPr>
      </w:pPr>
      <w:r>
        <w:rPr>
          <w:rFonts w:hint="eastAsia" w:ascii="宋体" w:hAnsi="宋体"/>
          <w:szCs w:val="21"/>
        </w:rPr>
        <w:t>9.5.1显示性能与指标要求：</w:t>
      </w:r>
    </w:p>
    <w:p>
      <w:pPr>
        <w:ind w:firstLine="420" w:firstLineChars="200"/>
        <w:rPr>
          <w:rFonts w:ascii="宋体" w:hAnsi="宋体"/>
        </w:rPr>
      </w:pPr>
      <w:r>
        <w:rPr>
          <w:rFonts w:hint="eastAsia" w:ascii="宋体" w:hAnsi="宋体"/>
          <w:lang w:val="zh-CN"/>
        </w:rPr>
        <w:t>●</w:t>
      </w:r>
      <w:r>
        <w:rPr>
          <w:rFonts w:hint="eastAsia" w:ascii="宋体" w:hAnsi="宋体"/>
        </w:rPr>
        <w:t>反光膜等级要求：用于产品逆反光的材料“反光膜”的选用应不低于GB/T18833-2012《道路交通反光膜》Ⅰ类标准。</w:t>
      </w:r>
    </w:p>
    <w:p>
      <w:pPr>
        <w:ind w:firstLine="420" w:firstLineChars="200"/>
        <w:rPr>
          <w:rFonts w:ascii="宋体" w:hAnsi="宋体"/>
        </w:rPr>
      </w:pPr>
      <w:r>
        <w:rPr>
          <w:rFonts w:hint="eastAsia" w:ascii="宋体" w:hAnsi="宋体"/>
          <w:lang w:val="zh-CN"/>
        </w:rPr>
        <w:t>●</w:t>
      </w:r>
      <w:r>
        <w:rPr>
          <w:rFonts w:hint="eastAsia" w:ascii="宋体" w:hAnsi="宋体"/>
        </w:rPr>
        <w:t>发光颜色波长/色温：红色625±5nm，黄色595±5nm，白色≥8500K。</w:t>
      </w:r>
    </w:p>
    <w:p>
      <w:pPr>
        <w:ind w:firstLine="420" w:firstLineChars="200"/>
        <w:rPr>
          <w:rFonts w:ascii="宋体" w:hAnsi="宋体"/>
        </w:rPr>
      </w:pPr>
      <w:r>
        <w:rPr>
          <w:rFonts w:hint="eastAsia" w:ascii="宋体" w:hAnsi="宋体"/>
          <w:lang w:val="zh-CN"/>
        </w:rPr>
        <w:t>●</w:t>
      </w:r>
      <w:r>
        <w:rPr>
          <w:rFonts w:hint="eastAsia" w:ascii="宋体" w:hAnsi="宋体"/>
        </w:rPr>
        <w:t>发光标志表面亮度：大于400LUX，小于1200LUX。</w:t>
      </w:r>
    </w:p>
    <w:p>
      <w:pPr>
        <w:ind w:firstLine="420" w:firstLineChars="200"/>
        <w:rPr>
          <w:rFonts w:ascii="宋体" w:hAnsi="宋体"/>
        </w:rPr>
      </w:pPr>
      <w:r>
        <w:rPr>
          <w:rFonts w:hint="eastAsia" w:ascii="宋体" w:hAnsi="宋体"/>
          <w:lang w:val="zh-CN"/>
        </w:rPr>
        <w:t>●</w:t>
      </w:r>
      <w:r>
        <w:rPr>
          <w:rFonts w:hint="eastAsia" w:ascii="宋体" w:hAnsi="宋体"/>
        </w:rPr>
        <w:t>视认角度：大于45度的斜视状态下，仍能清晰分辨显示内容。</w:t>
      </w:r>
    </w:p>
    <w:p>
      <w:pPr>
        <w:ind w:firstLine="420" w:firstLineChars="200"/>
        <w:rPr>
          <w:rFonts w:ascii="宋体" w:hAnsi="宋体"/>
        </w:rPr>
      </w:pPr>
      <w:r>
        <w:rPr>
          <w:rFonts w:hint="eastAsia" w:ascii="宋体" w:hAnsi="宋体"/>
          <w:lang w:val="zh-CN"/>
        </w:rPr>
        <w:t>●</w:t>
      </w:r>
      <w:r>
        <w:rPr>
          <w:rFonts w:hint="eastAsia" w:ascii="宋体" w:hAnsi="宋体"/>
        </w:rPr>
        <w:t>视认距离：1-200米视距范围内，仍能清晰分辨显示内容，远、近视显示不得产生炫光、刺眼、以及图案字体边缘模糊现象。</w:t>
      </w:r>
    </w:p>
    <w:p>
      <w:pPr>
        <w:ind w:firstLine="420" w:firstLineChars="200"/>
        <w:rPr>
          <w:rFonts w:ascii="宋体" w:hAnsi="宋体"/>
        </w:rPr>
      </w:pPr>
      <w:r>
        <w:rPr>
          <w:rFonts w:hint="eastAsia" w:ascii="宋体" w:hAnsi="宋体"/>
          <w:lang w:val="zh-CN"/>
        </w:rPr>
        <w:t>●</w:t>
      </w:r>
      <w:r>
        <w:rPr>
          <w:rFonts w:hint="eastAsia" w:ascii="宋体" w:hAnsi="宋体"/>
        </w:rPr>
        <w:t>自发光显示信息时，文字、图案的解析度（分辨率）达到7000像素点/平方米。用于内容轮廓显示时相邻发光点中心间距小于12mm。</w:t>
      </w:r>
    </w:p>
    <w:p>
      <w:pPr>
        <w:ind w:firstLine="420" w:firstLineChars="200"/>
        <w:rPr>
          <w:rFonts w:ascii="宋体" w:hAnsi="宋体"/>
        </w:rPr>
      </w:pPr>
      <w:r>
        <w:rPr>
          <w:rFonts w:hint="eastAsia" w:ascii="宋体" w:hAnsi="宋体"/>
          <w:lang w:val="zh-CN"/>
        </w:rPr>
        <w:t>●</w:t>
      </w:r>
      <w:r>
        <w:rPr>
          <w:rFonts w:hint="eastAsia" w:ascii="宋体" w:hAnsi="宋体"/>
        </w:rPr>
        <w:t>自发光显示方式：支持常亮、间歇频闪。当选择频闪方式用以显示时，闪烁频率宜选择（30±5）次/分钟，占空比宜选择1：1.5。</w:t>
      </w:r>
    </w:p>
    <w:p>
      <w:pPr>
        <w:ind w:firstLine="420" w:firstLineChars="200"/>
        <w:rPr>
          <w:rFonts w:ascii="宋体" w:hAnsi="宋体"/>
        </w:rPr>
      </w:pPr>
      <w:r>
        <w:rPr>
          <w:rFonts w:hint="eastAsia" w:ascii="宋体" w:hAnsi="宋体"/>
          <w:lang w:val="zh-CN"/>
        </w:rPr>
        <w:t>●</w:t>
      </w:r>
      <w:r>
        <w:rPr>
          <w:rFonts w:hint="eastAsia" w:ascii="宋体" w:hAnsi="宋体"/>
        </w:rPr>
        <w:t>用于光转换的导光板材质须达到光学级，外层保护材质选用抗UV聚碳酸酯PC。</w:t>
      </w:r>
    </w:p>
    <w:p>
      <w:pPr>
        <w:ind w:firstLine="420" w:firstLineChars="200"/>
        <w:rPr>
          <w:rFonts w:ascii="宋体" w:hAnsi="宋体"/>
        </w:rPr>
      </w:pPr>
      <w:r>
        <w:rPr>
          <w:rFonts w:hint="eastAsia" w:ascii="宋体" w:hAnsi="宋体"/>
        </w:rPr>
        <w:t>9.5.2控制性能与参数指标要求：</w:t>
      </w:r>
    </w:p>
    <w:p>
      <w:pPr>
        <w:ind w:firstLine="420" w:firstLineChars="200"/>
        <w:rPr>
          <w:rFonts w:ascii="宋体" w:hAnsi="宋体"/>
        </w:rPr>
      </w:pPr>
      <w:r>
        <w:rPr>
          <w:rFonts w:hint="eastAsia" w:ascii="宋体" w:hAnsi="宋体"/>
          <w:lang w:val="zh-CN"/>
        </w:rPr>
        <w:t>●</w:t>
      </w:r>
      <w:r>
        <w:rPr>
          <w:rFonts w:hint="eastAsia" w:ascii="宋体" w:hAnsi="宋体"/>
        </w:rPr>
        <w:t>控制电路应具备环境照度检测功能。采用内置式光控原件，当环境照度低于100勒克斯（lx）自动开启，环境照度高于100勒克斯（lx）自动关闭，并具有延迟触发抗干扰功能；</w:t>
      </w:r>
    </w:p>
    <w:p>
      <w:pPr>
        <w:ind w:firstLine="420" w:firstLineChars="200"/>
        <w:rPr>
          <w:rFonts w:ascii="宋体" w:hAnsi="宋体"/>
        </w:rPr>
      </w:pPr>
      <w:r>
        <w:rPr>
          <w:rFonts w:hint="eastAsia" w:ascii="宋体" w:hAnsi="宋体"/>
          <w:lang w:val="zh-CN"/>
        </w:rPr>
        <w:t>●</w:t>
      </w:r>
      <w:r>
        <w:rPr>
          <w:rFonts w:hint="eastAsia" w:ascii="宋体" w:hAnsi="宋体"/>
        </w:rPr>
        <w:t>应具备闪烁控制功能。闪烁频率与间歇时间可调。</w:t>
      </w:r>
    </w:p>
    <w:p>
      <w:pPr>
        <w:ind w:firstLine="420" w:firstLineChars="200"/>
        <w:rPr>
          <w:rFonts w:ascii="宋体" w:hAnsi="宋体"/>
        </w:rPr>
      </w:pPr>
      <w:r>
        <w:rPr>
          <w:rFonts w:hint="eastAsia" w:ascii="宋体" w:hAnsi="宋体"/>
          <w:lang w:val="zh-CN"/>
        </w:rPr>
        <w:t>●</w:t>
      </w:r>
      <w:r>
        <w:rPr>
          <w:rFonts w:hint="eastAsia" w:ascii="宋体" w:hAnsi="宋体"/>
        </w:rPr>
        <w:t>电子元器件的平均无故障时间（MTBF)大于等于30000</w:t>
      </w:r>
      <w:r>
        <w:rPr>
          <w:rFonts w:ascii="宋体" w:hAnsi="宋体"/>
        </w:rPr>
        <w:t>h</w:t>
      </w:r>
      <w:r>
        <w:rPr>
          <w:rFonts w:hint="eastAsia" w:ascii="宋体" w:hAnsi="宋体"/>
        </w:rPr>
        <w:t>。</w:t>
      </w:r>
    </w:p>
    <w:p>
      <w:pPr>
        <w:ind w:firstLine="420" w:firstLineChars="200"/>
        <w:rPr>
          <w:rFonts w:ascii="宋体" w:hAnsi="宋体"/>
        </w:rPr>
      </w:pPr>
      <w:r>
        <w:rPr>
          <w:rFonts w:hint="eastAsia" w:ascii="宋体" w:hAnsi="宋体"/>
        </w:rPr>
        <w:t>9.5.3电器性能与指标要求：</w:t>
      </w:r>
    </w:p>
    <w:p>
      <w:pPr>
        <w:ind w:firstLine="420" w:firstLineChars="200"/>
        <w:rPr>
          <w:rFonts w:ascii="宋体" w:hAnsi="宋体"/>
        </w:rPr>
      </w:pPr>
      <w:r>
        <w:rPr>
          <w:rFonts w:hint="eastAsia" w:ascii="宋体" w:hAnsi="宋体"/>
          <w:lang w:val="zh-CN"/>
        </w:rPr>
        <w:t>●</w:t>
      </w:r>
      <w:r>
        <w:rPr>
          <w:rFonts w:hint="eastAsia" w:ascii="宋体" w:hAnsi="宋体"/>
        </w:rPr>
        <w:t>产品自发光显示系统须采用低功耗支撑技术，系统平均功耗&lt;2W。</w:t>
      </w:r>
    </w:p>
    <w:p>
      <w:pPr>
        <w:ind w:firstLine="420" w:firstLineChars="200"/>
        <w:rPr>
          <w:rFonts w:ascii="宋体" w:hAnsi="宋体"/>
        </w:rPr>
      </w:pPr>
      <w:r>
        <w:rPr>
          <w:rFonts w:hint="eastAsia" w:ascii="宋体" w:hAnsi="宋体"/>
          <w:lang w:val="zh-CN"/>
        </w:rPr>
        <w:t>●</w:t>
      </w:r>
      <w:r>
        <w:rPr>
          <w:rFonts w:hint="eastAsia" w:ascii="宋体" w:hAnsi="宋体"/>
        </w:rPr>
        <w:t>采用太阳能供电系统，光伏控制器须具有过充保护、过放保护、防逆充保护、极性反接保护等安全防护功能。符合GB/T24716规定的要求。</w:t>
      </w:r>
    </w:p>
    <w:p>
      <w:pPr>
        <w:ind w:firstLine="420" w:firstLineChars="200"/>
        <w:rPr>
          <w:rFonts w:ascii="宋体" w:hAnsi="宋体"/>
        </w:rPr>
      </w:pPr>
      <w:r>
        <w:rPr>
          <w:rFonts w:hint="eastAsia" w:ascii="宋体" w:hAnsi="宋体"/>
          <w:lang w:val="zh-CN"/>
        </w:rPr>
        <w:t>●</w:t>
      </w:r>
      <w:r>
        <w:rPr>
          <w:rFonts w:hint="eastAsia" w:ascii="宋体" w:hAnsi="宋体"/>
        </w:rPr>
        <w:t>光伏太阳能板为18V/12W（标志类）或9V/3W（警示柱类）。</w:t>
      </w:r>
    </w:p>
    <w:p>
      <w:pPr>
        <w:ind w:firstLine="420" w:firstLineChars="200"/>
        <w:rPr>
          <w:rFonts w:ascii="宋体" w:hAnsi="宋体"/>
        </w:rPr>
      </w:pPr>
      <w:r>
        <w:rPr>
          <w:rFonts w:hint="eastAsia" w:ascii="宋体" w:hAnsi="宋体"/>
          <w:lang w:val="zh-CN"/>
        </w:rPr>
        <w:t>●</w:t>
      </w:r>
      <w:r>
        <w:rPr>
          <w:rFonts w:hint="eastAsia" w:ascii="宋体" w:hAnsi="宋体"/>
        </w:rPr>
        <w:t>显示系统电器供电为DC12V或DC6V。平均工作电流100至300mA。</w:t>
      </w:r>
    </w:p>
    <w:p>
      <w:pPr>
        <w:ind w:firstLine="420" w:firstLineChars="200"/>
        <w:rPr>
          <w:rFonts w:ascii="宋体" w:hAnsi="宋体"/>
        </w:rPr>
      </w:pPr>
      <w:bookmarkStart w:id="35" w:name="_Toc488692639"/>
      <w:bookmarkStart w:id="36" w:name="_Toc490061650"/>
      <w:r>
        <w:rPr>
          <w:rFonts w:hint="eastAsia" w:ascii="宋体" w:hAnsi="宋体"/>
        </w:rPr>
        <w:t>用于供电系统的蓄电池，额定容量应满足设备正常工作120h。</w:t>
      </w:r>
      <w:bookmarkEnd w:id="35"/>
      <w:bookmarkEnd w:id="36"/>
      <w:bookmarkStart w:id="37" w:name="_Toc57804433"/>
      <w:bookmarkStart w:id="38" w:name="_Toc57707526"/>
    </w:p>
    <w:p>
      <w:pPr>
        <w:ind w:firstLine="420" w:firstLineChars="200"/>
        <w:rPr>
          <w:rFonts w:ascii="宋体" w:hAnsi="宋体"/>
        </w:rPr>
      </w:pPr>
      <w:bookmarkStart w:id="39" w:name="_Toc490061651"/>
      <w:bookmarkStart w:id="40" w:name="_Toc488692640"/>
      <w:r>
        <w:rPr>
          <w:rFonts w:hint="eastAsia" w:ascii="宋体" w:hAnsi="宋体"/>
        </w:rPr>
        <w:t>9.5.4环境适应性能</w:t>
      </w:r>
      <w:bookmarkEnd w:id="37"/>
      <w:bookmarkEnd w:id="38"/>
      <w:bookmarkStart w:id="41" w:name="_Toc57804434"/>
      <w:r>
        <w:rPr>
          <w:rFonts w:hint="eastAsia" w:ascii="宋体" w:hAnsi="宋体"/>
        </w:rPr>
        <w:t>要求：</w:t>
      </w:r>
      <w:bookmarkEnd w:id="39"/>
      <w:bookmarkEnd w:id="40"/>
    </w:p>
    <w:p>
      <w:pPr>
        <w:ind w:firstLine="420" w:firstLineChars="200"/>
        <w:rPr>
          <w:rFonts w:ascii="宋体" w:hAnsi="宋体"/>
        </w:rPr>
      </w:pPr>
      <w:r>
        <w:rPr>
          <w:rFonts w:hint="eastAsia" w:ascii="宋体" w:hAnsi="宋体"/>
          <w:lang w:val="zh-CN"/>
        </w:rPr>
        <w:t>●</w:t>
      </w:r>
      <w:r>
        <w:rPr>
          <w:rFonts w:hint="eastAsia" w:ascii="宋体" w:hAnsi="宋体"/>
        </w:rPr>
        <w:t>耐低温性能</w:t>
      </w:r>
      <w:bookmarkEnd w:id="41"/>
      <w:bookmarkStart w:id="42" w:name="_Toc57789170"/>
      <w:bookmarkStart w:id="43" w:name="_Toc57804435"/>
      <w:r>
        <w:rPr>
          <w:rFonts w:hint="eastAsia" w:ascii="宋体" w:hAnsi="宋体"/>
        </w:rPr>
        <w:t>：通电工作状态下，在</w:t>
      </w:r>
      <w:r>
        <w:rPr>
          <w:rFonts w:ascii="宋体" w:hAnsi="宋体"/>
        </w:rPr>
        <w:t>-20</w:t>
      </w:r>
      <w:r>
        <w:rPr>
          <w:rFonts w:hint="eastAsia" w:ascii="宋体" w:hAnsi="宋体"/>
        </w:rPr>
        <w:t>℃环境温度下，应能正常工作，外观应无明显变形、损伤。</w:t>
      </w:r>
      <w:bookmarkEnd w:id="42"/>
      <w:bookmarkEnd w:id="43"/>
    </w:p>
    <w:p>
      <w:pPr>
        <w:ind w:firstLine="420" w:firstLineChars="200"/>
        <w:rPr>
          <w:rFonts w:ascii="宋体" w:hAnsi="宋体"/>
        </w:rPr>
      </w:pPr>
      <w:r>
        <w:rPr>
          <w:rFonts w:hint="eastAsia" w:ascii="宋体" w:hAnsi="宋体"/>
          <w:lang w:val="zh-CN"/>
        </w:rPr>
        <w:t>●</w:t>
      </w:r>
      <w:r>
        <w:rPr>
          <w:rFonts w:hint="eastAsia" w:ascii="宋体" w:hAnsi="宋体"/>
        </w:rPr>
        <w:t>耐高温性能：通电工作状态下，在</w:t>
      </w:r>
      <w:r>
        <w:rPr>
          <w:rFonts w:ascii="宋体" w:hAnsi="宋体"/>
        </w:rPr>
        <w:t>+</w:t>
      </w:r>
      <w:r>
        <w:rPr>
          <w:rFonts w:hint="eastAsia" w:ascii="宋体" w:hAnsi="宋体"/>
        </w:rPr>
        <w:t>70℃环境温度下应能正常工作，外观应无明显变形、损伤。</w:t>
      </w:r>
    </w:p>
    <w:p>
      <w:pPr>
        <w:ind w:firstLine="420" w:firstLineChars="200"/>
        <w:rPr>
          <w:rFonts w:ascii="宋体" w:hAnsi="宋体"/>
        </w:rPr>
      </w:pPr>
      <w:bookmarkStart w:id="44" w:name="_Toc488692641"/>
      <w:bookmarkStart w:id="45" w:name="_Toc490061652"/>
      <w:r>
        <w:rPr>
          <w:rFonts w:hint="eastAsia" w:ascii="宋体" w:hAnsi="宋体"/>
          <w:lang w:val="zh-CN"/>
        </w:rPr>
        <w:t>●</w:t>
      </w:r>
      <w:r>
        <w:rPr>
          <w:rFonts w:hint="eastAsia" w:ascii="宋体" w:hAnsi="宋体"/>
        </w:rPr>
        <w:t>耐湿热性能：通电工作状态下，在温度+40℃，相对湿度（98</w:t>
      </w:r>
      <w:r>
        <w:rPr>
          <w:rFonts w:hint="eastAsia" w:ascii="宋体" w:hAnsi="宋体"/>
        </w:rPr>
        <w:sym w:font="Symbol" w:char="F0B1"/>
      </w:r>
      <w:r>
        <w:rPr>
          <w:rFonts w:hint="eastAsia" w:ascii="宋体" w:hAnsi="宋体"/>
        </w:rPr>
        <w:t>2)％RH条件下，应能正常工作，外观应无明显变形、损伤。</w:t>
      </w:r>
      <w:bookmarkEnd w:id="44"/>
      <w:bookmarkEnd w:id="45"/>
    </w:p>
    <w:p>
      <w:pPr>
        <w:ind w:firstLine="420" w:firstLineChars="200"/>
        <w:rPr>
          <w:rFonts w:ascii="宋体" w:hAnsi="宋体"/>
        </w:rPr>
      </w:pPr>
      <w:bookmarkStart w:id="46" w:name="_Toc490061653"/>
      <w:bookmarkStart w:id="47" w:name="_Toc488692642"/>
      <w:r>
        <w:rPr>
          <w:rFonts w:hint="eastAsia" w:ascii="宋体" w:hAnsi="宋体"/>
        </w:rPr>
        <w:t>9.5.5机械性能要求：</w:t>
      </w:r>
      <w:bookmarkEnd w:id="46"/>
      <w:bookmarkEnd w:id="47"/>
    </w:p>
    <w:p>
      <w:pPr>
        <w:ind w:firstLine="420" w:firstLineChars="200"/>
        <w:rPr>
          <w:rFonts w:ascii="宋体" w:hAnsi="宋体"/>
        </w:rPr>
      </w:pPr>
      <w:bookmarkStart w:id="48" w:name="_Toc490061654"/>
      <w:bookmarkStart w:id="49" w:name="_Toc488692643"/>
      <w:r>
        <w:rPr>
          <w:rFonts w:hint="eastAsia" w:ascii="宋体" w:hAnsi="宋体"/>
          <w:lang w:val="zh-CN"/>
        </w:rPr>
        <w:t>●</w:t>
      </w:r>
      <w:r>
        <w:rPr>
          <w:rFonts w:hint="eastAsia" w:ascii="宋体" w:hAnsi="宋体"/>
        </w:rPr>
        <w:t>具有较好的抗振动性能，当通电工作时，在振动频率2</w:t>
      </w:r>
      <w:r>
        <w:rPr>
          <w:rFonts w:ascii="宋体" w:hAnsi="宋体"/>
        </w:rPr>
        <w:t>Hz</w:t>
      </w:r>
      <w:r>
        <w:rPr>
          <w:rFonts w:hint="eastAsia" w:ascii="宋体" w:hAnsi="宋体"/>
        </w:rPr>
        <w:t>～</w:t>
      </w:r>
      <w:r>
        <w:rPr>
          <w:rFonts w:ascii="宋体" w:hAnsi="宋体"/>
        </w:rPr>
        <w:t>150Hz</w:t>
      </w:r>
      <w:r>
        <w:rPr>
          <w:rFonts w:hint="eastAsia" w:ascii="宋体" w:hAnsi="宋体"/>
        </w:rPr>
        <w:t>的范围内仍能正常工作且结构无损伤变形，零部件无松动。</w:t>
      </w:r>
      <w:bookmarkEnd w:id="48"/>
      <w:bookmarkEnd w:id="49"/>
    </w:p>
    <w:p>
      <w:pPr>
        <w:ind w:firstLine="420" w:firstLineChars="200"/>
        <w:rPr>
          <w:rFonts w:ascii="宋体" w:hAnsi="宋体"/>
        </w:rPr>
      </w:pPr>
      <w:bookmarkStart w:id="50" w:name="_Toc57707527"/>
      <w:bookmarkStart w:id="51" w:name="_Toc57804436"/>
      <w:bookmarkStart w:id="52" w:name="_Toc488692644"/>
      <w:bookmarkStart w:id="53" w:name="_Toc490061655"/>
      <w:r>
        <w:rPr>
          <w:rFonts w:hint="eastAsia" w:ascii="宋体" w:hAnsi="宋体"/>
          <w:lang w:val="zh-CN"/>
        </w:rPr>
        <w:t>●</w:t>
      </w:r>
      <w:r>
        <w:rPr>
          <w:rFonts w:hint="eastAsia" w:ascii="宋体" w:hAnsi="宋体"/>
        </w:rPr>
        <w:t>防护等级：具备防水、防尘措施，外壳防护等级达到IP55级。</w:t>
      </w:r>
      <w:bookmarkEnd w:id="50"/>
      <w:bookmarkEnd w:id="51"/>
      <w:bookmarkEnd w:id="52"/>
      <w:bookmarkEnd w:id="53"/>
    </w:p>
    <w:p>
      <w:pPr>
        <w:ind w:firstLine="420" w:firstLineChars="200"/>
        <w:rPr>
          <w:rFonts w:ascii="宋体" w:hAnsi="宋体"/>
        </w:rPr>
      </w:pPr>
      <w:r>
        <w:rPr>
          <w:rFonts w:hint="eastAsia" w:ascii="宋体" w:hAnsi="宋体"/>
          <w:lang w:val="zh-CN"/>
        </w:rPr>
        <w:t>●</w:t>
      </w:r>
      <w:r>
        <w:rPr>
          <w:rFonts w:hint="eastAsia" w:ascii="宋体" w:hAnsi="宋体"/>
        </w:rPr>
        <w:t>结构指标：外框材质应选用6063-T5工业级高强铝合金型材，表面银白氧化处理，所有紧固件选用SUS304不锈钢。</w:t>
      </w:r>
    </w:p>
    <w:p>
      <w:pPr>
        <w:ind w:firstLine="420" w:firstLineChars="200"/>
        <w:rPr>
          <w:rFonts w:ascii="宋体" w:hAnsi="宋体"/>
        </w:rPr>
      </w:pPr>
      <w:bookmarkStart w:id="54" w:name="_Toc488692645"/>
      <w:bookmarkStart w:id="55" w:name="_Toc490061656"/>
      <w:r>
        <w:rPr>
          <w:rFonts w:hint="eastAsia" w:ascii="宋体" w:hAnsi="宋体"/>
          <w:lang w:val="zh-CN"/>
        </w:rPr>
        <w:t>●</w:t>
      </w:r>
      <w:r>
        <w:rPr>
          <w:rFonts w:ascii="宋体" w:hAnsi="宋体"/>
        </w:rPr>
        <w:t>可靠性</w:t>
      </w:r>
      <w:r>
        <w:rPr>
          <w:rFonts w:hint="eastAsia" w:ascii="宋体" w:hAnsi="宋体"/>
        </w:rPr>
        <w:t>能：除蓄电池外，整体</w:t>
      </w:r>
      <w:r>
        <w:rPr>
          <w:rFonts w:ascii="宋体" w:hAnsi="宋体"/>
        </w:rPr>
        <w:t>产品平均无故障时间</w:t>
      </w:r>
      <w:r>
        <w:rPr>
          <w:rFonts w:hint="eastAsia" w:ascii="宋体" w:hAnsi="宋体"/>
        </w:rPr>
        <w:t>（MTBF)</w:t>
      </w:r>
      <w:r>
        <w:rPr>
          <w:rFonts w:ascii="宋体" w:hAnsi="宋体"/>
        </w:rPr>
        <w:t>应不小于</w:t>
      </w:r>
      <w:r>
        <w:rPr>
          <w:rFonts w:hint="eastAsia" w:ascii="宋体" w:hAnsi="宋体"/>
        </w:rPr>
        <w:t>25</w:t>
      </w:r>
      <w:r>
        <w:rPr>
          <w:rFonts w:ascii="宋体" w:hAnsi="宋体"/>
        </w:rPr>
        <w:t>000h。</w:t>
      </w:r>
      <w:bookmarkEnd w:id="54"/>
      <w:bookmarkEnd w:id="55"/>
    </w:p>
    <w:p>
      <w:pPr>
        <w:ind w:firstLine="422" w:firstLineChars="200"/>
        <w:rPr>
          <w:rFonts w:ascii="宋体" w:hAnsi="宋体"/>
          <w:b/>
          <w:bCs/>
        </w:rPr>
      </w:pPr>
      <w:bookmarkStart w:id="56" w:name="_Toc490061657"/>
      <w:bookmarkStart w:id="57" w:name="_Toc488692646"/>
      <w:r>
        <w:rPr>
          <w:rFonts w:hint="eastAsia" w:ascii="宋体" w:hAnsi="宋体"/>
          <w:b/>
          <w:bCs/>
        </w:rPr>
        <w:t>9.6产品尺寸规格要求</w:t>
      </w:r>
      <w:bookmarkEnd w:id="56"/>
      <w:bookmarkEnd w:id="57"/>
    </w:p>
    <w:tbl>
      <w:tblPr>
        <w:tblStyle w:val="53"/>
        <w:tblW w:w="0" w:type="auto"/>
        <w:tblInd w:w="93" w:type="dxa"/>
        <w:tblLayout w:type="fixed"/>
        <w:tblCellMar>
          <w:top w:w="0" w:type="dxa"/>
          <w:left w:w="108" w:type="dxa"/>
          <w:bottom w:w="0" w:type="dxa"/>
          <w:right w:w="108" w:type="dxa"/>
        </w:tblCellMar>
      </w:tblPr>
      <w:tblGrid>
        <w:gridCol w:w="1983"/>
        <w:gridCol w:w="1476"/>
        <w:gridCol w:w="836"/>
        <w:gridCol w:w="682"/>
        <w:gridCol w:w="708"/>
        <w:gridCol w:w="985"/>
        <w:gridCol w:w="2559"/>
      </w:tblGrid>
      <w:tr>
        <w:tblPrEx>
          <w:tblCellMar>
            <w:top w:w="0" w:type="dxa"/>
            <w:left w:w="108" w:type="dxa"/>
            <w:bottom w:w="0" w:type="dxa"/>
            <w:right w:w="108" w:type="dxa"/>
          </w:tblCellMar>
        </w:tblPrEx>
        <w:trPr>
          <w:wBefore w:w="0" w:type="dxa"/>
          <w:trHeight w:val="240" w:hRule="atLeast"/>
        </w:trPr>
        <w:tc>
          <w:tcPr>
            <w:tcW w:w="1983" w:type="dxa"/>
            <w:vMerge w:val="restart"/>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产品名称</w:t>
            </w:r>
          </w:p>
        </w:tc>
        <w:tc>
          <w:tcPr>
            <w:tcW w:w="1476" w:type="dxa"/>
            <w:vMerge w:val="restart"/>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型号</w:t>
            </w:r>
          </w:p>
        </w:tc>
        <w:tc>
          <w:tcPr>
            <w:tcW w:w="2226" w:type="dxa"/>
            <w:gridSpan w:val="3"/>
            <w:tcBorders>
              <w:top w:val="single" w:color="auto" w:sz="4" w:space="0"/>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规格尺寸（mm)</w:t>
            </w:r>
          </w:p>
        </w:tc>
        <w:tc>
          <w:tcPr>
            <w:tcW w:w="985" w:type="dxa"/>
            <w:vMerge w:val="restart"/>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辅助标志配置</w:t>
            </w:r>
          </w:p>
        </w:tc>
        <w:tc>
          <w:tcPr>
            <w:tcW w:w="2559" w:type="dxa"/>
            <w:vMerge w:val="restart"/>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应用说明</w:t>
            </w: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476" w:type="dxa"/>
            <w:vMerge w:val="continue"/>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高</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宽</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厚</w:t>
            </w:r>
          </w:p>
        </w:tc>
        <w:tc>
          <w:tcPr>
            <w:tcW w:w="985" w:type="dxa"/>
            <w:vMerge w:val="continue"/>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2559" w:type="dxa"/>
            <w:vMerge w:val="continue"/>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restart"/>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机动车中心隔离警示桩</w:t>
            </w: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JSZ-30160-JF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1600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300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220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有</w:t>
            </w:r>
          </w:p>
        </w:tc>
        <w:tc>
          <w:tcPr>
            <w:tcW w:w="2559" w:type="dxa"/>
            <w:vMerge w:val="restart"/>
            <w:tcBorders>
              <w:top w:val="nil"/>
              <w:left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适应道路硬隔离墩或隔离护栏端头警示安装，辅助标志支持双面显示。</w:t>
            </w: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JSZ-26140-JF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1400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260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220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有</w:t>
            </w:r>
          </w:p>
        </w:tc>
        <w:tc>
          <w:tcPr>
            <w:tcW w:w="2559" w:type="dxa"/>
            <w:vMerge w:val="continue"/>
            <w:tcBorders>
              <w:left w:val="single" w:color="auto" w:sz="4" w:space="0"/>
              <w:right w:val="single" w:color="auto" w:sz="4" w:space="0"/>
            </w:tcBorders>
            <w:noWrap w:val="0"/>
            <w:vAlign w:val="center"/>
          </w:tcPr>
          <w:p>
            <w:pPr>
              <w:spacing w:after="60" w:afterLines="25" w:line="360" w:lineRule="exact"/>
              <w:jc w:val="center"/>
              <w:rPr>
                <w:rFonts w:ascii="宋体" w:hAnsi="宋体"/>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restart"/>
            <w:tcBorders>
              <w:top w:val="nil"/>
              <w:left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机非隔离墩警示桩</w:t>
            </w: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JSZ-26140-JF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1400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260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220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有</w:t>
            </w:r>
          </w:p>
        </w:tc>
        <w:tc>
          <w:tcPr>
            <w:tcW w:w="2559" w:type="dxa"/>
            <w:vMerge w:val="continue"/>
            <w:tcBorders>
              <w:left w:val="single" w:color="auto" w:sz="4" w:space="0"/>
              <w:right w:val="single" w:color="auto" w:sz="4" w:space="0"/>
            </w:tcBorders>
            <w:noWrap w:val="0"/>
            <w:vAlign w:val="center"/>
          </w:tcPr>
          <w:p>
            <w:pPr>
              <w:spacing w:after="60" w:afterLines="25" w:line="360" w:lineRule="exact"/>
              <w:jc w:val="center"/>
              <w:rPr>
                <w:rFonts w:ascii="宋体" w:hAnsi="宋体"/>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JSZ-22120-JF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1200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220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220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有</w:t>
            </w:r>
          </w:p>
        </w:tc>
        <w:tc>
          <w:tcPr>
            <w:tcW w:w="2559" w:type="dxa"/>
            <w:vMerge w:val="continue"/>
            <w:tcBorders>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restart"/>
            <w:tcBorders>
              <w:top w:val="nil"/>
              <w:left w:val="single" w:color="auto" w:sz="4" w:space="0"/>
              <w:bottom w:val="single" w:color="000000"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交通警示标志（支持规格、标志图案的定制）</w:t>
            </w: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MZ-ZS6080</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600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600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30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无文字</w:t>
            </w:r>
          </w:p>
        </w:tc>
        <w:tc>
          <w:tcPr>
            <w:tcW w:w="2559" w:type="dxa"/>
            <w:vMerge w:val="restart"/>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适应大型路口的安全岛、隔离绿化带岛头、安全敏感地带的警示安装应用</w:t>
            </w: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top w:val="nil"/>
              <w:left w:val="single" w:color="auto" w:sz="4" w:space="0"/>
              <w:bottom w:val="single" w:color="000000" w:sz="4" w:space="0"/>
              <w:right w:val="single" w:color="auto" w:sz="4" w:space="0"/>
            </w:tcBorders>
            <w:noWrap w:val="0"/>
            <w:vAlign w:val="center"/>
          </w:tcPr>
          <w:p>
            <w:pPr>
              <w:spacing w:after="60" w:afterLines="25" w:line="360" w:lineRule="exact"/>
              <w:jc w:val="center"/>
              <w:rPr>
                <w:rFonts w:ascii="宋体" w:hAnsi="宋体"/>
              </w:rPr>
            </w:pP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MZ-ZS6080</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800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600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30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有文字</w:t>
            </w:r>
          </w:p>
        </w:tc>
        <w:tc>
          <w:tcPr>
            <w:tcW w:w="2559" w:type="dxa"/>
            <w:vMerge w:val="continue"/>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r>
      <w:tr>
        <w:tblPrEx>
          <w:tblCellMar>
            <w:top w:w="0" w:type="dxa"/>
            <w:left w:w="108" w:type="dxa"/>
            <w:bottom w:w="0" w:type="dxa"/>
            <w:right w:w="108" w:type="dxa"/>
          </w:tblCellMar>
        </w:tblPrEx>
        <w:trPr>
          <w:wBefore w:w="0" w:type="dxa"/>
          <w:wAfter w:w="0" w:type="dxa"/>
          <w:trHeight w:val="240" w:hRule="atLeast"/>
        </w:trPr>
        <w:tc>
          <w:tcPr>
            <w:tcW w:w="1983" w:type="dxa"/>
            <w:vMerge w:val="continue"/>
            <w:tcBorders>
              <w:top w:val="nil"/>
              <w:left w:val="single" w:color="auto" w:sz="4" w:space="0"/>
              <w:bottom w:val="single" w:color="000000" w:sz="4" w:space="0"/>
              <w:right w:val="single" w:color="auto" w:sz="4" w:space="0"/>
            </w:tcBorders>
            <w:noWrap w:val="0"/>
            <w:vAlign w:val="center"/>
          </w:tcPr>
          <w:p>
            <w:pPr>
              <w:spacing w:after="60" w:afterLines="25" w:line="360" w:lineRule="exact"/>
              <w:jc w:val="center"/>
              <w:rPr>
                <w:rFonts w:ascii="宋体" w:hAnsi="宋体"/>
              </w:rPr>
            </w:pP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MZ-ZS8080</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800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800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30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无文字</w:t>
            </w:r>
          </w:p>
        </w:tc>
        <w:tc>
          <w:tcPr>
            <w:tcW w:w="2559" w:type="dxa"/>
            <w:vMerge w:val="continue"/>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r>
      <w:tr>
        <w:tblPrEx>
          <w:tblCellMar>
            <w:top w:w="0" w:type="dxa"/>
            <w:left w:w="108" w:type="dxa"/>
            <w:bottom w:w="0" w:type="dxa"/>
            <w:right w:w="108" w:type="dxa"/>
          </w:tblCellMar>
        </w:tblPrEx>
        <w:trPr>
          <w:wBefore w:w="0" w:type="dxa"/>
          <w:wAfter w:w="0" w:type="dxa"/>
          <w:trHeight w:val="480" w:hRule="atLeast"/>
        </w:trPr>
        <w:tc>
          <w:tcPr>
            <w:tcW w:w="1983" w:type="dxa"/>
            <w:tcBorders>
              <w:top w:val="nil"/>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警示柱</w:t>
            </w:r>
          </w:p>
        </w:tc>
        <w:tc>
          <w:tcPr>
            <w:tcW w:w="147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JSZ-28180-JF</w:t>
            </w:r>
          </w:p>
        </w:tc>
        <w:tc>
          <w:tcPr>
            <w:tcW w:w="836"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1800</w:t>
            </w:r>
          </w:p>
        </w:tc>
        <w:tc>
          <w:tcPr>
            <w:tcW w:w="682"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280</w:t>
            </w:r>
          </w:p>
        </w:tc>
        <w:tc>
          <w:tcPr>
            <w:tcW w:w="708"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40</w:t>
            </w:r>
          </w:p>
        </w:tc>
        <w:tc>
          <w:tcPr>
            <w:tcW w:w="985"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无</w:t>
            </w:r>
          </w:p>
        </w:tc>
        <w:tc>
          <w:tcPr>
            <w:tcW w:w="2559" w:type="dxa"/>
            <w:tcBorders>
              <w:top w:val="nil"/>
              <w:left w:val="nil"/>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适应绿化岛岛头警示安装，与交通标志配合使用</w:t>
            </w:r>
          </w:p>
        </w:tc>
      </w:tr>
    </w:tbl>
    <w:p>
      <w:pPr>
        <w:ind w:firstLine="422" w:firstLineChars="200"/>
        <w:rPr>
          <w:rFonts w:ascii="宋体" w:hAnsi="宋体"/>
          <w:b/>
          <w:bCs/>
          <w:szCs w:val="21"/>
        </w:rPr>
      </w:pPr>
      <w:r>
        <w:rPr>
          <w:rFonts w:hint="eastAsia" w:ascii="宋体" w:hAnsi="宋体"/>
          <w:b/>
          <w:bCs/>
          <w:szCs w:val="21"/>
        </w:rPr>
        <w:t>机动车中心隔离墩警示桩选型\安装信息图示：</w:t>
      </w:r>
    </w:p>
    <w:p>
      <w:pPr>
        <w:rPr>
          <w:rFonts w:ascii="宋体" w:hAnsi="宋体"/>
        </w:rPr>
      </w:pPr>
      <w:r>
        <w:rPr>
          <w:rFonts w:ascii="宋体" w:hAnsi="宋体"/>
        </w:rPr>
        <w:drawing>
          <wp:inline distT="0" distB="0" distL="114300" distR="114300">
            <wp:extent cx="5676900" cy="2685415"/>
            <wp:effectExtent l="0" t="0" r="0" b="635"/>
            <wp:docPr id="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
                    <pic:cNvPicPr>
                      <a:picLocks noChangeAspect="1"/>
                    </pic:cNvPicPr>
                  </pic:nvPicPr>
                  <pic:blipFill>
                    <a:blip r:embed="rId39"/>
                    <a:stretch>
                      <a:fillRect/>
                    </a:stretch>
                  </pic:blipFill>
                  <pic:spPr>
                    <a:xfrm>
                      <a:off x="0" y="0"/>
                      <a:ext cx="5676900" cy="2685415"/>
                    </a:xfrm>
                    <a:prstGeom prst="rect">
                      <a:avLst/>
                    </a:prstGeom>
                    <a:noFill/>
                    <a:ln>
                      <a:noFill/>
                    </a:ln>
                  </pic:spPr>
                </pic:pic>
              </a:graphicData>
            </a:graphic>
          </wp:inline>
        </w:drawing>
      </w:r>
    </w:p>
    <w:p>
      <w:pPr>
        <w:ind w:firstLine="422" w:firstLineChars="200"/>
        <w:rPr>
          <w:rFonts w:ascii="宋体" w:hAnsi="宋体"/>
          <w:b/>
          <w:bCs/>
          <w:szCs w:val="21"/>
        </w:rPr>
      </w:pPr>
      <w:r>
        <w:rPr>
          <w:rFonts w:hint="eastAsia" w:ascii="宋体" w:hAnsi="宋体"/>
          <w:b/>
          <w:bCs/>
          <w:szCs w:val="21"/>
        </w:rPr>
        <w:t>10、三图文待驶区提示屏技术要求</w:t>
      </w:r>
    </w:p>
    <w:p>
      <w:pPr>
        <w:ind w:firstLine="422" w:firstLineChars="200"/>
        <w:rPr>
          <w:rFonts w:ascii="宋体" w:hAnsi="宋体"/>
          <w:szCs w:val="21"/>
        </w:rPr>
      </w:pPr>
      <w:r>
        <w:rPr>
          <w:rFonts w:hint="eastAsia" w:ascii="宋体" w:hAnsi="宋体"/>
          <w:b/>
          <w:bCs/>
          <w:szCs w:val="21"/>
        </w:rPr>
        <w:t>10.</w:t>
      </w:r>
      <w:r>
        <w:rPr>
          <w:rFonts w:ascii="宋体" w:hAnsi="宋体"/>
          <w:b/>
          <w:bCs/>
          <w:szCs w:val="21"/>
        </w:rPr>
        <w:t>1</w:t>
      </w:r>
      <w:r>
        <w:rPr>
          <w:rFonts w:hint="eastAsia" w:ascii="宋体" w:hAnsi="宋体"/>
          <w:szCs w:val="21"/>
        </w:rPr>
        <w:t>路口遇堵不得进入/左转进入待行区/直行进入待行区（3文字待行区）</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8624" w:type="dxa"/>
            <w:noWrap w:val="0"/>
            <w:vAlign w:val="top"/>
          </w:tcPr>
          <w:p>
            <w:pPr>
              <w:spacing w:after="60" w:afterLines="25" w:line="360" w:lineRule="exact"/>
              <w:ind w:firstLine="420" w:firstLineChars="200"/>
              <w:rPr>
                <w:rFonts w:ascii="宋体" w:hAnsi="宋体"/>
              </w:rPr>
            </w:pPr>
            <w:r>
              <w:rPr>
                <w:rFonts w:ascii="宋体" w:hAnsi="宋体"/>
              </w:rPr>
              <w:pict>
                <v:group id="组合 167" o:spid="_x0000_s1048" o:spt="203" style="position:absolute;left:0pt;margin-left:91pt;margin-top:12.55pt;height:31.2pt;width:225pt;z-index:251660288;mso-width-relative:page;mso-height-relative:page;" coordorigin="2592,15246" coordsize="4500,624">
                  <o:lock v:ext="edit" rotation="f"/>
                  <v:rect id="矩形 168" o:spid="_x0000_s1049" o:spt="1" style="position:absolute;left:2592;top:15246;height:624;width:4500;" fillcolor="#000000" coordsize="21600,21600">
                    <v:path/>
                    <v:fill focussize="0,0"/>
                    <v:stroke weight="1pt"/>
                    <v:imagedata o:title=""/>
                    <o:lock v:ext="edit"/>
                  </v:rect>
                  <v:shape id="艺术字 169" o:spid="_x0000_s1050" o:spt="136" type="#_x0000_t136" style="position:absolute;left:2694;top:15350;height:439;width:3708;" fillcolor="#FFFF00" coordsize="21600,21600">
                    <v:path/>
                    <v:fill focussize="0,0"/>
                    <v:stroke color="#FFFF00"/>
                    <v:imagedata o:title=""/>
                    <o:lock v:ext="edit"/>
                    <v:textpath on="t" fitshape="t" fitpath="t" trim="t" xscale="f" string="路口遇堵不得进入" style="font-family:宋体;font-size:36pt;font-weight:bold;v-text-align:center;"/>
                  </v:shape>
                </v:group>
              </w:pict>
            </w:r>
          </w:p>
          <w:p>
            <w:pPr>
              <w:spacing w:after="60" w:afterLines="25" w:line="360" w:lineRule="exact"/>
              <w:ind w:firstLine="420" w:firstLineChars="200"/>
              <w:rPr>
                <w:rFonts w:ascii="宋体" w:hAnsi="宋体"/>
              </w:rPr>
            </w:pPr>
            <w:r>
              <w:rPr>
                <w:rFonts w:hint="eastAsia" w:ascii="宋体" w:hAnsi="宋体"/>
              </w:rPr>
              <w:t>文字1</w:t>
            </w:r>
          </w:p>
          <w:p>
            <w:pPr>
              <w:spacing w:after="60" w:afterLines="25" w:line="360" w:lineRule="exact"/>
              <w:ind w:firstLine="420" w:firstLineChars="200"/>
              <w:rPr>
                <w:rFonts w:hint="eastAsia"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8624" w:type="dxa"/>
            <w:noWrap w:val="0"/>
            <w:vAlign w:val="top"/>
          </w:tcPr>
          <w:p>
            <w:pPr>
              <w:spacing w:after="60" w:afterLines="25" w:line="360" w:lineRule="exact"/>
              <w:ind w:firstLine="420" w:firstLineChars="200"/>
              <w:rPr>
                <w:rFonts w:ascii="宋体" w:hAnsi="宋体"/>
              </w:rPr>
            </w:pPr>
            <w:r>
              <w:rPr>
                <w:rFonts w:ascii="宋体" w:hAnsi="宋体"/>
              </w:rPr>
              <w:pict>
                <v:group id="组合 145" o:spid="_x0000_s1026" o:spt="203" style="position:absolute;left:0pt;margin-left:89.75pt;margin-top:16.4pt;height:31.2pt;width:225pt;z-index:251659264;mso-width-relative:page;mso-height-relative:page;" coordorigin="1542,3852" coordsize="4500,624">
                  <o:lock v:ext="edit"/>
                  <v:rect id="矩形 146" o:spid="_x0000_s1027" o:spt="1" style="position:absolute;left:1542;top:3852;height:624;width:4500;" fillcolor="#000000" coordsize="21600,21600">
                    <v:path/>
                    <v:fill focussize="0,0"/>
                    <v:stroke weight="1pt"/>
                    <v:imagedata o:title=""/>
                    <o:lock v:ext="edit"/>
                  </v:rect>
                  <v:shape id="艺术字 147" o:spid="_x0000_s1028" o:spt="136" type="#_x0000_t136" style="position:absolute;left:1644;top:3956;height:439;width:3220;" fillcolor="#00FF00" coordsize="21600,21600">
                    <v:path/>
                    <v:fill focussize="0,0"/>
                    <v:stroke color="#00FF00"/>
                    <v:imagedata o:title=""/>
                    <o:lock v:ext="edit"/>
                    <v:textpath on="t" fitshape="t" fitpath="t" trim="t" xscale="f" string="直行进入待行区" style="font-family:宋体;font-size:36pt;font-weight:bold;v-text-align:center;"/>
                  </v:shape>
                  <v:shape id="任意多边形 148" o:spid="_x0000_s1029" style="position:absolute;left:5582;top:3960;height:454;width:228;" fillcolor="#00FF00" coordsize="454,792" path="m150,792hal151,266,0,400,0,200,227,0,454,200,454,400,303,266,300,792,150,792haxe">
                    <v:path arrowok="t"/>
                    <v:fill focussize="0,0"/>
                    <v:stroke weight="1pt" color="#00FF00"/>
                    <v:imagedata o:title=""/>
                    <o:lock v:ext="edit" aspectratio="t"/>
                  </v:shape>
                  <v:group id="组合 149" o:spid="_x0000_s1030" o:spt="203" style="position:absolute;left:4996;top:4025;height:301;width:454;" coordorigin="2877,10920" coordsize="540,357">
                    <o:lock v:ext="edit" aspectratio="t"/>
                    <v:shape id="椭圆 150" o:spid="_x0000_s1031" o:spt="3" type="#_x0000_t3" style="position:absolute;left:2960;top:11074;height:57;width:57;" coordsize="21600,21600">
                      <v:path/>
                      <v:fill focussize="0,0"/>
                      <v:stroke weight="1.3pt" color="#00FF00"/>
                      <v:imagedata o:title=""/>
                      <o:lock v:ext="edit" aspectratio="t"/>
                    </v:shape>
                    <v:shape id="椭圆 151" o:spid="_x0000_s1032" o:spt="3" type="#_x0000_t3" style="position:absolute;left:3285;top:11079;height:57;width:57;" coordsize="21600,21600">
                      <v:path/>
                      <v:fill focussize="0,0"/>
                      <v:stroke weight="1.3pt" color="#00FF00"/>
                      <v:imagedata o:title=""/>
                      <o:lock v:ext="edit" aspectratio="t"/>
                    </v:shape>
                    <v:shape id="任意多边形 152" o:spid="_x0000_s1033" style="position:absolute;left:2877;top:10920;height:357;width:540;" filled="f" coordsize="540,357" path="m30,117hal0,150,3,183,18,261,60,261,60,357,126,357,129,267,414,270,411,354,474,357,474,270,528,267,540,189,537,153,516,120,456,114,447,27,417,0,117,0,93,24,81,114,30,117haxe">
                      <v:path arrowok="t"/>
                      <v:fill on="f" focussize="0,0"/>
                      <v:stroke weight="1.3pt" color="#00FF00"/>
                      <v:imagedata o:title=""/>
                      <o:lock v:ext="edit" aspectratio="t"/>
                    </v:shape>
                    <v:shape id="任意多边形 153" o:spid="_x0000_s1034" style="position:absolute;left:2961;top:11025;height:18;width:369;" filled="f" coordsize="369,18" path="m0,0hbc15,2,61,12,93,15,125,18,159,18,192,18,225,18,262,18,291,15,320,12,353,3,369,0hbe">
                      <v:path arrowok="t"/>
                      <v:fill on="f" focussize="0,0"/>
                      <v:stroke weight="1.3pt" color="#00FF00"/>
                      <v:imagedata o:title=""/>
                      <o:lock v:ext="edit" aspectratio="t"/>
                    </v:shape>
                    <v:shape id="任意多边形 154" o:spid="_x0000_s1035" style="position:absolute;left:2943;top:11181;height:9;width:405;" filled="f" coordsize="405,9" path="m0,0hbc19,1,84,5,120,6,156,7,186,9,219,9,252,9,287,7,318,6,349,5,387,4,405,3hbe">
                      <v:path arrowok="t"/>
                      <v:fill on="f" focussize="0,0"/>
                      <v:stroke weight="1.3pt" color="#00FF00"/>
                      <v:imagedata o:title=""/>
                      <o:lock v:ext="edit" aspectratio="t"/>
                    </v:shape>
                    <v:shape id="任意多边形 155" o:spid="_x0000_s1036" style="position:absolute;left:3087;top:11088;height:54;width:129;" filled="f" coordsize="129,54" path="m3,0hal0,54,129,54,129,0,3,0haxe">
                      <v:path arrowok="t"/>
                      <v:fill on="f" focussize="0,0"/>
                      <v:stroke weight="1.3pt" color="#00FF00"/>
                      <v:imagedata o:title=""/>
                      <o:lock v:ext="edit" aspectratio="t"/>
                    </v:shape>
                  </v:group>
                </v:group>
              </w:pict>
            </w:r>
          </w:p>
          <w:p>
            <w:pPr>
              <w:spacing w:after="60" w:afterLines="25" w:line="360" w:lineRule="exact"/>
              <w:ind w:firstLine="420" w:firstLineChars="200"/>
              <w:rPr>
                <w:rFonts w:ascii="宋体" w:hAnsi="宋体"/>
              </w:rPr>
            </w:pPr>
            <w:r>
              <w:rPr>
                <w:rFonts w:hint="eastAsia" w:ascii="宋体" w:hAnsi="宋体"/>
              </w:rPr>
              <w:t>文字2</w:t>
            </w:r>
          </w:p>
          <w:p>
            <w:pPr>
              <w:spacing w:after="60" w:afterLines="25" w:line="360" w:lineRule="exact"/>
              <w:ind w:firstLine="420" w:firstLineChars="200"/>
              <w:rPr>
                <w:rFonts w:hint="eastAsia"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Pr>
        <w:tc>
          <w:tcPr>
            <w:tcW w:w="8624" w:type="dxa"/>
            <w:noWrap w:val="0"/>
            <w:vAlign w:val="top"/>
          </w:tcPr>
          <w:p>
            <w:pPr>
              <w:spacing w:after="60" w:afterLines="25" w:line="360" w:lineRule="exact"/>
              <w:ind w:firstLine="420" w:firstLineChars="200"/>
              <w:rPr>
                <w:rFonts w:ascii="宋体" w:hAnsi="宋体"/>
              </w:rPr>
            </w:pPr>
            <w:r>
              <w:rPr>
                <w:rFonts w:ascii="宋体" w:hAnsi="宋体"/>
              </w:rPr>
              <w:pict>
                <v:group id="组合 156" o:spid="_x0000_s1052" o:spt="203" style="position:absolute;left:0pt;margin-left:92.25pt;margin-top:17.65pt;height:31.2pt;width:225pt;z-index:251661312;mso-width-relative:page;mso-height-relative:page;" coordorigin="1542,4476" coordsize="4500,624">
                  <o:lock v:ext="edit"/>
                  <v:rect id="矩形 157" o:spid="_x0000_s1053" o:spt="1" style="position:absolute;left:1542;top:4476;height:624;width:4500;" fillcolor="#000000" coordsize="21600,21600">
                    <v:path/>
                    <v:fill focussize="0,0"/>
                    <v:stroke weight="1pt"/>
                    <v:imagedata o:title=""/>
                    <o:lock v:ext="edit"/>
                  </v:rect>
                  <v:shape id="艺术字 158" o:spid="_x0000_s1054" o:spt="136" type="#_x0000_t136" style="position:absolute;left:1644;top:4580;height:439;width:3220;" fillcolor="#00FF00" coordsize="21600,21600">
                    <v:path/>
                    <v:fill focussize="0,0"/>
                    <v:stroke color="#00FF00"/>
                    <v:imagedata o:title=""/>
                    <o:lock v:ext="edit"/>
                    <v:textpath on="t" fitshape="t" fitpath="t" trim="t" xscale="f" string="左转进入待行区" style="font-family:宋体;font-size:36pt;font-weight:bold;v-text-align:center;"/>
                  </v:shape>
                  <v:shape id="任意多边形 159" o:spid="_x0000_s1055" style="position:absolute;left:5501;top:4614;height:399;width:370;" fillcolor="#00FF00" coordsize="696,755" path="m179,0hal0,206,181,417,357,417,244,276,447,273,480,273,519,282,546,312,555,345,558,402,554,755,695,755,696,342,687,294,666,243,636,198,591,162,543,144,489,135,244,136,361,0,179,0haxe">
                    <v:path arrowok="t"/>
                    <v:fill focussize="0,0"/>
                    <v:stroke weight="1pt" color="#00FF00"/>
                    <v:imagedata o:title=""/>
                    <o:lock v:ext="edit" aspectratio="t"/>
                  </v:shape>
                  <v:group id="组合 160" o:spid="_x0000_s1056" o:spt="203" style="position:absolute;left:4955;top:4649;height:301;width:454;" coordorigin="2877,10920" coordsize="540,357">
                    <o:lock v:ext="edit" aspectratio="t"/>
                    <v:shape id="椭圆 161" o:spid="_x0000_s1057" o:spt="3" type="#_x0000_t3" style="position:absolute;left:2960;top:11074;height:57;width:57;" coordsize="21600,21600">
                      <v:path/>
                      <v:fill focussize="0,0"/>
                      <v:stroke weight="1.3pt" color="#00FF00"/>
                      <v:imagedata o:title=""/>
                      <o:lock v:ext="edit" aspectratio="t"/>
                    </v:shape>
                    <v:shape id="椭圆 162" o:spid="_x0000_s1058" o:spt="3" type="#_x0000_t3" style="position:absolute;left:3285;top:11079;height:57;width:57;" coordsize="21600,21600">
                      <v:path/>
                      <v:fill focussize="0,0"/>
                      <v:stroke weight="1.3pt" color="#00FF00"/>
                      <v:imagedata o:title=""/>
                      <o:lock v:ext="edit" aspectratio="t"/>
                    </v:shape>
                    <v:shape id="任意多边形 163" o:spid="_x0000_s1059" style="position:absolute;left:2877;top:10920;height:357;width:540;" filled="f" coordsize="540,357" path="m30,117hal0,150,3,183,18,261,60,261,60,357,126,357,129,267,414,270,411,354,474,357,474,270,528,267,540,189,537,153,516,120,456,114,447,27,417,0,117,0,93,24,81,114,30,117haxe">
                      <v:path arrowok="t"/>
                      <v:fill on="f" focussize="0,0"/>
                      <v:stroke weight="1.3pt" color="#00FF00"/>
                      <v:imagedata o:title=""/>
                      <o:lock v:ext="edit" aspectratio="t"/>
                    </v:shape>
                    <v:shape id="任意多边形 164" o:spid="_x0000_s1060" style="position:absolute;left:2961;top:11025;height:18;width:369;" filled="f" coordsize="369,18" path="m0,0hbc15,2,61,12,93,15,125,18,159,18,192,18,225,18,262,18,291,15,320,12,353,3,369,0hbe">
                      <v:path arrowok="t"/>
                      <v:fill on="f" focussize="0,0"/>
                      <v:stroke weight="1.3pt" color="#00FF00"/>
                      <v:imagedata o:title=""/>
                      <o:lock v:ext="edit" aspectratio="t"/>
                    </v:shape>
                    <v:shape id="任意多边形 165" o:spid="_x0000_s1061" style="position:absolute;left:2943;top:11181;height:9;width:405;" filled="f" coordsize="405,9" path="m0,0hbc19,1,84,5,120,6,156,7,186,9,219,9,252,9,287,7,318,6,349,5,387,4,405,3hbe">
                      <v:path arrowok="t"/>
                      <v:fill on="f" focussize="0,0"/>
                      <v:stroke weight="1.3pt" color="#00FF00"/>
                      <v:imagedata o:title=""/>
                      <o:lock v:ext="edit" aspectratio="t"/>
                    </v:shape>
                    <v:shape id="任意多边形 166" o:spid="_x0000_s1062" style="position:absolute;left:3087;top:11088;height:54;width:129;" filled="f" coordsize="129,54" path="m3,0hal0,54,129,54,129,0,3,0haxe">
                      <v:path arrowok="t"/>
                      <v:fill on="f" focussize="0,0"/>
                      <v:stroke weight="1.3pt" color="#00FF00"/>
                      <v:imagedata o:title=""/>
                      <o:lock v:ext="edit" aspectratio="t"/>
                    </v:shape>
                  </v:group>
                </v:group>
              </w:pict>
            </w:r>
          </w:p>
          <w:p>
            <w:pPr>
              <w:spacing w:after="60" w:afterLines="25" w:line="360" w:lineRule="exact"/>
              <w:ind w:firstLine="420" w:firstLineChars="200"/>
              <w:rPr>
                <w:rFonts w:ascii="宋体" w:hAnsi="宋体"/>
              </w:rPr>
            </w:pPr>
            <w:r>
              <w:rPr>
                <w:rFonts w:hint="eastAsia" w:ascii="宋体" w:hAnsi="宋体"/>
              </w:rPr>
              <w:t>文字</w:t>
            </w:r>
            <w:r>
              <w:rPr>
                <w:rFonts w:ascii="宋体" w:hAnsi="宋体"/>
              </w:rPr>
              <w:t>3</w:t>
            </w:r>
          </w:p>
          <w:p>
            <w:pPr>
              <w:spacing w:after="60" w:afterLines="25" w:line="360" w:lineRule="exact"/>
              <w:ind w:firstLine="420" w:firstLineChars="200"/>
              <w:rPr>
                <w:rFonts w:hint="eastAsia" w:ascii="宋体" w:hAnsi="宋体"/>
              </w:rPr>
            </w:pPr>
          </w:p>
        </w:tc>
      </w:tr>
    </w:tbl>
    <w:p>
      <w:pPr>
        <w:spacing w:before="120" w:beforeLines="50"/>
        <w:ind w:firstLine="422" w:firstLineChars="200"/>
        <w:rPr>
          <w:rFonts w:ascii="宋体" w:hAnsi="宋体"/>
          <w:b/>
          <w:szCs w:val="21"/>
        </w:rPr>
      </w:pPr>
      <w:r>
        <w:rPr>
          <w:rFonts w:hint="eastAsia" w:ascii="宋体" w:hAnsi="宋体"/>
          <w:b/>
          <w:szCs w:val="21"/>
        </w:rPr>
        <w:t>10.</w:t>
      </w:r>
      <w:r>
        <w:rPr>
          <w:rFonts w:ascii="宋体" w:hAnsi="宋体"/>
          <w:b/>
          <w:szCs w:val="21"/>
        </w:rPr>
        <w:t>2</w:t>
      </w:r>
      <w:r>
        <w:rPr>
          <w:rFonts w:hint="eastAsia" w:ascii="宋体" w:hAnsi="宋体"/>
          <w:b/>
          <w:szCs w:val="21"/>
        </w:rPr>
        <w:t>产品参数：</w:t>
      </w:r>
    </w:p>
    <w:p>
      <w:pPr>
        <w:ind w:firstLine="420" w:firstLineChars="200"/>
        <w:rPr>
          <w:rFonts w:ascii="宋体" w:hAnsi="宋体"/>
          <w:szCs w:val="21"/>
        </w:rPr>
      </w:pPr>
      <w:r>
        <w:rPr>
          <w:rFonts w:hint="eastAsia" w:ascii="宋体" w:hAnsi="宋体"/>
          <w:szCs w:val="21"/>
        </w:rPr>
        <w:t>·产品尺寸</w:t>
      </w:r>
      <w:r>
        <w:rPr>
          <w:rFonts w:ascii="宋体" w:hAnsi="宋体"/>
          <w:szCs w:val="21"/>
        </w:rPr>
        <w:t>2500</w:t>
      </w:r>
      <w:r>
        <w:rPr>
          <w:rFonts w:hint="eastAsia" w:ascii="宋体" w:hAnsi="宋体"/>
          <w:szCs w:val="21"/>
        </w:rPr>
        <w:t>mm×</w:t>
      </w:r>
      <w:r>
        <w:rPr>
          <w:rFonts w:ascii="宋体" w:hAnsi="宋体"/>
          <w:szCs w:val="21"/>
        </w:rPr>
        <w:t>400</w:t>
      </w:r>
      <w:r>
        <w:rPr>
          <w:rFonts w:hint="eastAsia" w:ascii="宋体" w:hAnsi="宋体"/>
          <w:szCs w:val="21"/>
        </w:rPr>
        <w:t>mm；</w:t>
      </w:r>
    </w:p>
    <w:p>
      <w:pPr>
        <w:ind w:firstLine="420" w:firstLineChars="200"/>
        <w:rPr>
          <w:rFonts w:ascii="宋体" w:hAnsi="宋体"/>
          <w:szCs w:val="21"/>
        </w:rPr>
      </w:pPr>
      <w:r>
        <w:rPr>
          <w:rFonts w:hint="eastAsia" w:ascii="宋体" w:hAnsi="宋体"/>
          <w:szCs w:val="21"/>
        </w:rPr>
        <w:t>·外壳材质铝材；</w:t>
      </w:r>
    </w:p>
    <w:p>
      <w:pPr>
        <w:ind w:firstLine="420" w:firstLineChars="200"/>
        <w:rPr>
          <w:rFonts w:ascii="宋体" w:hAnsi="宋体"/>
          <w:szCs w:val="21"/>
        </w:rPr>
      </w:pPr>
      <w:r>
        <w:rPr>
          <w:rFonts w:hint="eastAsia" w:ascii="宋体" w:hAnsi="宋体"/>
          <w:szCs w:val="21"/>
        </w:rPr>
        <w:t>·外壳颜色黑色；</w:t>
      </w:r>
    </w:p>
    <w:p>
      <w:pPr>
        <w:ind w:firstLine="420" w:firstLineChars="200"/>
        <w:rPr>
          <w:rFonts w:ascii="宋体" w:hAnsi="宋体"/>
          <w:szCs w:val="21"/>
        </w:rPr>
      </w:pPr>
      <w:r>
        <w:rPr>
          <w:rFonts w:hint="eastAsia" w:ascii="宋体" w:hAnsi="宋体"/>
          <w:szCs w:val="21"/>
        </w:rPr>
        <w:t>·显示内容直行/左转进入待行区+小车+直行/左转动态箭头；路口遇堵不得进入；</w:t>
      </w:r>
    </w:p>
    <w:p>
      <w:pPr>
        <w:ind w:firstLine="420" w:firstLineChars="200"/>
        <w:rPr>
          <w:rFonts w:ascii="宋体" w:hAnsi="宋体"/>
          <w:szCs w:val="21"/>
        </w:rPr>
      </w:pPr>
      <w:r>
        <w:rPr>
          <w:rFonts w:hint="eastAsia" w:ascii="宋体" w:hAnsi="宋体"/>
          <w:szCs w:val="21"/>
        </w:rPr>
        <w:t>·发光单元颜色绿色，黄色；</w:t>
      </w:r>
    </w:p>
    <w:p>
      <w:pPr>
        <w:ind w:firstLine="420" w:firstLineChars="200"/>
        <w:rPr>
          <w:rFonts w:ascii="宋体" w:hAnsi="宋体"/>
          <w:szCs w:val="21"/>
        </w:rPr>
      </w:pPr>
      <w:r>
        <w:rPr>
          <w:rFonts w:hint="eastAsia" w:ascii="宋体" w:hAnsi="宋体"/>
          <w:szCs w:val="21"/>
        </w:rPr>
        <w:t>·工作电压AC220±20%V（AC176～264V）；</w:t>
      </w:r>
    </w:p>
    <w:p>
      <w:pPr>
        <w:ind w:firstLine="420" w:firstLineChars="200"/>
        <w:rPr>
          <w:rFonts w:ascii="宋体" w:hAnsi="宋体"/>
          <w:szCs w:val="21"/>
        </w:rPr>
      </w:pPr>
      <w:r>
        <w:rPr>
          <w:rFonts w:hint="eastAsia" w:ascii="宋体" w:hAnsi="宋体"/>
          <w:szCs w:val="21"/>
        </w:rPr>
        <w:t>·功率≤20W；</w:t>
      </w:r>
    </w:p>
    <w:p>
      <w:pPr>
        <w:ind w:firstLine="420" w:firstLineChars="200"/>
        <w:rPr>
          <w:rFonts w:ascii="宋体" w:hAnsi="宋体"/>
          <w:szCs w:val="21"/>
        </w:rPr>
      </w:pPr>
      <w:r>
        <w:rPr>
          <w:rFonts w:hint="eastAsia" w:ascii="宋体" w:hAnsi="宋体"/>
          <w:szCs w:val="21"/>
        </w:rPr>
        <w:t>·中心光强400cd&lt;绿&lt;1000cd；400cd&lt;黄&lt;1000cd；</w:t>
      </w:r>
    </w:p>
    <w:p>
      <w:pPr>
        <w:ind w:firstLine="420" w:firstLineChars="200"/>
        <w:rPr>
          <w:rFonts w:ascii="宋体" w:hAnsi="宋体"/>
          <w:szCs w:val="21"/>
        </w:rPr>
      </w:pPr>
      <w:r>
        <w:rPr>
          <w:rFonts w:hint="eastAsia" w:ascii="宋体" w:hAnsi="宋体"/>
          <w:szCs w:val="21"/>
        </w:rPr>
        <w:t>·LED直径Φ5方阵排列；</w:t>
      </w:r>
    </w:p>
    <w:p>
      <w:pPr>
        <w:ind w:firstLine="420" w:firstLineChars="200"/>
        <w:rPr>
          <w:rFonts w:ascii="宋体" w:hAnsi="宋体"/>
          <w:szCs w:val="21"/>
        </w:rPr>
      </w:pPr>
      <w:r>
        <w:rPr>
          <w:rFonts w:hint="eastAsia" w:ascii="宋体" w:hAnsi="宋体"/>
          <w:szCs w:val="21"/>
        </w:rPr>
        <w:t>·单管电流&lt;18mA；</w:t>
      </w:r>
    </w:p>
    <w:p>
      <w:pPr>
        <w:ind w:firstLine="420" w:firstLineChars="200"/>
        <w:rPr>
          <w:rFonts w:ascii="宋体" w:hAnsi="宋体"/>
          <w:szCs w:val="21"/>
        </w:rPr>
      </w:pPr>
      <w:r>
        <w:rPr>
          <w:rFonts w:hint="eastAsia" w:ascii="宋体" w:hAnsi="宋体"/>
          <w:szCs w:val="21"/>
        </w:rPr>
        <w:t>·LED寿命70000小时；</w:t>
      </w:r>
    </w:p>
    <w:p>
      <w:pPr>
        <w:ind w:firstLine="420" w:firstLineChars="200"/>
        <w:rPr>
          <w:rFonts w:ascii="宋体" w:hAnsi="宋体"/>
          <w:szCs w:val="21"/>
        </w:rPr>
      </w:pPr>
      <w:r>
        <w:rPr>
          <w:rFonts w:hint="eastAsia" w:ascii="宋体" w:hAnsi="宋体"/>
          <w:szCs w:val="21"/>
        </w:rPr>
        <w:t>·波长绿：505nm，黄：590nm；</w:t>
      </w:r>
    </w:p>
    <w:p>
      <w:pPr>
        <w:ind w:firstLine="420" w:firstLineChars="200"/>
        <w:rPr>
          <w:rFonts w:ascii="宋体" w:hAnsi="宋体"/>
          <w:szCs w:val="21"/>
        </w:rPr>
      </w:pPr>
      <w:r>
        <w:rPr>
          <w:rFonts w:hint="eastAsia" w:ascii="宋体" w:hAnsi="宋体"/>
          <w:szCs w:val="21"/>
        </w:rPr>
        <w:t>·可视距离&gt;450m；</w:t>
      </w:r>
    </w:p>
    <w:p>
      <w:pPr>
        <w:ind w:firstLine="420" w:firstLineChars="200"/>
        <w:rPr>
          <w:rFonts w:ascii="宋体" w:hAnsi="宋体"/>
          <w:szCs w:val="21"/>
        </w:rPr>
      </w:pPr>
      <w:r>
        <w:rPr>
          <w:rFonts w:hint="eastAsia" w:ascii="宋体" w:hAnsi="宋体"/>
          <w:szCs w:val="21"/>
        </w:rPr>
        <w:t>·可视角度&gt;30°；</w:t>
      </w:r>
    </w:p>
    <w:p>
      <w:pPr>
        <w:ind w:firstLine="420" w:firstLineChars="200"/>
        <w:rPr>
          <w:rFonts w:ascii="宋体" w:hAnsi="宋体"/>
          <w:szCs w:val="21"/>
        </w:rPr>
      </w:pPr>
      <w:r>
        <w:rPr>
          <w:rFonts w:hint="eastAsia" w:ascii="宋体" w:hAnsi="宋体"/>
          <w:szCs w:val="21"/>
        </w:rPr>
        <w:t>·工作温度-40~+85℃；</w:t>
      </w:r>
    </w:p>
    <w:p>
      <w:pPr>
        <w:ind w:firstLine="420" w:firstLineChars="200"/>
        <w:rPr>
          <w:rFonts w:ascii="宋体" w:hAnsi="宋体"/>
          <w:szCs w:val="21"/>
        </w:rPr>
      </w:pPr>
      <w:r>
        <w:rPr>
          <w:rFonts w:hint="eastAsia" w:ascii="宋体" w:hAnsi="宋体"/>
          <w:szCs w:val="21"/>
        </w:rPr>
        <w:t>·相对湿度≤93%；</w:t>
      </w:r>
    </w:p>
    <w:p>
      <w:pPr>
        <w:ind w:firstLine="420" w:firstLineChars="200"/>
        <w:rPr>
          <w:rFonts w:ascii="宋体" w:hAnsi="宋体"/>
          <w:szCs w:val="21"/>
        </w:rPr>
      </w:pPr>
      <w:r>
        <w:rPr>
          <w:rFonts w:hint="eastAsia" w:ascii="宋体" w:hAnsi="宋体"/>
          <w:szCs w:val="21"/>
        </w:rPr>
        <w:t>·保存环境：0~50℃，40~60%RH；</w:t>
      </w:r>
    </w:p>
    <w:p>
      <w:pPr>
        <w:ind w:firstLine="420" w:firstLineChars="200"/>
        <w:rPr>
          <w:rFonts w:ascii="宋体" w:hAnsi="宋体"/>
          <w:szCs w:val="21"/>
        </w:rPr>
      </w:pPr>
      <w:r>
        <w:rPr>
          <w:rFonts w:hint="eastAsia" w:ascii="宋体" w:hAnsi="宋体"/>
          <w:szCs w:val="21"/>
        </w:rPr>
        <w:t>·防护等级IP53；</w:t>
      </w:r>
    </w:p>
    <w:p>
      <w:pPr>
        <w:ind w:firstLine="420" w:firstLineChars="200"/>
        <w:rPr>
          <w:rFonts w:ascii="宋体" w:hAnsi="宋体"/>
          <w:szCs w:val="21"/>
        </w:rPr>
      </w:pPr>
      <w:r>
        <w:rPr>
          <w:rFonts w:hint="eastAsia" w:ascii="宋体" w:hAnsi="宋体"/>
          <w:szCs w:val="21"/>
        </w:rPr>
        <w:t>·重量≤20KG；</w:t>
      </w:r>
    </w:p>
    <w:p>
      <w:pPr>
        <w:ind w:firstLine="420" w:firstLineChars="200"/>
        <w:rPr>
          <w:rFonts w:hint="eastAsia" w:ascii="宋体" w:hAnsi="宋体"/>
          <w:szCs w:val="21"/>
        </w:rPr>
      </w:pPr>
      <w:r>
        <w:rPr>
          <w:rFonts w:hint="eastAsia" w:ascii="宋体" w:hAnsi="宋体"/>
          <w:szCs w:val="21"/>
        </w:rPr>
        <w:t>·非RoHS。</w:t>
      </w:r>
    </w:p>
    <w:p>
      <w:pPr>
        <w:ind w:firstLine="422" w:firstLineChars="200"/>
        <w:rPr>
          <w:rFonts w:hint="eastAsia" w:ascii="宋体" w:hAnsi="宋体"/>
          <w:b/>
          <w:bCs/>
          <w:szCs w:val="21"/>
        </w:rPr>
      </w:pPr>
      <w:r>
        <w:rPr>
          <w:rFonts w:hint="eastAsia" w:ascii="宋体" w:hAnsi="宋体"/>
          <w:b/>
          <w:bCs/>
          <w:szCs w:val="21"/>
        </w:rPr>
        <w:t>11、人行横道线预警系统技术要求</w:t>
      </w:r>
    </w:p>
    <w:p>
      <w:pPr>
        <w:ind w:firstLine="422" w:firstLineChars="200"/>
        <w:rPr>
          <w:rFonts w:hint="eastAsia" w:ascii="宋体" w:hAnsi="宋体"/>
          <w:b/>
          <w:bCs/>
          <w:szCs w:val="21"/>
        </w:rPr>
      </w:pPr>
      <w:r>
        <w:rPr>
          <w:rFonts w:hint="eastAsia" w:ascii="宋体" w:hAnsi="宋体"/>
          <w:b/>
          <w:bCs/>
          <w:szCs w:val="21"/>
        </w:rPr>
        <w:t>一体式整机</w:t>
      </w:r>
    </w:p>
    <w:p>
      <w:pPr>
        <w:ind w:left="420" w:leftChars="200"/>
        <w:rPr>
          <w:rFonts w:ascii="宋体" w:hAnsi="宋体"/>
          <w:szCs w:val="21"/>
        </w:rPr>
      </w:pPr>
      <w:r>
        <w:rPr>
          <w:rFonts w:hint="eastAsia" w:ascii="宋体" w:hAnsi="宋体"/>
          <w:szCs w:val="21"/>
        </w:rPr>
        <w:t>1、材质：钣金外壳一体成型，黑色表面喷塑；</w:t>
      </w:r>
    </w:p>
    <w:p>
      <w:pPr>
        <w:ind w:left="420" w:leftChars="200"/>
        <w:rPr>
          <w:rFonts w:ascii="宋体" w:hAnsi="宋体"/>
          <w:szCs w:val="21"/>
        </w:rPr>
      </w:pPr>
      <w:r>
        <w:rPr>
          <w:rFonts w:hint="eastAsia" w:ascii="宋体" w:hAnsi="宋体"/>
          <w:szCs w:val="21"/>
        </w:rPr>
        <w:t>2、主机外观要求：</w:t>
      </w:r>
    </w:p>
    <w:p>
      <w:pPr>
        <w:ind w:left="420" w:leftChars="200"/>
        <w:rPr>
          <w:rFonts w:ascii="宋体" w:hAnsi="宋体"/>
          <w:szCs w:val="21"/>
        </w:rPr>
      </w:pPr>
      <w:r>
        <w:rPr>
          <w:rFonts w:hint="eastAsia" w:ascii="宋体" w:hAnsi="宋体"/>
          <w:szCs w:val="21"/>
        </w:rPr>
        <w:t>(1)规格尺寸：3400×380×160mm；</w:t>
      </w:r>
    </w:p>
    <w:p>
      <w:pPr>
        <w:ind w:left="420" w:leftChars="200"/>
        <w:rPr>
          <w:rFonts w:ascii="宋体" w:hAnsi="宋体"/>
          <w:szCs w:val="21"/>
        </w:rPr>
      </w:pPr>
      <w:r>
        <w:rPr>
          <w:rFonts w:hint="eastAsia" w:ascii="宋体" w:hAnsi="宋体"/>
          <w:szCs w:val="21"/>
        </w:rPr>
        <w:t>(2)主机顶部设有红蓝爆闪灯模块；</w:t>
      </w:r>
    </w:p>
    <w:p>
      <w:pPr>
        <w:ind w:left="420" w:leftChars="200"/>
        <w:rPr>
          <w:rFonts w:ascii="宋体" w:hAnsi="宋体"/>
          <w:szCs w:val="21"/>
        </w:rPr>
      </w:pPr>
      <w:r>
        <w:rPr>
          <w:rFonts w:hint="eastAsia" w:ascii="宋体" w:hAnsi="宋体"/>
          <w:szCs w:val="21"/>
        </w:rPr>
        <w:t>(3)主机中部内置智能语音模块；</w:t>
      </w:r>
    </w:p>
    <w:p>
      <w:pPr>
        <w:ind w:left="420" w:leftChars="200"/>
        <w:rPr>
          <w:rFonts w:ascii="宋体" w:hAnsi="宋体"/>
          <w:szCs w:val="21"/>
        </w:rPr>
      </w:pPr>
      <w:r>
        <w:rPr>
          <w:rFonts w:hint="eastAsia" w:ascii="宋体" w:hAnsi="宋体"/>
          <w:szCs w:val="21"/>
        </w:rPr>
        <w:t>(4)主机下部内置点阵发光辅助标志模块；</w:t>
      </w:r>
    </w:p>
    <w:p>
      <w:pPr>
        <w:ind w:left="420" w:leftChars="200"/>
        <w:rPr>
          <w:rFonts w:ascii="宋体" w:hAnsi="宋体"/>
          <w:szCs w:val="21"/>
        </w:rPr>
      </w:pPr>
      <w:r>
        <w:rPr>
          <w:rFonts w:hint="eastAsia" w:ascii="宋体" w:hAnsi="宋体"/>
          <w:szCs w:val="21"/>
        </w:rPr>
        <w:t>3、电压：供电电压AC 220V，工作电压DC 12V；</w:t>
      </w:r>
    </w:p>
    <w:p>
      <w:pPr>
        <w:ind w:left="420" w:leftChars="200"/>
        <w:rPr>
          <w:rFonts w:ascii="宋体" w:hAnsi="宋体"/>
          <w:szCs w:val="21"/>
        </w:rPr>
      </w:pPr>
      <w:r>
        <w:rPr>
          <w:rFonts w:hint="eastAsia" w:ascii="宋体" w:hAnsi="宋体"/>
          <w:szCs w:val="21"/>
        </w:rPr>
        <w:t>4、额定功率200W；</w:t>
      </w:r>
    </w:p>
    <w:p>
      <w:pPr>
        <w:ind w:left="420" w:leftChars="200"/>
        <w:rPr>
          <w:rFonts w:ascii="宋体" w:hAnsi="宋体"/>
          <w:szCs w:val="21"/>
        </w:rPr>
      </w:pPr>
      <w:r>
        <w:rPr>
          <w:rFonts w:hint="eastAsia" w:ascii="宋体" w:hAnsi="宋体"/>
          <w:szCs w:val="21"/>
        </w:rPr>
        <w:t>5、工作环境要求：</w:t>
      </w:r>
    </w:p>
    <w:p>
      <w:pPr>
        <w:ind w:left="420" w:leftChars="200"/>
        <w:rPr>
          <w:rFonts w:ascii="宋体" w:hAnsi="宋体"/>
          <w:szCs w:val="21"/>
        </w:rPr>
      </w:pPr>
      <w:r>
        <w:rPr>
          <w:rFonts w:hint="eastAsia" w:ascii="宋体" w:hAnsi="宋体"/>
          <w:szCs w:val="21"/>
        </w:rPr>
        <w:t>(1)环境温度：-20 ℃~80℃；</w:t>
      </w:r>
    </w:p>
    <w:p>
      <w:pPr>
        <w:ind w:left="420" w:leftChars="200"/>
        <w:rPr>
          <w:rFonts w:ascii="宋体" w:hAnsi="宋体"/>
          <w:szCs w:val="21"/>
        </w:rPr>
      </w:pPr>
      <w:r>
        <w:rPr>
          <w:rFonts w:hint="eastAsia" w:ascii="宋体" w:hAnsi="宋体"/>
          <w:szCs w:val="21"/>
        </w:rPr>
        <w:t>(2)环境湿度：湿度小于95%(无凝结)；</w:t>
      </w:r>
    </w:p>
    <w:p>
      <w:pPr>
        <w:ind w:left="420" w:leftChars="200"/>
        <w:rPr>
          <w:rFonts w:hint="eastAsia" w:ascii="宋体" w:hAnsi="宋体"/>
          <w:szCs w:val="21"/>
        </w:rPr>
      </w:pPr>
      <w:r>
        <w:rPr>
          <w:rFonts w:hint="eastAsia" w:ascii="宋体" w:hAnsi="宋体"/>
          <w:szCs w:val="21"/>
        </w:rPr>
        <w:t>(3)防护等级：IP55</w:t>
      </w:r>
    </w:p>
    <w:p>
      <w:pPr>
        <w:ind w:firstLine="422" w:firstLineChars="200"/>
        <w:rPr>
          <w:rFonts w:hint="eastAsia" w:ascii="宋体" w:hAnsi="宋体"/>
          <w:b/>
          <w:bCs/>
          <w:szCs w:val="21"/>
        </w:rPr>
      </w:pPr>
      <w:r>
        <w:rPr>
          <w:rFonts w:hint="eastAsia" w:ascii="宋体" w:hAnsi="宋体"/>
          <w:b/>
          <w:bCs/>
          <w:szCs w:val="21"/>
        </w:rPr>
        <w:t>一体式主体</w:t>
      </w:r>
    </w:p>
    <w:p>
      <w:pPr>
        <w:ind w:left="420"/>
        <w:rPr>
          <w:rFonts w:ascii="宋体" w:hAnsi="宋体"/>
          <w:szCs w:val="21"/>
        </w:rPr>
      </w:pPr>
      <w:r>
        <w:rPr>
          <w:rFonts w:hint="eastAsia" w:ascii="宋体" w:hAnsi="宋体"/>
          <w:szCs w:val="21"/>
        </w:rPr>
        <w:t>1、材质：钣金外壳一体成型，表面喷塑；</w:t>
      </w:r>
    </w:p>
    <w:p>
      <w:pPr>
        <w:ind w:left="420"/>
        <w:rPr>
          <w:rFonts w:ascii="宋体" w:hAnsi="宋体"/>
          <w:szCs w:val="21"/>
        </w:rPr>
      </w:pPr>
      <w:r>
        <w:rPr>
          <w:rFonts w:hint="eastAsia" w:ascii="宋体" w:hAnsi="宋体"/>
          <w:szCs w:val="21"/>
        </w:rPr>
        <w:t>2、主机规格尺寸：3400×380×160mm；</w:t>
      </w:r>
    </w:p>
    <w:p>
      <w:pPr>
        <w:ind w:left="420"/>
        <w:rPr>
          <w:rFonts w:ascii="宋体" w:hAnsi="宋体"/>
          <w:szCs w:val="21"/>
        </w:rPr>
      </w:pPr>
      <w:r>
        <w:rPr>
          <w:rFonts w:hint="eastAsia" w:ascii="宋体" w:hAnsi="宋体"/>
          <w:szCs w:val="21"/>
        </w:rPr>
        <w:t>3、电压：供电电压AC 220V，工作电压DC 12V；</w:t>
      </w:r>
    </w:p>
    <w:p>
      <w:pPr>
        <w:ind w:left="420"/>
        <w:rPr>
          <w:rFonts w:ascii="宋体" w:hAnsi="宋体"/>
          <w:szCs w:val="21"/>
        </w:rPr>
      </w:pPr>
      <w:r>
        <w:rPr>
          <w:rFonts w:hint="eastAsia" w:ascii="宋体" w:hAnsi="宋体"/>
          <w:szCs w:val="21"/>
        </w:rPr>
        <w:t>4、额定功率200W；</w:t>
      </w:r>
    </w:p>
    <w:p>
      <w:pPr>
        <w:ind w:left="420"/>
        <w:rPr>
          <w:rFonts w:ascii="宋体" w:hAnsi="宋体"/>
          <w:szCs w:val="21"/>
        </w:rPr>
      </w:pPr>
      <w:r>
        <w:rPr>
          <w:rFonts w:hint="eastAsia" w:ascii="宋体" w:hAnsi="宋体"/>
          <w:szCs w:val="21"/>
        </w:rPr>
        <w:t>5、工作环境要求：</w:t>
      </w:r>
    </w:p>
    <w:p>
      <w:pPr>
        <w:ind w:left="420"/>
        <w:rPr>
          <w:rFonts w:ascii="宋体" w:hAnsi="宋体"/>
          <w:szCs w:val="21"/>
        </w:rPr>
      </w:pPr>
      <w:r>
        <w:rPr>
          <w:rFonts w:hint="eastAsia" w:ascii="宋体" w:hAnsi="宋体"/>
          <w:szCs w:val="21"/>
        </w:rPr>
        <w:t>（1）环境温度：-20 ℃~80℃；</w:t>
      </w:r>
    </w:p>
    <w:p>
      <w:pPr>
        <w:ind w:left="420"/>
        <w:rPr>
          <w:rFonts w:ascii="宋体" w:hAnsi="宋体"/>
          <w:szCs w:val="21"/>
        </w:rPr>
      </w:pPr>
      <w:r>
        <w:rPr>
          <w:rFonts w:hint="eastAsia" w:ascii="宋体" w:hAnsi="宋体"/>
          <w:szCs w:val="21"/>
        </w:rPr>
        <w:t>（2）环境湿度：湿度小于95%(无凝结) ；</w:t>
      </w:r>
    </w:p>
    <w:p>
      <w:pPr>
        <w:ind w:left="420"/>
        <w:rPr>
          <w:rFonts w:hint="eastAsia" w:ascii="宋体" w:hAnsi="宋体"/>
          <w:szCs w:val="21"/>
        </w:rPr>
      </w:pPr>
      <w:r>
        <w:rPr>
          <w:rFonts w:hint="eastAsia" w:ascii="宋体" w:hAnsi="宋体"/>
          <w:szCs w:val="21"/>
        </w:rPr>
        <w:t>（3）防护等级：IP55。</w:t>
      </w:r>
    </w:p>
    <w:p>
      <w:pPr>
        <w:ind w:left="420" w:leftChars="200"/>
        <w:rPr>
          <w:rFonts w:hint="eastAsia" w:ascii="宋体" w:hAnsi="宋体"/>
          <w:b/>
          <w:bCs/>
          <w:szCs w:val="21"/>
        </w:rPr>
      </w:pPr>
      <w:r>
        <w:rPr>
          <w:rFonts w:hint="eastAsia" w:ascii="宋体" w:hAnsi="宋体"/>
          <w:b/>
          <w:bCs/>
          <w:szCs w:val="21"/>
        </w:rPr>
        <w:t xml:space="preserve"> 新型太阳能发光警示柱</w:t>
      </w:r>
    </w:p>
    <w:p>
      <w:pPr>
        <w:ind w:firstLine="420" w:firstLineChars="200"/>
        <w:rPr>
          <w:rFonts w:hint="eastAsia" w:ascii="宋体" w:hAnsi="宋体"/>
          <w:szCs w:val="21"/>
        </w:rPr>
      </w:pPr>
      <w:r>
        <w:rPr>
          <w:rFonts w:hint="eastAsia" w:ascii="宋体" w:hAnsi="宋体"/>
          <w:szCs w:val="21"/>
        </w:rPr>
        <w:t>1、产品外观由内嵌式集成柱帽和柱身两部分组成，柱身采用冷轧钣金与铝型材配合结构，后期喷塑并做阳极处理，具有良好的抗氧化性，使用期内产品不褪色，外壳体要有良好的刚性和耐冲击性，内部结构件有良好的稳固性和密封性，铝型材角边压住反光膜确保反光膜不易破损、撕裂；</w:t>
      </w:r>
    </w:p>
    <w:p>
      <w:pPr>
        <w:ind w:firstLine="420" w:firstLineChars="200"/>
        <w:rPr>
          <w:rFonts w:hint="eastAsia" w:ascii="宋体" w:hAnsi="宋体"/>
          <w:szCs w:val="21"/>
        </w:rPr>
      </w:pPr>
      <w:r>
        <w:rPr>
          <w:rFonts w:hint="eastAsia" w:ascii="宋体" w:hAnsi="宋体"/>
          <w:szCs w:val="21"/>
        </w:rPr>
        <w:t>2、产品尺寸：1252mm×210mm×210mm；</w:t>
      </w:r>
    </w:p>
    <w:p>
      <w:pPr>
        <w:ind w:firstLine="420" w:firstLineChars="200"/>
        <w:rPr>
          <w:rFonts w:hint="eastAsia" w:ascii="宋体" w:hAnsi="宋体"/>
          <w:szCs w:val="21"/>
        </w:rPr>
      </w:pPr>
      <w:r>
        <w:rPr>
          <w:rFonts w:hint="eastAsia" w:ascii="宋体" w:hAnsi="宋体"/>
          <w:szCs w:val="21"/>
        </w:rPr>
        <w:t>3、产品柱体四面贴有120cm 长度红白相间国标Ⅳ类（超强级）反光膜，使用年限为7年50%亮度保留值，背胶类型为常温压敏胶；</w:t>
      </w:r>
    </w:p>
    <w:p>
      <w:pPr>
        <w:ind w:firstLine="420" w:firstLineChars="200"/>
        <w:rPr>
          <w:rFonts w:hint="eastAsia" w:ascii="宋体" w:hAnsi="宋体"/>
          <w:szCs w:val="21"/>
        </w:rPr>
      </w:pPr>
      <w:r>
        <w:rPr>
          <w:rFonts w:hint="eastAsia" w:ascii="宋体" w:hAnsi="宋体"/>
          <w:szCs w:val="21"/>
        </w:rPr>
        <w:t>4、电池包标称电压：12V；</w:t>
      </w:r>
    </w:p>
    <w:p>
      <w:pPr>
        <w:ind w:firstLine="420" w:firstLineChars="200"/>
        <w:rPr>
          <w:rFonts w:hint="eastAsia" w:ascii="宋体" w:hAnsi="宋体"/>
          <w:szCs w:val="21"/>
        </w:rPr>
      </w:pPr>
      <w:r>
        <w:rPr>
          <w:rFonts w:hint="eastAsia" w:ascii="宋体" w:hAnsi="宋体"/>
          <w:szCs w:val="21"/>
        </w:rPr>
        <w:t>5、电池包标称容量：4400mAh；</w:t>
      </w:r>
    </w:p>
    <w:p>
      <w:pPr>
        <w:ind w:firstLine="420" w:firstLineChars="200"/>
        <w:rPr>
          <w:rFonts w:hint="eastAsia" w:ascii="宋体" w:hAnsi="宋体"/>
          <w:szCs w:val="21"/>
        </w:rPr>
      </w:pPr>
      <w:r>
        <w:rPr>
          <w:rFonts w:hint="eastAsia" w:ascii="宋体" w:hAnsi="宋体"/>
          <w:szCs w:val="21"/>
        </w:rPr>
        <w:t>6、电芯规格：三元锂18650；</w:t>
      </w:r>
    </w:p>
    <w:p>
      <w:pPr>
        <w:ind w:firstLine="420" w:firstLineChars="200"/>
        <w:rPr>
          <w:rFonts w:hint="eastAsia" w:ascii="宋体" w:hAnsi="宋体"/>
          <w:szCs w:val="21"/>
        </w:rPr>
      </w:pPr>
      <w:r>
        <w:rPr>
          <w:rFonts w:hint="eastAsia" w:ascii="宋体" w:hAnsi="宋体"/>
          <w:szCs w:val="21"/>
        </w:rPr>
        <w:t>7、电芯配置：3串2并；</w:t>
      </w:r>
    </w:p>
    <w:p>
      <w:pPr>
        <w:ind w:firstLine="420" w:firstLineChars="200"/>
        <w:rPr>
          <w:rFonts w:hint="eastAsia" w:ascii="宋体" w:hAnsi="宋体"/>
          <w:szCs w:val="21"/>
        </w:rPr>
      </w:pPr>
      <w:r>
        <w:rPr>
          <w:rFonts w:hint="eastAsia" w:ascii="宋体" w:hAnsi="宋体"/>
          <w:szCs w:val="21"/>
        </w:rPr>
        <w:t>8、电池包输入：18V太阳能电池板；</w:t>
      </w:r>
    </w:p>
    <w:p>
      <w:pPr>
        <w:ind w:firstLine="420" w:firstLineChars="200"/>
        <w:rPr>
          <w:rFonts w:hint="eastAsia" w:ascii="宋体" w:hAnsi="宋体"/>
          <w:szCs w:val="21"/>
        </w:rPr>
      </w:pPr>
      <w:r>
        <w:rPr>
          <w:rFonts w:hint="eastAsia" w:ascii="宋体" w:hAnsi="宋体"/>
          <w:szCs w:val="21"/>
        </w:rPr>
        <w:t>9、电池包输出：稳定输出—-≥1路，PWM输出-—-≥2路；</w:t>
      </w:r>
    </w:p>
    <w:p>
      <w:pPr>
        <w:ind w:firstLine="420" w:firstLineChars="200"/>
        <w:rPr>
          <w:rFonts w:hint="eastAsia" w:ascii="宋体" w:hAnsi="宋体"/>
          <w:szCs w:val="21"/>
        </w:rPr>
      </w:pPr>
      <w:r>
        <w:rPr>
          <w:rFonts w:hint="eastAsia" w:ascii="宋体" w:hAnsi="宋体"/>
          <w:szCs w:val="21"/>
        </w:rPr>
        <w:t>10、电池包尺寸：70mm×45mm×110mm；</w:t>
      </w:r>
    </w:p>
    <w:p>
      <w:pPr>
        <w:ind w:firstLine="420" w:firstLineChars="200"/>
        <w:rPr>
          <w:rFonts w:hint="eastAsia" w:ascii="宋体" w:hAnsi="宋体"/>
          <w:szCs w:val="21"/>
        </w:rPr>
      </w:pPr>
      <w:r>
        <w:rPr>
          <w:rFonts w:hint="eastAsia" w:ascii="宋体" w:hAnsi="宋体"/>
          <w:szCs w:val="21"/>
        </w:rPr>
        <w:t>11、产品光伏板应以内嵌形式置于产品柱帽顶部，光伏板与柱身上部端口层平行角度，光伏板参数：18V--5W；</w:t>
      </w:r>
    </w:p>
    <w:p>
      <w:pPr>
        <w:ind w:firstLine="420" w:firstLineChars="200"/>
        <w:rPr>
          <w:rFonts w:hint="eastAsia" w:ascii="宋体" w:hAnsi="宋体"/>
          <w:szCs w:val="21"/>
        </w:rPr>
      </w:pPr>
      <w:r>
        <w:rPr>
          <w:rFonts w:hint="eastAsia" w:ascii="宋体" w:hAnsi="宋体"/>
          <w:szCs w:val="21"/>
        </w:rPr>
        <w:t>12、产品尺寸：200×200mm；</w:t>
      </w:r>
    </w:p>
    <w:p>
      <w:pPr>
        <w:ind w:firstLine="420" w:firstLineChars="200"/>
        <w:rPr>
          <w:rFonts w:hint="eastAsia" w:ascii="宋体" w:hAnsi="宋体"/>
          <w:szCs w:val="21"/>
        </w:rPr>
      </w:pPr>
      <w:r>
        <w:rPr>
          <w:rFonts w:hint="eastAsia" w:ascii="宋体" w:hAnsi="宋体"/>
          <w:szCs w:val="21"/>
        </w:rPr>
        <w:t>13、发光单元采用先进的光学透镜灯珠散光技术，光线穿透力强、无死灯现象；</w:t>
      </w:r>
    </w:p>
    <w:p>
      <w:pPr>
        <w:ind w:firstLine="420" w:firstLineChars="200"/>
        <w:rPr>
          <w:rFonts w:hint="eastAsia" w:ascii="宋体" w:hAnsi="宋体"/>
          <w:szCs w:val="21"/>
        </w:rPr>
      </w:pPr>
      <w:r>
        <w:rPr>
          <w:rFonts w:hint="eastAsia" w:ascii="宋体" w:hAnsi="宋体"/>
          <w:szCs w:val="21"/>
        </w:rPr>
        <w:t>14、可视距离：夜间动态距离≥250米，静态距离≥210米；</w:t>
      </w:r>
    </w:p>
    <w:p>
      <w:pPr>
        <w:ind w:firstLine="420" w:firstLineChars="200"/>
        <w:rPr>
          <w:rFonts w:hint="eastAsia" w:ascii="宋体" w:hAnsi="宋体"/>
          <w:szCs w:val="21"/>
        </w:rPr>
      </w:pPr>
      <w:r>
        <w:rPr>
          <w:rFonts w:hint="eastAsia" w:ascii="宋体" w:hAnsi="宋体"/>
          <w:szCs w:val="21"/>
        </w:rPr>
        <w:t>15、GPS模块由集成了RF射频芯片、基带芯片、核心CPU和相关外围电路组成，用于对设备的定位和同频控制；</w:t>
      </w:r>
    </w:p>
    <w:p>
      <w:pPr>
        <w:ind w:firstLine="420" w:firstLineChars="200"/>
        <w:rPr>
          <w:rFonts w:hint="eastAsia" w:ascii="宋体" w:hAnsi="宋体"/>
          <w:szCs w:val="21"/>
        </w:rPr>
      </w:pPr>
      <w:r>
        <w:rPr>
          <w:rFonts w:hint="eastAsia" w:ascii="宋体" w:hAnsi="宋体"/>
          <w:szCs w:val="21"/>
        </w:rPr>
        <w:t>16、可接收全球定位系统接收器类型20个频道， L1的频率，1.023兆赫芯片速度， C / A码1.023兆赫芯片速度。</w:t>
      </w:r>
    </w:p>
    <w:p>
      <w:pPr>
        <w:ind w:firstLine="422" w:firstLineChars="200"/>
        <w:rPr>
          <w:rFonts w:hint="eastAsia" w:ascii="宋体" w:hAnsi="宋体"/>
          <w:b/>
          <w:bCs/>
          <w:szCs w:val="21"/>
        </w:rPr>
      </w:pPr>
      <w:r>
        <w:rPr>
          <w:rFonts w:hint="eastAsia" w:ascii="宋体" w:hAnsi="宋体"/>
          <w:b/>
          <w:bCs/>
          <w:szCs w:val="21"/>
        </w:rPr>
        <w:t>GPS同频道钉</w:t>
      </w:r>
    </w:p>
    <w:p>
      <w:pPr>
        <w:ind w:firstLine="420" w:firstLineChars="200"/>
        <w:rPr>
          <w:rFonts w:hint="eastAsia" w:ascii="宋体" w:hAnsi="宋体"/>
          <w:szCs w:val="21"/>
        </w:rPr>
      </w:pPr>
      <w:r>
        <w:rPr>
          <w:rFonts w:hint="eastAsia" w:ascii="宋体" w:hAnsi="宋体"/>
          <w:szCs w:val="21"/>
        </w:rPr>
        <w:t>1、产品尺寸：φ120×50mm；</w:t>
      </w:r>
    </w:p>
    <w:p>
      <w:pPr>
        <w:ind w:firstLine="420" w:firstLineChars="200"/>
        <w:rPr>
          <w:rFonts w:ascii="宋体" w:hAnsi="宋体"/>
          <w:szCs w:val="21"/>
        </w:rPr>
      </w:pPr>
      <w:r>
        <w:rPr>
          <w:rFonts w:hint="eastAsia" w:ascii="宋体" w:hAnsi="宋体"/>
          <w:szCs w:val="21"/>
        </w:rPr>
        <w:t>2、产品材质为铝锭，PC 料注塑，表面抗压74T，灯光颜色为黄色光，夜间可视距离≥500米，具有常亮和闪烁两种模式，产品质保1年；</w:t>
      </w:r>
    </w:p>
    <w:p>
      <w:pPr>
        <w:ind w:firstLine="420" w:firstLineChars="200"/>
        <w:rPr>
          <w:rFonts w:ascii="宋体" w:hAnsi="宋体"/>
          <w:szCs w:val="21"/>
        </w:rPr>
      </w:pPr>
      <w:r>
        <w:rPr>
          <w:rFonts w:hint="eastAsia" w:ascii="宋体" w:hAnsi="宋体"/>
          <w:szCs w:val="21"/>
        </w:rPr>
        <w:t>3、控制器主芯片采用GPS同频控制技术，性能稳定、抗干扰性强；</w:t>
      </w:r>
    </w:p>
    <w:p>
      <w:pPr>
        <w:ind w:firstLine="420" w:firstLineChars="200"/>
        <w:rPr>
          <w:rFonts w:ascii="宋体" w:hAnsi="宋体"/>
          <w:szCs w:val="21"/>
        </w:rPr>
      </w:pPr>
      <w:r>
        <w:rPr>
          <w:rFonts w:hint="eastAsia" w:ascii="宋体" w:hAnsi="宋体"/>
          <w:szCs w:val="21"/>
        </w:rPr>
        <w:t>4、产品由太阳能供电，充电电压5V，充电电流标准光强下220ma；产品由高效锂电池供电，产品额定电压3.2V，待机电流1ma；</w:t>
      </w:r>
    </w:p>
    <w:p>
      <w:pPr>
        <w:ind w:firstLine="420" w:firstLineChars="200"/>
        <w:rPr>
          <w:rFonts w:hint="eastAsia" w:ascii="宋体" w:hAnsi="宋体"/>
          <w:szCs w:val="21"/>
        </w:rPr>
      </w:pPr>
      <w:r>
        <w:rPr>
          <w:rFonts w:hint="eastAsia" w:ascii="宋体" w:hAnsi="宋体"/>
          <w:szCs w:val="21"/>
        </w:rPr>
        <w:t>5、产品工作环境要求工作温度：-20℃至80℃，相对湿度90%RH，防尘防水等级：IP68。</w:t>
      </w:r>
    </w:p>
    <w:p>
      <w:pPr>
        <w:ind w:firstLine="422" w:firstLineChars="200"/>
        <w:rPr>
          <w:rFonts w:hint="eastAsia" w:ascii="宋体" w:hAnsi="宋体"/>
          <w:b/>
          <w:bCs/>
          <w:szCs w:val="21"/>
        </w:rPr>
      </w:pPr>
      <w:r>
        <w:rPr>
          <w:rFonts w:hint="eastAsia" w:ascii="宋体" w:hAnsi="宋体"/>
          <w:b/>
          <w:bCs/>
          <w:szCs w:val="21"/>
        </w:rPr>
        <w:t>人行横道线主动发光交通标志牌</w:t>
      </w:r>
    </w:p>
    <w:p>
      <w:pPr>
        <w:ind w:left="420" w:leftChars="200"/>
        <w:rPr>
          <w:rFonts w:ascii="宋体" w:hAnsi="宋体"/>
          <w:szCs w:val="21"/>
        </w:rPr>
      </w:pPr>
      <w:r>
        <w:rPr>
          <w:rFonts w:hint="eastAsia" w:ascii="宋体" w:hAnsi="宋体"/>
          <w:szCs w:val="21"/>
        </w:rPr>
        <w:t>1、发光类型：侧边导光的面光源单面发光标志；</w:t>
      </w:r>
    </w:p>
    <w:p>
      <w:pPr>
        <w:ind w:left="420" w:leftChars="200"/>
        <w:rPr>
          <w:rFonts w:ascii="宋体" w:hAnsi="宋体"/>
          <w:szCs w:val="21"/>
        </w:rPr>
      </w:pPr>
      <w:r>
        <w:rPr>
          <w:rFonts w:hint="eastAsia" w:ascii="宋体" w:hAnsi="宋体"/>
          <w:szCs w:val="21"/>
        </w:rPr>
        <w:t>2、材质：铝型材边框，导光板；</w:t>
      </w:r>
    </w:p>
    <w:p>
      <w:pPr>
        <w:ind w:left="420" w:leftChars="200"/>
        <w:rPr>
          <w:rFonts w:ascii="宋体" w:hAnsi="宋体"/>
          <w:szCs w:val="21"/>
        </w:rPr>
      </w:pPr>
      <w:r>
        <w:rPr>
          <w:rFonts w:hint="eastAsia" w:ascii="宋体" w:hAnsi="宋体"/>
          <w:szCs w:val="21"/>
        </w:rPr>
        <w:t>3、规格尺寸：正方形800mm；</w:t>
      </w:r>
    </w:p>
    <w:p>
      <w:pPr>
        <w:ind w:left="420" w:leftChars="200"/>
        <w:rPr>
          <w:rFonts w:ascii="宋体" w:hAnsi="宋体"/>
          <w:szCs w:val="21"/>
        </w:rPr>
      </w:pPr>
      <w:r>
        <w:rPr>
          <w:rFonts w:hint="eastAsia" w:ascii="宋体" w:hAnsi="宋体"/>
          <w:szCs w:val="21"/>
        </w:rPr>
        <w:t>4、反光膜：IV类超强级反光膜；</w:t>
      </w:r>
    </w:p>
    <w:p>
      <w:pPr>
        <w:ind w:left="420" w:leftChars="200"/>
        <w:rPr>
          <w:rFonts w:ascii="宋体" w:hAnsi="宋体"/>
          <w:szCs w:val="21"/>
        </w:rPr>
      </w:pPr>
      <w:r>
        <w:rPr>
          <w:rFonts w:hint="eastAsia" w:ascii="宋体" w:hAnsi="宋体"/>
          <w:szCs w:val="21"/>
        </w:rPr>
        <w:t>5、工作电压：DC 12V；</w:t>
      </w:r>
    </w:p>
    <w:p>
      <w:pPr>
        <w:ind w:left="420" w:leftChars="200"/>
        <w:rPr>
          <w:rFonts w:ascii="宋体" w:hAnsi="宋体"/>
          <w:szCs w:val="21"/>
        </w:rPr>
      </w:pPr>
      <w:r>
        <w:rPr>
          <w:rFonts w:hint="eastAsia" w:ascii="宋体" w:hAnsi="宋体"/>
          <w:szCs w:val="21"/>
        </w:rPr>
        <w:t>6、工作环境要求：</w:t>
      </w:r>
    </w:p>
    <w:p>
      <w:pPr>
        <w:ind w:left="420" w:leftChars="200"/>
        <w:rPr>
          <w:rFonts w:ascii="宋体" w:hAnsi="宋体"/>
          <w:szCs w:val="21"/>
        </w:rPr>
      </w:pPr>
      <w:r>
        <w:rPr>
          <w:rFonts w:hint="eastAsia" w:ascii="宋体" w:hAnsi="宋体"/>
          <w:szCs w:val="21"/>
        </w:rPr>
        <w:t>(1)环境温度：-30℃至80℃；</w:t>
      </w:r>
    </w:p>
    <w:p>
      <w:pPr>
        <w:ind w:left="420" w:leftChars="200"/>
        <w:rPr>
          <w:rFonts w:ascii="宋体" w:hAnsi="宋体"/>
          <w:szCs w:val="21"/>
        </w:rPr>
      </w:pPr>
      <w:r>
        <w:rPr>
          <w:rFonts w:hint="eastAsia" w:ascii="宋体" w:hAnsi="宋体"/>
          <w:szCs w:val="21"/>
        </w:rPr>
        <w:t>(2)环境湿度：相对湿度90%RH；</w:t>
      </w:r>
    </w:p>
    <w:p>
      <w:pPr>
        <w:ind w:left="420" w:leftChars="200"/>
        <w:rPr>
          <w:rFonts w:hint="eastAsia" w:ascii="宋体" w:hAnsi="宋体"/>
          <w:szCs w:val="21"/>
        </w:rPr>
      </w:pPr>
      <w:r>
        <w:rPr>
          <w:rFonts w:hint="eastAsia" w:ascii="宋体" w:hAnsi="宋体"/>
          <w:szCs w:val="21"/>
        </w:rPr>
        <w:t>(3)防护等级：IP67。</w:t>
      </w:r>
    </w:p>
    <w:p>
      <w:pPr>
        <w:ind w:firstLine="422" w:firstLineChars="200"/>
        <w:rPr>
          <w:rFonts w:hint="eastAsia" w:ascii="宋体" w:hAnsi="宋体"/>
          <w:b/>
          <w:bCs/>
          <w:szCs w:val="21"/>
        </w:rPr>
      </w:pPr>
      <w:r>
        <w:rPr>
          <w:rFonts w:hint="eastAsia" w:ascii="宋体" w:hAnsi="宋体"/>
          <w:b/>
          <w:bCs/>
          <w:szCs w:val="21"/>
        </w:rPr>
        <w:t>斑马线点阵发光辅助标志</w:t>
      </w:r>
    </w:p>
    <w:p>
      <w:pPr>
        <w:ind w:left="420" w:leftChars="200"/>
        <w:rPr>
          <w:rFonts w:ascii="宋体" w:hAnsi="宋体"/>
          <w:szCs w:val="21"/>
        </w:rPr>
      </w:pPr>
      <w:r>
        <w:rPr>
          <w:rFonts w:hint="eastAsia" w:ascii="宋体" w:hAnsi="宋体"/>
          <w:szCs w:val="21"/>
        </w:rPr>
        <w:t>1、发光类型：点阵灯珠文字发光；</w:t>
      </w:r>
    </w:p>
    <w:p>
      <w:pPr>
        <w:ind w:left="420" w:leftChars="200"/>
        <w:rPr>
          <w:rFonts w:ascii="宋体" w:hAnsi="宋体"/>
          <w:szCs w:val="21"/>
        </w:rPr>
      </w:pPr>
      <w:r>
        <w:rPr>
          <w:rFonts w:hint="eastAsia" w:ascii="宋体" w:hAnsi="宋体"/>
          <w:szCs w:val="21"/>
        </w:rPr>
        <w:t>2、材质：钣金外壳一体成型，表面喷塑；</w:t>
      </w:r>
    </w:p>
    <w:p>
      <w:pPr>
        <w:ind w:left="420" w:leftChars="200"/>
        <w:rPr>
          <w:rFonts w:ascii="宋体" w:hAnsi="宋体"/>
          <w:szCs w:val="21"/>
        </w:rPr>
      </w:pPr>
      <w:r>
        <w:rPr>
          <w:rFonts w:hint="eastAsia" w:ascii="宋体" w:hAnsi="宋体"/>
          <w:szCs w:val="21"/>
        </w:rPr>
        <w:t>3、规格尺寸：1286×326×40mm；</w:t>
      </w:r>
    </w:p>
    <w:p>
      <w:pPr>
        <w:ind w:left="420" w:leftChars="200"/>
        <w:rPr>
          <w:rFonts w:ascii="宋体" w:hAnsi="宋体"/>
          <w:szCs w:val="21"/>
        </w:rPr>
      </w:pPr>
      <w:r>
        <w:rPr>
          <w:rFonts w:hint="eastAsia" w:ascii="宋体" w:hAnsi="宋体"/>
          <w:szCs w:val="21"/>
        </w:rPr>
        <w:t>4、标志内容：有人横穿；</w:t>
      </w:r>
    </w:p>
    <w:p>
      <w:pPr>
        <w:ind w:left="420" w:leftChars="200"/>
        <w:rPr>
          <w:rFonts w:ascii="宋体" w:hAnsi="宋体"/>
          <w:szCs w:val="21"/>
        </w:rPr>
      </w:pPr>
      <w:r>
        <w:rPr>
          <w:rFonts w:hint="eastAsia" w:ascii="宋体" w:hAnsi="宋体"/>
          <w:szCs w:val="21"/>
        </w:rPr>
        <w:t>5、工作电压：DC 12V 6.工作环境要求：</w:t>
      </w:r>
    </w:p>
    <w:p>
      <w:pPr>
        <w:ind w:left="420" w:leftChars="200"/>
        <w:rPr>
          <w:rFonts w:ascii="宋体" w:hAnsi="宋体"/>
          <w:szCs w:val="21"/>
        </w:rPr>
      </w:pPr>
      <w:r>
        <w:rPr>
          <w:rFonts w:hint="eastAsia" w:ascii="宋体" w:hAnsi="宋体"/>
          <w:szCs w:val="21"/>
        </w:rPr>
        <w:t>(1)环境温度：-20℃至80℃；</w:t>
      </w:r>
    </w:p>
    <w:p>
      <w:pPr>
        <w:ind w:left="420" w:leftChars="200"/>
        <w:rPr>
          <w:rFonts w:ascii="宋体" w:hAnsi="宋体"/>
          <w:szCs w:val="21"/>
        </w:rPr>
      </w:pPr>
      <w:r>
        <w:rPr>
          <w:rFonts w:hint="eastAsia" w:ascii="宋体" w:hAnsi="宋体"/>
          <w:szCs w:val="21"/>
        </w:rPr>
        <w:t>(2)环境湿度：相对湿度90%RH；</w:t>
      </w:r>
    </w:p>
    <w:p>
      <w:pPr>
        <w:ind w:left="420" w:leftChars="200"/>
        <w:rPr>
          <w:rFonts w:hint="eastAsia" w:ascii="宋体" w:hAnsi="宋体"/>
          <w:szCs w:val="21"/>
        </w:rPr>
      </w:pPr>
      <w:r>
        <w:rPr>
          <w:rFonts w:hint="eastAsia" w:ascii="宋体" w:hAnsi="宋体"/>
          <w:szCs w:val="21"/>
        </w:rPr>
        <w:t>(3)防护等级：IP65。</w:t>
      </w:r>
    </w:p>
    <w:p>
      <w:pPr>
        <w:ind w:firstLine="422" w:firstLineChars="200"/>
        <w:rPr>
          <w:rFonts w:hint="eastAsia" w:ascii="宋体" w:hAnsi="宋体"/>
          <w:b/>
          <w:bCs/>
          <w:szCs w:val="21"/>
        </w:rPr>
      </w:pPr>
      <w:r>
        <w:rPr>
          <w:rFonts w:hint="eastAsia" w:ascii="宋体" w:hAnsi="宋体"/>
          <w:b/>
          <w:bCs/>
          <w:szCs w:val="21"/>
        </w:rPr>
        <w:t>爆闪灯模块</w:t>
      </w:r>
    </w:p>
    <w:p>
      <w:pPr>
        <w:ind w:left="420" w:leftChars="200"/>
        <w:rPr>
          <w:rFonts w:ascii="宋体" w:hAnsi="宋体"/>
          <w:szCs w:val="21"/>
        </w:rPr>
      </w:pPr>
      <w:r>
        <w:rPr>
          <w:rFonts w:hint="eastAsia" w:ascii="宋体" w:hAnsi="宋体"/>
          <w:szCs w:val="21"/>
        </w:rPr>
        <w:t>1、发光类型：光源采用高亮LED发光管；</w:t>
      </w:r>
    </w:p>
    <w:p>
      <w:pPr>
        <w:ind w:firstLine="424" w:firstLineChars="202"/>
        <w:rPr>
          <w:rFonts w:ascii="宋体" w:hAnsi="宋体"/>
          <w:szCs w:val="21"/>
        </w:rPr>
      </w:pPr>
      <w:r>
        <w:rPr>
          <w:rFonts w:hint="eastAsia" w:ascii="宋体" w:hAnsi="宋体"/>
          <w:szCs w:val="21"/>
        </w:rPr>
        <w:t>2、灯罩材质：灯罩采用高透光PC2805材料制成，透明度高不褪色,热变形温度：125℃，耐冲击强度85；</w:t>
      </w:r>
    </w:p>
    <w:p>
      <w:pPr>
        <w:ind w:firstLine="424" w:firstLineChars="202"/>
        <w:rPr>
          <w:rFonts w:ascii="宋体" w:hAnsi="宋体"/>
          <w:szCs w:val="21"/>
        </w:rPr>
      </w:pPr>
      <w:r>
        <w:rPr>
          <w:rFonts w:hint="eastAsia" w:ascii="宋体" w:hAnsi="宋体"/>
          <w:szCs w:val="21"/>
        </w:rPr>
        <w:t>3、规格尺寸：114×96×39mm；</w:t>
      </w:r>
    </w:p>
    <w:p>
      <w:pPr>
        <w:ind w:firstLine="424" w:firstLineChars="202"/>
        <w:rPr>
          <w:rFonts w:ascii="宋体" w:hAnsi="宋体"/>
          <w:szCs w:val="21"/>
        </w:rPr>
      </w:pPr>
      <w:r>
        <w:rPr>
          <w:rFonts w:hint="eastAsia" w:ascii="宋体" w:hAnsi="宋体"/>
          <w:szCs w:val="21"/>
        </w:rPr>
        <w:t>4、颜色要求：红色、蓝色；</w:t>
      </w:r>
    </w:p>
    <w:p>
      <w:pPr>
        <w:ind w:firstLine="424" w:firstLineChars="202"/>
        <w:rPr>
          <w:rFonts w:ascii="宋体" w:hAnsi="宋体"/>
          <w:szCs w:val="21"/>
        </w:rPr>
      </w:pPr>
      <w:r>
        <w:rPr>
          <w:rFonts w:hint="eastAsia" w:ascii="宋体" w:hAnsi="宋体"/>
          <w:szCs w:val="21"/>
        </w:rPr>
        <w:t>5、工作电压：12V；</w:t>
      </w:r>
    </w:p>
    <w:p>
      <w:pPr>
        <w:ind w:firstLine="424" w:firstLineChars="202"/>
        <w:rPr>
          <w:rFonts w:ascii="宋体" w:hAnsi="宋体"/>
          <w:szCs w:val="21"/>
        </w:rPr>
      </w:pPr>
      <w:r>
        <w:rPr>
          <w:rFonts w:hint="eastAsia" w:ascii="宋体" w:hAnsi="宋体"/>
          <w:szCs w:val="21"/>
        </w:rPr>
        <w:t>6、工作环境要求：</w:t>
      </w:r>
    </w:p>
    <w:p>
      <w:pPr>
        <w:ind w:firstLine="424" w:firstLineChars="202"/>
        <w:rPr>
          <w:rFonts w:ascii="宋体" w:hAnsi="宋体"/>
          <w:szCs w:val="21"/>
        </w:rPr>
      </w:pPr>
      <w:r>
        <w:rPr>
          <w:rFonts w:hint="eastAsia" w:ascii="宋体" w:hAnsi="宋体"/>
          <w:szCs w:val="21"/>
        </w:rPr>
        <w:t>(1)环境温度：-20℃至80℃；</w:t>
      </w:r>
    </w:p>
    <w:p>
      <w:pPr>
        <w:ind w:firstLine="424" w:firstLineChars="202"/>
        <w:rPr>
          <w:rFonts w:ascii="宋体" w:hAnsi="宋体"/>
          <w:szCs w:val="21"/>
        </w:rPr>
      </w:pPr>
      <w:r>
        <w:rPr>
          <w:rFonts w:hint="eastAsia" w:ascii="宋体" w:hAnsi="宋体"/>
          <w:szCs w:val="21"/>
        </w:rPr>
        <w:t>(2)环境湿度：相对湿度90%RH；</w:t>
      </w:r>
    </w:p>
    <w:p>
      <w:pPr>
        <w:ind w:firstLine="424" w:firstLineChars="202"/>
        <w:rPr>
          <w:rFonts w:hint="eastAsia" w:ascii="宋体" w:hAnsi="宋体"/>
          <w:szCs w:val="21"/>
        </w:rPr>
      </w:pPr>
      <w:r>
        <w:rPr>
          <w:rFonts w:hint="eastAsia" w:ascii="宋体" w:hAnsi="宋体"/>
          <w:szCs w:val="21"/>
        </w:rPr>
        <w:t>(3)防护等级：IP67。</w:t>
      </w:r>
    </w:p>
    <w:p>
      <w:pPr>
        <w:ind w:firstLine="422" w:firstLineChars="200"/>
        <w:rPr>
          <w:rFonts w:hint="eastAsia" w:ascii="宋体" w:hAnsi="宋体"/>
          <w:b/>
          <w:bCs/>
          <w:szCs w:val="21"/>
        </w:rPr>
      </w:pPr>
      <w:r>
        <w:rPr>
          <w:rFonts w:hint="eastAsia" w:ascii="宋体" w:hAnsi="宋体"/>
          <w:b/>
          <w:bCs/>
          <w:szCs w:val="21"/>
        </w:rPr>
        <w:t>智能语音模块</w:t>
      </w:r>
    </w:p>
    <w:p>
      <w:pPr>
        <w:ind w:firstLine="420" w:firstLineChars="200"/>
        <w:rPr>
          <w:rFonts w:hint="eastAsia" w:ascii="宋体" w:hAnsi="宋体"/>
          <w:szCs w:val="21"/>
        </w:rPr>
      </w:pPr>
      <w:r>
        <w:rPr>
          <w:rFonts w:hint="eastAsia" w:ascii="宋体" w:hAnsi="宋体"/>
          <w:szCs w:val="21"/>
        </w:rPr>
        <w:t>1、驱动组成：WT2003H-24SS高品质MP3语音芯片、PAM8320功放模块、UART指定插播地址音乐播放模块IC， 可以提供高保真人声发音；</w:t>
      </w:r>
    </w:p>
    <w:p>
      <w:pPr>
        <w:ind w:firstLine="420" w:firstLineChars="200"/>
        <w:rPr>
          <w:rFonts w:hint="eastAsia" w:ascii="宋体" w:hAnsi="宋体"/>
          <w:szCs w:val="21"/>
        </w:rPr>
      </w:pPr>
      <w:r>
        <w:rPr>
          <w:rFonts w:hint="eastAsia" w:ascii="宋体" w:hAnsi="宋体"/>
          <w:szCs w:val="21"/>
        </w:rPr>
        <w:t>2、扬声器采用保真高音喇叭，聚合物音盆，防水效果 好；阻抗：4欧姆，功率12W。响应频率：80-20000Hz。灵敏 度(最大声压级) 110分贝。</w:t>
      </w:r>
    </w:p>
    <w:p>
      <w:pPr>
        <w:ind w:firstLine="422" w:firstLineChars="200"/>
        <w:rPr>
          <w:rFonts w:hint="eastAsia" w:ascii="宋体" w:hAnsi="宋体"/>
          <w:b/>
          <w:bCs/>
          <w:szCs w:val="21"/>
        </w:rPr>
      </w:pPr>
      <w:r>
        <w:rPr>
          <w:rFonts w:hint="eastAsia" w:ascii="宋体" w:hAnsi="宋体"/>
          <w:b/>
          <w:bCs/>
          <w:szCs w:val="21"/>
        </w:rPr>
        <w:t>嵌入式主控模块</w:t>
      </w:r>
    </w:p>
    <w:p>
      <w:pPr>
        <w:ind w:firstLine="420" w:firstLineChars="200"/>
        <w:rPr>
          <w:rFonts w:ascii="宋体" w:hAnsi="宋体"/>
          <w:szCs w:val="21"/>
        </w:rPr>
      </w:pPr>
      <w:r>
        <w:rPr>
          <w:rFonts w:hint="eastAsia" w:ascii="宋体" w:hAnsi="宋体"/>
          <w:szCs w:val="21"/>
        </w:rPr>
        <w:t>1、产品采用基于ARM® Cortex®-M系列内核的STM32系列 高性能MCU，32位处理器，工作频率高达550 MHz。从  Flash执行程序时，STM32系列能够实现2778 CoreMark /1177 DMIPS的性能。STM32系列MCU包含以下安全特性：</w:t>
      </w:r>
    </w:p>
    <w:p>
      <w:pPr>
        <w:ind w:firstLine="420" w:firstLineChars="200"/>
        <w:rPr>
          <w:rFonts w:ascii="宋体" w:hAnsi="宋体"/>
          <w:szCs w:val="21"/>
        </w:rPr>
      </w:pPr>
      <w:r>
        <w:rPr>
          <w:rFonts w:hint="eastAsia" w:ascii="宋体" w:hAnsi="宋体"/>
          <w:szCs w:val="21"/>
        </w:rPr>
        <w:t xml:space="preserve"> (1) 加密/Hash硬件加速器</w:t>
      </w:r>
    </w:p>
    <w:p>
      <w:pPr>
        <w:ind w:firstLine="420" w:firstLineChars="200"/>
        <w:rPr>
          <w:rFonts w:ascii="宋体" w:hAnsi="宋体"/>
          <w:szCs w:val="21"/>
        </w:rPr>
      </w:pPr>
      <w:r>
        <w:rPr>
          <w:rFonts w:hint="eastAsia" w:ascii="宋体" w:hAnsi="宋体"/>
          <w:szCs w:val="21"/>
        </w:rPr>
        <w:t xml:space="preserve"> (2) STM32H757支持嵌入式安全固件安装服务 (SFI)，可在执行初始程序时执行安全验证并保护软件IP。 安全启动和安全固件升级(SBSFU) 。</w:t>
      </w:r>
    </w:p>
    <w:p>
      <w:pPr>
        <w:ind w:firstLine="420" w:firstLineChars="200"/>
        <w:rPr>
          <w:rFonts w:ascii="宋体" w:hAnsi="宋体"/>
          <w:szCs w:val="21"/>
        </w:rPr>
      </w:pPr>
      <w:r>
        <w:rPr>
          <w:rFonts w:hint="eastAsia" w:ascii="宋体" w:hAnsi="宋体"/>
          <w:szCs w:val="21"/>
        </w:rPr>
        <w:t>2、系统控制主板具有以下功能：</w:t>
      </w:r>
    </w:p>
    <w:p>
      <w:pPr>
        <w:ind w:firstLine="420" w:firstLineChars="200"/>
        <w:rPr>
          <w:rFonts w:ascii="宋体" w:hAnsi="宋体"/>
          <w:szCs w:val="21"/>
        </w:rPr>
      </w:pPr>
      <w:r>
        <w:rPr>
          <w:rFonts w:hint="eastAsia" w:ascii="宋体" w:hAnsi="宋体"/>
          <w:szCs w:val="21"/>
        </w:rPr>
        <w:t>(1) 系统控制主板应具有无线双向通讯功能；</w:t>
      </w:r>
    </w:p>
    <w:p>
      <w:pPr>
        <w:ind w:firstLine="420" w:firstLineChars="200"/>
        <w:rPr>
          <w:rFonts w:ascii="宋体" w:hAnsi="宋体"/>
          <w:szCs w:val="21"/>
        </w:rPr>
      </w:pPr>
      <w:r>
        <w:rPr>
          <w:rFonts w:hint="eastAsia" w:ascii="宋体" w:hAnsi="宋体"/>
          <w:szCs w:val="21"/>
        </w:rPr>
        <w:t>(2) 系统控制主板应具有多信道抗干扰功能；</w:t>
      </w:r>
    </w:p>
    <w:p>
      <w:pPr>
        <w:ind w:firstLine="420" w:firstLineChars="200"/>
        <w:rPr>
          <w:rFonts w:ascii="宋体" w:hAnsi="宋体"/>
          <w:szCs w:val="21"/>
        </w:rPr>
      </w:pPr>
      <w:r>
        <w:rPr>
          <w:rFonts w:hint="eastAsia" w:ascii="宋体" w:hAnsi="宋体"/>
          <w:szCs w:val="21"/>
        </w:rPr>
        <w:t>(3) 系统控制主板应具有静电放电抗干扰功能；</w:t>
      </w:r>
    </w:p>
    <w:p>
      <w:pPr>
        <w:ind w:firstLine="420" w:firstLineChars="200"/>
        <w:rPr>
          <w:rFonts w:hint="eastAsia" w:ascii="宋体" w:hAnsi="宋体"/>
          <w:szCs w:val="21"/>
        </w:rPr>
      </w:pPr>
      <w:r>
        <w:rPr>
          <w:rFonts w:hint="eastAsia" w:ascii="宋体" w:hAnsi="宋体"/>
          <w:szCs w:val="21"/>
        </w:rPr>
        <w:t>(4) 系统控制主板应具12VDC~24VDC宽电压功能。</w:t>
      </w:r>
    </w:p>
    <w:p>
      <w:pPr>
        <w:ind w:firstLine="420" w:firstLineChars="200"/>
        <w:rPr>
          <w:rFonts w:ascii="宋体" w:hAnsi="宋体"/>
          <w:szCs w:val="21"/>
        </w:rPr>
      </w:pPr>
      <w:r>
        <w:rPr>
          <w:rFonts w:hint="eastAsia" w:ascii="宋体" w:hAnsi="宋体"/>
          <w:szCs w:val="21"/>
        </w:rPr>
        <w:t>3.工作环境要求：</w:t>
      </w:r>
    </w:p>
    <w:p>
      <w:pPr>
        <w:ind w:firstLine="420" w:firstLineChars="200"/>
        <w:rPr>
          <w:rFonts w:ascii="宋体" w:hAnsi="宋体"/>
          <w:szCs w:val="21"/>
        </w:rPr>
      </w:pPr>
      <w:r>
        <w:rPr>
          <w:rFonts w:hint="eastAsia" w:ascii="宋体" w:hAnsi="宋体"/>
          <w:szCs w:val="21"/>
        </w:rPr>
        <w:t>(1)环境温度：-20℃至80℃；</w:t>
      </w:r>
    </w:p>
    <w:p>
      <w:pPr>
        <w:ind w:firstLine="420" w:firstLineChars="200"/>
        <w:rPr>
          <w:rFonts w:hint="eastAsia" w:ascii="宋体" w:hAnsi="宋体"/>
          <w:szCs w:val="21"/>
        </w:rPr>
      </w:pPr>
      <w:r>
        <w:rPr>
          <w:rFonts w:hint="eastAsia" w:ascii="宋体" w:hAnsi="宋体"/>
          <w:szCs w:val="21"/>
        </w:rPr>
        <w:t>(2)环境湿度：相对湿度98%RH。</w:t>
      </w:r>
    </w:p>
    <w:p>
      <w:pPr>
        <w:ind w:firstLine="422" w:firstLineChars="200"/>
        <w:rPr>
          <w:rFonts w:hint="eastAsia" w:ascii="宋体" w:hAnsi="宋体"/>
          <w:b/>
          <w:bCs/>
          <w:szCs w:val="21"/>
        </w:rPr>
      </w:pPr>
      <w:r>
        <w:rPr>
          <w:rFonts w:hint="eastAsia" w:ascii="宋体" w:hAnsi="宋体"/>
          <w:b/>
          <w:bCs/>
          <w:szCs w:val="21"/>
        </w:rPr>
        <w:t>智能无线通讯模块</w:t>
      </w:r>
    </w:p>
    <w:p>
      <w:pPr>
        <w:ind w:left="420" w:leftChars="200"/>
        <w:rPr>
          <w:rFonts w:ascii="宋体" w:hAnsi="宋体"/>
          <w:szCs w:val="21"/>
        </w:rPr>
      </w:pPr>
      <w:r>
        <w:rPr>
          <w:rFonts w:hint="eastAsia" w:ascii="宋体" w:hAnsi="宋体"/>
          <w:szCs w:val="21"/>
        </w:rPr>
        <w:t>1、无线通信采用新型的SX127x平台，无线模块接收状态的电流为4.2mA；</w:t>
      </w:r>
    </w:p>
    <w:p>
      <w:pPr>
        <w:ind w:left="420" w:leftChars="200"/>
        <w:rPr>
          <w:rFonts w:ascii="宋体" w:hAnsi="宋体"/>
          <w:szCs w:val="21"/>
        </w:rPr>
      </w:pPr>
      <w:r>
        <w:rPr>
          <w:rFonts w:hint="eastAsia" w:ascii="宋体" w:hAnsi="宋体"/>
          <w:szCs w:val="21"/>
        </w:rPr>
        <w:t>2、该芯片支持用于LPWAN使用的LoRa调制方式和传统用 处的(G)FSK调制方式；</w:t>
      </w:r>
    </w:p>
    <w:p>
      <w:pPr>
        <w:ind w:left="420" w:leftChars="200"/>
        <w:rPr>
          <w:rFonts w:ascii="宋体" w:hAnsi="宋体"/>
          <w:szCs w:val="21"/>
        </w:rPr>
      </w:pPr>
      <w:r>
        <w:rPr>
          <w:rFonts w:hint="eastAsia" w:ascii="宋体" w:hAnsi="宋体"/>
          <w:szCs w:val="21"/>
        </w:rPr>
        <w:t>3、该芯片最大的输出功率可达+22dBm,并且支持434/490/868/915MHz；</w:t>
      </w:r>
    </w:p>
    <w:p>
      <w:pPr>
        <w:ind w:left="420" w:leftChars="200"/>
        <w:rPr>
          <w:rFonts w:hint="eastAsia" w:ascii="宋体" w:hAnsi="宋体"/>
          <w:szCs w:val="21"/>
        </w:rPr>
      </w:pPr>
      <w:r>
        <w:rPr>
          <w:rFonts w:hint="eastAsia" w:ascii="宋体" w:hAnsi="宋体"/>
          <w:szCs w:val="21"/>
        </w:rPr>
        <w:t>4、通信模块具有高效的接收灵敏度和超强的抗干扰性能，半双工通信，ISM多波段。</w:t>
      </w:r>
    </w:p>
    <w:p>
      <w:pPr>
        <w:ind w:firstLine="422" w:firstLineChars="200"/>
        <w:rPr>
          <w:rFonts w:hint="eastAsia" w:ascii="宋体" w:hAnsi="宋体"/>
          <w:b/>
          <w:bCs/>
          <w:szCs w:val="21"/>
        </w:rPr>
      </w:pPr>
      <w:r>
        <w:rPr>
          <w:rFonts w:hint="eastAsia" w:ascii="宋体" w:hAnsi="宋体"/>
          <w:b/>
          <w:bCs/>
          <w:szCs w:val="21"/>
        </w:rPr>
        <w:t>开关电源</w:t>
      </w:r>
    </w:p>
    <w:p>
      <w:pPr>
        <w:ind w:left="420" w:leftChars="200"/>
        <w:rPr>
          <w:rFonts w:ascii="宋体" w:hAnsi="宋体"/>
          <w:szCs w:val="21"/>
        </w:rPr>
      </w:pPr>
      <w:r>
        <w:rPr>
          <w:rFonts w:hint="eastAsia" w:ascii="宋体" w:hAnsi="宋体"/>
          <w:szCs w:val="21"/>
        </w:rPr>
        <w:t>1、采用工程级防雨开关电源；</w:t>
      </w:r>
    </w:p>
    <w:p>
      <w:pPr>
        <w:ind w:left="420" w:leftChars="200"/>
        <w:rPr>
          <w:rFonts w:ascii="宋体" w:hAnsi="宋体"/>
          <w:szCs w:val="21"/>
        </w:rPr>
      </w:pPr>
      <w:r>
        <w:rPr>
          <w:rFonts w:hint="eastAsia" w:ascii="宋体" w:hAnsi="宋体"/>
          <w:szCs w:val="21"/>
        </w:rPr>
        <w:t>2、产品通过中国3C强制认证；</w:t>
      </w:r>
    </w:p>
    <w:p>
      <w:pPr>
        <w:ind w:left="420" w:leftChars="200"/>
        <w:rPr>
          <w:rFonts w:ascii="宋体" w:hAnsi="宋体"/>
          <w:szCs w:val="21"/>
        </w:rPr>
      </w:pPr>
      <w:r>
        <w:rPr>
          <w:rFonts w:hint="eastAsia" w:ascii="宋体" w:hAnsi="宋体"/>
          <w:szCs w:val="21"/>
        </w:rPr>
        <w:t>3、防护等级：IP65；</w:t>
      </w:r>
    </w:p>
    <w:p>
      <w:pPr>
        <w:ind w:left="420" w:leftChars="200"/>
        <w:rPr>
          <w:rFonts w:ascii="宋体" w:hAnsi="宋体"/>
          <w:szCs w:val="21"/>
        </w:rPr>
      </w:pPr>
      <w:r>
        <w:rPr>
          <w:rFonts w:hint="eastAsia" w:ascii="宋体" w:hAnsi="宋体"/>
          <w:szCs w:val="21"/>
        </w:rPr>
        <w:t>4、电路保护：短路/过负载/过电压/过热；</w:t>
      </w:r>
    </w:p>
    <w:p>
      <w:pPr>
        <w:ind w:left="420" w:leftChars="200"/>
        <w:rPr>
          <w:rFonts w:ascii="宋体" w:hAnsi="宋体"/>
          <w:szCs w:val="21"/>
        </w:rPr>
      </w:pPr>
      <w:r>
        <w:rPr>
          <w:rFonts w:hint="eastAsia" w:ascii="宋体" w:hAnsi="宋体"/>
          <w:szCs w:val="21"/>
        </w:rPr>
        <w:t>5、内置风扇，有效控制温升；</w:t>
      </w:r>
    </w:p>
    <w:p>
      <w:pPr>
        <w:ind w:left="420" w:leftChars="200"/>
        <w:rPr>
          <w:rFonts w:ascii="宋体" w:hAnsi="宋体"/>
          <w:szCs w:val="21"/>
        </w:rPr>
      </w:pPr>
      <w:r>
        <w:rPr>
          <w:rFonts w:hint="eastAsia" w:ascii="宋体" w:hAnsi="宋体"/>
          <w:szCs w:val="21"/>
        </w:rPr>
        <w:t>6、宽电压输入：180-265VAC；</w:t>
      </w:r>
    </w:p>
    <w:p>
      <w:pPr>
        <w:ind w:left="420" w:leftChars="200"/>
        <w:rPr>
          <w:rFonts w:ascii="宋体" w:hAnsi="宋体"/>
          <w:szCs w:val="21"/>
        </w:rPr>
      </w:pPr>
      <w:r>
        <w:rPr>
          <w:rFonts w:hint="eastAsia" w:ascii="宋体" w:hAnsi="宋体"/>
          <w:szCs w:val="21"/>
        </w:rPr>
        <w:t>7、稳压输出：12±0.2VDC；</w:t>
      </w:r>
    </w:p>
    <w:p>
      <w:pPr>
        <w:ind w:left="420" w:leftChars="200"/>
        <w:rPr>
          <w:rFonts w:hint="eastAsia" w:ascii="宋体" w:hAnsi="宋体"/>
          <w:szCs w:val="21"/>
        </w:rPr>
      </w:pPr>
      <w:r>
        <w:rPr>
          <w:rFonts w:hint="eastAsia" w:ascii="宋体" w:hAnsi="宋体"/>
          <w:szCs w:val="21"/>
        </w:rPr>
        <w:t>8、最大功率支持400。</w:t>
      </w:r>
    </w:p>
    <w:p>
      <w:pPr>
        <w:ind w:firstLine="422" w:firstLineChars="200"/>
        <w:rPr>
          <w:rFonts w:hint="eastAsia" w:ascii="宋体" w:hAnsi="宋体"/>
          <w:b/>
          <w:bCs/>
          <w:szCs w:val="21"/>
        </w:rPr>
      </w:pPr>
      <w:r>
        <w:rPr>
          <w:rFonts w:hint="eastAsia" w:ascii="宋体" w:hAnsi="宋体"/>
          <w:b/>
          <w:bCs/>
          <w:szCs w:val="21"/>
        </w:rPr>
        <w:t>自动重合闸用电保护器</w:t>
      </w:r>
    </w:p>
    <w:p>
      <w:pPr>
        <w:ind w:firstLine="420" w:firstLineChars="200"/>
        <w:rPr>
          <w:rFonts w:hint="eastAsia" w:ascii="宋体" w:hAnsi="宋体"/>
          <w:szCs w:val="21"/>
        </w:rPr>
      </w:pPr>
      <w:r>
        <w:rPr>
          <w:rFonts w:hint="eastAsia" w:ascii="宋体" w:hAnsi="宋体"/>
          <w:szCs w:val="21"/>
        </w:rPr>
        <w:t>1、具备自动复位、过压、欠压、过流、漏电、防雷、延时保护功能和电压显示、设置等功能。</w:t>
      </w:r>
    </w:p>
    <w:p>
      <w:pPr>
        <w:ind w:firstLine="422" w:firstLineChars="200"/>
        <w:rPr>
          <w:rFonts w:hint="eastAsia" w:ascii="宋体" w:hAnsi="宋体"/>
          <w:b/>
          <w:bCs/>
          <w:szCs w:val="21"/>
        </w:rPr>
      </w:pPr>
      <w:r>
        <w:rPr>
          <w:rFonts w:hint="eastAsia" w:ascii="宋体" w:hAnsi="宋体"/>
          <w:b/>
          <w:bCs/>
          <w:szCs w:val="21"/>
        </w:rPr>
        <w:t>智能交通视频检测器</w:t>
      </w:r>
    </w:p>
    <w:p>
      <w:pPr>
        <w:ind w:firstLine="420" w:firstLineChars="200"/>
        <w:rPr>
          <w:rFonts w:hint="eastAsia" w:ascii="宋体" w:hAnsi="宋体"/>
          <w:szCs w:val="21"/>
        </w:rPr>
      </w:pPr>
      <w:r>
        <w:rPr>
          <w:rFonts w:hint="eastAsia" w:ascii="宋体" w:hAnsi="宋体"/>
          <w:szCs w:val="21"/>
        </w:rPr>
        <w:t>1、检测器采用200万像素的筒型摄像机，支持最低照度：02Lux @(F1.2,AGC ON) ,0 Lux with IR ，满足高清画质+非常昏暗的场景应用，ICR 红外滤片式自动切换,实 现日夜监控；</w:t>
      </w:r>
    </w:p>
    <w:p>
      <w:pPr>
        <w:ind w:firstLine="420" w:firstLineChars="200"/>
        <w:rPr>
          <w:rFonts w:ascii="宋体" w:hAnsi="宋体"/>
          <w:szCs w:val="21"/>
        </w:rPr>
      </w:pPr>
      <w:r>
        <w:rPr>
          <w:rFonts w:hint="eastAsia" w:ascii="宋体" w:hAnsi="宋体"/>
          <w:szCs w:val="21"/>
        </w:rPr>
        <w:t>2、智能侦测：采用深度学习硬件及算法,提供精准的人车 分类侦测,支持区域有人存在持续报警检测模式；</w:t>
      </w:r>
    </w:p>
    <w:p>
      <w:pPr>
        <w:ind w:firstLine="420" w:firstLineChars="200"/>
        <w:rPr>
          <w:rFonts w:hint="eastAsia" w:ascii="宋体" w:hAnsi="宋体"/>
          <w:szCs w:val="21"/>
        </w:rPr>
      </w:pPr>
      <w:r>
        <w:rPr>
          <w:rFonts w:hint="eastAsia" w:ascii="宋体" w:hAnsi="宋体"/>
          <w:szCs w:val="21"/>
        </w:rPr>
        <w:t>3、防护等级：符合 IP67 ，环境温度：-30℃至60℃,湿 度小于 95%(无凝结) ；</w:t>
      </w:r>
    </w:p>
    <w:p>
      <w:pPr>
        <w:ind w:firstLine="420" w:firstLineChars="200"/>
        <w:rPr>
          <w:rFonts w:hint="eastAsia" w:ascii="宋体" w:hAnsi="宋体"/>
          <w:szCs w:val="21"/>
        </w:rPr>
      </w:pPr>
      <w:r>
        <w:rPr>
          <w:rFonts w:hint="eastAsia" w:ascii="宋体" w:hAnsi="宋体"/>
          <w:szCs w:val="21"/>
        </w:rPr>
        <w:t>4、工作电压：DC12V±25% ；</w:t>
      </w:r>
    </w:p>
    <w:p>
      <w:pPr>
        <w:ind w:firstLine="420" w:firstLineChars="200"/>
        <w:rPr>
          <w:rFonts w:hint="eastAsia" w:ascii="宋体" w:hAnsi="宋体"/>
          <w:szCs w:val="21"/>
        </w:rPr>
      </w:pPr>
      <w:r>
        <w:rPr>
          <w:rFonts w:hint="eastAsia" w:ascii="宋体" w:hAnsi="宋体"/>
          <w:szCs w:val="21"/>
        </w:rPr>
        <w:t>5、电源接口类型：Φ5.5mm 圆头电源接口，1 个 RJ4510M / 100M 自适应以太网口；</w:t>
      </w:r>
    </w:p>
    <w:p>
      <w:pPr>
        <w:ind w:firstLine="420" w:firstLineChars="200"/>
        <w:rPr>
          <w:rFonts w:hint="eastAsia" w:ascii="宋体" w:hAnsi="宋体"/>
          <w:szCs w:val="21"/>
        </w:rPr>
      </w:pPr>
      <w:r>
        <w:rPr>
          <w:rFonts w:hint="eastAsia" w:ascii="宋体" w:hAnsi="宋体"/>
          <w:szCs w:val="21"/>
        </w:rPr>
        <w:t>6、支持视频录像采集，支持H.265编码，可提供多制式视 频转换。可自由设置录像参数，包括：帧率、图像大小、 分辨率等；视频本地储存介质为Micro SD卡，最大支持512G。</w:t>
      </w:r>
    </w:p>
    <w:p>
      <w:pPr>
        <w:ind w:firstLine="422" w:firstLineChars="200"/>
        <w:rPr>
          <w:rFonts w:hint="eastAsia" w:ascii="宋体" w:hAnsi="宋体"/>
          <w:b/>
          <w:bCs/>
          <w:szCs w:val="21"/>
        </w:rPr>
      </w:pPr>
      <w:r>
        <w:rPr>
          <w:rFonts w:hint="eastAsia" w:ascii="宋体" w:hAnsi="宋体"/>
          <w:b/>
          <w:bCs/>
          <w:szCs w:val="21"/>
        </w:rPr>
        <w:t>五、工作要求及安全文明施工</w:t>
      </w:r>
    </w:p>
    <w:p>
      <w:pPr>
        <w:ind w:firstLine="422" w:firstLineChars="200"/>
        <w:rPr>
          <w:rFonts w:hint="eastAsia" w:ascii="宋体" w:hAnsi="宋体"/>
          <w:b/>
          <w:bCs/>
          <w:szCs w:val="21"/>
        </w:rPr>
      </w:pPr>
      <w:r>
        <w:rPr>
          <w:rFonts w:hint="eastAsia" w:ascii="宋体" w:hAnsi="宋体"/>
          <w:b/>
          <w:bCs/>
          <w:szCs w:val="21"/>
        </w:rPr>
        <w:t>一）、工作要求</w:t>
      </w:r>
    </w:p>
    <w:p>
      <w:pPr>
        <w:ind w:firstLine="420" w:firstLineChars="200"/>
        <w:rPr>
          <w:rFonts w:ascii="宋体" w:hAnsi="宋体"/>
          <w:szCs w:val="21"/>
        </w:rPr>
      </w:pPr>
      <w:r>
        <w:rPr>
          <w:rFonts w:hint="eastAsia" w:ascii="宋体" w:hAnsi="宋体"/>
          <w:szCs w:val="21"/>
        </w:rPr>
        <w:t>1、按有关技术规范进行施工，确保项目质量，按时完成区域范围内的交通设施维护工作；所使用的主要原材料均需要提供检测报告或质量保证单并建立项目施工的质量保证体系；</w:t>
      </w:r>
    </w:p>
    <w:p>
      <w:pPr>
        <w:ind w:firstLine="420" w:firstLineChars="200"/>
        <w:rPr>
          <w:rFonts w:hint="eastAsia" w:ascii="宋体" w:hAnsi="宋体"/>
          <w:szCs w:val="21"/>
        </w:rPr>
      </w:pPr>
      <w:r>
        <w:rPr>
          <w:rFonts w:hint="eastAsia" w:ascii="宋体" w:hAnsi="宋体"/>
          <w:szCs w:val="21"/>
        </w:rPr>
        <w:t>2、建立相关台账日常收集建立（拆除设施的出入库台账登记；维护清单中包含维修前后对比照片、拆除的设施照片等三类照片，并将拆除设施汇总入库，制作相应清单台账），每月5日前上报上月的工作量、工作数据等，每月完成工作量清单的签字审核并上报秩序科及监理单位；</w:t>
      </w:r>
    </w:p>
    <w:p>
      <w:pPr>
        <w:ind w:firstLine="420" w:firstLineChars="200"/>
        <w:rPr>
          <w:rFonts w:hint="eastAsia" w:ascii="宋体" w:hAnsi="宋体"/>
          <w:szCs w:val="21"/>
        </w:rPr>
      </w:pPr>
      <w:r>
        <w:rPr>
          <w:rFonts w:hint="eastAsia" w:ascii="宋体" w:hAnsi="宋体"/>
          <w:szCs w:val="21"/>
        </w:rPr>
        <w:t>3、负责施工场地的安全文明生产。接受交通警察支队、监理对文明施工、安全施工、质量、施工时效等的监管；</w:t>
      </w:r>
    </w:p>
    <w:p>
      <w:pPr>
        <w:ind w:firstLine="420" w:firstLineChars="200"/>
        <w:rPr>
          <w:rFonts w:hint="eastAsia" w:ascii="宋体" w:hAnsi="宋体"/>
          <w:szCs w:val="21"/>
        </w:rPr>
      </w:pPr>
      <w:r>
        <w:rPr>
          <w:rFonts w:hint="eastAsia" w:ascii="宋体" w:hAnsi="宋体"/>
          <w:szCs w:val="21"/>
        </w:rPr>
        <w:t>4、辖区大队、中队、监理在巡查过程中发现中标单位在施工中不按国家有关标准设置，经交通警察支队确认后，施工单位无条件返工；</w:t>
      </w:r>
    </w:p>
    <w:p>
      <w:pPr>
        <w:ind w:firstLine="420" w:firstLineChars="200"/>
        <w:rPr>
          <w:rFonts w:hint="eastAsia" w:ascii="宋体" w:hAnsi="宋体"/>
          <w:szCs w:val="21"/>
        </w:rPr>
      </w:pPr>
      <w:r>
        <w:rPr>
          <w:rFonts w:hint="eastAsia" w:ascii="宋体" w:hAnsi="宋体"/>
          <w:szCs w:val="21"/>
        </w:rPr>
        <w:t>5、除业主要求外，更换后的交通安全设施须和原有设施品牌一致。；新的信号灯灯组更换时，维护的信号灯组品牌原则上原有品牌一致，更换前必须由业主和监理确认。</w:t>
      </w:r>
    </w:p>
    <w:p>
      <w:pPr>
        <w:ind w:firstLine="422" w:firstLineChars="200"/>
        <w:rPr>
          <w:rFonts w:ascii="宋体" w:hAnsi="宋体"/>
          <w:b/>
          <w:bCs/>
          <w:szCs w:val="21"/>
        </w:rPr>
      </w:pPr>
      <w:r>
        <w:rPr>
          <w:rFonts w:hint="eastAsia" w:ascii="宋体" w:hAnsi="宋体"/>
          <w:b/>
          <w:bCs/>
          <w:szCs w:val="21"/>
        </w:rPr>
        <w:t>二）、安全文明施工与检查</w:t>
      </w:r>
    </w:p>
    <w:p>
      <w:pPr>
        <w:ind w:firstLine="420" w:firstLineChars="200"/>
        <w:rPr>
          <w:rFonts w:ascii="宋体" w:hAnsi="宋体"/>
          <w:szCs w:val="21"/>
        </w:rPr>
      </w:pPr>
      <w:r>
        <w:rPr>
          <w:rFonts w:hint="eastAsia" w:ascii="宋体" w:hAnsi="宋体"/>
          <w:szCs w:val="21"/>
        </w:rPr>
        <w:t>1.1供应商应遵循有关规定及行业规范，严格按照操作规程作业，并随时接受采购人或有关部门的监督检查和社会监督，采取必要的安全防护措施，消除事故隐患。</w:t>
      </w:r>
    </w:p>
    <w:p>
      <w:pPr>
        <w:ind w:firstLine="420" w:firstLineChars="200"/>
        <w:rPr>
          <w:rFonts w:ascii="宋体" w:hAnsi="宋体"/>
          <w:szCs w:val="21"/>
        </w:rPr>
      </w:pPr>
      <w:r>
        <w:rPr>
          <w:rFonts w:hint="eastAsia" w:ascii="宋体" w:hAnsi="宋体"/>
          <w:szCs w:val="21"/>
        </w:rPr>
        <w:t>1.2由于供应商管理不善，引起政府职能部门处罚和限期整改，或安全措施不力造成事故的责任和因此发生的费用，由供应商承担。</w:t>
      </w:r>
    </w:p>
    <w:p>
      <w:pPr>
        <w:ind w:firstLine="422" w:firstLineChars="200"/>
        <w:rPr>
          <w:rFonts w:ascii="宋体" w:hAnsi="宋体"/>
          <w:b/>
          <w:bCs/>
          <w:szCs w:val="21"/>
        </w:rPr>
      </w:pPr>
      <w:r>
        <w:rPr>
          <w:rFonts w:hint="eastAsia" w:ascii="宋体" w:hAnsi="宋体"/>
          <w:b/>
          <w:bCs/>
          <w:szCs w:val="21"/>
        </w:rPr>
        <w:t>2.安全防护</w:t>
      </w:r>
    </w:p>
    <w:p>
      <w:pPr>
        <w:ind w:firstLine="420" w:firstLineChars="200"/>
        <w:rPr>
          <w:rFonts w:ascii="宋体" w:hAnsi="宋体"/>
          <w:szCs w:val="21"/>
        </w:rPr>
      </w:pPr>
      <w:r>
        <w:rPr>
          <w:rFonts w:hint="eastAsia" w:ascii="宋体" w:hAnsi="宋体"/>
          <w:szCs w:val="21"/>
        </w:rPr>
        <w:t>2.1作业人员应做好各项安全防范措施，必须着装上岗操作。</w:t>
      </w:r>
    </w:p>
    <w:p>
      <w:pPr>
        <w:ind w:firstLine="422" w:firstLineChars="200"/>
        <w:rPr>
          <w:rFonts w:ascii="宋体" w:hAnsi="宋体"/>
          <w:b/>
          <w:bCs/>
          <w:szCs w:val="21"/>
        </w:rPr>
      </w:pPr>
      <w:r>
        <w:rPr>
          <w:rFonts w:hint="eastAsia" w:ascii="宋体" w:hAnsi="宋体"/>
          <w:b/>
          <w:bCs/>
          <w:szCs w:val="21"/>
        </w:rPr>
        <w:t>3.事故处理</w:t>
      </w:r>
    </w:p>
    <w:p>
      <w:pPr>
        <w:ind w:firstLine="420" w:firstLineChars="200"/>
        <w:rPr>
          <w:rFonts w:hint="eastAsia" w:ascii="宋体" w:hAnsi="宋体"/>
          <w:szCs w:val="21"/>
        </w:rPr>
      </w:pPr>
      <w:r>
        <w:rPr>
          <w:rFonts w:hint="eastAsia" w:ascii="宋体" w:hAnsi="宋体"/>
          <w:szCs w:val="21"/>
        </w:rPr>
        <w:t>3.1发生重大伤亡及其他安全事故，供应商按有关规定立即上报有关部门并通知采购人代表，同时按政府有关部门要求处理由事故责任方承担发生的费用。</w:t>
      </w:r>
    </w:p>
    <w:p>
      <w:pPr>
        <w:ind w:firstLine="422" w:firstLineChars="200"/>
        <w:rPr>
          <w:rFonts w:ascii="宋体" w:hAnsi="宋体"/>
          <w:b/>
          <w:bCs/>
          <w:szCs w:val="21"/>
        </w:rPr>
      </w:pPr>
      <w:r>
        <w:rPr>
          <w:rFonts w:hint="eastAsia" w:ascii="宋体" w:hAnsi="宋体"/>
          <w:b/>
          <w:bCs/>
          <w:szCs w:val="21"/>
        </w:rPr>
        <w:t>六、售后服务</w:t>
      </w:r>
      <w:bookmarkStart w:id="58" w:name="_Toc170792779"/>
    </w:p>
    <w:p>
      <w:pPr>
        <w:ind w:firstLine="420" w:firstLineChars="200"/>
        <w:rPr>
          <w:rFonts w:ascii="宋体" w:hAnsi="宋体"/>
          <w:szCs w:val="21"/>
        </w:rPr>
      </w:pPr>
      <w:r>
        <w:rPr>
          <w:rFonts w:ascii="宋体" w:hAnsi="宋体"/>
          <w:szCs w:val="21"/>
        </w:rPr>
        <w:t>1、供应商对其供货的</w:t>
      </w:r>
      <w:r>
        <w:rPr>
          <w:rFonts w:hint="eastAsia" w:ascii="宋体" w:hAnsi="宋体"/>
          <w:szCs w:val="21"/>
        </w:rPr>
        <w:t>货物</w:t>
      </w:r>
      <w:r>
        <w:rPr>
          <w:rFonts w:ascii="宋体" w:hAnsi="宋体"/>
          <w:szCs w:val="21"/>
        </w:rPr>
        <w:t>质量</w:t>
      </w:r>
      <w:r>
        <w:rPr>
          <w:rFonts w:hint="eastAsia" w:ascii="宋体" w:hAnsi="宋体"/>
          <w:szCs w:val="21"/>
        </w:rPr>
        <w:t>按国家规定</w:t>
      </w:r>
      <w:r>
        <w:rPr>
          <w:rFonts w:ascii="宋体" w:hAnsi="宋体"/>
          <w:szCs w:val="21"/>
        </w:rPr>
        <w:t>负责并实行三包。</w:t>
      </w:r>
    </w:p>
    <w:p>
      <w:pPr>
        <w:ind w:firstLine="422" w:firstLineChars="200"/>
        <w:rPr>
          <w:rFonts w:ascii="宋体" w:hAnsi="宋体"/>
          <w:b/>
          <w:bCs/>
          <w:szCs w:val="21"/>
        </w:rPr>
      </w:pPr>
      <w:r>
        <w:rPr>
          <w:rFonts w:hint="eastAsia" w:ascii="宋体" w:hAnsi="宋体"/>
          <w:b/>
          <w:bCs/>
          <w:szCs w:val="21"/>
        </w:rPr>
        <w:t>2、标线、信号灯（含发光原件）、护栏保修12个月，其它等保修12个月、标杆质保5年。</w:t>
      </w:r>
    </w:p>
    <w:p>
      <w:pPr>
        <w:ind w:firstLine="420" w:firstLineChars="200"/>
        <w:rPr>
          <w:rFonts w:ascii="宋体" w:hAnsi="宋体"/>
          <w:szCs w:val="21"/>
        </w:rPr>
      </w:pPr>
      <w:r>
        <w:rPr>
          <w:rFonts w:hint="eastAsia" w:ascii="宋体" w:hAnsi="宋体"/>
          <w:szCs w:val="21"/>
        </w:rPr>
        <w:t>质保期内的货物免费维修，不能维修的予以调换。</w:t>
      </w:r>
    </w:p>
    <w:p>
      <w:pPr>
        <w:ind w:firstLine="422" w:firstLineChars="200"/>
        <w:rPr>
          <w:rFonts w:ascii="宋体" w:hAnsi="宋体"/>
          <w:b/>
          <w:bCs/>
          <w:szCs w:val="21"/>
        </w:rPr>
      </w:pPr>
      <w:r>
        <w:rPr>
          <w:rFonts w:hint="eastAsia" w:ascii="宋体" w:hAnsi="宋体"/>
          <w:b/>
          <w:bCs/>
          <w:szCs w:val="21"/>
        </w:rPr>
        <w:t>七、备品备件</w:t>
      </w:r>
    </w:p>
    <w:p>
      <w:pPr>
        <w:ind w:firstLine="420" w:firstLineChars="200"/>
        <w:rPr>
          <w:rFonts w:ascii="宋体" w:hAnsi="宋体"/>
          <w:szCs w:val="21"/>
        </w:rPr>
      </w:pPr>
      <w:r>
        <w:rPr>
          <w:rFonts w:hint="eastAsia" w:ascii="宋体" w:hAnsi="宋体"/>
          <w:szCs w:val="21"/>
        </w:rPr>
        <w:t>1、</w:t>
      </w:r>
      <w:r>
        <w:rPr>
          <w:rFonts w:ascii="宋体" w:hAnsi="宋体"/>
          <w:szCs w:val="21"/>
        </w:rPr>
        <w:t>保</w:t>
      </w:r>
      <w:r>
        <w:rPr>
          <w:rFonts w:hint="eastAsia" w:ascii="宋体" w:hAnsi="宋体"/>
          <w:szCs w:val="21"/>
        </w:rPr>
        <w:t>修</w:t>
      </w:r>
      <w:r>
        <w:rPr>
          <w:rFonts w:ascii="宋体" w:hAnsi="宋体"/>
          <w:szCs w:val="21"/>
        </w:rPr>
        <w:t>期内如发生质量问题，供应商在接到采购人</w:t>
      </w:r>
      <w:r>
        <w:rPr>
          <w:rFonts w:hint="eastAsia" w:ascii="宋体" w:hAnsi="宋体"/>
          <w:szCs w:val="21"/>
        </w:rPr>
        <w:t>通知一天内</w:t>
      </w:r>
      <w:r>
        <w:rPr>
          <w:rFonts w:ascii="宋体" w:hAnsi="宋体"/>
          <w:szCs w:val="21"/>
        </w:rPr>
        <w:t>给予答复，如属</w:t>
      </w:r>
      <w:r>
        <w:rPr>
          <w:rFonts w:hint="eastAsia" w:ascii="宋体" w:hAnsi="宋体"/>
          <w:szCs w:val="21"/>
        </w:rPr>
        <w:t>于供应商的责任，供应商负责48小时修复、更换或退货，并承担由此发生的一切费用，一时确实无法修复的，准备替代品，修复后退回替代品。如因采购人使用不当造成的问题，供应商应积极配合解决。修复或更换时间最长不超过7</w:t>
      </w:r>
      <w:r>
        <w:rPr>
          <w:rFonts w:ascii="宋体" w:hAnsi="宋体"/>
          <w:szCs w:val="21"/>
        </w:rPr>
        <w:t>天。</w:t>
      </w:r>
    </w:p>
    <w:p>
      <w:pPr>
        <w:ind w:firstLine="420" w:firstLineChars="200"/>
        <w:rPr>
          <w:rFonts w:ascii="宋体" w:hAnsi="宋体"/>
          <w:szCs w:val="21"/>
        </w:rPr>
      </w:pPr>
      <w:r>
        <w:rPr>
          <w:rFonts w:hint="eastAsia" w:ascii="宋体" w:hAnsi="宋体"/>
          <w:szCs w:val="21"/>
        </w:rPr>
        <w:t>2、供应商</w:t>
      </w:r>
      <w:r>
        <w:rPr>
          <w:rFonts w:ascii="宋体" w:hAnsi="宋体"/>
          <w:szCs w:val="21"/>
        </w:rPr>
        <w:t>在收到采购人通知</w:t>
      </w:r>
      <w:r>
        <w:rPr>
          <w:rFonts w:hint="eastAsia" w:ascii="宋体" w:hAnsi="宋体"/>
          <w:szCs w:val="21"/>
        </w:rPr>
        <w:t>二</w:t>
      </w:r>
      <w:r>
        <w:rPr>
          <w:rFonts w:ascii="宋体" w:hAnsi="宋体"/>
          <w:szCs w:val="21"/>
        </w:rPr>
        <w:t>天内没有答复，则视为供应商承认质量问题，采购人有权进行自行处理，供应商承担由此产生的一切费用。</w:t>
      </w:r>
    </w:p>
    <w:p>
      <w:pPr>
        <w:ind w:firstLine="420" w:firstLineChars="200"/>
        <w:rPr>
          <w:rFonts w:hint="eastAsia" w:ascii="宋体" w:hAnsi="宋体"/>
          <w:szCs w:val="21"/>
        </w:rPr>
      </w:pPr>
      <w:r>
        <w:rPr>
          <w:rFonts w:hint="eastAsia" w:ascii="宋体" w:hAnsi="宋体"/>
          <w:szCs w:val="21"/>
        </w:rPr>
        <w:t>3、本项目备品备件产权归属供应商所有。</w:t>
      </w:r>
    </w:p>
    <w:p>
      <w:pPr>
        <w:ind w:firstLine="422" w:firstLineChars="200"/>
        <w:rPr>
          <w:rFonts w:ascii="宋体" w:hAnsi="宋体"/>
          <w:b/>
          <w:bCs/>
          <w:szCs w:val="21"/>
        </w:rPr>
      </w:pPr>
      <w:r>
        <w:rPr>
          <w:rFonts w:hint="eastAsia" w:ascii="宋体" w:hAnsi="宋体"/>
          <w:b/>
          <w:bCs/>
          <w:szCs w:val="21"/>
        </w:rPr>
        <w:t>八、培训</w:t>
      </w:r>
    </w:p>
    <w:p>
      <w:pPr>
        <w:ind w:firstLine="420" w:firstLineChars="200"/>
        <w:rPr>
          <w:rFonts w:ascii="宋体" w:hAnsi="宋体"/>
          <w:szCs w:val="21"/>
        </w:rPr>
      </w:pPr>
      <w:r>
        <w:rPr>
          <w:rFonts w:hint="eastAsia" w:ascii="宋体" w:hAnsi="宋体"/>
          <w:szCs w:val="21"/>
        </w:rPr>
        <w:t>所投标产品，必须对采购方进行全系列的操作、设置及简易的故障处理培训。</w:t>
      </w:r>
    </w:p>
    <w:p>
      <w:pPr>
        <w:ind w:firstLine="422" w:firstLineChars="200"/>
        <w:rPr>
          <w:rFonts w:ascii="宋体" w:hAnsi="宋体"/>
          <w:b/>
          <w:bCs/>
          <w:szCs w:val="21"/>
        </w:rPr>
      </w:pPr>
      <w:r>
        <w:rPr>
          <w:rFonts w:hint="eastAsia" w:ascii="宋体" w:hAnsi="宋体"/>
          <w:b/>
          <w:bCs/>
          <w:szCs w:val="21"/>
        </w:rPr>
        <w:t>九、验收标准及条件</w:t>
      </w:r>
    </w:p>
    <w:p>
      <w:pPr>
        <w:ind w:firstLine="420" w:firstLineChars="200"/>
        <w:rPr>
          <w:rFonts w:ascii="宋体" w:hAnsi="宋体"/>
          <w:szCs w:val="21"/>
        </w:rPr>
      </w:pPr>
      <w:r>
        <w:rPr>
          <w:rFonts w:hint="eastAsia" w:ascii="宋体" w:hAnsi="宋体"/>
          <w:szCs w:val="21"/>
        </w:rPr>
        <w:t>1、提供的货物依据招标文件上的技术规格要求和国家有关质量标准进行现场初步验收，外观、说明书符合招标文件技术要求的，给予签收，初步验收不合格的不予签收。货到后，采购人需在五个工作日内验收。</w:t>
      </w:r>
    </w:p>
    <w:p>
      <w:pPr>
        <w:ind w:firstLine="420" w:firstLineChars="200"/>
        <w:rPr>
          <w:rFonts w:ascii="宋体" w:hAnsi="宋体"/>
          <w:szCs w:val="21"/>
        </w:rPr>
      </w:pPr>
      <w:r>
        <w:rPr>
          <w:rFonts w:hint="eastAsia" w:ascii="宋体" w:hAnsi="宋体"/>
          <w:szCs w:val="21"/>
        </w:rPr>
        <w:t>2、供应商交货前应对产品作出全面检查和对验收文件进行整理，并列出清单，作为采购方收货验收和使用的技术条件依据，检验的结果应随货物交采购方。</w:t>
      </w:r>
    </w:p>
    <w:p>
      <w:pPr>
        <w:ind w:firstLine="420" w:firstLineChars="200"/>
        <w:rPr>
          <w:rFonts w:ascii="宋体" w:hAnsi="宋体"/>
          <w:szCs w:val="21"/>
        </w:rPr>
      </w:pPr>
      <w:r>
        <w:rPr>
          <w:rFonts w:hint="eastAsia" w:ascii="宋体" w:hAnsi="宋体"/>
          <w:szCs w:val="21"/>
        </w:rPr>
        <w:t>3、对提供的货物在使用前进行调试时，供货方需负责安装并培训采购方的使用操作人员，并协助采购人一起调试，直到符合技术要求，才作最终验收。</w:t>
      </w:r>
    </w:p>
    <w:p>
      <w:pPr>
        <w:ind w:firstLine="420" w:firstLineChars="200"/>
        <w:rPr>
          <w:rFonts w:ascii="宋体" w:hAnsi="宋体"/>
          <w:szCs w:val="21"/>
        </w:rPr>
      </w:pPr>
      <w:r>
        <w:rPr>
          <w:rFonts w:hint="eastAsia" w:ascii="宋体" w:hAnsi="宋体"/>
          <w:szCs w:val="21"/>
        </w:rPr>
        <w:t>4、对技术复杂的货物，采购方应请国家认可的专业检测机构参与初步验收及最终验收，并由其出具质量检测报告。</w:t>
      </w:r>
    </w:p>
    <w:p>
      <w:pPr>
        <w:ind w:firstLine="420" w:firstLineChars="200"/>
        <w:rPr>
          <w:rFonts w:ascii="宋体" w:hAnsi="宋体"/>
          <w:szCs w:val="21"/>
        </w:rPr>
      </w:pPr>
      <w:r>
        <w:rPr>
          <w:rFonts w:hint="eastAsia" w:ascii="宋体" w:hAnsi="宋体"/>
          <w:szCs w:val="21"/>
        </w:rPr>
        <w:t>5、验收时供应商必须在现场，验收完毕后作出验收结果报告；验收费用由供应商负责。</w:t>
      </w:r>
    </w:p>
    <w:p>
      <w:pPr>
        <w:ind w:firstLine="422" w:firstLineChars="200"/>
        <w:rPr>
          <w:rFonts w:ascii="宋体" w:hAnsi="宋体"/>
          <w:b/>
          <w:bCs/>
          <w:szCs w:val="21"/>
        </w:rPr>
      </w:pPr>
      <w:r>
        <w:rPr>
          <w:rFonts w:hint="eastAsia" w:ascii="宋体" w:hAnsi="宋体"/>
          <w:b/>
          <w:bCs/>
          <w:szCs w:val="21"/>
        </w:rPr>
        <w:t>十、报价、付款及履约保证金</w:t>
      </w:r>
    </w:p>
    <w:p>
      <w:pPr>
        <w:ind w:firstLine="422" w:firstLineChars="200"/>
        <w:rPr>
          <w:rFonts w:ascii="宋体" w:hAnsi="宋体"/>
          <w:b/>
          <w:bCs/>
          <w:szCs w:val="21"/>
        </w:rPr>
      </w:pPr>
      <w:r>
        <w:rPr>
          <w:rFonts w:hint="eastAsia" w:ascii="宋体" w:hAnsi="宋体"/>
          <w:b/>
          <w:bCs/>
          <w:szCs w:val="21"/>
        </w:rPr>
        <w:t>报价：</w:t>
      </w:r>
    </w:p>
    <w:p>
      <w:pPr>
        <w:ind w:firstLine="422" w:firstLineChars="200"/>
        <w:rPr>
          <w:rFonts w:ascii="宋体" w:hAnsi="宋体"/>
          <w:b/>
          <w:bCs/>
          <w:szCs w:val="21"/>
        </w:rPr>
      </w:pPr>
      <w:r>
        <w:rPr>
          <w:rFonts w:hint="eastAsia" w:ascii="宋体" w:hAnsi="宋体"/>
          <w:b/>
          <w:bCs/>
          <w:szCs w:val="21"/>
        </w:rPr>
        <w:t>1、所报价格包含产品到达用户方并能正常使用所需的一切费用。</w:t>
      </w:r>
    </w:p>
    <w:p>
      <w:pPr>
        <w:ind w:firstLine="422" w:firstLineChars="200"/>
        <w:rPr>
          <w:rFonts w:ascii="宋体" w:hAnsi="宋体"/>
          <w:b/>
          <w:bCs/>
          <w:szCs w:val="21"/>
        </w:rPr>
      </w:pPr>
      <w:r>
        <w:rPr>
          <w:rFonts w:hint="eastAsia" w:ascii="宋体" w:hAnsi="宋体"/>
          <w:b/>
          <w:bCs/>
          <w:szCs w:val="21"/>
        </w:rPr>
        <w:t>▲2、任一项报价不得超过上限价【系指第二章招标需求采购清单中的各子项固定单价97.59%（标项1），94.41%（标项2），92.47%（标项3）】，任何超过上限价的报价均导致投标被否决。本项目以总体投标折扣率进行报价，实际费用以固定单价×中标折扣率×实际采购数量据实结算。</w:t>
      </w:r>
    </w:p>
    <w:p>
      <w:pPr>
        <w:ind w:firstLine="422" w:firstLineChars="200"/>
        <w:rPr>
          <w:rFonts w:hint="eastAsia" w:ascii="宋体" w:hAnsi="宋体"/>
          <w:b/>
          <w:bCs/>
          <w:szCs w:val="21"/>
        </w:rPr>
      </w:pPr>
      <w:r>
        <w:rPr>
          <w:rFonts w:hint="eastAsia" w:ascii="宋体" w:hAnsi="宋体"/>
          <w:b/>
          <w:bCs/>
          <w:szCs w:val="21"/>
        </w:rPr>
        <w:t>3、本文所表述的“折扣率”均表示为固定单价的百分比。如折扣率为80%，即固定单价×80%。</w:t>
      </w:r>
      <w:bookmarkEnd w:id="58"/>
    </w:p>
    <w:p>
      <w:pPr>
        <w:ind w:firstLine="422" w:firstLineChars="200"/>
        <w:rPr>
          <w:rFonts w:ascii="宋体" w:hAnsi="宋体"/>
          <w:szCs w:val="21"/>
        </w:rPr>
      </w:pPr>
      <w:r>
        <w:rPr>
          <w:rFonts w:hint="eastAsia" w:ascii="宋体" w:hAnsi="宋体"/>
          <w:b/>
          <w:bCs/>
          <w:szCs w:val="21"/>
        </w:rPr>
        <w:t>付款：</w:t>
      </w:r>
    </w:p>
    <w:p>
      <w:pPr>
        <w:ind w:firstLine="420" w:firstLineChars="200"/>
        <w:rPr>
          <w:rFonts w:ascii="宋体" w:hAnsi="宋体"/>
          <w:szCs w:val="21"/>
        </w:rPr>
      </w:pPr>
      <w:r>
        <w:rPr>
          <w:rFonts w:hint="eastAsia" w:ascii="宋体" w:hAnsi="宋体"/>
          <w:szCs w:val="21"/>
        </w:rPr>
        <w:t>1、预付款：合同签订后七日内，供应商出具履约保证金保险/保函及预付款保险/保函后，采购人向中标人支付40%预算价。</w:t>
      </w:r>
    </w:p>
    <w:p>
      <w:pPr>
        <w:ind w:firstLine="420" w:firstLineChars="200"/>
        <w:rPr>
          <w:rFonts w:ascii="宋体" w:hAnsi="宋体"/>
          <w:szCs w:val="21"/>
        </w:rPr>
      </w:pPr>
      <w:r>
        <w:rPr>
          <w:rFonts w:ascii="宋体" w:hAnsi="宋体"/>
        </w:rPr>
        <w:t>中标供应商</w:t>
      </w:r>
      <w:r>
        <w:rPr>
          <w:rFonts w:hint="eastAsia" w:ascii="宋体" w:hAnsi="宋体"/>
        </w:rPr>
        <w:t>可通过政采云平台或其他渠道购买</w:t>
      </w:r>
      <w:r>
        <w:rPr>
          <w:rFonts w:hint="eastAsia" w:ascii="宋体" w:hAnsi="宋体" w:cs="等线"/>
          <w:szCs w:val="21"/>
        </w:rPr>
        <w:t>保险/保函</w:t>
      </w:r>
      <w:r>
        <w:rPr>
          <w:rFonts w:hint="eastAsia" w:ascii="宋体" w:hAnsi="宋体"/>
        </w:rPr>
        <w:t>。可登录</w:t>
      </w:r>
      <w:r>
        <w:rPr>
          <w:rFonts w:hint="eastAsia" w:ascii="宋体" w:hAnsi="宋体" w:cs="等线"/>
          <w:b/>
          <w:bCs/>
          <w:szCs w:val="21"/>
        </w:rPr>
        <w:t>政采云平台-金融服务-保险保函模块选购</w:t>
      </w:r>
      <w:r>
        <w:rPr>
          <w:rFonts w:hint="eastAsia" w:ascii="宋体" w:hAnsi="宋体" w:cs="等线"/>
          <w:szCs w:val="21"/>
        </w:rPr>
        <w:t>：</w:t>
      </w:r>
      <w:r>
        <w:rPr>
          <w:rFonts w:ascii="宋体" w:hAnsi="宋体"/>
        </w:rPr>
        <w:fldChar w:fldCharType="begin"/>
      </w:r>
      <w:r>
        <w:rPr>
          <w:rFonts w:ascii="宋体" w:hAnsi="宋体"/>
        </w:rPr>
        <w:instrText xml:space="preserve"> HYPERLINK "https://jinrong.zcygov.cn/finance-service/" \l "/home，有疑问可咨询政采云金融热线400-903-9583" </w:instrText>
      </w:r>
      <w:r>
        <w:rPr>
          <w:rFonts w:ascii="宋体" w:hAnsi="宋体"/>
        </w:rPr>
        <w:fldChar w:fldCharType="separate"/>
      </w:r>
      <w:r>
        <w:rPr>
          <w:rFonts w:hint="eastAsia" w:ascii="宋体" w:hAnsi="宋体" w:cs="等线"/>
          <w:szCs w:val="21"/>
        </w:rPr>
        <w:t>https://jinrong.zcygov.cn/finance-service/#/letter，有疑问可咨询</w:t>
      </w:r>
      <w:r>
        <w:rPr>
          <w:rFonts w:hint="eastAsia" w:ascii="宋体" w:hAnsi="宋体" w:cs="等线"/>
          <w:b/>
          <w:bCs/>
          <w:szCs w:val="21"/>
        </w:rPr>
        <w:t>政采云金融热线400-903-9583</w:t>
      </w:r>
      <w:r>
        <w:rPr>
          <w:rFonts w:ascii="宋体" w:hAnsi="宋体" w:cs="等线"/>
          <w:b/>
          <w:bCs/>
          <w:szCs w:val="21"/>
        </w:rPr>
        <w:fldChar w:fldCharType="end"/>
      </w:r>
    </w:p>
    <w:p>
      <w:pPr>
        <w:ind w:firstLine="420" w:firstLineChars="200"/>
        <w:rPr>
          <w:rFonts w:ascii="宋体" w:hAnsi="宋体"/>
          <w:szCs w:val="21"/>
        </w:rPr>
      </w:pPr>
      <w:r>
        <w:rPr>
          <w:rFonts w:hint="eastAsia" w:ascii="宋体" w:hAnsi="宋体"/>
          <w:szCs w:val="21"/>
        </w:rPr>
        <w:t>2、付款方式：在项目实施期按双方确认的当月完成工程量的55%支付给乙方，每季支付，余款在项目竣工验收合格后付清。</w:t>
      </w:r>
    </w:p>
    <w:p>
      <w:pPr>
        <w:ind w:firstLine="422" w:firstLineChars="200"/>
        <w:rPr>
          <w:rFonts w:ascii="宋体" w:hAnsi="宋体"/>
          <w:b/>
          <w:bCs/>
          <w:kern w:val="0"/>
          <w:szCs w:val="21"/>
        </w:rPr>
      </w:pPr>
      <w:r>
        <w:rPr>
          <w:rFonts w:hint="eastAsia" w:ascii="宋体" w:hAnsi="宋体"/>
          <w:b/>
          <w:bCs/>
          <w:kern w:val="0"/>
          <w:szCs w:val="21"/>
        </w:rPr>
        <w:t>履约保证金：</w:t>
      </w:r>
    </w:p>
    <w:p>
      <w:pPr>
        <w:ind w:firstLine="420" w:firstLineChars="200"/>
        <w:rPr>
          <w:rFonts w:ascii="宋体" w:hAnsi="宋体"/>
          <w:szCs w:val="21"/>
        </w:rPr>
      </w:pPr>
      <w:r>
        <w:rPr>
          <w:rFonts w:hint="eastAsia" w:ascii="宋体" w:hAnsi="宋体"/>
          <w:kern w:val="0"/>
          <w:szCs w:val="21"/>
        </w:rPr>
        <w:t>各标项的</w:t>
      </w:r>
      <w:r>
        <w:rPr>
          <w:rFonts w:hint="eastAsia" w:ascii="宋体" w:hAnsi="宋体" w:cs="等线"/>
          <w:szCs w:val="21"/>
        </w:rPr>
        <w:t>采购中标人在收到中标通知书后，需向采购人提供</w:t>
      </w:r>
      <w:r>
        <w:rPr>
          <w:rFonts w:hint="eastAsia" w:ascii="宋体" w:hAnsi="宋体"/>
          <w:bCs/>
          <w:kern w:val="0"/>
          <w:szCs w:val="21"/>
        </w:rPr>
        <w:t>合同（预算）金额</w:t>
      </w:r>
      <w:r>
        <w:rPr>
          <w:rFonts w:ascii="宋体" w:hAnsi="宋体" w:cs="等线"/>
          <w:szCs w:val="21"/>
        </w:rPr>
        <w:t>1</w:t>
      </w:r>
      <w:r>
        <w:rPr>
          <w:rFonts w:hint="eastAsia" w:ascii="宋体" w:hAnsi="宋体" w:cs="等线"/>
          <w:szCs w:val="21"/>
        </w:rPr>
        <w:t>%的履约保证金,在中标人与采购人签订合同前递交,投标人可以支票、汇票、本票或者金融机构、保险公司、担保机构出具的保函/保险等非现金形式提交，建议优先使用</w:t>
      </w:r>
      <w:r>
        <w:rPr>
          <w:rFonts w:hint="eastAsia" w:ascii="宋体" w:hAnsi="宋体" w:cs="等线"/>
          <w:b/>
          <w:szCs w:val="21"/>
        </w:rPr>
        <w:t>保险/保函</w:t>
      </w:r>
      <w:r>
        <w:rPr>
          <w:rFonts w:hint="eastAsia" w:ascii="宋体" w:hAnsi="宋体" w:cs="等线"/>
          <w:szCs w:val="21"/>
        </w:rPr>
        <w:t>。</w:t>
      </w:r>
      <w:r>
        <w:rPr>
          <w:rFonts w:ascii="宋体" w:hAnsi="宋体"/>
        </w:rPr>
        <w:t>中标供应商若想了解或使用</w:t>
      </w:r>
      <w:r>
        <w:rPr>
          <w:rFonts w:hint="eastAsia" w:ascii="宋体" w:hAnsi="宋体"/>
        </w:rPr>
        <w:t>保险/保函</w:t>
      </w:r>
      <w:r>
        <w:rPr>
          <w:rFonts w:ascii="宋体" w:hAnsi="宋体"/>
        </w:rPr>
        <w:t>，</w:t>
      </w:r>
      <w:r>
        <w:rPr>
          <w:rFonts w:hint="eastAsia" w:ascii="宋体" w:hAnsi="宋体"/>
        </w:rPr>
        <w:t>可通过政采云平台或其他渠道进行咨询。</w:t>
      </w:r>
      <w:r>
        <w:rPr>
          <w:rFonts w:hint="eastAsia" w:ascii="宋体" w:hAnsi="宋体" w:cs="等线"/>
          <w:b/>
          <w:szCs w:val="21"/>
        </w:rPr>
        <w:t>政采云金融热线400-903-9583，</w:t>
      </w:r>
      <w:r>
        <w:rPr>
          <w:rFonts w:hint="eastAsia" w:ascii="宋体" w:hAnsi="宋体"/>
        </w:rPr>
        <w:t>也可登录</w:t>
      </w:r>
      <w:r>
        <w:rPr>
          <w:rFonts w:hint="eastAsia" w:ascii="宋体" w:hAnsi="宋体" w:cs="等线"/>
          <w:b/>
          <w:szCs w:val="21"/>
        </w:rPr>
        <w:t>政采云平台查看相关内容:</w:t>
      </w:r>
      <w:r>
        <w:rPr>
          <w:rFonts w:hint="eastAsia" w:ascii="宋体" w:hAnsi="宋体" w:cs="等线"/>
          <w:szCs w:val="21"/>
        </w:rPr>
        <w:t xml:space="preserve"> https://jinrong.zcygov.cn/finance-service/#/letter</w:t>
      </w:r>
      <w:r>
        <w:rPr>
          <w:rFonts w:hint="eastAsia" w:ascii="宋体" w:hAnsi="宋体"/>
          <w:bCs/>
          <w:kern w:val="0"/>
          <w:szCs w:val="21"/>
        </w:rPr>
        <w:t>。</w:t>
      </w:r>
      <w:r>
        <w:rPr>
          <w:rFonts w:hint="eastAsia" w:ascii="宋体" w:hAnsi="宋体"/>
          <w:bCs/>
          <w:szCs w:val="21"/>
        </w:rPr>
        <w:t>项目有效期</w:t>
      </w:r>
      <w:r>
        <w:rPr>
          <w:rFonts w:hint="eastAsia" w:ascii="宋体" w:hAnsi="宋体"/>
          <w:bCs/>
          <w:kern w:val="0"/>
          <w:szCs w:val="21"/>
        </w:rPr>
        <w:t>满后，若无任何质量及服务问题，全额无息退还。</w:t>
      </w:r>
    </w:p>
    <w:p>
      <w:pPr>
        <w:ind w:firstLine="422" w:firstLineChars="200"/>
        <w:rPr>
          <w:rFonts w:ascii="宋体" w:hAnsi="宋体"/>
          <w:b/>
          <w:bCs/>
          <w:szCs w:val="21"/>
        </w:rPr>
      </w:pPr>
      <w:r>
        <w:rPr>
          <w:rFonts w:hint="eastAsia" w:ascii="宋体" w:hAnsi="宋体"/>
          <w:b/>
          <w:bCs/>
          <w:szCs w:val="21"/>
        </w:rPr>
        <w:t>十一、供货时间及地点</w:t>
      </w:r>
    </w:p>
    <w:p>
      <w:pPr>
        <w:ind w:firstLine="420" w:firstLineChars="200"/>
        <w:rPr>
          <w:rFonts w:ascii="宋体" w:hAnsi="宋体"/>
          <w:szCs w:val="21"/>
        </w:rPr>
      </w:pPr>
      <w:r>
        <w:rPr>
          <w:rFonts w:hint="eastAsia" w:ascii="宋体" w:hAnsi="宋体"/>
          <w:szCs w:val="21"/>
        </w:rPr>
        <w:t>本次招标项目有效期为合同生效之日起一年。确定中标后，由嘉兴市公安局交通警察支队与中标单位签订合同。由嘉兴市公安局交通警察支队开具工程联系单交中标单位施工，采购数量、制作工期、安装工期根据工程项目具体商定。</w:t>
      </w:r>
    </w:p>
    <w:p>
      <w:pPr>
        <w:ind w:firstLine="420" w:firstLineChars="200"/>
        <w:rPr>
          <w:rFonts w:ascii="宋体" w:hAnsi="宋体"/>
          <w:szCs w:val="21"/>
        </w:rPr>
      </w:pPr>
      <w:r>
        <w:rPr>
          <w:rFonts w:hint="eastAsia" w:ascii="宋体" w:hAnsi="宋体"/>
          <w:szCs w:val="21"/>
        </w:rPr>
        <w:t>供货时间：按采购人要求。</w:t>
      </w:r>
    </w:p>
    <w:p>
      <w:pPr>
        <w:ind w:firstLine="420" w:firstLineChars="200"/>
        <w:rPr>
          <w:rFonts w:hint="eastAsia" w:ascii="宋体" w:hAnsi="宋体"/>
          <w:szCs w:val="21"/>
        </w:rPr>
      </w:pPr>
      <w:r>
        <w:rPr>
          <w:rFonts w:hint="eastAsia" w:ascii="宋体" w:hAnsi="宋体"/>
          <w:szCs w:val="21"/>
        </w:rPr>
        <w:t>供货地点：嘉兴市公安局交通警察支队指定地点。</w:t>
      </w:r>
    </w:p>
    <w:p>
      <w:pPr>
        <w:ind w:firstLine="422" w:firstLineChars="200"/>
        <w:rPr>
          <w:rFonts w:ascii="宋体" w:hAnsi="宋体"/>
          <w:b/>
          <w:bCs/>
          <w:szCs w:val="21"/>
        </w:rPr>
      </w:pPr>
      <w:r>
        <w:rPr>
          <w:rFonts w:hint="eastAsia" w:ascii="宋体" w:hAnsi="宋体"/>
          <w:b/>
          <w:bCs/>
          <w:szCs w:val="21"/>
        </w:rPr>
        <w:t>十二、运营维保</w:t>
      </w:r>
    </w:p>
    <w:p>
      <w:pPr>
        <w:ind w:firstLine="422" w:firstLineChars="200"/>
        <w:rPr>
          <w:rFonts w:ascii="宋体" w:hAnsi="宋体"/>
          <w:b/>
          <w:bCs/>
          <w:szCs w:val="21"/>
        </w:rPr>
      </w:pPr>
      <w:r>
        <w:rPr>
          <w:rFonts w:hint="eastAsia" w:ascii="宋体" w:hAnsi="宋体"/>
          <w:b/>
          <w:bCs/>
          <w:szCs w:val="21"/>
        </w:rPr>
        <w:t>因本项目实施时，任务紧、作业环境差，故要求投标单位有足够人员、设备、作业车辆（必须符合嘉兴市相关交通管理要求）、场地等为本项目专用，以及保证项目有效实施的组织能力，特别是遇到恶劣天气、突发状况需要如何作好预警预案工作。</w:t>
      </w:r>
    </w:p>
    <w:p>
      <w:pPr>
        <w:ind w:firstLine="422" w:firstLineChars="200"/>
        <w:rPr>
          <w:rFonts w:ascii="宋体" w:hAnsi="宋体"/>
          <w:b/>
          <w:bCs/>
          <w:szCs w:val="21"/>
        </w:rPr>
      </w:pPr>
      <w:r>
        <w:rPr>
          <w:rFonts w:hint="eastAsia" w:ascii="宋体" w:hAnsi="宋体"/>
          <w:b/>
          <w:bCs/>
          <w:szCs w:val="21"/>
        </w:rPr>
        <w:t>十三、图纸等其他资料</w:t>
      </w:r>
    </w:p>
    <w:p>
      <w:pPr>
        <w:ind w:firstLine="420" w:firstLineChars="200"/>
        <w:rPr>
          <w:rFonts w:hint="eastAsia" w:ascii="宋体" w:hAnsi="宋体"/>
          <w:szCs w:val="21"/>
        </w:rPr>
      </w:pPr>
      <w:r>
        <w:rPr>
          <w:rFonts w:hint="eastAsia" w:ascii="宋体" w:hAnsi="宋体"/>
          <w:szCs w:val="21"/>
        </w:rPr>
        <w:t>供货方提供的所有产品资料（包括：出厂合格证、第三方检验证明、产品批次、批次货物样品、图纸等），在安装施工完毕后，须整理好后交付给采购方保管。</w:t>
      </w:r>
    </w:p>
    <w:p>
      <w:pPr>
        <w:ind w:firstLine="422" w:firstLineChars="200"/>
        <w:rPr>
          <w:rFonts w:ascii="宋体" w:hAnsi="宋体"/>
          <w:b/>
          <w:bCs/>
          <w:szCs w:val="21"/>
        </w:rPr>
      </w:pPr>
      <w:r>
        <w:rPr>
          <w:rFonts w:hint="eastAsia" w:ascii="宋体" w:hAnsi="宋体"/>
          <w:b/>
          <w:bCs/>
          <w:szCs w:val="21"/>
        </w:rPr>
        <w:t>十四、更新项目施工过程中拆除的杆件、标志、信号灯、护栏等物资处置</w:t>
      </w:r>
    </w:p>
    <w:p>
      <w:pPr>
        <w:ind w:firstLine="420" w:firstLineChars="200"/>
        <w:rPr>
          <w:rFonts w:hint="eastAsia" w:ascii="宋体" w:hAnsi="宋体"/>
          <w:szCs w:val="21"/>
        </w:rPr>
      </w:pPr>
      <w:r>
        <w:rPr>
          <w:rFonts w:hint="eastAsia" w:ascii="宋体" w:hAnsi="宋体"/>
          <w:szCs w:val="21"/>
        </w:rPr>
        <w:t>供货方在施工过程中拆除的交通设施包括且不限于杆件、标志、信号灯、护栏等废旧物资需登记造册，整理好后运送至采购人指定地点，做好移交手续。若在施工中遗失或未按要求登记、移交造成物资缺失的由乙方补齐或照价赔偿（按废旧物资市场价）。</w:t>
      </w:r>
    </w:p>
    <w:p>
      <w:pPr>
        <w:pStyle w:val="3"/>
        <w:ind w:firstLine="422" w:firstLineChars="200"/>
        <w:rPr>
          <w:rFonts w:ascii="宋体" w:hAnsi="宋体"/>
        </w:rPr>
      </w:pPr>
      <w:r>
        <w:rPr>
          <w:rFonts w:ascii="宋体" w:hAnsi="宋体" w:cs="宋体"/>
          <w:kern w:val="2"/>
          <w:sz w:val="21"/>
        </w:rPr>
        <w:br w:type="page"/>
      </w:r>
      <w:bookmarkStart w:id="59" w:name="_Toc89897652"/>
      <w:r>
        <w:rPr>
          <w:rFonts w:hint="eastAsia" w:ascii="宋体" w:hAnsi="宋体"/>
        </w:rPr>
        <w:t>第三章 供应商须知</w:t>
      </w:r>
      <w:bookmarkEnd w:id="59"/>
    </w:p>
    <w:p>
      <w:pPr>
        <w:ind w:firstLine="562" w:firstLineChars="200"/>
        <w:jc w:val="center"/>
        <w:rPr>
          <w:rFonts w:ascii="宋体" w:hAnsi="宋体"/>
          <w:b/>
          <w:bCs/>
          <w:sz w:val="28"/>
          <w:szCs w:val="28"/>
        </w:rPr>
      </w:pPr>
      <w:r>
        <w:rPr>
          <w:rFonts w:hint="eastAsia" w:ascii="宋体" w:hAnsi="宋体"/>
          <w:b/>
          <w:bCs/>
          <w:sz w:val="28"/>
          <w:szCs w:val="28"/>
        </w:rPr>
        <w:t>电子交易注意事项</w:t>
      </w:r>
    </w:p>
    <w:p>
      <w:pPr>
        <w:ind w:firstLine="420" w:firstLineChars="200"/>
        <w:jc w:val="left"/>
        <w:rPr>
          <w:rFonts w:ascii="宋体" w:hAnsi="宋体"/>
          <w:szCs w:val="21"/>
        </w:rPr>
      </w:pPr>
      <w:r>
        <w:rPr>
          <w:rFonts w:hint="eastAsia" w:ascii="宋体" w:hAnsi="宋体"/>
          <w:szCs w:val="21"/>
        </w:rPr>
        <w:t>政府采购项目电子交易活动适用《浙江省政府采购项目电子交易管理暂行办法》，现将相关注意事项告知如下：</w:t>
      </w:r>
    </w:p>
    <w:p>
      <w:pPr>
        <w:ind w:firstLine="420" w:firstLineChars="200"/>
        <w:jc w:val="left"/>
        <w:rPr>
          <w:rFonts w:ascii="宋体" w:hAnsi="宋体"/>
          <w:szCs w:val="21"/>
        </w:rPr>
      </w:pPr>
      <w:r>
        <w:rPr>
          <w:rFonts w:hint="eastAsia" w:ascii="宋体" w:hAnsi="宋体"/>
          <w:szCs w:val="21"/>
        </w:rPr>
        <w:t>1、代理机构按照招标文件规定的时间通过电子交易平台组织开标、开启投标文件、开启报价文件，所有供应商均应当准时在线参加，直至评审结束。</w:t>
      </w:r>
    </w:p>
    <w:p>
      <w:pPr>
        <w:ind w:firstLine="420" w:firstLineChars="200"/>
        <w:jc w:val="left"/>
        <w:rPr>
          <w:rFonts w:ascii="宋体" w:hAnsi="宋体"/>
          <w:szCs w:val="21"/>
        </w:rPr>
      </w:pPr>
      <w:r>
        <w:rPr>
          <w:rFonts w:hint="eastAsia" w:ascii="宋体" w:hAnsi="宋体"/>
          <w:szCs w:val="21"/>
        </w:rPr>
        <w:t>2、投标文件未按时解密，供应商如提供备份投标文件的，以符合要求的备份投标文件作为依据，否则视为投标文件撤回。投标文件已按时解密的，备份投标文件自动失效。</w:t>
      </w:r>
    </w:p>
    <w:p>
      <w:pPr>
        <w:ind w:firstLine="420" w:firstLineChars="200"/>
        <w:jc w:val="left"/>
        <w:rPr>
          <w:rFonts w:ascii="宋体" w:hAnsi="宋体"/>
          <w:szCs w:val="21"/>
        </w:rPr>
      </w:pPr>
      <w:r>
        <w:rPr>
          <w:rFonts w:hint="eastAsia" w:ascii="宋体" w:hAnsi="宋体"/>
          <w:szCs w:val="21"/>
        </w:rPr>
        <w:t>3、采购过程中出现以下情形，导致电子交易平台无法正常运行，或者无法保证电子交易的公平、公正和安全时，代理机构可中止电子交易活动：</w:t>
      </w:r>
    </w:p>
    <w:p>
      <w:pPr>
        <w:ind w:firstLine="420" w:firstLineChars="200"/>
        <w:jc w:val="left"/>
        <w:rPr>
          <w:rFonts w:ascii="宋体" w:hAnsi="宋体"/>
          <w:szCs w:val="21"/>
        </w:rPr>
      </w:pPr>
      <w:r>
        <w:rPr>
          <w:rFonts w:hint="eastAsia" w:ascii="宋体" w:hAnsi="宋体"/>
          <w:szCs w:val="21"/>
        </w:rPr>
        <w:t>（一）电子交易平台发生故障而无法登录访问的；</w:t>
      </w:r>
    </w:p>
    <w:p>
      <w:pPr>
        <w:ind w:firstLine="420" w:firstLineChars="200"/>
        <w:jc w:val="left"/>
        <w:rPr>
          <w:rFonts w:ascii="宋体" w:hAnsi="宋体"/>
          <w:szCs w:val="21"/>
        </w:rPr>
      </w:pPr>
      <w:r>
        <w:rPr>
          <w:rFonts w:hint="eastAsia" w:ascii="宋体" w:hAnsi="宋体"/>
          <w:szCs w:val="21"/>
        </w:rPr>
        <w:t>（二）电子交易平台应用或数据库出现错误，不能进行正常操作的；</w:t>
      </w:r>
    </w:p>
    <w:p>
      <w:pPr>
        <w:ind w:firstLine="420" w:firstLineChars="200"/>
        <w:jc w:val="left"/>
        <w:rPr>
          <w:rFonts w:ascii="宋体" w:hAnsi="宋体"/>
          <w:szCs w:val="21"/>
        </w:rPr>
      </w:pPr>
      <w:r>
        <w:rPr>
          <w:rFonts w:hint="eastAsia" w:ascii="宋体" w:hAnsi="宋体"/>
          <w:szCs w:val="21"/>
        </w:rPr>
        <w:t>（三）电子交易平台发现严重安全漏洞，有潜在泄密危险的；</w:t>
      </w:r>
    </w:p>
    <w:p>
      <w:pPr>
        <w:ind w:firstLine="420" w:firstLineChars="200"/>
        <w:jc w:val="left"/>
        <w:rPr>
          <w:rFonts w:ascii="宋体" w:hAnsi="宋体"/>
          <w:szCs w:val="21"/>
        </w:rPr>
      </w:pPr>
      <w:r>
        <w:rPr>
          <w:rFonts w:hint="eastAsia" w:ascii="宋体" w:hAnsi="宋体"/>
          <w:szCs w:val="21"/>
        </w:rPr>
        <w:t>（四）病毒发作导致不能进行正常操作的；</w:t>
      </w:r>
    </w:p>
    <w:p>
      <w:pPr>
        <w:ind w:firstLine="420" w:firstLineChars="200"/>
        <w:jc w:val="left"/>
        <w:rPr>
          <w:rFonts w:ascii="宋体" w:hAnsi="宋体"/>
          <w:szCs w:val="21"/>
        </w:rPr>
      </w:pPr>
      <w:r>
        <w:rPr>
          <w:rFonts w:hint="eastAsia" w:ascii="宋体" w:hAnsi="宋体"/>
          <w:szCs w:val="21"/>
        </w:rPr>
        <w:t>（五）其他无法保证电子交易的公平、公正和安全的情况。</w:t>
      </w:r>
    </w:p>
    <w:p>
      <w:pPr>
        <w:ind w:firstLine="420" w:firstLineChars="200"/>
        <w:jc w:val="left"/>
        <w:rPr>
          <w:rFonts w:ascii="宋体" w:hAnsi="宋体"/>
          <w:szCs w:val="21"/>
        </w:rPr>
      </w:pPr>
      <w:r>
        <w:rPr>
          <w:rFonts w:hint="eastAsia" w:ascii="宋体" w:hAnsi="宋体"/>
          <w:szCs w:val="21"/>
        </w:rPr>
        <w:t>出现前款规定情形，不影响采购公平、公正性的，代理机构可以待上述情形消除后继续组织电子交易活动，也可以决定某些环节以纸质形式进行；影响或可能影响采购公平、公正性的，应当重新采购。</w:t>
      </w:r>
    </w:p>
    <w:p>
      <w:pPr>
        <w:ind w:firstLine="420" w:firstLineChars="200"/>
        <w:jc w:val="left"/>
        <w:rPr>
          <w:rFonts w:ascii="宋体" w:hAnsi="宋体"/>
          <w:szCs w:val="21"/>
        </w:rPr>
      </w:pPr>
      <w:r>
        <w:rPr>
          <w:rFonts w:hint="eastAsia" w:ascii="宋体" w:hAnsi="宋体"/>
          <w:szCs w:val="21"/>
        </w:rPr>
        <w:t>4、评审中需要供应商对投标文件作出澄清、说明或者补正的，评审小组和供应商应当通过电子交易平台交换数据电文。供应商需在半小时内提交澄清说明或补正，供应商已经明确表示澄清说明或补正完毕的除外。</w:t>
      </w:r>
    </w:p>
    <w:p>
      <w:pPr>
        <w:ind w:firstLine="420" w:firstLineChars="200"/>
        <w:jc w:val="left"/>
        <w:rPr>
          <w:rFonts w:ascii="宋体" w:hAnsi="宋体"/>
          <w:szCs w:val="21"/>
        </w:rPr>
      </w:pPr>
      <w:r>
        <w:rPr>
          <w:rFonts w:hint="eastAsia" w:ascii="宋体" w:hAnsi="宋体"/>
          <w:szCs w:val="21"/>
        </w:rPr>
        <w:t>如果</w:t>
      </w:r>
      <w:r>
        <w:rPr>
          <w:rFonts w:ascii="宋体" w:hAnsi="宋体"/>
          <w:szCs w:val="21"/>
        </w:rPr>
        <w:t>有现场展示或讲标</w:t>
      </w:r>
      <w:r>
        <w:rPr>
          <w:rFonts w:hint="eastAsia" w:ascii="宋体" w:hAnsi="宋体"/>
          <w:szCs w:val="21"/>
        </w:rPr>
        <w:t>（按</w:t>
      </w:r>
      <w:r>
        <w:rPr>
          <w:rFonts w:ascii="宋体" w:hAnsi="宋体"/>
          <w:szCs w:val="21"/>
        </w:rPr>
        <w:t>第五条</w:t>
      </w:r>
      <w:r>
        <w:rPr>
          <w:rFonts w:hint="eastAsia" w:ascii="宋体" w:hAnsi="宋体"/>
          <w:szCs w:val="21"/>
        </w:rPr>
        <w:t>执行）</w:t>
      </w:r>
    </w:p>
    <w:p>
      <w:pPr>
        <w:ind w:firstLine="420" w:firstLineChars="200"/>
        <w:jc w:val="left"/>
        <w:rPr>
          <w:rFonts w:ascii="宋体" w:hAnsi="宋体"/>
          <w:szCs w:val="21"/>
        </w:rPr>
      </w:pPr>
      <w:r>
        <w:rPr>
          <w:rFonts w:hint="eastAsia" w:ascii="宋体" w:hAnsi="宋体"/>
          <w:szCs w:val="21"/>
        </w:rPr>
        <w:t>5、代理机构工作人员在投标截止时间后建立项目专属钉钉群，邀请投标供应商进群。项目专属钉钉群作用：</w:t>
      </w:r>
    </w:p>
    <w:p>
      <w:pPr>
        <w:ind w:firstLine="420" w:firstLineChars="200"/>
        <w:jc w:val="left"/>
        <w:rPr>
          <w:rFonts w:ascii="宋体" w:hAnsi="宋体"/>
          <w:szCs w:val="21"/>
        </w:rPr>
      </w:pPr>
      <w:r>
        <w:rPr>
          <w:rFonts w:hint="eastAsia" w:ascii="宋体" w:hAnsi="宋体"/>
          <w:szCs w:val="21"/>
        </w:rPr>
        <w:t>5.1代理机构工作人员通过专属钉钉群通知供应商按电子交易项目要求接受讲标（演示、视频展示）、签发中标通知书（纸质件由采购人代表代为领取，同合同一起寄送给中标供应商）等事宜。</w:t>
      </w:r>
    </w:p>
    <w:p>
      <w:pPr>
        <w:ind w:firstLine="420" w:firstLineChars="200"/>
        <w:jc w:val="left"/>
        <w:rPr>
          <w:rFonts w:ascii="宋体" w:hAnsi="宋体"/>
          <w:szCs w:val="21"/>
        </w:rPr>
      </w:pPr>
      <w:r>
        <w:rPr>
          <w:rFonts w:hint="eastAsia" w:ascii="宋体" w:hAnsi="宋体"/>
          <w:szCs w:val="21"/>
        </w:rPr>
        <w:t>5.2供应商须在代理机构宣布评审结束、产生中标候选人期间时刻关注项目专属钉钉，配合专家组工作，如有询标（澄清、质疑），在30分钟内（具体时间以询标函上规定的时间为准备）通过CA进行回复。过期不按要求回复，其投标文件无效。</w:t>
      </w:r>
    </w:p>
    <w:p>
      <w:pPr>
        <w:ind w:firstLine="420" w:firstLineChars="200"/>
        <w:jc w:val="left"/>
        <w:rPr>
          <w:rFonts w:ascii="宋体" w:hAnsi="宋体"/>
          <w:b/>
          <w:sz w:val="28"/>
          <w:szCs w:val="28"/>
        </w:rPr>
      </w:pPr>
      <w:r>
        <w:rPr>
          <w:rFonts w:hint="eastAsia" w:ascii="宋体" w:hAnsi="宋体"/>
          <w:szCs w:val="21"/>
        </w:rPr>
        <w:t>5.3项目专属钉钉群等项目签订政府采购合同之后解散。</w:t>
      </w:r>
    </w:p>
    <w:p>
      <w:pPr>
        <w:ind w:firstLine="562" w:firstLineChars="200"/>
        <w:jc w:val="center"/>
        <w:rPr>
          <w:rFonts w:ascii="宋体" w:hAnsi="宋体"/>
          <w:b/>
          <w:sz w:val="28"/>
          <w:szCs w:val="28"/>
        </w:rPr>
      </w:pPr>
      <w:r>
        <w:rPr>
          <w:rFonts w:ascii="宋体" w:hAnsi="宋体"/>
          <w:b/>
          <w:sz w:val="28"/>
          <w:szCs w:val="28"/>
        </w:rPr>
        <w:br w:type="page"/>
      </w:r>
      <w:r>
        <w:rPr>
          <w:rFonts w:hint="eastAsia" w:ascii="宋体" w:hAnsi="宋体"/>
          <w:b/>
          <w:sz w:val="28"/>
          <w:szCs w:val="28"/>
        </w:rPr>
        <w:t>前附表</w:t>
      </w:r>
    </w:p>
    <w:tbl>
      <w:tblPr>
        <w:tblStyle w:val="53"/>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68"/>
        <w:gridCol w:w="8359"/>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4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jc w:val="center"/>
              <w:rPr>
                <w:rFonts w:ascii="宋体" w:hAnsi="宋体"/>
                <w:szCs w:val="21"/>
              </w:rPr>
            </w:pPr>
            <w:r>
              <w:rPr>
                <w:rFonts w:hint="eastAsia" w:ascii="宋体" w:hAnsi="宋体"/>
                <w:szCs w:val="21"/>
              </w:rPr>
              <w:t>序号</w:t>
            </w: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jc w:val="center"/>
              <w:rPr>
                <w:rFonts w:ascii="宋体" w:hAnsi="宋体"/>
                <w:szCs w:val="21"/>
              </w:rPr>
            </w:pPr>
            <w:r>
              <w:rPr>
                <w:rFonts w:hint="eastAsia" w:ascii="宋体" w:hAnsi="宋体"/>
                <w:szCs w:val="21"/>
              </w:rPr>
              <w:t>内容、要求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290"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项目名称：2022年度嘉兴市公安局交通警察支队交通设施日常维护、更新项目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27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rPr>
                <w:rFonts w:ascii="宋体" w:hAnsi="宋体"/>
                <w:szCs w:val="21"/>
              </w:rPr>
            </w:pPr>
            <w:r>
              <w:rPr>
                <w:rFonts w:hint="eastAsia" w:ascii="宋体" w:hAnsi="宋体"/>
                <w:szCs w:val="21"/>
              </w:rPr>
              <w:t>采购内容：详见第二章招标需求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892"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投标报价及费用：</w:t>
            </w:r>
          </w:p>
          <w:p>
            <w:pPr>
              <w:snapToGrid w:val="0"/>
              <w:spacing w:after="60" w:afterLines="25" w:line="360" w:lineRule="exact"/>
              <w:rPr>
                <w:rFonts w:ascii="宋体" w:hAnsi="宋体"/>
                <w:szCs w:val="21"/>
              </w:rPr>
            </w:pPr>
            <w:r>
              <w:rPr>
                <w:rFonts w:hint="eastAsia" w:ascii="宋体" w:hAnsi="宋体"/>
                <w:szCs w:val="21"/>
              </w:rPr>
              <w:t>1.本项目投标应以人民币报价（折扣率）；</w:t>
            </w:r>
          </w:p>
          <w:p>
            <w:pPr>
              <w:snapToGrid w:val="0"/>
              <w:spacing w:after="60" w:afterLines="25" w:line="360" w:lineRule="exact"/>
              <w:rPr>
                <w:rFonts w:ascii="宋体" w:hAnsi="宋体"/>
                <w:szCs w:val="21"/>
              </w:rPr>
            </w:pPr>
            <w:r>
              <w:rPr>
                <w:rFonts w:hint="eastAsia" w:ascii="宋体" w:hAnsi="宋体"/>
                <w:szCs w:val="21"/>
              </w:rPr>
              <w:t>2.不论投标结果如何，供应商均应自行承担所有与投标有关的全部费用；</w:t>
            </w:r>
          </w:p>
          <w:p>
            <w:pPr>
              <w:snapToGrid w:val="0"/>
              <w:spacing w:after="60" w:afterLines="25" w:line="360" w:lineRule="exact"/>
              <w:rPr>
                <w:rFonts w:ascii="宋体" w:hAnsi="宋体"/>
                <w:szCs w:val="21"/>
              </w:rPr>
            </w:pPr>
            <w:r>
              <w:rPr>
                <w:rFonts w:hint="eastAsia" w:ascii="宋体" w:hAnsi="宋体"/>
                <w:szCs w:val="21"/>
              </w:rPr>
              <w:t>3.投标报价是履行合同的最终价格，包括项目实施所需的一切材料、人工、标准附件、备品备件、专用工具、包装、运输、装卸、保险、货到就位以及安装、调试、培训、保修、利润、税金等完成合同所需的一切本身和不可或缺的所有工作开支、政策性文件规定及合同包含的所有风险、责任等各项全部费用并承担一切风险责任。</w:t>
            </w:r>
          </w:p>
          <w:p>
            <w:pPr>
              <w:snapToGrid w:val="0"/>
              <w:spacing w:after="60" w:afterLines="25" w:line="360" w:lineRule="exact"/>
              <w:rPr>
                <w:rFonts w:ascii="宋体" w:hAnsi="宋体"/>
                <w:szCs w:val="21"/>
              </w:rPr>
            </w:pPr>
            <w:r>
              <w:rPr>
                <w:rFonts w:ascii="宋体" w:hAnsi="宋体"/>
                <w:szCs w:val="21"/>
              </w:rPr>
              <w:t>4.</w:t>
            </w:r>
            <w:r>
              <w:rPr>
                <w:rFonts w:hint="eastAsia" w:ascii="宋体" w:hAnsi="宋体"/>
                <w:szCs w:val="21"/>
              </w:rPr>
              <w:t>本项目招标代理费按“国家发展改革委发改价格【2011】534号”文件收费标准计取，由各标项的中标单位领取中标通知书前一次性支付，请各供应商投标报价时综合考虑此费用。</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241"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投标保证金：无。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18"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现场踏勘：</w:t>
            </w:r>
            <w:r>
              <w:rPr>
                <w:rFonts w:hint="eastAsia" w:ascii="宋体" w:hAnsi="宋体"/>
                <w:color w:val="000000"/>
                <w:szCs w:val="21"/>
              </w:rPr>
              <w:t>自行踏勘（费用自理）</w:t>
            </w:r>
            <w:r>
              <w:rPr>
                <w:rFonts w:hint="eastAsia" w:ascii="宋体" w:hAnsi="宋体"/>
                <w:szCs w:val="21"/>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
                <w:szCs w:val="21"/>
                <w:lang w:val="zh-CN"/>
              </w:rPr>
            </w:pPr>
            <w:r>
              <w:rPr>
                <w:rFonts w:hint="eastAsia" w:ascii="宋体" w:hAnsi="宋体" w:cs="Arial"/>
                <w:b/>
                <w:szCs w:val="21"/>
                <w:lang w:val="zh-CN"/>
              </w:rPr>
              <w:t>投标文件组成：完整的《投标文件》由资格文件、商务技术文件、投标报价文件三部份组成。</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
                <w:szCs w:val="21"/>
                <w:lang w:val="zh-CN"/>
              </w:rPr>
            </w:pPr>
            <w:r>
              <w:rPr>
                <w:rFonts w:hint="eastAsia" w:ascii="宋体" w:hAnsi="宋体" w:cs="Arial"/>
                <w:bCs/>
                <w:szCs w:val="21"/>
                <w:lang w:val="zh-CN"/>
              </w:rPr>
              <w:t>投标文件的编制：供应商应先安装“政采云电子交易客户端”，并按照本招标文件和“政府采购云平台”的要求，通过“政采云电子交易客户端”编制并加密投标文件。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hint="eastAsia" w:ascii="宋体" w:hAnsi="宋体" w:cs="Arial"/>
                <w:bCs/>
                <w:szCs w:val="21"/>
                <w:lang w:val="zh-CN"/>
              </w:rPr>
            </w:pPr>
            <w:r>
              <w:rPr>
                <w:rFonts w:hint="eastAsia" w:ascii="宋体" w:hAnsi="宋体" w:cs="Arial"/>
                <w:bCs/>
                <w:szCs w:val="21"/>
                <w:lang w:val="zh-CN"/>
              </w:rPr>
              <w:t>投标文件的签章：电子签章。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Cs/>
                <w:szCs w:val="21"/>
                <w:lang w:val="zh-CN"/>
              </w:rPr>
            </w:pPr>
            <w:r>
              <w:rPr>
                <w:rFonts w:hint="eastAsia" w:ascii="宋体" w:hAnsi="宋体" w:cs="Arial"/>
                <w:bCs/>
                <w:szCs w:val="21"/>
                <w:lang w:val="zh-CN"/>
              </w:rPr>
              <w:t>投标文件的形式：电子投标文件（包括“电子加密投标文件”和“备份投标文件”，在投标文件编制完成后同时生成）；</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（1）“电子加密投标文件”是指通过“政采云电子交易客户端”完成投标文件编制后生成并加密的数据电文形式的投标文件。</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（2）“备份投标文件”是指与“电子加密投标文件”同时生成的数据电文形式的电子文件（备份标书），其他方式编制的备份投标文件视为无效备份投标文件。</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投标文件份数：（1）“电子加密投标文件”：在线上传递交、一份。（2）“备份投标文件”：密封包装后投标截止时间前邮寄至浙江富昱项目管理有限公司（嘉兴市秀洲区高照街道丽晶广场1幢1401-1）收件人：陈娟，联系电话：</w:t>
            </w:r>
            <w:r>
              <w:rPr>
                <w:rFonts w:ascii="宋体" w:hAnsi="宋体" w:cs="Arial"/>
                <w:bCs/>
                <w:szCs w:val="21"/>
                <w:lang w:val="zh-CN"/>
              </w:rPr>
              <w:t>15888364231</w:t>
            </w:r>
            <w:r>
              <w:rPr>
                <w:rFonts w:hint="eastAsia" w:ascii="宋体" w:hAnsi="宋体" w:cs="Arial"/>
                <w:bCs/>
                <w:szCs w:val="21"/>
                <w:lang w:val="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Cs/>
                <w:szCs w:val="21"/>
                <w:lang w:val="zh-CN"/>
              </w:rPr>
            </w:pPr>
            <w:r>
              <w:rPr>
                <w:rFonts w:hint="eastAsia" w:ascii="宋体" w:hAnsi="宋体" w:cs="Arial"/>
                <w:bCs/>
                <w:szCs w:val="21"/>
                <w:lang w:val="zh-CN"/>
              </w:rPr>
              <w:t>投标文件的上传和递交：</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（1）“电子加密投标文件”的上传、递交：</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a.供应商应在投标截止时间前将“电子加密投标文件”成功上传递交至“政府采购云平台”，否则投标无效。</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b.“电子加密投标文件”成功上传递交后，供应商可自行打印投标文件接收回执。</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（2）“备份投标文件”的密封包装、递交：</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a.供应商在“政府采购云平台”完成“电子加密投标文件”的上传递交后，还可以（邮寄形式）在投标截止时间前递交以介质（U盘）存储的“备份投标文件”（一份）；</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b.“备份投标文件”应当密封包装，并在包装上标注投标项目名称、供应商名称并加盖公章。没有密封包装或者逾期邮寄送达至上述邮寄地点的“备份投标文件”将不予接收；（非强制递交）</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c.通过“政府采购云平台”成功上传递交的“电子加密投标文件”已按时解密的，“备份投标文件”自动失效。投标截止时间前，供应商仅递交了“备份投标文件”而未将“电子加密投标文件”成功上传至“政府采购云平台”的，投标无效。</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d</w:t>
            </w:r>
            <w:r>
              <w:rPr>
                <w:rFonts w:ascii="宋体" w:hAnsi="宋体" w:cs="Arial"/>
                <w:bCs/>
                <w:szCs w:val="21"/>
                <w:lang w:val="zh-CN"/>
              </w:rPr>
              <w:t>.</w:t>
            </w:r>
            <w:r>
              <w:rPr>
                <w:rFonts w:hint="eastAsia" w:ascii="宋体" w:hAnsi="宋体" w:cs="Arial"/>
                <w:bCs/>
                <w:szCs w:val="21"/>
                <w:lang w:val="zh-CN"/>
              </w:rPr>
              <w:t>中标通知书发出前，成交供应商须向招标人（采购代理机构）提供纸质资格文件、资信商务及技术文件、报价文件正本各1份；副本各2份。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cs="Arial"/>
                <w:bCs/>
                <w:szCs w:val="21"/>
                <w:lang w:val="zh-CN"/>
              </w:rPr>
            </w:pPr>
            <w:r>
              <w:rPr>
                <w:rFonts w:hint="eastAsia" w:ascii="宋体" w:hAnsi="宋体" w:cs="Arial"/>
                <w:bCs/>
                <w:szCs w:val="21"/>
                <w:lang w:val="zh-CN"/>
              </w:rPr>
              <w:t>电子加密投标文件的解密和异常情况处理：</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（1）开标后，采购组织机构将向各供应商发出“电子加密投标文件”的解密通知，各供应商代表应当在接到解密通知后30分钟内自行完成“电子加密投标文件”的在线解密。</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2）通过“政府采购云平台”成功上传递交的“电子加密投标文件”无法按时解密，供应商如按规定递交了“备份投标文件”的，以“备份投标文件”为依据（由采购组织机构按“政府采购云平台”操作规范将“备份投标文件”上传至“政府采购云平台”，上传成功后，“电子加密投标文件”自动失效），否则视为投标文件撤回。</w:t>
            </w:r>
          </w:p>
          <w:p>
            <w:pPr>
              <w:snapToGrid w:val="0"/>
              <w:spacing w:after="60" w:afterLines="25" w:line="360" w:lineRule="exact"/>
              <w:rPr>
                <w:rFonts w:ascii="宋体" w:hAnsi="宋体" w:cs="Arial"/>
                <w:bCs/>
                <w:szCs w:val="21"/>
                <w:lang w:val="zh-CN"/>
              </w:rPr>
            </w:pPr>
            <w:r>
              <w:rPr>
                <w:rFonts w:hint="eastAsia" w:ascii="宋体" w:hAnsi="宋体" w:cs="Arial"/>
                <w:bCs/>
                <w:szCs w:val="21"/>
                <w:lang w:val="zh-CN"/>
              </w:rPr>
              <w:t>（3）投标截止时间前，供应商仅递交了“备份投标文件”而未将电子加密投标文件上传至“政府采购云平台”的，投标无效。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55"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b/>
                <w:szCs w:val="21"/>
              </w:rPr>
            </w:pPr>
            <w:r>
              <w:rPr>
                <w:rFonts w:hint="eastAsia" w:ascii="宋体" w:hAnsi="宋体"/>
                <w:b/>
                <w:szCs w:val="21"/>
              </w:rPr>
              <w:t>投标截止时间：</w:t>
            </w:r>
            <w:r>
              <w:rPr>
                <w:rFonts w:ascii="宋体" w:hAnsi="宋体"/>
                <w:b/>
                <w:szCs w:val="21"/>
              </w:rPr>
              <w:t>2022年11月01日09：00</w:t>
            </w:r>
            <w:r>
              <w:rPr>
                <w:rFonts w:hint="eastAsia" w:ascii="宋体" w:hAnsi="宋体"/>
                <w:b/>
                <w:szCs w:val="21"/>
              </w:rPr>
              <w:t>；</w:t>
            </w:r>
          </w:p>
          <w:p>
            <w:pPr>
              <w:snapToGrid w:val="0"/>
              <w:spacing w:after="60" w:afterLines="25" w:line="360" w:lineRule="exact"/>
              <w:rPr>
                <w:rFonts w:ascii="宋体" w:hAnsi="宋体"/>
                <w:b/>
                <w:szCs w:val="21"/>
              </w:rPr>
            </w:pPr>
            <w:r>
              <w:rPr>
                <w:rFonts w:hint="eastAsia" w:ascii="宋体" w:hAnsi="宋体"/>
                <w:b/>
                <w:szCs w:val="21"/>
              </w:rPr>
              <w:t>投标截止地点：政采云线上投标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3"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b/>
                <w:szCs w:val="21"/>
              </w:rPr>
            </w:pPr>
            <w:r>
              <w:rPr>
                <w:rFonts w:hint="eastAsia" w:ascii="宋体" w:hAnsi="宋体"/>
                <w:b/>
                <w:szCs w:val="21"/>
              </w:rPr>
              <w:t>开标时间：2022年11月01日09：00；</w:t>
            </w:r>
          </w:p>
          <w:p>
            <w:pPr>
              <w:snapToGrid w:val="0"/>
              <w:spacing w:after="60" w:afterLines="25" w:line="360" w:lineRule="exact"/>
              <w:rPr>
                <w:rFonts w:ascii="宋体" w:hAnsi="宋体"/>
                <w:b/>
                <w:szCs w:val="21"/>
              </w:rPr>
            </w:pPr>
            <w:r>
              <w:rPr>
                <w:rFonts w:hint="eastAsia" w:ascii="宋体" w:hAnsi="宋体"/>
                <w:b/>
                <w:szCs w:val="21"/>
              </w:rPr>
              <w:t>开标地点：</w:t>
            </w:r>
            <w:r>
              <w:rPr>
                <w:rFonts w:ascii="宋体" w:hAnsi="宋体"/>
                <w:b/>
                <w:szCs w:val="21"/>
              </w:rPr>
              <w:t>政采云线上</w:t>
            </w:r>
            <w:r>
              <w:rPr>
                <w:rFonts w:hint="eastAsia" w:ascii="宋体" w:hAnsi="宋体"/>
                <w:b/>
                <w:szCs w:val="21"/>
              </w:rPr>
              <w:t>开</w:t>
            </w:r>
            <w:r>
              <w:rPr>
                <w:rFonts w:ascii="宋体" w:hAnsi="宋体"/>
                <w:b/>
                <w:szCs w:val="21"/>
              </w:rPr>
              <w:t>标</w:t>
            </w:r>
            <w:r>
              <w:rPr>
                <w:rFonts w:hint="eastAsia" w:ascii="宋体" w:hAnsi="宋体"/>
                <w:b/>
                <w:szCs w:val="21"/>
              </w:rPr>
              <w:t>；</w:t>
            </w:r>
            <w:r>
              <w:rPr>
                <w:rFonts w:hint="eastAsia" w:ascii="宋体" w:hAnsi="宋体"/>
                <w:b/>
                <w:bCs/>
                <w:szCs w:val="21"/>
              </w:rPr>
              <w:t>嘉兴市公共资源交易中心开标室（嘉兴市广场路350号）</w:t>
            </w:r>
            <w:r>
              <w:rPr>
                <w:rFonts w:hint="eastAsia" w:ascii="宋体" w:hAnsi="宋体"/>
                <w:b/>
                <w:szCs w:val="21"/>
              </w:rPr>
              <w:t>。供应商无需到开标现场，但须准时在线参加，直至评审结束。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58"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现场演示：无。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74"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b/>
                <w:szCs w:val="21"/>
              </w:rPr>
            </w:pPr>
            <w:r>
              <w:rPr>
                <w:rFonts w:hint="eastAsia" w:ascii="宋体" w:hAnsi="宋体"/>
                <w:szCs w:val="21"/>
              </w:rPr>
              <w:t>评标办法及评分标准：详见第四章。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24"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评标结果公告：评标结束后2个工作日内，评标结果公告于浙江省政府采购网（</w:t>
            </w:r>
            <w:r>
              <w:rPr>
                <w:rFonts w:ascii="宋体" w:hAnsi="宋体"/>
                <w:szCs w:val="21"/>
              </w:rPr>
              <w:fldChar w:fldCharType="begin"/>
            </w:r>
            <w:r>
              <w:rPr>
                <w:rFonts w:ascii="宋体" w:hAnsi="宋体"/>
                <w:szCs w:val="21"/>
              </w:rPr>
              <w:instrText xml:space="preserve"> HYPERLINK "http://www.zjzfcg.gov.cn/" </w:instrText>
            </w:r>
            <w:r>
              <w:rPr>
                <w:rFonts w:ascii="宋体" w:hAnsi="宋体"/>
                <w:szCs w:val="21"/>
              </w:rPr>
              <w:fldChar w:fldCharType="separate"/>
            </w:r>
            <w:r>
              <w:rPr>
                <w:rFonts w:hint="eastAsia" w:ascii="宋体" w:hAnsi="宋体"/>
                <w:szCs w:val="21"/>
              </w:rPr>
              <w:t>http：//zfcg.czt.zj.gov.cn/</w:t>
            </w:r>
            <w:r>
              <w:rPr>
                <w:rFonts w:ascii="宋体" w:hAnsi="宋体"/>
                <w:szCs w:val="21"/>
              </w:rPr>
              <w:fldChar w:fldCharType="end"/>
            </w:r>
            <w:r>
              <w:rPr>
                <w:rFonts w:hint="eastAsia" w:ascii="宋体" w:hAnsi="宋体"/>
                <w:szCs w:val="21"/>
              </w:rPr>
              <w:t>）</w:t>
            </w:r>
            <w:r>
              <w:rPr>
                <w:rFonts w:ascii="宋体" w:hAnsi="宋体"/>
                <w:szCs w:val="21"/>
              </w:rPr>
              <w:t>。</w:t>
            </w:r>
            <w:r>
              <w:rPr>
                <w:rFonts w:hint="eastAsia" w:ascii="宋体" w:hAnsi="宋体"/>
                <w:szCs w:val="21"/>
              </w:rPr>
              <w:t>本项目公告期限为1个工作日，各参加政府采购活动的供应商认为该中标结果和采购过程等使自己的权益受到损害的，可以自本公告期限届满之日（本公告发布之日后第2个工作日）起7个工作日内，以书面形式向采购人或受其委托的分散采购机构提出质疑。质疑供应商对采购人、分散采购机构的答复不满意或者采购人、分散采购机构未在规定的时间内作出答复的，可以在答复期满后十五个工作日内向同级政府采购监督管理部门投诉。质疑函范本、投诉书范本请到浙江政府采购网下载专区下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02"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中标公告及中标通知书：中标公告发布于上述媒体，中标公告期限为1个工作日。在公告中标结果的同时，采购人或采购代理机构向中标人发出中标通知书。</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13"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签订合同时间：</w:t>
            </w:r>
            <w:r>
              <w:rPr>
                <w:rFonts w:ascii="宋体" w:hAnsi="宋体"/>
                <w:szCs w:val="21"/>
              </w:rPr>
              <w:t>中标通知书发出后30日内。建议采购人在对采购结果质疑期（自采购结果公告之日起七个工作日）后与中标人签订政府采购合同。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13"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合同公告：本项目政府采购合同将于签订之日起2个工作日内发布于上述媒体，但政府采购合同中涉及国家秘密、商业秘密的内容除外。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379"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rPr>
                <w:rFonts w:hint="eastAsia" w:ascii="宋体" w:hAnsi="宋体"/>
              </w:rPr>
            </w:pPr>
            <w:r>
              <w:rPr>
                <w:rFonts w:hint="eastAsia" w:ascii="宋体" w:hAnsi="宋体"/>
                <w:b/>
                <w:bCs/>
                <w:kern w:val="0"/>
                <w:szCs w:val="21"/>
              </w:rPr>
              <w:t>履约保证金：</w:t>
            </w:r>
            <w:r>
              <w:rPr>
                <w:rFonts w:hint="eastAsia" w:ascii="宋体" w:hAnsi="宋体"/>
                <w:kern w:val="0"/>
                <w:szCs w:val="21"/>
              </w:rPr>
              <w:t>各标项的</w:t>
            </w:r>
            <w:r>
              <w:rPr>
                <w:rFonts w:hint="eastAsia" w:ascii="宋体" w:hAnsi="宋体" w:cs="等线"/>
                <w:szCs w:val="21"/>
              </w:rPr>
              <w:t>采购中标人在收到中标通知书后，需向采购人提供</w:t>
            </w:r>
            <w:r>
              <w:rPr>
                <w:rFonts w:hint="eastAsia" w:ascii="宋体" w:hAnsi="宋体"/>
                <w:bCs/>
                <w:kern w:val="0"/>
                <w:szCs w:val="21"/>
              </w:rPr>
              <w:t>合同（预算）金额</w:t>
            </w:r>
            <w:r>
              <w:rPr>
                <w:rFonts w:ascii="宋体" w:hAnsi="宋体" w:cs="等线"/>
                <w:szCs w:val="21"/>
              </w:rPr>
              <w:t>1</w:t>
            </w:r>
            <w:r>
              <w:rPr>
                <w:rFonts w:hint="eastAsia" w:ascii="宋体" w:hAnsi="宋体" w:cs="等线"/>
                <w:szCs w:val="21"/>
              </w:rPr>
              <w:t>%的履约保证金,在中标人与采购人签订合同前递交,投标人可以支票、汇票、本票或者金融机构、保险公司、担保机构出具的保函/保险等非现金形式提交，建议优先使用</w:t>
            </w:r>
            <w:r>
              <w:rPr>
                <w:rFonts w:hint="eastAsia" w:ascii="宋体" w:hAnsi="宋体" w:cs="等线"/>
                <w:b/>
                <w:szCs w:val="21"/>
              </w:rPr>
              <w:t>保险/保函</w:t>
            </w:r>
            <w:r>
              <w:rPr>
                <w:rFonts w:hint="eastAsia" w:ascii="宋体" w:hAnsi="宋体" w:cs="等线"/>
                <w:szCs w:val="21"/>
              </w:rPr>
              <w:t>。</w:t>
            </w:r>
            <w:r>
              <w:rPr>
                <w:rFonts w:ascii="宋体" w:hAnsi="宋体"/>
              </w:rPr>
              <w:t>中标供应商若想了解或使用</w:t>
            </w:r>
            <w:r>
              <w:rPr>
                <w:rFonts w:hint="eastAsia" w:ascii="宋体" w:hAnsi="宋体"/>
              </w:rPr>
              <w:t>保险/保函</w:t>
            </w:r>
            <w:r>
              <w:rPr>
                <w:rFonts w:ascii="宋体" w:hAnsi="宋体"/>
              </w:rPr>
              <w:t>，</w:t>
            </w:r>
            <w:r>
              <w:rPr>
                <w:rFonts w:hint="eastAsia" w:ascii="宋体" w:hAnsi="宋体"/>
              </w:rPr>
              <w:t>可通过政采云平台或其他渠道进行咨询。</w:t>
            </w:r>
            <w:r>
              <w:rPr>
                <w:rFonts w:hint="eastAsia" w:ascii="宋体" w:hAnsi="宋体" w:cs="等线"/>
                <w:b/>
                <w:szCs w:val="21"/>
              </w:rPr>
              <w:t>政采云金融热线400-903-9583，</w:t>
            </w:r>
            <w:r>
              <w:rPr>
                <w:rFonts w:hint="eastAsia" w:ascii="宋体" w:hAnsi="宋体"/>
              </w:rPr>
              <w:t>也可登录</w:t>
            </w:r>
            <w:r>
              <w:rPr>
                <w:rFonts w:hint="eastAsia" w:ascii="宋体" w:hAnsi="宋体" w:cs="等线"/>
                <w:b/>
                <w:szCs w:val="21"/>
              </w:rPr>
              <w:t>政采云平台查看相关内容:</w:t>
            </w:r>
            <w:r>
              <w:rPr>
                <w:rFonts w:hint="eastAsia" w:ascii="宋体" w:hAnsi="宋体" w:cs="等线"/>
                <w:szCs w:val="21"/>
              </w:rPr>
              <w:t xml:space="preserve"> https://jinrong.zcygov.cn/finance-service/#/letter</w:t>
            </w:r>
            <w:r>
              <w:rPr>
                <w:rFonts w:hint="eastAsia" w:ascii="宋体" w:hAnsi="宋体"/>
                <w:bCs/>
                <w:kern w:val="0"/>
                <w:szCs w:val="21"/>
              </w:rPr>
              <w:t>。</w:t>
            </w:r>
            <w:r>
              <w:rPr>
                <w:rFonts w:hint="eastAsia" w:ascii="宋体" w:hAnsi="宋体"/>
                <w:bCs/>
                <w:szCs w:val="21"/>
              </w:rPr>
              <w:t>项目有效期</w:t>
            </w:r>
            <w:r>
              <w:rPr>
                <w:rFonts w:hint="eastAsia" w:ascii="宋体" w:hAnsi="宋体"/>
                <w:bCs/>
                <w:kern w:val="0"/>
                <w:szCs w:val="21"/>
              </w:rPr>
              <w:t>满后，若无任何质量及服务问题，全额无息退还。</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19"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rPr>
                <w:rFonts w:ascii="宋体" w:hAnsi="宋体"/>
                <w:b/>
                <w:szCs w:val="21"/>
              </w:rPr>
            </w:pPr>
            <w:r>
              <w:rPr>
                <w:rFonts w:hint="eastAsia" w:ascii="宋体" w:hAnsi="宋体"/>
                <w:b/>
                <w:szCs w:val="21"/>
              </w:rPr>
              <w:t>本项目预算金额：</w:t>
            </w:r>
            <w:r>
              <w:rPr>
                <w:rFonts w:ascii="宋体" w:hAnsi="宋体"/>
                <w:b/>
                <w:szCs w:val="21"/>
              </w:rPr>
              <w:t>13590000</w:t>
            </w:r>
            <w:r>
              <w:rPr>
                <w:rFonts w:hint="eastAsia" w:ascii="宋体" w:hAnsi="宋体"/>
                <w:b/>
                <w:szCs w:val="21"/>
              </w:rPr>
              <w:t>元，</w:t>
            </w:r>
            <w:r>
              <w:rPr>
                <w:rFonts w:ascii="宋体" w:hAnsi="宋体"/>
                <w:b/>
                <w:szCs w:val="21"/>
              </w:rPr>
              <w:t>大写：</w:t>
            </w:r>
            <w:r>
              <w:rPr>
                <w:rFonts w:hint="eastAsia" w:ascii="宋体" w:hAnsi="宋体"/>
                <w:b/>
                <w:szCs w:val="21"/>
              </w:rPr>
              <w:t>壹仟叁佰伍拾玖万元整；</w:t>
            </w:r>
          </w:p>
          <w:p>
            <w:pPr>
              <w:spacing w:after="60" w:afterLines="25" w:line="360" w:lineRule="exact"/>
              <w:rPr>
                <w:rFonts w:ascii="宋体" w:hAnsi="宋体"/>
                <w:b/>
                <w:szCs w:val="21"/>
              </w:rPr>
            </w:pPr>
            <w:r>
              <w:rPr>
                <w:rFonts w:hint="eastAsia" w:ascii="宋体" w:hAnsi="宋体"/>
                <w:b/>
                <w:szCs w:val="21"/>
              </w:rPr>
              <w:t>其中标项</w:t>
            </w:r>
            <w:r>
              <w:rPr>
                <w:rFonts w:ascii="宋体" w:hAnsi="宋体"/>
                <w:b/>
                <w:szCs w:val="21"/>
              </w:rPr>
              <w:t>1</w:t>
            </w:r>
            <w:r>
              <w:rPr>
                <w:rFonts w:hint="eastAsia" w:ascii="宋体" w:hAnsi="宋体"/>
                <w:b/>
                <w:szCs w:val="21"/>
              </w:rPr>
              <w:t>预算金额：8</w:t>
            </w:r>
            <w:r>
              <w:rPr>
                <w:rFonts w:ascii="宋体" w:hAnsi="宋体"/>
                <w:b/>
                <w:szCs w:val="21"/>
              </w:rPr>
              <w:t>590000</w:t>
            </w:r>
            <w:r>
              <w:rPr>
                <w:rFonts w:hint="eastAsia" w:ascii="宋体" w:hAnsi="宋体"/>
                <w:b/>
                <w:szCs w:val="21"/>
              </w:rPr>
              <w:t>元，大写：捌佰伍拾玖万元整；</w:t>
            </w:r>
          </w:p>
          <w:p>
            <w:pPr>
              <w:spacing w:after="60" w:afterLines="25" w:line="360" w:lineRule="exact"/>
              <w:rPr>
                <w:rFonts w:ascii="宋体" w:hAnsi="宋体"/>
                <w:b/>
                <w:szCs w:val="21"/>
              </w:rPr>
            </w:pPr>
            <w:r>
              <w:rPr>
                <w:rFonts w:hint="eastAsia" w:ascii="宋体" w:hAnsi="宋体"/>
                <w:b/>
                <w:szCs w:val="21"/>
              </w:rPr>
              <w:t>标项2预算金额：3</w:t>
            </w:r>
            <w:r>
              <w:rPr>
                <w:rFonts w:ascii="宋体" w:hAnsi="宋体"/>
                <w:b/>
                <w:szCs w:val="21"/>
              </w:rPr>
              <w:t>000000</w:t>
            </w:r>
            <w:r>
              <w:rPr>
                <w:rFonts w:hint="eastAsia" w:ascii="宋体" w:hAnsi="宋体"/>
                <w:b/>
                <w:szCs w:val="21"/>
              </w:rPr>
              <w:t>元，大写：叁佰万元整；</w:t>
            </w:r>
          </w:p>
          <w:p>
            <w:pPr>
              <w:spacing w:after="60" w:afterLines="25" w:line="360" w:lineRule="exact"/>
              <w:rPr>
                <w:rFonts w:hint="eastAsia" w:ascii="宋体" w:hAnsi="宋体"/>
                <w:b/>
                <w:szCs w:val="21"/>
              </w:rPr>
            </w:pPr>
            <w:r>
              <w:rPr>
                <w:rFonts w:hint="eastAsia" w:ascii="宋体" w:hAnsi="宋体"/>
                <w:b/>
                <w:szCs w:val="21"/>
              </w:rPr>
              <w:t>标项3预算金额：2</w:t>
            </w:r>
            <w:r>
              <w:rPr>
                <w:rFonts w:ascii="宋体" w:hAnsi="宋体"/>
                <w:b/>
                <w:szCs w:val="21"/>
              </w:rPr>
              <w:t>000000</w:t>
            </w:r>
            <w:r>
              <w:rPr>
                <w:rFonts w:hint="eastAsia" w:ascii="宋体" w:hAnsi="宋体"/>
                <w:b/>
                <w:szCs w:val="21"/>
              </w:rPr>
              <w:t>元，大写：贰佰万元整；</w:t>
            </w:r>
          </w:p>
          <w:p>
            <w:pPr>
              <w:spacing w:after="60" w:afterLines="25" w:line="360" w:lineRule="exact"/>
              <w:rPr>
                <w:rFonts w:ascii="宋体" w:hAnsi="宋体"/>
                <w:b/>
                <w:szCs w:val="21"/>
              </w:rPr>
            </w:pPr>
            <w:r>
              <w:rPr>
                <w:rFonts w:hint="eastAsia" w:ascii="宋体" w:hAnsi="宋体"/>
                <w:b/>
                <w:szCs w:val="21"/>
              </w:rPr>
              <w:t>标项1最高限价为</w:t>
            </w:r>
            <w:r>
              <w:rPr>
                <w:rFonts w:ascii="宋体" w:hAnsi="宋体"/>
                <w:b/>
                <w:szCs w:val="21"/>
              </w:rPr>
              <w:t>97.59%</w:t>
            </w:r>
            <w:r>
              <w:rPr>
                <w:rFonts w:hint="eastAsia" w:ascii="宋体" w:hAnsi="宋体"/>
                <w:b/>
                <w:szCs w:val="21"/>
              </w:rPr>
              <w:t>，标项2最高限价为94.41</w:t>
            </w:r>
            <w:r>
              <w:rPr>
                <w:rFonts w:ascii="宋体" w:hAnsi="宋体"/>
                <w:b/>
                <w:szCs w:val="21"/>
              </w:rPr>
              <w:t>%</w:t>
            </w:r>
            <w:r>
              <w:rPr>
                <w:rFonts w:hint="eastAsia" w:ascii="宋体" w:hAnsi="宋体"/>
                <w:b/>
                <w:szCs w:val="21"/>
              </w:rPr>
              <w:t>，标项3最高限价为</w:t>
            </w:r>
            <w:r>
              <w:rPr>
                <w:rFonts w:ascii="宋体" w:hAnsi="宋体"/>
                <w:b/>
                <w:szCs w:val="21"/>
              </w:rPr>
              <w:t>92.47%</w:t>
            </w:r>
            <w:r>
              <w:rPr>
                <w:rFonts w:hint="eastAsia" w:ascii="宋体" w:hAnsi="宋体"/>
                <w:b/>
                <w:szCs w:val="21"/>
              </w:rPr>
              <w:t>，超过最高限价的投标文件均为无效文件。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19"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付款方式：详见第二章招标需求。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07"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b/>
                <w:szCs w:val="21"/>
              </w:rPr>
            </w:pPr>
            <w:r>
              <w:rPr>
                <w:rFonts w:hint="eastAsia" w:ascii="宋体" w:hAnsi="宋体"/>
                <w:szCs w:val="21"/>
              </w:rPr>
              <w:t>投标文件有效期：90天。</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407"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关于参考品牌：除采购文件明确的品牌外，欢迎其他能满足本项目技术需求且性能与所明确品牌相当的产品参加本项目投标。（如有）</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1172"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信用记录：符合浙财采监【2013】24号《关于规范政府采购供应商资格设定及资格审查的通知》第六条规定，且未被“信用中国”（www.creditchina.gov.cn）、中国政府采购网（www.ccgp.gov.cn）列入失信被执行人、重大税收违法案件当事人名单、政府采购严重违法失信行为记录名单（提供自招标公告发布之日起至投标截止日内任意时间的“信用中国”网站（www.creditchina.gov.cn）、中国政府采购网（www.ccgp.gov.cn）供应商信用查询网页截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659"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政府采购节能环保产品：按《节能产品政府采购品目清单》财库〔2019〕19号执行；政府采购节能产品、环境标志产品实施品目清单管理：投标产品符合财库〔2019〕9号《关于调整优化节能产品、环境标志产品政府采购执行机制的通知》条件，属于强制采购目录的，投标时需提供有效的认证证书或其他证明材料，不属于强制采购的产品鼓励使用节能产品，予以政策加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696"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（1）采购文件中凡标注“▲”的条款均为实质性要求，不响应的投标文件将作无效标处理。</w:t>
            </w:r>
          </w:p>
          <w:p>
            <w:pPr>
              <w:snapToGrid w:val="0"/>
              <w:spacing w:after="60" w:afterLines="25" w:line="360" w:lineRule="exact"/>
              <w:rPr>
                <w:rFonts w:ascii="宋体" w:hAnsi="宋体"/>
                <w:szCs w:val="21"/>
              </w:rPr>
            </w:pPr>
            <w:r>
              <w:rPr>
                <w:rFonts w:hint="eastAsia" w:ascii="宋体" w:hAnsi="宋体"/>
                <w:szCs w:val="21"/>
              </w:rPr>
              <w:t>（2）供应商未上传电子加密投标文件，其投标无效。</w:t>
            </w:r>
          </w:p>
          <w:p>
            <w:pPr>
              <w:snapToGrid w:val="0"/>
              <w:spacing w:after="60" w:afterLines="25" w:line="360" w:lineRule="exact"/>
              <w:rPr>
                <w:rFonts w:ascii="宋体" w:hAnsi="宋体"/>
                <w:szCs w:val="21"/>
              </w:rPr>
            </w:pPr>
            <w:r>
              <w:rPr>
                <w:rFonts w:hint="eastAsia" w:ascii="宋体" w:hAnsi="宋体"/>
                <w:szCs w:val="21"/>
              </w:rPr>
              <w:t>（3）供应商应同时提递交电子加密投标文件、备份投标文件，如出现投标文件不一致以电子加密投标文件为准。</w:t>
            </w:r>
          </w:p>
          <w:p>
            <w:pPr>
              <w:snapToGrid w:val="0"/>
              <w:spacing w:after="60" w:afterLines="25" w:line="360" w:lineRule="exact"/>
              <w:rPr>
                <w:rFonts w:ascii="宋体" w:hAnsi="宋体"/>
                <w:szCs w:val="21"/>
              </w:rPr>
            </w:pPr>
            <w:r>
              <w:rPr>
                <w:rFonts w:hint="eastAsia" w:ascii="宋体" w:hAnsi="宋体"/>
                <w:szCs w:val="21"/>
              </w:rPr>
              <w:t>（4）供应商上传了电子加密投标文件，未提供备份投标文件，解密出现问题后，由此导致对该供应商投标无法评审的，其后果由该供应商自行承担。</w:t>
            </w:r>
          </w:p>
          <w:p>
            <w:pPr>
              <w:snapToGrid w:val="0"/>
              <w:spacing w:after="60" w:afterLines="25" w:line="360" w:lineRule="exact"/>
              <w:rPr>
                <w:rFonts w:ascii="宋体" w:hAnsi="宋体"/>
                <w:szCs w:val="21"/>
              </w:rPr>
            </w:pPr>
            <w:r>
              <w:rPr>
                <w:rFonts w:hint="eastAsia" w:ascii="宋体" w:hAnsi="宋体"/>
                <w:szCs w:val="21"/>
              </w:rPr>
              <w:t>（5）各供应商自行在浙江政府采购网下载或查阅采购文件和相关更正公告等，不另行通知，如有遗漏，采购人、采购代理机构概不负责。</w:t>
            </w:r>
          </w:p>
          <w:p>
            <w:pPr>
              <w:snapToGrid w:val="0"/>
              <w:spacing w:after="60" w:afterLines="25" w:line="360" w:lineRule="exact"/>
              <w:rPr>
                <w:rFonts w:hint="eastAsia" w:ascii="宋体" w:hAnsi="宋体"/>
                <w:szCs w:val="21"/>
              </w:rPr>
            </w:pPr>
            <w:r>
              <w:rPr>
                <w:rFonts w:hint="eastAsia" w:ascii="宋体" w:hAnsi="宋体"/>
                <w:szCs w:val="21"/>
              </w:rPr>
              <w:t>（6）两家或两家以上供应商提供的投标文件出自同一终端设备的，或在相同Internet主机分配地址（相同IP地址）报名或网上投标的，后果由供应商自行承担。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46" w:hRule="atLeast"/>
          <w:jc w:val="center"/>
        </w:trPr>
        <w:tc>
          <w:tcPr>
            <w:tcW w:w="868" w:type="dxa"/>
            <w:tcBorders>
              <w:top w:val="single" w:color="auto" w:sz="4" w:space="0"/>
              <w:left w:val="single" w:color="auto" w:sz="4" w:space="0"/>
              <w:bottom w:val="single" w:color="auto" w:sz="4" w:space="0"/>
              <w:right w:val="single" w:color="auto" w:sz="4" w:space="0"/>
            </w:tcBorders>
            <w:noWrap w:val="0"/>
            <w:vAlign w:val="center"/>
          </w:tcPr>
          <w:p>
            <w:pPr>
              <w:numPr>
                <w:ilvl w:val="0"/>
                <w:numId w:val="6"/>
              </w:numPr>
              <w:snapToGrid w:val="0"/>
              <w:spacing w:after="60" w:afterLines="25" w:line="360" w:lineRule="exact"/>
              <w:ind w:left="263" w:leftChars="125" w:firstLine="0"/>
              <w:jc w:val="center"/>
              <w:rPr>
                <w:rFonts w:ascii="宋体" w:hAnsi="宋体"/>
                <w:szCs w:val="21"/>
              </w:rPr>
            </w:pPr>
          </w:p>
        </w:tc>
        <w:tc>
          <w:tcPr>
            <w:tcW w:w="8359" w:type="dxa"/>
            <w:tcBorders>
              <w:top w:val="single" w:color="auto" w:sz="4" w:space="0"/>
              <w:left w:val="single" w:color="auto" w:sz="4" w:space="0"/>
              <w:bottom w:val="single" w:color="auto" w:sz="4" w:space="0"/>
              <w:right w:val="single" w:color="auto" w:sz="4" w:space="0"/>
            </w:tcBorders>
            <w:noWrap w:val="0"/>
            <w:vAlign w:val="center"/>
          </w:tcPr>
          <w:p>
            <w:pPr>
              <w:snapToGrid w:val="0"/>
              <w:spacing w:after="60" w:afterLines="25" w:line="360" w:lineRule="exact"/>
              <w:rPr>
                <w:rFonts w:ascii="宋体" w:hAnsi="宋体"/>
                <w:szCs w:val="21"/>
              </w:rPr>
            </w:pPr>
            <w:r>
              <w:rPr>
                <w:rFonts w:hint="eastAsia" w:ascii="宋体" w:hAnsi="宋体"/>
                <w:szCs w:val="21"/>
              </w:rPr>
              <w:t>解释：本招标文件的解释权属于采购人。</w:t>
            </w:r>
          </w:p>
        </w:tc>
      </w:tr>
    </w:tbl>
    <w:p>
      <w:pPr>
        <w:pStyle w:val="3"/>
        <w:spacing w:line="400" w:lineRule="exact"/>
        <w:rPr>
          <w:rFonts w:ascii="宋体" w:hAnsi="宋体"/>
        </w:rPr>
      </w:pPr>
      <w:r>
        <w:rPr>
          <w:rFonts w:hint="eastAsia" w:ascii="宋体" w:hAnsi="宋体"/>
          <w:b w:val="0"/>
          <w:sz w:val="32"/>
          <w:szCs w:val="32"/>
        </w:rPr>
        <w:br w:type="page"/>
      </w:r>
      <w:bookmarkStart w:id="60" w:name="_Toc89897653"/>
      <w:bookmarkStart w:id="61" w:name="_Toc82881284"/>
      <w:bookmarkStart w:id="62" w:name="_Toc42879248"/>
      <w:bookmarkStart w:id="63" w:name="_Toc39655257"/>
      <w:bookmarkStart w:id="64" w:name="_Toc16185628"/>
      <w:bookmarkStart w:id="65" w:name="_Toc50211552"/>
      <w:bookmarkStart w:id="66" w:name="_Toc3386498"/>
      <w:r>
        <w:rPr>
          <w:rFonts w:hint="eastAsia" w:ascii="宋体" w:hAnsi="宋体"/>
        </w:rPr>
        <w:t>一、总则</w:t>
      </w:r>
      <w:bookmarkEnd w:id="60"/>
      <w:bookmarkEnd w:id="61"/>
      <w:bookmarkEnd w:id="62"/>
      <w:bookmarkEnd w:id="63"/>
      <w:bookmarkEnd w:id="64"/>
      <w:bookmarkEnd w:id="65"/>
      <w:bookmarkEnd w:id="66"/>
    </w:p>
    <w:p>
      <w:pPr>
        <w:pStyle w:val="4"/>
        <w:spacing w:line="400" w:lineRule="exact"/>
        <w:ind w:firstLine="422" w:firstLineChars="200"/>
        <w:rPr>
          <w:rFonts w:ascii="宋体" w:hAnsi="宋体"/>
        </w:rPr>
      </w:pPr>
      <w:r>
        <w:rPr>
          <w:rFonts w:hint="eastAsia" w:ascii="宋体" w:hAnsi="宋体"/>
        </w:rPr>
        <w:t>（一）适用范围</w:t>
      </w:r>
    </w:p>
    <w:p>
      <w:pPr>
        <w:snapToGrid w:val="0"/>
        <w:spacing w:line="400" w:lineRule="exact"/>
        <w:ind w:firstLine="420" w:firstLineChars="200"/>
        <w:jc w:val="left"/>
        <w:rPr>
          <w:rFonts w:ascii="宋体" w:hAnsi="宋体"/>
          <w:szCs w:val="21"/>
        </w:rPr>
      </w:pPr>
      <w:r>
        <w:rPr>
          <w:rFonts w:hint="eastAsia" w:ascii="宋体" w:hAnsi="宋体"/>
          <w:szCs w:val="21"/>
        </w:rPr>
        <w:t>本招标文件适用于</w:t>
      </w:r>
      <w:r>
        <w:rPr>
          <w:rFonts w:ascii="宋体" w:hAnsi="宋体"/>
          <w:szCs w:val="21"/>
        </w:rPr>
        <w:t>本项目</w:t>
      </w:r>
      <w:r>
        <w:rPr>
          <w:rFonts w:hint="eastAsia" w:ascii="宋体" w:hAnsi="宋体"/>
          <w:szCs w:val="21"/>
        </w:rPr>
        <w:t>的招标、投标、评标、定标、验收、合同履约、付款等行为（法律、法规另有规定的，从其规定）。</w:t>
      </w:r>
    </w:p>
    <w:p>
      <w:pPr>
        <w:pStyle w:val="4"/>
        <w:spacing w:line="400" w:lineRule="exact"/>
        <w:ind w:firstLine="422" w:firstLineChars="200"/>
        <w:rPr>
          <w:rFonts w:ascii="宋体" w:hAnsi="宋体"/>
        </w:rPr>
      </w:pPr>
      <w:r>
        <w:rPr>
          <w:rFonts w:hint="eastAsia" w:ascii="宋体" w:hAnsi="宋体"/>
        </w:rPr>
        <w:t>（二）定义</w:t>
      </w:r>
    </w:p>
    <w:p>
      <w:pPr>
        <w:snapToGrid w:val="0"/>
        <w:spacing w:line="400" w:lineRule="exact"/>
        <w:ind w:firstLine="420" w:firstLineChars="200"/>
        <w:jc w:val="left"/>
        <w:rPr>
          <w:rFonts w:ascii="宋体" w:hAnsi="宋体"/>
          <w:szCs w:val="21"/>
        </w:rPr>
      </w:pPr>
      <w:r>
        <w:rPr>
          <w:rFonts w:hint="eastAsia" w:ascii="宋体" w:hAnsi="宋体"/>
          <w:szCs w:val="21"/>
        </w:rPr>
        <w:t>1.“采购人”或“招标采购单位”为嘉兴市公安局交通警察支队。</w:t>
      </w:r>
    </w:p>
    <w:p>
      <w:pPr>
        <w:snapToGrid w:val="0"/>
        <w:spacing w:line="400" w:lineRule="exact"/>
        <w:ind w:firstLine="420" w:firstLineChars="200"/>
        <w:jc w:val="left"/>
        <w:rPr>
          <w:rFonts w:ascii="宋体" w:hAnsi="宋体"/>
          <w:szCs w:val="21"/>
        </w:rPr>
      </w:pPr>
      <w:r>
        <w:rPr>
          <w:rFonts w:hint="eastAsia" w:ascii="宋体" w:hAnsi="宋体"/>
          <w:szCs w:val="21"/>
        </w:rPr>
        <w:t>2.“采购代理机构”为浙江富昱项目管理有限公司。</w:t>
      </w:r>
    </w:p>
    <w:p>
      <w:pPr>
        <w:snapToGrid w:val="0"/>
        <w:spacing w:line="400" w:lineRule="exact"/>
        <w:ind w:firstLine="420" w:firstLineChars="200"/>
        <w:jc w:val="left"/>
        <w:rPr>
          <w:rFonts w:ascii="宋体" w:hAnsi="宋体"/>
          <w:szCs w:val="21"/>
        </w:rPr>
      </w:pPr>
      <w:r>
        <w:rPr>
          <w:rFonts w:hint="eastAsia" w:ascii="宋体" w:hAnsi="宋体"/>
          <w:szCs w:val="21"/>
        </w:rPr>
        <w:t>3.“供应商”或“供应商”系指向招标方提交投标文件的单位。</w:t>
      </w:r>
    </w:p>
    <w:p>
      <w:pPr>
        <w:snapToGrid w:val="0"/>
        <w:spacing w:line="400" w:lineRule="exact"/>
        <w:ind w:firstLine="420" w:firstLineChars="200"/>
        <w:jc w:val="left"/>
        <w:rPr>
          <w:rFonts w:ascii="宋体" w:hAnsi="宋体"/>
          <w:szCs w:val="21"/>
        </w:rPr>
      </w:pPr>
      <w:r>
        <w:rPr>
          <w:rFonts w:hint="eastAsia" w:ascii="宋体" w:hAnsi="宋体"/>
          <w:szCs w:val="21"/>
        </w:rPr>
        <w:t>4.“产品”系指供应商按招标文件规定，须向采购人提供的一切设备、保险、税金、备品备件、工具、手册及其它有关技术资料和材料。</w:t>
      </w:r>
    </w:p>
    <w:p>
      <w:pPr>
        <w:snapToGrid w:val="0"/>
        <w:spacing w:line="400" w:lineRule="exact"/>
        <w:ind w:firstLine="420" w:firstLineChars="200"/>
        <w:jc w:val="left"/>
        <w:rPr>
          <w:rFonts w:ascii="宋体" w:hAnsi="宋体"/>
          <w:szCs w:val="21"/>
        </w:rPr>
      </w:pPr>
      <w:r>
        <w:rPr>
          <w:rFonts w:hint="eastAsia" w:ascii="宋体" w:hAnsi="宋体"/>
          <w:szCs w:val="21"/>
        </w:rPr>
        <w:t>5.“服务”系指招标文件规定供应商须承担的安装、调试、技术协助、校准、培训、技术指导以及其他类似的义务。</w:t>
      </w:r>
    </w:p>
    <w:p>
      <w:pPr>
        <w:snapToGrid w:val="0"/>
        <w:spacing w:line="400" w:lineRule="exact"/>
        <w:ind w:firstLine="420" w:firstLineChars="200"/>
        <w:jc w:val="left"/>
        <w:rPr>
          <w:rFonts w:ascii="宋体" w:hAnsi="宋体"/>
          <w:szCs w:val="21"/>
        </w:rPr>
      </w:pPr>
      <w:r>
        <w:rPr>
          <w:rFonts w:hint="eastAsia" w:ascii="宋体" w:hAnsi="宋体"/>
          <w:szCs w:val="21"/>
        </w:rPr>
        <w:t>6.“项目”系指供应商按招标文件规定向采购人提供的产品和服务。</w:t>
      </w:r>
    </w:p>
    <w:p>
      <w:pPr>
        <w:snapToGrid w:val="0"/>
        <w:spacing w:line="400" w:lineRule="exact"/>
        <w:ind w:firstLine="420" w:firstLineChars="200"/>
        <w:jc w:val="left"/>
        <w:rPr>
          <w:rFonts w:ascii="宋体" w:hAnsi="宋体"/>
          <w:szCs w:val="21"/>
        </w:rPr>
      </w:pPr>
      <w:r>
        <w:rPr>
          <w:rFonts w:hint="eastAsia" w:ascii="宋体" w:hAnsi="宋体"/>
          <w:szCs w:val="21"/>
        </w:rPr>
        <w:t>7.“书面形式”包括信函、传真、电报等。</w:t>
      </w:r>
    </w:p>
    <w:p>
      <w:pPr>
        <w:snapToGrid w:val="0"/>
        <w:spacing w:line="400" w:lineRule="exact"/>
        <w:ind w:firstLine="420" w:firstLineChars="200"/>
        <w:jc w:val="left"/>
        <w:rPr>
          <w:rFonts w:ascii="宋体" w:hAnsi="宋体"/>
          <w:szCs w:val="21"/>
        </w:rPr>
      </w:pPr>
      <w:r>
        <w:rPr>
          <w:rFonts w:hint="eastAsia" w:ascii="宋体" w:hAnsi="宋体"/>
          <w:szCs w:val="21"/>
        </w:rPr>
        <w:t>8.“</w:t>
      </w:r>
      <w:r>
        <w:rPr>
          <w:rFonts w:ascii="宋体" w:hAnsi="宋体"/>
          <w:szCs w:val="21"/>
        </w:rPr>
        <w:t>▲</w:t>
      </w:r>
      <w:r>
        <w:rPr>
          <w:rFonts w:hint="eastAsia" w:ascii="宋体" w:hAnsi="宋体"/>
          <w:szCs w:val="21"/>
        </w:rPr>
        <w:t>”系指实质性要求条款，不满足实行性要求条款的投标文件无效。“★”系指系统重要条款，供应商对重要条款的响应程度将作为评审工作的主要依据之一。</w:t>
      </w:r>
    </w:p>
    <w:p>
      <w:pPr>
        <w:pStyle w:val="4"/>
        <w:spacing w:line="400" w:lineRule="exact"/>
        <w:ind w:firstLine="422" w:firstLineChars="200"/>
        <w:rPr>
          <w:rFonts w:ascii="宋体" w:hAnsi="宋体"/>
        </w:rPr>
      </w:pPr>
      <w:r>
        <w:rPr>
          <w:rFonts w:hint="eastAsia" w:ascii="宋体" w:hAnsi="宋体"/>
        </w:rPr>
        <w:t>（三）招标方式</w:t>
      </w:r>
    </w:p>
    <w:p>
      <w:pPr>
        <w:snapToGrid w:val="0"/>
        <w:spacing w:line="400" w:lineRule="exact"/>
        <w:ind w:firstLine="420" w:firstLineChars="200"/>
        <w:jc w:val="left"/>
        <w:rPr>
          <w:rFonts w:ascii="宋体" w:hAnsi="宋体"/>
          <w:szCs w:val="21"/>
        </w:rPr>
      </w:pPr>
      <w:r>
        <w:rPr>
          <w:rFonts w:hint="eastAsia" w:ascii="宋体" w:hAnsi="宋体"/>
          <w:szCs w:val="21"/>
        </w:rPr>
        <w:t>本次招标采用公开招标方式进行。</w:t>
      </w:r>
    </w:p>
    <w:p>
      <w:pPr>
        <w:pStyle w:val="4"/>
        <w:spacing w:line="400" w:lineRule="exact"/>
        <w:ind w:firstLine="422" w:firstLineChars="200"/>
        <w:rPr>
          <w:rFonts w:ascii="宋体" w:hAnsi="宋体"/>
        </w:rPr>
      </w:pPr>
      <w:r>
        <w:rPr>
          <w:rFonts w:hint="eastAsia" w:ascii="宋体" w:hAnsi="宋体"/>
        </w:rPr>
        <w:t>（四）投标委托</w:t>
      </w:r>
    </w:p>
    <w:p>
      <w:pPr>
        <w:snapToGrid w:val="0"/>
        <w:spacing w:line="400" w:lineRule="exact"/>
        <w:ind w:firstLine="420" w:firstLineChars="200"/>
        <w:jc w:val="left"/>
        <w:rPr>
          <w:rFonts w:ascii="宋体" w:hAnsi="宋体"/>
          <w:szCs w:val="21"/>
        </w:rPr>
      </w:pPr>
      <w:r>
        <w:rPr>
          <w:rFonts w:hint="eastAsia" w:ascii="宋体" w:hAnsi="宋体"/>
          <w:szCs w:val="21"/>
        </w:rPr>
        <w:t>供应商代表须携带有效身份证件。如供应商代表不是法定代表人，须有法定代表人出具的授权委托书（格式见第六章）。</w:t>
      </w:r>
    </w:p>
    <w:p>
      <w:pPr>
        <w:pStyle w:val="4"/>
        <w:spacing w:line="400" w:lineRule="exact"/>
        <w:ind w:firstLine="422" w:firstLineChars="200"/>
        <w:rPr>
          <w:rFonts w:ascii="宋体" w:hAnsi="宋体"/>
        </w:rPr>
      </w:pPr>
      <w:r>
        <w:rPr>
          <w:rFonts w:hint="eastAsia" w:ascii="宋体" w:hAnsi="宋体"/>
        </w:rPr>
        <w:t>（五）投标费用</w:t>
      </w:r>
    </w:p>
    <w:p>
      <w:pPr>
        <w:snapToGrid w:val="0"/>
        <w:spacing w:line="400" w:lineRule="exact"/>
        <w:ind w:firstLine="420" w:firstLineChars="200"/>
        <w:jc w:val="left"/>
        <w:rPr>
          <w:rFonts w:ascii="宋体" w:hAnsi="宋体"/>
          <w:szCs w:val="21"/>
        </w:rPr>
      </w:pPr>
      <w:r>
        <w:rPr>
          <w:rFonts w:hint="eastAsia" w:ascii="宋体" w:hAnsi="宋体"/>
          <w:szCs w:val="21"/>
        </w:rPr>
        <w:t>不论投标结果如何，供应商均应自行承担所有与投标有关的全部费用。</w:t>
      </w:r>
    </w:p>
    <w:p>
      <w:pPr>
        <w:pStyle w:val="4"/>
        <w:spacing w:line="400" w:lineRule="exact"/>
        <w:ind w:firstLine="422" w:firstLineChars="200"/>
        <w:rPr>
          <w:rFonts w:ascii="宋体" w:hAnsi="宋体"/>
        </w:rPr>
      </w:pPr>
      <w:r>
        <w:rPr>
          <w:rFonts w:hint="eastAsia" w:ascii="宋体" w:hAnsi="宋体"/>
        </w:rPr>
        <w:t>（六）联合体投标</w:t>
      </w:r>
    </w:p>
    <w:p>
      <w:pPr>
        <w:snapToGrid w:val="0"/>
        <w:spacing w:line="400" w:lineRule="exact"/>
        <w:ind w:firstLine="420" w:firstLineChars="200"/>
        <w:jc w:val="left"/>
        <w:rPr>
          <w:rFonts w:ascii="宋体" w:hAnsi="宋体"/>
          <w:szCs w:val="21"/>
        </w:rPr>
      </w:pPr>
      <w:r>
        <w:rPr>
          <w:rFonts w:hint="eastAsia" w:ascii="宋体" w:hAnsi="宋体"/>
          <w:szCs w:val="21"/>
        </w:rPr>
        <w:t>本项目不接受联合体投标。</w:t>
      </w:r>
    </w:p>
    <w:p>
      <w:pPr>
        <w:pStyle w:val="4"/>
        <w:spacing w:line="400" w:lineRule="exact"/>
        <w:ind w:firstLine="422" w:firstLineChars="200"/>
        <w:rPr>
          <w:rFonts w:ascii="宋体" w:hAnsi="宋体"/>
          <w:kern w:val="0"/>
        </w:rPr>
      </w:pPr>
      <w:r>
        <w:rPr>
          <w:rFonts w:hint="eastAsia" w:ascii="宋体" w:hAnsi="宋体"/>
        </w:rPr>
        <w:t>（七）</w:t>
      </w:r>
      <w:r>
        <w:rPr>
          <w:rFonts w:hint="eastAsia" w:ascii="宋体" w:hAnsi="宋体"/>
          <w:kern w:val="0"/>
        </w:rPr>
        <w:t>转包与分包</w:t>
      </w:r>
    </w:p>
    <w:p>
      <w:pPr>
        <w:snapToGrid w:val="0"/>
        <w:spacing w:line="400" w:lineRule="exact"/>
        <w:ind w:firstLine="420" w:firstLineChars="200"/>
        <w:rPr>
          <w:rFonts w:ascii="宋体" w:hAnsi="宋体"/>
          <w:kern w:val="0"/>
          <w:szCs w:val="21"/>
        </w:rPr>
      </w:pPr>
      <w:r>
        <w:rPr>
          <w:rFonts w:hint="eastAsia" w:ascii="宋体" w:hAnsi="宋体"/>
          <w:kern w:val="0"/>
          <w:szCs w:val="21"/>
        </w:rPr>
        <w:t>1.本项目不允许转包。</w:t>
      </w:r>
    </w:p>
    <w:p>
      <w:pPr>
        <w:snapToGrid w:val="0"/>
        <w:spacing w:line="400" w:lineRule="exact"/>
        <w:ind w:firstLine="420" w:firstLineChars="200"/>
        <w:rPr>
          <w:rFonts w:ascii="宋体" w:hAnsi="宋体"/>
          <w:szCs w:val="21"/>
        </w:rPr>
      </w:pPr>
      <w:r>
        <w:rPr>
          <w:rFonts w:hint="eastAsia" w:ascii="宋体" w:hAnsi="宋体"/>
          <w:kern w:val="0"/>
          <w:szCs w:val="21"/>
        </w:rPr>
        <w:t>2.本项目不可以分包。</w:t>
      </w:r>
    </w:p>
    <w:p>
      <w:pPr>
        <w:pStyle w:val="4"/>
        <w:spacing w:line="400" w:lineRule="exact"/>
        <w:ind w:firstLine="422" w:firstLineChars="200"/>
        <w:rPr>
          <w:rFonts w:ascii="宋体" w:hAnsi="宋体"/>
        </w:rPr>
      </w:pPr>
      <w:r>
        <w:rPr>
          <w:rFonts w:hint="eastAsia" w:ascii="宋体" w:hAnsi="宋体"/>
        </w:rPr>
        <w:t>（八）是否允许采购进口产品</w:t>
      </w:r>
    </w:p>
    <w:p>
      <w:pPr>
        <w:pStyle w:val="4"/>
        <w:spacing w:line="400" w:lineRule="exact"/>
        <w:ind w:firstLine="420" w:firstLineChars="200"/>
        <w:rPr>
          <w:rFonts w:ascii="宋体" w:hAnsi="宋体"/>
          <w:b w:val="0"/>
          <w:szCs w:val="21"/>
        </w:rPr>
      </w:pPr>
      <w:r>
        <w:rPr>
          <w:rFonts w:hint="eastAsia" w:ascii="宋体" w:hAnsi="宋体"/>
          <w:b w:val="0"/>
          <w:szCs w:val="21"/>
        </w:rPr>
        <w:t>不</w:t>
      </w:r>
      <w:r>
        <w:rPr>
          <w:rFonts w:ascii="宋体" w:hAnsi="宋体"/>
          <w:b w:val="0"/>
          <w:szCs w:val="21"/>
        </w:rPr>
        <w:t>允许</w:t>
      </w:r>
      <w:r>
        <w:rPr>
          <w:rFonts w:hint="eastAsia" w:ascii="宋体" w:hAnsi="宋体"/>
          <w:b w:val="0"/>
          <w:szCs w:val="21"/>
        </w:rPr>
        <w:t>采购进口产品</w:t>
      </w:r>
      <w:r>
        <w:rPr>
          <w:rFonts w:ascii="宋体" w:hAnsi="宋体"/>
          <w:b w:val="0"/>
          <w:szCs w:val="21"/>
        </w:rPr>
        <w:t>。</w:t>
      </w:r>
    </w:p>
    <w:p>
      <w:pPr>
        <w:pStyle w:val="4"/>
        <w:spacing w:line="400" w:lineRule="exact"/>
        <w:ind w:firstLine="422" w:firstLineChars="200"/>
        <w:rPr>
          <w:rFonts w:ascii="宋体" w:hAnsi="宋体"/>
        </w:rPr>
      </w:pPr>
      <w:r>
        <w:rPr>
          <w:rFonts w:hint="eastAsia" w:ascii="宋体" w:hAnsi="宋体"/>
        </w:rPr>
        <w:t>（九）特别说明：</w:t>
      </w:r>
    </w:p>
    <w:p>
      <w:pPr>
        <w:spacing w:line="400" w:lineRule="exact"/>
        <w:ind w:firstLine="420" w:firstLineChars="200"/>
        <w:rPr>
          <w:rFonts w:ascii="宋体" w:hAnsi="宋体"/>
          <w:szCs w:val="21"/>
        </w:rPr>
      </w:pPr>
      <w:r>
        <w:rPr>
          <w:rFonts w:hint="eastAsia" w:ascii="宋体" w:hAnsi="宋体"/>
          <w:szCs w:val="21"/>
        </w:rPr>
        <w:t>1.采用最低评标价法的采购项目，提供相同品牌产品的不同供应商参加同一合同项下投标的，以其中通过资格审查、符合性审查且报价最低的参加评标；报价相同的，由采购人或者采购人委托评标委员会按照招标文件规定的方式确定一个参加评标的供应商，招标文件未规定的采取随机抽取方式确定，其他投标无效。</w:t>
      </w:r>
    </w:p>
    <w:p>
      <w:pPr>
        <w:spacing w:line="400" w:lineRule="exact"/>
        <w:ind w:firstLine="420" w:firstLineChars="200"/>
        <w:rPr>
          <w:rFonts w:ascii="宋体" w:hAnsi="宋体"/>
          <w:szCs w:val="21"/>
        </w:rPr>
      </w:pPr>
      <w:r>
        <w:rPr>
          <w:rFonts w:hint="eastAsia" w:ascii="宋体" w:hAnsi="宋体"/>
          <w:szCs w:val="21"/>
        </w:rPr>
        <w:t>使用综合评分法的采购项目，提供相同品牌产品且通过资格审查、符合性审查的不同供应商参加同一合同项下投标的，按一家供应商计算，评审后得分最高的同品牌供应商获得中标供应商推荐资格；评审得分相同的，由采购人或者采购人委托评标委员会按照招标文件规定的方式确定一个供应商获得中标供应商推荐资格，招标文件未规定的采取随机抽取方式确定，其他同品牌供应商不作为中标候选人。</w:t>
      </w:r>
    </w:p>
    <w:p>
      <w:pPr>
        <w:spacing w:line="400" w:lineRule="exact"/>
        <w:ind w:firstLine="420" w:firstLineChars="200"/>
        <w:rPr>
          <w:rFonts w:ascii="宋体" w:hAnsi="宋体"/>
          <w:szCs w:val="21"/>
        </w:rPr>
      </w:pPr>
      <w:r>
        <w:rPr>
          <w:rFonts w:hint="eastAsia" w:ascii="宋体" w:hAnsi="宋体"/>
          <w:szCs w:val="21"/>
        </w:rPr>
        <w:t>非单一产品采购项目，采购人应当根据采购项目技术构成、产品价格比重等合理确定核心产品，并在招标文件中载明。多家供应商提供的核心产品品牌相同的，按前两款规定处理。</w:t>
      </w:r>
    </w:p>
    <w:p>
      <w:pPr>
        <w:spacing w:line="400" w:lineRule="exact"/>
        <w:ind w:firstLine="420" w:firstLineChars="200"/>
        <w:rPr>
          <w:rFonts w:ascii="宋体" w:hAnsi="宋体"/>
          <w:szCs w:val="21"/>
        </w:rPr>
      </w:pPr>
      <w:r>
        <w:rPr>
          <w:rFonts w:hint="eastAsia" w:ascii="宋体" w:hAnsi="宋体"/>
          <w:szCs w:val="21"/>
        </w:rPr>
        <w:t>2.供应商投标所使用的资格、信誉、荣誉、业绩与企业认证必须为本法人所拥有。供应商投标所使用的采购项目实施人员必须为本法人员工（或必须为本法人或控股公司正式员工）。</w:t>
      </w:r>
    </w:p>
    <w:p>
      <w:pPr>
        <w:spacing w:line="400" w:lineRule="exact"/>
        <w:ind w:firstLine="420" w:firstLineChars="200"/>
        <w:rPr>
          <w:rFonts w:ascii="宋体" w:hAnsi="宋体"/>
          <w:szCs w:val="21"/>
        </w:rPr>
      </w:pPr>
      <w:r>
        <w:rPr>
          <w:rFonts w:hint="eastAsia" w:ascii="宋体" w:hAnsi="宋体"/>
          <w:szCs w:val="21"/>
        </w:rPr>
        <w:t>3.供应商应仔细阅读招标文件的所有内容，按照招标文件的要求提交投标文件，并对所提供的全部资料的真实性承担法律责任。</w:t>
      </w:r>
    </w:p>
    <w:p>
      <w:pPr>
        <w:spacing w:line="400" w:lineRule="exact"/>
        <w:ind w:firstLine="420" w:firstLineChars="200"/>
        <w:rPr>
          <w:rFonts w:ascii="宋体" w:hAnsi="宋体"/>
          <w:szCs w:val="21"/>
        </w:rPr>
      </w:pPr>
      <w:r>
        <w:rPr>
          <w:rFonts w:hint="eastAsia" w:ascii="宋体" w:hAnsi="宋体"/>
          <w:szCs w:val="21"/>
        </w:rPr>
        <w:t>4.供应商在投标活动中提供任何虚假材料，其投标无效，并报监管部门查处；中标后发现的，根据《浙江省政府采购供应商注册及诚信管理暂行办法的通知》规定进行处罚；还将依照《中华人民共和国消费者权益保护法》第49条之规定由中标人双倍赔偿采购人，且民事赔偿并不免除违法供应商的行政与刑事责任。</w:t>
      </w:r>
    </w:p>
    <w:p>
      <w:pPr>
        <w:pStyle w:val="4"/>
        <w:spacing w:line="400" w:lineRule="exact"/>
        <w:ind w:firstLine="422" w:firstLineChars="200"/>
        <w:rPr>
          <w:rFonts w:ascii="宋体" w:hAnsi="宋体"/>
        </w:rPr>
      </w:pPr>
      <w:r>
        <w:rPr>
          <w:rFonts w:hint="eastAsia" w:ascii="宋体" w:hAnsi="宋体"/>
        </w:rPr>
        <w:t>（十）质疑和投诉</w:t>
      </w:r>
    </w:p>
    <w:p>
      <w:pPr>
        <w:spacing w:line="400" w:lineRule="exact"/>
        <w:ind w:firstLine="420" w:firstLineChars="200"/>
        <w:rPr>
          <w:rFonts w:ascii="宋体" w:hAnsi="宋体"/>
          <w:szCs w:val="21"/>
        </w:rPr>
      </w:pPr>
      <w:r>
        <w:rPr>
          <w:rFonts w:hint="eastAsia" w:ascii="宋体" w:hAnsi="宋体"/>
          <w:szCs w:val="21"/>
        </w:rPr>
        <w:t>1.供应商认为招标文件、招标过程或中标结果使自己的合法权益受到损害的，应当在知道或者应知其权益受到损害之日起七个工作日内，以书面形式向采购人、采购代理单位提出质疑。供应商对招标采购单位的质疑答复不满意或者招标采购单位未在规定时间内作出答复的，可以在答复期满后十五个工作日内向同级采购监管部门投诉。</w:t>
      </w:r>
    </w:p>
    <w:p>
      <w:pPr>
        <w:spacing w:line="400" w:lineRule="exact"/>
        <w:ind w:firstLine="420" w:firstLineChars="200"/>
        <w:rPr>
          <w:rFonts w:ascii="宋体" w:hAnsi="宋体"/>
          <w:szCs w:val="21"/>
        </w:rPr>
      </w:pPr>
      <w:r>
        <w:rPr>
          <w:rFonts w:hint="eastAsia" w:ascii="宋体" w:hAnsi="宋体"/>
          <w:szCs w:val="21"/>
        </w:rPr>
        <w:t>2.</w:t>
      </w:r>
      <w:r>
        <w:rPr>
          <w:rFonts w:ascii="宋体" w:hAnsi="宋体"/>
          <w:szCs w:val="21"/>
        </w:rPr>
        <w:t>质疑、投诉应当采用书面形式，质疑书、投诉书均应明确阐述招标文件、招标过程</w:t>
      </w:r>
      <w:r>
        <w:rPr>
          <w:rFonts w:hint="eastAsia" w:ascii="宋体" w:hAnsi="宋体"/>
          <w:szCs w:val="21"/>
        </w:rPr>
        <w:t>或</w:t>
      </w:r>
      <w:r>
        <w:rPr>
          <w:rFonts w:ascii="宋体" w:hAnsi="宋体"/>
          <w:szCs w:val="21"/>
        </w:rPr>
        <w:t>中标结果中使自己合法权益受到损害的实质性内容，提供相关事实、依据和证据及其来源或线索，便于有关单位调查、答复和处理</w:t>
      </w:r>
      <w:r>
        <w:rPr>
          <w:rFonts w:hint="eastAsia" w:ascii="宋体" w:hAnsi="宋体"/>
          <w:szCs w:val="21"/>
        </w:rPr>
        <w:t>。</w:t>
      </w:r>
    </w:p>
    <w:p>
      <w:pPr>
        <w:pStyle w:val="3"/>
        <w:spacing w:line="400" w:lineRule="exact"/>
        <w:rPr>
          <w:rFonts w:ascii="宋体" w:hAnsi="宋体"/>
        </w:rPr>
      </w:pPr>
      <w:bookmarkStart w:id="67" w:name="_Toc39655258"/>
      <w:bookmarkStart w:id="68" w:name="_Toc50211553"/>
      <w:bookmarkStart w:id="69" w:name="_Toc3386499"/>
      <w:bookmarkStart w:id="70" w:name="_Toc16185629"/>
      <w:bookmarkStart w:id="71" w:name="_Toc82881285"/>
      <w:bookmarkStart w:id="72" w:name="_Toc42879249"/>
      <w:bookmarkStart w:id="73" w:name="_Toc89897654"/>
      <w:r>
        <w:rPr>
          <w:rFonts w:hint="eastAsia" w:ascii="宋体" w:hAnsi="宋体"/>
        </w:rPr>
        <w:t>二、招标文件</w:t>
      </w:r>
      <w:bookmarkEnd w:id="67"/>
      <w:bookmarkEnd w:id="68"/>
      <w:bookmarkEnd w:id="69"/>
      <w:bookmarkEnd w:id="70"/>
      <w:bookmarkEnd w:id="71"/>
      <w:bookmarkEnd w:id="72"/>
      <w:bookmarkEnd w:id="73"/>
    </w:p>
    <w:p>
      <w:pPr>
        <w:pStyle w:val="4"/>
        <w:spacing w:line="400" w:lineRule="exact"/>
        <w:ind w:firstLine="422" w:firstLineChars="200"/>
        <w:rPr>
          <w:rFonts w:ascii="宋体" w:hAnsi="宋体"/>
          <w:szCs w:val="21"/>
        </w:rPr>
      </w:pPr>
      <w:r>
        <w:rPr>
          <w:rFonts w:hint="eastAsia" w:ascii="宋体" w:hAnsi="宋体"/>
          <w:szCs w:val="21"/>
        </w:rPr>
        <w:t>（一）招标文件的构成。本招标文件由以下部份组成：</w:t>
      </w:r>
    </w:p>
    <w:p>
      <w:pPr>
        <w:snapToGrid w:val="0"/>
        <w:spacing w:line="400" w:lineRule="exact"/>
        <w:ind w:firstLine="420" w:firstLineChars="200"/>
        <w:jc w:val="left"/>
        <w:rPr>
          <w:rFonts w:ascii="宋体" w:hAnsi="宋体"/>
          <w:szCs w:val="21"/>
        </w:rPr>
      </w:pPr>
      <w:r>
        <w:rPr>
          <w:rFonts w:hint="eastAsia" w:ascii="宋体" w:hAnsi="宋体"/>
          <w:szCs w:val="21"/>
        </w:rPr>
        <w:t>1.招标公告</w:t>
      </w:r>
    </w:p>
    <w:p>
      <w:pPr>
        <w:snapToGrid w:val="0"/>
        <w:spacing w:line="400" w:lineRule="exact"/>
        <w:ind w:firstLine="420" w:firstLineChars="200"/>
        <w:jc w:val="left"/>
        <w:rPr>
          <w:rFonts w:ascii="宋体" w:hAnsi="宋体"/>
          <w:szCs w:val="21"/>
        </w:rPr>
      </w:pPr>
      <w:r>
        <w:rPr>
          <w:rFonts w:hint="eastAsia" w:ascii="宋体" w:hAnsi="宋体"/>
          <w:szCs w:val="21"/>
        </w:rPr>
        <w:t>2.招标需求</w:t>
      </w:r>
    </w:p>
    <w:p>
      <w:pPr>
        <w:snapToGrid w:val="0"/>
        <w:spacing w:line="400" w:lineRule="exact"/>
        <w:ind w:firstLine="420" w:firstLineChars="200"/>
        <w:jc w:val="left"/>
        <w:rPr>
          <w:rFonts w:ascii="宋体" w:hAnsi="宋体"/>
          <w:szCs w:val="21"/>
        </w:rPr>
      </w:pPr>
      <w:r>
        <w:rPr>
          <w:rFonts w:hint="eastAsia" w:ascii="宋体" w:hAnsi="宋体"/>
          <w:szCs w:val="21"/>
        </w:rPr>
        <w:t>3.供应商须知</w:t>
      </w:r>
    </w:p>
    <w:p>
      <w:pPr>
        <w:snapToGrid w:val="0"/>
        <w:spacing w:line="400" w:lineRule="exact"/>
        <w:ind w:firstLine="420" w:firstLineChars="200"/>
        <w:jc w:val="left"/>
        <w:rPr>
          <w:rFonts w:ascii="宋体" w:hAnsi="宋体"/>
          <w:szCs w:val="21"/>
        </w:rPr>
      </w:pPr>
      <w:r>
        <w:rPr>
          <w:rFonts w:hint="eastAsia" w:ascii="宋体" w:hAnsi="宋体"/>
          <w:szCs w:val="21"/>
        </w:rPr>
        <w:t>4.评标办法及标准</w:t>
      </w:r>
    </w:p>
    <w:p>
      <w:pPr>
        <w:snapToGrid w:val="0"/>
        <w:spacing w:line="400" w:lineRule="exact"/>
        <w:ind w:firstLine="420" w:firstLineChars="200"/>
        <w:jc w:val="left"/>
        <w:rPr>
          <w:rFonts w:ascii="宋体" w:hAnsi="宋体"/>
          <w:szCs w:val="21"/>
        </w:rPr>
      </w:pPr>
      <w:r>
        <w:rPr>
          <w:rFonts w:hint="eastAsia" w:ascii="宋体" w:hAnsi="宋体"/>
          <w:szCs w:val="21"/>
        </w:rPr>
        <w:t>5.合同主要条款</w:t>
      </w:r>
    </w:p>
    <w:p>
      <w:pPr>
        <w:snapToGrid w:val="0"/>
        <w:spacing w:line="400" w:lineRule="exact"/>
        <w:ind w:firstLine="420" w:firstLineChars="200"/>
        <w:jc w:val="left"/>
        <w:rPr>
          <w:rFonts w:ascii="宋体" w:hAnsi="宋体"/>
          <w:szCs w:val="21"/>
        </w:rPr>
      </w:pPr>
      <w:r>
        <w:rPr>
          <w:rFonts w:hint="eastAsia" w:ascii="宋体" w:hAnsi="宋体"/>
          <w:szCs w:val="21"/>
        </w:rPr>
        <w:t>6.投标文件格式</w:t>
      </w:r>
    </w:p>
    <w:p>
      <w:pPr>
        <w:snapToGrid w:val="0"/>
        <w:spacing w:line="400" w:lineRule="exact"/>
        <w:ind w:firstLine="420" w:firstLineChars="200"/>
        <w:jc w:val="left"/>
        <w:rPr>
          <w:rFonts w:ascii="宋体" w:hAnsi="宋体"/>
          <w:szCs w:val="21"/>
        </w:rPr>
      </w:pPr>
      <w:r>
        <w:rPr>
          <w:rFonts w:hint="eastAsia" w:ascii="宋体" w:hAnsi="宋体"/>
          <w:szCs w:val="21"/>
        </w:rPr>
        <w:t>7.本项目招标文件的澄清、答复、修改、补充的内容</w:t>
      </w:r>
      <w:r>
        <w:rPr>
          <w:rFonts w:ascii="宋体" w:hAnsi="宋体"/>
          <w:szCs w:val="21"/>
        </w:rPr>
        <w:t>（所有内容将以电子文档形式上传于浙江省政府采购网网站（https：//zfcg.czt.zj.gov.cn/）。澄清、答复、修改、补充的内容均作为招标文件的组成部分，具有约束作用。供应商必须自行下载。）</w:t>
      </w:r>
    </w:p>
    <w:p>
      <w:pPr>
        <w:pStyle w:val="4"/>
        <w:spacing w:line="400" w:lineRule="exact"/>
        <w:ind w:firstLine="422" w:firstLineChars="200"/>
        <w:rPr>
          <w:rFonts w:ascii="宋体" w:hAnsi="宋体"/>
        </w:rPr>
      </w:pPr>
      <w:r>
        <w:rPr>
          <w:rFonts w:hint="eastAsia" w:ascii="宋体" w:hAnsi="宋体"/>
        </w:rPr>
        <w:t>（二）供应商的风险</w:t>
      </w:r>
    </w:p>
    <w:p>
      <w:pPr>
        <w:spacing w:line="400" w:lineRule="exact"/>
        <w:ind w:firstLine="420" w:firstLineChars="200"/>
        <w:rPr>
          <w:rFonts w:ascii="宋体" w:hAnsi="宋体"/>
          <w:bCs/>
          <w:szCs w:val="21"/>
        </w:rPr>
      </w:pPr>
      <w:r>
        <w:rPr>
          <w:rFonts w:hint="eastAsia" w:ascii="宋体" w:hAnsi="宋体"/>
          <w:bCs/>
          <w:szCs w:val="21"/>
        </w:rPr>
        <w:t>供应商没有按照招标文件要求提供全部资料，或者供应商没有对招标文件在各方面作出实质性响应是供应商的风险，并可能导致其投标为无效标。</w:t>
      </w:r>
    </w:p>
    <w:p>
      <w:pPr>
        <w:pStyle w:val="4"/>
        <w:spacing w:line="400" w:lineRule="exact"/>
        <w:ind w:firstLine="422" w:firstLineChars="200"/>
        <w:rPr>
          <w:rFonts w:ascii="宋体" w:hAnsi="宋体"/>
        </w:rPr>
      </w:pPr>
      <w:r>
        <w:rPr>
          <w:rFonts w:hint="eastAsia" w:ascii="宋体" w:hAnsi="宋体"/>
        </w:rPr>
        <w:t>（三）招标文件的澄清与修改</w:t>
      </w:r>
    </w:p>
    <w:p>
      <w:pPr>
        <w:snapToGrid w:val="0"/>
        <w:spacing w:line="400" w:lineRule="exact"/>
        <w:ind w:firstLine="420" w:firstLineChars="200"/>
        <w:jc w:val="left"/>
        <w:rPr>
          <w:rFonts w:ascii="宋体" w:hAnsi="宋体"/>
          <w:szCs w:val="21"/>
        </w:rPr>
      </w:pPr>
      <w:r>
        <w:rPr>
          <w:rFonts w:hint="eastAsia" w:ascii="宋体" w:hAnsi="宋体"/>
          <w:szCs w:val="21"/>
        </w:rPr>
        <w:t>1.供应商应认真阅读本招标文件，发现其中有误或有不合理要求的，可要求招标采购人澄清。招标采购人对已发出的招标文件进行必要澄清或者修改的，应当在招标文件要求提交投标文件截止十五日前，在财政部门指定的政府采购信息发布媒体上发布更正公告，并以书面形式通知所有招标文件获取人。</w:t>
      </w:r>
    </w:p>
    <w:p>
      <w:pPr>
        <w:snapToGrid w:val="0"/>
        <w:spacing w:line="400" w:lineRule="exact"/>
        <w:ind w:firstLine="420" w:firstLineChars="200"/>
        <w:jc w:val="left"/>
        <w:rPr>
          <w:rFonts w:ascii="宋体" w:hAnsi="宋体"/>
          <w:szCs w:val="21"/>
        </w:rPr>
      </w:pPr>
      <w:r>
        <w:rPr>
          <w:rFonts w:hint="eastAsia" w:ascii="宋体" w:hAnsi="宋体"/>
          <w:szCs w:val="21"/>
        </w:rPr>
        <w:t>2.招标文件澄清或者修改的内容为招标文件的组成部分。当招标文件与澄清或者修改就同一内容的表述不一致时，以最后发出的书面文件为准。</w:t>
      </w:r>
    </w:p>
    <w:p>
      <w:pPr>
        <w:snapToGrid w:val="0"/>
        <w:spacing w:line="400" w:lineRule="exact"/>
        <w:ind w:firstLine="420" w:firstLineChars="200"/>
        <w:jc w:val="left"/>
        <w:rPr>
          <w:rFonts w:ascii="宋体" w:hAnsi="宋体"/>
          <w:szCs w:val="21"/>
        </w:rPr>
      </w:pPr>
      <w:r>
        <w:rPr>
          <w:rFonts w:hint="eastAsia" w:ascii="宋体" w:hAnsi="宋体"/>
          <w:szCs w:val="21"/>
        </w:rPr>
        <w:t>3.对招标文件的澄清、答复、修改或补充都应该通过招标代理机构以法定形式发布，采购人非通过招标代理机构，不得擅自澄清、答复、修改或补充招标文件。</w:t>
      </w:r>
    </w:p>
    <w:p>
      <w:pPr>
        <w:pStyle w:val="3"/>
        <w:spacing w:line="400" w:lineRule="exact"/>
        <w:rPr>
          <w:rFonts w:ascii="宋体" w:hAnsi="宋体"/>
        </w:rPr>
      </w:pPr>
      <w:bookmarkStart w:id="74" w:name="_Toc89897655"/>
      <w:bookmarkStart w:id="75" w:name="_Toc82881286"/>
      <w:bookmarkStart w:id="76" w:name="_Toc39655259"/>
      <w:bookmarkStart w:id="77" w:name="_Toc50211554"/>
      <w:bookmarkStart w:id="78" w:name="_Toc42879250"/>
      <w:bookmarkStart w:id="79" w:name="_Toc3386500"/>
      <w:bookmarkStart w:id="80" w:name="_Toc16185630"/>
      <w:r>
        <w:rPr>
          <w:rFonts w:hint="eastAsia" w:ascii="宋体" w:hAnsi="宋体"/>
        </w:rPr>
        <w:t>三、投标文件的编制</w:t>
      </w:r>
      <w:bookmarkEnd w:id="74"/>
      <w:bookmarkEnd w:id="75"/>
      <w:bookmarkEnd w:id="76"/>
      <w:bookmarkEnd w:id="77"/>
      <w:bookmarkEnd w:id="78"/>
      <w:bookmarkEnd w:id="79"/>
      <w:bookmarkEnd w:id="80"/>
    </w:p>
    <w:p>
      <w:pPr>
        <w:spacing w:line="400" w:lineRule="exact"/>
        <w:ind w:firstLine="422" w:firstLineChars="200"/>
        <w:rPr>
          <w:rFonts w:ascii="宋体" w:hAnsi="宋体"/>
          <w:b/>
          <w:kern w:val="0"/>
        </w:rPr>
      </w:pPr>
      <w:r>
        <w:rPr>
          <w:rFonts w:hint="eastAsia" w:ascii="宋体" w:hAnsi="宋体"/>
          <w:b/>
          <w:kern w:val="0"/>
        </w:rPr>
        <w:t>本项目所涉投标文件格式请详见第六章，未给出的格式请自拟。资格文件、商务技术文件中不得出现报价，否则投标文件将被视为无效。</w:t>
      </w:r>
    </w:p>
    <w:p>
      <w:pPr>
        <w:spacing w:line="400" w:lineRule="exact"/>
        <w:ind w:firstLine="422" w:firstLineChars="200"/>
        <w:rPr>
          <w:rFonts w:ascii="宋体" w:hAnsi="宋体"/>
          <w:b/>
          <w:kern w:val="0"/>
        </w:rPr>
      </w:pPr>
      <w:bookmarkStart w:id="81" w:name="_Toc32243"/>
      <w:bookmarkStart w:id="82" w:name="_Toc50012863"/>
      <w:bookmarkStart w:id="83" w:name="_Toc33535357"/>
      <w:r>
        <w:rPr>
          <w:rFonts w:hint="eastAsia" w:ascii="宋体" w:hAnsi="宋体"/>
          <w:b/>
          <w:kern w:val="0"/>
        </w:rPr>
        <w:t>总体要求：</w:t>
      </w:r>
      <w:bookmarkEnd w:id="81"/>
      <w:bookmarkEnd w:id="82"/>
      <w:bookmarkEnd w:id="83"/>
    </w:p>
    <w:p>
      <w:pPr>
        <w:spacing w:line="400" w:lineRule="exact"/>
        <w:ind w:firstLine="420" w:firstLineChars="200"/>
        <w:rPr>
          <w:rFonts w:ascii="宋体" w:hAnsi="宋体"/>
          <w:bCs/>
          <w:kern w:val="0"/>
        </w:rPr>
      </w:pPr>
      <w:r>
        <w:rPr>
          <w:rFonts w:hint="eastAsia" w:ascii="宋体" w:hAnsi="宋体"/>
          <w:bCs/>
          <w:kern w:val="0"/>
        </w:rPr>
        <w:t>1、投标人</w:t>
      </w:r>
      <w:r>
        <w:rPr>
          <w:rFonts w:ascii="宋体" w:hAnsi="宋体"/>
          <w:bCs/>
          <w:kern w:val="0"/>
        </w:rPr>
        <w:t>应仔细阅读招标文件的所有内容，按本文件的要求提供投标文件，并保证所提供的全部资料的真实性，以使其投标文件对招标文件作出实质性响应，否则，投标文件可能视为无效投标文件。</w:t>
      </w:r>
    </w:p>
    <w:p>
      <w:pPr>
        <w:spacing w:line="400" w:lineRule="exact"/>
        <w:ind w:firstLine="420" w:firstLineChars="200"/>
        <w:rPr>
          <w:rFonts w:ascii="宋体" w:hAnsi="宋体"/>
          <w:bCs/>
          <w:kern w:val="0"/>
        </w:rPr>
      </w:pPr>
      <w:r>
        <w:rPr>
          <w:rFonts w:hint="eastAsia" w:ascii="宋体" w:hAnsi="宋体"/>
          <w:bCs/>
          <w:kern w:val="0"/>
        </w:rPr>
        <w:t>2、投标文件及投标人与采购有关的来往通知，函件和文件均应使用中文。</w:t>
      </w:r>
    </w:p>
    <w:p>
      <w:pPr>
        <w:spacing w:line="400" w:lineRule="exact"/>
        <w:ind w:firstLine="420" w:firstLineChars="200"/>
        <w:rPr>
          <w:rFonts w:ascii="宋体" w:hAnsi="宋体"/>
          <w:bCs/>
          <w:kern w:val="0"/>
        </w:rPr>
      </w:pPr>
      <w:r>
        <w:rPr>
          <w:rFonts w:hint="eastAsia" w:ascii="宋体" w:hAnsi="宋体"/>
          <w:bCs/>
          <w:kern w:val="0"/>
        </w:rPr>
        <w:t>3、投标人应按本文件中提供的文件格式、内容和要求制作投标文件。</w:t>
      </w:r>
    </w:p>
    <w:p>
      <w:pPr>
        <w:spacing w:line="400" w:lineRule="exact"/>
        <w:ind w:firstLine="420" w:firstLineChars="200"/>
        <w:rPr>
          <w:rFonts w:ascii="宋体" w:hAnsi="宋体"/>
          <w:bCs/>
          <w:kern w:val="0"/>
        </w:rPr>
      </w:pPr>
      <w:r>
        <w:rPr>
          <w:rFonts w:hint="eastAsia" w:ascii="宋体" w:hAnsi="宋体"/>
          <w:bCs/>
          <w:kern w:val="0"/>
        </w:rPr>
        <w:t>4、投标文件的效力：投标文件的启用，按先后顺位分别为电子投标文件、电子备份投标文件。通过“政府采购云平台”成功上传递交的“电子加密投标文件”无法按时解密，投标投标人如按规定递交了“备份投标文件”的，以“备份投标文件”为依据（由采购组织机构按“政府采购云平台”操作规范将“备份投标文件”上传至“政府采购云平台”，上传成功后，“电子加密投标文件”自动失效），否则视为投标文件撤回。</w:t>
      </w:r>
    </w:p>
    <w:p>
      <w:pPr>
        <w:spacing w:line="400" w:lineRule="exact"/>
        <w:ind w:firstLine="422" w:firstLineChars="200"/>
        <w:rPr>
          <w:rFonts w:ascii="宋体" w:hAnsi="宋体"/>
        </w:rPr>
      </w:pPr>
      <w:r>
        <w:rPr>
          <w:rFonts w:ascii="宋体" w:hAnsi="宋体"/>
          <w:b/>
          <w:kern w:val="0"/>
        </w:rPr>
        <w:t>5</w:t>
      </w:r>
      <w:r>
        <w:rPr>
          <w:rFonts w:hint="eastAsia" w:ascii="宋体" w:hAnsi="宋体"/>
          <w:b/>
          <w:kern w:val="0"/>
        </w:rPr>
        <w:t>、电子投标文件按政采云平台供应商电子招投标操作指南（网址：</w:t>
      </w:r>
      <w:r>
        <w:rPr>
          <w:rFonts w:ascii="宋体" w:hAnsi="宋体"/>
        </w:rPr>
        <w:fldChar w:fldCharType="begin"/>
      </w:r>
      <w:r>
        <w:rPr>
          <w:rFonts w:ascii="宋体" w:hAnsi="宋体"/>
        </w:rPr>
        <w:instrText xml:space="preserve"> HYPERLINK "https://help.zcygov.cn/web/site_2/2018/12-28/2573.html%EF%BC%89%E5%8F%8A%E6%9C%AC%E6%8B%9B%E6%A0%87%E6%96%87%E4%BB%B6%E8%A7%84%E5%AE%9A%E7%9A%84%E6%A0%BC%E5%BC%8F%E5%92%8C%E9%A1%BA%E5%BA%8F%E7%BC%96%E5%88%B6%E7%94%B5%E5%AD%90%E6%8A%95%E6%A0%87%E6%96%87%E4%BB%B6%E5%B9%B6%E8%BF%9B%E8%A1%8C%E5%85%B3%E8%81%94%E5%AE%9A" \t "_blank" </w:instrText>
      </w:r>
      <w:r>
        <w:rPr>
          <w:rFonts w:ascii="宋体" w:hAnsi="宋体"/>
        </w:rPr>
        <w:fldChar w:fldCharType="separate"/>
      </w:r>
      <w:r>
        <w:rPr>
          <w:rFonts w:hint="eastAsia" w:ascii="宋体" w:hAnsi="宋体"/>
          <w:b/>
          <w:kern w:val="0"/>
        </w:rPr>
        <w:t>https：//help.zcygov.cn/web/site_2/2018/12-28/2573.html）及本招标文件规定的格式和顺序编制电子投标文件并进行关联定</w:t>
      </w:r>
      <w:r>
        <w:rPr>
          <w:rFonts w:ascii="宋体" w:hAnsi="宋体"/>
          <w:b/>
          <w:kern w:val="0"/>
        </w:rPr>
        <w:fldChar w:fldCharType="end"/>
      </w:r>
      <w:r>
        <w:rPr>
          <w:rFonts w:hint="eastAsia" w:ascii="宋体" w:hAnsi="宋体"/>
          <w:b/>
          <w:kern w:val="0"/>
        </w:rPr>
        <w:t>。建议根据招标文件合格供应商的资格要求、投标文件的编制及评分标准等内容一一关联。</w:t>
      </w:r>
    </w:p>
    <w:p>
      <w:pPr>
        <w:pStyle w:val="4"/>
        <w:spacing w:line="400" w:lineRule="exact"/>
        <w:ind w:firstLine="422" w:firstLineChars="200"/>
        <w:rPr>
          <w:rFonts w:ascii="宋体" w:hAnsi="宋体"/>
        </w:rPr>
      </w:pPr>
      <w:r>
        <w:rPr>
          <w:rFonts w:hint="eastAsia" w:ascii="宋体" w:hAnsi="宋体"/>
        </w:rPr>
        <w:t>（一）投标文件的组成</w:t>
      </w:r>
    </w:p>
    <w:p>
      <w:pPr>
        <w:snapToGrid w:val="0"/>
        <w:spacing w:line="400" w:lineRule="exact"/>
        <w:ind w:firstLine="422" w:firstLineChars="200"/>
        <w:jc w:val="left"/>
        <w:rPr>
          <w:rFonts w:ascii="宋体" w:hAnsi="宋体"/>
          <w:b/>
          <w:bCs/>
          <w:szCs w:val="21"/>
        </w:rPr>
      </w:pPr>
      <w:r>
        <w:rPr>
          <w:rFonts w:hint="eastAsia" w:ascii="宋体" w:hAnsi="宋体"/>
          <w:b/>
          <w:bCs/>
          <w:szCs w:val="21"/>
        </w:rPr>
        <w:t>包括电子投标文件和</w:t>
      </w:r>
      <w:r>
        <w:rPr>
          <w:rFonts w:hint="eastAsia" w:ascii="宋体" w:hAnsi="宋体"/>
          <w:szCs w:val="21"/>
        </w:rPr>
        <w:t>电子备份投标文件（选送）</w:t>
      </w:r>
      <w:r>
        <w:rPr>
          <w:rFonts w:hint="eastAsia" w:ascii="宋体" w:hAnsi="宋体"/>
          <w:b/>
          <w:bCs/>
          <w:szCs w:val="21"/>
        </w:rPr>
        <w:t>，均由资格投标文件、商务技术文件及投标报价文件三部份组成。其中电子投标文件中所须加盖公章部分均采用CA签章。</w:t>
      </w:r>
    </w:p>
    <w:p>
      <w:pPr>
        <w:snapToGrid w:val="0"/>
        <w:spacing w:line="400" w:lineRule="exact"/>
        <w:ind w:firstLine="422" w:firstLineChars="200"/>
        <w:jc w:val="left"/>
        <w:rPr>
          <w:rFonts w:ascii="宋体" w:hAnsi="宋体"/>
          <w:b/>
          <w:szCs w:val="21"/>
        </w:rPr>
      </w:pPr>
      <w:r>
        <w:rPr>
          <w:rFonts w:hint="eastAsia" w:ascii="宋体" w:hAnsi="宋体"/>
          <w:b/>
          <w:szCs w:val="21"/>
        </w:rPr>
        <w:t>1.资格文件：（适用于所有标项）</w:t>
      </w:r>
    </w:p>
    <w:p>
      <w:pPr>
        <w:snapToGrid w:val="0"/>
        <w:spacing w:line="400" w:lineRule="exact"/>
        <w:ind w:firstLine="420" w:firstLineChars="200"/>
        <w:jc w:val="left"/>
        <w:rPr>
          <w:rFonts w:ascii="宋体" w:hAnsi="宋体"/>
          <w:szCs w:val="21"/>
        </w:rPr>
      </w:pPr>
      <w:r>
        <w:rPr>
          <w:rFonts w:hint="eastAsia" w:ascii="宋体" w:hAnsi="宋体"/>
          <w:szCs w:val="21"/>
        </w:rPr>
        <w:t>（1）具有独立承担民事责任的能力（供应商营业执照副本复印件）；</w:t>
      </w:r>
    </w:p>
    <w:p>
      <w:pPr>
        <w:snapToGrid w:val="0"/>
        <w:spacing w:line="400" w:lineRule="exact"/>
        <w:ind w:firstLine="420" w:firstLineChars="200"/>
        <w:jc w:val="left"/>
        <w:rPr>
          <w:rFonts w:ascii="宋体" w:hAnsi="宋体"/>
          <w:szCs w:val="21"/>
        </w:rPr>
      </w:pPr>
      <w:r>
        <w:rPr>
          <w:rFonts w:hint="eastAsia" w:ascii="宋体" w:hAnsi="宋体"/>
          <w:szCs w:val="21"/>
        </w:rPr>
        <w:t>（2）供应商书面承诺符合参与政府采购活动资格条件承诺函【承诺函（格式见附件）】；</w:t>
      </w:r>
    </w:p>
    <w:p>
      <w:pPr>
        <w:snapToGrid w:val="0"/>
        <w:spacing w:line="400" w:lineRule="exact"/>
        <w:ind w:firstLine="420" w:firstLineChars="200"/>
        <w:jc w:val="left"/>
        <w:rPr>
          <w:rFonts w:ascii="宋体" w:hAnsi="宋体"/>
          <w:szCs w:val="21"/>
        </w:rPr>
      </w:pPr>
      <w:r>
        <w:rPr>
          <w:rFonts w:hint="eastAsia" w:ascii="宋体" w:hAnsi="宋体"/>
          <w:szCs w:val="21"/>
        </w:rPr>
        <w:t>（3）提供自招标公告发布之日起至投标截止日内任意时间的“信用中国”网站（www.creditchina.gov.cn）（未被信用中国网站</w:t>
      </w:r>
      <w:r>
        <w:rPr>
          <w:rFonts w:hint="eastAsia" w:ascii="宋体" w:hAnsi="宋体"/>
          <w:szCs w:val="21"/>
        </w:rPr>
        <w:fldChar w:fldCharType="begin"/>
      </w:r>
      <w:r>
        <w:rPr>
          <w:rFonts w:ascii="宋体" w:hAnsi="宋体"/>
          <w:szCs w:val="21"/>
        </w:rPr>
        <w:instrText xml:space="preserve"> HYPERLINK \t "_blank" </w:instrText>
      </w:r>
      <w:r>
        <w:rPr>
          <w:rFonts w:hint="eastAsia" w:ascii="宋体" w:hAnsi="宋体"/>
          <w:szCs w:val="21"/>
        </w:rPr>
        <w:fldChar w:fldCharType="separate"/>
      </w:r>
      <w:r>
        <w:rPr>
          <w:rFonts w:hint="eastAsia" w:ascii="宋体" w:hAnsi="宋体"/>
          <w:szCs w:val="21"/>
        </w:rPr>
        <w:t>列入失信被执行人、重大税收违法案件当事人名单</w:t>
      </w:r>
      <w:r>
        <w:rPr>
          <w:rFonts w:hint="eastAsia" w:ascii="宋体" w:hAnsi="宋体"/>
          <w:szCs w:val="21"/>
        </w:rPr>
        <w:fldChar w:fldCharType="end"/>
      </w:r>
      <w:r>
        <w:rPr>
          <w:rFonts w:ascii="宋体" w:hAnsi="宋体"/>
          <w:szCs w:val="21"/>
        </w:rPr>
        <w:t>的</w:t>
      </w:r>
      <w:r>
        <w:rPr>
          <w:rFonts w:hint="eastAsia" w:ascii="宋体" w:hAnsi="宋体"/>
          <w:szCs w:val="21"/>
        </w:rPr>
        <w:t>查询网页截图</w:t>
      </w:r>
      <w:r>
        <w:rPr>
          <w:rFonts w:ascii="宋体" w:hAnsi="宋体"/>
          <w:szCs w:val="21"/>
        </w:rPr>
        <w:t>）</w:t>
      </w:r>
      <w:r>
        <w:rPr>
          <w:rFonts w:hint="eastAsia" w:ascii="宋体" w:hAnsi="宋体"/>
          <w:szCs w:val="21"/>
        </w:rPr>
        <w:t>、中国政府采购网（www.ccgp.gov.cn）（未被中国政府采购网</w:t>
      </w:r>
      <w:r>
        <w:rPr>
          <w:rFonts w:hint="eastAsia" w:ascii="宋体" w:hAnsi="宋体"/>
          <w:szCs w:val="21"/>
        </w:rPr>
        <w:fldChar w:fldCharType="begin"/>
      </w:r>
      <w:r>
        <w:rPr>
          <w:rFonts w:ascii="宋体" w:hAnsi="宋体"/>
          <w:szCs w:val="21"/>
        </w:rPr>
        <w:instrText xml:space="preserve"> HYPERLINK \t "_blank" </w:instrText>
      </w:r>
      <w:r>
        <w:rPr>
          <w:rFonts w:hint="eastAsia" w:ascii="宋体" w:hAnsi="宋体"/>
          <w:szCs w:val="21"/>
        </w:rPr>
        <w:fldChar w:fldCharType="separate"/>
      </w:r>
      <w:r>
        <w:rPr>
          <w:rFonts w:hint="eastAsia" w:ascii="宋体" w:hAnsi="宋体"/>
          <w:szCs w:val="21"/>
        </w:rPr>
        <w:t>列入政府采购严重违法失信行为记录名单</w:t>
      </w:r>
      <w:r>
        <w:rPr>
          <w:rFonts w:hint="eastAsia" w:ascii="宋体" w:hAnsi="宋体"/>
          <w:szCs w:val="21"/>
        </w:rPr>
        <w:fldChar w:fldCharType="end"/>
      </w:r>
      <w:r>
        <w:rPr>
          <w:rFonts w:ascii="宋体" w:hAnsi="宋体"/>
          <w:szCs w:val="21"/>
        </w:rPr>
        <w:t>的</w:t>
      </w:r>
      <w:r>
        <w:rPr>
          <w:rFonts w:hint="eastAsia" w:ascii="宋体" w:hAnsi="宋体"/>
          <w:szCs w:val="21"/>
        </w:rPr>
        <w:t>查询网页截图）（以开标当日采购单位或由采购单位委托的评标委员会核实的查询结果为准）；</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4</w:t>
      </w:r>
      <w:r>
        <w:rPr>
          <w:rFonts w:hint="eastAsia" w:ascii="宋体" w:hAnsi="宋体"/>
          <w:szCs w:val="21"/>
        </w:rPr>
        <w:t>）法定代表人资格证明书或法定代表人授权委托书；</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5</w:t>
      </w:r>
      <w:r>
        <w:rPr>
          <w:rFonts w:hint="eastAsia" w:ascii="宋体" w:hAnsi="宋体"/>
          <w:szCs w:val="21"/>
        </w:rPr>
        <w:t>）中小企业声明函、残疾人福利性单位声明函及其他符合政策性加分条件的承诺函或证明材料；</w:t>
      </w:r>
    </w:p>
    <w:p>
      <w:pPr>
        <w:snapToGrid w:val="0"/>
        <w:spacing w:line="400" w:lineRule="exact"/>
        <w:ind w:firstLine="422" w:firstLineChars="200"/>
        <w:jc w:val="left"/>
        <w:rPr>
          <w:rFonts w:ascii="宋体" w:hAnsi="宋体"/>
          <w:szCs w:val="21"/>
        </w:rPr>
      </w:pPr>
      <w:r>
        <w:rPr>
          <w:rFonts w:hint="eastAsia" w:ascii="宋体" w:hAnsi="宋体"/>
          <w:b/>
          <w:szCs w:val="21"/>
        </w:rPr>
        <w:t>2</w:t>
      </w:r>
      <w:r>
        <w:rPr>
          <w:rFonts w:ascii="宋体" w:hAnsi="宋体"/>
          <w:b/>
          <w:szCs w:val="21"/>
        </w:rPr>
        <w:t>.</w:t>
      </w:r>
      <w:r>
        <w:rPr>
          <w:rFonts w:hint="eastAsia" w:ascii="宋体" w:hAnsi="宋体"/>
          <w:b/>
          <w:szCs w:val="21"/>
        </w:rPr>
        <w:t>商务技术文件：（适用于所有标项）</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w:t>
      </w:r>
      <w:r>
        <w:rPr>
          <w:rFonts w:hint="eastAsia" w:ascii="宋体" w:hAnsi="宋体"/>
          <w:szCs w:val="21"/>
        </w:rPr>
        <w:t>）投标声明书；</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2</w:t>
      </w:r>
      <w:r>
        <w:rPr>
          <w:rFonts w:hint="eastAsia" w:ascii="宋体" w:hAnsi="宋体"/>
          <w:szCs w:val="21"/>
        </w:rPr>
        <w:t>）类似案例成功的业绩；</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3</w:t>
      </w:r>
      <w:r>
        <w:rPr>
          <w:rFonts w:hint="eastAsia" w:ascii="宋体" w:hAnsi="宋体"/>
          <w:szCs w:val="21"/>
        </w:rPr>
        <w:t>）与本项目实施相关的供应商各类资质证书、认证证书、许可证等（提供相关证书复印件或承诺并加盖公章）（如有）；</w:t>
      </w:r>
    </w:p>
    <w:p>
      <w:pPr>
        <w:spacing w:line="400" w:lineRule="exact"/>
        <w:ind w:firstLine="420" w:firstLineChars="200"/>
        <w:rPr>
          <w:rFonts w:ascii="宋体" w:hAnsi="宋体"/>
          <w:szCs w:val="21"/>
        </w:rPr>
      </w:pPr>
      <w:r>
        <w:rPr>
          <w:rFonts w:hint="eastAsia" w:ascii="宋体" w:hAnsi="宋体"/>
        </w:rPr>
        <w:t>（</w:t>
      </w:r>
      <w:r>
        <w:rPr>
          <w:rFonts w:ascii="宋体" w:hAnsi="宋体"/>
        </w:rPr>
        <w:t>4</w:t>
      </w:r>
      <w:r>
        <w:rPr>
          <w:rFonts w:hint="eastAsia" w:ascii="宋体" w:hAnsi="宋体"/>
        </w:rPr>
        <w:t>）</w:t>
      </w:r>
      <w:r>
        <w:rPr>
          <w:rFonts w:hint="eastAsia" w:ascii="宋体" w:hAnsi="宋体"/>
          <w:szCs w:val="21"/>
        </w:rPr>
        <w:t>供应商情况介绍；</w:t>
      </w:r>
    </w:p>
    <w:p>
      <w:pPr>
        <w:spacing w:line="400" w:lineRule="exact"/>
        <w:ind w:firstLine="420" w:firstLineChars="200"/>
        <w:rPr>
          <w:rFonts w:hint="eastAsia" w:ascii="宋体" w:hAnsi="宋体"/>
        </w:rPr>
      </w:pPr>
      <w:r>
        <w:rPr>
          <w:rFonts w:hint="eastAsia" w:ascii="宋体" w:hAnsi="宋体"/>
        </w:rPr>
        <w:t>（</w:t>
      </w:r>
      <w:r>
        <w:rPr>
          <w:rFonts w:ascii="宋体" w:hAnsi="宋体"/>
        </w:rPr>
        <w:t>5</w:t>
      </w:r>
      <w:r>
        <w:rPr>
          <w:rFonts w:hint="eastAsia" w:ascii="宋体" w:hAnsi="宋体"/>
        </w:rPr>
        <w:t>）商务响应表；</w:t>
      </w:r>
    </w:p>
    <w:p>
      <w:pPr>
        <w:spacing w:line="400" w:lineRule="exact"/>
        <w:ind w:firstLine="420" w:firstLineChars="200"/>
        <w:rPr>
          <w:rFonts w:ascii="宋体" w:hAnsi="宋体"/>
        </w:rPr>
      </w:pPr>
      <w:r>
        <w:rPr>
          <w:rFonts w:hint="eastAsia" w:ascii="宋体" w:hAnsi="宋体"/>
        </w:rPr>
        <w:t>（</w:t>
      </w:r>
      <w:r>
        <w:rPr>
          <w:rFonts w:ascii="宋体" w:hAnsi="宋体"/>
        </w:rPr>
        <w:t>6</w:t>
      </w:r>
      <w:r>
        <w:rPr>
          <w:rFonts w:hint="eastAsia" w:ascii="宋体" w:hAnsi="宋体"/>
        </w:rPr>
        <w:t>）技术指标（投标产品详细清单（不含报价）及技术响应表）；</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7</w:t>
      </w:r>
      <w:r>
        <w:rPr>
          <w:rFonts w:hint="eastAsia" w:ascii="宋体" w:hAnsi="宋体"/>
          <w:szCs w:val="21"/>
        </w:rPr>
        <w:t>）保证措施；</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8</w:t>
      </w:r>
      <w:r>
        <w:rPr>
          <w:rFonts w:hint="eastAsia" w:ascii="宋体" w:hAnsi="宋体"/>
          <w:szCs w:val="21"/>
        </w:rPr>
        <w:t>）</w:t>
      </w:r>
      <w:r>
        <w:rPr>
          <w:rFonts w:ascii="宋体" w:hAnsi="宋体"/>
          <w:szCs w:val="21"/>
        </w:rPr>
        <w:t>施工部署</w:t>
      </w:r>
      <w:r>
        <w:rPr>
          <w:rFonts w:hint="eastAsia" w:ascii="宋体" w:hAnsi="宋体"/>
          <w:szCs w:val="21"/>
        </w:rPr>
        <w:t>；</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9</w:t>
      </w:r>
      <w:r>
        <w:rPr>
          <w:rFonts w:hint="eastAsia" w:ascii="宋体" w:hAnsi="宋体"/>
          <w:szCs w:val="21"/>
        </w:rPr>
        <w:t>）施工计划；</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10</w:t>
      </w:r>
      <w:r>
        <w:rPr>
          <w:rFonts w:hint="eastAsia" w:ascii="宋体" w:hAnsi="宋体"/>
          <w:szCs w:val="21"/>
        </w:rPr>
        <w:t>）质量体系；</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11</w:t>
      </w:r>
      <w:r>
        <w:rPr>
          <w:rFonts w:hint="eastAsia" w:ascii="宋体" w:hAnsi="宋体"/>
          <w:szCs w:val="21"/>
        </w:rPr>
        <w:t>）安全体系；</w:t>
      </w:r>
    </w:p>
    <w:p>
      <w:pPr>
        <w:snapToGrid w:val="0"/>
        <w:spacing w:line="400" w:lineRule="exact"/>
        <w:ind w:firstLine="420" w:firstLineChars="200"/>
        <w:jc w:val="left"/>
        <w:rPr>
          <w:rFonts w:ascii="宋体" w:hAnsi="宋体"/>
          <w:szCs w:val="21"/>
        </w:rPr>
      </w:pPr>
      <w:r>
        <w:rPr>
          <w:rFonts w:hint="eastAsia" w:ascii="宋体" w:hAnsi="宋体"/>
          <w:szCs w:val="21"/>
        </w:rPr>
        <w:t>（</w:t>
      </w:r>
      <w:r>
        <w:rPr>
          <w:rFonts w:ascii="宋体" w:hAnsi="宋体"/>
          <w:szCs w:val="21"/>
        </w:rPr>
        <w:t>12</w:t>
      </w:r>
      <w:r>
        <w:rPr>
          <w:rFonts w:hint="eastAsia" w:ascii="宋体" w:hAnsi="宋体"/>
          <w:szCs w:val="21"/>
        </w:rPr>
        <w:t>）应急预案；</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3</w:t>
      </w:r>
      <w:r>
        <w:rPr>
          <w:rFonts w:hint="eastAsia" w:ascii="宋体" w:hAnsi="宋体"/>
          <w:szCs w:val="21"/>
        </w:rPr>
        <w:t>）售后服务；</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4</w:t>
      </w:r>
      <w:r>
        <w:rPr>
          <w:rFonts w:hint="eastAsia" w:ascii="宋体" w:hAnsi="宋体"/>
          <w:szCs w:val="21"/>
        </w:rPr>
        <w:t>）拟投入车辆及设备；</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5</w:t>
      </w:r>
      <w:r>
        <w:rPr>
          <w:rFonts w:hint="eastAsia" w:ascii="宋体" w:hAnsi="宋体"/>
          <w:szCs w:val="21"/>
        </w:rPr>
        <w:t>）运营、维保实力；</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6</w:t>
      </w:r>
      <w:r>
        <w:rPr>
          <w:rFonts w:hint="eastAsia" w:ascii="宋体" w:hAnsi="宋体"/>
          <w:szCs w:val="21"/>
        </w:rPr>
        <w:t>）样品分（仅适用于标项2、标项3）；</w:t>
      </w:r>
    </w:p>
    <w:p>
      <w:pPr>
        <w:snapToGrid w:val="0"/>
        <w:spacing w:line="400" w:lineRule="exact"/>
        <w:ind w:firstLine="420" w:firstLineChars="200"/>
        <w:jc w:val="left"/>
        <w:rPr>
          <w:rFonts w:hint="eastAsia" w:ascii="宋体" w:hAnsi="宋体"/>
          <w:szCs w:val="21"/>
        </w:rPr>
      </w:pPr>
      <w:r>
        <w:rPr>
          <w:rFonts w:hint="eastAsia" w:ascii="宋体" w:hAnsi="宋体"/>
          <w:szCs w:val="21"/>
        </w:rPr>
        <w:t>（1</w:t>
      </w:r>
      <w:r>
        <w:rPr>
          <w:rFonts w:ascii="宋体" w:hAnsi="宋体"/>
          <w:szCs w:val="21"/>
        </w:rPr>
        <w:t>7</w:t>
      </w:r>
      <w:r>
        <w:rPr>
          <w:rFonts w:hint="eastAsia" w:ascii="宋体" w:hAnsi="宋体"/>
          <w:szCs w:val="21"/>
        </w:rPr>
        <w:t>）优惠条件及合理化建议；</w:t>
      </w:r>
    </w:p>
    <w:p>
      <w:pPr>
        <w:snapToGrid w:val="0"/>
        <w:spacing w:line="400" w:lineRule="exact"/>
        <w:ind w:firstLine="420" w:firstLineChars="200"/>
        <w:jc w:val="left"/>
        <w:rPr>
          <w:rFonts w:ascii="宋体" w:hAnsi="宋体"/>
          <w:szCs w:val="21"/>
        </w:rPr>
      </w:pPr>
      <w:r>
        <w:rPr>
          <w:rFonts w:hint="eastAsia" w:ascii="宋体" w:hAnsi="宋体"/>
          <w:szCs w:val="21"/>
        </w:rPr>
        <w:t>（1</w:t>
      </w:r>
      <w:r>
        <w:rPr>
          <w:rFonts w:ascii="宋体" w:hAnsi="宋体"/>
          <w:szCs w:val="21"/>
        </w:rPr>
        <w:t>8</w:t>
      </w:r>
      <w:r>
        <w:rPr>
          <w:rFonts w:hint="eastAsia" w:ascii="宋体" w:hAnsi="宋体"/>
          <w:szCs w:val="21"/>
        </w:rPr>
        <w:t>）供应商需要说明的其他文件和说明（未尽事宜可按评分细则部分制作）。</w:t>
      </w:r>
    </w:p>
    <w:p>
      <w:pPr>
        <w:snapToGrid w:val="0"/>
        <w:spacing w:line="400" w:lineRule="exact"/>
        <w:ind w:firstLine="422" w:firstLineChars="200"/>
        <w:jc w:val="left"/>
        <w:rPr>
          <w:rFonts w:ascii="宋体" w:hAnsi="宋体"/>
          <w:b/>
          <w:bCs/>
          <w:szCs w:val="21"/>
        </w:rPr>
      </w:pPr>
      <w:r>
        <w:rPr>
          <w:rFonts w:ascii="宋体" w:hAnsi="宋体"/>
          <w:b/>
          <w:bCs/>
          <w:szCs w:val="21"/>
        </w:rPr>
        <w:t>3</w:t>
      </w:r>
      <w:r>
        <w:rPr>
          <w:rFonts w:hint="eastAsia" w:ascii="宋体" w:hAnsi="宋体"/>
          <w:b/>
          <w:bCs/>
          <w:szCs w:val="21"/>
        </w:rPr>
        <w:t>.报价文件：</w:t>
      </w:r>
      <w:r>
        <w:rPr>
          <w:rFonts w:hint="eastAsia" w:ascii="宋体" w:hAnsi="宋体"/>
          <w:b/>
          <w:szCs w:val="21"/>
        </w:rPr>
        <w:t>（适用于所有标项）</w:t>
      </w:r>
    </w:p>
    <w:p>
      <w:pPr>
        <w:tabs>
          <w:tab w:val="left" w:pos="3870"/>
          <w:tab w:val="left" w:pos="4085"/>
        </w:tabs>
        <w:snapToGrid w:val="0"/>
        <w:spacing w:line="400" w:lineRule="exact"/>
        <w:ind w:firstLine="420" w:firstLineChars="200"/>
        <w:jc w:val="left"/>
        <w:rPr>
          <w:rFonts w:ascii="宋体" w:hAnsi="宋体"/>
          <w:i/>
          <w:szCs w:val="21"/>
        </w:rPr>
      </w:pPr>
      <w:r>
        <w:rPr>
          <w:rFonts w:hint="eastAsia" w:ascii="宋体" w:hAnsi="宋体"/>
          <w:szCs w:val="21"/>
        </w:rPr>
        <w:t>（1）投标函；</w:t>
      </w:r>
    </w:p>
    <w:p>
      <w:pPr>
        <w:snapToGrid w:val="0"/>
        <w:spacing w:line="400" w:lineRule="exact"/>
        <w:ind w:firstLine="420" w:firstLineChars="200"/>
        <w:rPr>
          <w:rFonts w:ascii="宋体" w:hAnsi="宋体"/>
          <w:szCs w:val="21"/>
        </w:rPr>
      </w:pPr>
      <w:r>
        <w:rPr>
          <w:rFonts w:hint="eastAsia" w:ascii="宋体" w:hAnsi="宋体"/>
          <w:szCs w:val="21"/>
        </w:rPr>
        <w:t>（2）开标一览表；</w:t>
      </w:r>
    </w:p>
    <w:p>
      <w:pPr>
        <w:snapToGrid w:val="0"/>
        <w:spacing w:line="400" w:lineRule="exact"/>
        <w:ind w:firstLine="420" w:firstLineChars="200"/>
        <w:rPr>
          <w:rFonts w:ascii="宋体" w:hAnsi="宋体"/>
          <w:szCs w:val="21"/>
        </w:rPr>
      </w:pPr>
      <w:r>
        <w:rPr>
          <w:rFonts w:hint="eastAsia" w:ascii="宋体" w:hAnsi="宋体"/>
          <w:szCs w:val="21"/>
        </w:rPr>
        <w:t>（3）投标报价明细表（如有）；</w:t>
      </w:r>
    </w:p>
    <w:p>
      <w:pPr>
        <w:snapToGrid w:val="0"/>
        <w:spacing w:line="400" w:lineRule="exact"/>
        <w:ind w:firstLine="420" w:firstLineChars="200"/>
        <w:rPr>
          <w:rFonts w:ascii="宋体" w:hAnsi="宋体"/>
          <w:szCs w:val="21"/>
        </w:rPr>
      </w:pPr>
      <w:r>
        <w:rPr>
          <w:rFonts w:hint="eastAsia" w:ascii="宋体" w:hAnsi="宋体"/>
          <w:szCs w:val="21"/>
        </w:rPr>
        <w:t>（</w:t>
      </w:r>
      <w:r>
        <w:rPr>
          <w:rFonts w:ascii="宋体" w:hAnsi="宋体"/>
          <w:szCs w:val="21"/>
        </w:rPr>
        <w:t>4</w:t>
      </w:r>
      <w:r>
        <w:rPr>
          <w:rFonts w:hint="eastAsia" w:ascii="宋体" w:hAnsi="宋体"/>
          <w:szCs w:val="21"/>
        </w:rPr>
        <w:t>）供应商针对报价需要说明的其他文件和说明。</w:t>
      </w:r>
    </w:p>
    <w:p>
      <w:pPr>
        <w:tabs>
          <w:tab w:val="left" w:pos="180"/>
          <w:tab w:val="left" w:pos="720"/>
          <w:tab w:val="left" w:pos="1800"/>
          <w:tab w:val="left" w:pos="2340"/>
        </w:tabs>
        <w:spacing w:line="400" w:lineRule="exact"/>
        <w:ind w:firstLine="420" w:firstLineChars="200"/>
        <w:rPr>
          <w:rFonts w:ascii="宋体" w:hAnsi="宋体"/>
          <w:szCs w:val="21"/>
        </w:rPr>
      </w:pPr>
      <w:r>
        <w:rPr>
          <w:rFonts w:hint="eastAsia" w:ascii="宋体" w:hAnsi="宋体"/>
          <w:szCs w:val="21"/>
        </w:rPr>
        <w:t>注：法定代表人身份证明或授权委托书、投标声明书、投标函、开标一览表必须由法定代表人或授权委托人签字（或盖章）并加盖单位公章。</w:t>
      </w:r>
    </w:p>
    <w:p>
      <w:pPr>
        <w:pStyle w:val="4"/>
        <w:spacing w:line="400" w:lineRule="exact"/>
        <w:ind w:firstLine="422" w:firstLineChars="200"/>
        <w:rPr>
          <w:rFonts w:ascii="宋体" w:hAnsi="宋体"/>
        </w:rPr>
      </w:pPr>
      <w:r>
        <w:rPr>
          <w:rFonts w:hint="eastAsia" w:ascii="宋体" w:hAnsi="宋体"/>
        </w:rPr>
        <w:t>（二）投标文件的语言及计量</w:t>
      </w:r>
    </w:p>
    <w:p>
      <w:pPr>
        <w:snapToGrid w:val="0"/>
        <w:spacing w:line="400" w:lineRule="exact"/>
        <w:ind w:firstLine="420" w:firstLineChars="200"/>
        <w:jc w:val="left"/>
        <w:rPr>
          <w:rFonts w:ascii="宋体" w:hAnsi="宋体"/>
          <w:szCs w:val="21"/>
        </w:rPr>
      </w:pPr>
      <w:r>
        <w:rPr>
          <w:rFonts w:hint="eastAsia" w:ascii="宋体" w:hAnsi="宋体"/>
          <w:szCs w:val="21"/>
        </w:rPr>
        <w:t>1.投标文件以及供应商与招标人就有关投标事宜的所有来往函电，均应以中文汉语书写。除签名、盖章、专用名称等特殊情形外，以中文汉语以外的文字表述的投标文件视同未提供。</w:t>
      </w:r>
    </w:p>
    <w:p>
      <w:pPr>
        <w:snapToGrid w:val="0"/>
        <w:spacing w:line="400" w:lineRule="exact"/>
        <w:ind w:firstLine="420" w:firstLineChars="200"/>
        <w:jc w:val="left"/>
        <w:rPr>
          <w:rFonts w:ascii="宋体" w:hAnsi="宋体"/>
          <w:szCs w:val="21"/>
        </w:rPr>
      </w:pPr>
      <w:r>
        <w:rPr>
          <w:rFonts w:hint="eastAsia" w:ascii="宋体" w:hAnsi="宋体"/>
          <w:szCs w:val="21"/>
        </w:rPr>
        <w:t>2.投标计量单位，招标文件已有明确规定的，使用招标文件规定的计量单位；招标文件没有规定的，应采用中华人民共和国法定计量单位（货币单位：人民币元），否则视同未响应。</w:t>
      </w:r>
    </w:p>
    <w:p>
      <w:pPr>
        <w:pStyle w:val="4"/>
        <w:spacing w:line="400" w:lineRule="exact"/>
        <w:ind w:firstLine="422" w:firstLineChars="200"/>
        <w:rPr>
          <w:rFonts w:ascii="宋体" w:hAnsi="宋体"/>
        </w:rPr>
      </w:pPr>
      <w:r>
        <w:rPr>
          <w:rFonts w:hint="eastAsia" w:ascii="宋体" w:hAnsi="宋体"/>
        </w:rPr>
        <w:t>（三）投标报价</w:t>
      </w:r>
    </w:p>
    <w:p>
      <w:pPr>
        <w:snapToGrid w:val="0"/>
        <w:spacing w:line="400" w:lineRule="exact"/>
        <w:ind w:firstLine="420" w:firstLineChars="200"/>
        <w:jc w:val="left"/>
        <w:rPr>
          <w:rFonts w:ascii="宋体" w:hAnsi="宋体"/>
          <w:szCs w:val="21"/>
        </w:rPr>
      </w:pPr>
      <w:r>
        <w:rPr>
          <w:rFonts w:hint="eastAsia" w:ascii="宋体" w:hAnsi="宋体"/>
          <w:szCs w:val="21"/>
        </w:rPr>
        <w:t>1.投标报价应按招标文件中相关附表格式填写。</w:t>
      </w:r>
    </w:p>
    <w:p>
      <w:pPr>
        <w:snapToGrid w:val="0"/>
        <w:spacing w:line="400" w:lineRule="exact"/>
        <w:ind w:firstLine="422" w:firstLineChars="200"/>
        <w:jc w:val="left"/>
        <w:rPr>
          <w:rFonts w:ascii="宋体" w:hAnsi="宋体"/>
          <w:b/>
        </w:rPr>
      </w:pPr>
      <w:r>
        <w:rPr>
          <w:rFonts w:hint="eastAsia" w:ascii="宋体" w:hAnsi="宋体"/>
          <w:b/>
          <w:szCs w:val="21"/>
        </w:rPr>
        <w:t>2.</w:t>
      </w:r>
      <w:r>
        <w:rPr>
          <w:rFonts w:hint="eastAsia" w:ascii="宋体" w:hAnsi="宋体"/>
          <w:b/>
        </w:rPr>
        <w:t>投标报价是履行合同的最终价格，</w:t>
      </w:r>
      <w:r>
        <w:rPr>
          <w:rFonts w:hint="eastAsia" w:ascii="宋体" w:hAnsi="宋体"/>
          <w:b/>
          <w:bCs/>
          <w:kern w:val="0"/>
          <w:szCs w:val="21"/>
        </w:rPr>
        <w:t>包括项目实施所需的一切材料、人工、标准附件、备品备件、专用工具、包装、运输、装卸、保险、货到就位以及安装、调试、培训、保修、利润、税金等完成合同所需的一切本身和不可或缺的所有工作开支、政策性文件规定及合同包含的所有风险、责任等各项全部费用并承担一切风险责任。</w:t>
      </w:r>
    </w:p>
    <w:p>
      <w:pPr>
        <w:snapToGrid w:val="0"/>
        <w:spacing w:line="400" w:lineRule="exact"/>
        <w:ind w:firstLine="420" w:firstLineChars="200"/>
        <w:jc w:val="left"/>
        <w:rPr>
          <w:rFonts w:ascii="宋体" w:hAnsi="宋体"/>
          <w:szCs w:val="21"/>
        </w:rPr>
      </w:pPr>
      <w:r>
        <w:rPr>
          <w:rFonts w:hint="eastAsia" w:ascii="宋体" w:hAnsi="宋体"/>
          <w:szCs w:val="21"/>
        </w:rPr>
        <w:t>3.投标文件只允许有一个报价，有选择的或有条件的报价将不予接受。</w:t>
      </w:r>
    </w:p>
    <w:p>
      <w:pPr>
        <w:pStyle w:val="4"/>
        <w:spacing w:line="400" w:lineRule="exact"/>
        <w:ind w:firstLine="422" w:firstLineChars="200"/>
        <w:rPr>
          <w:rFonts w:ascii="宋体" w:hAnsi="宋体"/>
        </w:rPr>
      </w:pPr>
      <w:r>
        <w:rPr>
          <w:rFonts w:hint="eastAsia" w:ascii="宋体" w:hAnsi="宋体"/>
        </w:rPr>
        <w:t>（四）投标文件的有效期</w:t>
      </w:r>
    </w:p>
    <w:p>
      <w:pPr>
        <w:tabs>
          <w:tab w:val="left" w:pos="420"/>
        </w:tabs>
        <w:snapToGrid w:val="0"/>
        <w:spacing w:line="400" w:lineRule="exact"/>
        <w:ind w:firstLine="420" w:firstLineChars="200"/>
        <w:rPr>
          <w:rFonts w:ascii="宋体" w:hAnsi="宋体"/>
          <w:szCs w:val="21"/>
        </w:rPr>
      </w:pPr>
      <w:r>
        <w:rPr>
          <w:rFonts w:hint="eastAsia" w:ascii="宋体" w:hAnsi="宋体"/>
          <w:szCs w:val="21"/>
        </w:rPr>
        <w:t>1.自投标截止日起90天投标文件应保持有效。有效期不足的投标文件将被拒绝。</w:t>
      </w:r>
    </w:p>
    <w:p>
      <w:pPr>
        <w:tabs>
          <w:tab w:val="left" w:pos="420"/>
        </w:tabs>
        <w:snapToGrid w:val="0"/>
        <w:spacing w:line="400" w:lineRule="exact"/>
        <w:ind w:firstLine="420" w:firstLineChars="200"/>
        <w:rPr>
          <w:rFonts w:ascii="宋体" w:hAnsi="宋体"/>
          <w:szCs w:val="21"/>
        </w:rPr>
      </w:pPr>
      <w:r>
        <w:rPr>
          <w:rFonts w:hint="eastAsia" w:ascii="宋体" w:hAnsi="宋体"/>
          <w:szCs w:val="21"/>
        </w:rPr>
        <w:t>2.在特殊情况下，采购人可与供应商协商延长投标书的有效期，这种要求和答复均以书面形式进行。</w:t>
      </w:r>
    </w:p>
    <w:p>
      <w:pPr>
        <w:spacing w:line="400" w:lineRule="exact"/>
        <w:ind w:firstLine="420" w:firstLineChars="200"/>
        <w:rPr>
          <w:rFonts w:ascii="宋体" w:hAnsi="宋体"/>
        </w:rPr>
      </w:pPr>
      <w:r>
        <w:rPr>
          <w:rFonts w:hint="eastAsia" w:ascii="宋体" w:hAnsi="宋体"/>
        </w:rPr>
        <w:t>3.供应商可拒绝接受延期要求，或同意延长有效期，但不能修改投标文件。</w:t>
      </w:r>
    </w:p>
    <w:p>
      <w:pPr>
        <w:spacing w:line="400" w:lineRule="exact"/>
        <w:ind w:firstLine="420" w:firstLineChars="200"/>
        <w:rPr>
          <w:rFonts w:ascii="宋体" w:hAnsi="宋体"/>
        </w:rPr>
      </w:pPr>
      <w:r>
        <w:rPr>
          <w:rFonts w:hint="eastAsia" w:ascii="宋体" w:hAnsi="宋体"/>
        </w:rPr>
        <w:t>4.中标人的投标文件自开标之日起至合同履行完毕止均应保持有效。</w:t>
      </w:r>
    </w:p>
    <w:p>
      <w:pPr>
        <w:pStyle w:val="4"/>
        <w:spacing w:line="400" w:lineRule="exact"/>
        <w:ind w:firstLine="422" w:firstLineChars="200"/>
        <w:rPr>
          <w:rFonts w:ascii="宋体" w:hAnsi="宋体"/>
        </w:rPr>
      </w:pPr>
      <w:r>
        <w:rPr>
          <w:rFonts w:hint="eastAsia" w:ascii="宋体" w:hAnsi="宋体"/>
        </w:rPr>
        <w:t>（五）投标文件的签署和份数</w:t>
      </w:r>
    </w:p>
    <w:p>
      <w:pPr>
        <w:pStyle w:val="4"/>
        <w:spacing w:line="400" w:lineRule="exact"/>
        <w:ind w:firstLine="420" w:firstLineChars="200"/>
        <w:rPr>
          <w:rFonts w:ascii="宋体" w:hAnsi="宋体"/>
          <w:b w:val="0"/>
        </w:rPr>
      </w:pPr>
      <w:r>
        <w:rPr>
          <w:rFonts w:hint="eastAsia" w:ascii="宋体" w:hAnsi="宋体"/>
          <w:b w:val="0"/>
        </w:rPr>
        <w:t>电子投标文件按政采云平台供应商电子招投标操作指南（网址：https：//help.zcygov.cn/web/site_2/2018/12-28/2573.html）及本招标文件规定的格式和顺序编制电子投标文件并进行关联定位。</w:t>
      </w:r>
    </w:p>
    <w:p>
      <w:pPr>
        <w:pStyle w:val="4"/>
        <w:spacing w:line="400" w:lineRule="exact"/>
        <w:ind w:firstLine="422" w:firstLineChars="200"/>
        <w:rPr>
          <w:rFonts w:ascii="宋体" w:hAnsi="宋体"/>
        </w:rPr>
      </w:pPr>
      <w:r>
        <w:rPr>
          <w:rFonts w:hint="eastAsia" w:ascii="宋体" w:hAnsi="宋体"/>
        </w:rPr>
        <w:t>（六）投标无效的情形</w:t>
      </w:r>
    </w:p>
    <w:p>
      <w:pPr>
        <w:tabs>
          <w:tab w:val="left" w:pos="420"/>
        </w:tabs>
        <w:snapToGrid w:val="0"/>
        <w:spacing w:line="400" w:lineRule="exact"/>
        <w:ind w:firstLine="420" w:firstLineChars="200"/>
        <w:rPr>
          <w:rFonts w:ascii="宋体" w:hAnsi="宋体"/>
          <w:szCs w:val="21"/>
        </w:rPr>
      </w:pPr>
      <w:bookmarkStart w:id="84" w:name="_Toc32709"/>
      <w:bookmarkStart w:id="85" w:name="_Toc50012883"/>
      <w:r>
        <w:rPr>
          <w:rFonts w:hint="eastAsia" w:ascii="宋体" w:hAnsi="宋体"/>
          <w:szCs w:val="21"/>
        </w:rPr>
        <w:t>根据《政府采购货物和服务招标投标管理办法》有下列情形之一的，视为供应商串通投标，其投标无效：</w:t>
      </w:r>
      <w:bookmarkEnd w:id="84"/>
      <w:bookmarkEnd w:id="85"/>
    </w:p>
    <w:p>
      <w:pPr>
        <w:tabs>
          <w:tab w:val="left" w:pos="420"/>
        </w:tabs>
        <w:snapToGrid w:val="0"/>
        <w:spacing w:line="400" w:lineRule="exact"/>
        <w:ind w:firstLine="420" w:firstLineChars="200"/>
        <w:rPr>
          <w:rFonts w:ascii="宋体" w:hAnsi="宋体"/>
          <w:szCs w:val="21"/>
        </w:rPr>
      </w:pPr>
      <w:bookmarkStart w:id="86" w:name="_Toc11171"/>
      <w:bookmarkStart w:id="87" w:name="_Toc50012884"/>
      <w:r>
        <w:rPr>
          <w:rFonts w:hint="eastAsia" w:ascii="宋体" w:hAnsi="宋体"/>
          <w:szCs w:val="21"/>
        </w:rPr>
        <w:t>（一）不同供应商的投标文件由同一单位或者个人编制；</w:t>
      </w:r>
      <w:bookmarkEnd w:id="86"/>
      <w:bookmarkEnd w:id="87"/>
    </w:p>
    <w:p>
      <w:pPr>
        <w:tabs>
          <w:tab w:val="left" w:pos="420"/>
        </w:tabs>
        <w:snapToGrid w:val="0"/>
        <w:spacing w:line="400" w:lineRule="exact"/>
        <w:ind w:firstLine="420" w:firstLineChars="200"/>
        <w:rPr>
          <w:rFonts w:ascii="宋体" w:hAnsi="宋体"/>
          <w:szCs w:val="21"/>
        </w:rPr>
      </w:pPr>
      <w:r>
        <w:rPr>
          <w:rFonts w:hint="eastAsia" w:ascii="宋体" w:hAnsi="宋体"/>
          <w:szCs w:val="21"/>
        </w:rPr>
        <w:t>（二）不同供应商委托同一单位或者个人办理投标事宜；</w:t>
      </w:r>
    </w:p>
    <w:p>
      <w:pPr>
        <w:tabs>
          <w:tab w:val="left" w:pos="420"/>
        </w:tabs>
        <w:snapToGrid w:val="0"/>
        <w:spacing w:line="400" w:lineRule="exact"/>
        <w:ind w:firstLine="420" w:firstLineChars="200"/>
        <w:rPr>
          <w:rFonts w:ascii="宋体" w:hAnsi="宋体"/>
          <w:szCs w:val="21"/>
        </w:rPr>
      </w:pPr>
      <w:r>
        <w:rPr>
          <w:rFonts w:hint="eastAsia" w:ascii="宋体" w:hAnsi="宋体"/>
          <w:szCs w:val="21"/>
        </w:rPr>
        <w:t>（三）不同供应商的投标文件载明的项目管理成员或者联系人员为同一人；</w:t>
      </w:r>
    </w:p>
    <w:p>
      <w:pPr>
        <w:tabs>
          <w:tab w:val="left" w:pos="420"/>
        </w:tabs>
        <w:snapToGrid w:val="0"/>
        <w:spacing w:line="400" w:lineRule="exact"/>
        <w:ind w:firstLine="420" w:firstLineChars="200"/>
        <w:rPr>
          <w:rFonts w:ascii="宋体" w:hAnsi="宋体"/>
          <w:szCs w:val="21"/>
        </w:rPr>
      </w:pPr>
      <w:r>
        <w:rPr>
          <w:rFonts w:hint="eastAsia" w:ascii="宋体" w:hAnsi="宋体"/>
          <w:szCs w:val="21"/>
        </w:rPr>
        <w:t>（四）不同供应商的投标文件异常一致或者投标报价呈规律性差异；</w:t>
      </w:r>
    </w:p>
    <w:p>
      <w:pPr>
        <w:tabs>
          <w:tab w:val="left" w:pos="420"/>
        </w:tabs>
        <w:snapToGrid w:val="0"/>
        <w:spacing w:line="400" w:lineRule="exact"/>
        <w:ind w:firstLine="420" w:firstLineChars="200"/>
        <w:rPr>
          <w:rFonts w:ascii="宋体" w:hAnsi="宋体"/>
          <w:szCs w:val="21"/>
        </w:rPr>
      </w:pPr>
      <w:r>
        <w:rPr>
          <w:rFonts w:hint="eastAsia" w:ascii="宋体" w:hAnsi="宋体"/>
          <w:szCs w:val="21"/>
        </w:rPr>
        <w:t>（五）不同供应商的投标文件相互混装；</w:t>
      </w:r>
    </w:p>
    <w:p>
      <w:pPr>
        <w:tabs>
          <w:tab w:val="left" w:pos="420"/>
        </w:tabs>
        <w:snapToGrid w:val="0"/>
        <w:spacing w:line="400" w:lineRule="exact"/>
        <w:ind w:firstLine="420" w:firstLineChars="200"/>
        <w:rPr>
          <w:rFonts w:ascii="宋体" w:hAnsi="宋体"/>
          <w:bCs/>
          <w:szCs w:val="21"/>
        </w:rPr>
      </w:pPr>
      <w:r>
        <w:rPr>
          <w:rFonts w:hint="eastAsia" w:ascii="宋体" w:hAnsi="宋体"/>
          <w:szCs w:val="21"/>
        </w:rPr>
        <w:t>实质上没有响应招标文件要求的投标将被视为无效投标。供应商修改、补正投标文件后，不影</w:t>
      </w:r>
      <w:r>
        <w:rPr>
          <w:rFonts w:hint="eastAsia" w:ascii="宋体" w:hAnsi="宋体"/>
          <w:bCs/>
          <w:szCs w:val="21"/>
        </w:rPr>
        <w:t>响评标委员会对其投标文件所作的评价和评分结果。</w:t>
      </w:r>
    </w:p>
    <w:p>
      <w:pPr>
        <w:snapToGrid w:val="0"/>
        <w:spacing w:line="400" w:lineRule="exact"/>
        <w:ind w:firstLine="422" w:firstLineChars="200"/>
        <w:rPr>
          <w:rFonts w:ascii="宋体" w:hAnsi="宋体"/>
          <w:b/>
          <w:szCs w:val="21"/>
        </w:rPr>
      </w:pPr>
      <w:r>
        <w:rPr>
          <w:rFonts w:ascii="宋体" w:hAnsi="宋体"/>
          <w:b/>
          <w:szCs w:val="21"/>
        </w:rPr>
        <w:t>1</w:t>
      </w:r>
      <w:r>
        <w:rPr>
          <w:rFonts w:hint="eastAsia" w:ascii="宋体" w:hAnsi="宋体"/>
          <w:b/>
          <w:szCs w:val="21"/>
        </w:rPr>
        <w:t>.</w:t>
      </w:r>
      <w:r>
        <w:rPr>
          <w:rFonts w:ascii="宋体" w:hAnsi="宋体"/>
          <w:b/>
          <w:szCs w:val="21"/>
        </w:rPr>
        <w:t>电子投标文件解密失败的，且未在规定时间内提交</w:t>
      </w:r>
      <w:r>
        <w:rPr>
          <w:rFonts w:hint="eastAsia" w:ascii="宋体" w:hAnsi="宋体"/>
          <w:b/>
          <w:szCs w:val="21"/>
        </w:rPr>
        <w:t>有效</w:t>
      </w:r>
      <w:r>
        <w:rPr>
          <w:rFonts w:ascii="宋体" w:hAnsi="宋体"/>
          <w:b/>
          <w:szCs w:val="21"/>
        </w:rPr>
        <w:t>备份投标文件的</w:t>
      </w:r>
      <w:r>
        <w:rPr>
          <w:rFonts w:hint="eastAsia" w:ascii="宋体" w:hAnsi="宋体"/>
          <w:b/>
          <w:szCs w:val="21"/>
        </w:rPr>
        <w:t>。</w:t>
      </w:r>
    </w:p>
    <w:p>
      <w:pPr>
        <w:snapToGrid w:val="0"/>
        <w:spacing w:line="400" w:lineRule="exact"/>
        <w:ind w:firstLine="422" w:firstLineChars="200"/>
        <w:rPr>
          <w:rFonts w:ascii="宋体" w:hAnsi="宋体"/>
          <w:b/>
          <w:szCs w:val="21"/>
        </w:rPr>
      </w:pPr>
      <w:r>
        <w:rPr>
          <w:rFonts w:ascii="宋体" w:hAnsi="宋体"/>
          <w:b/>
          <w:szCs w:val="21"/>
        </w:rPr>
        <w:t>2.</w:t>
      </w:r>
      <w:r>
        <w:rPr>
          <w:rFonts w:hint="eastAsia" w:ascii="宋体" w:hAnsi="宋体"/>
          <w:b/>
          <w:szCs w:val="21"/>
        </w:rPr>
        <w:t>没有通过资格审查的，</w:t>
      </w:r>
      <w:r>
        <w:rPr>
          <w:rFonts w:ascii="宋体" w:hAnsi="宋体"/>
          <w:b/>
          <w:szCs w:val="21"/>
        </w:rPr>
        <w:t>投标文件将被视为无效。</w:t>
      </w:r>
    </w:p>
    <w:p>
      <w:pPr>
        <w:snapToGrid w:val="0"/>
        <w:spacing w:line="400" w:lineRule="exact"/>
        <w:ind w:firstLine="422" w:firstLineChars="200"/>
        <w:rPr>
          <w:rFonts w:ascii="宋体" w:hAnsi="宋体"/>
          <w:b/>
          <w:bCs/>
          <w:szCs w:val="21"/>
        </w:rPr>
      </w:pPr>
      <w:r>
        <w:rPr>
          <w:rFonts w:hint="eastAsia" w:ascii="宋体" w:hAnsi="宋体"/>
          <w:b/>
          <w:bCs/>
          <w:szCs w:val="21"/>
        </w:rPr>
        <w:t>3.</w:t>
      </w:r>
      <w:r>
        <w:rPr>
          <w:rFonts w:ascii="宋体" w:hAnsi="宋体"/>
          <w:b/>
          <w:bCs/>
          <w:szCs w:val="21"/>
        </w:rPr>
        <w:t>在符合性审查和商务评审时，如发现下列情形之一的，投标文件将被视为无效：</w:t>
      </w:r>
    </w:p>
    <w:p>
      <w:pPr>
        <w:snapToGrid w:val="0"/>
        <w:spacing w:line="400" w:lineRule="exact"/>
        <w:ind w:firstLine="420" w:firstLineChars="200"/>
        <w:rPr>
          <w:rFonts w:ascii="宋体" w:hAnsi="宋体"/>
          <w:szCs w:val="21"/>
        </w:rPr>
      </w:pPr>
      <w:r>
        <w:rPr>
          <w:rFonts w:hint="eastAsia" w:ascii="宋体" w:hAnsi="宋体"/>
          <w:bCs/>
          <w:szCs w:val="21"/>
        </w:rPr>
        <w:t>（1</w:t>
      </w:r>
      <w:r>
        <w:rPr>
          <w:rFonts w:ascii="宋体" w:hAnsi="宋体"/>
          <w:bCs/>
          <w:szCs w:val="21"/>
        </w:rPr>
        <w:t>）</w:t>
      </w:r>
      <w:r>
        <w:rPr>
          <w:rFonts w:ascii="宋体" w:hAnsi="宋体"/>
          <w:szCs w:val="21"/>
        </w:rPr>
        <w:t>电子投标文件未按规定要求提供电子签章的</w:t>
      </w:r>
      <w:r>
        <w:rPr>
          <w:rFonts w:hint="eastAsia" w:ascii="宋体" w:hAnsi="宋体"/>
          <w:szCs w:val="21"/>
        </w:rPr>
        <w:t>；</w:t>
      </w:r>
    </w:p>
    <w:p>
      <w:pPr>
        <w:snapToGrid w:val="0"/>
        <w:spacing w:line="400" w:lineRule="exact"/>
        <w:ind w:firstLine="420" w:firstLineChars="200"/>
        <w:rPr>
          <w:rFonts w:ascii="宋体" w:hAnsi="宋体"/>
          <w:bCs/>
          <w:szCs w:val="21"/>
        </w:rPr>
      </w:pPr>
      <w:r>
        <w:rPr>
          <w:rFonts w:hint="eastAsia" w:ascii="宋体" w:hAnsi="宋体"/>
          <w:szCs w:val="21"/>
        </w:rPr>
        <w:t>（2）</w:t>
      </w:r>
      <w:r>
        <w:rPr>
          <w:rFonts w:hint="eastAsia" w:ascii="宋体" w:hAnsi="宋体"/>
          <w:bCs/>
          <w:szCs w:val="21"/>
        </w:rPr>
        <w:t>在资信商务技术文件中出现报价的；</w:t>
      </w:r>
    </w:p>
    <w:p>
      <w:pPr>
        <w:snapToGrid w:val="0"/>
        <w:spacing w:line="400" w:lineRule="exact"/>
        <w:ind w:firstLine="420" w:firstLineChars="200"/>
        <w:rPr>
          <w:rFonts w:ascii="宋体" w:hAnsi="宋体"/>
          <w:szCs w:val="21"/>
        </w:rPr>
      </w:pPr>
      <w:r>
        <w:rPr>
          <w:rFonts w:hint="eastAsia" w:ascii="宋体" w:hAnsi="宋体"/>
          <w:szCs w:val="21"/>
        </w:rPr>
        <w:t>（3）</w:t>
      </w:r>
      <w:r>
        <w:rPr>
          <w:rFonts w:ascii="宋体" w:hAnsi="宋体"/>
          <w:szCs w:val="21"/>
        </w:rPr>
        <w:t>资格证明文件不全的，或者不符合招标文件标明的资格要求的</w:t>
      </w:r>
      <w:r>
        <w:rPr>
          <w:rFonts w:hint="eastAsia" w:ascii="宋体" w:hAnsi="宋体"/>
          <w:szCs w:val="21"/>
        </w:rPr>
        <w:t>；</w:t>
      </w:r>
    </w:p>
    <w:p>
      <w:pPr>
        <w:tabs>
          <w:tab w:val="left" w:pos="420"/>
        </w:tabs>
        <w:snapToGrid w:val="0"/>
        <w:spacing w:line="400" w:lineRule="exact"/>
        <w:ind w:firstLine="420" w:firstLineChars="200"/>
        <w:rPr>
          <w:rFonts w:ascii="宋体" w:hAnsi="宋体"/>
          <w:szCs w:val="21"/>
        </w:rPr>
      </w:pPr>
      <w:r>
        <w:rPr>
          <w:rFonts w:hint="eastAsia" w:ascii="宋体" w:hAnsi="宋体"/>
          <w:szCs w:val="21"/>
        </w:rPr>
        <w:t>（4</w:t>
      </w:r>
      <w:r>
        <w:rPr>
          <w:rFonts w:ascii="宋体" w:hAnsi="宋体"/>
          <w:szCs w:val="21"/>
        </w:rPr>
        <w:t>）投标文件无法定代表人签字</w:t>
      </w:r>
      <w:r>
        <w:rPr>
          <w:rFonts w:hint="eastAsia" w:ascii="宋体" w:hAnsi="宋体"/>
          <w:szCs w:val="21"/>
        </w:rPr>
        <w:t>（或盖章），</w:t>
      </w:r>
      <w:r>
        <w:rPr>
          <w:rFonts w:ascii="宋体" w:hAnsi="宋体"/>
          <w:szCs w:val="21"/>
        </w:rPr>
        <w:t>或未</w:t>
      </w:r>
      <w:r>
        <w:rPr>
          <w:rFonts w:hint="eastAsia" w:ascii="宋体" w:hAnsi="宋体"/>
          <w:szCs w:val="21"/>
        </w:rPr>
        <w:t>提供法定代表人授权委托书、投标声明书或者填写项目不齐全的；</w:t>
      </w:r>
    </w:p>
    <w:p>
      <w:pPr>
        <w:tabs>
          <w:tab w:val="left" w:pos="420"/>
        </w:tabs>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5</w:t>
      </w:r>
      <w:r>
        <w:rPr>
          <w:rFonts w:ascii="宋体" w:hAnsi="宋体"/>
          <w:szCs w:val="21"/>
        </w:rPr>
        <w:t>）投标文件格式不规范、项目不齐全或者内容虚假的；</w:t>
      </w:r>
    </w:p>
    <w:p>
      <w:pPr>
        <w:tabs>
          <w:tab w:val="left" w:pos="420"/>
        </w:tabs>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6</w:t>
      </w:r>
      <w:r>
        <w:rPr>
          <w:rFonts w:ascii="宋体" w:hAnsi="宋体"/>
          <w:szCs w:val="21"/>
        </w:rPr>
        <w:t>）投标文件的实质性内容未使用中文表述、意思表述不明确、前后矛盾或者使用计量单位不符合招标文件要求的（经评标委员会认定</w:t>
      </w:r>
      <w:r>
        <w:rPr>
          <w:rFonts w:hint="eastAsia" w:ascii="宋体" w:hAnsi="宋体"/>
          <w:szCs w:val="21"/>
        </w:rPr>
        <w:t>并</w:t>
      </w:r>
      <w:r>
        <w:rPr>
          <w:rFonts w:ascii="宋体" w:hAnsi="宋体"/>
          <w:szCs w:val="21"/>
        </w:rPr>
        <w:t>允许其当场更正的笔误除外）</w:t>
      </w:r>
      <w:r>
        <w:rPr>
          <w:rFonts w:hint="eastAsia" w:ascii="宋体" w:hAnsi="宋体"/>
          <w:szCs w:val="21"/>
        </w:rPr>
        <w:t>；</w:t>
      </w:r>
    </w:p>
    <w:p>
      <w:pPr>
        <w:tabs>
          <w:tab w:val="left" w:pos="420"/>
        </w:tabs>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7</w:t>
      </w:r>
      <w:r>
        <w:rPr>
          <w:rFonts w:ascii="宋体" w:hAnsi="宋体"/>
          <w:szCs w:val="21"/>
        </w:rPr>
        <w:t>）投标有效期、交货时间、服务期等商务条款不能满足招标文件要求的；</w:t>
      </w:r>
    </w:p>
    <w:p>
      <w:pPr>
        <w:tabs>
          <w:tab w:val="left" w:pos="420"/>
        </w:tabs>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8</w:t>
      </w:r>
      <w:r>
        <w:rPr>
          <w:rFonts w:ascii="宋体" w:hAnsi="宋体"/>
          <w:szCs w:val="21"/>
        </w:rPr>
        <w:t>）</w:t>
      </w:r>
      <w:r>
        <w:rPr>
          <w:rFonts w:hint="eastAsia" w:ascii="宋体" w:hAnsi="宋体"/>
          <w:szCs w:val="21"/>
        </w:rPr>
        <w:t>未实质性</w:t>
      </w:r>
      <w:r>
        <w:rPr>
          <w:rFonts w:ascii="宋体" w:hAnsi="宋体"/>
          <w:szCs w:val="21"/>
        </w:rPr>
        <w:t>响应招标文件要求或者投标文件有招标方不能接受的附加条件的</w:t>
      </w:r>
      <w:r>
        <w:rPr>
          <w:rFonts w:hint="eastAsia" w:ascii="宋体" w:hAnsi="宋体"/>
          <w:szCs w:val="21"/>
        </w:rPr>
        <w:t>；</w:t>
      </w:r>
    </w:p>
    <w:p>
      <w:pPr>
        <w:tabs>
          <w:tab w:val="left" w:pos="420"/>
        </w:tabs>
        <w:snapToGrid w:val="0"/>
        <w:spacing w:line="400" w:lineRule="exact"/>
        <w:ind w:firstLine="420" w:firstLineChars="200"/>
        <w:rPr>
          <w:rFonts w:ascii="宋体" w:hAnsi="宋体"/>
          <w:szCs w:val="21"/>
        </w:rPr>
      </w:pPr>
      <w:r>
        <w:rPr>
          <w:rFonts w:hint="eastAsia" w:ascii="宋体" w:hAnsi="宋体"/>
          <w:szCs w:val="21"/>
        </w:rPr>
        <w:t>（9）不符合本招标文件中的实质性要求条款。</w:t>
      </w:r>
    </w:p>
    <w:p>
      <w:pPr>
        <w:snapToGrid w:val="0"/>
        <w:spacing w:line="400" w:lineRule="exact"/>
        <w:ind w:firstLine="422" w:firstLineChars="200"/>
        <w:rPr>
          <w:rFonts w:ascii="宋体" w:hAnsi="宋体"/>
          <w:b/>
          <w:szCs w:val="21"/>
        </w:rPr>
      </w:pPr>
      <w:r>
        <w:rPr>
          <w:rFonts w:ascii="宋体" w:hAnsi="宋体"/>
          <w:b/>
          <w:szCs w:val="21"/>
        </w:rPr>
        <w:t>4</w:t>
      </w:r>
      <w:r>
        <w:rPr>
          <w:rFonts w:hint="eastAsia" w:ascii="宋体" w:hAnsi="宋体"/>
          <w:b/>
          <w:szCs w:val="21"/>
        </w:rPr>
        <w:t>.</w:t>
      </w:r>
      <w:r>
        <w:rPr>
          <w:rFonts w:ascii="宋体" w:hAnsi="宋体"/>
          <w:b/>
          <w:szCs w:val="21"/>
        </w:rPr>
        <w:t>在技术评审时，如发现下列情形之一的，投标文件将被视为无效：</w:t>
      </w:r>
    </w:p>
    <w:p>
      <w:pPr>
        <w:snapToGrid w:val="0"/>
        <w:spacing w:line="400" w:lineRule="exact"/>
        <w:ind w:firstLine="420" w:firstLineChars="200"/>
        <w:rPr>
          <w:rFonts w:ascii="宋体" w:hAnsi="宋体"/>
          <w:szCs w:val="21"/>
        </w:rPr>
      </w:pPr>
      <w:r>
        <w:rPr>
          <w:rFonts w:ascii="宋体" w:hAnsi="宋体"/>
          <w:szCs w:val="21"/>
        </w:rPr>
        <w:t>（1）未提供或未如实提供投标货物的技术参数，或者投标文件标明的响应或偏离与事实不符或虚假投标的；</w:t>
      </w:r>
    </w:p>
    <w:p>
      <w:pPr>
        <w:snapToGrid w:val="0"/>
        <w:spacing w:line="400" w:lineRule="exact"/>
        <w:ind w:firstLine="420" w:firstLineChars="200"/>
        <w:rPr>
          <w:rFonts w:ascii="宋体" w:hAnsi="宋体"/>
          <w:szCs w:val="21"/>
        </w:rPr>
      </w:pPr>
      <w:r>
        <w:rPr>
          <w:rFonts w:ascii="宋体" w:hAnsi="宋体"/>
          <w:szCs w:val="21"/>
        </w:rPr>
        <w:t>（2）明显不符合招标文件</w:t>
      </w:r>
      <w:r>
        <w:rPr>
          <w:rFonts w:hint="eastAsia" w:ascii="宋体" w:hAnsi="宋体"/>
          <w:szCs w:val="21"/>
        </w:rPr>
        <w:t>要求</w:t>
      </w:r>
      <w:r>
        <w:rPr>
          <w:rFonts w:ascii="宋体" w:hAnsi="宋体"/>
          <w:szCs w:val="21"/>
        </w:rPr>
        <w:t>的规格型号、质量标准，或者</w:t>
      </w:r>
      <w:r>
        <w:rPr>
          <w:rFonts w:hint="eastAsia" w:ascii="宋体" w:hAnsi="宋体"/>
          <w:szCs w:val="21"/>
        </w:rPr>
        <w:t>与</w:t>
      </w:r>
      <w:r>
        <w:rPr>
          <w:rFonts w:ascii="宋体" w:hAnsi="宋体"/>
          <w:szCs w:val="21"/>
        </w:rPr>
        <w:t>招标文件中标“▲”的技术指标、主要功能项目发生实质性偏离的；</w:t>
      </w:r>
    </w:p>
    <w:p>
      <w:pPr>
        <w:snapToGrid w:val="0"/>
        <w:spacing w:line="400" w:lineRule="exact"/>
        <w:ind w:firstLine="420" w:firstLineChars="200"/>
        <w:rPr>
          <w:rFonts w:ascii="宋体" w:hAnsi="宋体"/>
          <w:szCs w:val="21"/>
        </w:rPr>
      </w:pPr>
      <w:r>
        <w:rPr>
          <w:rFonts w:ascii="宋体" w:hAnsi="宋体"/>
          <w:szCs w:val="21"/>
        </w:rPr>
        <w:t>（</w:t>
      </w:r>
      <w:r>
        <w:rPr>
          <w:rFonts w:hint="eastAsia" w:ascii="宋体" w:hAnsi="宋体"/>
          <w:szCs w:val="21"/>
        </w:rPr>
        <w:t>3</w:t>
      </w:r>
      <w:r>
        <w:rPr>
          <w:rFonts w:ascii="宋体" w:hAnsi="宋体"/>
          <w:szCs w:val="21"/>
        </w:rPr>
        <w:t>）投标技术方案不明确，存在一个或一个以上备选（替代）投标方案的；</w:t>
      </w:r>
    </w:p>
    <w:p>
      <w:pPr>
        <w:snapToGrid w:val="0"/>
        <w:spacing w:line="400" w:lineRule="exact"/>
        <w:ind w:firstLine="422" w:firstLineChars="200"/>
        <w:rPr>
          <w:rFonts w:ascii="宋体" w:hAnsi="宋体"/>
          <w:b/>
          <w:szCs w:val="21"/>
        </w:rPr>
      </w:pPr>
      <w:r>
        <w:rPr>
          <w:rFonts w:ascii="宋体" w:hAnsi="宋体"/>
          <w:b/>
          <w:szCs w:val="21"/>
        </w:rPr>
        <w:t>5</w:t>
      </w:r>
      <w:r>
        <w:rPr>
          <w:rFonts w:hint="eastAsia" w:ascii="宋体" w:hAnsi="宋体"/>
          <w:b/>
          <w:szCs w:val="21"/>
        </w:rPr>
        <w:t>.</w:t>
      </w:r>
      <w:r>
        <w:rPr>
          <w:rFonts w:ascii="宋体" w:hAnsi="宋体"/>
          <w:b/>
          <w:szCs w:val="21"/>
        </w:rPr>
        <w:t>在报价评审时，如发现下列情形之一的，投标文件将被视为无效：</w:t>
      </w:r>
    </w:p>
    <w:p>
      <w:pPr>
        <w:snapToGrid w:val="0"/>
        <w:spacing w:line="400" w:lineRule="exact"/>
        <w:ind w:firstLine="420" w:firstLineChars="200"/>
        <w:rPr>
          <w:rFonts w:ascii="宋体" w:hAnsi="宋体"/>
          <w:szCs w:val="21"/>
        </w:rPr>
      </w:pPr>
      <w:r>
        <w:rPr>
          <w:rFonts w:ascii="宋体" w:hAnsi="宋体"/>
          <w:szCs w:val="21"/>
        </w:rPr>
        <w:t>（1）未采用人民币报价或者未按照招标文件标明的币种报价的；</w:t>
      </w:r>
    </w:p>
    <w:p>
      <w:pPr>
        <w:snapToGrid w:val="0"/>
        <w:spacing w:line="400" w:lineRule="exact"/>
        <w:ind w:firstLine="420" w:firstLineChars="200"/>
        <w:rPr>
          <w:rFonts w:ascii="宋体" w:hAnsi="宋体"/>
          <w:szCs w:val="21"/>
        </w:rPr>
      </w:pPr>
      <w:r>
        <w:rPr>
          <w:rFonts w:ascii="宋体" w:hAnsi="宋体"/>
          <w:szCs w:val="21"/>
        </w:rPr>
        <w:t>（2）报价超出最高限价</w:t>
      </w:r>
      <w:r>
        <w:rPr>
          <w:rFonts w:hint="eastAsia" w:ascii="宋体" w:hAnsi="宋体"/>
          <w:szCs w:val="21"/>
        </w:rPr>
        <w:t>（或预算价）；</w:t>
      </w:r>
    </w:p>
    <w:p>
      <w:pPr>
        <w:snapToGrid w:val="0"/>
        <w:spacing w:line="400" w:lineRule="exact"/>
        <w:ind w:firstLine="420" w:firstLineChars="200"/>
        <w:rPr>
          <w:rFonts w:ascii="宋体" w:hAnsi="宋体"/>
          <w:szCs w:val="21"/>
        </w:rPr>
      </w:pPr>
      <w:r>
        <w:rPr>
          <w:rFonts w:hint="eastAsia" w:ascii="宋体" w:hAnsi="宋体"/>
          <w:szCs w:val="21"/>
        </w:rPr>
        <w:t>（3）投标报价具有选择性，或者开标价格与投标文件承诺的优惠（折扣）价格不一致的。</w:t>
      </w:r>
    </w:p>
    <w:p>
      <w:pPr>
        <w:snapToGrid w:val="0"/>
        <w:spacing w:line="400" w:lineRule="exact"/>
        <w:ind w:firstLine="422" w:firstLineChars="200"/>
        <w:rPr>
          <w:rFonts w:ascii="宋体" w:hAnsi="宋体"/>
          <w:b/>
          <w:szCs w:val="21"/>
        </w:rPr>
      </w:pPr>
      <w:r>
        <w:rPr>
          <w:rFonts w:ascii="宋体" w:hAnsi="宋体"/>
          <w:b/>
          <w:szCs w:val="21"/>
        </w:rPr>
        <w:t>6</w:t>
      </w:r>
      <w:r>
        <w:rPr>
          <w:rFonts w:hint="eastAsia" w:ascii="宋体" w:hAnsi="宋体"/>
          <w:b/>
          <w:szCs w:val="21"/>
        </w:rPr>
        <w:t>.被拒绝的投标文件为无效。</w:t>
      </w:r>
    </w:p>
    <w:p>
      <w:pPr>
        <w:pStyle w:val="3"/>
        <w:spacing w:line="400" w:lineRule="exact"/>
        <w:rPr>
          <w:rFonts w:ascii="宋体" w:hAnsi="宋体"/>
        </w:rPr>
      </w:pPr>
      <w:bookmarkStart w:id="88" w:name="_Toc89897656"/>
      <w:bookmarkStart w:id="89" w:name="_Toc42879251"/>
      <w:bookmarkStart w:id="90" w:name="_Toc82881287"/>
      <w:bookmarkStart w:id="91" w:name="_Toc50211555"/>
      <w:bookmarkStart w:id="92" w:name="_Toc39655260"/>
      <w:bookmarkStart w:id="93" w:name="_Toc16185631"/>
      <w:bookmarkStart w:id="94" w:name="_Toc3386501"/>
      <w:r>
        <w:rPr>
          <w:rFonts w:hint="eastAsia" w:ascii="宋体" w:hAnsi="宋体"/>
        </w:rPr>
        <w:t>四、开标</w:t>
      </w:r>
      <w:bookmarkEnd w:id="88"/>
      <w:bookmarkEnd w:id="89"/>
      <w:bookmarkEnd w:id="90"/>
      <w:bookmarkEnd w:id="91"/>
      <w:bookmarkEnd w:id="92"/>
      <w:bookmarkEnd w:id="93"/>
      <w:bookmarkEnd w:id="94"/>
    </w:p>
    <w:p>
      <w:pPr>
        <w:snapToGrid w:val="0"/>
        <w:spacing w:line="400" w:lineRule="exact"/>
        <w:ind w:firstLine="422" w:firstLineChars="200"/>
        <w:rPr>
          <w:rFonts w:ascii="宋体" w:hAnsi="宋体"/>
          <w:b/>
          <w:bCs/>
          <w:szCs w:val="21"/>
        </w:rPr>
      </w:pPr>
      <w:r>
        <w:rPr>
          <w:rFonts w:hint="eastAsia" w:ascii="宋体" w:hAnsi="宋体"/>
          <w:b/>
          <w:bCs/>
          <w:szCs w:val="21"/>
        </w:rPr>
        <w:t>（一）开标准备</w:t>
      </w:r>
    </w:p>
    <w:p>
      <w:pPr>
        <w:snapToGrid w:val="0"/>
        <w:spacing w:line="400" w:lineRule="exact"/>
        <w:ind w:firstLine="420" w:firstLineChars="200"/>
        <w:rPr>
          <w:rFonts w:ascii="宋体" w:hAnsi="宋体"/>
          <w:szCs w:val="21"/>
        </w:rPr>
      </w:pPr>
      <w:r>
        <w:rPr>
          <w:rFonts w:hint="eastAsia" w:ascii="宋体" w:hAnsi="宋体"/>
          <w:szCs w:val="21"/>
        </w:rPr>
        <w:t>1、开标的准备工作由采购组织机构负责落实；</w:t>
      </w:r>
    </w:p>
    <w:p>
      <w:pPr>
        <w:snapToGrid w:val="0"/>
        <w:spacing w:line="400" w:lineRule="exact"/>
        <w:ind w:firstLine="420" w:firstLineChars="200"/>
        <w:rPr>
          <w:rFonts w:ascii="宋体" w:hAnsi="宋体"/>
          <w:szCs w:val="21"/>
        </w:rPr>
      </w:pPr>
      <w:r>
        <w:rPr>
          <w:rFonts w:hint="eastAsia" w:ascii="宋体" w:hAnsi="宋体"/>
          <w:szCs w:val="21"/>
        </w:rPr>
        <w:t>2、采购组织机构将按照招标文件规定的时间通过“政府采购云平台”组织开标、开启投标文件，所有供应商均应当准时在线参加。投标供应商如不参加开标大会的，视同认可开标结果，事后不得对采购相关人员、开标过程和开标结果提出异议，同时投标供应商因未在线参加开标而导致投标文件无法按时解密等一切后果由供应商自己承担。</w:t>
      </w:r>
    </w:p>
    <w:p>
      <w:pPr>
        <w:snapToGrid w:val="0"/>
        <w:spacing w:line="400" w:lineRule="exact"/>
        <w:ind w:firstLine="422" w:firstLineChars="200"/>
        <w:rPr>
          <w:rFonts w:ascii="宋体" w:hAnsi="宋体"/>
          <w:b/>
          <w:bCs/>
          <w:szCs w:val="21"/>
        </w:rPr>
      </w:pPr>
      <w:r>
        <w:rPr>
          <w:rFonts w:hint="eastAsia" w:ascii="宋体" w:hAnsi="宋体"/>
          <w:b/>
          <w:bCs/>
          <w:szCs w:val="21"/>
        </w:rPr>
        <w:t>（二）采购人或者采购代理机构职责</w:t>
      </w:r>
    </w:p>
    <w:p>
      <w:pPr>
        <w:snapToGrid w:val="0"/>
        <w:spacing w:line="400" w:lineRule="exact"/>
        <w:ind w:firstLine="420" w:firstLineChars="200"/>
        <w:rPr>
          <w:rFonts w:ascii="宋体" w:hAnsi="宋体"/>
          <w:szCs w:val="21"/>
        </w:rPr>
      </w:pPr>
      <w:r>
        <w:rPr>
          <w:rFonts w:hint="eastAsia" w:ascii="宋体" w:hAnsi="宋体"/>
          <w:szCs w:val="21"/>
        </w:rPr>
        <w:t>采购人或者采购代理机构负责组织评标工作，并履行下列职责：</w:t>
      </w:r>
    </w:p>
    <w:p>
      <w:pPr>
        <w:snapToGrid w:val="0"/>
        <w:spacing w:line="400" w:lineRule="exact"/>
        <w:ind w:firstLine="420" w:firstLineChars="200"/>
        <w:rPr>
          <w:rFonts w:ascii="宋体" w:hAnsi="宋体"/>
          <w:szCs w:val="21"/>
        </w:rPr>
      </w:pPr>
      <w:r>
        <w:rPr>
          <w:rFonts w:hint="eastAsia" w:ascii="宋体" w:hAnsi="宋体"/>
          <w:szCs w:val="21"/>
        </w:rPr>
        <w:t>1、核对评审专家身份和采购人代表授权函，对评审专家在政府采购活动中的职责履行情况予以记录，并及时将有关违法违规行为向财政部门报告；</w:t>
      </w:r>
    </w:p>
    <w:p>
      <w:pPr>
        <w:snapToGrid w:val="0"/>
        <w:spacing w:line="400" w:lineRule="exact"/>
        <w:ind w:firstLine="420" w:firstLineChars="200"/>
        <w:rPr>
          <w:rFonts w:ascii="宋体" w:hAnsi="宋体"/>
          <w:szCs w:val="21"/>
        </w:rPr>
      </w:pPr>
      <w:r>
        <w:rPr>
          <w:rFonts w:hint="eastAsia" w:ascii="宋体" w:hAnsi="宋体"/>
          <w:szCs w:val="21"/>
        </w:rPr>
        <w:t>2、宣布评标纪律；</w:t>
      </w:r>
    </w:p>
    <w:p>
      <w:pPr>
        <w:snapToGrid w:val="0"/>
        <w:spacing w:line="400" w:lineRule="exact"/>
        <w:ind w:firstLine="420" w:firstLineChars="200"/>
        <w:rPr>
          <w:rFonts w:ascii="宋体" w:hAnsi="宋体"/>
          <w:szCs w:val="21"/>
        </w:rPr>
      </w:pPr>
      <w:r>
        <w:rPr>
          <w:rFonts w:hint="eastAsia" w:ascii="宋体" w:hAnsi="宋体"/>
          <w:szCs w:val="21"/>
        </w:rPr>
        <w:t>3、公布供应商名单，告知评审专家应当回避的情形；</w:t>
      </w:r>
    </w:p>
    <w:p>
      <w:pPr>
        <w:snapToGrid w:val="0"/>
        <w:spacing w:line="400" w:lineRule="exact"/>
        <w:ind w:firstLine="420" w:firstLineChars="200"/>
        <w:rPr>
          <w:rFonts w:ascii="宋体" w:hAnsi="宋体"/>
          <w:szCs w:val="21"/>
        </w:rPr>
      </w:pPr>
      <w:r>
        <w:rPr>
          <w:rFonts w:hint="eastAsia" w:ascii="宋体" w:hAnsi="宋体"/>
          <w:szCs w:val="21"/>
        </w:rPr>
        <w:t>4、组织评标委员会推选评标组长，采购人代表不得担任组长；</w:t>
      </w:r>
    </w:p>
    <w:p>
      <w:pPr>
        <w:snapToGrid w:val="0"/>
        <w:spacing w:line="400" w:lineRule="exact"/>
        <w:ind w:firstLine="420" w:firstLineChars="200"/>
        <w:rPr>
          <w:rFonts w:ascii="宋体" w:hAnsi="宋体"/>
          <w:szCs w:val="21"/>
        </w:rPr>
      </w:pPr>
      <w:r>
        <w:rPr>
          <w:rFonts w:hint="eastAsia" w:ascii="宋体" w:hAnsi="宋体"/>
          <w:szCs w:val="21"/>
        </w:rPr>
        <w:t>5、在评标期间采取必要的通讯管理措施，保证评标活动不受外界干扰；</w:t>
      </w:r>
    </w:p>
    <w:p>
      <w:pPr>
        <w:snapToGrid w:val="0"/>
        <w:spacing w:line="400" w:lineRule="exact"/>
        <w:ind w:firstLine="420" w:firstLineChars="200"/>
        <w:rPr>
          <w:rFonts w:ascii="宋体" w:hAnsi="宋体"/>
          <w:szCs w:val="21"/>
        </w:rPr>
      </w:pPr>
      <w:r>
        <w:rPr>
          <w:rFonts w:hint="eastAsia" w:ascii="宋体" w:hAnsi="宋体"/>
          <w:szCs w:val="21"/>
        </w:rPr>
        <w:t>6、根据评标委员会的要求介绍政府采购相关政策法规、招标文件；</w:t>
      </w:r>
    </w:p>
    <w:p>
      <w:pPr>
        <w:snapToGrid w:val="0"/>
        <w:spacing w:line="400" w:lineRule="exact"/>
        <w:ind w:firstLine="420" w:firstLineChars="200"/>
        <w:rPr>
          <w:rFonts w:ascii="宋体" w:hAnsi="宋体"/>
          <w:szCs w:val="21"/>
        </w:rPr>
      </w:pPr>
      <w:r>
        <w:rPr>
          <w:rFonts w:hint="eastAsia" w:ascii="宋体" w:hAnsi="宋体"/>
          <w:szCs w:val="21"/>
        </w:rPr>
        <w:t>7、维护评标秩序，监督评标委员会依照招标文件规定的评标程序、方法和标准进行独立评审，及时制止和纠正采购人代表、评审专家的倾向性言论或者违法违规行为；</w:t>
      </w:r>
    </w:p>
    <w:p>
      <w:pPr>
        <w:snapToGrid w:val="0"/>
        <w:spacing w:line="400" w:lineRule="exact"/>
        <w:ind w:firstLine="420" w:firstLineChars="200"/>
        <w:rPr>
          <w:rFonts w:ascii="宋体" w:hAnsi="宋体"/>
          <w:szCs w:val="21"/>
        </w:rPr>
      </w:pPr>
      <w:r>
        <w:rPr>
          <w:rFonts w:hint="eastAsia" w:ascii="宋体" w:hAnsi="宋体"/>
          <w:szCs w:val="21"/>
        </w:rPr>
        <w:t>8、核对评标结果，根据《政府采购货物和服务招标投标管理办法》，如有第六十四条规定情形的，要求评标委员会复核或者书面说明理由，评标委员会拒绝的，应予记录并向本级财政部门报告；</w:t>
      </w:r>
    </w:p>
    <w:p>
      <w:pPr>
        <w:snapToGrid w:val="0"/>
        <w:spacing w:line="400" w:lineRule="exact"/>
        <w:ind w:firstLine="420" w:firstLineChars="200"/>
        <w:rPr>
          <w:rFonts w:ascii="宋体" w:hAnsi="宋体"/>
          <w:szCs w:val="21"/>
        </w:rPr>
      </w:pPr>
      <w:r>
        <w:rPr>
          <w:rFonts w:hint="eastAsia" w:ascii="宋体" w:hAnsi="宋体"/>
          <w:szCs w:val="21"/>
        </w:rPr>
        <w:t>9、评审工作完成后，按照规定向评审专家支付劳务报酬和异地评审差旅费，不得向评审专家以外的其他人员支付评审劳务报酬；</w:t>
      </w:r>
    </w:p>
    <w:p>
      <w:pPr>
        <w:snapToGrid w:val="0"/>
        <w:spacing w:line="400" w:lineRule="exact"/>
        <w:ind w:firstLine="420" w:firstLineChars="200"/>
        <w:rPr>
          <w:rFonts w:ascii="宋体" w:hAnsi="宋体"/>
          <w:szCs w:val="21"/>
        </w:rPr>
      </w:pPr>
      <w:r>
        <w:rPr>
          <w:rFonts w:hint="eastAsia" w:ascii="宋体" w:hAnsi="宋体"/>
          <w:szCs w:val="21"/>
        </w:rPr>
        <w:t>10、处理与评标有关的其他事项。</w:t>
      </w:r>
    </w:p>
    <w:p>
      <w:pPr>
        <w:snapToGrid w:val="0"/>
        <w:spacing w:line="400" w:lineRule="exact"/>
        <w:ind w:firstLine="422" w:firstLineChars="200"/>
        <w:rPr>
          <w:rFonts w:ascii="宋体" w:hAnsi="宋体"/>
          <w:b/>
          <w:bCs/>
          <w:szCs w:val="21"/>
        </w:rPr>
      </w:pPr>
      <w:r>
        <w:rPr>
          <w:rFonts w:hint="eastAsia" w:ascii="宋体" w:hAnsi="宋体"/>
          <w:b/>
          <w:bCs/>
          <w:szCs w:val="21"/>
        </w:rPr>
        <w:t>（三）开标流程（两阶段）</w:t>
      </w:r>
    </w:p>
    <w:p>
      <w:pPr>
        <w:snapToGrid w:val="0"/>
        <w:spacing w:line="400" w:lineRule="exact"/>
        <w:ind w:firstLine="422" w:firstLineChars="200"/>
        <w:rPr>
          <w:rFonts w:ascii="宋体" w:hAnsi="宋体"/>
          <w:b/>
          <w:bCs/>
          <w:szCs w:val="21"/>
        </w:rPr>
      </w:pPr>
      <w:r>
        <w:rPr>
          <w:rFonts w:hint="eastAsia" w:ascii="宋体" w:hAnsi="宋体"/>
          <w:b/>
          <w:bCs/>
          <w:szCs w:val="21"/>
        </w:rPr>
        <w:t>1、开标第一阶段</w:t>
      </w:r>
    </w:p>
    <w:p>
      <w:pPr>
        <w:snapToGrid w:val="0"/>
        <w:spacing w:line="400" w:lineRule="exact"/>
        <w:ind w:firstLine="420" w:firstLineChars="200"/>
        <w:rPr>
          <w:rFonts w:ascii="宋体" w:hAnsi="宋体"/>
          <w:szCs w:val="21"/>
        </w:rPr>
      </w:pPr>
      <w:r>
        <w:rPr>
          <w:rFonts w:hint="eastAsia" w:ascii="宋体" w:hAnsi="宋体"/>
          <w:szCs w:val="21"/>
        </w:rPr>
        <w:t>（1）向各投标供应商发出电子加密投标文件【开始解密】通知，由供应商按招标文件规定的时间内自行进行投标文件解密。投标供应商在规定的时间内无法完成已递交的“电子加密投标文件”解密的，如已按规定递交了备份投标文件的，将由采购组织机构按“政府采购云平台”操作规范将备份投标文件上传至“政府采购云平台”，上传成功后，“电子加密投标文件”自动失效；</w:t>
      </w:r>
    </w:p>
    <w:p>
      <w:pPr>
        <w:snapToGrid w:val="0"/>
        <w:spacing w:line="400" w:lineRule="exact"/>
        <w:ind w:firstLine="420" w:firstLineChars="200"/>
        <w:rPr>
          <w:rFonts w:ascii="宋体" w:hAnsi="宋体"/>
          <w:szCs w:val="21"/>
        </w:rPr>
      </w:pPr>
      <w:r>
        <w:rPr>
          <w:rFonts w:hint="eastAsia" w:ascii="宋体" w:hAnsi="宋体"/>
          <w:szCs w:val="21"/>
        </w:rPr>
        <w:t>（2）投标文件解密，解密成功后，招标代理将与供应商建立钉钉联系请各投标单位在投标截止时间前注册完成钉钉联系方式；（如需建立）</w:t>
      </w:r>
    </w:p>
    <w:p>
      <w:pPr>
        <w:snapToGrid w:val="0"/>
        <w:spacing w:line="400" w:lineRule="exact"/>
        <w:ind w:firstLine="420" w:firstLineChars="200"/>
        <w:rPr>
          <w:rFonts w:ascii="宋体" w:hAnsi="宋体"/>
          <w:szCs w:val="21"/>
        </w:rPr>
      </w:pPr>
      <w:r>
        <w:rPr>
          <w:rFonts w:hint="eastAsia" w:ascii="宋体" w:hAnsi="宋体"/>
          <w:szCs w:val="21"/>
        </w:rPr>
        <w:t>（3）开启投标文件，进入资格审查；</w:t>
      </w:r>
    </w:p>
    <w:p>
      <w:pPr>
        <w:snapToGrid w:val="0"/>
        <w:spacing w:line="400" w:lineRule="exact"/>
        <w:ind w:firstLine="420" w:firstLineChars="200"/>
        <w:rPr>
          <w:rFonts w:ascii="宋体" w:hAnsi="宋体"/>
          <w:szCs w:val="21"/>
        </w:rPr>
      </w:pPr>
      <w:r>
        <w:rPr>
          <w:rFonts w:hint="eastAsia" w:ascii="宋体" w:hAnsi="宋体"/>
          <w:szCs w:val="21"/>
        </w:rPr>
        <w:t>（4）开启资格审查通过的投标供应商的商务技术文件进入符合性审查、商务技术评审；</w:t>
      </w:r>
    </w:p>
    <w:p>
      <w:pPr>
        <w:snapToGrid w:val="0"/>
        <w:spacing w:line="400" w:lineRule="exact"/>
        <w:ind w:firstLine="420" w:firstLineChars="200"/>
        <w:rPr>
          <w:rFonts w:ascii="宋体" w:hAnsi="宋体"/>
          <w:szCs w:val="21"/>
        </w:rPr>
      </w:pPr>
      <w:r>
        <w:rPr>
          <w:rFonts w:hint="eastAsia" w:ascii="宋体" w:hAnsi="宋体"/>
          <w:szCs w:val="21"/>
        </w:rPr>
        <w:t>（5）第一阶段开标结束。</w:t>
      </w:r>
    </w:p>
    <w:p>
      <w:pPr>
        <w:snapToGrid w:val="0"/>
        <w:spacing w:line="400" w:lineRule="exact"/>
        <w:ind w:firstLine="422" w:firstLineChars="200"/>
        <w:rPr>
          <w:rFonts w:ascii="宋体" w:hAnsi="宋体"/>
          <w:b/>
          <w:bCs/>
          <w:szCs w:val="21"/>
        </w:rPr>
      </w:pPr>
      <w:r>
        <w:rPr>
          <w:rFonts w:hint="eastAsia" w:ascii="宋体" w:hAnsi="宋体"/>
          <w:b/>
          <w:bCs/>
          <w:szCs w:val="21"/>
        </w:rPr>
        <w:t>备注：开标大会的第一阶段结束后，采购人或采购代理机构将对依法对投标供应商的资格进行审查，资格审查结束后进入符合性审查和商务技术的评审工作，具体见本章节“投标供应商资格审查”相关规定。</w:t>
      </w:r>
    </w:p>
    <w:p>
      <w:pPr>
        <w:snapToGrid w:val="0"/>
        <w:spacing w:line="400" w:lineRule="exact"/>
        <w:ind w:firstLine="422" w:firstLineChars="200"/>
        <w:rPr>
          <w:rFonts w:ascii="宋体" w:hAnsi="宋体"/>
          <w:b/>
          <w:bCs/>
          <w:szCs w:val="21"/>
        </w:rPr>
      </w:pPr>
      <w:r>
        <w:rPr>
          <w:rFonts w:hint="eastAsia" w:ascii="宋体" w:hAnsi="宋体"/>
          <w:b/>
          <w:bCs/>
          <w:szCs w:val="21"/>
        </w:rPr>
        <w:t>2、开标大会第二阶段</w:t>
      </w:r>
    </w:p>
    <w:p>
      <w:pPr>
        <w:snapToGrid w:val="0"/>
        <w:spacing w:line="400" w:lineRule="exact"/>
        <w:ind w:firstLine="420" w:firstLineChars="200"/>
        <w:rPr>
          <w:rFonts w:ascii="宋体" w:hAnsi="宋体"/>
          <w:szCs w:val="21"/>
        </w:rPr>
      </w:pPr>
      <w:r>
        <w:rPr>
          <w:rFonts w:hint="eastAsia" w:ascii="宋体" w:hAnsi="宋体"/>
          <w:szCs w:val="21"/>
        </w:rPr>
        <w:t>（1）符合性审查、商务技术评审结束后，举行开标大会第二阶段会议。</w:t>
      </w:r>
    </w:p>
    <w:p>
      <w:pPr>
        <w:snapToGrid w:val="0"/>
        <w:spacing w:line="400" w:lineRule="exact"/>
        <w:ind w:firstLine="420" w:firstLineChars="200"/>
        <w:rPr>
          <w:rFonts w:ascii="宋体" w:hAnsi="宋体"/>
          <w:szCs w:val="21"/>
        </w:rPr>
      </w:pPr>
      <w:r>
        <w:rPr>
          <w:rFonts w:hint="eastAsia" w:ascii="宋体" w:hAnsi="宋体"/>
          <w:szCs w:val="21"/>
        </w:rPr>
        <w:t>（2）开启符合性审查、商务技术评审有效投标供应商的《报价文件》，唱标结束后，由评标委员会对报价的合理性、准确性等进行审查核实。</w:t>
      </w:r>
    </w:p>
    <w:p>
      <w:pPr>
        <w:snapToGrid w:val="0"/>
        <w:spacing w:line="400" w:lineRule="exact"/>
        <w:ind w:firstLine="420" w:firstLineChars="200"/>
        <w:rPr>
          <w:rFonts w:ascii="宋体" w:hAnsi="宋体"/>
          <w:szCs w:val="21"/>
        </w:rPr>
      </w:pPr>
      <w:r>
        <w:rPr>
          <w:rFonts w:hint="eastAsia" w:ascii="宋体" w:hAnsi="宋体"/>
          <w:szCs w:val="21"/>
        </w:rPr>
        <w:t>（3）评审结束后通过政采云系统公布最终结果。</w:t>
      </w:r>
    </w:p>
    <w:p>
      <w:pPr>
        <w:snapToGrid w:val="0"/>
        <w:spacing w:line="400" w:lineRule="exact"/>
        <w:ind w:firstLine="420" w:firstLineChars="200"/>
        <w:rPr>
          <w:rFonts w:ascii="宋体" w:hAnsi="宋体"/>
          <w:szCs w:val="21"/>
        </w:rPr>
      </w:pPr>
      <w:r>
        <w:rPr>
          <w:rFonts w:hint="eastAsia" w:ascii="宋体" w:hAnsi="宋体"/>
          <w:szCs w:val="21"/>
        </w:rPr>
        <w:t>特别说明：如遇“政府采购云平台”电子化开标或评审程序调整的，按调整后程序执行。</w:t>
      </w:r>
    </w:p>
    <w:p>
      <w:pPr>
        <w:snapToGrid w:val="0"/>
        <w:spacing w:line="400" w:lineRule="exact"/>
        <w:ind w:firstLine="422" w:firstLineChars="200"/>
        <w:rPr>
          <w:rFonts w:ascii="宋体" w:hAnsi="宋体"/>
          <w:b/>
          <w:bCs/>
          <w:szCs w:val="21"/>
        </w:rPr>
      </w:pPr>
      <w:bookmarkStart w:id="95" w:name="_Toc24550037"/>
      <w:bookmarkStart w:id="96" w:name="_Toc33194393"/>
      <w:r>
        <w:rPr>
          <w:rFonts w:hint="eastAsia" w:ascii="宋体" w:hAnsi="宋体"/>
          <w:b/>
          <w:bCs/>
          <w:szCs w:val="21"/>
        </w:rPr>
        <w:t>（四）投标供应商资格审查</w:t>
      </w:r>
      <w:bookmarkEnd w:id="95"/>
      <w:bookmarkEnd w:id="96"/>
    </w:p>
    <w:p>
      <w:pPr>
        <w:snapToGrid w:val="0"/>
        <w:spacing w:line="400" w:lineRule="exact"/>
        <w:ind w:firstLine="420" w:firstLineChars="200"/>
        <w:rPr>
          <w:rFonts w:ascii="宋体" w:hAnsi="宋体"/>
          <w:szCs w:val="21"/>
        </w:rPr>
      </w:pPr>
      <w:r>
        <w:rPr>
          <w:rFonts w:hint="eastAsia" w:ascii="宋体" w:hAnsi="宋体"/>
          <w:szCs w:val="21"/>
        </w:rPr>
        <w:t>1、开标大会第一阶段结束后，采购人或采购代理机构首先依法对各投标供应商的资格进行审查，审查各投标供应商的资格是否满足招标文件的要求。采购人或采购代理机构对投标供应商所提交的资格证明材料仅负审核的责任。如发现投标供应商所提交的资格证明材料不合法或与事实不符，采购人可取消其中标资格并追究投标供应商的法律责任。</w:t>
      </w:r>
    </w:p>
    <w:p>
      <w:pPr>
        <w:snapToGrid w:val="0"/>
        <w:spacing w:line="400" w:lineRule="exact"/>
        <w:ind w:firstLine="420" w:firstLineChars="200"/>
        <w:rPr>
          <w:rFonts w:ascii="宋体" w:hAnsi="宋体"/>
          <w:szCs w:val="21"/>
        </w:rPr>
      </w:pPr>
      <w:r>
        <w:rPr>
          <w:rFonts w:hint="eastAsia" w:ascii="宋体" w:hAnsi="宋体"/>
          <w:szCs w:val="21"/>
        </w:rPr>
        <w:t>2、投标供应商提交的资格证明材料无法证明其符合招标文件规定的“投标供应商资格要求”的，采购人或采购代理机构将对其作资格审查不通过处理（无效投标），并不再将其投标提交评标委员会进行后续评审。</w:t>
      </w:r>
    </w:p>
    <w:p>
      <w:pPr>
        <w:snapToGrid w:val="0"/>
        <w:spacing w:line="400" w:lineRule="exact"/>
        <w:ind w:firstLine="420" w:firstLineChars="200"/>
        <w:rPr>
          <w:rFonts w:ascii="宋体" w:hAnsi="宋体"/>
          <w:szCs w:val="21"/>
        </w:rPr>
      </w:pPr>
      <w:r>
        <w:rPr>
          <w:rFonts w:hint="eastAsia" w:ascii="宋体" w:hAnsi="宋体"/>
          <w:szCs w:val="21"/>
        </w:rPr>
        <w:t>3、单位负责人为同一人或者存在直接控股、管理关系的不同供应商参加同一合同项下的政府采购活动的，相关投标供应商均作资格无效处理。</w:t>
      </w:r>
    </w:p>
    <w:p>
      <w:pPr>
        <w:pStyle w:val="3"/>
        <w:spacing w:line="400" w:lineRule="exact"/>
        <w:rPr>
          <w:rFonts w:ascii="宋体" w:hAnsi="宋体"/>
        </w:rPr>
      </w:pPr>
      <w:bookmarkStart w:id="97" w:name="_Toc39655261"/>
      <w:bookmarkStart w:id="98" w:name="_Toc3386502"/>
      <w:bookmarkStart w:id="99" w:name="_Toc50211556"/>
      <w:bookmarkStart w:id="100" w:name="_Toc16185632"/>
      <w:bookmarkStart w:id="101" w:name="_Toc82881288"/>
      <w:bookmarkStart w:id="102" w:name="_Toc89897657"/>
      <w:bookmarkStart w:id="103" w:name="_Toc42879252"/>
      <w:r>
        <w:rPr>
          <w:rFonts w:hint="eastAsia" w:ascii="宋体" w:hAnsi="宋体"/>
        </w:rPr>
        <w:t>五、评标</w:t>
      </w:r>
      <w:bookmarkEnd w:id="97"/>
      <w:bookmarkEnd w:id="98"/>
      <w:bookmarkEnd w:id="99"/>
      <w:bookmarkEnd w:id="100"/>
      <w:bookmarkEnd w:id="101"/>
      <w:bookmarkEnd w:id="102"/>
      <w:bookmarkEnd w:id="103"/>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（一）组建评标委员会</w:t>
      </w:r>
    </w:p>
    <w:p>
      <w:pPr>
        <w:pStyle w:val="27"/>
        <w:spacing w:line="400" w:lineRule="exact"/>
        <w:ind w:firstLine="420" w:firstLineChars="200"/>
        <w:rPr>
          <w:rFonts w:hAnsi="宋体"/>
          <w:szCs w:val="21"/>
        </w:rPr>
      </w:pPr>
      <w:r>
        <w:rPr>
          <w:rFonts w:hint="eastAsia" w:hAnsi="宋体"/>
          <w:szCs w:val="21"/>
        </w:rPr>
        <w:t>本项目评标委员会由政府采购评审专家</w:t>
      </w:r>
      <w:r>
        <w:rPr>
          <w:rFonts w:hint="eastAsia" w:hAnsi="宋体"/>
          <w:szCs w:val="21"/>
          <w:u w:val="single"/>
        </w:rPr>
        <w:t xml:space="preserve"> </w:t>
      </w:r>
      <w:r>
        <w:rPr>
          <w:rFonts w:hAnsi="宋体"/>
          <w:szCs w:val="21"/>
          <w:u w:val="single"/>
        </w:rPr>
        <w:t xml:space="preserve">5 </w:t>
      </w:r>
      <w:r>
        <w:rPr>
          <w:rFonts w:hint="eastAsia" w:hAnsi="宋体"/>
          <w:szCs w:val="21"/>
        </w:rPr>
        <w:t>人和采购人代表</w:t>
      </w:r>
      <w:r>
        <w:rPr>
          <w:rFonts w:hint="eastAsia" w:hAnsi="宋体"/>
          <w:szCs w:val="21"/>
          <w:u w:val="single"/>
        </w:rPr>
        <w:t xml:space="preserve"> </w:t>
      </w:r>
      <w:r>
        <w:rPr>
          <w:rFonts w:hAnsi="宋体"/>
          <w:szCs w:val="21"/>
          <w:u w:val="single"/>
        </w:rPr>
        <w:t xml:space="preserve">2 </w:t>
      </w:r>
      <w:r>
        <w:rPr>
          <w:rFonts w:hint="eastAsia" w:hAnsi="宋体"/>
          <w:szCs w:val="21"/>
        </w:rPr>
        <w:t>人，共</w:t>
      </w:r>
      <w:r>
        <w:rPr>
          <w:rFonts w:hint="eastAsia" w:hAnsi="宋体"/>
          <w:szCs w:val="21"/>
          <w:u w:val="single"/>
        </w:rPr>
        <w:t xml:space="preserve"> </w:t>
      </w:r>
      <w:r>
        <w:rPr>
          <w:rFonts w:hAnsi="宋体"/>
          <w:szCs w:val="21"/>
          <w:u w:val="single"/>
        </w:rPr>
        <w:t xml:space="preserve">7 </w:t>
      </w:r>
      <w:r>
        <w:rPr>
          <w:rFonts w:hint="eastAsia" w:hAnsi="宋体"/>
          <w:szCs w:val="21"/>
        </w:rPr>
        <w:t>人组成。</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评标委员会负责具体评标事务，并独立履行下列职责：</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1.审查、评价投标文件是否符合招标文件的商务、技术等实质性要求</w:t>
      </w:r>
      <w:r>
        <w:rPr>
          <w:rFonts w:ascii="宋体" w:hAnsi="宋体"/>
          <w:szCs w:val="21"/>
        </w:rPr>
        <w:t>；</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2.要求供应商对投标文件有关事项作出澄清或者说明</w:t>
      </w:r>
      <w:r>
        <w:rPr>
          <w:rFonts w:ascii="宋体" w:hAnsi="宋体"/>
          <w:szCs w:val="21"/>
        </w:rPr>
        <w:t>；</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3.对投标文件进行比较和评价</w:t>
      </w:r>
      <w:r>
        <w:rPr>
          <w:rFonts w:ascii="宋体" w:hAnsi="宋体"/>
          <w:szCs w:val="21"/>
        </w:rPr>
        <w:t>；</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4.确定中标候选人名单，以及根据采购人委托直接确定中标人</w:t>
      </w:r>
      <w:r>
        <w:rPr>
          <w:rFonts w:ascii="宋体" w:hAnsi="宋体"/>
          <w:szCs w:val="21"/>
        </w:rPr>
        <w:t>；</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5.向采购人、分散采购机构或者有关部门报告评标中发现的违法行为。</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除采购人代表、评标现场组织人员外，采购人的其他工作人员以及与评标工作无关的人员不得进入评标现场。</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（二）评标的方式</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本项目采用不公开方式评标，评标的依据为招标文件和投标文件。</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（三）评标程序</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采购人可以在评标前说明项目背景和采购需求，说明内容不得含有歧视性、倾向性意见，不得超出招标文件所述范围。说明应当提交书面材料，并随采购文件一并存档。</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1.形式审查</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形式审查包括资格审查（除符合性审查以外的关于供应商资格条件等内容）和符合性审查，即对供应商的资格和投标文件的完整性、合法性等进行审查。投标文件形式审查未通过的供应商，其投标文件将不再评审。</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2.实质审查与比较</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（1）评标委员会审查投标文件的实质性内容是否符合招标文件的实质性要求。</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评标委员会将根据供应商的投标文件进行审查、核对，如有疑问，将对供应商进行询标，供应商要向评标委员会澄清有关问题，并最终以书面形式进行答复。询标时，供应商代表未到场或者拒绝澄清或者澄清的内容改变了投标文件的实质性内容的，评标委员会有权对该投标文件作出不利于供应商的评判。</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（3）各供应商的资信商务及技术分按照评标委员会成员的独立评分结果汇总后的算术平均分计算，由政府采购业务系统计算。</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（4）报价审查后由政府采购业务系统自动计算各供应商的报价得分。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（5）评标委员会完成评标后，政府采购业务系统自动汇总各部分得分，计算出本项目最终得分。评标委员会按评标原则推荐中标候选人同时起草评标报告。</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（四）澄清问题的形式</w:t>
      </w:r>
    </w:p>
    <w:p>
      <w:pPr>
        <w:tabs>
          <w:tab w:val="left" w:pos="3870"/>
          <w:tab w:val="left" w:pos="4085"/>
        </w:tabs>
        <w:snapToGrid w:val="0"/>
        <w:spacing w:line="400" w:lineRule="exact"/>
        <w:ind w:firstLine="420" w:firstLineChars="200"/>
        <w:jc w:val="left"/>
        <w:rPr>
          <w:rFonts w:hint="eastAsia" w:ascii="宋体" w:hAnsi="宋体"/>
          <w:szCs w:val="21"/>
        </w:rPr>
      </w:pPr>
      <w:r>
        <w:rPr>
          <w:rFonts w:hint="eastAsia" w:ascii="宋体" w:hAnsi="宋体"/>
          <w:szCs w:val="21"/>
        </w:rPr>
        <w:t>（1</w:t>
      </w:r>
      <w:r>
        <w:rPr>
          <w:rFonts w:ascii="宋体" w:hAnsi="宋体"/>
          <w:szCs w:val="21"/>
        </w:rPr>
        <w:t>）</w:t>
      </w:r>
      <w:r>
        <w:rPr>
          <w:rFonts w:hint="eastAsia" w:ascii="宋体" w:hAnsi="宋体"/>
          <w:szCs w:val="21"/>
        </w:rPr>
        <w:t>对于投标文件中含义不明确、同类问题表述不一致或者有明显文字和计算错误的内容，评标委员会将以书面形式（或通过“政府采购云平台”在线询标）的形式要求投标供应商在规定的时间内作出必要的澄清、说明或者补正，投标供应商澄清、说明或补正时间为30分钟。</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w:t>
      </w:r>
      <w:r>
        <w:rPr>
          <w:rFonts w:ascii="宋体" w:hAnsi="宋体"/>
          <w:szCs w:val="21"/>
        </w:rPr>
        <w:t>）</w:t>
      </w:r>
      <w:r>
        <w:rPr>
          <w:rFonts w:hint="eastAsia" w:ascii="宋体" w:hAnsi="宋体"/>
          <w:szCs w:val="21"/>
        </w:rPr>
        <w:t>投标供应商的澄清、说明或者补正应当采用书面（或通过“政府采购云平台”在线答复）形式提交，并加盖公章，或者由法定代表人或其授权的代表签字。投标供应商的澄清、说明或者补正不得超出投标文件的范围或者改变投标文件的实质性内容。</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（五）错误修正</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评标委员会将对确定为实质上响应招标文件要求的投标文件进行校核，修正错误的原则如下：</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1.开标一览表总价与投标报价明细表汇总数不一致的，以开标一览表为准；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2.投标文件的大写金额和小写金额不一致的，以大写金额为准；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3.总价金额与按单价汇总金额不一致的，以单价金额计算结果为准；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4.对不同文字文本投标文件的解释发生异议的，以中文文本为准。</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按上述修正错误的原则及方法调整或修正投标文件的投标报价，供应商同意并签字确认后，调整后的投标报价对供应商具有约束作用。如果供应商不接受修正后的报价，则其投标将作为无效投标处理。</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（六）评标原则和评标办法</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评标原则。评标委员会必须公平、公正、客观，不带任何倾向性和启发性；不得向外界透露任何与评标有关的内容；任何单位和个人不得干扰、影响评标的正常进行；评标委员会及有关工作人员不得私下与供应商接触。</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2.评标办法。本项目评标办法采用综合评分法。具体评标内容及评分标准等详见《第四章：评标办法及评分标准》。</w:t>
      </w:r>
    </w:p>
    <w:p>
      <w:pPr>
        <w:tabs>
          <w:tab w:val="left" w:pos="3870"/>
          <w:tab w:val="left" w:pos="4085"/>
        </w:tabs>
        <w:snapToGrid w:val="0"/>
        <w:spacing w:line="400" w:lineRule="exact"/>
        <w:ind w:firstLine="422" w:firstLineChars="200"/>
        <w:jc w:val="left"/>
        <w:rPr>
          <w:rFonts w:ascii="宋体" w:hAnsi="宋体"/>
          <w:b/>
          <w:bCs/>
          <w:szCs w:val="21"/>
        </w:rPr>
      </w:pPr>
      <w:r>
        <w:rPr>
          <w:rFonts w:ascii="宋体" w:hAnsi="宋体"/>
          <w:b/>
          <w:bCs/>
          <w:szCs w:val="21"/>
        </w:rPr>
        <w:t>（七）评标过程的监控</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本项目评标过程实行全程录音、录像监控</w:t>
      </w:r>
      <w:bookmarkStart w:id="104" w:name="_Hlk95209716"/>
      <w:r>
        <w:rPr>
          <w:rFonts w:hint="eastAsia" w:ascii="宋体" w:hAnsi="宋体"/>
          <w:szCs w:val="21"/>
        </w:rPr>
        <w:t>，相关部门</w:t>
      </w:r>
      <w:r>
        <w:rPr>
          <w:rFonts w:ascii="宋体" w:hAnsi="宋体"/>
          <w:szCs w:val="21"/>
        </w:rPr>
        <w:t>进行现场监督</w:t>
      </w:r>
      <w:bookmarkEnd w:id="104"/>
      <w:r>
        <w:rPr>
          <w:rFonts w:hint="eastAsia" w:ascii="宋体" w:hAnsi="宋体"/>
          <w:szCs w:val="21"/>
        </w:rPr>
        <w:t>。</w:t>
      </w:r>
      <w:r>
        <w:rPr>
          <w:rFonts w:ascii="宋体" w:hAnsi="宋体"/>
          <w:szCs w:val="21"/>
        </w:rPr>
        <w:t>供应商在评标过程中所进行的</w:t>
      </w:r>
      <w:r>
        <w:rPr>
          <w:rFonts w:hint="eastAsia" w:ascii="宋体" w:hAnsi="宋体"/>
          <w:szCs w:val="21"/>
        </w:rPr>
        <w:t>试</w:t>
      </w:r>
      <w:r>
        <w:rPr>
          <w:rFonts w:ascii="宋体" w:hAnsi="宋体"/>
          <w:szCs w:val="21"/>
        </w:rPr>
        <w:t>图影响评标结果的不公正活动，可能导致其投标被拒绝。</w:t>
      </w:r>
    </w:p>
    <w:p>
      <w:pPr>
        <w:pStyle w:val="3"/>
        <w:spacing w:line="400" w:lineRule="exact"/>
        <w:rPr>
          <w:rFonts w:ascii="宋体" w:hAnsi="宋体"/>
        </w:rPr>
      </w:pPr>
      <w:bookmarkStart w:id="105" w:name="_Toc89897658"/>
      <w:bookmarkStart w:id="106" w:name="_Toc39655262"/>
      <w:bookmarkStart w:id="107" w:name="_Toc42879253"/>
      <w:bookmarkStart w:id="108" w:name="_Toc16185633"/>
      <w:bookmarkStart w:id="109" w:name="_Toc3386503"/>
      <w:bookmarkStart w:id="110" w:name="_Toc82881289"/>
      <w:bookmarkStart w:id="111" w:name="_Toc50211557"/>
      <w:r>
        <w:rPr>
          <w:rFonts w:hint="eastAsia" w:ascii="宋体" w:hAnsi="宋体"/>
        </w:rPr>
        <w:t>六、定标</w:t>
      </w:r>
      <w:bookmarkEnd w:id="105"/>
      <w:bookmarkEnd w:id="106"/>
      <w:bookmarkEnd w:id="107"/>
      <w:bookmarkEnd w:id="108"/>
      <w:bookmarkEnd w:id="109"/>
      <w:bookmarkEnd w:id="110"/>
      <w:bookmarkEnd w:id="111"/>
    </w:p>
    <w:p>
      <w:pPr>
        <w:pStyle w:val="4"/>
        <w:spacing w:line="400" w:lineRule="exact"/>
        <w:ind w:firstLine="422" w:firstLineChars="200"/>
        <w:rPr>
          <w:rFonts w:ascii="宋体" w:hAnsi="宋体"/>
        </w:rPr>
      </w:pPr>
      <w:r>
        <w:rPr>
          <w:rFonts w:hint="eastAsia" w:ascii="宋体" w:hAnsi="宋体"/>
        </w:rPr>
        <w:t>（一）确定中标人。</w:t>
      </w:r>
    </w:p>
    <w:p>
      <w:pPr>
        <w:snapToGrid w:val="0"/>
        <w:spacing w:line="400" w:lineRule="exact"/>
        <w:ind w:firstLine="420" w:firstLineChars="200"/>
        <w:rPr>
          <w:rFonts w:ascii="宋体" w:hAnsi="宋体"/>
          <w:szCs w:val="21"/>
        </w:rPr>
      </w:pPr>
      <w:r>
        <w:rPr>
          <w:rFonts w:ascii="宋体" w:hAnsi="宋体"/>
          <w:szCs w:val="21"/>
        </w:rPr>
        <w:t>1</w:t>
      </w:r>
      <w:r>
        <w:rPr>
          <w:rFonts w:hint="eastAsia" w:ascii="宋体" w:hAnsi="宋体"/>
          <w:szCs w:val="21"/>
        </w:rPr>
        <w:t>.</w:t>
      </w:r>
      <w:r>
        <w:rPr>
          <w:rFonts w:ascii="宋体" w:hAnsi="宋体"/>
          <w:szCs w:val="21"/>
        </w:rPr>
        <w:t>采购代理机构在评标结束后2个工作日内将评标报告交采购人确认，同时在发布招标公告的网站上对评标结果进行</w:t>
      </w:r>
      <w:r>
        <w:rPr>
          <w:rFonts w:hint="eastAsia" w:ascii="宋体" w:hAnsi="宋体"/>
          <w:szCs w:val="21"/>
        </w:rPr>
        <w:t>公告</w:t>
      </w:r>
      <w:r>
        <w:rPr>
          <w:rFonts w:ascii="宋体" w:hAnsi="宋体"/>
          <w:szCs w:val="21"/>
        </w:rPr>
        <w:t>。</w:t>
      </w:r>
    </w:p>
    <w:p>
      <w:pPr>
        <w:snapToGrid w:val="0"/>
        <w:spacing w:line="400" w:lineRule="exact"/>
        <w:ind w:firstLine="420" w:firstLineChars="200"/>
        <w:rPr>
          <w:rFonts w:ascii="宋体" w:hAnsi="宋体"/>
          <w:szCs w:val="21"/>
        </w:rPr>
      </w:pPr>
      <w:r>
        <w:rPr>
          <w:rFonts w:ascii="宋体" w:hAnsi="宋体"/>
          <w:szCs w:val="21"/>
        </w:rPr>
        <w:t>2</w:t>
      </w:r>
      <w:r>
        <w:rPr>
          <w:rFonts w:hint="eastAsia" w:ascii="宋体" w:hAnsi="宋体"/>
          <w:szCs w:val="21"/>
        </w:rPr>
        <w:t>.</w:t>
      </w:r>
      <w:r>
        <w:rPr>
          <w:rFonts w:ascii="宋体" w:hAnsi="宋体"/>
          <w:szCs w:val="21"/>
        </w:rPr>
        <w:t>供应商对评标结果无异议的，采购人应在收到评标报告后5个工作日内对评标结果进行确认。如有供应商对评标结果提出质疑的，采购人可在质疑处理完毕后确定中标人。</w:t>
      </w:r>
    </w:p>
    <w:p>
      <w:pPr>
        <w:snapToGrid w:val="0"/>
        <w:spacing w:line="400" w:lineRule="exact"/>
        <w:ind w:firstLine="420" w:firstLineChars="200"/>
        <w:rPr>
          <w:rFonts w:ascii="宋体" w:hAnsi="宋体"/>
          <w:szCs w:val="21"/>
        </w:rPr>
      </w:pPr>
      <w:r>
        <w:rPr>
          <w:rFonts w:hint="eastAsia" w:ascii="宋体" w:hAnsi="宋体"/>
          <w:szCs w:val="21"/>
        </w:rPr>
        <w:t>3.在公告中标结果的同时，采购</w:t>
      </w:r>
      <w:r>
        <w:rPr>
          <w:rFonts w:ascii="宋体" w:hAnsi="宋体"/>
          <w:szCs w:val="21"/>
        </w:rPr>
        <w:t>代理</w:t>
      </w:r>
      <w:r>
        <w:rPr>
          <w:rFonts w:hint="eastAsia" w:ascii="宋体" w:hAnsi="宋体"/>
          <w:szCs w:val="21"/>
        </w:rPr>
        <w:t>机构向中标人发出中标通知书。</w:t>
      </w:r>
    </w:p>
    <w:p>
      <w:pPr>
        <w:pStyle w:val="4"/>
        <w:spacing w:line="400" w:lineRule="exact"/>
        <w:ind w:firstLine="422" w:firstLineChars="200"/>
        <w:rPr>
          <w:rFonts w:ascii="宋体" w:hAnsi="宋体"/>
        </w:rPr>
      </w:pPr>
      <w:r>
        <w:rPr>
          <w:rFonts w:hint="eastAsia" w:ascii="宋体" w:hAnsi="宋体"/>
        </w:rPr>
        <w:t>（二）其他</w:t>
      </w:r>
    </w:p>
    <w:p>
      <w:pPr>
        <w:snapToGrid w:val="0"/>
        <w:spacing w:line="400" w:lineRule="exact"/>
        <w:ind w:firstLine="420" w:firstLineChars="200"/>
        <w:rPr>
          <w:rFonts w:ascii="宋体" w:hAnsi="宋体"/>
          <w:b/>
          <w:szCs w:val="21"/>
        </w:rPr>
      </w:pPr>
      <w:r>
        <w:rPr>
          <w:rFonts w:hint="eastAsia" w:ascii="宋体" w:hAnsi="宋体"/>
          <w:szCs w:val="21"/>
        </w:rPr>
        <w:t>1.此次招投标实行资格后审。中标结果将在招标文件规定的网站进行公示。对于供应商</w:t>
      </w:r>
      <w:r>
        <w:rPr>
          <w:rFonts w:hint="eastAsia" w:ascii="宋体" w:hAnsi="宋体"/>
        </w:rPr>
        <w:t>有行贿、违规违法经营等行为的，一经发现查实，取消该供应商的中标资格。</w:t>
      </w:r>
    </w:p>
    <w:p>
      <w:pPr>
        <w:snapToGrid w:val="0"/>
        <w:spacing w:line="400" w:lineRule="exact"/>
        <w:ind w:firstLine="420" w:firstLineChars="200"/>
        <w:rPr>
          <w:rFonts w:ascii="宋体" w:hAnsi="宋体"/>
          <w:szCs w:val="21"/>
        </w:rPr>
      </w:pPr>
      <w:r>
        <w:rPr>
          <w:rFonts w:hint="eastAsia" w:ascii="宋体" w:hAnsi="宋体"/>
          <w:szCs w:val="21"/>
        </w:rPr>
        <w:t>2.中标人因自身原因放弃中标成交或因不可抗力不能履行合同的；经质疑，采购代理机构审查确认因中标人在本次采购活动中存在违法违规行为或其他原因使质疑成立的；采购人可以与排位在中标人之后第一位的中标候选人签订政府采购合同，以此类推，也可重新开展政府采购活动。</w:t>
      </w:r>
    </w:p>
    <w:p>
      <w:pPr>
        <w:pStyle w:val="3"/>
        <w:spacing w:line="400" w:lineRule="exact"/>
        <w:rPr>
          <w:rFonts w:ascii="宋体" w:hAnsi="宋体"/>
        </w:rPr>
      </w:pPr>
      <w:bookmarkStart w:id="112" w:name="_Toc50211558"/>
      <w:bookmarkStart w:id="113" w:name="_Toc39655263"/>
      <w:bookmarkStart w:id="114" w:name="_Toc89897659"/>
      <w:bookmarkStart w:id="115" w:name="_Toc3386504"/>
      <w:bookmarkStart w:id="116" w:name="_Toc82881290"/>
      <w:bookmarkStart w:id="117" w:name="_Toc42879254"/>
      <w:bookmarkStart w:id="118" w:name="_Toc16185634"/>
      <w:r>
        <w:rPr>
          <w:rFonts w:hint="eastAsia" w:ascii="宋体" w:hAnsi="宋体"/>
        </w:rPr>
        <w:t>七、合同授予</w:t>
      </w:r>
      <w:bookmarkEnd w:id="112"/>
      <w:bookmarkEnd w:id="113"/>
      <w:bookmarkEnd w:id="114"/>
      <w:bookmarkEnd w:id="115"/>
      <w:bookmarkEnd w:id="116"/>
      <w:bookmarkEnd w:id="117"/>
      <w:bookmarkEnd w:id="118"/>
    </w:p>
    <w:p>
      <w:pPr>
        <w:pStyle w:val="4"/>
        <w:spacing w:line="400" w:lineRule="exact"/>
        <w:ind w:firstLine="422" w:firstLineChars="200"/>
        <w:rPr>
          <w:rFonts w:ascii="宋体" w:hAnsi="宋体"/>
        </w:rPr>
      </w:pPr>
      <w:r>
        <w:rPr>
          <w:rFonts w:hint="eastAsia" w:ascii="宋体" w:hAnsi="宋体"/>
        </w:rPr>
        <w:t>（一）签订合同</w:t>
      </w:r>
    </w:p>
    <w:p>
      <w:pPr>
        <w:snapToGrid w:val="0"/>
        <w:spacing w:line="400" w:lineRule="exact"/>
        <w:ind w:firstLine="420" w:firstLineChars="200"/>
        <w:rPr>
          <w:rFonts w:ascii="宋体" w:hAnsi="宋体"/>
          <w:szCs w:val="21"/>
        </w:rPr>
      </w:pPr>
      <w:r>
        <w:rPr>
          <w:rFonts w:hint="eastAsia" w:ascii="宋体" w:hAnsi="宋体"/>
          <w:szCs w:val="21"/>
        </w:rPr>
        <w:t>1.采购人与中标人应当在《中标通知书》</w:t>
      </w:r>
      <w:r>
        <w:rPr>
          <w:rFonts w:ascii="宋体" w:hAnsi="宋体"/>
          <w:szCs w:val="21"/>
        </w:rPr>
        <w:t>发出之日起30日内签订政府采购合同</w:t>
      </w:r>
      <w:r>
        <w:rPr>
          <w:rFonts w:hint="eastAsia" w:ascii="宋体" w:hAnsi="宋体"/>
          <w:szCs w:val="21"/>
        </w:rPr>
        <w:t>。同时，招标代理机构对合同内容进行审查，如发现与投标结果和投标承诺内容不一致的，应予以纠正。</w:t>
      </w:r>
    </w:p>
    <w:p>
      <w:pPr>
        <w:snapToGrid w:val="0"/>
        <w:spacing w:line="400" w:lineRule="exact"/>
        <w:ind w:firstLine="420" w:firstLineChars="200"/>
        <w:rPr>
          <w:rFonts w:ascii="宋体" w:hAnsi="宋体"/>
          <w:szCs w:val="21"/>
        </w:rPr>
      </w:pPr>
      <w:r>
        <w:rPr>
          <w:rFonts w:hint="eastAsia" w:ascii="宋体" w:hAnsi="宋体"/>
          <w:szCs w:val="21"/>
        </w:rPr>
        <w:t>2.中标人拖延、拒签合同的，将被取消中标资格。</w:t>
      </w:r>
    </w:p>
    <w:p>
      <w:pPr>
        <w:snapToGrid w:val="0"/>
        <w:spacing w:line="400" w:lineRule="exact"/>
        <w:ind w:firstLine="420" w:firstLineChars="200"/>
        <w:rPr>
          <w:rFonts w:ascii="宋体" w:hAnsi="宋体"/>
          <w:szCs w:val="21"/>
        </w:rPr>
      </w:pPr>
      <w:r>
        <w:rPr>
          <w:rFonts w:hint="eastAsia" w:ascii="宋体" w:hAnsi="宋体"/>
          <w:szCs w:val="21"/>
        </w:rPr>
        <w:t>3.招标文件、招标文件的修改文件、中标人的投标文件、补充或修改的文件及澄清或承诺文件等，均为双方签订《合同》的组成部分，并与《合同》一并作为本招标文件所列采购项目的互补性法律文件，与《合同》具有同等法律效力。</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（二）履约保证金（如有）</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1.中标人应根据招标文件确定的履约保证金金额，向采购人交纳履约保证金。</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2.签订合同后，如中标人不按双方签订合同约定履约，则没收其全部履约保证金，履约保证金不足以赔偿损失的，按实际损失赔偿。</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（三）合同管理</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1.中标供应商与采购人签订合同后，将合同原件交给浙江富昱项目管理有限公司鉴证。</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2.采购人在合同签订后七个工作日内要及时向财政监督管理部门申请备案。</w:t>
      </w:r>
    </w:p>
    <w:p>
      <w:pPr>
        <w:pStyle w:val="3"/>
        <w:spacing w:line="400" w:lineRule="exact"/>
        <w:rPr>
          <w:rFonts w:ascii="宋体" w:hAnsi="宋体"/>
        </w:rPr>
      </w:pPr>
      <w:r>
        <w:rPr>
          <w:rFonts w:hint="eastAsia" w:ascii="宋体" w:hAnsi="宋体"/>
        </w:rPr>
        <w:t>八、电子交易活动的中止</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（一）电子交易活动的中止</w:t>
      </w:r>
    </w:p>
    <w:p>
      <w:pPr>
        <w:tabs>
          <w:tab w:val="left" w:pos="3870"/>
          <w:tab w:val="left" w:pos="4085"/>
        </w:tabs>
        <w:snapToGrid w:val="0"/>
        <w:spacing w:line="400" w:lineRule="exact"/>
        <w:ind w:firstLine="420" w:firstLineChars="200"/>
        <w:jc w:val="left"/>
        <w:rPr>
          <w:rFonts w:ascii="宋体" w:hAnsi="宋体"/>
          <w:szCs w:val="21"/>
        </w:rPr>
      </w:pPr>
      <w:r>
        <w:rPr>
          <w:rFonts w:hint="eastAsia" w:ascii="宋体" w:hAnsi="宋体"/>
          <w:szCs w:val="21"/>
        </w:rPr>
        <w:t>采购过程中出现以下情形，导致电子交易平台无法正常运行，或者无法保证电子交易的公平、公正和安全时，采购机构可中止电子交易活动：</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 xml:space="preserve">1.电子交易平台发生故障而无法登录访问的； </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2.电子交易平台应用或数据库出现错误，不能进行正常操作的；</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3.电子交易平台发现严重安全漏洞，有潜在泄密危险的；</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 xml:space="preserve">4.病毒发作导致不能进行正常操作的； </w:t>
      </w:r>
    </w:p>
    <w:p>
      <w:pPr>
        <w:tabs>
          <w:tab w:val="left" w:pos="3870"/>
          <w:tab w:val="left" w:pos="4085"/>
        </w:tabs>
        <w:snapToGrid w:val="0"/>
        <w:spacing w:line="400" w:lineRule="exact"/>
        <w:ind w:firstLine="420" w:firstLineChars="200"/>
        <w:jc w:val="left"/>
        <w:rPr>
          <w:rFonts w:ascii="宋体" w:hAnsi="宋体"/>
          <w:szCs w:val="21"/>
        </w:rPr>
      </w:pPr>
      <w:r>
        <w:rPr>
          <w:rFonts w:ascii="宋体" w:hAnsi="宋体"/>
          <w:szCs w:val="21"/>
        </w:rPr>
        <w:t>5.其他无法保证电子交易的公平、公正和安全的情况。</w:t>
      </w:r>
    </w:p>
    <w:p>
      <w:pPr>
        <w:tabs>
          <w:tab w:val="left" w:pos="3870"/>
          <w:tab w:val="left" w:pos="4085"/>
        </w:tabs>
        <w:snapToGrid w:val="0"/>
        <w:spacing w:line="400" w:lineRule="exact"/>
        <w:ind w:firstLine="422" w:firstLineChars="200"/>
        <w:jc w:val="left"/>
        <w:rPr>
          <w:rFonts w:ascii="宋体" w:hAnsi="宋体"/>
          <w:b/>
          <w:bCs/>
          <w:szCs w:val="21"/>
        </w:rPr>
      </w:pPr>
      <w:r>
        <w:rPr>
          <w:rFonts w:hint="eastAsia" w:ascii="宋体" w:hAnsi="宋体"/>
          <w:b/>
          <w:bCs/>
          <w:szCs w:val="21"/>
        </w:rPr>
        <w:t>（二）</w:t>
      </w:r>
      <w:r>
        <w:rPr>
          <w:rFonts w:ascii="宋体" w:hAnsi="宋体"/>
          <w:b/>
          <w:bCs/>
          <w:szCs w:val="21"/>
        </w:rPr>
        <w:t>出现以上情形，不影响采购公平、公正性的，采购组织机构可以待上述情形消除后继续组织电子交易活动，也可以决定某些环节以纸质形式进行；影响或可能影响采购公平、公正性的，应当重新采购。</w:t>
      </w:r>
    </w:p>
    <w:p>
      <w:pPr>
        <w:rPr>
          <w:rFonts w:ascii="宋体" w:hAnsi="宋体"/>
        </w:rPr>
      </w:pPr>
    </w:p>
    <w:p>
      <w:pPr>
        <w:pStyle w:val="3"/>
        <w:ind w:firstLine="602" w:firstLineChars="200"/>
        <w:rPr>
          <w:rFonts w:ascii="宋体" w:hAnsi="宋体"/>
        </w:rPr>
      </w:pPr>
      <w:r>
        <w:rPr>
          <w:rFonts w:hint="eastAsia" w:ascii="宋体" w:hAnsi="宋体"/>
          <w:szCs w:val="21"/>
        </w:rPr>
        <w:br w:type="page"/>
      </w:r>
      <w:bookmarkStart w:id="119" w:name="_Toc89897660"/>
      <w:r>
        <w:rPr>
          <w:rFonts w:hint="eastAsia" w:ascii="宋体" w:hAnsi="宋体"/>
        </w:rPr>
        <w:t>第四章 评标办法及评分标准</w:t>
      </w:r>
      <w:bookmarkEnd w:id="119"/>
    </w:p>
    <w:p>
      <w:pPr>
        <w:ind w:firstLine="420" w:firstLineChars="200"/>
        <w:rPr>
          <w:rFonts w:ascii="宋体" w:hAnsi="宋体"/>
          <w:szCs w:val="21"/>
        </w:rPr>
      </w:pPr>
      <w:bookmarkStart w:id="120" w:name="_Toc19362"/>
      <w:bookmarkEnd w:id="120"/>
      <w:r>
        <w:rPr>
          <w:rFonts w:hint="eastAsia" w:ascii="宋体" w:hAnsi="宋体"/>
          <w:szCs w:val="21"/>
        </w:rPr>
        <w:t>为公正、公平、科学地选择中标人，根据《中华人民共和国政府采购法》等有关法律法规的规定，并结合本项目的实际，制定本办法。</w:t>
      </w:r>
    </w:p>
    <w:p>
      <w:pPr>
        <w:ind w:firstLine="420" w:firstLineChars="200"/>
        <w:rPr>
          <w:rFonts w:ascii="宋体" w:hAnsi="宋体"/>
          <w:szCs w:val="21"/>
        </w:rPr>
      </w:pPr>
      <w:r>
        <w:rPr>
          <w:rFonts w:hint="eastAsia" w:ascii="宋体" w:hAnsi="宋体"/>
          <w:szCs w:val="21"/>
        </w:rPr>
        <w:t>本办法适用于该项目的评标。</w:t>
      </w:r>
    </w:p>
    <w:p>
      <w:pPr>
        <w:ind w:firstLine="422" w:firstLineChars="200"/>
        <w:rPr>
          <w:rFonts w:ascii="宋体" w:hAnsi="宋体"/>
          <w:b/>
          <w:szCs w:val="21"/>
        </w:rPr>
      </w:pPr>
      <w:r>
        <w:rPr>
          <w:rFonts w:hint="eastAsia" w:ascii="宋体" w:hAnsi="宋体"/>
          <w:b/>
          <w:szCs w:val="21"/>
        </w:rPr>
        <w:t>一、总则</w:t>
      </w:r>
    </w:p>
    <w:p>
      <w:pPr>
        <w:ind w:firstLine="420" w:firstLineChars="200"/>
        <w:rPr>
          <w:rFonts w:ascii="宋体" w:hAnsi="宋体"/>
          <w:szCs w:val="21"/>
        </w:rPr>
      </w:pPr>
      <w:r>
        <w:rPr>
          <w:rFonts w:hint="eastAsia" w:ascii="宋体" w:hAnsi="宋体"/>
          <w:szCs w:val="21"/>
        </w:rPr>
        <w:t>本次评标采用综合评分法，总分为100分。合格供应商的评标得分为各项目汇总得分，中标候选资格按评标得分由高到低顺序排列，得分相同的，按投标报价由低到高顺序排列；得分且投标报价相同的，按技术得分由高到低顺序排列，仍不能分出前后的，以先递交投标文件者优先。排名第一的供应商为中标候选人，排名第二的供应商为候补中标候选人，其他供应商中标候选资格依此类推。</w:t>
      </w:r>
      <w:r>
        <w:rPr>
          <w:rFonts w:hint="eastAsia" w:ascii="宋体" w:hAnsi="宋体"/>
          <w:b/>
          <w:szCs w:val="21"/>
        </w:rPr>
        <w:t>中标人拒绝与采购人签订合同的，采购人可以按照评审报告推荐的中标候选人名单顺序，确定下一候选人为中标人，也可以重新开展政府采购活动</w:t>
      </w:r>
      <w:r>
        <w:rPr>
          <w:rFonts w:hint="eastAsia" w:ascii="宋体" w:hAnsi="宋体"/>
          <w:szCs w:val="21"/>
        </w:rPr>
        <w:t>。评分过程中采用四舍五入法，并保留小数2位。</w:t>
      </w:r>
    </w:p>
    <w:p>
      <w:pPr>
        <w:ind w:firstLine="420" w:firstLineChars="200"/>
        <w:rPr>
          <w:rFonts w:ascii="宋体" w:hAnsi="宋体"/>
          <w:szCs w:val="21"/>
        </w:rPr>
      </w:pPr>
      <w:r>
        <w:rPr>
          <w:rFonts w:hint="eastAsia" w:ascii="宋体" w:hAnsi="宋体"/>
          <w:szCs w:val="21"/>
        </w:rPr>
        <w:t>供应商评标综合得分=价格分+技术分+资信、商务及其他分</w:t>
      </w:r>
    </w:p>
    <w:p>
      <w:pPr>
        <w:ind w:firstLine="422" w:firstLineChars="200"/>
        <w:rPr>
          <w:rFonts w:ascii="宋体" w:hAnsi="宋体"/>
          <w:b/>
          <w:szCs w:val="21"/>
        </w:rPr>
      </w:pPr>
      <w:r>
        <w:rPr>
          <w:rFonts w:hint="eastAsia" w:ascii="宋体" w:hAnsi="宋体"/>
          <w:b/>
          <w:szCs w:val="21"/>
        </w:rPr>
        <w:t>二、评标内容及标准</w:t>
      </w:r>
    </w:p>
    <w:p>
      <w:pPr>
        <w:ind w:left="422" w:firstLine="422" w:firstLineChars="200"/>
        <w:rPr>
          <w:rFonts w:hint="eastAsia" w:ascii="宋体" w:hAnsi="宋体"/>
          <w:b/>
          <w:bCs/>
          <w:szCs w:val="21"/>
        </w:rPr>
      </w:pPr>
      <w:r>
        <w:rPr>
          <w:rFonts w:hint="eastAsia" w:ascii="宋体" w:hAnsi="宋体"/>
          <w:b/>
          <w:bCs/>
          <w:szCs w:val="21"/>
        </w:rPr>
        <w:t>（一）</w:t>
      </w:r>
      <w:r>
        <w:rPr>
          <w:rFonts w:ascii="宋体" w:hAnsi="宋体"/>
          <w:b/>
          <w:bCs/>
          <w:szCs w:val="21"/>
        </w:rPr>
        <w:t>价格分</w:t>
      </w:r>
      <w:r>
        <w:rPr>
          <w:rFonts w:hint="eastAsia" w:ascii="宋体" w:hAnsi="宋体"/>
          <w:b/>
          <w:bCs/>
          <w:szCs w:val="21"/>
        </w:rPr>
        <w:t>（</w:t>
      </w:r>
      <w:r>
        <w:rPr>
          <w:rFonts w:ascii="宋体" w:hAnsi="宋体"/>
          <w:b/>
          <w:bCs/>
          <w:szCs w:val="21"/>
        </w:rPr>
        <w:t>20</w:t>
      </w:r>
      <w:r>
        <w:rPr>
          <w:rFonts w:hint="eastAsia" w:ascii="宋体" w:hAnsi="宋体"/>
          <w:b/>
          <w:bCs/>
          <w:szCs w:val="21"/>
        </w:rPr>
        <w:t>分）（适用所有标项）</w:t>
      </w:r>
    </w:p>
    <w:p>
      <w:pPr>
        <w:ind w:firstLine="420" w:firstLineChars="200"/>
        <w:rPr>
          <w:rFonts w:ascii="宋体" w:hAnsi="宋体"/>
          <w:bCs/>
          <w:szCs w:val="21"/>
        </w:rPr>
      </w:pPr>
      <w:r>
        <w:rPr>
          <w:rFonts w:hint="eastAsia" w:ascii="宋体" w:hAnsi="宋体"/>
          <w:bCs/>
          <w:szCs w:val="21"/>
        </w:rPr>
        <w:t>1、价格分采用低价优先法计算，即满足招标文件要求且投标价格最低的投标报价为评标基准价，其他供应商的价格分按照下列公式计算：</w:t>
      </w:r>
    </w:p>
    <w:p>
      <w:pPr>
        <w:ind w:firstLine="420" w:firstLineChars="200"/>
        <w:rPr>
          <w:rFonts w:ascii="宋体" w:hAnsi="宋体"/>
          <w:szCs w:val="21"/>
        </w:rPr>
      </w:pPr>
      <w:r>
        <w:rPr>
          <w:rFonts w:hint="eastAsia" w:ascii="宋体" w:hAnsi="宋体"/>
          <w:szCs w:val="21"/>
        </w:rPr>
        <w:t>价格分=（评标基准价/投标报价）×最大分值</w:t>
      </w:r>
    </w:p>
    <w:p>
      <w:pPr>
        <w:ind w:firstLine="420" w:firstLineChars="200"/>
        <w:rPr>
          <w:rFonts w:ascii="宋体" w:hAnsi="宋体"/>
          <w:bCs/>
          <w:szCs w:val="21"/>
        </w:rPr>
      </w:pPr>
      <w:r>
        <w:rPr>
          <w:rFonts w:hint="eastAsia" w:ascii="宋体" w:hAnsi="宋体"/>
          <w:bCs/>
          <w:szCs w:val="21"/>
        </w:rPr>
        <w:t>2、扶持政策说明：</w:t>
      </w:r>
    </w:p>
    <w:p>
      <w:pPr>
        <w:ind w:firstLine="420" w:firstLineChars="200"/>
        <w:rPr>
          <w:rFonts w:ascii="宋体" w:hAnsi="宋体"/>
          <w:bCs/>
          <w:szCs w:val="21"/>
        </w:rPr>
      </w:pPr>
      <w:r>
        <w:rPr>
          <w:rFonts w:hint="eastAsia" w:ascii="宋体" w:hAnsi="宋体"/>
          <w:bCs/>
          <w:szCs w:val="21"/>
        </w:rPr>
        <w:t>（1）本次采购为专门面向中小企业预留采购份额的采购项目。</w:t>
      </w:r>
    </w:p>
    <w:p>
      <w:pPr>
        <w:ind w:firstLine="420" w:firstLineChars="200"/>
        <w:rPr>
          <w:rFonts w:ascii="宋体" w:hAnsi="宋体"/>
          <w:bCs/>
          <w:szCs w:val="21"/>
        </w:rPr>
      </w:pPr>
      <w:r>
        <w:rPr>
          <w:rFonts w:hint="eastAsia" w:ascii="宋体" w:hAnsi="宋体"/>
          <w:bCs/>
          <w:szCs w:val="21"/>
        </w:rPr>
        <w:t>（2）本项目对应的中小企业划分标准所属行业：其他未列明行业。</w:t>
      </w:r>
    </w:p>
    <w:p>
      <w:pPr>
        <w:ind w:firstLine="420" w:firstLineChars="200"/>
        <w:rPr>
          <w:rFonts w:ascii="宋体" w:hAnsi="宋体"/>
          <w:bCs/>
          <w:szCs w:val="21"/>
        </w:rPr>
      </w:pPr>
      <w:r>
        <w:rPr>
          <w:rFonts w:hint="eastAsia" w:ascii="宋体" w:hAnsi="宋体"/>
          <w:bCs/>
          <w:szCs w:val="21"/>
        </w:rPr>
        <w:t>（3）本采购文件所称中小企业，是指在中华人民共和国境内依法设立，依据国务院批准的中小企业划分标准确定的中型企业、小型企业和微型企业，但与大企业的负责人为同一人，或者与大企业存在直接控股、管理关系的除外。</w:t>
      </w:r>
    </w:p>
    <w:p>
      <w:pPr>
        <w:ind w:firstLine="420" w:firstLineChars="200"/>
        <w:rPr>
          <w:rFonts w:ascii="宋体" w:hAnsi="宋体"/>
          <w:bCs/>
          <w:szCs w:val="21"/>
        </w:rPr>
      </w:pPr>
      <w:r>
        <w:rPr>
          <w:rFonts w:hint="eastAsia" w:ascii="宋体" w:hAnsi="宋体"/>
          <w:bCs/>
          <w:szCs w:val="21"/>
        </w:rPr>
        <w:t>（4）监狱企业和残疾人福利性单位视同小型、微型企业，按《财政部司法部关于政府采购支持监狱企业发展有关问题的通知》（财库〔2014〕68 号）、《财政部  民政部  中国残疾人联合会关于促进残疾人就业政府采购政策的通知》（财库〔2017〕141 号）的规定执行。</w:t>
      </w:r>
    </w:p>
    <w:p>
      <w:pPr>
        <w:ind w:firstLine="420" w:firstLineChars="200"/>
        <w:rPr>
          <w:rFonts w:ascii="宋体" w:hAnsi="宋体"/>
          <w:bCs/>
          <w:szCs w:val="21"/>
        </w:rPr>
      </w:pPr>
      <w:r>
        <w:rPr>
          <w:rFonts w:hint="eastAsia" w:ascii="宋体" w:hAnsi="宋体"/>
          <w:bCs/>
          <w:szCs w:val="21"/>
        </w:rPr>
        <w:t>注：中标、成交供应商为残疾人福利性单位的，采购人或者其委托的采购代理机构应当随中标、成交结果同时公告其《残疾人福利性单位声明函》，接受社会监督。供应商提供的《残疾人福利性单位声明函》与事实不符的，依照《政府采购法》第七十七条第一款的规定追究法律责任。</w:t>
      </w:r>
    </w:p>
    <w:p>
      <w:pPr>
        <w:ind w:firstLine="420" w:firstLineChars="200"/>
        <w:rPr>
          <w:rFonts w:ascii="宋体" w:hAnsi="宋体"/>
          <w:szCs w:val="21"/>
        </w:rPr>
      </w:pPr>
      <w:r>
        <w:rPr>
          <w:rFonts w:ascii="宋体" w:hAnsi="宋体"/>
          <w:bCs/>
          <w:szCs w:val="21"/>
        </w:rPr>
        <w:t>3</w:t>
      </w:r>
      <w:r>
        <w:rPr>
          <w:rFonts w:hint="eastAsia" w:ascii="宋体" w:hAnsi="宋体"/>
          <w:bCs/>
          <w:szCs w:val="21"/>
        </w:rPr>
        <w:t>、供应商的投标报价超过采购人设定的最高限价，将作为无效标。评标委员会认为供应商的报价</w:t>
      </w:r>
      <w:r>
        <w:rPr>
          <w:rFonts w:hint="eastAsia" w:ascii="宋体" w:hAnsi="宋体"/>
          <w:szCs w:val="21"/>
        </w:rPr>
        <w:t>明显低于其他通过符合性审查供应商的报价，有可能影响产品质量或者不能诚信履约的，应当要求其在评标现场合理的时间内提供书面说明，必要时提交相关证明材料；供应商不能证明其报价合理性的，评标委员会应当将其作为无效投标处理。</w:t>
      </w:r>
    </w:p>
    <w:p>
      <w:pPr>
        <w:ind w:firstLine="420" w:firstLineChars="200"/>
        <w:rPr>
          <w:rFonts w:ascii="宋体" w:hAnsi="宋体"/>
        </w:rPr>
      </w:pPr>
      <w:r>
        <w:rPr>
          <w:rFonts w:ascii="宋体" w:hAnsi="宋体"/>
        </w:rPr>
        <w:br w:type="page"/>
      </w:r>
      <w:r>
        <w:rPr>
          <w:rFonts w:hint="eastAsia" w:ascii="宋体" w:hAnsi="宋体"/>
          <w:b/>
          <w:bCs/>
        </w:rPr>
        <w:t>标项1：</w:t>
      </w:r>
    </w:p>
    <w:p>
      <w:pPr>
        <w:ind w:firstLine="422" w:firstLineChars="200"/>
        <w:rPr>
          <w:rFonts w:ascii="宋体" w:hAnsi="宋体"/>
          <w:b/>
          <w:bCs/>
        </w:rPr>
      </w:pPr>
      <w:r>
        <w:rPr>
          <w:rFonts w:hint="eastAsia" w:ascii="宋体" w:hAnsi="宋体"/>
          <w:b/>
          <w:bCs/>
          <w:szCs w:val="21"/>
        </w:rPr>
        <w:t>（二）</w:t>
      </w:r>
      <w:r>
        <w:rPr>
          <w:rFonts w:hint="eastAsia" w:ascii="宋体" w:hAnsi="宋体"/>
          <w:b/>
          <w:bCs/>
        </w:rPr>
        <w:t>技术分（0</w:t>
      </w:r>
      <w:r>
        <w:rPr>
          <w:rFonts w:ascii="宋体" w:hAnsi="宋体"/>
          <w:b/>
          <w:bCs/>
        </w:rPr>
        <w:t>-76</w:t>
      </w:r>
      <w:r>
        <w:rPr>
          <w:rFonts w:hint="eastAsia" w:ascii="宋体" w:hAnsi="宋体"/>
          <w:b/>
          <w:bCs/>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438"/>
        <w:gridCol w:w="6028"/>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序号</w:t>
            </w:r>
          </w:p>
        </w:tc>
        <w:tc>
          <w:tcPr>
            <w:tcW w:w="1438"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602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992"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43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技术指标</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响应采购文件规定的产品要求和服务要求的得基本分</w:t>
            </w:r>
            <w:r>
              <w:rPr>
                <w:rFonts w:ascii="宋体" w:hAnsi="宋体"/>
                <w:szCs w:val="21"/>
              </w:rPr>
              <w:t>4</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优于招标文件规定的产品要求和服务要求的给予逐项适当加分，每优于一项在基本分的基础上加1分，总加分不得超过2分；</w:t>
            </w:r>
          </w:p>
          <w:p>
            <w:pPr>
              <w:pStyle w:val="548"/>
              <w:spacing w:after="60" w:afterLines="25" w:line="360" w:lineRule="exact"/>
              <w:jc w:val="left"/>
              <w:rPr>
                <w:rFonts w:ascii="宋体" w:hAnsi="宋体"/>
                <w:szCs w:val="21"/>
              </w:rPr>
            </w:pPr>
            <w:r>
              <w:rPr>
                <w:rFonts w:hint="eastAsia" w:ascii="宋体" w:hAnsi="宋体"/>
                <w:szCs w:val="21"/>
              </w:rPr>
              <w:t>低于招标文件规定的产品要求和服务要求的给予逐项适当减分（非实质性偏离），每低于一项扣0.5分，扣完为止；</w:t>
            </w:r>
          </w:p>
          <w:p>
            <w:pPr>
              <w:spacing w:after="60" w:afterLines="25" w:line="360" w:lineRule="exact"/>
              <w:jc w:val="left"/>
              <w:rPr>
                <w:rFonts w:hint="eastAsia" w:ascii="宋体" w:hAnsi="宋体"/>
                <w:szCs w:val="21"/>
              </w:rPr>
            </w:pPr>
            <w:r>
              <w:rPr>
                <w:rFonts w:hint="eastAsia" w:ascii="宋体" w:hAnsi="宋体"/>
                <w:szCs w:val="21"/>
              </w:rPr>
              <w:t>（请如实填写偏离表，若为优于的请提供相关证明材料并加盖公章，由评标委员会认定是否属于优于）</w:t>
            </w:r>
          </w:p>
        </w:tc>
        <w:tc>
          <w:tcPr>
            <w:tcW w:w="992" w:type="dxa"/>
            <w:noWrap w:val="0"/>
            <w:vAlign w:val="center"/>
          </w:tcPr>
          <w:p>
            <w:pPr>
              <w:spacing w:after="60" w:afterLines="25" w:line="360" w:lineRule="exact"/>
              <w:jc w:val="center"/>
              <w:rPr>
                <w:rFonts w:hint="eastAsia" w:ascii="宋体" w:hAnsi="宋体"/>
                <w:szCs w:val="21"/>
              </w:rPr>
            </w:pPr>
            <w:r>
              <w:rPr>
                <w:rFonts w:ascii="宋体" w:hAnsi="宋体"/>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2</w:t>
            </w:r>
          </w:p>
        </w:tc>
        <w:tc>
          <w:tcPr>
            <w:tcW w:w="1438" w:type="dxa"/>
            <w:vMerge w:val="restart"/>
            <w:noWrap w:val="0"/>
            <w:vAlign w:val="center"/>
          </w:tcPr>
          <w:p>
            <w:pPr>
              <w:spacing w:after="25" w:line="360" w:lineRule="exact"/>
              <w:jc w:val="center"/>
              <w:rPr>
                <w:rFonts w:ascii="宋体" w:hAnsi="宋体" w:cs="仿宋"/>
                <w:szCs w:val="21"/>
              </w:rPr>
            </w:pPr>
            <w:r>
              <w:rPr>
                <w:rFonts w:hint="eastAsia" w:ascii="宋体" w:hAnsi="宋体"/>
                <w:szCs w:val="21"/>
              </w:rPr>
              <w:t>保证措施（1</w:t>
            </w:r>
            <w:r>
              <w:rPr>
                <w:rFonts w:ascii="宋体" w:hAnsi="宋体"/>
                <w:szCs w:val="21"/>
              </w:rPr>
              <w:t>0</w:t>
            </w:r>
            <w:r>
              <w:rPr>
                <w:rFonts w:hint="eastAsia" w:ascii="宋体" w:hAnsi="宋体"/>
                <w:szCs w:val="21"/>
              </w:rPr>
              <w:t>分）</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从质量目标、保证措施等方面，根据供应商提供方案的科学、合理、详细有效的得3-5分，基本描述的得1-3（不含）分，未描述的得0分。</w:t>
            </w:r>
          </w:p>
        </w:tc>
        <w:tc>
          <w:tcPr>
            <w:tcW w:w="992" w:type="dxa"/>
            <w:noWrap w:val="0"/>
            <w:vAlign w:val="center"/>
          </w:tcPr>
          <w:p>
            <w:pPr>
              <w:spacing w:after="60" w:afterLines="25" w:line="360" w:lineRule="exact"/>
              <w:jc w:val="center"/>
              <w:rPr>
                <w:rFonts w:ascii="宋体" w:hAnsi="宋体"/>
                <w:szCs w:val="21"/>
              </w:rPr>
            </w:pPr>
            <w:r>
              <w:rPr>
                <w:rFonts w:ascii="宋体"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投标人具有完善的台账系统、内控制度，健全的廉政制度的得3-5分，基本描述的得1-3（不含）分，缺项的得0分。</w:t>
            </w:r>
          </w:p>
        </w:tc>
        <w:tc>
          <w:tcPr>
            <w:tcW w:w="992" w:type="dxa"/>
            <w:noWrap w:val="0"/>
            <w:vAlign w:val="center"/>
          </w:tcPr>
          <w:p>
            <w:pPr>
              <w:spacing w:after="60" w:afterLines="25" w:line="360" w:lineRule="exact"/>
              <w:jc w:val="center"/>
              <w:rPr>
                <w:rFonts w:ascii="宋体" w:hAnsi="宋体"/>
                <w:szCs w:val="21"/>
              </w:rPr>
            </w:pPr>
            <w:r>
              <w:rPr>
                <w:rFonts w:hint="eastAsia" w:ascii="宋体" w:hAnsi="宋体"/>
                <w:szCs w:val="21"/>
              </w:rPr>
              <w:t>0</w:t>
            </w:r>
            <w:r>
              <w:rPr>
                <w:rFonts w:ascii="宋体"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3</w:t>
            </w:r>
          </w:p>
        </w:tc>
        <w:tc>
          <w:tcPr>
            <w:tcW w:w="1438" w:type="dxa"/>
            <w:noWrap w:val="0"/>
            <w:vAlign w:val="center"/>
          </w:tcPr>
          <w:p>
            <w:pPr>
              <w:spacing w:after="25" w:line="360" w:lineRule="exact"/>
              <w:jc w:val="center"/>
              <w:rPr>
                <w:rFonts w:hint="eastAsia" w:ascii="宋体" w:hAnsi="宋体"/>
                <w:szCs w:val="21"/>
              </w:rPr>
            </w:pPr>
            <w:r>
              <w:rPr>
                <w:rFonts w:ascii="宋体" w:hAnsi="宋体"/>
                <w:szCs w:val="21"/>
              </w:rPr>
              <w:t>施工部署</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由评委根据供应商提供的施工现场</w:t>
            </w:r>
            <w:r>
              <w:rPr>
                <w:rFonts w:ascii="宋体" w:hAnsi="宋体"/>
                <w:szCs w:val="21"/>
              </w:rPr>
              <w:t>平面布置</w:t>
            </w:r>
            <w:r>
              <w:rPr>
                <w:rFonts w:hint="eastAsia" w:ascii="宋体" w:hAnsi="宋体"/>
                <w:szCs w:val="21"/>
              </w:rPr>
              <w:t>、</w:t>
            </w:r>
            <w:r>
              <w:rPr>
                <w:rFonts w:ascii="宋体" w:hAnsi="宋体"/>
                <w:szCs w:val="21"/>
              </w:rPr>
              <w:t>施工部署及现场施工组织管理机构</w:t>
            </w:r>
            <w:r>
              <w:rPr>
                <w:rFonts w:hint="eastAsia" w:ascii="宋体" w:hAnsi="宋体"/>
                <w:szCs w:val="21"/>
              </w:rPr>
              <w:t>等综合打分：提供的方案科学、合理、规范、可操作的，得3</w:t>
            </w:r>
            <w:r>
              <w:rPr>
                <w:rFonts w:ascii="宋体" w:hAnsi="宋体"/>
                <w:szCs w:val="21"/>
              </w:rPr>
              <w:t>-5</w:t>
            </w:r>
            <w:r>
              <w:rPr>
                <w:rFonts w:hint="eastAsia" w:ascii="宋体" w:hAnsi="宋体"/>
                <w:szCs w:val="21"/>
              </w:rPr>
              <w:t>分；基本描述的，得</w:t>
            </w:r>
            <w:r>
              <w:rPr>
                <w:rFonts w:ascii="宋体" w:hAnsi="宋体"/>
                <w:szCs w:val="21"/>
              </w:rPr>
              <w:t>1-3</w:t>
            </w:r>
            <w:r>
              <w:rPr>
                <w:rFonts w:hint="eastAsia" w:ascii="宋体" w:hAnsi="宋体"/>
                <w:szCs w:val="21"/>
              </w:rPr>
              <w:t>（不含）分；缺项的，得0分。</w:t>
            </w:r>
          </w:p>
        </w:tc>
        <w:tc>
          <w:tcPr>
            <w:tcW w:w="992" w:type="dxa"/>
            <w:noWrap w:val="0"/>
            <w:vAlign w:val="center"/>
          </w:tcPr>
          <w:p>
            <w:pPr>
              <w:pStyle w:val="27"/>
              <w:spacing w:after="25" w:line="360" w:lineRule="exact"/>
              <w:jc w:val="center"/>
              <w:rPr>
                <w:rFonts w:hAnsi="宋体"/>
                <w:szCs w:val="21"/>
              </w:rPr>
            </w:pPr>
            <w:r>
              <w:rPr>
                <w:rFonts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ascii="宋体" w:hAnsi="宋体"/>
                <w:szCs w:val="21"/>
              </w:rPr>
            </w:pPr>
            <w:r>
              <w:rPr>
                <w:rFonts w:hint="eastAsia" w:ascii="宋体" w:hAnsi="宋体"/>
                <w:szCs w:val="21"/>
              </w:rPr>
              <w:t>4</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施工计划</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施工总进度计划及保证措施</w:t>
            </w:r>
            <w:r>
              <w:rPr>
                <w:rFonts w:hint="eastAsia" w:ascii="宋体" w:hAnsi="宋体"/>
                <w:szCs w:val="21"/>
              </w:rPr>
              <w:t>进行综合打分：提供的项目进度计划合理、保证措施有效的得3-5分，基本描述的得1-3（不含）分，缺项的得0分。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5</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质量体系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质量保证体系及控制要点</w:t>
            </w:r>
            <w:r>
              <w:rPr>
                <w:rFonts w:hint="eastAsia" w:ascii="宋体" w:hAnsi="宋体"/>
                <w:szCs w:val="21"/>
              </w:rPr>
              <w:t>等方面进行综合打分：根据各投标人提供方案的合理、可行、周全的得3-5分，基本描述的得1-3（不含）分，缺项的得0分。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6</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安全体系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安全保证体系及安全文明施工措施要点</w:t>
            </w:r>
            <w:r>
              <w:rPr>
                <w:rFonts w:hint="eastAsia" w:ascii="宋体" w:hAnsi="宋体"/>
                <w:szCs w:val="21"/>
              </w:rPr>
              <w:t>等方面进行综合打分：根据各投标人提供方案的合理、可行、周全的得3-5分，基本描述的得1-3（不含）分，缺项的得0分。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7</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应急预案</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供应商针对本项目的突发事件处理方案、应急预案，分析到位、解决措施合理、经济的得3-5分，基本描述的得1-3（不含）分，缺项的得0分。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8</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售后服务</w:t>
            </w:r>
          </w:p>
          <w:p>
            <w:pPr>
              <w:spacing w:after="25" w:line="360" w:lineRule="exact"/>
              <w:jc w:val="center"/>
              <w:rPr>
                <w:rFonts w:hint="eastAsia" w:ascii="宋体" w:hAnsi="宋体"/>
                <w:szCs w:val="21"/>
              </w:rPr>
            </w:pPr>
            <w:r>
              <w:rPr>
                <w:rFonts w:hint="eastAsia" w:ascii="宋体" w:hAnsi="宋体"/>
                <w:szCs w:val="21"/>
              </w:rPr>
              <w:t>（7分）</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供应商承诺的售后服务保障，免费备品备件、明确服务范围、制定主要服务内容、解决问题、排除问题速度的得3-5分，基本描述的得1-3（不含）分，未描述的得0分。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16" w:hRule="atLeast"/>
          <w:jc w:val="center"/>
        </w:trPr>
        <w:tc>
          <w:tcPr>
            <w:tcW w:w="777" w:type="dxa"/>
            <w:vMerge w:val="continue"/>
            <w:noWrap w:val="0"/>
            <w:vAlign w:val="center"/>
          </w:tcPr>
          <w:p>
            <w:pPr>
              <w:spacing w:after="25" w:line="360" w:lineRule="exact"/>
              <w:jc w:val="center"/>
              <w:rPr>
                <w:rFonts w:ascii="宋体" w:hAnsi="宋体" w:cs="仿宋"/>
                <w:szCs w:val="21"/>
              </w:rPr>
            </w:pPr>
          </w:p>
        </w:tc>
        <w:tc>
          <w:tcPr>
            <w:tcW w:w="1438" w:type="dxa"/>
            <w:vMerge w:val="continue"/>
            <w:noWrap w:val="0"/>
            <w:vAlign w:val="center"/>
          </w:tcPr>
          <w:p>
            <w:pPr>
              <w:spacing w:after="25" w:line="360" w:lineRule="exact"/>
              <w:jc w:val="center"/>
              <w:rPr>
                <w:rFonts w:ascii="宋体" w:hAnsi="宋体" w:cs="仿宋"/>
                <w:szCs w:val="21"/>
              </w:rPr>
            </w:pP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供应商承诺中标后30日内在嘉兴市本级设立售后服务网点的及已有的得</w:t>
            </w:r>
            <w:r>
              <w:rPr>
                <w:rFonts w:ascii="宋体" w:hAnsi="宋体"/>
                <w:szCs w:val="21"/>
              </w:rPr>
              <w:t>2</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注：提供承诺函或已有的相关证明材料并加盖公章，否则不得分。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9</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拟投入车辆及设备</w:t>
            </w:r>
          </w:p>
          <w:p>
            <w:pPr>
              <w:spacing w:after="25" w:line="360" w:lineRule="exact"/>
              <w:jc w:val="center"/>
              <w:rPr>
                <w:rFonts w:ascii="宋体" w:hAnsi="宋体" w:cs="仿宋"/>
                <w:szCs w:val="21"/>
              </w:rPr>
            </w:pPr>
            <w:r>
              <w:rPr>
                <w:rFonts w:hint="eastAsia" w:ascii="宋体" w:hAnsi="宋体"/>
                <w:szCs w:val="21"/>
              </w:rPr>
              <w:t>（1</w:t>
            </w:r>
            <w:r>
              <w:rPr>
                <w:rFonts w:ascii="宋体" w:hAnsi="宋体"/>
                <w:szCs w:val="21"/>
              </w:rPr>
              <w:t>4</w:t>
            </w:r>
            <w:r>
              <w:rPr>
                <w:rFonts w:hint="eastAsia" w:ascii="宋体" w:hAnsi="宋体"/>
                <w:szCs w:val="21"/>
              </w:rPr>
              <w:t>分）</w:t>
            </w: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供应商拟投入本项目的车辆（车辆必须可用于标线施工，施工车辆须为供应商自有，包括货车及其他工程作业车辆）：</w:t>
            </w:r>
          </w:p>
          <w:p>
            <w:pPr>
              <w:spacing w:after="60" w:afterLines="25" w:line="360" w:lineRule="exact"/>
              <w:rPr>
                <w:rFonts w:ascii="宋体" w:hAnsi="宋体"/>
                <w:szCs w:val="21"/>
              </w:rPr>
            </w:pPr>
            <w:r>
              <w:rPr>
                <w:rFonts w:hint="eastAsia" w:ascii="宋体" w:hAnsi="宋体"/>
                <w:szCs w:val="21"/>
              </w:rPr>
              <w:t>货车及其他工程作业车辆的每个得0.5分，最高得</w:t>
            </w:r>
            <w:r>
              <w:rPr>
                <w:rFonts w:ascii="宋体" w:hAnsi="宋体"/>
                <w:szCs w:val="21"/>
              </w:rPr>
              <w:t>4</w:t>
            </w:r>
            <w:r>
              <w:rPr>
                <w:rFonts w:hint="eastAsia" w:ascii="宋体" w:hAnsi="宋体"/>
                <w:szCs w:val="21"/>
              </w:rPr>
              <w:t>分。</w:t>
            </w:r>
          </w:p>
          <w:p>
            <w:pPr>
              <w:spacing w:after="60" w:afterLines="25" w:line="360" w:lineRule="exact"/>
              <w:rPr>
                <w:rFonts w:hint="eastAsia" w:ascii="宋体" w:hAnsi="宋体"/>
                <w:szCs w:val="21"/>
              </w:rPr>
            </w:pPr>
            <w:r>
              <w:rPr>
                <w:rFonts w:hint="eastAsia" w:ascii="宋体" w:hAnsi="宋体"/>
                <w:szCs w:val="21"/>
              </w:rPr>
              <w:t>注：提供有效的车辆行驶证复印件并加盖公章，否则不得分。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交通标志标线施划设备齐全，有手推热熔划线机、振荡标线机、双组份划线机、全回收高压水除线设备（均须供应商自有）的，每个得2分；其他相关设备每台得1分，最高得2分，共计最高得10分。</w:t>
            </w:r>
          </w:p>
          <w:p>
            <w:pPr>
              <w:spacing w:after="60" w:afterLines="25" w:line="360" w:lineRule="exact"/>
              <w:rPr>
                <w:rFonts w:hint="eastAsia" w:ascii="宋体" w:hAnsi="宋体"/>
                <w:szCs w:val="21"/>
              </w:rPr>
            </w:pPr>
            <w:r>
              <w:rPr>
                <w:rFonts w:hint="eastAsia" w:ascii="宋体" w:hAnsi="宋体"/>
                <w:szCs w:val="21"/>
              </w:rPr>
              <w:t>注：提供设备购置发票复印件和设备照片并加盖公章，缺项不得分。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0</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运营、维保实力</w:t>
            </w:r>
          </w:p>
          <w:p>
            <w:pPr>
              <w:spacing w:after="25" w:line="360" w:lineRule="exact"/>
              <w:jc w:val="center"/>
              <w:rPr>
                <w:rFonts w:hint="eastAsia" w:ascii="宋体" w:hAnsi="宋体" w:cs="仿宋"/>
                <w:szCs w:val="21"/>
              </w:rPr>
            </w:pPr>
            <w:r>
              <w:rPr>
                <w:rFonts w:hint="eastAsia" w:ascii="宋体" w:hAnsi="宋体"/>
                <w:szCs w:val="21"/>
              </w:rPr>
              <w:t>（1</w:t>
            </w:r>
            <w:r>
              <w:rPr>
                <w:rFonts w:ascii="宋体" w:hAnsi="宋体"/>
                <w:szCs w:val="21"/>
              </w:rPr>
              <w:t>1</w:t>
            </w:r>
            <w:r>
              <w:rPr>
                <w:rFonts w:hint="eastAsia" w:ascii="宋体" w:hAnsi="宋体"/>
                <w:szCs w:val="21"/>
              </w:rPr>
              <w:t>分）</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针对本项目的实施人员专业人员素质、技术能力、专业分布、经验等情况配备合理的得3-6分，基本描述的得1-3分，缺项的得0分。</w:t>
            </w:r>
          </w:p>
          <w:p>
            <w:pPr>
              <w:spacing w:after="60" w:afterLines="25" w:line="360" w:lineRule="exact"/>
              <w:jc w:val="left"/>
              <w:rPr>
                <w:rFonts w:ascii="宋体" w:hAnsi="宋体"/>
                <w:szCs w:val="21"/>
              </w:rPr>
            </w:pPr>
            <w:r>
              <w:rPr>
                <w:rFonts w:hint="eastAsia" w:ascii="宋体" w:hAnsi="宋体"/>
                <w:szCs w:val="21"/>
              </w:rPr>
              <w:t>注：提供相关人员的合同复印件并加盖公章，否则不得分。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ascii="宋体" w:hAnsi="宋体"/>
              </w:rPr>
            </w:pPr>
            <w:r>
              <w:rPr>
                <w:rFonts w:hint="eastAsia" w:ascii="宋体" w:hAnsi="宋体"/>
              </w:rPr>
              <w:t>本项目拟投入本项目的仓储场地（室内）进行综合打分：</w:t>
            </w:r>
          </w:p>
          <w:p>
            <w:pPr>
              <w:spacing w:after="60" w:afterLines="25" w:line="360" w:lineRule="exact"/>
              <w:jc w:val="left"/>
              <w:rPr>
                <w:rFonts w:ascii="宋体" w:hAnsi="宋体"/>
              </w:rPr>
            </w:pPr>
            <w:r>
              <w:rPr>
                <w:rFonts w:hint="eastAsia" w:ascii="宋体" w:hAnsi="宋体"/>
              </w:rPr>
              <w:t>对提供相关证明材料复印件（如租赁合同、土地使用证等）非常清晰、齐全，且描述一目了然，仓储场地在一处的，得</w:t>
            </w:r>
            <w:r>
              <w:rPr>
                <w:rFonts w:ascii="宋体" w:hAnsi="宋体"/>
              </w:rPr>
              <w:t>4-5</w:t>
            </w:r>
            <w:r>
              <w:rPr>
                <w:rFonts w:hint="eastAsia" w:ascii="宋体" w:hAnsi="宋体"/>
              </w:rPr>
              <w:t>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对提供相关证明材料复印件（如租赁合同、土地使用证等）比较清晰、齐全，且描述基本清楚，仓储场地在一处的，得</w:t>
            </w:r>
            <w:r>
              <w:rPr>
                <w:rFonts w:ascii="宋体" w:hAnsi="宋体"/>
              </w:rPr>
              <w:t>2-4</w:t>
            </w:r>
            <w:r>
              <w:rPr>
                <w:rFonts w:hint="eastAsia" w:ascii="宋体" w:hAnsi="宋体"/>
              </w:rPr>
              <w:t>（不含）分；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对提供相关证明材料复印件（如租赁合同、土地使用证等）不够清晰、齐全，且描述模糊不清，仓储场地在一处的，得</w:t>
            </w:r>
            <w:r>
              <w:rPr>
                <w:rFonts w:ascii="宋体" w:hAnsi="宋体"/>
              </w:rPr>
              <w:t>1-2</w:t>
            </w:r>
            <w:r>
              <w:rPr>
                <w:rFonts w:hint="eastAsia" w:ascii="宋体" w:hAnsi="宋体"/>
              </w:rPr>
              <w:t>（不含）分。</w:t>
            </w:r>
          </w:p>
          <w:p>
            <w:pPr>
              <w:spacing w:after="60" w:afterLines="25" w:line="360" w:lineRule="exact"/>
              <w:jc w:val="left"/>
              <w:rPr>
                <w:rFonts w:ascii="宋体" w:hAnsi="宋体"/>
                <w:szCs w:val="21"/>
              </w:rPr>
            </w:pPr>
            <w:r>
              <w:rPr>
                <w:rFonts w:hint="eastAsia" w:ascii="宋体" w:hAnsi="宋体"/>
                <w:szCs w:val="21"/>
              </w:rPr>
              <w:t>无相关内容或提供的场地与本项目不符或不在一处的，不得分。</w:t>
            </w:r>
          </w:p>
          <w:p>
            <w:pPr>
              <w:spacing w:after="60" w:afterLines="25" w:line="360" w:lineRule="exact"/>
              <w:jc w:val="left"/>
              <w:rPr>
                <w:rFonts w:hint="eastAsia" w:ascii="宋体" w:hAnsi="宋体"/>
                <w:szCs w:val="21"/>
              </w:rPr>
            </w:pPr>
            <w:r>
              <w:rPr>
                <w:rFonts w:hint="eastAsia" w:ascii="宋体" w:hAnsi="宋体"/>
                <w:szCs w:val="21"/>
              </w:rPr>
              <w:t>注：</w:t>
            </w:r>
            <w:r>
              <w:rPr>
                <w:rFonts w:ascii="宋体" w:hAnsi="宋体"/>
                <w:szCs w:val="21"/>
              </w:rPr>
              <w:t>自有的提供土地使用证</w:t>
            </w:r>
            <w:r>
              <w:rPr>
                <w:rFonts w:hint="eastAsia" w:ascii="宋体" w:hAnsi="宋体"/>
                <w:szCs w:val="21"/>
              </w:rPr>
              <w:t>（土地使用权人名称应与供应商名称一致）；</w:t>
            </w:r>
            <w:r>
              <w:rPr>
                <w:rFonts w:ascii="宋体" w:hAnsi="宋体"/>
                <w:szCs w:val="21"/>
              </w:rPr>
              <w:t>非自有的</w:t>
            </w:r>
            <w:r>
              <w:rPr>
                <w:rFonts w:hint="eastAsia" w:ascii="宋体" w:hAnsi="宋体"/>
                <w:szCs w:val="21"/>
              </w:rPr>
              <w:t>提供场地租赁合同、土地使用证（土地使用权人名称应与出租方名称一致）。上述二种情况均应清晰体现仓储场地（室内）面积及计算式，中标后如发现供应商提供的上述面积与现状实际面积明显不符，按提供虚假材料处理，取消中标资格，并通报有关单位；仓储场地照片等，任一项不提供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1</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cs="宋体"/>
                <w:szCs w:val="21"/>
              </w:rPr>
              <w:t>优惠条件及合理化建议</w:t>
            </w:r>
          </w:p>
        </w:tc>
        <w:tc>
          <w:tcPr>
            <w:tcW w:w="6028" w:type="dxa"/>
            <w:noWrap w:val="0"/>
            <w:vAlign w:val="center"/>
          </w:tcPr>
          <w:p>
            <w:pPr>
              <w:spacing w:after="60" w:afterLines="25" w:line="360" w:lineRule="exact"/>
              <w:rPr>
                <w:rFonts w:hint="eastAsia" w:ascii="宋体" w:hAnsi="宋体"/>
                <w:szCs w:val="21"/>
              </w:rPr>
            </w:pPr>
            <w:r>
              <w:rPr>
                <w:rFonts w:hint="eastAsia" w:ascii="宋体" w:hAnsi="宋体"/>
              </w:rPr>
              <w:t>投标人针对本项目的优惠条件（不得涉及报价）及合理化建议，1条被采纳的得1分，最多</w:t>
            </w:r>
            <w:r>
              <w:rPr>
                <w:rFonts w:ascii="宋体" w:hAnsi="宋体"/>
              </w:rPr>
              <w:t>3</w:t>
            </w:r>
            <w:r>
              <w:rPr>
                <w:rFonts w:hint="eastAsia" w:ascii="宋体" w:hAnsi="宋体"/>
              </w:rPr>
              <w:t>分。</w:t>
            </w:r>
          </w:p>
        </w:tc>
        <w:tc>
          <w:tcPr>
            <w:tcW w:w="992" w:type="dxa"/>
            <w:noWrap w:val="0"/>
            <w:vAlign w:val="center"/>
          </w:tcPr>
          <w:p>
            <w:pPr>
              <w:pStyle w:val="27"/>
              <w:spacing w:after="25" w:line="360" w:lineRule="exact"/>
              <w:jc w:val="center"/>
              <w:rPr>
                <w:rFonts w:hint="eastAsia" w:hAnsi="宋体"/>
                <w:szCs w:val="21"/>
              </w:rPr>
            </w:pPr>
            <w:r>
              <w:rPr>
                <w:rFonts w:hAnsi="宋体"/>
                <w:szCs w:val="21"/>
              </w:rPr>
              <w:t>0-3</w:t>
            </w:r>
          </w:p>
        </w:tc>
      </w:tr>
    </w:tbl>
    <w:p>
      <w:pPr>
        <w:ind w:firstLine="420" w:firstLineChars="200"/>
        <w:rPr>
          <w:rFonts w:ascii="宋体" w:hAnsi="宋体"/>
          <w:b/>
          <w:bCs/>
          <w:szCs w:val="21"/>
        </w:rPr>
      </w:pPr>
      <w:r>
        <w:rPr>
          <w:rFonts w:ascii="宋体" w:hAnsi="宋体"/>
        </w:rPr>
        <w:br w:type="page"/>
      </w:r>
      <w:r>
        <w:rPr>
          <w:rFonts w:hint="eastAsia" w:ascii="宋体" w:hAnsi="宋体"/>
          <w:b/>
          <w:bCs/>
          <w:szCs w:val="21"/>
        </w:rPr>
        <w:t>（三）资信、商务及其他分（0</w:t>
      </w:r>
      <w:r>
        <w:rPr>
          <w:rFonts w:ascii="宋体" w:hAnsi="宋体"/>
          <w:b/>
          <w:bCs/>
          <w:szCs w:val="21"/>
        </w:rPr>
        <w:t>-4</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361"/>
        <w:gridCol w:w="595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ascii="宋体" w:hAnsi="宋体"/>
                <w:szCs w:val="21"/>
              </w:rPr>
            </w:pPr>
            <w:r>
              <w:rPr>
                <w:rFonts w:hint="eastAsia" w:ascii="宋体" w:hAnsi="宋体"/>
                <w:szCs w:val="21"/>
              </w:rPr>
              <w:t>序号</w:t>
            </w:r>
          </w:p>
        </w:tc>
        <w:tc>
          <w:tcPr>
            <w:tcW w:w="1361"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595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成功案例</w:t>
            </w:r>
          </w:p>
        </w:tc>
        <w:tc>
          <w:tcPr>
            <w:tcW w:w="5958" w:type="dxa"/>
            <w:noWrap w:val="0"/>
            <w:vAlign w:val="center"/>
          </w:tcPr>
          <w:p>
            <w:pPr>
              <w:spacing w:after="60" w:afterLines="25" w:line="360" w:lineRule="exact"/>
              <w:rPr>
                <w:rFonts w:ascii="宋体" w:hAnsi="宋体"/>
                <w:kern w:val="0"/>
                <w:szCs w:val="21"/>
              </w:rPr>
            </w:pPr>
            <w:r>
              <w:rPr>
                <w:rFonts w:hint="eastAsia" w:ascii="宋体" w:hAnsi="宋体"/>
                <w:kern w:val="0"/>
                <w:szCs w:val="21"/>
              </w:rPr>
              <w:t>供应商提供自</w:t>
            </w:r>
            <w:r>
              <w:rPr>
                <w:rFonts w:ascii="宋体" w:hAnsi="宋体"/>
                <w:kern w:val="0"/>
                <w:szCs w:val="21"/>
              </w:rPr>
              <w:t>投标截止时间前</w:t>
            </w:r>
            <w:r>
              <w:rPr>
                <w:rFonts w:hint="eastAsia" w:ascii="宋体" w:hAnsi="宋体"/>
                <w:kern w:val="0"/>
                <w:szCs w:val="21"/>
              </w:rPr>
              <w:t>三</w:t>
            </w:r>
            <w:r>
              <w:rPr>
                <w:rFonts w:ascii="宋体" w:hAnsi="宋体"/>
                <w:kern w:val="0"/>
                <w:szCs w:val="21"/>
              </w:rPr>
              <w:t>年</w:t>
            </w:r>
            <w:r>
              <w:rPr>
                <w:rFonts w:hint="eastAsia" w:ascii="宋体" w:hAnsi="宋体"/>
                <w:kern w:val="0"/>
                <w:szCs w:val="21"/>
              </w:rPr>
              <w:t>以来（自投标截止日起往前追溯3年，以合同签订时间为准）成功实施的同类（标线施工）项目案例，每个得</w:t>
            </w:r>
            <w:r>
              <w:rPr>
                <w:rFonts w:ascii="宋体" w:hAnsi="宋体"/>
                <w:kern w:val="0"/>
                <w:szCs w:val="21"/>
              </w:rPr>
              <w:t>1</w:t>
            </w:r>
            <w:r>
              <w:rPr>
                <w:rFonts w:hint="eastAsia" w:ascii="宋体" w:hAnsi="宋体"/>
                <w:kern w:val="0"/>
                <w:szCs w:val="21"/>
              </w:rPr>
              <w:t>分，最高得</w:t>
            </w:r>
            <w:r>
              <w:rPr>
                <w:rFonts w:ascii="宋体" w:hAnsi="宋体"/>
                <w:kern w:val="0"/>
                <w:szCs w:val="21"/>
              </w:rPr>
              <w:t>2</w:t>
            </w:r>
            <w:r>
              <w:rPr>
                <w:rFonts w:hint="eastAsia" w:ascii="宋体" w:hAnsi="宋体"/>
                <w:kern w:val="0"/>
                <w:szCs w:val="21"/>
              </w:rPr>
              <w:t>分。</w:t>
            </w:r>
          </w:p>
          <w:p>
            <w:pPr>
              <w:spacing w:after="60" w:afterLines="25" w:line="360" w:lineRule="exact"/>
              <w:rPr>
                <w:rFonts w:hint="eastAsia" w:ascii="宋体" w:hAnsi="宋体"/>
                <w:kern w:val="0"/>
                <w:szCs w:val="21"/>
              </w:rPr>
            </w:pPr>
            <w:r>
              <w:rPr>
                <w:rFonts w:hint="eastAsia" w:ascii="宋体" w:hAnsi="宋体"/>
                <w:kern w:val="0"/>
                <w:szCs w:val="21"/>
              </w:rPr>
              <w:t>注：须提供合同复印件并加盖公章，否则不得分。</w:t>
            </w:r>
          </w:p>
        </w:tc>
        <w:tc>
          <w:tcPr>
            <w:tcW w:w="1026" w:type="dxa"/>
            <w:noWrap w:val="0"/>
            <w:vAlign w:val="center"/>
          </w:tcPr>
          <w:p>
            <w:pPr>
              <w:spacing w:after="60" w:afterLines="25" w:line="360" w:lineRule="exact"/>
              <w:jc w:val="center"/>
              <w:rPr>
                <w:rFonts w:hint="eastAsia"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政策分</w:t>
            </w:r>
          </w:p>
        </w:tc>
        <w:tc>
          <w:tcPr>
            <w:tcW w:w="5958" w:type="dxa"/>
            <w:noWrap w:val="0"/>
            <w:vAlign w:val="center"/>
          </w:tcPr>
          <w:p>
            <w:pPr>
              <w:spacing w:after="60" w:afterLines="25" w:line="360" w:lineRule="exact"/>
              <w:rPr>
                <w:rFonts w:ascii="宋体" w:hAnsi="宋体" w:cs="宋体"/>
                <w:szCs w:val="21"/>
                <w:lang w:val="zh-CN"/>
              </w:rPr>
            </w:pPr>
            <w:r>
              <w:rPr>
                <w:rFonts w:hint="eastAsia" w:ascii="宋体" w:hAnsi="宋体" w:cs="宋体"/>
                <w:szCs w:val="21"/>
                <w:lang w:val="zh-CN"/>
              </w:rPr>
              <w:t>投标产品符合财库〔2019〕9号《关于调整优化节能产品、环境标志产品政府采购执行机制的通知》条件，</w:t>
            </w:r>
            <w:r>
              <w:rPr>
                <w:rFonts w:ascii="宋体" w:hAnsi="宋体" w:cs="宋体"/>
                <w:szCs w:val="21"/>
                <w:lang w:val="zh-CN"/>
              </w:rPr>
              <w:t>不属于强制采购的产品鼓励使用节能产品</w:t>
            </w:r>
            <w:r>
              <w:rPr>
                <w:rFonts w:hint="eastAsia" w:ascii="宋体" w:hAnsi="宋体" w:cs="宋体"/>
                <w:szCs w:val="21"/>
                <w:lang w:val="zh-CN"/>
              </w:rPr>
              <w:t>，每种产品得0.5分，最高得2分。</w:t>
            </w:r>
          </w:p>
          <w:p>
            <w:pPr>
              <w:spacing w:after="60" w:afterLines="25" w:line="360" w:lineRule="exact"/>
              <w:rPr>
                <w:rFonts w:hint="eastAsia" w:ascii="宋体" w:hAnsi="宋体" w:cs="宋体"/>
                <w:szCs w:val="21"/>
                <w:lang w:val="zh-CN"/>
              </w:rPr>
            </w:pPr>
            <w:r>
              <w:rPr>
                <w:rFonts w:hint="eastAsia" w:ascii="宋体" w:hAnsi="宋体" w:cs="宋体"/>
                <w:szCs w:val="21"/>
                <w:lang w:val="zh-CN"/>
              </w:rPr>
              <w:t>注：投标时须提供证明材料复印件并加盖公章，否则不得分。</w:t>
            </w:r>
          </w:p>
        </w:tc>
        <w:tc>
          <w:tcPr>
            <w:tcW w:w="1026" w:type="dxa"/>
            <w:noWrap w:val="0"/>
            <w:vAlign w:val="center"/>
          </w:tcPr>
          <w:p>
            <w:pPr>
              <w:spacing w:after="60" w:afterLines="25" w:line="360" w:lineRule="exact"/>
              <w:jc w:val="center"/>
              <w:rPr>
                <w:rFonts w:ascii="宋体" w:hAnsi="宋体"/>
                <w:szCs w:val="21"/>
              </w:rPr>
            </w:pPr>
            <w:r>
              <w:rPr>
                <w:rFonts w:ascii="宋体" w:hAnsi="宋体"/>
                <w:szCs w:val="21"/>
              </w:rPr>
              <w:t>0-2</w:t>
            </w:r>
          </w:p>
        </w:tc>
      </w:tr>
    </w:tbl>
    <w:p>
      <w:pPr>
        <w:ind w:firstLine="420" w:firstLineChars="200"/>
        <w:rPr>
          <w:rFonts w:ascii="宋体" w:hAnsi="宋体"/>
        </w:rPr>
      </w:pPr>
    </w:p>
    <w:p>
      <w:pPr>
        <w:ind w:firstLine="420" w:firstLineChars="200"/>
        <w:rPr>
          <w:rFonts w:ascii="宋体" w:hAnsi="宋体"/>
          <w:b/>
          <w:bCs/>
          <w:szCs w:val="21"/>
        </w:rPr>
      </w:pPr>
      <w:r>
        <w:rPr>
          <w:rFonts w:ascii="宋体" w:hAnsi="宋体"/>
        </w:rPr>
        <w:br w:type="page"/>
      </w:r>
      <w:r>
        <w:rPr>
          <w:rFonts w:hint="eastAsia" w:ascii="宋体" w:hAnsi="宋体"/>
          <w:b/>
          <w:bCs/>
          <w:szCs w:val="21"/>
        </w:rPr>
        <w:t>标项2：</w:t>
      </w:r>
    </w:p>
    <w:p>
      <w:pPr>
        <w:ind w:firstLine="422" w:firstLineChars="200"/>
        <w:rPr>
          <w:rFonts w:ascii="宋体" w:hAnsi="宋体"/>
          <w:b/>
          <w:bCs/>
          <w:szCs w:val="21"/>
        </w:rPr>
      </w:pPr>
      <w:r>
        <w:rPr>
          <w:rFonts w:hint="eastAsia" w:ascii="宋体" w:hAnsi="宋体"/>
          <w:b/>
          <w:bCs/>
          <w:szCs w:val="21"/>
        </w:rPr>
        <w:t>（二）技术分（0</w:t>
      </w:r>
      <w:r>
        <w:rPr>
          <w:rFonts w:ascii="宋体" w:hAnsi="宋体"/>
          <w:b/>
          <w:bCs/>
          <w:szCs w:val="21"/>
        </w:rPr>
        <w:t>-76</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438"/>
        <w:gridCol w:w="6028"/>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序号</w:t>
            </w:r>
          </w:p>
        </w:tc>
        <w:tc>
          <w:tcPr>
            <w:tcW w:w="1438"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602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992"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43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技术指标</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响应采购文件规定的产品要求和服务要求的得基本分</w:t>
            </w:r>
            <w:r>
              <w:rPr>
                <w:rFonts w:ascii="宋体" w:hAnsi="宋体"/>
                <w:szCs w:val="21"/>
              </w:rPr>
              <w:t>4</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优于招标文件规定的产品要求和服务要求的给予逐项适当加分，每优于一项在基本分的基础上加1分，总加分不得超过2分；</w:t>
            </w:r>
          </w:p>
          <w:p>
            <w:pPr>
              <w:pStyle w:val="548"/>
              <w:spacing w:after="60" w:afterLines="25" w:line="360" w:lineRule="exact"/>
              <w:jc w:val="left"/>
              <w:rPr>
                <w:rFonts w:ascii="宋体" w:hAnsi="宋体"/>
                <w:szCs w:val="21"/>
              </w:rPr>
            </w:pPr>
            <w:r>
              <w:rPr>
                <w:rFonts w:hint="eastAsia" w:ascii="宋体" w:hAnsi="宋体"/>
                <w:szCs w:val="21"/>
              </w:rPr>
              <w:t>低于招标文件规定的产品要求和服务要求的给予逐项适当减分（非实质性偏离），每低于一项扣0.5分，扣完为止；</w:t>
            </w:r>
          </w:p>
          <w:p>
            <w:pPr>
              <w:spacing w:after="60" w:afterLines="25" w:line="360" w:lineRule="exact"/>
              <w:jc w:val="left"/>
              <w:rPr>
                <w:rFonts w:hint="eastAsia" w:ascii="宋体" w:hAnsi="宋体"/>
                <w:szCs w:val="21"/>
              </w:rPr>
            </w:pPr>
            <w:r>
              <w:rPr>
                <w:rFonts w:hint="eastAsia" w:ascii="宋体" w:hAnsi="宋体"/>
                <w:szCs w:val="21"/>
              </w:rPr>
              <w:t>（请如实填写偏离表，若为优于的请提供相关证明材料并加盖公章，由评标委员会认定是否属于优于）</w:t>
            </w:r>
          </w:p>
        </w:tc>
        <w:tc>
          <w:tcPr>
            <w:tcW w:w="992" w:type="dxa"/>
            <w:noWrap w:val="0"/>
            <w:vAlign w:val="center"/>
          </w:tcPr>
          <w:p>
            <w:pPr>
              <w:spacing w:after="60" w:afterLines="25" w:line="360" w:lineRule="exact"/>
              <w:jc w:val="center"/>
              <w:rPr>
                <w:rFonts w:hint="eastAsia" w:ascii="宋体" w:hAnsi="宋体"/>
                <w:szCs w:val="21"/>
              </w:rPr>
            </w:pPr>
            <w:r>
              <w:rPr>
                <w:rFonts w:ascii="宋体" w:hAnsi="宋体"/>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2</w:t>
            </w:r>
          </w:p>
        </w:tc>
        <w:tc>
          <w:tcPr>
            <w:tcW w:w="1438" w:type="dxa"/>
            <w:noWrap w:val="0"/>
            <w:vAlign w:val="center"/>
          </w:tcPr>
          <w:p>
            <w:pPr>
              <w:spacing w:after="25" w:line="360" w:lineRule="exact"/>
              <w:jc w:val="center"/>
              <w:rPr>
                <w:rFonts w:ascii="宋体" w:hAnsi="宋体" w:cs="仿宋"/>
                <w:szCs w:val="21"/>
              </w:rPr>
            </w:pPr>
            <w:r>
              <w:rPr>
                <w:rFonts w:hint="eastAsia" w:ascii="宋体" w:hAnsi="宋体"/>
                <w:szCs w:val="21"/>
              </w:rPr>
              <w:t>保证措施</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从质量目标、保证措施等方面，根据供应商提供方案的科学、合理、详细有效的得3-</w:t>
            </w:r>
            <w:r>
              <w:rPr>
                <w:rFonts w:ascii="宋体" w:hAnsi="宋体"/>
                <w:szCs w:val="21"/>
              </w:rPr>
              <w:t>5</w:t>
            </w:r>
            <w:r>
              <w:rPr>
                <w:rFonts w:hint="eastAsia" w:ascii="宋体" w:hAnsi="宋体"/>
                <w:szCs w:val="21"/>
              </w:rPr>
              <w:t>分，基本描述的得1-3（不含）分，未描述的得0分。</w:t>
            </w:r>
          </w:p>
        </w:tc>
        <w:tc>
          <w:tcPr>
            <w:tcW w:w="992" w:type="dxa"/>
            <w:noWrap w:val="0"/>
            <w:vAlign w:val="center"/>
          </w:tcPr>
          <w:p>
            <w:pPr>
              <w:spacing w:after="60" w:afterLines="25" w:line="360" w:lineRule="exact"/>
              <w:jc w:val="center"/>
              <w:rPr>
                <w:rFonts w:ascii="宋体" w:hAnsi="宋体"/>
                <w:szCs w:val="21"/>
              </w:rPr>
            </w:pPr>
            <w:r>
              <w:rPr>
                <w:rFonts w:ascii="宋体"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3</w:t>
            </w:r>
          </w:p>
        </w:tc>
        <w:tc>
          <w:tcPr>
            <w:tcW w:w="1438" w:type="dxa"/>
            <w:noWrap w:val="0"/>
            <w:vAlign w:val="center"/>
          </w:tcPr>
          <w:p>
            <w:pPr>
              <w:spacing w:after="25" w:line="360" w:lineRule="exact"/>
              <w:jc w:val="center"/>
              <w:rPr>
                <w:rFonts w:hint="eastAsia" w:ascii="宋体" w:hAnsi="宋体"/>
                <w:szCs w:val="21"/>
              </w:rPr>
            </w:pPr>
            <w:r>
              <w:rPr>
                <w:rFonts w:ascii="宋体" w:hAnsi="宋体"/>
                <w:szCs w:val="21"/>
              </w:rPr>
              <w:t>施工部署</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由评委根据供应商提供的施工现场</w:t>
            </w:r>
            <w:r>
              <w:rPr>
                <w:rFonts w:ascii="宋体" w:hAnsi="宋体"/>
                <w:szCs w:val="21"/>
              </w:rPr>
              <w:t>平面布置</w:t>
            </w:r>
            <w:r>
              <w:rPr>
                <w:rFonts w:hint="eastAsia" w:ascii="宋体" w:hAnsi="宋体"/>
                <w:szCs w:val="21"/>
              </w:rPr>
              <w:t>、</w:t>
            </w:r>
            <w:r>
              <w:rPr>
                <w:rFonts w:ascii="宋体" w:hAnsi="宋体"/>
                <w:szCs w:val="21"/>
              </w:rPr>
              <w:t>施工部署及现场施工组织管理机构</w:t>
            </w:r>
            <w:r>
              <w:rPr>
                <w:rFonts w:hint="eastAsia" w:ascii="宋体" w:hAnsi="宋体"/>
                <w:szCs w:val="21"/>
              </w:rPr>
              <w:t>等综合打分：提供的方案科学、合理、规范、可操作的，得3</w:t>
            </w:r>
            <w:r>
              <w:rPr>
                <w:rFonts w:ascii="宋体" w:hAnsi="宋体"/>
                <w:szCs w:val="21"/>
              </w:rPr>
              <w:t>-5</w:t>
            </w:r>
            <w:r>
              <w:rPr>
                <w:rFonts w:hint="eastAsia" w:ascii="宋体" w:hAnsi="宋体"/>
                <w:szCs w:val="21"/>
              </w:rPr>
              <w:t>分；基本描述的，得</w:t>
            </w:r>
            <w:r>
              <w:rPr>
                <w:rFonts w:ascii="宋体" w:hAnsi="宋体"/>
                <w:szCs w:val="21"/>
              </w:rPr>
              <w:t>1-3</w:t>
            </w:r>
            <w:r>
              <w:rPr>
                <w:rFonts w:hint="eastAsia" w:ascii="宋体" w:hAnsi="宋体"/>
                <w:szCs w:val="21"/>
              </w:rPr>
              <w:t>（不含）分；缺项的，得0分。</w:t>
            </w:r>
          </w:p>
        </w:tc>
        <w:tc>
          <w:tcPr>
            <w:tcW w:w="992" w:type="dxa"/>
            <w:noWrap w:val="0"/>
            <w:vAlign w:val="center"/>
          </w:tcPr>
          <w:p>
            <w:pPr>
              <w:pStyle w:val="27"/>
              <w:spacing w:after="25" w:line="360" w:lineRule="exact"/>
              <w:jc w:val="center"/>
              <w:rPr>
                <w:rFonts w:hAnsi="宋体"/>
                <w:szCs w:val="21"/>
              </w:rPr>
            </w:pPr>
            <w:r>
              <w:rPr>
                <w:rFonts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ascii="宋体" w:hAnsi="宋体"/>
                <w:szCs w:val="21"/>
              </w:rPr>
            </w:pPr>
            <w:r>
              <w:rPr>
                <w:rFonts w:hint="eastAsia" w:ascii="宋体" w:hAnsi="宋体"/>
                <w:szCs w:val="21"/>
              </w:rPr>
              <w:t>4</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施工计划</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施工总进度计划及保证措施</w:t>
            </w:r>
            <w:r>
              <w:rPr>
                <w:rFonts w:hint="eastAsia" w:ascii="宋体" w:hAnsi="宋体"/>
                <w:szCs w:val="21"/>
              </w:rPr>
              <w:t>进行综合打分：提供的项目进度计划合理、保证措施有效的得3-</w:t>
            </w:r>
            <w:r>
              <w:rPr>
                <w:rFonts w:ascii="宋体" w:hAnsi="宋体"/>
                <w:szCs w:val="21"/>
              </w:rPr>
              <w:t>5</w:t>
            </w:r>
            <w:r>
              <w:rPr>
                <w:rFonts w:hint="eastAsia" w:ascii="宋体" w:hAnsi="宋体"/>
                <w:szCs w:val="21"/>
              </w:rPr>
              <w:t>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5</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质量体系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质量保证体系及控制要点</w:t>
            </w:r>
            <w:r>
              <w:rPr>
                <w:rFonts w:hint="eastAsia" w:ascii="宋体" w:hAnsi="宋体"/>
                <w:szCs w:val="21"/>
              </w:rPr>
              <w:t>等方面进行综合打分：根据各投标人提供方案的合理、可行、周全的得3-</w:t>
            </w:r>
            <w:r>
              <w:rPr>
                <w:rFonts w:ascii="宋体" w:hAnsi="宋体"/>
                <w:szCs w:val="21"/>
              </w:rPr>
              <w:t>4</w:t>
            </w:r>
            <w:r>
              <w:rPr>
                <w:rFonts w:hint="eastAsia" w:ascii="宋体" w:hAnsi="宋体"/>
                <w:szCs w:val="21"/>
              </w:rPr>
              <w:t>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6</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安全体系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安全保证体系及安全文明施工措施要点</w:t>
            </w:r>
            <w:r>
              <w:rPr>
                <w:rFonts w:hint="eastAsia" w:ascii="宋体" w:hAnsi="宋体"/>
                <w:szCs w:val="21"/>
              </w:rPr>
              <w:t>等方面进行综合打分：根据各投标人提供方案的合理、可行、周全的得3-</w:t>
            </w:r>
            <w:r>
              <w:rPr>
                <w:rFonts w:ascii="宋体" w:hAnsi="宋体"/>
                <w:szCs w:val="21"/>
              </w:rPr>
              <w:t>4</w:t>
            </w:r>
            <w:r>
              <w:rPr>
                <w:rFonts w:hint="eastAsia" w:ascii="宋体" w:hAnsi="宋体"/>
                <w:szCs w:val="21"/>
              </w:rPr>
              <w:t>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7</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应急预案</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供应商针对本项目的突发事件处理方案、应急预案，分析到位、解决措施合理、经济的得3-</w:t>
            </w:r>
            <w:r>
              <w:rPr>
                <w:rFonts w:ascii="宋体" w:hAnsi="宋体"/>
                <w:szCs w:val="21"/>
              </w:rPr>
              <w:t>4</w:t>
            </w:r>
            <w:r>
              <w:rPr>
                <w:rFonts w:hint="eastAsia" w:ascii="宋体" w:hAnsi="宋体"/>
                <w:szCs w:val="21"/>
              </w:rPr>
              <w:t>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8</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售后服务</w:t>
            </w:r>
          </w:p>
          <w:p>
            <w:pPr>
              <w:spacing w:after="25" w:line="360" w:lineRule="exact"/>
              <w:jc w:val="center"/>
              <w:rPr>
                <w:rFonts w:hint="eastAsia" w:ascii="宋体" w:hAnsi="宋体"/>
                <w:szCs w:val="21"/>
              </w:rPr>
            </w:pPr>
            <w:r>
              <w:rPr>
                <w:rFonts w:hint="eastAsia" w:ascii="宋体" w:hAnsi="宋体"/>
                <w:szCs w:val="21"/>
              </w:rPr>
              <w:t>（6分）</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供应商承诺的售后服务保障，免费备品备件、明确服务范围、制定主要服务内容、解决问题、排除问题速度的得3-</w:t>
            </w:r>
            <w:r>
              <w:rPr>
                <w:rFonts w:ascii="宋体" w:hAnsi="宋体"/>
                <w:szCs w:val="21"/>
              </w:rPr>
              <w:t>4</w:t>
            </w:r>
            <w:r>
              <w:rPr>
                <w:rFonts w:hint="eastAsia" w:ascii="宋体" w:hAnsi="宋体"/>
                <w:szCs w:val="21"/>
              </w:rPr>
              <w:t>分，基本描述的得1-3（不含）分，未描述的得0分。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274" w:hRule="atLeast"/>
          <w:jc w:val="center"/>
        </w:trPr>
        <w:tc>
          <w:tcPr>
            <w:tcW w:w="777" w:type="dxa"/>
            <w:vMerge w:val="continue"/>
            <w:noWrap w:val="0"/>
            <w:vAlign w:val="center"/>
          </w:tcPr>
          <w:p>
            <w:pPr>
              <w:spacing w:after="25" w:line="360" w:lineRule="exact"/>
              <w:jc w:val="center"/>
              <w:rPr>
                <w:rFonts w:ascii="宋体" w:hAnsi="宋体" w:cs="仿宋"/>
                <w:szCs w:val="21"/>
              </w:rPr>
            </w:pPr>
          </w:p>
        </w:tc>
        <w:tc>
          <w:tcPr>
            <w:tcW w:w="1438" w:type="dxa"/>
            <w:vMerge w:val="continue"/>
            <w:noWrap w:val="0"/>
            <w:vAlign w:val="center"/>
          </w:tcPr>
          <w:p>
            <w:pPr>
              <w:spacing w:after="25" w:line="360" w:lineRule="exact"/>
              <w:jc w:val="center"/>
              <w:rPr>
                <w:rFonts w:ascii="宋体" w:hAnsi="宋体" w:cs="仿宋"/>
                <w:szCs w:val="21"/>
              </w:rPr>
            </w:pP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供应商承诺中标后30日内在嘉兴市本级设立售后服务网点的及已有的得</w:t>
            </w:r>
            <w:r>
              <w:rPr>
                <w:rFonts w:ascii="宋体" w:hAnsi="宋体"/>
                <w:szCs w:val="21"/>
              </w:rPr>
              <w:t>2</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注：提供承诺函或已有的相关证明材料并加盖公章，否则不得分。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9</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拟投入车辆及设备</w:t>
            </w:r>
          </w:p>
          <w:p>
            <w:pPr>
              <w:spacing w:after="25" w:line="360" w:lineRule="exact"/>
              <w:jc w:val="center"/>
              <w:rPr>
                <w:rFonts w:ascii="宋体" w:hAnsi="宋体" w:cs="仿宋"/>
                <w:szCs w:val="21"/>
              </w:rPr>
            </w:pPr>
            <w:r>
              <w:rPr>
                <w:rFonts w:hint="eastAsia" w:ascii="宋体" w:hAnsi="宋体"/>
                <w:szCs w:val="21"/>
              </w:rPr>
              <w:t>（1</w:t>
            </w:r>
            <w:r>
              <w:rPr>
                <w:rFonts w:ascii="宋体" w:hAnsi="宋体"/>
                <w:szCs w:val="21"/>
              </w:rPr>
              <w:t>7</w:t>
            </w:r>
            <w:r>
              <w:rPr>
                <w:rFonts w:hint="eastAsia" w:ascii="宋体" w:hAnsi="宋体"/>
                <w:szCs w:val="21"/>
              </w:rPr>
              <w:t>分）</w:t>
            </w: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供应商拟投入本项目的车辆（施工车辆须为供应商自有）：</w:t>
            </w:r>
          </w:p>
          <w:p>
            <w:pPr>
              <w:spacing w:after="60" w:afterLines="25" w:line="360" w:lineRule="exact"/>
              <w:rPr>
                <w:rFonts w:hint="eastAsia" w:ascii="宋体" w:hAnsi="宋体"/>
                <w:szCs w:val="21"/>
              </w:rPr>
            </w:pPr>
            <w:r>
              <w:rPr>
                <w:rFonts w:hint="eastAsia" w:ascii="宋体" w:hAnsi="宋体"/>
                <w:szCs w:val="21"/>
              </w:rPr>
              <w:t>有专业登高车（简易改装升降的不得分）的每个得2分、有吊车的每个得2分，有货车及其他工程作业车辆的每个得0.5分，本项最高得7分。</w:t>
            </w:r>
          </w:p>
          <w:p>
            <w:pPr>
              <w:spacing w:after="60" w:afterLines="25" w:line="360" w:lineRule="exact"/>
              <w:rPr>
                <w:rFonts w:hint="eastAsia" w:ascii="宋体" w:hAnsi="宋体"/>
                <w:szCs w:val="21"/>
              </w:rPr>
            </w:pPr>
            <w:r>
              <w:rPr>
                <w:rFonts w:hint="eastAsia" w:ascii="宋体" w:hAnsi="宋体"/>
                <w:szCs w:val="21"/>
              </w:rPr>
              <w:t>注：提供有效的车辆行驶证复印件并加盖公章，否则不得分。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交通标志标线施划设备齐全，有手推热熔划线机、振荡标线机、双组份划线机、全回收高压水除线设备（均须供应商自有）的，每个得2分；其他相关设备每台得1分，最高得2分，共计最高得10分。</w:t>
            </w:r>
          </w:p>
          <w:p>
            <w:pPr>
              <w:spacing w:after="60" w:afterLines="25" w:line="360" w:lineRule="exact"/>
              <w:rPr>
                <w:rFonts w:hint="eastAsia" w:ascii="宋体" w:hAnsi="宋体"/>
                <w:szCs w:val="21"/>
              </w:rPr>
            </w:pPr>
            <w:r>
              <w:rPr>
                <w:rFonts w:hint="eastAsia" w:ascii="宋体" w:hAnsi="宋体"/>
                <w:szCs w:val="21"/>
              </w:rPr>
              <w:t>注：提供设备购置发票复印件和设备照片并加盖公章，缺项不得分。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0</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运营、维保实力</w:t>
            </w:r>
          </w:p>
          <w:p>
            <w:pPr>
              <w:spacing w:after="25" w:line="360" w:lineRule="exact"/>
              <w:jc w:val="center"/>
              <w:rPr>
                <w:rFonts w:hint="eastAsia" w:ascii="宋体" w:hAnsi="宋体" w:cs="仿宋"/>
                <w:szCs w:val="21"/>
              </w:rPr>
            </w:pPr>
            <w:r>
              <w:rPr>
                <w:rFonts w:hint="eastAsia" w:ascii="宋体" w:hAnsi="宋体"/>
                <w:szCs w:val="21"/>
              </w:rPr>
              <w:t>（1</w:t>
            </w:r>
            <w:r>
              <w:rPr>
                <w:rFonts w:ascii="宋体" w:hAnsi="宋体"/>
                <w:szCs w:val="21"/>
              </w:rPr>
              <w:t>1</w:t>
            </w:r>
            <w:r>
              <w:rPr>
                <w:rFonts w:hint="eastAsia" w:ascii="宋体" w:hAnsi="宋体"/>
                <w:szCs w:val="21"/>
              </w:rPr>
              <w:t>分）</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针对本项目的实施人员专业人员素质、技术能力、专业分布、经验等情况配备合理的得3-6分，基本描述的得1-3分，缺项的得0分。</w:t>
            </w:r>
          </w:p>
          <w:p>
            <w:pPr>
              <w:spacing w:after="60" w:afterLines="25" w:line="360" w:lineRule="exact"/>
              <w:jc w:val="left"/>
              <w:rPr>
                <w:rFonts w:ascii="宋体" w:hAnsi="宋体"/>
                <w:szCs w:val="21"/>
              </w:rPr>
            </w:pPr>
            <w:r>
              <w:rPr>
                <w:rFonts w:hint="eastAsia" w:ascii="宋体" w:hAnsi="宋体"/>
                <w:szCs w:val="21"/>
              </w:rPr>
              <w:t>注：提供相关人员的合同复印件并加盖公章，否则不得分。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ascii="宋体" w:hAnsi="宋体"/>
              </w:rPr>
            </w:pPr>
            <w:r>
              <w:rPr>
                <w:rFonts w:hint="eastAsia" w:ascii="宋体" w:hAnsi="宋体"/>
              </w:rPr>
              <w:t>本项目拟投入本项目的仓储场地（要求室内面积占总面积20%及以上）进行综合打分：</w:t>
            </w:r>
          </w:p>
          <w:p>
            <w:pPr>
              <w:spacing w:after="60" w:afterLines="25" w:line="360" w:lineRule="exact"/>
              <w:jc w:val="left"/>
              <w:rPr>
                <w:rFonts w:ascii="宋体" w:hAnsi="宋体"/>
              </w:rPr>
            </w:pPr>
            <w:r>
              <w:rPr>
                <w:rFonts w:hint="eastAsia" w:ascii="宋体" w:hAnsi="宋体"/>
              </w:rPr>
              <w:t>对提供相关证明材料复印件（如租赁合同、土地使用证等）非常清晰、齐全，且描述一目了然，仓储场地在一处的，得</w:t>
            </w:r>
            <w:r>
              <w:rPr>
                <w:rFonts w:ascii="宋体" w:hAnsi="宋体"/>
              </w:rPr>
              <w:t>4-5</w:t>
            </w:r>
            <w:r>
              <w:rPr>
                <w:rFonts w:hint="eastAsia" w:ascii="宋体" w:hAnsi="宋体"/>
              </w:rPr>
              <w:t>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对提供相关证明材料复印件（如租赁合同、土地使用证等）比较清晰、齐全，且描述基本清楚，仓储场地在一处的，得</w:t>
            </w:r>
            <w:r>
              <w:rPr>
                <w:rFonts w:ascii="宋体" w:hAnsi="宋体"/>
              </w:rPr>
              <w:t>2-4</w:t>
            </w:r>
            <w:r>
              <w:rPr>
                <w:rFonts w:hint="eastAsia" w:ascii="宋体" w:hAnsi="宋体"/>
              </w:rPr>
              <w:t>（不含）分；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对提供相关证明材料复印件（如租赁合同、土地使用证等）不够清晰、齐全，且描述模糊不清，仓储场地在一处的，得</w:t>
            </w:r>
            <w:r>
              <w:rPr>
                <w:rFonts w:ascii="宋体" w:hAnsi="宋体"/>
              </w:rPr>
              <w:t>1-2</w:t>
            </w:r>
            <w:r>
              <w:rPr>
                <w:rFonts w:hint="eastAsia" w:ascii="宋体" w:hAnsi="宋体"/>
              </w:rPr>
              <w:t>（不含）分。</w:t>
            </w:r>
          </w:p>
          <w:p>
            <w:pPr>
              <w:spacing w:after="60" w:afterLines="25" w:line="360" w:lineRule="exact"/>
              <w:jc w:val="left"/>
              <w:rPr>
                <w:rFonts w:ascii="宋体" w:hAnsi="宋体"/>
                <w:szCs w:val="21"/>
              </w:rPr>
            </w:pPr>
            <w:r>
              <w:rPr>
                <w:rFonts w:hint="eastAsia" w:ascii="宋体" w:hAnsi="宋体"/>
                <w:szCs w:val="21"/>
              </w:rPr>
              <w:t>无相关内容或提供的场地与本项目不符或不在一处的，不得分。</w:t>
            </w:r>
          </w:p>
          <w:p>
            <w:pPr>
              <w:spacing w:after="60" w:afterLines="25" w:line="360" w:lineRule="exact"/>
              <w:jc w:val="left"/>
              <w:rPr>
                <w:rFonts w:hint="eastAsia" w:ascii="宋体" w:hAnsi="宋体"/>
                <w:szCs w:val="21"/>
              </w:rPr>
            </w:pPr>
            <w:r>
              <w:rPr>
                <w:rFonts w:hint="eastAsia" w:ascii="宋体" w:hAnsi="宋体"/>
                <w:szCs w:val="21"/>
              </w:rPr>
              <w:t>注：</w:t>
            </w:r>
            <w:r>
              <w:rPr>
                <w:rFonts w:ascii="宋体" w:hAnsi="宋体"/>
                <w:szCs w:val="21"/>
              </w:rPr>
              <w:t>自有的提供土地使用证</w:t>
            </w:r>
            <w:r>
              <w:rPr>
                <w:rFonts w:hint="eastAsia" w:ascii="宋体" w:hAnsi="宋体"/>
                <w:szCs w:val="21"/>
              </w:rPr>
              <w:t>（土地使用权人名称应与供应商名称一致）；</w:t>
            </w:r>
            <w:r>
              <w:rPr>
                <w:rFonts w:ascii="宋体" w:hAnsi="宋体"/>
                <w:szCs w:val="21"/>
              </w:rPr>
              <w:t>非自有的</w:t>
            </w:r>
            <w:r>
              <w:rPr>
                <w:rFonts w:hint="eastAsia" w:ascii="宋体" w:hAnsi="宋体"/>
                <w:szCs w:val="21"/>
              </w:rPr>
              <w:t>提供场地租赁合同、土地使用证（土地使用权人名称应与出租方名称一致）。上述二种情况均应清晰体现仓储场地（室内）面积及计算式，中标后如发现供应商提供的上述面积与现状实际面积明显不符，按提供虚假材料处理，取消中标资格，并通报有关单位，仓储场地照片等，任一项不提供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1</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样品分</w:t>
            </w:r>
          </w:p>
          <w:p>
            <w:pPr>
              <w:spacing w:after="25" w:line="360" w:lineRule="exact"/>
              <w:jc w:val="center"/>
              <w:rPr>
                <w:rFonts w:hint="eastAsia" w:ascii="宋体" w:hAnsi="宋体"/>
                <w:szCs w:val="21"/>
              </w:rPr>
            </w:pPr>
            <w:r>
              <w:rPr>
                <w:rFonts w:hint="eastAsia" w:ascii="宋体" w:hAnsi="宋体"/>
                <w:szCs w:val="21"/>
              </w:rPr>
              <w:t>（6分）</w:t>
            </w:r>
          </w:p>
        </w:tc>
        <w:tc>
          <w:tcPr>
            <w:tcW w:w="6028" w:type="dxa"/>
            <w:noWrap w:val="0"/>
            <w:vAlign w:val="center"/>
          </w:tcPr>
          <w:p>
            <w:pPr>
              <w:spacing w:after="60" w:afterLines="25" w:line="360" w:lineRule="exact"/>
              <w:jc w:val="left"/>
              <w:rPr>
                <w:rFonts w:hint="eastAsia" w:ascii="宋体" w:hAnsi="宋体"/>
              </w:rPr>
            </w:pPr>
            <w:r>
              <w:rPr>
                <w:rFonts w:hint="eastAsia" w:ascii="宋体" w:hAnsi="宋体"/>
                <w:szCs w:val="21"/>
              </w:rPr>
              <w:t>对船桨市政道路护栏机非护栏样品主要技术参数进行综合评议。（不提供不得分）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hint="eastAsia" w:ascii="宋体" w:hAnsi="宋体"/>
              </w:rPr>
            </w:pPr>
            <w:r>
              <w:rPr>
                <w:rFonts w:hint="eastAsia" w:ascii="宋体" w:hAnsi="宋体"/>
                <w:szCs w:val="21"/>
              </w:rPr>
              <w:t>对D13-H80弹性防撞柱样品主要技术参数进行综合评议。（不提供不得分）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hint="eastAsia" w:ascii="宋体" w:hAnsi="宋体"/>
              </w:rPr>
            </w:pPr>
            <w:r>
              <w:rPr>
                <w:rFonts w:hint="eastAsia" w:ascii="宋体" w:hAnsi="宋体"/>
                <w:szCs w:val="21"/>
              </w:rPr>
              <w:t>对反光道钉（双面）样品主要技术参数进行综合评议。（不提供不得分）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2</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cs="宋体"/>
                <w:szCs w:val="21"/>
              </w:rPr>
              <w:t>优惠条件及合理化建议</w:t>
            </w:r>
          </w:p>
        </w:tc>
        <w:tc>
          <w:tcPr>
            <w:tcW w:w="6028" w:type="dxa"/>
            <w:noWrap w:val="0"/>
            <w:vAlign w:val="center"/>
          </w:tcPr>
          <w:p>
            <w:pPr>
              <w:spacing w:after="60" w:afterLines="25" w:line="360" w:lineRule="exact"/>
              <w:rPr>
                <w:rFonts w:hint="eastAsia" w:ascii="宋体" w:hAnsi="宋体"/>
                <w:szCs w:val="21"/>
              </w:rPr>
            </w:pPr>
            <w:r>
              <w:rPr>
                <w:rFonts w:hint="eastAsia" w:ascii="宋体" w:hAnsi="宋体"/>
              </w:rPr>
              <w:t>投标人针对本项目的优惠条件（不得涉及报价）及合理化建议，1条被采纳的得1分，最多</w:t>
            </w:r>
            <w:r>
              <w:rPr>
                <w:rFonts w:ascii="宋体" w:hAnsi="宋体"/>
              </w:rPr>
              <w:t>3</w:t>
            </w:r>
            <w:r>
              <w:rPr>
                <w:rFonts w:hint="eastAsia" w:ascii="宋体" w:hAnsi="宋体"/>
              </w:rPr>
              <w:t>分。</w:t>
            </w:r>
          </w:p>
        </w:tc>
        <w:tc>
          <w:tcPr>
            <w:tcW w:w="992" w:type="dxa"/>
            <w:noWrap w:val="0"/>
            <w:vAlign w:val="center"/>
          </w:tcPr>
          <w:p>
            <w:pPr>
              <w:pStyle w:val="27"/>
              <w:spacing w:after="25" w:line="360" w:lineRule="exact"/>
              <w:jc w:val="center"/>
              <w:rPr>
                <w:rFonts w:hint="eastAsia" w:hAnsi="宋体"/>
                <w:szCs w:val="21"/>
              </w:rPr>
            </w:pPr>
            <w:r>
              <w:rPr>
                <w:rFonts w:hAnsi="宋体"/>
                <w:szCs w:val="21"/>
              </w:rPr>
              <w:t>0-3</w:t>
            </w:r>
          </w:p>
        </w:tc>
      </w:tr>
    </w:tbl>
    <w:p>
      <w:pPr>
        <w:pStyle w:val="20"/>
        <w:spacing w:before="120" w:beforeLines="50"/>
        <w:ind w:firstLine="422"/>
        <w:rPr>
          <w:rFonts w:ascii="宋体" w:hAnsi="宋体"/>
          <w:b/>
          <w:bCs/>
          <w:sz w:val="21"/>
          <w:szCs w:val="21"/>
        </w:rPr>
      </w:pPr>
      <w:r>
        <w:rPr>
          <w:rFonts w:hint="eastAsia" w:ascii="宋体" w:hAnsi="宋体" w:cs="宋体"/>
          <w:b/>
          <w:bCs/>
          <w:sz w:val="21"/>
          <w:szCs w:val="21"/>
        </w:rPr>
        <w:t>注：1、提交投标文件的同时，提供船桨市政道路护栏机非护栏、D13-H80弹性防撞柱、反光道</w:t>
      </w:r>
      <w:r>
        <w:rPr>
          <w:rFonts w:hint="eastAsia" w:ascii="宋体" w:hAnsi="宋体"/>
          <w:b/>
          <w:bCs/>
          <w:sz w:val="21"/>
          <w:szCs w:val="21"/>
        </w:rPr>
        <w:t>钉（双面）样品各1套。</w:t>
      </w:r>
    </w:p>
    <w:p>
      <w:pPr>
        <w:pStyle w:val="20"/>
        <w:ind w:firstLine="422"/>
        <w:rPr>
          <w:rFonts w:ascii="宋体" w:hAnsi="宋体"/>
          <w:b/>
          <w:bCs/>
          <w:sz w:val="21"/>
          <w:szCs w:val="21"/>
        </w:rPr>
      </w:pPr>
      <w:r>
        <w:rPr>
          <w:rFonts w:hint="eastAsia" w:ascii="宋体" w:hAnsi="宋体"/>
          <w:b/>
          <w:bCs/>
          <w:sz w:val="21"/>
          <w:szCs w:val="21"/>
        </w:rPr>
        <w:t>（1）样品要求：船桨式镀锌钢静电喷涂护栏样品（包括立柱、底座、反射器等），长度：2.5m,高度：0.8m；颜色：国际灰颜色（灰色RAL7015），1.25m表面涂层处理，1.25m不得表面涂层处理；</w:t>
      </w:r>
    </w:p>
    <w:p>
      <w:pPr>
        <w:pStyle w:val="20"/>
        <w:ind w:firstLine="422"/>
        <w:rPr>
          <w:rFonts w:ascii="宋体" w:hAnsi="宋体"/>
          <w:b/>
          <w:bCs/>
          <w:sz w:val="21"/>
          <w:szCs w:val="21"/>
        </w:rPr>
      </w:pPr>
      <w:r>
        <w:rPr>
          <w:rFonts w:hint="eastAsia" w:ascii="宋体" w:hAnsi="宋体"/>
          <w:b/>
          <w:bCs/>
          <w:sz w:val="21"/>
          <w:szCs w:val="21"/>
        </w:rPr>
        <w:t>（2）送达时间：投标截止时间前需送至嘉兴市公共资源交易中心一楼南侧样品处（嘉兴市广场路350号），所提供样品的费用由投标单位自行负责（进入嘉兴市公共资源交易中心主动扫“场所码”，主动出示“健康码”“行程卡”“48小时核酸检测证明”等相关信息，配合测量个人体温，无异常状况后方可进入开评标场所）。</w:t>
      </w:r>
    </w:p>
    <w:p>
      <w:pPr>
        <w:pStyle w:val="20"/>
        <w:ind w:firstLine="422"/>
        <w:rPr>
          <w:rFonts w:ascii="宋体" w:hAnsi="宋体"/>
          <w:b/>
          <w:bCs/>
          <w:sz w:val="21"/>
          <w:szCs w:val="21"/>
        </w:rPr>
      </w:pPr>
      <w:r>
        <w:rPr>
          <w:rFonts w:hint="eastAsia" w:ascii="宋体" w:hAnsi="宋体"/>
          <w:b/>
          <w:bCs/>
          <w:sz w:val="21"/>
          <w:szCs w:val="21"/>
        </w:rPr>
        <w:t>（3）请将供应商全称及联系方式密封在样品上，密封外侧不得体现供应商相关信息，否则将拒收；</w:t>
      </w:r>
    </w:p>
    <w:p>
      <w:pPr>
        <w:pStyle w:val="20"/>
        <w:ind w:firstLine="422"/>
        <w:rPr>
          <w:rFonts w:hint="eastAsia" w:ascii="宋体" w:hAnsi="宋体"/>
          <w:b/>
          <w:bCs/>
          <w:sz w:val="21"/>
          <w:szCs w:val="21"/>
        </w:rPr>
      </w:pPr>
      <w:r>
        <w:rPr>
          <w:rFonts w:hint="eastAsia" w:ascii="宋体" w:hAnsi="宋体"/>
          <w:b/>
          <w:bCs/>
          <w:sz w:val="21"/>
          <w:szCs w:val="21"/>
        </w:rPr>
        <w:t>（4）样品的退还：中标人所提供的货物样品不予退还，由采购单位封存作为验收依据，未中标单位可在公示结束后2个工作日内取回样品，逾期将由采购人自行处理。</w:t>
      </w:r>
    </w:p>
    <w:p>
      <w:pPr>
        <w:ind w:firstLine="420" w:firstLineChars="200"/>
        <w:rPr>
          <w:rFonts w:ascii="宋体" w:hAnsi="宋体"/>
          <w:b/>
          <w:bCs/>
          <w:szCs w:val="21"/>
        </w:rPr>
      </w:pPr>
      <w:r>
        <w:rPr>
          <w:rFonts w:ascii="宋体" w:hAnsi="宋体"/>
        </w:rPr>
        <w:br w:type="page"/>
      </w:r>
      <w:r>
        <w:rPr>
          <w:rFonts w:hint="eastAsia" w:ascii="宋体" w:hAnsi="宋体"/>
          <w:b/>
          <w:bCs/>
          <w:szCs w:val="21"/>
        </w:rPr>
        <w:t>（三）资信、商务及其他分（0</w:t>
      </w:r>
      <w:r>
        <w:rPr>
          <w:rFonts w:ascii="宋体" w:hAnsi="宋体"/>
          <w:b/>
          <w:bCs/>
          <w:szCs w:val="21"/>
        </w:rPr>
        <w:t>-4</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361"/>
        <w:gridCol w:w="595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ascii="宋体" w:hAnsi="宋体"/>
                <w:szCs w:val="21"/>
              </w:rPr>
            </w:pPr>
            <w:r>
              <w:rPr>
                <w:rFonts w:hint="eastAsia" w:ascii="宋体" w:hAnsi="宋体"/>
                <w:szCs w:val="21"/>
              </w:rPr>
              <w:t>序号</w:t>
            </w:r>
          </w:p>
        </w:tc>
        <w:tc>
          <w:tcPr>
            <w:tcW w:w="1361"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595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成功案例</w:t>
            </w:r>
          </w:p>
        </w:tc>
        <w:tc>
          <w:tcPr>
            <w:tcW w:w="5958" w:type="dxa"/>
            <w:noWrap w:val="0"/>
            <w:vAlign w:val="center"/>
          </w:tcPr>
          <w:p>
            <w:pPr>
              <w:spacing w:after="60" w:afterLines="25" w:line="360" w:lineRule="exact"/>
              <w:rPr>
                <w:rFonts w:ascii="宋体" w:hAnsi="宋体"/>
                <w:kern w:val="0"/>
                <w:szCs w:val="21"/>
              </w:rPr>
            </w:pPr>
            <w:r>
              <w:rPr>
                <w:rFonts w:hint="eastAsia" w:ascii="宋体" w:hAnsi="宋体"/>
                <w:kern w:val="0"/>
                <w:szCs w:val="21"/>
              </w:rPr>
              <w:t>供应商提供自</w:t>
            </w:r>
            <w:r>
              <w:rPr>
                <w:rFonts w:ascii="宋体" w:hAnsi="宋体"/>
                <w:kern w:val="0"/>
                <w:szCs w:val="21"/>
              </w:rPr>
              <w:t>投标截止时间前</w:t>
            </w:r>
            <w:r>
              <w:rPr>
                <w:rFonts w:hint="eastAsia" w:ascii="宋体" w:hAnsi="宋体"/>
                <w:kern w:val="0"/>
                <w:szCs w:val="21"/>
              </w:rPr>
              <w:t>三</w:t>
            </w:r>
            <w:r>
              <w:rPr>
                <w:rFonts w:ascii="宋体" w:hAnsi="宋体"/>
                <w:kern w:val="0"/>
                <w:szCs w:val="21"/>
              </w:rPr>
              <w:t>年</w:t>
            </w:r>
            <w:r>
              <w:rPr>
                <w:rFonts w:hint="eastAsia" w:ascii="宋体" w:hAnsi="宋体"/>
                <w:kern w:val="0"/>
                <w:szCs w:val="21"/>
              </w:rPr>
              <w:t>以来（自投标截止日起往前追溯3年，以合同签订时间为准）成功实施的同类（标线施工）项目案例，每个得</w:t>
            </w:r>
            <w:r>
              <w:rPr>
                <w:rFonts w:ascii="宋体" w:hAnsi="宋体"/>
                <w:kern w:val="0"/>
                <w:szCs w:val="21"/>
              </w:rPr>
              <w:t>1</w:t>
            </w:r>
            <w:r>
              <w:rPr>
                <w:rFonts w:hint="eastAsia" w:ascii="宋体" w:hAnsi="宋体"/>
                <w:kern w:val="0"/>
                <w:szCs w:val="21"/>
              </w:rPr>
              <w:t>分，最高得</w:t>
            </w:r>
            <w:r>
              <w:rPr>
                <w:rFonts w:ascii="宋体" w:hAnsi="宋体"/>
                <w:kern w:val="0"/>
                <w:szCs w:val="21"/>
              </w:rPr>
              <w:t>2</w:t>
            </w:r>
            <w:r>
              <w:rPr>
                <w:rFonts w:hint="eastAsia" w:ascii="宋体" w:hAnsi="宋体"/>
                <w:kern w:val="0"/>
                <w:szCs w:val="21"/>
              </w:rPr>
              <w:t>分。</w:t>
            </w:r>
          </w:p>
          <w:p>
            <w:pPr>
              <w:spacing w:after="60" w:afterLines="25" w:line="360" w:lineRule="exact"/>
              <w:rPr>
                <w:rFonts w:hint="eastAsia" w:ascii="宋体" w:hAnsi="宋体"/>
                <w:kern w:val="0"/>
                <w:szCs w:val="21"/>
              </w:rPr>
            </w:pPr>
            <w:r>
              <w:rPr>
                <w:rFonts w:hint="eastAsia" w:ascii="宋体" w:hAnsi="宋体"/>
                <w:kern w:val="0"/>
                <w:szCs w:val="21"/>
              </w:rPr>
              <w:t>注：须提供合同复印件并加盖公章，否则不得分。</w:t>
            </w:r>
          </w:p>
        </w:tc>
        <w:tc>
          <w:tcPr>
            <w:tcW w:w="1026" w:type="dxa"/>
            <w:noWrap w:val="0"/>
            <w:vAlign w:val="center"/>
          </w:tcPr>
          <w:p>
            <w:pPr>
              <w:spacing w:after="60" w:afterLines="25" w:line="360" w:lineRule="exact"/>
              <w:jc w:val="center"/>
              <w:rPr>
                <w:rFonts w:hint="eastAsia"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政策分</w:t>
            </w:r>
          </w:p>
        </w:tc>
        <w:tc>
          <w:tcPr>
            <w:tcW w:w="5958" w:type="dxa"/>
            <w:noWrap w:val="0"/>
            <w:vAlign w:val="center"/>
          </w:tcPr>
          <w:p>
            <w:pPr>
              <w:spacing w:after="60" w:afterLines="25" w:line="360" w:lineRule="exact"/>
              <w:rPr>
                <w:rFonts w:ascii="宋体" w:hAnsi="宋体" w:cs="宋体"/>
                <w:szCs w:val="21"/>
                <w:lang w:val="zh-CN"/>
              </w:rPr>
            </w:pPr>
            <w:r>
              <w:rPr>
                <w:rFonts w:hint="eastAsia" w:ascii="宋体" w:hAnsi="宋体" w:cs="宋体"/>
                <w:szCs w:val="21"/>
                <w:lang w:val="zh-CN"/>
              </w:rPr>
              <w:t>投标产品符合财库〔2019〕9号《关于调整优化节能产品、环境标志产品政府采购执行机制的通知》条件，</w:t>
            </w:r>
            <w:r>
              <w:rPr>
                <w:rFonts w:ascii="宋体" w:hAnsi="宋体" w:cs="宋体"/>
                <w:szCs w:val="21"/>
                <w:lang w:val="zh-CN"/>
              </w:rPr>
              <w:t>不属于强制采购的产品鼓励使用节能产品</w:t>
            </w:r>
            <w:r>
              <w:rPr>
                <w:rFonts w:hint="eastAsia" w:ascii="宋体" w:hAnsi="宋体" w:cs="宋体"/>
                <w:szCs w:val="21"/>
                <w:lang w:val="zh-CN"/>
              </w:rPr>
              <w:t>，每种产品得0.5分，最高得2分。</w:t>
            </w:r>
          </w:p>
          <w:p>
            <w:pPr>
              <w:spacing w:after="60" w:afterLines="25" w:line="360" w:lineRule="exact"/>
              <w:rPr>
                <w:rFonts w:hint="eastAsia" w:ascii="宋体" w:hAnsi="宋体" w:cs="宋体"/>
                <w:szCs w:val="21"/>
                <w:lang w:val="zh-CN"/>
              </w:rPr>
            </w:pPr>
            <w:r>
              <w:rPr>
                <w:rFonts w:hint="eastAsia" w:ascii="宋体" w:hAnsi="宋体" w:cs="宋体"/>
                <w:szCs w:val="21"/>
                <w:lang w:val="zh-CN"/>
              </w:rPr>
              <w:t>注：投标时须提供证明材料复印件并加盖公章，否则不得分。</w:t>
            </w:r>
          </w:p>
        </w:tc>
        <w:tc>
          <w:tcPr>
            <w:tcW w:w="1026" w:type="dxa"/>
            <w:noWrap w:val="0"/>
            <w:vAlign w:val="center"/>
          </w:tcPr>
          <w:p>
            <w:pPr>
              <w:spacing w:after="60" w:afterLines="25" w:line="360" w:lineRule="exact"/>
              <w:jc w:val="center"/>
              <w:rPr>
                <w:rFonts w:ascii="宋体" w:hAnsi="宋体"/>
                <w:szCs w:val="21"/>
              </w:rPr>
            </w:pPr>
            <w:r>
              <w:rPr>
                <w:rFonts w:ascii="宋体" w:hAnsi="宋体"/>
                <w:szCs w:val="21"/>
              </w:rPr>
              <w:t>0-2</w:t>
            </w:r>
          </w:p>
        </w:tc>
      </w:tr>
    </w:tbl>
    <w:p>
      <w:pPr>
        <w:ind w:firstLine="420" w:firstLineChars="200"/>
        <w:rPr>
          <w:rFonts w:ascii="宋体" w:hAnsi="宋体"/>
        </w:rPr>
      </w:pPr>
    </w:p>
    <w:p>
      <w:pPr>
        <w:ind w:firstLine="420" w:firstLineChars="200"/>
        <w:rPr>
          <w:rFonts w:ascii="宋体" w:hAnsi="宋体"/>
          <w:b/>
          <w:bCs/>
          <w:szCs w:val="21"/>
        </w:rPr>
      </w:pPr>
      <w:r>
        <w:rPr>
          <w:rFonts w:ascii="宋体" w:hAnsi="宋体"/>
        </w:rPr>
        <w:br w:type="page"/>
      </w:r>
      <w:r>
        <w:rPr>
          <w:rFonts w:hint="eastAsia" w:ascii="宋体" w:hAnsi="宋体"/>
          <w:b/>
          <w:bCs/>
          <w:szCs w:val="21"/>
        </w:rPr>
        <w:t>标项3：</w:t>
      </w:r>
    </w:p>
    <w:p>
      <w:pPr>
        <w:ind w:firstLine="422" w:firstLineChars="200"/>
        <w:rPr>
          <w:rFonts w:ascii="宋体" w:hAnsi="宋体"/>
          <w:b/>
          <w:bCs/>
          <w:szCs w:val="21"/>
        </w:rPr>
      </w:pPr>
      <w:r>
        <w:rPr>
          <w:rFonts w:hint="eastAsia" w:ascii="宋体" w:hAnsi="宋体"/>
          <w:b/>
          <w:bCs/>
          <w:szCs w:val="21"/>
        </w:rPr>
        <w:t>（二）技术分（0</w:t>
      </w:r>
      <w:r>
        <w:rPr>
          <w:rFonts w:ascii="宋体" w:hAnsi="宋体"/>
          <w:b/>
          <w:bCs/>
          <w:szCs w:val="21"/>
        </w:rPr>
        <w:t>-76</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438"/>
        <w:gridCol w:w="6028"/>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序号</w:t>
            </w:r>
          </w:p>
        </w:tc>
        <w:tc>
          <w:tcPr>
            <w:tcW w:w="1438"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602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992"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77"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438"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技术指标</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响应采购文件规定的产品要求和服务要求的得基本分</w:t>
            </w:r>
            <w:r>
              <w:rPr>
                <w:rFonts w:ascii="宋体" w:hAnsi="宋体"/>
                <w:szCs w:val="21"/>
              </w:rPr>
              <w:t>4</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优于招标文件规定的产品要求和服务要求的给予逐项适当加分，每优于一项在基本分的基础上加1分，总加分不得超过2分；</w:t>
            </w:r>
          </w:p>
          <w:p>
            <w:pPr>
              <w:pStyle w:val="548"/>
              <w:spacing w:after="60" w:afterLines="25" w:line="360" w:lineRule="exact"/>
              <w:jc w:val="left"/>
              <w:rPr>
                <w:rFonts w:ascii="宋体" w:hAnsi="宋体"/>
                <w:szCs w:val="21"/>
              </w:rPr>
            </w:pPr>
            <w:r>
              <w:rPr>
                <w:rFonts w:hint="eastAsia" w:ascii="宋体" w:hAnsi="宋体"/>
                <w:szCs w:val="21"/>
              </w:rPr>
              <w:t>低于招标文件规定的产品要求和服务要求的给予逐项适当减分（非实质性偏离），每低于一项扣0.5分，扣完为止；</w:t>
            </w:r>
          </w:p>
          <w:p>
            <w:pPr>
              <w:spacing w:after="60" w:afterLines="25" w:line="360" w:lineRule="exact"/>
              <w:jc w:val="left"/>
              <w:rPr>
                <w:rFonts w:hint="eastAsia" w:ascii="宋体" w:hAnsi="宋体"/>
                <w:szCs w:val="21"/>
              </w:rPr>
            </w:pPr>
            <w:r>
              <w:rPr>
                <w:rFonts w:hint="eastAsia" w:ascii="宋体" w:hAnsi="宋体"/>
                <w:szCs w:val="21"/>
              </w:rPr>
              <w:t>（请如实填写偏离表，若为优于的请提供相关证明材料并加盖公章，由评标委员会认定是否属于优于）</w:t>
            </w:r>
          </w:p>
        </w:tc>
        <w:tc>
          <w:tcPr>
            <w:tcW w:w="992" w:type="dxa"/>
            <w:noWrap w:val="0"/>
            <w:vAlign w:val="center"/>
          </w:tcPr>
          <w:p>
            <w:pPr>
              <w:spacing w:after="60" w:afterLines="25" w:line="360" w:lineRule="exact"/>
              <w:jc w:val="center"/>
              <w:rPr>
                <w:rFonts w:hint="eastAsia" w:ascii="宋体" w:hAnsi="宋体"/>
                <w:szCs w:val="21"/>
              </w:rPr>
            </w:pPr>
            <w:r>
              <w:rPr>
                <w:rFonts w:ascii="宋体" w:hAnsi="宋体"/>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2</w:t>
            </w:r>
          </w:p>
        </w:tc>
        <w:tc>
          <w:tcPr>
            <w:tcW w:w="1438" w:type="dxa"/>
            <w:noWrap w:val="0"/>
            <w:vAlign w:val="center"/>
          </w:tcPr>
          <w:p>
            <w:pPr>
              <w:spacing w:after="25" w:line="360" w:lineRule="exact"/>
              <w:jc w:val="center"/>
              <w:rPr>
                <w:rFonts w:ascii="宋体" w:hAnsi="宋体" w:cs="仿宋"/>
                <w:szCs w:val="21"/>
              </w:rPr>
            </w:pPr>
            <w:r>
              <w:rPr>
                <w:rFonts w:hint="eastAsia" w:ascii="宋体" w:hAnsi="宋体"/>
                <w:szCs w:val="21"/>
              </w:rPr>
              <w:t>保证措施</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从质量目标、保证措施等方面，根据供应商提供方案的科学、合理、详细有效的得3-5分，基本描述的得1-3（不含）分，未描述的得0分。</w:t>
            </w:r>
          </w:p>
        </w:tc>
        <w:tc>
          <w:tcPr>
            <w:tcW w:w="992" w:type="dxa"/>
            <w:noWrap w:val="0"/>
            <w:vAlign w:val="center"/>
          </w:tcPr>
          <w:p>
            <w:pPr>
              <w:spacing w:after="60" w:afterLines="25" w:line="360" w:lineRule="exact"/>
              <w:jc w:val="center"/>
              <w:rPr>
                <w:rFonts w:ascii="宋体" w:hAnsi="宋体"/>
                <w:szCs w:val="21"/>
              </w:rPr>
            </w:pPr>
            <w:r>
              <w:rPr>
                <w:rFonts w:ascii="宋体"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3</w:t>
            </w:r>
          </w:p>
        </w:tc>
        <w:tc>
          <w:tcPr>
            <w:tcW w:w="1438" w:type="dxa"/>
            <w:noWrap w:val="0"/>
            <w:vAlign w:val="center"/>
          </w:tcPr>
          <w:p>
            <w:pPr>
              <w:spacing w:after="25" w:line="360" w:lineRule="exact"/>
              <w:jc w:val="center"/>
              <w:rPr>
                <w:rFonts w:hint="eastAsia" w:ascii="宋体" w:hAnsi="宋体"/>
                <w:szCs w:val="21"/>
              </w:rPr>
            </w:pPr>
            <w:r>
              <w:rPr>
                <w:rFonts w:ascii="宋体" w:hAnsi="宋体"/>
                <w:szCs w:val="21"/>
              </w:rPr>
              <w:t>施工部署</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由评委根据供应商提供的施工现场</w:t>
            </w:r>
            <w:r>
              <w:rPr>
                <w:rFonts w:ascii="宋体" w:hAnsi="宋体"/>
                <w:szCs w:val="21"/>
              </w:rPr>
              <w:t>平面布置</w:t>
            </w:r>
            <w:r>
              <w:rPr>
                <w:rFonts w:hint="eastAsia" w:ascii="宋体" w:hAnsi="宋体"/>
                <w:szCs w:val="21"/>
              </w:rPr>
              <w:t>、</w:t>
            </w:r>
            <w:r>
              <w:rPr>
                <w:rFonts w:ascii="宋体" w:hAnsi="宋体"/>
                <w:szCs w:val="21"/>
              </w:rPr>
              <w:t>施工部署及现场施工组织管理机构</w:t>
            </w:r>
            <w:r>
              <w:rPr>
                <w:rFonts w:hint="eastAsia" w:ascii="宋体" w:hAnsi="宋体"/>
                <w:szCs w:val="21"/>
              </w:rPr>
              <w:t>等综合打分：提供的方案科学、合理、规范、可操作的，得3</w:t>
            </w:r>
            <w:r>
              <w:rPr>
                <w:rFonts w:ascii="宋体" w:hAnsi="宋体"/>
                <w:szCs w:val="21"/>
              </w:rPr>
              <w:t>-5</w:t>
            </w:r>
            <w:r>
              <w:rPr>
                <w:rFonts w:hint="eastAsia" w:ascii="宋体" w:hAnsi="宋体"/>
                <w:szCs w:val="21"/>
              </w:rPr>
              <w:t>分；基本描述的，得</w:t>
            </w:r>
            <w:r>
              <w:rPr>
                <w:rFonts w:ascii="宋体" w:hAnsi="宋体"/>
                <w:szCs w:val="21"/>
              </w:rPr>
              <w:t>1-3</w:t>
            </w:r>
            <w:r>
              <w:rPr>
                <w:rFonts w:hint="eastAsia" w:ascii="宋体" w:hAnsi="宋体"/>
                <w:szCs w:val="21"/>
              </w:rPr>
              <w:t>（不含）分；缺项的，得0分。</w:t>
            </w:r>
          </w:p>
        </w:tc>
        <w:tc>
          <w:tcPr>
            <w:tcW w:w="992" w:type="dxa"/>
            <w:noWrap w:val="0"/>
            <w:vAlign w:val="center"/>
          </w:tcPr>
          <w:p>
            <w:pPr>
              <w:pStyle w:val="27"/>
              <w:spacing w:after="25" w:line="360" w:lineRule="exact"/>
              <w:jc w:val="center"/>
              <w:rPr>
                <w:rFonts w:hAnsi="宋体"/>
                <w:szCs w:val="21"/>
              </w:rPr>
            </w:pPr>
            <w:r>
              <w:rPr>
                <w:rFonts w:hAnsi="宋体"/>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847" w:hRule="atLeast"/>
          <w:jc w:val="center"/>
        </w:trPr>
        <w:tc>
          <w:tcPr>
            <w:tcW w:w="777" w:type="dxa"/>
            <w:noWrap w:val="0"/>
            <w:vAlign w:val="center"/>
          </w:tcPr>
          <w:p>
            <w:pPr>
              <w:spacing w:after="25" w:line="360" w:lineRule="exact"/>
              <w:jc w:val="center"/>
              <w:rPr>
                <w:rFonts w:ascii="宋体" w:hAnsi="宋体"/>
                <w:szCs w:val="21"/>
              </w:rPr>
            </w:pPr>
            <w:r>
              <w:rPr>
                <w:rFonts w:hint="eastAsia" w:ascii="宋体" w:hAnsi="宋体"/>
                <w:szCs w:val="21"/>
              </w:rPr>
              <w:t>4</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施工计划</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施工总进度计划及保证措施</w:t>
            </w:r>
            <w:r>
              <w:rPr>
                <w:rFonts w:hint="eastAsia" w:ascii="宋体" w:hAnsi="宋体"/>
                <w:szCs w:val="21"/>
              </w:rPr>
              <w:t>进行综合打分：提供的项目进度计划合理、保证措施有效的得3-5分，基本描述的得1-3（不含）分，缺项的得0分。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5</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质量体系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质量保证体系及控制要点</w:t>
            </w:r>
            <w:r>
              <w:rPr>
                <w:rFonts w:hint="eastAsia" w:ascii="宋体" w:hAnsi="宋体"/>
                <w:szCs w:val="21"/>
              </w:rPr>
              <w:t>等方面进行综合打分：根据各投标人提供方案的合理、可行、周全的得3-5分，基本描述的得1-3（不含）分，缺项的得0分。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6</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安全体系</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针对本项目制定的</w:t>
            </w:r>
            <w:r>
              <w:rPr>
                <w:rFonts w:ascii="宋体" w:hAnsi="宋体"/>
                <w:szCs w:val="21"/>
              </w:rPr>
              <w:t>安全保证体系及安全文明施工措施要点</w:t>
            </w:r>
            <w:r>
              <w:rPr>
                <w:rFonts w:hint="eastAsia" w:ascii="宋体" w:hAnsi="宋体"/>
                <w:szCs w:val="21"/>
              </w:rPr>
              <w:t>等方面进行综合打分：根据各投标人提供方案的合理、可行、周全的得3-5分，基本描述的得1-3（不含）分，缺项的得0分。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7</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应急预案</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供应商针对本项目的突发事件处理方案、应急预案，分析到位、解决措施合理、经济的得3-5分，基本描述的得1-3（不含）分，缺项的得0分。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70"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8</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售后服务</w:t>
            </w:r>
          </w:p>
          <w:p>
            <w:pPr>
              <w:spacing w:after="25" w:line="360" w:lineRule="exact"/>
              <w:jc w:val="center"/>
              <w:rPr>
                <w:rFonts w:hint="eastAsia" w:ascii="宋体" w:hAnsi="宋体"/>
                <w:szCs w:val="21"/>
              </w:rPr>
            </w:pPr>
            <w:r>
              <w:rPr>
                <w:rFonts w:hint="eastAsia" w:ascii="宋体" w:hAnsi="宋体"/>
                <w:szCs w:val="21"/>
              </w:rPr>
              <w:t>（7分）</w:t>
            </w:r>
          </w:p>
        </w:tc>
        <w:tc>
          <w:tcPr>
            <w:tcW w:w="6028" w:type="dxa"/>
            <w:noWrap w:val="0"/>
            <w:vAlign w:val="center"/>
          </w:tcPr>
          <w:p>
            <w:pPr>
              <w:spacing w:after="60" w:afterLines="25" w:line="360" w:lineRule="exact"/>
              <w:jc w:val="left"/>
              <w:rPr>
                <w:rFonts w:hint="eastAsia" w:ascii="宋体" w:hAnsi="宋体"/>
                <w:szCs w:val="21"/>
              </w:rPr>
            </w:pPr>
            <w:r>
              <w:rPr>
                <w:rFonts w:hint="eastAsia" w:ascii="宋体" w:hAnsi="宋体"/>
                <w:szCs w:val="21"/>
              </w:rPr>
              <w:t>供应商承诺的售后服务保障，免费备品备件、明确服务范围、制定主要服务内容、解决问题、排除问题速度的得3-5分，基本描述的得1-3（不含）分，未描述的得0分。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413" w:hRule="atLeast"/>
          <w:jc w:val="center"/>
        </w:trPr>
        <w:tc>
          <w:tcPr>
            <w:tcW w:w="777" w:type="dxa"/>
            <w:vMerge w:val="continue"/>
            <w:noWrap w:val="0"/>
            <w:vAlign w:val="center"/>
          </w:tcPr>
          <w:p>
            <w:pPr>
              <w:spacing w:after="25" w:line="360" w:lineRule="exact"/>
              <w:jc w:val="center"/>
              <w:rPr>
                <w:rFonts w:ascii="宋体" w:hAnsi="宋体" w:cs="仿宋"/>
                <w:szCs w:val="21"/>
              </w:rPr>
            </w:pPr>
          </w:p>
        </w:tc>
        <w:tc>
          <w:tcPr>
            <w:tcW w:w="1438" w:type="dxa"/>
            <w:vMerge w:val="continue"/>
            <w:noWrap w:val="0"/>
            <w:vAlign w:val="center"/>
          </w:tcPr>
          <w:p>
            <w:pPr>
              <w:spacing w:after="25" w:line="360" w:lineRule="exact"/>
              <w:jc w:val="center"/>
              <w:rPr>
                <w:rFonts w:ascii="宋体" w:hAnsi="宋体" w:cs="仿宋"/>
                <w:szCs w:val="21"/>
              </w:rPr>
            </w:pP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供应商承诺中标后30日内在嘉兴市本级设立售后服务网点的及已有的得</w:t>
            </w:r>
            <w:r>
              <w:rPr>
                <w:rFonts w:ascii="宋体" w:hAnsi="宋体"/>
                <w:szCs w:val="21"/>
              </w:rPr>
              <w:t>2</w:t>
            </w:r>
            <w:r>
              <w:rPr>
                <w:rFonts w:hint="eastAsia" w:ascii="宋体" w:hAnsi="宋体"/>
                <w:szCs w:val="21"/>
              </w:rPr>
              <w:t>分。</w:t>
            </w:r>
          </w:p>
          <w:p>
            <w:pPr>
              <w:spacing w:after="60" w:afterLines="25" w:line="360" w:lineRule="exact"/>
              <w:jc w:val="left"/>
              <w:rPr>
                <w:rFonts w:ascii="宋体" w:hAnsi="宋体"/>
                <w:szCs w:val="21"/>
              </w:rPr>
            </w:pPr>
            <w:r>
              <w:rPr>
                <w:rFonts w:hint="eastAsia" w:ascii="宋体" w:hAnsi="宋体"/>
                <w:szCs w:val="21"/>
              </w:rPr>
              <w:t>注：提供承诺函或已有的相关证明材料并加盖公章，否则不得分。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9</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拟投入车辆及设备</w:t>
            </w:r>
          </w:p>
          <w:p>
            <w:pPr>
              <w:spacing w:after="25" w:line="360" w:lineRule="exact"/>
              <w:jc w:val="center"/>
              <w:rPr>
                <w:rFonts w:ascii="宋体" w:hAnsi="宋体" w:cs="仿宋"/>
                <w:szCs w:val="21"/>
              </w:rPr>
            </w:pPr>
            <w:r>
              <w:rPr>
                <w:rFonts w:hint="eastAsia" w:ascii="宋体" w:hAnsi="宋体"/>
                <w:szCs w:val="21"/>
              </w:rPr>
              <w:t>（1</w:t>
            </w:r>
            <w:r>
              <w:rPr>
                <w:rFonts w:ascii="宋体" w:hAnsi="宋体"/>
                <w:szCs w:val="21"/>
              </w:rPr>
              <w:t>3</w:t>
            </w:r>
            <w:r>
              <w:rPr>
                <w:rFonts w:hint="eastAsia" w:ascii="宋体" w:hAnsi="宋体"/>
                <w:szCs w:val="21"/>
              </w:rPr>
              <w:t>分）</w:t>
            </w: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供应商拟投入本项目的车辆（施工车辆须为供应商自有）：</w:t>
            </w:r>
            <w:r>
              <w:rPr>
                <w:rFonts w:ascii="宋体" w:hAnsi="宋体"/>
                <w:szCs w:val="21"/>
              </w:rPr>
              <w:t xml:space="preserve"> </w:t>
            </w:r>
          </w:p>
          <w:p>
            <w:pPr>
              <w:spacing w:after="60" w:afterLines="25" w:line="360" w:lineRule="exact"/>
              <w:rPr>
                <w:rFonts w:hint="eastAsia" w:ascii="宋体" w:hAnsi="宋体"/>
                <w:szCs w:val="21"/>
              </w:rPr>
            </w:pPr>
            <w:r>
              <w:rPr>
                <w:rFonts w:hint="eastAsia" w:ascii="宋体" w:hAnsi="宋体"/>
                <w:szCs w:val="21"/>
              </w:rPr>
              <w:t>有专业登高车（简易改装升降的不得分）的每个得2分、有吊车的每个得2分，有货车及其他工程作业车辆的每个得0.5分，本项最高得7分。</w:t>
            </w:r>
          </w:p>
          <w:p>
            <w:pPr>
              <w:spacing w:after="60" w:afterLines="25" w:line="360" w:lineRule="exact"/>
              <w:rPr>
                <w:rFonts w:hint="eastAsia" w:ascii="宋体" w:hAnsi="宋体"/>
                <w:szCs w:val="21"/>
              </w:rPr>
            </w:pPr>
            <w:r>
              <w:rPr>
                <w:rFonts w:hint="eastAsia" w:ascii="宋体" w:hAnsi="宋体"/>
                <w:szCs w:val="21"/>
              </w:rPr>
              <w:t>注：提供有效的车辆行驶证复印件并加盖公章，否则不得分。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rPr>
                <w:rFonts w:ascii="宋体" w:hAnsi="宋体"/>
                <w:szCs w:val="21"/>
              </w:rPr>
            </w:pPr>
            <w:r>
              <w:rPr>
                <w:rFonts w:hint="eastAsia" w:ascii="宋体" w:hAnsi="宋体"/>
                <w:szCs w:val="21"/>
              </w:rPr>
              <w:t>保证项目实施的主要机械设备及检测仪器，每个得0</w:t>
            </w:r>
            <w:r>
              <w:rPr>
                <w:rFonts w:ascii="宋体" w:hAnsi="宋体"/>
                <w:szCs w:val="21"/>
              </w:rPr>
              <w:t>.5</w:t>
            </w:r>
            <w:r>
              <w:rPr>
                <w:rFonts w:hint="eastAsia" w:ascii="宋体" w:hAnsi="宋体"/>
                <w:szCs w:val="21"/>
              </w:rPr>
              <w:t>分，最高得6分。</w:t>
            </w:r>
          </w:p>
          <w:p>
            <w:pPr>
              <w:spacing w:after="60" w:afterLines="25" w:line="360" w:lineRule="exact"/>
              <w:rPr>
                <w:rFonts w:hint="eastAsia" w:ascii="宋体" w:hAnsi="宋体"/>
                <w:szCs w:val="21"/>
              </w:rPr>
            </w:pPr>
            <w:r>
              <w:rPr>
                <w:rFonts w:hint="eastAsia" w:ascii="宋体" w:hAnsi="宋体"/>
                <w:szCs w:val="21"/>
              </w:rPr>
              <w:t>注：提供设备购置发票复印件和设备照片并加盖公章，缺项不得分。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restart"/>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0</w:t>
            </w:r>
          </w:p>
        </w:tc>
        <w:tc>
          <w:tcPr>
            <w:tcW w:w="1438" w:type="dxa"/>
            <w:vMerge w:val="restart"/>
            <w:noWrap w:val="0"/>
            <w:vAlign w:val="center"/>
          </w:tcPr>
          <w:p>
            <w:pPr>
              <w:spacing w:after="25" w:line="360" w:lineRule="exact"/>
              <w:jc w:val="center"/>
              <w:rPr>
                <w:rFonts w:ascii="宋体" w:hAnsi="宋体"/>
                <w:szCs w:val="21"/>
              </w:rPr>
            </w:pPr>
            <w:r>
              <w:rPr>
                <w:rFonts w:hint="eastAsia" w:ascii="宋体" w:hAnsi="宋体"/>
                <w:szCs w:val="21"/>
              </w:rPr>
              <w:t>运营、维保实力</w:t>
            </w:r>
          </w:p>
          <w:p>
            <w:pPr>
              <w:spacing w:after="25" w:line="360" w:lineRule="exact"/>
              <w:jc w:val="center"/>
              <w:rPr>
                <w:rFonts w:hint="eastAsia" w:ascii="宋体" w:hAnsi="宋体" w:cs="仿宋"/>
                <w:szCs w:val="21"/>
              </w:rPr>
            </w:pPr>
            <w:r>
              <w:rPr>
                <w:rFonts w:hint="eastAsia" w:ascii="宋体" w:hAnsi="宋体"/>
                <w:szCs w:val="21"/>
              </w:rPr>
              <w:t>（1</w:t>
            </w:r>
            <w:r>
              <w:rPr>
                <w:rFonts w:ascii="宋体" w:hAnsi="宋体"/>
                <w:szCs w:val="21"/>
              </w:rPr>
              <w:t>1</w:t>
            </w:r>
            <w:r>
              <w:rPr>
                <w:rFonts w:hint="eastAsia" w:ascii="宋体" w:hAnsi="宋体"/>
                <w:szCs w:val="21"/>
              </w:rPr>
              <w:t>分）</w:t>
            </w:r>
          </w:p>
        </w:tc>
        <w:tc>
          <w:tcPr>
            <w:tcW w:w="6028" w:type="dxa"/>
            <w:noWrap w:val="0"/>
            <w:vAlign w:val="center"/>
          </w:tcPr>
          <w:p>
            <w:pPr>
              <w:spacing w:after="60" w:afterLines="25" w:line="360" w:lineRule="exact"/>
              <w:jc w:val="left"/>
              <w:rPr>
                <w:rFonts w:ascii="宋体" w:hAnsi="宋体"/>
                <w:szCs w:val="21"/>
              </w:rPr>
            </w:pPr>
            <w:r>
              <w:rPr>
                <w:rFonts w:hint="eastAsia" w:ascii="宋体" w:hAnsi="宋体"/>
                <w:szCs w:val="21"/>
              </w:rPr>
              <w:t>针对本项目的实施人员专业人员素质、技术能力、专业分布、经验等情况配备合理的得3-6分，基本描述的得1-3分，缺项的得0分。</w:t>
            </w:r>
          </w:p>
          <w:p>
            <w:pPr>
              <w:spacing w:after="60" w:afterLines="25" w:line="360" w:lineRule="exact"/>
              <w:jc w:val="left"/>
              <w:rPr>
                <w:rFonts w:ascii="宋体" w:hAnsi="宋体"/>
                <w:szCs w:val="21"/>
              </w:rPr>
            </w:pPr>
            <w:r>
              <w:rPr>
                <w:rFonts w:hint="eastAsia" w:ascii="宋体" w:hAnsi="宋体"/>
                <w:szCs w:val="21"/>
              </w:rPr>
              <w:t>注：提供相关人员的合同复印件并加盖公章，否则不得分。</w:t>
            </w:r>
          </w:p>
        </w:tc>
        <w:tc>
          <w:tcPr>
            <w:tcW w:w="992" w:type="dxa"/>
            <w:noWrap w:val="0"/>
            <w:vAlign w:val="center"/>
          </w:tcPr>
          <w:p>
            <w:pPr>
              <w:pStyle w:val="27"/>
              <w:spacing w:after="25" w:line="360" w:lineRule="exact"/>
              <w:jc w:val="center"/>
              <w:rPr>
                <w:rFonts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vMerge w:val="continue"/>
            <w:noWrap w:val="0"/>
            <w:vAlign w:val="center"/>
          </w:tcPr>
          <w:p>
            <w:pPr>
              <w:spacing w:after="25" w:line="360" w:lineRule="exact"/>
              <w:jc w:val="center"/>
              <w:rPr>
                <w:rFonts w:hint="eastAsia" w:ascii="宋体" w:hAnsi="宋体"/>
                <w:szCs w:val="21"/>
              </w:rPr>
            </w:pPr>
          </w:p>
        </w:tc>
        <w:tc>
          <w:tcPr>
            <w:tcW w:w="1438" w:type="dxa"/>
            <w:vMerge w:val="continue"/>
            <w:noWrap w:val="0"/>
            <w:vAlign w:val="center"/>
          </w:tcPr>
          <w:p>
            <w:pPr>
              <w:spacing w:after="25" w:line="360" w:lineRule="exact"/>
              <w:jc w:val="center"/>
              <w:rPr>
                <w:rFonts w:hint="eastAsia" w:ascii="宋体" w:hAnsi="宋体"/>
                <w:szCs w:val="21"/>
              </w:rPr>
            </w:pPr>
          </w:p>
        </w:tc>
        <w:tc>
          <w:tcPr>
            <w:tcW w:w="6028" w:type="dxa"/>
            <w:noWrap w:val="0"/>
            <w:vAlign w:val="center"/>
          </w:tcPr>
          <w:p>
            <w:pPr>
              <w:spacing w:after="60" w:afterLines="25" w:line="360" w:lineRule="exact"/>
              <w:jc w:val="left"/>
              <w:rPr>
                <w:rFonts w:ascii="宋体" w:hAnsi="宋体"/>
              </w:rPr>
            </w:pPr>
            <w:r>
              <w:rPr>
                <w:rFonts w:hint="eastAsia" w:ascii="宋体" w:hAnsi="宋体"/>
              </w:rPr>
              <w:t>本项目拟投入本项目的仓储场地（要求室内面积占总面积20%及以上）进行综合打分：</w:t>
            </w:r>
          </w:p>
          <w:p>
            <w:pPr>
              <w:spacing w:after="60" w:afterLines="25" w:line="360" w:lineRule="exact"/>
              <w:jc w:val="left"/>
              <w:rPr>
                <w:rFonts w:ascii="宋体" w:hAnsi="宋体"/>
              </w:rPr>
            </w:pPr>
            <w:r>
              <w:rPr>
                <w:rFonts w:hint="eastAsia" w:ascii="宋体" w:hAnsi="宋体"/>
              </w:rPr>
              <w:t>对提供相关证明材料复印件（如租赁合同、土地使用证等）非常清晰、齐全，且描述一目了然，仓储场地在一处的，得</w:t>
            </w:r>
            <w:r>
              <w:rPr>
                <w:rFonts w:ascii="宋体" w:hAnsi="宋体"/>
              </w:rPr>
              <w:t>4-5</w:t>
            </w:r>
            <w:r>
              <w:rPr>
                <w:rFonts w:hint="eastAsia" w:ascii="宋体" w:hAnsi="宋体"/>
              </w:rPr>
              <w:t>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对提供相关证明材料复印件（如租赁合同、土地使用证等）比较清晰、齐全，且描述基本清楚，仓储场地在一处的，得</w:t>
            </w:r>
            <w:r>
              <w:rPr>
                <w:rFonts w:ascii="宋体" w:hAnsi="宋体"/>
              </w:rPr>
              <w:t>2-4</w:t>
            </w:r>
            <w:r>
              <w:rPr>
                <w:rFonts w:hint="eastAsia" w:ascii="宋体" w:hAnsi="宋体"/>
              </w:rPr>
              <w:t>（不含）分；</w:t>
            </w:r>
          </w:p>
          <w:p>
            <w:pPr>
              <w:adjustRightInd w:val="0"/>
              <w:snapToGrid w:val="0"/>
              <w:spacing w:after="25" w:line="360" w:lineRule="exact"/>
              <w:rPr>
                <w:rFonts w:ascii="宋体" w:hAnsi="宋体"/>
              </w:rPr>
            </w:pPr>
            <w:r>
              <w:rPr>
                <w:rFonts w:hint="eastAsia" w:ascii="宋体" w:hAnsi="宋体"/>
              </w:rPr>
              <w:t>对提供相关证明材料复印件（如租赁合同、土地使用证等）不够清晰、齐全，且描述模糊不清，仓储场地在一处的，得</w:t>
            </w:r>
            <w:r>
              <w:rPr>
                <w:rFonts w:ascii="宋体" w:hAnsi="宋体"/>
              </w:rPr>
              <w:t>1-2</w:t>
            </w:r>
            <w:r>
              <w:rPr>
                <w:rFonts w:hint="eastAsia" w:ascii="宋体" w:hAnsi="宋体"/>
              </w:rPr>
              <w:t>（不含）分。</w:t>
            </w:r>
          </w:p>
          <w:p>
            <w:pPr>
              <w:spacing w:after="60" w:afterLines="25" w:line="360" w:lineRule="exact"/>
              <w:jc w:val="left"/>
              <w:rPr>
                <w:rFonts w:ascii="宋体" w:hAnsi="宋体"/>
                <w:szCs w:val="21"/>
              </w:rPr>
            </w:pPr>
            <w:r>
              <w:rPr>
                <w:rFonts w:hint="eastAsia" w:ascii="宋体" w:hAnsi="宋体"/>
                <w:szCs w:val="21"/>
              </w:rPr>
              <w:t>无相关内容或提供的场地与本项目不符或不在一处的，不得分。</w:t>
            </w:r>
          </w:p>
          <w:p>
            <w:pPr>
              <w:spacing w:after="60" w:afterLines="25" w:line="360" w:lineRule="exact"/>
              <w:jc w:val="left"/>
              <w:rPr>
                <w:rFonts w:hint="eastAsia" w:ascii="宋体" w:hAnsi="宋体"/>
                <w:szCs w:val="21"/>
              </w:rPr>
            </w:pPr>
            <w:r>
              <w:rPr>
                <w:rFonts w:hint="eastAsia" w:ascii="宋体" w:hAnsi="宋体"/>
                <w:szCs w:val="21"/>
              </w:rPr>
              <w:t>注：</w:t>
            </w:r>
            <w:r>
              <w:rPr>
                <w:rFonts w:ascii="宋体" w:hAnsi="宋体"/>
                <w:szCs w:val="21"/>
              </w:rPr>
              <w:t>自有的提供土地使用证</w:t>
            </w:r>
            <w:r>
              <w:rPr>
                <w:rFonts w:hint="eastAsia" w:ascii="宋体" w:hAnsi="宋体"/>
                <w:szCs w:val="21"/>
              </w:rPr>
              <w:t>（土地使用权人名称应与供应商名称一致）；</w:t>
            </w:r>
            <w:r>
              <w:rPr>
                <w:rFonts w:ascii="宋体" w:hAnsi="宋体"/>
                <w:szCs w:val="21"/>
              </w:rPr>
              <w:t>非自有的</w:t>
            </w:r>
            <w:r>
              <w:rPr>
                <w:rFonts w:hint="eastAsia" w:ascii="宋体" w:hAnsi="宋体"/>
                <w:szCs w:val="21"/>
              </w:rPr>
              <w:t>提供场地租赁合同、土地使用证（土地使用权人名称应与出租方名称一致）。上述二种情况均应清晰体现仓储场地（室内）面积及计算式，中标后如发现供应商提供的上述面积与现状实际面积明显不符，按提供虚假材料处理，取消中标资格，并通报有关单位，仓储场地照片等，任一项不提供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1</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szCs w:val="21"/>
              </w:rPr>
              <w:t>样品分</w:t>
            </w:r>
          </w:p>
        </w:tc>
        <w:tc>
          <w:tcPr>
            <w:tcW w:w="6028" w:type="dxa"/>
            <w:noWrap w:val="0"/>
            <w:vAlign w:val="center"/>
          </w:tcPr>
          <w:p>
            <w:pPr>
              <w:spacing w:after="60" w:afterLines="25" w:line="360" w:lineRule="exact"/>
              <w:jc w:val="left"/>
              <w:rPr>
                <w:rFonts w:hint="eastAsia" w:ascii="宋体" w:hAnsi="宋体"/>
              </w:rPr>
            </w:pPr>
            <w:r>
              <w:rPr>
                <w:rFonts w:hint="eastAsia" w:ascii="宋体" w:hAnsi="宋体"/>
                <w:szCs w:val="21"/>
              </w:rPr>
              <w:t>对Φ400mm LED单8倒计时灯（含红、绿倒计时）样品主要技术参数进行综合评议。（不提供不得分）</w:t>
            </w:r>
          </w:p>
        </w:tc>
        <w:tc>
          <w:tcPr>
            <w:tcW w:w="992" w:type="dxa"/>
            <w:noWrap w:val="0"/>
            <w:vAlign w:val="center"/>
          </w:tcPr>
          <w:p>
            <w:pPr>
              <w:pStyle w:val="27"/>
              <w:spacing w:after="25" w:line="360" w:lineRule="exact"/>
              <w:jc w:val="center"/>
              <w:rPr>
                <w:rFonts w:hint="eastAsia" w:hAnsi="宋体"/>
                <w:szCs w:val="21"/>
              </w:rPr>
            </w:pPr>
            <w:r>
              <w:rPr>
                <w:rFonts w:hint="eastAsia" w:hAnsi="宋体"/>
                <w:szCs w:val="21"/>
              </w:rPr>
              <w:t>0-</w:t>
            </w:r>
            <w:r>
              <w:rPr>
                <w:rFonts w:hAnsi="宋体"/>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766" w:hRule="atLeast"/>
          <w:jc w:val="center"/>
        </w:trPr>
        <w:tc>
          <w:tcPr>
            <w:tcW w:w="777" w:type="dxa"/>
            <w:noWrap w:val="0"/>
            <w:vAlign w:val="center"/>
          </w:tcPr>
          <w:p>
            <w:pPr>
              <w:spacing w:after="25" w:line="360" w:lineRule="exact"/>
              <w:jc w:val="center"/>
              <w:rPr>
                <w:rFonts w:hint="eastAsia" w:ascii="宋体" w:hAnsi="宋体"/>
                <w:szCs w:val="21"/>
              </w:rPr>
            </w:pPr>
            <w:r>
              <w:rPr>
                <w:rFonts w:hint="eastAsia" w:ascii="宋体" w:hAnsi="宋体"/>
                <w:szCs w:val="21"/>
              </w:rPr>
              <w:t>1</w:t>
            </w:r>
            <w:r>
              <w:rPr>
                <w:rFonts w:ascii="宋体" w:hAnsi="宋体"/>
                <w:szCs w:val="21"/>
              </w:rPr>
              <w:t>2</w:t>
            </w:r>
          </w:p>
        </w:tc>
        <w:tc>
          <w:tcPr>
            <w:tcW w:w="1438" w:type="dxa"/>
            <w:noWrap w:val="0"/>
            <w:vAlign w:val="center"/>
          </w:tcPr>
          <w:p>
            <w:pPr>
              <w:spacing w:after="25" w:line="360" w:lineRule="exact"/>
              <w:jc w:val="center"/>
              <w:rPr>
                <w:rFonts w:hint="eastAsia" w:ascii="宋体" w:hAnsi="宋体"/>
                <w:szCs w:val="21"/>
              </w:rPr>
            </w:pPr>
            <w:r>
              <w:rPr>
                <w:rFonts w:hint="eastAsia" w:ascii="宋体" w:hAnsi="宋体" w:cs="宋体"/>
                <w:szCs w:val="21"/>
              </w:rPr>
              <w:t>优惠条件及合理化建议</w:t>
            </w:r>
          </w:p>
        </w:tc>
        <w:tc>
          <w:tcPr>
            <w:tcW w:w="6028" w:type="dxa"/>
            <w:noWrap w:val="0"/>
            <w:vAlign w:val="center"/>
          </w:tcPr>
          <w:p>
            <w:pPr>
              <w:spacing w:after="60" w:afterLines="25" w:line="360" w:lineRule="exact"/>
              <w:rPr>
                <w:rFonts w:hint="eastAsia" w:ascii="宋体" w:hAnsi="宋体"/>
                <w:szCs w:val="21"/>
              </w:rPr>
            </w:pPr>
            <w:r>
              <w:rPr>
                <w:rFonts w:hint="eastAsia" w:ascii="宋体" w:hAnsi="宋体"/>
              </w:rPr>
              <w:t>投标人针对本项目的优惠条件（不得涉及报价）及合理化建议，1条被采纳的得1分，最多</w:t>
            </w:r>
            <w:r>
              <w:rPr>
                <w:rFonts w:ascii="宋体" w:hAnsi="宋体"/>
              </w:rPr>
              <w:t>3</w:t>
            </w:r>
            <w:r>
              <w:rPr>
                <w:rFonts w:hint="eastAsia" w:ascii="宋体" w:hAnsi="宋体"/>
              </w:rPr>
              <w:t>分。</w:t>
            </w:r>
          </w:p>
        </w:tc>
        <w:tc>
          <w:tcPr>
            <w:tcW w:w="992" w:type="dxa"/>
            <w:noWrap w:val="0"/>
            <w:vAlign w:val="center"/>
          </w:tcPr>
          <w:p>
            <w:pPr>
              <w:pStyle w:val="27"/>
              <w:spacing w:after="25" w:line="360" w:lineRule="exact"/>
              <w:jc w:val="center"/>
              <w:rPr>
                <w:rFonts w:hint="eastAsia" w:hAnsi="宋体"/>
                <w:szCs w:val="21"/>
              </w:rPr>
            </w:pPr>
            <w:r>
              <w:rPr>
                <w:rFonts w:hAnsi="宋体"/>
                <w:szCs w:val="21"/>
              </w:rPr>
              <w:t>0-3</w:t>
            </w:r>
          </w:p>
        </w:tc>
      </w:tr>
    </w:tbl>
    <w:p>
      <w:pPr>
        <w:pStyle w:val="20"/>
        <w:spacing w:before="120" w:beforeLines="50"/>
        <w:ind w:firstLine="422"/>
        <w:rPr>
          <w:rFonts w:ascii="宋体" w:hAnsi="宋体" w:cs="宋体"/>
          <w:b/>
          <w:bCs/>
          <w:sz w:val="21"/>
          <w:szCs w:val="21"/>
        </w:rPr>
      </w:pPr>
      <w:r>
        <w:rPr>
          <w:rFonts w:hint="eastAsia" w:ascii="宋体" w:hAnsi="宋体" w:cs="宋体"/>
          <w:b/>
          <w:bCs/>
          <w:sz w:val="21"/>
          <w:szCs w:val="21"/>
        </w:rPr>
        <w:t>注：1、提交投标文件的同时，提供Φ400mm LED单8倒计时灯（含红、绿倒计时）样品1套。</w:t>
      </w:r>
    </w:p>
    <w:p>
      <w:pPr>
        <w:pStyle w:val="20"/>
        <w:ind w:firstLine="422"/>
        <w:rPr>
          <w:rFonts w:ascii="宋体" w:hAnsi="宋体"/>
          <w:b/>
          <w:bCs/>
          <w:sz w:val="21"/>
          <w:szCs w:val="21"/>
        </w:rPr>
      </w:pPr>
      <w:r>
        <w:rPr>
          <w:rFonts w:hint="eastAsia" w:ascii="宋体" w:hAnsi="宋体"/>
          <w:b/>
          <w:bCs/>
          <w:sz w:val="21"/>
          <w:szCs w:val="21"/>
        </w:rPr>
        <w:t>（1）送达时间：投标截止时间前需送至嘉兴市公共资源交易中心一楼南侧样品处（嘉兴市广场路350号），所提供样品的费用由投标单位自行负责（进入嘉兴市公共资源交易中心主动扫“场所码”，主动出示“健康码”“行程卡”“48小时核酸检测证明”等相关信息，配合测量个人体温，无异常状况后方可进入开评标场所）。</w:t>
      </w:r>
    </w:p>
    <w:p>
      <w:pPr>
        <w:pStyle w:val="20"/>
        <w:ind w:firstLine="422"/>
        <w:rPr>
          <w:rFonts w:ascii="宋体" w:hAnsi="宋体"/>
          <w:b/>
          <w:bCs/>
          <w:sz w:val="21"/>
          <w:szCs w:val="21"/>
        </w:rPr>
      </w:pPr>
      <w:r>
        <w:rPr>
          <w:rFonts w:hint="eastAsia" w:ascii="宋体" w:hAnsi="宋体"/>
          <w:b/>
          <w:bCs/>
          <w:sz w:val="21"/>
          <w:szCs w:val="21"/>
        </w:rPr>
        <w:t>（</w:t>
      </w:r>
      <w:r>
        <w:rPr>
          <w:rFonts w:ascii="宋体" w:hAnsi="宋体"/>
          <w:b/>
          <w:bCs/>
          <w:sz w:val="21"/>
          <w:szCs w:val="21"/>
        </w:rPr>
        <w:t>2</w:t>
      </w:r>
      <w:r>
        <w:rPr>
          <w:rFonts w:hint="eastAsia" w:ascii="宋体" w:hAnsi="宋体"/>
          <w:b/>
          <w:bCs/>
          <w:sz w:val="21"/>
          <w:szCs w:val="21"/>
        </w:rPr>
        <w:t>）请将供应商全称及联系方式密封在样品上，密封外侧不得体现供应商相关信息，否则将拒收；</w:t>
      </w:r>
    </w:p>
    <w:p>
      <w:pPr>
        <w:pStyle w:val="20"/>
        <w:ind w:firstLine="422"/>
        <w:rPr>
          <w:rFonts w:hint="eastAsia" w:ascii="宋体" w:hAnsi="宋体"/>
          <w:b/>
          <w:bCs/>
          <w:sz w:val="21"/>
          <w:szCs w:val="21"/>
        </w:rPr>
      </w:pPr>
      <w:r>
        <w:rPr>
          <w:rFonts w:hint="eastAsia" w:ascii="宋体" w:hAnsi="宋体"/>
          <w:b/>
          <w:bCs/>
          <w:sz w:val="21"/>
          <w:szCs w:val="21"/>
        </w:rPr>
        <w:t>（</w:t>
      </w:r>
      <w:r>
        <w:rPr>
          <w:rFonts w:ascii="宋体" w:hAnsi="宋体"/>
          <w:b/>
          <w:bCs/>
          <w:sz w:val="21"/>
          <w:szCs w:val="21"/>
        </w:rPr>
        <w:t>3</w:t>
      </w:r>
      <w:r>
        <w:rPr>
          <w:rFonts w:hint="eastAsia" w:ascii="宋体" w:hAnsi="宋体"/>
          <w:b/>
          <w:bCs/>
          <w:sz w:val="21"/>
          <w:szCs w:val="21"/>
        </w:rPr>
        <w:t>）样品的退还：中标人所提供的货物样品不予退还，由采购单位封存作为验收依据，未中标单位可在公示结束后2个工作日内取回样品，逾期将由采购人自行处理。</w:t>
      </w:r>
    </w:p>
    <w:p>
      <w:pPr>
        <w:ind w:firstLine="420" w:firstLineChars="200"/>
        <w:rPr>
          <w:rFonts w:ascii="宋体" w:hAnsi="宋体"/>
          <w:b/>
          <w:bCs/>
          <w:szCs w:val="21"/>
        </w:rPr>
      </w:pPr>
      <w:r>
        <w:rPr>
          <w:rFonts w:ascii="宋体" w:hAnsi="宋体"/>
        </w:rPr>
        <w:br w:type="page"/>
      </w:r>
      <w:r>
        <w:rPr>
          <w:rFonts w:hint="eastAsia" w:ascii="宋体" w:hAnsi="宋体"/>
          <w:b/>
          <w:bCs/>
          <w:szCs w:val="21"/>
        </w:rPr>
        <w:t>（三）资信、商务及其他分（0</w:t>
      </w:r>
      <w:r>
        <w:rPr>
          <w:rFonts w:ascii="宋体" w:hAnsi="宋体"/>
          <w:b/>
          <w:bCs/>
          <w:szCs w:val="21"/>
        </w:rPr>
        <w:t>-4</w:t>
      </w:r>
      <w:r>
        <w:rPr>
          <w:rFonts w:hint="eastAsia" w:ascii="宋体" w:hAnsi="宋体"/>
          <w:b/>
          <w:bCs/>
          <w:szCs w:val="21"/>
        </w:rPr>
        <w:t>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361"/>
        <w:gridCol w:w="595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ascii="宋体" w:hAnsi="宋体"/>
                <w:szCs w:val="21"/>
              </w:rPr>
            </w:pPr>
            <w:r>
              <w:rPr>
                <w:rFonts w:hint="eastAsia" w:ascii="宋体" w:hAnsi="宋体"/>
                <w:szCs w:val="21"/>
              </w:rPr>
              <w:t>序号</w:t>
            </w:r>
          </w:p>
        </w:tc>
        <w:tc>
          <w:tcPr>
            <w:tcW w:w="1361" w:type="dxa"/>
            <w:noWrap w:val="0"/>
            <w:vAlign w:val="center"/>
          </w:tcPr>
          <w:p>
            <w:pPr>
              <w:spacing w:after="60" w:afterLines="25" w:line="360" w:lineRule="exact"/>
              <w:jc w:val="center"/>
              <w:rPr>
                <w:rFonts w:ascii="宋体" w:hAnsi="宋体"/>
                <w:szCs w:val="21"/>
              </w:rPr>
            </w:pPr>
            <w:r>
              <w:rPr>
                <w:rFonts w:hint="eastAsia" w:ascii="宋体" w:hAnsi="宋体"/>
                <w:szCs w:val="21"/>
              </w:rPr>
              <w:t>评分项目</w:t>
            </w:r>
          </w:p>
        </w:tc>
        <w:tc>
          <w:tcPr>
            <w:tcW w:w="5958" w:type="dxa"/>
            <w:noWrap w:val="0"/>
            <w:vAlign w:val="center"/>
          </w:tcPr>
          <w:p>
            <w:pPr>
              <w:spacing w:after="60" w:afterLines="25" w:line="360" w:lineRule="exact"/>
              <w:jc w:val="center"/>
              <w:rPr>
                <w:rFonts w:ascii="宋体" w:hAnsi="宋体"/>
                <w:szCs w:val="21"/>
              </w:rPr>
            </w:pPr>
            <w:r>
              <w:rPr>
                <w:rFonts w:hint="eastAsia" w:ascii="宋体" w:hAnsi="宋体"/>
                <w:szCs w:val="21"/>
              </w:rPr>
              <w:t>评分细则</w:t>
            </w:r>
          </w:p>
        </w:tc>
        <w:tc>
          <w:tcPr>
            <w:tcW w:w="1026" w:type="dxa"/>
            <w:noWrap w:val="0"/>
            <w:vAlign w:val="center"/>
          </w:tcPr>
          <w:p>
            <w:pPr>
              <w:spacing w:after="60" w:afterLines="25" w:line="360" w:lineRule="exact"/>
              <w:jc w:val="center"/>
              <w:rPr>
                <w:rFonts w:ascii="宋体" w:hAnsi="宋体"/>
                <w:szCs w:val="21"/>
              </w:rPr>
            </w:pPr>
            <w:r>
              <w:rPr>
                <w:rFonts w:hint="eastAsia" w:ascii="宋体" w:hAnsi="宋体"/>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1</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成功案例</w:t>
            </w:r>
          </w:p>
        </w:tc>
        <w:tc>
          <w:tcPr>
            <w:tcW w:w="5958" w:type="dxa"/>
            <w:noWrap w:val="0"/>
            <w:vAlign w:val="center"/>
          </w:tcPr>
          <w:p>
            <w:pPr>
              <w:spacing w:after="60" w:afterLines="25" w:line="360" w:lineRule="exact"/>
              <w:rPr>
                <w:rFonts w:ascii="宋体" w:hAnsi="宋体"/>
                <w:kern w:val="0"/>
                <w:szCs w:val="21"/>
              </w:rPr>
            </w:pPr>
            <w:r>
              <w:rPr>
                <w:rFonts w:hint="eastAsia" w:ascii="宋体" w:hAnsi="宋体"/>
                <w:kern w:val="0"/>
                <w:szCs w:val="21"/>
              </w:rPr>
              <w:t>供应商提供自</w:t>
            </w:r>
            <w:r>
              <w:rPr>
                <w:rFonts w:ascii="宋体" w:hAnsi="宋体"/>
                <w:kern w:val="0"/>
                <w:szCs w:val="21"/>
              </w:rPr>
              <w:t>投标截止时间前</w:t>
            </w:r>
            <w:r>
              <w:rPr>
                <w:rFonts w:hint="eastAsia" w:ascii="宋体" w:hAnsi="宋体"/>
                <w:kern w:val="0"/>
                <w:szCs w:val="21"/>
              </w:rPr>
              <w:t>三</w:t>
            </w:r>
            <w:r>
              <w:rPr>
                <w:rFonts w:ascii="宋体" w:hAnsi="宋体"/>
                <w:kern w:val="0"/>
                <w:szCs w:val="21"/>
              </w:rPr>
              <w:t>年</w:t>
            </w:r>
            <w:r>
              <w:rPr>
                <w:rFonts w:hint="eastAsia" w:ascii="宋体" w:hAnsi="宋体"/>
                <w:kern w:val="0"/>
                <w:szCs w:val="21"/>
              </w:rPr>
              <w:t>以来（自投标截止日起往前追溯3年，以合同签订时间为准）成功实施的同类（标线施工）项目案例，每个得</w:t>
            </w:r>
            <w:r>
              <w:rPr>
                <w:rFonts w:ascii="宋体" w:hAnsi="宋体"/>
                <w:kern w:val="0"/>
                <w:szCs w:val="21"/>
              </w:rPr>
              <w:t>1</w:t>
            </w:r>
            <w:r>
              <w:rPr>
                <w:rFonts w:hint="eastAsia" w:ascii="宋体" w:hAnsi="宋体"/>
                <w:kern w:val="0"/>
                <w:szCs w:val="21"/>
              </w:rPr>
              <w:t>分，最高得</w:t>
            </w:r>
            <w:r>
              <w:rPr>
                <w:rFonts w:ascii="宋体" w:hAnsi="宋体"/>
                <w:kern w:val="0"/>
                <w:szCs w:val="21"/>
              </w:rPr>
              <w:t>2</w:t>
            </w:r>
            <w:r>
              <w:rPr>
                <w:rFonts w:hint="eastAsia" w:ascii="宋体" w:hAnsi="宋体"/>
                <w:kern w:val="0"/>
                <w:szCs w:val="21"/>
              </w:rPr>
              <w:t>分。</w:t>
            </w:r>
          </w:p>
          <w:p>
            <w:pPr>
              <w:spacing w:after="60" w:afterLines="25" w:line="360" w:lineRule="exact"/>
              <w:rPr>
                <w:rFonts w:hint="eastAsia" w:ascii="宋体" w:hAnsi="宋体"/>
                <w:kern w:val="0"/>
                <w:szCs w:val="21"/>
              </w:rPr>
            </w:pPr>
            <w:r>
              <w:rPr>
                <w:rFonts w:hint="eastAsia" w:ascii="宋体" w:hAnsi="宋体"/>
                <w:kern w:val="0"/>
                <w:szCs w:val="21"/>
              </w:rPr>
              <w:t>注：须提供合同复印件并加盖公章，否则不得分。</w:t>
            </w:r>
          </w:p>
        </w:tc>
        <w:tc>
          <w:tcPr>
            <w:tcW w:w="1026" w:type="dxa"/>
            <w:noWrap w:val="0"/>
            <w:vAlign w:val="center"/>
          </w:tcPr>
          <w:p>
            <w:pPr>
              <w:spacing w:after="60" w:afterLines="25" w:line="360" w:lineRule="exact"/>
              <w:jc w:val="center"/>
              <w:rPr>
                <w:rFonts w:hint="eastAsia" w:ascii="宋体" w:hAnsi="宋体"/>
                <w:szCs w:val="21"/>
              </w:rPr>
            </w:pPr>
            <w:r>
              <w:rPr>
                <w:rFonts w:ascii="宋体" w:hAnsi="宋体"/>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7" w:hRule="atLeast"/>
          <w:jc w:val="center"/>
        </w:trPr>
        <w:tc>
          <w:tcPr>
            <w:tcW w:w="723"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2</w:t>
            </w:r>
          </w:p>
        </w:tc>
        <w:tc>
          <w:tcPr>
            <w:tcW w:w="1361" w:type="dxa"/>
            <w:noWrap w:val="0"/>
            <w:vAlign w:val="center"/>
          </w:tcPr>
          <w:p>
            <w:pPr>
              <w:spacing w:after="60" w:afterLines="25" w:line="360" w:lineRule="exact"/>
              <w:jc w:val="center"/>
              <w:rPr>
                <w:rFonts w:hint="eastAsia" w:ascii="宋体" w:hAnsi="宋体"/>
                <w:szCs w:val="21"/>
              </w:rPr>
            </w:pPr>
            <w:r>
              <w:rPr>
                <w:rFonts w:hint="eastAsia" w:ascii="宋体" w:hAnsi="宋体"/>
                <w:szCs w:val="21"/>
              </w:rPr>
              <w:t>政策分</w:t>
            </w:r>
          </w:p>
        </w:tc>
        <w:tc>
          <w:tcPr>
            <w:tcW w:w="5958" w:type="dxa"/>
            <w:noWrap w:val="0"/>
            <w:vAlign w:val="center"/>
          </w:tcPr>
          <w:p>
            <w:pPr>
              <w:spacing w:after="60" w:afterLines="25" w:line="360" w:lineRule="exact"/>
              <w:rPr>
                <w:rFonts w:ascii="宋体" w:hAnsi="宋体" w:cs="宋体"/>
                <w:szCs w:val="21"/>
                <w:lang w:val="zh-CN"/>
              </w:rPr>
            </w:pPr>
            <w:r>
              <w:rPr>
                <w:rFonts w:hint="eastAsia" w:ascii="宋体" w:hAnsi="宋体" w:cs="宋体"/>
                <w:szCs w:val="21"/>
                <w:lang w:val="zh-CN"/>
              </w:rPr>
              <w:t>投标产品符合财库〔2019〕9号《关于调整优化节能产品、环境标志产品政府采购执行机制的通知》条件，</w:t>
            </w:r>
            <w:r>
              <w:rPr>
                <w:rFonts w:ascii="宋体" w:hAnsi="宋体" w:cs="宋体"/>
                <w:szCs w:val="21"/>
                <w:lang w:val="zh-CN"/>
              </w:rPr>
              <w:t>不属于强制采购的产品鼓励使用节能产品</w:t>
            </w:r>
            <w:r>
              <w:rPr>
                <w:rFonts w:hint="eastAsia" w:ascii="宋体" w:hAnsi="宋体" w:cs="宋体"/>
                <w:szCs w:val="21"/>
                <w:lang w:val="zh-CN"/>
              </w:rPr>
              <w:t>，每种产品得0.5分，最高得2分。</w:t>
            </w:r>
          </w:p>
          <w:p>
            <w:pPr>
              <w:spacing w:after="60" w:afterLines="25" w:line="360" w:lineRule="exact"/>
              <w:rPr>
                <w:rFonts w:hint="eastAsia" w:ascii="宋体" w:hAnsi="宋体" w:cs="宋体"/>
                <w:szCs w:val="21"/>
                <w:lang w:val="zh-CN"/>
              </w:rPr>
            </w:pPr>
            <w:r>
              <w:rPr>
                <w:rFonts w:hint="eastAsia" w:ascii="宋体" w:hAnsi="宋体" w:cs="宋体"/>
                <w:szCs w:val="21"/>
                <w:lang w:val="zh-CN"/>
              </w:rPr>
              <w:t>注：投标时须提供证明材料复印件并加盖公章，否则不得分。</w:t>
            </w:r>
          </w:p>
        </w:tc>
        <w:tc>
          <w:tcPr>
            <w:tcW w:w="1026" w:type="dxa"/>
            <w:noWrap w:val="0"/>
            <w:vAlign w:val="center"/>
          </w:tcPr>
          <w:p>
            <w:pPr>
              <w:spacing w:after="60" w:afterLines="25" w:line="360" w:lineRule="exact"/>
              <w:jc w:val="center"/>
              <w:rPr>
                <w:rFonts w:ascii="宋体" w:hAnsi="宋体"/>
                <w:szCs w:val="21"/>
              </w:rPr>
            </w:pPr>
            <w:r>
              <w:rPr>
                <w:rFonts w:ascii="宋体" w:hAnsi="宋体"/>
                <w:szCs w:val="21"/>
              </w:rPr>
              <w:t>0-2</w:t>
            </w:r>
          </w:p>
        </w:tc>
      </w:tr>
    </w:tbl>
    <w:p>
      <w:pPr>
        <w:pStyle w:val="20"/>
        <w:rPr>
          <w:rFonts w:hint="eastAsia" w:ascii="宋体" w:hAnsi="宋体"/>
        </w:rPr>
      </w:pPr>
    </w:p>
    <w:p>
      <w:pPr>
        <w:pStyle w:val="3"/>
        <w:ind w:firstLine="602" w:firstLineChars="200"/>
        <w:rPr>
          <w:rFonts w:ascii="宋体" w:hAnsi="宋体"/>
        </w:rPr>
      </w:pPr>
      <w:r>
        <w:rPr>
          <w:rFonts w:ascii="宋体" w:hAnsi="宋体"/>
        </w:rPr>
        <w:br w:type="page"/>
      </w:r>
      <w:bookmarkStart w:id="121" w:name="_Toc89897661"/>
      <w:r>
        <w:rPr>
          <w:rFonts w:hint="eastAsia" w:ascii="宋体" w:hAnsi="宋体"/>
        </w:rPr>
        <w:t>第五章 政府采购合同主要条款（指引）</w:t>
      </w:r>
      <w:bookmarkEnd w:id="121"/>
    </w:p>
    <w:p>
      <w:pPr>
        <w:pStyle w:val="3"/>
        <w:ind w:firstLine="602" w:firstLineChars="200"/>
        <w:rPr>
          <w:rFonts w:ascii="宋体" w:hAnsi="宋体"/>
        </w:rPr>
      </w:pPr>
      <w:bookmarkStart w:id="122" w:name="_Toc3386511"/>
      <w:bookmarkStart w:id="123" w:name="_Toc39655266"/>
      <w:bookmarkStart w:id="124" w:name="_Toc89897662"/>
      <w:bookmarkStart w:id="125" w:name="_Toc50211561"/>
      <w:bookmarkStart w:id="126" w:name="_Toc16185637"/>
      <w:bookmarkStart w:id="127" w:name="_Toc42879257"/>
      <w:bookmarkStart w:id="128" w:name="_Toc82881293"/>
      <w:r>
        <w:rPr>
          <w:rFonts w:hint="eastAsia" w:ascii="宋体" w:hAnsi="宋体"/>
        </w:rPr>
        <w:t>一、通用必备条款部分</w:t>
      </w:r>
      <w:bookmarkEnd w:id="122"/>
      <w:bookmarkEnd w:id="123"/>
      <w:bookmarkEnd w:id="124"/>
      <w:bookmarkEnd w:id="125"/>
      <w:bookmarkEnd w:id="126"/>
      <w:bookmarkEnd w:id="127"/>
      <w:bookmarkEnd w:id="128"/>
    </w:p>
    <w:p>
      <w:pPr>
        <w:ind w:firstLine="420" w:firstLineChars="200"/>
        <w:rPr>
          <w:rFonts w:ascii="宋体" w:hAnsi="宋体"/>
        </w:rPr>
      </w:pPr>
      <w:r>
        <w:rPr>
          <w:rFonts w:hint="eastAsia" w:ascii="宋体" w:hAnsi="宋体"/>
        </w:rPr>
        <w:t>项目编号：ZJFY-20220050</w:t>
      </w:r>
    </w:p>
    <w:p>
      <w:pPr>
        <w:ind w:firstLine="420" w:firstLineChars="200"/>
        <w:rPr>
          <w:rFonts w:ascii="宋体" w:hAnsi="宋体"/>
        </w:rPr>
      </w:pPr>
      <w:r>
        <w:rPr>
          <w:rFonts w:hint="eastAsia" w:ascii="宋体" w:hAnsi="宋体"/>
        </w:rPr>
        <w:t>合同编号：</w:t>
      </w:r>
    </w:p>
    <w:p>
      <w:pPr>
        <w:ind w:firstLine="420" w:firstLineChars="200"/>
        <w:rPr>
          <w:rFonts w:ascii="宋体" w:hAnsi="宋体"/>
        </w:rPr>
      </w:pPr>
      <w:r>
        <w:rPr>
          <w:rFonts w:hint="eastAsia" w:ascii="宋体" w:hAnsi="宋体"/>
        </w:rPr>
        <w:t>政府采购计划（预算）确认号：</w:t>
      </w:r>
    </w:p>
    <w:p>
      <w:pPr>
        <w:ind w:firstLine="420" w:firstLineChars="200"/>
        <w:rPr>
          <w:rFonts w:ascii="宋体" w:hAnsi="宋体"/>
        </w:rPr>
      </w:pPr>
      <w:r>
        <w:rPr>
          <w:rFonts w:hint="eastAsia" w:ascii="宋体" w:hAnsi="宋体"/>
        </w:rPr>
        <w:t>采购人（以下称甲方）：嘉兴市公安局交通警察支队</w:t>
      </w:r>
    </w:p>
    <w:p>
      <w:pPr>
        <w:ind w:firstLine="420" w:firstLineChars="200"/>
        <w:rPr>
          <w:rFonts w:ascii="宋体" w:hAnsi="宋体"/>
        </w:rPr>
      </w:pPr>
      <w:r>
        <w:rPr>
          <w:rFonts w:hint="eastAsia" w:ascii="宋体" w:hAnsi="宋体"/>
        </w:rPr>
        <w:t>供应商（以下称乙方）：</w:t>
      </w:r>
    </w:p>
    <w:p>
      <w:pPr>
        <w:ind w:firstLine="420" w:firstLineChars="200"/>
        <w:rPr>
          <w:rFonts w:ascii="宋体" w:hAnsi="宋体"/>
        </w:rPr>
      </w:pPr>
      <w:r>
        <w:rPr>
          <w:rFonts w:hint="eastAsia" w:ascii="宋体" w:hAnsi="宋体"/>
        </w:rPr>
        <w:t>采购代理机构：浙江富昱项目管理有限公司</w:t>
      </w:r>
    </w:p>
    <w:p>
      <w:pPr>
        <w:ind w:firstLine="420" w:firstLineChars="200"/>
        <w:rPr>
          <w:rFonts w:ascii="宋体" w:hAnsi="宋体"/>
        </w:rPr>
      </w:pPr>
      <w:r>
        <w:rPr>
          <w:rFonts w:hint="eastAsia" w:ascii="宋体" w:hAnsi="宋体"/>
        </w:rPr>
        <w:t>采购方式：公开招标</w:t>
      </w:r>
    </w:p>
    <w:p>
      <w:pPr>
        <w:ind w:firstLine="420" w:firstLineChars="200"/>
        <w:rPr>
          <w:rFonts w:ascii="宋体" w:hAnsi="宋体"/>
        </w:rPr>
      </w:pPr>
      <w:r>
        <w:rPr>
          <w:rFonts w:hint="eastAsia" w:ascii="宋体" w:hAnsi="宋体"/>
        </w:rPr>
        <w:t>根据《中华人民共和国政府采购法》、《中华人民共和国民法典》等法律法规的规定，甲乙双方按照</w:t>
      </w:r>
      <w:r>
        <w:rPr>
          <w:rFonts w:hint="eastAsia" w:ascii="宋体" w:hAnsi="宋体"/>
          <w:u w:val="single"/>
        </w:rPr>
        <w:t>2022年度嘉兴市公安局交通警察支队交通设施日常维护、更新项目</w:t>
      </w:r>
      <w:r>
        <w:rPr>
          <w:rFonts w:hint="eastAsia" w:ascii="宋体" w:hAnsi="宋体"/>
        </w:rPr>
        <w:t>采购结果签订本合同。</w:t>
      </w:r>
    </w:p>
    <w:p>
      <w:pPr>
        <w:widowControl/>
        <w:ind w:firstLine="422" w:firstLineChars="200"/>
        <w:jc w:val="left"/>
        <w:rPr>
          <w:rFonts w:ascii="宋体" w:hAnsi="宋体"/>
          <w:b/>
          <w:bCs/>
          <w:kern w:val="0"/>
          <w:szCs w:val="21"/>
        </w:rPr>
      </w:pPr>
      <w:r>
        <w:rPr>
          <w:rFonts w:hint="eastAsia" w:ascii="宋体" w:hAnsi="宋体"/>
          <w:b/>
          <w:bCs/>
          <w:kern w:val="0"/>
          <w:szCs w:val="21"/>
        </w:rPr>
        <w:t>第一条合同组成</w:t>
      </w:r>
    </w:p>
    <w:p>
      <w:pPr>
        <w:widowControl/>
        <w:ind w:firstLine="420" w:firstLineChars="200"/>
        <w:jc w:val="left"/>
        <w:rPr>
          <w:rFonts w:ascii="宋体" w:hAnsi="宋体"/>
          <w:kern w:val="0"/>
          <w:szCs w:val="21"/>
        </w:rPr>
      </w:pPr>
      <w:r>
        <w:rPr>
          <w:rFonts w:hint="eastAsia" w:ascii="宋体" w:hAnsi="宋体"/>
          <w:kern w:val="0"/>
          <w:szCs w:val="21"/>
        </w:rPr>
        <w:t>本次政府采购活动的相关文件为本合同的组成部分，这些文件包括但不限于：</w:t>
      </w:r>
    </w:p>
    <w:p>
      <w:pPr>
        <w:widowControl/>
        <w:ind w:firstLine="420" w:firstLineChars="200"/>
        <w:jc w:val="left"/>
        <w:rPr>
          <w:rFonts w:ascii="宋体" w:hAnsi="宋体"/>
          <w:kern w:val="0"/>
          <w:szCs w:val="21"/>
        </w:rPr>
      </w:pPr>
      <w:r>
        <w:rPr>
          <w:rFonts w:hint="eastAsia" w:ascii="宋体" w:hAnsi="宋体"/>
          <w:kern w:val="0"/>
          <w:szCs w:val="21"/>
        </w:rPr>
        <w:t>（1）本合同文本；</w:t>
      </w:r>
    </w:p>
    <w:p>
      <w:pPr>
        <w:widowControl/>
        <w:ind w:firstLine="420" w:firstLineChars="200"/>
        <w:jc w:val="left"/>
        <w:rPr>
          <w:rFonts w:ascii="宋体" w:hAnsi="宋体"/>
          <w:kern w:val="0"/>
          <w:szCs w:val="21"/>
        </w:rPr>
      </w:pPr>
      <w:r>
        <w:rPr>
          <w:rFonts w:hint="eastAsia" w:ascii="宋体" w:hAnsi="宋体"/>
          <w:kern w:val="0"/>
          <w:szCs w:val="21"/>
        </w:rPr>
        <w:t>（2）采购文件与采购响应文件；</w:t>
      </w:r>
    </w:p>
    <w:p>
      <w:pPr>
        <w:widowControl/>
        <w:ind w:firstLine="420" w:firstLineChars="200"/>
        <w:jc w:val="left"/>
        <w:rPr>
          <w:rFonts w:ascii="宋体" w:hAnsi="宋体"/>
          <w:kern w:val="0"/>
          <w:szCs w:val="21"/>
        </w:rPr>
      </w:pPr>
      <w:r>
        <w:rPr>
          <w:rFonts w:hint="eastAsia" w:ascii="宋体" w:hAnsi="宋体"/>
          <w:kern w:val="0"/>
          <w:szCs w:val="21"/>
        </w:rPr>
        <w:t>（3）中标或成交通知书。</w:t>
      </w:r>
    </w:p>
    <w:p>
      <w:pPr>
        <w:widowControl/>
        <w:ind w:firstLine="420" w:firstLineChars="200"/>
        <w:jc w:val="left"/>
        <w:rPr>
          <w:rFonts w:hint="eastAsia" w:ascii="宋体" w:hAnsi="宋体"/>
          <w:kern w:val="0"/>
          <w:szCs w:val="21"/>
        </w:rPr>
      </w:pPr>
      <w:r>
        <w:rPr>
          <w:rFonts w:hint="eastAsia" w:ascii="宋体" w:hAnsi="宋体"/>
          <w:kern w:val="0"/>
          <w:szCs w:val="21"/>
        </w:rPr>
        <w:t>组成本合同的所有文件必须为书面形式。政府采购合同备案时，须提供以上（1）、（3）两项，如由社会中介机构代理，须提供代理协议，合同如有变更的，须提供变更协议。</w:t>
      </w:r>
    </w:p>
    <w:p>
      <w:pPr>
        <w:tabs>
          <w:tab w:val="left" w:pos="916"/>
          <w:tab w:val="left" w:pos="1832"/>
          <w:tab w:val="left" w:pos="2748"/>
        </w:tabs>
        <w:ind w:firstLine="422" w:firstLineChars="200"/>
        <w:jc w:val="left"/>
        <w:rPr>
          <w:rFonts w:hint="eastAsia" w:ascii="宋体" w:hAnsi="宋体"/>
          <w:b/>
          <w:szCs w:val="21"/>
        </w:rPr>
      </w:pPr>
      <w:r>
        <w:rPr>
          <w:rFonts w:hint="eastAsia" w:ascii="宋体" w:hAnsi="宋体"/>
          <w:b/>
          <w:szCs w:val="21"/>
        </w:rPr>
        <w:t>第二条 合同标的与相关属性</w:t>
      </w:r>
    </w:p>
    <w:p>
      <w:pPr>
        <w:tabs>
          <w:tab w:val="left" w:pos="916"/>
          <w:tab w:val="left" w:pos="1832"/>
          <w:tab w:val="left" w:pos="2748"/>
        </w:tabs>
        <w:ind w:firstLine="420" w:firstLineChars="200"/>
        <w:jc w:val="left"/>
        <w:rPr>
          <w:rFonts w:hint="eastAsia" w:ascii="宋体" w:hAnsi="宋体"/>
          <w:szCs w:val="21"/>
        </w:rPr>
      </w:pPr>
      <w:r>
        <w:rPr>
          <w:rFonts w:hint="eastAsia" w:ascii="宋体" w:hAnsi="宋体"/>
          <w:szCs w:val="21"/>
        </w:rPr>
        <w:t>1、本次采购的是</w:t>
      </w:r>
      <w:r>
        <w:rPr>
          <w:rFonts w:hint="eastAsia" w:ascii="宋体" w:hAnsi="宋体" w:cs="Tahoma"/>
          <w:bCs/>
          <w:kern w:val="36"/>
          <w:u w:val="single"/>
        </w:rPr>
        <w:t xml:space="preserve">                                   </w:t>
      </w:r>
    </w:p>
    <w:p>
      <w:pPr>
        <w:tabs>
          <w:tab w:val="left" w:pos="916"/>
          <w:tab w:val="left" w:pos="1832"/>
          <w:tab w:val="left" w:pos="2748"/>
        </w:tabs>
        <w:ind w:firstLine="420" w:firstLineChars="200"/>
        <w:jc w:val="left"/>
        <w:rPr>
          <w:rFonts w:hint="eastAsia" w:ascii="宋体" w:hAnsi="宋体"/>
          <w:szCs w:val="21"/>
        </w:rPr>
      </w:pPr>
      <w:r>
        <w:rPr>
          <w:rFonts w:hint="eastAsia" w:ascii="宋体" w:hAnsi="宋体"/>
          <w:szCs w:val="21"/>
        </w:rPr>
        <w:t>2、乙方是否属于中小微企业：□是□否</w:t>
      </w:r>
    </w:p>
    <w:p>
      <w:pPr>
        <w:tabs>
          <w:tab w:val="left" w:pos="916"/>
          <w:tab w:val="left" w:pos="1832"/>
          <w:tab w:val="left" w:pos="2748"/>
        </w:tabs>
        <w:ind w:firstLine="420" w:firstLineChars="200"/>
        <w:jc w:val="left"/>
        <w:rPr>
          <w:rFonts w:ascii="宋体" w:hAnsi="宋体"/>
          <w:szCs w:val="21"/>
        </w:rPr>
      </w:pPr>
      <w:r>
        <w:rPr>
          <w:rFonts w:hint="eastAsia" w:ascii="宋体" w:hAnsi="宋体"/>
          <w:szCs w:val="21"/>
        </w:rPr>
        <w:t>3、本合同项下产品属于（可多选）：□环保产品；□节能产品；□进口产品</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529"/>
        <w:gridCol w:w="2268"/>
        <w:gridCol w:w="767"/>
        <w:gridCol w:w="757"/>
        <w:gridCol w:w="1702"/>
        <w:gridCol w:w="1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1117" w:hRule="atLeast"/>
          <w:jc w:val="center"/>
        </w:trPr>
        <w:tc>
          <w:tcPr>
            <w:tcW w:w="851"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序号</w:t>
            </w:r>
          </w:p>
        </w:tc>
        <w:tc>
          <w:tcPr>
            <w:tcW w:w="1529"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品目名称</w:t>
            </w:r>
          </w:p>
          <w:p>
            <w:pPr>
              <w:spacing w:after="60" w:afterLines="25" w:line="360" w:lineRule="exact"/>
              <w:jc w:val="center"/>
              <w:rPr>
                <w:rFonts w:ascii="宋体" w:hAnsi="宋体"/>
                <w:color w:val="000000"/>
                <w:szCs w:val="21"/>
              </w:rPr>
            </w:pPr>
            <w:r>
              <w:rPr>
                <w:rFonts w:hint="eastAsia" w:ascii="宋体" w:hAnsi="宋体"/>
                <w:color w:val="000000"/>
                <w:szCs w:val="21"/>
              </w:rPr>
              <w:t>（服务名称）</w:t>
            </w:r>
          </w:p>
        </w:tc>
        <w:tc>
          <w:tcPr>
            <w:tcW w:w="226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规格型号、技术参数（或服务内容）</w:t>
            </w:r>
          </w:p>
        </w:tc>
        <w:tc>
          <w:tcPr>
            <w:tcW w:w="76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单位</w:t>
            </w:r>
          </w:p>
        </w:tc>
        <w:tc>
          <w:tcPr>
            <w:tcW w:w="75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数量</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预算金额</w:t>
            </w:r>
            <w:r>
              <w:rPr>
                <w:rFonts w:ascii="宋体" w:hAnsi="宋体"/>
                <w:color w:val="000000"/>
                <w:szCs w:val="21"/>
              </w:rPr>
              <w:t>（</w:t>
            </w:r>
            <w:r>
              <w:rPr>
                <w:rFonts w:hint="eastAsia" w:ascii="宋体" w:hAnsi="宋体"/>
                <w:color w:val="000000"/>
                <w:szCs w:val="21"/>
              </w:rPr>
              <w:t>元</w:t>
            </w:r>
            <w:r>
              <w:rPr>
                <w:rFonts w:ascii="宋体" w:hAnsi="宋体"/>
                <w:color w:val="000000"/>
                <w:szCs w:val="21"/>
              </w:rPr>
              <w:t>）</w:t>
            </w: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采购金额</w:t>
            </w:r>
            <w:r>
              <w:rPr>
                <w:rFonts w:ascii="宋体" w:hAnsi="宋体"/>
                <w:color w:val="000000"/>
                <w:szCs w:val="21"/>
              </w:rPr>
              <w:t>（</w:t>
            </w:r>
            <w:r>
              <w:rPr>
                <w:rFonts w:hint="eastAsia" w:ascii="宋体" w:hAnsi="宋体"/>
                <w:color w:val="000000"/>
                <w:szCs w:val="21"/>
              </w:rPr>
              <w:t>元</w:t>
            </w:r>
            <w:r>
              <w:rPr>
                <w:rFonts w:ascii="宋体" w:hAnsi="宋体"/>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44" w:hRule="atLeast"/>
          <w:jc w:val="center"/>
        </w:trPr>
        <w:tc>
          <w:tcPr>
            <w:tcW w:w="2380" w:type="dxa"/>
            <w:gridSpan w:val="2"/>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76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75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6" w:hRule="atLeast"/>
          <w:jc w:val="center"/>
        </w:trPr>
        <w:tc>
          <w:tcPr>
            <w:tcW w:w="2380" w:type="dxa"/>
            <w:gridSpan w:val="2"/>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226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76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75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94" w:hRule="atLeast"/>
          <w:jc w:val="center"/>
        </w:trPr>
        <w:tc>
          <w:tcPr>
            <w:tcW w:w="5415" w:type="dxa"/>
            <w:gridSpan w:val="4"/>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r>
              <w:rPr>
                <w:rFonts w:hint="eastAsia" w:ascii="宋体" w:hAnsi="宋体"/>
                <w:color w:val="000000"/>
                <w:szCs w:val="21"/>
              </w:rPr>
              <w:t>合计</w:t>
            </w:r>
          </w:p>
        </w:tc>
        <w:tc>
          <w:tcPr>
            <w:tcW w:w="75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c>
          <w:tcPr>
            <w:tcW w:w="170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color w:val="000000"/>
                <w:szCs w:val="21"/>
              </w:rPr>
            </w:pPr>
          </w:p>
        </w:tc>
      </w:tr>
    </w:tbl>
    <w:p>
      <w:pPr>
        <w:widowControl/>
        <w:spacing w:before="120" w:beforeLines="50"/>
        <w:ind w:firstLine="422" w:firstLineChars="200"/>
        <w:jc w:val="left"/>
        <w:rPr>
          <w:rFonts w:ascii="宋体" w:hAnsi="宋体"/>
          <w:b/>
          <w:bCs/>
          <w:kern w:val="0"/>
          <w:szCs w:val="21"/>
        </w:rPr>
      </w:pPr>
      <w:r>
        <w:rPr>
          <w:rFonts w:hint="eastAsia" w:ascii="宋体" w:hAnsi="宋体"/>
          <w:b/>
          <w:bCs/>
          <w:kern w:val="0"/>
          <w:szCs w:val="21"/>
        </w:rPr>
        <w:t>第三条 合同价款</w:t>
      </w:r>
    </w:p>
    <w:p>
      <w:pPr>
        <w:widowControl/>
        <w:ind w:firstLine="420" w:firstLineChars="200"/>
        <w:jc w:val="left"/>
        <w:rPr>
          <w:rFonts w:ascii="宋体" w:hAnsi="宋体"/>
          <w:kern w:val="0"/>
          <w:szCs w:val="21"/>
        </w:rPr>
      </w:pPr>
      <w:r>
        <w:rPr>
          <w:rFonts w:hint="eastAsia" w:ascii="宋体" w:hAnsi="宋体"/>
          <w:kern w:val="0"/>
          <w:szCs w:val="21"/>
        </w:rPr>
        <w:t>1、本合同项下总价款为</w:t>
      </w:r>
      <w:r>
        <w:rPr>
          <w:rFonts w:hint="eastAsia" w:ascii="宋体" w:hAnsi="宋体"/>
          <w:kern w:val="0"/>
          <w:szCs w:val="21"/>
          <w:u w:val="single"/>
        </w:rPr>
        <w:t xml:space="preserve">￥         </w:t>
      </w:r>
      <w:r>
        <w:rPr>
          <w:rFonts w:hint="eastAsia" w:ascii="宋体" w:hAnsi="宋体"/>
          <w:kern w:val="0"/>
          <w:szCs w:val="21"/>
        </w:rPr>
        <w:t>元（大写）人民币</w:t>
      </w:r>
      <w:r>
        <w:rPr>
          <w:rFonts w:hint="eastAsia" w:ascii="宋体" w:hAnsi="宋体"/>
          <w:kern w:val="0"/>
          <w:szCs w:val="21"/>
          <w:u w:val="single"/>
        </w:rPr>
        <w:t xml:space="preserve">              </w:t>
      </w:r>
      <w:r>
        <w:rPr>
          <w:rFonts w:hint="eastAsia" w:ascii="宋体" w:hAnsi="宋体"/>
          <w:kern w:val="0"/>
          <w:szCs w:val="21"/>
        </w:rPr>
        <w:t>元，分项价款在“投标报价表”中明确。</w:t>
      </w:r>
    </w:p>
    <w:p>
      <w:pPr>
        <w:ind w:firstLine="420" w:firstLineChars="200"/>
        <w:jc w:val="left"/>
        <w:rPr>
          <w:rFonts w:ascii="宋体" w:hAnsi="宋体"/>
          <w:kern w:val="0"/>
          <w:szCs w:val="21"/>
        </w:rPr>
      </w:pPr>
      <w:r>
        <w:rPr>
          <w:rFonts w:hint="eastAsia" w:ascii="宋体" w:hAnsi="宋体"/>
          <w:kern w:val="0"/>
          <w:szCs w:val="21"/>
        </w:rPr>
        <w:t>2、本合同总价款含所有税费（包括项目实施所需的一切材料、人工、标准附件、备品备件、专用工具、包装、运输、装卸、保险、货到就位以及安装、调试、培训、保修、利润、税金等完成合同所需的一切本身和不可或缺的所有工作开支、政策性文件规定及合同包含的所有风险、责任等各项全部费用并承担一切风险责任）。</w:t>
      </w:r>
    </w:p>
    <w:p>
      <w:pPr>
        <w:ind w:firstLine="420" w:firstLineChars="200"/>
        <w:jc w:val="left"/>
        <w:rPr>
          <w:rFonts w:ascii="宋体" w:hAnsi="宋体"/>
          <w:kern w:val="0"/>
          <w:szCs w:val="21"/>
        </w:rPr>
      </w:pPr>
      <w:r>
        <w:rPr>
          <w:rFonts w:hint="eastAsia" w:ascii="宋体" w:hAnsi="宋体"/>
          <w:kern w:val="0"/>
          <w:szCs w:val="21"/>
        </w:rPr>
        <w:t>3、本合同付款方式为以下第</w:t>
      </w:r>
      <w:r>
        <w:rPr>
          <w:rFonts w:hint="eastAsia" w:ascii="宋体" w:hAnsi="宋体"/>
          <w:kern w:val="0"/>
          <w:szCs w:val="21"/>
          <w:u w:val="single"/>
        </w:rPr>
        <w:t xml:space="preserve">        </w:t>
      </w:r>
      <w:r>
        <w:rPr>
          <w:rFonts w:hint="eastAsia" w:ascii="宋体" w:hAnsi="宋体"/>
          <w:kern w:val="0"/>
          <w:szCs w:val="21"/>
        </w:rPr>
        <w:t>项：</w:t>
      </w:r>
    </w:p>
    <w:p>
      <w:pPr>
        <w:widowControl/>
        <w:ind w:firstLine="420" w:firstLineChars="200"/>
        <w:jc w:val="left"/>
        <w:rPr>
          <w:rFonts w:ascii="宋体" w:hAnsi="宋体"/>
          <w:kern w:val="0"/>
          <w:szCs w:val="21"/>
        </w:rPr>
      </w:pPr>
      <w:r>
        <w:rPr>
          <w:rFonts w:hint="eastAsia" w:ascii="宋体" w:hAnsi="宋体"/>
          <w:kern w:val="0"/>
          <w:szCs w:val="21"/>
        </w:rPr>
        <w:t>（1）本合同项下的采购资金系甲方自行支付，付款程序为</w:t>
      </w:r>
      <w:bookmarkStart w:id="129" w:name="OLE_LINK4"/>
      <w:r>
        <w:rPr>
          <w:rFonts w:hint="eastAsia" w:ascii="宋体" w:hAnsi="宋体"/>
          <w:kern w:val="0"/>
          <w:szCs w:val="21"/>
          <w:u w:val="single"/>
        </w:rPr>
        <w:t xml:space="preserve">                     </w:t>
      </w:r>
      <w:r>
        <w:rPr>
          <w:rFonts w:hint="eastAsia" w:ascii="宋体" w:hAnsi="宋体"/>
          <w:kern w:val="0"/>
          <w:szCs w:val="21"/>
        </w:rPr>
        <w:t>；</w:t>
      </w:r>
      <w:bookmarkEnd w:id="129"/>
    </w:p>
    <w:p>
      <w:pPr>
        <w:widowControl/>
        <w:ind w:firstLine="420" w:firstLineChars="200"/>
        <w:jc w:val="left"/>
        <w:rPr>
          <w:rFonts w:ascii="宋体" w:hAnsi="宋体"/>
          <w:kern w:val="0"/>
          <w:szCs w:val="21"/>
        </w:rPr>
      </w:pPr>
      <w:r>
        <w:rPr>
          <w:rFonts w:hint="eastAsia" w:ascii="宋体" w:hAnsi="宋体"/>
          <w:kern w:val="0"/>
          <w:szCs w:val="21"/>
        </w:rPr>
        <w:t>（2）本合同项下的采购资金须财政直接支付，付款程序为：</w:t>
      </w:r>
      <w:r>
        <w:rPr>
          <w:rFonts w:hint="eastAsia" w:ascii="宋体" w:hAnsi="宋体"/>
          <w:kern w:val="0"/>
          <w:szCs w:val="21"/>
          <w:u w:val="single"/>
        </w:rPr>
        <w:t xml:space="preserve">                    </w:t>
      </w:r>
      <w:r>
        <w:rPr>
          <w:rFonts w:hint="eastAsia" w:ascii="宋体" w:hAnsi="宋体"/>
          <w:kern w:val="0"/>
          <w:szCs w:val="21"/>
        </w:rPr>
        <w:t>。</w:t>
      </w:r>
    </w:p>
    <w:p>
      <w:pPr>
        <w:widowControl/>
        <w:ind w:firstLine="420" w:firstLineChars="200"/>
        <w:jc w:val="left"/>
        <w:rPr>
          <w:rFonts w:ascii="宋体" w:hAnsi="宋体"/>
          <w:kern w:val="0"/>
          <w:szCs w:val="21"/>
        </w:rPr>
      </w:pPr>
      <w:r>
        <w:rPr>
          <w:rFonts w:hint="eastAsia" w:ascii="宋体" w:hAnsi="宋体"/>
          <w:kern w:val="0"/>
          <w:szCs w:val="21"/>
        </w:rPr>
        <w:t>（3）其他方式：</w:t>
      </w:r>
      <w:r>
        <w:rPr>
          <w:rFonts w:hint="eastAsia" w:ascii="宋体" w:hAnsi="宋体"/>
          <w:kern w:val="0"/>
          <w:szCs w:val="21"/>
          <w:u w:val="single"/>
        </w:rPr>
        <w:t xml:space="preserve">          </w:t>
      </w:r>
      <w:r>
        <w:rPr>
          <w:rFonts w:hint="eastAsia" w:ascii="宋体" w:hAnsi="宋体"/>
          <w:kern w:val="0"/>
          <w:szCs w:val="21"/>
        </w:rPr>
        <w:t>。</w:t>
      </w:r>
    </w:p>
    <w:p>
      <w:pPr>
        <w:widowControl/>
        <w:ind w:firstLine="420" w:firstLineChars="200"/>
        <w:jc w:val="left"/>
        <w:rPr>
          <w:rFonts w:ascii="宋体" w:hAnsi="宋体"/>
          <w:kern w:val="0"/>
          <w:szCs w:val="21"/>
        </w:rPr>
      </w:pPr>
      <w:r>
        <w:rPr>
          <w:rFonts w:hint="eastAsia" w:ascii="宋体" w:hAnsi="宋体"/>
          <w:kern w:val="0"/>
          <w:szCs w:val="21"/>
        </w:rPr>
        <w:t>4、本合同项下的采购资金付款进度按招投标文件规定，未规定时按以下第</w:t>
      </w:r>
      <w:r>
        <w:rPr>
          <w:rFonts w:hint="eastAsia" w:ascii="宋体" w:hAnsi="宋体"/>
          <w:kern w:val="0"/>
          <w:szCs w:val="21"/>
          <w:u w:val="single"/>
        </w:rPr>
        <w:t xml:space="preserve">     </w:t>
      </w:r>
      <w:r>
        <w:rPr>
          <w:rFonts w:hint="eastAsia" w:ascii="宋体" w:hAnsi="宋体"/>
          <w:kern w:val="0"/>
          <w:szCs w:val="21"/>
        </w:rPr>
        <w:t>项支付：</w:t>
      </w:r>
    </w:p>
    <w:p>
      <w:pPr>
        <w:widowControl/>
        <w:ind w:firstLine="420" w:firstLineChars="200"/>
        <w:jc w:val="left"/>
        <w:rPr>
          <w:rFonts w:ascii="宋体" w:hAnsi="宋体"/>
          <w:kern w:val="0"/>
          <w:szCs w:val="21"/>
        </w:rPr>
      </w:pPr>
      <w:r>
        <w:rPr>
          <w:rFonts w:hint="eastAsia" w:ascii="宋体" w:hAnsi="宋体"/>
          <w:kern w:val="0"/>
          <w:szCs w:val="21"/>
        </w:rPr>
        <w:t>（1）一次性付款：乙方合同履行达到</w:t>
      </w:r>
      <w:r>
        <w:rPr>
          <w:rFonts w:hint="eastAsia" w:ascii="宋体" w:hAnsi="宋体"/>
          <w:kern w:val="0"/>
          <w:szCs w:val="21"/>
          <w:u w:val="single"/>
        </w:rPr>
        <w:t xml:space="preserve">         </w:t>
      </w:r>
      <w:r>
        <w:rPr>
          <w:rFonts w:hint="eastAsia" w:ascii="宋体" w:hAnsi="宋体"/>
          <w:kern w:val="0"/>
          <w:szCs w:val="21"/>
        </w:rPr>
        <w:t>（条件）时，一次性付款；</w:t>
      </w:r>
    </w:p>
    <w:p>
      <w:pPr>
        <w:widowControl/>
        <w:ind w:firstLine="420" w:firstLineChars="200"/>
        <w:jc w:val="left"/>
        <w:rPr>
          <w:rFonts w:ascii="宋体" w:hAnsi="宋体"/>
          <w:kern w:val="0"/>
          <w:szCs w:val="21"/>
        </w:rPr>
      </w:pPr>
      <w:r>
        <w:rPr>
          <w:rFonts w:hint="eastAsia" w:ascii="宋体" w:hAnsi="宋体"/>
          <w:kern w:val="0"/>
          <w:szCs w:val="21"/>
        </w:rPr>
        <w:t>（2）分期付款：</w:t>
      </w:r>
      <w:r>
        <w:rPr>
          <w:rFonts w:hint="eastAsia" w:ascii="宋体" w:hAnsi="宋体"/>
          <w:kern w:val="0"/>
          <w:szCs w:val="21"/>
          <w:u w:val="single"/>
        </w:rPr>
        <w:t xml:space="preserve">        </w:t>
      </w:r>
      <w:r>
        <w:rPr>
          <w:rFonts w:hint="eastAsia" w:ascii="宋体" w:hAnsi="宋体"/>
          <w:kern w:val="0"/>
          <w:szCs w:val="21"/>
        </w:rPr>
        <w:t>时支付</w:t>
      </w:r>
      <w:r>
        <w:rPr>
          <w:rFonts w:hint="eastAsia" w:ascii="宋体" w:hAnsi="宋体"/>
          <w:kern w:val="0"/>
          <w:szCs w:val="21"/>
          <w:u w:val="single"/>
        </w:rPr>
        <w:t xml:space="preserve">        </w:t>
      </w:r>
      <w:r>
        <w:rPr>
          <w:rFonts w:hint="eastAsia" w:ascii="宋体" w:hAnsi="宋体"/>
          <w:kern w:val="0"/>
          <w:szCs w:val="21"/>
        </w:rPr>
        <w:t>；</w:t>
      </w:r>
      <w:r>
        <w:rPr>
          <w:rFonts w:hint="eastAsia" w:ascii="宋体" w:hAnsi="宋体"/>
          <w:kern w:val="0"/>
          <w:szCs w:val="21"/>
          <w:u w:val="single"/>
        </w:rPr>
        <w:t xml:space="preserve">        </w:t>
      </w:r>
      <w:r>
        <w:rPr>
          <w:rFonts w:hint="eastAsia" w:ascii="宋体" w:hAnsi="宋体"/>
          <w:kern w:val="0"/>
          <w:szCs w:val="21"/>
        </w:rPr>
        <w:t>时支付</w:t>
      </w:r>
      <w:r>
        <w:rPr>
          <w:rFonts w:hint="eastAsia" w:ascii="宋体" w:hAnsi="宋体"/>
          <w:kern w:val="0"/>
          <w:szCs w:val="21"/>
          <w:u w:val="single"/>
        </w:rPr>
        <w:t xml:space="preserve">        </w:t>
      </w:r>
      <w:r>
        <w:rPr>
          <w:rFonts w:hint="eastAsia" w:ascii="宋体" w:hAnsi="宋体"/>
          <w:kern w:val="0"/>
          <w:szCs w:val="21"/>
        </w:rPr>
        <w:t>；</w:t>
      </w:r>
      <w:r>
        <w:rPr>
          <w:rFonts w:hint="eastAsia" w:ascii="宋体" w:hAnsi="宋体"/>
          <w:kern w:val="0"/>
          <w:szCs w:val="21"/>
          <w:u w:val="single"/>
        </w:rPr>
        <w:t xml:space="preserve">        </w:t>
      </w:r>
      <w:r>
        <w:rPr>
          <w:rFonts w:hint="eastAsia" w:ascii="宋体" w:hAnsi="宋体"/>
          <w:kern w:val="0"/>
          <w:szCs w:val="21"/>
        </w:rPr>
        <w:t>时支付</w:t>
      </w:r>
      <w:r>
        <w:rPr>
          <w:rFonts w:hint="eastAsia" w:ascii="宋体" w:hAnsi="宋体"/>
          <w:kern w:val="0"/>
          <w:szCs w:val="21"/>
          <w:u w:val="single"/>
        </w:rPr>
        <w:t xml:space="preserve">        </w:t>
      </w:r>
      <w:r>
        <w:rPr>
          <w:rFonts w:hint="eastAsia" w:ascii="宋体" w:hAnsi="宋体"/>
          <w:kern w:val="0"/>
          <w:szCs w:val="21"/>
        </w:rPr>
        <w:t>；</w:t>
      </w:r>
    </w:p>
    <w:p>
      <w:pPr>
        <w:widowControl/>
        <w:ind w:firstLine="420" w:firstLineChars="200"/>
        <w:jc w:val="left"/>
        <w:rPr>
          <w:rFonts w:ascii="宋体" w:hAnsi="宋体"/>
          <w:kern w:val="0"/>
          <w:szCs w:val="21"/>
        </w:rPr>
      </w:pPr>
      <w:r>
        <w:rPr>
          <w:rFonts w:hint="eastAsia" w:ascii="宋体" w:hAnsi="宋体"/>
          <w:kern w:val="0"/>
          <w:szCs w:val="21"/>
        </w:rPr>
        <w:t>若收取了履约保证金，则不应重复设置尾款支付条件。</w:t>
      </w:r>
    </w:p>
    <w:p>
      <w:pPr>
        <w:widowControl/>
        <w:ind w:firstLine="422" w:firstLineChars="200"/>
        <w:jc w:val="left"/>
        <w:rPr>
          <w:rFonts w:ascii="宋体" w:hAnsi="宋体"/>
          <w:b/>
          <w:bCs/>
          <w:kern w:val="0"/>
          <w:szCs w:val="21"/>
        </w:rPr>
      </w:pPr>
      <w:r>
        <w:rPr>
          <w:rFonts w:hint="eastAsia" w:ascii="宋体" w:hAnsi="宋体"/>
          <w:b/>
          <w:bCs/>
          <w:kern w:val="0"/>
          <w:szCs w:val="21"/>
        </w:rPr>
        <w:t>第四条 履约保证金</w:t>
      </w:r>
    </w:p>
    <w:p>
      <w:pPr>
        <w:widowControl/>
        <w:ind w:firstLine="420" w:firstLineChars="200"/>
        <w:jc w:val="left"/>
        <w:rPr>
          <w:rFonts w:ascii="宋体" w:hAnsi="宋体"/>
          <w:kern w:val="0"/>
          <w:szCs w:val="21"/>
        </w:rPr>
      </w:pPr>
      <w:r>
        <w:rPr>
          <w:rFonts w:hint="eastAsia" w:ascii="宋体" w:hAnsi="宋体"/>
          <w:kern w:val="0"/>
          <w:szCs w:val="21"/>
        </w:rPr>
        <w:t>按以下第</w:t>
      </w:r>
      <w:r>
        <w:rPr>
          <w:rFonts w:hint="eastAsia" w:ascii="宋体" w:hAnsi="宋体"/>
          <w:kern w:val="0"/>
          <w:szCs w:val="21"/>
          <w:u w:val="single"/>
        </w:rPr>
        <w:t xml:space="preserve">    </w:t>
      </w:r>
      <w:r>
        <w:rPr>
          <w:rFonts w:hint="eastAsia" w:ascii="宋体" w:hAnsi="宋体"/>
          <w:kern w:val="0"/>
          <w:szCs w:val="21"/>
        </w:rPr>
        <w:t>项处理：</w:t>
      </w:r>
    </w:p>
    <w:p>
      <w:pPr>
        <w:widowControl/>
        <w:ind w:firstLine="420" w:firstLineChars="200"/>
        <w:jc w:val="left"/>
        <w:rPr>
          <w:rFonts w:ascii="宋体" w:hAnsi="宋体"/>
          <w:kern w:val="0"/>
          <w:szCs w:val="21"/>
        </w:rPr>
      </w:pPr>
      <w:r>
        <w:rPr>
          <w:rFonts w:hint="eastAsia" w:ascii="宋体" w:hAnsi="宋体"/>
          <w:szCs w:val="21"/>
        </w:rPr>
        <w:t>1、本项目设置履约保证金，乙方应于</w:t>
      </w:r>
      <w:r>
        <w:rPr>
          <w:rFonts w:hint="eastAsia" w:ascii="宋体" w:hAnsi="宋体"/>
          <w:szCs w:val="21"/>
          <w:u w:val="single"/>
        </w:rPr>
        <w:t xml:space="preserve">         </w:t>
      </w:r>
      <w:r>
        <w:rPr>
          <w:rFonts w:hint="eastAsia" w:ascii="宋体" w:hAnsi="宋体"/>
          <w:szCs w:val="21"/>
        </w:rPr>
        <w:t>（时间）向甲方提交履约保证金</w:t>
      </w:r>
      <w:r>
        <w:rPr>
          <w:rFonts w:hint="eastAsia" w:ascii="宋体" w:hAnsi="宋体"/>
          <w:szCs w:val="21"/>
          <w:u w:val="single"/>
        </w:rPr>
        <w:t xml:space="preserve">          </w:t>
      </w:r>
      <w:r>
        <w:rPr>
          <w:rFonts w:hint="eastAsia" w:ascii="宋体" w:hAnsi="宋体"/>
          <w:szCs w:val="21"/>
        </w:rPr>
        <w:t>元（不得高于本合同金额的</w:t>
      </w:r>
      <w:r>
        <w:rPr>
          <w:rFonts w:ascii="宋体" w:hAnsi="宋体"/>
          <w:szCs w:val="21"/>
        </w:rPr>
        <w:t>1</w:t>
      </w:r>
      <w:r>
        <w:rPr>
          <w:rFonts w:hint="eastAsia" w:ascii="宋体" w:hAnsi="宋体"/>
          <w:szCs w:val="21"/>
        </w:rPr>
        <w:t>%）。履约保证金在</w:t>
      </w:r>
      <w:r>
        <w:rPr>
          <w:rFonts w:hint="eastAsia" w:ascii="宋体" w:hAnsi="宋体"/>
          <w:szCs w:val="21"/>
          <w:u w:val="single"/>
        </w:rPr>
        <w:t xml:space="preserve">         </w:t>
      </w:r>
      <w:r>
        <w:rPr>
          <w:rFonts w:hint="eastAsia" w:ascii="宋体" w:hAnsi="宋体"/>
          <w:szCs w:val="21"/>
        </w:rPr>
        <w:t>（时间）退还乙方。</w:t>
      </w:r>
    </w:p>
    <w:p>
      <w:pPr>
        <w:widowControl/>
        <w:ind w:firstLine="420" w:firstLineChars="200"/>
        <w:jc w:val="left"/>
        <w:rPr>
          <w:rFonts w:ascii="宋体" w:hAnsi="宋体"/>
          <w:kern w:val="0"/>
          <w:szCs w:val="21"/>
        </w:rPr>
      </w:pPr>
      <w:r>
        <w:rPr>
          <w:rFonts w:hint="eastAsia" w:ascii="宋体" w:hAnsi="宋体"/>
          <w:kern w:val="0"/>
          <w:szCs w:val="21"/>
        </w:rPr>
        <w:t>2、本项目不设置履约保证金</w:t>
      </w:r>
    </w:p>
    <w:p>
      <w:pPr>
        <w:widowControl/>
        <w:ind w:firstLine="422" w:firstLineChars="200"/>
        <w:jc w:val="left"/>
        <w:rPr>
          <w:rFonts w:ascii="宋体" w:hAnsi="宋体"/>
          <w:b/>
          <w:bCs/>
          <w:kern w:val="0"/>
          <w:szCs w:val="21"/>
        </w:rPr>
      </w:pPr>
      <w:r>
        <w:rPr>
          <w:rFonts w:hint="eastAsia" w:ascii="宋体" w:hAnsi="宋体"/>
          <w:b/>
          <w:bCs/>
          <w:kern w:val="0"/>
          <w:szCs w:val="21"/>
        </w:rPr>
        <w:t>第五条 合同的变更和终止</w:t>
      </w:r>
    </w:p>
    <w:p>
      <w:pPr>
        <w:widowControl/>
        <w:ind w:firstLine="420" w:firstLineChars="200"/>
        <w:jc w:val="left"/>
        <w:rPr>
          <w:rFonts w:ascii="宋体" w:hAnsi="宋体"/>
          <w:kern w:val="0"/>
          <w:szCs w:val="21"/>
        </w:rPr>
      </w:pPr>
      <w:r>
        <w:rPr>
          <w:rFonts w:hint="eastAsia" w:ascii="宋体" w:hAnsi="宋体"/>
          <w:kern w:val="0"/>
          <w:szCs w:val="21"/>
        </w:rPr>
        <w:t>除《政府采购法》第49条、第50条第二款规定的情形外，本合同一经签订，甲乙双方不得擅自终止合同或对合同实质性条款进行变更。确有特殊情况的，须经同级财政部门备案同意。</w:t>
      </w:r>
    </w:p>
    <w:p>
      <w:pPr>
        <w:widowControl/>
        <w:ind w:firstLine="422" w:firstLineChars="200"/>
        <w:jc w:val="left"/>
        <w:rPr>
          <w:rFonts w:ascii="宋体" w:hAnsi="宋体"/>
          <w:b/>
          <w:bCs/>
          <w:kern w:val="0"/>
          <w:szCs w:val="21"/>
        </w:rPr>
      </w:pPr>
      <w:r>
        <w:rPr>
          <w:rFonts w:hint="eastAsia" w:ascii="宋体" w:hAnsi="宋体"/>
          <w:b/>
          <w:bCs/>
          <w:kern w:val="0"/>
          <w:szCs w:val="21"/>
        </w:rPr>
        <w:t>第六条 合同的转让与分包</w:t>
      </w:r>
    </w:p>
    <w:p>
      <w:pPr>
        <w:snapToGrid w:val="0"/>
        <w:ind w:firstLine="420" w:firstLineChars="200"/>
        <w:rPr>
          <w:rFonts w:hint="eastAsia" w:ascii="宋体" w:hAnsi="宋体"/>
          <w:kern w:val="0"/>
          <w:szCs w:val="21"/>
        </w:rPr>
      </w:pPr>
      <w:r>
        <w:rPr>
          <w:rFonts w:hint="eastAsia" w:ascii="宋体" w:hAnsi="宋体"/>
          <w:kern w:val="0"/>
          <w:szCs w:val="21"/>
        </w:rPr>
        <w:t>1、本项目不允许转包。</w:t>
      </w:r>
    </w:p>
    <w:p>
      <w:pPr>
        <w:widowControl/>
        <w:ind w:firstLine="420" w:firstLineChars="200"/>
        <w:jc w:val="left"/>
        <w:rPr>
          <w:rFonts w:ascii="宋体" w:hAnsi="宋体"/>
          <w:kern w:val="0"/>
          <w:szCs w:val="21"/>
        </w:rPr>
      </w:pPr>
      <w:r>
        <w:rPr>
          <w:rFonts w:hint="eastAsia" w:ascii="宋体" w:hAnsi="宋体"/>
          <w:kern w:val="0"/>
          <w:szCs w:val="21"/>
        </w:rPr>
        <w:t>2、本项目不可以分包。</w:t>
      </w:r>
    </w:p>
    <w:p>
      <w:pPr>
        <w:widowControl/>
        <w:ind w:firstLine="422" w:firstLineChars="200"/>
        <w:jc w:val="left"/>
        <w:rPr>
          <w:rFonts w:ascii="宋体" w:hAnsi="宋体"/>
          <w:b/>
          <w:bCs/>
          <w:kern w:val="0"/>
          <w:szCs w:val="21"/>
        </w:rPr>
      </w:pPr>
      <w:r>
        <w:rPr>
          <w:rFonts w:hint="eastAsia" w:ascii="宋体" w:hAnsi="宋体"/>
          <w:b/>
          <w:bCs/>
          <w:kern w:val="0"/>
          <w:szCs w:val="21"/>
        </w:rPr>
        <w:t>第七条 争议的解决</w:t>
      </w:r>
    </w:p>
    <w:p>
      <w:pPr>
        <w:widowControl/>
        <w:ind w:firstLine="420" w:firstLineChars="200"/>
        <w:jc w:val="left"/>
        <w:rPr>
          <w:rFonts w:ascii="宋体" w:hAnsi="宋体"/>
          <w:kern w:val="0"/>
          <w:szCs w:val="21"/>
        </w:rPr>
      </w:pPr>
      <w:r>
        <w:rPr>
          <w:rFonts w:hint="eastAsia" w:ascii="宋体" w:hAnsi="宋体"/>
          <w:kern w:val="0"/>
          <w:szCs w:val="21"/>
        </w:rPr>
        <w:t>1、因履行本合同引起的或与本合同有关的争议，甲、乙双方应首先通过友好协商解决，如果协商不能解决争议，则采取以下第</w:t>
      </w:r>
      <w:r>
        <w:rPr>
          <w:rFonts w:hint="eastAsia" w:ascii="宋体" w:hAnsi="宋体"/>
          <w:kern w:val="0"/>
          <w:szCs w:val="21"/>
          <w:u w:val="single"/>
        </w:rPr>
        <w:t xml:space="preserve">  （1）  </w:t>
      </w:r>
      <w:r>
        <w:rPr>
          <w:rFonts w:hint="eastAsia" w:ascii="宋体" w:hAnsi="宋体"/>
          <w:kern w:val="0"/>
          <w:szCs w:val="21"/>
        </w:rPr>
        <w:t>种方式解决争议：</w:t>
      </w:r>
    </w:p>
    <w:p>
      <w:pPr>
        <w:widowControl/>
        <w:ind w:firstLine="420" w:firstLineChars="200"/>
        <w:jc w:val="left"/>
        <w:rPr>
          <w:rFonts w:ascii="宋体" w:hAnsi="宋体"/>
          <w:kern w:val="0"/>
          <w:szCs w:val="21"/>
        </w:rPr>
      </w:pPr>
      <w:r>
        <w:rPr>
          <w:rFonts w:hint="eastAsia" w:ascii="宋体" w:hAnsi="宋体"/>
          <w:kern w:val="0"/>
          <w:szCs w:val="21"/>
        </w:rPr>
        <w:t>（1）向甲方所在地有管辖权的人民法院提起诉讼；</w:t>
      </w:r>
    </w:p>
    <w:p>
      <w:pPr>
        <w:widowControl/>
        <w:ind w:firstLine="420" w:firstLineChars="200"/>
        <w:jc w:val="left"/>
        <w:rPr>
          <w:rFonts w:ascii="宋体" w:hAnsi="宋体"/>
          <w:kern w:val="0"/>
          <w:szCs w:val="21"/>
        </w:rPr>
      </w:pPr>
      <w:r>
        <w:rPr>
          <w:rFonts w:hint="eastAsia" w:ascii="宋体" w:hAnsi="宋体"/>
          <w:kern w:val="0"/>
          <w:szCs w:val="21"/>
        </w:rPr>
        <w:t>（2）向</w:t>
      </w:r>
      <w:r>
        <w:rPr>
          <w:rFonts w:hint="eastAsia" w:ascii="宋体" w:hAnsi="宋体"/>
          <w:kern w:val="0"/>
          <w:szCs w:val="21"/>
          <w:u w:val="single"/>
        </w:rPr>
        <w:t xml:space="preserve">         </w:t>
      </w:r>
      <w:r>
        <w:rPr>
          <w:rFonts w:hint="eastAsia" w:ascii="宋体" w:hAnsi="宋体"/>
          <w:kern w:val="0"/>
          <w:szCs w:val="21"/>
        </w:rPr>
        <w:t>仲裁委员申请仲裁。</w:t>
      </w:r>
    </w:p>
    <w:p>
      <w:pPr>
        <w:widowControl/>
        <w:ind w:firstLine="422" w:firstLineChars="200"/>
        <w:jc w:val="left"/>
        <w:rPr>
          <w:rFonts w:ascii="宋体" w:hAnsi="宋体"/>
          <w:b/>
          <w:szCs w:val="21"/>
        </w:rPr>
      </w:pPr>
      <w:r>
        <w:rPr>
          <w:rFonts w:hint="eastAsia" w:ascii="宋体" w:hAnsi="宋体"/>
          <w:b/>
          <w:bCs/>
          <w:kern w:val="0"/>
          <w:szCs w:val="21"/>
        </w:rPr>
        <w:t>第八条合同备案及其他</w:t>
      </w:r>
    </w:p>
    <w:p>
      <w:pPr>
        <w:widowControl/>
        <w:ind w:firstLine="420" w:firstLineChars="200"/>
        <w:jc w:val="left"/>
        <w:rPr>
          <w:rFonts w:ascii="宋体" w:hAnsi="宋体"/>
          <w:szCs w:val="21"/>
        </w:rPr>
      </w:pPr>
      <w:r>
        <w:rPr>
          <w:rFonts w:hint="eastAsia" w:ascii="宋体" w:hAnsi="宋体"/>
          <w:kern w:val="0"/>
          <w:szCs w:val="21"/>
        </w:rPr>
        <w:t>本合同一式</w:t>
      </w:r>
      <w:r>
        <w:rPr>
          <w:rFonts w:ascii="宋体" w:hAnsi="宋体"/>
          <w:kern w:val="0"/>
          <w:szCs w:val="21"/>
          <w:u w:val="single"/>
        </w:rPr>
        <w:t>五</w:t>
      </w:r>
      <w:r>
        <w:rPr>
          <w:rFonts w:hint="eastAsia" w:ascii="宋体" w:hAnsi="宋体"/>
          <w:kern w:val="0"/>
          <w:szCs w:val="21"/>
        </w:rPr>
        <w:t>份，甲乙双方各执</w:t>
      </w:r>
      <w:r>
        <w:rPr>
          <w:rFonts w:ascii="宋体" w:hAnsi="宋体"/>
          <w:kern w:val="0"/>
          <w:szCs w:val="21"/>
          <w:u w:val="single"/>
        </w:rPr>
        <w:t>一</w:t>
      </w:r>
      <w:r>
        <w:rPr>
          <w:rFonts w:hint="eastAsia" w:ascii="宋体" w:hAnsi="宋体"/>
          <w:kern w:val="0"/>
          <w:szCs w:val="21"/>
        </w:rPr>
        <w:t>份，</w:t>
      </w:r>
      <w:r>
        <w:rPr>
          <w:rFonts w:hint="eastAsia" w:ascii="宋体" w:hAnsi="宋体"/>
          <w:kern w:val="0"/>
          <w:szCs w:val="21"/>
          <w:u w:val="single"/>
        </w:rPr>
        <w:t>一</w:t>
      </w:r>
      <w:r>
        <w:rPr>
          <w:rFonts w:hint="eastAsia" w:ascii="宋体" w:hAnsi="宋体"/>
          <w:kern w:val="0"/>
          <w:szCs w:val="21"/>
        </w:rPr>
        <w:t>份报送政府采购监督管理部门备案，</w:t>
      </w:r>
      <w:r>
        <w:rPr>
          <w:rFonts w:ascii="宋体" w:hAnsi="宋体"/>
          <w:kern w:val="0"/>
          <w:szCs w:val="21"/>
          <w:u w:val="single"/>
        </w:rPr>
        <w:t>一</w:t>
      </w:r>
      <w:r>
        <w:rPr>
          <w:rFonts w:hint="eastAsia" w:ascii="宋体" w:hAnsi="宋体"/>
          <w:kern w:val="0"/>
          <w:szCs w:val="21"/>
        </w:rPr>
        <w:t>份留采购代理单位存档备查。</w:t>
      </w:r>
      <w:r>
        <w:rPr>
          <w:rFonts w:hint="eastAsia" w:ascii="宋体" w:hAnsi="宋体"/>
          <w:kern w:val="0"/>
          <w:szCs w:val="21"/>
          <w:u w:val="single"/>
        </w:rPr>
        <w:t>一</w:t>
      </w:r>
      <w:r>
        <w:rPr>
          <w:rFonts w:hint="eastAsia" w:ascii="宋体" w:hAnsi="宋体"/>
          <w:kern w:val="0"/>
          <w:szCs w:val="21"/>
        </w:rPr>
        <w:t>份送</w:t>
      </w:r>
      <w:r>
        <w:rPr>
          <w:rFonts w:hint="eastAsia" w:ascii="宋体" w:hAnsi="宋体"/>
          <w:szCs w:val="21"/>
        </w:rPr>
        <w:t>财政核算支付中心</w:t>
      </w:r>
      <w:r>
        <w:rPr>
          <w:rFonts w:hint="eastAsia" w:ascii="宋体" w:hAnsi="宋体"/>
          <w:kern w:val="0"/>
          <w:szCs w:val="21"/>
        </w:rPr>
        <w:t>。</w:t>
      </w:r>
      <w:r>
        <w:rPr>
          <w:rFonts w:hint="eastAsia" w:ascii="宋体" w:hAnsi="宋体"/>
          <w:b/>
          <w:bCs/>
          <w:kern w:val="0"/>
          <w:szCs w:val="21"/>
          <w:u w:val="single"/>
        </w:rPr>
        <w:t>（若执行“政采贷”，另加二份）</w:t>
      </w:r>
    </w:p>
    <w:p>
      <w:pPr>
        <w:widowControl/>
        <w:ind w:firstLine="420" w:firstLineChars="200"/>
        <w:jc w:val="left"/>
        <w:rPr>
          <w:rFonts w:ascii="宋体" w:hAnsi="宋体"/>
          <w:kern w:val="0"/>
          <w:szCs w:val="21"/>
        </w:rPr>
      </w:pPr>
    </w:p>
    <w:p>
      <w:pPr>
        <w:pStyle w:val="3"/>
        <w:ind w:firstLine="600" w:firstLineChars="200"/>
        <w:rPr>
          <w:rFonts w:ascii="宋体" w:hAnsi="宋体"/>
          <w:sz w:val="32"/>
          <w:szCs w:val="32"/>
        </w:rPr>
      </w:pPr>
      <w:r>
        <w:rPr>
          <w:rFonts w:ascii="宋体" w:hAnsi="宋体"/>
          <w:b w:val="0"/>
        </w:rPr>
        <w:br w:type="page"/>
      </w:r>
      <w:bookmarkStart w:id="130" w:name="_Toc42879258"/>
      <w:bookmarkStart w:id="131" w:name="_Toc3386512"/>
      <w:bookmarkStart w:id="132" w:name="_Toc39655267"/>
      <w:bookmarkStart w:id="133" w:name="_Toc50211562"/>
      <w:bookmarkStart w:id="134" w:name="_Toc89897663"/>
      <w:bookmarkStart w:id="135" w:name="_Toc16185638"/>
      <w:r>
        <w:rPr>
          <w:rFonts w:hint="eastAsia" w:ascii="宋体" w:hAnsi="宋体"/>
        </w:rPr>
        <w:t>二、特殊专用条款部分</w:t>
      </w:r>
      <w:bookmarkEnd w:id="130"/>
      <w:bookmarkEnd w:id="131"/>
      <w:bookmarkEnd w:id="132"/>
      <w:bookmarkEnd w:id="133"/>
      <w:bookmarkEnd w:id="134"/>
      <w:bookmarkEnd w:id="135"/>
    </w:p>
    <w:p>
      <w:pPr>
        <w:snapToGrid w:val="0"/>
        <w:ind w:firstLine="422" w:firstLineChars="200"/>
        <w:rPr>
          <w:rFonts w:hint="eastAsia" w:ascii="宋体" w:hAnsi="宋体"/>
          <w:b/>
          <w:szCs w:val="21"/>
        </w:rPr>
      </w:pPr>
      <w:r>
        <w:rPr>
          <w:rFonts w:hint="eastAsia" w:ascii="宋体" w:hAnsi="宋体"/>
          <w:b/>
          <w:szCs w:val="21"/>
        </w:rPr>
        <w:t>第一条服务或货物内容</w:t>
      </w:r>
    </w:p>
    <w:p>
      <w:pPr>
        <w:snapToGrid w:val="0"/>
        <w:ind w:firstLine="422" w:firstLineChars="200"/>
        <w:rPr>
          <w:rFonts w:hint="eastAsia" w:ascii="宋体" w:hAnsi="宋体"/>
          <w:b/>
          <w:szCs w:val="21"/>
        </w:rPr>
      </w:pPr>
      <w:r>
        <w:rPr>
          <w:rFonts w:hint="eastAsia" w:ascii="宋体" w:hAnsi="宋体"/>
          <w:b/>
          <w:szCs w:val="21"/>
        </w:rPr>
        <w:t>第二条</w:t>
      </w:r>
      <w:r>
        <w:rPr>
          <w:rFonts w:ascii="宋体" w:hAnsi="宋体"/>
          <w:b/>
          <w:szCs w:val="21"/>
        </w:rPr>
        <w:t>合同履行时间、履行方式及履行地点</w:t>
      </w:r>
    </w:p>
    <w:p>
      <w:pPr>
        <w:snapToGrid w:val="0"/>
        <w:ind w:firstLine="420" w:firstLineChars="200"/>
        <w:rPr>
          <w:rFonts w:hint="eastAsia" w:ascii="宋体" w:hAnsi="宋体"/>
          <w:bCs/>
          <w:szCs w:val="21"/>
        </w:rPr>
      </w:pPr>
      <w:r>
        <w:rPr>
          <w:rFonts w:ascii="宋体" w:hAnsi="宋体"/>
          <w:bCs/>
          <w:szCs w:val="21"/>
        </w:rPr>
        <w:t>1</w:t>
      </w:r>
      <w:r>
        <w:rPr>
          <w:rFonts w:hint="eastAsia" w:ascii="宋体" w:hAnsi="宋体"/>
          <w:bCs/>
          <w:szCs w:val="21"/>
        </w:rPr>
        <w:t>、</w:t>
      </w:r>
      <w:r>
        <w:rPr>
          <w:rFonts w:ascii="宋体" w:hAnsi="宋体"/>
          <w:szCs w:val="21"/>
        </w:rPr>
        <w:t>履行时间</w:t>
      </w:r>
      <w:r>
        <w:rPr>
          <w:rFonts w:ascii="宋体" w:hAnsi="宋体"/>
          <w:bCs/>
          <w:szCs w:val="21"/>
        </w:rPr>
        <w:t>：</w:t>
      </w:r>
    </w:p>
    <w:p>
      <w:pPr>
        <w:snapToGrid w:val="0"/>
        <w:ind w:firstLine="420" w:firstLineChars="200"/>
        <w:rPr>
          <w:rFonts w:ascii="宋体" w:hAnsi="宋体"/>
          <w:bCs/>
          <w:szCs w:val="21"/>
        </w:rPr>
      </w:pPr>
      <w:r>
        <w:rPr>
          <w:rFonts w:ascii="宋体" w:hAnsi="宋体"/>
          <w:bCs/>
          <w:szCs w:val="21"/>
        </w:rPr>
        <w:t>2</w:t>
      </w:r>
      <w:r>
        <w:rPr>
          <w:rFonts w:hint="eastAsia" w:ascii="宋体" w:hAnsi="宋体"/>
          <w:bCs/>
          <w:szCs w:val="21"/>
        </w:rPr>
        <w:t>、</w:t>
      </w:r>
      <w:r>
        <w:rPr>
          <w:rFonts w:ascii="宋体" w:hAnsi="宋体"/>
          <w:szCs w:val="21"/>
        </w:rPr>
        <w:t>履行方式</w:t>
      </w:r>
      <w:r>
        <w:rPr>
          <w:rFonts w:ascii="宋体" w:hAnsi="宋体"/>
          <w:bCs/>
          <w:szCs w:val="21"/>
        </w:rPr>
        <w:t>：</w:t>
      </w:r>
    </w:p>
    <w:p>
      <w:pPr>
        <w:snapToGrid w:val="0"/>
        <w:ind w:firstLine="420" w:firstLineChars="200"/>
        <w:rPr>
          <w:rFonts w:hint="eastAsia" w:ascii="宋体" w:hAnsi="宋体"/>
          <w:bCs/>
          <w:szCs w:val="21"/>
        </w:rPr>
      </w:pPr>
      <w:r>
        <w:rPr>
          <w:rFonts w:ascii="宋体" w:hAnsi="宋体"/>
          <w:bCs/>
          <w:szCs w:val="21"/>
        </w:rPr>
        <w:t>3</w:t>
      </w:r>
      <w:r>
        <w:rPr>
          <w:rFonts w:hint="eastAsia" w:ascii="宋体" w:hAnsi="宋体"/>
          <w:bCs/>
          <w:szCs w:val="21"/>
        </w:rPr>
        <w:t>、</w:t>
      </w:r>
      <w:r>
        <w:rPr>
          <w:rFonts w:ascii="宋体" w:hAnsi="宋体"/>
          <w:szCs w:val="21"/>
        </w:rPr>
        <w:t>履行地点</w:t>
      </w:r>
      <w:r>
        <w:rPr>
          <w:rFonts w:ascii="宋体" w:hAnsi="宋体"/>
          <w:bCs/>
          <w:szCs w:val="21"/>
        </w:rPr>
        <w:t>：</w:t>
      </w:r>
    </w:p>
    <w:p>
      <w:pPr>
        <w:snapToGrid w:val="0"/>
        <w:ind w:firstLine="422" w:firstLineChars="200"/>
        <w:rPr>
          <w:rFonts w:hint="eastAsia" w:ascii="宋体" w:hAnsi="宋体"/>
          <w:b/>
          <w:szCs w:val="21"/>
        </w:rPr>
      </w:pPr>
      <w:r>
        <w:rPr>
          <w:rFonts w:hint="eastAsia" w:ascii="宋体" w:hAnsi="宋体"/>
          <w:b/>
          <w:szCs w:val="21"/>
        </w:rPr>
        <w:t>第</w:t>
      </w:r>
      <w:r>
        <w:rPr>
          <w:rFonts w:ascii="宋体" w:hAnsi="宋体"/>
          <w:b/>
          <w:szCs w:val="21"/>
        </w:rPr>
        <w:t>三</w:t>
      </w:r>
      <w:r>
        <w:rPr>
          <w:rFonts w:hint="eastAsia" w:ascii="宋体" w:hAnsi="宋体"/>
          <w:b/>
          <w:szCs w:val="21"/>
        </w:rPr>
        <w:t>条</w:t>
      </w:r>
      <w:r>
        <w:rPr>
          <w:rFonts w:ascii="宋体" w:hAnsi="宋体"/>
          <w:b/>
          <w:szCs w:val="21"/>
        </w:rPr>
        <w:t>技术资料</w:t>
      </w:r>
    </w:p>
    <w:p>
      <w:pPr>
        <w:snapToGrid w:val="0"/>
        <w:ind w:firstLine="420" w:firstLineChars="200"/>
        <w:rPr>
          <w:rFonts w:hint="eastAsia" w:ascii="宋体" w:hAnsi="宋体"/>
          <w:szCs w:val="21"/>
        </w:rPr>
      </w:pPr>
      <w:r>
        <w:rPr>
          <w:rFonts w:ascii="宋体" w:hAnsi="宋体"/>
          <w:szCs w:val="21"/>
        </w:rPr>
        <w:t>1</w:t>
      </w:r>
      <w:r>
        <w:rPr>
          <w:rFonts w:hint="eastAsia" w:ascii="宋体" w:hAnsi="宋体"/>
          <w:szCs w:val="21"/>
        </w:rPr>
        <w:t>、</w:t>
      </w:r>
      <w:r>
        <w:rPr>
          <w:rFonts w:ascii="宋体" w:hAnsi="宋体"/>
          <w:szCs w:val="21"/>
        </w:rPr>
        <w:t>乙方应按招标文件规定的时间向甲方提供有关技术资料。</w:t>
      </w:r>
    </w:p>
    <w:p>
      <w:pPr>
        <w:snapToGrid w:val="0"/>
        <w:ind w:firstLine="420" w:firstLineChars="200"/>
        <w:rPr>
          <w:rFonts w:hint="eastAsia" w:ascii="宋体" w:hAnsi="宋体"/>
          <w:szCs w:val="21"/>
        </w:rPr>
      </w:pPr>
      <w:r>
        <w:rPr>
          <w:rFonts w:ascii="宋体" w:hAnsi="宋体"/>
          <w:szCs w:val="21"/>
        </w:rPr>
        <w:t>2</w:t>
      </w:r>
      <w:r>
        <w:rPr>
          <w:rFonts w:hint="eastAsia" w:ascii="宋体" w:hAnsi="宋体"/>
          <w:szCs w:val="21"/>
        </w:rPr>
        <w:t>、</w:t>
      </w:r>
      <w:r>
        <w:rPr>
          <w:rFonts w:ascii="宋体" w:hAnsi="宋体"/>
          <w:szCs w:val="21"/>
        </w:rPr>
        <w:t>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snapToGrid w:val="0"/>
        <w:ind w:firstLine="422" w:firstLineChars="200"/>
        <w:rPr>
          <w:rFonts w:hint="eastAsia" w:ascii="宋体" w:hAnsi="宋体"/>
          <w:b/>
          <w:szCs w:val="21"/>
        </w:rPr>
      </w:pPr>
      <w:r>
        <w:rPr>
          <w:rFonts w:hint="eastAsia" w:ascii="宋体" w:hAnsi="宋体"/>
          <w:b/>
          <w:szCs w:val="21"/>
        </w:rPr>
        <w:t>第</w:t>
      </w:r>
      <w:r>
        <w:rPr>
          <w:rFonts w:ascii="宋体" w:hAnsi="宋体"/>
          <w:b/>
          <w:szCs w:val="21"/>
        </w:rPr>
        <w:t>四</w:t>
      </w:r>
      <w:r>
        <w:rPr>
          <w:rFonts w:hint="eastAsia" w:ascii="宋体" w:hAnsi="宋体"/>
          <w:b/>
          <w:szCs w:val="21"/>
        </w:rPr>
        <w:t>条</w:t>
      </w:r>
      <w:r>
        <w:rPr>
          <w:rFonts w:ascii="宋体" w:hAnsi="宋体"/>
          <w:b/>
          <w:szCs w:val="21"/>
        </w:rPr>
        <w:t>知识产权</w:t>
      </w:r>
    </w:p>
    <w:p>
      <w:pPr>
        <w:snapToGrid w:val="0"/>
        <w:ind w:firstLine="420" w:firstLineChars="200"/>
        <w:rPr>
          <w:rFonts w:hint="eastAsia" w:ascii="宋体" w:hAnsi="宋体"/>
          <w:b/>
          <w:bCs/>
          <w:szCs w:val="21"/>
        </w:rPr>
      </w:pPr>
      <w:r>
        <w:rPr>
          <w:rFonts w:ascii="宋体" w:hAnsi="宋体"/>
          <w:szCs w:val="21"/>
        </w:rPr>
        <w:t>乙方应保证提供服务过程中不会侵犯任何第三方的知识产权</w:t>
      </w:r>
      <w:r>
        <w:rPr>
          <w:rFonts w:ascii="宋体" w:hAnsi="宋体"/>
          <w:bCs/>
          <w:szCs w:val="21"/>
        </w:rPr>
        <w:t>。</w:t>
      </w:r>
    </w:p>
    <w:p>
      <w:pPr>
        <w:snapToGrid w:val="0"/>
        <w:ind w:firstLine="422" w:firstLineChars="200"/>
        <w:rPr>
          <w:rFonts w:hint="eastAsia" w:ascii="宋体" w:hAnsi="宋体"/>
          <w:b/>
          <w:szCs w:val="21"/>
        </w:rPr>
      </w:pPr>
      <w:r>
        <w:rPr>
          <w:rFonts w:hint="eastAsia" w:ascii="宋体" w:hAnsi="宋体"/>
          <w:b/>
          <w:szCs w:val="21"/>
        </w:rPr>
        <w:t>第五条税费</w:t>
      </w:r>
    </w:p>
    <w:p>
      <w:pPr>
        <w:snapToGrid w:val="0"/>
        <w:ind w:firstLine="420" w:firstLineChars="200"/>
        <w:rPr>
          <w:rFonts w:hint="eastAsia" w:ascii="宋体" w:hAnsi="宋体"/>
          <w:szCs w:val="21"/>
        </w:rPr>
      </w:pPr>
      <w:r>
        <w:rPr>
          <w:rFonts w:hint="eastAsia" w:ascii="宋体" w:hAnsi="宋体"/>
          <w:szCs w:val="21"/>
        </w:rPr>
        <w:t>本合同执行中相关的一切税费均由</w:t>
      </w:r>
      <w:r>
        <w:rPr>
          <w:rFonts w:ascii="宋体" w:hAnsi="宋体"/>
          <w:szCs w:val="21"/>
        </w:rPr>
        <w:t>乙</w:t>
      </w:r>
      <w:r>
        <w:rPr>
          <w:rFonts w:hint="eastAsia" w:ascii="宋体" w:hAnsi="宋体"/>
          <w:szCs w:val="21"/>
        </w:rPr>
        <w:t>方负担。</w:t>
      </w:r>
    </w:p>
    <w:p>
      <w:pPr>
        <w:snapToGrid w:val="0"/>
        <w:ind w:firstLine="422" w:firstLineChars="200"/>
        <w:rPr>
          <w:rFonts w:hint="eastAsia" w:ascii="宋体" w:hAnsi="宋体"/>
          <w:b/>
          <w:szCs w:val="21"/>
        </w:rPr>
      </w:pPr>
      <w:r>
        <w:rPr>
          <w:rFonts w:hint="eastAsia" w:ascii="宋体" w:hAnsi="宋体"/>
          <w:b/>
          <w:szCs w:val="21"/>
        </w:rPr>
        <w:t>第六条</w:t>
      </w:r>
      <w:r>
        <w:rPr>
          <w:rFonts w:ascii="宋体" w:hAnsi="宋体"/>
          <w:b/>
          <w:szCs w:val="21"/>
        </w:rPr>
        <w:t>违约责任</w:t>
      </w:r>
    </w:p>
    <w:p>
      <w:pPr>
        <w:snapToGrid w:val="0"/>
        <w:ind w:firstLine="420" w:firstLineChars="200"/>
        <w:rPr>
          <w:rFonts w:hint="eastAsia" w:ascii="宋体" w:hAnsi="宋体"/>
          <w:szCs w:val="21"/>
        </w:rPr>
      </w:pPr>
      <w:r>
        <w:rPr>
          <w:rFonts w:hint="eastAsia" w:ascii="宋体" w:hAnsi="宋体"/>
          <w:szCs w:val="21"/>
        </w:rPr>
        <w:t>1、</w:t>
      </w:r>
      <w:r>
        <w:rPr>
          <w:rFonts w:ascii="宋体" w:hAnsi="宋体"/>
          <w:szCs w:val="21"/>
        </w:rPr>
        <w:t>甲方无正当理由拒收接受服务的，甲方向乙方偿付合同款项百分之五作为违约金。</w:t>
      </w:r>
    </w:p>
    <w:p>
      <w:pPr>
        <w:snapToGrid w:val="0"/>
        <w:ind w:firstLine="420" w:firstLineChars="200"/>
        <w:rPr>
          <w:rFonts w:hint="eastAsia" w:ascii="宋体" w:hAnsi="宋体"/>
          <w:szCs w:val="21"/>
        </w:rPr>
      </w:pPr>
      <w:r>
        <w:rPr>
          <w:rFonts w:hint="eastAsia" w:ascii="宋体" w:hAnsi="宋体"/>
          <w:szCs w:val="21"/>
        </w:rPr>
        <w:t>2、</w:t>
      </w:r>
      <w:r>
        <w:rPr>
          <w:rFonts w:ascii="宋体" w:hAnsi="宋体"/>
          <w:szCs w:val="21"/>
        </w:rPr>
        <w:t>甲方无故逾期验收和办理款项支付手续的，甲方应按逾期付款总额每日万分之五向乙方支付违约金。</w:t>
      </w:r>
    </w:p>
    <w:p>
      <w:pPr>
        <w:snapToGrid w:val="0"/>
        <w:ind w:firstLine="420" w:firstLineChars="200"/>
        <w:rPr>
          <w:rFonts w:ascii="宋体" w:hAnsi="宋体"/>
          <w:szCs w:val="21"/>
        </w:rPr>
      </w:pPr>
      <w:r>
        <w:rPr>
          <w:rFonts w:ascii="宋体" w:hAnsi="宋体"/>
          <w:szCs w:val="21"/>
        </w:rPr>
        <w:t>3</w:t>
      </w:r>
      <w:r>
        <w:rPr>
          <w:rFonts w:hint="eastAsia" w:ascii="宋体" w:hAnsi="宋体"/>
          <w:szCs w:val="21"/>
        </w:rPr>
        <w:t>、</w:t>
      </w:r>
      <w:r>
        <w:rPr>
          <w:rFonts w:ascii="宋体" w:hAnsi="宋体"/>
          <w:szCs w:val="21"/>
        </w:rPr>
        <w:t>乙方</w:t>
      </w:r>
      <w:r>
        <w:rPr>
          <w:rFonts w:hint="eastAsia" w:ascii="宋体" w:hAnsi="宋体"/>
          <w:szCs w:val="21"/>
        </w:rPr>
        <w:t>未能如</w:t>
      </w:r>
      <w:r>
        <w:rPr>
          <w:rFonts w:ascii="宋体" w:hAnsi="宋体"/>
          <w:szCs w:val="21"/>
        </w:rPr>
        <w:t>期提供服务的，每日向甲方支付</w:t>
      </w:r>
      <w:r>
        <w:rPr>
          <w:rFonts w:hint="eastAsia" w:ascii="宋体" w:hAnsi="宋体"/>
          <w:szCs w:val="21"/>
        </w:rPr>
        <w:t>合同款项的</w:t>
      </w:r>
      <w:r>
        <w:rPr>
          <w:rFonts w:ascii="宋体" w:hAnsi="宋体"/>
          <w:szCs w:val="21"/>
        </w:rPr>
        <w:t>千分之六</w:t>
      </w:r>
      <w:r>
        <w:rPr>
          <w:rFonts w:hint="eastAsia" w:ascii="宋体" w:hAnsi="宋体"/>
          <w:szCs w:val="21"/>
        </w:rPr>
        <w:t>作为</w:t>
      </w:r>
      <w:r>
        <w:rPr>
          <w:rFonts w:ascii="宋体" w:hAnsi="宋体"/>
          <w:szCs w:val="21"/>
        </w:rPr>
        <w:t>违约金。乙方超过约定日期10个工作日</w:t>
      </w:r>
      <w:r>
        <w:rPr>
          <w:rFonts w:hint="eastAsia" w:ascii="宋体" w:hAnsi="宋体"/>
          <w:szCs w:val="21"/>
        </w:rPr>
        <w:t>仍</w:t>
      </w:r>
      <w:r>
        <w:rPr>
          <w:rFonts w:ascii="宋体" w:hAnsi="宋体"/>
          <w:szCs w:val="21"/>
        </w:rPr>
        <w:t>不能</w:t>
      </w:r>
      <w:r>
        <w:rPr>
          <w:rFonts w:hint="eastAsia" w:ascii="宋体" w:hAnsi="宋体"/>
          <w:szCs w:val="21"/>
        </w:rPr>
        <w:t>提供服务</w:t>
      </w:r>
      <w:r>
        <w:rPr>
          <w:rFonts w:ascii="宋体" w:hAnsi="宋体"/>
          <w:szCs w:val="21"/>
        </w:rPr>
        <w:t>的，甲方可解除本合同。乙方因</w:t>
      </w:r>
      <w:r>
        <w:rPr>
          <w:rFonts w:hint="eastAsia" w:ascii="宋体" w:hAnsi="宋体"/>
          <w:szCs w:val="21"/>
        </w:rPr>
        <w:t>未能如</w:t>
      </w:r>
      <w:r>
        <w:rPr>
          <w:rFonts w:ascii="宋体" w:hAnsi="宋体"/>
          <w:szCs w:val="21"/>
        </w:rPr>
        <w:t>期提供服务或因其他违约行为导致甲方解除合同的，乙方应向甲方支付合同总值5%的违约金，如造成甲方损失超过违约金的，超出部分由乙方继续承担赔偿责任。</w:t>
      </w:r>
    </w:p>
    <w:p>
      <w:pPr>
        <w:snapToGrid w:val="0"/>
        <w:ind w:firstLine="422" w:firstLineChars="200"/>
        <w:rPr>
          <w:rFonts w:ascii="宋体" w:hAnsi="宋体"/>
          <w:b/>
          <w:szCs w:val="21"/>
        </w:rPr>
      </w:pPr>
      <w:r>
        <w:rPr>
          <w:rFonts w:hint="eastAsia" w:ascii="宋体" w:hAnsi="宋体"/>
          <w:b/>
          <w:szCs w:val="21"/>
        </w:rPr>
        <w:t>第七条</w:t>
      </w:r>
      <w:r>
        <w:rPr>
          <w:rFonts w:ascii="宋体" w:hAnsi="宋体"/>
          <w:b/>
          <w:szCs w:val="21"/>
        </w:rPr>
        <w:t>不可抗力事件处理</w:t>
      </w:r>
    </w:p>
    <w:p>
      <w:pPr>
        <w:snapToGrid w:val="0"/>
        <w:ind w:firstLine="420" w:firstLineChars="200"/>
        <w:rPr>
          <w:rFonts w:ascii="宋体" w:hAnsi="宋体"/>
          <w:szCs w:val="21"/>
        </w:rPr>
      </w:pPr>
      <w:r>
        <w:rPr>
          <w:rFonts w:ascii="宋体" w:hAnsi="宋体"/>
          <w:szCs w:val="21"/>
        </w:rPr>
        <w:t>1</w:t>
      </w:r>
      <w:r>
        <w:rPr>
          <w:rFonts w:hint="eastAsia" w:ascii="宋体" w:hAnsi="宋体"/>
          <w:szCs w:val="21"/>
        </w:rPr>
        <w:t>、</w:t>
      </w:r>
      <w:r>
        <w:rPr>
          <w:rFonts w:ascii="宋体" w:hAnsi="宋体"/>
          <w:szCs w:val="21"/>
        </w:rPr>
        <w:t>在合同有效期内，任何一方因不可抗力事件导致不能履行合同，则合同履行期可延长，其延长期与不可抗力影响期相同。</w:t>
      </w:r>
    </w:p>
    <w:p>
      <w:pPr>
        <w:snapToGrid w:val="0"/>
        <w:ind w:firstLine="420" w:firstLineChars="200"/>
        <w:rPr>
          <w:rFonts w:ascii="宋体" w:hAnsi="宋体"/>
          <w:szCs w:val="21"/>
        </w:rPr>
      </w:pPr>
      <w:r>
        <w:rPr>
          <w:rFonts w:ascii="宋体" w:hAnsi="宋体"/>
          <w:szCs w:val="21"/>
        </w:rPr>
        <w:t>2</w:t>
      </w:r>
      <w:r>
        <w:rPr>
          <w:rFonts w:hint="eastAsia" w:ascii="宋体" w:hAnsi="宋体"/>
          <w:szCs w:val="21"/>
        </w:rPr>
        <w:t>、不</w:t>
      </w:r>
      <w:r>
        <w:rPr>
          <w:rFonts w:ascii="宋体" w:hAnsi="宋体"/>
          <w:szCs w:val="21"/>
        </w:rPr>
        <w:t>可抗力事件发生后，应立即通知对方，并寄送有关权威机构出具的证明。</w:t>
      </w:r>
    </w:p>
    <w:p>
      <w:pPr>
        <w:snapToGrid w:val="0"/>
        <w:ind w:firstLine="420" w:firstLineChars="200"/>
        <w:rPr>
          <w:rFonts w:hint="eastAsia" w:ascii="宋体" w:hAnsi="宋体"/>
          <w:szCs w:val="21"/>
        </w:rPr>
      </w:pPr>
      <w:r>
        <w:rPr>
          <w:rFonts w:ascii="宋体" w:hAnsi="宋体"/>
          <w:szCs w:val="21"/>
        </w:rPr>
        <w:t>3</w:t>
      </w:r>
      <w:r>
        <w:rPr>
          <w:rFonts w:hint="eastAsia" w:ascii="宋体" w:hAnsi="宋体"/>
          <w:szCs w:val="21"/>
        </w:rPr>
        <w:t>、</w:t>
      </w:r>
      <w:r>
        <w:rPr>
          <w:rFonts w:ascii="宋体" w:hAnsi="宋体"/>
          <w:szCs w:val="21"/>
        </w:rPr>
        <w:t>不可抗力事件延续120天以上，双方应通过友好协商，确定是否继续履行合同。</w:t>
      </w:r>
    </w:p>
    <w:p>
      <w:pPr>
        <w:snapToGrid w:val="0"/>
        <w:ind w:firstLine="422" w:firstLineChars="200"/>
        <w:rPr>
          <w:rFonts w:hint="eastAsia" w:ascii="宋体" w:hAnsi="宋体"/>
          <w:b/>
          <w:szCs w:val="21"/>
        </w:rPr>
      </w:pPr>
      <w:r>
        <w:rPr>
          <w:rFonts w:hint="eastAsia" w:ascii="宋体" w:hAnsi="宋体"/>
          <w:b/>
          <w:szCs w:val="21"/>
        </w:rPr>
        <w:t>第八条</w:t>
      </w:r>
      <w:r>
        <w:rPr>
          <w:rFonts w:ascii="宋体" w:hAnsi="宋体"/>
          <w:b/>
          <w:szCs w:val="21"/>
        </w:rPr>
        <w:t>诉讼</w:t>
      </w:r>
    </w:p>
    <w:p>
      <w:pPr>
        <w:snapToGrid w:val="0"/>
        <w:ind w:firstLine="420" w:firstLineChars="200"/>
        <w:rPr>
          <w:rFonts w:hint="eastAsia" w:ascii="宋体" w:hAnsi="宋体"/>
          <w:szCs w:val="21"/>
        </w:rPr>
      </w:pPr>
      <w:r>
        <w:rPr>
          <w:rFonts w:ascii="宋体" w:hAnsi="宋体"/>
          <w:szCs w:val="21"/>
        </w:rPr>
        <w:t>双方在执行合同中所发生的一切争议，应通过协商解决。如协商不成，可向</w:t>
      </w:r>
      <w:r>
        <w:rPr>
          <w:rFonts w:hint="eastAsia" w:ascii="宋体" w:hAnsi="宋体"/>
          <w:szCs w:val="21"/>
        </w:rPr>
        <w:t>甲方所在</w:t>
      </w:r>
      <w:r>
        <w:rPr>
          <w:rFonts w:ascii="宋体" w:hAnsi="宋体"/>
          <w:szCs w:val="21"/>
        </w:rPr>
        <w:t>地法院起诉。</w:t>
      </w:r>
    </w:p>
    <w:p>
      <w:pPr>
        <w:snapToGrid w:val="0"/>
        <w:ind w:firstLine="422" w:firstLineChars="200"/>
        <w:rPr>
          <w:rFonts w:ascii="宋体" w:hAnsi="宋体"/>
          <w:b/>
          <w:szCs w:val="21"/>
        </w:rPr>
      </w:pPr>
      <w:r>
        <w:rPr>
          <w:rFonts w:hint="eastAsia" w:ascii="宋体" w:hAnsi="宋体"/>
          <w:b/>
          <w:szCs w:val="21"/>
        </w:rPr>
        <w:t>第九条</w:t>
      </w:r>
      <w:r>
        <w:rPr>
          <w:rFonts w:ascii="宋体" w:hAnsi="宋体"/>
          <w:b/>
          <w:szCs w:val="21"/>
        </w:rPr>
        <w:t>合同生效及其它</w:t>
      </w:r>
    </w:p>
    <w:p>
      <w:pPr>
        <w:autoSpaceDE w:val="0"/>
        <w:autoSpaceDN w:val="0"/>
        <w:adjustRightInd w:val="0"/>
        <w:ind w:firstLine="420" w:firstLineChars="200"/>
        <w:rPr>
          <w:rFonts w:ascii="宋体" w:hAnsi="宋体"/>
          <w:szCs w:val="21"/>
        </w:rPr>
      </w:pPr>
      <w:r>
        <w:rPr>
          <w:rFonts w:ascii="宋体" w:hAnsi="宋体"/>
          <w:szCs w:val="21"/>
        </w:rPr>
        <w:t>1</w:t>
      </w:r>
      <w:r>
        <w:rPr>
          <w:rFonts w:hint="eastAsia" w:ascii="宋体" w:hAnsi="宋体"/>
          <w:szCs w:val="21"/>
        </w:rPr>
        <w:t>、</w:t>
      </w:r>
      <w:r>
        <w:rPr>
          <w:rFonts w:ascii="宋体" w:hAnsi="宋体"/>
          <w:szCs w:val="21"/>
        </w:rPr>
        <w:t>合同经双方法定代表人或授权委托代理人签字并加盖单位公章后生效。</w:t>
      </w:r>
    </w:p>
    <w:p>
      <w:pPr>
        <w:autoSpaceDE w:val="0"/>
        <w:autoSpaceDN w:val="0"/>
        <w:adjustRightInd w:val="0"/>
        <w:ind w:firstLine="420" w:firstLineChars="200"/>
        <w:rPr>
          <w:rFonts w:ascii="宋体" w:hAnsi="宋体"/>
          <w:szCs w:val="21"/>
        </w:rPr>
      </w:pPr>
      <w:r>
        <w:rPr>
          <w:rFonts w:hint="eastAsia" w:ascii="宋体" w:hAnsi="宋体"/>
          <w:szCs w:val="21"/>
        </w:rPr>
        <w:t>2、</w:t>
      </w:r>
      <w:r>
        <w:rPr>
          <w:rFonts w:ascii="宋体" w:hAnsi="宋体"/>
          <w:szCs w:val="21"/>
        </w:rPr>
        <w:t>本合同未尽事宜，遵照《</w:t>
      </w:r>
      <w:r>
        <w:rPr>
          <w:rFonts w:ascii="宋体" w:hAnsi="宋体"/>
          <w:kern w:val="0"/>
          <w:szCs w:val="21"/>
        </w:rPr>
        <w:t>中华人民共和国</w:t>
      </w:r>
      <w:r>
        <w:rPr>
          <w:rFonts w:hint="eastAsia" w:ascii="宋体" w:hAnsi="宋体"/>
          <w:szCs w:val="21"/>
        </w:rPr>
        <w:t>民法典</w:t>
      </w:r>
      <w:r>
        <w:rPr>
          <w:rFonts w:ascii="宋体" w:hAnsi="宋体"/>
          <w:szCs w:val="21"/>
        </w:rPr>
        <w:t>》有关条文执行。</w:t>
      </w:r>
    </w:p>
    <w:p>
      <w:pPr>
        <w:autoSpaceDE w:val="0"/>
        <w:autoSpaceDN w:val="0"/>
        <w:adjustRightInd w:val="0"/>
        <w:ind w:firstLine="420" w:firstLineChars="200"/>
        <w:rPr>
          <w:rFonts w:ascii="宋体" w:hAnsi="宋体"/>
          <w:szCs w:val="21"/>
        </w:rPr>
      </w:pPr>
      <w:r>
        <w:rPr>
          <w:rFonts w:hint="eastAsia" w:ascii="宋体" w:hAnsi="宋体"/>
          <w:szCs w:val="21"/>
        </w:rPr>
        <w:t xml:space="preserve">甲方：                               乙方： </w:t>
      </w:r>
    </w:p>
    <w:p>
      <w:pPr>
        <w:autoSpaceDE w:val="0"/>
        <w:autoSpaceDN w:val="0"/>
        <w:adjustRightInd w:val="0"/>
        <w:ind w:firstLine="420" w:firstLineChars="200"/>
        <w:rPr>
          <w:rFonts w:ascii="宋体" w:hAnsi="宋体"/>
          <w:szCs w:val="21"/>
        </w:rPr>
      </w:pPr>
      <w:r>
        <w:rPr>
          <w:rFonts w:hint="eastAsia" w:ascii="宋体" w:hAnsi="宋体"/>
          <w:szCs w:val="21"/>
        </w:rPr>
        <w:t xml:space="preserve">地址：                               地址： </w:t>
      </w:r>
    </w:p>
    <w:p>
      <w:pPr>
        <w:autoSpaceDE w:val="0"/>
        <w:autoSpaceDN w:val="0"/>
        <w:adjustRightInd w:val="0"/>
        <w:ind w:firstLine="420" w:firstLineChars="200"/>
        <w:rPr>
          <w:rFonts w:ascii="宋体" w:hAnsi="宋体"/>
          <w:szCs w:val="21"/>
        </w:rPr>
      </w:pPr>
      <w:r>
        <w:rPr>
          <w:rFonts w:hint="eastAsia" w:ascii="宋体" w:hAnsi="宋体"/>
          <w:szCs w:val="21"/>
        </w:rPr>
        <w:t>法定代表人或                         法定代表人或</w:t>
      </w:r>
    </w:p>
    <w:p>
      <w:pPr>
        <w:autoSpaceDE w:val="0"/>
        <w:autoSpaceDN w:val="0"/>
        <w:adjustRightInd w:val="0"/>
        <w:ind w:firstLine="420" w:firstLineChars="200"/>
        <w:rPr>
          <w:rFonts w:ascii="宋体" w:hAnsi="宋体"/>
          <w:szCs w:val="21"/>
        </w:rPr>
      </w:pPr>
      <w:r>
        <w:rPr>
          <w:rFonts w:hint="eastAsia" w:ascii="宋体" w:hAnsi="宋体"/>
          <w:szCs w:val="21"/>
        </w:rPr>
        <w:t>授权委托代理人：（签字）             授权委托代理人：（签字）</w:t>
      </w:r>
    </w:p>
    <w:p>
      <w:pPr>
        <w:autoSpaceDE w:val="0"/>
        <w:autoSpaceDN w:val="0"/>
        <w:adjustRightInd w:val="0"/>
        <w:ind w:firstLine="420" w:firstLineChars="200"/>
        <w:rPr>
          <w:rFonts w:ascii="宋体" w:hAnsi="宋体"/>
          <w:szCs w:val="21"/>
        </w:rPr>
      </w:pPr>
      <w:r>
        <w:rPr>
          <w:rFonts w:hint="eastAsia" w:ascii="宋体" w:hAnsi="宋体"/>
          <w:szCs w:val="21"/>
        </w:rPr>
        <w:t>开户银行：</w:t>
      </w:r>
    </w:p>
    <w:p>
      <w:pPr>
        <w:autoSpaceDE w:val="0"/>
        <w:autoSpaceDN w:val="0"/>
        <w:adjustRightInd w:val="0"/>
        <w:ind w:firstLine="420" w:firstLineChars="200"/>
        <w:rPr>
          <w:rFonts w:ascii="宋体" w:hAnsi="宋体"/>
          <w:szCs w:val="21"/>
        </w:rPr>
      </w:pPr>
      <w:r>
        <w:rPr>
          <w:rFonts w:hint="eastAsia" w:ascii="宋体" w:hAnsi="宋体"/>
          <w:szCs w:val="21"/>
        </w:rPr>
        <w:t>账号：</w:t>
      </w:r>
    </w:p>
    <w:p>
      <w:pPr>
        <w:autoSpaceDE w:val="0"/>
        <w:autoSpaceDN w:val="0"/>
        <w:adjustRightInd w:val="0"/>
        <w:ind w:firstLine="420" w:firstLineChars="200"/>
        <w:rPr>
          <w:rFonts w:ascii="宋体" w:hAnsi="宋体"/>
          <w:szCs w:val="21"/>
        </w:rPr>
      </w:pPr>
    </w:p>
    <w:p>
      <w:pPr>
        <w:ind w:firstLine="420" w:firstLineChars="200"/>
        <w:rPr>
          <w:rFonts w:ascii="宋体" w:hAnsi="宋体"/>
          <w:szCs w:val="21"/>
        </w:rPr>
      </w:pPr>
      <w:r>
        <w:rPr>
          <w:rFonts w:hint="eastAsia" w:ascii="宋体" w:hAnsi="宋体"/>
          <w:szCs w:val="21"/>
        </w:rPr>
        <w:t>合同鉴证单位：浙江富昱项目管理有限公司</w:t>
      </w:r>
    </w:p>
    <w:p>
      <w:pPr>
        <w:ind w:firstLine="420" w:firstLineChars="200"/>
        <w:rPr>
          <w:rFonts w:ascii="宋体" w:hAnsi="宋体"/>
          <w:szCs w:val="21"/>
        </w:rPr>
      </w:pPr>
      <w:r>
        <w:rPr>
          <w:rFonts w:hint="eastAsia" w:ascii="宋体" w:hAnsi="宋体"/>
          <w:szCs w:val="21"/>
        </w:rPr>
        <w:t>法定代表人或经办人：</w:t>
      </w:r>
    </w:p>
    <w:p>
      <w:pPr>
        <w:ind w:firstLine="420" w:firstLineChars="200"/>
        <w:rPr>
          <w:rFonts w:ascii="宋体" w:hAnsi="宋体"/>
          <w:szCs w:val="21"/>
        </w:rPr>
      </w:pPr>
    </w:p>
    <w:p>
      <w:pPr>
        <w:ind w:firstLine="420" w:firstLineChars="200"/>
        <w:rPr>
          <w:rFonts w:ascii="宋体" w:hAnsi="宋体"/>
          <w:szCs w:val="21"/>
        </w:rPr>
      </w:pPr>
      <w:r>
        <w:rPr>
          <w:rFonts w:hint="eastAsia" w:ascii="宋体" w:hAnsi="宋体"/>
          <w:szCs w:val="21"/>
        </w:rPr>
        <w:t>签订地点：</w:t>
      </w:r>
    </w:p>
    <w:p>
      <w:pPr>
        <w:ind w:firstLine="420" w:firstLineChars="200"/>
        <w:rPr>
          <w:rFonts w:ascii="宋体" w:hAnsi="宋体"/>
          <w:szCs w:val="21"/>
        </w:rPr>
      </w:pPr>
      <w:r>
        <w:rPr>
          <w:rFonts w:hint="eastAsia" w:ascii="宋体" w:hAnsi="宋体"/>
          <w:szCs w:val="21"/>
        </w:rPr>
        <w:t>签订日期：   年   月   日</w:t>
      </w:r>
    </w:p>
    <w:p>
      <w:pPr>
        <w:autoSpaceDE w:val="0"/>
        <w:autoSpaceDN w:val="0"/>
        <w:adjustRightInd w:val="0"/>
        <w:ind w:firstLine="420" w:firstLineChars="200"/>
        <w:jc w:val="left"/>
        <w:rPr>
          <w:rFonts w:ascii="宋体" w:hAnsi="宋体"/>
        </w:rPr>
        <w:sectPr>
          <w:footerReference r:id="rId10" w:type="first"/>
          <w:headerReference r:id="rId9" w:type="default"/>
          <w:pgSz w:w="11906" w:h="16838"/>
          <w:pgMar w:top="1247" w:right="1418" w:bottom="1276" w:left="1418" w:header="851" w:footer="483" w:gutter="0"/>
          <w:cols w:space="720" w:num="1"/>
          <w:titlePg/>
          <w:docGrid w:linePitch="312" w:charSpace="0"/>
        </w:sectPr>
      </w:pPr>
    </w:p>
    <w:tbl>
      <w:tblPr>
        <w:tblStyle w:val="53"/>
        <w:tblW w:w="0" w:type="auto"/>
        <w:tblInd w:w="93" w:type="dxa"/>
        <w:tblLayout w:type="fixed"/>
        <w:tblCellMar>
          <w:top w:w="0" w:type="dxa"/>
          <w:left w:w="108" w:type="dxa"/>
          <w:bottom w:w="0" w:type="dxa"/>
          <w:right w:w="108" w:type="dxa"/>
        </w:tblCellMar>
      </w:tblPr>
      <w:tblGrid>
        <w:gridCol w:w="4566"/>
        <w:gridCol w:w="4784"/>
        <w:gridCol w:w="1265"/>
        <w:gridCol w:w="1582"/>
        <w:gridCol w:w="1993"/>
      </w:tblGrid>
      <w:tr>
        <w:tblPrEx>
          <w:tblCellMar>
            <w:top w:w="0" w:type="dxa"/>
            <w:left w:w="108" w:type="dxa"/>
            <w:bottom w:w="0" w:type="dxa"/>
            <w:right w:w="108" w:type="dxa"/>
          </w:tblCellMar>
        </w:tblPrEx>
        <w:trPr>
          <w:wBefore w:w="0" w:type="dxa"/>
          <w:trHeight w:val="447" w:hRule="atLeast"/>
        </w:trPr>
        <w:tc>
          <w:tcPr>
            <w:tcW w:w="14190" w:type="dxa"/>
            <w:gridSpan w:val="5"/>
            <w:tcBorders>
              <w:top w:val="nil"/>
              <w:left w:val="nil"/>
              <w:bottom w:val="nil"/>
              <w:right w:val="nil"/>
            </w:tcBorders>
            <w:noWrap w:val="0"/>
            <w:vAlign w:val="center"/>
          </w:tcPr>
          <w:p>
            <w:pPr>
              <w:widowControl/>
              <w:ind w:firstLine="643" w:firstLineChars="200"/>
              <w:jc w:val="center"/>
              <w:rPr>
                <w:rFonts w:ascii="宋体" w:hAnsi="宋体"/>
                <w:b/>
                <w:bCs/>
                <w:kern w:val="0"/>
                <w:sz w:val="32"/>
                <w:szCs w:val="32"/>
              </w:rPr>
            </w:pPr>
            <w:r>
              <w:rPr>
                <w:rFonts w:hint="eastAsia" w:ascii="宋体" w:hAnsi="宋体"/>
                <w:b/>
                <w:bCs/>
                <w:kern w:val="0"/>
                <w:sz w:val="32"/>
                <w:szCs w:val="32"/>
              </w:rPr>
              <w:t>政府采购项目验收单</w:t>
            </w:r>
          </w:p>
        </w:tc>
      </w:tr>
      <w:tr>
        <w:tblPrEx>
          <w:tblCellMar>
            <w:top w:w="0" w:type="dxa"/>
            <w:left w:w="108" w:type="dxa"/>
            <w:bottom w:w="0" w:type="dxa"/>
            <w:right w:w="108" w:type="dxa"/>
          </w:tblCellMar>
        </w:tblPrEx>
        <w:trPr>
          <w:wBefore w:w="0" w:type="dxa"/>
          <w:trHeight w:val="346" w:hRule="atLeast"/>
        </w:trPr>
        <w:tc>
          <w:tcPr>
            <w:tcW w:w="14190" w:type="dxa"/>
            <w:gridSpan w:val="5"/>
            <w:tcBorders>
              <w:top w:val="nil"/>
              <w:left w:val="nil"/>
              <w:bottom w:val="nil"/>
              <w:right w:val="nil"/>
            </w:tcBorders>
            <w:noWrap w:val="0"/>
            <w:vAlign w:val="center"/>
          </w:tcPr>
          <w:p>
            <w:pPr>
              <w:widowControl/>
              <w:ind w:firstLine="420" w:firstLineChars="200"/>
              <w:jc w:val="left"/>
              <w:rPr>
                <w:rFonts w:ascii="宋体" w:hAnsi="宋体"/>
                <w:kern w:val="0"/>
                <w:szCs w:val="21"/>
              </w:rPr>
            </w:pPr>
            <w:r>
              <w:rPr>
                <w:rFonts w:hint="eastAsia" w:ascii="宋体" w:hAnsi="宋体"/>
                <w:kern w:val="0"/>
                <w:szCs w:val="21"/>
              </w:rPr>
              <w:t>按照《政府采购委托汇总确认书》嘉兴市财政局</w:t>
            </w:r>
            <w:r>
              <w:rPr>
                <w:rFonts w:hint="eastAsia" w:ascii="宋体" w:hAnsi="宋体"/>
                <w:kern w:val="0"/>
                <w:szCs w:val="21"/>
                <w:u w:val="single"/>
              </w:rPr>
              <w:t>临[2022]6908号、[2022]5835号</w:t>
            </w:r>
            <w:r>
              <w:rPr>
                <w:rFonts w:hint="eastAsia" w:ascii="宋体" w:hAnsi="宋体"/>
                <w:kern w:val="0"/>
                <w:szCs w:val="21"/>
              </w:rPr>
              <w:t>，采购编号：</w:t>
            </w:r>
            <w:r>
              <w:rPr>
                <w:rFonts w:hint="eastAsia" w:ascii="宋体" w:hAnsi="宋体"/>
                <w:kern w:val="0"/>
                <w:szCs w:val="21"/>
                <w:u w:val="single"/>
              </w:rPr>
              <w:t xml:space="preserve">            </w:t>
            </w:r>
            <w:r>
              <w:rPr>
                <w:rFonts w:hint="eastAsia" w:ascii="宋体" w:hAnsi="宋体"/>
                <w:kern w:val="0"/>
                <w:szCs w:val="21"/>
              </w:rPr>
              <w:t>，合同号：</w:t>
            </w:r>
            <w:r>
              <w:rPr>
                <w:rFonts w:hint="eastAsia" w:ascii="宋体" w:hAnsi="宋体"/>
                <w:kern w:val="0"/>
                <w:szCs w:val="21"/>
                <w:u w:val="single"/>
              </w:rPr>
              <w:t xml:space="preserve">               </w:t>
            </w:r>
          </w:p>
        </w:tc>
      </w:tr>
      <w:tr>
        <w:tblPrEx>
          <w:tblCellMar>
            <w:top w:w="0" w:type="dxa"/>
            <w:left w:w="108" w:type="dxa"/>
            <w:bottom w:w="0" w:type="dxa"/>
            <w:right w:w="108" w:type="dxa"/>
          </w:tblCellMar>
        </w:tblPrEx>
        <w:trPr>
          <w:wBefore w:w="0" w:type="dxa"/>
          <w:trHeight w:val="346" w:hRule="atLeast"/>
        </w:trPr>
        <w:tc>
          <w:tcPr>
            <w:tcW w:w="14190" w:type="dxa"/>
            <w:gridSpan w:val="5"/>
            <w:tcBorders>
              <w:top w:val="nil"/>
              <w:left w:val="nil"/>
              <w:bottom w:val="nil"/>
              <w:right w:val="nil"/>
            </w:tcBorders>
            <w:noWrap w:val="0"/>
            <w:vAlign w:val="center"/>
          </w:tcPr>
          <w:p>
            <w:pPr>
              <w:widowControl/>
              <w:ind w:firstLine="420" w:firstLineChars="200"/>
              <w:jc w:val="left"/>
              <w:rPr>
                <w:rFonts w:ascii="宋体" w:hAnsi="宋体"/>
                <w:kern w:val="0"/>
                <w:szCs w:val="21"/>
              </w:rPr>
            </w:pPr>
            <w:r>
              <w:rPr>
                <w:rFonts w:hint="eastAsia" w:ascii="宋体" w:hAnsi="宋体"/>
                <w:kern w:val="0"/>
                <w:szCs w:val="21"/>
              </w:rPr>
              <w:t>以下项目已采购到位并验收合格。</w:t>
            </w:r>
          </w:p>
        </w:tc>
      </w:tr>
      <w:tr>
        <w:tblPrEx>
          <w:tblCellMar>
            <w:top w:w="0" w:type="dxa"/>
            <w:left w:w="108" w:type="dxa"/>
            <w:bottom w:w="0" w:type="dxa"/>
            <w:right w:w="108" w:type="dxa"/>
          </w:tblCellMar>
        </w:tblPrEx>
        <w:trPr>
          <w:wBefore w:w="0" w:type="dxa"/>
          <w:trHeight w:val="853" w:hRule="atLeast"/>
        </w:trPr>
        <w:tc>
          <w:tcPr>
            <w:tcW w:w="4566" w:type="dxa"/>
            <w:tcBorders>
              <w:top w:val="single" w:color="auto" w:sz="4" w:space="0"/>
              <w:left w:val="single" w:color="auto" w:sz="4" w:space="0"/>
              <w:bottom w:val="nil"/>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采购货物（服务，工程）名称</w:t>
            </w:r>
          </w:p>
        </w:tc>
        <w:tc>
          <w:tcPr>
            <w:tcW w:w="4784" w:type="dxa"/>
            <w:tcBorders>
              <w:top w:val="single" w:color="auto" w:sz="4" w:space="0"/>
              <w:left w:val="nil"/>
              <w:bottom w:val="nil"/>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规格、型号</w:t>
            </w:r>
          </w:p>
        </w:tc>
        <w:tc>
          <w:tcPr>
            <w:tcW w:w="1265" w:type="dxa"/>
            <w:tcBorders>
              <w:top w:val="single" w:color="auto" w:sz="4" w:space="0"/>
              <w:left w:val="nil"/>
              <w:bottom w:val="nil"/>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数量</w:t>
            </w:r>
          </w:p>
        </w:tc>
        <w:tc>
          <w:tcPr>
            <w:tcW w:w="1582" w:type="dxa"/>
            <w:tcBorders>
              <w:top w:val="single" w:color="auto" w:sz="4" w:space="0"/>
              <w:left w:val="nil"/>
              <w:bottom w:val="nil"/>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核定总价</w:t>
            </w:r>
          </w:p>
        </w:tc>
        <w:tc>
          <w:tcPr>
            <w:tcW w:w="1993" w:type="dxa"/>
            <w:tcBorders>
              <w:top w:val="single" w:color="auto" w:sz="4" w:space="0"/>
              <w:left w:val="nil"/>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采购人验收意见</w:t>
            </w:r>
          </w:p>
        </w:tc>
      </w:tr>
      <w:tr>
        <w:tblPrEx>
          <w:tblCellMar>
            <w:top w:w="0" w:type="dxa"/>
            <w:left w:w="108" w:type="dxa"/>
            <w:bottom w:w="0" w:type="dxa"/>
            <w:right w:w="108" w:type="dxa"/>
          </w:tblCellMar>
        </w:tblPrEx>
        <w:trPr>
          <w:wBefore w:w="0" w:type="dxa"/>
          <w:trHeight w:val="693" w:hRule="atLeast"/>
        </w:trPr>
        <w:tc>
          <w:tcPr>
            <w:tcW w:w="4566" w:type="dxa"/>
            <w:tcBorders>
              <w:top w:val="single" w:color="auto" w:sz="4" w:space="0"/>
              <w:left w:val="single" w:color="auto" w:sz="4" w:space="0"/>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　</w:t>
            </w:r>
          </w:p>
        </w:tc>
        <w:tc>
          <w:tcPr>
            <w:tcW w:w="4784" w:type="dxa"/>
            <w:tcBorders>
              <w:top w:val="single" w:color="auto" w:sz="4" w:space="0"/>
              <w:left w:val="nil"/>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　</w:t>
            </w:r>
          </w:p>
        </w:tc>
        <w:tc>
          <w:tcPr>
            <w:tcW w:w="1265" w:type="dxa"/>
            <w:tcBorders>
              <w:top w:val="single" w:color="auto" w:sz="4" w:space="0"/>
              <w:left w:val="nil"/>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　</w:t>
            </w:r>
          </w:p>
        </w:tc>
        <w:tc>
          <w:tcPr>
            <w:tcW w:w="1582" w:type="dxa"/>
            <w:tcBorders>
              <w:top w:val="single" w:color="auto" w:sz="4" w:space="0"/>
              <w:left w:val="nil"/>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　</w:t>
            </w:r>
          </w:p>
        </w:tc>
        <w:tc>
          <w:tcPr>
            <w:tcW w:w="1993" w:type="dxa"/>
            <w:tcBorders>
              <w:top w:val="nil"/>
              <w:left w:val="nil"/>
              <w:bottom w:val="single" w:color="auto" w:sz="4" w:space="0"/>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844" w:hRule="atLeast"/>
        </w:trPr>
        <w:tc>
          <w:tcPr>
            <w:tcW w:w="4566" w:type="dxa"/>
            <w:tcBorders>
              <w:top w:val="nil"/>
              <w:left w:val="single" w:color="auto" w:sz="4" w:space="0"/>
              <w:bottom w:val="single" w:color="auto" w:sz="4" w:space="0"/>
              <w:right w:val="single" w:color="auto" w:sz="4" w:space="0"/>
            </w:tcBorders>
            <w:noWrap w:val="0"/>
            <w:vAlign w:val="center"/>
          </w:tcPr>
          <w:p>
            <w:pPr>
              <w:widowControl/>
              <w:ind w:firstLine="420" w:firstLineChars="200"/>
              <w:jc w:val="center"/>
              <w:rPr>
                <w:rFonts w:ascii="宋体" w:hAnsi="宋体"/>
                <w:kern w:val="0"/>
                <w:szCs w:val="21"/>
              </w:rPr>
            </w:pPr>
            <w:r>
              <w:rPr>
                <w:rFonts w:hint="eastAsia" w:ascii="宋体" w:hAnsi="宋体"/>
                <w:kern w:val="0"/>
                <w:szCs w:val="21"/>
              </w:rPr>
              <w:t>合计总价款（人民币）</w:t>
            </w:r>
          </w:p>
        </w:tc>
        <w:tc>
          <w:tcPr>
            <w:tcW w:w="9624" w:type="dxa"/>
            <w:gridSpan w:val="4"/>
            <w:tcBorders>
              <w:top w:val="nil"/>
              <w:left w:val="nil"/>
              <w:bottom w:val="single" w:color="auto" w:sz="4" w:space="0"/>
              <w:right w:val="single" w:color="000000" w:sz="4" w:space="0"/>
            </w:tcBorders>
            <w:noWrap w:val="0"/>
            <w:vAlign w:val="center"/>
          </w:tcPr>
          <w:p>
            <w:pPr>
              <w:widowControl/>
              <w:ind w:firstLine="420" w:firstLineChars="200"/>
              <w:jc w:val="left"/>
              <w:rPr>
                <w:rFonts w:ascii="宋体" w:hAnsi="宋体"/>
                <w:kern w:val="0"/>
                <w:szCs w:val="21"/>
              </w:rPr>
            </w:pPr>
            <w:r>
              <w:rPr>
                <w:rFonts w:hint="eastAsia" w:ascii="宋体" w:hAnsi="宋体"/>
                <w:kern w:val="0"/>
                <w:szCs w:val="21"/>
              </w:rPr>
              <w:t>人民币</w:t>
            </w:r>
            <w:r>
              <w:rPr>
                <w:rFonts w:hint="eastAsia" w:ascii="宋体" w:hAnsi="宋体"/>
                <w:kern w:val="0"/>
                <w:szCs w:val="21"/>
                <w:u w:val="single"/>
              </w:rPr>
              <w:t xml:space="preserve">                 </w:t>
            </w:r>
            <w:r>
              <w:rPr>
                <w:rFonts w:hint="eastAsia" w:ascii="宋体" w:hAnsi="宋体"/>
                <w:kern w:val="0"/>
                <w:szCs w:val="21"/>
              </w:rPr>
              <w:t xml:space="preserve">元整。       ￥： </w:t>
            </w:r>
            <w:r>
              <w:rPr>
                <w:rFonts w:hint="eastAsia" w:ascii="宋体" w:hAnsi="宋体"/>
                <w:kern w:val="0"/>
                <w:szCs w:val="21"/>
                <w:u w:val="single"/>
              </w:rPr>
              <w:t xml:space="preserve">             </w:t>
            </w:r>
          </w:p>
        </w:tc>
      </w:tr>
      <w:tr>
        <w:tblPrEx>
          <w:tblCellMar>
            <w:top w:w="0" w:type="dxa"/>
            <w:left w:w="108" w:type="dxa"/>
            <w:bottom w:w="0" w:type="dxa"/>
            <w:right w:w="108" w:type="dxa"/>
          </w:tblCellMar>
        </w:tblPrEx>
        <w:trPr>
          <w:wBefore w:w="0" w:type="dxa"/>
          <w:trHeight w:val="842" w:hRule="atLeast"/>
        </w:trPr>
        <w:tc>
          <w:tcPr>
            <w:tcW w:w="4566" w:type="dxa"/>
            <w:tcBorders>
              <w:top w:val="nil"/>
              <w:left w:val="single" w:color="auto" w:sz="4" w:space="0"/>
              <w:bottom w:val="nil"/>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xml:space="preserve">供货单位（盖章）：                     </w:t>
            </w:r>
          </w:p>
        </w:tc>
        <w:tc>
          <w:tcPr>
            <w:tcW w:w="4784" w:type="dxa"/>
            <w:tcBorders>
              <w:top w:val="nil"/>
              <w:left w:val="nil"/>
              <w:bottom w:val="nil"/>
              <w:right w:val="nil"/>
            </w:tcBorders>
            <w:noWrap w:val="0"/>
            <w:vAlign w:val="center"/>
          </w:tcPr>
          <w:p>
            <w:pPr>
              <w:widowControl/>
              <w:ind w:firstLine="420" w:firstLineChars="200"/>
              <w:jc w:val="right"/>
              <w:rPr>
                <w:rFonts w:ascii="宋体" w:hAnsi="宋体"/>
                <w:kern w:val="0"/>
                <w:szCs w:val="21"/>
              </w:rPr>
            </w:pPr>
            <w:r>
              <w:rPr>
                <w:rFonts w:hint="eastAsia" w:ascii="宋体" w:hAnsi="宋体"/>
                <w:kern w:val="0"/>
                <w:szCs w:val="21"/>
              </w:rPr>
              <w:t>采购人（盖章）：</w:t>
            </w:r>
          </w:p>
        </w:tc>
        <w:tc>
          <w:tcPr>
            <w:tcW w:w="2847" w:type="dxa"/>
            <w:gridSpan w:val="2"/>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993" w:type="dxa"/>
            <w:tcBorders>
              <w:top w:val="nil"/>
              <w:left w:val="nil"/>
              <w:bottom w:val="nil"/>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722" w:hRule="atLeast"/>
        </w:trPr>
        <w:tc>
          <w:tcPr>
            <w:tcW w:w="4566" w:type="dxa"/>
            <w:tcBorders>
              <w:top w:val="nil"/>
              <w:left w:val="single" w:color="auto" w:sz="4" w:space="0"/>
              <w:bottom w:val="nil"/>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经办项目负责人：</w:t>
            </w:r>
          </w:p>
        </w:tc>
        <w:tc>
          <w:tcPr>
            <w:tcW w:w="4784" w:type="dxa"/>
            <w:tcBorders>
              <w:top w:val="nil"/>
              <w:left w:val="nil"/>
              <w:bottom w:val="nil"/>
              <w:right w:val="nil"/>
            </w:tcBorders>
            <w:noWrap w:val="0"/>
            <w:vAlign w:val="center"/>
          </w:tcPr>
          <w:p>
            <w:pPr>
              <w:widowControl/>
              <w:ind w:firstLine="420" w:firstLineChars="200"/>
              <w:jc w:val="right"/>
              <w:rPr>
                <w:rFonts w:ascii="宋体" w:hAnsi="宋体"/>
                <w:kern w:val="0"/>
                <w:szCs w:val="21"/>
              </w:rPr>
            </w:pPr>
            <w:r>
              <w:rPr>
                <w:rFonts w:hint="eastAsia" w:ascii="宋体" w:hAnsi="宋体"/>
                <w:kern w:val="0"/>
                <w:szCs w:val="21"/>
              </w:rPr>
              <w:t>项目验收组组长：</w:t>
            </w:r>
          </w:p>
        </w:tc>
        <w:tc>
          <w:tcPr>
            <w:tcW w:w="2847" w:type="dxa"/>
            <w:gridSpan w:val="2"/>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993" w:type="dxa"/>
            <w:tcBorders>
              <w:top w:val="nil"/>
              <w:left w:val="nil"/>
              <w:bottom w:val="nil"/>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701" w:hRule="atLeast"/>
        </w:trPr>
        <w:tc>
          <w:tcPr>
            <w:tcW w:w="4566" w:type="dxa"/>
            <w:tcBorders>
              <w:top w:val="nil"/>
              <w:left w:val="single" w:color="auto" w:sz="4" w:space="0"/>
              <w:bottom w:val="nil"/>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联系电话：</w:t>
            </w:r>
          </w:p>
        </w:tc>
        <w:tc>
          <w:tcPr>
            <w:tcW w:w="4784" w:type="dxa"/>
            <w:tcBorders>
              <w:top w:val="nil"/>
              <w:left w:val="nil"/>
              <w:bottom w:val="nil"/>
              <w:right w:val="nil"/>
            </w:tcBorders>
            <w:noWrap w:val="0"/>
            <w:vAlign w:val="center"/>
          </w:tcPr>
          <w:p>
            <w:pPr>
              <w:widowControl/>
              <w:ind w:firstLine="420" w:firstLineChars="200"/>
              <w:jc w:val="right"/>
              <w:rPr>
                <w:rFonts w:ascii="宋体" w:hAnsi="宋体"/>
                <w:kern w:val="0"/>
                <w:szCs w:val="21"/>
              </w:rPr>
            </w:pPr>
            <w:r>
              <w:rPr>
                <w:rFonts w:hint="eastAsia" w:ascii="宋体" w:hAnsi="宋体"/>
                <w:kern w:val="0"/>
                <w:szCs w:val="21"/>
              </w:rPr>
              <w:t>联系电话：</w:t>
            </w:r>
          </w:p>
        </w:tc>
        <w:tc>
          <w:tcPr>
            <w:tcW w:w="1265" w:type="dxa"/>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582" w:type="dxa"/>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993" w:type="dxa"/>
            <w:tcBorders>
              <w:top w:val="nil"/>
              <w:left w:val="nil"/>
              <w:bottom w:val="nil"/>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712" w:hRule="atLeast"/>
        </w:trPr>
        <w:tc>
          <w:tcPr>
            <w:tcW w:w="4566" w:type="dxa"/>
            <w:tcBorders>
              <w:top w:val="nil"/>
              <w:left w:val="single" w:color="auto" w:sz="4" w:space="0"/>
              <w:bottom w:val="nil"/>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开户银行：</w:t>
            </w:r>
          </w:p>
        </w:tc>
        <w:tc>
          <w:tcPr>
            <w:tcW w:w="4784" w:type="dxa"/>
            <w:tcBorders>
              <w:top w:val="nil"/>
              <w:left w:val="nil"/>
              <w:bottom w:val="nil"/>
              <w:right w:val="nil"/>
            </w:tcBorders>
            <w:noWrap w:val="0"/>
            <w:vAlign w:val="center"/>
          </w:tcPr>
          <w:p>
            <w:pPr>
              <w:widowControl/>
              <w:ind w:firstLine="420" w:firstLineChars="200"/>
              <w:jc w:val="right"/>
              <w:rPr>
                <w:rFonts w:ascii="宋体" w:hAnsi="宋体"/>
                <w:kern w:val="0"/>
                <w:szCs w:val="21"/>
              </w:rPr>
            </w:pPr>
            <w:r>
              <w:rPr>
                <w:rFonts w:hint="eastAsia" w:ascii="宋体" w:hAnsi="宋体"/>
                <w:kern w:val="0"/>
                <w:szCs w:val="21"/>
              </w:rPr>
              <w:t>项目验收组成员（签名）：</w:t>
            </w:r>
          </w:p>
        </w:tc>
        <w:tc>
          <w:tcPr>
            <w:tcW w:w="1265" w:type="dxa"/>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582" w:type="dxa"/>
            <w:tcBorders>
              <w:top w:val="nil"/>
              <w:left w:val="nil"/>
              <w:bottom w:val="nil"/>
              <w:right w:val="nil"/>
            </w:tcBorders>
            <w:noWrap w:val="0"/>
            <w:vAlign w:val="bottom"/>
          </w:tcPr>
          <w:p>
            <w:pPr>
              <w:widowControl/>
              <w:ind w:firstLine="420" w:firstLineChars="200"/>
              <w:jc w:val="left"/>
              <w:rPr>
                <w:rFonts w:ascii="宋体" w:hAnsi="宋体"/>
                <w:kern w:val="0"/>
                <w:szCs w:val="21"/>
              </w:rPr>
            </w:pPr>
          </w:p>
        </w:tc>
        <w:tc>
          <w:tcPr>
            <w:tcW w:w="1993" w:type="dxa"/>
            <w:tcBorders>
              <w:top w:val="nil"/>
              <w:left w:val="nil"/>
              <w:bottom w:val="nil"/>
              <w:right w:val="single" w:color="auto" w:sz="4" w:space="0"/>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r>
      <w:tr>
        <w:tblPrEx>
          <w:tblCellMar>
            <w:top w:w="0" w:type="dxa"/>
            <w:left w:w="108" w:type="dxa"/>
            <w:bottom w:w="0" w:type="dxa"/>
            <w:right w:w="108" w:type="dxa"/>
          </w:tblCellMar>
        </w:tblPrEx>
        <w:trPr>
          <w:wBefore w:w="0" w:type="dxa"/>
          <w:trHeight w:val="864" w:hRule="atLeast"/>
        </w:trPr>
        <w:tc>
          <w:tcPr>
            <w:tcW w:w="4566" w:type="dxa"/>
            <w:tcBorders>
              <w:top w:val="nil"/>
              <w:left w:val="single" w:color="auto" w:sz="4" w:space="0"/>
              <w:bottom w:val="single" w:color="auto" w:sz="4" w:space="0"/>
              <w:right w:val="nil"/>
            </w:tcBorders>
            <w:noWrap w:val="0"/>
            <w:vAlign w:val="center"/>
          </w:tcPr>
          <w:p>
            <w:pPr>
              <w:widowControl/>
              <w:ind w:firstLine="420" w:firstLineChars="200"/>
              <w:rPr>
                <w:rFonts w:ascii="宋体" w:hAnsi="宋体"/>
                <w:kern w:val="0"/>
                <w:szCs w:val="21"/>
              </w:rPr>
            </w:pPr>
            <w:r>
              <w:rPr>
                <w:rFonts w:hint="eastAsia" w:ascii="宋体" w:hAnsi="宋体"/>
                <w:kern w:val="0"/>
                <w:szCs w:val="21"/>
              </w:rPr>
              <w:t>银行帐号：</w:t>
            </w:r>
          </w:p>
        </w:tc>
        <w:tc>
          <w:tcPr>
            <w:tcW w:w="4784" w:type="dxa"/>
            <w:tcBorders>
              <w:top w:val="nil"/>
              <w:left w:val="nil"/>
              <w:bottom w:val="single" w:color="auto" w:sz="4" w:space="0"/>
              <w:right w:val="nil"/>
            </w:tcBorders>
            <w:noWrap w:val="0"/>
            <w:vAlign w:val="bottom"/>
          </w:tcPr>
          <w:p>
            <w:pPr>
              <w:widowControl/>
              <w:ind w:firstLine="420" w:firstLineChars="200"/>
              <w:jc w:val="left"/>
              <w:rPr>
                <w:rFonts w:ascii="宋体" w:hAnsi="宋体"/>
                <w:kern w:val="0"/>
                <w:szCs w:val="21"/>
              </w:rPr>
            </w:pPr>
            <w:r>
              <w:rPr>
                <w:rFonts w:hint="eastAsia" w:ascii="宋体" w:hAnsi="宋体"/>
                <w:kern w:val="0"/>
                <w:szCs w:val="21"/>
              </w:rPr>
              <w:t>　</w:t>
            </w:r>
          </w:p>
        </w:tc>
        <w:tc>
          <w:tcPr>
            <w:tcW w:w="4840" w:type="dxa"/>
            <w:gridSpan w:val="3"/>
            <w:tcBorders>
              <w:top w:val="nil"/>
              <w:left w:val="nil"/>
              <w:bottom w:val="single" w:color="auto" w:sz="4" w:space="0"/>
              <w:right w:val="single" w:color="000000" w:sz="4" w:space="0"/>
            </w:tcBorders>
            <w:noWrap w:val="0"/>
            <w:vAlign w:val="center"/>
          </w:tcPr>
          <w:p>
            <w:pPr>
              <w:widowControl/>
              <w:ind w:firstLine="420" w:firstLineChars="200"/>
              <w:rPr>
                <w:rFonts w:ascii="宋体" w:hAnsi="宋体"/>
                <w:kern w:val="0"/>
                <w:szCs w:val="21"/>
              </w:rPr>
            </w:pPr>
            <w:r>
              <w:rPr>
                <w:rFonts w:hint="eastAsia" w:ascii="宋体" w:hAnsi="宋体"/>
                <w:kern w:val="0"/>
                <w:szCs w:val="21"/>
              </w:rPr>
              <w:t>验收时间：       年     月     日</w:t>
            </w:r>
          </w:p>
        </w:tc>
      </w:tr>
      <w:tr>
        <w:tblPrEx>
          <w:tblCellMar>
            <w:top w:w="0" w:type="dxa"/>
            <w:left w:w="108" w:type="dxa"/>
            <w:bottom w:w="0" w:type="dxa"/>
            <w:right w:w="108" w:type="dxa"/>
          </w:tblCellMar>
        </w:tblPrEx>
        <w:trPr>
          <w:wBefore w:w="0" w:type="dxa"/>
          <w:trHeight w:val="210" w:hRule="atLeast"/>
        </w:trPr>
        <w:tc>
          <w:tcPr>
            <w:tcW w:w="14190" w:type="dxa"/>
            <w:gridSpan w:val="5"/>
            <w:tcBorders>
              <w:top w:val="single" w:color="auto" w:sz="4" w:space="0"/>
              <w:left w:val="nil"/>
              <w:bottom w:val="nil"/>
              <w:right w:val="nil"/>
            </w:tcBorders>
            <w:noWrap w:val="0"/>
            <w:vAlign w:val="center"/>
          </w:tcPr>
          <w:p>
            <w:pPr>
              <w:widowControl/>
              <w:ind w:firstLine="420" w:firstLineChars="200"/>
              <w:jc w:val="left"/>
              <w:rPr>
                <w:rFonts w:ascii="宋体" w:hAnsi="宋体"/>
                <w:kern w:val="0"/>
                <w:szCs w:val="21"/>
              </w:rPr>
            </w:pPr>
            <w:r>
              <w:rPr>
                <w:rFonts w:hint="eastAsia" w:ascii="宋体" w:hAnsi="宋体"/>
                <w:kern w:val="0"/>
                <w:szCs w:val="21"/>
              </w:rPr>
              <w:t>本单一式四联：第一联采购人留存，第二联作为财政支付凭证，第三联供货单位留存，第四联采购办存档备查。</w:t>
            </w:r>
          </w:p>
        </w:tc>
      </w:tr>
    </w:tbl>
    <w:p>
      <w:pPr>
        <w:autoSpaceDE w:val="0"/>
        <w:autoSpaceDN w:val="0"/>
        <w:adjustRightInd w:val="0"/>
        <w:ind w:right="418" w:firstLine="420" w:firstLineChars="200"/>
        <w:rPr>
          <w:rFonts w:ascii="宋体" w:hAnsi="宋体"/>
          <w:szCs w:val="21"/>
        </w:rPr>
        <w:sectPr>
          <w:footerReference r:id="rId12" w:type="first"/>
          <w:headerReference r:id="rId11" w:type="default"/>
          <w:pgSz w:w="16838" w:h="11906" w:orient="landscape"/>
          <w:pgMar w:top="1418" w:right="1247" w:bottom="1418" w:left="1276" w:header="851" w:footer="483" w:gutter="0"/>
          <w:cols w:space="720" w:num="1"/>
          <w:titlePg/>
          <w:docGrid w:linePitch="312" w:charSpace="0"/>
        </w:sectPr>
      </w:pPr>
    </w:p>
    <w:p>
      <w:pPr>
        <w:pStyle w:val="3"/>
        <w:ind w:firstLine="602" w:firstLineChars="200"/>
        <w:rPr>
          <w:rFonts w:ascii="宋体" w:hAnsi="宋体"/>
        </w:rPr>
      </w:pPr>
      <w:bookmarkStart w:id="136" w:name="_Toc89897664"/>
      <w:r>
        <w:rPr>
          <w:rFonts w:hint="eastAsia" w:ascii="宋体" w:hAnsi="宋体"/>
        </w:rPr>
        <w:t>第六章 投标文件格式</w:t>
      </w:r>
      <w:bookmarkEnd w:id="136"/>
    </w:p>
    <w:p>
      <w:pPr>
        <w:snapToGrid w:val="0"/>
        <w:ind w:firstLine="643" w:firstLineChars="200"/>
        <w:rPr>
          <w:rFonts w:ascii="宋体" w:hAnsi="宋体"/>
          <w:b/>
          <w:bCs/>
          <w:sz w:val="32"/>
        </w:rPr>
      </w:pPr>
    </w:p>
    <w:p>
      <w:pPr>
        <w:snapToGrid w:val="0"/>
        <w:ind w:firstLine="643" w:firstLineChars="200"/>
        <w:jc w:val="center"/>
        <w:rPr>
          <w:rFonts w:ascii="宋体" w:hAnsi="宋体"/>
          <w:b/>
          <w:sz w:val="32"/>
          <w:szCs w:val="22"/>
        </w:rPr>
      </w:pPr>
      <w:r>
        <w:rPr>
          <w:rFonts w:hint="eastAsia" w:ascii="宋体" w:hAnsi="宋体"/>
          <w:b/>
          <w:sz w:val="32"/>
          <w:szCs w:val="22"/>
        </w:rPr>
        <w:t>2022年度嘉兴市公安局交通警察支队交通设施日常维护、更新项目</w:t>
      </w:r>
    </w:p>
    <w:p>
      <w:pPr>
        <w:snapToGrid w:val="0"/>
        <w:ind w:firstLine="643" w:firstLineChars="200"/>
        <w:jc w:val="center"/>
        <w:rPr>
          <w:rFonts w:ascii="宋体" w:hAnsi="宋体"/>
          <w:b/>
          <w:sz w:val="32"/>
          <w:szCs w:val="22"/>
        </w:rPr>
      </w:pPr>
      <w:r>
        <w:rPr>
          <w:rFonts w:hint="eastAsia" w:ascii="宋体" w:hAnsi="宋体"/>
          <w:b/>
          <w:sz w:val="32"/>
          <w:szCs w:val="22"/>
        </w:rPr>
        <w:t>资格文件/商务技术文件/报价文件</w:t>
      </w:r>
    </w:p>
    <w:p>
      <w:pPr>
        <w:snapToGrid w:val="0"/>
        <w:ind w:firstLine="720" w:firstLineChars="200"/>
        <w:jc w:val="center"/>
        <w:rPr>
          <w:rFonts w:ascii="宋体" w:hAnsi="宋体"/>
          <w:bCs/>
          <w:sz w:val="36"/>
          <w:szCs w:val="36"/>
        </w:rPr>
      </w:pPr>
    </w:p>
    <w:p>
      <w:pPr>
        <w:ind w:firstLine="720" w:firstLineChars="200"/>
        <w:jc w:val="center"/>
        <w:rPr>
          <w:rFonts w:ascii="宋体" w:hAnsi="宋体"/>
          <w:sz w:val="36"/>
          <w:szCs w:val="36"/>
        </w:rPr>
      </w:pPr>
    </w:p>
    <w:p>
      <w:pPr>
        <w:ind w:firstLine="720" w:firstLineChars="200"/>
        <w:jc w:val="center"/>
        <w:rPr>
          <w:rFonts w:ascii="宋体" w:hAnsi="宋体"/>
          <w:sz w:val="36"/>
          <w:szCs w:val="36"/>
        </w:rPr>
      </w:pPr>
    </w:p>
    <w:p>
      <w:pPr>
        <w:ind w:firstLine="720" w:firstLineChars="200"/>
        <w:jc w:val="center"/>
        <w:rPr>
          <w:rFonts w:ascii="宋体" w:hAnsi="宋体"/>
          <w:sz w:val="36"/>
          <w:szCs w:val="36"/>
        </w:rPr>
      </w:pPr>
      <w:r>
        <w:rPr>
          <w:rFonts w:hint="eastAsia" w:ascii="宋体" w:hAnsi="宋体"/>
          <w:sz w:val="36"/>
          <w:szCs w:val="36"/>
        </w:rPr>
        <w:t>投</w:t>
      </w:r>
    </w:p>
    <w:p>
      <w:pPr>
        <w:ind w:firstLine="720" w:firstLineChars="200"/>
        <w:jc w:val="center"/>
        <w:rPr>
          <w:rFonts w:ascii="宋体" w:hAnsi="宋体"/>
          <w:sz w:val="36"/>
          <w:szCs w:val="36"/>
        </w:rPr>
      </w:pPr>
      <w:r>
        <w:rPr>
          <w:rFonts w:hint="eastAsia" w:ascii="宋体" w:hAnsi="宋体"/>
          <w:sz w:val="36"/>
          <w:szCs w:val="36"/>
        </w:rPr>
        <w:t>标</w:t>
      </w:r>
    </w:p>
    <w:p>
      <w:pPr>
        <w:ind w:firstLine="720" w:firstLineChars="200"/>
        <w:jc w:val="center"/>
        <w:rPr>
          <w:rFonts w:ascii="宋体" w:hAnsi="宋体"/>
          <w:sz w:val="36"/>
          <w:szCs w:val="36"/>
        </w:rPr>
      </w:pPr>
      <w:r>
        <w:rPr>
          <w:rFonts w:hint="eastAsia" w:ascii="宋体" w:hAnsi="宋体"/>
          <w:sz w:val="36"/>
          <w:szCs w:val="36"/>
        </w:rPr>
        <w:t>文</w:t>
      </w:r>
    </w:p>
    <w:p>
      <w:pPr>
        <w:ind w:firstLine="720" w:firstLineChars="200"/>
        <w:jc w:val="center"/>
        <w:rPr>
          <w:rFonts w:ascii="宋体" w:hAnsi="宋体"/>
          <w:sz w:val="36"/>
          <w:szCs w:val="36"/>
        </w:rPr>
      </w:pPr>
      <w:r>
        <w:rPr>
          <w:rFonts w:hint="eastAsia" w:ascii="宋体" w:hAnsi="宋体"/>
          <w:sz w:val="36"/>
          <w:szCs w:val="36"/>
        </w:rPr>
        <w:t>件</w:t>
      </w:r>
    </w:p>
    <w:p>
      <w:pPr>
        <w:ind w:firstLine="720" w:firstLineChars="200"/>
        <w:jc w:val="center"/>
        <w:rPr>
          <w:rFonts w:ascii="宋体" w:hAnsi="宋体"/>
          <w:sz w:val="36"/>
          <w:szCs w:val="36"/>
        </w:rPr>
      </w:pPr>
    </w:p>
    <w:p>
      <w:pPr>
        <w:ind w:firstLine="720" w:firstLineChars="200"/>
        <w:jc w:val="center"/>
        <w:rPr>
          <w:rFonts w:ascii="宋体" w:hAnsi="宋体"/>
          <w:sz w:val="36"/>
          <w:szCs w:val="36"/>
        </w:rPr>
      </w:pPr>
    </w:p>
    <w:p>
      <w:pPr>
        <w:ind w:firstLine="720" w:firstLineChars="200"/>
        <w:jc w:val="center"/>
        <w:rPr>
          <w:rFonts w:ascii="宋体" w:hAnsi="宋体"/>
          <w:sz w:val="36"/>
          <w:szCs w:val="36"/>
        </w:rPr>
      </w:pPr>
    </w:p>
    <w:p>
      <w:pPr>
        <w:snapToGrid w:val="0"/>
        <w:ind w:firstLine="480" w:firstLineChars="200"/>
        <w:rPr>
          <w:rFonts w:ascii="宋体" w:hAnsi="宋体"/>
          <w:bCs/>
          <w:sz w:val="24"/>
        </w:rPr>
      </w:pPr>
      <w:r>
        <w:rPr>
          <w:rFonts w:hint="eastAsia" w:ascii="宋体" w:hAnsi="宋体"/>
          <w:bCs/>
          <w:sz w:val="24"/>
        </w:rPr>
        <w:t>项目名称：</w:t>
      </w:r>
    </w:p>
    <w:p>
      <w:pPr>
        <w:snapToGrid w:val="0"/>
        <w:ind w:firstLine="480" w:firstLineChars="200"/>
        <w:rPr>
          <w:rFonts w:hint="eastAsia" w:ascii="宋体" w:hAnsi="宋体"/>
          <w:bCs/>
          <w:sz w:val="24"/>
        </w:rPr>
      </w:pPr>
      <w:r>
        <w:rPr>
          <w:rFonts w:hint="eastAsia" w:ascii="宋体" w:hAnsi="宋体"/>
          <w:bCs/>
          <w:sz w:val="24"/>
        </w:rPr>
        <w:t>标项：</w:t>
      </w:r>
    </w:p>
    <w:p>
      <w:pPr>
        <w:snapToGrid w:val="0"/>
        <w:ind w:firstLine="480" w:firstLineChars="200"/>
        <w:rPr>
          <w:rFonts w:ascii="宋体" w:hAnsi="宋体"/>
          <w:bCs/>
          <w:sz w:val="24"/>
        </w:rPr>
      </w:pPr>
      <w:r>
        <w:rPr>
          <w:rFonts w:hint="eastAsia" w:ascii="宋体" w:hAnsi="宋体"/>
          <w:bCs/>
          <w:sz w:val="24"/>
        </w:rPr>
        <w:t>项目编号：</w:t>
      </w:r>
    </w:p>
    <w:p>
      <w:pPr>
        <w:snapToGrid w:val="0"/>
        <w:ind w:firstLine="480" w:firstLineChars="200"/>
        <w:rPr>
          <w:rFonts w:ascii="宋体" w:hAnsi="宋体"/>
          <w:bCs/>
          <w:sz w:val="24"/>
          <w:szCs w:val="24"/>
        </w:rPr>
      </w:pPr>
      <w:r>
        <w:rPr>
          <w:rFonts w:hint="eastAsia" w:ascii="宋体" w:hAnsi="宋体"/>
          <w:bCs/>
          <w:sz w:val="24"/>
          <w:szCs w:val="24"/>
        </w:rPr>
        <w:t>供应商名称：</w:t>
      </w:r>
    </w:p>
    <w:p>
      <w:pPr>
        <w:snapToGrid w:val="0"/>
        <w:ind w:firstLine="480" w:firstLineChars="200"/>
        <w:rPr>
          <w:rFonts w:ascii="宋体" w:hAnsi="宋体"/>
          <w:bCs/>
          <w:sz w:val="24"/>
          <w:szCs w:val="24"/>
        </w:rPr>
      </w:pPr>
      <w:r>
        <w:rPr>
          <w:rFonts w:hint="eastAsia" w:ascii="宋体" w:hAnsi="宋体"/>
          <w:bCs/>
          <w:sz w:val="24"/>
          <w:szCs w:val="24"/>
        </w:rPr>
        <w:t>供应商地址：</w:t>
      </w:r>
    </w:p>
    <w:p>
      <w:pPr>
        <w:snapToGrid w:val="0"/>
        <w:ind w:firstLine="480" w:firstLineChars="200"/>
        <w:rPr>
          <w:rFonts w:ascii="宋体" w:hAnsi="宋体"/>
          <w:bCs/>
          <w:sz w:val="24"/>
          <w:szCs w:val="24"/>
        </w:rPr>
      </w:pPr>
      <w:r>
        <w:rPr>
          <w:rFonts w:hint="eastAsia" w:ascii="宋体" w:hAnsi="宋体"/>
          <w:bCs/>
          <w:sz w:val="24"/>
          <w:szCs w:val="24"/>
        </w:rPr>
        <w:t xml:space="preserve">在 </w:t>
      </w:r>
      <w:r>
        <w:rPr>
          <w:rFonts w:ascii="宋体" w:hAnsi="宋体"/>
          <w:bCs/>
          <w:sz w:val="24"/>
          <w:szCs w:val="24"/>
        </w:rPr>
        <w:t xml:space="preserve">  </w:t>
      </w:r>
      <w:r>
        <w:rPr>
          <w:rFonts w:hint="eastAsia" w:ascii="宋体" w:hAnsi="宋体"/>
          <w:bCs/>
          <w:sz w:val="24"/>
          <w:szCs w:val="24"/>
        </w:rPr>
        <w:t xml:space="preserve">年 </w:t>
      </w:r>
      <w:r>
        <w:rPr>
          <w:rFonts w:ascii="宋体" w:hAnsi="宋体"/>
          <w:bCs/>
          <w:sz w:val="24"/>
          <w:szCs w:val="24"/>
        </w:rPr>
        <w:t xml:space="preserve">  </w:t>
      </w:r>
      <w:r>
        <w:rPr>
          <w:rFonts w:hint="eastAsia" w:ascii="宋体" w:hAnsi="宋体"/>
          <w:bCs/>
          <w:sz w:val="24"/>
          <w:szCs w:val="24"/>
        </w:rPr>
        <w:t xml:space="preserve">月 </w:t>
      </w:r>
      <w:r>
        <w:rPr>
          <w:rFonts w:ascii="宋体" w:hAnsi="宋体"/>
          <w:bCs/>
          <w:sz w:val="24"/>
          <w:szCs w:val="24"/>
        </w:rPr>
        <w:t xml:space="preserve">   </w:t>
      </w:r>
      <w:r>
        <w:rPr>
          <w:rFonts w:hint="eastAsia" w:ascii="宋体" w:hAnsi="宋体"/>
          <w:bCs/>
          <w:sz w:val="24"/>
          <w:szCs w:val="24"/>
        </w:rPr>
        <w:t xml:space="preserve">日 </w:t>
      </w:r>
      <w:r>
        <w:rPr>
          <w:rFonts w:ascii="宋体" w:hAnsi="宋体"/>
          <w:bCs/>
          <w:sz w:val="24"/>
          <w:szCs w:val="24"/>
        </w:rPr>
        <w:t xml:space="preserve">   </w:t>
      </w:r>
      <w:r>
        <w:rPr>
          <w:rFonts w:hint="eastAsia" w:ascii="宋体" w:hAnsi="宋体"/>
          <w:bCs/>
          <w:sz w:val="24"/>
          <w:szCs w:val="24"/>
        </w:rPr>
        <w:t xml:space="preserve">时 </w:t>
      </w:r>
      <w:r>
        <w:rPr>
          <w:rFonts w:ascii="宋体" w:hAnsi="宋体"/>
          <w:bCs/>
          <w:sz w:val="24"/>
          <w:szCs w:val="24"/>
        </w:rPr>
        <w:t xml:space="preserve">  </w:t>
      </w:r>
      <w:r>
        <w:rPr>
          <w:rFonts w:hint="eastAsia" w:ascii="宋体" w:hAnsi="宋体"/>
          <w:bCs/>
          <w:sz w:val="24"/>
          <w:szCs w:val="24"/>
        </w:rPr>
        <w:t>分之前不得启封</w:t>
      </w:r>
    </w:p>
    <w:p>
      <w:pPr>
        <w:snapToGrid w:val="0"/>
        <w:ind w:firstLine="480" w:firstLineChars="200"/>
        <w:jc w:val="center"/>
        <w:rPr>
          <w:rFonts w:ascii="宋体" w:hAnsi="宋体"/>
          <w:sz w:val="24"/>
        </w:rPr>
      </w:pPr>
      <w:r>
        <w:rPr>
          <w:rFonts w:hint="eastAsia" w:ascii="宋体" w:hAnsi="宋体"/>
          <w:sz w:val="24"/>
        </w:rPr>
        <w:t xml:space="preserve"> </w:t>
      </w:r>
      <w:r>
        <w:rPr>
          <w:rFonts w:ascii="宋体" w:hAnsi="宋体"/>
          <w:sz w:val="24"/>
        </w:rPr>
        <w:t xml:space="preserve">                                  </w:t>
      </w:r>
      <w:r>
        <w:rPr>
          <w:rFonts w:hint="eastAsia" w:ascii="宋体" w:hAnsi="宋体"/>
          <w:sz w:val="24"/>
        </w:rPr>
        <w:t xml:space="preserve">年 </w:t>
      </w:r>
      <w:r>
        <w:rPr>
          <w:rFonts w:ascii="宋体" w:hAnsi="宋体"/>
          <w:sz w:val="24"/>
        </w:rPr>
        <w:t xml:space="preserve"> </w:t>
      </w:r>
      <w:r>
        <w:rPr>
          <w:rFonts w:hint="eastAsia" w:ascii="宋体" w:hAnsi="宋体"/>
          <w:sz w:val="24"/>
        </w:rPr>
        <w:t xml:space="preserve">月 </w:t>
      </w:r>
      <w:r>
        <w:rPr>
          <w:rFonts w:ascii="宋体" w:hAnsi="宋体"/>
          <w:sz w:val="24"/>
        </w:rPr>
        <w:t xml:space="preserve"> </w:t>
      </w:r>
      <w:r>
        <w:rPr>
          <w:rFonts w:hint="eastAsia" w:ascii="宋体" w:hAnsi="宋体"/>
          <w:sz w:val="24"/>
        </w:rPr>
        <w:t>日</w:t>
      </w:r>
    </w:p>
    <w:p>
      <w:pPr>
        <w:snapToGrid w:val="0"/>
        <w:ind w:firstLine="480" w:firstLineChars="200"/>
        <w:jc w:val="center"/>
        <w:rPr>
          <w:rFonts w:ascii="宋体" w:hAnsi="宋体"/>
          <w:sz w:val="24"/>
        </w:rPr>
      </w:pPr>
    </w:p>
    <w:p>
      <w:pPr>
        <w:jc w:val="left"/>
        <w:rPr>
          <w:rFonts w:ascii="宋体" w:hAnsi="宋体"/>
          <w:b/>
          <w:bCs/>
          <w:szCs w:val="21"/>
        </w:rPr>
      </w:pPr>
      <w:r>
        <w:rPr>
          <w:rFonts w:hint="eastAsia" w:ascii="宋体" w:hAnsi="宋体"/>
          <w:sz w:val="24"/>
        </w:rPr>
        <w:br w:type="page"/>
      </w:r>
      <w:bookmarkStart w:id="137" w:name="OLE_LINK11"/>
      <w:r>
        <w:rPr>
          <w:rFonts w:hint="eastAsia" w:ascii="宋体" w:hAnsi="宋体"/>
          <w:b/>
          <w:bCs/>
          <w:szCs w:val="21"/>
        </w:rPr>
        <w:t>注：本表非投标文件的组成内容，无须在投标文件中提供；</w:t>
      </w:r>
      <w:r>
        <w:rPr>
          <w:rFonts w:hint="eastAsia" w:ascii="宋体" w:hAnsi="宋体"/>
          <w:b/>
          <w:bCs/>
          <w:color w:val="FF0000"/>
          <w:szCs w:val="21"/>
        </w:rPr>
        <w:t>供应商需在投标文件解密完成后填写完毕并将扫描件发送至采购代理机构邮箱594972168@qq.</w:t>
      </w:r>
      <w:r>
        <w:rPr>
          <w:rFonts w:ascii="宋体" w:hAnsi="宋体"/>
          <w:b/>
          <w:bCs/>
          <w:color w:val="FF0000"/>
          <w:szCs w:val="21"/>
        </w:rPr>
        <w:t>com</w:t>
      </w:r>
      <w:r>
        <w:rPr>
          <w:rFonts w:hint="eastAsia" w:ascii="宋体" w:hAnsi="宋体"/>
          <w:b/>
          <w:bCs/>
          <w:color w:val="FF0000"/>
          <w:szCs w:val="21"/>
        </w:rPr>
        <w:t>。</w:t>
      </w:r>
    </w:p>
    <w:p>
      <w:pPr>
        <w:ind w:firstLine="640" w:firstLineChars="200"/>
        <w:jc w:val="center"/>
        <w:rPr>
          <w:rFonts w:ascii="宋体" w:hAnsi="宋体"/>
          <w:sz w:val="32"/>
          <w:szCs w:val="32"/>
        </w:rPr>
      </w:pPr>
      <w:r>
        <w:rPr>
          <w:rFonts w:hint="eastAsia" w:ascii="宋体" w:hAnsi="宋体"/>
          <w:sz w:val="32"/>
          <w:szCs w:val="32"/>
        </w:rPr>
        <w:t>政府采购活动现场确认声明书</w:t>
      </w:r>
    </w:p>
    <w:p>
      <w:pPr>
        <w:ind w:firstLine="640" w:firstLineChars="200"/>
        <w:jc w:val="center"/>
        <w:rPr>
          <w:rFonts w:ascii="宋体" w:hAnsi="宋体"/>
          <w:sz w:val="32"/>
          <w:szCs w:val="32"/>
        </w:rPr>
      </w:pPr>
    </w:p>
    <w:p>
      <w:pPr>
        <w:ind w:firstLine="480" w:firstLineChars="200"/>
        <w:rPr>
          <w:rFonts w:ascii="宋体" w:hAnsi="宋体"/>
          <w:sz w:val="24"/>
          <w:u w:val="single"/>
        </w:rPr>
      </w:pPr>
      <w:r>
        <w:rPr>
          <w:rFonts w:hint="eastAsia" w:ascii="宋体" w:hAnsi="宋体"/>
          <w:sz w:val="24"/>
          <w:u w:val="single"/>
        </w:rPr>
        <w:t>浙江富昱项目管理有限公司</w:t>
      </w:r>
      <w:r>
        <w:rPr>
          <w:rFonts w:hint="eastAsia" w:ascii="宋体" w:hAnsi="宋体"/>
          <w:sz w:val="24"/>
        </w:rPr>
        <w:t>：</w:t>
      </w:r>
    </w:p>
    <w:p>
      <w:pPr>
        <w:ind w:firstLine="480" w:firstLineChars="200"/>
        <w:rPr>
          <w:rFonts w:ascii="宋体" w:hAnsi="宋体"/>
          <w:sz w:val="24"/>
        </w:rPr>
      </w:pPr>
      <w:r>
        <w:rPr>
          <w:rFonts w:hint="eastAsia" w:ascii="宋体" w:hAnsi="宋体"/>
          <w:sz w:val="24"/>
        </w:rPr>
        <w:t>本人</w:t>
      </w:r>
      <w:r>
        <w:rPr>
          <w:rFonts w:hint="eastAsia" w:ascii="宋体" w:hAnsi="宋体"/>
          <w:sz w:val="24"/>
          <w:u w:val="single"/>
        </w:rPr>
        <w:t xml:space="preserve">           </w:t>
      </w:r>
      <w:r>
        <w:rPr>
          <w:rFonts w:hint="eastAsia" w:ascii="宋体" w:hAnsi="宋体"/>
          <w:sz w:val="24"/>
        </w:rPr>
        <w:t>（授权代表姓名）经由</w:t>
      </w:r>
      <w:r>
        <w:rPr>
          <w:rFonts w:hint="eastAsia" w:ascii="宋体" w:hAnsi="宋体"/>
          <w:sz w:val="24"/>
          <w:u w:val="single"/>
        </w:rPr>
        <w:t xml:space="preserve">     </w:t>
      </w:r>
      <w:r>
        <w:rPr>
          <w:rFonts w:ascii="宋体" w:hAnsi="宋体"/>
          <w:sz w:val="24"/>
          <w:u w:val="single"/>
        </w:rPr>
        <w:t xml:space="preserve">            </w:t>
      </w:r>
      <w:r>
        <w:rPr>
          <w:rFonts w:hint="eastAsia" w:ascii="宋体" w:hAnsi="宋体"/>
          <w:sz w:val="24"/>
          <w:u w:val="single"/>
        </w:rPr>
        <w:t xml:space="preserve">              </w:t>
      </w:r>
      <w:r>
        <w:rPr>
          <w:rFonts w:hint="eastAsia" w:ascii="宋体" w:hAnsi="宋体"/>
          <w:sz w:val="24"/>
        </w:rPr>
        <w:t>（单位）</w:t>
      </w:r>
      <w:r>
        <w:rPr>
          <w:rFonts w:hint="eastAsia" w:ascii="宋体" w:hAnsi="宋体"/>
          <w:sz w:val="24"/>
          <w:u w:val="single"/>
        </w:rPr>
        <w:t xml:space="preserve">         </w:t>
      </w:r>
      <w:r>
        <w:rPr>
          <w:rFonts w:hint="eastAsia" w:ascii="宋体" w:hAnsi="宋体"/>
          <w:sz w:val="24"/>
        </w:rPr>
        <w:t>（法定代表人姓名）合法授权参加</w:t>
      </w:r>
      <w:r>
        <w:rPr>
          <w:rFonts w:hint="eastAsia" w:ascii="宋体" w:hAnsi="宋体"/>
          <w:sz w:val="24"/>
          <w:u w:val="single"/>
        </w:rPr>
        <w:t>2022年度嘉兴市公安局交通警察支队交通设施日常维护、更新项目</w:t>
      </w:r>
      <w:r>
        <w:rPr>
          <w:rFonts w:hint="eastAsia" w:ascii="宋体" w:hAnsi="宋体"/>
          <w:sz w:val="24"/>
        </w:rPr>
        <w:t>（编号：</w:t>
      </w:r>
      <w:r>
        <w:rPr>
          <w:rFonts w:hint="eastAsia" w:ascii="宋体" w:hAnsi="宋体"/>
          <w:sz w:val="24"/>
          <w:u w:val="single"/>
        </w:rPr>
        <w:t>ZJFY-20220050</w:t>
      </w:r>
      <w:r>
        <w:rPr>
          <w:rFonts w:hint="eastAsia" w:ascii="宋体" w:hAnsi="宋体"/>
          <w:sz w:val="24"/>
        </w:rPr>
        <w:t>）政府采购活动，经与本单位法人代表（负责人）联系确认，现就有关公平竞争事项郑重声明如下：</w:t>
      </w:r>
    </w:p>
    <w:p>
      <w:pPr>
        <w:ind w:firstLine="480" w:firstLineChars="200"/>
        <w:rPr>
          <w:rFonts w:ascii="宋体" w:hAnsi="宋体"/>
          <w:sz w:val="24"/>
        </w:rPr>
      </w:pPr>
      <w:r>
        <w:rPr>
          <w:rFonts w:hint="eastAsia" w:ascii="宋体" w:hAnsi="宋体"/>
          <w:sz w:val="24"/>
        </w:rPr>
        <w:t>一、本单位与采购人之间 □不存在利害关系 □存在下列利害关系</w:t>
      </w:r>
      <w:r>
        <w:rPr>
          <w:rFonts w:hint="eastAsia" w:ascii="宋体" w:hAnsi="宋体"/>
          <w:sz w:val="24"/>
          <w:u w:val="single"/>
        </w:rPr>
        <w:t xml:space="preserve">        </w:t>
      </w:r>
      <w:r>
        <w:rPr>
          <w:rFonts w:hint="eastAsia" w:ascii="宋体" w:hAnsi="宋体"/>
          <w:sz w:val="24"/>
        </w:rPr>
        <w:t>：</w:t>
      </w:r>
    </w:p>
    <w:p>
      <w:pPr>
        <w:ind w:firstLine="480" w:firstLineChars="200"/>
        <w:rPr>
          <w:rFonts w:ascii="宋体" w:hAnsi="宋体"/>
          <w:sz w:val="24"/>
        </w:rPr>
      </w:pPr>
      <w:r>
        <w:rPr>
          <w:rFonts w:hint="eastAsia" w:ascii="宋体" w:hAnsi="宋体"/>
          <w:sz w:val="24"/>
        </w:rPr>
        <w:t xml:space="preserve">A．投资关系     B.行政隶属关系      C.业务指导关系    </w:t>
      </w:r>
    </w:p>
    <w:p>
      <w:pPr>
        <w:ind w:firstLine="480" w:firstLineChars="200"/>
        <w:rPr>
          <w:rFonts w:ascii="宋体" w:hAnsi="宋体"/>
          <w:sz w:val="24"/>
        </w:rPr>
      </w:pPr>
      <w:r>
        <w:rPr>
          <w:rFonts w:hint="eastAsia" w:ascii="宋体" w:hAnsi="宋体"/>
          <w:sz w:val="24"/>
        </w:rPr>
        <w:t>D.其他可能影响采购公正的利害关系</w:t>
      </w:r>
      <w:r>
        <w:rPr>
          <w:rFonts w:hint="eastAsia" w:ascii="宋体" w:hAnsi="宋体"/>
          <w:sz w:val="24"/>
          <w:u w:val="single"/>
        </w:rPr>
        <w:t xml:space="preserve">（如有，请如实说明）       </w:t>
      </w:r>
      <w:r>
        <w:rPr>
          <w:rFonts w:hint="eastAsia" w:ascii="宋体" w:hAnsi="宋体"/>
          <w:sz w:val="24"/>
        </w:rPr>
        <w:t>。</w:t>
      </w:r>
    </w:p>
    <w:p>
      <w:pPr>
        <w:ind w:firstLine="480" w:firstLineChars="200"/>
        <w:rPr>
          <w:rFonts w:ascii="宋体" w:hAnsi="宋体"/>
          <w:sz w:val="24"/>
        </w:rPr>
      </w:pPr>
      <w:r>
        <w:rPr>
          <w:rFonts w:hint="eastAsia" w:ascii="宋体" w:hAnsi="宋体"/>
          <w:sz w:val="24"/>
        </w:rPr>
        <w:t>二、现已清楚知道参加本项目采购活动的其他所有供应商名称，本单位</w:t>
      </w:r>
    </w:p>
    <w:p>
      <w:pPr>
        <w:ind w:firstLine="480" w:firstLineChars="200"/>
        <w:rPr>
          <w:rFonts w:ascii="宋体" w:hAnsi="宋体"/>
          <w:sz w:val="24"/>
        </w:rPr>
      </w:pPr>
      <w:r>
        <w:rPr>
          <w:rFonts w:hint="eastAsia" w:ascii="宋体" w:hAnsi="宋体"/>
          <w:sz w:val="24"/>
        </w:rPr>
        <w:t>□与其他所有供应商之间均不存在利害关系</w:t>
      </w:r>
    </w:p>
    <w:p>
      <w:pPr>
        <w:ind w:firstLine="480" w:firstLineChars="200"/>
        <w:rPr>
          <w:rFonts w:ascii="宋体" w:hAnsi="宋体"/>
          <w:sz w:val="24"/>
        </w:rPr>
      </w:pPr>
      <w:r>
        <w:rPr>
          <w:rFonts w:hint="eastAsia" w:ascii="宋体" w:hAnsi="宋体"/>
          <w:sz w:val="24"/>
        </w:rPr>
        <w:t>□与</w:t>
      </w:r>
      <w:r>
        <w:rPr>
          <w:rFonts w:hint="eastAsia" w:ascii="宋体" w:hAnsi="宋体"/>
          <w:sz w:val="24"/>
          <w:u w:val="single"/>
        </w:rPr>
        <w:t xml:space="preserve">（供应商名称）             </w:t>
      </w:r>
      <w:r>
        <w:rPr>
          <w:rFonts w:hint="eastAsia" w:ascii="宋体" w:hAnsi="宋体"/>
          <w:sz w:val="24"/>
        </w:rPr>
        <w:t xml:space="preserve">之间存在下列利害关系 </w:t>
      </w:r>
      <w:r>
        <w:rPr>
          <w:rFonts w:hint="eastAsia" w:ascii="宋体" w:hAnsi="宋体"/>
          <w:sz w:val="24"/>
          <w:u w:val="single"/>
        </w:rPr>
        <w:t xml:space="preserve">         </w:t>
      </w:r>
      <w:r>
        <w:rPr>
          <w:rFonts w:hint="eastAsia" w:ascii="宋体" w:hAnsi="宋体"/>
          <w:sz w:val="24"/>
        </w:rPr>
        <w:t>：</w:t>
      </w:r>
    </w:p>
    <w:p>
      <w:pPr>
        <w:ind w:firstLine="480" w:firstLineChars="200"/>
        <w:rPr>
          <w:rFonts w:ascii="宋体" w:hAnsi="宋体"/>
          <w:sz w:val="24"/>
        </w:rPr>
      </w:pPr>
      <w:r>
        <w:rPr>
          <w:rFonts w:hint="eastAsia" w:ascii="宋体" w:hAnsi="宋体"/>
          <w:sz w:val="24"/>
        </w:rPr>
        <w:t>A.法定代表人或负责人或实际控制人是同一人；</w:t>
      </w:r>
    </w:p>
    <w:p>
      <w:pPr>
        <w:ind w:firstLine="480" w:firstLineChars="200"/>
        <w:rPr>
          <w:rFonts w:ascii="宋体" w:hAnsi="宋体"/>
          <w:sz w:val="24"/>
        </w:rPr>
      </w:pPr>
      <w:r>
        <w:rPr>
          <w:rFonts w:hint="eastAsia" w:ascii="宋体" w:hAnsi="宋体"/>
          <w:sz w:val="24"/>
        </w:rPr>
        <w:t>B.法定代表人或负责人或实际控制人是夫妻关系；</w:t>
      </w:r>
    </w:p>
    <w:p>
      <w:pPr>
        <w:ind w:firstLine="480" w:firstLineChars="200"/>
        <w:rPr>
          <w:rFonts w:ascii="宋体" w:hAnsi="宋体"/>
          <w:sz w:val="24"/>
        </w:rPr>
      </w:pPr>
      <w:r>
        <w:rPr>
          <w:rFonts w:hint="eastAsia" w:ascii="宋体" w:hAnsi="宋体"/>
          <w:sz w:val="24"/>
        </w:rPr>
        <w:t>C.法定代表人或负责人或实际控制人是直系血亲关系；</w:t>
      </w:r>
    </w:p>
    <w:p>
      <w:pPr>
        <w:ind w:firstLine="480" w:firstLineChars="200"/>
        <w:rPr>
          <w:rFonts w:ascii="宋体" w:hAnsi="宋体"/>
          <w:sz w:val="24"/>
        </w:rPr>
      </w:pPr>
      <w:r>
        <w:rPr>
          <w:rFonts w:hint="eastAsia" w:ascii="宋体" w:hAnsi="宋体"/>
          <w:sz w:val="24"/>
        </w:rPr>
        <w:t>D.法定代表人或负责人或实际控制人存在三代以内旁系血亲关系；</w:t>
      </w:r>
    </w:p>
    <w:p>
      <w:pPr>
        <w:ind w:firstLine="480" w:firstLineChars="200"/>
        <w:rPr>
          <w:rFonts w:ascii="宋体" w:hAnsi="宋体"/>
          <w:sz w:val="24"/>
        </w:rPr>
      </w:pPr>
      <w:r>
        <w:rPr>
          <w:rFonts w:hint="eastAsia" w:ascii="宋体" w:hAnsi="宋体"/>
          <w:sz w:val="24"/>
        </w:rPr>
        <w:t>E.法定代表人或负责人或实际控制人存在近姻亲关系；</w:t>
      </w:r>
    </w:p>
    <w:p>
      <w:pPr>
        <w:ind w:firstLine="480" w:firstLineChars="200"/>
        <w:rPr>
          <w:rFonts w:ascii="宋体" w:hAnsi="宋体"/>
          <w:sz w:val="24"/>
        </w:rPr>
      </w:pPr>
      <w:r>
        <w:rPr>
          <w:rFonts w:hint="eastAsia" w:ascii="宋体" w:hAnsi="宋体"/>
          <w:sz w:val="24"/>
        </w:rPr>
        <w:t>F.法定代表人或负责人或实际控制人存在股份控制或实际控制关系；</w:t>
      </w:r>
    </w:p>
    <w:p>
      <w:pPr>
        <w:ind w:firstLine="480" w:firstLineChars="200"/>
        <w:rPr>
          <w:rFonts w:ascii="宋体" w:hAnsi="宋体"/>
          <w:sz w:val="24"/>
        </w:rPr>
      </w:pPr>
      <w:r>
        <w:rPr>
          <w:rFonts w:hint="eastAsia" w:ascii="宋体" w:hAnsi="宋体"/>
          <w:sz w:val="24"/>
        </w:rPr>
        <w:t>G.存在共同直接或间接投资设立子公司、联营企业和合营企业情况；</w:t>
      </w:r>
    </w:p>
    <w:p>
      <w:pPr>
        <w:ind w:firstLine="480" w:firstLineChars="200"/>
        <w:rPr>
          <w:rFonts w:ascii="宋体" w:hAnsi="宋体"/>
          <w:sz w:val="24"/>
        </w:rPr>
      </w:pPr>
      <w:r>
        <w:rPr>
          <w:rFonts w:hint="eastAsia" w:ascii="宋体" w:hAnsi="宋体"/>
          <w:sz w:val="24"/>
        </w:rPr>
        <w:t>H.存在分级代理或代销关系、同一生产制造商关系、管理关系、重要业务（占主营业务收入50%以上）或重要财务关系往来（如融资）等其他实质性控制关系；</w:t>
      </w:r>
    </w:p>
    <w:p>
      <w:pPr>
        <w:ind w:firstLine="480" w:firstLineChars="200"/>
        <w:rPr>
          <w:rFonts w:ascii="宋体" w:hAnsi="宋体"/>
          <w:sz w:val="24"/>
        </w:rPr>
      </w:pPr>
      <w:r>
        <w:rPr>
          <w:rFonts w:hint="eastAsia" w:ascii="宋体" w:hAnsi="宋体"/>
          <w:sz w:val="24"/>
        </w:rPr>
        <w:t>I.其他利害关系情况</w:t>
      </w:r>
      <w:r>
        <w:rPr>
          <w:rFonts w:hint="eastAsia" w:ascii="宋体" w:hAnsi="宋体"/>
          <w:sz w:val="24"/>
          <w:u w:val="single"/>
        </w:rPr>
        <w:t xml:space="preserve">                         </w:t>
      </w:r>
      <w:r>
        <w:rPr>
          <w:rFonts w:hint="eastAsia" w:ascii="宋体" w:hAnsi="宋体"/>
          <w:sz w:val="24"/>
        </w:rPr>
        <w:t>。</w:t>
      </w:r>
    </w:p>
    <w:p>
      <w:pPr>
        <w:ind w:firstLine="480" w:firstLineChars="200"/>
        <w:rPr>
          <w:rFonts w:ascii="宋体" w:hAnsi="宋体"/>
          <w:sz w:val="24"/>
        </w:rPr>
      </w:pPr>
      <w:r>
        <w:rPr>
          <w:rFonts w:hint="eastAsia" w:ascii="宋体" w:hAnsi="宋体"/>
          <w:sz w:val="24"/>
        </w:rPr>
        <w:t>三、现已清楚知道并严格遵守政府采购法律法规和现场纪律。</w:t>
      </w:r>
    </w:p>
    <w:p>
      <w:pPr>
        <w:ind w:firstLine="480" w:firstLineChars="200"/>
        <w:rPr>
          <w:rFonts w:ascii="宋体" w:hAnsi="宋体"/>
          <w:sz w:val="24"/>
        </w:rPr>
      </w:pPr>
      <w:r>
        <w:rPr>
          <w:rFonts w:hint="eastAsia" w:ascii="宋体" w:hAnsi="宋体"/>
          <w:sz w:val="24"/>
        </w:rPr>
        <w:t>四、我发现</w:t>
      </w:r>
      <w:r>
        <w:rPr>
          <w:rFonts w:hint="eastAsia" w:ascii="宋体" w:hAnsi="宋体"/>
          <w:sz w:val="24"/>
          <w:u w:val="single"/>
        </w:rPr>
        <w:t xml:space="preserve">       </w:t>
      </w:r>
      <w:r>
        <w:rPr>
          <w:rFonts w:hint="eastAsia" w:ascii="宋体" w:hAnsi="宋体"/>
          <w:sz w:val="24"/>
        </w:rPr>
        <w:t>供应商之间存在或可能存在上述第二条第</w:t>
      </w:r>
      <w:r>
        <w:rPr>
          <w:rFonts w:hint="eastAsia" w:ascii="宋体" w:hAnsi="宋体"/>
          <w:sz w:val="24"/>
          <w:u w:val="single"/>
        </w:rPr>
        <w:t xml:space="preserve">      </w:t>
      </w:r>
      <w:r>
        <w:rPr>
          <w:rFonts w:hint="eastAsia" w:ascii="宋体" w:hAnsi="宋体"/>
          <w:sz w:val="24"/>
        </w:rPr>
        <w:t>项利害关系。</w:t>
      </w:r>
    </w:p>
    <w:p>
      <w:pPr>
        <w:ind w:firstLine="480" w:firstLineChars="200"/>
        <w:rPr>
          <w:rFonts w:ascii="宋体" w:hAnsi="宋体"/>
          <w:sz w:val="24"/>
        </w:rPr>
      </w:pPr>
      <w:r>
        <w:rPr>
          <w:rFonts w:hint="eastAsia" w:ascii="宋体" w:hAnsi="宋体"/>
          <w:sz w:val="24"/>
        </w:rPr>
        <w:t xml:space="preserve">                          （供应商代表签名）</w:t>
      </w:r>
    </w:p>
    <w:p>
      <w:pPr>
        <w:snapToGrid w:val="0"/>
        <w:ind w:firstLine="480" w:firstLineChars="200"/>
        <w:rPr>
          <w:rFonts w:ascii="宋体" w:hAnsi="宋体"/>
          <w:sz w:val="24"/>
        </w:rPr>
      </w:pPr>
      <w:r>
        <w:rPr>
          <w:rFonts w:hint="eastAsia" w:ascii="宋体" w:hAnsi="宋体"/>
          <w:sz w:val="24"/>
        </w:rPr>
        <w:t xml:space="preserve">                                             </w:t>
      </w:r>
      <w:r>
        <w:rPr>
          <w:rFonts w:ascii="宋体" w:hAnsi="宋体"/>
          <w:sz w:val="24"/>
        </w:rPr>
        <w:t xml:space="preserve">  2022年11月01日</w:t>
      </w:r>
    </w:p>
    <w:p>
      <w:pPr>
        <w:snapToGrid w:val="0"/>
        <w:ind w:firstLine="480" w:firstLineChars="200"/>
        <w:rPr>
          <w:rFonts w:ascii="宋体" w:hAnsi="宋体"/>
          <w:sz w:val="24"/>
          <w:szCs w:val="24"/>
        </w:rPr>
      </w:pPr>
      <w:r>
        <w:rPr>
          <w:rFonts w:ascii="宋体" w:hAnsi="宋体"/>
          <w:sz w:val="24"/>
        </w:rPr>
        <w:br w:type="page"/>
      </w:r>
      <w:r>
        <w:rPr>
          <w:rFonts w:hint="eastAsia" w:ascii="宋体" w:hAnsi="宋体"/>
          <w:b/>
          <w:sz w:val="24"/>
          <w:szCs w:val="24"/>
        </w:rPr>
        <w:t>资格文件、商务技术文件、投标报价文件目录</w:t>
      </w:r>
      <w:r>
        <w:rPr>
          <w:rFonts w:hint="eastAsia" w:ascii="宋体" w:hAnsi="宋体"/>
          <w:b/>
          <w:bCs/>
          <w:sz w:val="24"/>
          <w:szCs w:val="24"/>
        </w:rPr>
        <w:t>（请按照“第三章供应商须知，</w:t>
      </w:r>
      <w:r>
        <w:rPr>
          <w:rFonts w:ascii="宋体" w:hAnsi="宋体"/>
          <w:b/>
          <w:bCs/>
          <w:sz w:val="24"/>
          <w:szCs w:val="24"/>
        </w:rPr>
        <w:t>三、投标文件的编制</w:t>
      </w:r>
      <w:r>
        <w:rPr>
          <w:rFonts w:hint="eastAsia" w:ascii="宋体" w:hAnsi="宋体"/>
          <w:b/>
          <w:bCs/>
          <w:sz w:val="24"/>
          <w:szCs w:val="24"/>
        </w:rPr>
        <w:t>”的顺序，结合评标办法自行编制目录）</w:t>
      </w:r>
    </w:p>
    <w:p>
      <w:pPr>
        <w:snapToGrid w:val="0"/>
        <w:ind w:firstLine="482" w:firstLineChars="200"/>
        <w:rPr>
          <w:rFonts w:ascii="宋体" w:hAnsi="宋体"/>
          <w:b/>
          <w:bCs/>
          <w:sz w:val="24"/>
          <w:szCs w:val="24"/>
        </w:rPr>
      </w:pPr>
      <w:r>
        <w:rPr>
          <w:rFonts w:hint="eastAsia" w:ascii="宋体" w:hAnsi="宋体"/>
          <w:b/>
          <w:bCs/>
          <w:sz w:val="24"/>
          <w:szCs w:val="24"/>
        </w:rPr>
        <w:t>例如：</w:t>
      </w:r>
    </w:p>
    <w:p>
      <w:pPr>
        <w:snapToGrid w:val="0"/>
        <w:ind w:firstLine="482" w:firstLineChars="200"/>
        <w:rPr>
          <w:rFonts w:ascii="宋体" w:hAnsi="宋体"/>
          <w:sz w:val="24"/>
          <w:szCs w:val="24"/>
        </w:rPr>
      </w:pPr>
      <w:r>
        <w:rPr>
          <w:rFonts w:hint="eastAsia" w:ascii="宋体" w:hAnsi="宋体"/>
          <w:b/>
          <w:bCs/>
          <w:sz w:val="24"/>
          <w:szCs w:val="24"/>
        </w:rPr>
        <w:t>资信文件：</w:t>
      </w:r>
    </w:p>
    <w:p>
      <w:pPr>
        <w:snapToGrid w:val="0"/>
        <w:ind w:firstLine="480" w:firstLineChars="200"/>
        <w:rPr>
          <w:rFonts w:ascii="宋体" w:hAnsi="宋体"/>
          <w:sz w:val="24"/>
          <w:szCs w:val="24"/>
        </w:rPr>
      </w:pPr>
      <w:r>
        <w:rPr>
          <w:rFonts w:hint="eastAsia" w:ascii="宋体" w:hAnsi="宋体"/>
          <w:sz w:val="24"/>
          <w:szCs w:val="24"/>
        </w:rPr>
        <w:t>（1</w:t>
      </w:r>
      <w:r>
        <w:rPr>
          <w:rFonts w:ascii="宋体" w:hAnsi="宋体"/>
          <w:sz w:val="24"/>
          <w:szCs w:val="24"/>
        </w:rPr>
        <w:t>）</w:t>
      </w:r>
      <w:r>
        <w:rPr>
          <w:rFonts w:hint="eastAsia" w:ascii="宋体" w:hAnsi="宋体"/>
          <w:sz w:val="24"/>
          <w:szCs w:val="24"/>
        </w:rPr>
        <w:t>具有独立承担民事责任的能力————————————————（页码）</w:t>
      </w:r>
    </w:p>
    <w:p>
      <w:pPr>
        <w:snapToGrid w:val="0"/>
        <w:ind w:firstLine="480" w:firstLineChars="200"/>
        <w:jc w:val="left"/>
        <w:rPr>
          <w:rFonts w:ascii="宋体" w:hAnsi="宋体"/>
          <w:sz w:val="24"/>
          <w:szCs w:val="24"/>
        </w:rPr>
      </w:pPr>
      <w:r>
        <w:rPr>
          <w:rFonts w:hint="eastAsia" w:ascii="宋体" w:hAnsi="宋体"/>
          <w:sz w:val="24"/>
          <w:szCs w:val="24"/>
        </w:rPr>
        <w:t>（2</w:t>
      </w:r>
      <w:r>
        <w:rPr>
          <w:rFonts w:ascii="宋体" w:hAnsi="宋体"/>
          <w:sz w:val="24"/>
          <w:szCs w:val="24"/>
        </w:rPr>
        <w:t>）</w:t>
      </w:r>
      <w:r>
        <w:rPr>
          <w:rFonts w:hint="eastAsia" w:ascii="宋体" w:hAnsi="宋体"/>
          <w:sz w:val="24"/>
          <w:szCs w:val="24"/>
        </w:rPr>
        <w:t>供应商书面承诺符合参与政府采购活动资格条件承诺函—————（页码）</w:t>
      </w:r>
    </w:p>
    <w:p>
      <w:pPr>
        <w:snapToGrid w:val="0"/>
        <w:ind w:firstLine="480" w:firstLineChars="200"/>
        <w:jc w:val="left"/>
        <w:rPr>
          <w:rFonts w:ascii="宋体" w:hAnsi="宋体"/>
        </w:rPr>
      </w:pPr>
      <w:r>
        <w:rPr>
          <w:rFonts w:hint="eastAsia" w:ascii="宋体" w:hAnsi="宋体"/>
          <w:sz w:val="24"/>
          <w:szCs w:val="24"/>
        </w:rPr>
        <w:t>（3</w:t>
      </w:r>
      <w:r>
        <w:rPr>
          <w:rFonts w:ascii="宋体" w:hAnsi="宋体"/>
          <w:sz w:val="24"/>
          <w:szCs w:val="24"/>
        </w:rPr>
        <w:t>）</w:t>
      </w:r>
      <w:r>
        <w:rPr>
          <w:rFonts w:hint="eastAsia" w:ascii="宋体" w:hAnsi="宋体"/>
          <w:sz w:val="24"/>
          <w:szCs w:val="24"/>
        </w:rPr>
        <w:t>提供自招标公告发布之日起至投标截止日内任意时间的“信用中国”网站（www.creditchina.gov.cn）（未被信用中国网站列入失信被执行人、重大税收违法案件当事人名单的查询网页截图）、中国政府采购网（www.ccgp.gov.cn）（未被中国政府采购网列入政府采购严重违法失信行为记录名单的查询网页截图）（以开标当日采购单位或由采购单位委托的评标委员会核实的查询结果为准）—————（页码）</w:t>
      </w:r>
    </w:p>
    <w:p>
      <w:pPr>
        <w:ind w:firstLine="420" w:firstLineChars="200"/>
        <w:rPr>
          <w:rFonts w:hint="eastAsia" w:ascii="宋体" w:hAnsi="宋体"/>
        </w:rPr>
      </w:pPr>
    </w:p>
    <w:p>
      <w:pPr>
        <w:snapToGrid w:val="0"/>
        <w:jc w:val="left"/>
        <w:rPr>
          <w:rFonts w:ascii="宋体" w:hAnsi="宋体" w:cs="宋体"/>
          <w:b/>
          <w:sz w:val="24"/>
        </w:rPr>
      </w:pPr>
      <w:r>
        <w:rPr>
          <w:rFonts w:ascii="宋体" w:hAnsi="宋体"/>
          <w:sz w:val="24"/>
        </w:rPr>
        <w:br w:type="page"/>
      </w:r>
      <w:r>
        <w:rPr>
          <w:rFonts w:hint="eastAsia" w:ascii="宋体" w:hAnsi="宋体"/>
          <w:b/>
          <w:sz w:val="24"/>
        </w:rPr>
        <w:t>1、供应商</w:t>
      </w:r>
      <w:r>
        <w:rPr>
          <w:rFonts w:hint="eastAsia" w:ascii="宋体" w:hAnsi="宋体" w:cs="宋体"/>
          <w:b/>
          <w:sz w:val="24"/>
        </w:rPr>
        <w:t>书面承诺符合参与政府采购活动资格条件承诺函：</w:t>
      </w:r>
    </w:p>
    <w:p>
      <w:pPr>
        <w:ind w:firstLine="422" w:firstLineChars="200"/>
        <w:jc w:val="left"/>
        <w:rPr>
          <w:rFonts w:ascii="宋体" w:hAnsi="宋体" w:cs="宋体"/>
          <w:b/>
          <w:szCs w:val="21"/>
        </w:rPr>
      </w:pPr>
    </w:p>
    <w:p>
      <w:pPr>
        <w:snapToGrid w:val="0"/>
        <w:jc w:val="center"/>
        <w:rPr>
          <w:rFonts w:ascii="宋体" w:hAnsi="宋体"/>
          <w:b/>
          <w:sz w:val="24"/>
          <w:szCs w:val="24"/>
        </w:rPr>
      </w:pPr>
      <w:r>
        <w:rPr>
          <w:rFonts w:hint="eastAsia" w:ascii="宋体" w:hAnsi="宋体" w:cs="宋体"/>
          <w:b/>
          <w:sz w:val="24"/>
        </w:rPr>
        <w:t>符合参与政府采购活动资格条件承诺函</w:t>
      </w:r>
    </w:p>
    <w:p>
      <w:pPr>
        <w:ind w:firstLine="482" w:firstLineChars="200"/>
        <w:jc w:val="left"/>
        <w:rPr>
          <w:rFonts w:ascii="宋体" w:hAnsi="宋体"/>
          <w:sz w:val="24"/>
          <w:szCs w:val="24"/>
        </w:rPr>
      </w:pPr>
      <w:r>
        <w:rPr>
          <w:rFonts w:hint="eastAsia" w:ascii="宋体" w:hAnsi="宋体" w:cs="Arial"/>
          <w:b/>
          <w:kern w:val="0"/>
          <w:sz w:val="24"/>
          <w:szCs w:val="24"/>
          <w:u w:val="single"/>
        </w:rPr>
        <w:t>嘉兴市公安局交通警察支队</w:t>
      </w:r>
      <w:r>
        <w:rPr>
          <w:rFonts w:hint="eastAsia" w:ascii="宋体" w:hAnsi="宋体"/>
          <w:sz w:val="24"/>
          <w:szCs w:val="24"/>
        </w:rPr>
        <w:t>：</w:t>
      </w:r>
    </w:p>
    <w:p>
      <w:pPr>
        <w:snapToGrid w:val="0"/>
        <w:ind w:firstLine="480" w:firstLineChars="200"/>
        <w:jc w:val="left"/>
        <w:rPr>
          <w:rFonts w:ascii="宋体" w:hAnsi="宋体"/>
          <w:sz w:val="24"/>
          <w:szCs w:val="24"/>
          <w:shd w:val="clear" w:color="auto" w:fill="FFFFFF"/>
        </w:rPr>
      </w:pPr>
    </w:p>
    <w:p>
      <w:pPr>
        <w:snapToGrid w:val="0"/>
        <w:ind w:firstLine="480" w:firstLineChars="200"/>
        <w:jc w:val="left"/>
        <w:rPr>
          <w:rFonts w:ascii="宋体" w:hAnsi="宋体"/>
          <w:bCs/>
          <w:sz w:val="24"/>
          <w:szCs w:val="24"/>
        </w:rPr>
      </w:pPr>
      <w:r>
        <w:rPr>
          <w:rFonts w:hint="eastAsia" w:ascii="宋体" w:hAnsi="宋体"/>
          <w:bCs/>
          <w:sz w:val="24"/>
          <w:szCs w:val="24"/>
        </w:rPr>
        <w:t>本公司</w:t>
      </w:r>
      <w:r>
        <w:rPr>
          <w:rFonts w:hint="eastAsia" w:ascii="宋体" w:hAnsi="宋体"/>
          <w:bCs/>
          <w:sz w:val="24"/>
          <w:szCs w:val="24"/>
          <w:u w:val="single"/>
        </w:rPr>
        <w:t xml:space="preserve"> </w:t>
      </w:r>
      <w:r>
        <w:rPr>
          <w:rFonts w:ascii="宋体" w:hAnsi="宋体"/>
          <w:bCs/>
          <w:sz w:val="24"/>
          <w:szCs w:val="24"/>
          <w:u w:val="single"/>
        </w:rPr>
        <w:t xml:space="preserve"> </w:t>
      </w:r>
      <w:r>
        <w:rPr>
          <w:rFonts w:hint="eastAsia" w:ascii="宋体" w:hAnsi="宋体"/>
          <w:b/>
          <w:sz w:val="24"/>
          <w:szCs w:val="24"/>
          <w:u w:val="single"/>
        </w:rPr>
        <w:t xml:space="preserve">（公司名称） </w:t>
      </w:r>
      <w:r>
        <w:rPr>
          <w:rFonts w:ascii="宋体" w:hAnsi="宋体"/>
          <w:b/>
          <w:sz w:val="24"/>
          <w:szCs w:val="24"/>
          <w:u w:val="single"/>
        </w:rPr>
        <w:t xml:space="preserve"> </w:t>
      </w:r>
      <w:r>
        <w:rPr>
          <w:rFonts w:hint="eastAsia" w:ascii="宋体" w:hAnsi="宋体"/>
          <w:bCs/>
          <w:sz w:val="24"/>
          <w:szCs w:val="24"/>
        </w:rPr>
        <w:t>参加</w:t>
      </w:r>
      <w:r>
        <w:rPr>
          <w:rFonts w:hint="eastAsia" w:ascii="宋体" w:hAnsi="宋体"/>
          <w:b/>
          <w:sz w:val="24"/>
          <w:szCs w:val="24"/>
        </w:rPr>
        <w:t>2022年度嘉兴市公安局交通警察支队交通设施日常维护、更新项目</w:t>
      </w:r>
      <w:r>
        <w:rPr>
          <w:rFonts w:hint="eastAsia" w:ascii="宋体" w:hAnsi="宋体"/>
          <w:bCs/>
          <w:sz w:val="24"/>
          <w:szCs w:val="24"/>
        </w:rPr>
        <w:t>投标活动，现承诺如下：</w:t>
      </w:r>
    </w:p>
    <w:p>
      <w:pPr>
        <w:ind w:firstLine="480" w:firstLineChars="200"/>
        <w:rPr>
          <w:rFonts w:ascii="宋体" w:hAnsi="宋体"/>
          <w:sz w:val="24"/>
        </w:rPr>
      </w:pPr>
    </w:p>
    <w:p>
      <w:pPr>
        <w:snapToGrid w:val="0"/>
        <w:ind w:firstLine="480" w:firstLineChars="200"/>
        <w:jc w:val="left"/>
        <w:rPr>
          <w:rFonts w:ascii="宋体" w:hAnsi="宋体" w:cs="宋体"/>
          <w:bCs/>
          <w:sz w:val="24"/>
        </w:rPr>
      </w:pPr>
      <w:r>
        <w:rPr>
          <w:rFonts w:hint="eastAsia" w:ascii="宋体" w:hAnsi="宋体" w:cs="宋体"/>
          <w:bCs/>
          <w:sz w:val="24"/>
        </w:rPr>
        <w:t>1、我公司具有良好的商业信誉和健全的财务会计制度；</w:t>
      </w:r>
    </w:p>
    <w:p>
      <w:pPr>
        <w:snapToGrid w:val="0"/>
        <w:ind w:firstLine="480" w:firstLineChars="200"/>
        <w:jc w:val="left"/>
        <w:rPr>
          <w:rFonts w:ascii="宋体" w:hAnsi="宋体" w:cs="宋体"/>
          <w:bCs/>
          <w:sz w:val="24"/>
        </w:rPr>
      </w:pPr>
      <w:r>
        <w:rPr>
          <w:rFonts w:hint="eastAsia" w:ascii="宋体" w:hAnsi="宋体" w:cs="宋体"/>
          <w:bCs/>
          <w:sz w:val="24"/>
        </w:rPr>
        <w:t>2、我公司具有履行合同所需的设备和专业技术能力；</w:t>
      </w:r>
    </w:p>
    <w:p>
      <w:pPr>
        <w:snapToGrid w:val="0"/>
        <w:ind w:firstLine="480" w:firstLineChars="200"/>
        <w:jc w:val="left"/>
        <w:rPr>
          <w:rFonts w:ascii="宋体" w:hAnsi="宋体" w:cs="宋体"/>
          <w:bCs/>
          <w:sz w:val="24"/>
        </w:rPr>
      </w:pPr>
      <w:r>
        <w:rPr>
          <w:rFonts w:hint="eastAsia" w:ascii="宋体" w:hAnsi="宋体" w:cs="宋体"/>
          <w:bCs/>
          <w:sz w:val="24"/>
        </w:rPr>
        <w:t>3、我公司有依法缴纳税收和社会保障资金的良好记录；</w:t>
      </w:r>
    </w:p>
    <w:p>
      <w:pPr>
        <w:snapToGrid w:val="0"/>
        <w:ind w:firstLine="480" w:firstLineChars="200"/>
        <w:jc w:val="left"/>
        <w:rPr>
          <w:rFonts w:ascii="宋体" w:hAnsi="宋体" w:cs="宋体"/>
          <w:bCs/>
          <w:sz w:val="24"/>
        </w:rPr>
      </w:pPr>
      <w:r>
        <w:rPr>
          <w:rFonts w:hint="eastAsia" w:ascii="宋体" w:hAnsi="宋体" w:cs="宋体"/>
          <w:bCs/>
          <w:sz w:val="24"/>
        </w:rPr>
        <w:t>4、</w:t>
      </w:r>
      <w:r>
        <w:rPr>
          <w:rFonts w:hint="eastAsia" w:ascii="宋体" w:hAnsi="宋体" w:cs="宋体"/>
          <w:sz w:val="24"/>
        </w:rPr>
        <w:t>我公司声明截止投标时间近三年以来，在经营活动中没有重大违法记录；也没有因违反《浙江省政府采购供应商注册及诚信管理暂行办法》被列入“黑名单”，正在处罚有效期</w:t>
      </w:r>
      <w:r>
        <w:rPr>
          <w:rFonts w:hint="eastAsia" w:ascii="宋体" w:hAnsi="宋体" w:cs="宋体"/>
          <w:bCs/>
          <w:sz w:val="24"/>
        </w:rPr>
        <w:t>；</w:t>
      </w:r>
    </w:p>
    <w:p>
      <w:pPr>
        <w:snapToGrid w:val="0"/>
        <w:ind w:firstLine="480" w:firstLineChars="200"/>
        <w:jc w:val="left"/>
        <w:rPr>
          <w:rFonts w:ascii="宋体" w:hAnsi="宋体" w:cs="宋体"/>
          <w:bCs/>
          <w:sz w:val="24"/>
        </w:rPr>
      </w:pPr>
      <w:r>
        <w:rPr>
          <w:rFonts w:hint="eastAsia" w:ascii="宋体" w:hAnsi="宋体" w:cs="宋体"/>
          <w:bCs/>
          <w:sz w:val="24"/>
        </w:rPr>
        <w:t>如违反以上承诺，本公司愿承担一切法律责任。</w:t>
      </w:r>
    </w:p>
    <w:p>
      <w:pPr>
        <w:snapToGrid w:val="0"/>
        <w:ind w:firstLine="480" w:firstLineChars="200"/>
        <w:jc w:val="left"/>
        <w:rPr>
          <w:rFonts w:ascii="宋体" w:hAnsi="宋体"/>
          <w:sz w:val="24"/>
          <w:szCs w:val="24"/>
        </w:rPr>
      </w:pPr>
      <w:r>
        <w:rPr>
          <w:rFonts w:hint="eastAsia" w:ascii="宋体" w:hAnsi="宋体" w:cs="宋体"/>
          <w:sz w:val="24"/>
        </w:rPr>
        <w:t>特此承诺。</w:t>
      </w:r>
    </w:p>
    <w:p>
      <w:pPr>
        <w:snapToGrid w:val="0"/>
        <w:ind w:firstLine="480" w:firstLineChars="200"/>
        <w:jc w:val="left"/>
        <w:rPr>
          <w:rFonts w:ascii="宋体" w:hAnsi="宋体"/>
          <w:sz w:val="24"/>
          <w:szCs w:val="24"/>
        </w:rPr>
      </w:pPr>
    </w:p>
    <w:p>
      <w:pPr>
        <w:snapToGrid w:val="0"/>
        <w:ind w:firstLine="480" w:firstLineChars="200"/>
        <w:rPr>
          <w:rFonts w:ascii="宋体" w:hAnsi="宋体"/>
          <w:sz w:val="24"/>
          <w:szCs w:val="24"/>
        </w:rPr>
      </w:pPr>
      <w:r>
        <w:rPr>
          <w:rFonts w:hint="eastAsia" w:ascii="宋体" w:hAnsi="宋体"/>
          <w:sz w:val="24"/>
          <w:szCs w:val="24"/>
        </w:rPr>
        <w:t>被授权人签字（或盖章）：</w:t>
      </w:r>
    </w:p>
    <w:p>
      <w:pPr>
        <w:snapToGrid w:val="0"/>
        <w:ind w:firstLine="480" w:firstLineChars="200"/>
        <w:rPr>
          <w:rFonts w:ascii="宋体" w:hAnsi="宋体"/>
          <w:sz w:val="24"/>
          <w:szCs w:val="24"/>
        </w:rPr>
      </w:pPr>
      <w:r>
        <w:rPr>
          <w:rFonts w:hint="eastAsia" w:ascii="宋体" w:hAnsi="宋体"/>
          <w:sz w:val="24"/>
          <w:szCs w:val="24"/>
        </w:rPr>
        <w:t>供应商公章：</w:t>
      </w:r>
    </w:p>
    <w:p>
      <w:pPr>
        <w:snapToGrid w:val="0"/>
        <w:ind w:firstLine="480" w:firstLineChars="200"/>
        <w:rPr>
          <w:rFonts w:ascii="宋体" w:hAnsi="宋体"/>
          <w:sz w:val="24"/>
          <w:szCs w:val="24"/>
        </w:rPr>
      </w:pPr>
      <w:r>
        <w:rPr>
          <w:rFonts w:hint="eastAsia" w:ascii="宋体" w:hAnsi="宋体"/>
          <w:sz w:val="24"/>
          <w:szCs w:val="24"/>
        </w:rPr>
        <w:t>日期：</w:t>
      </w:r>
    </w:p>
    <w:p>
      <w:pPr>
        <w:ind w:firstLine="360" w:firstLineChars="200"/>
        <w:rPr>
          <w:rFonts w:ascii="宋体" w:hAnsi="宋体"/>
          <w:sz w:val="18"/>
          <w:szCs w:val="18"/>
        </w:rPr>
      </w:pPr>
    </w:p>
    <w:p>
      <w:pPr>
        <w:snapToGrid w:val="0"/>
        <w:rPr>
          <w:rFonts w:ascii="宋体" w:hAnsi="宋体"/>
          <w:b/>
          <w:sz w:val="24"/>
        </w:rPr>
      </w:pPr>
      <w:r>
        <w:rPr>
          <w:rFonts w:ascii="宋体" w:hAnsi="宋体"/>
        </w:rPr>
        <w:br w:type="page"/>
      </w:r>
      <w:r>
        <w:rPr>
          <w:rFonts w:ascii="宋体" w:hAnsi="宋体"/>
          <w:b/>
          <w:sz w:val="24"/>
        </w:rPr>
        <w:t>2</w:t>
      </w:r>
      <w:r>
        <w:rPr>
          <w:rFonts w:hint="eastAsia" w:ascii="宋体" w:hAnsi="宋体"/>
          <w:b/>
          <w:sz w:val="24"/>
        </w:rPr>
        <w:t>、法定代表人资格证明书或法定代表人授权委托书格式：</w:t>
      </w:r>
    </w:p>
    <w:p>
      <w:pPr>
        <w:snapToGrid w:val="0"/>
        <w:jc w:val="center"/>
        <w:rPr>
          <w:rFonts w:ascii="宋体" w:hAnsi="宋体"/>
          <w:b/>
          <w:sz w:val="32"/>
          <w:szCs w:val="32"/>
        </w:rPr>
      </w:pPr>
      <w:r>
        <w:rPr>
          <w:rFonts w:hint="eastAsia" w:ascii="宋体" w:hAnsi="宋体"/>
          <w:b/>
          <w:sz w:val="32"/>
          <w:szCs w:val="32"/>
        </w:rPr>
        <w:t>法定代表人资格证明书</w:t>
      </w:r>
    </w:p>
    <w:p>
      <w:pPr>
        <w:ind w:firstLine="480" w:firstLineChars="200"/>
        <w:rPr>
          <w:rFonts w:ascii="宋体" w:hAnsi="宋体"/>
          <w:sz w:val="24"/>
          <w:szCs w:val="24"/>
          <w:u w:val="single"/>
        </w:rPr>
      </w:pPr>
      <w:r>
        <w:rPr>
          <w:rFonts w:hint="eastAsia" w:ascii="宋体" w:hAnsi="宋体"/>
          <w:sz w:val="24"/>
          <w:szCs w:val="24"/>
        </w:rPr>
        <w:t>单位名称：</w:t>
      </w:r>
      <w:r>
        <w:rPr>
          <w:rFonts w:hint="eastAsia" w:ascii="宋体" w:hAnsi="宋体"/>
          <w:sz w:val="24"/>
          <w:szCs w:val="24"/>
          <w:u w:val="single"/>
        </w:rPr>
        <w:t xml:space="preserve">                    </w:t>
      </w:r>
    </w:p>
    <w:p>
      <w:pPr>
        <w:ind w:firstLine="480" w:firstLineChars="200"/>
        <w:rPr>
          <w:rFonts w:ascii="宋体" w:hAnsi="宋体"/>
          <w:sz w:val="24"/>
          <w:szCs w:val="24"/>
          <w:u w:val="single"/>
        </w:rPr>
      </w:pPr>
      <w:r>
        <w:rPr>
          <w:rFonts w:hint="eastAsia" w:ascii="宋体" w:hAnsi="宋体"/>
          <w:sz w:val="24"/>
          <w:szCs w:val="24"/>
        </w:rPr>
        <w:t>地址：</w:t>
      </w:r>
      <w:r>
        <w:rPr>
          <w:rFonts w:hint="eastAsia" w:ascii="宋体" w:hAnsi="宋体"/>
          <w:sz w:val="24"/>
          <w:szCs w:val="24"/>
          <w:u w:val="single"/>
        </w:rPr>
        <w:t xml:space="preserve">                        </w:t>
      </w:r>
    </w:p>
    <w:p>
      <w:pPr>
        <w:ind w:firstLine="480" w:firstLineChars="200"/>
        <w:rPr>
          <w:rFonts w:ascii="宋体" w:hAnsi="宋体"/>
          <w:sz w:val="24"/>
          <w:szCs w:val="24"/>
          <w:u w:val="single"/>
        </w:rPr>
      </w:pPr>
      <w:r>
        <w:rPr>
          <w:rFonts w:hint="eastAsia" w:ascii="宋体" w:hAnsi="宋体"/>
          <w:sz w:val="24"/>
          <w:szCs w:val="24"/>
        </w:rPr>
        <w:t>姓名：</w:t>
      </w:r>
      <w:r>
        <w:rPr>
          <w:rFonts w:hint="eastAsia" w:ascii="宋体" w:hAnsi="宋体"/>
          <w:sz w:val="24"/>
          <w:szCs w:val="24"/>
          <w:u w:val="single"/>
        </w:rPr>
        <w:t xml:space="preserve">           </w:t>
      </w:r>
      <w:r>
        <w:rPr>
          <w:rFonts w:hint="eastAsia" w:ascii="宋体" w:hAnsi="宋体"/>
          <w:sz w:val="24"/>
          <w:szCs w:val="24"/>
        </w:rPr>
        <w:t xml:space="preserve"> 性别：</w:t>
      </w:r>
      <w:r>
        <w:rPr>
          <w:rFonts w:hint="eastAsia" w:ascii="宋体" w:hAnsi="宋体"/>
          <w:sz w:val="24"/>
          <w:szCs w:val="24"/>
          <w:u w:val="single"/>
        </w:rPr>
        <w:t xml:space="preserve">      </w:t>
      </w:r>
      <w:r>
        <w:rPr>
          <w:rFonts w:hint="eastAsia" w:ascii="宋体" w:hAnsi="宋体"/>
          <w:sz w:val="24"/>
          <w:szCs w:val="24"/>
        </w:rPr>
        <w:t>年龄：</w:t>
      </w:r>
      <w:r>
        <w:rPr>
          <w:rFonts w:hint="eastAsia" w:ascii="宋体" w:hAnsi="宋体"/>
          <w:sz w:val="24"/>
          <w:szCs w:val="24"/>
          <w:u w:val="single"/>
        </w:rPr>
        <w:t xml:space="preserve">      </w:t>
      </w:r>
      <w:r>
        <w:rPr>
          <w:rFonts w:hint="eastAsia" w:ascii="宋体" w:hAnsi="宋体"/>
          <w:sz w:val="24"/>
          <w:szCs w:val="24"/>
        </w:rPr>
        <w:t>职务：</w:t>
      </w:r>
      <w:r>
        <w:rPr>
          <w:rFonts w:hint="eastAsia" w:ascii="宋体" w:hAnsi="宋体"/>
          <w:sz w:val="24"/>
          <w:szCs w:val="24"/>
          <w:u w:val="single"/>
        </w:rPr>
        <w:t xml:space="preserve">             </w:t>
      </w:r>
    </w:p>
    <w:p>
      <w:pPr>
        <w:ind w:firstLine="480" w:firstLineChars="200"/>
        <w:rPr>
          <w:rFonts w:ascii="宋体" w:hAnsi="宋体"/>
          <w:sz w:val="24"/>
          <w:szCs w:val="24"/>
        </w:rPr>
      </w:pPr>
      <w:r>
        <w:rPr>
          <w:rFonts w:hint="eastAsia" w:ascii="宋体" w:hAnsi="宋体"/>
          <w:sz w:val="24"/>
          <w:szCs w:val="24"/>
        </w:rPr>
        <w:t>系</w:t>
      </w:r>
      <w:r>
        <w:rPr>
          <w:rFonts w:hint="eastAsia" w:ascii="宋体" w:hAnsi="宋体"/>
          <w:sz w:val="24"/>
          <w:szCs w:val="24"/>
          <w:u w:val="single"/>
        </w:rPr>
        <w:t xml:space="preserve">                                 </w:t>
      </w:r>
      <w:r>
        <w:rPr>
          <w:rFonts w:hint="eastAsia" w:ascii="宋体" w:hAnsi="宋体"/>
          <w:sz w:val="24"/>
          <w:szCs w:val="24"/>
        </w:rPr>
        <w:t>的法定代表人。为委托本项目签署</w:t>
      </w:r>
      <w:r>
        <w:rPr>
          <w:rFonts w:hint="eastAsia" w:ascii="宋体" w:hAnsi="宋体"/>
          <w:kern w:val="0"/>
          <w:sz w:val="24"/>
          <w:szCs w:val="24"/>
          <w:lang w:val="zh-CN"/>
        </w:rPr>
        <w:t>招标</w:t>
      </w:r>
      <w:r>
        <w:rPr>
          <w:rFonts w:hint="eastAsia" w:ascii="宋体" w:hAnsi="宋体"/>
          <w:sz w:val="24"/>
          <w:szCs w:val="24"/>
        </w:rPr>
        <w:t>文件，进行签署合同和处理与之有关的一切事务。</w:t>
      </w:r>
    </w:p>
    <w:p>
      <w:pPr>
        <w:ind w:firstLine="480" w:firstLineChars="200"/>
        <w:rPr>
          <w:rFonts w:ascii="宋体" w:hAnsi="宋体"/>
          <w:sz w:val="24"/>
          <w:szCs w:val="24"/>
        </w:rPr>
      </w:pPr>
      <w:r>
        <w:rPr>
          <w:rFonts w:hint="eastAsia" w:ascii="宋体" w:hAnsi="宋体"/>
          <w:sz w:val="24"/>
          <w:szCs w:val="24"/>
        </w:rPr>
        <w:t>特此证明。</w:t>
      </w:r>
    </w:p>
    <w:p>
      <w:pPr>
        <w:ind w:firstLine="480" w:firstLineChars="200"/>
        <w:rPr>
          <w:rFonts w:ascii="宋体" w:hAnsi="宋体"/>
          <w:sz w:val="24"/>
          <w:szCs w:val="24"/>
        </w:rPr>
      </w:pPr>
    </w:p>
    <w:p>
      <w:pPr>
        <w:ind w:firstLine="480" w:firstLineChars="200"/>
        <w:rPr>
          <w:rFonts w:ascii="宋体" w:hAnsi="宋体"/>
          <w:sz w:val="24"/>
          <w:szCs w:val="24"/>
          <w:u w:val="single"/>
        </w:rPr>
      </w:pPr>
      <w:r>
        <w:rPr>
          <w:rFonts w:hint="eastAsia" w:ascii="宋体" w:hAnsi="宋体"/>
          <w:kern w:val="0"/>
          <w:sz w:val="24"/>
          <w:szCs w:val="24"/>
          <w:lang w:val="zh-CN"/>
        </w:rPr>
        <w:t>供应商公章</w:t>
      </w:r>
      <w:r>
        <w:rPr>
          <w:rFonts w:hint="eastAsia" w:ascii="宋体" w:hAnsi="宋体"/>
          <w:sz w:val="24"/>
          <w:szCs w:val="24"/>
        </w:rPr>
        <w:t>：</w:t>
      </w:r>
    </w:p>
    <w:p>
      <w:pPr>
        <w:snapToGrid w:val="0"/>
        <w:ind w:firstLine="480" w:firstLineChars="200"/>
        <w:rPr>
          <w:rFonts w:ascii="宋体" w:hAnsi="宋体"/>
          <w:sz w:val="24"/>
          <w:szCs w:val="24"/>
        </w:rPr>
      </w:pPr>
      <w:r>
        <w:rPr>
          <w:rFonts w:hint="eastAsia" w:ascii="宋体" w:hAnsi="宋体"/>
          <w:sz w:val="24"/>
          <w:szCs w:val="24"/>
        </w:rPr>
        <w:t xml:space="preserve">日 </w:t>
      </w:r>
      <w:r>
        <w:rPr>
          <w:rFonts w:ascii="宋体" w:hAnsi="宋体"/>
          <w:sz w:val="24"/>
          <w:szCs w:val="24"/>
        </w:rPr>
        <w:t xml:space="preserve">     </w:t>
      </w:r>
      <w:r>
        <w:rPr>
          <w:rFonts w:hint="eastAsia" w:ascii="宋体" w:hAnsi="宋体"/>
          <w:sz w:val="24"/>
          <w:szCs w:val="24"/>
        </w:rPr>
        <w:t xml:space="preserve">期： </w:t>
      </w:r>
      <w:r>
        <w:rPr>
          <w:rFonts w:ascii="宋体" w:hAnsi="宋体"/>
          <w:sz w:val="24"/>
          <w:szCs w:val="24"/>
        </w:rPr>
        <w:t xml:space="preserve">  </w:t>
      </w:r>
      <w:r>
        <w:rPr>
          <w:rFonts w:hint="eastAsia" w:ascii="宋体" w:hAnsi="宋体"/>
          <w:sz w:val="24"/>
          <w:szCs w:val="24"/>
        </w:rPr>
        <w:t xml:space="preserve">年 </w:t>
      </w:r>
      <w:r>
        <w:rPr>
          <w:rFonts w:ascii="宋体" w:hAnsi="宋体"/>
          <w:sz w:val="24"/>
          <w:szCs w:val="24"/>
        </w:rPr>
        <w:t xml:space="preserve"> </w:t>
      </w:r>
      <w:r>
        <w:rPr>
          <w:rFonts w:hint="eastAsia" w:ascii="宋体" w:hAnsi="宋体"/>
          <w:sz w:val="24"/>
          <w:szCs w:val="24"/>
        </w:rPr>
        <w:t xml:space="preserve">月 </w:t>
      </w:r>
      <w:r>
        <w:rPr>
          <w:rFonts w:ascii="宋体" w:hAnsi="宋体"/>
          <w:sz w:val="24"/>
          <w:szCs w:val="24"/>
        </w:rPr>
        <w:t xml:space="preserve"> </w:t>
      </w:r>
      <w:r>
        <w:rPr>
          <w:rFonts w:hint="eastAsia" w:ascii="宋体" w:hAnsi="宋体"/>
          <w:sz w:val="24"/>
          <w:szCs w:val="24"/>
        </w:rPr>
        <w:t>日</w:t>
      </w:r>
    </w:p>
    <w:p>
      <w:pPr>
        <w:pStyle w:val="20"/>
        <w:ind w:firstLine="420"/>
        <w:rPr>
          <w:rFonts w:ascii="宋体" w:hAnsi="宋体"/>
          <w:sz w:val="21"/>
          <w:szCs w:val="21"/>
        </w:rPr>
      </w:pPr>
    </w:p>
    <w:p>
      <w:pPr>
        <w:snapToGrid w:val="0"/>
        <w:jc w:val="center"/>
        <w:rPr>
          <w:rFonts w:ascii="宋体" w:hAnsi="宋体"/>
          <w:b/>
          <w:sz w:val="32"/>
          <w:szCs w:val="32"/>
        </w:rPr>
      </w:pPr>
      <w:r>
        <w:rPr>
          <w:rFonts w:hint="eastAsia" w:ascii="宋体" w:hAnsi="宋体"/>
          <w:b/>
          <w:sz w:val="32"/>
          <w:szCs w:val="32"/>
        </w:rPr>
        <w:t>法定代表人授权委托书</w:t>
      </w:r>
    </w:p>
    <w:p>
      <w:pPr>
        <w:snapToGrid w:val="0"/>
        <w:ind w:firstLine="480" w:firstLineChars="200"/>
        <w:rPr>
          <w:rFonts w:ascii="宋体" w:hAnsi="宋体"/>
          <w:b/>
          <w:bCs/>
          <w:sz w:val="24"/>
        </w:rPr>
      </w:pPr>
      <w:r>
        <w:rPr>
          <w:rFonts w:hint="eastAsia" w:ascii="宋体" w:hAnsi="宋体"/>
          <w:bCs/>
          <w:sz w:val="24"/>
        </w:rPr>
        <w:t>致：</w:t>
      </w:r>
      <w:r>
        <w:rPr>
          <w:rFonts w:hint="eastAsia" w:ascii="宋体" w:hAnsi="宋体"/>
          <w:bCs/>
          <w:sz w:val="24"/>
          <w:u w:val="single"/>
        </w:rPr>
        <w:t xml:space="preserve">               </w:t>
      </w:r>
      <w:r>
        <w:rPr>
          <w:rFonts w:hint="eastAsia" w:ascii="宋体" w:hAnsi="宋体"/>
          <w:sz w:val="24"/>
        </w:rPr>
        <w:t>（采购单位名称）：</w:t>
      </w:r>
    </w:p>
    <w:p>
      <w:pPr>
        <w:snapToGrid w:val="0"/>
        <w:ind w:firstLine="480" w:firstLineChars="200"/>
        <w:rPr>
          <w:rFonts w:ascii="宋体" w:hAnsi="宋体"/>
          <w:sz w:val="24"/>
        </w:rPr>
      </w:pPr>
      <w:r>
        <w:rPr>
          <w:rFonts w:hint="eastAsia" w:ascii="宋体" w:hAnsi="宋体"/>
          <w:sz w:val="24"/>
        </w:rPr>
        <w:t>我</w:t>
      </w:r>
      <w:r>
        <w:rPr>
          <w:rFonts w:hint="eastAsia" w:ascii="宋体" w:hAnsi="宋体"/>
          <w:sz w:val="24"/>
          <w:u w:val="single"/>
        </w:rPr>
        <w:t xml:space="preserve">           </w:t>
      </w:r>
      <w:r>
        <w:rPr>
          <w:rFonts w:hint="eastAsia" w:ascii="宋体" w:hAnsi="宋体"/>
          <w:sz w:val="24"/>
        </w:rPr>
        <w:t>（姓名）系</w:t>
      </w:r>
      <w:r>
        <w:rPr>
          <w:rFonts w:hint="eastAsia" w:ascii="宋体" w:hAnsi="宋体"/>
          <w:sz w:val="24"/>
          <w:u w:val="single"/>
        </w:rPr>
        <w:t xml:space="preserve">        </w:t>
      </w:r>
      <w:r>
        <w:rPr>
          <w:rFonts w:hint="eastAsia" w:ascii="宋体" w:hAnsi="宋体"/>
          <w:sz w:val="24"/>
        </w:rPr>
        <w:t xml:space="preserve">（供应商名称）的法定代表人，现授权委托本单位在职职工 </w:t>
      </w:r>
      <w:r>
        <w:rPr>
          <w:rFonts w:hint="eastAsia" w:ascii="宋体" w:hAnsi="宋体"/>
          <w:sz w:val="24"/>
          <w:u w:val="single"/>
        </w:rPr>
        <w:t xml:space="preserve">         </w:t>
      </w:r>
      <w:r>
        <w:rPr>
          <w:rFonts w:hint="eastAsia" w:ascii="宋体" w:hAnsi="宋体"/>
          <w:sz w:val="24"/>
        </w:rPr>
        <w:t>（姓名）以我方的名义参加</w:t>
      </w:r>
      <w:r>
        <w:rPr>
          <w:rFonts w:hint="eastAsia" w:ascii="宋体" w:hAnsi="宋体"/>
          <w:sz w:val="24"/>
          <w:u w:val="single"/>
        </w:rPr>
        <w:t xml:space="preserve">             </w:t>
      </w:r>
      <w:r>
        <w:rPr>
          <w:rFonts w:hint="eastAsia" w:ascii="宋体" w:hAnsi="宋体"/>
          <w:sz w:val="24"/>
        </w:rPr>
        <w:t>项目标项</w:t>
      </w:r>
      <w:r>
        <w:rPr>
          <w:rFonts w:hint="eastAsia" w:ascii="宋体" w:hAnsi="宋体"/>
          <w:sz w:val="24"/>
          <w:u w:val="single"/>
        </w:rPr>
        <w:t xml:space="preserve">      </w:t>
      </w:r>
      <w:r>
        <w:rPr>
          <w:rFonts w:hint="eastAsia" w:ascii="宋体" w:hAnsi="宋体"/>
          <w:sz w:val="24"/>
        </w:rPr>
        <w:t>的投标活动，并代表我方全权办理针对上述项目的投标、开标、评标、签约等具体事务和签署相关文件。</w:t>
      </w:r>
    </w:p>
    <w:p>
      <w:pPr>
        <w:snapToGrid w:val="0"/>
        <w:ind w:firstLine="480" w:firstLineChars="200"/>
        <w:rPr>
          <w:rFonts w:ascii="宋体" w:hAnsi="宋体"/>
          <w:sz w:val="24"/>
        </w:rPr>
      </w:pPr>
      <w:r>
        <w:rPr>
          <w:rFonts w:hint="eastAsia" w:ascii="宋体" w:hAnsi="宋体"/>
          <w:sz w:val="24"/>
        </w:rPr>
        <w:t>我方对被授权人的签名事项负全部责任。</w:t>
      </w:r>
    </w:p>
    <w:p>
      <w:pPr>
        <w:snapToGrid w:val="0"/>
        <w:ind w:firstLine="480" w:firstLineChars="200"/>
        <w:rPr>
          <w:rFonts w:ascii="宋体" w:hAnsi="宋体"/>
          <w:sz w:val="24"/>
        </w:rPr>
      </w:pPr>
      <w:r>
        <w:rPr>
          <w:rFonts w:hint="eastAsia" w:ascii="宋体" w:hAnsi="宋体"/>
          <w:sz w:val="24"/>
          <w:u w:val="single"/>
        </w:rPr>
        <w:t>在撤销授权的书面通知以前，本授权书一直有效。</w:t>
      </w:r>
      <w:r>
        <w:rPr>
          <w:rFonts w:hint="eastAsia" w:ascii="宋体" w:hAnsi="宋体"/>
          <w:sz w:val="24"/>
        </w:rPr>
        <w:t>被授权人在授权书有效期内签署的所有文件不因授权的撤销而失效。</w:t>
      </w:r>
    </w:p>
    <w:p>
      <w:pPr>
        <w:snapToGrid w:val="0"/>
        <w:ind w:firstLine="480" w:firstLineChars="200"/>
        <w:rPr>
          <w:rFonts w:ascii="宋体" w:hAnsi="宋体"/>
          <w:sz w:val="24"/>
        </w:rPr>
      </w:pPr>
      <w:r>
        <w:rPr>
          <w:rFonts w:hint="eastAsia" w:ascii="宋体" w:hAnsi="宋体"/>
          <w:sz w:val="24"/>
        </w:rPr>
        <w:t>被授权人无转委托权，特此委托。</w:t>
      </w:r>
    </w:p>
    <w:p>
      <w:pPr>
        <w:snapToGrid w:val="0"/>
        <w:ind w:firstLine="480" w:firstLineChars="200"/>
        <w:rPr>
          <w:rFonts w:ascii="宋体" w:hAnsi="宋体"/>
          <w:sz w:val="24"/>
        </w:rPr>
      </w:pPr>
    </w:p>
    <w:p>
      <w:pPr>
        <w:snapToGrid w:val="0"/>
        <w:ind w:firstLine="480" w:firstLineChars="200"/>
        <w:rPr>
          <w:rFonts w:ascii="宋体" w:hAnsi="宋体"/>
          <w:sz w:val="24"/>
          <w:u w:val="single"/>
        </w:rPr>
      </w:pPr>
      <w:r>
        <w:rPr>
          <w:rFonts w:hint="eastAsia" w:ascii="宋体" w:hAnsi="宋体"/>
          <w:sz w:val="24"/>
        </w:rPr>
        <w:t>被授权人签名：</w:t>
      </w:r>
      <w:r>
        <w:rPr>
          <w:rFonts w:hint="eastAsia" w:ascii="宋体" w:hAnsi="宋体"/>
          <w:sz w:val="24"/>
          <w:u w:val="single"/>
        </w:rPr>
        <w:t xml:space="preserve">          </w:t>
      </w:r>
      <w:r>
        <w:rPr>
          <w:rFonts w:hint="eastAsia" w:ascii="宋体" w:hAnsi="宋体"/>
          <w:sz w:val="24"/>
        </w:rPr>
        <w:t xml:space="preserve">               法定代表人签名：</w:t>
      </w:r>
      <w:r>
        <w:rPr>
          <w:rFonts w:hint="eastAsia" w:ascii="宋体" w:hAnsi="宋体"/>
          <w:sz w:val="24"/>
          <w:u w:val="single"/>
        </w:rPr>
        <w:t xml:space="preserve">          </w:t>
      </w:r>
    </w:p>
    <w:p>
      <w:pPr>
        <w:snapToGrid w:val="0"/>
        <w:ind w:firstLine="480" w:firstLineChars="200"/>
        <w:rPr>
          <w:rFonts w:ascii="宋体" w:hAnsi="宋体"/>
          <w:sz w:val="24"/>
        </w:rPr>
      </w:pPr>
      <w:r>
        <w:rPr>
          <w:rFonts w:hint="eastAsia" w:ascii="宋体" w:hAnsi="宋体"/>
          <w:sz w:val="24"/>
        </w:rPr>
        <w:t>职务：</w:t>
      </w:r>
      <w:r>
        <w:rPr>
          <w:rFonts w:hint="eastAsia" w:ascii="宋体" w:hAnsi="宋体"/>
          <w:sz w:val="24"/>
          <w:u w:val="single"/>
        </w:rPr>
        <w:t xml:space="preserve">           </w:t>
      </w:r>
      <w:r>
        <w:rPr>
          <w:rFonts w:hint="eastAsia" w:ascii="宋体" w:hAnsi="宋体"/>
          <w:sz w:val="24"/>
        </w:rPr>
        <w:t xml:space="preserve">                      职务：</w:t>
      </w:r>
      <w:r>
        <w:rPr>
          <w:rFonts w:hint="eastAsia" w:ascii="宋体" w:hAnsi="宋体"/>
          <w:sz w:val="24"/>
          <w:u w:val="single"/>
        </w:rPr>
        <w:t xml:space="preserve">           </w:t>
      </w:r>
    </w:p>
    <w:p>
      <w:pPr>
        <w:snapToGrid w:val="0"/>
        <w:ind w:firstLine="480" w:firstLineChars="200"/>
        <w:rPr>
          <w:rFonts w:ascii="宋体" w:hAnsi="宋体"/>
          <w:sz w:val="24"/>
        </w:rPr>
      </w:pPr>
      <w:r>
        <w:rPr>
          <w:rFonts w:hint="eastAsia" w:ascii="宋体" w:hAnsi="宋体"/>
          <w:sz w:val="24"/>
        </w:rPr>
        <w:t>被授权人身份证号码：</w:t>
      </w:r>
      <w:r>
        <w:rPr>
          <w:rFonts w:hint="eastAsia" w:ascii="宋体" w:hAnsi="宋体"/>
          <w:sz w:val="24"/>
          <w:u w:val="single"/>
        </w:rPr>
        <w:t xml:space="preserve">                             </w:t>
      </w:r>
      <w:r>
        <w:rPr>
          <w:rFonts w:hint="eastAsia" w:ascii="宋体" w:hAnsi="宋体"/>
          <w:sz w:val="24"/>
        </w:rPr>
        <w:t xml:space="preserve"> </w:t>
      </w:r>
    </w:p>
    <w:p>
      <w:pPr>
        <w:snapToGrid w:val="0"/>
        <w:ind w:firstLine="480" w:firstLineChars="200"/>
        <w:rPr>
          <w:rFonts w:ascii="宋体" w:hAnsi="宋体"/>
          <w:sz w:val="24"/>
        </w:rPr>
      </w:pPr>
      <w:r>
        <w:rPr>
          <w:rFonts w:hint="eastAsia" w:ascii="宋体" w:hAnsi="宋体"/>
          <w:sz w:val="24"/>
        </w:rPr>
        <w:t>被授权人身份证粘贴处（正反面）         法定代表人身份证粘贴处（正反面）</w:t>
      </w:r>
    </w:p>
    <w:p>
      <w:pPr>
        <w:snapToGrid w:val="0"/>
        <w:ind w:firstLine="480" w:firstLineChars="200"/>
        <w:rPr>
          <w:rFonts w:ascii="宋体" w:hAnsi="宋体"/>
          <w:sz w:val="24"/>
        </w:rPr>
      </w:pPr>
      <w:r>
        <w:rPr>
          <w:rFonts w:hint="eastAsia" w:ascii="宋体" w:hAnsi="宋体"/>
          <w:sz w:val="24"/>
        </w:rPr>
        <w:t xml:space="preserve">                                     供应商公章：</w:t>
      </w:r>
    </w:p>
    <w:p>
      <w:pPr>
        <w:ind w:firstLine="480" w:firstLineChars="200"/>
        <w:rPr>
          <w:rFonts w:ascii="宋体" w:hAnsi="宋体"/>
          <w:sz w:val="24"/>
        </w:rPr>
      </w:pPr>
      <w:r>
        <w:rPr>
          <w:rFonts w:hint="eastAsia" w:ascii="宋体" w:hAnsi="宋体"/>
          <w:sz w:val="24"/>
        </w:rPr>
        <w:t xml:space="preserve">                                        年    月    日</w:t>
      </w:r>
    </w:p>
    <w:p>
      <w:pPr>
        <w:snapToGrid w:val="0"/>
        <w:jc w:val="left"/>
        <w:rPr>
          <w:rFonts w:ascii="宋体" w:hAnsi="宋体"/>
          <w:b/>
          <w:sz w:val="24"/>
        </w:rPr>
      </w:pPr>
      <w:r>
        <w:rPr>
          <w:rFonts w:ascii="宋体" w:hAnsi="宋体"/>
        </w:rPr>
        <w:br w:type="page"/>
      </w:r>
      <w:r>
        <w:rPr>
          <w:rFonts w:ascii="宋体" w:hAnsi="宋体"/>
          <w:b/>
          <w:sz w:val="24"/>
        </w:rPr>
        <w:t>3</w:t>
      </w:r>
      <w:r>
        <w:rPr>
          <w:rFonts w:hint="eastAsia" w:ascii="宋体" w:hAnsi="宋体"/>
          <w:b/>
          <w:sz w:val="24"/>
        </w:rPr>
        <w:t>、中小企业声明函（格式见附件）、残疾人福利性单位声明函（格式见附件）及其他符合政策性加分条件的承诺函或证明材料</w:t>
      </w:r>
    </w:p>
    <w:p>
      <w:pPr>
        <w:snapToGrid w:val="0"/>
        <w:jc w:val="center"/>
        <w:rPr>
          <w:rFonts w:ascii="宋体" w:hAnsi="宋体"/>
          <w:b/>
          <w:sz w:val="32"/>
          <w:szCs w:val="32"/>
        </w:rPr>
      </w:pPr>
      <w:r>
        <w:rPr>
          <w:rFonts w:ascii="宋体" w:hAnsi="宋体"/>
          <w:b/>
          <w:sz w:val="32"/>
          <w:szCs w:val="32"/>
        </w:rPr>
        <w:t>中小企业声明函（工程、服务）</w:t>
      </w:r>
    </w:p>
    <w:p>
      <w:pPr>
        <w:overflowPunct w:val="0"/>
        <w:ind w:firstLine="420" w:firstLineChars="200"/>
        <w:rPr>
          <w:rFonts w:ascii="宋体" w:hAnsi="宋体"/>
          <w:szCs w:val="21"/>
        </w:rPr>
      </w:pPr>
      <w:r>
        <w:rPr>
          <w:rFonts w:ascii="宋体" w:hAnsi="宋体"/>
          <w:szCs w:val="21"/>
        </w:rPr>
        <w:t>本公司（联合体）郑重声明，根据《政府采购促进中小企业发展管理办法》（财库﹝2020﹞46号）的规定，本公司（联合体）参加</w:t>
      </w:r>
      <w:r>
        <w:rPr>
          <w:rFonts w:ascii="宋体" w:hAnsi="宋体"/>
          <w:szCs w:val="21"/>
          <w:u w:val="single"/>
        </w:rPr>
        <w:t>（单位名称）</w:t>
      </w:r>
      <w:r>
        <w:rPr>
          <w:rFonts w:ascii="宋体" w:hAnsi="宋体"/>
          <w:szCs w:val="21"/>
        </w:rPr>
        <w:t>的</w:t>
      </w:r>
      <w:r>
        <w:rPr>
          <w:rFonts w:ascii="宋体" w:hAnsi="宋体"/>
          <w:szCs w:val="21"/>
          <w:u w:val="single"/>
        </w:rPr>
        <w:t>（项目名称）</w:t>
      </w:r>
      <w:r>
        <w:rPr>
          <w:rFonts w:ascii="宋体" w:hAnsi="宋体"/>
          <w:szCs w:val="21"/>
        </w:rPr>
        <w:t>采购活动，工程的施工单位全部为符合政策要求的中小企业（或者：服务全部由符合政策要求的中小企业承接）。相关企业（含联合体中的中小企业、签订分包意向协议的中小企业）的具体情况如下：</w:t>
      </w:r>
    </w:p>
    <w:p>
      <w:pPr>
        <w:overflowPunct w:val="0"/>
        <w:ind w:firstLine="420" w:firstLineChars="200"/>
        <w:rPr>
          <w:rFonts w:ascii="宋体" w:hAnsi="宋体"/>
          <w:szCs w:val="21"/>
        </w:rPr>
      </w:pPr>
      <w:r>
        <w:rPr>
          <w:rFonts w:ascii="宋体" w:hAnsi="宋体"/>
          <w:szCs w:val="21"/>
        </w:rPr>
        <w:t>1.</w:t>
      </w:r>
      <w:r>
        <w:rPr>
          <w:rFonts w:ascii="宋体" w:hAnsi="宋体"/>
          <w:szCs w:val="21"/>
          <w:u w:val="single"/>
        </w:rPr>
        <w:t>（标的名称）</w:t>
      </w:r>
      <w:r>
        <w:rPr>
          <w:rFonts w:ascii="宋体" w:hAnsi="宋体"/>
          <w:szCs w:val="21"/>
        </w:rPr>
        <w:t>，属于</w:t>
      </w:r>
      <w:r>
        <w:rPr>
          <w:rFonts w:ascii="宋体" w:hAnsi="宋体"/>
          <w:szCs w:val="21"/>
          <w:u w:val="single"/>
        </w:rPr>
        <w:t>（采购文件中明确的所属行业）</w:t>
      </w:r>
      <w:r>
        <w:rPr>
          <w:rFonts w:ascii="宋体" w:hAnsi="宋体"/>
          <w:szCs w:val="21"/>
        </w:rPr>
        <w:t>；承建（承接）企业为</w:t>
      </w:r>
      <w:r>
        <w:rPr>
          <w:rFonts w:ascii="宋体" w:hAnsi="宋体"/>
          <w:szCs w:val="21"/>
          <w:u w:val="single"/>
        </w:rPr>
        <w:t>（企业名称）</w:t>
      </w:r>
      <w:r>
        <w:rPr>
          <w:rFonts w:ascii="宋体" w:hAnsi="宋体"/>
          <w:szCs w:val="21"/>
        </w:rPr>
        <w:t>，从业人员</w:t>
      </w:r>
      <w:r>
        <w:rPr>
          <w:rFonts w:hint="eastAsia" w:ascii="宋体" w:hAnsi="宋体" w:cs="宋体"/>
          <w:szCs w:val="21"/>
          <w:u w:val="single"/>
        </w:rPr>
        <w:t xml:space="preserve">    </w:t>
      </w:r>
      <w:r>
        <w:rPr>
          <w:rFonts w:ascii="宋体" w:hAnsi="宋体"/>
          <w:szCs w:val="21"/>
        </w:rPr>
        <w:t>人，营业收入为</w:t>
      </w:r>
      <w:r>
        <w:rPr>
          <w:rFonts w:hint="eastAsia" w:ascii="宋体" w:hAnsi="宋体" w:cs="宋体"/>
          <w:szCs w:val="21"/>
          <w:u w:val="single"/>
        </w:rPr>
        <w:t xml:space="preserve">    </w:t>
      </w:r>
      <w:r>
        <w:rPr>
          <w:rFonts w:ascii="宋体" w:hAnsi="宋体"/>
          <w:szCs w:val="21"/>
        </w:rPr>
        <w:t>万元，资产总额为</w:t>
      </w:r>
      <w:r>
        <w:rPr>
          <w:rFonts w:hint="eastAsia" w:ascii="宋体" w:hAnsi="宋体" w:cs="宋体"/>
          <w:szCs w:val="21"/>
          <w:u w:val="single"/>
        </w:rPr>
        <w:t xml:space="preserve">    </w:t>
      </w:r>
      <w:r>
        <w:rPr>
          <w:rFonts w:ascii="宋体" w:hAnsi="宋体"/>
          <w:szCs w:val="21"/>
        </w:rPr>
        <w:t>万元</w:t>
      </w:r>
      <w:r>
        <w:rPr>
          <w:rFonts w:ascii="宋体" w:hAnsi="宋体"/>
          <w:szCs w:val="21"/>
          <w:vertAlign w:val="superscript"/>
        </w:rPr>
        <w:footnoteReference w:id="0"/>
      </w:r>
      <w:r>
        <w:rPr>
          <w:rFonts w:ascii="宋体" w:hAnsi="宋体"/>
          <w:szCs w:val="21"/>
        </w:rPr>
        <w:t>，属于</w:t>
      </w:r>
      <w:r>
        <w:rPr>
          <w:rFonts w:ascii="宋体" w:hAnsi="宋体"/>
          <w:szCs w:val="21"/>
          <w:u w:val="single"/>
        </w:rPr>
        <w:t>（中型企业、小型企业、微型企业）</w:t>
      </w:r>
      <w:r>
        <w:rPr>
          <w:rFonts w:ascii="宋体" w:hAnsi="宋体"/>
          <w:szCs w:val="21"/>
        </w:rPr>
        <w:t>；</w:t>
      </w:r>
    </w:p>
    <w:p>
      <w:pPr>
        <w:overflowPunct w:val="0"/>
        <w:ind w:firstLine="420" w:firstLineChars="200"/>
        <w:rPr>
          <w:rFonts w:ascii="宋体" w:hAnsi="宋体"/>
          <w:szCs w:val="21"/>
        </w:rPr>
      </w:pPr>
      <w:r>
        <w:rPr>
          <w:rFonts w:ascii="宋体" w:hAnsi="宋体"/>
          <w:szCs w:val="21"/>
        </w:rPr>
        <w:t>2.</w:t>
      </w:r>
      <w:r>
        <w:rPr>
          <w:rFonts w:ascii="宋体" w:hAnsi="宋体"/>
          <w:szCs w:val="21"/>
          <w:u w:val="single"/>
        </w:rPr>
        <w:t>（标的名称）</w:t>
      </w:r>
      <w:r>
        <w:rPr>
          <w:rFonts w:ascii="宋体" w:hAnsi="宋体"/>
          <w:szCs w:val="21"/>
        </w:rPr>
        <w:t>，属于</w:t>
      </w:r>
      <w:r>
        <w:rPr>
          <w:rFonts w:ascii="宋体" w:hAnsi="宋体"/>
          <w:szCs w:val="21"/>
          <w:u w:val="single"/>
        </w:rPr>
        <w:t>（采购文件中明确的所属行业）</w:t>
      </w:r>
      <w:r>
        <w:rPr>
          <w:rFonts w:ascii="宋体" w:hAnsi="宋体"/>
          <w:szCs w:val="21"/>
        </w:rPr>
        <w:t>；承建（承接）企业为</w:t>
      </w:r>
      <w:r>
        <w:rPr>
          <w:rFonts w:ascii="宋体" w:hAnsi="宋体"/>
          <w:szCs w:val="21"/>
          <w:u w:val="single"/>
        </w:rPr>
        <w:t>（企业名称）</w:t>
      </w:r>
      <w:r>
        <w:rPr>
          <w:rFonts w:ascii="宋体" w:hAnsi="宋体"/>
          <w:szCs w:val="21"/>
        </w:rPr>
        <w:t>，从业人员</w:t>
      </w:r>
      <w:r>
        <w:rPr>
          <w:rFonts w:hint="eastAsia" w:ascii="宋体" w:hAnsi="宋体" w:cs="宋体"/>
          <w:szCs w:val="21"/>
          <w:u w:val="single"/>
        </w:rPr>
        <w:t xml:space="preserve">    </w:t>
      </w:r>
      <w:r>
        <w:rPr>
          <w:rFonts w:ascii="宋体" w:hAnsi="宋体"/>
          <w:szCs w:val="21"/>
        </w:rPr>
        <w:t>人，营业收入为</w:t>
      </w:r>
      <w:r>
        <w:rPr>
          <w:rFonts w:hint="eastAsia" w:ascii="宋体" w:hAnsi="宋体" w:cs="宋体"/>
          <w:szCs w:val="21"/>
          <w:u w:val="single"/>
        </w:rPr>
        <w:t xml:space="preserve">    </w:t>
      </w:r>
      <w:r>
        <w:rPr>
          <w:rFonts w:ascii="宋体" w:hAnsi="宋体"/>
          <w:szCs w:val="21"/>
        </w:rPr>
        <w:t>万元，资产总额为</w:t>
      </w:r>
      <w:r>
        <w:rPr>
          <w:rFonts w:hint="eastAsia" w:ascii="宋体" w:hAnsi="宋体" w:cs="宋体"/>
          <w:szCs w:val="21"/>
          <w:u w:val="single"/>
        </w:rPr>
        <w:t xml:space="preserve">    </w:t>
      </w:r>
      <w:r>
        <w:rPr>
          <w:rFonts w:ascii="宋体" w:hAnsi="宋体"/>
          <w:szCs w:val="21"/>
        </w:rPr>
        <w:t>万元，属于</w:t>
      </w:r>
      <w:r>
        <w:rPr>
          <w:rFonts w:ascii="宋体" w:hAnsi="宋体"/>
          <w:szCs w:val="21"/>
          <w:u w:val="single"/>
        </w:rPr>
        <w:t>（中型企业、小型企业、微型企业）</w:t>
      </w:r>
      <w:r>
        <w:rPr>
          <w:rFonts w:ascii="宋体" w:hAnsi="宋体"/>
          <w:szCs w:val="21"/>
        </w:rPr>
        <w:t>；</w:t>
      </w:r>
    </w:p>
    <w:p>
      <w:pPr>
        <w:overflowPunct w:val="0"/>
        <w:ind w:firstLine="420" w:firstLineChars="200"/>
        <w:rPr>
          <w:rFonts w:ascii="宋体" w:hAnsi="宋体"/>
          <w:szCs w:val="21"/>
        </w:rPr>
      </w:pPr>
      <w:r>
        <w:rPr>
          <w:rFonts w:ascii="宋体" w:hAnsi="宋体"/>
          <w:szCs w:val="21"/>
        </w:rPr>
        <w:t>......</w:t>
      </w:r>
    </w:p>
    <w:p>
      <w:pPr>
        <w:overflowPunct w:val="0"/>
        <w:ind w:firstLine="420" w:firstLineChars="200"/>
        <w:rPr>
          <w:rFonts w:ascii="宋体" w:hAnsi="宋体"/>
          <w:szCs w:val="21"/>
        </w:rPr>
      </w:pPr>
      <w:r>
        <w:rPr>
          <w:rFonts w:ascii="宋体" w:hAnsi="宋体"/>
          <w:szCs w:val="21"/>
        </w:rPr>
        <w:t>以上企业，不属于大企业的分支机构，不存在控股股东为大企业的情形，也不存在与大企业的负责人为同一人的情形。</w:t>
      </w:r>
    </w:p>
    <w:p>
      <w:pPr>
        <w:overflowPunct w:val="0"/>
        <w:ind w:firstLine="420" w:firstLineChars="200"/>
        <w:rPr>
          <w:rFonts w:ascii="宋体" w:hAnsi="宋体"/>
          <w:szCs w:val="21"/>
        </w:rPr>
      </w:pPr>
      <w:r>
        <w:rPr>
          <w:rFonts w:ascii="宋体" w:hAnsi="宋体"/>
          <w:szCs w:val="21"/>
        </w:rPr>
        <w:t>本企业对上述声明内容的真实性负责。如有虚假，将依法承担相应责任。</w:t>
      </w:r>
    </w:p>
    <w:p>
      <w:pPr>
        <w:overflowPunct w:val="0"/>
        <w:ind w:firstLine="5208" w:firstLineChars="2480"/>
        <w:rPr>
          <w:rFonts w:ascii="宋体" w:hAnsi="宋体"/>
          <w:szCs w:val="21"/>
        </w:rPr>
      </w:pPr>
      <w:r>
        <w:rPr>
          <w:rFonts w:ascii="宋体" w:hAnsi="宋体"/>
          <w:szCs w:val="21"/>
        </w:rPr>
        <w:t>企业名称（盖章）：</w:t>
      </w:r>
    </w:p>
    <w:p>
      <w:pPr>
        <w:overflowPunct w:val="0"/>
        <w:ind w:firstLine="5208" w:firstLineChars="2480"/>
        <w:rPr>
          <w:rFonts w:ascii="宋体" w:hAnsi="宋体"/>
          <w:szCs w:val="21"/>
        </w:rPr>
      </w:pPr>
      <w:r>
        <w:rPr>
          <w:rFonts w:ascii="宋体" w:hAnsi="宋体"/>
          <w:szCs w:val="21"/>
        </w:rPr>
        <w:t>日期：</w:t>
      </w:r>
    </w:p>
    <w:p>
      <w:pPr>
        <w:widowControl/>
        <w:overflowPunct w:val="0"/>
        <w:ind w:firstLine="420" w:firstLineChars="200"/>
        <w:jc w:val="left"/>
        <w:rPr>
          <w:rFonts w:ascii="宋体" w:hAnsi="宋体"/>
          <w:szCs w:val="21"/>
        </w:rPr>
      </w:pPr>
      <w:r>
        <w:rPr>
          <w:rFonts w:hint="eastAsia" w:ascii="宋体" w:hAnsi="宋体"/>
          <w:szCs w:val="21"/>
        </w:rPr>
        <w:t>中小企业应当按照《政府采购促进中小企业发展管理办法》规定和《大中小微型企业划分办法（</w:t>
      </w:r>
      <w:r>
        <w:rPr>
          <w:rFonts w:ascii="宋体" w:hAnsi="宋体"/>
          <w:szCs w:val="21"/>
        </w:rPr>
        <w:t>2017</w:t>
      </w:r>
      <w:r>
        <w:rPr>
          <w:rFonts w:hint="eastAsia" w:ascii="宋体" w:hAnsi="宋体"/>
          <w:szCs w:val="21"/>
        </w:rPr>
        <w:t>）》，如实填写并提交《中小企业声明函》。未按要求出具声明函的，投标报价不予扣减。</w:t>
      </w:r>
    </w:p>
    <w:p>
      <w:pPr>
        <w:widowControl/>
        <w:overflowPunct w:val="0"/>
        <w:ind w:firstLine="420" w:firstLineChars="200"/>
        <w:jc w:val="left"/>
        <w:rPr>
          <w:rFonts w:hint="eastAsia" w:ascii="宋体" w:hAnsi="宋体"/>
          <w:szCs w:val="21"/>
        </w:rPr>
      </w:pPr>
      <w:r>
        <w:rPr>
          <w:rFonts w:hint="eastAsia" w:ascii="宋体" w:hAnsi="宋体"/>
          <w:szCs w:val="21"/>
        </w:rPr>
        <w:t>中小企业对其声明内容的真实性负责，声明函内容不实的，属于提供虚假材料谋取中标、成交，依照《中华人民共和国政府采购法》等国家有关规定追究相应责任。</w:t>
      </w:r>
    </w:p>
    <w:p>
      <w:pPr>
        <w:widowControl/>
        <w:overflowPunct w:val="0"/>
        <w:ind w:firstLine="420" w:firstLineChars="200"/>
        <w:jc w:val="left"/>
        <w:rPr>
          <w:rFonts w:ascii="宋体" w:hAnsi="宋体"/>
          <w:szCs w:val="21"/>
        </w:rPr>
      </w:pPr>
      <w:r>
        <w:rPr>
          <w:rFonts w:ascii="宋体" w:hAnsi="宋体"/>
          <w:szCs w:val="21"/>
        </w:rPr>
        <w:t>供应商为监狱企业的证明文件：省级以上监狱管理局、戒毒管理局（含新疆生产建设兵团）出具（如有）</w:t>
      </w:r>
      <w:r>
        <w:rPr>
          <w:rFonts w:hint="eastAsia" w:ascii="宋体" w:hAnsi="宋体"/>
          <w:szCs w:val="21"/>
        </w:rPr>
        <w:t>。</w:t>
      </w:r>
    </w:p>
    <w:p>
      <w:pPr>
        <w:widowControl/>
        <w:overflowPunct w:val="0"/>
        <w:ind w:firstLine="420" w:firstLineChars="200"/>
        <w:jc w:val="left"/>
        <w:rPr>
          <w:rFonts w:hint="eastAsia" w:ascii="宋体" w:hAnsi="宋体"/>
          <w:szCs w:val="21"/>
        </w:rPr>
      </w:pPr>
      <w:r>
        <w:rPr>
          <w:rFonts w:hint="eastAsia" w:ascii="宋体" w:hAnsi="宋体"/>
          <w:szCs w:val="21"/>
        </w:rPr>
        <w:t>本项目所属行业：其他未列明行业。</w:t>
      </w:r>
    </w:p>
    <w:p>
      <w:pPr>
        <w:widowControl/>
        <w:overflowPunct w:val="0"/>
        <w:ind w:firstLine="420" w:firstLineChars="200"/>
        <w:jc w:val="left"/>
        <w:rPr>
          <w:rFonts w:ascii="宋体" w:hAnsi="宋体"/>
          <w:szCs w:val="21"/>
        </w:rPr>
        <w:sectPr>
          <w:footerReference r:id="rId13" w:type="first"/>
          <w:footnotePr>
            <w:numRestart w:val="eachPage"/>
          </w:footnotePr>
          <w:type w:val="continuous"/>
          <w:pgSz w:w="11906" w:h="16838"/>
          <w:pgMar w:top="1247" w:right="1418" w:bottom="1276" w:left="1418" w:header="851" w:footer="483" w:gutter="0"/>
          <w:cols w:space="720" w:num="1"/>
          <w:titlePg/>
          <w:docGrid w:linePitch="312" w:charSpace="0"/>
        </w:sectPr>
      </w:pPr>
    </w:p>
    <w:p>
      <w:pPr>
        <w:snapToGrid w:val="0"/>
        <w:jc w:val="center"/>
        <w:rPr>
          <w:rFonts w:ascii="宋体" w:hAnsi="宋体"/>
          <w:b/>
          <w:sz w:val="32"/>
          <w:szCs w:val="32"/>
        </w:rPr>
      </w:pPr>
      <w:r>
        <w:rPr>
          <w:rFonts w:hint="eastAsia" w:ascii="宋体" w:hAnsi="宋体"/>
          <w:b/>
          <w:sz w:val="32"/>
          <w:szCs w:val="32"/>
        </w:rPr>
        <w:t>残疾人福利性单位声明函（非残疾人福利性单位无需提供）</w:t>
      </w:r>
    </w:p>
    <w:p>
      <w:pPr>
        <w:snapToGrid w:val="0"/>
        <w:ind w:firstLine="643" w:firstLineChars="200"/>
        <w:jc w:val="center"/>
        <w:rPr>
          <w:rFonts w:ascii="宋体" w:hAnsi="宋体"/>
          <w:b/>
          <w:sz w:val="32"/>
          <w:szCs w:val="32"/>
        </w:rPr>
      </w:pPr>
    </w:p>
    <w:p>
      <w:pPr>
        <w:snapToGrid w:val="0"/>
        <w:ind w:firstLine="420" w:firstLineChars="200"/>
        <w:rPr>
          <w:rFonts w:ascii="宋体" w:hAnsi="宋体" w:cs="宋体"/>
          <w:szCs w:val="21"/>
        </w:rPr>
      </w:pPr>
      <w:r>
        <w:rPr>
          <w:rFonts w:hint="eastAsia" w:ascii="宋体" w:hAnsi="宋体" w:cs="宋体"/>
          <w:szCs w:val="21"/>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s="宋体"/>
          <w:szCs w:val="21"/>
          <w:u w:val="single"/>
        </w:rPr>
        <w:t xml:space="preserve">                     </w:t>
      </w:r>
      <w:r>
        <w:rPr>
          <w:rFonts w:hint="eastAsia" w:ascii="宋体" w:hAnsi="宋体" w:cs="宋体"/>
          <w:szCs w:val="21"/>
        </w:rPr>
        <w:t>单位的</w:t>
      </w:r>
      <w:r>
        <w:rPr>
          <w:rFonts w:hint="eastAsia" w:ascii="宋体" w:hAnsi="宋体" w:cs="宋体"/>
          <w:szCs w:val="21"/>
          <w:u w:val="single"/>
        </w:rPr>
        <w:t xml:space="preserve">                        </w:t>
      </w:r>
      <w:r>
        <w:rPr>
          <w:rFonts w:hint="eastAsia" w:ascii="宋体" w:hAnsi="宋体" w:cs="宋体"/>
          <w:szCs w:val="21"/>
        </w:rPr>
        <w:t>项目采购活动提供本单位制造的货物（由本单位承担工程、提供服务），或者提供其他残疾人福利性单位制造的货物（不包括使用非残疾人福利性单位注册商标的货物）。</w:t>
      </w:r>
    </w:p>
    <w:p>
      <w:pPr>
        <w:snapToGrid w:val="0"/>
        <w:ind w:firstLine="420" w:firstLineChars="200"/>
        <w:rPr>
          <w:rFonts w:ascii="宋体" w:hAnsi="宋体"/>
          <w:szCs w:val="21"/>
        </w:rPr>
      </w:pPr>
      <w:r>
        <w:rPr>
          <w:rFonts w:hint="eastAsia" w:ascii="宋体" w:hAnsi="宋体" w:cs="宋体"/>
          <w:szCs w:val="21"/>
        </w:rPr>
        <w:t>本单位对上述声明的真实性负责。如有虚假，将依法承担相应责任。</w:t>
      </w:r>
    </w:p>
    <w:p>
      <w:pPr>
        <w:snapToGrid w:val="0"/>
        <w:ind w:firstLine="420" w:firstLineChars="200"/>
        <w:rPr>
          <w:rFonts w:ascii="宋体" w:hAnsi="宋体"/>
          <w:szCs w:val="21"/>
        </w:rPr>
      </w:pPr>
    </w:p>
    <w:p>
      <w:pPr>
        <w:snapToGrid w:val="0"/>
        <w:ind w:firstLine="420" w:firstLineChars="200"/>
        <w:rPr>
          <w:rFonts w:ascii="宋体" w:hAnsi="宋体"/>
          <w:szCs w:val="21"/>
        </w:rPr>
      </w:pPr>
    </w:p>
    <w:p>
      <w:pPr>
        <w:snapToGrid w:val="0"/>
        <w:ind w:firstLine="420" w:firstLineChars="200"/>
        <w:rPr>
          <w:rFonts w:ascii="宋体" w:hAnsi="宋体"/>
          <w:szCs w:val="21"/>
          <w:u w:val="single"/>
        </w:rPr>
      </w:pPr>
      <w:r>
        <w:rPr>
          <w:rFonts w:hint="eastAsia" w:ascii="宋体" w:hAnsi="宋体"/>
          <w:szCs w:val="21"/>
        </w:rPr>
        <w:t>供应商公章：</w:t>
      </w:r>
    </w:p>
    <w:p>
      <w:pPr>
        <w:snapToGrid w:val="0"/>
        <w:ind w:firstLine="420" w:firstLineChars="200"/>
        <w:rPr>
          <w:rFonts w:ascii="宋体" w:hAnsi="宋体"/>
          <w:szCs w:val="21"/>
        </w:rPr>
      </w:pPr>
      <w:r>
        <w:rPr>
          <w:rFonts w:hint="eastAsia" w:ascii="宋体" w:hAnsi="宋体"/>
          <w:szCs w:val="21"/>
        </w:rPr>
        <w:t>日期：</w:t>
      </w:r>
    </w:p>
    <w:p>
      <w:pPr>
        <w:pStyle w:val="20"/>
        <w:rPr>
          <w:rFonts w:hint="eastAsia" w:ascii="宋体" w:hAnsi="宋体"/>
        </w:rPr>
      </w:pPr>
    </w:p>
    <w:p>
      <w:pPr>
        <w:snapToGrid w:val="0"/>
        <w:jc w:val="center"/>
        <w:rPr>
          <w:rFonts w:ascii="宋体" w:hAnsi="宋体" w:cs="宋体"/>
          <w:b/>
          <w:sz w:val="32"/>
          <w:szCs w:val="32"/>
        </w:rPr>
      </w:pPr>
      <w:r>
        <w:rPr>
          <w:rFonts w:hint="eastAsia" w:ascii="宋体" w:hAnsi="宋体" w:cs="宋体"/>
          <w:b/>
          <w:sz w:val="32"/>
          <w:szCs w:val="32"/>
        </w:rPr>
        <w:t>监狱和戒毒企业证明材料（非监狱和戒毒企业无需填写）</w:t>
      </w:r>
    </w:p>
    <w:tbl>
      <w:tblPr>
        <w:tblStyle w:val="53"/>
        <w:tblW w:w="0" w:type="auto"/>
        <w:tblInd w:w="108" w:type="dxa"/>
        <w:tblBorders>
          <w:top w:val="dotDash" w:color="000000" w:sz="4" w:space="0"/>
          <w:left w:val="dotDash" w:color="000000" w:sz="4" w:space="0"/>
          <w:bottom w:val="dotDash" w:color="000000" w:sz="4" w:space="0"/>
          <w:right w:val="dotDash" w:color="000000" w:sz="4" w:space="0"/>
          <w:insideH w:val="dotDash" w:color="000000" w:sz="4" w:space="0"/>
          <w:insideV w:val="dotDash" w:color="000000" w:sz="4" w:space="0"/>
        </w:tblBorders>
        <w:tblLayout w:type="fixed"/>
        <w:tblCellMar>
          <w:top w:w="0" w:type="dxa"/>
          <w:left w:w="108" w:type="dxa"/>
          <w:bottom w:w="0" w:type="dxa"/>
          <w:right w:w="108" w:type="dxa"/>
        </w:tblCellMar>
      </w:tblPr>
      <w:tblGrid>
        <w:gridCol w:w="8820"/>
      </w:tblGrid>
      <w:tr>
        <w:tblPrEx>
          <w:tblBorders>
            <w:top w:val="dotDash" w:color="000000" w:sz="4" w:space="0"/>
            <w:left w:val="dotDash" w:color="000000" w:sz="4" w:space="0"/>
            <w:bottom w:val="dotDash" w:color="000000" w:sz="4" w:space="0"/>
            <w:right w:val="dotDash" w:color="000000" w:sz="4" w:space="0"/>
            <w:insideH w:val="dotDash" w:color="000000" w:sz="4" w:space="0"/>
            <w:insideV w:val="dotDash" w:color="000000" w:sz="4" w:space="0"/>
          </w:tblBorders>
          <w:tblCellMar>
            <w:top w:w="0" w:type="dxa"/>
            <w:left w:w="108" w:type="dxa"/>
            <w:bottom w:w="0" w:type="dxa"/>
            <w:right w:w="108" w:type="dxa"/>
          </w:tblCellMar>
        </w:tblPrEx>
        <w:trPr>
          <w:trHeight w:val="5920" w:hRule="atLeast"/>
        </w:trPr>
        <w:tc>
          <w:tcPr>
            <w:tcW w:w="8820" w:type="dxa"/>
            <w:noWrap w:val="0"/>
            <w:vAlign w:val="center"/>
          </w:tcPr>
          <w:p>
            <w:pPr>
              <w:contextualSpacing/>
              <w:jc w:val="center"/>
              <w:rPr>
                <w:rFonts w:ascii="宋体" w:hAnsi="宋体"/>
                <w:b/>
                <w:color w:val="000000"/>
                <w:szCs w:val="21"/>
              </w:rPr>
            </w:pPr>
            <w:r>
              <w:rPr>
                <w:rFonts w:hint="eastAsia" w:ascii="宋体" w:hAnsi="宋体"/>
                <w:b/>
                <w:color w:val="000000"/>
                <w:szCs w:val="21"/>
              </w:rPr>
              <w:t>相关部门出具的监狱企业证明文件</w:t>
            </w:r>
          </w:p>
          <w:p>
            <w:pPr>
              <w:contextualSpacing/>
              <w:jc w:val="center"/>
              <w:rPr>
                <w:rFonts w:ascii="宋体" w:hAnsi="宋体" w:cs="Arial"/>
                <w:b/>
                <w:i/>
                <w:color w:val="000000"/>
                <w:kern w:val="0"/>
                <w:szCs w:val="21"/>
              </w:rPr>
            </w:pPr>
            <w:r>
              <w:rPr>
                <w:rFonts w:hint="eastAsia" w:ascii="宋体" w:hAnsi="宋体"/>
                <w:color w:val="000000"/>
                <w:szCs w:val="21"/>
              </w:rPr>
              <w:t>（如是，提供</w:t>
            </w:r>
            <w:r>
              <w:rPr>
                <w:rFonts w:hint="eastAsia" w:ascii="宋体" w:hAnsi="宋体" w:cs="Arial"/>
                <w:color w:val="000000"/>
                <w:kern w:val="0"/>
                <w:szCs w:val="21"/>
              </w:rPr>
              <w:t>复印件加盖投标供应商公章）</w:t>
            </w:r>
          </w:p>
        </w:tc>
      </w:tr>
    </w:tbl>
    <w:p>
      <w:pPr>
        <w:snapToGrid w:val="0"/>
        <w:spacing w:before="120" w:beforeLines="50"/>
        <w:ind w:firstLine="420" w:firstLineChars="200"/>
        <w:rPr>
          <w:rFonts w:ascii="宋体" w:hAnsi="宋体"/>
          <w:szCs w:val="21"/>
        </w:rPr>
      </w:pPr>
      <w:r>
        <w:rPr>
          <w:rFonts w:hint="eastAsia" w:ascii="宋体" w:hAnsi="宋体"/>
          <w:szCs w:val="21"/>
        </w:rPr>
        <w:t>法定代表人或授权代表（签字或盖章）：</w:t>
      </w:r>
    </w:p>
    <w:p>
      <w:pPr>
        <w:snapToGrid w:val="0"/>
        <w:ind w:firstLine="420" w:firstLineChars="200"/>
        <w:rPr>
          <w:rFonts w:ascii="宋体" w:hAnsi="宋体"/>
          <w:szCs w:val="21"/>
        </w:rPr>
      </w:pPr>
      <w:r>
        <w:rPr>
          <w:rFonts w:hint="eastAsia" w:ascii="宋体" w:hAnsi="宋体"/>
          <w:szCs w:val="21"/>
        </w:rPr>
        <w:t>投标人名称（公章）：</w:t>
      </w:r>
    </w:p>
    <w:p>
      <w:pPr>
        <w:snapToGrid w:val="0"/>
        <w:ind w:firstLine="420" w:firstLineChars="200"/>
        <w:rPr>
          <w:rFonts w:ascii="宋体" w:hAnsi="宋体"/>
          <w:szCs w:val="21"/>
        </w:rPr>
      </w:pPr>
      <w:r>
        <w:rPr>
          <w:rFonts w:hint="eastAsia" w:ascii="宋体" w:hAnsi="宋体"/>
          <w:szCs w:val="21"/>
        </w:rPr>
        <w:t>日期：    年   月   日</w:t>
      </w:r>
    </w:p>
    <w:p>
      <w:pPr>
        <w:snapToGrid w:val="0"/>
        <w:jc w:val="left"/>
        <w:rPr>
          <w:rFonts w:ascii="宋体" w:hAnsi="宋体"/>
          <w:b/>
          <w:szCs w:val="21"/>
        </w:rPr>
      </w:pPr>
      <w:r>
        <w:rPr>
          <w:rFonts w:ascii="宋体" w:hAnsi="宋体"/>
          <w:b/>
          <w:szCs w:val="21"/>
        </w:rPr>
        <w:br w:type="page"/>
      </w:r>
      <w:r>
        <w:rPr>
          <w:rFonts w:hint="eastAsia" w:ascii="宋体" w:hAnsi="宋体"/>
          <w:b/>
          <w:szCs w:val="21"/>
        </w:rPr>
        <w:t>附</w:t>
      </w:r>
      <w:r>
        <w:rPr>
          <w:rFonts w:ascii="宋体" w:hAnsi="宋体"/>
          <w:b/>
          <w:szCs w:val="21"/>
        </w:rPr>
        <w:t>件：</w:t>
      </w:r>
    </w:p>
    <w:p>
      <w:pPr>
        <w:snapToGrid w:val="0"/>
        <w:jc w:val="center"/>
        <w:rPr>
          <w:rFonts w:hint="eastAsia" w:ascii="宋体" w:hAnsi="宋体"/>
          <w:b/>
          <w:szCs w:val="21"/>
        </w:rPr>
      </w:pPr>
      <w:r>
        <w:rPr>
          <w:rFonts w:hint="eastAsia" w:ascii="宋体" w:hAnsi="宋体"/>
          <w:b/>
          <w:szCs w:val="21"/>
        </w:rPr>
        <w:t>国家统计局关于印发《统计上大中小微型企业划分办法（</w:t>
      </w:r>
      <w:r>
        <w:rPr>
          <w:rFonts w:ascii="宋体" w:hAnsi="宋体"/>
          <w:b/>
          <w:szCs w:val="21"/>
        </w:rPr>
        <w:t>2017</w:t>
      </w:r>
      <w:r>
        <w:rPr>
          <w:rFonts w:hint="eastAsia" w:ascii="宋体" w:hAnsi="宋体"/>
          <w:b/>
          <w:szCs w:val="21"/>
        </w:rPr>
        <w:t>）》的通知</w:t>
      </w:r>
    </w:p>
    <w:p>
      <w:pPr>
        <w:pStyle w:val="20"/>
        <w:ind w:firstLine="420"/>
        <w:rPr>
          <w:rFonts w:hint="eastAsia" w:ascii="宋体" w:hAnsi="宋体"/>
          <w:sz w:val="21"/>
          <w:szCs w:val="21"/>
        </w:rPr>
      </w:pPr>
    </w:p>
    <w:p>
      <w:pPr>
        <w:snapToGrid w:val="0"/>
        <w:jc w:val="left"/>
        <w:rPr>
          <w:rFonts w:ascii="宋体" w:hAnsi="宋体"/>
          <w:bCs/>
          <w:szCs w:val="21"/>
        </w:rPr>
      </w:pPr>
      <w:r>
        <w:rPr>
          <w:rFonts w:hint="eastAsia" w:ascii="宋体" w:hAnsi="宋体"/>
          <w:bCs/>
          <w:szCs w:val="21"/>
        </w:rPr>
        <w:t>各省、自治区、直辖市统计局，新疆生产建设兵团统计局，国务院各有关部门，国家统计局各调查总队：</w:t>
      </w:r>
    </w:p>
    <w:p>
      <w:pPr>
        <w:snapToGrid w:val="0"/>
        <w:jc w:val="left"/>
        <w:rPr>
          <w:rFonts w:hint="eastAsia" w:ascii="宋体" w:hAnsi="宋体"/>
          <w:bCs/>
          <w:szCs w:val="21"/>
        </w:rPr>
      </w:pPr>
      <w:r>
        <w:rPr>
          <w:rFonts w:ascii="宋体" w:hAnsi="宋体"/>
          <w:bCs/>
          <w:szCs w:val="21"/>
        </w:rPr>
        <w:t> </w:t>
      </w:r>
    </w:p>
    <w:p>
      <w:pPr>
        <w:snapToGrid w:val="0"/>
        <w:ind w:firstLine="420" w:firstLineChars="200"/>
        <w:jc w:val="left"/>
        <w:rPr>
          <w:rFonts w:hint="eastAsia" w:ascii="宋体" w:hAnsi="宋体"/>
          <w:bCs/>
          <w:szCs w:val="21"/>
        </w:rPr>
      </w:pPr>
      <w:r>
        <w:rPr>
          <w:rFonts w:hint="eastAsia" w:ascii="宋体" w:hAnsi="宋体"/>
          <w:bCs/>
          <w:szCs w:val="21"/>
        </w:rPr>
        <w:t>《国民经济行业分类》（</w:t>
      </w:r>
      <w:r>
        <w:rPr>
          <w:rFonts w:ascii="宋体" w:hAnsi="宋体"/>
          <w:bCs/>
          <w:szCs w:val="21"/>
        </w:rPr>
        <w:t>GB/T 4754</w:t>
      </w:r>
      <w:r>
        <w:rPr>
          <w:rFonts w:hint="eastAsia" w:ascii="宋体" w:hAnsi="宋体"/>
          <w:bCs/>
          <w:szCs w:val="21"/>
        </w:rPr>
        <w:t>—</w:t>
      </w:r>
      <w:r>
        <w:rPr>
          <w:rFonts w:ascii="宋体" w:hAnsi="宋体"/>
          <w:bCs/>
          <w:szCs w:val="21"/>
        </w:rPr>
        <w:t>2017</w:t>
      </w:r>
      <w:r>
        <w:rPr>
          <w:rFonts w:hint="eastAsia" w:ascii="宋体" w:hAnsi="宋体"/>
          <w:bCs/>
          <w:szCs w:val="21"/>
        </w:rPr>
        <w:t>）已正式实施，现对</w:t>
      </w:r>
      <w:r>
        <w:rPr>
          <w:rFonts w:ascii="宋体" w:hAnsi="宋体"/>
          <w:bCs/>
          <w:szCs w:val="21"/>
        </w:rPr>
        <w:t>2011</w:t>
      </w:r>
      <w:r>
        <w:rPr>
          <w:rFonts w:hint="eastAsia" w:ascii="宋体" w:hAnsi="宋体"/>
          <w:bCs/>
          <w:szCs w:val="21"/>
        </w:rPr>
        <w:t>年制定的《统计上大中小微型企业划分办法》进行修订。本次修订保持原有的分类原则、方法、结构框架和适用范围，仅将所涉及的行业按照《国民经济行业分类》（</w:t>
      </w:r>
      <w:r>
        <w:rPr>
          <w:rFonts w:ascii="宋体" w:hAnsi="宋体"/>
          <w:bCs/>
          <w:szCs w:val="21"/>
        </w:rPr>
        <w:t>GB/T 4754</w:t>
      </w:r>
      <w:r>
        <w:rPr>
          <w:rFonts w:hint="eastAsia" w:ascii="宋体" w:hAnsi="宋体"/>
          <w:bCs/>
          <w:szCs w:val="21"/>
        </w:rPr>
        <w:t>—</w:t>
      </w:r>
      <w:r>
        <w:rPr>
          <w:rFonts w:ascii="宋体" w:hAnsi="宋体"/>
          <w:bCs/>
          <w:szCs w:val="21"/>
        </w:rPr>
        <w:t>2011</w:t>
      </w:r>
      <w:r>
        <w:rPr>
          <w:rFonts w:hint="eastAsia" w:ascii="宋体" w:hAnsi="宋体"/>
          <w:bCs/>
          <w:szCs w:val="21"/>
        </w:rPr>
        <w:t>）和《国民经济行业分类》（</w:t>
      </w:r>
      <w:r>
        <w:rPr>
          <w:rFonts w:ascii="宋体" w:hAnsi="宋体"/>
          <w:bCs/>
          <w:szCs w:val="21"/>
        </w:rPr>
        <w:t>GB/T 4754</w:t>
      </w:r>
      <w:r>
        <w:rPr>
          <w:rFonts w:hint="eastAsia" w:ascii="宋体" w:hAnsi="宋体"/>
          <w:bCs/>
          <w:szCs w:val="21"/>
        </w:rPr>
        <w:t>—</w:t>
      </w:r>
      <w:r>
        <w:rPr>
          <w:rFonts w:ascii="宋体" w:hAnsi="宋体"/>
          <w:bCs/>
          <w:szCs w:val="21"/>
        </w:rPr>
        <w:t>2017</w:t>
      </w:r>
      <w:r>
        <w:rPr>
          <w:rFonts w:hint="eastAsia" w:ascii="宋体" w:hAnsi="宋体"/>
          <w:bCs/>
          <w:szCs w:val="21"/>
        </w:rPr>
        <w:t>）的对应关系，进行相应调整，形成《统计上大中小微型企业划分办法（</w:t>
      </w:r>
      <w:r>
        <w:rPr>
          <w:rFonts w:ascii="宋体" w:hAnsi="宋体"/>
          <w:bCs/>
          <w:szCs w:val="21"/>
        </w:rPr>
        <w:t>2017</w:t>
      </w:r>
      <w:r>
        <w:rPr>
          <w:rFonts w:hint="eastAsia" w:ascii="宋体" w:hAnsi="宋体"/>
          <w:bCs/>
          <w:szCs w:val="21"/>
        </w:rPr>
        <w:t>）》。现将《统计上大中小微型企业划分办法（</w:t>
      </w:r>
      <w:r>
        <w:rPr>
          <w:rFonts w:ascii="宋体" w:hAnsi="宋体"/>
          <w:bCs/>
          <w:szCs w:val="21"/>
        </w:rPr>
        <w:t>2017</w:t>
      </w:r>
      <w:r>
        <w:rPr>
          <w:rFonts w:hint="eastAsia" w:ascii="宋体" w:hAnsi="宋体"/>
          <w:bCs/>
          <w:szCs w:val="21"/>
        </w:rPr>
        <w:t>）》印发给你们，请在统计工作中认真贯彻执行。</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附件：《统计上大中小微型企业划分办法（</w:t>
      </w:r>
      <w:r>
        <w:rPr>
          <w:rFonts w:ascii="宋体" w:hAnsi="宋体"/>
          <w:bCs/>
          <w:szCs w:val="21"/>
        </w:rPr>
        <w:t>2017</w:t>
      </w:r>
      <w:r>
        <w:rPr>
          <w:rFonts w:hint="eastAsia" w:ascii="宋体" w:hAnsi="宋体"/>
          <w:bCs/>
          <w:szCs w:val="21"/>
        </w:rPr>
        <w:t>）》修订说明</w:t>
      </w:r>
    </w:p>
    <w:p>
      <w:pPr>
        <w:snapToGrid w:val="0"/>
        <w:jc w:val="right"/>
        <w:rPr>
          <w:rFonts w:ascii="宋体" w:hAnsi="宋体"/>
          <w:bCs/>
          <w:szCs w:val="21"/>
        </w:rPr>
      </w:pPr>
      <w:r>
        <w:rPr>
          <w:rFonts w:hint="eastAsia" w:ascii="宋体" w:hAnsi="宋体"/>
          <w:bCs/>
          <w:szCs w:val="21"/>
        </w:rPr>
        <w:t>国家统计局</w:t>
      </w:r>
    </w:p>
    <w:p>
      <w:pPr>
        <w:snapToGrid w:val="0"/>
        <w:jc w:val="right"/>
        <w:rPr>
          <w:rFonts w:ascii="宋体" w:hAnsi="宋体"/>
          <w:bCs/>
          <w:szCs w:val="21"/>
        </w:rPr>
      </w:pPr>
      <w:r>
        <w:rPr>
          <w:rFonts w:ascii="宋体" w:hAnsi="宋体"/>
          <w:bCs/>
          <w:szCs w:val="21"/>
        </w:rPr>
        <w:t>2017</w:t>
      </w:r>
      <w:r>
        <w:rPr>
          <w:rFonts w:hint="eastAsia" w:ascii="宋体" w:hAnsi="宋体"/>
          <w:bCs/>
          <w:szCs w:val="21"/>
        </w:rPr>
        <w:t>年</w:t>
      </w:r>
      <w:r>
        <w:rPr>
          <w:rFonts w:ascii="宋体" w:hAnsi="宋体"/>
          <w:bCs/>
          <w:szCs w:val="21"/>
        </w:rPr>
        <w:t>12</w:t>
      </w:r>
      <w:r>
        <w:rPr>
          <w:rFonts w:hint="eastAsia" w:ascii="宋体" w:hAnsi="宋体"/>
          <w:bCs/>
          <w:szCs w:val="21"/>
        </w:rPr>
        <w:t>月</w:t>
      </w:r>
      <w:r>
        <w:rPr>
          <w:rFonts w:ascii="宋体" w:hAnsi="宋体"/>
          <w:bCs/>
          <w:szCs w:val="21"/>
        </w:rPr>
        <w:t>28</w:t>
      </w:r>
      <w:r>
        <w:rPr>
          <w:rFonts w:hint="eastAsia" w:ascii="宋体" w:hAnsi="宋体"/>
          <w:bCs/>
          <w:szCs w:val="21"/>
        </w:rPr>
        <w:t>日</w:t>
      </w:r>
    </w:p>
    <w:p>
      <w:pPr>
        <w:snapToGrid w:val="0"/>
        <w:jc w:val="left"/>
        <w:rPr>
          <w:rFonts w:ascii="宋体" w:hAnsi="宋体"/>
          <w:bCs/>
          <w:szCs w:val="21"/>
        </w:rPr>
      </w:pPr>
      <w:r>
        <w:rPr>
          <w:rFonts w:hint="eastAsia" w:ascii="宋体" w:hAnsi="宋体"/>
          <w:bCs/>
          <w:szCs w:val="21"/>
        </w:rPr>
        <w:t>附件</w:t>
      </w:r>
    </w:p>
    <w:p>
      <w:pPr>
        <w:spacing w:line="600" w:lineRule="exact"/>
        <w:jc w:val="center"/>
        <w:rPr>
          <w:rFonts w:ascii="宋体" w:hAnsi="宋体"/>
          <w:b/>
          <w:szCs w:val="21"/>
        </w:rPr>
      </w:pPr>
      <w:r>
        <w:rPr>
          <w:rFonts w:hint="eastAsia" w:ascii="宋体" w:hAnsi="宋体"/>
          <w:b/>
          <w:szCs w:val="21"/>
        </w:rPr>
        <w:t>《统计上大中小微型企业划分办法（</w:t>
      </w:r>
      <w:r>
        <w:rPr>
          <w:rFonts w:ascii="宋体" w:hAnsi="宋体"/>
          <w:b/>
          <w:szCs w:val="21"/>
        </w:rPr>
        <w:t>2017</w:t>
      </w:r>
      <w:r>
        <w:rPr>
          <w:rFonts w:hint="eastAsia" w:ascii="宋体" w:hAnsi="宋体"/>
          <w:b/>
          <w:szCs w:val="21"/>
        </w:rPr>
        <w:t>）》修订说明</w:t>
      </w:r>
    </w:p>
    <w:p>
      <w:pPr>
        <w:snapToGrid w:val="0"/>
        <w:ind w:firstLine="420" w:firstLineChars="200"/>
        <w:jc w:val="left"/>
        <w:rPr>
          <w:rFonts w:ascii="宋体" w:hAnsi="宋体"/>
          <w:bCs/>
          <w:szCs w:val="21"/>
        </w:rPr>
      </w:pPr>
      <w:r>
        <w:rPr>
          <w:rFonts w:hint="eastAsia" w:ascii="宋体" w:hAnsi="宋体"/>
          <w:bCs/>
          <w:szCs w:val="21"/>
        </w:rPr>
        <w:t>一、修订背景</w:t>
      </w:r>
    </w:p>
    <w:p>
      <w:pPr>
        <w:snapToGrid w:val="0"/>
        <w:ind w:firstLine="420" w:firstLineChars="200"/>
        <w:jc w:val="left"/>
        <w:rPr>
          <w:rFonts w:ascii="宋体" w:hAnsi="宋体"/>
          <w:bCs/>
          <w:szCs w:val="21"/>
        </w:rPr>
      </w:pPr>
      <w:r>
        <w:rPr>
          <w:rFonts w:hint="eastAsia" w:ascii="宋体" w:hAnsi="宋体"/>
          <w:bCs/>
          <w:szCs w:val="21"/>
        </w:rPr>
        <w:t>目前执行的《统计上大中小微型企业划分办法》是2011年国家统计局根据工业和信息化部、国家统计局、国家发展改革委、财政部《关于印发中小企业划型标准规定的通知》（工信部联企业〔2011〕300号），同时依据《国民经济行业分类》（GB/T 4754—2011），制定并颁布的。</w:t>
      </w:r>
    </w:p>
    <w:p>
      <w:pPr>
        <w:snapToGrid w:val="0"/>
        <w:ind w:firstLine="420" w:firstLineChars="200"/>
        <w:jc w:val="left"/>
        <w:rPr>
          <w:rFonts w:ascii="宋体" w:hAnsi="宋体"/>
          <w:bCs/>
          <w:szCs w:val="21"/>
        </w:rPr>
      </w:pPr>
      <w:r>
        <w:rPr>
          <w:rFonts w:hint="eastAsia" w:ascii="宋体" w:hAnsi="宋体"/>
          <w:bCs/>
          <w:szCs w:val="21"/>
        </w:rPr>
        <w:t>2017年6月30日，《国民经济行业分类》（GB/T 4754—2017）正式颁布。8月29日，国家统计局印发《关于执行新国民经济行业分类国家标准的通知》（国统字〔2017〕142号），规定从2017年统计年报和2018年定期统计报表起统一使用新分类标准。为此，我们对2011年印发的《统计上大中小微型企业划分办法》进行修订。</w:t>
      </w:r>
    </w:p>
    <w:p>
      <w:pPr>
        <w:snapToGrid w:val="0"/>
        <w:ind w:firstLine="420" w:firstLineChars="200"/>
        <w:jc w:val="left"/>
        <w:rPr>
          <w:rFonts w:ascii="宋体" w:hAnsi="宋体"/>
          <w:bCs/>
          <w:szCs w:val="21"/>
        </w:rPr>
      </w:pPr>
      <w:r>
        <w:rPr>
          <w:rFonts w:hint="eastAsia" w:ascii="宋体" w:hAnsi="宋体"/>
          <w:bCs/>
          <w:szCs w:val="21"/>
        </w:rPr>
        <w:t>二、修订主要内容</w:t>
      </w:r>
    </w:p>
    <w:p>
      <w:pPr>
        <w:snapToGrid w:val="0"/>
        <w:ind w:firstLine="420" w:firstLineChars="200"/>
        <w:jc w:val="left"/>
        <w:rPr>
          <w:rFonts w:ascii="宋体" w:hAnsi="宋体"/>
          <w:bCs/>
          <w:szCs w:val="21"/>
        </w:rPr>
      </w:pPr>
      <w:r>
        <w:rPr>
          <w:rFonts w:hint="eastAsia" w:ascii="宋体" w:hAnsi="宋体"/>
          <w:bCs/>
          <w:szCs w:val="21"/>
        </w:rPr>
        <w:t>本次修订是在2011年《统计上大中小微型企业划分办法》基础上进行的，修订延续原有的分类原则、方法和结构框架，在保持适用范围不变的情况下,依据标准由《国民经济行业分类》（GB/T 4754—2011）修改为《国民经济行业分类》（GB/T 4754—2017），并根据新旧国民经济行业的对应关系，进行了行业所包含类别的对应调整。</w:t>
      </w:r>
    </w:p>
    <w:p>
      <w:pPr>
        <w:snapToGrid w:val="0"/>
        <w:ind w:firstLine="420" w:firstLineChars="200"/>
        <w:jc w:val="left"/>
        <w:rPr>
          <w:rFonts w:ascii="宋体" w:hAnsi="宋体"/>
          <w:bCs/>
          <w:szCs w:val="21"/>
        </w:rPr>
      </w:pPr>
      <w:r>
        <w:rPr>
          <w:rFonts w:hint="eastAsia" w:ascii="宋体" w:hAnsi="宋体"/>
          <w:bCs/>
          <w:szCs w:val="21"/>
        </w:rPr>
        <w:t>将交通运输业中包括的“装卸搬运和运输代理业”修改为“多式联运和运输代理业、装卸搬运”。</w:t>
      </w:r>
    </w:p>
    <w:p>
      <w:pPr>
        <w:snapToGrid w:val="0"/>
        <w:ind w:firstLine="420" w:firstLineChars="200"/>
        <w:jc w:val="left"/>
        <w:rPr>
          <w:rFonts w:hint="eastAsia" w:ascii="宋体" w:hAnsi="宋体"/>
        </w:rPr>
      </w:pPr>
      <w:r>
        <w:rPr>
          <w:rFonts w:hint="eastAsia" w:ascii="宋体" w:hAnsi="宋体"/>
          <w:bCs/>
          <w:szCs w:val="21"/>
        </w:rPr>
        <w:t>仓储业所包括的行业中类，根据《国民经济行业分类》（GB/T 4754—2017）调整为“通用仓储，低温仓储，危险品仓储，谷物、棉花等农产品仓储，中药材仓储和其他仓储业”。</w:t>
      </w:r>
    </w:p>
    <w:p>
      <w:pPr>
        <w:snapToGrid w:val="0"/>
        <w:jc w:val="center"/>
        <w:rPr>
          <w:rFonts w:ascii="宋体" w:hAnsi="宋体"/>
          <w:b/>
          <w:szCs w:val="21"/>
        </w:rPr>
      </w:pPr>
      <w:r>
        <w:rPr>
          <w:rFonts w:ascii="宋体" w:hAnsi="宋体"/>
          <w:b/>
          <w:szCs w:val="21"/>
        </w:rPr>
        <w:br w:type="page"/>
      </w:r>
      <w:r>
        <w:rPr>
          <w:rFonts w:hint="eastAsia" w:ascii="宋体" w:hAnsi="宋体"/>
          <w:b/>
          <w:szCs w:val="21"/>
        </w:rPr>
        <w:t>统计上大中小微型企业划分办法（</w:t>
      </w:r>
      <w:r>
        <w:rPr>
          <w:rFonts w:ascii="宋体" w:hAnsi="宋体"/>
          <w:b/>
          <w:szCs w:val="21"/>
        </w:rPr>
        <w:t>2017</w:t>
      </w:r>
      <w:r>
        <w:rPr>
          <w:rFonts w:hint="eastAsia" w:ascii="宋体" w:hAnsi="宋体"/>
          <w:b/>
          <w:szCs w:val="21"/>
        </w:rPr>
        <w:t>）</w:t>
      </w:r>
    </w:p>
    <w:p>
      <w:pPr>
        <w:snapToGrid w:val="0"/>
        <w:jc w:val="left"/>
        <w:rPr>
          <w:rFonts w:ascii="宋体" w:hAnsi="宋体"/>
          <w:bCs/>
          <w:szCs w:val="21"/>
        </w:rPr>
      </w:pPr>
    </w:p>
    <w:p>
      <w:pPr>
        <w:snapToGrid w:val="0"/>
        <w:ind w:firstLine="420" w:firstLineChars="200"/>
        <w:jc w:val="left"/>
        <w:rPr>
          <w:rFonts w:ascii="宋体" w:hAnsi="宋体"/>
          <w:bCs/>
          <w:szCs w:val="21"/>
        </w:rPr>
      </w:pPr>
      <w:r>
        <w:rPr>
          <w:rFonts w:hint="eastAsia" w:ascii="宋体" w:hAnsi="宋体"/>
          <w:bCs/>
          <w:szCs w:val="21"/>
        </w:rPr>
        <w:t>一、根据工业和信息化部、国家统计局、国家发展改革委、财政部《关于印发中小企业划型标准规定的通知》（工信部联企业〔</w:t>
      </w:r>
      <w:r>
        <w:rPr>
          <w:rFonts w:ascii="宋体" w:hAnsi="宋体"/>
          <w:bCs/>
          <w:szCs w:val="21"/>
        </w:rPr>
        <w:t>2011</w:t>
      </w:r>
      <w:r>
        <w:rPr>
          <w:rFonts w:hint="eastAsia" w:ascii="宋体" w:hAnsi="宋体"/>
          <w:bCs/>
          <w:szCs w:val="21"/>
        </w:rPr>
        <w:t>〕</w:t>
      </w:r>
      <w:r>
        <w:rPr>
          <w:rFonts w:ascii="宋体" w:hAnsi="宋体"/>
          <w:bCs/>
          <w:szCs w:val="21"/>
        </w:rPr>
        <w:t>300</w:t>
      </w:r>
      <w:r>
        <w:rPr>
          <w:rFonts w:hint="eastAsia" w:ascii="宋体" w:hAnsi="宋体"/>
          <w:bCs/>
          <w:szCs w:val="21"/>
        </w:rPr>
        <w:t>号），以《国民经济行业分类》（</w:t>
      </w:r>
      <w:r>
        <w:rPr>
          <w:rFonts w:ascii="宋体" w:hAnsi="宋体"/>
          <w:bCs/>
          <w:szCs w:val="21"/>
        </w:rPr>
        <w:t>GB/T4754-2017</w:t>
      </w:r>
      <w:r>
        <w:rPr>
          <w:rFonts w:hint="eastAsia" w:ascii="宋体" w:hAnsi="宋体"/>
          <w:bCs/>
          <w:szCs w:val="21"/>
        </w:rPr>
        <w:t>）为基础，结合统计工作的实际情况，制定本办法。</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二、本办法适用对象为在中华人民共和国境内依法设立的各种组织形式的法人企业或单位。个体工商户参照本办法进行划分。</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三、本办法适用范围包括：农、林、牧、渔业，采矿业，制造业，电力、热力、燃气及水生产和供应业，建筑业，批发和零售业，交通运输、仓储和邮政业，住宿和餐饮业，信息传输、软件和信息技术服务业，房地产业，租赁和商务服务业，科学研究和技术服务业，水利、环境和公共设施管理业，居民服务、修理和其他服务业，文化、体育和娱乐业等</w:t>
      </w:r>
      <w:r>
        <w:rPr>
          <w:rFonts w:ascii="宋体" w:hAnsi="宋体"/>
          <w:bCs/>
          <w:szCs w:val="21"/>
        </w:rPr>
        <w:t>15</w:t>
      </w:r>
      <w:r>
        <w:rPr>
          <w:rFonts w:hint="eastAsia" w:ascii="宋体" w:hAnsi="宋体"/>
          <w:bCs/>
          <w:szCs w:val="21"/>
        </w:rPr>
        <w:t>个行业门类以及社会工作行业大类。</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四、本办法按照行业门类、大类、中类和组合类别，依据从业人员、营业收入、资产总额等指标或替代指标，将我国的企业划分为大型、中型、小型、微型等四种类型。具体划分标准见附表。</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五、企业划分由政府综合统计部门根据统计年报每年确定一次，定报统计原则上不进行调整。</w:t>
      </w:r>
    </w:p>
    <w:p>
      <w:pPr>
        <w:snapToGrid w:val="0"/>
        <w:ind w:firstLine="420" w:firstLineChars="200"/>
        <w:jc w:val="left"/>
        <w:rPr>
          <w:rFonts w:hint="eastAsia" w:ascii="宋体" w:hAnsi="宋体"/>
          <w:bCs/>
          <w:szCs w:val="21"/>
        </w:rPr>
      </w:pPr>
    </w:p>
    <w:p>
      <w:pPr>
        <w:snapToGrid w:val="0"/>
        <w:ind w:firstLine="420" w:firstLineChars="200"/>
        <w:jc w:val="left"/>
        <w:rPr>
          <w:rFonts w:hint="eastAsia" w:ascii="宋体" w:hAnsi="宋体"/>
          <w:bCs/>
          <w:szCs w:val="21"/>
        </w:rPr>
      </w:pPr>
      <w:r>
        <w:rPr>
          <w:rFonts w:hint="eastAsia" w:ascii="宋体" w:hAnsi="宋体"/>
          <w:bCs/>
          <w:szCs w:val="21"/>
        </w:rPr>
        <w:t>六、本办法自印发之日起执行，国家统计局</w:t>
      </w:r>
      <w:r>
        <w:rPr>
          <w:rFonts w:ascii="宋体" w:hAnsi="宋体"/>
          <w:bCs/>
          <w:szCs w:val="21"/>
        </w:rPr>
        <w:t>2011</w:t>
      </w:r>
      <w:r>
        <w:rPr>
          <w:rFonts w:hint="eastAsia" w:ascii="宋体" w:hAnsi="宋体"/>
          <w:bCs/>
          <w:szCs w:val="21"/>
        </w:rPr>
        <w:t>年印发的《统计上大中小微型企业划分办法》（国统字〔</w:t>
      </w:r>
      <w:r>
        <w:rPr>
          <w:rFonts w:ascii="宋体" w:hAnsi="宋体"/>
          <w:bCs/>
          <w:szCs w:val="21"/>
        </w:rPr>
        <w:t>2011</w:t>
      </w:r>
      <w:r>
        <w:rPr>
          <w:rFonts w:hint="eastAsia" w:ascii="宋体" w:hAnsi="宋体"/>
          <w:bCs/>
          <w:szCs w:val="21"/>
        </w:rPr>
        <w:t>〕</w:t>
      </w:r>
      <w:r>
        <w:rPr>
          <w:rFonts w:ascii="宋体" w:hAnsi="宋体"/>
          <w:bCs/>
          <w:szCs w:val="21"/>
        </w:rPr>
        <w:t>75</w:t>
      </w:r>
      <w:r>
        <w:rPr>
          <w:rFonts w:hint="eastAsia" w:ascii="宋体" w:hAnsi="宋体"/>
          <w:bCs/>
          <w:szCs w:val="21"/>
        </w:rPr>
        <w:t>号）同时废止。</w:t>
      </w:r>
    </w:p>
    <w:p>
      <w:pPr>
        <w:snapToGrid w:val="0"/>
        <w:ind w:firstLine="420" w:firstLineChars="200"/>
        <w:jc w:val="left"/>
        <w:rPr>
          <w:rFonts w:hint="eastAsia" w:ascii="宋体" w:hAnsi="宋体"/>
          <w:bCs/>
          <w:szCs w:val="21"/>
        </w:rPr>
      </w:pPr>
    </w:p>
    <w:p>
      <w:pPr>
        <w:snapToGrid w:val="0"/>
        <w:ind w:firstLine="420" w:firstLineChars="200"/>
        <w:jc w:val="left"/>
        <w:rPr>
          <w:rFonts w:ascii="宋体" w:hAnsi="宋体"/>
          <w:bCs/>
          <w:szCs w:val="21"/>
        </w:rPr>
      </w:pPr>
      <w:r>
        <w:rPr>
          <w:rFonts w:hint="eastAsia" w:ascii="宋体" w:hAnsi="宋体"/>
          <w:bCs/>
          <w:szCs w:val="21"/>
        </w:rPr>
        <w:t>附表：统计上大中小微型企业划分标准</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3"/>
        <w:gridCol w:w="1443"/>
        <w:gridCol w:w="709"/>
        <w:gridCol w:w="1237"/>
        <w:gridCol w:w="1899"/>
        <w:gridCol w:w="1587"/>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exact"/>
          <w:jc w:val="center"/>
        </w:trPr>
        <w:tc>
          <w:tcPr>
            <w:tcW w:w="1543"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行业名称</w:t>
            </w:r>
          </w:p>
        </w:tc>
        <w:tc>
          <w:tcPr>
            <w:tcW w:w="1443"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指标名称</w:t>
            </w:r>
          </w:p>
        </w:tc>
        <w:tc>
          <w:tcPr>
            <w:tcW w:w="709"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计量</w:t>
            </w:r>
          </w:p>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单位</w:t>
            </w:r>
          </w:p>
        </w:tc>
        <w:tc>
          <w:tcPr>
            <w:tcW w:w="1237"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大型</w:t>
            </w:r>
          </w:p>
        </w:tc>
        <w:tc>
          <w:tcPr>
            <w:tcW w:w="1899"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中型</w:t>
            </w:r>
          </w:p>
        </w:tc>
        <w:tc>
          <w:tcPr>
            <w:tcW w:w="1587"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小型</w:t>
            </w:r>
          </w:p>
        </w:tc>
        <w:tc>
          <w:tcPr>
            <w:tcW w:w="992" w:type="dxa"/>
            <w:noWrap w:val="0"/>
            <w:vAlign w:val="center"/>
          </w:tcPr>
          <w:p>
            <w:pPr>
              <w:spacing w:after="60" w:afterLines="25" w:line="360" w:lineRule="exact"/>
              <w:contextualSpacing/>
              <w:jc w:val="center"/>
              <w:rPr>
                <w:rFonts w:ascii="宋体" w:hAnsi="宋体" w:cs="宋体"/>
                <w:b/>
                <w:color w:val="000000"/>
                <w:szCs w:val="21"/>
              </w:rPr>
            </w:pPr>
            <w:r>
              <w:rPr>
                <w:rFonts w:hint="eastAsia" w:ascii="宋体" w:hAnsi="宋体" w:cs="宋体"/>
                <w:b/>
                <w:color w:val="000000"/>
                <w:szCs w:val="21"/>
              </w:rPr>
              <w:t>微型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exact"/>
          <w:jc w:val="center"/>
        </w:trPr>
        <w:tc>
          <w:tcPr>
            <w:tcW w:w="1543" w:type="dxa"/>
            <w:noWrap w:val="0"/>
            <w:vAlign w:val="center"/>
          </w:tcPr>
          <w:p>
            <w:pPr>
              <w:spacing w:after="60" w:afterLines="25" w:line="360" w:lineRule="exact"/>
              <w:contextualSpacing/>
              <w:jc w:val="left"/>
              <w:rPr>
                <w:rFonts w:ascii="宋体" w:hAnsi="宋体" w:cs="宋体"/>
                <w:color w:val="000000"/>
                <w:szCs w:val="21"/>
              </w:rPr>
            </w:pPr>
            <w:r>
              <w:rPr>
                <w:rFonts w:hint="eastAsia" w:ascii="宋体" w:hAnsi="宋体" w:cs="宋体"/>
                <w:color w:val="000000"/>
                <w:szCs w:val="21"/>
              </w:rPr>
              <w:t>农、林、牧、渔业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Y≥20000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500≤Y＜20000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50≤Y＜500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spacing w:after="60" w:afterLines="25" w:line="360" w:lineRule="exact"/>
              <w:contextualSpacing/>
              <w:jc w:val="left"/>
              <w:rPr>
                <w:rFonts w:ascii="宋体" w:hAnsi="宋体" w:cs="宋体"/>
                <w:color w:val="000000"/>
                <w:szCs w:val="21"/>
              </w:rPr>
            </w:pPr>
            <w:r>
              <w:rPr>
                <w:rFonts w:hint="eastAsia" w:ascii="宋体" w:hAnsi="宋体" w:cs="宋体"/>
                <w:color w:val="000000"/>
                <w:szCs w:val="21"/>
              </w:rPr>
              <w:t>工业 *</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300≤X＜1000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20≤X＜300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spacing w:after="60" w:afterLines="25" w:line="360" w:lineRule="exact"/>
              <w:contextualSpacing/>
              <w:jc w:val="left"/>
              <w:rPr>
                <w:rFonts w:ascii="宋体" w:hAnsi="宋体" w:cs="宋体"/>
                <w:color w:val="00000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Y≥40000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2000≤Y＜40000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300≤Y＜2000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spacing w:after="60" w:afterLines="25" w:line="360" w:lineRule="exact"/>
              <w:contextualSpacing/>
              <w:jc w:val="left"/>
              <w:rPr>
                <w:rFonts w:ascii="宋体" w:hAnsi="宋体" w:cs="宋体"/>
                <w:color w:val="000000"/>
                <w:szCs w:val="21"/>
              </w:rPr>
            </w:pPr>
            <w:r>
              <w:rPr>
                <w:rFonts w:hint="eastAsia" w:ascii="宋体" w:hAnsi="宋体" w:cs="宋体"/>
                <w:color w:val="000000"/>
                <w:szCs w:val="21"/>
              </w:rPr>
              <w:t>建筑业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Y≥80000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6000≤Y＜80000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300≤Y＜6000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资产总额(Z)</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Z≥80000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5000≤Z＜80000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300≤Z＜5000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Z＜300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批发业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20≤X＜200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5≤X＜20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Y≥40000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5000≤Y＜40000</w:t>
            </w:r>
          </w:p>
        </w:tc>
        <w:tc>
          <w:tcPr>
            <w:tcW w:w="1587" w:type="dxa"/>
            <w:noWrap w:val="0"/>
            <w:vAlign w:val="center"/>
          </w:tcPr>
          <w:p>
            <w:pPr>
              <w:widowControl/>
              <w:spacing w:after="60" w:afterLines="25" w:line="360" w:lineRule="exact"/>
              <w:ind w:hanging="1"/>
              <w:jc w:val="left"/>
              <w:rPr>
                <w:rFonts w:ascii="宋体" w:hAnsi="宋体" w:cs="宋体"/>
                <w:color w:val="000000"/>
                <w:kern w:val="0"/>
                <w:szCs w:val="21"/>
              </w:rPr>
            </w:pPr>
            <w:r>
              <w:rPr>
                <w:rFonts w:hint="eastAsia" w:ascii="宋体" w:hAnsi="宋体" w:cs="宋体"/>
                <w:color w:val="000000"/>
                <w:kern w:val="0"/>
                <w:szCs w:val="21"/>
              </w:rPr>
              <w:t>1000≤Y＜5000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零售业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50≤X＜300</w:t>
            </w:r>
          </w:p>
        </w:tc>
        <w:tc>
          <w:tcPr>
            <w:tcW w:w="1587" w:type="dxa"/>
            <w:noWrap w:val="0"/>
            <w:vAlign w:val="center"/>
          </w:tcPr>
          <w:p>
            <w:pPr>
              <w:widowControl/>
              <w:spacing w:after="60" w:afterLines="25" w:line="360" w:lineRule="exact"/>
              <w:ind w:hanging="1"/>
              <w:jc w:val="left"/>
              <w:rPr>
                <w:rFonts w:ascii="宋体" w:hAnsi="宋体" w:cs="宋体"/>
                <w:color w:val="000000"/>
                <w:kern w:val="0"/>
                <w:szCs w:val="21"/>
              </w:rPr>
            </w:pPr>
            <w:r>
              <w:rPr>
                <w:rFonts w:hint="eastAsia" w:ascii="宋体" w:hAnsi="宋体" w:cs="宋体"/>
                <w:color w:val="000000"/>
                <w:kern w:val="0"/>
                <w:szCs w:val="21"/>
              </w:rPr>
              <w:t>10≤X＜50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Y≥20000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500≤Y＜20000</w:t>
            </w:r>
          </w:p>
        </w:tc>
        <w:tc>
          <w:tcPr>
            <w:tcW w:w="1587" w:type="dxa"/>
            <w:noWrap w:val="0"/>
            <w:vAlign w:val="center"/>
          </w:tcPr>
          <w:p>
            <w:pPr>
              <w:widowControl/>
              <w:spacing w:after="60" w:afterLines="25" w:line="360" w:lineRule="exact"/>
              <w:ind w:hanging="1"/>
              <w:jc w:val="left"/>
              <w:rPr>
                <w:rFonts w:ascii="宋体" w:hAnsi="宋体" w:cs="宋体"/>
                <w:color w:val="000000"/>
                <w:kern w:val="0"/>
                <w:szCs w:val="21"/>
              </w:rPr>
            </w:pPr>
            <w:r>
              <w:rPr>
                <w:rFonts w:hint="eastAsia" w:ascii="宋体" w:hAnsi="宋体" w:cs="宋体"/>
                <w:color w:val="000000"/>
                <w:kern w:val="0"/>
                <w:szCs w:val="21"/>
              </w:rPr>
              <w:t>100≤Y＜500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交通运输业 *</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300≤X＜1000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20≤X＜300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3000≤Y＜30000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200≤Y＜3000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仓储业*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X≥200</w:t>
            </w:r>
          </w:p>
        </w:tc>
        <w:tc>
          <w:tcPr>
            <w:tcW w:w="1899" w:type="dxa"/>
            <w:noWrap w:val="0"/>
            <w:vAlign w:val="center"/>
          </w:tcPr>
          <w:p>
            <w:pPr>
              <w:widowControl/>
              <w:spacing w:after="60" w:afterLines="25" w:line="360" w:lineRule="exact"/>
              <w:ind w:left="126" w:hanging="126" w:hangingChars="60"/>
              <w:jc w:val="left"/>
              <w:rPr>
                <w:rFonts w:ascii="宋体" w:hAnsi="宋体" w:cs="宋体"/>
                <w:color w:val="000000"/>
                <w:kern w:val="0"/>
                <w:szCs w:val="21"/>
              </w:rPr>
            </w:pPr>
            <w:r>
              <w:rPr>
                <w:rFonts w:hint="eastAsia" w:ascii="宋体" w:hAnsi="宋体" w:cs="宋体"/>
                <w:color w:val="000000"/>
                <w:kern w:val="0"/>
                <w:szCs w:val="21"/>
              </w:rPr>
              <w:t>100≤X＜200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1000≤Y＜30000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100≤Y＜1000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邮政业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300≤X＜1000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20≤X＜300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Y≥30000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2000≤Y＜30000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100≤Y＜2000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住宿业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ind w:left="126" w:hanging="126" w:hangingChars="60"/>
              <w:jc w:val="left"/>
              <w:rPr>
                <w:rFonts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2000≤Y＜10000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100≤Y＜2000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餐饮业</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ind w:left="126" w:hanging="126" w:hangingChars="60"/>
              <w:jc w:val="left"/>
              <w:rPr>
                <w:rFonts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ascii="宋体" w:hAnsi="宋体" w:cs="宋体"/>
                <w:color w:val="000000"/>
                <w:kern w:val="0"/>
                <w:szCs w:val="21"/>
              </w:rPr>
            </w:pP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2000≤Y＜10000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100≤Y＜2000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信息传输业 *</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X≥2000</w:t>
            </w:r>
          </w:p>
        </w:tc>
        <w:tc>
          <w:tcPr>
            <w:tcW w:w="189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100≤X＜2000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Y≥100000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1000≤Y＜100000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100≤Y＜1000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spacing w:val="-12"/>
                <w:kern w:val="0"/>
                <w:szCs w:val="21"/>
              </w:rPr>
              <w:t>软件和信息技术服</w:t>
            </w:r>
            <w:r>
              <w:rPr>
                <w:rFonts w:hint="eastAsia" w:ascii="宋体" w:hAnsi="宋体" w:cs="宋体"/>
                <w:color w:val="000000"/>
                <w:kern w:val="0"/>
                <w:szCs w:val="21"/>
              </w:rPr>
              <w:t>务业</w:t>
            </w: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Y≥10000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1000≤Y＜10000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50≤Y＜1000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房地产开发经营</w:t>
            </w: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Y≥200000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1000≤Y＜200000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100≤Y＜1000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资产总额(Z)</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Z≥10000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5000≤Z＜10000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2000≤Z＜5000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Z＜2000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物业管理</w:t>
            </w: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X≥1000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300≤X＜1000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100≤X＜300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营业收入(Y)</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Y≥5000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1000≤Y＜5000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500≤Y＜1000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Y＜500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restart"/>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租赁和商务服务业</w:t>
            </w: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43" w:type="dxa"/>
            <w:vMerge w:val="continue"/>
            <w:noWrap w:val="0"/>
            <w:vAlign w:val="center"/>
          </w:tcPr>
          <w:p>
            <w:pPr>
              <w:widowControl/>
              <w:spacing w:after="60" w:afterLines="25" w:line="360" w:lineRule="exact"/>
              <w:jc w:val="left"/>
              <w:rPr>
                <w:rFonts w:hint="eastAsia" w:ascii="宋体" w:hAnsi="宋体" w:cs="宋体"/>
                <w:color w:val="000000"/>
                <w:kern w:val="0"/>
                <w:szCs w:val="21"/>
              </w:rPr>
            </w:pPr>
          </w:p>
        </w:tc>
        <w:tc>
          <w:tcPr>
            <w:tcW w:w="1443"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资产总额(Z)</w:t>
            </w:r>
          </w:p>
        </w:tc>
        <w:tc>
          <w:tcPr>
            <w:tcW w:w="70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万元</w:t>
            </w:r>
          </w:p>
        </w:tc>
        <w:tc>
          <w:tcPr>
            <w:tcW w:w="123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Z≥120000</w:t>
            </w:r>
          </w:p>
        </w:tc>
        <w:tc>
          <w:tcPr>
            <w:tcW w:w="1899"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8000≤Z＜120000</w:t>
            </w:r>
          </w:p>
        </w:tc>
        <w:tc>
          <w:tcPr>
            <w:tcW w:w="1587"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100≤Z＜8000</w:t>
            </w:r>
          </w:p>
        </w:tc>
        <w:tc>
          <w:tcPr>
            <w:tcW w:w="992" w:type="dxa"/>
            <w:noWrap w:val="0"/>
            <w:vAlign w:val="center"/>
          </w:tcPr>
          <w:p>
            <w:pPr>
              <w:widowControl/>
              <w:spacing w:after="60" w:afterLines="25" w:line="360" w:lineRule="exact"/>
              <w:jc w:val="left"/>
              <w:rPr>
                <w:rFonts w:hint="eastAsia" w:ascii="宋体" w:hAnsi="宋体" w:cs="宋体"/>
                <w:color w:val="000000"/>
                <w:kern w:val="0"/>
                <w:szCs w:val="21"/>
              </w:rPr>
            </w:pPr>
            <w:r>
              <w:rPr>
                <w:rFonts w:hint="eastAsia" w:ascii="宋体" w:hAnsi="宋体" w:cs="宋体"/>
                <w:color w:val="000000"/>
                <w:kern w:val="0"/>
                <w:szCs w:val="21"/>
              </w:rPr>
              <w:t>Z＜100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exact"/>
          <w:jc w:val="center"/>
        </w:trPr>
        <w:tc>
          <w:tcPr>
            <w:tcW w:w="15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其他未列明行业 *</w:t>
            </w:r>
          </w:p>
        </w:tc>
        <w:tc>
          <w:tcPr>
            <w:tcW w:w="1443"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从业人员(X)</w:t>
            </w:r>
          </w:p>
        </w:tc>
        <w:tc>
          <w:tcPr>
            <w:tcW w:w="709"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人</w:t>
            </w:r>
          </w:p>
        </w:tc>
        <w:tc>
          <w:tcPr>
            <w:tcW w:w="123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X≥300</w:t>
            </w:r>
          </w:p>
        </w:tc>
        <w:tc>
          <w:tcPr>
            <w:tcW w:w="1899" w:type="dxa"/>
            <w:noWrap w:val="0"/>
            <w:vAlign w:val="center"/>
          </w:tcPr>
          <w:p>
            <w:pPr>
              <w:widowControl/>
              <w:spacing w:after="60" w:afterLines="25" w:line="360" w:lineRule="exact"/>
              <w:ind w:left="126" w:hanging="126" w:hangingChars="60"/>
              <w:jc w:val="left"/>
              <w:rPr>
                <w:rFonts w:ascii="宋体" w:hAnsi="宋体" w:cs="宋体"/>
                <w:color w:val="000000"/>
                <w:kern w:val="0"/>
                <w:szCs w:val="21"/>
              </w:rPr>
            </w:pPr>
            <w:r>
              <w:rPr>
                <w:rFonts w:hint="eastAsia" w:ascii="宋体" w:hAnsi="宋体" w:cs="宋体"/>
                <w:color w:val="000000"/>
                <w:kern w:val="0"/>
                <w:szCs w:val="21"/>
              </w:rPr>
              <w:t>100≤X＜300</w:t>
            </w:r>
          </w:p>
        </w:tc>
        <w:tc>
          <w:tcPr>
            <w:tcW w:w="1587"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10≤X＜100</w:t>
            </w:r>
          </w:p>
        </w:tc>
        <w:tc>
          <w:tcPr>
            <w:tcW w:w="992" w:type="dxa"/>
            <w:noWrap w:val="0"/>
            <w:vAlign w:val="center"/>
          </w:tcPr>
          <w:p>
            <w:pPr>
              <w:widowControl/>
              <w:spacing w:after="60" w:afterLines="25" w:line="360" w:lineRule="exact"/>
              <w:jc w:val="left"/>
              <w:rPr>
                <w:rFonts w:ascii="宋体" w:hAnsi="宋体" w:cs="宋体"/>
                <w:color w:val="000000"/>
                <w:kern w:val="0"/>
                <w:szCs w:val="21"/>
              </w:rPr>
            </w:pPr>
            <w:r>
              <w:rPr>
                <w:rFonts w:hint="eastAsia" w:ascii="宋体" w:hAnsi="宋体" w:cs="宋体"/>
                <w:color w:val="000000"/>
                <w:kern w:val="0"/>
                <w:szCs w:val="21"/>
              </w:rPr>
              <w:t>X＜10</w:t>
            </w:r>
          </w:p>
        </w:tc>
      </w:tr>
    </w:tbl>
    <w:p>
      <w:pPr>
        <w:snapToGrid w:val="0"/>
        <w:spacing w:before="120" w:beforeLines="50"/>
        <w:jc w:val="left"/>
        <w:rPr>
          <w:rFonts w:ascii="宋体" w:hAnsi="宋体"/>
          <w:bCs/>
          <w:szCs w:val="21"/>
        </w:rPr>
      </w:pPr>
      <w:r>
        <w:rPr>
          <w:rFonts w:hint="eastAsia" w:ascii="宋体" w:hAnsi="宋体"/>
          <w:bCs/>
          <w:szCs w:val="21"/>
        </w:rPr>
        <w:t>说明：</w:t>
      </w:r>
    </w:p>
    <w:p>
      <w:pPr>
        <w:snapToGrid w:val="0"/>
        <w:ind w:firstLine="420" w:firstLineChars="200"/>
        <w:jc w:val="left"/>
        <w:rPr>
          <w:rFonts w:ascii="宋体" w:hAnsi="宋体"/>
          <w:bCs/>
          <w:szCs w:val="21"/>
        </w:rPr>
      </w:pPr>
      <w:r>
        <w:rPr>
          <w:rFonts w:hint="eastAsia" w:ascii="宋体" w:hAnsi="宋体"/>
          <w:bCs/>
          <w:szCs w:val="21"/>
        </w:rPr>
        <w:t>1.大型、中型和小型企业须同时满足所列指标的下限，否则下划一档；微型企业只须满足所列指标中的一项即可。</w:t>
      </w:r>
    </w:p>
    <w:p>
      <w:pPr>
        <w:snapToGrid w:val="0"/>
        <w:ind w:firstLine="420" w:firstLineChars="200"/>
        <w:jc w:val="left"/>
        <w:rPr>
          <w:rFonts w:ascii="宋体" w:hAnsi="宋体"/>
          <w:bCs/>
          <w:szCs w:val="21"/>
        </w:rPr>
      </w:pPr>
      <w:r>
        <w:rPr>
          <w:rFonts w:hint="eastAsia" w:ascii="宋体" w:hAnsi="宋体"/>
          <w:bCs/>
          <w:szCs w:val="21"/>
        </w:rPr>
        <w:t>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pPr>
        <w:snapToGrid w:val="0"/>
        <w:ind w:firstLine="420" w:firstLineChars="200"/>
        <w:jc w:val="left"/>
        <w:rPr>
          <w:rFonts w:ascii="宋体" w:hAnsi="宋体"/>
          <w:bCs/>
          <w:szCs w:val="21"/>
        </w:rPr>
      </w:pPr>
      <w:r>
        <w:rPr>
          <w:rFonts w:hint="eastAsia" w:ascii="宋体" w:hAnsi="宋体"/>
          <w:bCs/>
          <w:szCs w:val="21"/>
        </w:rPr>
        <w:t>3.企业划分指标以现行统计制度为准。（1）从业人员，是指期末从业人员数，没有期末从业人员数的，采用全年平均人员数代替。（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3）资产总额，采用资产总计代替。</w:t>
      </w:r>
    </w:p>
    <w:p>
      <w:pPr>
        <w:snapToGrid w:val="0"/>
        <w:jc w:val="left"/>
        <w:rPr>
          <w:rFonts w:ascii="宋体" w:hAnsi="宋体"/>
          <w:sz w:val="24"/>
        </w:rPr>
      </w:pPr>
      <w:r>
        <w:rPr>
          <w:rFonts w:ascii="宋体" w:hAnsi="宋体"/>
        </w:rPr>
        <w:br w:type="page"/>
      </w:r>
      <w:r>
        <w:rPr>
          <w:rFonts w:ascii="宋体" w:hAnsi="宋体"/>
          <w:b/>
          <w:sz w:val="24"/>
        </w:rPr>
        <w:t>4</w:t>
      </w:r>
      <w:r>
        <w:rPr>
          <w:rFonts w:hint="eastAsia" w:ascii="宋体" w:hAnsi="宋体"/>
          <w:b/>
          <w:sz w:val="24"/>
        </w:rPr>
        <w:t>、投标声明书格式：</w:t>
      </w:r>
    </w:p>
    <w:bookmarkEnd w:id="137"/>
    <w:p>
      <w:pPr>
        <w:snapToGrid w:val="0"/>
        <w:jc w:val="center"/>
        <w:rPr>
          <w:rFonts w:ascii="宋体" w:hAnsi="宋体"/>
          <w:b/>
          <w:bCs/>
          <w:sz w:val="32"/>
          <w:szCs w:val="32"/>
        </w:rPr>
      </w:pPr>
      <w:bookmarkStart w:id="138" w:name="OLE_LINK12"/>
      <w:r>
        <w:rPr>
          <w:rFonts w:hint="eastAsia" w:ascii="宋体" w:hAnsi="宋体"/>
          <w:b/>
          <w:bCs/>
          <w:sz w:val="32"/>
          <w:szCs w:val="32"/>
        </w:rPr>
        <w:t>投标声明书</w:t>
      </w:r>
    </w:p>
    <w:p>
      <w:pPr>
        <w:snapToGrid w:val="0"/>
        <w:ind w:firstLine="480" w:firstLineChars="200"/>
        <w:rPr>
          <w:rFonts w:ascii="宋体" w:hAnsi="宋体"/>
          <w:sz w:val="24"/>
        </w:rPr>
      </w:pPr>
      <w:r>
        <w:rPr>
          <w:rFonts w:hint="eastAsia" w:ascii="宋体" w:hAnsi="宋体"/>
          <w:sz w:val="24"/>
        </w:rPr>
        <w:t>致：</w:t>
      </w:r>
      <w:r>
        <w:rPr>
          <w:rFonts w:hint="eastAsia" w:ascii="宋体" w:hAnsi="宋体"/>
          <w:sz w:val="24"/>
          <w:u w:val="single"/>
        </w:rPr>
        <w:t xml:space="preserve">               </w:t>
      </w:r>
      <w:r>
        <w:rPr>
          <w:rFonts w:hint="eastAsia" w:ascii="宋体" w:hAnsi="宋体"/>
          <w:sz w:val="24"/>
        </w:rPr>
        <w:t>（采购单位名称）：</w:t>
      </w:r>
    </w:p>
    <w:p>
      <w:pPr>
        <w:snapToGrid w:val="0"/>
        <w:ind w:firstLine="480" w:firstLineChars="200"/>
        <w:rPr>
          <w:rFonts w:ascii="宋体" w:hAnsi="宋体"/>
          <w:sz w:val="24"/>
        </w:rPr>
      </w:pPr>
      <w:r>
        <w:rPr>
          <w:rFonts w:hint="eastAsia" w:ascii="宋体" w:hAnsi="宋体"/>
          <w:sz w:val="24"/>
          <w:u w:val="single"/>
        </w:rPr>
        <w:t xml:space="preserve">                        </w:t>
      </w:r>
      <w:r>
        <w:rPr>
          <w:rFonts w:hint="eastAsia" w:ascii="宋体" w:hAnsi="宋体"/>
          <w:sz w:val="24"/>
        </w:rPr>
        <w:t>（供应商名称）系中华人民共和国合法企业，经营地址</w:t>
      </w:r>
      <w:r>
        <w:rPr>
          <w:rFonts w:hint="eastAsia" w:ascii="宋体" w:hAnsi="宋体"/>
          <w:sz w:val="24"/>
          <w:u w:val="single"/>
        </w:rPr>
        <w:t xml:space="preserve">                               </w:t>
      </w:r>
      <w:r>
        <w:rPr>
          <w:rFonts w:hint="eastAsia" w:ascii="宋体" w:hAnsi="宋体"/>
          <w:sz w:val="24"/>
        </w:rPr>
        <w:t>。</w:t>
      </w:r>
    </w:p>
    <w:p>
      <w:pPr>
        <w:snapToGrid w:val="0"/>
        <w:ind w:firstLine="480" w:firstLineChars="200"/>
        <w:rPr>
          <w:rFonts w:ascii="宋体" w:hAnsi="宋体"/>
          <w:sz w:val="24"/>
        </w:rPr>
      </w:pPr>
      <w:r>
        <w:rPr>
          <w:rFonts w:hint="eastAsia" w:ascii="宋体" w:hAnsi="宋体"/>
          <w:sz w:val="24"/>
        </w:rPr>
        <w:t>我</w:t>
      </w:r>
      <w:r>
        <w:rPr>
          <w:rFonts w:hint="eastAsia" w:ascii="宋体" w:hAnsi="宋体"/>
          <w:sz w:val="24"/>
          <w:u w:val="single"/>
        </w:rPr>
        <w:t xml:space="preserve">         </w:t>
      </w:r>
      <w:r>
        <w:rPr>
          <w:rFonts w:hint="eastAsia" w:ascii="宋体" w:hAnsi="宋体"/>
          <w:sz w:val="24"/>
        </w:rPr>
        <w:t>（姓名）系</w:t>
      </w:r>
      <w:r>
        <w:rPr>
          <w:rFonts w:hint="eastAsia" w:ascii="宋体" w:hAnsi="宋体"/>
          <w:sz w:val="24"/>
          <w:u w:val="single"/>
        </w:rPr>
        <w:t xml:space="preserve">          </w:t>
      </w:r>
      <w:r>
        <w:rPr>
          <w:rFonts w:hint="eastAsia" w:ascii="宋体" w:hAnsi="宋体"/>
          <w:sz w:val="24"/>
        </w:rPr>
        <w:t>（供应商名称）的法定代表人，我方愿意参加贵方组织的</w:t>
      </w:r>
      <w:r>
        <w:rPr>
          <w:rFonts w:hint="eastAsia" w:ascii="宋体" w:hAnsi="宋体"/>
          <w:sz w:val="24"/>
          <w:u w:val="single"/>
        </w:rPr>
        <w:t xml:space="preserve">                       </w:t>
      </w:r>
      <w:r>
        <w:rPr>
          <w:rFonts w:hint="eastAsia" w:ascii="宋体" w:hAnsi="宋体"/>
          <w:sz w:val="24"/>
        </w:rPr>
        <w:t>项目标项</w:t>
      </w:r>
      <w:r>
        <w:rPr>
          <w:rFonts w:hint="eastAsia" w:ascii="宋体" w:hAnsi="宋体"/>
          <w:sz w:val="24"/>
          <w:u w:val="single"/>
        </w:rPr>
        <w:t xml:space="preserve">     </w:t>
      </w:r>
      <w:r>
        <w:rPr>
          <w:rFonts w:hint="eastAsia" w:ascii="宋体" w:hAnsi="宋体"/>
          <w:sz w:val="24"/>
        </w:rPr>
        <w:t>的投标，为便于贵方公正、择优地确定中标人及服务，我方就本次投标有关事项郑重声明如下：</w:t>
      </w:r>
    </w:p>
    <w:p>
      <w:pPr>
        <w:snapToGrid w:val="0"/>
        <w:ind w:firstLine="480" w:firstLineChars="200"/>
        <w:rPr>
          <w:rFonts w:ascii="宋体" w:hAnsi="宋体"/>
          <w:sz w:val="24"/>
        </w:rPr>
      </w:pPr>
      <w:r>
        <w:rPr>
          <w:rFonts w:hint="eastAsia" w:ascii="宋体" w:hAnsi="宋体"/>
          <w:sz w:val="24"/>
        </w:rPr>
        <w:t>1.我方向贵方提交的所有投标文件、资料都是准确的和真实的。</w:t>
      </w:r>
    </w:p>
    <w:p>
      <w:pPr>
        <w:snapToGrid w:val="0"/>
        <w:ind w:firstLine="480" w:firstLineChars="200"/>
        <w:rPr>
          <w:rFonts w:ascii="宋体" w:hAnsi="宋体"/>
          <w:sz w:val="24"/>
        </w:rPr>
      </w:pPr>
      <w:r>
        <w:rPr>
          <w:rFonts w:hint="eastAsia" w:ascii="宋体" w:hAnsi="宋体"/>
          <w:sz w:val="24"/>
        </w:rPr>
        <w:t>2.我方不是供应商的附属机构；在获知本项目投标信息后，与采购人聘请的为此项目提供招标代理公司及其附属机构没有任何联系。</w:t>
      </w:r>
    </w:p>
    <w:p>
      <w:pPr>
        <w:snapToGrid w:val="0"/>
        <w:ind w:firstLine="480" w:firstLineChars="200"/>
        <w:rPr>
          <w:rFonts w:ascii="宋体" w:hAnsi="宋体"/>
          <w:sz w:val="24"/>
        </w:rPr>
      </w:pPr>
      <w:r>
        <w:rPr>
          <w:rFonts w:hint="eastAsia" w:ascii="宋体" w:hAnsi="宋体"/>
          <w:sz w:val="24"/>
        </w:rPr>
        <w:t>3.我方及由本人担任法定代表人的其他机构最近三年内被通报或者被处罚的违法行为有：</w:t>
      </w:r>
      <w:r>
        <w:rPr>
          <w:rFonts w:hint="eastAsia" w:ascii="宋体" w:hAnsi="宋体"/>
          <w:b/>
          <w:bCs/>
          <w:sz w:val="24"/>
        </w:rPr>
        <w:t>（若有，请如实填写；若无，请作出“参加政府采购活动前三年内，在经营活动中没有重大违法记录”的承诺）</w:t>
      </w:r>
      <w:r>
        <w:rPr>
          <w:rFonts w:hint="eastAsia" w:ascii="宋体" w:hAnsi="宋体"/>
          <w:sz w:val="24"/>
          <w:u w:val="single"/>
        </w:rPr>
        <w:t xml:space="preserve">                              </w:t>
      </w:r>
      <w:r>
        <w:rPr>
          <w:rFonts w:hint="eastAsia" w:ascii="宋体" w:hAnsi="宋体"/>
          <w:sz w:val="24"/>
        </w:rPr>
        <w:t>。</w:t>
      </w:r>
    </w:p>
    <w:p>
      <w:pPr>
        <w:snapToGrid w:val="0"/>
        <w:ind w:firstLine="480" w:firstLineChars="200"/>
        <w:rPr>
          <w:rFonts w:ascii="宋体" w:hAnsi="宋体"/>
          <w:sz w:val="24"/>
        </w:rPr>
      </w:pPr>
      <w:r>
        <w:rPr>
          <w:rFonts w:hint="eastAsia" w:ascii="宋体" w:hAnsi="宋体"/>
          <w:sz w:val="24"/>
        </w:rPr>
        <w:t>4.以上事项如有虚假或隐瞒，我方愿意承担一切后果，并不再寻求任何旨在减轻或免除法律责任的辩解。</w:t>
      </w:r>
    </w:p>
    <w:p>
      <w:pPr>
        <w:pStyle w:val="22"/>
        <w:tabs>
          <w:tab w:val="left" w:pos="939"/>
        </w:tabs>
        <w:snapToGrid w:val="0"/>
        <w:ind w:left="315" w:leftChars="150" w:firstLine="480" w:firstLineChars="200"/>
        <w:rPr>
          <w:rFonts w:ascii="宋体" w:hAnsi="宋体"/>
          <w:sz w:val="24"/>
        </w:rPr>
      </w:pPr>
    </w:p>
    <w:p>
      <w:pPr>
        <w:snapToGrid w:val="0"/>
        <w:ind w:firstLine="480" w:firstLineChars="200"/>
        <w:rPr>
          <w:rFonts w:ascii="宋体" w:hAnsi="宋体"/>
          <w:sz w:val="24"/>
          <w:u w:val="single"/>
        </w:rPr>
      </w:pPr>
      <w:r>
        <w:rPr>
          <w:rFonts w:hint="eastAsia" w:ascii="宋体" w:hAnsi="宋体"/>
          <w:sz w:val="24"/>
        </w:rPr>
        <w:t>法定代表人（签字或盖章）：</w:t>
      </w:r>
      <w:r>
        <w:rPr>
          <w:rFonts w:hint="eastAsia" w:ascii="宋体" w:hAnsi="宋体"/>
          <w:sz w:val="24"/>
          <w:u w:val="single"/>
        </w:rPr>
        <w:t xml:space="preserve">             </w:t>
      </w:r>
    </w:p>
    <w:p>
      <w:pPr>
        <w:widowControl/>
        <w:ind w:firstLine="480" w:firstLineChars="200"/>
        <w:jc w:val="left"/>
        <w:rPr>
          <w:rFonts w:ascii="宋体" w:hAnsi="宋体"/>
          <w:sz w:val="24"/>
        </w:rPr>
      </w:pPr>
      <w:r>
        <w:rPr>
          <w:rFonts w:hint="eastAsia" w:ascii="宋体" w:hAnsi="宋体"/>
          <w:sz w:val="24"/>
        </w:rPr>
        <w:t>供应商公章：</w:t>
      </w:r>
      <w:r>
        <w:rPr>
          <w:rFonts w:hint="eastAsia" w:ascii="宋体" w:hAnsi="宋体"/>
          <w:sz w:val="24"/>
          <w:u w:val="single"/>
        </w:rPr>
        <w:t xml:space="preserve">               </w:t>
      </w:r>
    </w:p>
    <w:p>
      <w:pPr>
        <w:widowControl/>
        <w:ind w:firstLine="480" w:firstLineChars="200"/>
        <w:jc w:val="left"/>
        <w:rPr>
          <w:rFonts w:ascii="宋体" w:hAnsi="宋体"/>
          <w:sz w:val="24"/>
        </w:rPr>
      </w:pPr>
      <w:r>
        <w:rPr>
          <w:rFonts w:hint="eastAsia" w:ascii="宋体" w:hAnsi="宋体"/>
          <w:sz w:val="24"/>
        </w:rPr>
        <w:t xml:space="preserve">        年    月    日</w:t>
      </w:r>
    </w:p>
    <w:bookmarkEnd w:id="138"/>
    <w:p>
      <w:pPr>
        <w:snapToGrid w:val="0"/>
        <w:jc w:val="left"/>
        <w:rPr>
          <w:rFonts w:ascii="宋体" w:hAnsi="宋体"/>
          <w:b/>
          <w:sz w:val="24"/>
        </w:rPr>
      </w:pPr>
      <w:r>
        <w:rPr>
          <w:rFonts w:hint="eastAsia" w:ascii="宋体" w:hAnsi="宋体"/>
          <w:sz w:val="24"/>
        </w:rPr>
        <w:br w:type="page"/>
      </w:r>
      <w:bookmarkStart w:id="139" w:name="OLE_LINK16"/>
      <w:r>
        <w:rPr>
          <w:rFonts w:ascii="宋体" w:hAnsi="宋体"/>
          <w:b/>
          <w:sz w:val="24"/>
        </w:rPr>
        <w:t>5</w:t>
      </w:r>
      <w:r>
        <w:rPr>
          <w:rFonts w:hint="eastAsia" w:ascii="宋体" w:hAnsi="宋体"/>
          <w:b/>
          <w:sz w:val="24"/>
        </w:rPr>
        <w:t>、类似案例成功的业绩</w:t>
      </w:r>
    </w:p>
    <w:p>
      <w:pPr>
        <w:pStyle w:val="731"/>
        <w:jc w:val="center"/>
        <w:rPr>
          <w:rFonts w:ascii="宋体" w:hAnsi="宋体"/>
          <w:b/>
          <w:sz w:val="32"/>
          <w:szCs w:val="32"/>
        </w:rPr>
      </w:pPr>
      <w:r>
        <w:rPr>
          <w:rFonts w:hint="eastAsia" w:ascii="宋体" w:hAnsi="宋体"/>
          <w:b/>
          <w:sz w:val="32"/>
          <w:szCs w:val="32"/>
        </w:rPr>
        <w:t>成功案例业绩一览表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330"/>
        <w:gridCol w:w="1511"/>
        <w:gridCol w:w="1259"/>
        <w:gridCol w:w="943"/>
        <w:gridCol w:w="818"/>
        <w:gridCol w:w="1331"/>
        <w:gridCol w:w="18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jc w:val="center"/>
        </w:trPr>
        <w:tc>
          <w:tcPr>
            <w:tcW w:w="641" w:type="dxa"/>
            <w:noWrap w:val="0"/>
            <w:vAlign w:val="center"/>
          </w:tcPr>
          <w:p>
            <w:pPr>
              <w:jc w:val="center"/>
              <w:rPr>
                <w:rFonts w:ascii="宋体" w:hAnsi="宋体"/>
                <w:b/>
                <w:sz w:val="24"/>
                <w:szCs w:val="24"/>
              </w:rPr>
            </w:pPr>
            <w:r>
              <w:rPr>
                <w:rFonts w:hint="eastAsia" w:ascii="宋体" w:hAnsi="宋体"/>
                <w:b/>
                <w:sz w:val="24"/>
                <w:szCs w:val="24"/>
              </w:rPr>
              <w:t>序号</w:t>
            </w:r>
          </w:p>
        </w:tc>
        <w:tc>
          <w:tcPr>
            <w:tcW w:w="1330" w:type="dxa"/>
            <w:noWrap w:val="0"/>
            <w:vAlign w:val="center"/>
          </w:tcPr>
          <w:p>
            <w:pPr>
              <w:jc w:val="center"/>
              <w:rPr>
                <w:rFonts w:ascii="宋体" w:hAnsi="宋体"/>
                <w:b/>
                <w:sz w:val="24"/>
                <w:szCs w:val="24"/>
              </w:rPr>
            </w:pPr>
            <w:r>
              <w:rPr>
                <w:rFonts w:hint="eastAsia" w:ascii="宋体" w:hAnsi="宋体"/>
                <w:b/>
                <w:sz w:val="24"/>
                <w:szCs w:val="24"/>
              </w:rPr>
              <w:t>采购人</w:t>
            </w:r>
            <w:r>
              <w:rPr>
                <w:rFonts w:hint="eastAsia" w:ascii="宋体" w:hAnsi="宋体"/>
                <w:b/>
                <w:sz w:val="24"/>
                <w:szCs w:val="24"/>
              </w:rPr>
              <w:br w:type="textWrapping"/>
            </w:r>
            <w:r>
              <w:rPr>
                <w:rFonts w:hint="eastAsia" w:ascii="宋体" w:hAnsi="宋体"/>
                <w:b/>
                <w:sz w:val="24"/>
                <w:szCs w:val="24"/>
              </w:rPr>
              <w:t>名称</w:t>
            </w:r>
          </w:p>
        </w:tc>
        <w:tc>
          <w:tcPr>
            <w:tcW w:w="1511" w:type="dxa"/>
            <w:noWrap w:val="0"/>
            <w:vAlign w:val="center"/>
          </w:tcPr>
          <w:p>
            <w:pPr>
              <w:tabs>
                <w:tab w:val="left" w:pos="6252"/>
              </w:tabs>
              <w:jc w:val="center"/>
              <w:rPr>
                <w:rFonts w:ascii="宋体" w:hAnsi="宋体"/>
                <w:b/>
                <w:sz w:val="24"/>
                <w:szCs w:val="24"/>
              </w:rPr>
            </w:pPr>
            <w:r>
              <w:rPr>
                <w:rFonts w:hint="eastAsia" w:ascii="宋体" w:hAnsi="宋体"/>
                <w:b/>
                <w:sz w:val="24"/>
                <w:szCs w:val="24"/>
              </w:rPr>
              <w:t>项目起止时间</w:t>
            </w:r>
          </w:p>
        </w:tc>
        <w:tc>
          <w:tcPr>
            <w:tcW w:w="1259" w:type="dxa"/>
            <w:noWrap w:val="0"/>
            <w:vAlign w:val="center"/>
          </w:tcPr>
          <w:p>
            <w:pPr>
              <w:tabs>
                <w:tab w:val="left" w:pos="6252"/>
              </w:tabs>
              <w:jc w:val="center"/>
              <w:rPr>
                <w:rFonts w:ascii="宋体" w:hAnsi="宋体"/>
                <w:b/>
                <w:sz w:val="24"/>
                <w:szCs w:val="24"/>
              </w:rPr>
            </w:pPr>
            <w:r>
              <w:rPr>
                <w:rFonts w:hint="eastAsia" w:ascii="宋体" w:hAnsi="宋体"/>
                <w:b/>
                <w:sz w:val="24"/>
                <w:szCs w:val="24"/>
              </w:rPr>
              <w:t>设备或项目名称</w:t>
            </w:r>
          </w:p>
        </w:tc>
        <w:tc>
          <w:tcPr>
            <w:tcW w:w="943" w:type="dxa"/>
            <w:noWrap w:val="0"/>
            <w:vAlign w:val="center"/>
          </w:tcPr>
          <w:p>
            <w:pPr>
              <w:tabs>
                <w:tab w:val="left" w:pos="6252"/>
              </w:tabs>
              <w:jc w:val="center"/>
              <w:rPr>
                <w:rFonts w:ascii="宋体" w:hAnsi="宋体"/>
                <w:b/>
                <w:sz w:val="24"/>
                <w:szCs w:val="24"/>
              </w:rPr>
            </w:pPr>
            <w:r>
              <w:rPr>
                <w:rFonts w:hint="eastAsia" w:ascii="宋体" w:hAnsi="宋体"/>
                <w:b/>
                <w:sz w:val="24"/>
                <w:szCs w:val="24"/>
              </w:rPr>
              <w:t>采购</w:t>
            </w:r>
          </w:p>
          <w:p>
            <w:pPr>
              <w:tabs>
                <w:tab w:val="left" w:pos="6252"/>
              </w:tabs>
              <w:jc w:val="center"/>
              <w:rPr>
                <w:rFonts w:ascii="宋体" w:hAnsi="宋体"/>
                <w:b/>
                <w:sz w:val="24"/>
                <w:szCs w:val="24"/>
              </w:rPr>
            </w:pPr>
            <w:r>
              <w:rPr>
                <w:rFonts w:hint="eastAsia" w:ascii="宋体" w:hAnsi="宋体"/>
                <w:b/>
                <w:sz w:val="24"/>
                <w:szCs w:val="24"/>
              </w:rPr>
              <w:t>数量</w:t>
            </w:r>
          </w:p>
        </w:tc>
        <w:tc>
          <w:tcPr>
            <w:tcW w:w="818" w:type="dxa"/>
            <w:noWrap w:val="0"/>
            <w:vAlign w:val="center"/>
          </w:tcPr>
          <w:p>
            <w:pPr>
              <w:tabs>
                <w:tab w:val="left" w:pos="6252"/>
              </w:tabs>
              <w:jc w:val="center"/>
              <w:rPr>
                <w:rFonts w:ascii="宋体" w:hAnsi="宋体"/>
                <w:b/>
                <w:sz w:val="24"/>
                <w:szCs w:val="24"/>
              </w:rPr>
            </w:pPr>
            <w:r>
              <w:rPr>
                <w:rFonts w:hint="eastAsia" w:ascii="宋体" w:hAnsi="宋体"/>
                <w:b/>
                <w:sz w:val="24"/>
                <w:szCs w:val="24"/>
              </w:rPr>
              <w:t>单价</w:t>
            </w:r>
          </w:p>
        </w:tc>
        <w:tc>
          <w:tcPr>
            <w:tcW w:w="1331" w:type="dxa"/>
            <w:noWrap w:val="0"/>
            <w:vAlign w:val="center"/>
          </w:tcPr>
          <w:p>
            <w:pPr>
              <w:tabs>
                <w:tab w:val="left" w:pos="6252"/>
              </w:tabs>
              <w:jc w:val="center"/>
              <w:rPr>
                <w:rFonts w:ascii="宋体" w:hAnsi="宋体"/>
                <w:b/>
                <w:sz w:val="24"/>
                <w:szCs w:val="24"/>
              </w:rPr>
            </w:pPr>
            <w:r>
              <w:rPr>
                <w:rFonts w:hint="eastAsia" w:ascii="宋体" w:hAnsi="宋体"/>
                <w:b/>
                <w:sz w:val="24"/>
                <w:szCs w:val="24"/>
              </w:rPr>
              <w:t>合同金额</w:t>
            </w:r>
          </w:p>
          <w:p>
            <w:pPr>
              <w:tabs>
                <w:tab w:val="left" w:pos="6252"/>
              </w:tabs>
              <w:jc w:val="center"/>
              <w:rPr>
                <w:rFonts w:ascii="宋体" w:hAnsi="宋体"/>
                <w:b/>
                <w:sz w:val="24"/>
                <w:szCs w:val="24"/>
              </w:rPr>
            </w:pPr>
            <w:r>
              <w:rPr>
                <w:rFonts w:hint="eastAsia" w:ascii="宋体" w:hAnsi="宋体"/>
                <w:b/>
                <w:sz w:val="24"/>
                <w:szCs w:val="24"/>
              </w:rPr>
              <w:t>（万元）</w:t>
            </w:r>
          </w:p>
        </w:tc>
        <w:tc>
          <w:tcPr>
            <w:tcW w:w="1850" w:type="dxa"/>
            <w:noWrap w:val="0"/>
            <w:vAlign w:val="center"/>
          </w:tcPr>
          <w:p>
            <w:pPr>
              <w:tabs>
                <w:tab w:val="left" w:pos="6252"/>
              </w:tabs>
              <w:jc w:val="center"/>
              <w:rPr>
                <w:rFonts w:ascii="宋体" w:hAnsi="宋体"/>
                <w:b/>
                <w:sz w:val="24"/>
                <w:szCs w:val="24"/>
              </w:rPr>
            </w:pPr>
            <w:r>
              <w:rPr>
                <w:rFonts w:hint="eastAsia" w:ascii="宋体" w:hAnsi="宋体"/>
                <w:b/>
                <w:sz w:val="24"/>
                <w:szCs w:val="24"/>
              </w:rPr>
              <w:t>采购人联系人及联系电话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8" w:hRule="atLeast"/>
          <w:jc w:val="center"/>
        </w:trPr>
        <w:tc>
          <w:tcPr>
            <w:tcW w:w="641" w:type="dxa"/>
            <w:noWrap w:val="0"/>
            <w:vAlign w:val="center"/>
          </w:tcPr>
          <w:p>
            <w:pPr>
              <w:jc w:val="center"/>
              <w:rPr>
                <w:rFonts w:ascii="宋体" w:hAnsi="宋体"/>
                <w:sz w:val="24"/>
                <w:szCs w:val="24"/>
              </w:rPr>
            </w:pPr>
            <w:r>
              <w:rPr>
                <w:rFonts w:hint="eastAsia" w:ascii="宋体" w:hAnsi="宋体"/>
                <w:sz w:val="24"/>
                <w:szCs w:val="24"/>
              </w:rPr>
              <w:t>1</w:t>
            </w:r>
          </w:p>
        </w:tc>
        <w:tc>
          <w:tcPr>
            <w:tcW w:w="1330" w:type="dxa"/>
            <w:noWrap w:val="0"/>
            <w:vAlign w:val="center"/>
          </w:tcPr>
          <w:p>
            <w:pPr>
              <w:jc w:val="center"/>
              <w:rPr>
                <w:rFonts w:ascii="宋体" w:hAnsi="宋体"/>
                <w:sz w:val="24"/>
                <w:szCs w:val="24"/>
              </w:rPr>
            </w:pPr>
          </w:p>
        </w:tc>
        <w:tc>
          <w:tcPr>
            <w:tcW w:w="1511" w:type="dxa"/>
            <w:noWrap w:val="0"/>
            <w:vAlign w:val="top"/>
          </w:tcPr>
          <w:p>
            <w:pPr>
              <w:jc w:val="center"/>
              <w:rPr>
                <w:rFonts w:ascii="宋体" w:hAnsi="宋体"/>
                <w:sz w:val="24"/>
                <w:szCs w:val="24"/>
              </w:rPr>
            </w:pPr>
          </w:p>
        </w:tc>
        <w:tc>
          <w:tcPr>
            <w:tcW w:w="1259" w:type="dxa"/>
            <w:noWrap w:val="0"/>
            <w:vAlign w:val="top"/>
          </w:tcPr>
          <w:p>
            <w:pPr>
              <w:jc w:val="center"/>
              <w:rPr>
                <w:rFonts w:ascii="宋体" w:hAnsi="宋体"/>
                <w:sz w:val="24"/>
                <w:szCs w:val="24"/>
              </w:rPr>
            </w:pPr>
          </w:p>
        </w:tc>
        <w:tc>
          <w:tcPr>
            <w:tcW w:w="943" w:type="dxa"/>
            <w:noWrap w:val="0"/>
            <w:vAlign w:val="top"/>
          </w:tcPr>
          <w:p>
            <w:pPr>
              <w:jc w:val="center"/>
              <w:rPr>
                <w:rFonts w:ascii="宋体" w:hAnsi="宋体"/>
                <w:sz w:val="24"/>
                <w:szCs w:val="24"/>
              </w:rPr>
            </w:pPr>
          </w:p>
        </w:tc>
        <w:tc>
          <w:tcPr>
            <w:tcW w:w="818" w:type="dxa"/>
            <w:noWrap w:val="0"/>
            <w:vAlign w:val="top"/>
          </w:tcPr>
          <w:p>
            <w:pPr>
              <w:jc w:val="center"/>
              <w:rPr>
                <w:rFonts w:ascii="宋体" w:hAnsi="宋体"/>
                <w:sz w:val="24"/>
                <w:szCs w:val="24"/>
              </w:rPr>
            </w:pPr>
          </w:p>
        </w:tc>
        <w:tc>
          <w:tcPr>
            <w:tcW w:w="1331" w:type="dxa"/>
            <w:noWrap w:val="0"/>
            <w:vAlign w:val="center"/>
          </w:tcPr>
          <w:p>
            <w:pPr>
              <w:jc w:val="center"/>
              <w:rPr>
                <w:rFonts w:ascii="宋体" w:hAnsi="宋体"/>
                <w:sz w:val="24"/>
                <w:szCs w:val="24"/>
              </w:rPr>
            </w:pPr>
          </w:p>
        </w:tc>
        <w:tc>
          <w:tcPr>
            <w:tcW w:w="1850" w:type="dxa"/>
            <w:noWrap w:val="0"/>
            <w:vAlign w:val="center"/>
          </w:tcPr>
          <w:p>
            <w:pPr>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48" w:hRule="atLeast"/>
          <w:jc w:val="center"/>
        </w:trPr>
        <w:tc>
          <w:tcPr>
            <w:tcW w:w="641" w:type="dxa"/>
            <w:noWrap w:val="0"/>
            <w:vAlign w:val="center"/>
          </w:tcPr>
          <w:p>
            <w:pPr>
              <w:jc w:val="center"/>
              <w:rPr>
                <w:rFonts w:ascii="宋体" w:hAnsi="宋体"/>
                <w:sz w:val="24"/>
                <w:szCs w:val="24"/>
              </w:rPr>
            </w:pPr>
            <w:r>
              <w:rPr>
                <w:rFonts w:hint="eastAsia" w:ascii="宋体" w:hAnsi="宋体"/>
                <w:sz w:val="24"/>
                <w:szCs w:val="24"/>
              </w:rPr>
              <w:t>2</w:t>
            </w:r>
          </w:p>
        </w:tc>
        <w:tc>
          <w:tcPr>
            <w:tcW w:w="1330" w:type="dxa"/>
            <w:noWrap w:val="0"/>
            <w:vAlign w:val="center"/>
          </w:tcPr>
          <w:p>
            <w:pPr>
              <w:jc w:val="center"/>
              <w:rPr>
                <w:rFonts w:ascii="宋体" w:hAnsi="宋体"/>
                <w:sz w:val="24"/>
                <w:szCs w:val="24"/>
              </w:rPr>
            </w:pPr>
          </w:p>
        </w:tc>
        <w:tc>
          <w:tcPr>
            <w:tcW w:w="1511" w:type="dxa"/>
            <w:noWrap w:val="0"/>
            <w:vAlign w:val="top"/>
          </w:tcPr>
          <w:p>
            <w:pPr>
              <w:jc w:val="center"/>
              <w:rPr>
                <w:rFonts w:ascii="宋体" w:hAnsi="宋体"/>
                <w:sz w:val="24"/>
                <w:szCs w:val="24"/>
              </w:rPr>
            </w:pPr>
          </w:p>
        </w:tc>
        <w:tc>
          <w:tcPr>
            <w:tcW w:w="1259" w:type="dxa"/>
            <w:noWrap w:val="0"/>
            <w:vAlign w:val="top"/>
          </w:tcPr>
          <w:p>
            <w:pPr>
              <w:jc w:val="center"/>
              <w:rPr>
                <w:rFonts w:ascii="宋体" w:hAnsi="宋体"/>
                <w:sz w:val="24"/>
                <w:szCs w:val="24"/>
              </w:rPr>
            </w:pPr>
          </w:p>
        </w:tc>
        <w:tc>
          <w:tcPr>
            <w:tcW w:w="943" w:type="dxa"/>
            <w:noWrap w:val="0"/>
            <w:vAlign w:val="top"/>
          </w:tcPr>
          <w:p>
            <w:pPr>
              <w:jc w:val="center"/>
              <w:rPr>
                <w:rFonts w:ascii="宋体" w:hAnsi="宋体"/>
                <w:sz w:val="24"/>
                <w:szCs w:val="24"/>
              </w:rPr>
            </w:pPr>
          </w:p>
        </w:tc>
        <w:tc>
          <w:tcPr>
            <w:tcW w:w="818" w:type="dxa"/>
            <w:noWrap w:val="0"/>
            <w:vAlign w:val="top"/>
          </w:tcPr>
          <w:p>
            <w:pPr>
              <w:jc w:val="center"/>
              <w:rPr>
                <w:rFonts w:ascii="宋体" w:hAnsi="宋体"/>
                <w:sz w:val="24"/>
                <w:szCs w:val="24"/>
              </w:rPr>
            </w:pPr>
          </w:p>
        </w:tc>
        <w:tc>
          <w:tcPr>
            <w:tcW w:w="1331" w:type="dxa"/>
            <w:noWrap w:val="0"/>
            <w:vAlign w:val="center"/>
          </w:tcPr>
          <w:p>
            <w:pPr>
              <w:jc w:val="center"/>
              <w:rPr>
                <w:rFonts w:ascii="宋体" w:hAnsi="宋体"/>
                <w:sz w:val="24"/>
                <w:szCs w:val="24"/>
              </w:rPr>
            </w:pPr>
          </w:p>
        </w:tc>
        <w:tc>
          <w:tcPr>
            <w:tcW w:w="1850" w:type="dxa"/>
            <w:noWrap w:val="0"/>
            <w:vAlign w:val="center"/>
          </w:tcPr>
          <w:p>
            <w:pPr>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8" w:hRule="atLeast"/>
          <w:jc w:val="center"/>
        </w:trPr>
        <w:tc>
          <w:tcPr>
            <w:tcW w:w="641" w:type="dxa"/>
            <w:noWrap w:val="0"/>
            <w:vAlign w:val="center"/>
          </w:tcPr>
          <w:p>
            <w:pPr>
              <w:jc w:val="center"/>
              <w:rPr>
                <w:rFonts w:ascii="宋体" w:hAnsi="宋体"/>
                <w:sz w:val="24"/>
                <w:szCs w:val="24"/>
              </w:rPr>
            </w:pPr>
            <w:r>
              <w:rPr>
                <w:rFonts w:hint="eastAsia" w:ascii="宋体" w:hAnsi="宋体"/>
                <w:sz w:val="24"/>
                <w:szCs w:val="24"/>
              </w:rPr>
              <w:t>3</w:t>
            </w:r>
          </w:p>
        </w:tc>
        <w:tc>
          <w:tcPr>
            <w:tcW w:w="1330" w:type="dxa"/>
            <w:noWrap w:val="0"/>
            <w:vAlign w:val="center"/>
          </w:tcPr>
          <w:p>
            <w:pPr>
              <w:jc w:val="center"/>
              <w:rPr>
                <w:rFonts w:ascii="宋体" w:hAnsi="宋体"/>
                <w:sz w:val="24"/>
                <w:szCs w:val="24"/>
              </w:rPr>
            </w:pPr>
          </w:p>
        </w:tc>
        <w:tc>
          <w:tcPr>
            <w:tcW w:w="1511" w:type="dxa"/>
            <w:noWrap w:val="0"/>
            <w:vAlign w:val="top"/>
          </w:tcPr>
          <w:p>
            <w:pPr>
              <w:jc w:val="center"/>
              <w:rPr>
                <w:rFonts w:ascii="宋体" w:hAnsi="宋体"/>
                <w:sz w:val="24"/>
                <w:szCs w:val="24"/>
              </w:rPr>
            </w:pPr>
          </w:p>
        </w:tc>
        <w:tc>
          <w:tcPr>
            <w:tcW w:w="1259" w:type="dxa"/>
            <w:noWrap w:val="0"/>
            <w:vAlign w:val="top"/>
          </w:tcPr>
          <w:p>
            <w:pPr>
              <w:jc w:val="center"/>
              <w:rPr>
                <w:rFonts w:ascii="宋体" w:hAnsi="宋体"/>
                <w:sz w:val="24"/>
                <w:szCs w:val="24"/>
              </w:rPr>
            </w:pPr>
          </w:p>
        </w:tc>
        <w:tc>
          <w:tcPr>
            <w:tcW w:w="943" w:type="dxa"/>
            <w:noWrap w:val="0"/>
            <w:vAlign w:val="top"/>
          </w:tcPr>
          <w:p>
            <w:pPr>
              <w:jc w:val="center"/>
              <w:rPr>
                <w:rFonts w:ascii="宋体" w:hAnsi="宋体"/>
                <w:sz w:val="24"/>
                <w:szCs w:val="24"/>
              </w:rPr>
            </w:pPr>
          </w:p>
        </w:tc>
        <w:tc>
          <w:tcPr>
            <w:tcW w:w="818" w:type="dxa"/>
            <w:noWrap w:val="0"/>
            <w:vAlign w:val="top"/>
          </w:tcPr>
          <w:p>
            <w:pPr>
              <w:jc w:val="center"/>
              <w:rPr>
                <w:rFonts w:ascii="宋体" w:hAnsi="宋体"/>
                <w:sz w:val="24"/>
                <w:szCs w:val="24"/>
              </w:rPr>
            </w:pPr>
          </w:p>
        </w:tc>
        <w:tc>
          <w:tcPr>
            <w:tcW w:w="1331" w:type="dxa"/>
            <w:noWrap w:val="0"/>
            <w:vAlign w:val="center"/>
          </w:tcPr>
          <w:p>
            <w:pPr>
              <w:jc w:val="center"/>
              <w:rPr>
                <w:rFonts w:ascii="宋体" w:hAnsi="宋体"/>
                <w:sz w:val="24"/>
                <w:szCs w:val="24"/>
              </w:rPr>
            </w:pPr>
          </w:p>
        </w:tc>
        <w:tc>
          <w:tcPr>
            <w:tcW w:w="1850" w:type="dxa"/>
            <w:noWrap w:val="0"/>
            <w:vAlign w:val="center"/>
          </w:tcPr>
          <w:p>
            <w:pPr>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4" w:hRule="atLeast"/>
          <w:jc w:val="center"/>
        </w:trPr>
        <w:tc>
          <w:tcPr>
            <w:tcW w:w="641" w:type="dxa"/>
            <w:noWrap w:val="0"/>
            <w:vAlign w:val="center"/>
          </w:tcPr>
          <w:p>
            <w:pPr>
              <w:jc w:val="center"/>
              <w:rPr>
                <w:rFonts w:ascii="宋体" w:hAnsi="宋体"/>
                <w:sz w:val="24"/>
                <w:szCs w:val="24"/>
              </w:rPr>
            </w:pPr>
            <w:r>
              <w:rPr>
                <w:rFonts w:hint="eastAsia" w:ascii="宋体" w:hAnsi="宋体"/>
                <w:sz w:val="24"/>
                <w:szCs w:val="24"/>
              </w:rPr>
              <w:t>……</w:t>
            </w:r>
          </w:p>
        </w:tc>
        <w:tc>
          <w:tcPr>
            <w:tcW w:w="1330" w:type="dxa"/>
            <w:noWrap w:val="0"/>
            <w:vAlign w:val="center"/>
          </w:tcPr>
          <w:p>
            <w:pPr>
              <w:jc w:val="center"/>
              <w:rPr>
                <w:rFonts w:ascii="宋体" w:hAnsi="宋体"/>
                <w:sz w:val="24"/>
                <w:szCs w:val="24"/>
              </w:rPr>
            </w:pPr>
          </w:p>
        </w:tc>
        <w:tc>
          <w:tcPr>
            <w:tcW w:w="1511" w:type="dxa"/>
            <w:noWrap w:val="0"/>
            <w:vAlign w:val="top"/>
          </w:tcPr>
          <w:p>
            <w:pPr>
              <w:jc w:val="center"/>
              <w:rPr>
                <w:rFonts w:ascii="宋体" w:hAnsi="宋体"/>
                <w:sz w:val="24"/>
                <w:szCs w:val="24"/>
              </w:rPr>
            </w:pPr>
          </w:p>
        </w:tc>
        <w:tc>
          <w:tcPr>
            <w:tcW w:w="1259" w:type="dxa"/>
            <w:noWrap w:val="0"/>
            <w:vAlign w:val="top"/>
          </w:tcPr>
          <w:p>
            <w:pPr>
              <w:jc w:val="center"/>
              <w:rPr>
                <w:rFonts w:ascii="宋体" w:hAnsi="宋体"/>
                <w:sz w:val="24"/>
                <w:szCs w:val="24"/>
              </w:rPr>
            </w:pPr>
          </w:p>
        </w:tc>
        <w:tc>
          <w:tcPr>
            <w:tcW w:w="943" w:type="dxa"/>
            <w:noWrap w:val="0"/>
            <w:vAlign w:val="top"/>
          </w:tcPr>
          <w:p>
            <w:pPr>
              <w:jc w:val="center"/>
              <w:rPr>
                <w:rFonts w:ascii="宋体" w:hAnsi="宋体"/>
                <w:sz w:val="24"/>
                <w:szCs w:val="24"/>
              </w:rPr>
            </w:pPr>
          </w:p>
        </w:tc>
        <w:tc>
          <w:tcPr>
            <w:tcW w:w="818" w:type="dxa"/>
            <w:noWrap w:val="0"/>
            <w:vAlign w:val="top"/>
          </w:tcPr>
          <w:p>
            <w:pPr>
              <w:jc w:val="center"/>
              <w:rPr>
                <w:rFonts w:ascii="宋体" w:hAnsi="宋体"/>
                <w:sz w:val="24"/>
                <w:szCs w:val="24"/>
              </w:rPr>
            </w:pPr>
          </w:p>
        </w:tc>
        <w:tc>
          <w:tcPr>
            <w:tcW w:w="1331" w:type="dxa"/>
            <w:noWrap w:val="0"/>
            <w:vAlign w:val="center"/>
          </w:tcPr>
          <w:p>
            <w:pPr>
              <w:jc w:val="center"/>
              <w:rPr>
                <w:rFonts w:ascii="宋体" w:hAnsi="宋体"/>
                <w:sz w:val="24"/>
                <w:szCs w:val="24"/>
              </w:rPr>
            </w:pPr>
          </w:p>
        </w:tc>
        <w:tc>
          <w:tcPr>
            <w:tcW w:w="1850" w:type="dxa"/>
            <w:noWrap w:val="0"/>
            <w:vAlign w:val="center"/>
          </w:tcPr>
          <w:p>
            <w:pPr>
              <w:jc w:val="center"/>
              <w:rPr>
                <w:rFonts w:ascii="宋体" w:hAnsi="宋体"/>
                <w:sz w:val="24"/>
                <w:szCs w:val="24"/>
              </w:rPr>
            </w:pPr>
          </w:p>
        </w:tc>
      </w:tr>
    </w:tbl>
    <w:p>
      <w:pPr>
        <w:snapToGrid w:val="0"/>
        <w:ind w:firstLine="200"/>
        <w:rPr>
          <w:rFonts w:ascii="宋体" w:hAnsi="宋体"/>
          <w:b/>
          <w:sz w:val="24"/>
          <w:szCs w:val="24"/>
        </w:rPr>
      </w:pPr>
      <w:r>
        <w:rPr>
          <w:rFonts w:hint="eastAsia" w:ascii="宋体" w:hAnsi="宋体"/>
          <w:b/>
          <w:sz w:val="24"/>
          <w:szCs w:val="24"/>
        </w:rPr>
        <w:t>注：1.此表不提供，视为无业绩。</w:t>
      </w:r>
    </w:p>
    <w:p>
      <w:pPr>
        <w:snapToGrid w:val="0"/>
        <w:ind w:firstLine="704" w:firstLineChars="292"/>
        <w:rPr>
          <w:rFonts w:ascii="宋体" w:hAnsi="宋体"/>
          <w:b/>
          <w:sz w:val="24"/>
          <w:szCs w:val="24"/>
        </w:rPr>
      </w:pPr>
      <w:r>
        <w:rPr>
          <w:rFonts w:hint="eastAsia" w:ascii="宋体" w:hAnsi="宋体"/>
          <w:b/>
          <w:sz w:val="24"/>
          <w:szCs w:val="24"/>
        </w:rPr>
        <w:t>2.此表仅提供了格式，表格不够可自行增加。</w:t>
      </w:r>
    </w:p>
    <w:p>
      <w:pPr>
        <w:snapToGrid w:val="0"/>
        <w:ind w:firstLine="704" w:firstLineChars="292"/>
        <w:rPr>
          <w:rFonts w:ascii="宋体" w:hAnsi="宋体"/>
          <w:b/>
          <w:sz w:val="24"/>
          <w:szCs w:val="24"/>
        </w:rPr>
      </w:pPr>
      <w:r>
        <w:rPr>
          <w:rFonts w:hint="eastAsia" w:ascii="宋体" w:hAnsi="宋体"/>
          <w:b/>
          <w:sz w:val="24"/>
          <w:szCs w:val="24"/>
        </w:rPr>
        <w:t>3.后附所需的证明材料要求详见评标办法。</w:t>
      </w:r>
    </w:p>
    <w:p>
      <w:pPr>
        <w:snapToGrid w:val="0"/>
        <w:ind w:firstLine="701" w:firstLineChars="291"/>
        <w:rPr>
          <w:rFonts w:ascii="宋体" w:hAnsi="宋体"/>
          <w:b/>
          <w:sz w:val="24"/>
          <w:szCs w:val="24"/>
        </w:rPr>
      </w:pPr>
      <w:r>
        <w:rPr>
          <w:rFonts w:hint="eastAsia" w:ascii="宋体" w:hAnsi="宋体"/>
          <w:b/>
          <w:sz w:val="24"/>
          <w:szCs w:val="24"/>
        </w:rPr>
        <w:t>4.如本表格不适合供应商的实际情况，可自行制表填写。</w:t>
      </w:r>
    </w:p>
    <w:p>
      <w:pPr>
        <w:snapToGrid w:val="0"/>
        <w:ind w:firstLine="200"/>
        <w:rPr>
          <w:rFonts w:ascii="宋体" w:hAnsi="宋体"/>
          <w:sz w:val="24"/>
          <w:szCs w:val="24"/>
          <w:u w:val="single"/>
        </w:rPr>
      </w:pPr>
      <w:r>
        <w:rPr>
          <w:rFonts w:hint="eastAsia" w:ascii="宋体" w:hAnsi="宋体"/>
          <w:sz w:val="24"/>
          <w:szCs w:val="24"/>
        </w:rPr>
        <w:t>被授权人签字（或盖章）：</w:t>
      </w:r>
    </w:p>
    <w:p>
      <w:pPr>
        <w:snapToGrid w:val="0"/>
        <w:ind w:firstLine="240" w:firstLineChars="100"/>
        <w:rPr>
          <w:rFonts w:ascii="宋体" w:hAnsi="宋体"/>
          <w:sz w:val="24"/>
          <w:szCs w:val="24"/>
        </w:rPr>
      </w:pPr>
      <w:r>
        <w:rPr>
          <w:rFonts w:hint="eastAsia" w:ascii="宋体" w:hAnsi="宋体"/>
          <w:sz w:val="24"/>
          <w:szCs w:val="24"/>
        </w:rPr>
        <w:t>投标人公章：</w:t>
      </w:r>
    </w:p>
    <w:p>
      <w:pPr>
        <w:pStyle w:val="731"/>
        <w:jc w:val="right"/>
        <w:rPr>
          <w:rFonts w:hint="eastAsia" w:ascii="宋体" w:hAnsi="宋体"/>
          <w:sz w:val="24"/>
        </w:rPr>
      </w:pPr>
      <w:r>
        <w:rPr>
          <w:rFonts w:hint="eastAsia" w:ascii="宋体" w:hAnsi="宋体"/>
          <w:sz w:val="24"/>
        </w:rPr>
        <w:t xml:space="preserve">年 </w:t>
      </w:r>
      <w:r>
        <w:rPr>
          <w:rFonts w:ascii="宋体" w:hAnsi="宋体"/>
          <w:sz w:val="24"/>
        </w:rPr>
        <w:t xml:space="preserve">   </w:t>
      </w:r>
      <w:r>
        <w:rPr>
          <w:rFonts w:hint="eastAsia" w:ascii="宋体" w:hAnsi="宋体"/>
          <w:sz w:val="24"/>
        </w:rPr>
        <w:t xml:space="preserve">月 </w:t>
      </w:r>
      <w:r>
        <w:rPr>
          <w:rFonts w:ascii="宋体" w:hAnsi="宋体"/>
          <w:sz w:val="24"/>
        </w:rPr>
        <w:t xml:space="preserve">  </w:t>
      </w:r>
      <w:r>
        <w:rPr>
          <w:rFonts w:hint="eastAsia" w:ascii="宋体" w:hAnsi="宋体"/>
          <w:sz w:val="24"/>
        </w:rPr>
        <w:t>日</w:t>
      </w:r>
    </w:p>
    <w:p>
      <w:pPr>
        <w:snapToGrid w:val="0"/>
        <w:jc w:val="left"/>
        <w:rPr>
          <w:rFonts w:ascii="宋体" w:hAnsi="宋体"/>
          <w:b/>
          <w:sz w:val="24"/>
        </w:rPr>
      </w:pPr>
      <w:r>
        <w:rPr>
          <w:rFonts w:ascii="宋体" w:hAnsi="宋体"/>
          <w:sz w:val="24"/>
          <w:szCs w:val="24"/>
        </w:rPr>
        <w:br w:type="page"/>
      </w:r>
      <w:r>
        <w:rPr>
          <w:rFonts w:ascii="宋体" w:hAnsi="宋体"/>
          <w:b/>
          <w:sz w:val="24"/>
        </w:rPr>
        <w:t>6</w:t>
      </w:r>
      <w:r>
        <w:rPr>
          <w:rFonts w:hint="eastAsia" w:ascii="宋体" w:hAnsi="宋体"/>
          <w:b/>
          <w:sz w:val="24"/>
        </w:rPr>
        <w:t>、供应商情况介绍</w:t>
      </w:r>
    </w:p>
    <w:p>
      <w:pPr>
        <w:ind w:right="6"/>
        <w:jc w:val="center"/>
        <w:rPr>
          <w:rFonts w:ascii="宋体" w:hAnsi="宋体"/>
          <w:b/>
          <w:sz w:val="32"/>
          <w:szCs w:val="32"/>
        </w:rPr>
      </w:pPr>
      <w:r>
        <w:rPr>
          <w:rFonts w:hint="eastAsia" w:ascii="宋体" w:hAnsi="宋体"/>
          <w:b/>
          <w:sz w:val="32"/>
          <w:szCs w:val="32"/>
        </w:rPr>
        <w:t>供应商基本情况表</w:t>
      </w:r>
    </w:p>
    <w:tbl>
      <w:tblPr>
        <w:tblStyle w:val="53"/>
        <w:tblW w:w="0" w:type="auto"/>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1800"/>
        <w:gridCol w:w="2119"/>
        <w:gridCol w:w="1920"/>
        <w:gridCol w:w="2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99" w:hRule="atLeast"/>
        </w:trPr>
        <w:tc>
          <w:tcPr>
            <w:tcW w:w="645" w:type="dxa"/>
            <w:vMerge w:val="restart"/>
            <w:noWrap w:val="0"/>
            <w:vAlign w:val="center"/>
          </w:tcPr>
          <w:p>
            <w:pPr>
              <w:spacing w:line="240" w:lineRule="auto"/>
              <w:jc w:val="center"/>
              <w:rPr>
                <w:rFonts w:ascii="宋体" w:hAnsi="宋体"/>
                <w:sz w:val="24"/>
                <w:szCs w:val="24"/>
              </w:rPr>
            </w:pPr>
            <w:r>
              <w:rPr>
                <w:rFonts w:hint="eastAsia" w:ascii="宋体" w:hAnsi="宋体"/>
                <w:sz w:val="24"/>
                <w:szCs w:val="24"/>
              </w:rPr>
              <w:t>投</w:t>
            </w:r>
          </w:p>
          <w:p>
            <w:pPr>
              <w:spacing w:line="240" w:lineRule="auto"/>
              <w:jc w:val="center"/>
              <w:rPr>
                <w:rFonts w:ascii="宋体" w:hAnsi="宋体"/>
                <w:sz w:val="24"/>
                <w:szCs w:val="24"/>
              </w:rPr>
            </w:pPr>
          </w:p>
          <w:p>
            <w:pPr>
              <w:spacing w:line="240" w:lineRule="auto"/>
              <w:jc w:val="center"/>
              <w:rPr>
                <w:rFonts w:ascii="宋体" w:hAnsi="宋体"/>
                <w:sz w:val="24"/>
                <w:szCs w:val="24"/>
              </w:rPr>
            </w:pPr>
            <w:r>
              <w:rPr>
                <w:rFonts w:hint="eastAsia" w:ascii="宋体" w:hAnsi="宋体"/>
                <w:sz w:val="24"/>
                <w:szCs w:val="24"/>
              </w:rPr>
              <w:t>标</w:t>
            </w:r>
          </w:p>
          <w:p>
            <w:pPr>
              <w:spacing w:line="240" w:lineRule="auto"/>
              <w:jc w:val="center"/>
              <w:rPr>
                <w:rFonts w:ascii="宋体" w:hAnsi="宋体"/>
                <w:sz w:val="24"/>
                <w:szCs w:val="24"/>
              </w:rPr>
            </w:pPr>
          </w:p>
          <w:p>
            <w:pPr>
              <w:spacing w:line="240" w:lineRule="auto"/>
              <w:jc w:val="center"/>
              <w:rPr>
                <w:rFonts w:ascii="宋体" w:hAnsi="宋体"/>
                <w:sz w:val="24"/>
                <w:szCs w:val="24"/>
              </w:rPr>
            </w:pPr>
            <w:r>
              <w:rPr>
                <w:rFonts w:hint="eastAsia" w:ascii="宋体" w:hAnsi="宋体"/>
                <w:sz w:val="24"/>
                <w:szCs w:val="24"/>
              </w:rPr>
              <w:t>人</w:t>
            </w:r>
          </w:p>
          <w:p>
            <w:pPr>
              <w:spacing w:line="240" w:lineRule="auto"/>
              <w:jc w:val="center"/>
              <w:rPr>
                <w:rFonts w:ascii="宋体" w:hAnsi="宋体"/>
                <w:sz w:val="24"/>
                <w:szCs w:val="24"/>
              </w:rPr>
            </w:pPr>
          </w:p>
          <w:p>
            <w:pPr>
              <w:spacing w:line="240" w:lineRule="auto"/>
              <w:jc w:val="center"/>
              <w:rPr>
                <w:rFonts w:ascii="宋体" w:hAnsi="宋体"/>
                <w:sz w:val="24"/>
                <w:szCs w:val="24"/>
              </w:rPr>
            </w:pPr>
            <w:r>
              <w:rPr>
                <w:rFonts w:hint="eastAsia" w:ascii="宋体" w:hAnsi="宋体"/>
                <w:sz w:val="24"/>
                <w:szCs w:val="24"/>
              </w:rPr>
              <w:t>概</w:t>
            </w:r>
          </w:p>
          <w:p>
            <w:pPr>
              <w:spacing w:line="240" w:lineRule="auto"/>
              <w:jc w:val="center"/>
              <w:rPr>
                <w:rFonts w:ascii="宋体" w:hAnsi="宋体"/>
                <w:sz w:val="24"/>
                <w:szCs w:val="24"/>
              </w:rPr>
            </w:pPr>
          </w:p>
          <w:p>
            <w:pPr>
              <w:spacing w:line="240" w:lineRule="auto"/>
              <w:jc w:val="center"/>
              <w:rPr>
                <w:rFonts w:ascii="宋体" w:hAnsi="宋体"/>
                <w:sz w:val="24"/>
                <w:szCs w:val="24"/>
              </w:rPr>
            </w:pPr>
            <w:r>
              <w:rPr>
                <w:rFonts w:hint="eastAsia" w:ascii="宋体" w:hAnsi="宋体"/>
                <w:sz w:val="24"/>
                <w:szCs w:val="24"/>
              </w:rPr>
              <w:t>况</w:t>
            </w: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公司名称</w:t>
            </w:r>
          </w:p>
        </w:tc>
        <w:tc>
          <w:tcPr>
            <w:tcW w:w="6795" w:type="dxa"/>
            <w:gridSpan w:val="3"/>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65"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地址</w:t>
            </w:r>
          </w:p>
        </w:tc>
        <w:tc>
          <w:tcPr>
            <w:tcW w:w="6795" w:type="dxa"/>
            <w:gridSpan w:val="3"/>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57"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经营范围</w:t>
            </w:r>
          </w:p>
        </w:tc>
        <w:tc>
          <w:tcPr>
            <w:tcW w:w="6795" w:type="dxa"/>
            <w:gridSpan w:val="3"/>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51"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成立时间</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经济性质</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60"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法定代表人</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联系电话</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53"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注册资金</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技术人员数</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553"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资产总额</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净资产</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617"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工商登记号</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税务登记号</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624"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是否依法纳税</w:t>
            </w:r>
          </w:p>
        </w:tc>
        <w:tc>
          <w:tcPr>
            <w:tcW w:w="2119" w:type="dxa"/>
            <w:noWrap w:val="0"/>
            <w:vAlign w:val="center"/>
          </w:tcPr>
          <w:p>
            <w:pPr>
              <w:spacing w:line="240" w:lineRule="auto"/>
              <w:jc w:val="center"/>
              <w:rPr>
                <w:rFonts w:ascii="宋体" w:hAnsi="宋体"/>
                <w:sz w:val="24"/>
                <w:szCs w:val="24"/>
              </w:rPr>
            </w:pPr>
          </w:p>
        </w:tc>
        <w:tc>
          <w:tcPr>
            <w:tcW w:w="1920" w:type="dxa"/>
            <w:noWrap w:val="0"/>
            <w:vAlign w:val="center"/>
          </w:tcPr>
          <w:p>
            <w:pPr>
              <w:spacing w:line="240" w:lineRule="auto"/>
              <w:jc w:val="center"/>
              <w:rPr>
                <w:rFonts w:ascii="宋体" w:hAnsi="宋体"/>
                <w:sz w:val="24"/>
                <w:szCs w:val="24"/>
              </w:rPr>
            </w:pPr>
            <w:r>
              <w:rPr>
                <w:rFonts w:hint="eastAsia" w:ascii="宋体" w:hAnsi="宋体"/>
                <w:sz w:val="24"/>
                <w:szCs w:val="24"/>
              </w:rPr>
              <w:t>是否参加社保</w:t>
            </w:r>
          </w:p>
        </w:tc>
        <w:tc>
          <w:tcPr>
            <w:tcW w:w="2756" w:type="dxa"/>
            <w:noWrap w:val="0"/>
            <w:vAlign w:val="center"/>
          </w:tcPr>
          <w:p>
            <w:pPr>
              <w:spacing w:line="240" w:lineRule="auto"/>
              <w:jc w:val="cente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1071" w:hRule="atLeast"/>
        </w:trPr>
        <w:tc>
          <w:tcPr>
            <w:tcW w:w="645" w:type="dxa"/>
            <w:vMerge w:val="continue"/>
            <w:noWrap w:val="0"/>
            <w:vAlign w:val="center"/>
          </w:tcPr>
          <w:p>
            <w:pPr>
              <w:spacing w:line="240" w:lineRule="auto"/>
              <w:jc w:val="center"/>
              <w:rPr>
                <w:rFonts w:ascii="宋体" w:hAnsi="宋体"/>
                <w:sz w:val="24"/>
                <w:szCs w:val="24"/>
              </w:rPr>
            </w:pPr>
          </w:p>
        </w:tc>
        <w:tc>
          <w:tcPr>
            <w:tcW w:w="1800" w:type="dxa"/>
            <w:noWrap w:val="0"/>
            <w:vAlign w:val="center"/>
          </w:tcPr>
          <w:p>
            <w:pPr>
              <w:spacing w:line="240" w:lineRule="auto"/>
              <w:jc w:val="center"/>
              <w:rPr>
                <w:rFonts w:ascii="宋体" w:hAnsi="宋体"/>
                <w:sz w:val="24"/>
                <w:szCs w:val="24"/>
              </w:rPr>
            </w:pPr>
            <w:r>
              <w:rPr>
                <w:rFonts w:hint="eastAsia" w:ascii="宋体" w:hAnsi="宋体"/>
                <w:sz w:val="24"/>
                <w:szCs w:val="24"/>
              </w:rPr>
              <w:t>近三年公司</w:t>
            </w:r>
          </w:p>
          <w:p>
            <w:pPr>
              <w:spacing w:line="240" w:lineRule="auto"/>
              <w:jc w:val="center"/>
              <w:rPr>
                <w:rFonts w:ascii="宋体" w:hAnsi="宋体"/>
                <w:sz w:val="24"/>
                <w:szCs w:val="24"/>
              </w:rPr>
            </w:pPr>
            <w:r>
              <w:rPr>
                <w:rFonts w:hint="eastAsia" w:ascii="宋体" w:hAnsi="宋体"/>
                <w:sz w:val="24"/>
                <w:szCs w:val="24"/>
              </w:rPr>
              <w:t>业绩、信誉</w:t>
            </w:r>
          </w:p>
        </w:tc>
        <w:tc>
          <w:tcPr>
            <w:tcW w:w="6795" w:type="dxa"/>
            <w:gridSpan w:val="3"/>
            <w:noWrap w:val="0"/>
            <w:vAlign w:val="center"/>
          </w:tcPr>
          <w:p>
            <w:pPr>
              <w:spacing w:line="240" w:lineRule="auto"/>
              <w:rPr>
                <w:rFonts w:ascii="宋体" w:hAnsi="宋体"/>
                <w:sz w:val="24"/>
                <w:szCs w:val="24"/>
              </w:rPr>
            </w:pPr>
            <w:r>
              <w:rPr>
                <w:rFonts w:hint="eastAsia" w:ascii="宋体" w:hAnsi="宋体"/>
                <w:sz w:val="24"/>
                <w:szCs w:val="24"/>
              </w:rPr>
              <w:t>合同总额：万元，合同履行情况：</w:t>
            </w:r>
          </w:p>
          <w:p>
            <w:pPr>
              <w:spacing w:line="240" w:lineRule="auto"/>
              <w:jc w:val="center"/>
              <w:rPr>
                <w:rFonts w:ascii="宋体" w:hAnsi="宋体"/>
                <w:sz w:val="24"/>
                <w:szCs w:val="24"/>
              </w:rPr>
            </w:pPr>
          </w:p>
          <w:p>
            <w:pPr>
              <w:spacing w:line="240" w:lineRule="auto"/>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cantSplit/>
          <w:trHeight w:val="3726" w:hRule="atLeast"/>
        </w:trPr>
        <w:tc>
          <w:tcPr>
            <w:tcW w:w="645" w:type="dxa"/>
            <w:vMerge w:val="continue"/>
            <w:noWrap w:val="0"/>
            <w:vAlign w:val="center"/>
          </w:tcPr>
          <w:p>
            <w:pPr>
              <w:spacing w:line="240" w:lineRule="auto"/>
              <w:jc w:val="center"/>
              <w:rPr>
                <w:rFonts w:ascii="宋体" w:hAnsi="宋体"/>
                <w:sz w:val="24"/>
                <w:szCs w:val="24"/>
              </w:rPr>
            </w:pPr>
          </w:p>
        </w:tc>
        <w:tc>
          <w:tcPr>
            <w:tcW w:w="8595" w:type="dxa"/>
            <w:gridSpan w:val="4"/>
            <w:noWrap w:val="0"/>
            <w:vAlign w:val="top"/>
          </w:tcPr>
          <w:p>
            <w:pPr>
              <w:spacing w:line="240" w:lineRule="auto"/>
              <w:rPr>
                <w:rFonts w:ascii="宋体" w:hAnsi="宋体"/>
                <w:sz w:val="24"/>
                <w:szCs w:val="24"/>
              </w:rPr>
            </w:pPr>
            <w:r>
              <w:rPr>
                <w:rFonts w:hint="eastAsia" w:ascii="宋体" w:hAnsi="宋体"/>
                <w:sz w:val="24"/>
                <w:szCs w:val="24"/>
              </w:rPr>
              <w:t>单位优势及特点：</w:t>
            </w:r>
          </w:p>
        </w:tc>
      </w:tr>
    </w:tbl>
    <w:p>
      <w:pPr>
        <w:rPr>
          <w:rFonts w:ascii="宋体" w:hAnsi="宋体"/>
          <w:snapToGrid w:val="0"/>
        </w:rPr>
      </w:pPr>
      <w:r>
        <w:rPr>
          <w:rFonts w:hint="eastAsia" w:ascii="宋体" w:hAnsi="宋体"/>
          <w:snapToGrid w:val="0"/>
        </w:rPr>
        <w:t>说明：本表后应附有单位简介。</w:t>
      </w:r>
    </w:p>
    <w:p>
      <w:pPr>
        <w:snapToGrid w:val="0"/>
        <w:ind w:firstLine="480" w:firstLineChars="200"/>
        <w:rPr>
          <w:rFonts w:ascii="宋体" w:hAnsi="宋体"/>
          <w:sz w:val="24"/>
          <w:szCs w:val="24"/>
        </w:rPr>
      </w:pPr>
    </w:p>
    <w:p>
      <w:pPr>
        <w:snapToGrid w:val="0"/>
        <w:rPr>
          <w:rFonts w:ascii="宋体" w:hAnsi="宋体"/>
          <w:spacing w:val="20"/>
          <w:sz w:val="24"/>
          <w:szCs w:val="24"/>
          <w:u w:val="single"/>
        </w:rPr>
      </w:pPr>
      <w:r>
        <w:rPr>
          <w:rFonts w:hint="eastAsia" w:ascii="宋体" w:hAnsi="宋体"/>
          <w:sz w:val="24"/>
          <w:szCs w:val="24"/>
        </w:rPr>
        <w:t>被授权人签字（或盖章）</w:t>
      </w:r>
      <w:r>
        <w:rPr>
          <w:rFonts w:hint="eastAsia" w:ascii="宋体" w:hAnsi="宋体"/>
          <w:spacing w:val="20"/>
          <w:sz w:val="24"/>
          <w:szCs w:val="24"/>
        </w:rPr>
        <w:t>：</w:t>
      </w:r>
      <w:r>
        <w:rPr>
          <w:rFonts w:hint="eastAsia" w:ascii="宋体" w:hAnsi="宋体"/>
          <w:spacing w:val="20"/>
          <w:sz w:val="24"/>
          <w:szCs w:val="24"/>
          <w:u w:val="single"/>
        </w:rPr>
        <w:t xml:space="preserve">        </w:t>
      </w:r>
    </w:p>
    <w:p>
      <w:pPr>
        <w:snapToGrid w:val="0"/>
        <w:rPr>
          <w:rFonts w:ascii="宋体" w:hAnsi="宋体"/>
          <w:sz w:val="24"/>
          <w:szCs w:val="24"/>
        </w:rPr>
      </w:pPr>
      <w:r>
        <w:rPr>
          <w:rFonts w:hint="eastAsia" w:ascii="宋体" w:hAnsi="宋体"/>
          <w:sz w:val="24"/>
          <w:szCs w:val="24"/>
        </w:rPr>
        <w:t>供应商公章：                      年    月    日</w:t>
      </w:r>
    </w:p>
    <w:p>
      <w:pPr>
        <w:snapToGrid w:val="0"/>
        <w:ind w:firstLine="360" w:firstLineChars="200"/>
        <w:jc w:val="left"/>
        <w:rPr>
          <w:rFonts w:ascii="宋体" w:hAnsi="宋体"/>
          <w:sz w:val="18"/>
          <w:szCs w:val="18"/>
        </w:rPr>
      </w:pPr>
    </w:p>
    <w:p>
      <w:pPr>
        <w:snapToGrid w:val="0"/>
        <w:jc w:val="left"/>
        <w:rPr>
          <w:rFonts w:ascii="宋体" w:hAnsi="宋体"/>
          <w:b/>
          <w:sz w:val="24"/>
        </w:rPr>
      </w:pPr>
      <w:r>
        <w:rPr>
          <w:rFonts w:ascii="宋体" w:hAnsi="宋体"/>
        </w:rPr>
        <w:br w:type="page"/>
      </w:r>
      <w:r>
        <w:rPr>
          <w:rFonts w:ascii="宋体" w:hAnsi="宋体"/>
          <w:b/>
          <w:sz w:val="24"/>
        </w:rPr>
        <w:t>7</w:t>
      </w:r>
      <w:r>
        <w:rPr>
          <w:rFonts w:hint="eastAsia" w:ascii="宋体" w:hAnsi="宋体"/>
          <w:b/>
          <w:sz w:val="24"/>
        </w:rPr>
        <w:t>、商务响应表</w:t>
      </w:r>
    </w:p>
    <w:p>
      <w:pPr>
        <w:snapToGrid w:val="0"/>
        <w:jc w:val="center"/>
        <w:rPr>
          <w:rFonts w:ascii="宋体" w:hAnsi="宋体"/>
          <w:b/>
          <w:bCs/>
          <w:sz w:val="28"/>
          <w:szCs w:val="28"/>
          <w:u w:val="single"/>
        </w:rPr>
      </w:pPr>
      <w:r>
        <w:rPr>
          <w:rFonts w:hint="eastAsia" w:ascii="宋体" w:hAnsi="宋体"/>
          <w:b/>
          <w:bCs/>
          <w:sz w:val="28"/>
          <w:szCs w:val="28"/>
        </w:rPr>
        <w:t>商务响应表</w:t>
      </w:r>
    </w:p>
    <w:tbl>
      <w:tblPr>
        <w:tblStyle w:val="53"/>
        <w:tblW w:w="0" w:type="auto"/>
        <w:tblInd w:w="2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3086"/>
        <w:gridCol w:w="3086"/>
        <w:gridCol w:w="1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6" w:hRule="atLeast"/>
        </w:trPr>
        <w:tc>
          <w:tcPr>
            <w:tcW w:w="910" w:type="dxa"/>
            <w:noWrap w:val="0"/>
            <w:vAlign w:val="top"/>
          </w:tcPr>
          <w:p>
            <w:pPr>
              <w:spacing w:before="240" w:after="240"/>
              <w:jc w:val="center"/>
              <w:rPr>
                <w:rFonts w:ascii="宋体" w:hAnsi="宋体"/>
                <w:sz w:val="24"/>
                <w:szCs w:val="24"/>
              </w:rPr>
            </w:pPr>
            <w:r>
              <w:rPr>
                <w:rFonts w:hint="eastAsia" w:ascii="宋体" w:hAnsi="宋体"/>
                <w:sz w:val="24"/>
                <w:szCs w:val="24"/>
              </w:rPr>
              <w:t>序号</w:t>
            </w:r>
          </w:p>
        </w:tc>
        <w:tc>
          <w:tcPr>
            <w:tcW w:w="3086" w:type="dxa"/>
            <w:noWrap w:val="0"/>
            <w:vAlign w:val="top"/>
          </w:tcPr>
          <w:p>
            <w:pPr>
              <w:spacing w:before="240" w:after="240"/>
              <w:jc w:val="center"/>
              <w:rPr>
                <w:rFonts w:ascii="宋体" w:hAnsi="宋体"/>
                <w:sz w:val="24"/>
                <w:szCs w:val="24"/>
              </w:rPr>
            </w:pPr>
            <w:r>
              <w:rPr>
                <w:rFonts w:hint="eastAsia" w:ascii="宋体" w:hAnsi="宋体"/>
                <w:sz w:val="24"/>
                <w:szCs w:val="24"/>
              </w:rPr>
              <w:t>招标文件的规定</w:t>
            </w:r>
          </w:p>
        </w:tc>
        <w:tc>
          <w:tcPr>
            <w:tcW w:w="3086" w:type="dxa"/>
            <w:noWrap w:val="0"/>
            <w:vAlign w:val="top"/>
          </w:tcPr>
          <w:p>
            <w:pPr>
              <w:spacing w:before="240" w:after="240"/>
              <w:jc w:val="center"/>
              <w:rPr>
                <w:rFonts w:ascii="宋体" w:hAnsi="宋体"/>
                <w:sz w:val="24"/>
                <w:szCs w:val="24"/>
              </w:rPr>
            </w:pPr>
            <w:r>
              <w:rPr>
                <w:rFonts w:hint="eastAsia" w:ascii="宋体" w:hAnsi="宋体"/>
                <w:sz w:val="24"/>
                <w:szCs w:val="24"/>
              </w:rPr>
              <w:t>投标文件的相应</w:t>
            </w:r>
          </w:p>
        </w:tc>
        <w:tc>
          <w:tcPr>
            <w:tcW w:w="1965" w:type="dxa"/>
            <w:noWrap w:val="0"/>
            <w:vAlign w:val="top"/>
          </w:tcPr>
          <w:p>
            <w:pPr>
              <w:spacing w:before="240" w:after="240"/>
              <w:jc w:val="center"/>
              <w:rPr>
                <w:rFonts w:ascii="宋体" w:hAnsi="宋体"/>
                <w:sz w:val="24"/>
                <w:szCs w:val="24"/>
              </w:rPr>
            </w:pPr>
            <w:r>
              <w:rPr>
                <w:rFonts w:hint="eastAsia" w:ascii="宋体" w:hAnsi="宋体"/>
                <w:sz w:val="24"/>
                <w:szCs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6" w:hRule="atLeast"/>
        </w:trPr>
        <w:tc>
          <w:tcPr>
            <w:tcW w:w="910"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1965" w:type="dxa"/>
            <w:noWrap w:val="0"/>
            <w:vAlign w:val="top"/>
          </w:tcPr>
          <w:p>
            <w:pPr>
              <w:spacing w:before="240" w:after="240"/>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6" w:hRule="atLeast"/>
        </w:trPr>
        <w:tc>
          <w:tcPr>
            <w:tcW w:w="910"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1965" w:type="dxa"/>
            <w:noWrap w:val="0"/>
            <w:vAlign w:val="top"/>
          </w:tcPr>
          <w:p>
            <w:pPr>
              <w:spacing w:before="240" w:after="240"/>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6" w:hRule="atLeast"/>
        </w:trPr>
        <w:tc>
          <w:tcPr>
            <w:tcW w:w="910"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3086" w:type="dxa"/>
            <w:noWrap w:val="0"/>
            <w:vAlign w:val="top"/>
          </w:tcPr>
          <w:p>
            <w:pPr>
              <w:spacing w:before="240" w:after="240"/>
              <w:rPr>
                <w:rFonts w:ascii="宋体" w:hAnsi="宋体"/>
                <w:sz w:val="24"/>
                <w:szCs w:val="24"/>
              </w:rPr>
            </w:pPr>
          </w:p>
        </w:tc>
        <w:tc>
          <w:tcPr>
            <w:tcW w:w="1965" w:type="dxa"/>
            <w:noWrap w:val="0"/>
            <w:vAlign w:val="top"/>
          </w:tcPr>
          <w:p>
            <w:pPr>
              <w:spacing w:before="240" w:after="240"/>
              <w:rPr>
                <w:rFonts w:ascii="宋体" w:hAnsi="宋体"/>
                <w:sz w:val="24"/>
                <w:szCs w:val="24"/>
              </w:rPr>
            </w:pPr>
          </w:p>
        </w:tc>
      </w:tr>
      <w:bookmarkEnd w:id="139"/>
    </w:tbl>
    <w:p>
      <w:pPr>
        <w:pStyle w:val="18"/>
        <w:spacing w:line="360" w:lineRule="auto"/>
        <w:ind w:left="143" w:leftChars="68"/>
        <w:jc w:val="left"/>
        <w:rPr>
          <w:sz w:val="21"/>
          <w:szCs w:val="21"/>
        </w:rPr>
      </w:pPr>
      <w:r>
        <w:rPr>
          <w:rFonts w:hint="eastAsia"/>
          <w:sz w:val="24"/>
          <w:szCs w:val="24"/>
        </w:rPr>
        <w:t>注：供应商的投标文件（除技术规格部分）与招标文件之规定存在偏离的，应在此表中如实说明。未在上表中说明的，将被认为完全响应招标文件的规定。</w:t>
      </w:r>
    </w:p>
    <w:p>
      <w:pPr>
        <w:pStyle w:val="18"/>
        <w:spacing w:line="360" w:lineRule="auto"/>
        <w:ind w:left="702" w:firstLine="422" w:firstLineChars="200"/>
        <w:rPr>
          <w:sz w:val="21"/>
          <w:szCs w:val="21"/>
        </w:rPr>
      </w:pPr>
    </w:p>
    <w:p>
      <w:pPr>
        <w:snapToGrid w:val="0"/>
        <w:rPr>
          <w:rFonts w:ascii="宋体" w:hAnsi="宋体"/>
          <w:spacing w:val="20"/>
          <w:sz w:val="24"/>
          <w:u w:val="single"/>
        </w:rPr>
      </w:pPr>
      <w:r>
        <w:rPr>
          <w:rFonts w:hint="eastAsia" w:ascii="宋体" w:hAnsi="宋体"/>
          <w:sz w:val="24"/>
        </w:rPr>
        <w:t>被授权人签字（或盖章）</w:t>
      </w:r>
      <w:r>
        <w:rPr>
          <w:rFonts w:hint="eastAsia" w:ascii="宋体" w:hAnsi="宋体"/>
          <w:spacing w:val="20"/>
          <w:sz w:val="24"/>
        </w:rPr>
        <w:t>：</w:t>
      </w:r>
      <w:r>
        <w:rPr>
          <w:rFonts w:hint="eastAsia" w:ascii="宋体" w:hAnsi="宋体"/>
          <w:spacing w:val="20"/>
          <w:sz w:val="24"/>
          <w:u w:val="single"/>
        </w:rPr>
        <w:t xml:space="preserve">        </w:t>
      </w:r>
    </w:p>
    <w:p>
      <w:pPr>
        <w:snapToGrid w:val="0"/>
        <w:jc w:val="left"/>
        <w:rPr>
          <w:rFonts w:ascii="宋体" w:hAnsi="宋体"/>
          <w:sz w:val="24"/>
        </w:rPr>
      </w:pPr>
      <w:r>
        <w:rPr>
          <w:rFonts w:hint="eastAsia" w:ascii="宋体" w:hAnsi="宋体"/>
          <w:sz w:val="24"/>
        </w:rPr>
        <w:t>供应商公章：                                   年    月    日</w:t>
      </w:r>
    </w:p>
    <w:p>
      <w:pPr>
        <w:snapToGrid w:val="0"/>
        <w:jc w:val="left"/>
        <w:rPr>
          <w:rFonts w:ascii="宋体" w:hAnsi="宋体"/>
          <w:b/>
          <w:sz w:val="24"/>
        </w:rPr>
      </w:pPr>
      <w:r>
        <w:rPr>
          <w:rFonts w:hint="eastAsia" w:ascii="宋体" w:hAnsi="宋体"/>
          <w:szCs w:val="21"/>
        </w:rPr>
        <w:br w:type="page"/>
      </w:r>
      <w:r>
        <w:rPr>
          <w:rFonts w:ascii="宋体" w:hAnsi="宋体"/>
          <w:b/>
          <w:sz w:val="24"/>
        </w:rPr>
        <w:t>8</w:t>
      </w:r>
      <w:r>
        <w:rPr>
          <w:rFonts w:hint="eastAsia" w:ascii="宋体" w:hAnsi="宋体"/>
          <w:b/>
          <w:sz w:val="24"/>
        </w:rPr>
        <w:t>、投标产品详细清单（不含报价）</w:t>
      </w:r>
    </w:p>
    <w:p>
      <w:pPr>
        <w:snapToGrid w:val="0"/>
        <w:jc w:val="center"/>
        <w:rPr>
          <w:rFonts w:ascii="宋体" w:hAnsi="宋体"/>
          <w:b/>
          <w:bCs/>
          <w:sz w:val="28"/>
          <w:szCs w:val="28"/>
        </w:rPr>
      </w:pPr>
      <w:r>
        <w:rPr>
          <w:rFonts w:hint="eastAsia" w:ascii="宋体" w:hAnsi="宋体"/>
          <w:b/>
          <w:bCs/>
          <w:sz w:val="28"/>
          <w:szCs w:val="28"/>
        </w:rPr>
        <w:t>投标产品详细清单</w:t>
      </w:r>
    </w:p>
    <w:p>
      <w:pPr>
        <w:ind w:firstLine="420" w:firstLineChars="200"/>
        <w:rPr>
          <w:rFonts w:ascii="宋体" w:hAnsi="宋体"/>
          <w:szCs w:val="21"/>
        </w:rPr>
      </w:pPr>
      <w:r>
        <w:rPr>
          <w:rFonts w:hint="eastAsia" w:ascii="宋体" w:hAnsi="宋体"/>
          <w:szCs w:val="21"/>
        </w:rPr>
        <w:t>填表说明：详细列明所投项目主要设备清单，完整配置方案及技术指标，项目的核心产品必须明确所投品牌、规格型号及具体技术指标。任何含糊不清的表述对评标结果的影响将是供应商的责任，可附具体的介绍图文资料。★以下内容不得含有报价。</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801"/>
        <w:gridCol w:w="900"/>
        <w:gridCol w:w="1080"/>
        <w:gridCol w:w="1260"/>
        <w:gridCol w:w="1620"/>
        <w:gridCol w:w="1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7" w:hRule="atLeast"/>
          <w:jc w:val="center"/>
        </w:trPr>
        <w:tc>
          <w:tcPr>
            <w:tcW w:w="816" w:type="dxa"/>
            <w:noWrap w:val="0"/>
            <w:vAlign w:val="center"/>
          </w:tcPr>
          <w:p>
            <w:pPr>
              <w:spacing w:after="60" w:afterLines="25" w:line="360" w:lineRule="exact"/>
              <w:jc w:val="center"/>
              <w:rPr>
                <w:rFonts w:ascii="宋体" w:hAnsi="宋体"/>
                <w:szCs w:val="21"/>
              </w:rPr>
            </w:pPr>
            <w:r>
              <w:rPr>
                <w:rFonts w:hint="eastAsia" w:ascii="宋体" w:hAnsi="宋体"/>
                <w:szCs w:val="21"/>
              </w:rPr>
              <w:t>序号</w:t>
            </w:r>
          </w:p>
        </w:tc>
        <w:tc>
          <w:tcPr>
            <w:tcW w:w="1801" w:type="dxa"/>
            <w:noWrap w:val="0"/>
            <w:vAlign w:val="center"/>
          </w:tcPr>
          <w:p>
            <w:pPr>
              <w:spacing w:after="60" w:afterLines="25" w:line="360" w:lineRule="exact"/>
              <w:jc w:val="center"/>
              <w:rPr>
                <w:rFonts w:ascii="宋体" w:hAnsi="宋体"/>
                <w:szCs w:val="21"/>
              </w:rPr>
            </w:pPr>
            <w:r>
              <w:rPr>
                <w:rFonts w:hint="eastAsia" w:ascii="宋体" w:hAnsi="宋体"/>
                <w:szCs w:val="21"/>
              </w:rPr>
              <w:t>设备名称</w:t>
            </w:r>
          </w:p>
        </w:tc>
        <w:tc>
          <w:tcPr>
            <w:tcW w:w="900" w:type="dxa"/>
            <w:noWrap w:val="0"/>
            <w:vAlign w:val="center"/>
          </w:tcPr>
          <w:p>
            <w:pPr>
              <w:spacing w:after="60" w:afterLines="25" w:line="360" w:lineRule="exact"/>
              <w:jc w:val="center"/>
              <w:rPr>
                <w:rFonts w:ascii="宋体" w:hAnsi="宋体"/>
                <w:szCs w:val="21"/>
              </w:rPr>
            </w:pPr>
            <w:r>
              <w:rPr>
                <w:rFonts w:hint="eastAsia" w:ascii="宋体" w:hAnsi="宋体"/>
                <w:szCs w:val="21"/>
              </w:rPr>
              <w:t>数量</w:t>
            </w:r>
          </w:p>
        </w:tc>
        <w:tc>
          <w:tcPr>
            <w:tcW w:w="1080" w:type="dxa"/>
            <w:noWrap w:val="0"/>
            <w:vAlign w:val="center"/>
          </w:tcPr>
          <w:p>
            <w:pPr>
              <w:spacing w:after="60" w:afterLines="25" w:line="360" w:lineRule="exact"/>
              <w:jc w:val="center"/>
              <w:rPr>
                <w:rFonts w:ascii="宋体" w:hAnsi="宋体"/>
                <w:szCs w:val="21"/>
              </w:rPr>
            </w:pPr>
            <w:r>
              <w:rPr>
                <w:rFonts w:hint="eastAsia" w:ascii="宋体" w:hAnsi="宋体"/>
                <w:szCs w:val="21"/>
              </w:rPr>
              <w:t>品牌</w:t>
            </w:r>
          </w:p>
        </w:tc>
        <w:tc>
          <w:tcPr>
            <w:tcW w:w="1260" w:type="dxa"/>
            <w:noWrap w:val="0"/>
            <w:vAlign w:val="center"/>
          </w:tcPr>
          <w:p>
            <w:pPr>
              <w:spacing w:after="60" w:afterLines="25" w:line="360" w:lineRule="exact"/>
              <w:jc w:val="center"/>
              <w:rPr>
                <w:rFonts w:ascii="宋体" w:hAnsi="宋体"/>
                <w:szCs w:val="21"/>
              </w:rPr>
            </w:pPr>
            <w:r>
              <w:rPr>
                <w:rFonts w:hint="eastAsia" w:ascii="宋体" w:hAnsi="宋体"/>
                <w:szCs w:val="21"/>
              </w:rPr>
              <w:t>规格型号</w:t>
            </w:r>
          </w:p>
        </w:tc>
        <w:tc>
          <w:tcPr>
            <w:tcW w:w="1620" w:type="dxa"/>
            <w:noWrap w:val="0"/>
            <w:vAlign w:val="center"/>
          </w:tcPr>
          <w:p>
            <w:pPr>
              <w:spacing w:after="60" w:afterLines="25" w:line="360" w:lineRule="exact"/>
              <w:jc w:val="center"/>
              <w:rPr>
                <w:rFonts w:ascii="宋体" w:hAnsi="宋体"/>
                <w:szCs w:val="21"/>
              </w:rPr>
            </w:pPr>
            <w:r>
              <w:rPr>
                <w:rFonts w:hint="eastAsia" w:ascii="宋体" w:hAnsi="宋体"/>
                <w:szCs w:val="21"/>
              </w:rPr>
              <w:t>性能及指标</w:t>
            </w:r>
          </w:p>
        </w:tc>
        <w:tc>
          <w:tcPr>
            <w:tcW w:w="1199" w:type="dxa"/>
            <w:noWrap w:val="0"/>
            <w:vAlign w:val="center"/>
          </w:tcPr>
          <w:p>
            <w:pPr>
              <w:spacing w:after="60" w:afterLines="25" w:line="360" w:lineRule="exact"/>
              <w:jc w:val="center"/>
              <w:rPr>
                <w:rFonts w:ascii="宋体" w:hAnsi="宋体"/>
                <w:szCs w:val="21"/>
              </w:rPr>
            </w:pPr>
            <w:r>
              <w:rPr>
                <w:rFonts w:hint="eastAsia" w:ascii="宋体" w:hAnsi="宋体"/>
                <w:szCs w:val="21"/>
              </w:rPr>
              <w:t>产地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7" w:hRule="atLeast"/>
          <w:jc w:val="center"/>
        </w:trPr>
        <w:tc>
          <w:tcPr>
            <w:tcW w:w="816" w:type="dxa"/>
            <w:noWrap w:val="0"/>
            <w:vAlign w:val="center"/>
          </w:tcPr>
          <w:p>
            <w:pPr>
              <w:spacing w:after="60" w:afterLines="25" w:line="360" w:lineRule="exact"/>
              <w:jc w:val="center"/>
              <w:rPr>
                <w:rFonts w:ascii="宋体" w:hAnsi="宋体"/>
                <w:szCs w:val="21"/>
              </w:rPr>
            </w:pPr>
            <w:r>
              <w:rPr>
                <w:rFonts w:hint="eastAsia" w:ascii="宋体" w:hAnsi="宋体"/>
                <w:szCs w:val="21"/>
              </w:rPr>
              <w:t>1</w:t>
            </w:r>
          </w:p>
        </w:tc>
        <w:tc>
          <w:tcPr>
            <w:tcW w:w="1801" w:type="dxa"/>
            <w:noWrap w:val="0"/>
            <w:vAlign w:val="center"/>
          </w:tcPr>
          <w:p>
            <w:pPr>
              <w:spacing w:after="60" w:afterLines="25" w:line="360" w:lineRule="exact"/>
              <w:jc w:val="center"/>
              <w:rPr>
                <w:rFonts w:ascii="宋体" w:hAnsi="宋体"/>
                <w:szCs w:val="21"/>
              </w:rPr>
            </w:pPr>
          </w:p>
        </w:tc>
        <w:tc>
          <w:tcPr>
            <w:tcW w:w="900" w:type="dxa"/>
            <w:noWrap w:val="0"/>
            <w:vAlign w:val="center"/>
          </w:tcPr>
          <w:p>
            <w:pPr>
              <w:spacing w:after="60" w:afterLines="25" w:line="360" w:lineRule="exact"/>
              <w:jc w:val="center"/>
              <w:rPr>
                <w:rFonts w:ascii="宋体" w:hAnsi="宋体"/>
                <w:szCs w:val="21"/>
              </w:rPr>
            </w:pPr>
          </w:p>
        </w:tc>
        <w:tc>
          <w:tcPr>
            <w:tcW w:w="1080" w:type="dxa"/>
            <w:noWrap w:val="0"/>
            <w:vAlign w:val="center"/>
          </w:tcPr>
          <w:p>
            <w:pPr>
              <w:spacing w:after="60" w:afterLines="25" w:line="360" w:lineRule="exact"/>
              <w:jc w:val="center"/>
              <w:rPr>
                <w:rFonts w:ascii="宋体" w:hAnsi="宋体"/>
                <w:szCs w:val="21"/>
              </w:rPr>
            </w:pPr>
          </w:p>
        </w:tc>
        <w:tc>
          <w:tcPr>
            <w:tcW w:w="1260" w:type="dxa"/>
            <w:noWrap w:val="0"/>
            <w:vAlign w:val="center"/>
          </w:tcPr>
          <w:p>
            <w:pPr>
              <w:spacing w:after="60" w:afterLines="25" w:line="360" w:lineRule="exact"/>
              <w:jc w:val="center"/>
              <w:rPr>
                <w:rFonts w:ascii="宋体" w:hAnsi="宋体"/>
                <w:szCs w:val="21"/>
              </w:rPr>
            </w:pPr>
          </w:p>
        </w:tc>
        <w:tc>
          <w:tcPr>
            <w:tcW w:w="1620" w:type="dxa"/>
            <w:noWrap w:val="0"/>
            <w:vAlign w:val="center"/>
          </w:tcPr>
          <w:p>
            <w:pPr>
              <w:spacing w:after="60" w:afterLines="25" w:line="360" w:lineRule="exact"/>
              <w:jc w:val="center"/>
              <w:rPr>
                <w:rFonts w:ascii="宋体" w:hAnsi="宋体"/>
                <w:szCs w:val="21"/>
              </w:rPr>
            </w:pPr>
          </w:p>
        </w:tc>
        <w:tc>
          <w:tcPr>
            <w:tcW w:w="1199" w:type="dxa"/>
            <w:noWrap w:val="0"/>
            <w:vAlign w:val="center"/>
          </w:tcPr>
          <w:p>
            <w:pPr>
              <w:spacing w:after="60" w:afterLines="25" w:line="360" w:lineRule="exac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8" w:hRule="atLeast"/>
          <w:jc w:val="center"/>
        </w:trPr>
        <w:tc>
          <w:tcPr>
            <w:tcW w:w="816" w:type="dxa"/>
            <w:noWrap w:val="0"/>
            <w:vAlign w:val="center"/>
          </w:tcPr>
          <w:p>
            <w:pPr>
              <w:spacing w:after="60" w:afterLines="25" w:line="360" w:lineRule="exact"/>
              <w:jc w:val="center"/>
              <w:rPr>
                <w:rFonts w:ascii="宋体" w:hAnsi="宋体"/>
                <w:szCs w:val="21"/>
              </w:rPr>
            </w:pPr>
            <w:r>
              <w:rPr>
                <w:rFonts w:hint="eastAsia" w:ascii="宋体" w:hAnsi="宋体"/>
                <w:szCs w:val="21"/>
              </w:rPr>
              <w:t>2</w:t>
            </w:r>
          </w:p>
        </w:tc>
        <w:tc>
          <w:tcPr>
            <w:tcW w:w="1801" w:type="dxa"/>
            <w:noWrap w:val="0"/>
            <w:vAlign w:val="center"/>
          </w:tcPr>
          <w:p>
            <w:pPr>
              <w:spacing w:after="60" w:afterLines="25" w:line="360" w:lineRule="exact"/>
              <w:jc w:val="center"/>
              <w:rPr>
                <w:rFonts w:ascii="宋体" w:hAnsi="宋体"/>
                <w:szCs w:val="21"/>
              </w:rPr>
            </w:pPr>
          </w:p>
        </w:tc>
        <w:tc>
          <w:tcPr>
            <w:tcW w:w="900" w:type="dxa"/>
            <w:noWrap w:val="0"/>
            <w:vAlign w:val="center"/>
          </w:tcPr>
          <w:p>
            <w:pPr>
              <w:spacing w:after="60" w:afterLines="25" w:line="360" w:lineRule="exact"/>
              <w:jc w:val="center"/>
              <w:rPr>
                <w:rFonts w:ascii="宋体" w:hAnsi="宋体"/>
                <w:szCs w:val="21"/>
              </w:rPr>
            </w:pPr>
          </w:p>
        </w:tc>
        <w:tc>
          <w:tcPr>
            <w:tcW w:w="1080" w:type="dxa"/>
            <w:noWrap w:val="0"/>
            <w:vAlign w:val="center"/>
          </w:tcPr>
          <w:p>
            <w:pPr>
              <w:spacing w:after="60" w:afterLines="25" w:line="360" w:lineRule="exact"/>
              <w:jc w:val="center"/>
              <w:rPr>
                <w:rFonts w:ascii="宋体" w:hAnsi="宋体"/>
                <w:szCs w:val="21"/>
              </w:rPr>
            </w:pPr>
          </w:p>
        </w:tc>
        <w:tc>
          <w:tcPr>
            <w:tcW w:w="1260" w:type="dxa"/>
            <w:noWrap w:val="0"/>
            <w:vAlign w:val="center"/>
          </w:tcPr>
          <w:p>
            <w:pPr>
              <w:spacing w:after="60" w:afterLines="25" w:line="360" w:lineRule="exact"/>
              <w:jc w:val="center"/>
              <w:rPr>
                <w:rFonts w:ascii="宋体" w:hAnsi="宋体"/>
                <w:szCs w:val="21"/>
              </w:rPr>
            </w:pPr>
          </w:p>
        </w:tc>
        <w:tc>
          <w:tcPr>
            <w:tcW w:w="1620" w:type="dxa"/>
            <w:noWrap w:val="0"/>
            <w:vAlign w:val="center"/>
          </w:tcPr>
          <w:p>
            <w:pPr>
              <w:spacing w:after="60" w:afterLines="25" w:line="360" w:lineRule="exact"/>
              <w:jc w:val="center"/>
              <w:rPr>
                <w:rFonts w:ascii="宋体" w:hAnsi="宋体"/>
                <w:szCs w:val="21"/>
              </w:rPr>
            </w:pPr>
          </w:p>
        </w:tc>
        <w:tc>
          <w:tcPr>
            <w:tcW w:w="1199" w:type="dxa"/>
            <w:noWrap w:val="0"/>
            <w:vAlign w:val="center"/>
          </w:tcPr>
          <w:p>
            <w:pPr>
              <w:spacing w:after="60" w:afterLines="25" w:line="360" w:lineRule="exac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7" w:hRule="atLeast"/>
          <w:jc w:val="center"/>
        </w:trPr>
        <w:tc>
          <w:tcPr>
            <w:tcW w:w="816" w:type="dxa"/>
            <w:noWrap w:val="0"/>
            <w:vAlign w:val="center"/>
          </w:tcPr>
          <w:p>
            <w:pPr>
              <w:spacing w:after="60" w:afterLines="25" w:line="360" w:lineRule="exact"/>
              <w:jc w:val="center"/>
              <w:rPr>
                <w:rFonts w:ascii="宋体" w:hAnsi="宋体"/>
                <w:szCs w:val="21"/>
              </w:rPr>
            </w:pPr>
            <w:r>
              <w:rPr>
                <w:rFonts w:hint="eastAsia" w:ascii="宋体" w:hAnsi="宋体"/>
                <w:szCs w:val="21"/>
              </w:rPr>
              <w:t>3</w:t>
            </w:r>
          </w:p>
        </w:tc>
        <w:tc>
          <w:tcPr>
            <w:tcW w:w="1801" w:type="dxa"/>
            <w:noWrap w:val="0"/>
            <w:vAlign w:val="center"/>
          </w:tcPr>
          <w:p>
            <w:pPr>
              <w:spacing w:after="60" w:afterLines="25" w:line="360" w:lineRule="exact"/>
              <w:jc w:val="center"/>
              <w:rPr>
                <w:rFonts w:ascii="宋体" w:hAnsi="宋体"/>
                <w:szCs w:val="21"/>
              </w:rPr>
            </w:pPr>
          </w:p>
        </w:tc>
        <w:tc>
          <w:tcPr>
            <w:tcW w:w="900" w:type="dxa"/>
            <w:noWrap w:val="0"/>
            <w:vAlign w:val="center"/>
          </w:tcPr>
          <w:p>
            <w:pPr>
              <w:spacing w:after="60" w:afterLines="25" w:line="360" w:lineRule="exact"/>
              <w:jc w:val="center"/>
              <w:rPr>
                <w:rFonts w:ascii="宋体" w:hAnsi="宋体"/>
                <w:szCs w:val="21"/>
              </w:rPr>
            </w:pPr>
          </w:p>
        </w:tc>
        <w:tc>
          <w:tcPr>
            <w:tcW w:w="1080" w:type="dxa"/>
            <w:noWrap w:val="0"/>
            <w:vAlign w:val="center"/>
          </w:tcPr>
          <w:p>
            <w:pPr>
              <w:spacing w:after="60" w:afterLines="25" w:line="360" w:lineRule="exact"/>
              <w:jc w:val="center"/>
              <w:rPr>
                <w:rFonts w:ascii="宋体" w:hAnsi="宋体"/>
                <w:szCs w:val="21"/>
              </w:rPr>
            </w:pPr>
          </w:p>
        </w:tc>
        <w:tc>
          <w:tcPr>
            <w:tcW w:w="1260" w:type="dxa"/>
            <w:noWrap w:val="0"/>
            <w:vAlign w:val="center"/>
          </w:tcPr>
          <w:p>
            <w:pPr>
              <w:spacing w:after="60" w:afterLines="25" w:line="360" w:lineRule="exact"/>
              <w:jc w:val="center"/>
              <w:rPr>
                <w:rFonts w:ascii="宋体" w:hAnsi="宋体"/>
                <w:szCs w:val="21"/>
              </w:rPr>
            </w:pPr>
          </w:p>
        </w:tc>
        <w:tc>
          <w:tcPr>
            <w:tcW w:w="1620" w:type="dxa"/>
            <w:noWrap w:val="0"/>
            <w:vAlign w:val="center"/>
          </w:tcPr>
          <w:p>
            <w:pPr>
              <w:spacing w:after="60" w:afterLines="25" w:line="360" w:lineRule="exact"/>
              <w:jc w:val="center"/>
              <w:rPr>
                <w:rFonts w:ascii="宋体" w:hAnsi="宋体"/>
                <w:szCs w:val="21"/>
              </w:rPr>
            </w:pPr>
          </w:p>
        </w:tc>
        <w:tc>
          <w:tcPr>
            <w:tcW w:w="1199" w:type="dxa"/>
            <w:noWrap w:val="0"/>
            <w:vAlign w:val="center"/>
          </w:tcPr>
          <w:p>
            <w:pPr>
              <w:spacing w:after="60" w:afterLines="25" w:line="360" w:lineRule="exact"/>
              <w:jc w:val="center"/>
              <w:rPr>
                <w:rFonts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38" w:hRule="atLeast"/>
          <w:jc w:val="center"/>
        </w:trPr>
        <w:tc>
          <w:tcPr>
            <w:tcW w:w="816" w:type="dxa"/>
            <w:noWrap w:val="0"/>
            <w:vAlign w:val="center"/>
          </w:tcPr>
          <w:p>
            <w:pPr>
              <w:spacing w:after="60" w:afterLines="25" w:line="360" w:lineRule="exact"/>
              <w:jc w:val="center"/>
              <w:rPr>
                <w:rFonts w:ascii="宋体" w:hAnsi="宋体"/>
                <w:szCs w:val="21"/>
              </w:rPr>
            </w:pPr>
            <w:r>
              <w:rPr>
                <w:rFonts w:ascii="宋体" w:hAnsi="宋体"/>
                <w:szCs w:val="21"/>
              </w:rPr>
              <w:t>…</w:t>
            </w:r>
          </w:p>
        </w:tc>
        <w:tc>
          <w:tcPr>
            <w:tcW w:w="1801" w:type="dxa"/>
            <w:noWrap w:val="0"/>
            <w:vAlign w:val="center"/>
          </w:tcPr>
          <w:p>
            <w:pPr>
              <w:spacing w:after="60" w:afterLines="25" w:line="360" w:lineRule="exact"/>
              <w:jc w:val="center"/>
              <w:rPr>
                <w:rFonts w:ascii="宋体" w:hAnsi="宋体"/>
                <w:szCs w:val="21"/>
              </w:rPr>
            </w:pPr>
          </w:p>
        </w:tc>
        <w:tc>
          <w:tcPr>
            <w:tcW w:w="900" w:type="dxa"/>
            <w:noWrap w:val="0"/>
            <w:vAlign w:val="center"/>
          </w:tcPr>
          <w:p>
            <w:pPr>
              <w:spacing w:after="60" w:afterLines="25" w:line="360" w:lineRule="exact"/>
              <w:jc w:val="center"/>
              <w:rPr>
                <w:rFonts w:ascii="宋体" w:hAnsi="宋体"/>
                <w:szCs w:val="21"/>
              </w:rPr>
            </w:pPr>
          </w:p>
        </w:tc>
        <w:tc>
          <w:tcPr>
            <w:tcW w:w="1080" w:type="dxa"/>
            <w:noWrap w:val="0"/>
            <w:vAlign w:val="center"/>
          </w:tcPr>
          <w:p>
            <w:pPr>
              <w:spacing w:after="60" w:afterLines="25" w:line="360" w:lineRule="exact"/>
              <w:jc w:val="center"/>
              <w:rPr>
                <w:rFonts w:ascii="宋体" w:hAnsi="宋体"/>
                <w:szCs w:val="21"/>
              </w:rPr>
            </w:pPr>
          </w:p>
        </w:tc>
        <w:tc>
          <w:tcPr>
            <w:tcW w:w="1260" w:type="dxa"/>
            <w:noWrap w:val="0"/>
            <w:vAlign w:val="center"/>
          </w:tcPr>
          <w:p>
            <w:pPr>
              <w:spacing w:after="60" w:afterLines="25" w:line="360" w:lineRule="exact"/>
              <w:jc w:val="center"/>
              <w:rPr>
                <w:rFonts w:ascii="宋体" w:hAnsi="宋体"/>
                <w:szCs w:val="21"/>
              </w:rPr>
            </w:pPr>
          </w:p>
        </w:tc>
        <w:tc>
          <w:tcPr>
            <w:tcW w:w="1620" w:type="dxa"/>
            <w:noWrap w:val="0"/>
            <w:vAlign w:val="center"/>
          </w:tcPr>
          <w:p>
            <w:pPr>
              <w:spacing w:after="60" w:afterLines="25" w:line="360" w:lineRule="exact"/>
              <w:jc w:val="center"/>
              <w:rPr>
                <w:rFonts w:ascii="宋体" w:hAnsi="宋体"/>
                <w:szCs w:val="21"/>
              </w:rPr>
            </w:pPr>
          </w:p>
        </w:tc>
        <w:tc>
          <w:tcPr>
            <w:tcW w:w="1199" w:type="dxa"/>
            <w:noWrap w:val="0"/>
            <w:vAlign w:val="center"/>
          </w:tcPr>
          <w:p>
            <w:pPr>
              <w:spacing w:after="60" w:afterLines="25" w:line="360" w:lineRule="exact"/>
              <w:jc w:val="center"/>
              <w:rPr>
                <w:rFonts w:ascii="宋体" w:hAnsi="宋体"/>
                <w:szCs w:val="21"/>
              </w:rPr>
            </w:pPr>
            <w:r>
              <w:rPr>
                <w:rFonts w:ascii="宋体" w:hAnsi="宋体"/>
                <w:szCs w:val="21"/>
              </w:rPr>
              <w:t>…</w:t>
            </w:r>
          </w:p>
        </w:tc>
      </w:tr>
    </w:tbl>
    <w:p>
      <w:pPr>
        <w:spacing w:before="120" w:beforeLines="50"/>
        <w:ind w:firstLine="420" w:firstLineChars="200"/>
        <w:rPr>
          <w:rFonts w:ascii="宋体" w:hAnsi="宋体"/>
          <w:szCs w:val="21"/>
        </w:rPr>
      </w:pPr>
      <w:r>
        <w:rPr>
          <w:rFonts w:hint="eastAsia" w:ascii="宋体" w:hAnsi="宋体"/>
          <w:szCs w:val="21"/>
        </w:rPr>
        <w:t>注：响应文件中必须明确主要设备的品牌、规格型号、性能指标等内容。</w:t>
      </w:r>
    </w:p>
    <w:p>
      <w:pPr>
        <w:snapToGrid w:val="0"/>
        <w:ind w:firstLine="420" w:firstLineChars="200"/>
        <w:jc w:val="left"/>
        <w:rPr>
          <w:rFonts w:ascii="宋体" w:hAnsi="宋体"/>
          <w:szCs w:val="21"/>
        </w:rPr>
      </w:pPr>
      <w:r>
        <w:rPr>
          <w:rFonts w:hint="eastAsia" w:ascii="宋体" w:hAnsi="宋体"/>
          <w:szCs w:val="21"/>
        </w:rPr>
        <w:t>供应商代表（签名）：                         供应商公章：</w:t>
      </w:r>
    </w:p>
    <w:p>
      <w:pPr>
        <w:snapToGrid w:val="0"/>
        <w:ind w:firstLine="420" w:firstLineChars="200"/>
        <w:jc w:val="left"/>
        <w:rPr>
          <w:rFonts w:ascii="宋体" w:hAnsi="宋体"/>
          <w:szCs w:val="21"/>
        </w:rPr>
      </w:pPr>
      <w:r>
        <w:rPr>
          <w:rFonts w:hint="eastAsia" w:ascii="宋体" w:hAnsi="宋体"/>
          <w:szCs w:val="21"/>
        </w:rPr>
        <w:t>日期：    年   月   日</w:t>
      </w:r>
    </w:p>
    <w:p>
      <w:pPr>
        <w:snapToGrid w:val="0"/>
        <w:jc w:val="left"/>
        <w:rPr>
          <w:rFonts w:ascii="宋体" w:hAnsi="宋体"/>
          <w:sz w:val="24"/>
        </w:rPr>
      </w:pPr>
      <w:r>
        <w:rPr>
          <w:rFonts w:hint="eastAsia" w:ascii="宋体" w:hAnsi="宋体"/>
          <w:b/>
          <w:bCs/>
          <w:sz w:val="24"/>
        </w:rPr>
        <w:t>技术响应表格式：</w:t>
      </w:r>
    </w:p>
    <w:p>
      <w:pPr>
        <w:pStyle w:val="374"/>
        <w:tabs>
          <w:tab w:val="clear" w:pos="1247"/>
        </w:tabs>
        <w:adjustRightInd w:val="0"/>
        <w:ind w:left="0"/>
        <w:jc w:val="center"/>
        <w:textAlignment w:val="baseline"/>
        <w:rPr>
          <w:rFonts w:ascii="宋体" w:hAnsi="宋体"/>
          <w:b/>
          <w:sz w:val="28"/>
          <w:szCs w:val="28"/>
        </w:rPr>
      </w:pPr>
      <w:r>
        <w:rPr>
          <w:rFonts w:hint="eastAsia" w:ascii="宋体" w:hAnsi="宋体"/>
          <w:b/>
          <w:sz w:val="28"/>
          <w:szCs w:val="28"/>
        </w:rPr>
        <w:t>技术响应表</w:t>
      </w:r>
    </w:p>
    <w:tbl>
      <w:tblPr>
        <w:tblStyle w:val="53"/>
        <w:tblW w:w="0" w:type="auto"/>
        <w:tblInd w:w="145"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948"/>
        <w:gridCol w:w="1959"/>
        <w:gridCol w:w="1583"/>
        <w:gridCol w:w="2070"/>
        <w:gridCol w:w="157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15" w:hRule="atLeast"/>
        </w:trPr>
        <w:tc>
          <w:tcPr>
            <w:tcW w:w="3907" w:type="dxa"/>
            <w:gridSpan w:val="2"/>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140" w:name="_Toc377653976"/>
            <w:bookmarkStart w:id="141" w:name="_Toc385854156"/>
            <w:bookmarkStart w:id="142" w:name="_Toc406403001"/>
            <w:bookmarkStart w:id="143" w:name="_Toc406402957"/>
            <w:bookmarkStart w:id="144" w:name="_Toc381081903"/>
            <w:bookmarkStart w:id="145" w:name="_Toc385854110"/>
            <w:bookmarkStart w:id="146" w:name="_Toc401570314"/>
            <w:bookmarkStart w:id="147" w:name="_Toc402963128"/>
            <w:bookmarkStart w:id="148" w:name="_Toc377028119"/>
            <w:bookmarkStart w:id="149" w:name="_Toc377028057"/>
            <w:bookmarkStart w:id="150" w:name="_Toc382928118"/>
            <w:bookmarkStart w:id="151" w:name="_Toc402963095"/>
            <w:bookmarkStart w:id="152" w:name="_Toc401570290"/>
            <w:bookmarkStart w:id="153" w:name="_Toc382928236"/>
            <w:r>
              <w:rPr>
                <w:rFonts w:hint="eastAsia" w:ascii="宋体" w:hAnsi="宋体"/>
              </w:rPr>
              <w:t>招标文件要求</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tc>
        <w:tc>
          <w:tcPr>
            <w:tcW w:w="3653" w:type="dxa"/>
            <w:gridSpan w:val="2"/>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154" w:name="_Toc385854111"/>
            <w:bookmarkStart w:id="155" w:name="_Toc377653977"/>
            <w:bookmarkStart w:id="156" w:name="_Toc402963096"/>
            <w:bookmarkStart w:id="157" w:name="_Toc382928119"/>
            <w:bookmarkStart w:id="158" w:name="_Toc382928237"/>
            <w:bookmarkStart w:id="159" w:name="_Toc402963129"/>
            <w:bookmarkStart w:id="160" w:name="_Toc401570315"/>
            <w:bookmarkStart w:id="161" w:name="_Toc385854157"/>
            <w:bookmarkStart w:id="162" w:name="_Toc377028120"/>
            <w:bookmarkStart w:id="163" w:name="_Toc401570291"/>
            <w:bookmarkStart w:id="164" w:name="_Toc406402958"/>
            <w:bookmarkStart w:id="165" w:name="_Toc406403002"/>
            <w:bookmarkStart w:id="166" w:name="_Toc381081904"/>
            <w:bookmarkStart w:id="167" w:name="_Toc377028058"/>
            <w:r>
              <w:rPr>
                <w:rFonts w:hint="eastAsia" w:ascii="宋体" w:hAnsi="宋体"/>
              </w:rPr>
              <w:t>投标文件响应</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tc>
        <w:tc>
          <w:tcPr>
            <w:tcW w:w="1575"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168" w:name="_Toc382928238"/>
            <w:bookmarkStart w:id="169" w:name="_Toc382928120"/>
            <w:bookmarkStart w:id="170" w:name="_Toc377028059"/>
            <w:bookmarkStart w:id="171" w:name="_Toc385854112"/>
            <w:bookmarkStart w:id="172" w:name="_Toc385854158"/>
            <w:bookmarkStart w:id="173" w:name="_Toc402963097"/>
            <w:bookmarkStart w:id="174" w:name="_Toc406402959"/>
            <w:bookmarkStart w:id="175" w:name="_Toc406403003"/>
            <w:bookmarkStart w:id="176" w:name="_Toc402963130"/>
            <w:bookmarkStart w:id="177" w:name="_Toc401570292"/>
            <w:bookmarkStart w:id="178" w:name="_Toc381081905"/>
            <w:bookmarkStart w:id="179" w:name="_Toc377653978"/>
            <w:bookmarkStart w:id="180" w:name="_Toc401570316"/>
            <w:bookmarkStart w:id="181" w:name="_Toc377028121"/>
            <w:r>
              <w:rPr>
                <w:rFonts w:hint="eastAsia" w:ascii="宋体" w:hAnsi="宋体"/>
              </w:rPr>
              <w:t>偏离</w:t>
            </w:r>
          </w:p>
          <w:p>
            <w:pPr>
              <w:spacing w:line="320" w:lineRule="exact"/>
              <w:jc w:val="center"/>
              <w:rPr>
                <w:rFonts w:ascii="宋体" w:hAnsi="宋体"/>
              </w:rPr>
            </w:pPr>
            <w:r>
              <w:rPr>
                <w:rFonts w:hint="eastAsia" w:ascii="宋体" w:hAnsi="宋体"/>
              </w:rPr>
              <w:t>情况</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698"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182" w:name="_Toc382928239"/>
            <w:bookmarkStart w:id="183" w:name="_Toc406403004"/>
            <w:bookmarkStart w:id="184" w:name="_Toc401570293"/>
            <w:bookmarkStart w:id="185" w:name="_Toc377653979"/>
            <w:bookmarkStart w:id="186" w:name="_Toc402963098"/>
            <w:bookmarkStart w:id="187" w:name="_Toc385854113"/>
            <w:bookmarkStart w:id="188" w:name="_Toc401570317"/>
            <w:bookmarkStart w:id="189" w:name="_Toc377028060"/>
            <w:bookmarkStart w:id="190" w:name="_Toc406402960"/>
            <w:bookmarkStart w:id="191" w:name="_Toc385854159"/>
            <w:bookmarkStart w:id="192" w:name="_Toc402963131"/>
            <w:bookmarkStart w:id="193" w:name="_Toc377028122"/>
            <w:bookmarkStart w:id="194" w:name="_Toc382928121"/>
            <w:bookmarkStart w:id="195" w:name="_Toc381081906"/>
            <w:r>
              <w:rPr>
                <w:rFonts w:hint="eastAsia" w:ascii="宋体" w:hAnsi="宋体"/>
              </w:rPr>
              <w:t>项目</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196" w:name="_Toc377028123"/>
            <w:bookmarkStart w:id="197" w:name="_Toc385854160"/>
            <w:bookmarkStart w:id="198" w:name="_Toc381081907"/>
            <w:bookmarkStart w:id="199" w:name="_Toc385854114"/>
            <w:bookmarkStart w:id="200" w:name="_Toc382928240"/>
            <w:bookmarkStart w:id="201" w:name="_Toc401570318"/>
            <w:bookmarkStart w:id="202" w:name="_Toc377653980"/>
            <w:bookmarkStart w:id="203" w:name="_Toc402963132"/>
            <w:bookmarkStart w:id="204" w:name="_Toc402963099"/>
            <w:bookmarkStart w:id="205" w:name="_Toc377028061"/>
            <w:bookmarkStart w:id="206" w:name="_Toc406402961"/>
            <w:bookmarkStart w:id="207" w:name="_Toc401570294"/>
            <w:bookmarkStart w:id="208" w:name="_Toc406403005"/>
            <w:bookmarkStart w:id="209" w:name="_Toc382928122"/>
            <w:r>
              <w:rPr>
                <w:rFonts w:hint="eastAsia" w:ascii="宋体" w:hAnsi="宋体"/>
              </w:rPr>
              <w:t>要求</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10" w:name="_Toc385854161"/>
            <w:bookmarkStart w:id="211" w:name="_Toc381081908"/>
            <w:bookmarkStart w:id="212" w:name="_Toc382928123"/>
            <w:bookmarkStart w:id="213" w:name="_Toc401570295"/>
            <w:bookmarkStart w:id="214" w:name="_Toc377653981"/>
            <w:bookmarkStart w:id="215" w:name="_Toc402963133"/>
            <w:bookmarkStart w:id="216" w:name="_Toc377028062"/>
            <w:bookmarkStart w:id="217" w:name="_Toc402963100"/>
            <w:bookmarkStart w:id="218" w:name="_Toc377028124"/>
            <w:bookmarkStart w:id="219" w:name="_Toc401570319"/>
            <w:bookmarkStart w:id="220" w:name="_Toc385854115"/>
            <w:bookmarkStart w:id="221" w:name="_Toc406403006"/>
            <w:bookmarkStart w:id="222" w:name="_Toc382928241"/>
            <w:bookmarkStart w:id="223" w:name="_Toc406402962"/>
            <w:r>
              <w:rPr>
                <w:rFonts w:hint="eastAsia" w:ascii="宋体" w:hAnsi="宋体"/>
              </w:rPr>
              <w:t>设备名称</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bookmarkStart w:id="224" w:name="_Toc406403007"/>
            <w:bookmarkStart w:id="225" w:name="_Toc401570296"/>
            <w:bookmarkStart w:id="226" w:name="_Toc382928124"/>
            <w:bookmarkStart w:id="227" w:name="_Toc381081909"/>
            <w:bookmarkStart w:id="228" w:name="_Toc385854162"/>
            <w:bookmarkStart w:id="229" w:name="_Toc406402963"/>
            <w:bookmarkStart w:id="230" w:name="_Toc377028125"/>
            <w:bookmarkStart w:id="231" w:name="_Toc401570320"/>
            <w:bookmarkStart w:id="232" w:name="_Toc385854116"/>
            <w:bookmarkStart w:id="233" w:name="_Toc382928242"/>
            <w:bookmarkStart w:id="234" w:name="_Toc377653982"/>
            <w:bookmarkStart w:id="235" w:name="_Toc402963134"/>
            <w:bookmarkStart w:id="236" w:name="_Toc402963101"/>
            <w:bookmarkStart w:id="237" w:name="_Toc377028063"/>
            <w:r>
              <w:rPr>
                <w:rFonts w:hint="eastAsia" w:ascii="宋体" w:hAnsi="宋体"/>
              </w:rPr>
              <w:t>性能及指标</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tc>
        <w:tc>
          <w:tcPr>
            <w:tcW w:w="1575"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37"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ascii="宋体" w:hAnsi="宋体"/>
              </w:rPr>
            </w:pPr>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37"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ascii="宋体" w:hAnsi="宋体"/>
              </w:rPr>
            </w:pPr>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37"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ascii="宋体" w:hAnsi="宋体"/>
              </w:rPr>
            </w:pPr>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cantSplit/>
          <w:trHeight w:val="737" w:hRule="atLeast"/>
        </w:trPr>
        <w:tc>
          <w:tcPr>
            <w:tcW w:w="1948"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eastAsia" w:ascii="宋体" w:hAnsi="宋体"/>
              </w:rPr>
            </w:pPr>
            <w:r>
              <w:rPr>
                <w:rFonts w:ascii="宋体" w:hAnsi="宋体"/>
                <w:szCs w:val="21"/>
              </w:rPr>
              <w:t>…</w:t>
            </w:r>
          </w:p>
        </w:tc>
        <w:tc>
          <w:tcPr>
            <w:tcW w:w="1959"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83"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2070" w:type="dxa"/>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ascii="宋体" w:hAnsi="宋体"/>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left"/>
              <w:rPr>
                <w:rFonts w:ascii="宋体" w:hAnsi="宋体"/>
                <w:szCs w:val="21"/>
              </w:rPr>
            </w:pPr>
          </w:p>
        </w:tc>
      </w:tr>
    </w:tbl>
    <w:p>
      <w:pPr>
        <w:pStyle w:val="18"/>
        <w:spacing w:line="360" w:lineRule="auto"/>
        <w:ind w:firstLine="422" w:firstLineChars="200"/>
        <w:jc w:val="left"/>
        <w:rPr>
          <w:sz w:val="21"/>
          <w:szCs w:val="21"/>
        </w:rPr>
      </w:pPr>
      <w:r>
        <w:rPr>
          <w:rFonts w:hint="eastAsia"/>
          <w:sz w:val="21"/>
          <w:szCs w:val="21"/>
        </w:rPr>
        <w:t>注：1、供应商应根据投标产品的性能指标、对照招标文件要求在“偏离情况”栏注明“正偏离”、“负偏离”或“无偏离”。 未在上表中说明的，将被视为无偏离。</w:t>
      </w:r>
    </w:p>
    <w:p>
      <w:pPr>
        <w:pStyle w:val="18"/>
        <w:spacing w:line="360" w:lineRule="auto"/>
        <w:ind w:firstLine="422" w:firstLineChars="200"/>
        <w:jc w:val="left"/>
        <w:rPr>
          <w:rFonts w:hint="eastAsia"/>
          <w:sz w:val="21"/>
          <w:szCs w:val="21"/>
        </w:rPr>
      </w:pPr>
      <w:r>
        <w:rPr>
          <w:rFonts w:hint="eastAsia"/>
          <w:sz w:val="21"/>
          <w:szCs w:val="21"/>
        </w:rPr>
        <w:t>2、供应商需对上述偏离情况负责，不得虚假应标。</w:t>
      </w:r>
    </w:p>
    <w:p>
      <w:pPr>
        <w:snapToGrid w:val="0"/>
        <w:ind w:firstLine="420" w:firstLineChars="200"/>
        <w:rPr>
          <w:rFonts w:ascii="宋体" w:hAnsi="宋体"/>
          <w:spacing w:val="20"/>
          <w:szCs w:val="16"/>
          <w:u w:val="single"/>
        </w:rPr>
      </w:pPr>
      <w:r>
        <w:rPr>
          <w:rFonts w:hint="eastAsia" w:ascii="宋体" w:hAnsi="宋体"/>
          <w:szCs w:val="16"/>
        </w:rPr>
        <w:t>被授权人签字（或盖章）</w:t>
      </w:r>
      <w:r>
        <w:rPr>
          <w:rFonts w:hint="eastAsia" w:ascii="宋体" w:hAnsi="宋体"/>
          <w:spacing w:val="20"/>
          <w:szCs w:val="16"/>
        </w:rPr>
        <w:t>：</w:t>
      </w:r>
      <w:r>
        <w:rPr>
          <w:rFonts w:hint="eastAsia" w:ascii="宋体" w:hAnsi="宋体"/>
          <w:spacing w:val="20"/>
          <w:szCs w:val="16"/>
          <w:u w:val="single"/>
        </w:rPr>
        <w:t xml:space="preserve">        </w:t>
      </w:r>
    </w:p>
    <w:p>
      <w:pPr>
        <w:snapToGrid w:val="0"/>
        <w:ind w:firstLine="420" w:firstLineChars="200"/>
        <w:jc w:val="left"/>
        <w:rPr>
          <w:rFonts w:ascii="宋体" w:hAnsi="宋体"/>
          <w:szCs w:val="16"/>
        </w:rPr>
      </w:pPr>
      <w:r>
        <w:rPr>
          <w:rFonts w:hint="eastAsia" w:ascii="宋体" w:hAnsi="宋体"/>
          <w:szCs w:val="16"/>
        </w:rPr>
        <w:t>供应商公章：                                   年    月    日</w:t>
      </w:r>
    </w:p>
    <w:p>
      <w:pPr>
        <w:snapToGrid w:val="0"/>
        <w:jc w:val="left"/>
        <w:rPr>
          <w:rFonts w:ascii="宋体" w:hAnsi="宋体"/>
          <w:b/>
          <w:sz w:val="24"/>
        </w:rPr>
      </w:pPr>
      <w:r>
        <w:rPr>
          <w:rFonts w:ascii="宋体" w:hAnsi="宋体"/>
          <w:b/>
          <w:sz w:val="24"/>
        </w:rPr>
        <w:br w:type="page"/>
      </w:r>
      <w:r>
        <w:rPr>
          <w:rFonts w:ascii="宋体" w:hAnsi="宋体"/>
          <w:b/>
          <w:sz w:val="24"/>
        </w:rPr>
        <w:t>9</w:t>
      </w:r>
      <w:r>
        <w:rPr>
          <w:rFonts w:hint="eastAsia" w:ascii="宋体" w:hAnsi="宋体"/>
          <w:b/>
          <w:sz w:val="24"/>
        </w:rPr>
        <w:t>、项目实施人员</w:t>
      </w:r>
    </w:p>
    <w:p>
      <w:pPr>
        <w:pStyle w:val="374"/>
        <w:tabs>
          <w:tab w:val="clear" w:pos="1247"/>
        </w:tabs>
        <w:adjustRightInd w:val="0"/>
        <w:ind w:left="0"/>
        <w:jc w:val="center"/>
        <w:textAlignment w:val="baseline"/>
        <w:rPr>
          <w:rFonts w:ascii="宋体" w:hAnsi="宋体"/>
          <w:b/>
          <w:sz w:val="28"/>
          <w:szCs w:val="28"/>
          <w:lang w:eastAsia="zh-CN"/>
        </w:rPr>
      </w:pPr>
      <w:r>
        <w:rPr>
          <w:rFonts w:hint="eastAsia" w:ascii="宋体" w:hAnsi="宋体"/>
          <w:b/>
          <w:sz w:val="28"/>
          <w:szCs w:val="28"/>
          <w:lang w:eastAsia="zh-CN"/>
        </w:rPr>
        <w:t>项目实施人员一览表</w:t>
      </w:r>
    </w:p>
    <w:tbl>
      <w:tblPr>
        <w:tblStyle w:val="53"/>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020"/>
        <w:gridCol w:w="1342"/>
        <w:gridCol w:w="915"/>
        <w:gridCol w:w="928"/>
        <w:gridCol w:w="1134"/>
        <w:gridCol w:w="1134"/>
        <w:gridCol w:w="976"/>
        <w:gridCol w:w="172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851"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序号</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项目组所任职务</w:t>
            </w: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姓名</w:t>
            </w:r>
          </w:p>
        </w:tc>
        <w:tc>
          <w:tcPr>
            <w:tcW w:w="92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性别</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年龄</w:t>
            </w: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学历</w:t>
            </w:r>
          </w:p>
        </w:tc>
        <w:tc>
          <w:tcPr>
            <w:tcW w:w="976"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r>
              <w:rPr>
                <w:rFonts w:hint="eastAsia" w:ascii="宋体" w:hAnsi="宋体"/>
              </w:rPr>
              <w:t>专业</w:t>
            </w: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从事本工作时间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1</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2</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3</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4</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5</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r>
              <w:rPr>
                <w:rFonts w:hint="eastAsia" w:ascii="宋体" w:hAnsi="宋体" w:cs="宋体"/>
                <w:sz w:val="21"/>
                <w:szCs w:val="21"/>
              </w:rPr>
              <w:t>6</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pStyle w:val="31"/>
              <w:spacing w:after="60" w:afterLines="25" w:line="360" w:lineRule="exact"/>
              <w:jc w:val="center"/>
              <w:rPr>
                <w:rFonts w:ascii="宋体" w:hAnsi="宋体" w:cs="宋体"/>
                <w:sz w:val="21"/>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dxa"/>
          <w:trHeight w:val="567" w:hRule="atLeast"/>
          <w:jc w:val="center"/>
        </w:trPr>
        <w:tc>
          <w:tcPr>
            <w:tcW w:w="1020"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r>
              <w:rPr>
                <w:rFonts w:hint="eastAsia" w:ascii="宋体" w:hAnsi="宋体"/>
                <w:szCs w:val="21"/>
              </w:rPr>
              <w:t>…</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915"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928"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976"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c>
          <w:tcPr>
            <w:tcW w:w="1727" w:type="dxa"/>
            <w:tcBorders>
              <w:top w:val="single" w:color="auto" w:sz="4" w:space="0"/>
              <w:left w:val="single" w:color="auto" w:sz="4" w:space="0"/>
              <w:bottom w:val="single" w:color="auto" w:sz="4" w:space="0"/>
              <w:right w:val="single" w:color="auto" w:sz="4" w:space="0"/>
            </w:tcBorders>
            <w:noWrap w:val="0"/>
            <w:vAlign w:val="center"/>
          </w:tcPr>
          <w:p>
            <w:pPr>
              <w:spacing w:after="60" w:afterLines="25" w:line="360" w:lineRule="exact"/>
              <w:jc w:val="center"/>
              <w:rPr>
                <w:rFonts w:ascii="宋体" w:hAnsi="宋体"/>
                <w:szCs w:val="21"/>
              </w:rPr>
            </w:pPr>
          </w:p>
        </w:tc>
      </w:tr>
    </w:tbl>
    <w:p>
      <w:pPr>
        <w:rPr>
          <w:rFonts w:ascii="宋体" w:hAnsi="宋体"/>
          <w:b/>
          <w:szCs w:val="21"/>
        </w:rPr>
      </w:pPr>
      <w:r>
        <w:rPr>
          <w:rFonts w:hint="eastAsia" w:ascii="宋体" w:hAnsi="宋体"/>
          <w:b/>
          <w:szCs w:val="21"/>
        </w:rPr>
        <w:t>注：1、“项目实施人员”指供应商针对该项目实施所配备的人员。</w:t>
      </w:r>
    </w:p>
    <w:p>
      <w:pPr>
        <w:ind w:firstLine="422" w:firstLineChars="200"/>
        <w:rPr>
          <w:rFonts w:ascii="宋体" w:hAnsi="宋体"/>
          <w:b/>
          <w:szCs w:val="21"/>
        </w:rPr>
      </w:pPr>
      <w:r>
        <w:rPr>
          <w:rFonts w:hint="eastAsia" w:ascii="宋体" w:hAnsi="宋体"/>
          <w:b/>
          <w:szCs w:val="21"/>
        </w:rPr>
        <w:t>2、</w:t>
      </w:r>
      <w:r>
        <w:rPr>
          <w:rFonts w:hint="eastAsia" w:ascii="宋体" w:hAnsi="宋体" w:cs="宋体"/>
          <w:b/>
          <w:szCs w:val="21"/>
        </w:rPr>
        <w:t>后附</w:t>
      </w:r>
      <w:r>
        <w:rPr>
          <w:rFonts w:hint="eastAsia" w:ascii="宋体" w:hAnsi="宋体" w:cs="宋体"/>
          <w:b/>
        </w:rPr>
        <w:t>相关证明材料，所需的证明材料要求详见评标办法</w:t>
      </w:r>
      <w:r>
        <w:rPr>
          <w:rFonts w:hint="eastAsia" w:ascii="宋体" w:hAnsi="宋体" w:cs="宋体"/>
          <w:b/>
          <w:szCs w:val="21"/>
        </w:rPr>
        <w:t>。</w:t>
      </w:r>
    </w:p>
    <w:p>
      <w:pPr>
        <w:ind w:firstLine="422" w:firstLineChars="200"/>
        <w:rPr>
          <w:rFonts w:ascii="宋体" w:hAnsi="宋体"/>
          <w:b/>
          <w:szCs w:val="21"/>
        </w:rPr>
      </w:pPr>
      <w:r>
        <w:rPr>
          <w:rFonts w:hint="eastAsia" w:ascii="宋体" w:hAnsi="宋体"/>
          <w:b/>
          <w:szCs w:val="21"/>
        </w:rPr>
        <w:t>3、表格不够填写可添加。如本表格不适合供应商的实际情况，可自行制表填写。</w:t>
      </w:r>
    </w:p>
    <w:p>
      <w:pPr>
        <w:ind w:firstLine="422" w:firstLineChars="200"/>
        <w:rPr>
          <w:rFonts w:ascii="宋体" w:hAnsi="宋体"/>
          <w:b/>
          <w:szCs w:val="21"/>
        </w:rPr>
      </w:pPr>
    </w:p>
    <w:p>
      <w:pPr>
        <w:snapToGrid w:val="0"/>
        <w:rPr>
          <w:rFonts w:ascii="宋体" w:hAnsi="宋体"/>
          <w:spacing w:val="20"/>
          <w:szCs w:val="21"/>
          <w:u w:val="single"/>
        </w:rPr>
      </w:pPr>
      <w:r>
        <w:rPr>
          <w:rFonts w:hint="eastAsia" w:ascii="宋体" w:hAnsi="宋体"/>
          <w:szCs w:val="21"/>
        </w:rPr>
        <w:t>被授权人签字（或盖章）</w:t>
      </w:r>
      <w:r>
        <w:rPr>
          <w:rFonts w:hint="eastAsia" w:ascii="宋体" w:hAnsi="宋体"/>
          <w:spacing w:val="20"/>
          <w:szCs w:val="21"/>
        </w:rPr>
        <w:t>：</w:t>
      </w:r>
      <w:r>
        <w:rPr>
          <w:rFonts w:hint="eastAsia" w:ascii="宋体" w:hAnsi="宋体"/>
          <w:spacing w:val="20"/>
          <w:szCs w:val="21"/>
          <w:u w:val="single"/>
        </w:rPr>
        <w:t xml:space="preserve">        </w:t>
      </w:r>
    </w:p>
    <w:p>
      <w:pPr>
        <w:snapToGrid w:val="0"/>
        <w:rPr>
          <w:rFonts w:ascii="宋体" w:hAnsi="宋体"/>
          <w:szCs w:val="21"/>
        </w:rPr>
      </w:pPr>
      <w:r>
        <w:rPr>
          <w:rFonts w:hint="eastAsia" w:ascii="宋体" w:hAnsi="宋体"/>
          <w:szCs w:val="21"/>
        </w:rPr>
        <w:t>供应商公章：                                 年    月    日</w:t>
      </w:r>
    </w:p>
    <w:p>
      <w:pPr>
        <w:ind w:firstLine="420" w:firstLineChars="200"/>
        <w:rPr>
          <w:rFonts w:ascii="宋体" w:hAnsi="宋体"/>
        </w:rPr>
      </w:pPr>
    </w:p>
    <w:p>
      <w:pPr>
        <w:jc w:val="center"/>
        <w:rPr>
          <w:rFonts w:ascii="宋体" w:hAnsi="宋体"/>
          <w:b/>
        </w:rPr>
      </w:pPr>
      <w:r>
        <w:rPr>
          <w:rFonts w:hint="eastAsia" w:ascii="宋体" w:hAnsi="宋体"/>
        </w:rPr>
        <w:br w:type="page"/>
      </w:r>
      <w:r>
        <w:rPr>
          <w:rFonts w:hint="eastAsia" w:ascii="宋体" w:hAnsi="宋体"/>
          <w:b/>
          <w:sz w:val="28"/>
          <w:szCs w:val="28"/>
        </w:rPr>
        <w:t>项目负责人简历表</w:t>
      </w:r>
    </w:p>
    <w:p>
      <w:pPr>
        <w:jc w:val="center"/>
        <w:rPr>
          <w:rFonts w:ascii="宋体" w:hAnsi="宋体"/>
          <w:b/>
          <w:snapToGrid w:val="0"/>
        </w:rPr>
      </w:pPr>
    </w:p>
    <w:tbl>
      <w:tblPr>
        <w:tblStyle w:val="53"/>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57" w:type="dxa"/>
          <w:left w:w="57" w:type="dxa"/>
          <w:bottom w:w="57" w:type="dxa"/>
          <w:right w:w="57" w:type="dxa"/>
        </w:tblCellMar>
      </w:tblPr>
      <w:tblGrid>
        <w:gridCol w:w="2018"/>
        <w:gridCol w:w="205"/>
        <w:gridCol w:w="1951"/>
        <w:gridCol w:w="730"/>
        <w:gridCol w:w="424"/>
        <w:gridCol w:w="296"/>
        <w:gridCol w:w="602"/>
        <w:gridCol w:w="118"/>
        <w:gridCol w:w="180"/>
        <w:gridCol w:w="616"/>
        <w:gridCol w:w="433"/>
        <w:gridCol w:w="31"/>
        <w:gridCol w:w="150"/>
        <w:gridCol w:w="11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743" w:hRule="atLeast"/>
          <w:jc w:val="center"/>
        </w:trPr>
        <w:tc>
          <w:tcPr>
            <w:tcW w:w="2018" w:type="dxa"/>
            <w:noWrap w:val="0"/>
            <w:vAlign w:val="center"/>
          </w:tcPr>
          <w:p>
            <w:pPr>
              <w:jc w:val="distribute"/>
              <w:rPr>
                <w:rFonts w:ascii="宋体" w:hAnsi="宋体"/>
              </w:rPr>
            </w:pPr>
            <w:r>
              <w:rPr>
                <w:rFonts w:hint="eastAsia" w:ascii="宋体" w:hAnsi="宋体"/>
              </w:rPr>
              <w:t>项目负责</w:t>
            </w:r>
          </w:p>
          <w:p>
            <w:pPr>
              <w:jc w:val="distribute"/>
              <w:rPr>
                <w:rFonts w:ascii="宋体" w:hAnsi="宋体"/>
              </w:rPr>
            </w:pPr>
            <w:r>
              <w:rPr>
                <w:rFonts w:hint="eastAsia" w:ascii="宋体" w:hAnsi="宋体"/>
              </w:rPr>
              <w:t>人姓名</w:t>
            </w:r>
          </w:p>
        </w:tc>
        <w:tc>
          <w:tcPr>
            <w:tcW w:w="2156" w:type="dxa"/>
            <w:gridSpan w:val="2"/>
            <w:noWrap w:val="0"/>
            <w:vAlign w:val="center"/>
          </w:tcPr>
          <w:p>
            <w:pPr>
              <w:jc w:val="center"/>
              <w:rPr>
                <w:rFonts w:ascii="宋体" w:hAnsi="宋体"/>
              </w:rPr>
            </w:pPr>
          </w:p>
        </w:tc>
        <w:tc>
          <w:tcPr>
            <w:tcW w:w="730" w:type="dxa"/>
            <w:noWrap w:val="0"/>
            <w:vAlign w:val="center"/>
          </w:tcPr>
          <w:p>
            <w:pPr>
              <w:jc w:val="center"/>
              <w:rPr>
                <w:rFonts w:ascii="宋体" w:hAnsi="宋体"/>
              </w:rPr>
            </w:pPr>
            <w:r>
              <w:rPr>
                <w:rFonts w:hint="eastAsia" w:ascii="宋体" w:hAnsi="宋体"/>
              </w:rPr>
              <w:t>性</w:t>
            </w:r>
          </w:p>
          <w:p>
            <w:pPr>
              <w:jc w:val="center"/>
              <w:rPr>
                <w:rFonts w:ascii="宋体" w:hAnsi="宋体"/>
              </w:rPr>
            </w:pPr>
            <w:r>
              <w:rPr>
                <w:rFonts w:hint="eastAsia" w:ascii="宋体" w:hAnsi="宋体"/>
              </w:rPr>
              <w:t>别</w:t>
            </w:r>
          </w:p>
        </w:tc>
        <w:tc>
          <w:tcPr>
            <w:tcW w:w="720" w:type="dxa"/>
            <w:gridSpan w:val="2"/>
            <w:noWrap w:val="0"/>
            <w:vAlign w:val="center"/>
          </w:tcPr>
          <w:p>
            <w:pPr>
              <w:jc w:val="center"/>
              <w:rPr>
                <w:rFonts w:ascii="宋体" w:hAnsi="宋体"/>
              </w:rPr>
            </w:pPr>
          </w:p>
        </w:tc>
        <w:tc>
          <w:tcPr>
            <w:tcW w:w="720" w:type="dxa"/>
            <w:gridSpan w:val="2"/>
            <w:noWrap w:val="0"/>
            <w:vAlign w:val="center"/>
          </w:tcPr>
          <w:p>
            <w:pPr>
              <w:jc w:val="center"/>
              <w:rPr>
                <w:rFonts w:ascii="宋体" w:hAnsi="宋体"/>
              </w:rPr>
            </w:pPr>
            <w:r>
              <w:rPr>
                <w:rFonts w:hint="eastAsia" w:ascii="宋体" w:hAnsi="宋体"/>
              </w:rPr>
              <w:t>年</w:t>
            </w:r>
          </w:p>
          <w:p>
            <w:pPr>
              <w:jc w:val="center"/>
              <w:rPr>
                <w:rFonts w:ascii="宋体" w:hAnsi="宋体"/>
              </w:rPr>
            </w:pPr>
            <w:r>
              <w:rPr>
                <w:rFonts w:hint="eastAsia" w:ascii="宋体" w:hAnsi="宋体"/>
              </w:rPr>
              <w:t>龄</w:t>
            </w:r>
          </w:p>
        </w:tc>
        <w:tc>
          <w:tcPr>
            <w:tcW w:w="796" w:type="dxa"/>
            <w:gridSpan w:val="2"/>
            <w:noWrap w:val="0"/>
            <w:vAlign w:val="center"/>
          </w:tcPr>
          <w:p>
            <w:pPr>
              <w:jc w:val="center"/>
              <w:rPr>
                <w:rFonts w:ascii="宋体" w:hAnsi="宋体"/>
              </w:rPr>
            </w:pPr>
          </w:p>
        </w:tc>
        <w:tc>
          <w:tcPr>
            <w:tcW w:w="614" w:type="dxa"/>
            <w:gridSpan w:val="3"/>
            <w:noWrap w:val="0"/>
            <w:vAlign w:val="center"/>
          </w:tcPr>
          <w:p>
            <w:pPr>
              <w:jc w:val="center"/>
              <w:rPr>
                <w:rFonts w:ascii="宋体" w:hAnsi="宋体"/>
              </w:rPr>
            </w:pPr>
            <w:r>
              <w:rPr>
                <w:rFonts w:hint="eastAsia" w:ascii="宋体" w:hAnsi="宋体"/>
              </w:rPr>
              <w:t>学</w:t>
            </w:r>
          </w:p>
          <w:p>
            <w:pPr>
              <w:jc w:val="center"/>
              <w:rPr>
                <w:rFonts w:ascii="宋体" w:hAnsi="宋体"/>
              </w:rPr>
            </w:pPr>
            <w:r>
              <w:rPr>
                <w:rFonts w:hint="eastAsia" w:ascii="宋体" w:hAnsi="宋体"/>
              </w:rPr>
              <w:t>历</w:t>
            </w:r>
          </w:p>
        </w:tc>
        <w:tc>
          <w:tcPr>
            <w:tcW w:w="1165" w:type="dxa"/>
            <w:noWrap w:val="0"/>
            <w:vAlign w:val="center"/>
          </w:tcPr>
          <w:p>
            <w:pPr>
              <w:jc w:val="center"/>
              <w:rPr>
                <w:rFonts w:ascii="宋体" w:hAnsi="宋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490" w:hRule="atLeast"/>
          <w:jc w:val="center"/>
        </w:trPr>
        <w:tc>
          <w:tcPr>
            <w:tcW w:w="2018" w:type="dxa"/>
            <w:noWrap w:val="0"/>
            <w:vAlign w:val="center"/>
          </w:tcPr>
          <w:p>
            <w:pPr>
              <w:jc w:val="distribute"/>
              <w:rPr>
                <w:rFonts w:ascii="宋体" w:hAnsi="宋体"/>
              </w:rPr>
            </w:pPr>
            <w:r>
              <w:rPr>
                <w:rFonts w:hint="eastAsia" w:ascii="宋体" w:hAnsi="宋体"/>
              </w:rPr>
              <w:t>行政职务</w:t>
            </w:r>
          </w:p>
        </w:tc>
        <w:tc>
          <w:tcPr>
            <w:tcW w:w="2156" w:type="dxa"/>
            <w:gridSpan w:val="2"/>
            <w:noWrap w:val="0"/>
            <w:vAlign w:val="center"/>
          </w:tcPr>
          <w:p>
            <w:pPr>
              <w:jc w:val="center"/>
              <w:rPr>
                <w:rFonts w:ascii="宋体" w:hAnsi="宋体"/>
              </w:rPr>
            </w:pPr>
          </w:p>
        </w:tc>
        <w:tc>
          <w:tcPr>
            <w:tcW w:w="730" w:type="dxa"/>
            <w:noWrap w:val="0"/>
            <w:vAlign w:val="center"/>
          </w:tcPr>
          <w:p>
            <w:pPr>
              <w:jc w:val="center"/>
              <w:rPr>
                <w:rFonts w:ascii="宋体" w:hAnsi="宋体"/>
              </w:rPr>
            </w:pPr>
            <w:r>
              <w:rPr>
                <w:rFonts w:hint="eastAsia" w:ascii="宋体" w:hAnsi="宋体"/>
              </w:rPr>
              <w:t>专业职称</w:t>
            </w:r>
          </w:p>
        </w:tc>
        <w:tc>
          <w:tcPr>
            <w:tcW w:w="1322" w:type="dxa"/>
            <w:gridSpan w:val="3"/>
            <w:noWrap w:val="0"/>
            <w:vAlign w:val="center"/>
          </w:tcPr>
          <w:p>
            <w:pPr>
              <w:jc w:val="center"/>
              <w:rPr>
                <w:rFonts w:ascii="宋体" w:hAnsi="宋体"/>
              </w:rPr>
            </w:pPr>
          </w:p>
        </w:tc>
        <w:tc>
          <w:tcPr>
            <w:tcW w:w="1378" w:type="dxa"/>
            <w:gridSpan w:val="5"/>
            <w:noWrap w:val="0"/>
            <w:vAlign w:val="center"/>
          </w:tcPr>
          <w:p>
            <w:pPr>
              <w:jc w:val="center"/>
              <w:rPr>
                <w:rFonts w:ascii="宋体" w:hAnsi="宋体"/>
              </w:rPr>
            </w:pPr>
            <w:r>
              <w:rPr>
                <w:rFonts w:hint="eastAsia" w:ascii="宋体" w:hAnsi="宋体"/>
              </w:rPr>
              <w:t>专业年限</w:t>
            </w:r>
          </w:p>
        </w:tc>
        <w:tc>
          <w:tcPr>
            <w:tcW w:w="1315" w:type="dxa"/>
            <w:gridSpan w:val="2"/>
            <w:noWrap w:val="0"/>
            <w:vAlign w:val="center"/>
          </w:tcPr>
          <w:p>
            <w:pPr>
              <w:jc w:val="center"/>
              <w:rPr>
                <w:rFonts w:ascii="宋体" w:hAnsi="宋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469" w:hRule="atLeast"/>
          <w:jc w:val="center"/>
        </w:trPr>
        <w:tc>
          <w:tcPr>
            <w:tcW w:w="2018" w:type="dxa"/>
            <w:noWrap w:val="0"/>
            <w:vAlign w:val="center"/>
          </w:tcPr>
          <w:p>
            <w:pPr>
              <w:jc w:val="center"/>
              <w:rPr>
                <w:rFonts w:ascii="宋体" w:hAnsi="宋体"/>
              </w:rPr>
            </w:pPr>
            <w:r>
              <w:rPr>
                <w:rFonts w:hint="eastAsia" w:ascii="宋体" w:hAnsi="宋体"/>
              </w:rPr>
              <w:t>工作单位</w:t>
            </w:r>
          </w:p>
        </w:tc>
        <w:tc>
          <w:tcPr>
            <w:tcW w:w="4208" w:type="dxa"/>
            <w:gridSpan w:val="6"/>
            <w:noWrap w:val="0"/>
            <w:vAlign w:val="center"/>
          </w:tcPr>
          <w:p>
            <w:pPr>
              <w:jc w:val="center"/>
              <w:rPr>
                <w:rFonts w:ascii="宋体" w:hAnsi="宋体"/>
              </w:rPr>
            </w:pPr>
          </w:p>
        </w:tc>
        <w:tc>
          <w:tcPr>
            <w:tcW w:w="1347" w:type="dxa"/>
            <w:gridSpan w:val="4"/>
            <w:noWrap w:val="0"/>
            <w:vAlign w:val="center"/>
          </w:tcPr>
          <w:p>
            <w:pPr>
              <w:jc w:val="center"/>
              <w:rPr>
                <w:rFonts w:ascii="宋体" w:hAnsi="宋体"/>
              </w:rPr>
            </w:pPr>
            <w:r>
              <w:rPr>
                <w:rFonts w:hint="eastAsia" w:ascii="宋体" w:hAnsi="宋体"/>
              </w:rPr>
              <w:t>电话</w:t>
            </w:r>
          </w:p>
        </w:tc>
        <w:tc>
          <w:tcPr>
            <w:tcW w:w="1346" w:type="dxa"/>
            <w:gridSpan w:val="3"/>
            <w:noWrap w:val="0"/>
            <w:vAlign w:val="center"/>
          </w:tcPr>
          <w:p>
            <w:pPr>
              <w:jc w:val="center"/>
              <w:rPr>
                <w:rFonts w:ascii="宋体" w:hAnsi="宋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469" w:hRule="atLeast"/>
          <w:jc w:val="center"/>
        </w:trPr>
        <w:tc>
          <w:tcPr>
            <w:tcW w:w="2018" w:type="dxa"/>
            <w:noWrap w:val="0"/>
            <w:vAlign w:val="center"/>
          </w:tcPr>
          <w:p>
            <w:pPr>
              <w:jc w:val="distribute"/>
              <w:rPr>
                <w:rFonts w:ascii="宋体" w:hAnsi="宋体"/>
              </w:rPr>
            </w:pPr>
            <w:r>
              <w:rPr>
                <w:rFonts w:hint="eastAsia" w:ascii="宋体" w:hAnsi="宋体"/>
              </w:rPr>
              <w:t>通讯地址</w:t>
            </w:r>
          </w:p>
        </w:tc>
        <w:tc>
          <w:tcPr>
            <w:tcW w:w="4208" w:type="dxa"/>
            <w:gridSpan w:val="6"/>
            <w:noWrap w:val="0"/>
            <w:vAlign w:val="center"/>
          </w:tcPr>
          <w:p>
            <w:pPr>
              <w:jc w:val="center"/>
              <w:rPr>
                <w:rFonts w:ascii="宋体" w:hAnsi="宋体"/>
              </w:rPr>
            </w:pPr>
          </w:p>
        </w:tc>
        <w:tc>
          <w:tcPr>
            <w:tcW w:w="1347" w:type="dxa"/>
            <w:gridSpan w:val="4"/>
            <w:noWrap w:val="0"/>
            <w:vAlign w:val="center"/>
          </w:tcPr>
          <w:p>
            <w:pPr>
              <w:jc w:val="center"/>
              <w:rPr>
                <w:rFonts w:ascii="宋体" w:hAnsi="宋体"/>
              </w:rPr>
            </w:pPr>
            <w:r>
              <w:rPr>
                <w:rFonts w:hint="eastAsia" w:ascii="宋体" w:hAnsi="宋体"/>
              </w:rPr>
              <w:t>邮编</w:t>
            </w:r>
          </w:p>
        </w:tc>
        <w:tc>
          <w:tcPr>
            <w:tcW w:w="1346" w:type="dxa"/>
            <w:gridSpan w:val="3"/>
            <w:noWrap w:val="0"/>
            <w:vAlign w:val="center"/>
          </w:tcPr>
          <w:p>
            <w:pPr>
              <w:jc w:val="center"/>
              <w:rPr>
                <w:rFonts w:ascii="宋体" w:hAnsi="宋体"/>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551" w:hRule="atLeast"/>
          <w:jc w:val="center"/>
        </w:trPr>
        <w:tc>
          <w:tcPr>
            <w:tcW w:w="8919" w:type="dxa"/>
            <w:gridSpan w:val="14"/>
            <w:noWrap w:val="0"/>
            <w:vAlign w:val="center"/>
          </w:tcPr>
          <w:p>
            <w:pPr>
              <w:jc w:val="center"/>
              <w:rPr>
                <w:rFonts w:ascii="宋体" w:hAnsi="宋体"/>
              </w:rPr>
            </w:pPr>
            <w:r>
              <w:rPr>
                <w:rFonts w:hint="eastAsia" w:ascii="宋体" w:hAnsi="宋体"/>
              </w:rPr>
              <w:t>类似项目工作经验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795" w:hRule="atLeast"/>
          <w:jc w:val="center"/>
        </w:trPr>
        <w:tc>
          <w:tcPr>
            <w:tcW w:w="2223" w:type="dxa"/>
            <w:gridSpan w:val="2"/>
            <w:noWrap w:val="0"/>
            <w:vAlign w:val="center"/>
          </w:tcPr>
          <w:p>
            <w:pPr>
              <w:jc w:val="center"/>
              <w:rPr>
                <w:rFonts w:ascii="宋体" w:hAnsi="宋体"/>
              </w:rPr>
            </w:pPr>
            <w:r>
              <w:rPr>
                <w:rFonts w:hint="eastAsia" w:ascii="宋体" w:hAnsi="宋体"/>
              </w:rPr>
              <w:t>时间</w:t>
            </w:r>
          </w:p>
        </w:tc>
        <w:tc>
          <w:tcPr>
            <w:tcW w:w="3105" w:type="dxa"/>
            <w:gridSpan w:val="3"/>
            <w:noWrap w:val="0"/>
            <w:vAlign w:val="center"/>
          </w:tcPr>
          <w:p>
            <w:pPr>
              <w:jc w:val="center"/>
              <w:rPr>
                <w:rFonts w:ascii="宋体" w:hAnsi="宋体"/>
              </w:rPr>
            </w:pPr>
            <w:r>
              <w:rPr>
                <w:rFonts w:hint="eastAsia" w:ascii="宋体" w:hAnsi="宋体"/>
              </w:rPr>
              <w:t>参加过的类似项目</w:t>
            </w:r>
          </w:p>
        </w:tc>
        <w:tc>
          <w:tcPr>
            <w:tcW w:w="1196" w:type="dxa"/>
            <w:gridSpan w:val="4"/>
            <w:noWrap w:val="0"/>
            <w:vAlign w:val="center"/>
          </w:tcPr>
          <w:p>
            <w:pPr>
              <w:jc w:val="center"/>
              <w:rPr>
                <w:rFonts w:ascii="宋体" w:hAnsi="宋体"/>
              </w:rPr>
            </w:pPr>
            <w:r>
              <w:rPr>
                <w:rFonts w:hint="eastAsia" w:ascii="宋体" w:hAnsi="宋体"/>
              </w:rPr>
              <w:t>担任职务</w:t>
            </w:r>
          </w:p>
        </w:tc>
        <w:tc>
          <w:tcPr>
            <w:tcW w:w="2395" w:type="dxa"/>
            <w:gridSpan w:val="5"/>
            <w:noWrap w:val="0"/>
            <w:vAlign w:val="center"/>
          </w:tcPr>
          <w:p>
            <w:pPr>
              <w:rPr>
                <w:rFonts w:ascii="宋体" w:hAnsi="宋体"/>
              </w:rPr>
            </w:pPr>
            <w:r>
              <w:rPr>
                <w:rFonts w:hint="eastAsia" w:ascii="宋体" w:hAnsi="宋体"/>
              </w:rPr>
              <w:t>发包人及联系电话</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57" w:type="dxa"/>
            <w:left w:w="57" w:type="dxa"/>
            <w:bottom w:w="57" w:type="dxa"/>
            <w:right w:w="57" w:type="dxa"/>
          </w:tblCellMar>
        </w:tblPrEx>
        <w:trPr>
          <w:wBefore w:w="0" w:type="dxa"/>
          <w:trHeight w:val="639" w:hRule="atLeast"/>
          <w:jc w:val="center"/>
        </w:trPr>
        <w:tc>
          <w:tcPr>
            <w:tcW w:w="2223" w:type="dxa"/>
            <w:gridSpan w:val="2"/>
            <w:noWrap w:val="0"/>
            <w:vAlign w:val="center"/>
          </w:tcPr>
          <w:p>
            <w:pPr>
              <w:jc w:val="center"/>
              <w:rPr>
                <w:rFonts w:ascii="宋体" w:hAnsi="宋体"/>
              </w:rPr>
            </w:pPr>
          </w:p>
          <w:p>
            <w:pPr>
              <w:jc w:val="center"/>
              <w:rPr>
                <w:rFonts w:ascii="宋体" w:hAnsi="宋体"/>
              </w:rPr>
            </w:pPr>
          </w:p>
        </w:tc>
        <w:tc>
          <w:tcPr>
            <w:tcW w:w="3105" w:type="dxa"/>
            <w:gridSpan w:val="3"/>
            <w:noWrap w:val="0"/>
            <w:vAlign w:val="center"/>
          </w:tcPr>
          <w:p>
            <w:pPr>
              <w:jc w:val="center"/>
              <w:rPr>
                <w:rFonts w:ascii="宋体" w:hAnsi="宋体"/>
              </w:rPr>
            </w:pPr>
          </w:p>
        </w:tc>
        <w:tc>
          <w:tcPr>
            <w:tcW w:w="1196" w:type="dxa"/>
            <w:gridSpan w:val="4"/>
            <w:noWrap w:val="0"/>
            <w:vAlign w:val="center"/>
          </w:tcPr>
          <w:p>
            <w:pPr>
              <w:jc w:val="center"/>
              <w:rPr>
                <w:rFonts w:ascii="宋体" w:hAnsi="宋体"/>
              </w:rPr>
            </w:pPr>
          </w:p>
        </w:tc>
        <w:tc>
          <w:tcPr>
            <w:tcW w:w="2395" w:type="dxa"/>
            <w:gridSpan w:val="5"/>
            <w:noWrap w:val="0"/>
            <w:vAlign w:val="center"/>
          </w:tcPr>
          <w:p>
            <w:pPr>
              <w:jc w:val="center"/>
              <w:rPr>
                <w:rFonts w:ascii="宋体" w:hAnsi="宋体"/>
              </w:rPr>
            </w:pPr>
          </w:p>
        </w:tc>
      </w:tr>
    </w:tbl>
    <w:p>
      <w:pPr>
        <w:rPr>
          <w:rFonts w:ascii="宋体" w:hAnsi="宋体"/>
          <w:b/>
          <w:szCs w:val="21"/>
        </w:rPr>
      </w:pPr>
      <w:r>
        <w:rPr>
          <w:rFonts w:hint="eastAsia" w:ascii="宋体" w:hAnsi="宋体"/>
          <w:b/>
          <w:szCs w:val="21"/>
        </w:rPr>
        <w:t>注：后附</w:t>
      </w:r>
      <w:r>
        <w:rPr>
          <w:rFonts w:hint="eastAsia" w:ascii="宋体" w:hAnsi="宋体" w:cs="宋体"/>
          <w:b/>
        </w:rPr>
        <w:t>相关证明材料，所需的证明材料要求详见评标办法</w:t>
      </w:r>
      <w:r>
        <w:rPr>
          <w:rFonts w:hint="eastAsia" w:ascii="宋体" w:hAnsi="宋体" w:cs="宋体"/>
          <w:b/>
          <w:szCs w:val="21"/>
        </w:rPr>
        <w:t>。</w:t>
      </w:r>
    </w:p>
    <w:p>
      <w:pPr>
        <w:rPr>
          <w:rFonts w:hint="eastAsia" w:ascii="宋体" w:hAnsi="宋体"/>
          <w:b/>
          <w:sz w:val="24"/>
        </w:rPr>
      </w:pPr>
    </w:p>
    <w:p>
      <w:pPr>
        <w:rPr>
          <w:rFonts w:hint="eastAsia" w:ascii="宋体" w:hAnsi="宋体"/>
          <w:b/>
          <w:sz w:val="24"/>
        </w:rPr>
      </w:pPr>
    </w:p>
    <w:p>
      <w:pPr>
        <w:snapToGrid w:val="0"/>
        <w:rPr>
          <w:rFonts w:ascii="宋体" w:hAnsi="宋体"/>
          <w:spacing w:val="20"/>
          <w:szCs w:val="21"/>
          <w:u w:val="single"/>
        </w:rPr>
      </w:pPr>
      <w:r>
        <w:rPr>
          <w:rFonts w:hint="eastAsia" w:ascii="宋体" w:hAnsi="宋体"/>
          <w:szCs w:val="21"/>
        </w:rPr>
        <w:t>被授权人签字（或盖章）</w:t>
      </w:r>
      <w:r>
        <w:rPr>
          <w:rFonts w:hint="eastAsia" w:ascii="宋体" w:hAnsi="宋体"/>
          <w:spacing w:val="20"/>
          <w:szCs w:val="21"/>
        </w:rPr>
        <w:t>：</w:t>
      </w:r>
      <w:r>
        <w:rPr>
          <w:rFonts w:hint="eastAsia" w:ascii="宋体" w:hAnsi="宋体"/>
          <w:spacing w:val="20"/>
          <w:szCs w:val="21"/>
          <w:u w:val="single"/>
        </w:rPr>
        <w:t xml:space="preserve">        </w:t>
      </w:r>
    </w:p>
    <w:p>
      <w:pPr>
        <w:snapToGrid w:val="0"/>
        <w:rPr>
          <w:rFonts w:ascii="宋体" w:hAnsi="宋体"/>
          <w:szCs w:val="21"/>
        </w:rPr>
      </w:pPr>
      <w:r>
        <w:rPr>
          <w:rFonts w:hint="eastAsia" w:ascii="宋体" w:hAnsi="宋体"/>
          <w:szCs w:val="21"/>
        </w:rPr>
        <w:t>供应商公章：                                 年    月    日</w:t>
      </w:r>
    </w:p>
    <w:p>
      <w:pPr>
        <w:snapToGrid w:val="0"/>
        <w:jc w:val="left"/>
        <w:rPr>
          <w:rFonts w:ascii="宋体" w:hAnsi="宋体"/>
          <w:b/>
          <w:sz w:val="24"/>
        </w:rPr>
      </w:pPr>
      <w:r>
        <w:rPr>
          <w:rFonts w:ascii="宋体" w:hAnsi="宋体"/>
          <w:sz w:val="24"/>
        </w:rPr>
        <w:br w:type="page"/>
      </w:r>
      <w:r>
        <w:rPr>
          <w:rFonts w:ascii="宋体" w:hAnsi="宋体"/>
          <w:b/>
          <w:sz w:val="24"/>
        </w:rPr>
        <w:t>10</w:t>
      </w:r>
      <w:r>
        <w:rPr>
          <w:rFonts w:hint="eastAsia" w:ascii="宋体" w:hAnsi="宋体"/>
          <w:b/>
          <w:sz w:val="24"/>
        </w:rPr>
        <w:t>、投入本项目的设备一览表</w:t>
      </w:r>
    </w:p>
    <w:p>
      <w:pPr>
        <w:pStyle w:val="374"/>
        <w:tabs>
          <w:tab w:val="clear" w:pos="1247"/>
        </w:tabs>
        <w:adjustRightInd w:val="0"/>
        <w:ind w:left="0"/>
        <w:jc w:val="center"/>
        <w:textAlignment w:val="baseline"/>
        <w:rPr>
          <w:rFonts w:ascii="宋体" w:hAnsi="宋体"/>
          <w:b/>
          <w:sz w:val="28"/>
          <w:szCs w:val="28"/>
        </w:rPr>
      </w:pPr>
      <w:r>
        <w:rPr>
          <w:rFonts w:hint="eastAsia" w:ascii="宋体" w:hAnsi="宋体"/>
          <w:b/>
          <w:sz w:val="28"/>
          <w:szCs w:val="28"/>
        </w:rPr>
        <w:t>投入设备一览表</w:t>
      </w:r>
    </w:p>
    <w:tbl>
      <w:tblPr>
        <w:tblStyle w:val="53"/>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52"/>
        <w:gridCol w:w="1816"/>
        <w:gridCol w:w="1211"/>
        <w:gridCol w:w="1342"/>
        <w:gridCol w:w="803"/>
        <w:gridCol w:w="912"/>
        <w:gridCol w:w="240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83"/>
              <w:jc w:val="center"/>
              <w:rPr>
                <w:rFonts w:hAnsi="宋体" w:eastAsia="宋体"/>
                <w:sz w:val="24"/>
                <w:szCs w:val="24"/>
              </w:rPr>
            </w:pPr>
            <w:r>
              <w:rPr>
                <w:rFonts w:hint="eastAsia" w:hAnsi="宋体" w:eastAsia="宋体"/>
                <w:sz w:val="24"/>
                <w:szCs w:val="24"/>
              </w:rPr>
              <w:t>序号</w:t>
            </w:r>
          </w:p>
        </w:tc>
        <w:tc>
          <w:tcPr>
            <w:tcW w:w="1816" w:type="dxa"/>
            <w:noWrap w:val="0"/>
            <w:vAlign w:val="center"/>
          </w:tcPr>
          <w:p>
            <w:pPr>
              <w:pStyle w:val="683"/>
              <w:jc w:val="center"/>
              <w:rPr>
                <w:rFonts w:hAnsi="宋体" w:eastAsia="宋体"/>
                <w:sz w:val="24"/>
                <w:szCs w:val="24"/>
              </w:rPr>
            </w:pPr>
            <w:r>
              <w:rPr>
                <w:rFonts w:hint="eastAsia" w:hAnsi="宋体" w:eastAsia="宋体"/>
                <w:sz w:val="24"/>
                <w:szCs w:val="24"/>
              </w:rPr>
              <w:t>名称</w:t>
            </w:r>
          </w:p>
        </w:tc>
        <w:tc>
          <w:tcPr>
            <w:tcW w:w="1211" w:type="dxa"/>
            <w:noWrap w:val="0"/>
            <w:vAlign w:val="center"/>
          </w:tcPr>
          <w:p>
            <w:pPr>
              <w:pStyle w:val="683"/>
              <w:jc w:val="center"/>
              <w:rPr>
                <w:rFonts w:hAnsi="宋体" w:eastAsia="宋体"/>
                <w:sz w:val="24"/>
                <w:szCs w:val="24"/>
              </w:rPr>
            </w:pPr>
            <w:r>
              <w:rPr>
                <w:rFonts w:hint="eastAsia" w:hAnsi="宋体" w:eastAsia="宋体"/>
                <w:sz w:val="24"/>
                <w:szCs w:val="24"/>
              </w:rPr>
              <w:t>品牌</w:t>
            </w:r>
          </w:p>
        </w:tc>
        <w:tc>
          <w:tcPr>
            <w:tcW w:w="1342" w:type="dxa"/>
            <w:tcBorders>
              <w:bottom w:val="single" w:color="auto" w:sz="4" w:space="0"/>
            </w:tcBorders>
            <w:noWrap w:val="0"/>
            <w:vAlign w:val="center"/>
          </w:tcPr>
          <w:p>
            <w:pPr>
              <w:pStyle w:val="683"/>
              <w:jc w:val="center"/>
              <w:rPr>
                <w:rFonts w:hAnsi="宋体" w:eastAsia="宋体"/>
                <w:sz w:val="24"/>
                <w:szCs w:val="24"/>
              </w:rPr>
            </w:pPr>
            <w:r>
              <w:rPr>
                <w:rFonts w:hint="eastAsia" w:hAnsi="宋体" w:eastAsia="宋体"/>
                <w:sz w:val="24"/>
                <w:szCs w:val="24"/>
              </w:rPr>
              <w:t>型号、规格</w:t>
            </w:r>
          </w:p>
        </w:tc>
        <w:tc>
          <w:tcPr>
            <w:tcW w:w="803" w:type="dxa"/>
            <w:tcBorders>
              <w:right w:val="single" w:color="auto" w:sz="4" w:space="0"/>
            </w:tcBorders>
            <w:noWrap w:val="0"/>
            <w:vAlign w:val="center"/>
          </w:tcPr>
          <w:p>
            <w:pPr>
              <w:pStyle w:val="683"/>
              <w:jc w:val="center"/>
              <w:rPr>
                <w:rFonts w:hAnsi="宋体" w:eastAsia="宋体"/>
                <w:sz w:val="24"/>
                <w:szCs w:val="24"/>
              </w:rPr>
            </w:pPr>
            <w:r>
              <w:rPr>
                <w:rFonts w:hint="eastAsia" w:hAnsi="宋体" w:eastAsia="宋体"/>
                <w:sz w:val="24"/>
                <w:szCs w:val="24"/>
              </w:rPr>
              <w:t>单位</w:t>
            </w:r>
          </w:p>
        </w:tc>
        <w:tc>
          <w:tcPr>
            <w:tcW w:w="912" w:type="dxa"/>
            <w:tcBorders>
              <w:left w:val="single" w:color="auto" w:sz="4" w:space="0"/>
            </w:tcBorders>
            <w:noWrap w:val="0"/>
            <w:vAlign w:val="center"/>
          </w:tcPr>
          <w:p>
            <w:pPr>
              <w:pStyle w:val="683"/>
              <w:jc w:val="center"/>
              <w:rPr>
                <w:rFonts w:hAnsi="宋体" w:eastAsia="宋体"/>
                <w:sz w:val="24"/>
                <w:szCs w:val="24"/>
              </w:rPr>
            </w:pPr>
            <w:r>
              <w:rPr>
                <w:rFonts w:hint="eastAsia" w:hAnsi="宋体" w:eastAsia="宋体"/>
                <w:sz w:val="24"/>
                <w:szCs w:val="24"/>
              </w:rPr>
              <w:t>数量</w:t>
            </w:r>
          </w:p>
        </w:tc>
        <w:tc>
          <w:tcPr>
            <w:tcW w:w="2400" w:type="dxa"/>
            <w:noWrap w:val="0"/>
            <w:vAlign w:val="center"/>
          </w:tcPr>
          <w:p>
            <w:pPr>
              <w:pStyle w:val="683"/>
              <w:jc w:val="center"/>
              <w:rPr>
                <w:rFonts w:hAnsi="宋体" w:eastAsia="宋体"/>
                <w:sz w:val="24"/>
                <w:szCs w:val="24"/>
              </w:rPr>
            </w:pPr>
            <w:r>
              <w:rPr>
                <w:rFonts w:hint="eastAsia" w:hAnsi="宋体" w:eastAsia="宋体"/>
                <w:sz w:val="24"/>
                <w:szCs w:val="24"/>
              </w:rPr>
              <w:t>设备性质（自有/租赁）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83"/>
              <w:jc w:val="center"/>
              <w:rPr>
                <w:rFonts w:hAnsi="宋体" w:eastAsia="宋体"/>
                <w:sz w:val="24"/>
                <w:szCs w:val="24"/>
              </w:rPr>
            </w:pPr>
          </w:p>
        </w:tc>
        <w:tc>
          <w:tcPr>
            <w:tcW w:w="1816" w:type="dxa"/>
            <w:noWrap w:val="0"/>
            <w:vAlign w:val="center"/>
          </w:tcPr>
          <w:p>
            <w:pPr>
              <w:pStyle w:val="683"/>
              <w:jc w:val="center"/>
              <w:rPr>
                <w:rFonts w:hAnsi="宋体" w:eastAsia="宋体"/>
                <w:sz w:val="24"/>
                <w:szCs w:val="24"/>
              </w:rPr>
            </w:pPr>
          </w:p>
        </w:tc>
        <w:tc>
          <w:tcPr>
            <w:tcW w:w="1211" w:type="dxa"/>
            <w:noWrap w:val="0"/>
            <w:vAlign w:val="top"/>
          </w:tcPr>
          <w:p>
            <w:pPr>
              <w:pStyle w:val="683"/>
              <w:jc w:val="center"/>
              <w:rPr>
                <w:rFonts w:hAnsi="宋体" w:eastAsia="宋体"/>
                <w:sz w:val="24"/>
                <w:szCs w:val="24"/>
              </w:rPr>
            </w:pPr>
          </w:p>
        </w:tc>
        <w:tc>
          <w:tcPr>
            <w:tcW w:w="1342" w:type="dxa"/>
            <w:tcBorders>
              <w:top w:val="single" w:color="auto" w:sz="4" w:space="0"/>
            </w:tcBorders>
            <w:noWrap w:val="0"/>
            <w:vAlign w:val="center"/>
          </w:tcPr>
          <w:p>
            <w:pPr>
              <w:pStyle w:val="683"/>
              <w:jc w:val="center"/>
              <w:rPr>
                <w:rFonts w:hAnsi="宋体" w:eastAsia="宋体"/>
                <w:sz w:val="24"/>
                <w:szCs w:val="24"/>
              </w:rPr>
            </w:pPr>
          </w:p>
        </w:tc>
        <w:tc>
          <w:tcPr>
            <w:tcW w:w="803" w:type="dxa"/>
            <w:tcBorders>
              <w:right w:val="single" w:color="auto" w:sz="4" w:space="0"/>
            </w:tcBorders>
            <w:noWrap w:val="0"/>
            <w:vAlign w:val="center"/>
          </w:tcPr>
          <w:p>
            <w:pPr>
              <w:pStyle w:val="683"/>
              <w:jc w:val="center"/>
              <w:rPr>
                <w:rFonts w:hAnsi="宋体" w:eastAsia="宋体"/>
                <w:sz w:val="24"/>
                <w:szCs w:val="24"/>
              </w:rPr>
            </w:pPr>
          </w:p>
        </w:tc>
        <w:tc>
          <w:tcPr>
            <w:tcW w:w="912" w:type="dxa"/>
            <w:tcBorders>
              <w:left w:val="single" w:color="auto" w:sz="4" w:space="0"/>
            </w:tcBorders>
            <w:noWrap w:val="0"/>
            <w:vAlign w:val="center"/>
          </w:tcPr>
          <w:p>
            <w:pPr>
              <w:pStyle w:val="683"/>
              <w:jc w:val="center"/>
              <w:rPr>
                <w:rFonts w:hAnsi="宋体" w:eastAsia="宋体"/>
                <w:sz w:val="24"/>
                <w:szCs w:val="24"/>
              </w:rPr>
            </w:pPr>
          </w:p>
        </w:tc>
        <w:tc>
          <w:tcPr>
            <w:tcW w:w="2400" w:type="dxa"/>
            <w:noWrap w:val="0"/>
            <w:vAlign w:val="center"/>
          </w:tcPr>
          <w:p>
            <w:pPr>
              <w:pStyle w:val="683"/>
              <w:jc w:val="center"/>
              <w:rPr>
                <w:rFonts w:hAnsi="宋体" w:eastAsia="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83"/>
              <w:jc w:val="center"/>
              <w:rPr>
                <w:rFonts w:hAnsi="宋体" w:eastAsia="宋体"/>
                <w:sz w:val="24"/>
                <w:szCs w:val="24"/>
              </w:rPr>
            </w:pPr>
          </w:p>
        </w:tc>
        <w:tc>
          <w:tcPr>
            <w:tcW w:w="1816" w:type="dxa"/>
            <w:noWrap w:val="0"/>
            <w:vAlign w:val="center"/>
          </w:tcPr>
          <w:p>
            <w:pPr>
              <w:pStyle w:val="683"/>
              <w:jc w:val="center"/>
              <w:rPr>
                <w:rFonts w:hAnsi="宋体" w:eastAsia="宋体"/>
                <w:sz w:val="24"/>
                <w:szCs w:val="24"/>
              </w:rPr>
            </w:pPr>
          </w:p>
        </w:tc>
        <w:tc>
          <w:tcPr>
            <w:tcW w:w="1211" w:type="dxa"/>
            <w:noWrap w:val="0"/>
            <w:vAlign w:val="top"/>
          </w:tcPr>
          <w:p>
            <w:pPr>
              <w:pStyle w:val="683"/>
              <w:jc w:val="center"/>
              <w:rPr>
                <w:rFonts w:hAnsi="宋体" w:eastAsia="宋体"/>
                <w:sz w:val="24"/>
                <w:szCs w:val="24"/>
              </w:rPr>
            </w:pPr>
          </w:p>
        </w:tc>
        <w:tc>
          <w:tcPr>
            <w:tcW w:w="1342" w:type="dxa"/>
            <w:noWrap w:val="0"/>
            <w:vAlign w:val="center"/>
          </w:tcPr>
          <w:p>
            <w:pPr>
              <w:pStyle w:val="683"/>
              <w:jc w:val="center"/>
              <w:rPr>
                <w:rFonts w:hAnsi="宋体" w:eastAsia="宋体"/>
                <w:sz w:val="24"/>
                <w:szCs w:val="24"/>
              </w:rPr>
            </w:pPr>
          </w:p>
        </w:tc>
        <w:tc>
          <w:tcPr>
            <w:tcW w:w="803" w:type="dxa"/>
            <w:tcBorders>
              <w:right w:val="single" w:color="auto" w:sz="4" w:space="0"/>
            </w:tcBorders>
            <w:noWrap w:val="0"/>
            <w:vAlign w:val="center"/>
          </w:tcPr>
          <w:p>
            <w:pPr>
              <w:pStyle w:val="683"/>
              <w:jc w:val="center"/>
              <w:rPr>
                <w:rFonts w:hAnsi="宋体" w:eastAsia="宋体"/>
                <w:sz w:val="24"/>
                <w:szCs w:val="24"/>
              </w:rPr>
            </w:pPr>
          </w:p>
        </w:tc>
        <w:tc>
          <w:tcPr>
            <w:tcW w:w="912" w:type="dxa"/>
            <w:tcBorders>
              <w:left w:val="single" w:color="auto" w:sz="4" w:space="0"/>
            </w:tcBorders>
            <w:noWrap w:val="0"/>
            <w:vAlign w:val="center"/>
          </w:tcPr>
          <w:p>
            <w:pPr>
              <w:pStyle w:val="683"/>
              <w:jc w:val="center"/>
              <w:rPr>
                <w:rFonts w:hAnsi="宋体" w:eastAsia="宋体"/>
                <w:sz w:val="24"/>
                <w:szCs w:val="24"/>
              </w:rPr>
            </w:pPr>
          </w:p>
        </w:tc>
        <w:tc>
          <w:tcPr>
            <w:tcW w:w="2400" w:type="dxa"/>
            <w:noWrap w:val="0"/>
            <w:vAlign w:val="center"/>
          </w:tcPr>
          <w:p>
            <w:pPr>
              <w:pStyle w:val="683"/>
              <w:jc w:val="center"/>
              <w:rPr>
                <w:rFonts w:hAnsi="宋体" w:eastAsia="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83"/>
              <w:jc w:val="center"/>
              <w:rPr>
                <w:rFonts w:hAnsi="宋体" w:eastAsia="宋体"/>
                <w:sz w:val="24"/>
                <w:szCs w:val="24"/>
              </w:rPr>
            </w:pPr>
          </w:p>
        </w:tc>
        <w:tc>
          <w:tcPr>
            <w:tcW w:w="1816" w:type="dxa"/>
            <w:noWrap w:val="0"/>
            <w:vAlign w:val="center"/>
          </w:tcPr>
          <w:p>
            <w:pPr>
              <w:pStyle w:val="683"/>
              <w:jc w:val="center"/>
              <w:rPr>
                <w:rFonts w:hAnsi="宋体" w:eastAsia="宋体"/>
                <w:sz w:val="24"/>
                <w:szCs w:val="24"/>
              </w:rPr>
            </w:pPr>
          </w:p>
        </w:tc>
        <w:tc>
          <w:tcPr>
            <w:tcW w:w="1211" w:type="dxa"/>
            <w:noWrap w:val="0"/>
            <w:vAlign w:val="top"/>
          </w:tcPr>
          <w:p>
            <w:pPr>
              <w:pStyle w:val="683"/>
              <w:jc w:val="center"/>
              <w:rPr>
                <w:rFonts w:hAnsi="宋体" w:eastAsia="宋体"/>
                <w:sz w:val="24"/>
                <w:szCs w:val="24"/>
              </w:rPr>
            </w:pPr>
          </w:p>
        </w:tc>
        <w:tc>
          <w:tcPr>
            <w:tcW w:w="1342" w:type="dxa"/>
            <w:noWrap w:val="0"/>
            <w:vAlign w:val="center"/>
          </w:tcPr>
          <w:p>
            <w:pPr>
              <w:pStyle w:val="683"/>
              <w:jc w:val="center"/>
              <w:rPr>
                <w:rFonts w:hAnsi="宋体" w:eastAsia="宋体"/>
                <w:sz w:val="24"/>
                <w:szCs w:val="24"/>
              </w:rPr>
            </w:pPr>
          </w:p>
        </w:tc>
        <w:tc>
          <w:tcPr>
            <w:tcW w:w="803" w:type="dxa"/>
            <w:tcBorders>
              <w:right w:val="single" w:color="auto" w:sz="4" w:space="0"/>
            </w:tcBorders>
            <w:noWrap w:val="0"/>
            <w:vAlign w:val="center"/>
          </w:tcPr>
          <w:p>
            <w:pPr>
              <w:pStyle w:val="683"/>
              <w:jc w:val="center"/>
              <w:rPr>
                <w:rFonts w:hAnsi="宋体" w:eastAsia="宋体"/>
                <w:sz w:val="24"/>
                <w:szCs w:val="24"/>
              </w:rPr>
            </w:pPr>
          </w:p>
        </w:tc>
        <w:tc>
          <w:tcPr>
            <w:tcW w:w="912" w:type="dxa"/>
            <w:tcBorders>
              <w:left w:val="single" w:color="auto" w:sz="4" w:space="0"/>
            </w:tcBorders>
            <w:noWrap w:val="0"/>
            <w:vAlign w:val="center"/>
          </w:tcPr>
          <w:p>
            <w:pPr>
              <w:pStyle w:val="683"/>
              <w:jc w:val="center"/>
              <w:rPr>
                <w:rFonts w:hAnsi="宋体" w:eastAsia="宋体"/>
                <w:sz w:val="24"/>
                <w:szCs w:val="24"/>
              </w:rPr>
            </w:pPr>
          </w:p>
        </w:tc>
        <w:tc>
          <w:tcPr>
            <w:tcW w:w="2400" w:type="dxa"/>
            <w:noWrap w:val="0"/>
            <w:vAlign w:val="center"/>
          </w:tcPr>
          <w:p>
            <w:pPr>
              <w:pStyle w:val="683"/>
              <w:jc w:val="center"/>
              <w:rPr>
                <w:rFonts w:hAnsi="宋体" w:eastAsia="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83"/>
              <w:jc w:val="center"/>
              <w:rPr>
                <w:rFonts w:hAnsi="宋体" w:eastAsia="宋体"/>
                <w:sz w:val="24"/>
                <w:szCs w:val="24"/>
              </w:rPr>
            </w:pPr>
          </w:p>
        </w:tc>
        <w:tc>
          <w:tcPr>
            <w:tcW w:w="1816" w:type="dxa"/>
            <w:noWrap w:val="0"/>
            <w:vAlign w:val="center"/>
          </w:tcPr>
          <w:p>
            <w:pPr>
              <w:pStyle w:val="683"/>
              <w:jc w:val="center"/>
              <w:rPr>
                <w:rFonts w:hAnsi="宋体" w:eastAsia="宋体"/>
                <w:sz w:val="24"/>
                <w:szCs w:val="24"/>
              </w:rPr>
            </w:pPr>
          </w:p>
        </w:tc>
        <w:tc>
          <w:tcPr>
            <w:tcW w:w="1211" w:type="dxa"/>
            <w:noWrap w:val="0"/>
            <w:vAlign w:val="top"/>
          </w:tcPr>
          <w:p>
            <w:pPr>
              <w:pStyle w:val="683"/>
              <w:jc w:val="center"/>
              <w:rPr>
                <w:rFonts w:hAnsi="宋体" w:eastAsia="宋体"/>
                <w:sz w:val="24"/>
                <w:szCs w:val="24"/>
              </w:rPr>
            </w:pPr>
          </w:p>
        </w:tc>
        <w:tc>
          <w:tcPr>
            <w:tcW w:w="1342" w:type="dxa"/>
            <w:noWrap w:val="0"/>
            <w:vAlign w:val="center"/>
          </w:tcPr>
          <w:p>
            <w:pPr>
              <w:pStyle w:val="683"/>
              <w:jc w:val="center"/>
              <w:rPr>
                <w:rFonts w:hAnsi="宋体" w:eastAsia="宋体"/>
                <w:sz w:val="24"/>
                <w:szCs w:val="24"/>
              </w:rPr>
            </w:pPr>
          </w:p>
        </w:tc>
        <w:tc>
          <w:tcPr>
            <w:tcW w:w="803" w:type="dxa"/>
            <w:tcBorders>
              <w:right w:val="single" w:color="auto" w:sz="4" w:space="0"/>
            </w:tcBorders>
            <w:noWrap w:val="0"/>
            <w:vAlign w:val="center"/>
          </w:tcPr>
          <w:p>
            <w:pPr>
              <w:pStyle w:val="683"/>
              <w:jc w:val="center"/>
              <w:rPr>
                <w:rFonts w:hAnsi="宋体" w:eastAsia="宋体"/>
                <w:sz w:val="24"/>
                <w:szCs w:val="24"/>
              </w:rPr>
            </w:pPr>
          </w:p>
        </w:tc>
        <w:tc>
          <w:tcPr>
            <w:tcW w:w="912" w:type="dxa"/>
            <w:tcBorders>
              <w:left w:val="single" w:color="auto" w:sz="4" w:space="0"/>
            </w:tcBorders>
            <w:noWrap w:val="0"/>
            <w:vAlign w:val="center"/>
          </w:tcPr>
          <w:p>
            <w:pPr>
              <w:pStyle w:val="683"/>
              <w:jc w:val="center"/>
              <w:rPr>
                <w:rFonts w:hAnsi="宋体" w:eastAsia="宋体"/>
                <w:sz w:val="24"/>
                <w:szCs w:val="24"/>
              </w:rPr>
            </w:pPr>
          </w:p>
        </w:tc>
        <w:tc>
          <w:tcPr>
            <w:tcW w:w="2400" w:type="dxa"/>
            <w:noWrap w:val="0"/>
            <w:vAlign w:val="center"/>
          </w:tcPr>
          <w:p>
            <w:pPr>
              <w:pStyle w:val="683"/>
              <w:jc w:val="center"/>
              <w:rPr>
                <w:rFonts w:hAnsi="宋体" w:eastAsia="宋体"/>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wBefore w:w="0" w:type="dxa"/>
          <w:cantSplit/>
          <w:trHeight w:val="510" w:hRule="atLeast"/>
          <w:jc w:val="center"/>
        </w:trPr>
        <w:tc>
          <w:tcPr>
            <w:tcW w:w="752" w:type="dxa"/>
            <w:noWrap w:val="0"/>
            <w:vAlign w:val="center"/>
          </w:tcPr>
          <w:p>
            <w:pPr>
              <w:pStyle w:val="683"/>
              <w:jc w:val="center"/>
              <w:rPr>
                <w:rFonts w:hAnsi="宋体" w:eastAsia="宋体"/>
                <w:sz w:val="24"/>
                <w:szCs w:val="24"/>
              </w:rPr>
            </w:pPr>
          </w:p>
        </w:tc>
        <w:tc>
          <w:tcPr>
            <w:tcW w:w="1816" w:type="dxa"/>
            <w:noWrap w:val="0"/>
            <w:vAlign w:val="center"/>
          </w:tcPr>
          <w:p>
            <w:pPr>
              <w:pStyle w:val="683"/>
              <w:jc w:val="center"/>
              <w:rPr>
                <w:rFonts w:hAnsi="宋体" w:eastAsia="宋体"/>
                <w:sz w:val="24"/>
                <w:szCs w:val="24"/>
              </w:rPr>
            </w:pPr>
          </w:p>
        </w:tc>
        <w:tc>
          <w:tcPr>
            <w:tcW w:w="1211" w:type="dxa"/>
            <w:noWrap w:val="0"/>
            <w:vAlign w:val="top"/>
          </w:tcPr>
          <w:p>
            <w:pPr>
              <w:pStyle w:val="683"/>
              <w:jc w:val="center"/>
              <w:rPr>
                <w:rFonts w:hAnsi="宋体" w:eastAsia="宋体"/>
                <w:sz w:val="24"/>
                <w:szCs w:val="24"/>
              </w:rPr>
            </w:pPr>
          </w:p>
        </w:tc>
        <w:tc>
          <w:tcPr>
            <w:tcW w:w="1342" w:type="dxa"/>
            <w:noWrap w:val="0"/>
            <w:vAlign w:val="center"/>
          </w:tcPr>
          <w:p>
            <w:pPr>
              <w:pStyle w:val="683"/>
              <w:jc w:val="center"/>
              <w:rPr>
                <w:rFonts w:hAnsi="宋体" w:eastAsia="宋体"/>
                <w:sz w:val="24"/>
                <w:szCs w:val="24"/>
              </w:rPr>
            </w:pPr>
          </w:p>
        </w:tc>
        <w:tc>
          <w:tcPr>
            <w:tcW w:w="803" w:type="dxa"/>
            <w:tcBorders>
              <w:right w:val="single" w:color="auto" w:sz="4" w:space="0"/>
            </w:tcBorders>
            <w:noWrap w:val="0"/>
            <w:vAlign w:val="center"/>
          </w:tcPr>
          <w:p>
            <w:pPr>
              <w:pStyle w:val="683"/>
              <w:jc w:val="center"/>
              <w:rPr>
                <w:rFonts w:hAnsi="宋体" w:eastAsia="宋体"/>
                <w:sz w:val="24"/>
                <w:szCs w:val="24"/>
              </w:rPr>
            </w:pPr>
          </w:p>
        </w:tc>
        <w:tc>
          <w:tcPr>
            <w:tcW w:w="912" w:type="dxa"/>
            <w:tcBorders>
              <w:left w:val="single" w:color="auto" w:sz="4" w:space="0"/>
            </w:tcBorders>
            <w:noWrap w:val="0"/>
            <w:vAlign w:val="center"/>
          </w:tcPr>
          <w:p>
            <w:pPr>
              <w:pStyle w:val="683"/>
              <w:jc w:val="center"/>
              <w:rPr>
                <w:rFonts w:hAnsi="宋体" w:eastAsia="宋体"/>
                <w:sz w:val="24"/>
                <w:szCs w:val="24"/>
              </w:rPr>
            </w:pPr>
          </w:p>
        </w:tc>
        <w:tc>
          <w:tcPr>
            <w:tcW w:w="2400" w:type="dxa"/>
            <w:noWrap w:val="0"/>
            <w:vAlign w:val="center"/>
          </w:tcPr>
          <w:p>
            <w:pPr>
              <w:pStyle w:val="683"/>
              <w:jc w:val="center"/>
              <w:rPr>
                <w:rFonts w:hAnsi="宋体" w:eastAsia="宋体"/>
                <w:sz w:val="24"/>
                <w:szCs w:val="24"/>
              </w:rPr>
            </w:pPr>
          </w:p>
        </w:tc>
      </w:tr>
    </w:tbl>
    <w:p>
      <w:pPr>
        <w:rPr>
          <w:rFonts w:hint="eastAsia" w:ascii="宋体" w:hAnsi="宋体" w:cs="宋体"/>
          <w:b/>
          <w:szCs w:val="21"/>
        </w:rPr>
      </w:pPr>
      <w:r>
        <w:rPr>
          <w:rFonts w:hint="eastAsia" w:ascii="宋体" w:hAnsi="宋体" w:cs="宋体"/>
          <w:b/>
          <w:szCs w:val="21"/>
        </w:rPr>
        <w:t>注：后附</w:t>
      </w:r>
      <w:r>
        <w:rPr>
          <w:rFonts w:hint="eastAsia" w:ascii="宋体" w:hAnsi="宋体" w:cs="宋体"/>
          <w:b/>
        </w:rPr>
        <w:t>相关证明材料，所需的证明材料要求详见评标办法</w:t>
      </w:r>
      <w:r>
        <w:rPr>
          <w:rFonts w:hint="eastAsia" w:ascii="宋体" w:hAnsi="宋体" w:cs="宋体"/>
          <w:b/>
          <w:szCs w:val="21"/>
        </w:rPr>
        <w:t>。</w:t>
      </w:r>
    </w:p>
    <w:p>
      <w:pPr>
        <w:snapToGrid w:val="0"/>
        <w:spacing w:before="120" w:beforeLines="50"/>
        <w:rPr>
          <w:rFonts w:ascii="宋体" w:hAnsi="宋体"/>
          <w:spacing w:val="20"/>
          <w:sz w:val="24"/>
          <w:szCs w:val="24"/>
          <w:u w:val="single"/>
        </w:rPr>
      </w:pPr>
      <w:r>
        <w:rPr>
          <w:rFonts w:hint="eastAsia" w:ascii="宋体" w:hAnsi="宋体"/>
          <w:sz w:val="24"/>
          <w:szCs w:val="24"/>
        </w:rPr>
        <w:t>被授权人签字（或盖章）</w:t>
      </w:r>
      <w:r>
        <w:rPr>
          <w:rFonts w:hint="eastAsia" w:ascii="宋体" w:hAnsi="宋体"/>
          <w:spacing w:val="20"/>
          <w:sz w:val="24"/>
          <w:szCs w:val="24"/>
        </w:rPr>
        <w:t>：</w:t>
      </w:r>
      <w:r>
        <w:rPr>
          <w:rFonts w:hint="eastAsia" w:ascii="宋体" w:hAnsi="宋体"/>
          <w:spacing w:val="20"/>
          <w:sz w:val="24"/>
          <w:szCs w:val="24"/>
          <w:u w:val="single"/>
        </w:rPr>
        <w:t xml:space="preserve">        </w:t>
      </w:r>
    </w:p>
    <w:p>
      <w:pPr>
        <w:snapToGrid w:val="0"/>
        <w:rPr>
          <w:rFonts w:ascii="宋体" w:hAnsi="宋体"/>
          <w:sz w:val="24"/>
          <w:szCs w:val="24"/>
        </w:rPr>
      </w:pPr>
      <w:r>
        <w:rPr>
          <w:rFonts w:hint="eastAsia" w:ascii="宋体" w:hAnsi="宋体"/>
          <w:sz w:val="24"/>
          <w:szCs w:val="24"/>
        </w:rPr>
        <w:t>供应商公章：                                 年    月    日</w:t>
      </w:r>
    </w:p>
    <w:p>
      <w:pPr>
        <w:rPr>
          <w:rFonts w:hint="eastAsia" w:ascii="宋体" w:hAnsi="宋体"/>
          <w:sz w:val="24"/>
          <w:szCs w:val="24"/>
        </w:rPr>
      </w:pPr>
    </w:p>
    <w:p>
      <w:pPr>
        <w:rPr>
          <w:rFonts w:hint="eastAsia" w:ascii="宋体" w:hAnsi="宋体"/>
        </w:rPr>
      </w:pPr>
    </w:p>
    <w:p>
      <w:pPr>
        <w:snapToGrid w:val="0"/>
        <w:jc w:val="left"/>
        <w:rPr>
          <w:rFonts w:ascii="宋体" w:hAnsi="宋体"/>
          <w:b/>
          <w:sz w:val="24"/>
        </w:rPr>
      </w:pPr>
      <w:r>
        <w:rPr>
          <w:rFonts w:hint="eastAsia" w:ascii="宋体" w:hAnsi="宋体"/>
          <w:b/>
          <w:sz w:val="24"/>
        </w:rPr>
        <w:t>1</w:t>
      </w:r>
      <w:r>
        <w:rPr>
          <w:rFonts w:ascii="宋体" w:hAnsi="宋体"/>
          <w:b/>
          <w:sz w:val="24"/>
        </w:rPr>
        <w:t>1</w:t>
      </w:r>
      <w:r>
        <w:rPr>
          <w:rFonts w:hint="eastAsia" w:ascii="宋体" w:hAnsi="宋体"/>
          <w:b/>
          <w:sz w:val="24"/>
        </w:rPr>
        <w:t>、选配件、专用耗材、售后服务优惠表（没有可不填）</w:t>
      </w:r>
    </w:p>
    <w:p>
      <w:pPr>
        <w:pStyle w:val="374"/>
        <w:tabs>
          <w:tab w:val="clear" w:pos="1247"/>
        </w:tabs>
        <w:adjustRightInd w:val="0"/>
        <w:ind w:left="0"/>
        <w:jc w:val="center"/>
        <w:textAlignment w:val="baseline"/>
        <w:rPr>
          <w:rFonts w:ascii="宋体" w:hAnsi="宋体"/>
          <w:b/>
          <w:sz w:val="28"/>
          <w:szCs w:val="28"/>
          <w:lang w:eastAsia="zh-CN"/>
        </w:rPr>
      </w:pPr>
      <w:r>
        <w:rPr>
          <w:rFonts w:hint="eastAsia" w:ascii="宋体" w:hAnsi="宋体"/>
          <w:b/>
          <w:sz w:val="28"/>
          <w:szCs w:val="28"/>
          <w:lang w:eastAsia="zh-CN"/>
        </w:rPr>
        <w:t>选配件、专用耗材、售后服务优惠表</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118"/>
        <w:gridCol w:w="1984"/>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695" w:hRule="atLeast"/>
        </w:trPr>
        <w:tc>
          <w:tcPr>
            <w:tcW w:w="1101" w:type="dxa"/>
            <w:noWrap w:val="0"/>
            <w:vAlign w:val="center"/>
          </w:tcPr>
          <w:p>
            <w:pPr>
              <w:snapToGrid w:val="0"/>
              <w:spacing w:after="60" w:afterLines="25" w:line="360" w:lineRule="exact"/>
              <w:jc w:val="center"/>
              <w:rPr>
                <w:rFonts w:ascii="宋体" w:hAnsi="宋体"/>
                <w:sz w:val="24"/>
              </w:rPr>
            </w:pPr>
            <w:r>
              <w:rPr>
                <w:rFonts w:hint="eastAsia" w:ascii="宋体" w:hAnsi="宋体"/>
                <w:sz w:val="24"/>
              </w:rPr>
              <w:t>序号</w:t>
            </w:r>
          </w:p>
        </w:tc>
        <w:tc>
          <w:tcPr>
            <w:tcW w:w="3118" w:type="dxa"/>
            <w:noWrap w:val="0"/>
            <w:vAlign w:val="center"/>
          </w:tcPr>
          <w:p>
            <w:pPr>
              <w:snapToGrid w:val="0"/>
              <w:spacing w:after="60" w:afterLines="25" w:line="360" w:lineRule="exact"/>
              <w:jc w:val="center"/>
              <w:rPr>
                <w:rFonts w:ascii="宋体" w:hAnsi="宋体"/>
                <w:sz w:val="24"/>
              </w:rPr>
            </w:pPr>
            <w:r>
              <w:rPr>
                <w:rFonts w:hint="eastAsia" w:ascii="宋体" w:hAnsi="宋体"/>
                <w:sz w:val="24"/>
              </w:rPr>
              <w:t>优惠内容</w:t>
            </w:r>
          </w:p>
        </w:tc>
        <w:tc>
          <w:tcPr>
            <w:tcW w:w="1984" w:type="dxa"/>
            <w:noWrap w:val="0"/>
            <w:vAlign w:val="center"/>
          </w:tcPr>
          <w:p>
            <w:pPr>
              <w:snapToGrid w:val="0"/>
              <w:spacing w:after="60" w:afterLines="25" w:line="360" w:lineRule="exact"/>
              <w:jc w:val="center"/>
              <w:rPr>
                <w:rFonts w:ascii="宋体" w:hAnsi="宋体"/>
                <w:sz w:val="24"/>
              </w:rPr>
            </w:pPr>
            <w:r>
              <w:rPr>
                <w:rFonts w:hint="eastAsia" w:ascii="宋体" w:hAnsi="宋体"/>
                <w:sz w:val="24"/>
              </w:rPr>
              <w:t>单价</w:t>
            </w:r>
          </w:p>
        </w:tc>
        <w:tc>
          <w:tcPr>
            <w:tcW w:w="2835" w:type="dxa"/>
            <w:noWrap w:val="0"/>
            <w:vAlign w:val="center"/>
          </w:tcPr>
          <w:p>
            <w:pPr>
              <w:snapToGrid w:val="0"/>
              <w:spacing w:after="60" w:afterLines="25" w:line="360" w:lineRule="exact"/>
              <w:jc w:val="center"/>
              <w:rPr>
                <w:rFonts w:ascii="宋体" w:hAnsi="宋体"/>
                <w:sz w:val="24"/>
              </w:rPr>
            </w:pPr>
            <w:r>
              <w:rPr>
                <w:rFonts w:hint="eastAsia" w:ascii="宋体" w:hAnsi="宋体"/>
                <w:sz w:val="24"/>
              </w:rPr>
              <w:t>比投标报价优惠率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61" w:hRule="atLeast"/>
        </w:trPr>
        <w:tc>
          <w:tcPr>
            <w:tcW w:w="1101" w:type="dxa"/>
            <w:noWrap w:val="0"/>
            <w:vAlign w:val="top"/>
          </w:tcPr>
          <w:p>
            <w:pPr>
              <w:snapToGrid w:val="0"/>
              <w:spacing w:after="60" w:afterLines="25" w:line="360" w:lineRule="exact"/>
              <w:jc w:val="left"/>
              <w:rPr>
                <w:rFonts w:ascii="宋体" w:hAnsi="宋体"/>
                <w:sz w:val="24"/>
              </w:rPr>
            </w:pPr>
          </w:p>
        </w:tc>
        <w:tc>
          <w:tcPr>
            <w:tcW w:w="3118" w:type="dxa"/>
            <w:noWrap w:val="0"/>
            <w:vAlign w:val="top"/>
          </w:tcPr>
          <w:p>
            <w:pPr>
              <w:snapToGrid w:val="0"/>
              <w:spacing w:after="60" w:afterLines="25" w:line="360" w:lineRule="exact"/>
              <w:jc w:val="left"/>
              <w:rPr>
                <w:rFonts w:ascii="宋体" w:hAnsi="宋体"/>
                <w:sz w:val="24"/>
              </w:rPr>
            </w:pPr>
          </w:p>
        </w:tc>
        <w:tc>
          <w:tcPr>
            <w:tcW w:w="1984" w:type="dxa"/>
            <w:noWrap w:val="0"/>
            <w:vAlign w:val="top"/>
          </w:tcPr>
          <w:p>
            <w:pPr>
              <w:snapToGrid w:val="0"/>
              <w:spacing w:after="60" w:afterLines="25" w:line="360" w:lineRule="exact"/>
              <w:jc w:val="left"/>
              <w:rPr>
                <w:rFonts w:ascii="宋体" w:hAnsi="宋体"/>
                <w:sz w:val="24"/>
              </w:rPr>
            </w:pPr>
          </w:p>
        </w:tc>
        <w:tc>
          <w:tcPr>
            <w:tcW w:w="2835" w:type="dxa"/>
            <w:noWrap w:val="0"/>
            <w:vAlign w:val="top"/>
          </w:tcPr>
          <w:p>
            <w:pPr>
              <w:snapToGrid w:val="0"/>
              <w:spacing w:after="60" w:afterLines="25" w:line="360" w:lineRule="exact"/>
              <w:jc w:val="left"/>
              <w:rPr>
                <w:rFonts w:ascii="宋体" w:hAnsi="宋体"/>
                <w:sz w:val="24"/>
              </w:rPr>
            </w:pPr>
            <w:r>
              <w:rPr>
                <w:rFonts w:hint="eastAsia" w:ascii="宋体" w:hAnsi="宋体"/>
                <w:spacing w:val="20"/>
                <w:sz w:val="24"/>
                <w:szCs w:val="24"/>
                <w:u w:val="single"/>
              </w:rPr>
              <w:t xml:space="preserve"> </w:t>
            </w:r>
            <w:r>
              <w:rPr>
                <w:rFonts w:ascii="宋体" w:hAnsi="宋体"/>
                <w:spacing w:val="20"/>
                <w:sz w:val="24"/>
                <w:szCs w:val="24"/>
                <w:u w:val="single"/>
              </w:rPr>
              <w:t xml:space="preserve">     </w:t>
            </w:r>
            <w:r>
              <w:rPr>
                <w:rFonts w:hint="eastAsia" w:ascii="宋体" w:hAnsi="宋体"/>
                <w:spacing w:val="20"/>
                <w:sz w:val="24"/>
                <w:szCs w:val="24"/>
                <w:u w:val="single"/>
              </w:rPr>
              <w:t xml:space="preserve">   </w:t>
            </w:r>
            <w:r>
              <w:rPr>
                <w:rFonts w:hint="eastAsia" w:ascii="宋体" w:hAnsi="宋体"/>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5" w:hRule="atLeast"/>
        </w:trPr>
        <w:tc>
          <w:tcPr>
            <w:tcW w:w="1101" w:type="dxa"/>
            <w:noWrap w:val="0"/>
            <w:vAlign w:val="top"/>
          </w:tcPr>
          <w:p>
            <w:pPr>
              <w:snapToGrid w:val="0"/>
              <w:spacing w:after="60" w:afterLines="25" w:line="360" w:lineRule="exact"/>
              <w:jc w:val="left"/>
              <w:rPr>
                <w:rFonts w:ascii="宋体" w:hAnsi="宋体"/>
                <w:sz w:val="24"/>
              </w:rPr>
            </w:pPr>
          </w:p>
        </w:tc>
        <w:tc>
          <w:tcPr>
            <w:tcW w:w="3118" w:type="dxa"/>
            <w:noWrap w:val="0"/>
            <w:vAlign w:val="top"/>
          </w:tcPr>
          <w:p>
            <w:pPr>
              <w:snapToGrid w:val="0"/>
              <w:spacing w:after="60" w:afterLines="25" w:line="360" w:lineRule="exact"/>
              <w:jc w:val="left"/>
              <w:rPr>
                <w:rFonts w:ascii="宋体" w:hAnsi="宋体"/>
                <w:sz w:val="24"/>
              </w:rPr>
            </w:pPr>
          </w:p>
        </w:tc>
        <w:tc>
          <w:tcPr>
            <w:tcW w:w="1984" w:type="dxa"/>
            <w:noWrap w:val="0"/>
            <w:vAlign w:val="top"/>
          </w:tcPr>
          <w:p>
            <w:pPr>
              <w:snapToGrid w:val="0"/>
              <w:spacing w:after="60" w:afterLines="25" w:line="360" w:lineRule="exact"/>
              <w:jc w:val="left"/>
              <w:rPr>
                <w:rFonts w:ascii="宋体" w:hAnsi="宋体"/>
                <w:sz w:val="24"/>
              </w:rPr>
            </w:pPr>
          </w:p>
        </w:tc>
        <w:tc>
          <w:tcPr>
            <w:tcW w:w="2835" w:type="dxa"/>
            <w:noWrap w:val="0"/>
            <w:vAlign w:val="top"/>
          </w:tcPr>
          <w:p>
            <w:pPr>
              <w:snapToGrid w:val="0"/>
              <w:spacing w:after="60" w:afterLines="25" w:line="36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50" w:hRule="atLeast"/>
        </w:trPr>
        <w:tc>
          <w:tcPr>
            <w:tcW w:w="1101" w:type="dxa"/>
            <w:noWrap w:val="0"/>
            <w:vAlign w:val="top"/>
          </w:tcPr>
          <w:p>
            <w:pPr>
              <w:snapToGrid w:val="0"/>
              <w:spacing w:after="60" w:afterLines="25" w:line="360" w:lineRule="exact"/>
              <w:jc w:val="left"/>
              <w:rPr>
                <w:rFonts w:ascii="宋体" w:hAnsi="宋体"/>
                <w:sz w:val="24"/>
              </w:rPr>
            </w:pPr>
          </w:p>
        </w:tc>
        <w:tc>
          <w:tcPr>
            <w:tcW w:w="3118" w:type="dxa"/>
            <w:noWrap w:val="0"/>
            <w:vAlign w:val="top"/>
          </w:tcPr>
          <w:p>
            <w:pPr>
              <w:snapToGrid w:val="0"/>
              <w:spacing w:after="60" w:afterLines="25" w:line="360" w:lineRule="exact"/>
              <w:jc w:val="left"/>
              <w:rPr>
                <w:rFonts w:ascii="宋体" w:hAnsi="宋体"/>
                <w:sz w:val="24"/>
              </w:rPr>
            </w:pPr>
          </w:p>
        </w:tc>
        <w:tc>
          <w:tcPr>
            <w:tcW w:w="1984" w:type="dxa"/>
            <w:noWrap w:val="0"/>
            <w:vAlign w:val="top"/>
          </w:tcPr>
          <w:p>
            <w:pPr>
              <w:snapToGrid w:val="0"/>
              <w:spacing w:after="60" w:afterLines="25" w:line="360" w:lineRule="exact"/>
              <w:jc w:val="left"/>
              <w:rPr>
                <w:rFonts w:ascii="宋体" w:hAnsi="宋体"/>
                <w:sz w:val="24"/>
              </w:rPr>
            </w:pPr>
          </w:p>
        </w:tc>
        <w:tc>
          <w:tcPr>
            <w:tcW w:w="2835" w:type="dxa"/>
            <w:noWrap w:val="0"/>
            <w:vAlign w:val="top"/>
          </w:tcPr>
          <w:p>
            <w:pPr>
              <w:snapToGrid w:val="0"/>
              <w:spacing w:after="60" w:afterLines="25" w:line="360" w:lineRule="exact"/>
              <w:jc w:val="left"/>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trHeight w:val="572" w:hRule="atLeast"/>
        </w:trPr>
        <w:tc>
          <w:tcPr>
            <w:tcW w:w="1101" w:type="dxa"/>
            <w:noWrap w:val="0"/>
            <w:vAlign w:val="top"/>
          </w:tcPr>
          <w:p>
            <w:pPr>
              <w:snapToGrid w:val="0"/>
              <w:spacing w:after="60" w:afterLines="25" w:line="360" w:lineRule="exact"/>
              <w:jc w:val="left"/>
              <w:rPr>
                <w:rFonts w:ascii="宋体" w:hAnsi="宋体"/>
                <w:sz w:val="24"/>
              </w:rPr>
            </w:pPr>
          </w:p>
        </w:tc>
        <w:tc>
          <w:tcPr>
            <w:tcW w:w="3118" w:type="dxa"/>
            <w:noWrap w:val="0"/>
            <w:vAlign w:val="top"/>
          </w:tcPr>
          <w:p>
            <w:pPr>
              <w:snapToGrid w:val="0"/>
              <w:spacing w:after="60" w:afterLines="25" w:line="360" w:lineRule="exact"/>
              <w:jc w:val="left"/>
              <w:rPr>
                <w:rFonts w:ascii="宋体" w:hAnsi="宋体"/>
                <w:sz w:val="24"/>
              </w:rPr>
            </w:pPr>
          </w:p>
        </w:tc>
        <w:tc>
          <w:tcPr>
            <w:tcW w:w="1984" w:type="dxa"/>
            <w:noWrap w:val="0"/>
            <w:vAlign w:val="top"/>
          </w:tcPr>
          <w:p>
            <w:pPr>
              <w:snapToGrid w:val="0"/>
              <w:spacing w:after="60" w:afterLines="25" w:line="360" w:lineRule="exact"/>
              <w:jc w:val="left"/>
              <w:rPr>
                <w:rFonts w:ascii="宋体" w:hAnsi="宋体"/>
                <w:sz w:val="24"/>
              </w:rPr>
            </w:pPr>
          </w:p>
        </w:tc>
        <w:tc>
          <w:tcPr>
            <w:tcW w:w="2835" w:type="dxa"/>
            <w:noWrap w:val="0"/>
            <w:vAlign w:val="top"/>
          </w:tcPr>
          <w:p>
            <w:pPr>
              <w:snapToGrid w:val="0"/>
              <w:spacing w:after="60" w:afterLines="25" w:line="360" w:lineRule="exact"/>
              <w:jc w:val="left"/>
              <w:rPr>
                <w:rFonts w:ascii="宋体" w:hAnsi="宋体"/>
                <w:sz w:val="24"/>
              </w:rPr>
            </w:pPr>
          </w:p>
        </w:tc>
      </w:tr>
    </w:tbl>
    <w:p>
      <w:pPr>
        <w:snapToGrid w:val="0"/>
        <w:spacing w:before="120" w:beforeLines="50"/>
        <w:rPr>
          <w:rFonts w:ascii="宋体" w:hAnsi="宋体"/>
          <w:spacing w:val="20"/>
          <w:sz w:val="24"/>
          <w:szCs w:val="24"/>
          <w:u w:val="single"/>
        </w:rPr>
      </w:pPr>
      <w:r>
        <w:rPr>
          <w:rFonts w:hint="eastAsia" w:ascii="宋体" w:hAnsi="宋体"/>
          <w:sz w:val="24"/>
          <w:szCs w:val="24"/>
        </w:rPr>
        <w:t>被授权人签字（或盖章）</w:t>
      </w:r>
      <w:r>
        <w:rPr>
          <w:rFonts w:hint="eastAsia" w:ascii="宋体" w:hAnsi="宋体"/>
          <w:spacing w:val="20"/>
          <w:sz w:val="24"/>
          <w:szCs w:val="24"/>
        </w:rPr>
        <w:t>：</w:t>
      </w:r>
      <w:r>
        <w:rPr>
          <w:rFonts w:hint="eastAsia" w:ascii="宋体" w:hAnsi="宋体"/>
          <w:spacing w:val="20"/>
          <w:sz w:val="24"/>
          <w:szCs w:val="24"/>
          <w:u w:val="single"/>
        </w:rPr>
        <w:t xml:space="preserve">        </w:t>
      </w:r>
    </w:p>
    <w:p>
      <w:pPr>
        <w:snapToGrid w:val="0"/>
        <w:rPr>
          <w:rFonts w:ascii="宋体" w:hAnsi="宋体"/>
          <w:sz w:val="24"/>
          <w:szCs w:val="24"/>
        </w:rPr>
      </w:pPr>
      <w:r>
        <w:rPr>
          <w:rFonts w:hint="eastAsia" w:ascii="宋体" w:hAnsi="宋体"/>
          <w:sz w:val="24"/>
          <w:szCs w:val="24"/>
        </w:rPr>
        <w:t>供应商公章：                                 年    月    日</w:t>
      </w:r>
    </w:p>
    <w:p>
      <w:pPr>
        <w:snapToGrid w:val="0"/>
        <w:jc w:val="left"/>
        <w:rPr>
          <w:rFonts w:ascii="宋体" w:hAnsi="宋体"/>
          <w:b/>
          <w:kern w:val="0"/>
          <w:sz w:val="24"/>
          <w:szCs w:val="24"/>
        </w:rPr>
      </w:pPr>
      <w:r>
        <w:rPr>
          <w:rFonts w:ascii="宋体" w:hAnsi="宋体"/>
          <w:sz w:val="24"/>
          <w:szCs w:val="24"/>
        </w:rPr>
        <w:br w:type="page"/>
      </w:r>
      <w:r>
        <w:rPr>
          <w:rFonts w:ascii="宋体" w:hAnsi="宋体"/>
          <w:b/>
          <w:kern w:val="0"/>
          <w:sz w:val="24"/>
          <w:szCs w:val="24"/>
        </w:rPr>
        <w:t>12</w:t>
      </w:r>
      <w:r>
        <w:rPr>
          <w:rFonts w:hint="eastAsia" w:ascii="宋体" w:hAnsi="宋体"/>
          <w:b/>
          <w:kern w:val="0"/>
          <w:sz w:val="24"/>
          <w:szCs w:val="24"/>
        </w:rPr>
        <w:t>、投标函格式：</w:t>
      </w:r>
    </w:p>
    <w:p>
      <w:pPr>
        <w:adjustRightInd w:val="0"/>
        <w:jc w:val="center"/>
        <w:rPr>
          <w:rFonts w:ascii="宋体" w:hAnsi="宋体"/>
          <w:b/>
          <w:sz w:val="28"/>
          <w:szCs w:val="28"/>
        </w:rPr>
      </w:pPr>
      <w:r>
        <w:rPr>
          <w:rFonts w:hint="eastAsia" w:ascii="宋体" w:hAnsi="宋体"/>
          <w:b/>
          <w:sz w:val="30"/>
          <w:szCs w:val="30"/>
        </w:rPr>
        <w:t>投标函</w:t>
      </w:r>
    </w:p>
    <w:p>
      <w:pPr>
        <w:adjustRightInd w:val="0"/>
        <w:jc w:val="center"/>
        <w:rPr>
          <w:rFonts w:ascii="宋体" w:hAnsi="宋体"/>
          <w:b/>
          <w:sz w:val="28"/>
          <w:szCs w:val="28"/>
        </w:rPr>
      </w:pPr>
    </w:p>
    <w:p>
      <w:pPr>
        <w:snapToGrid w:val="0"/>
        <w:rPr>
          <w:rFonts w:ascii="宋体" w:hAnsi="宋体"/>
          <w:sz w:val="24"/>
          <w:szCs w:val="24"/>
        </w:rPr>
      </w:pPr>
      <w:r>
        <w:rPr>
          <w:rFonts w:hint="eastAsia" w:ascii="宋体" w:hAnsi="宋体"/>
          <w:sz w:val="24"/>
          <w:szCs w:val="24"/>
        </w:rPr>
        <w:t>致：</w:t>
      </w:r>
      <w:r>
        <w:rPr>
          <w:rFonts w:hint="eastAsia" w:ascii="宋体" w:hAnsi="宋体"/>
          <w:sz w:val="24"/>
          <w:szCs w:val="24"/>
          <w:u w:val="single"/>
        </w:rPr>
        <w:t xml:space="preserve">                </w:t>
      </w:r>
      <w:r>
        <w:rPr>
          <w:rFonts w:hint="eastAsia" w:ascii="宋体" w:hAnsi="宋体"/>
          <w:sz w:val="24"/>
          <w:szCs w:val="24"/>
        </w:rPr>
        <w:t>（采购单位名称）：</w:t>
      </w:r>
    </w:p>
    <w:p>
      <w:pPr>
        <w:snapToGrid w:val="0"/>
        <w:rPr>
          <w:rFonts w:ascii="宋体" w:hAnsi="宋体"/>
          <w:sz w:val="24"/>
          <w:szCs w:val="24"/>
        </w:rPr>
      </w:pPr>
      <w:r>
        <w:rPr>
          <w:rFonts w:hint="eastAsia" w:ascii="宋体" w:hAnsi="宋体"/>
          <w:sz w:val="24"/>
          <w:szCs w:val="24"/>
        </w:rPr>
        <w:t xml:space="preserve">  根据贵方</w:t>
      </w:r>
      <w:r>
        <w:rPr>
          <w:rFonts w:hint="eastAsia" w:ascii="宋体" w:hAnsi="宋体"/>
          <w:sz w:val="24"/>
          <w:szCs w:val="24"/>
          <w:u w:val="single"/>
        </w:rPr>
        <w:t xml:space="preserve">                     </w:t>
      </w:r>
      <w:r>
        <w:rPr>
          <w:rFonts w:hint="eastAsia" w:ascii="宋体" w:hAnsi="宋体"/>
          <w:sz w:val="24"/>
          <w:szCs w:val="24"/>
        </w:rPr>
        <w:t>项目的招标公告（项目编号：</w:t>
      </w:r>
      <w:r>
        <w:rPr>
          <w:rFonts w:hint="eastAsia" w:ascii="宋体" w:hAnsi="宋体"/>
          <w:sz w:val="24"/>
          <w:szCs w:val="24"/>
          <w:u w:val="single"/>
        </w:rPr>
        <w:t xml:space="preserve">            </w:t>
      </w:r>
      <w:r>
        <w:rPr>
          <w:rFonts w:hint="eastAsia" w:ascii="宋体" w:hAnsi="宋体"/>
          <w:sz w:val="24"/>
          <w:szCs w:val="24"/>
        </w:rPr>
        <w:t>），经仔细阅读并研究，我方决定参加投标。签字代表</w:t>
      </w:r>
      <w:r>
        <w:rPr>
          <w:rFonts w:hint="eastAsia" w:ascii="宋体" w:hAnsi="宋体"/>
          <w:sz w:val="24"/>
          <w:szCs w:val="24"/>
          <w:u w:val="single"/>
        </w:rPr>
        <w:t xml:space="preserve">            </w:t>
      </w:r>
      <w:r>
        <w:rPr>
          <w:rFonts w:hint="eastAsia" w:ascii="宋体" w:hAnsi="宋体"/>
          <w:sz w:val="24"/>
          <w:szCs w:val="24"/>
        </w:rPr>
        <w:t>（全名）经正式授权并代表投标人</w:t>
      </w:r>
      <w:r>
        <w:rPr>
          <w:rFonts w:hint="eastAsia" w:ascii="宋体" w:hAnsi="宋体"/>
          <w:sz w:val="24"/>
          <w:szCs w:val="24"/>
          <w:u w:val="single"/>
        </w:rPr>
        <w:t xml:space="preserve">               </w:t>
      </w:r>
      <w:r>
        <w:rPr>
          <w:rFonts w:hint="eastAsia" w:ascii="宋体" w:hAnsi="宋体"/>
          <w:sz w:val="24"/>
          <w:szCs w:val="24"/>
        </w:rPr>
        <w:t>（投标人名称）提交资格文件、商务技术文件、报价文件的电子投标文件各一份。</w:t>
      </w:r>
    </w:p>
    <w:p>
      <w:pPr>
        <w:snapToGrid w:val="0"/>
        <w:ind w:firstLine="480" w:firstLineChars="200"/>
        <w:rPr>
          <w:rFonts w:ascii="宋体" w:hAnsi="宋体"/>
          <w:sz w:val="24"/>
          <w:szCs w:val="24"/>
        </w:rPr>
      </w:pPr>
      <w:r>
        <w:rPr>
          <w:rFonts w:hint="eastAsia" w:ascii="宋体" w:hAnsi="宋体"/>
          <w:sz w:val="24"/>
          <w:szCs w:val="24"/>
        </w:rPr>
        <w:t>据此函，签字代表宣布同意如下：</w:t>
      </w:r>
    </w:p>
    <w:p>
      <w:pPr>
        <w:pStyle w:val="20"/>
        <w:ind w:right="-91" w:firstLine="460" w:firstLineChars="192"/>
        <w:rPr>
          <w:rFonts w:ascii="宋体" w:hAnsi="宋体"/>
          <w:sz w:val="24"/>
        </w:rPr>
      </w:pPr>
      <w:r>
        <w:rPr>
          <w:rFonts w:hint="eastAsia" w:ascii="宋体" w:hAnsi="宋体"/>
          <w:sz w:val="24"/>
        </w:rPr>
        <w:t>1、我方已详细审查了采购文件的全部内容及其相关补充文件</w:t>
      </w:r>
      <w:r>
        <w:rPr>
          <w:rFonts w:hint="eastAsia" w:ascii="宋体" w:hAnsi="宋体"/>
          <w:b/>
          <w:sz w:val="24"/>
        </w:rPr>
        <w:t>（若有）</w:t>
      </w:r>
      <w:r>
        <w:rPr>
          <w:rFonts w:hint="eastAsia" w:ascii="宋体" w:hAnsi="宋体"/>
          <w:sz w:val="24"/>
        </w:rPr>
        <w:t>，并完全清晰理解全部内容及相关的补充文件</w:t>
      </w:r>
      <w:r>
        <w:rPr>
          <w:rFonts w:hint="eastAsia" w:ascii="宋体" w:hAnsi="宋体"/>
          <w:b/>
          <w:sz w:val="24"/>
        </w:rPr>
        <w:t>（若有）</w:t>
      </w:r>
      <w:r>
        <w:rPr>
          <w:rFonts w:hint="eastAsia" w:ascii="宋体" w:hAnsi="宋体"/>
          <w:sz w:val="24"/>
        </w:rPr>
        <w:t>，不存在任何误解之处，同意放弃提出异议和质疑的权利。</w:t>
      </w:r>
    </w:p>
    <w:p>
      <w:pPr>
        <w:ind w:right="-89" w:firstLine="464" w:firstLineChars="200"/>
        <w:jc w:val="left"/>
        <w:rPr>
          <w:rFonts w:ascii="宋体" w:hAnsi="宋体"/>
          <w:spacing w:val="-4"/>
          <w:sz w:val="24"/>
          <w:szCs w:val="24"/>
        </w:rPr>
      </w:pPr>
      <w:r>
        <w:rPr>
          <w:rFonts w:hint="eastAsia" w:ascii="宋体" w:hAnsi="宋体"/>
          <w:spacing w:val="-4"/>
          <w:sz w:val="24"/>
          <w:szCs w:val="24"/>
        </w:rPr>
        <w:t>2、我方遵守《中华人民共和国政府采购法》及相关法律法规的规定。同意采购文件中所提到的无效标条款，并服从有关开标现场的会议纪律。否则，同意被废除投标资格。</w:t>
      </w:r>
    </w:p>
    <w:p>
      <w:pPr>
        <w:ind w:firstLine="464" w:firstLineChars="200"/>
        <w:rPr>
          <w:rFonts w:ascii="宋体" w:hAnsi="宋体"/>
          <w:spacing w:val="-4"/>
          <w:sz w:val="24"/>
          <w:szCs w:val="24"/>
        </w:rPr>
      </w:pPr>
      <w:r>
        <w:rPr>
          <w:rFonts w:hint="eastAsia" w:ascii="宋体" w:hAnsi="宋体"/>
          <w:spacing w:val="-4"/>
          <w:sz w:val="24"/>
          <w:szCs w:val="24"/>
        </w:rPr>
        <w:t>3、我方承诺所提供的一切投标文件经已认真严格审核，内容均为全面真实、准确有效且毫无保留，绝无任何遗漏、虚假、伪造和夸大的成份，若出现违背诚实信用和无如实告知之处，同意被废除投标资格和相关的处罚。</w:t>
      </w:r>
    </w:p>
    <w:p>
      <w:pPr>
        <w:ind w:firstLine="464" w:firstLineChars="200"/>
        <w:rPr>
          <w:rFonts w:ascii="宋体" w:hAnsi="宋体"/>
          <w:spacing w:val="-4"/>
          <w:sz w:val="24"/>
          <w:szCs w:val="24"/>
        </w:rPr>
      </w:pPr>
      <w:r>
        <w:rPr>
          <w:rFonts w:hint="eastAsia" w:ascii="宋体" w:hAnsi="宋体"/>
          <w:spacing w:val="-4"/>
          <w:sz w:val="24"/>
          <w:szCs w:val="24"/>
        </w:rPr>
        <w:t>4、我方所提供的一次性投标产品报价均具充分的合理性和准确性，保证不存在低于成本的恶意报价行为，同时清楚理解到报价最低并非意味着必定获得合同授予资格。</w:t>
      </w:r>
    </w:p>
    <w:p>
      <w:pPr>
        <w:ind w:firstLine="464" w:firstLineChars="200"/>
        <w:rPr>
          <w:rFonts w:ascii="宋体" w:hAnsi="宋体"/>
          <w:spacing w:val="-4"/>
          <w:sz w:val="24"/>
          <w:szCs w:val="24"/>
        </w:rPr>
      </w:pPr>
      <w:r>
        <w:rPr>
          <w:rFonts w:hint="eastAsia" w:ascii="宋体" w:hAnsi="宋体"/>
          <w:spacing w:val="-4"/>
          <w:sz w:val="24"/>
          <w:szCs w:val="24"/>
        </w:rPr>
        <w:t>5、投标有效期为自开标之日起</w:t>
      </w:r>
      <w:r>
        <w:rPr>
          <w:rFonts w:hint="eastAsia" w:ascii="宋体" w:hAnsi="宋体"/>
          <w:spacing w:val="-4"/>
          <w:sz w:val="24"/>
          <w:szCs w:val="24"/>
          <w:u w:val="single"/>
        </w:rPr>
        <w:t>90</w:t>
      </w:r>
      <w:r>
        <w:rPr>
          <w:rFonts w:hint="eastAsia" w:ascii="宋体" w:hAnsi="宋体"/>
          <w:spacing w:val="-4"/>
          <w:sz w:val="24"/>
          <w:szCs w:val="24"/>
        </w:rPr>
        <w:t>天内，如在投标有效期内撤回投标，我方同意被废除投标资格。</w:t>
      </w:r>
    </w:p>
    <w:p>
      <w:pPr>
        <w:ind w:firstLine="464" w:firstLineChars="200"/>
        <w:rPr>
          <w:rFonts w:ascii="宋体" w:hAnsi="宋体"/>
          <w:sz w:val="24"/>
          <w:szCs w:val="24"/>
        </w:rPr>
      </w:pPr>
      <w:r>
        <w:rPr>
          <w:rFonts w:hint="eastAsia" w:ascii="宋体" w:hAnsi="宋体"/>
          <w:spacing w:val="-4"/>
          <w:sz w:val="24"/>
          <w:szCs w:val="24"/>
        </w:rPr>
        <w:t>6、</w:t>
      </w:r>
      <w:r>
        <w:rPr>
          <w:rFonts w:hint="eastAsia" w:ascii="宋体" w:hAnsi="宋体"/>
          <w:sz w:val="24"/>
          <w:szCs w:val="24"/>
        </w:rPr>
        <w:t>若我方中标，则直至合同履行完毕为止，本投标文件有效。</w:t>
      </w:r>
    </w:p>
    <w:p>
      <w:pPr>
        <w:snapToGrid w:val="0"/>
        <w:ind w:firstLine="480" w:firstLineChars="200"/>
        <w:rPr>
          <w:rFonts w:ascii="宋体" w:hAnsi="宋体"/>
          <w:sz w:val="24"/>
          <w:szCs w:val="24"/>
        </w:rPr>
      </w:pPr>
      <w:r>
        <w:rPr>
          <w:rFonts w:hint="eastAsia" w:ascii="宋体" w:hAnsi="宋体"/>
          <w:sz w:val="24"/>
          <w:szCs w:val="24"/>
        </w:rPr>
        <w:t>7、与本投标有关的一切正式往来信函请寄：</w:t>
      </w:r>
    </w:p>
    <w:p>
      <w:pPr>
        <w:snapToGrid w:val="0"/>
        <w:rPr>
          <w:rFonts w:ascii="宋体" w:hAnsi="宋体"/>
          <w:sz w:val="24"/>
        </w:rPr>
      </w:pPr>
      <w:r>
        <w:rPr>
          <w:rFonts w:hint="eastAsia" w:ascii="宋体" w:hAnsi="宋体"/>
          <w:sz w:val="24"/>
        </w:rPr>
        <w:t>地址：</w:t>
      </w:r>
      <w:r>
        <w:rPr>
          <w:rFonts w:hint="eastAsia" w:ascii="宋体" w:hAnsi="宋体"/>
          <w:sz w:val="24"/>
          <w:u w:val="single"/>
        </w:rPr>
        <w:t xml:space="preserve">                       </w:t>
      </w:r>
      <w:r>
        <w:rPr>
          <w:rFonts w:hint="eastAsia" w:ascii="宋体" w:hAnsi="宋体"/>
          <w:sz w:val="24"/>
        </w:rPr>
        <w:t>邮编：__________   电话：______________</w:t>
      </w:r>
    </w:p>
    <w:p>
      <w:pPr>
        <w:snapToGrid w:val="0"/>
        <w:rPr>
          <w:rFonts w:ascii="宋体" w:hAnsi="宋体"/>
          <w:sz w:val="24"/>
        </w:rPr>
      </w:pPr>
      <w:r>
        <w:rPr>
          <w:rFonts w:hint="eastAsia" w:ascii="宋体" w:hAnsi="宋体"/>
          <w:sz w:val="24"/>
        </w:rPr>
        <w:t>传真：______________投标人代表姓名： ___________  职务：</w:t>
      </w:r>
      <w:r>
        <w:rPr>
          <w:rFonts w:hint="eastAsia" w:ascii="宋体" w:hAnsi="宋体"/>
          <w:sz w:val="24"/>
          <w:u w:val="single"/>
        </w:rPr>
        <w:t xml:space="preserve">              </w:t>
      </w:r>
    </w:p>
    <w:p>
      <w:pPr>
        <w:snapToGrid w:val="0"/>
        <w:rPr>
          <w:rFonts w:ascii="宋体" w:hAnsi="宋体"/>
          <w:sz w:val="24"/>
        </w:rPr>
      </w:pPr>
      <w:r>
        <w:rPr>
          <w:rFonts w:hint="eastAsia" w:ascii="宋体" w:hAnsi="宋体"/>
          <w:sz w:val="24"/>
        </w:rPr>
        <w:t>投标人名称(公章)：___________________</w:t>
      </w:r>
    </w:p>
    <w:p>
      <w:pPr>
        <w:snapToGrid w:val="0"/>
        <w:rPr>
          <w:rFonts w:ascii="宋体" w:hAnsi="宋体"/>
          <w:sz w:val="24"/>
        </w:rPr>
      </w:pPr>
      <w:r>
        <w:rPr>
          <w:rFonts w:hint="eastAsia" w:ascii="宋体" w:hAnsi="宋体"/>
          <w:sz w:val="24"/>
        </w:rPr>
        <w:t>开户银行：</w:t>
      </w:r>
      <w:r>
        <w:rPr>
          <w:rFonts w:hint="eastAsia" w:ascii="宋体" w:hAnsi="宋体"/>
          <w:sz w:val="24"/>
          <w:u w:val="single"/>
        </w:rPr>
        <w:t xml:space="preserve">                      </w:t>
      </w:r>
      <w:r>
        <w:rPr>
          <w:rFonts w:hint="eastAsia" w:ascii="宋体" w:hAnsi="宋体"/>
          <w:sz w:val="24"/>
        </w:rPr>
        <w:t xml:space="preserve">   银行帐号：</w:t>
      </w:r>
      <w:r>
        <w:rPr>
          <w:rFonts w:hint="eastAsia" w:ascii="宋体" w:hAnsi="宋体"/>
          <w:sz w:val="24"/>
          <w:u w:val="single"/>
        </w:rPr>
        <w:t xml:space="preserve">                    </w:t>
      </w:r>
      <w:r>
        <w:rPr>
          <w:rFonts w:hint="eastAsia" w:ascii="宋体" w:hAnsi="宋体"/>
          <w:sz w:val="24"/>
        </w:rPr>
        <w:t xml:space="preserve"> </w:t>
      </w:r>
    </w:p>
    <w:p>
      <w:pPr>
        <w:snapToGrid w:val="0"/>
        <w:rPr>
          <w:rFonts w:ascii="宋体" w:hAnsi="宋体"/>
          <w:sz w:val="24"/>
        </w:rPr>
      </w:pPr>
      <w:r>
        <w:rPr>
          <w:rFonts w:hint="eastAsia" w:ascii="宋体" w:hAnsi="宋体"/>
          <w:sz w:val="24"/>
        </w:rPr>
        <w:t>法定代表人签字：___________                      日期：_____年___月___日</w:t>
      </w:r>
    </w:p>
    <w:p>
      <w:pPr>
        <w:snapToGrid w:val="0"/>
        <w:jc w:val="left"/>
        <w:rPr>
          <w:rFonts w:ascii="宋体" w:hAnsi="宋体"/>
          <w:b/>
          <w:sz w:val="24"/>
        </w:rPr>
      </w:pPr>
      <w:bookmarkStart w:id="238" w:name="_Toc47756042"/>
      <w:bookmarkStart w:id="239" w:name="_Toc15813264"/>
      <w:bookmarkStart w:id="240" w:name="_Toc45506741"/>
      <w:bookmarkStart w:id="241" w:name="_Toc15805947"/>
      <w:r>
        <w:rPr>
          <w:rFonts w:hint="eastAsia" w:ascii="宋体" w:hAnsi="宋体"/>
          <w:sz w:val="24"/>
        </w:rPr>
        <w:br w:type="page"/>
      </w:r>
      <w:bookmarkEnd w:id="238"/>
      <w:bookmarkEnd w:id="239"/>
      <w:bookmarkEnd w:id="240"/>
      <w:bookmarkEnd w:id="241"/>
      <w:r>
        <w:rPr>
          <w:rFonts w:ascii="宋体" w:hAnsi="宋体"/>
          <w:b/>
          <w:sz w:val="24"/>
        </w:rPr>
        <w:t>13</w:t>
      </w:r>
      <w:r>
        <w:rPr>
          <w:rFonts w:hint="eastAsia" w:ascii="宋体" w:hAnsi="宋体"/>
          <w:b/>
          <w:sz w:val="24"/>
        </w:rPr>
        <w:t>、开标一览表格式</w:t>
      </w:r>
    </w:p>
    <w:p>
      <w:pPr>
        <w:jc w:val="center"/>
        <w:rPr>
          <w:rFonts w:ascii="宋体" w:hAnsi="宋体"/>
          <w:b/>
          <w:sz w:val="30"/>
          <w:szCs w:val="30"/>
        </w:rPr>
      </w:pPr>
      <w:r>
        <w:rPr>
          <w:rFonts w:hint="eastAsia" w:ascii="宋体" w:hAnsi="宋体"/>
          <w:b/>
          <w:sz w:val="30"/>
          <w:szCs w:val="30"/>
        </w:rPr>
        <w:t>开标一览表</w:t>
      </w:r>
    </w:p>
    <w:p>
      <w:pPr>
        <w:jc w:val="center"/>
        <w:rPr>
          <w:rFonts w:ascii="宋体" w:hAnsi="宋体"/>
          <w:b/>
          <w:sz w:val="30"/>
          <w:szCs w:val="30"/>
        </w:rPr>
      </w:pPr>
    </w:p>
    <w:p>
      <w:pPr>
        <w:rPr>
          <w:rFonts w:ascii="宋体" w:hAnsi="宋体"/>
          <w:sz w:val="24"/>
          <w:szCs w:val="24"/>
        </w:rPr>
      </w:pPr>
      <w:r>
        <w:rPr>
          <w:rFonts w:hint="eastAsia" w:ascii="宋体" w:hAnsi="宋体"/>
          <w:sz w:val="24"/>
          <w:szCs w:val="24"/>
        </w:rPr>
        <w:t>项目名称：2022年度嘉兴市公安局交通警察支队交通设施日常维护、更新项目</w:t>
      </w:r>
    </w:p>
    <w:p>
      <w:pPr>
        <w:rPr>
          <w:rFonts w:ascii="宋体" w:hAnsi="宋体"/>
          <w:sz w:val="24"/>
          <w:szCs w:val="24"/>
        </w:rPr>
      </w:pPr>
      <w:r>
        <w:rPr>
          <w:rFonts w:hint="eastAsia" w:ascii="宋体" w:hAnsi="宋体"/>
          <w:sz w:val="24"/>
          <w:szCs w:val="24"/>
        </w:rPr>
        <w:t xml:space="preserve">项目编号： </w:t>
      </w:r>
      <w:r>
        <w:rPr>
          <w:rFonts w:ascii="宋体" w:hAnsi="宋体"/>
          <w:sz w:val="24"/>
          <w:szCs w:val="24"/>
        </w:rPr>
        <w:t xml:space="preserve">                         </w:t>
      </w:r>
      <w:r>
        <w:rPr>
          <w:rFonts w:hint="eastAsia" w:ascii="宋体" w:hAnsi="宋体"/>
          <w:sz w:val="24"/>
          <w:szCs w:val="24"/>
        </w:rPr>
        <w:t>供应商名称：</w:t>
      </w:r>
    </w:p>
    <w:tbl>
      <w:tblPr>
        <w:tblStyle w:val="5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3402"/>
        <w:gridCol w:w="708"/>
        <w:gridCol w:w="709"/>
        <w:gridCol w:w="2268"/>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标项</w:t>
            </w:r>
          </w:p>
        </w:tc>
        <w:tc>
          <w:tcPr>
            <w:tcW w:w="3402"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标项名称</w:t>
            </w:r>
          </w:p>
        </w:tc>
        <w:tc>
          <w:tcPr>
            <w:tcW w:w="70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数量</w:t>
            </w:r>
          </w:p>
        </w:tc>
        <w:tc>
          <w:tcPr>
            <w:tcW w:w="709"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单位</w:t>
            </w:r>
          </w:p>
        </w:tc>
        <w:tc>
          <w:tcPr>
            <w:tcW w:w="226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工程质量要求</w:t>
            </w:r>
          </w:p>
        </w:tc>
        <w:tc>
          <w:tcPr>
            <w:tcW w:w="1418" w:type="dxa"/>
            <w:noWrap w:val="0"/>
            <w:vAlign w:val="center"/>
          </w:tcPr>
          <w:p>
            <w:pPr>
              <w:spacing w:after="60" w:afterLines="25" w:line="360" w:lineRule="exact"/>
              <w:jc w:val="center"/>
              <w:rPr>
                <w:rFonts w:ascii="宋体" w:hAnsi="宋体"/>
                <w:sz w:val="24"/>
                <w:szCs w:val="24"/>
              </w:rPr>
            </w:pPr>
            <w:r>
              <w:rPr>
                <w:rFonts w:hint="eastAsia" w:ascii="宋体" w:hAnsi="宋体"/>
                <w:sz w:val="24"/>
                <w:szCs w:val="24"/>
              </w:rPr>
              <w:t>投标折扣率</w:t>
            </w:r>
          </w:p>
          <w:p>
            <w:pPr>
              <w:spacing w:after="60" w:afterLines="25" w:line="360" w:lineRule="exact"/>
              <w:jc w:val="center"/>
              <w:rPr>
                <w:rFonts w:hint="eastAsia" w:ascii="宋体" w:hAnsi="宋体"/>
                <w:sz w:val="24"/>
                <w:szCs w:val="24"/>
              </w:rPr>
            </w:pPr>
            <w:r>
              <w:rPr>
                <w:rFonts w:hint="eastAsia" w:ascii="宋体" w:hAnsi="宋体"/>
                <w:sz w:val="24"/>
                <w:szCs w:val="24"/>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trPr>
        <w:tc>
          <w:tcPr>
            <w:tcW w:w="817"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1</w:t>
            </w:r>
          </w:p>
        </w:tc>
        <w:tc>
          <w:tcPr>
            <w:tcW w:w="3402"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嘉兴市市区交通标线复划项目</w:t>
            </w:r>
          </w:p>
        </w:tc>
        <w:tc>
          <w:tcPr>
            <w:tcW w:w="70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1</w:t>
            </w:r>
          </w:p>
        </w:tc>
        <w:tc>
          <w:tcPr>
            <w:tcW w:w="709"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批</w:t>
            </w:r>
          </w:p>
        </w:tc>
        <w:tc>
          <w:tcPr>
            <w:tcW w:w="226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达到国家现行的施工质量验收标准</w:t>
            </w:r>
          </w:p>
        </w:tc>
        <w:tc>
          <w:tcPr>
            <w:tcW w:w="1418" w:type="dxa"/>
            <w:noWrap w:val="0"/>
            <w:vAlign w:val="center"/>
          </w:tcPr>
          <w:p>
            <w:pPr>
              <w:spacing w:after="60" w:afterLines="25" w:line="360" w:lineRule="exact"/>
              <w:jc w:val="center"/>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817"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2</w:t>
            </w:r>
          </w:p>
        </w:tc>
        <w:tc>
          <w:tcPr>
            <w:tcW w:w="3402"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嘉兴市市区交通标志、标线、护栏等更新、新增项目</w:t>
            </w:r>
          </w:p>
        </w:tc>
        <w:tc>
          <w:tcPr>
            <w:tcW w:w="70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1</w:t>
            </w:r>
          </w:p>
        </w:tc>
        <w:tc>
          <w:tcPr>
            <w:tcW w:w="709"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批</w:t>
            </w:r>
          </w:p>
        </w:tc>
        <w:tc>
          <w:tcPr>
            <w:tcW w:w="226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达到国家现行的施工质量验收标准</w:t>
            </w:r>
          </w:p>
        </w:tc>
        <w:tc>
          <w:tcPr>
            <w:tcW w:w="1418" w:type="dxa"/>
            <w:noWrap w:val="0"/>
            <w:vAlign w:val="center"/>
          </w:tcPr>
          <w:p>
            <w:pPr>
              <w:spacing w:after="60" w:afterLines="25" w:line="360" w:lineRule="exact"/>
              <w:jc w:val="center"/>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817"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3</w:t>
            </w:r>
          </w:p>
        </w:tc>
        <w:tc>
          <w:tcPr>
            <w:tcW w:w="3402"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嘉兴市市区交通信号灯的更新维护项目</w:t>
            </w:r>
          </w:p>
        </w:tc>
        <w:tc>
          <w:tcPr>
            <w:tcW w:w="70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1</w:t>
            </w:r>
          </w:p>
        </w:tc>
        <w:tc>
          <w:tcPr>
            <w:tcW w:w="709"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批</w:t>
            </w:r>
          </w:p>
        </w:tc>
        <w:tc>
          <w:tcPr>
            <w:tcW w:w="2268" w:type="dxa"/>
            <w:noWrap w:val="0"/>
            <w:vAlign w:val="center"/>
          </w:tcPr>
          <w:p>
            <w:pPr>
              <w:spacing w:after="60" w:afterLines="25" w:line="360" w:lineRule="exact"/>
              <w:jc w:val="center"/>
              <w:rPr>
                <w:rFonts w:hint="eastAsia" w:ascii="宋体" w:hAnsi="宋体"/>
                <w:sz w:val="24"/>
                <w:szCs w:val="24"/>
              </w:rPr>
            </w:pPr>
            <w:r>
              <w:rPr>
                <w:rFonts w:hint="eastAsia" w:ascii="宋体" w:hAnsi="宋体"/>
                <w:sz w:val="24"/>
                <w:szCs w:val="24"/>
              </w:rPr>
              <w:t>达到国家现行的施工质量验收标准</w:t>
            </w:r>
          </w:p>
        </w:tc>
        <w:tc>
          <w:tcPr>
            <w:tcW w:w="1418" w:type="dxa"/>
            <w:noWrap w:val="0"/>
            <w:vAlign w:val="center"/>
          </w:tcPr>
          <w:p>
            <w:pPr>
              <w:spacing w:after="60" w:afterLines="25" w:line="360" w:lineRule="exact"/>
              <w:jc w:val="center"/>
              <w:rPr>
                <w:rFonts w:hint="eastAsia" w:ascii="宋体" w:hAnsi="宋体"/>
                <w:sz w:val="24"/>
                <w:szCs w:val="24"/>
              </w:rPr>
            </w:pPr>
          </w:p>
        </w:tc>
      </w:tr>
    </w:tbl>
    <w:p>
      <w:pPr>
        <w:pStyle w:val="27"/>
        <w:snapToGrid w:val="0"/>
        <w:spacing w:before="120" w:beforeLines="50"/>
        <w:rPr>
          <w:rFonts w:hAnsi="宋体"/>
          <w:sz w:val="24"/>
          <w:szCs w:val="24"/>
        </w:rPr>
      </w:pPr>
      <w:r>
        <w:rPr>
          <w:rFonts w:hint="eastAsia" w:hAnsi="宋体"/>
          <w:b/>
          <w:bCs/>
          <w:sz w:val="24"/>
          <w:szCs w:val="24"/>
        </w:rPr>
        <w:t>注</w:t>
      </w:r>
      <w:r>
        <w:rPr>
          <w:rFonts w:hint="eastAsia" w:hAnsi="宋体"/>
          <w:sz w:val="24"/>
          <w:szCs w:val="24"/>
        </w:rPr>
        <w:t>：</w:t>
      </w:r>
      <w:r>
        <w:rPr>
          <w:rFonts w:hAnsi="宋体"/>
          <w:sz w:val="24"/>
          <w:szCs w:val="24"/>
        </w:rPr>
        <w:t>1</w:t>
      </w:r>
      <w:r>
        <w:rPr>
          <w:rFonts w:hint="eastAsia" w:hAnsi="宋体"/>
          <w:sz w:val="24"/>
          <w:szCs w:val="24"/>
        </w:rPr>
        <w:t>、报价一经涂改，应在涂改处加盖单位公章或者由法定代表人或授权委托人签字或盖章，否则其投标作无效标处理。</w:t>
      </w:r>
    </w:p>
    <w:p>
      <w:pPr>
        <w:pStyle w:val="27"/>
        <w:snapToGrid w:val="0"/>
        <w:ind w:firstLine="480" w:firstLineChars="200"/>
        <w:rPr>
          <w:rFonts w:hAnsi="宋体"/>
          <w:sz w:val="24"/>
          <w:szCs w:val="24"/>
        </w:rPr>
      </w:pPr>
      <w:r>
        <w:rPr>
          <w:rFonts w:hint="eastAsia" w:hAnsi="宋体"/>
          <w:sz w:val="24"/>
          <w:szCs w:val="24"/>
        </w:rPr>
        <w:t>2、投标报价按固定单价折扣率报价，包括项目实施所需的一切材料、人工、标准附件、备品备件、专用工具、包装、运输、装卸、保险、货到就位以及安装、调试、培训、保修、利润、税金等完成合同所需的一切本身和不可或缺的所有工作开支、政策性文件规定及合同包含的所有风险、责任等各项全部费用并承担一切风险责任。</w:t>
      </w:r>
    </w:p>
    <w:p>
      <w:pPr>
        <w:ind w:firstLine="480" w:firstLineChars="200"/>
        <w:rPr>
          <w:rFonts w:ascii="宋体" w:hAnsi="宋体"/>
          <w:sz w:val="24"/>
          <w:szCs w:val="24"/>
        </w:rPr>
      </w:pPr>
      <w:r>
        <w:rPr>
          <w:rFonts w:hint="eastAsia" w:ascii="宋体" w:hAnsi="宋体"/>
          <w:sz w:val="24"/>
          <w:szCs w:val="24"/>
        </w:rPr>
        <w:t>▲</w:t>
      </w:r>
      <w:r>
        <w:rPr>
          <w:rFonts w:ascii="宋体" w:hAnsi="宋体"/>
          <w:sz w:val="24"/>
          <w:szCs w:val="24"/>
        </w:rPr>
        <w:t>3</w:t>
      </w:r>
      <w:r>
        <w:rPr>
          <w:rFonts w:hint="eastAsia" w:ascii="宋体" w:hAnsi="宋体"/>
          <w:sz w:val="24"/>
          <w:szCs w:val="24"/>
        </w:rPr>
        <w:t>、以上任一项报价不得超过上限价【系指第二章招标需求采购清单中的各子项固定单价97.59%（标项1），94.41%（标项2），92.47%（标项3）】，任何超过上限价的报价均导致投标被否决。本项目以</w:t>
      </w:r>
      <w:r>
        <w:rPr>
          <w:rFonts w:hint="eastAsia" w:ascii="宋体" w:hAnsi="宋体"/>
          <w:b/>
          <w:bCs/>
          <w:sz w:val="24"/>
          <w:szCs w:val="24"/>
        </w:rPr>
        <w:t>总体投标折扣率</w:t>
      </w:r>
      <w:r>
        <w:rPr>
          <w:rFonts w:hint="eastAsia" w:ascii="宋体" w:hAnsi="宋体"/>
          <w:sz w:val="24"/>
          <w:szCs w:val="24"/>
        </w:rPr>
        <w:t>进行报价，实际费用以固定单价×中标折扣率×实际采购数量据实结算。</w:t>
      </w:r>
    </w:p>
    <w:p>
      <w:pPr>
        <w:adjustRightInd w:val="0"/>
        <w:ind w:firstLine="482" w:firstLineChars="200"/>
        <w:rPr>
          <w:rFonts w:ascii="宋体" w:hAnsi="宋体"/>
          <w:b/>
          <w:bCs/>
          <w:sz w:val="24"/>
          <w:szCs w:val="24"/>
        </w:rPr>
      </w:pPr>
      <w:r>
        <w:rPr>
          <w:rFonts w:ascii="宋体" w:hAnsi="宋体"/>
          <w:b/>
          <w:bCs/>
          <w:sz w:val="24"/>
          <w:szCs w:val="24"/>
        </w:rPr>
        <w:t>4</w:t>
      </w:r>
      <w:r>
        <w:rPr>
          <w:rFonts w:hint="eastAsia" w:ascii="宋体" w:hAnsi="宋体"/>
          <w:b/>
          <w:bCs/>
          <w:sz w:val="24"/>
          <w:szCs w:val="24"/>
        </w:rPr>
        <w:t>、本文所表述的“折扣率”均表示为固定单价的百分比。如折扣率为80%，即固定单价×80%。</w:t>
      </w:r>
    </w:p>
    <w:p>
      <w:pPr>
        <w:snapToGrid w:val="0"/>
        <w:ind w:left="-151" w:leftChars="-72" w:right="-817" w:rightChars="-389" w:firstLine="480" w:firstLineChars="200"/>
        <w:rPr>
          <w:rFonts w:ascii="宋体" w:hAnsi="宋体"/>
          <w:sz w:val="24"/>
          <w:szCs w:val="24"/>
        </w:rPr>
      </w:pPr>
    </w:p>
    <w:p>
      <w:pPr>
        <w:snapToGrid w:val="0"/>
        <w:ind w:right="-817" w:rightChars="-389"/>
        <w:rPr>
          <w:rFonts w:ascii="宋体" w:hAnsi="宋体"/>
          <w:sz w:val="24"/>
          <w:szCs w:val="24"/>
        </w:rPr>
      </w:pPr>
      <w:r>
        <w:rPr>
          <w:rFonts w:hint="eastAsia" w:ascii="宋体" w:hAnsi="宋体"/>
          <w:sz w:val="24"/>
          <w:szCs w:val="24"/>
        </w:rPr>
        <w:t>法定代表人或授权代表（签字或盖章）：</w:t>
      </w:r>
    </w:p>
    <w:p>
      <w:pPr>
        <w:snapToGrid w:val="0"/>
        <w:ind w:right="-817" w:rightChars="-389"/>
        <w:rPr>
          <w:rFonts w:ascii="宋体" w:hAnsi="宋体"/>
          <w:sz w:val="24"/>
          <w:szCs w:val="24"/>
        </w:rPr>
      </w:pPr>
      <w:r>
        <w:rPr>
          <w:rFonts w:hint="eastAsia" w:ascii="宋体" w:hAnsi="宋体"/>
          <w:sz w:val="24"/>
          <w:szCs w:val="24"/>
        </w:rPr>
        <w:t>供应商名称（公章）：</w:t>
      </w:r>
    </w:p>
    <w:p>
      <w:pPr>
        <w:snapToGrid w:val="0"/>
        <w:ind w:right="-817" w:rightChars="-389"/>
        <w:rPr>
          <w:rFonts w:hint="eastAsia" w:ascii="宋体" w:hAnsi="宋体"/>
          <w:szCs w:val="21"/>
        </w:rPr>
      </w:pPr>
      <w:r>
        <w:rPr>
          <w:rFonts w:hint="eastAsia" w:ascii="宋体" w:hAnsi="宋体"/>
          <w:sz w:val="24"/>
          <w:szCs w:val="24"/>
        </w:rPr>
        <w:t>日期：    年   月   日</w:t>
      </w:r>
    </w:p>
    <w:sectPr>
      <w:footerReference r:id="rId14" w:type="first"/>
      <w:pgSz w:w="11906" w:h="16838"/>
      <w:pgMar w:top="1247" w:right="1418" w:bottom="1276" w:left="1418" w:header="851" w:footer="525" w:gutter="0"/>
      <w:cols w:space="720" w:num="1"/>
      <w:titlePg/>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楷体_GB2312">
    <w:altName w:val="楷体"/>
    <w:panose1 w:val="02010609030101010101"/>
    <w:charset w:val="86"/>
    <w:family w:val="modern"/>
    <w:pitch w:val="default"/>
    <w:sig w:usb0="00000000" w:usb1="0000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仿宋GB2312">
    <w:altName w:val="宋体"/>
    <w:panose1 w:val="00000000000000000000"/>
    <w:charset w:val="86"/>
    <w:family w:val="roman"/>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新宋体">
    <w:panose1 w:val="02010609030101010101"/>
    <w:charset w:val="86"/>
    <w:family w:val="modern"/>
    <w:pitch w:val="default"/>
    <w:sig w:usb0="00000203" w:usb1="288F0000" w:usb2="00000006" w:usb3="00000000" w:csb0="00040001" w:csb1="00000000"/>
  </w:font>
  <w:font w:name="Mangal">
    <w:altName w:val="Segoe Print"/>
    <w:panose1 w:val="00000400000000000000"/>
    <w:charset w:val="01"/>
    <w:family w:val="roman"/>
    <w:pitch w:val="default"/>
    <w:sig w:usb0="00002000" w:usb1="00000000" w:usb2="00000000" w:usb3="00000000" w:csb0="00000000" w:csb1="00000000"/>
  </w:font>
  <w:font w:name="MS UI Gothic">
    <w:panose1 w:val="020B0600070205080204"/>
    <w:charset w:val="80"/>
    <w:family w:val="swiss"/>
    <w:pitch w:val="default"/>
    <w:sig w:usb0="E00002FF" w:usb1="6AC7FDFB" w:usb2="08000012" w:usb3="00000000" w:csb0="4002009F" w:csb1="DFD70000"/>
  </w:font>
  <w:font w:name="Verdana">
    <w:panose1 w:val="020B0604030504040204"/>
    <w:charset w:val="00"/>
    <w:family w:val="swiss"/>
    <w:pitch w:val="default"/>
    <w:sig w:usb0="A00006FF" w:usb1="4000205B" w:usb2="00000010" w:usb3="00000000" w:csb0="2000019F" w:csb1="00000000"/>
  </w:font>
  <w:font w:name="Helvetica">
    <w:altName w:val="Arial"/>
    <w:panose1 w:val="020B0604020202020204"/>
    <w:charset w:val="00"/>
    <w:family w:val="swiss"/>
    <w:pitch w:val="default"/>
    <w:sig w:usb0="E0002EFF" w:usb1="C000785B" w:usb2="00000009" w:usb3="00000000" w:csb0="000001FF" w:csb1="00000000"/>
  </w:font>
  <w:font w:name="华文中宋">
    <w:panose1 w:val="02010600040101010101"/>
    <w:charset w:val="86"/>
    <w:family w:val="auto"/>
    <w:pitch w:val="default"/>
    <w:sig w:usb0="00000287" w:usb1="080F0000" w:usb2="00000000" w:usb3="00000000" w:csb0="0004009F" w:csb1="DFD7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 PAGE   \* MERGEFORMAT </w:instrText>
    </w:r>
    <w:r>
      <w:fldChar w:fldCharType="separate"/>
    </w:r>
    <w:r>
      <w:rPr>
        <w:lang w:val="zh-CN"/>
      </w:rPr>
      <w:t>14</w:t>
    </w:r>
    <w:r>
      <w:rPr>
        <w:lang w:val="zh-CN"/>
      </w:rPr>
      <w:fldChar w:fldCharType="end"/>
    </w:r>
  </w:p>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rPr>
        <w:rStyle w:val="190"/>
      </w:rPr>
    </w:pPr>
    <w:r>
      <w:fldChar w:fldCharType="begin"/>
    </w:r>
    <w:r>
      <w:rPr>
        <w:rStyle w:val="190"/>
      </w:rPr>
      <w:instrText xml:space="preserve">PAGE  </w:instrText>
    </w:r>
    <w:r>
      <w:fldChar w:fldCharType="separate"/>
    </w:r>
    <w:r>
      <w:rPr>
        <w:rStyle w:val="190"/>
        <w:lang/>
      </w:rPr>
      <w:t>66</w:t>
    </w:r>
    <w:r>
      <w:fldChar w:fldCharType="end"/>
    </w:r>
  </w:p>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 PAGE   \* MERGEFORMAT </w:instrText>
    </w:r>
    <w:r>
      <w:fldChar w:fldCharType="separate"/>
    </w:r>
    <w:r>
      <w:rPr>
        <w:lang/>
      </w:rPr>
      <w:t>135</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 PAGE   \* MERGEFORMAT </w:instrText>
    </w:r>
    <w:r>
      <w:fldChar w:fldCharType="separate"/>
    </w:r>
    <w:r>
      <w:rPr>
        <w:lang w:val="zh-CN"/>
      </w:rPr>
      <w:t>56</w:t>
    </w:r>
    <w:r>
      <w:rPr>
        <w:lang w:val="zh-CN"/>
      </w:rPr>
      <w:fldChar w:fldCharType="end"/>
    </w:r>
  </w:p>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lang w:val="zh-CN"/>
      </w:rPr>
    </w:pPr>
    <w:r>
      <w:rPr>
        <w:lang w:val="zh-CN"/>
      </w:rPr>
      <w:fldChar w:fldCharType="begin"/>
    </w:r>
    <w:r>
      <w:rPr>
        <w:lang w:val="zh-CN"/>
      </w:rPr>
      <w:instrText xml:space="preserve">PAGE   \* MERGEFORMAT</w:instrText>
    </w:r>
    <w:r>
      <w:rPr>
        <w:lang w:val="zh-CN"/>
      </w:rPr>
      <w:fldChar w:fldCharType="separate"/>
    </w:r>
    <w:r>
      <w:rPr>
        <w:lang w:val="zh-CN"/>
      </w:rPr>
      <w:t>114</w:t>
    </w:r>
    <w:r>
      <w:rPr>
        <w:lang w:val="zh-CN"/>
      </w:rPr>
      <w:fldChar w:fldCharType="end"/>
    </w:r>
  </w:p>
  <w:p>
    <w:pPr>
      <w:rPr>
        <w:lang w:val="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sz w:val="18"/>
        <w:szCs w:val="16"/>
        <w:lang w:val="zh-CN"/>
      </w:rPr>
    </w:pPr>
    <w:r>
      <w:rPr>
        <w:sz w:val="18"/>
        <w:szCs w:val="16"/>
        <w:lang w:val="zh-CN"/>
      </w:rPr>
      <w:fldChar w:fldCharType="begin"/>
    </w:r>
    <w:r>
      <w:rPr>
        <w:sz w:val="18"/>
        <w:szCs w:val="16"/>
        <w:lang w:val="zh-CN"/>
      </w:rPr>
      <w:instrText xml:space="preserve">PAGE   \* MERGEFORMAT</w:instrText>
    </w:r>
    <w:r>
      <w:rPr>
        <w:sz w:val="18"/>
        <w:szCs w:val="16"/>
        <w:lang w:val="zh-CN"/>
      </w:rPr>
      <w:fldChar w:fldCharType="separate"/>
    </w:r>
    <w:r>
      <w:rPr>
        <w:sz w:val="18"/>
        <w:szCs w:val="16"/>
        <w:lang w:val="zh-CN"/>
      </w:rPr>
      <w:t>115</w:t>
    </w:r>
    <w:r>
      <w:rPr>
        <w:sz w:val="18"/>
        <w:szCs w:val="16"/>
        <w:lang w:val="zh-CN"/>
      </w:rPr>
      <w:fldChar w:fldCharType="end"/>
    </w:r>
  </w:p>
  <w:p>
    <w:pPr>
      <w:rPr>
        <w:lang w:val="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 PAGE   \* MERGEFORMAT </w:instrText>
    </w:r>
    <w:r>
      <w:fldChar w:fldCharType="separate"/>
    </w:r>
    <w:r>
      <w:rPr>
        <w:lang w:val="zh-CN"/>
      </w:rPr>
      <w:t>121</w:t>
    </w:r>
    <w:r>
      <w:rPr>
        <w:lang w:val="zh-CN"/>
      </w:rPr>
      <w:fldChar w:fldCharType="end"/>
    </w:r>
  </w:p>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pPr>
        <w:spacing w:line="360" w:lineRule="auto"/>
      </w:pPr>
      <w:r>
        <w:separator/>
      </w:r>
    </w:p>
  </w:footnote>
  <w:footnote w:type="continuationSeparator" w:id="3">
    <w:p>
      <w:pPr>
        <w:spacing w:line="360" w:lineRule="auto"/>
      </w:pPr>
      <w:r>
        <w:continuationSeparator/>
      </w:r>
    </w:p>
  </w:footnote>
  <w:footnote w:id="0">
    <w:p>
      <w:pPr>
        <w:rPr>
          <w:rFonts w:ascii="宋体" w:hAnsi="宋体" w:cs="Courier New"/>
          <w:sz w:val="19"/>
          <w:szCs w:val="19"/>
        </w:rPr>
      </w:pPr>
      <w:r>
        <w:rPr>
          <w:rFonts w:cs="Courier New"/>
          <w:sz w:val="19"/>
          <w:szCs w:val="19"/>
        </w:rPr>
        <w:footnoteRef/>
      </w:r>
      <w:r>
        <w:rPr>
          <w:rFonts w:hint="eastAsia" w:ascii="宋体" w:hAnsi="宋体" w:cs="Courier New"/>
          <w:sz w:val="19"/>
          <w:szCs w:val="19"/>
        </w:rPr>
        <w:t>.</w:t>
      </w:r>
      <w:r>
        <w:rPr>
          <w:rFonts w:ascii="宋体" w:hAnsi="宋体" w:cs="Courier New"/>
          <w:sz w:val="19"/>
          <w:szCs w:val="19"/>
        </w:rPr>
        <w:t>从业人员、营业收入、资产总额填报上一年度数据，无上一年度数据的新成立企业可不填报。</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A760F1C"/>
    <w:multiLevelType w:val="multilevel"/>
    <w:tmpl w:val="0A760F1C"/>
    <w:lvl w:ilvl="0" w:tentative="0">
      <w:start w:val="1"/>
      <w:numFmt w:val="decimal"/>
      <w:pStyle w:val="69"/>
      <w:suff w:val="space"/>
      <w:lvlText w:val="第%1章"/>
      <w:lvlJc w:val="center"/>
      <w:pPr>
        <w:ind w:left="3257" w:firstLine="288"/>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1" w:tentative="0">
      <w:start w:val="1"/>
      <w:numFmt w:val="decimal"/>
      <w:pStyle w:val="273"/>
      <w:suff w:val="space"/>
      <w:lvlText w:val="%1.%2"/>
      <w:lvlJc w:val="left"/>
      <w:pPr>
        <w:ind w:left="1843" w:firstLine="0"/>
      </w:pPr>
      <w:rPr>
        <w:rFonts w:hint="eastAsia" w:ascii="黑体" w:hAnsi="黑体" w:eastAsia="黑体"/>
        <w:sz w:val="32"/>
        <w:szCs w:val="32"/>
      </w:rPr>
    </w:lvl>
    <w:lvl w:ilvl="2" w:tentative="0">
      <w:start w:val="1"/>
      <w:numFmt w:val="decimal"/>
      <w:pStyle w:val="404"/>
      <w:suff w:val="space"/>
      <w:lvlText w:val="%1.%2.%3"/>
      <w:lvlJc w:val="left"/>
      <w:pPr>
        <w:ind w:left="1843" w:firstLine="0"/>
      </w:pPr>
      <w:rPr>
        <w:rFonts w:hint="eastAsia" w:ascii="黑体" w:hAnsi="黑体" w:eastAsia="黑体"/>
        <w:sz w:val="28"/>
      </w:rPr>
    </w:lvl>
    <w:lvl w:ilvl="3" w:tentative="0">
      <w:start w:val="1"/>
      <w:numFmt w:val="decimal"/>
      <w:pStyle w:val="447"/>
      <w:suff w:val="space"/>
      <w:lvlText w:val="%1.%2.%3.%4"/>
      <w:lvlJc w:val="left"/>
      <w:pPr>
        <w:ind w:left="1843" w:firstLine="0"/>
      </w:pPr>
      <w:rPr>
        <w:rFonts w:hint="eastAsia" w:ascii="黑体" w:hAnsi="黑体" w:eastAsia="黑体"/>
        <w:sz w:val="24"/>
      </w:rPr>
    </w:lvl>
    <w:lvl w:ilvl="4" w:tentative="0">
      <w:start w:val="1"/>
      <w:numFmt w:val="decimal"/>
      <w:lvlText w:val="%1.%2.%3.%4.%5"/>
      <w:lvlJc w:val="left"/>
      <w:pPr>
        <w:ind w:left="1843" w:firstLine="0"/>
      </w:pPr>
      <w:rPr>
        <w:rFonts w:hint="eastAsia"/>
      </w:rPr>
    </w:lvl>
    <w:lvl w:ilvl="5" w:tentative="0">
      <w:start w:val="1"/>
      <w:numFmt w:val="decimal"/>
      <w:lvlText w:val="%1.%2.%3.%4.%5.%6"/>
      <w:lvlJc w:val="left"/>
      <w:pPr>
        <w:ind w:left="1843" w:firstLine="0"/>
      </w:pPr>
      <w:rPr>
        <w:rFonts w:hint="eastAsia"/>
      </w:rPr>
    </w:lvl>
    <w:lvl w:ilvl="6" w:tentative="0">
      <w:start w:val="1"/>
      <w:numFmt w:val="decimal"/>
      <w:lvlText w:val="%1.%2.%3.%4.%5.%6.%7"/>
      <w:lvlJc w:val="left"/>
      <w:pPr>
        <w:ind w:left="1843" w:firstLine="0"/>
      </w:pPr>
      <w:rPr>
        <w:rFonts w:hint="eastAsia"/>
      </w:rPr>
    </w:lvl>
    <w:lvl w:ilvl="7" w:tentative="0">
      <w:start w:val="1"/>
      <w:numFmt w:val="decimal"/>
      <w:lvlText w:val="%1.%2.%3.%4.%5.%6.%7.%8"/>
      <w:lvlJc w:val="left"/>
      <w:pPr>
        <w:ind w:left="1843" w:firstLine="0"/>
      </w:pPr>
      <w:rPr>
        <w:rFonts w:hint="eastAsia"/>
      </w:rPr>
    </w:lvl>
    <w:lvl w:ilvl="8" w:tentative="0">
      <w:start w:val="1"/>
      <w:numFmt w:val="decimal"/>
      <w:lvlText w:val="%1.%2.%3.%4.%5.%6.%7.%8.%9"/>
      <w:lvlJc w:val="left"/>
      <w:pPr>
        <w:ind w:left="1843" w:firstLine="0"/>
      </w:pPr>
      <w:rPr>
        <w:rFonts w:hint="eastAsia"/>
      </w:rPr>
    </w:lvl>
  </w:abstractNum>
  <w:abstractNum w:abstractNumId="1">
    <w:nsid w:val="19D23FDE"/>
    <w:multiLevelType w:val="multilevel"/>
    <w:tmpl w:val="19D23FDE"/>
    <w:lvl w:ilvl="0" w:tentative="0">
      <w:start w:val="1"/>
      <w:numFmt w:val="decimal"/>
      <w:lvlText w:val="%1"/>
      <w:lvlJc w:val="righ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8346888"/>
    <w:multiLevelType w:val="multilevel"/>
    <w:tmpl w:val="38346888"/>
    <w:lvl w:ilvl="0" w:tentative="0">
      <w:start w:val="1"/>
      <w:numFmt w:val="decimal"/>
      <w:pStyle w:val="511"/>
      <w:lvlText w:val="（%1）"/>
      <w:lvlJc w:val="left"/>
      <w:pPr>
        <w:tabs>
          <w:tab w:val="left" w:pos="1365"/>
        </w:tabs>
        <w:ind w:left="1365" w:hanging="735"/>
      </w:pPr>
      <w:rPr>
        <w:rFonts w:hint="eastAsia"/>
      </w:rPr>
    </w:lvl>
    <w:lvl w:ilvl="1" w:tentative="0">
      <w:start w:val="1"/>
      <w:numFmt w:val="lowerLetter"/>
      <w:lvlText w:val="%2)"/>
      <w:lvlJc w:val="left"/>
      <w:pPr>
        <w:tabs>
          <w:tab w:val="left" w:pos="1470"/>
        </w:tabs>
        <w:ind w:left="1470" w:hanging="420"/>
      </w:pPr>
    </w:lvl>
    <w:lvl w:ilvl="2" w:tentative="0">
      <w:start w:val="1"/>
      <w:numFmt w:val="lowerRoman"/>
      <w:lvlText w:val="%3."/>
      <w:lvlJc w:val="right"/>
      <w:pPr>
        <w:tabs>
          <w:tab w:val="left" w:pos="1890"/>
        </w:tabs>
        <w:ind w:left="1890" w:hanging="420"/>
      </w:pPr>
    </w:lvl>
    <w:lvl w:ilvl="3" w:tentative="0">
      <w:start w:val="1"/>
      <w:numFmt w:val="decimal"/>
      <w:lvlText w:val="%4."/>
      <w:lvlJc w:val="left"/>
      <w:pPr>
        <w:tabs>
          <w:tab w:val="left" w:pos="2310"/>
        </w:tabs>
        <w:ind w:left="2310" w:hanging="420"/>
      </w:pPr>
    </w:lvl>
    <w:lvl w:ilvl="4" w:tentative="0">
      <w:start w:val="1"/>
      <w:numFmt w:val="lowerLetter"/>
      <w:lvlText w:val="%5)"/>
      <w:lvlJc w:val="left"/>
      <w:pPr>
        <w:tabs>
          <w:tab w:val="left" w:pos="2730"/>
        </w:tabs>
        <w:ind w:left="2730" w:hanging="420"/>
      </w:pPr>
    </w:lvl>
    <w:lvl w:ilvl="5" w:tentative="0">
      <w:start w:val="1"/>
      <w:numFmt w:val="lowerRoman"/>
      <w:lvlText w:val="%6."/>
      <w:lvlJc w:val="right"/>
      <w:pPr>
        <w:tabs>
          <w:tab w:val="left" w:pos="3150"/>
        </w:tabs>
        <w:ind w:left="3150" w:hanging="420"/>
      </w:pPr>
    </w:lvl>
    <w:lvl w:ilvl="6" w:tentative="0">
      <w:start w:val="1"/>
      <w:numFmt w:val="decimal"/>
      <w:lvlText w:val="%7."/>
      <w:lvlJc w:val="left"/>
      <w:pPr>
        <w:tabs>
          <w:tab w:val="left" w:pos="3570"/>
        </w:tabs>
        <w:ind w:left="3570" w:hanging="420"/>
      </w:pPr>
    </w:lvl>
    <w:lvl w:ilvl="7" w:tentative="0">
      <w:start w:val="1"/>
      <w:numFmt w:val="lowerLetter"/>
      <w:lvlText w:val="%8)"/>
      <w:lvlJc w:val="left"/>
      <w:pPr>
        <w:tabs>
          <w:tab w:val="left" w:pos="3990"/>
        </w:tabs>
        <w:ind w:left="3990" w:hanging="420"/>
      </w:pPr>
    </w:lvl>
    <w:lvl w:ilvl="8" w:tentative="0">
      <w:start w:val="1"/>
      <w:numFmt w:val="lowerRoman"/>
      <w:lvlText w:val="%9."/>
      <w:lvlJc w:val="right"/>
      <w:pPr>
        <w:tabs>
          <w:tab w:val="left" w:pos="4410"/>
        </w:tabs>
        <w:ind w:left="4410" w:hanging="420"/>
      </w:pPr>
    </w:lvl>
  </w:abstractNum>
  <w:abstractNum w:abstractNumId="3">
    <w:nsid w:val="43740B8A"/>
    <w:multiLevelType w:val="multilevel"/>
    <w:tmpl w:val="43740B8A"/>
    <w:lvl w:ilvl="0" w:tentative="0">
      <w:start w:val="1"/>
      <w:numFmt w:val="chineseCountingThousand"/>
      <w:suff w:val="space"/>
      <w:lvlText w:val="第%1章"/>
      <w:lvlJc w:val="left"/>
      <w:pPr>
        <w:ind w:left="0" w:firstLine="0"/>
      </w:pPr>
      <w:rPr>
        <w:rFonts w:hint="default" w:ascii="Times New Roman" w:hAnsi="Times New Roman" w:eastAsia="宋体"/>
        <w:b/>
        <w:i w:val="0"/>
        <w:sz w:val="36"/>
      </w:rPr>
    </w:lvl>
    <w:lvl w:ilvl="1" w:tentative="0">
      <w:start w:val="1"/>
      <w:numFmt w:val="decimal"/>
      <w:isLgl/>
      <w:suff w:val="space"/>
      <w:lvlText w:val="%1.%2."/>
      <w:lvlJc w:val="left"/>
      <w:pPr>
        <w:ind w:left="0" w:firstLine="0"/>
      </w:pPr>
      <w:rPr>
        <w:rFonts w:hint="default" w:ascii="Times New Roman" w:hAnsi="Times New Roman" w:eastAsia="宋体"/>
        <w:b/>
        <w:i w:val="0"/>
        <w:sz w:val="28"/>
      </w:rPr>
    </w:lvl>
    <w:lvl w:ilvl="2" w:tentative="0">
      <w:start w:val="1"/>
      <w:numFmt w:val="decimal"/>
      <w:isLgl/>
      <w:suff w:val="space"/>
      <w:lvlText w:val="%1.%2.%3."/>
      <w:lvlJc w:val="left"/>
      <w:pPr>
        <w:ind w:left="0" w:firstLine="0"/>
      </w:pPr>
      <w:rPr>
        <w:rFonts w:hint="default" w:ascii="Times New Roman" w:hAnsi="Times New Roman" w:eastAsia="宋体"/>
        <w:b/>
        <w:i w:val="0"/>
        <w:sz w:val="28"/>
      </w:rPr>
    </w:lvl>
    <w:lvl w:ilvl="3" w:tentative="0">
      <w:start w:val="1"/>
      <w:numFmt w:val="decimal"/>
      <w:isLgl/>
      <w:suff w:val="space"/>
      <w:lvlText w:val="%1.%2.%3.%4."/>
      <w:lvlJc w:val="left"/>
      <w:pPr>
        <w:ind w:left="0" w:firstLine="0"/>
      </w:pPr>
      <w:rPr>
        <w:rFonts w:hint="default" w:ascii="Times New Roman" w:hAnsi="Times New Roman" w:eastAsia="宋体"/>
        <w:b/>
        <w:i w:val="0"/>
        <w:sz w:val="24"/>
      </w:rPr>
    </w:lvl>
    <w:lvl w:ilvl="4" w:tentative="0">
      <w:start w:val="1"/>
      <w:numFmt w:val="decimal"/>
      <w:isLgl/>
      <w:suff w:val="space"/>
      <w:lvlText w:val="%1.%2.%3.%4.%5."/>
      <w:lvlJc w:val="left"/>
      <w:pPr>
        <w:ind w:left="0" w:firstLine="0"/>
      </w:pPr>
      <w:rPr>
        <w:rFonts w:hint="default" w:ascii="Times New Roman" w:hAnsi="Times New Roman" w:eastAsia="宋体"/>
        <w:b/>
        <w:i w:val="0"/>
        <w:sz w:val="24"/>
      </w:rPr>
    </w:lvl>
    <w:lvl w:ilvl="5" w:tentative="0">
      <w:start w:val="1"/>
      <w:numFmt w:val="decimal"/>
      <w:isLgl/>
      <w:suff w:val="space"/>
      <w:lvlText w:val="%1.%2.%3.%4.%5.%6."/>
      <w:lvlJc w:val="left"/>
      <w:pPr>
        <w:ind w:left="0" w:firstLine="0"/>
      </w:pPr>
      <w:rPr>
        <w:rFonts w:hint="default" w:ascii="Times New Roman" w:hAnsi="Times New Roman" w:eastAsia="宋体"/>
        <w:b/>
        <w:i w:val="0"/>
        <w:sz w:val="24"/>
      </w:rPr>
    </w:lvl>
    <w:lvl w:ilvl="6" w:tentative="0">
      <w:start w:val="1"/>
      <w:numFmt w:val="decimal"/>
      <w:isLgl/>
      <w:suff w:val="space"/>
      <w:lvlText w:val="%1.%2.%3.%4.%5.%6.%7."/>
      <w:lvlJc w:val="left"/>
      <w:pPr>
        <w:ind w:left="0" w:firstLine="0"/>
      </w:pPr>
      <w:rPr>
        <w:rFonts w:hint="default" w:ascii="Times New Roman" w:hAnsi="Times New Roman" w:eastAsia="宋体"/>
        <w:b/>
        <w:i w:val="0"/>
        <w:sz w:val="24"/>
      </w:rPr>
    </w:lvl>
    <w:lvl w:ilvl="7" w:tentative="0">
      <w:start w:val="1"/>
      <w:numFmt w:val="decimal"/>
      <w:isLgl/>
      <w:suff w:val="space"/>
      <w:lvlText w:val="%1.%2.%3.%4.%5.%6.%7.%8."/>
      <w:lvlJc w:val="left"/>
      <w:pPr>
        <w:ind w:left="0" w:firstLine="0"/>
      </w:pPr>
      <w:rPr>
        <w:rFonts w:hint="default" w:ascii="Times New Roman" w:hAnsi="Times New Roman" w:eastAsia="宋体"/>
        <w:b/>
        <w:i w:val="0"/>
        <w:sz w:val="24"/>
      </w:rPr>
    </w:lvl>
    <w:lvl w:ilvl="8" w:tentative="0">
      <w:start w:val="1"/>
      <w:numFmt w:val="decimal"/>
      <w:isLgl/>
      <w:suff w:val="space"/>
      <w:lvlText w:val="%1.%2.%3.%4.%5.%6.%7.%8.%9."/>
      <w:lvlJc w:val="left"/>
      <w:pPr>
        <w:ind w:left="0" w:firstLine="0"/>
      </w:pPr>
      <w:rPr>
        <w:rFonts w:hint="default" w:ascii="Times New Roman" w:hAnsi="Times New Roman" w:eastAsia="宋体"/>
        <w:b/>
        <w:i w:val="0"/>
        <w:sz w:val="24"/>
      </w:rPr>
    </w:lvl>
  </w:abstractNum>
  <w:abstractNum w:abstractNumId="4">
    <w:nsid w:val="57629FD0"/>
    <w:multiLevelType w:val="multilevel"/>
    <w:tmpl w:val="57629FD0"/>
    <w:lvl w:ilvl="0" w:tentative="0">
      <w:start w:val="1"/>
      <w:numFmt w:val="decimal"/>
      <w:pStyle w:val="544"/>
      <w:lvlText w:val="2.6.2.%1"/>
      <w:lvlJc w:val="left"/>
      <w:pPr>
        <w:ind w:left="420" w:hanging="420"/>
      </w:pPr>
      <w:rPr>
        <w:rFonts w:hint="default" w:ascii="宋体" w:hAnsi="宋体" w:eastAsia="宋体"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pStyle w:val="535"/>
      <w:lvlText w:val="%8)"/>
      <w:lvlJc w:val="left"/>
      <w:pPr>
        <w:ind w:left="3360" w:hanging="420"/>
      </w:pPr>
    </w:lvl>
    <w:lvl w:ilvl="8" w:tentative="0">
      <w:start w:val="1"/>
      <w:numFmt w:val="lowerRoman"/>
      <w:lvlText w:val="%9."/>
      <w:lvlJc w:val="right"/>
      <w:pPr>
        <w:ind w:left="3780" w:hanging="420"/>
      </w:pPr>
    </w:lvl>
  </w:abstractNum>
  <w:abstractNum w:abstractNumId="5">
    <w:nsid w:val="61182205"/>
    <w:multiLevelType w:val="multilevel"/>
    <w:tmpl w:val="61182205"/>
    <w:lvl w:ilvl="0" w:tentative="0">
      <w:start w:val="1"/>
      <w:numFmt w:val="chineseCountingThousand"/>
      <w:suff w:val="space"/>
      <w:lvlText w:val="第%1章."/>
      <w:lvlJc w:val="left"/>
      <w:pPr>
        <w:ind w:left="113" w:firstLine="0"/>
      </w:pPr>
      <w:rPr>
        <w:rFonts w:hint="default" w:ascii="Times New Roman" w:hAnsi="Times New Roman" w:eastAsia="新宋体"/>
        <w:b/>
        <w:i w:val="0"/>
        <w:sz w:val="44"/>
      </w:rPr>
    </w:lvl>
    <w:lvl w:ilvl="1" w:tentative="0">
      <w:start w:val="1"/>
      <w:numFmt w:val="decimal"/>
      <w:isLgl/>
      <w:suff w:val="space"/>
      <w:lvlText w:val="%1.%2."/>
      <w:lvlJc w:val="left"/>
      <w:pPr>
        <w:ind w:left="226" w:firstLine="0"/>
      </w:pPr>
      <w:rPr>
        <w:rFonts w:hint="default" w:ascii="Times New Roman" w:hAnsi="Times New Roman" w:eastAsia="新宋体"/>
        <w:b/>
        <w:i w:val="0"/>
        <w:sz w:val="36"/>
      </w:rPr>
    </w:lvl>
    <w:lvl w:ilvl="2" w:tentative="0">
      <w:start w:val="1"/>
      <w:numFmt w:val="decimal"/>
      <w:isLgl/>
      <w:suff w:val="space"/>
      <w:lvlText w:val="%1.%2.%3."/>
      <w:lvlJc w:val="left"/>
      <w:pPr>
        <w:ind w:left="339" w:firstLine="0"/>
      </w:pPr>
      <w:rPr>
        <w:rFonts w:hint="default" w:ascii="Times New Roman" w:hAnsi="Times New Roman" w:eastAsia="新宋体"/>
        <w:b/>
        <w:i w:val="0"/>
        <w:sz w:val="32"/>
      </w:rPr>
    </w:lvl>
    <w:lvl w:ilvl="3" w:tentative="0">
      <w:start w:val="1"/>
      <w:numFmt w:val="decimal"/>
      <w:pStyle w:val="729"/>
      <w:isLgl/>
      <w:suff w:val="space"/>
      <w:lvlText w:val="%1.%2.%3.%4."/>
      <w:lvlJc w:val="left"/>
      <w:pPr>
        <w:ind w:left="452" w:firstLine="0"/>
      </w:pPr>
      <w:rPr>
        <w:b w:val="0"/>
        <w:bCs w:val="0"/>
        <w:i w:val="0"/>
        <w:iCs w:val="0"/>
        <w:caps w:val="0"/>
        <w:smallCaps w:val="0"/>
        <w:strike w:val="0"/>
        <w:dstrike w:val="0"/>
        <w:outline w:val="0"/>
        <w:shadow w:val="0"/>
        <w:emboss w:val="0"/>
        <w:imprint w:val="0"/>
        <w:vanish w:val="0"/>
        <w:spacing w:val="0"/>
        <w:position w:val="0"/>
        <w:u w:val="none"/>
        <w:vertAlign w:val="baseline"/>
      </w:rPr>
    </w:lvl>
    <w:lvl w:ilvl="4" w:tentative="0">
      <w:start w:val="1"/>
      <w:numFmt w:val="decimal"/>
      <w:isLgl/>
      <w:suff w:val="space"/>
      <w:lvlText w:val="%1.%2.%3.%4.%5."/>
      <w:lvlJc w:val="left"/>
      <w:pPr>
        <w:ind w:left="565" w:firstLine="0"/>
      </w:pPr>
      <w:rPr>
        <w:rFonts w:hint="default" w:ascii="Times New Roman" w:hAnsi="Times New Roman" w:eastAsia="新宋体"/>
        <w:b/>
        <w:i w:val="0"/>
        <w:sz w:val="28"/>
      </w:rPr>
    </w:lvl>
    <w:lvl w:ilvl="5" w:tentative="0">
      <w:start w:val="1"/>
      <w:numFmt w:val="decimal"/>
      <w:isLgl/>
      <w:suff w:val="space"/>
      <w:lvlText w:val="%1.%2.%3.%4.%5.%6."/>
      <w:lvlJc w:val="left"/>
      <w:pPr>
        <w:ind w:left="678" w:firstLine="0"/>
      </w:pPr>
      <w:rPr>
        <w:rFonts w:hint="default" w:ascii="Times New Roman" w:hAnsi="Times New Roman" w:eastAsia="新宋体"/>
        <w:b/>
        <w:i w:val="0"/>
        <w:sz w:val="24"/>
      </w:rPr>
    </w:lvl>
    <w:lvl w:ilvl="6" w:tentative="0">
      <w:start w:val="1"/>
      <w:numFmt w:val="decimal"/>
      <w:isLgl/>
      <w:suff w:val="space"/>
      <w:lvlText w:val="%1.%2.%3.%4.%5.%6.%7."/>
      <w:lvlJc w:val="left"/>
      <w:pPr>
        <w:ind w:left="791" w:firstLine="0"/>
      </w:pPr>
      <w:rPr>
        <w:rFonts w:hint="default" w:ascii="Times New Roman" w:hAnsi="Times New Roman" w:eastAsia="新宋体"/>
        <w:b/>
        <w:i w:val="0"/>
        <w:sz w:val="24"/>
      </w:rPr>
    </w:lvl>
    <w:lvl w:ilvl="7" w:tentative="0">
      <w:start w:val="1"/>
      <w:numFmt w:val="decimal"/>
      <w:lvlText w:val="%1.%2.%3.%4.%5.%6.%7.%8."/>
      <w:lvlJc w:val="left"/>
      <w:pPr>
        <w:tabs>
          <w:tab w:val="left" w:pos="1074"/>
        </w:tabs>
        <w:ind w:left="904" w:firstLine="0"/>
      </w:pPr>
      <w:rPr>
        <w:rFonts w:hint="eastAsia"/>
      </w:rPr>
    </w:lvl>
    <w:lvl w:ilvl="8" w:tentative="0">
      <w:start w:val="1"/>
      <w:numFmt w:val="decimal"/>
      <w:lvlText w:val="%1.%2.%3.%4.%5.%6.%7.%8.%9."/>
      <w:lvlJc w:val="left"/>
      <w:pPr>
        <w:tabs>
          <w:tab w:val="left" w:pos="1187"/>
        </w:tabs>
        <w:ind w:left="1017" w:firstLine="0"/>
      </w:pPr>
      <w:rPr>
        <w:rFonts w:hint="eastAsia"/>
      </w:rPr>
    </w:lvl>
  </w:abstractNum>
  <w:num w:numId="1">
    <w:abstractNumId w:val="0"/>
  </w:num>
  <w:num w:numId="2">
    <w:abstractNumId w:val="2"/>
  </w:num>
  <w:num w:numId="3">
    <w:abstractNumId w:val="3"/>
    <w:lvlOverride w:ilvl="0">
      <w:lvl w:ilvl="0" w:tentative="1">
        <w:start w:val="1"/>
        <w:numFmt w:val="chineseCountingThousand"/>
        <w:suff w:val="space"/>
        <w:lvlText w:val="第%1章"/>
        <w:lvlJc w:val="left"/>
        <w:pPr>
          <w:ind w:left="0" w:firstLine="0"/>
        </w:pPr>
        <w:rPr>
          <w:rFonts w:hint="default" w:ascii="Times New Roman" w:hAnsi="Times New Roman" w:eastAsia="宋体"/>
          <w:b/>
          <w:i w:val="0"/>
          <w:sz w:val="36"/>
        </w:rPr>
      </w:lvl>
    </w:lvlOverride>
    <w:lvlOverride w:ilvl="1">
      <w:lvl w:ilvl="1" w:tentative="1">
        <w:start w:val="1"/>
        <w:numFmt w:val="decimal"/>
        <w:isLgl/>
        <w:suff w:val="space"/>
        <w:lvlText w:val="%1.%2."/>
        <w:lvlJc w:val="left"/>
        <w:pPr>
          <w:ind w:left="0" w:firstLine="0"/>
        </w:pPr>
      </w:lvl>
    </w:lvlOverride>
    <w:lvlOverride w:ilvl="2">
      <w:lvl w:ilvl="2" w:tentative="1">
        <w:start w:val="1"/>
        <w:numFmt w:val="decimal"/>
        <w:isLgl/>
        <w:suff w:val="space"/>
        <w:lvlText w:val="%1.%2.%3."/>
        <w:lvlJc w:val="left"/>
        <w:pPr>
          <w:ind w:left="0" w:firstLine="0"/>
        </w:pPr>
        <w:rPr>
          <w:rFonts w:hint="default" w:ascii="Times New Roman" w:hAnsi="Times New Roman" w:eastAsia="宋体"/>
          <w:b/>
          <w:i w:val="0"/>
          <w:sz w:val="28"/>
        </w:rPr>
      </w:lvl>
    </w:lvlOverride>
    <w:lvlOverride w:ilvl="3">
      <w:lvl w:ilvl="3" w:tentative="1">
        <w:start w:val="1"/>
        <w:numFmt w:val="decimal"/>
        <w:isLgl/>
        <w:suff w:val="space"/>
        <w:lvlText w:val="%1.%2.%3.%4."/>
        <w:lvlJc w:val="left"/>
        <w:pPr>
          <w:ind w:left="0" w:firstLine="0"/>
        </w:pPr>
        <w:rPr>
          <w:rFonts w:hint="default" w:ascii="Times New Roman" w:hAnsi="Times New Roman" w:eastAsia="宋体"/>
          <w:b/>
          <w:i w:val="0"/>
          <w:sz w:val="24"/>
        </w:rPr>
      </w:lvl>
    </w:lvlOverride>
    <w:lvlOverride w:ilvl="4">
      <w:lvl w:ilvl="4" w:tentative="1">
        <w:start w:val="1"/>
        <w:numFmt w:val="decimal"/>
        <w:isLgl/>
        <w:suff w:val="space"/>
        <w:lvlText w:val="%1.%2.%3.%4.%5."/>
        <w:lvlJc w:val="left"/>
        <w:pPr>
          <w:ind w:left="0" w:firstLine="0"/>
        </w:pPr>
        <w:rPr>
          <w:rFonts w:hint="default" w:ascii="Times New Roman" w:hAnsi="Times New Roman" w:eastAsia="宋体"/>
          <w:b/>
          <w:i w:val="0"/>
          <w:sz w:val="24"/>
        </w:rPr>
      </w:lvl>
    </w:lvlOverride>
    <w:lvlOverride w:ilvl="5">
      <w:lvl w:ilvl="5" w:tentative="1">
        <w:start w:val="1"/>
        <w:numFmt w:val="decimal"/>
        <w:isLgl/>
        <w:suff w:val="space"/>
        <w:lvlText w:val="%1.%2.%3.%4.%5.%6."/>
        <w:lvlJc w:val="left"/>
        <w:pPr>
          <w:ind w:left="0" w:firstLine="0"/>
        </w:pPr>
        <w:rPr>
          <w:rFonts w:hint="default" w:ascii="Times New Roman" w:hAnsi="Times New Roman" w:eastAsia="宋体"/>
          <w:b/>
          <w:i w:val="0"/>
          <w:sz w:val="24"/>
        </w:rPr>
      </w:lvl>
    </w:lvlOverride>
    <w:lvlOverride w:ilvl="6">
      <w:lvl w:ilvl="6" w:tentative="1">
        <w:start w:val="1"/>
        <w:numFmt w:val="decimal"/>
        <w:isLgl/>
        <w:suff w:val="space"/>
        <w:lvlText w:val="%1.%2.%3.%4.%5.%6.%7."/>
        <w:lvlJc w:val="left"/>
        <w:pPr>
          <w:ind w:left="0" w:firstLine="0"/>
        </w:pPr>
        <w:rPr>
          <w:rFonts w:hint="default" w:ascii="Times New Roman" w:hAnsi="Times New Roman" w:eastAsia="宋体"/>
          <w:b/>
          <w:i w:val="0"/>
          <w:sz w:val="24"/>
        </w:rPr>
      </w:lvl>
    </w:lvlOverride>
    <w:lvlOverride w:ilvl="7">
      <w:lvl w:ilvl="7" w:tentative="1">
        <w:start w:val="1"/>
        <w:numFmt w:val="decimal"/>
        <w:isLgl/>
        <w:suff w:val="space"/>
        <w:lvlText w:val="%1.%2.%3.%4.%5.%6.%7.%8."/>
        <w:lvlJc w:val="left"/>
        <w:pPr>
          <w:ind w:left="0" w:firstLine="0"/>
        </w:pPr>
        <w:rPr>
          <w:rFonts w:hint="default" w:ascii="Times New Roman" w:hAnsi="Times New Roman" w:eastAsia="宋体"/>
          <w:b/>
          <w:i w:val="0"/>
          <w:sz w:val="24"/>
        </w:rPr>
      </w:lvl>
    </w:lvlOverride>
    <w:lvlOverride w:ilvl="8">
      <w:lvl w:ilvl="8" w:tentative="1">
        <w:start w:val="1"/>
        <w:numFmt w:val="decimal"/>
        <w:pStyle w:val="515"/>
        <w:isLgl/>
        <w:suff w:val="space"/>
        <w:lvlText w:val="%1.%2.%3.%4.%5.%6.%7.%8.%9."/>
        <w:lvlJc w:val="left"/>
        <w:pPr>
          <w:ind w:left="0" w:firstLine="0"/>
        </w:pPr>
        <w:rPr>
          <w:rFonts w:hint="default" w:ascii="Times New Roman" w:hAnsi="Times New Roman" w:eastAsia="宋体"/>
          <w:b/>
          <w:i w:val="0"/>
          <w:sz w:val="24"/>
        </w:rPr>
      </w:lvl>
    </w:lvlOverride>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isplayHorizontalDrawingGridEvery w:val="1"/>
  <w:displayVerticalDrawingGridEvery w:val="1"/>
  <w:noPunctuationKerning w:val="1"/>
  <w:characterSpacingControl w:val="doNotCompress"/>
  <w:footnotePr>
    <w:footnote w:id="2"/>
    <w:footnote w:id="3"/>
  </w:footnotePr>
  <w:endnotePr>
    <w:endnote w:id="0"/>
    <w:endnote w:id="1"/>
  </w:endnotePr>
  <w:compat>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4F37"/>
    <w:rsid w:val="00001D25"/>
    <w:rsid w:val="00002A6C"/>
    <w:rsid w:val="00002FD9"/>
    <w:rsid w:val="00003072"/>
    <w:rsid w:val="000030BA"/>
    <w:rsid w:val="00003918"/>
    <w:rsid w:val="0000447E"/>
    <w:rsid w:val="000052FF"/>
    <w:rsid w:val="00007128"/>
    <w:rsid w:val="00007488"/>
    <w:rsid w:val="00007EC9"/>
    <w:rsid w:val="00010086"/>
    <w:rsid w:val="000100BF"/>
    <w:rsid w:val="00010430"/>
    <w:rsid w:val="00010AD3"/>
    <w:rsid w:val="00011363"/>
    <w:rsid w:val="00012019"/>
    <w:rsid w:val="00013110"/>
    <w:rsid w:val="00013825"/>
    <w:rsid w:val="0001391E"/>
    <w:rsid w:val="00013B33"/>
    <w:rsid w:val="00013F5F"/>
    <w:rsid w:val="00013F8E"/>
    <w:rsid w:val="00014253"/>
    <w:rsid w:val="00016294"/>
    <w:rsid w:val="000169A5"/>
    <w:rsid w:val="00017045"/>
    <w:rsid w:val="000174D5"/>
    <w:rsid w:val="00017618"/>
    <w:rsid w:val="000179F6"/>
    <w:rsid w:val="00017CBE"/>
    <w:rsid w:val="00017FB7"/>
    <w:rsid w:val="000207BA"/>
    <w:rsid w:val="00020CF6"/>
    <w:rsid w:val="00021C16"/>
    <w:rsid w:val="000228FD"/>
    <w:rsid w:val="00022E89"/>
    <w:rsid w:val="00023900"/>
    <w:rsid w:val="00023FEF"/>
    <w:rsid w:val="000246A2"/>
    <w:rsid w:val="00025142"/>
    <w:rsid w:val="00025A12"/>
    <w:rsid w:val="00025FDB"/>
    <w:rsid w:val="000260E6"/>
    <w:rsid w:val="00026981"/>
    <w:rsid w:val="00026D36"/>
    <w:rsid w:val="00027561"/>
    <w:rsid w:val="000275BA"/>
    <w:rsid w:val="00027920"/>
    <w:rsid w:val="000279D0"/>
    <w:rsid w:val="00027B4E"/>
    <w:rsid w:val="00030264"/>
    <w:rsid w:val="000304DB"/>
    <w:rsid w:val="00030B39"/>
    <w:rsid w:val="00030F91"/>
    <w:rsid w:val="00031BA2"/>
    <w:rsid w:val="00033194"/>
    <w:rsid w:val="00033223"/>
    <w:rsid w:val="00033232"/>
    <w:rsid w:val="000335D3"/>
    <w:rsid w:val="0003413D"/>
    <w:rsid w:val="000347C9"/>
    <w:rsid w:val="000348C9"/>
    <w:rsid w:val="00035D1D"/>
    <w:rsid w:val="00035F65"/>
    <w:rsid w:val="000362F5"/>
    <w:rsid w:val="000367B8"/>
    <w:rsid w:val="00036C33"/>
    <w:rsid w:val="00036CDD"/>
    <w:rsid w:val="00036DF5"/>
    <w:rsid w:val="00037017"/>
    <w:rsid w:val="00040FE3"/>
    <w:rsid w:val="00041065"/>
    <w:rsid w:val="000410E1"/>
    <w:rsid w:val="00041243"/>
    <w:rsid w:val="00041BF0"/>
    <w:rsid w:val="00041E88"/>
    <w:rsid w:val="00042254"/>
    <w:rsid w:val="000424BF"/>
    <w:rsid w:val="000443F9"/>
    <w:rsid w:val="000454BD"/>
    <w:rsid w:val="0004638B"/>
    <w:rsid w:val="00047693"/>
    <w:rsid w:val="00050943"/>
    <w:rsid w:val="00051CC5"/>
    <w:rsid w:val="0005237A"/>
    <w:rsid w:val="000536C7"/>
    <w:rsid w:val="00053B63"/>
    <w:rsid w:val="00053D68"/>
    <w:rsid w:val="00054F56"/>
    <w:rsid w:val="00055D37"/>
    <w:rsid w:val="00057097"/>
    <w:rsid w:val="00060AFF"/>
    <w:rsid w:val="00061EB3"/>
    <w:rsid w:val="00061EFF"/>
    <w:rsid w:val="000632F8"/>
    <w:rsid w:val="0006362A"/>
    <w:rsid w:val="00064422"/>
    <w:rsid w:val="00064776"/>
    <w:rsid w:val="000649F4"/>
    <w:rsid w:val="00066470"/>
    <w:rsid w:val="00066488"/>
    <w:rsid w:val="00067ABF"/>
    <w:rsid w:val="0007231B"/>
    <w:rsid w:val="000726CC"/>
    <w:rsid w:val="000729EE"/>
    <w:rsid w:val="00073523"/>
    <w:rsid w:val="00074CEB"/>
    <w:rsid w:val="00074F8C"/>
    <w:rsid w:val="0007528C"/>
    <w:rsid w:val="00075B9A"/>
    <w:rsid w:val="00075D0C"/>
    <w:rsid w:val="000761BD"/>
    <w:rsid w:val="000762A9"/>
    <w:rsid w:val="00076A3B"/>
    <w:rsid w:val="000819D8"/>
    <w:rsid w:val="00082494"/>
    <w:rsid w:val="00082FF7"/>
    <w:rsid w:val="0008374F"/>
    <w:rsid w:val="000842DD"/>
    <w:rsid w:val="00084B63"/>
    <w:rsid w:val="00084B83"/>
    <w:rsid w:val="000852E1"/>
    <w:rsid w:val="000861EE"/>
    <w:rsid w:val="00086B31"/>
    <w:rsid w:val="000874E9"/>
    <w:rsid w:val="00087834"/>
    <w:rsid w:val="00087BB7"/>
    <w:rsid w:val="000909C9"/>
    <w:rsid w:val="00090C3D"/>
    <w:rsid w:val="00090FC3"/>
    <w:rsid w:val="00092349"/>
    <w:rsid w:val="000924EF"/>
    <w:rsid w:val="00092BCF"/>
    <w:rsid w:val="0009368D"/>
    <w:rsid w:val="00094032"/>
    <w:rsid w:val="000941F7"/>
    <w:rsid w:val="000977FD"/>
    <w:rsid w:val="00097AF8"/>
    <w:rsid w:val="000A03FE"/>
    <w:rsid w:val="000A1DC7"/>
    <w:rsid w:val="000A2DC4"/>
    <w:rsid w:val="000A3EEE"/>
    <w:rsid w:val="000B0631"/>
    <w:rsid w:val="000B0A45"/>
    <w:rsid w:val="000B2493"/>
    <w:rsid w:val="000B2B26"/>
    <w:rsid w:val="000B3165"/>
    <w:rsid w:val="000B45CE"/>
    <w:rsid w:val="000B64C6"/>
    <w:rsid w:val="000B68FA"/>
    <w:rsid w:val="000B6A90"/>
    <w:rsid w:val="000B6FCC"/>
    <w:rsid w:val="000B74E0"/>
    <w:rsid w:val="000B792E"/>
    <w:rsid w:val="000C01D2"/>
    <w:rsid w:val="000C01E3"/>
    <w:rsid w:val="000C03BF"/>
    <w:rsid w:val="000C0403"/>
    <w:rsid w:val="000C05DC"/>
    <w:rsid w:val="000C115B"/>
    <w:rsid w:val="000C19B0"/>
    <w:rsid w:val="000C1E10"/>
    <w:rsid w:val="000C1F88"/>
    <w:rsid w:val="000C25C5"/>
    <w:rsid w:val="000C34B2"/>
    <w:rsid w:val="000C3EA4"/>
    <w:rsid w:val="000C444D"/>
    <w:rsid w:val="000C4E2D"/>
    <w:rsid w:val="000C4EA1"/>
    <w:rsid w:val="000C517D"/>
    <w:rsid w:val="000C64BE"/>
    <w:rsid w:val="000C6EBA"/>
    <w:rsid w:val="000C6F3E"/>
    <w:rsid w:val="000C6F70"/>
    <w:rsid w:val="000C707E"/>
    <w:rsid w:val="000C7C95"/>
    <w:rsid w:val="000D01BE"/>
    <w:rsid w:val="000D0BEB"/>
    <w:rsid w:val="000D0FC7"/>
    <w:rsid w:val="000D15FD"/>
    <w:rsid w:val="000D20BB"/>
    <w:rsid w:val="000D4194"/>
    <w:rsid w:val="000D4FDC"/>
    <w:rsid w:val="000D5230"/>
    <w:rsid w:val="000D6403"/>
    <w:rsid w:val="000D7632"/>
    <w:rsid w:val="000D798B"/>
    <w:rsid w:val="000D7F0C"/>
    <w:rsid w:val="000E0067"/>
    <w:rsid w:val="000E08EC"/>
    <w:rsid w:val="000E0EC6"/>
    <w:rsid w:val="000E1130"/>
    <w:rsid w:val="000E2058"/>
    <w:rsid w:val="000E368C"/>
    <w:rsid w:val="000E39D5"/>
    <w:rsid w:val="000E4662"/>
    <w:rsid w:val="000E49FE"/>
    <w:rsid w:val="000E5B52"/>
    <w:rsid w:val="000E5B8A"/>
    <w:rsid w:val="000E64EF"/>
    <w:rsid w:val="000E6755"/>
    <w:rsid w:val="000E6F91"/>
    <w:rsid w:val="000E7289"/>
    <w:rsid w:val="000F010B"/>
    <w:rsid w:val="000F3120"/>
    <w:rsid w:val="000F3626"/>
    <w:rsid w:val="000F6BD3"/>
    <w:rsid w:val="000F7D1A"/>
    <w:rsid w:val="000F7DE5"/>
    <w:rsid w:val="0010042B"/>
    <w:rsid w:val="001019E6"/>
    <w:rsid w:val="00101B1C"/>
    <w:rsid w:val="00101CAB"/>
    <w:rsid w:val="001022EA"/>
    <w:rsid w:val="00102ABE"/>
    <w:rsid w:val="00103686"/>
    <w:rsid w:val="00103CEF"/>
    <w:rsid w:val="00104410"/>
    <w:rsid w:val="001049BD"/>
    <w:rsid w:val="001057D9"/>
    <w:rsid w:val="001069F6"/>
    <w:rsid w:val="001078AD"/>
    <w:rsid w:val="001102BC"/>
    <w:rsid w:val="001118A9"/>
    <w:rsid w:val="001125FB"/>
    <w:rsid w:val="00112EB3"/>
    <w:rsid w:val="00116ACB"/>
    <w:rsid w:val="0011764C"/>
    <w:rsid w:val="001176AE"/>
    <w:rsid w:val="00117B5F"/>
    <w:rsid w:val="00117EBD"/>
    <w:rsid w:val="001203EF"/>
    <w:rsid w:val="0012043A"/>
    <w:rsid w:val="0012117F"/>
    <w:rsid w:val="00121237"/>
    <w:rsid w:val="0012188B"/>
    <w:rsid w:val="0012282B"/>
    <w:rsid w:val="001233F9"/>
    <w:rsid w:val="001237CB"/>
    <w:rsid w:val="00123D79"/>
    <w:rsid w:val="00124474"/>
    <w:rsid w:val="00125103"/>
    <w:rsid w:val="00125334"/>
    <w:rsid w:val="0012533B"/>
    <w:rsid w:val="0012583D"/>
    <w:rsid w:val="00127811"/>
    <w:rsid w:val="00127B72"/>
    <w:rsid w:val="00127F98"/>
    <w:rsid w:val="00130071"/>
    <w:rsid w:val="001300AB"/>
    <w:rsid w:val="00131629"/>
    <w:rsid w:val="00131933"/>
    <w:rsid w:val="00133FB0"/>
    <w:rsid w:val="0013415C"/>
    <w:rsid w:val="001347F8"/>
    <w:rsid w:val="00134B8A"/>
    <w:rsid w:val="001361F2"/>
    <w:rsid w:val="0013628F"/>
    <w:rsid w:val="001372F0"/>
    <w:rsid w:val="00137A5F"/>
    <w:rsid w:val="00137EDF"/>
    <w:rsid w:val="001407C6"/>
    <w:rsid w:val="0014275A"/>
    <w:rsid w:val="00142A99"/>
    <w:rsid w:val="00142BC5"/>
    <w:rsid w:val="001430F3"/>
    <w:rsid w:val="00143853"/>
    <w:rsid w:val="001444EA"/>
    <w:rsid w:val="00145D3B"/>
    <w:rsid w:val="00146A2E"/>
    <w:rsid w:val="00147B4C"/>
    <w:rsid w:val="00150BE1"/>
    <w:rsid w:val="00151D9A"/>
    <w:rsid w:val="00151EC0"/>
    <w:rsid w:val="001528CF"/>
    <w:rsid w:val="00152D84"/>
    <w:rsid w:val="001533E7"/>
    <w:rsid w:val="0015384E"/>
    <w:rsid w:val="00153A04"/>
    <w:rsid w:val="00153ABD"/>
    <w:rsid w:val="00155305"/>
    <w:rsid w:val="00156858"/>
    <w:rsid w:val="00156D7F"/>
    <w:rsid w:val="001614F0"/>
    <w:rsid w:val="00164076"/>
    <w:rsid w:val="00164D39"/>
    <w:rsid w:val="00170444"/>
    <w:rsid w:val="001712E9"/>
    <w:rsid w:val="0017130C"/>
    <w:rsid w:val="00172085"/>
    <w:rsid w:val="0017381E"/>
    <w:rsid w:val="00173871"/>
    <w:rsid w:val="00173FC2"/>
    <w:rsid w:val="001744BC"/>
    <w:rsid w:val="001747D3"/>
    <w:rsid w:val="00174EBA"/>
    <w:rsid w:val="00175097"/>
    <w:rsid w:val="00175108"/>
    <w:rsid w:val="0017536E"/>
    <w:rsid w:val="00175652"/>
    <w:rsid w:val="00176469"/>
    <w:rsid w:val="00176FA5"/>
    <w:rsid w:val="00177711"/>
    <w:rsid w:val="0017786B"/>
    <w:rsid w:val="0018036A"/>
    <w:rsid w:val="00180FBB"/>
    <w:rsid w:val="00181BA3"/>
    <w:rsid w:val="00182CD4"/>
    <w:rsid w:val="00183159"/>
    <w:rsid w:val="001840BE"/>
    <w:rsid w:val="00184E01"/>
    <w:rsid w:val="001864AE"/>
    <w:rsid w:val="001873C1"/>
    <w:rsid w:val="00187AF4"/>
    <w:rsid w:val="00187CC1"/>
    <w:rsid w:val="001909E6"/>
    <w:rsid w:val="00190F51"/>
    <w:rsid w:val="00191436"/>
    <w:rsid w:val="001917F1"/>
    <w:rsid w:val="00192398"/>
    <w:rsid w:val="001925CF"/>
    <w:rsid w:val="0019316F"/>
    <w:rsid w:val="00193AC2"/>
    <w:rsid w:val="00194718"/>
    <w:rsid w:val="00195960"/>
    <w:rsid w:val="001965F0"/>
    <w:rsid w:val="001A0251"/>
    <w:rsid w:val="001A1970"/>
    <w:rsid w:val="001A1C13"/>
    <w:rsid w:val="001A1C76"/>
    <w:rsid w:val="001A2469"/>
    <w:rsid w:val="001A2E7C"/>
    <w:rsid w:val="001A33CB"/>
    <w:rsid w:val="001A33FF"/>
    <w:rsid w:val="001A390A"/>
    <w:rsid w:val="001A3F93"/>
    <w:rsid w:val="001A63D7"/>
    <w:rsid w:val="001A6BB4"/>
    <w:rsid w:val="001A70FD"/>
    <w:rsid w:val="001B081F"/>
    <w:rsid w:val="001B2975"/>
    <w:rsid w:val="001B2D71"/>
    <w:rsid w:val="001B318C"/>
    <w:rsid w:val="001B3941"/>
    <w:rsid w:val="001B3ED5"/>
    <w:rsid w:val="001B4009"/>
    <w:rsid w:val="001B59D5"/>
    <w:rsid w:val="001B5FC0"/>
    <w:rsid w:val="001B61D5"/>
    <w:rsid w:val="001B7B65"/>
    <w:rsid w:val="001C10AC"/>
    <w:rsid w:val="001C26E5"/>
    <w:rsid w:val="001C2BA0"/>
    <w:rsid w:val="001C33B7"/>
    <w:rsid w:val="001C3572"/>
    <w:rsid w:val="001C3BF4"/>
    <w:rsid w:val="001C51B9"/>
    <w:rsid w:val="001C5381"/>
    <w:rsid w:val="001C55DC"/>
    <w:rsid w:val="001C58FC"/>
    <w:rsid w:val="001C64EC"/>
    <w:rsid w:val="001C6532"/>
    <w:rsid w:val="001C6DAA"/>
    <w:rsid w:val="001C70F2"/>
    <w:rsid w:val="001C7106"/>
    <w:rsid w:val="001D0025"/>
    <w:rsid w:val="001D0B15"/>
    <w:rsid w:val="001D1532"/>
    <w:rsid w:val="001D2183"/>
    <w:rsid w:val="001D29EA"/>
    <w:rsid w:val="001D2D29"/>
    <w:rsid w:val="001D4D86"/>
    <w:rsid w:val="001D564A"/>
    <w:rsid w:val="001D5F1B"/>
    <w:rsid w:val="001D5FBC"/>
    <w:rsid w:val="001E04D0"/>
    <w:rsid w:val="001E09A9"/>
    <w:rsid w:val="001E0D6D"/>
    <w:rsid w:val="001E2B1D"/>
    <w:rsid w:val="001E2BAB"/>
    <w:rsid w:val="001E2CBF"/>
    <w:rsid w:val="001E3159"/>
    <w:rsid w:val="001E3FD6"/>
    <w:rsid w:val="001E46C2"/>
    <w:rsid w:val="001F17BF"/>
    <w:rsid w:val="001F17DA"/>
    <w:rsid w:val="001F1C44"/>
    <w:rsid w:val="001F1ECB"/>
    <w:rsid w:val="001F1F86"/>
    <w:rsid w:val="001F1FB3"/>
    <w:rsid w:val="001F27DC"/>
    <w:rsid w:val="001F3760"/>
    <w:rsid w:val="001F3E32"/>
    <w:rsid w:val="001F3FE6"/>
    <w:rsid w:val="001F41AB"/>
    <w:rsid w:val="001F49A5"/>
    <w:rsid w:val="001F4A5F"/>
    <w:rsid w:val="001F4ED9"/>
    <w:rsid w:val="001F6FD5"/>
    <w:rsid w:val="001F75F6"/>
    <w:rsid w:val="00201063"/>
    <w:rsid w:val="00201A2D"/>
    <w:rsid w:val="00201EED"/>
    <w:rsid w:val="0020347F"/>
    <w:rsid w:val="00204177"/>
    <w:rsid w:val="002044AC"/>
    <w:rsid w:val="002044FD"/>
    <w:rsid w:val="00204FBE"/>
    <w:rsid w:val="0020503B"/>
    <w:rsid w:val="002053E5"/>
    <w:rsid w:val="00205790"/>
    <w:rsid w:val="00205F4E"/>
    <w:rsid w:val="00206440"/>
    <w:rsid w:val="00206D26"/>
    <w:rsid w:val="002076B7"/>
    <w:rsid w:val="00207E31"/>
    <w:rsid w:val="00210351"/>
    <w:rsid w:val="0021049A"/>
    <w:rsid w:val="00210680"/>
    <w:rsid w:val="00210A4D"/>
    <w:rsid w:val="002122F0"/>
    <w:rsid w:val="00212512"/>
    <w:rsid w:val="002125A3"/>
    <w:rsid w:val="0021319D"/>
    <w:rsid w:val="00213AC1"/>
    <w:rsid w:val="00215BC1"/>
    <w:rsid w:val="002166DC"/>
    <w:rsid w:val="0021697E"/>
    <w:rsid w:val="00216B68"/>
    <w:rsid w:val="002170B0"/>
    <w:rsid w:val="002177BD"/>
    <w:rsid w:val="00217D6A"/>
    <w:rsid w:val="00221394"/>
    <w:rsid w:val="00221BF1"/>
    <w:rsid w:val="002225D9"/>
    <w:rsid w:val="002226C2"/>
    <w:rsid w:val="00223215"/>
    <w:rsid w:val="00223A51"/>
    <w:rsid w:val="00224646"/>
    <w:rsid w:val="002247C6"/>
    <w:rsid w:val="00224802"/>
    <w:rsid w:val="0022573A"/>
    <w:rsid w:val="002258A8"/>
    <w:rsid w:val="00225DBA"/>
    <w:rsid w:val="00226489"/>
    <w:rsid w:val="002275AE"/>
    <w:rsid w:val="00227C29"/>
    <w:rsid w:val="00230AD4"/>
    <w:rsid w:val="002319E3"/>
    <w:rsid w:val="00232F0B"/>
    <w:rsid w:val="00232FE1"/>
    <w:rsid w:val="0023399B"/>
    <w:rsid w:val="00234528"/>
    <w:rsid w:val="00234C0C"/>
    <w:rsid w:val="00235FFB"/>
    <w:rsid w:val="00237320"/>
    <w:rsid w:val="00237AEE"/>
    <w:rsid w:val="00240EB4"/>
    <w:rsid w:val="00241526"/>
    <w:rsid w:val="002434BB"/>
    <w:rsid w:val="00243B41"/>
    <w:rsid w:val="00243CE4"/>
    <w:rsid w:val="00243FE4"/>
    <w:rsid w:val="00244344"/>
    <w:rsid w:val="0024496D"/>
    <w:rsid w:val="00244C4E"/>
    <w:rsid w:val="00244CCC"/>
    <w:rsid w:val="00245711"/>
    <w:rsid w:val="00245CA2"/>
    <w:rsid w:val="00245FF2"/>
    <w:rsid w:val="002476FB"/>
    <w:rsid w:val="00247C89"/>
    <w:rsid w:val="00250D64"/>
    <w:rsid w:val="00250E4D"/>
    <w:rsid w:val="002518DB"/>
    <w:rsid w:val="00251964"/>
    <w:rsid w:val="00252FF8"/>
    <w:rsid w:val="00253020"/>
    <w:rsid w:val="002543EF"/>
    <w:rsid w:val="00254609"/>
    <w:rsid w:val="002547E1"/>
    <w:rsid w:val="00256712"/>
    <w:rsid w:val="00257053"/>
    <w:rsid w:val="00257D68"/>
    <w:rsid w:val="00257F55"/>
    <w:rsid w:val="00260BB0"/>
    <w:rsid w:val="00261E7B"/>
    <w:rsid w:val="00262597"/>
    <w:rsid w:val="0026309B"/>
    <w:rsid w:val="00263EC6"/>
    <w:rsid w:val="002652A4"/>
    <w:rsid w:val="00265947"/>
    <w:rsid w:val="00265C2E"/>
    <w:rsid w:val="002672E1"/>
    <w:rsid w:val="0026733F"/>
    <w:rsid w:val="002673E6"/>
    <w:rsid w:val="00270FFE"/>
    <w:rsid w:val="00271DE4"/>
    <w:rsid w:val="002732F7"/>
    <w:rsid w:val="00273EAD"/>
    <w:rsid w:val="0027459C"/>
    <w:rsid w:val="0027478F"/>
    <w:rsid w:val="00274A24"/>
    <w:rsid w:val="00274A84"/>
    <w:rsid w:val="0027570E"/>
    <w:rsid w:val="00276147"/>
    <w:rsid w:val="0027631E"/>
    <w:rsid w:val="00276913"/>
    <w:rsid w:val="00280B7B"/>
    <w:rsid w:val="00281D27"/>
    <w:rsid w:val="002828C9"/>
    <w:rsid w:val="00282B28"/>
    <w:rsid w:val="00282DB5"/>
    <w:rsid w:val="0028348B"/>
    <w:rsid w:val="00283904"/>
    <w:rsid w:val="00283CE2"/>
    <w:rsid w:val="00283CF8"/>
    <w:rsid w:val="00284687"/>
    <w:rsid w:val="00284CAB"/>
    <w:rsid w:val="002850AD"/>
    <w:rsid w:val="00285A62"/>
    <w:rsid w:val="0028621C"/>
    <w:rsid w:val="002863BB"/>
    <w:rsid w:val="00286A53"/>
    <w:rsid w:val="00286E77"/>
    <w:rsid w:val="002877F1"/>
    <w:rsid w:val="0029024B"/>
    <w:rsid w:val="00290317"/>
    <w:rsid w:val="002907C2"/>
    <w:rsid w:val="00290FC7"/>
    <w:rsid w:val="00291979"/>
    <w:rsid w:val="00291E58"/>
    <w:rsid w:val="00291E7D"/>
    <w:rsid w:val="00292565"/>
    <w:rsid w:val="002926D1"/>
    <w:rsid w:val="00292CB9"/>
    <w:rsid w:val="002932A6"/>
    <w:rsid w:val="00293316"/>
    <w:rsid w:val="00294653"/>
    <w:rsid w:val="00294FB7"/>
    <w:rsid w:val="0029540C"/>
    <w:rsid w:val="00295D54"/>
    <w:rsid w:val="00295F69"/>
    <w:rsid w:val="002967D5"/>
    <w:rsid w:val="00297778"/>
    <w:rsid w:val="002A03C4"/>
    <w:rsid w:val="002A2396"/>
    <w:rsid w:val="002A4304"/>
    <w:rsid w:val="002A55EB"/>
    <w:rsid w:val="002A567C"/>
    <w:rsid w:val="002A5C40"/>
    <w:rsid w:val="002A6A69"/>
    <w:rsid w:val="002A6C92"/>
    <w:rsid w:val="002A7179"/>
    <w:rsid w:val="002B0961"/>
    <w:rsid w:val="002B12CF"/>
    <w:rsid w:val="002B1A2B"/>
    <w:rsid w:val="002B43D0"/>
    <w:rsid w:val="002B4994"/>
    <w:rsid w:val="002B56EC"/>
    <w:rsid w:val="002B5F84"/>
    <w:rsid w:val="002B6B5E"/>
    <w:rsid w:val="002B7117"/>
    <w:rsid w:val="002C00A2"/>
    <w:rsid w:val="002C07F6"/>
    <w:rsid w:val="002C09AA"/>
    <w:rsid w:val="002C1262"/>
    <w:rsid w:val="002C1404"/>
    <w:rsid w:val="002C176B"/>
    <w:rsid w:val="002C203B"/>
    <w:rsid w:val="002C2F68"/>
    <w:rsid w:val="002C3974"/>
    <w:rsid w:val="002C42AB"/>
    <w:rsid w:val="002C558A"/>
    <w:rsid w:val="002C588F"/>
    <w:rsid w:val="002C59AA"/>
    <w:rsid w:val="002C6272"/>
    <w:rsid w:val="002C7B6C"/>
    <w:rsid w:val="002C7F00"/>
    <w:rsid w:val="002D0EBC"/>
    <w:rsid w:val="002D120A"/>
    <w:rsid w:val="002D2775"/>
    <w:rsid w:val="002D2DB5"/>
    <w:rsid w:val="002D3216"/>
    <w:rsid w:val="002D37BA"/>
    <w:rsid w:val="002D3961"/>
    <w:rsid w:val="002D3ED9"/>
    <w:rsid w:val="002D4FB9"/>
    <w:rsid w:val="002D5097"/>
    <w:rsid w:val="002D55FB"/>
    <w:rsid w:val="002D586E"/>
    <w:rsid w:val="002D5EE0"/>
    <w:rsid w:val="002D6729"/>
    <w:rsid w:val="002D79AC"/>
    <w:rsid w:val="002E1089"/>
    <w:rsid w:val="002E155C"/>
    <w:rsid w:val="002E1E54"/>
    <w:rsid w:val="002E2670"/>
    <w:rsid w:val="002E3A7C"/>
    <w:rsid w:val="002E3B6F"/>
    <w:rsid w:val="002E44D0"/>
    <w:rsid w:val="002E4831"/>
    <w:rsid w:val="002E4BFD"/>
    <w:rsid w:val="002E5AF1"/>
    <w:rsid w:val="002E688A"/>
    <w:rsid w:val="002E75F5"/>
    <w:rsid w:val="002F0D87"/>
    <w:rsid w:val="002F2FF9"/>
    <w:rsid w:val="002F30DA"/>
    <w:rsid w:val="002F3E03"/>
    <w:rsid w:val="002F4A19"/>
    <w:rsid w:val="002F4C88"/>
    <w:rsid w:val="002F5514"/>
    <w:rsid w:val="002F5FC0"/>
    <w:rsid w:val="002F6874"/>
    <w:rsid w:val="002F73DA"/>
    <w:rsid w:val="002F7800"/>
    <w:rsid w:val="002F7A96"/>
    <w:rsid w:val="00301C83"/>
    <w:rsid w:val="00303699"/>
    <w:rsid w:val="003045BB"/>
    <w:rsid w:val="00304D36"/>
    <w:rsid w:val="00305A53"/>
    <w:rsid w:val="00305B57"/>
    <w:rsid w:val="003079FE"/>
    <w:rsid w:val="00310D00"/>
    <w:rsid w:val="00311507"/>
    <w:rsid w:val="00311A02"/>
    <w:rsid w:val="00311CBC"/>
    <w:rsid w:val="00312C31"/>
    <w:rsid w:val="00313B1A"/>
    <w:rsid w:val="00313BD1"/>
    <w:rsid w:val="003142BE"/>
    <w:rsid w:val="00314C50"/>
    <w:rsid w:val="003151E8"/>
    <w:rsid w:val="003152DF"/>
    <w:rsid w:val="003168B9"/>
    <w:rsid w:val="00317517"/>
    <w:rsid w:val="00320B93"/>
    <w:rsid w:val="003213EB"/>
    <w:rsid w:val="0032157C"/>
    <w:rsid w:val="0032164B"/>
    <w:rsid w:val="00322690"/>
    <w:rsid w:val="00323130"/>
    <w:rsid w:val="00323C50"/>
    <w:rsid w:val="00325A6B"/>
    <w:rsid w:val="00325B91"/>
    <w:rsid w:val="00326074"/>
    <w:rsid w:val="003275F5"/>
    <w:rsid w:val="003300BA"/>
    <w:rsid w:val="003301DE"/>
    <w:rsid w:val="003302C7"/>
    <w:rsid w:val="00330399"/>
    <w:rsid w:val="003304C0"/>
    <w:rsid w:val="00330D44"/>
    <w:rsid w:val="003317DF"/>
    <w:rsid w:val="0033210A"/>
    <w:rsid w:val="003325A1"/>
    <w:rsid w:val="00332EFB"/>
    <w:rsid w:val="00333421"/>
    <w:rsid w:val="003342A2"/>
    <w:rsid w:val="0033458B"/>
    <w:rsid w:val="00334E68"/>
    <w:rsid w:val="003353E8"/>
    <w:rsid w:val="003361B1"/>
    <w:rsid w:val="00336FDB"/>
    <w:rsid w:val="003379D6"/>
    <w:rsid w:val="00340A22"/>
    <w:rsid w:val="00340AF4"/>
    <w:rsid w:val="0034102A"/>
    <w:rsid w:val="00341A24"/>
    <w:rsid w:val="00341EA0"/>
    <w:rsid w:val="00342041"/>
    <w:rsid w:val="003423FB"/>
    <w:rsid w:val="003429AB"/>
    <w:rsid w:val="00343010"/>
    <w:rsid w:val="00343078"/>
    <w:rsid w:val="00343149"/>
    <w:rsid w:val="003443D3"/>
    <w:rsid w:val="00344DF6"/>
    <w:rsid w:val="00346059"/>
    <w:rsid w:val="00346B03"/>
    <w:rsid w:val="003505DC"/>
    <w:rsid w:val="0035195E"/>
    <w:rsid w:val="0035221C"/>
    <w:rsid w:val="00352748"/>
    <w:rsid w:val="00352E71"/>
    <w:rsid w:val="00353155"/>
    <w:rsid w:val="003531BB"/>
    <w:rsid w:val="00353B3B"/>
    <w:rsid w:val="00353E4D"/>
    <w:rsid w:val="003564B5"/>
    <w:rsid w:val="00356792"/>
    <w:rsid w:val="00357FEA"/>
    <w:rsid w:val="00360347"/>
    <w:rsid w:val="0036165B"/>
    <w:rsid w:val="00361A66"/>
    <w:rsid w:val="0036211E"/>
    <w:rsid w:val="00362198"/>
    <w:rsid w:val="00363047"/>
    <w:rsid w:val="003633B2"/>
    <w:rsid w:val="003642BC"/>
    <w:rsid w:val="0036432B"/>
    <w:rsid w:val="00367957"/>
    <w:rsid w:val="00367DB8"/>
    <w:rsid w:val="003701C8"/>
    <w:rsid w:val="003715ED"/>
    <w:rsid w:val="00372144"/>
    <w:rsid w:val="00372D20"/>
    <w:rsid w:val="00372F34"/>
    <w:rsid w:val="00373515"/>
    <w:rsid w:val="003740EC"/>
    <w:rsid w:val="00374197"/>
    <w:rsid w:val="0037429B"/>
    <w:rsid w:val="00374976"/>
    <w:rsid w:val="0037504F"/>
    <w:rsid w:val="003751DD"/>
    <w:rsid w:val="0037559B"/>
    <w:rsid w:val="003758E9"/>
    <w:rsid w:val="0037624A"/>
    <w:rsid w:val="00376685"/>
    <w:rsid w:val="00376BCE"/>
    <w:rsid w:val="00377530"/>
    <w:rsid w:val="00377653"/>
    <w:rsid w:val="00377F67"/>
    <w:rsid w:val="0038027C"/>
    <w:rsid w:val="00381D0E"/>
    <w:rsid w:val="00381DDF"/>
    <w:rsid w:val="00382B75"/>
    <w:rsid w:val="00383DDE"/>
    <w:rsid w:val="003848C2"/>
    <w:rsid w:val="00386036"/>
    <w:rsid w:val="0038661E"/>
    <w:rsid w:val="00386F00"/>
    <w:rsid w:val="003872B0"/>
    <w:rsid w:val="0038767A"/>
    <w:rsid w:val="003879C0"/>
    <w:rsid w:val="00390100"/>
    <w:rsid w:val="0039015B"/>
    <w:rsid w:val="00390350"/>
    <w:rsid w:val="003906A9"/>
    <w:rsid w:val="003906CF"/>
    <w:rsid w:val="00390D54"/>
    <w:rsid w:val="003923C4"/>
    <w:rsid w:val="003928E2"/>
    <w:rsid w:val="00394078"/>
    <w:rsid w:val="00396145"/>
    <w:rsid w:val="00397897"/>
    <w:rsid w:val="00397AC5"/>
    <w:rsid w:val="003A169F"/>
    <w:rsid w:val="003A1D61"/>
    <w:rsid w:val="003A1D79"/>
    <w:rsid w:val="003A1E8A"/>
    <w:rsid w:val="003A346B"/>
    <w:rsid w:val="003A3884"/>
    <w:rsid w:val="003A39F5"/>
    <w:rsid w:val="003A3DF7"/>
    <w:rsid w:val="003A4295"/>
    <w:rsid w:val="003A4C26"/>
    <w:rsid w:val="003A596A"/>
    <w:rsid w:val="003A6391"/>
    <w:rsid w:val="003A7625"/>
    <w:rsid w:val="003A7D62"/>
    <w:rsid w:val="003B0704"/>
    <w:rsid w:val="003B0F95"/>
    <w:rsid w:val="003B289B"/>
    <w:rsid w:val="003B2D0E"/>
    <w:rsid w:val="003B3A3D"/>
    <w:rsid w:val="003B3EC8"/>
    <w:rsid w:val="003B4439"/>
    <w:rsid w:val="003B4A22"/>
    <w:rsid w:val="003B5798"/>
    <w:rsid w:val="003B5E17"/>
    <w:rsid w:val="003B6963"/>
    <w:rsid w:val="003B7A01"/>
    <w:rsid w:val="003C02CB"/>
    <w:rsid w:val="003C0FB9"/>
    <w:rsid w:val="003C1E03"/>
    <w:rsid w:val="003C1FDC"/>
    <w:rsid w:val="003C2743"/>
    <w:rsid w:val="003C3665"/>
    <w:rsid w:val="003C4198"/>
    <w:rsid w:val="003C547D"/>
    <w:rsid w:val="003C71A5"/>
    <w:rsid w:val="003C764E"/>
    <w:rsid w:val="003C767D"/>
    <w:rsid w:val="003D10A0"/>
    <w:rsid w:val="003D1228"/>
    <w:rsid w:val="003D16AE"/>
    <w:rsid w:val="003D1F37"/>
    <w:rsid w:val="003D2E47"/>
    <w:rsid w:val="003D2E9D"/>
    <w:rsid w:val="003D30D4"/>
    <w:rsid w:val="003D3A24"/>
    <w:rsid w:val="003D3D92"/>
    <w:rsid w:val="003D65EE"/>
    <w:rsid w:val="003D79DF"/>
    <w:rsid w:val="003D7AF3"/>
    <w:rsid w:val="003E051D"/>
    <w:rsid w:val="003E09FD"/>
    <w:rsid w:val="003E0C6A"/>
    <w:rsid w:val="003E0D91"/>
    <w:rsid w:val="003E1063"/>
    <w:rsid w:val="003E10FB"/>
    <w:rsid w:val="003E2144"/>
    <w:rsid w:val="003E279C"/>
    <w:rsid w:val="003E2AD8"/>
    <w:rsid w:val="003E3542"/>
    <w:rsid w:val="003E452F"/>
    <w:rsid w:val="003E476B"/>
    <w:rsid w:val="003E47CB"/>
    <w:rsid w:val="003E59D1"/>
    <w:rsid w:val="003E6598"/>
    <w:rsid w:val="003E6DC1"/>
    <w:rsid w:val="003E73C2"/>
    <w:rsid w:val="003E7A9D"/>
    <w:rsid w:val="003E7D8A"/>
    <w:rsid w:val="003F2209"/>
    <w:rsid w:val="003F2513"/>
    <w:rsid w:val="003F2AB8"/>
    <w:rsid w:val="003F30D6"/>
    <w:rsid w:val="003F4211"/>
    <w:rsid w:val="003F4D5B"/>
    <w:rsid w:val="003F4F5B"/>
    <w:rsid w:val="003F584C"/>
    <w:rsid w:val="003F5903"/>
    <w:rsid w:val="003F5AAA"/>
    <w:rsid w:val="003F5EF0"/>
    <w:rsid w:val="003F6985"/>
    <w:rsid w:val="003F6F03"/>
    <w:rsid w:val="003F761A"/>
    <w:rsid w:val="0040059D"/>
    <w:rsid w:val="00400A93"/>
    <w:rsid w:val="00401742"/>
    <w:rsid w:val="00402473"/>
    <w:rsid w:val="00402539"/>
    <w:rsid w:val="00403EF0"/>
    <w:rsid w:val="0040608C"/>
    <w:rsid w:val="004063B2"/>
    <w:rsid w:val="004066D7"/>
    <w:rsid w:val="00406BD6"/>
    <w:rsid w:val="00406DDF"/>
    <w:rsid w:val="0041021B"/>
    <w:rsid w:val="0041060F"/>
    <w:rsid w:val="00410B7F"/>
    <w:rsid w:val="004126BC"/>
    <w:rsid w:val="00412C6D"/>
    <w:rsid w:val="004139F3"/>
    <w:rsid w:val="00413F7E"/>
    <w:rsid w:val="00414769"/>
    <w:rsid w:val="0041572F"/>
    <w:rsid w:val="00415E2F"/>
    <w:rsid w:val="00416282"/>
    <w:rsid w:val="004163A9"/>
    <w:rsid w:val="004173C7"/>
    <w:rsid w:val="00420582"/>
    <w:rsid w:val="00420586"/>
    <w:rsid w:val="0042099D"/>
    <w:rsid w:val="00420B9F"/>
    <w:rsid w:val="00421D56"/>
    <w:rsid w:val="00423618"/>
    <w:rsid w:val="00424DCD"/>
    <w:rsid w:val="0042691C"/>
    <w:rsid w:val="00427465"/>
    <w:rsid w:val="00427B5D"/>
    <w:rsid w:val="0043081A"/>
    <w:rsid w:val="0043231C"/>
    <w:rsid w:val="0043274B"/>
    <w:rsid w:val="004329C7"/>
    <w:rsid w:val="00432B08"/>
    <w:rsid w:val="00432BA9"/>
    <w:rsid w:val="00432F01"/>
    <w:rsid w:val="00434A9D"/>
    <w:rsid w:val="00434B1C"/>
    <w:rsid w:val="00435B09"/>
    <w:rsid w:val="00436D4B"/>
    <w:rsid w:val="004374C4"/>
    <w:rsid w:val="0043767B"/>
    <w:rsid w:val="00440CDC"/>
    <w:rsid w:val="00441F1E"/>
    <w:rsid w:val="004429A3"/>
    <w:rsid w:val="004430B6"/>
    <w:rsid w:val="00443AAC"/>
    <w:rsid w:val="004443A6"/>
    <w:rsid w:val="00444927"/>
    <w:rsid w:val="004449FA"/>
    <w:rsid w:val="00445511"/>
    <w:rsid w:val="00446148"/>
    <w:rsid w:val="0044671A"/>
    <w:rsid w:val="004468F0"/>
    <w:rsid w:val="00446C8F"/>
    <w:rsid w:val="0044755D"/>
    <w:rsid w:val="004478B6"/>
    <w:rsid w:val="004479BC"/>
    <w:rsid w:val="00447EA4"/>
    <w:rsid w:val="00451687"/>
    <w:rsid w:val="00451B18"/>
    <w:rsid w:val="00453983"/>
    <w:rsid w:val="004539E5"/>
    <w:rsid w:val="0045400D"/>
    <w:rsid w:val="0045459E"/>
    <w:rsid w:val="00454B55"/>
    <w:rsid w:val="00454B6A"/>
    <w:rsid w:val="0045510B"/>
    <w:rsid w:val="00455EE1"/>
    <w:rsid w:val="00456062"/>
    <w:rsid w:val="0045636A"/>
    <w:rsid w:val="0045767E"/>
    <w:rsid w:val="004608FE"/>
    <w:rsid w:val="00461CFB"/>
    <w:rsid w:val="00462ACD"/>
    <w:rsid w:val="00463AD3"/>
    <w:rsid w:val="004644CD"/>
    <w:rsid w:val="00464F82"/>
    <w:rsid w:val="00465345"/>
    <w:rsid w:val="00465BDB"/>
    <w:rsid w:val="0046644A"/>
    <w:rsid w:val="00466F1C"/>
    <w:rsid w:val="004705CD"/>
    <w:rsid w:val="00473822"/>
    <w:rsid w:val="00473C6C"/>
    <w:rsid w:val="004749AD"/>
    <w:rsid w:val="00475162"/>
    <w:rsid w:val="00475BCB"/>
    <w:rsid w:val="00475D32"/>
    <w:rsid w:val="00475F7D"/>
    <w:rsid w:val="004768FE"/>
    <w:rsid w:val="0047690D"/>
    <w:rsid w:val="00476B42"/>
    <w:rsid w:val="004776C4"/>
    <w:rsid w:val="0048061E"/>
    <w:rsid w:val="004814C1"/>
    <w:rsid w:val="00481AE3"/>
    <w:rsid w:val="00481C75"/>
    <w:rsid w:val="00481CA3"/>
    <w:rsid w:val="004837EA"/>
    <w:rsid w:val="00484EEF"/>
    <w:rsid w:val="00485B02"/>
    <w:rsid w:val="00485DCF"/>
    <w:rsid w:val="004860DF"/>
    <w:rsid w:val="00486AAF"/>
    <w:rsid w:val="00487038"/>
    <w:rsid w:val="00487CD1"/>
    <w:rsid w:val="00487CD2"/>
    <w:rsid w:val="00490568"/>
    <w:rsid w:val="00492030"/>
    <w:rsid w:val="00492919"/>
    <w:rsid w:val="00492A22"/>
    <w:rsid w:val="00492B9E"/>
    <w:rsid w:val="0049312E"/>
    <w:rsid w:val="00493692"/>
    <w:rsid w:val="004944D1"/>
    <w:rsid w:val="0049451D"/>
    <w:rsid w:val="004949E9"/>
    <w:rsid w:val="00495053"/>
    <w:rsid w:val="00496255"/>
    <w:rsid w:val="004962FF"/>
    <w:rsid w:val="004971F1"/>
    <w:rsid w:val="004A0BB5"/>
    <w:rsid w:val="004A2D27"/>
    <w:rsid w:val="004A37CF"/>
    <w:rsid w:val="004A38DD"/>
    <w:rsid w:val="004A4615"/>
    <w:rsid w:val="004A46F7"/>
    <w:rsid w:val="004A57C7"/>
    <w:rsid w:val="004A5EBF"/>
    <w:rsid w:val="004A6C25"/>
    <w:rsid w:val="004A75DF"/>
    <w:rsid w:val="004B1814"/>
    <w:rsid w:val="004B260F"/>
    <w:rsid w:val="004B2897"/>
    <w:rsid w:val="004B293D"/>
    <w:rsid w:val="004B2E7A"/>
    <w:rsid w:val="004B2F11"/>
    <w:rsid w:val="004B36FB"/>
    <w:rsid w:val="004B4302"/>
    <w:rsid w:val="004B4E4D"/>
    <w:rsid w:val="004B519A"/>
    <w:rsid w:val="004B51FB"/>
    <w:rsid w:val="004B551B"/>
    <w:rsid w:val="004B574F"/>
    <w:rsid w:val="004B57AF"/>
    <w:rsid w:val="004B780F"/>
    <w:rsid w:val="004B7C23"/>
    <w:rsid w:val="004B7F85"/>
    <w:rsid w:val="004C0460"/>
    <w:rsid w:val="004C05FC"/>
    <w:rsid w:val="004C071C"/>
    <w:rsid w:val="004C26E1"/>
    <w:rsid w:val="004C27E3"/>
    <w:rsid w:val="004C2881"/>
    <w:rsid w:val="004C2B66"/>
    <w:rsid w:val="004C2B99"/>
    <w:rsid w:val="004C30CD"/>
    <w:rsid w:val="004C5039"/>
    <w:rsid w:val="004C6EFA"/>
    <w:rsid w:val="004C7216"/>
    <w:rsid w:val="004C7E63"/>
    <w:rsid w:val="004D12ED"/>
    <w:rsid w:val="004D1717"/>
    <w:rsid w:val="004D2A64"/>
    <w:rsid w:val="004D2CE6"/>
    <w:rsid w:val="004D397E"/>
    <w:rsid w:val="004D4384"/>
    <w:rsid w:val="004D470B"/>
    <w:rsid w:val="004D5195"/>
    <w:rsid w:val="004D555F"/>
    <w:rsid w:val="004D5946"/>
    <w:rsid w:val="004D6807"/>
    <w:rsid w:val="004D6CD8"/>
    <w:rsid w:val="004D7EDF"/>
    <w:rsid w:val="004D7F60"/>
    <w:rsid w:val="004E0003"/>
    <w:rsid w:val="004E051B"/>
    <w:rsid w:val="004E092E"/>
    <w:rsid w:val="004E21BB"/>
    <w:rsid w:val="004E23E9"/>
    <w:rsid w:val="004E310C"/>
    <w:rsid w:val="004E3448"/>
    <w:rsid w:val="004E3F5F"/>
    <w:rsid w:val="004E42C1"/>
    <w:rsid w:val="004E4678"/>
    <w:rsid w:val="004E4BCF"/>
    <w:rsid w:val="004E4C2A"/>
    <w:rsid w:val="004E5294"/>
    <w:rsid w:val="004E5979"/>
    <w:rsid w:val="004E666A"/>
    <w:rsid w:val="004E69E7"/>
    <w:rsid w:val="004E6DB9"/>
    <w:rsid w:val="004E7974"/>
    <w:rsid w:val="004E7B48"/>
    <w:rsid w:val="004F0916"/>
    <w:rsid w:val="004F0A79"/>
    <w:rsid w:val="004F0B48"/>
    <w:rsid w:val="004F0EBD"/>
    <w:rsid w:val="004F0F0A"/>
    <w:rsid w:val="004F1067"/>
    <w:rsid w:val="004F17DF"/>
    <w:rsid w:val="004F2742"/>
    <w:rsid w:val="004F295C"/>
    <w:rsid w:val="004F375A"/>
    <w:rsid w:val="004F4EDC"/>
    <w:rsid w:val="004F5950"/>
    <w:rsid w:val="004F5BBA"/>
    <w:rsid w:val="004F5EE9"/>
    <w:rsid w:val="004F67D5"/>
    <w:rsid w:val="004F777E"/>
    <w:rsid w:val="005001B7"/>
    <w:rsid w:val="0050053A"/>
    <w:rsid w:val="0050083D"/>
    <w:rsid w:val="00501C4E"/>
    <w:rsid w:val="00502350"/>
    <w:rsid w:val="00502C28"/>
    <w:rsid w:val="00502C95"/>
    <w:rsid w:val="00502F00"/>
    <w:rsid w:val="00505352"/>
    <w:rsid w:val="0050537E"/>
    <w:rsid w:val="00505BF8"/>
    <w:rsid w:val="005061FB"/>
    <w:rsid w:val="005068D6"/>
    <w:rsid w:val="00506B70"/>
    <w:rsid w:val="005073AC"/>
    <w:rsid w:val="00510D81"/>
    <w:rsid w:val="00512514"/>
    <w:rsid w:val="0051292C"/>
    <w:rsid w:val="00514F7E"/>
    <w:rsid w:val="00515D10"/>
    <w:rsid w:val="00515D1E"/>
    <w:rsid w:val="00515F8F"/>
    <w:rsid w:val="00516EA1"/>
    <w:rsid w:val="00516FB6"/>
    <w:rsid w:val="005176F6"/>
    <w:rsid w:val="00517A62"/>
    <w:rsid w:val="0052176B"/>
    <w:rsid w:val="005227F6"/>
    <w:rsid w:val="00522C38"/>
    <w:rsid w:val="005238F4"/>
    <w:rsid w:val="00523B6F"/>
    <w:rsid w:val="005243D7"/>
    <w:rsid w:val="00524D8E"/>
    <w:rsid w:val="00526373"/>
    <w:rsid w:val="005278C6"/>
    <w:rsid w:val="005303C4"/>
    <w:rsid w:val="00530489"/>
    <w:rsid w:val="0053130E"/>
    <w:rsid w:val="0053146D"/>
    <w:rsid w:val="00531BED"/>
    <w:rsid w:val="005327C9"/>
    <w:rsid w:val="00533323"/>
    <w:rsid w:val="00533679"/>
    <w:rsid w:val="00533C83"/>
    <w:rsid w:val="0053444C"/>
    <w:rsid w:val="0053581C"/>
    <w:rsid w:val="00535C63"/>
    <w:rsid w:val="00536C38"/>
    <w:rsid w:val="00537E14"/>
    <w:rsid w:val="00540279"/>
    <w:rsid w:val="005408C0"/>
    <w:rsid w:val="00540D96"/>
    <w:rsid w:val="00540E32"/>
    <w:rsid w:val="00540F5C"/>
    <w:rsid w:val="00541591"/>
    <w:rsid w:val="005421D1"/>
    <w:rsid w:val="005423BF"/>
    <w:rsid w:val="00542B03"/>
    <w:rsid w:val="00544C40"/>
    <w:rsid w:val="00545ABB"/>
    <w:rsid w:val="00545E76"/>
    <w:rsid w:val="00545F7A"/>
    <w:rsid w:val="005460F9"/>
    <w:rsid w:val="005473DB"/>
    <w:rsid w:val="00547D69"/>
    <w:rsid w:val="0055095F"/>
    <w:rsid w:val="00551402"/>
    <w:rsid w:val="0055395B"/>
    <w:rsid w:val="00553EB2"/>
    <w:rsid w:val="005554A9"/>
    <w:rsid w:val="00555FB7"/>
    <w:rsid w:val="0055672B"/>
    <w:rsid w:val="005569D7"/>
    <w:rsid w:val="00556C79"/>
    <w:rsid w:val="00557923"/>
    <w:rsid w:val="005603F1"/>
    <w:rsid w:val="0056103D"/>
    <w:rsid w:val="0056108C"/>
    <w:rsid w:val="005615E5"/>
    <w:rsid w:val="00561611"/>
    <w:rsid w:val="005618B4"/>
    <w:rsid w:val="005620A3"/>
    <w:rsid w:val="005626BD"/>
    <w:rsid w:val="005631DE"/>
    <w:rsid w:val="00563590"/>
    <w:rsid w:val="00563805"/>
    <w:rsid w:val="005639AE"/>
    <w:rsid w:val="00565907"/>
    <w:rsid w:val="0056682C"/>
    <w:rsid w:val="0056711B"/>
    <w:rsid w:val="005672C4"/>
    <w:rsid w:val="00570206"/>
    <w:rsid w:val="0057260F"/>
    <w:rsid w:val="00573E28"/>
    <w:rsid w:val="005744B9"/>
    <w:rsid w:val="0057479D"/>
    <w:rsid w:val="00575077"/>
    <w:rsid w:val="00575092"/>
    <w:rsid w:val="005762EB"/>
    <w:rsid w:val="005767DD"/>
    <w:rsid w:val="00576E8D"/>
    <w:rsid w:val="00577492"/>
    <w:rsid w:val="00577D67"/>
    <w:rsid w:val="00580D87"/>
    <w:rsid w:val="00581F7F"/>
    <w:rsid w:val="0058237A"/>
    <w:rsid w:val="00582555"/>
    <w:rsid w:val="00582DD8"/>
    <w:rsid w:val="0058338C"/>
    <w:rsid w:val="005842FA"/>
    <w:rsid w:val="00584477"/>
    <w:rsid w:val="0058458C"/>
    <w:rsid w:val="005852BE"/>
    <w:rsid w:val="00585452"/>
    <w:rsid w:val="005866A4"/>
    <w:rsid w:val="00590922"/>
    <w:rsid w:val="005924DA"/>
    <w:rsid w:val="00592AAF"/>
    <w:rsid w:val="00592F05"/>
    <w:rsid w:val="00593830"/>
    <w:rsid w:val="00595E80"/>
    <w:rsid w:val="00597DAF"/>
    <w:rsid w:val="005A022B"/>
    <w:rsid w:val="005A02EB"/>
    <w:rsid w:val="005A0FC2"/>
    <w:rsid w:val="005A22D9"/>
    <w:rsid w:val="005A41E7"/>
    <w:rsid w:val="005A479B"/>
    <w:rsid w:val="005A47D6"/>
    <w:rsid w:val="005A538C"/>
    <w:rsid w:val="005A5C36"/>
    <w:rsid w:val="005A5E2A"/>
    <w:rsid w:val="005A7D45"/>
    <w:rsid w:val="005B1027"/>
    <w:rsid w:val="005B14E0"/>
    <w:rsid w:val="005B1990"/>
    <w:rsid w:val="005B1A62"/>
    <w:rsid w:val="005B3ACC"/>
    <w:rsid w:val="005B54E2"/>
    <w:rsid w:val="005B5646"/>
    <w:rsid w:val="005B587C"/>
    <w:rsid w:val="005B6CBF"/>
    <w:rsid w:val="005B6F86"/>
    <w:rsid w:val="005B731C"/>
    <w:rsid w:val="005B7B6A"/>
    <w:rsid w:val="005C026E"/>
    <w:rsid w:val="005C1E3D"/>
    <w:rsid w:val="005C2CD6"/>
    <w:rsid w:val="005C3CD1"/>
    <w:rsid w:val="005C4FF8"/>
    <w:rsid w:val="005C667E"/>
    <w:rsid w:val="005C69B8"/>
    <w:rsid w:val="005C6A7B"/>
    <w:rsid w:val="005D0137"/>
    <w:rsid w:val="005D06C4"/>
    <w:rsid w:val="005D25EE"/>
    <w:rsid w:val="005D29A6"/>
    <w:rsid w:val="005D2A89"/>
    <w:rsid w:val="005D37AA"/>
    <w:rsid w:val="005D3EB3"/>
    <w:rsid w:val="005D60B8"/>
    <w:rsid w:val="005D62BE"/>
    <w:rsid w:val="005D63E6"/>
    <w:rsid w:val="005D6417"/>
    <w:rsid w:val="005D6609"/>
    <w:rsid w:val="005D6719"/>
    <w:rsid w:val="005D6931"/>
    <w:rsid w:val="005E0A0F"/>
    <w:rsid w:val="005E0F6B"/>
    <w:rsid w:val="005E1BD1"/>
    <w:rsid w:val="005E24E9"/>
    <w:rsid w:val="005E2CDE"/>
    <w:rsid w:val="005E3FFD"/>
    <w:rsid w:val="005E4264"/>
    <w:rsid w:val="005E448A"/>
    <w:rsid w:val="005E4BF2"/>
    <w:rsid w:val="005E4C79"/>
    <w:rsid w:val="005E4DCC"/>
    <w:rsid w:val="005E6CB6"/>
    <w:rsid w:val="005E6CEB"/>
    <w:rsid w:val="005E71FF"/>
    <w:rsid w:val="005E76C0"/>
    <w:rsid w:val="005E7FDF"/>
    <w:rsid w:val="005E7FFD"/>
    <w:rsid w:val="005F0D75"/>
    <w:rsid w:val="005F16A1"/>
    <w:rsid w:val="005F1789"/>
    <w:rsid w:val="005F2B86"/>
    <w:rsid w:val="005F3851"/>
    <w:rsid w:val="005F3956"/>
    <w:rsid w:val="005F3D05"/>
    <w:rsid w:val="005F3E00"/>
    <w:rsid w:val="005F4E8E"/>
    <w:rsid w:val="005F5154"/>
    <w:rsid w:val="005F64DE"/>
    <w:rsid w:val="005F73BD"/>
    <w:rsid w:val="005F7749"/>
    <w:rsid w:val="00600001"/>
    <w:rsid w:val="006001F7"/>
    <w:rsid w:val="00600635"/>
    <w:rsid w:val="0060064C"/>
    <w:rsid w:val="00600CFC"/>
    <w:rsid w:val="00601091"/>
    <w:rsid w:val="006018B9"/>
    <w:rsid w:val="006030D3"/>
    <w:rsid w:val="006031C4"/>
    <w:rsid w:val="00603406"/>
    <w:rsid w:val="00603615"/>
    <w:rsid w:val="00604BD4"/>
    <w:rsid w:val="00605285"/>
    <w:rsid w:val="006062FE"/>
    <w:rsid w:val="0060650C"/>
    <w:rsid w:val="00606972"/>
    <w:rsid w:val="00606E93"/>
    <w:rsid w:val="00606FE2"/>
    <w:rsid w:val="00607053"/>
    <w:rsid w:val="00607119"/>
    <w:rsid w:val="006074B0"/>
    <w:rsid w:val="00610012"/>
    <w:rsid w:val="00610239"/>
    <w:rsid w:val="00610560"/>
    <w:rsid w:val="00610A20"/>
    <w:rsid w:val="00611600"/>
    <w:rsid w:val="00611977"/>
    <w:rsid w:val="0061298D"/>
    <w:rsid w:val="00613038"/>
    <w:rsid w:val="006136D6"/>
    <w:rsid w:val="0061722B"/>
    <w:rsid w:val="00617AED"/>
    <w:rsid w:val="00620BC5"/>
    <w:rsid w:val="00620E37"/>
    <w:rsid w:val="006226A9"/>
    <w:rsid w:val="006227ED"/>
    <w:rsid w:val="00622C35"/>
    <w:rsid w:val="006235BF"/>
    <w:rsid w:val="00623875"/>
    <w:rsid w:val="00623DE1"/>
    <w:rsid w:val="00624413"/>
    <w:rsid w:val="0062681B"/>
    <w:rsid w:val="0062726A"/>
    <w:rsid w:val="0062729F"/>
    <w:rsid w:val="006302D5"/>
    <w:rsid w:val="00630C15"/>
    <w:rsid w:val="00631D57"/>
    <w:rsid w:val="00631F5D"/>
    <w:rsid w:val="006320E4"/>
    <w:rsid w:val="00632F65"/>
    <w:rsid w:val="00633EE1"/>
    <w:rsid w:val="00634BAE"/>
    <w:rsid w:val="00634D7D"/>
    <w:rsid w:val="00635BC5"/>
    <w:rsid w:val="00635C2A"/>
    <w:rsid w:val="00636A12"/>
    <w:rsid w:val="00637E82"/>
    <w:rsid w:val="00640801"/>
    <w:rsid w:val="00640A51"/>
    <w:rsid w:val="006411DE"/>
    <w:rsid w:val="006424D8"/>
    <w:rsid w:val="00642FB6"/>
    <w:rsid w:val="00643217"/>
    <w:rsid w:val="00643B9A"/>
    <w:rsid w:val="006443A7"/>
    <w:rsid w:val="0064477E"/>
    <w:rsid w:val="006454B9"/>
    <w:rsid w:val="006461A5"/>
    <w:rsid w:val="0064689E"/>
    <w:rsid w:val="006469E4"/>
    <w:rsid w:val="006473C3"/>
    <w:rsid w:val="006474CE"/>
    <w:rsid w:val="00647EE3"/>
    <w:rsid w:val="00647FC0"/>
    <w:rsid w:val="0065034E"/>
    <w:rsid w:val="00650847"/>
    <w:rsid w:val="00650BD7"/>
    <w:rsid w:val="006516E3"/>
    <w:rsid w:val="006519CF"/>
    <w:rsid w:val="00652520"/>
    <w:rsid w:val="0065278F"/>
    <w:rsid w:val="00653FF8"/>
    <w:rsid w:val="006543AC"/>
    <w:rsid w:val="00655C40"/>
    <w:rsid w:val="00655FDD"/>
    <w:rsid w:val="00656407"/>
    <w:rsid w:val="00656508"/>
    <w:rsid w:val="0065668F"/>
    <w:rsid w:val="00656BC4"/>
    <w:rsid w:val="00657B87"/>
    <w:rsid w:val="00660369"/>
    <w:rsid w:val="00660FE9"/>
    <w:rsid w:val="00661FCE"/>
    <w:rsid w:val="006624BC"/>
    <w:rsid w:val="006624C7"/>
    <w:rsid w:val="006627D3"/>
    <w:rsid w:val="006638C2"/>
    <w:rsid w:val="00664791"/>
    <w:rsid w:val="0066616E"/>
    <w:rsid w:val="00666305"/>
    <w:rsid w:val="006664EB"/>
    <w:rsid w:val="006669F3"/>
    <w:rsid w:val="00666B55"/>
    <w:rsid w:val="00667877"/>
    <w:rsid w:val="00667934"/>
    <w:rsid w:val="00667CD5"/>
    <w:rsid w:val="0067031B"/>
    <w:rsid w:val="00670638"/>
    <w:rsid w:val="006719F0"/>
    <w:rsid w:val="0067235D"/>
    <w:rsid w:val="00674A7E"/>
    <w:rsid w:val="0067562E"/>
    <w:rsid w:val="0067573C"/>
    <w:rsid w:val="00675ACD"/>
    <w:rsid w:val="0068003D"/>
    <w:rsid w:val="00680A1A"/>
    <w:rsid w:val="00682D85"/>
    <w:rsid w:val="00684671"/>
    <w:rsid w:val="00684D07"/>
    <w:rsid w:val="00684DFE"/>
    <w:rsid w:val="00685049"/>
    <w:rsid w:val="006851B0"/>
    <w:rsid w:val="00685E96"/>
    <w:rsid w:val="00686EA1"/>
    <w:rsid w:val="00690B55"/>
    <w:rsid w:val="006913B5"/>
    <w:rsid w:val="00693C50"/>
    <w:rsid w:val="00694E19"/>
    <w:rsid w:val="0069571D"/>
    <w:rsid w:val="006962FB"/>
    <w:rsid w:val="00696CB2"/>
    <w:rsid w:val="00696FBA"/>
    <w:rsid w:val="00697B4C"/>
    <w:rsid w:val="00697CE6"/>
    <w:rsid w:val="00697E74"/>
    <w:rsid w:val="006A0638"/>
    <w:rsid w:val="006A0808"/>
    <w:rsid w:val="006A080D"/>
    <w:rsid w:val="006A178A"/>
    <w:rsid w:val="006A39DD"/>
    <w:rsid w:val="006A3E35"/>
    <w:rsid w:val="006A42FB"/>
    <w:rsid w:val="006A4BA4"/>
    <w:rsid w:val="006A4D65"/>
    <w:rsid w:val="006A53B9"/>
    <w:rsid w:val="006A5677"/>
    <w:rsid w:val="006A663A"/>
    <w:rsid w:val="006A675F"/>
    <w:rsid w:val="006A7A94"/>
    <w:rsid w:val="006B0467"/>
    <w:rsid w:val="006B050C"/>
    <w:rsid w:val="006B07F5"/>
    <w:rsid w:val="006B0FC2"/>
    <w:rsid w:val="006B142D"/>
    <w:rsid w:val="006B2277"/>
    <w:rsid w:val="006B264F"/>
    <w:rsid w:val="006B2C5A"/>
    <w:rsid w:val="006B2ED0"/>
    <w:rsid w:val="006B3480"/>
    <w:rsid w:val="006B38FC"/>
    <w:rsid w:val="006B4173"/>
    <w:rsid w:val="006B4C27"/>
    <w:rsid w:val="006B5450"/>
    <w:rsid w:val="006B559E"/>
    <w:rsid w:val="006B5CFC"/>
    <w:rsid w:val="006B621A"/>
    <w:rsid w:val="006B6426"/>
    <w:rsid w:val="006B6DA8"/>
    <w:rsid w:val="006C196E"/>
    <w:rsid w:val="006C1A42"/>
    <w:rsid w:val="006C1F5B"/>
    <w:rsid w:val="006C2789"/>
    <w:rsid w:val="006C2CE5"/>
    <w:rsid w:val="006C3157"/>
    <w:rsid w:val="006C7716"/>
    <w:rsid w:val="006C7854"/>
    <w:rsid w:val="006C78F9"/>
    <w:rsid w:val="006C7D49"/>
    <w:rsid w:val="006C7EA0"/>
    <w:rsid w:val="006D084F"/>
    <w:rsid w:val="006D13CC"/>
    <w:rsid w:val="006D232E"/>
    <w:rsid w:val="006D266C"/>
    <w:rsid w:val="006D4278"/>
    <w:rsid w:val="006D522B"/>
    <w:rsid w:val="006D5633"/>
    <w:rsid w:val="006D5707"/>
    <w:rsid w:val="006D5BB6"/>
    <w:rsid w:val="006D636E"/>
    <w:rsid w:val="006D6DB8"/>
    <w:rsid w:val="006D76DC"/>
    <w:rsid w:val="006E05C5"/>
    <w:rsid w:val="006E1581"/>
    <w:rsid w:val="006E3CDA"/>
    <w:rsid w:val="006E5117"/>
    <w:rsid w:val="006E5600"/>
    <w:rsid w:val="006E62CA"/>
    <w:rsid w:val="006E7F3B"/>
    <w:rsid w:val="006E7F8E"/>
    <w:rsid w:val="006F0B0C"/>
    <w:rsid w:val="006F182A"/>
    <w:rsid w:val="006F2AAB"/>
    <w:rsid w:val="006F2F48"/>
    <w:rsid w:val="006F3A3C"/>
    <w:rsid w:val="006F3D1C"/>
    <w:rsid w:val="006F423B"/>
    <w:rsid w:val="006F4AE0"/>
    <w:rsid w:val="006F4F37"/>
    <w:rsid w:val="006F6263"/>
    <w:rsid w:val="006F68D8"/>
    <w:rsid w:val="006F6DCE"/>
    <w:rsid w:val="00700E67"/>
    <w:rsid w:val="00701F24"/>
    <w:rsid w:val="00701FF5"/>
    <w:rsid w:val="00702674"/>
    <w:rsid w:val="007026F1"/>
    <w:rsid w:val="00703137"/>
    <w:rsid w:val="007044CA"/>
    <w:rsid w:val="00704996"/>
    <w:rsid w:val="007055D3"/>
    <w:rsid w:val="007057C9"/>
    <w:rsid w:val="007076EF"/>
    <w:rsid w:val="00707A94"/>
    <w:rsid w:val="00707AEC"/>
    <w:rsid w:val="007126AC"/>
    <w:rsid w:val="00712DCB"/>
    <w:rsid w:val="0071342B"/>
    <w:rsid w:val="00714491"/>
    <w:rsid w:val="007158BF"/>
    <w:rsid w:val="00715FCD"/>
    <w:rsid w:val="00716484"/>
    <w:rsid w:val="0071683B"/>
    <w:rsid w:val="007169FF"/>
    <w:rsid w:val="00720066"/>
    <w:rsid w:val="007211E6"/>
    <w:rsid w:val="0072176D"/>
    <w:rsid w:val="007218A8"/>
    <w:rsid w:val="00724CC8"/>
    <w:rsid w:val="00725042"/>
    <w:rsid w:val="0072547C"/>
    <w:rsid w:val="0072572D"/>
    <w:rsid w:val="00726845"/>
    <w:rsid w:val="00726EE8"/>
    <w:rsid w:val="00726F5C"/>
    <w:rsid w:val="0072727E"/>
    <w:rsid w:val="00727C3A"/>
    <w:rsid w:val="007310C1"/>
    <w:rsid w:val="0073285F"/>
    <w:rsid w:val="00732F5E"/>
    <w:rsid w:val="007330B1"/>
    <w:rsid w:val="007336D6"/>
    <w:rsid w:val="00733D91"/>
    <w:rsid w:val="007341CF"/>
    <w:rsid w:val="00734607"/>
    <w:rsid w:val="0073485E"/>
    <w:rsid w:val="00734DE9"/>
    <w:rsid w:val="00736A62"/>
    <w:rsid w:val="00736E22"/>
    <w:rsid w:val="007371E7"/>
    <w:rsid w:val="00737335"/>
    <w:rsid w:val="0073772B"/>
    <w:rsid w:val="00737E0B"/>
    <w:rsid w:val="00737F33"/>
    <w:rsid w:val="00740923"/>
    <w:rsid w:val="00740BFE"/>
    <w:rsid w:val="00741378"/>
    <w:rsid w:val="007419B0"/>
    <w:rsid w:val="00742F6A"/>
    <w:rsid w:val="007434DA"/>
    <w:rsid w:val="0074401D"/>
    <w:rsid w:val="00744916"/>
    <w:rsid w:val="00744E1C"/>
    <w:rsid w:val="007461CF"/>
    <w:rsid w:val="0074695B"/>
    <w:rsid w:val="00746C41"/>
    <w:rsid w:val="00747EC2"/>
    <w:rsid w:val="00750978"/>
    <w:rsid w:val="007512D4"/>
    <w:rsid w:val="00752B11"/>
    <w:rsid w:val="00752DB2"/>
    <w:rsid w:val="00753B19"/>
    <w:rsid w:val="007549DF"/>
    <w:rsid w:val="00755B51"/>
    <w:rsid w:val="00755ED5"/>
    <w:rsid w:val="007575FC"/>
    <w:rsid w:val="00757A69"/>
    <w:rsid w:val="00762D0A"/>
    <w:rsid w:val="00762EEA"/>
    <w:rsid w:val="007637D5"/>
    <w:rsid w:val="00763EB2"/>
    <w:rsid w:val="007642C9"/>
    <w:rsid w:val="00764BB7"/>
    <w:rsid w:val="00764D3E"/>
    <w:rsid w:val="00765681"/>
    <w:rsid w:val="007659F7"/>
    <w:rsid w:val="00767200"/>
    <w:rsid w:val="00767418"/>
    <w:rsid w:val="00771A4E"/>
    <w:rsid w:val="00772568"/>
    <w:rsid w:val="00772A69"/>
    <w:rsid w:val="00773F4F"/>
    <w:rsid w:val="007743F9"/>
    <w:rsid w:val="0077454A"/>
    <w:rsid w:val="00774A49"/>
    <w:rsid w:val="00774A85"/>
    <w:rsid w:val="007752AC"/>
    <w:rsid w:val="00775463"/>
    <w:rsid w:val="00775A3A"/>
    <w:rsid w:val="00775FD6"/>
    <w:rsid w:val="0077647D"/>
    <w:rsid w:val="00776A71"/>
    <w:rsid w:val="00776CDB"/>
    <w:rsid w:val="00776F4E"/>
    <w:rsid w:val="00777043"/>
    <w:rsid w:val="0077712A"/>
    <w:rsid w:val="00777401"/>
    <w:rsid w:val="00777D37"/>
    <w:rsid w:val="00780986"/>
    <w:rsid w:val="00780FF3"/>
    <w:rsid w:val="0078111B"/>
    <w:rsid w:val="0078169A"/>
    <w:rsid w:val="00781888"/>
    <w:rsid w:val="00781C37"/>
    <w:rsid w:val="007829A3"/>
    <w:rsid w:val="00785E15"/>
    <w:rsid w:val="00786087"/>
    <w:rsid w:val="00786D40"/>
    <w:rsid w:val="00786E41"/>
    <w:rsid w:val="007875A2"/>
    <w:rsid w:val="0078778D"/>
    <w:rsid w:val="00787A29"/>
    <w:rsid w:val="007918BE"/>
    <w:rsid w:val="00791A46"/>
    <w:rsid w:val="007922CA"/>
    <w:rsid w:val="00792641"/>
    <w:rsid w:val="007926FF"/>
    <w:rsid w:val="00793A7D"/>
    <w:rsid w:val="00794520"/>
    <w:rsid w:val="007949EC"/>
    <w:rsid w:val="00794F26"/>
    <w:rsid w:val="0079512A"/>
    <w:rsid w:val="007954BA"/>
    <w:rsid w:val="007957F6"/>
    <w:rsid w:val="00795E53"/>
    <w:rsid w:val="00795F51"/>
    <w:rsid w:val="007965A8"/>
    <w:rsid w:val="00796830"/>
    <w:rsid w:val="007968BD"/>
    <w:rsid w:val="00796B80"/>
    <w:rsid w:val="007A0E06"/>
    <w:rsid w:val="007A2FD4"/>
    <w:rsid w:val="007A3AF5"/>
    <w:rsid w:val="007A43BD"/>
    <w:rsid w:val="007A4CCE"/>
    <w:rsid w:val="007A4D11"/>
    <w:rsid w:val="007A58EF"/>
    <w:rsid w:val="007A6B35"/>
    <w:rsid w:val="007A6EDC"/>
    <w:rsid w:val="007A6F14"/>
    <w:rsid w:val="007A74D4"/>
    <w:rsid w:val="007B00B8"/>
    <w:rsid w:val="007B0500"/>
    <w:rsid w:val="007B0FB0"/>
    <w:rsid w:val="007B13D5"/>
    <w:rsid w:val="007B2AC7"/>
    <w:rsid w:val="007B3735"/>
    <w:rsid w:val="007B4CB6"/>
    <w:rsid w:val="007B4E3E"/>
    <w:rsid w:val="007B4EAE"/>
    <w:rsid w:val="007B53B2"/>
    <w:rsid w:val="007B563E"/>
    <w:rsid w:val="007B56A6"/>
    <w:rsid w:val="007B57D5"/>
    <w:rsid w:val="007B5BFC"/>
    <w:rsid w:val="007B5F22"/>
    <w:rsid w:val="007B631F"/>
    <w:rsid w:val="007B6490"/>
    <w:rsid w:val="007B6F48"/>
    <w:rsid w:val="007B7163"/>
    <w:rsid w:val="007B794D"/>
    <w:rsid w:val="007B7DE3"/>
    <w:rsid w:val="007C0818"/>
    <w:rsid w:val="007C1571"/>
    <w:rsid w:val="007C3AAC"/>
    <w:rsid w:val="007C40CC"/>
    <w:rsid w:val="007C5486"/>
    <w:rsid w:val="007C6CF0"/>
    <w:rsid w:val="007D0672"/>
    <w:rsid w:val="007D06FF"/>
    <w:rsid w:val="007D16F9"/>
    <w:rsid w:val="007D3F7F"/>
    <w:rsid w:val="007D40F5"/>
    <w:rsid w:val="007D4851"/>
    <w:rsid w:val="007D4E7D"/>
    <w:rsid w:val="007D5796"/>
    <w:rsid w:val="007D62EF"/>
    <w:rsid w:val="007D6D3F"/>
    <w:rsid w:val="007D71D0"/>
    <w:rsid w:val="007D71E9"/>
    <w:rsid w:val="007D7385"/>
    <w:rsid w:val="007D760B"/>
    <w:rsid w:val="007E0189"/>
    <w:rsid w:val="007E0745"/>
    <w:rsid w:val="007E080F"/>
    <w:rsid w:val="007E0978"/>
    <w:rsid w:val="007E0A70"/>
    <w:rsid w:val="007E0BD4"/>
    <w:rsid w:val="007E179D"/>
    <w:rsid w:val="007E1ADD"/>
    <w:rsid w:val="007E252A"/>
    <w:rsid w:val="007E32AA"/>
    <w:rsid w:val="007E3F67"/>
    <w:rsid w:val="007E4AD6"/>
    <w:rsid w:val="007E50C1"/>
    <w:rsid w:val="007E6503"/>
    <w:rsid w:val="007E70AB"/>
    <w:rsid w:val="007E71C6"/>
    <w:rsid w:val="007F06B6"/>
    <w:rsid w:val="007F0782"/>
    <w:rsid w:val="007F08EA"/>
    <w:rsid w:val="007F0A1C"/>
    <w:rsid w:val="007F1036"/>
    <w:rsid w:val="007F1C86"/>
    <w:rsid w:val="007F25E5"/>
    <w:rsid w:val="007F2D04"/>
    <w:rsid w:val="007F39F7"/>
    <w:rsid w:val="007F3E51"/>
    <w:rsid w:val="007F3F43"/>
    <w:rsid w:val="007F4342"/>
    <w:rsid w:val="007F4521"/>
    <w:rsid w:val="007F47AA"/>
    <w:rsid w:val="007F4C34"/>
    <w:rsid w:val="007F51A6"/>
    <w:rsid w:val="007F5DBF"/>
    <w:rsid w:val="007F6D0B"/>
    <w:rsid w:val="007F70D7"/>
    <w:rsid w:val="007F7BE9"/>
    <w:rsid w:val="00800A6B"/>
    <w:rsid w:val="00803B32"/>
    <w:rsid w:val="00803BF7"/>
    <w:rsid w:val="00804522"/>
    <w:rsid w:val="0080546C"/>
    <w:rsid w:val="00805556"/>
    <w:rsid w:val="0080658A"/>
    <w:rsid w:val="008066FA"/>
    <w:rsid w:val="00806F89"/>
    <w:rsid w:val="00807F57"/>
    <w:rsid w:val="00810D2F"/>
    <w:rsid w:val="008123B2"/>
    <w:rsid w:val="00813080"/>
    <w:rsid w:val="008135B6"/>
    <w:rsid w:val="00813C91"/>
    <w:rsid w:val="00813F97"/>
    <w:rsid w:val="00815AEF"/>
    <w:rsid w:val="00815D71"/>
    <w:rsid w:val="008161D9"/>
    <w:rsid w:val="008165E6"/>
    <w:rsid w:val="00816E85"/>
    <w:rsid w:val="0081754D"/>
    <w:rsid w:val="008177A4"/>
    <w:rsid w:val="00817CD9"/>
    <w:rsid w:val="00817D6C"/>
    <w:rsid w:val="00817E0C"/>
    <w:rsid w:val="0082018B"/>
    <w:rsid w:val="008209A4"/>
    <w:rsid w:val="00821B1E"/>
    <w:rsid w:val="0082231B"/>
    <w:rsid w:val="008234EC"/>
    <w:rsid w:val="00823866"/>
    <w:rsid w:val="00823ED2"/>
    <w:rsid w:val="00824075"/>
    <w:rsid w:val="008245ED"/>
    <w:rsid w:val="00824F11"/>
    <w:rsid w:val="00825329"/>
    <w:rsid w:val="0082555E"/>
    <w:rsid w:val="00825C63"/>
    <w:rsid w:val="008264B6"/>
    <w:rsid w:val="0082683B"/>
    <w:rsid w:val="00826B0C"/>
    <w:rsid w:val="008272EB"/>
    <w:rsid w:val="008309B5"/>
    <w:rsid w:val="00830A3A"/>
    <w:rsid w:val="0083110F"/>
    <w:rsid w:val="00832DBB"/>
    <w:rsid w:val="00833195"/>
    <w:rsid w:val="00833D7F"/>
    <w:rsid w:val="008344DB"/>
    <w:rsid w:val="008350B2"/>
    <w:rsid w:val="00835227"/>
    <w:rsid w:val="00837527"/>
    <w:rsid w:val="00837B2A"/>
    <w:rsid w:val="00837DA0"/>
    <w:rsid w:val="00840B95"/>
    <w:rsid w:val="00840FE0"/>
    <w:rsid w:val="008416C3"/>
    <w:rsid w:val="00841ECB"/>
    <w:rsid w:val="008422DC"/>
    <w:rsid w:val="008429A1"/>
    <w:rsid w:val="00842A97"/>
    <w:rsid w:val="00844AA9"/>
    <w:rsid w:val="00845608"/>
    <w:rsid w:val="008458FE"/>
    <w:rsid w:val="00846062"/>
    <w:rsid w:val="0084684F"/>
    <w:rsid w:val="0084761D"/>
    <w:rsid w:val="00847C35"/>
    <w:rsid w:val="00850228"/>
    <w:rsid w:val="00850754"/>
    <w:rsid w:val="008518D3"/>
    <w:rsid w:val="008518DE"/>
    <w:rsid w:val="00851E24"/>
    <w:rsid w:val="008526CD"/>
    <w:rsid w:val="008530C7"/>
    <w:rsid w:val="00853844"/>
    <w:rsid w:val="008541F9"/>
    <w:rsid w:val="00854327"/>
    <w:rsid w:val="00855A50"/>
    <w:rsid w:val="00855A5D"/>
    <w:rsid w:val="0085727A"/>
    <w:rsid w:val="008578F6"/>
    <w:rsid w:val="00860A0C"/>
    <w:rsid w:val="00861094"/>
    <w:rsid w:val="008622C2"/>
    <w:rsid w:val="00863E8F"/>
    <w:rsid w:val="00865279"/>
    <w:rsid w:val="008661CE"/>
    <w:rsid w:val="00866D9A"/>
    <w:rsid w:val="008675C4"/>
    <w:rsid w:val="00870FF9"/>
    <w:rsid w:val="0087129E"/>
    <w:rsid w:val="008717DC"/>
    <w:rsid w:val="00871C2A"/>
    <w:rsid w:val="0087325A"/>
    <w:rsid w:val="00873CCA"/>
    <w:rsid w:val="00874F35"/>
    <w:rsid w:val="00875C68"/>
    <w:rsid w:val="00875D20"/>
    <w:rsid w:val="00876176"/>
    <w:rsid w:val="0087711F"/>
    <w:rsid w:val="00877D8C"/>
    <w:rsid w:val="00880372"/>
    <w:rsid w:val="00880474"/>
    <w:rsid w:val="00880CD2"/>
    <w:rsid w:val="008811CF"/>
    <w:rsid w:val="00881B21"/>
    <w:rsid w:val="0088206B"/>
    <w:rsid w:val="0088232A"/>
    <w:rsid w:val="00882F68"/>
    <w:rsid w:val="00883C47"/>
    <w:rsid w:val="00883F4E"/>
    <w:rsid w:val="0088420B"/>
    <w:rsid w:val="00884435"/>
    <w:rsid w:val="008844BA"/>
    <w:rsid w:val="00885629"/>
    <w:rsid w:val="00885FCD"/>
    <w:rsid w:val="00886577"/>
    <w:rsid w:val="00887D8D"/>
    <w:rsid w:val="00887E39"/>
    <w:rsid w:val="00887F02"/>
    <w:rsid w:val="008901C5"/>
    <w:rsid w:val="00890990"/>
    <w:rsid w:val="00890A08"/>
    <w:rsid w:val="00890FDF"/>
    <w:rsid w:val="0089127E"/>
    <w:rsid w:val="0089150D"/>
    <w:rsid w:val="008917CB"/>
    <w:rsid w:val="008919B8"/>
    <w:rsid w:val="00891E83"/>
    <w:rsid w:val="008922C9"/>
    <w:rsid w:val="00893581"/>
    <w:rsid w:val="0089398B"/>
    <w:rsid w:val="00894DE1"/>
    <w:rsid w:val="00895AE5"/>
    <w:rsid w:val="00895AF5"/>
    <w:rsid w:val="00895C53"/>
    <w:rsid w:val="00895EA1"/>
    <w:rsid w:val="008A0074"/>
    <w:rsid w:val="008A0173"/>
    <w:rsid w:val="008A0399"/>
    <w:rsid w:val="008A0452"/>
    <w:rsid w:val="008A09E5"/>
    <w:rsid w:val="008A1819"/>
    <w:rsid w:val="008A26F8"/>
    <w:rsid w:val="008A33F3"/>
    <w:rsid w:val="008A78EE"/>
    <w:rsid w:val="008A7B3D"/>
    <w:rsid w:val="008B03F4"/>
    <w:rsid w:val="008B1424"/>
    <w:rsid w:val="008B1D11"/>
    <w:rsid w:val="008B1D63"/>
    <w:rsid w:val="008B3C80"/>
    <w:rsid w:val="008B3CB5"/>
    <w:rsid w:val="008B4D16"/>
    <w:rsid w:val="008B4EAF"/>
    <w:rsid w:val="008B622D"/>
    <w:rsid w:val="008B6CFC"/>
    <w:rsid w:val="008B7B3C"/>
    <w:rsid w:val="008C02F3"/>
    <w:rsid w:val="008C0548"/>
    <w:rsid w:val="008C068F"/>
    <w:rsid w:val="008C0A71"/>
    <w:rsid w:val="008C1567"/>
    <w:rsid w:val="008C198E"/>
    <w:rsid w:val="008C20DC"/>
    <w:rsid w:val="008C249A"/>
    <w:rsid w:val="008C26E0"/>
    <w:rsid w:val="008C2B91"/>
    <w:rsid w:val="008C45C1"/>
    <w:rsid w:val="008C5AAE"/>
    <w:rsid w:val="008C6177"/>
    <w:rsid w:val="008C63BF"/>
    <w:rsid w:val="008C6AF9"/>
    <w:rsid w:val="008C7217"/>
    <w:rsid w:val="008C7D50"/>
    <w:rsid w:val="008D1F96"/>
    <w:rsid w:val="008D2A86"/>
    <w:rsid w:val="008D2B6A"/>
    <w:rsid w:val="008D331F"/>
    <w:rsid w:val="008D43A7"/>
    <w:rsid w:val="008D4507"/>
    <w:rsid w:val="008D464E"/>
    <w:rsid w:val="008D47BF"/>
    <w:rsid w:val="008D4B6C"/>
    <w:rsid w:val="008D5300"/>
    <w:rsid w:val="008D5F23"/>
    <w:rsid w:val="008D627B"/>
    <w:rsid w:val="008D6463"/>
    <w:rsid w:val="008D6EA8"/>
    <w:rsid w:val="008D7EA2"/>
    <w:rsid w:val="008E1190"/>
    <w:rsid w:val="008E21A5"/>
    <w:rsid w:val="008E223A"/>
    <w:rsid w:val="008E256A"/>
    <w:rsid w:val="008E2B3E"/>
    <w:rsid w:val="008E2FF7"/>
    <w:rsid w:val="008E4114"/>
    <w:rsid w:val="008E5507"/>
    <w:rsid w:val="008E5B93"/>
    <w:rsid w:val="008E5BA0"/>
    <w:rsid w:val="008E66B4"/>
    <w:rsid w:val="008E687B"/>
    <w:rsid w:val="008E6A98"/>
    <w:rsid w:val="008E759C"/>
    <w:rsid w:val="008E7EA5"/>
    <w:rsid w:val="008F04BE"/>
    <w:rsid w:val="008F1AF9"/>
    <w:rsid w:val="008F2453"/>
    <w:rsid w:val="008F299B"/>
    <w:rsid w:val="008F3CCA"/>
    <w:rsid w:val="008F5A96"/>
    <w:rsid w:val="008F5BAE"/>
    <w:rsid w:val="008F5E47"/>
    <w:rsid w:val="008F649E"/>
    <w:rsid w:val="008F715E"/>
    <w:rsid w:val="008F7179"/>
    <w:rsid w:val="008F72C9"/>
    <w:rsid w:val="008F7756"/>
    <w:rsid w:val="00900041"/>
    <w:rsid w:val="00900D8E"/>
    <w:rsid w:val="00900F65"/>
    <w:rsid w:val="00900FD4"/>
    <w:rsid w:val="00901033"/>
    <w:rsid w:val="00903C2A"/>
    <w:rsid w:val="00904522"/>
    <w:rsid w:val="00905D55"/>
    <w:rsid w:val="00905E2D"/>
    <w:rsid w:val="0090729E"/>
    <w:rsid w:val="0090754E"/>
    <w:rsid w:val="009075D6"/>
    <w:rsid w:val="00907D77"/>
    <w:rsid w:val="00907ECC"/>
    <w:rsid w:val="00912409"/>
    <w:rsid w:val="009128D5"/>
    <w:rsid w:val="00913519"/>
    <w:rsid w:val="00913A55"/>
    <w:rsid w:val="00913C86"/>
    <w:rsid w:val="009149B4"/>
    <w:rsid w:val="00914F67"/>
    <w:rsid w:val="00915314"/>
    <w:rsid w:val="00915769"/>
    <w:rsid w:val="00915A53"/>
    <w:rsid w:val="009161DA"/>
    <w:rsid w:val="009161FE"/>
    <w:rsid w:val="00916C11"/>
    <w:rsid w:val="009200DB"/>
    <w:rsid w:val="009217CC"/>
    <w:rsid w:val="00925065"/>
    <w:rsid w:val="00925169"/>
    <w:rsid w:val="0092545C"/>
    <w:rsid w:val="00925DCF"/>
    <w:rsid w:val="00926925"/>
    <w:rsid w:val="00926D42"/>
    <w:rsid w:val="00927470"/>
    <w:rsid w:val="00927585"/>
    <w:rsid w:val="0092795C"/>
    <w:rsid w:val="00930063"/>
    <w:rsid w:val="009308EF"/>
    <w:rsid w:val="00930ED1"/>
    <w:rsid w:val="00931437"/>
    <w:rsid w:val="0093198B"/>
    <w:rsid w:val="00931AEF"/>
    <w:rsid w:val="00931EC3"/>
    <w:rsid w:val="00932C21"/>
    <w:rsid w:val="009336DB"/>
    <w:rsid w:val="009348BC"/>
    <w:rsid w:val="0093536A"/>
    <w:rsid w:val="00936164"/>
    <w:rsid w:val="00937CE3"/>
    <w:rsid w:val="00937F02"/>
    <w:rsid w:val="0094341C"/>
    <w:rsid w:val="009441EA"/>
    <w:rsid w:val="00944823"/>
    <w:rsid w:val="00944DD5"/>
    <w:rsid w:val="0094657F"/>
    <w:rsid w:val="0094750D"/>
    <w:rsid w:val="009502E7"/>
    <w:rsid w:val="0095184E"/>
    <w:rsid w:val="0095199B"/>
    <w:rsid w:val="00951DB6"/>
    <w:rsid w:val="0095201F"/>
    <w:rsid w:val="00953241"/>
    <w:rsid w:val="00953669"/>
    <w:rsid w:val="00953F09"/>
    <w:rsid w:val="00954356"/>
    <w:rsid w:val="00954463"/>
    <w:rsid w:val="009544BB"/>
    <w:rsid w:val="0095536D"/>
    <w:rsid w:val="00955984"/>
    <w:rsid w:val="00956CD9"/>
    <w:rsid w:val="00956CE8"/>
    <w:rsid w:val="00956D80"/>
    <w:rsid w:val="00960650"/>
    <w:rsid w:val="0096109D"/>
    <w:rsid w:val="00961D6B"/>
    <w:rsid w:val="009623E4"/>
    <w:rsid w:val="00962898"/>
    <w:rsid w:val="00963850"/>
    <w:rsid w:val="00963F55"/>
    <w:rsid w:val="00964EE5"/>
    <w:rsid w:val="0096517A"/>
    <w:rsid w:val="009658D8"/>
    <w:rsid w:val="009661B6"/>
    <w:rsid w:val="009704C0"/>
    <w:rsid w:val="00970FB6"/>
    <w:rsid w:val="00971DB7"/>
    <w:rsid w:val="009721D4"/>
    <w:rsid w:val="00972936"/>
    <w:rsid w:val="00972C73"/>
    <w:rsid w:val="00972ED9"/>
    <w:rsid w:val="00972FFA"/>
    <w:rsid w:val="00973AC6"/>
    <w:rsid w:val="0097454B"/>
    <w:rsid w:val="0097480A"/>
    <w:rsid w:val="00974A0D"/>
    <w:rsid w:val="00974A94"/>
    <w:rsid w:val="00975162"/>
    <w:rsid w:val="009751F2"/>
    <w:rsid w:val="009756C3"/>
    <w:rsid w:val="00976A7D"/>
    <w:rsid w:val="00976B30"/>
    <w:rsid w:val="00976E86"/>
    <w:rsid w:val="009772A9"/>
    <w:rsid w:val="00977B4C"/>
    <w:rsid w:val="00977D0F"/>
    <w:rsid w:val="0098010B"/>
    <w:rsid w:val="009804F9"/>
    <w:rsid w:val="00982071"/>
    <w:rsid w:val="00982535"/>
    <w:rsid w:val="00983D34"/>
    <w:rsid w:val="009848C3"/>
    <w:rsid w:val="009849AD"/>
    <w:rsid w:val="00984B9F"/>
    <w:rsid w:val="00984FB3"/>
    <w:rsid w:val="0098527E"/>
    <w:rsid w:val="00985FF1"/>
    <w:rsid w:val="0098642D"/>
    <w:rsid w:val="009865A7"/>
    <w:rsid w:val="0098707A"/>
    <w:rsid w:val="0099033E"/>
    <w:rsid w:val="009928E3"/>
    <w:rsid w:val="00992C11"/>
    <w:rsid w:val="00993A46"/>
    <w:rsid w:val="00994060"/>
    <w:rsid w:val="0099480B"/>
    <w:rsid w:val="00994F8D"/>
    <w:rsid w:val="009955A1"/>
    <w:rsid w:val="00996576"/>
    <w:rsid w:val="009A0004"/>
    <w:rsid w:val="009A03E2"/>
    <w:rsid w:val="009A2F3B"/>
    <w:rsid w:val="009A3C6F"/>
    <w:rsid w:val="009A4276"/>
    <w:rsid w:val="009A4641"/>
    <w:rsid w:val="009A4A8B"/>
    <w:rsid w:val="009A521B"/>
    <w:rsid w:val="009A7DDE"/>
    <w:rsid w:val="009B002B"/>
    <w:rsid w:val="009B0944"/>
    <w:rsid w:val="009B1CFB"/>
    <w:rsid w:val="009B2F17"/>
    <w:rsid w:val="009B4262"/>
    <w:rsid w:val="009B4490"/>
    <w:rsid w:val="009B4953"/>
    <w:rsid w:val="009B499C"/>
    <w:rsid w:val="009B62D1"/>
    <w:rsid w:val="009B6668"/>
    <w:rsid w:val="009B66D8"/>
    <w:rsid w:val="009B6D7E"/>
    <w:rsid w:val="009B78E9"/>
    <w:rsid w:val="009B7D59"/>
    <w:rsid w:val="009C01C9"/>
    <w:rsid w:val="009C08E6"/>
    <w:rsid w:val="009C0FE0"/>
    <w:rsid w:val="009C1045"/>
    <w:rsid w:val="009C158D"/>
    <w:rsid w:val="009C16B5"/>
    <w:rsid w:val="009C1BB4"/>
    <w:rsid w:val="009C1F8B"/>
    <w:rsid w:val="009C222F"/>
    <w:rsid w:val="009C2F09"/>
    <w:rsid w:val="009C3786"/>
    <w:rsid w:val="009C3D86"/>
    <w:rsid w:val="009C4BEA"/>
    <w:rsid w:val="009C5000"/>
    <w:rsid w:val="009C56CF"/>
    <w:rsid w:val="009C5781"/>
    <w:rsid w:val="009C5A48"/>
    <w:rsid w:val="009C6443"/>
    <w:rsid w:val="009C6766"/>
    <w:rsid w:val="009C6E3D"/>
    <w:rsid w:val="009C722E"/>
    <w:rsid w:val="009D02FB"/>
    <w:rsid w:val="009D1042"/>
    <w:rsid w:val="009D1BB1"/>
    <w:rsid w:val="009D3036"/>
    <w:rsid w:val="009D37D1"/>
    <w:rsid w:val="009D425F"/>
    <w:rsid w:val="009D4EDB"/>
    <w:rsid w:val="009D55DD"/>
    <w:rsid w:val="009D5833"/>
    <w:rsid w:val="009D5AAB"/>
    <w:rsid w:val="009D5E53"/>
    <w:rsid w:val="009D692F"/>
    <w:rsid w:val="009E046E"/>
    <w:rsid w:val="009E062E"/>
    <w:rsid w:val="009E06C9"/>
    <w:rsid w:val="009E1803"/>
    <w:rsid w:val="009E1C64"/>
    <w:rsid w:val="009E2541"/>
    <w:rsid w:val="009E2DE6"/>
    <w:rsid w:val="009E575D"/>
    <w:rsid w:val="009E768C"/>
    <w:rsid w:val="009E7D43"/>
    <w:rsid w:val="009E7ED1"/>
    <w:rsid w:val="009F000A"/>
    <w:rsid w:val="009F0123"/>
    <w:rsid w:val="009F12AF"/>
    <w:rsid w:val="009F137B"/>
    <w:rsid w:val="009F3D9B"/>
    <w:rsid w:val="009F4412"/>
    <w:rsid w:val="009F5011"/>
    <w:rsid w:val="009F5ED2"/>
    <w:rsid w:val="009F7D31"/>
    <w:rsid w:val="009F7E5D"/>
    <w:rsid w:val="00A002A7"/>
    <w:rsid w:val="00A0119C"/>
    <w:rsid w:val="00A0138E"/>
    <w:rsid w:val="00A01502"/>
    <w:rsid w:val="00A01854"/>
    <w:rsid w:val="00A01CA9"/>
    <w:rsid w:val="00A026B5"/>
    <w:rsid w:val="00A02751"/>
    <w:rsid w:val="00A034B5"/>
    <w:rsid w:val="00A0490E"/>
    <w:rsid w:val="00A04DCF"/>
    <w:rsid w:val="00A050F0"/>
    <w:rsid w:val="00A0582A"/>
    <w:rsid w:val="00A059AA"/>
    <w:rsid w:val="00A05FD8"/>
    <w:rsid w:val="00A06C88"/>
    <w:rsid w:val="00A06FFA"/>
    <w:rsid w:val="00A075AC"/>
    <w:rsid w:val="00A076F1"/>
    <w:rsid w:val="00A07D3C"/>
    <w:rsid w:val="00A10CA8"/>
    <w:rsid w:val="00A110A1"/>
    <w:rsid w:val="00A11863"/>
    <w:rsid w:val="00A11B03"/>
    <w:rsid w:val="00A11EEF"/>
    <w:rsid w:val="00A120E4"/>
    <w:rsid w:val="00A12720"/>
    <w:rsid w:val="00A12E23"/>
    <w:rsid w:val="00A13BDF"/>
    <w:rsid w:val="00A14EC7"/>
    <w:rsid w:val="00A15181"/>
    <w:rsid w:val="00A17869"/>
    <w:rsid w:val="00A20224"/>
    <w:rsid w:val="00A202A7"/>
    <w:rsid w:val="00A2090F"/>
    <w:rsid w:val="00A21963"/>
    <w:rsid w:val="00A21A77"/>
    <w:rsid w:val="00A21DAE"/>
    <w:rsid w:val="00A220E9"/>
    <w:rsid w:val="00A2353D"/>
    <w:rsid w:val="00A237F3"/>
    <w:rsid w:val="00A24AD9"/>
    <w:rsid w:val="00A256BE"/>
    <w:rsid w:val="00A256D7"/>
    <w:rsid w:val="00A2583A"/>
    <w:rsid w:val="00A25856"/>
    <w:rsid w:val="00A25AFC"/>
    <w:rsid w:val="00A2619F"/>
    <w:rsid w:val="00A26ED9"/>
    <w:rsid w:val="00A2716D"/>
    <w:rsid w:val="00A27BDC"/>
    <w:rsid w:val="00A27D42"/>
    <w:rsid w:val="00A3072C"/>
    <w:rsid w:val="00A308FC"/>
    <w:rsid w:val="00A30BF8"/>
    <w:rsid w:val="00A310B2"/>
    <w:rsid w:val="00A314DF"/>
    <w:rsid w:val="00A3182F"/>
    <w:rsid w:val="00A31919"/>
    <w:rsid w:val="00A3372C"/>
    <w:rsid w:val="00A3451F"/>
    <w:rsid w:val="00A35152"/>
    <w:rsid w:val="00A353B7"/>
    <w:rsid w:val="00A3590E"/>
    <w:rsid w:val="00A36777"/>
    <w:rsid w:val="00A36EF1"/>
    <w:rsid w:val="00A375E4"/>
    <w:rsid w:val="00A4012A"/>
    <w:rsid w:val="00A41703"/>
    <w:rsid w:val="00A41793"/>
    <w:rsid w:val="00A417EF"/>
    <w:rsid w:val="00A42205"/>
    <w:rsid w:val="00A43C8C"/>
    <w:rsid w:val="00A4525F"/>
    <w:rsid w:val="00A45315"/>
    <w:rsid w:val="00A454A9"/>
    <w:rsid w:val="00A45A06"/>
    <w:rsid w:val="00A46119"/>
    <w:rsid w:val="00A464AE"/>
    <w:rsid w:val="00A468FC"/>
    <w:rsid w:val="00A473A7"/>
    <w:rsid w:val="00A47748"/>
    <w:rsid w:val="00A47935"/>
    <w:rsid w:val="00A506A5"/>
    <w:rsid w:val="00A50995"/>
    <w:rsid w:val="00A50E1C"/>
    <w:rsid w:val="00A517E5"/>
    <w:rsid w:val="00A524FE"/>
    <w:rsid w:val="00A52546"/>
    <w:rsid w:val="00A5263D"/>
    <w:rsid w:val="00A52A1A"/>
    <w:rsid w:val="00A52FFD"/>
    <w:rsid w:val="00A53A38"/>
    <w:rsid w:val="00A54257"/>
    <w:rsid w:val="00A54457"/>
    <w:rsid w:val="00A54E98"/>
    <w:rsid w:val="00A55756"/>
    <w:rsid w:val="00A5689C"/>
    <w:rsid w:val="00A569A3"/>
    <w:rsid w:val="00A573EB"/>
    <w:rsid w:val="00A608F3"/>
    <w:rsid w:val="00A6330D"/>
    <w:rsid w:val="00A636A3"/>
    <w:rsid w:val="00A64E95"/>
    <w:rsid w:val="00A64EF3"/>
    <w:rsid w:val="00A663E3"/>
    <w:rsid w:val="00A666AB"/>
    <w:rsid w:val="00A66B45"/>
    <w:rsid w:val="00A71788"/>
    <w:rsid w:val="00A719A4"/>
    <w:rsid w:val="00A7290E"/>
    <w:rsid w:val="00A73105"/>
    <w:rsid w:val="00A7460A"/>
    <w:rsid w:val="00A7475D"/>
    <w:rsid w:val="00A74E83"/>
    <w:rsid w:val="00A7505C"/>
    <w:rsid w:val="00A75370"/>
    <w:rsid w:val="00A80279"/>
    <w:rsid w:val="00A805B0"/>
    <w:rsid w:val="00A80AEA"/>
    <w:rsid w:val="00A80EFF"/>
    <w:rsid w:val="00A81335"/>
    <w:rsid w:val="00A81A2A"/>
    <w:rsid w:val="00A8212E"/>
    <w:rsid w:val="00A8223A"/>
    <w:rsid w:val="00A823F3"/>
    <w:rsid w:val="00A82A21"/>
    <w:rsid w:val="00A83900"/>
    <w:rsid w:val="00A84953"/>
    <w:rsid w:val="00A849C5"/>
    <w:rsid w:val="00A84FCC"/>
    <w:rsid w:val="00A85561"/>
    <w:rsid w:val="00A85727"/>
    <w:rsid w:val="00A87171"/>
    <w:rsid w:val="00A87872"/>
    <w:rsid w:val="00A87B3D"/>
    <w:rsid w:val="00A901C5"/>
    <w:rsid w:val="00A9060C"/>
    <w:rsid w:val="00A923BC"/>
    <w:rsid w:val="00A92610"/>
    <w:rsid w:val="00A9364D"/>
    <w:rsid w:val="00A944CB"/>
    <w:rsid w:val="00A9501D"/>
    <w:rsid w:val="00A954DF"/>
    <w:rsid w:val="00A969AB"/>
    <w:rsid w:val="00A96E54"/>
    <w:rsid w:val="00A97235"/>
    <w:rsid w:val="00AA0AE2"/>
    <w:rsid w:val="00AA1AF8"/>
    <w:rsid w:val="00AA2504"/>
    <w:rsid w:val="00AA2A4A"/>
    <w:rsid w:val="00AA2C14"/>
    <w:rsid w:val="00AA3AE1"/>
    <w:rsid w:val="00AA3CE1"/>
    <w:rsid w:val="00AA4826"/>
    <w:rsid w:val="00AA4B4F"/>
    <w:rsid w:val="00AA54E0"/>
    <w:rsid w:val="00AA5DE2"/>
    <w:rsid w:val="00AA5FB1"/>
    <w:rsid w:val="00AA6C3B"/>
    <w:rsid w:val="00AA6E47"/>
    <w:rsid w:val="00AA7C6B"/>
    <w:rsid w:val="00AA7FC3"/>
    <w:rsid w:val="00AB08CE"/>
    <w:rsid w:val="00AB1909"/>
    <w:rsid w:val="00AB1B3C"/>
    <w:rsid w:val="00AB58A2"/>
    <w:rsid w:val="00AB67B7"/>
    <w:rsid w:val="00AB70F4"/>
    <w:rsid w:val="00AC0BA4"/>
    <w:rsid w:val="00AC2C46"/>
    <w:rsid w:val="00AC2F44"/>
    <w:rsid w:val="00AC3050"/>
    <w:rsid w:val="00AC3295"/>
    <w:rsid w:val="00AC34A7"/>
    <w:rsid w:val="00AC462F"/>
    <w:rsid w:val="00AC4C55"/>
    <w:rsid w:val="00AC51F7"/>
    <w:rsid w:val="00AC65D7"/>
    <w:rsid w:val="00AC675E"/>
    <w:rsid w:val="00AC6B07"/>
    <w:rsid w:val="00AC7017"/>
    <w:rsid w:val="00AC72F6"/>
    <w:rsid w:val="00AD11B7"/>
    <w:rsid w:val="00AD1CDE"/>
    <w:rsid w:val="00AD3B26"/>
    <w:rsid w:val="00AD4E53"/>
    <w:rsid w:val="00AD565F"/>
    <w:rsid w:val="00AD5F10"/>
    <w:rsid w:val="00AD6055"/>
    <w:rsid w:val="00AD619C"/>
    <w:rsid w:val="00AD699A"/>
    <w:rsid w:val="00AE00A8"/>
    <w:rsid w:val="00AE373C"/>
    <w:rsid w:val="00AE3DDD"/>
    <w:rsid w:val="00AE400C"/>
    <w:rsid w:val="00AE4E29"/>
    <w:rsid w:val="00AE4E93"/>
    <w:rsid w:val="00AE50DF"/>
    <w:rsid w:val="00AE5228"/>
    <w:rsid w:val="00AE5703"/>
    <w:rsid w:val="00AE5FA2"/>
    <w:rsid w:val="00AE62E6"/>
    <w:rsid w:val="00AE714F"/>
    <w:rsid w:val="00AF0574"/>
    <w:rsid w:val="00AF0822"/>
    <w:rsid w:val="00AF1448"/>
    <w:rsid w:val="00AF1EC3"/>
    <w:rsid w:val="00AF2A2C"/>
    <w:rsid w:val="00AF4026"/>
    <w:rsid w:val="00AF430B"/>
    <w:rsid w:val="00AF4559"/>
    <w:rsid w:val="00AF47C0"/>
    <w:rsid w:val="00AF5187"/>
    <w:rsid w:val="00AF61B3"/>
    <w:rsid w:val="00AF633F"/>
    <w:rsid w:val="00AF6D2C"/>
    <w:rsid w:val="00B0159D"/>
    <w:rsid w:val="00B0257C"/>
    <w:rsid w:val="00B02D70"/>
    <w:rsid w:val="00B04313"/>
    <w:rsid w:val="00B04C1B"/>
    <w:rsid w:val="00B050FF"/>
    <w:rsid w:val="00B0515B"/>
    <w:rsid w:val="00B05958"/>
    <w:rsid w:val="00B05B08"/>
    <w:rsid w:val="00B065C7"/>
    <w:rsid w:val="00B06698"/>
    <w:rsid w:val="00B07540"/>
    <w:rsid w:val="00B11690"/>
    <w:rsid w:val="00B11C7A"/>
    <w:rsid w:val="00B11CFF"/>
    <w:rsid w:val="00B12145"/>
    <w:rsid w:val="00B124C4"/>
    <w:rsid w:val="00B12A18"/>
    <w:rsid w:val="00B12B94"/>
    <w:rsid w:val="00B12F04"/>
    <w:rsid w:val="00B1336E"/>
    <w:rsid w:val="00B139C1"/>
    <w:rsid w:val="00B14167"/>
    <w:rsid w:val="00B1527D"/>
    <w:rsid w:val="00B16715"/>
    <w:rsid w:val="00B17264"/>
    <w:rsid w:val="00B17337"/>
    <w:rsid w:val="00B17545"/>
    <w:rsid w:val="00B21129"/>
    <w:rsid w:val="00B218BD"/>
    <w:rsid w:val="00B22C0F"/>
    <w:rsid w:val="00B23F1F"/>
    <w:rsid w:val="00B2433B"/>
    <w:rsid w:val="00B25072"/>
    <w:rsid w:val="00B25941"/>
    <w:rsid w:val="00B25C7F"/>
    <w:rsid w:val="00B26404"/>
    <w:rsid w:val="00B26C74"/>
    <w:rsid w:val="00B26D44"/>
    <w:rsid w:val="00B27122"/>
    <w:rsid w:val="00B2763B"/>
    <w:rsid w:val="00B308B6"/>
    <w:rsid w:val="00B30BFA"/>
    <w:rsid w:val="00B30DB4"/>
    <w:rsid w:val="00B30EE5"/>
    <w:rsid w:val="00B31F00"/>
    <w:rsid w:val="00B33803"/>
    <w:rsid w:val="00B342C9"/>
    <w:rsid w:val="00B34748"/>
    <w:rsid w:val="00B34A24"/>
    <w:rsid w:val="00B34CE8"/>
    <w:rsid w:val="00B36ABD"/>
    <w:rsid w:val="00B36E23"/>
    <w:rsid w:val="00B406B4"/>
    <w:rsid w:val="00B4147F"/>
    <w:rsid w:val="00B41BD4"/>
    <w:rsid w:val="00B41EBA"/>
    <w:rsid w:val="00B424C6"/>
    <w:rsid w:val="00B42E54"/>
    <w:rsid w:val="00B42F82"/>
    <w:rsid w:val="00B44599"/>
    <w:rsid w:val="00B4504C"/>
    <w:rsid w:val="00B46839"/>
    <w:rsid w:val="00B46976"/>
    <w:rsid w:val="00B47FB0"/>
    <w:rsid w:val="00B50486"/>
    <w:rsid w:val="00B5051B"/>
    <w:rsid w:val="00B50E0A"/>
    <w:rsid w:val="00B50F1F"/>
    <w:rsid w:val="00B51413"/>
    <w:rsid w:val="00B51F15"/>
    <w:rsid w:val="00B51F79"/>
    <w:rsid w:val="00B524F2"/>
    <w:rsid w:val="00B52800"/>
    <w:rsid w:val="00B52A04"/>
    <w:rsid w:val="00B52C29"/>
    <w:rsid w:val="00B5520B"/>
    <w:rsid w:val="00B57874"/>
    <w:rsid w:val="00B6004F"/>
    <w:rsid w:val="00B60C25"/>
    <w:rsid w:val="00B624A5"/>
    <w:rsid w:val="00B62E92"/>
    <w:rsid w:val="00B632BE"/>
    <w:rsid w:val="00B632E2"/>
    <w:rsid w:val="00B64407"/>
    <w:rsid w:val="00B64588"/>
    <w:rsid w:val="00B65004"/>
    <w:rsid w:val="00B65D92"/>
    <w:rsid w:val="00B66BB3"/>
    <w:rsid w:val="00B66E0B"/>
    <w:rsid w:val="00B67AD9"/>
    <w:rsid w:val="00B67F02"/>
    <w:rsid w:val="00B7010A"/>
    <w:rsid w:val="00B70B38"/>
    <w:rsid w:val="00B7170F"/>
    <w:rsid w:val="00B7171A"/>
    <w:rsid w:val="00B7210B"/>
    <w:rsid w:val="00B73017"/>
    <w:rsid w:val="00B7317D"/>
    <w:rsid w:val="00B73847"/>
    <w:rsid w:val="00B73D2C"/>
    <w:rsid w:val="00B74252"/>
    <w:rsid w:val="00B7459B"/>
    <w:rsid w:val="00B7538C"/>
    <w:rsid w:val="00B76248"/>
    <w:rsid w:val="00B77749"/>
    <w:rsid w:val="00B7790C"/>
    <w:rsid w:val="00B77E81"/>
    <w:rsid w:val="00B807EF"/>
    <w:rsid w:val="00B80A9F"/>
    <w:rsid w:val="00B80C5A"/>
    <w:rsid w:val="00B80F67"/>
    <w:rsid w:val="00B811DA"/>
    <w:rsid w:val="00B825B3"/>
    <w:rsid w:val="00B832F2"/>
    <w:rsid w:val="00B8386A"/>
    <w:rsid w:val="00B83CB0"/>
    <w:rsid w:val="00B83E6B"/>
    <w:rsid w:val="00B83FD4"/>
    <w:rsid w:val="00B84D86"/>
    <w:rsid w:val="00B857FB"/>
    <w:rsid w:val="00B859DE"/>
    <w:rsid w:val="00B8618E"/>
    <w:rsid w:val="00B86BB5"/>
    <w:rsid w:val="00B871B4"/>
    <w:rsid w:val="00B87793"/>
    <w:rsid w:val="00B90450"/>
    <w:rsid w:val="00B906B7"/>
    <w:rsid w:val="00B915FC"/>
    <w:rsid w:val="00B92737"/>
    <w:rsid w:val="00B9307E"/>
    <w:rsid w:val="00B935D8"/>
    <w:rsid w:val="00B9451C"/>
    <w:rsid w:val="00B94E52"/>
    <w:rsid w:val="00B95FB6"/>
    <w:rsid w:val="00B96CEB"/>
    <w:rsid w:val="00B96F1C"/>
    <w:rsid w:val="00B96F1F"/>
    <w:rsid w:val="00B970CE"/>
    <w:rsid w:val="00B9737C"/>
    <w:rsid w:val="00B97A34"/>
    <w:rsid w:val="00BA07DB"/>
    <w:rsid w:val="00BA0EC6"/>
    <w:rsid w:val="00BA1B64"/>
    <w:rsid w:val="00BA20E4"/>
    <w:rsid w:val="00BA2306"/>
    <w:rsid w:val="00BA33AC"/>
    <w:rsid w:val="00BA3497"/>
    <w:rsid w:val="00BA4E8D"/>
    <w:rsid w:val="00BA4FEA"/>
    <w:rsid w:val="00BA5CE6"/>
    <w:rsid w:val="00BA624A"/>
    <w:rsid w:val="00BA6ACA"/>
    <w:rsid w:val="00BB0A42"/>
    <w:rsid w:val="00BB1FE6"/>
    <w:rsid w:val="00BB25F8"/>
    <w:rsid w:val="00BB31A0"/>
    <w:rsid w:val="00BB4A25"/>
    <w:rsid w:val="00BB57CA"/>
    <w:rsid w:val="00BB75B7"/>
    <w:rsid w:val="00BB797C"/>
    <w:rsid w:val="00BC125F"/>
    <w:rsid w:val="00BC17BD"/>
    <w:rsid w:val="00BC2E1C"/>
    <w:rsid w:val="00BC2F67"/>
    <w:rsid w:val="00BC3790"/>
    <w:rsid w:val="00BC380C"/>
    <w:rsid w:val="00BC4002"/>
    <w:rsid w:val="00BC4109"/>
    <w:rsid w:val="00BC4627"/>
    <w:rsid w:val="00BC49DF"/>
    <w:rsid w:val="00BC4E78"/>
    <w:rsid w:val="00BC5257"/>
    <w:rsid w:val="00BC71FB"/>
    <w:rsid w:val="00BC7DDD"/>
    <w:rsid w:val="00BC7F28"/>
    <w:rsid w:val="00BD13D4"/>
    <w:rsid w:val="00BD224C"/>
    <w:rsid w:val="00BD2B6F"/>
    <w:rsid w:val="00BD3169"/>
    <w:rsid w:val="00BD3AED"/>
    <w:rsid w:val="00BD4144"/>
    <w:rsid w:val="00BD77C8"/>
    <w:rsid w:val="00BD7879"/>
    <w:rsid w:val="00BD7A88"/>
    <w:rsid w:val="00BD7DAB"/>
    <w:rsid w:val="00BE02EE"/>
    <w:rsid w:val="00BE0429"/>
    <w:rsid w:val="00BE0478"/>
    <w:rsid w:val="00BE0DD5"/>
    <w:rsid w:val="00BE1B9F"/>
    <w:rsid w:val="00BE1F47"/>
    <w:rsid w:val="00BE2B2B"/>
    <w:rsid w:val="00BE2BFA"/>
    <w:rsid w:val="00BE2CAC"/>
    <w:rsid w:val="00BE317B"/>
    <w:rsid w:val="00BE40AC"/>
    <w:rsid w:val="00BE433F"/>
    <w:rsid w:val="00BE46EF"/>
    <w:rsid w:val="00BE532C"/>
    <w:rsid w:val="00BE630D"/>
    <w:rsid w:val="00BE6AB5"/>
    <w:rsid w:val="00BE6AFA"/>
    <w:rsid w:val="00BE734C"/>
    <w:rsid w:val="00BE7363"/>
    <w:rsid w:val="00BF0D49"/>
    <w:rsid w:val="00BF10CA"/>
    <w:rsid w:val="00BF1BD5"/>
    <w:rsid w:val="00BF1E30"/>
    <w:rsid w:val="00BF1FB2"/>
    <w:rsid w:val="00BF259F"/>
    <w:rsid w:val="00BF3DAD"/>
    <w:rsid w:val="00BF5268"/>
    <w:rsid w:val="00BF541B"/>
    <w:rsid w:val="00BF5F7F"/>
    <w:rsid w:val="00BF627A"/>
    <w:rsid w:val="00BF670B"/>
    <w:rsid w:val="00BF69D3"/>
    <w:rsid w:val="00BF6ABB"/>
    <w:rsid w:val="00C0050B"/>
    <w:rsid w:val="00C00989"/>
    <w:rsid w:val="00C01395"/>
    <w:rsid w:val="00C016C2"/>
    <w:rsid w:val="00C0359C"/>
    <w:rsid w:val="00C03874"/>
    <w:rsid w:val="00C04885"/>
    <w:rsid w:val="00C04F36"/>
    <w:rsid w:val="00C051FF"/>
    <w:rsid w:val="00C066D2"/>
    <w:rsid w:val="00C0713A"/>
    <w:rsid w:val="00C07895"/>
    <w:rsid w:val="00C07EEF"/>
    <w:rsid w:val="00C109D0"/>
    <w:rsid w:val="00C1179A"/>
    <w:rsid w:val="00C13BC8"/>
    <w:rsid w:val="00C144D4"/>
    <w:rsid w:val="00C164BA"/>
    <w:rsid w:val="00C1667B"/>
    <w:rsid w:val="00C1727E"/>
    <w:rsid w:val="00C172D8"/>
    <w:rsid w:val="00C20136"/>
    <w:rsid w:val="00C2045C"/>
    <w:rsid w:val="00C21519"/>
    <w:rsid w:val="00C22823"/>
    <w:rsid w:val="00C22F05"/>
    <w:rsid w:val="00C23B82"/>
    <w:rsid w:val="00C24207"/>
    <w:rsid w:val="00C2490A"/>
    <w:rsid w:val="00C26116"/>
    <w:rsid w:val="00C3011A"/>
    <w:rsid w:val="00C30BB8"/>
    <w:rsid w:val="00C31ABD"/>
    <w:rsid w:val="00C3297C"/>
    <w:rsid w:val="00C3303B"/>
    <w:rsid w:val="00C34089"/>
    <w:rsid w:val="00C348B4"/>
    <w:rsid w:val="00C34B05"/>
    <w:rsid w:val="00C34DDF"/>
    <w:rsid w:val="00C350CA"/>
    <w:rsid w:val="00C35DD1"/>
    <w:rsid w:val="00C373D6"/>
    <w:rsid w:val="00C40265"/>
    <w:rsid w:val="00C41DDB"/>
    <w:rsid w:val="00C44786"/>
    <w:rsid w:val="00C45006"/>
    <w:rsid w:val="00C46A6E"/>
    <w:rsid w:val="00C50735"/>
    <w:rsid w:val="00C52872"/>
    <w:rsid w:val="00C5365C"/>
    <w:rsid w:val="00C54351"/>
    <w:rsid w:val="00C55021"/>
    <w:rsid w:val="00C56AAD"/>
    <w:rsid w:val="00C602C2"/>
    <w:rsid w:val="00C60A87"/>
    <w:rsid w:val="00C616FA"/>
    <w:rsid w:val="00C6207B"/>
    <w:rsid w:val="00C620E7"/>
    <w:rsid w:val="00C62457"/>
    <w:rsid w:val="00C6266B"/>
    <w:rsid w:val="00C62F71"/>
    <w:rsid w:val="00C63CA7"/>
    <w:rsid w:val="00C64254"/>
    <w:rsid w:val="00C64514"/>
    <w:rsid w:val="00C65114"/>
    <w:rsid w:val="00C6548F"/>
    <w:rsid w:val="00C6558D"/>
    <w:rsid w:val="00C65A63"/>
    <w:rsid w:val="00C65E9F"/>
    <w:rsid w:val="00C66F78"/>
    <w:rsid w:val="00C67B55"/>
    <w:rsid w:val="00C70F89"/>
    <w:rsid w:val="00C71248"/>
    <w:rsid w:val="00C7228C"/>
    <w:rsid w:val="00C72C0A"/>
    <w:rsid w:val="00C72D08"/>
    <w:rsid w:val="00C740ED"/>
    <w:rsid w:val="00C74984"/>
    <w:rsid w:val="00C74BF2"/>
    <w:rsid w:val="00C74C14"/>
    <w:rsid w:val="00C771EF"/>
    <w:rsid w:val="00C772F6"/>
    <w:rsid w:val="00C77EF5"/>
    <w:rsid w:val="00C80FAC"/>
    <w:rsid w:val="00C8150F"/>
    <w:rsid w:val="00C82827"/>
    <w:rsid w:val="00C8379C"/>
    <w:rsid w:val="00C83BC0"/>
    <w:rsid w:val="00C83D74"/>
    <w:rsid w:val="00C84A2B"/>
    <w:rsid w:val="00C84BCD"/>
    <w:rsid w:val="00C8517A"/>
    <w:rsid w:val="00C857EB"/>
    <w:rsid w:val="00C85EA9"/>
    <w:rsid w:val="00C86A81"/>
    <w:rsid w:val="00C872EB"/>
    <w:rsid w:val="00C87696"/>
    <w:rsid w:val="00C90089"/>
    <w:rsid w:val="00C90346"/>
    <w:rsid w:val="00C90922"/>
    <w:rsid w:val="00C9094A"/>
    <w:rsid w:val="00C90B24"/>
    <w:rsid w:val="00C91187"/>
    <w:rsid w:val="00C944BE"/>
    <w:rsid w:val="00C9465A"/>
    <w:rsid w:val="00C954AF"/>
    <w:rsid w:val="00C95FF2"/>
    <w:rsid w:val="00C962A9"/>
    <w:rsid w:val="00C96AEB"/>
    <w:rsid w:val="00C97257"/>
    <w:rsid w:val="00C973D3"/>
    <w:rsid w:val="00C973DF"/>
    <w:rsid w:val="00C97D6F"/>
    <w:rsid w:val="00CA2546"/>
    <w:rsid w:val="00CA5722"/>
    <w:rsid w:val="00CA715E"/>
    <w:rsid w:val="00CB1A0A"/>
    <w:rsid w:val="00CB1E11"/>
    <w:rsid w:val="00CB1F76"/>
    <w:rsid w:val="00CB2435"/>
    <w:rsid w:val="00CB2755"/>
    <w:rsid w:val="00CB41AE"/>
    <w:rsid w:val="00CB4842"/>
    <w:rsid w:val="00CB5623"/>
    <w:rsid w:val="00CB67DF"/>
    <w:rsid w:val="00CB7837"/>
    <w:rsid w:val="00CC0033"/>
    <w:rsid w:val="00CC2094"/>
    <w:rsid w:val="00CC2A88"/>
    <w:rsid w:val="00CC327A"/>
    <w:rsid w:val="00CC3641"/>
    <w:rsid w:val="00CC37E2"/>
    <w:rsid w:val="00CC4C76"/>
    <w:rsid w:val="00CC5940"/>
    <w:rsid w:val="00CC5BF0"/>
    <w:rsid w:val="00CC705D"/>
    <w:rsid w:val="00CD037E"/>
    <w:rsid w:val="00CD0936"/>
    <w:rsid w:val="00CD0B98"/>
    <w:rsid w:val="00CD1CB4"/>
    <w:rsid w:val="00CD2B92"/>
    <w:rsid w:val="00CD380B"/>
    <w:rsid w:val="00CD3D3F"/>
    <w:rsid w:val="00CD410A"/>
    <w:rsid w:val="00CD575A"/>
    <w:rsid w:val="00CD5EE4"/>
    <w:rsid w:val="00CE0072"/>
    <w:rsid w:val="00CE02D0"/>
    <w:rsid w:val="00CE0490"/>
    <w:rsid w:val="00CE1533"/>
    <w:rsid w:val="00CE1D39"/>
    <w:rsid w:val="00CE24DC"/>
    <w:rsid w:val="00CE275E"/>
    <w:rsid w:val="00CE3BC6"/>
    <w:rsid w:val="00CE44AD"/>
    <w:rsid w:val="00CE44D1"/>
    <w:rsid w:val="00CE46A5"/>
    <w:rsid w:val="00CE4A76"/>
    <w:rsid w:val="00CE4DEF"/>
    <w:rsid w:val="00CE4F7E"/>
    <w:rsid w:val="00CE5BED"/>
    <w:rsid w:val="00CE6448"/>
    <w:rsid w:val="00CE6B7B"/>
    <w:rsid w:val="00CE6BB4"/>
    <w:rsid w:val="00CE6DAC"/>
    <w:rsid w:val="00CE726B"/>
    <w:rsid w:val="00CF0FDD"/>
    <w:rsid w:val="00CF4179"/>
    <w:rsid w:val="00CF46B1"/>
    <w:rsid w:val="00CF4AFE"/>
    <w:rsid w:val="00CF4B0C"/>
    <w:rsid w:val="00CF525E"/>
    <w:rsid w:val="00CF52A5"/>
    <w:rsid w:val="00CF5AC7"/>
    <w:rsid w:val="00CF5BCD"/>
    <w:rsid w:val="00CF6951"/>
    <w:rsid w:val="00CF6AC2"/>
    <w:rsid w:val="00CF6C88"/>
    <w:rsid w:val="00CF7B56"/>
    <w:rsid w:val="00CF7FA4"/>
    <w:rsid w:val="00D004B3"/>
    <w:rsid w:val="00D01534"/>
    <w:rsid w:val="00D01665"/>
    <w:rsid w:val="00D020EC"/>
    <w:rsid w:val="00D0345B"/>
    <w:rsid w:val="00D039BC"/>
    <w:rsid w:val="00D04D93"/>
    <w:rsid w:val="00D051A6"/>
    <w:rsid w:val="00D05A04"/>
    <w:rsid w:val="00D0608B"/>
    <w:rsid w:val="00D06ECE"/>
    <w:rsid w:val="00D074BF"/>
    <w:rsid w:val="00D10583"/>
    <w:rsid w:val="00D106F2"/>
    <w:rsid w:val="00D107B0"/>
    <w:rsid w:val="00D10A88"/>
    <w:rsid w:val="00D10ADA"/>
    <w:rsid w:val="00D11C71"/>
    <w:rsid w:val="00D122CF"/>
    <w:rsid w:val="00D13B47"/>
    <w:rsid w:val="00D16268"/>
    <w:rsid w:val="00D1633A"/>
    <w:rsid w:val="00D2003D"/>
    <w:rsid w:val="00D200B1"/>
    <w:rsid w:val="00D20153"/>
    <w:rsid w:val="00D23362"/>
    <w:rsid w:val="00D23A65"/>
    <w:rsid w:val="00D249AB"/>
    <w:rsid w:val="00D24A00"/>
    <w:rsid w:val="00D24D81"/>
    <w:rsid w:val="00D25404"/>
    <w:rsid w:val="00D259EB"/>
    <w:rsid w:val="00D25E62"/>
    <w:rsid w:val="00D2620A"/>
    <w:rsid w:val="00D27148"/>
    <w:rsid w:val="00D27294"/>
    <w:rsid w:val="00D272B2"/>
    <w:rsid w:val="00D2740D"/>
    <w:rsid w:val="00D27B3C"/>
    <w:rsid w:val="00D27BD9"/>
    <w:rsid w:val="00D3013D"/>
    <w:rsid w:val="00D30306"/>
    <w:rsid w:val="00D303AB"/>
    <w:rsid w:val="00D30463"/>
    <w:rsid w:val="00D305FF"/>
    <w:rsid w:val="00D318FE"/>
    <w:rsid w:val="00D32654"/>
    <w:rsid w:val="00D32954"/>
    <w:rsid w:val="00D32BBB"/>
    <w:rsid w:val="00D3310B"/>
    <w:rsid w:val="00D331D0"/>
    <w:rsid w:val="00D3406B"/>
    <w:rsid w:val="00D34450"/>
    <w:rsid w:val="00D36A9B"/>
    <w:rsid w:val="00D375FD"/>
    <w:rsid w:val="00D37E4C"/>
    <w:rsid w:val="00D40992"/>
    <w:rsid w:val="00D41158"/>
    <w:rsid w:val="00D41B95"/>
    <w:rsid w:val="00D41F4B"/>
    <w:rsid w:val="00D42AC3"/>
    <w:rsid w:val="00D437C6"/>
    <w:rsid w:val="00D444CE"/>
    <w:rsid w:val="00D45D2F"/>
    <w:rsid w:val="00D4674D"/>
    <w:rsid w:val="00D47551"/>
    <w:rsid w:val="00D476E0"/>
    <w:rsid w:val="00D4794A"/>
    <w:rsid w:val="00D47A7B"/>
    <w:rsid w:val="00D47B56"/>
    <w:rsid w:val="00D50A9F"/>
    <w:rsid w:val="00D50DB0"/>
    <w:rsid w:val="00D52FC1"/>
    <w:rsid w:val="00D5312A"/>
    <w:rsid w:val="00D53993"/>
    <w:rsid w:val="00D53BC1"/>
    <w:rsid w:val="00D54317"/>
    <w:rsid w:val="00D555E2"/>
    <w:rsid w:val="00D570D3"/>
    <w:rsid w:val="00D5744E"/>
    <w:rsid w:val="00D57D68"/>
    <w:rsid w:val="00D60642"/>
    <w:rsid w:val="00D609E5"/>
    <w:rsid w:val="00D61656"/>
    <w:rsid w:val="00D617BE"/>
    <w:rsid w:val="00D61F63"/>
    <w:rsid w:val="00D6242B"/>
    <w:rsid w:val="00D62CD4"/>
    <w:rsid w:val="00D6328D"/>
    <w:rsid w:val="00D6330A"/>
    <w:rsid w:val="00D637CB"/>
    <w:rsid w:val="00D641CA"/>
    <w:rsid w:val="00D64CCF"/>
    <w:rsid w:val="00D661FA"/>
    <w:rsid w:val="00D70410"/>
    <w:rsid w:val="00D7058A"/>
    <w:rsid w:val="00D70C77"/>
    <w:rsid w:val="00D70E74"/>
    <w:rsid w:val="00D714EB"/>
    <w:rsid w:val="00D719F5"/>
    <w:rsid w:val="00D7342D"/>
    <w:rsid w:val="00D75D8C"/>
    <w:rsid w:val="00D76138"/>
    <w:rsid w:val="00D76A50"/>
    <w:rsid w:val="00D76C87"/>
    <w:rsid w:val="00D76CE4"/>
    <w:rsid w:val="00D76FBB"/>
    <w:rsid w:val="00D77264"/>
    <w:rsid w:val="00D774FB"/>
    <w:rsid w:val="00D77DD4"/>
    <w:rsid w:val="00D77ED2"/>
    <w:rsid w:val="00D80127"/>
    <w:rsid w:val="00D80EDD"/>
    <w:rsid w:val="00D810F8"/>
    <w:rsid w:val="00D81D3C"/>
    <w:rsid w:val="00D820C1"/>
    <w:rsid w:val="00D82287"/>
    <w:rsid w:val="00D829AE"/>
    <w:rsid w:val="00D83509"/>
    <w:rsid w:val="00D84567"/>
    <w:rsid w:val="00D84963"/>
    <w:rsid w:val="00D85378"/>
    <w:rsid w:val="00D85515"/>
    <w:rsid w:val="00D85605"/>
    <w:rsid w:val="00D85BE5"/>
    <w:rsid w:val="00D8714D"/>
    <w:rsid w:val="00D907C6"/>
    <w:rsid w:val="00D90A44"/>
    <w:rsid w:val="00D9148B"/>
    <w:rsid w:val="00D91ECD"/>
    <w:rsid w:val="00D9215D"/>
    <w:rsid w:val="00D928A8"/>
    <w:rsid w:val="00D92B52"/>
    <w:rsid w:val="00D92CD0"/>
    <w:rsid w:val="00D94208"/>
    <w:rsid w:val="00D94A13"/>
    <w:rsid w:val="00D94BE5"/>
    <w:rsid w:val="00D97372"/>
    <w:rsid w:val="00DA194D"/>
    <w:rsid w:val="00DA3603"/>
    <w:rsid w:val="00DA397C"/>
    <w:rsid w:val="00DA3A07"/>
    <w:rsid w:val="00DA3E7C"/>
    <w:rsid w:val="00DA40E0"/>
    <w:rsid w:val="00DA606F"/>
    <w:rsid w:val="00DA71FA"/>
    <w:rsid w:val="00DA755D"/>
    <w:rsid w:val="00DA79E0"/>
    <w:rsid w:val="00DB04E8"/>
    <w:rsid w:val="00DB0894"/>
    <w:rsid w:val="00DB11FB"/>
    <w:rsid w:val="00DB2298"/>
    <w:rsid w:val="00DB2612"/>
    <w:rsid w:val="00DB2F2A"/>
    <w:rsid w:val="00DB3AFF"/>
    <w:rsid w:val="00DB424A"/>
    <w:rsid w:val="00DB5180"/>
    <w:rsid w:val="00DB5E5D"/>
    <w:rsid w:val="00DB67CA"/>
    <w:rsid w:val="00DB68A4"/>
    <w:rsid w:val="00DB7B89"/>
    <w:rsid w:val="00DC021C"/>
    <w:rsid w:val="00DC0E10"/>
    <w:rsid w:val="00DC1933"/>
    <w:rsid w:val="00DC2AB0"/>
    <w:rsid w:val="00DC3187"/>
    <w:rsid w:val="00DC4C88"/>
    <w:rsid w:val="00DC5B13"/>
    <w:rsid w:val="00DC64BE"/>
    <w:rsid w:val="00DC73E6"/>
    <w:rsid w:val="00DC787A"/>
    <w:rsid w:val="00DC7B24"/>
    <w:rsid w:val="00DC7D8D"/>
    <w:rsid w:val="00DD09B4"/>
    <w:rsid w:val="00DD1837"/>
    <w:rsid w:val="00DD25DD"/>
    <w:rsid w:val="00DD4D76"/>
    <w:rsid w:val="00DD538B"/>
    <w:rsid w:val="00DD5910"/>
    <w:rsid w:val="00DD59F5"/>
    <w:rsid w:val="00DD6918"/>
    <w:rsid w:val="00DD7D4F"/>
    <w:rsid w:val="00DE2863"/>
    <w:rsid w:val="00DE2BD8"/>
    <w:rsid w:val="00DE3636"/>
    <w:rsid w:val="00DE4132"/>
    <w:rsid w:val="00DE4A11"/>
    <w:rsid w:val="00DE5AC9"/>
    <w:rsid w:val="00DE5DD5"/>
    <w:rsid w:val="00DE663A"/>
    <w:rsid w:val="00DE68F4"/>
    <w:rsid w:val="00DE6C2E"/>
    <w:rsid w:val="00DE6F54"/>
    <w:rsid w:val="00DE7F1F"/>
    <w:rsid w:val="00DF020C"/>
    <w:rsid w:val="00DF1722"/>
    <w:rsid w:val="00DF261D"/>
    <w:rsid w:val="00DF2CA0"/>
    <w:rsid w:val="00DF378F"/>
    <w:rsid w:val="00DF416B"/>
    <w:rsid w:val="00DF6889"/>
    <w:rsid w:val="00E00704"/>
    <w:rsid w:val="00E00BFC"/>
    <w:rsid w:val="00E00E58"/>
    <w:rsid w:val="00E01122"/>
    <w:rsid w:val="00E01B0C"/>
    <w:rsid w:val="00E020C8"/>
    <w:rsid w:val="00E03F60"/>
    <w:rsid w:val="00E04C1C"/>
    <w:rsid w:val="00E05EC5"/>
    <w:rsid w:val="00E05F54"/>
    <w:rsid w:val="00E06E39"/>
    <w:rsid w:val="00E07757"/>
    <w:rsid w:val="00E07A05"/>
    <w:rsid w:val="00E10419"/>
    <w:rsid w:val="00E10660"/>
    <w:rsid w:val="00E10ABC"/>
    <w:rsid w:val="00E12934"/>
    <w:rsid w:val="00E12C4A"/>
    <w:rsid w:val="00E13580"/>
    <w:rsid w:val="00E142C6"/>
    <w:rsid w:val="00E146AE"/>
    <w:rsid w:val="00E1477B"/>
    <w:rsid w:val="00E147D0"/>
    <w:rsid w:val="00E14B1F"/>
    <w:rsid w:val="00E14B3C"/>
    <w:rsid w:val="00E14E64"/>
    <w:rsid w:val="00E15E61"/>
    <w:rsid w:val="00E160B0"/>
    <w:rsid w:val="00E16E3E"/>
    <w:rsid w:val="00E2001E"/>
    <w:rsid w:val="00E210EE"/>
    <w:rsid w:val="00E2177B"/>
    <w:rsid w:val="00E21CE2"/>
    <w:rsid w:val="00E21FD5"/>
    <w:rsid w:val="00E2345F"/>
    <w:rsid w:val="00E23C97"/>
    <w:rsid w:val="00E250FF"/>
    <w:rsid w:val="00E253CE"/>
    <w:rsid w:val="00E25B01"/>
    <w:rsid w:val="00E25BAD"/>
    <w:rsid w:val="00E26652"/>
    <w:rsid w:val="00E26848"/>
    <w:rsid w:val="00E27FF3"/>
    <w:rsid w:val="00E31E4F"/>
    <w:rsid w:val="00E324F9"/>
    <w:rsid w:val="00E340DD"/>
    <w:rsid w:val="00E34B20"/>
    <w:rsid w:val="00E361A4"/>
    <w:rsid w:val="00E37F93"/>
    <w:rsid w:val="00E40AC9"/>
    <w:rsid w:val="00E4102B"/>
    <w:rsid w:val="00E41367"/>
    <w:rsid w:val="00E419F9"/>
    <w:rsid w:val="00E429A0"/>
    <w:rsid w:val="00E4319D"/>
    <w:rsid w:val="00E44103"/>
    <w:rsid w:val="00E4459E"/>
    <w:rsid w:val="00E44CFD"/>
    <w:rsid w:val="00E451E6"/>
    <w:rsid w:val="00E46784"/>
    <w:rsid w:val="00E46B20"/>
    <w:rsid w:val="00E46F6C"/>
    <w:rsid w:val="00E50031"/>
    <w:rsid w:val="00E50A26"/>
    <w:rsid w:val="00E51618"/>
    <w:rsid w:val="00E52125"/>
    <w:rsid w:val="00E52C2B"/>
    <w:rsid w:val="00E52E24"/>
    <w:rsid w:val="00E535D9"/>
    <w:rsid w:val="00E5480C"/>
    <w:rsid w:val="00E551AB"/>
    <w:rsid w:val="00E55499"/>
    <w:rsid w:val="00E55ECC"/>
    <w:rsid w:val="00E5657F"/>
    <w:rsid w:val="00E56689"/>
    <w:rsid w:val="00E60249"/>
    <w:rsid w:val="00E61476"/>
    <w:rsid w:val="00E61731"/>
    <w:rsid w:val="00E61FAC"/>
    <w:rsid w:val="00E62154"/>
    <w:rsid w:val="00E62B2B"/>
    <w:rsid w:val="00E6333F"/>
    <w:rsid w:val="00E645CE"/>
    <w:rsid w:val="00E64992"/>
    <w:rsid w:val="00E6523C"/>
    <w:rsid w:val="00E65B18"/>
    <w:rsid w:val="00E673BB"/>
    <w:rsid w:val="00E70015"/>
    <w:rsid w:val="00E702A3"/>
    <w:rsid w:val="00E7063B"/>
    <w:rsid w:val="00E706FC"/>
    <w:rsid w:val="00E709B6"/>
    <w:rsid w:val="00E712E2"/>
    <w:rsid w:val="00E71D91"/>
    <w:rsid w:val="00E72C5E"/>
    <w:rsid w:val="00E72DCE"/>
    <w:rsid w:val="00E73796"/>
    <w:rsid w:val="00E7592A"/>
    <w:rsid w:val="00E76059"/>
    <w:rsid w:val="00E80824"/>
    <w:rsid w:val="00E81255"/>
    <w:rsid w:val="00E819AC"/>
    <w:rsid w:val="00E81DB8"/>
    <w:rsid w:val="00E823D5"/>
    <w:rsid w:val="00E827F2"/>
    <w:rsid w:val="00E83CB3"/>
    <w:rsid w:val="00E84C19"/>
    <w:rsid w:val="00E869D1"/>
    <w:rsid w:val="00E875AE"/>
    <w:rsid w:val="00E90104"/>
    <w:rsid w:val="00E91A15"/>
    <w:rsid w:val="00E92819"/>
    <w:rsid w:val="00E92AC9"/>
    <w:rsid w:val="00E9403B"/>
    <w:rsid w:val="00E94158"/>
    <w:rsid w:val="00E94C21"/>
    <w:rsid w:val="00E94CF7"/>
    <w:rsid w:val="00E960D2"/>
    <w:rsid w:val="00E969D4"/>
    <w:rsid w:val="00EA033E"/>
    <w:rsid w:val="00EA05B2"/>
    <w:rsid w:val="00EA06B4"/>
    <w:rsid w:val="00EA07AE"/>
    <w:rsid w:val="00EA110B"/>
    <w:rsid w:val="00EA1A6F"/>
    <w:rsid w:val="00EA1BD4"/>
    <w:rsid w:val="00EA1D90"/>
    <w:rsid w:val="00EA3D6D"/>
    <w:rsid w:val="00EA3FC4"/>
    <w:rsid w:val="00EA4940"/>
    <w:rsid w:val="00EA502E"/>
    <w:rsid w:val="00EA5274"/>
    <w:rsid w:val="00EA584C"/>
    <w:rsid w:val="00EA70CB"/>
    <w:rsid w:val="00EA7299"/>
    <w:rsid w:val="00EA770C"/>
    <w:rsid w:val="00EA7E76"/>
    <w:rsid w:val="00EB1283"/>
    <w:rsid w:val="00EB1EAB"/>
    <w:rsid w:val="00EB2A5E"/>
    <w:rsid w:val="00EB35BB"/>
    <w:rsid w:val="00EB587B"/>
    <w:rsid w:val="00EB5AF0"/>
    <w:rsid w:val="00EB5D84"/>
    <w:rsid w:val="00EB6080"/>
    <w:rsid w:val="00EB614F"/>
    <w:rsid w:val="00EB6E3F"/>
    <w:rsid w:val="00EB7D33"/>
    <w:rsid w:val="00EC03B2"/>
    <w:rsid w:val="00EC06A7"/>
    <w:rsid w:val="00EC101E"/>
    <w:rsid w:val="00EC1EB7"/>
    <w:rsid w:val="00EC20CD"/>
    <w:rsid w:val="00EC27DE"/>
    <w:rsid w:val="00EC2FBF"/>
    <w:rsid w:val="00EC3B89"/>
    <w:rsid w:val="00EC4384"/>
    <w:rsid w:val="00EC4823"/>
    <w:rsid w:val="00EC4EF8"/>
    <w:rsid w:val="00EC5656"/>
    <w:rsid w:val="00EC5E9F"/>
    <w:rsid w:val="00ED05FE"/>
    <w:rsid w:val="00ED09F0"/>
    <w:rsid w:val="00ED1927"/>
    <w:rsid w:val="00ED3641"/>
    <w:rsid w:val="00ED3A50"/>
    <w:rsid w:val="00ED3BA5"/>
    <w:rsid w:val="00ED4D29"/>
    <w:rsid w:val="00ED506F"/>
    <w:rsid w:val="00ED5664"/>
    <w:rsid w:val="00ED5C0B"/>
    <w:rsid w:val="00ED5DB3"/>
    <w:rsid w:val="00ED6456"/>
    <w:rsid w:val="00ED67F4"/>
    <w:rsid w:val="00ED6C54"/>
    <w:rsid w:val="00ED6D07"/>
    <w:rsid w:val="00ED7D57"/>
    <w:rsid w:val="00EE02C3"/>
    <w:rsid w:val="00EE062E"/>
    <w:rsid w:val="00EE13B9"/>
    <w:rsid w:val="00EE1817"/>
    <w:rsid w:val="00EE2549"/>
    <w:rsid w:val="00EE255C"/>
    <w:rsid w:val="00EE396E"/>
    <w:rsid w:val="00EE3BF0"/>
    <w:rsid w:val="00EE4FB8"/>
    <w:rsid w:val="00EE519A"/>
    <w:rsid w:val="00EE5C8B"/>
    <w:rsid w:val="00EE69A9"/>
    <w:rsid w:val="00EE7BE5"/>
    <w:rsid w:val="00EF0006"/>
    <w:rsid w:val="00EF1A8E"/>
    <w:rsid w:val="00EF30ED"/>
    <w:rsid w:val="00EF3379"/>
    <w:rsid w:val="00EF3C13"/>
    <w:rsid w:val="00EF4693"/>
    <w:rsid w:val="00EF486B"/>
    <w:rsid w:val="00EF59E9"/>
    <w:rsid w:val="00EF5F79"/>
    <w:rsid w:val="00EF6100"/>
    <w:rsid w:val="00EF66E6"/>
    <w:rsid w:val="00EF691E"/>
    <w:rsid w:val="00EF6F08"/>
    <w:rsid w:val="00EF766C"/>
    <w:rsid w:val="00F0080D"/>
    <w:rsid w:val="00F00A19"/>
    <w:rsid w:val="00F00BB6"/>
    <w:rsid w:val="00F00C64"/>
    <w:rsid w:val="00F017AA"/>
    <w:rsid w:val="00F01AFD"/>
    <w:rsid w:val="00F02150"/>
    <w:rsid w:val="00F0228F"/>
    <w:rsid w:val="00F037B6"/>
    <w:rsid w:val="00F060A6"/>
    <w:rsid w:val="00F06EEA"/>
    <w:rsid w:val="00F075FC"/>
    <w:rsid w:val="00F10464"/>
    <w:rsid w:val="00F1058E"/>
    <w:rsid w:val="00F10D18"/>
    <w:rsid w:val="00F1113F"/>
    <w:rsid w:val="00F13DC9"/>
    <w:rsid w:val="00F14ED7"/>
    <w:rsid w:val="00F15AFB"/>
    <w:rsid w:val="00F20A51"/>
    <w:rsid w:val="00F20F0C"/>
    <w:rsid w:val="00F21C34"/>
    <w:rsid w:val="00F21F21"/>
    <w:rsid w:val="00F225E8"/>
    <w:rsid w:val="00F238AC"/>
    <w:rsid w:val="00F252D0"/>
    <w:rsid w:val="00F259E9"/>
    <w:rsid w:val="00F26638"/>
    <w:rsid w:val="00F274D4"/>
    <w:rsid w:val="00F27690"/>
    <w:rsid w:val="00F2771D"/>
    <w:rsid w:val="00F27DC0"/>
    <w:rsid w:val="00F305C2"/>
    <w:rsid w:val="00F30792"/>
    <w:rsid w:val="00F307C1"/>
    <w:rsid w:val="00F30846"/>
    <w:rsid w:val="00F3153C"/>
    <w:rsid w:val="00F3367D"/>
    <w:rsid w:val="00F337AA"/>
    <w:rsid w:val="00F3463F"/>
    <w:rsid w:val="00F34D07"/>
    <w:rsid w:val="00F35264"/>
    <w:rsid w:val="00F3567B"/>
    <w:rsid w:val="00F35DAC"/>
    <w:rsid w:val="00F3659C"/>
    <w:rsid w:val="00F36B07"/>
    <w:rsid w:val="00F37237"/>
    <w:rsid w:val="00F37D2F"/>
    <w:rsid w:val="00F40099"/>
    <w:rsid w:val="00F41D36"/>
    <w:rsid w:val="00F420C5"/>
    <w:rsid w:val="00F423C5"/>
    <w:rsid w:val="00F427C4"/>
    <w:rsid w:val="00F42B88"/>
    <w:rsid w:val="00F433EC"/>
    <w:rsid w:val="00F439B9"/>
    <w:rsid w:val="00F43E00"/>
    <w:rsid w:val="00F446A5"/>
    <w:rsid w:val="00F4493C"/>
    <w:rsid w:val="00F449AC"/>
    <w:rsid w:val="00F453F5"/>
    <w:rsid w:val="00F45740"/>
    <w:rsid w:val="00F47F4F"/>
    <w:rsid w:val="00F5042B"/>
    <w:rsid w:val="00F50BB9"/>
    <w:rsid w:val="00F52186"/>
    <w:rsid w:val="00F52777"/>
    <w:rsid w:val="00F551A8"/>
    <w:rsid w:val="00F60471"/>
    <w:rsid w:val="00F61E71"/>
    <w:rsid w:val="00F62B54"/>
    <w:rsid w:val="00F63581"/>
    <w:rsid w:val="00F63C62"/>
    <w:rsid w:val="00F63F64"/>
    <w:rsid w:val="00F654E7"/>
    <w:rsid w:val="00F672B3"/>
    <w:rsid w:val="00F67A90"/>
    <w:rsid w:val="00F67AC1"/>
    <w:rsid w:val="00F67E35"/>
    <w:rsid w:val="00F7000C"/>
    <w:rsid w:val="00F706BD"/>
    <w:rsid w:val="00F70956"/>
    <w:rsid w:val="00F71C00"/>
    <w:rsid w:val="00F7235F"/>
    <w:rsid w:val="00F728B1"/>
    <w:rsid w:val="00F728B7"/>
    <w:rsid w:val="00F73508"/>
    <w:rsid w:val="00F743BB"/>
    <w:rsid w:val="00F75CBD"/>
    <w:rsid w:val="00F763CB"/>
    <w:rsid w:val="00F778C6"/>
    <w:rsid w:val="00F77A0C"/>
    <w:rsid w:val="00F818B9"/>
    <w:rsid w:val="00F81C20"/>
    <w:rsid w:val="00F822A8"/>
    <w:rsid w:val="00F82DB2"/>
    <w:rsid w:val="00F8334E"/>
    <w:rsid w:val="00F83DE1"/>
    <w:rsid w:val="00F83DFC"/>
    <w:rsid w:val="00F845BC"/>
    <w:rsid w:val="00F84D34"/>
    <w:rsid w:val="00F84DB4"/>
    <w:rsid w:val="00F86834"/>
    <w:rsid w:val="00F875FF"/>
    <w:rsid w:val="00F90BF8"/>
    <w:rsid w:val="00F915C4"/>
    <w:rsid w:val="00F9229C"/>
    <w:rsid w:val="00F923AB"/>
    <w:rsid w:val="00F92B47"/>
    <w:rsid w:val="00F92EFD"/>
    <w:rsid w:val="00F93AE6"/>
    <w:rsid w:val="00F941C1"/>
    <w:rsid w:val="00F9494C"/>
    <w:rsid w:val="00F954AB"/>
    <w:rsid w:val="00F95FC0"/>
    <w:rsid w:val="00F9606F"/>
    <w:rsid w:val="00F96ED6"/>
    <w:rsid w:val="00F9768C"/>
    <w:rsid w:val="00FA00A5"/>
    <w:rsid w:val="00FA0583"/>
    <w:rsid w:val="00FA0DE2"/>
    <w:rsid w:val="00FA1691"/>
    <w:rsid w:val="00FA2939"/>
    <w:rsid w:val="00FA2ED1"/>
    <w:rsid w:val="00FA3C87"/>
    <w:rsid w:val="00FA3ED5"/>
    <w:rsid w:val="00FA3F0B"/>
    <w:rsid w:val="00FA4AD2"/>
    <w:rsid w:val="00FA53F8"/>
    <w:rsid w:val="00FA6C07"/>
    <w:rsid w:val="00FA6FE3"/>
    <w:rsid w:val="00FA7C5A"/>
    <w:rsid w:val="00FA7D5A"/>
    <w:rsid w:val="00FB19E8"/>
    <w:rsid w:val="00FB2625"/>
    <w:rsid w:val="00FB28E7"/>
    <w:rsid w:val="00FB35B5"/>
    <w:rsid w:val="00FB5347"/>
    <w:rsid w:val="00FB534C"/>
    <w:rsid w:val="00FB53CE"/>
    <w:rsid w:val="00FB550E"/>
    <w:rsid w:val="00FB6148"/>
    <w:rsid w:val="00FB6788"/>
    <w:rsid w:val="00FB693B"/>
    <w:rsid w:val="00FB6C9B"/>
    <w:rsid w:val="00FB71D0"/>
    <w:rsid w:val="00FB7CE4"/>
    <w:rsid w:val="00FC01F2"/>
    <w:rsid w:val="00FC025E"/>
    <w:rsid w:val="00FC03C8"/>
    <w:rsid w:val="00FC0545"/>
    <w:rsid w:val="00FC0EE4"/>
    <w:rsid w:val="00FC19C8"/>
    <w:rsid w:val="00FC2A36"/>
    <w:rsid w:val="00FC2A40"/>
    <w:rsid w:val="00FC2B70"/>
    <w:rsid w:val="00FC2F57"/>
    <w:rsid w:val="00FC4E95"/>
    <w:rsid w:val="00FC4F89"/>
    <w:rsid w:val="00FC530F"/>
    <w:rsid w:val="00FC6091"/>
    <w:rsid w:val="00FC67F5"/>
    <w:rsid w:val="00FC6C64"/>
    <w:rsid w:val="00FC72FC"/>
    <w:rsid w:val="00FC745B"/>
    <w:rsid w:val="00FC7D57"/>
    <w:rsid w:val="00FD0A8A"/>
    <w:rsid w:val="00FD1D23"/>
    <w:rsid w:val="00FD208A"/>
    <w:rsid w:val="00FD2667"/>
    <w:rsid w:val="00FD3D8C"/>
    <w:rsid w:val="00FD3E70"/>
    <w:rsid w:val="00FD4E16"/>
    <w:rsid w:val="00FD4FB5"/>
    <w:rsid w:val="00FD55B5"/>
    <w:rsid w:val="00FD6C51"/>
    <w:rsid w:val="00FE04CB"/>
    <w:rsid w:val="00FE0F57"/>
    <w:rsid w:val="00FE1779"/>
    <w:rsid w:val="00FE1AFD"/>
    <w:rsid w:val="00FE2ECF"/>
    <w:rsid w:val="00FE37D4"/>
    <w:rsid w:val="00FE4164"/>
    <w:rsid w:val="00FE56C7"/>
    <w:rsid w:val="00FE6C95"/>
    <w:rsid w:val="00FE7C7B"/>
    <w:rsid w:val="00FF05B2"/>
    <w:rsid w:val="00FF09D6"/>
    <w:rsid w:val="00FF0A45"/>
    <w:rsid w:val="00FF0C26"/>
    <w:rsid w:val="00FF2086"/>
    <w:rsid w:val="00FF264C"/>
    <w:rsid w:val="00FF37F8"/>
    <w:rsid w:val="00FF3C50"/>
    <w:rsid w:val="00FF4796"/>
    <w:rsid w:val="00FF48C8"/>
    <w:rsid w:val="00FF49CE"/>
    <w:rsid w:val="00FF4BB5"/>
    <w:rsid w:val="00FF4DE4"/>
    <w:rsid w:val="00FF4F75"/>
    <w:rsid w:val="00FF5296"/>
    <w:rsid w:val="00FF5563"/>
    <w:rsid w:val="00FF65A9"/>
    <w:rsid w:val="00FF6F01"/>
    <w:rsid w:val="00FF7013"/>
    <w:rsid w:val="00FF7379"/>
    <w:rsid w:val="00FF76B0"/>
    <w:rsid w:val="00FF7CF5"/>
    <w:rsid w:val="02700D42"/>
    <w:rsid w:val="02FF7A7B"/>
    <w:rsid w:val="03296D51"/>
    <w:rsid w:val="032F648F"/>
    <w:rsid w:val="04DD3789"/>
    <w:rsid w:val="055D2B7C"/>
    <w:rsid w:val="055E085F"/>
    <w:rsid w:val="05754150"/>
    <w:rsid w:val="05ED35C6"/>
    <w:rsid w:val="061D0BB7"/>
    <w:rsid w:val="06C84A9D"/>
    <w:rsid w:val="070D6983"/>
    <w:rsid w:val="073161DB"/>
    <w:rsid w:val="07EA354E"/>
    <w:rsid w:val="07F6721E"/>
    <w:rsid w:val="09532246"/>
    <w:rsid w:val="0A0211AF"/>
    <w:rsid w:val="0A9D7C40"/>
    <w:rsid w:val="0B382FBD"/>
    <w:rsid w:val="0BBE4F5D"/>
    <w:rsid w:val="0D7264E6"/>
    <w:rsid w:val="0DFB528D"/>
    <w:rsid w:val="0E371688"/>
    <w:rsid w:val="0FA7028E"/>
    <w:rsid w:val="0FCD487B"/>
    <w:rsid w:val="0FDF6B6C"/>
    <w:rsid w:val="113D1458"/>
    <w:rsid w:val="11774690"/>
    <w:rsid w:val="12DC66BE"/>
    <w:rsid w:val="14AE78FC"/>
    <w:rsid w:val="153642EA"/>
    <w:rsid w:val="168138A6"/>
    <w:rsid w:val="16ED5F4A"/>
    <w:rsid w:val="17AD2240"/>
    <w:rsid w:val="181E605E"/>
    <w:rsid w:val="18A111BF"/>
    <w:rsid w:val="197874D5"/>
    <w:rsid w:val="1A6D1674"/>
    <w:rsid w:val="1AD31D10"/>
    <w:rsid w:val="1B096CF5"/>
    <w:rsid w:val="1CFD0BFF"/>
    <w:rsid w:val="1DCD54A7"/>
    <w:rsid w:val="1E4F3327"/>
    <w:rsid w:val="1E996BC3"/>
    <w:rsid w:val="1F4B179E"/>
    <w:rsid w:val="21DD349D"/>
    <w:rsid w:val="22715D97"/>
    <w:rsid w:val="228D3726"/>
    <w:rsid w:val="235342FD"/>
    <w:rsid w:val="23DE3296"/>
    <w:rsid w:val="25314578"/>
    <w:rsid w:val="254C7941"/>
    <w:rsid w:val="2781405D"/>
    <w:rsid w:val="2811783B"/>
    <w:rsid w:val="28725ED2"/>
    <w:rsid w:val="29407877"/>
    <w:rsid w:val="29F47288"/>
    <w:rsid w:val="2A3D79CC"/>
    <w:rsid w:val="2B226300"/>
    <w:rsid w:val="2B613EBE"/>
    <w:rsid w:val="2B8D453C"/>
    <w:rsid w:val="2D69575C"/>
    <w:rsid w:val="2DB1610E"/>
    <w:rsid w:val="2E7541D1"/>
    <w:rsid w:val="2E8A57EA"/>
    <w:rsid w:val="2E9778C4"/>
    <w:rsid w:val="2EEE0D4D"/>
    <w:rsid w:val="30336A9F"/>
    <w:rsid w:val="30504C52"/>
    <w:rsid w:val="313D2A7E"/>
    <w:rsid w:val="31592FEC"/>
    <w:rsid w:val="323A7698"/>
    <w:rsid w:val="32FB2ECE"/>
    <w:rsid w:val="34031F48"/>
    <w:rsid w:val="371762D9"/>
    <w:rsid w:val="37630BA0"/>
    <w:rsid w:val="3997661B"/>
    <w:rsid w:val="39AF3524"/>
    <w:rsid w:val="3B4D4259"/>
    <w:rsid w:val="3BAB0B58"/>
    <w:rsid w:val="3C195A73"/>
    <w:rsid w:val="3CA118F6"/>
    <w:rsid w:val="3CC15DF1"/>
    <w:rsid w:val="3DAD4CBD"/>
    <w:rsid w:val="3E7263CB"/>
    <w:rsid w:val="3F5704BE"/>
    <w:rsid w:val="418C2E69"/>
    <w:rsid w:val="420C0B91"/>
    <w:rsid w:val="434F79FC"/>
    <w:rsid w:val="4489402F"/>
    <w:rsid w:val="4971375E"/>
    <w:rsid w:val="497C6E74"/>
    <w:rsid w:val="4AA71688"/>
    <w:rsid w:val="4BB32A0D"/>
    <w:rsid w:val="4C2365F6"/>
    <w:rsid w:val="4C8A1665"/>
    <w:rsid w:val="4D1B2411"/>
    <w:rsid w:val="4DB55E03"/>
    <w:rsid w:val="4EF121AF"/>
    <w:rsid w:val="50B3757D"/>
    <w:rsid w:val="51763D8A"/>
    <w:rsid w:val="51B374E1"/>
    <w:rsid w:val="51F2387E"/>
    <w:rsid w:val="529B370B"/>
    <w:rsid w:val="53301399"/>
    <w:rsid w:val="549B192F"/>
    <w:rsid w:val="553A7FB9"/>
    <w:rsid w:val="554B00FD"/>
    <w:rsid w:val="556B321E"/>
    <w:rsid w:val="57540152"/>
    <w:rsid w:val="57E16E3D"/>
    <w:rsid w:val="58021570"/>
    <w:rsid w:val="58836646"/>
    <w:rsid w:val="588653B6"/>
    <w:rsid w:val="5A066539"/>
    <w:rsid w:val="5C561855"/>
    <w:rsid w:val="5C6A6D99"/>
    <w:rsid w:val="5E2E5C98"/>
    <w:rsid w:val="5E49378B"/>
    <w:rsid w:val="5EE20FF0"/>
    <w:rsid w:val="5EFE4C88"/>
    <w:rsid w:val="60171B90"/>
    <w:rsid w:val="60FF47C7"/>
    <w:rsid w:val="6235408F"/>
    <w:rsid w:val="62D27BAF"/>
    <w:rsid w:val="631B0E96"/>
    <w:rsid w:val="63E76A35"/>
    <w:rsid w:val="64641879"/>
    <w:rsid w:val="64D92155"/>
    <w:rsid w:val="653370EE"/>
    <w:rsid w:val="65E26032"/>
    <w:rsid w:val="65FF4B48"/>
    <w:rsid w:val="67177753"/>
    <w:rsid w:val="675B728E"/>
    <w:rsid w:val="67C81D1C"/>
    <w:rsid w:val="67D15A64"/>
    <w:rsid w:val="696239BC"/>
    <w:rsid w:val="6985092D"/>
    <w:rsid w:val="6AC23593"/>
    <w:rsid w:val="6C386326"/>
    <w:rsid w:val="6D0052D5"/>
    <w:rsid w:val="6DA170E8"/>
    <w:rsid w:val="6E4C1DD0"/>
    <w:rsid w:val="6F500DF1"/>
    <w:rsid w:val="70444D29"/>
    <w:rsid w:val="70E06CD2"/>
    <w:rsid w:val="7154385A"/>
    <w:rsid w:val="7269114A"/>
    <w:rsid w:val="72917C5B"/>
    <w:rsid w:val="73707BF4"/>
    <w:rsid w:val="74160439"/>
    <w:rsid w:val="74491AD5"/>
    <w:rsid w:val="74A47132"/>
    <w:rsid w:val="7527352B"/>
    <w:rsid w:val="76FF6B4B"/>
    <w:rsid w:val="77181A29"/>
    <w:rsid w:val="79423203"/>
    <w:rsid w:val="79D762F4"/>
    <w:rsid w:val="7A9C5C4E"/>
    <w:rsid w:val="7ABE0618"/>
    <w:rsid w:val="7B32014C"/>
    <w:rsid w:val="7B683207"/>
    <w:rsid w:val="7BD40338"/>
    <w:rsid w:val="7C00467F"/>
    <w:rsid w:val="7C0046F0"/>
    <w:rsid w:val="7C80486C"/>
    <w:rsid w:val="7DAE0A1A"/>
    <w:rsid w:val="7E20467A"/>
    <w:rsid w:val="7E626168"/>
    <w:rsid w:val="7E765088"/>
    <w:rsid w:val="7EEC7C69"/>
    <w:rsid w:val="7F9314A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qFormat="1" w:unhideWhenUsed="0" w:uiPriority="39" w:semiHidden="0" w:name="toc 3"/>
    <w:lsdException w:qFormat="1" w:unhideWhenUsed="0"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iPriority="0" w:name="table of figures"/>
    <w:lsdException w:uiPriority="0" w:name="envelope address"/>
    <w:lsdException w:uiPriority="0" w:name="envelope return"/>
    <w:lsdException w:uiPriority="0" w:semiHidden="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uiPriority="0" w:semiHidden="0" w:name="List Bullet"/>
    <w:lsdException w:qFormat="1" w:unhideWhenUsed="0" w:uiPriority="0" w:semiHidden="0" w:name="List Number"/>
    <w:lsdException w:qFormat="1" w:unhideWhenUsed="0" w:uiPriority="0" w:semiHidden="0" w:name="List 2"/>
    <w:lsdException w:uiPriority="0" w:name="List 3"/>
    <w:lsdException w:unhideWhenUsed="0" w:uiPriority="0" w:semiHidden="0" w:name="List 4"/>
    <w:lsdException w:uiPriority="0" w:name="List 5"/>
    <w:lsdException w:unhideWhenUsed="0" w:uiPriority="0" w:semiHidden="0" w:name="List Bullet 2"/>
    <w:lsdException w:uiPriority="0" w:name="List Bullet 3"/>
    <w:lsdException w:uiPriority="0" w:name="List Bullet 4"/>
    <w:lsdException w:uiPriority="0" w:name="List Bullet 5"/>
    <w:lsdException w:uiPriority="0" w:name="List Number 2"/>
    <w:lsdException w:qFormat="1" w:unhideWhenUsed="0" w:uiPriority="0" w:semiHidden="0" w:name="List Number 3"/>
    <w:lsdException w:uiPriority="0" w:name="List Number 4"/>
    <w:lsdException w:uiPriority="0" w:name="List Number 5"/>
    <w:lsdException w:qFormat="1" w:unhideWhenUsed="0" w:uiPriority="99" w:semiHidden="0" w:name="Title"/>
    <w:lsdException w:uiPriority="0" w:name="Closing"/>
    <w:lsdException w:uiPriority="0" w:name="Signature"/>
    <w:lsdException w:uiPriority="1" w:semiHidden="0"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99" w:semiHidden="0" w:name="Subtitle"/>
    <w:lsdException w:uiPriority="0" w:name="Salutation"/>
    <w:lsdException w:qFormat="1" w:unhideWhenUsed="0" w:uiPriority="99" w:semiHidden="0" w:name="Date"/>
    <w:lsdException w:qFormat="1" w:unhideWhenUsed="0" w:uiPriority="99" w:semiHidden="0" w:name="Body Text First Indent"/>
    <w:lsdException w:unhideWhenUsed="0" w:uiPriority="0" w:semiHidden="0" w:name="Body Text First Indent 2"/>
    <w:lsdException w:uiPriority="0" w:name="Note Heading"/>
    <w:lsdException w:qFormat="1" w:unhideWhenUsed="0" w:uiPriority="99" w:semiHidden="0" w:name="Body Text 2"/>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99"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nhideWhenUsed="0" w:uiPriority="0" w:semiHidden="0" w:name="HTML Cite"/>
    <w:lsdException w:uiPriority="0" w:name="HTML Code"/>
    <w:lsdException w:uiPriority="0" w:name="HTML Definition"/>
    <w:lsdException w:uiPriority="0" w:name="HTML Keyboard"/>
    <w:lsdException w:qFormat="1" w:unhideWhenUsed="0" w:uiPriority="0" w:semiHidden="0" w:name="HTML Preformatted"/>
    <w:lsdException w:uiPriority="99" w:semiHidden="0" w:name="HTML Sample"/>
    <w:lsdException w:uiPriority="0" w:name="HTML Typewriter"/>
    <w:lsdException w:uiPriority="0" w:name="HTML Variable"/>
    <w:lsdException w:uiPriority="99" w:semiHidden="0"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nhideWhenUsed="0" w:uiPriority="0" w:semiHidden="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iPriority="60" w:name="Light Shading"/>
    <w:lsdException w:uiPriority="61" w:name="Light List"/>
    <w:lsdException w:uiPriority="62" w:name="Light Grid"/>
    <w:lsdException w:uiPriority="63" w:name="Medium Shading 1"/>
    <w:lsdException w:uiPriority="64" w:name="Medium Shading 2"/>
    <w:lsdException w:uiPriority="65" w:name="Medium List 1"/>
    <w:lsdException w:uiPriority="66" w:name="Medium List 2"/>
    <w:lsdException w:uiPriority="67" w:name="Medium Grid 1"/>
    <w:lsdException w:uiPriority="68" w:name="Medium Grid 2"/>
    <w:lsdException w:uiPriority="69" w:name="Medium Grid 3"/>
    <w:lsdException w:uiPriority="70" w:name="Dark List"/>
    <w:lsdException w:uiPriority="71" w:name="Colorful Shading"/>
    <w:lsdException w:uiPriority="72" w:name="Colorful List"/>
    <w:lsdException w:uiPriority="73" w:name="Colorful Grid"/>
    <w:lsdException w:uiPriority="60" w:name="Light Shading Accent 1"/>
    <w:lsdException w:uiPriority="61" w:name="Light List Accent 1"/>
    <w:lsdException w:uiPriority="62" w:name="Light Grid Accent 1"/>
    <w:lsdException w:uiPriority="63" w:name="Medium Shading 1 Accent 1"/>
    <w:lsdException w:uiPriority="64" w:name="Medium Shading 2 Accent 1"/>
    <w:lsdException w:uiPriority="65" w:name="Medium List 1 Accent 1"/>
    <w:lsdException w:uiPriority="99" w:semiHidden="0" w:name=""/>
    <w:lsdException w:qFormat="1" w:unhideWhenUsed="0" w:uiPriority="34" w:semiHidden="0" w:name="List Paragraph"/>
    <w:lsdException w:qFormat="1" w:unhideWhenUsed="0" w:uiPriority="29" w:semiHidden="0" w:name="Quote"/>
    <w:lsdException w:qFormat="1" w:unhideWhenUsed="0" w:uiPriority="30" w:semiHidden="0" w:name="Intense Quote"/>
    <w:lsdException w:uiPriority="66" w:name="Medium List 2 Accent 1"/>
    <w:lsdException w:uiPriority="67" w:name="Medium Grid 1 Accent 1"/>
    <w:lsdException w:uiPriority="68" w:name="Medium Grid 2 Accent 1"/>
    <w:lsdException w:uiPriority="69" w:name="Medium Grid 3 Accent 1"/>
    <w:lsdException w:uiPriority="70" w:name="Dark List Accent 1"/>
    <w:lsdException w:uiPriority="71" w:name="Colorful Shading Accent 1"/>
    <w:lsdException w:uiPriority="72" w:name="Colorful List Accent 1"/>
    <w:lsdException w:uiPriority="73" w:name="Colorful Grid Accent 1"/>
    <w:lsdException w:uiPriority="60" w:name="Light Shading Accent 2"/>
    <w:lsdException w:uiPriority="61" w:name="Light List Accent 2"/>
    <w:lsdException w:uiPriority="62" w:name="Light Grid Accent 2"/>
    <w:lsdException w:uiPriority="63" w:name="Medium Shading 1 Accent 2"/>
    <w:lsdException w:uiPriority="64" w:name="Medium Shading 2 Accent 2"/>
    <w:lsdException w:uiPriority="65" w:name="Medium List 1 Accent 2"/>
    <w:lsdException w:uiPriority="66" w:name="Medium List 2 Accent 2"/>
    <w:lsdException w:uiPriority="67" w:name="Medium Grid 1 Accent 2"/>
    <w:lsdException w:uiPriority="68" w:name="Medium Grid 2 Accent 2"/>
    <w:lsdException w:uiPriority="69" w:name="Medium Grid 3 Accent 2"/>
    <w:lsdException w:uiPriority="70" w:name="Dark List Accent 2"/>
    <w:lsdException w:uiPriority="71" w:name="Colorful Shading Accent 2"/>
    <w:lsdException w:uiPriority="72" w:name="Colorful List Accent 2"/>
    <w:lsdException w:uiPriority="73" w:name="Colorful Grid Accent 2"/>
    <w:lsdException w:uiPriority="60" w:name="Light Shading Accent 3"/>
    <w:lsdException w:uiPriority="61" w:name="Light List Accent 3"/>
    <w:lsdException w:uiPriority="62" w:name="Light Grid Accent 3"/>
    <w:lsdException w:uiPriority="63" w:name="Medium Shading 1 Accent 3"/>
    <w:lsdException w:uiPriority="64" w:name="Medium Shading 2 Accent 3"/>
    <w:lsdException w:uiPriority="65" w:name="Medium List 1 Accent 3"/>
    <w:lsdException w:uiPriority="66" w:name="Medium List 2 Accent 3"/>
    <w:lsdException w:uiPriority="67" w:name="Medium Grid 1 Accent 3"/>
    <w:lsdException w:uiPriority="68" w:name="Medium Grid 2 Accent 3"/>
    <w:lsdException w:uiPriority="69" w:name="Medium Grid 3 Accent 3"/>
    <w:lsdException w:uiPriority="70" w:name="Dark List Accent 3"/>
    <w:lsdException w:uiPriority="71" w:name="Colorful Shading Accent 3"/>
    <w:lsdException w:uiPriority="72" w:name="Colorful List Accent 3"/>
    <w:lsdException w:uiPriority="73" w:name="Colorful Grid Accent 3"/>
    <w:lsdException w:uiPriority="60" w:name="Light Shading Accent 4"/>
    <w:lsdException w:uiPriority="61" w:name="Light List Accent 4"/>
    <w:lsdException w:uiPriority="62" w:name="Light Grid Accent 4"/>
    <w:lsdException w:uiPriority="63" w:name="Medium Shading 1 Accent 4"/>
    <w:lsdException w:uiPriority="64" w:name="Medium Shading 2 Accent 4"/>
    <w:lsdException w:uiPriority="65" w:name="Medium List 1 Accent 4"/>
    <w:lsdException w:uiPriority="66" w:name="Medium List 2 Accent 4"/>
    <w:lsdException w:uiPriority="67" w:name="Medium Grid 1 Accent 4"/>
    <w:lsdException w:uiPriority="68" w:name="Medium Grid 2 Accent 4"/>
    <w:lsdException w:uiPriority="69" w:name="Medium Grid 3 Accent 4"/>
    <w:lsdException w:uiPriority="70" w:name="Dark List Accent 4"/>
    <w:lsdException w:uiPriority="71" w:name="Colorful Shading Accent 4"/>
    <w:lsdException w:uiPriority="72" w:name="Colorful List Accent 4"/>
    <w:lsdException w:uiPriority="73" w:name="Colorful Grid Accent 4"/>
    <w:lsdException w:uiPriority="60" w:name="Light Shading Accent 5"/>
    <w:lsdException w:uiPriority="61" w:name="Light List Accent 5"/>
    <w:lsdException w:uiPriority="62" w:name="Light Grid Accent 5"/>
    <w:lsdException w:uiPriority="63" w:name="Medium Shading 1 Accent 5"/>
    <w:lsdException w:uiPriority="64" w:name="Medium Shading 2 Accent 5"/>
    <w:lsdException w:uiPriority="65" w:name="Medium List 1 Accent 5"/>
    <w:lsdException w:uiPriority="66" w:name="Medium List 2 Accent 5"/>
    <w:lsdException w:uiPriority="67" w:name="Medium Grid 1 Accent 5"/>
    <w:lsdException w:uiPriority="68" w:name="Medium Grid 2 Accent 5"/>
    <w:lsdException w:uiPriority="69" w:name="Medium Grid 3 Accent 5"/>
    <w:lsdException w:uiPriority="70" w:name="Dark List Accent 5"/>
    <w:lsdException w:uiPriority="71" w:name="Colorful Shading Accent 5"/>
    <w:lsdException w:uiPriority="72" w:name="Colorful List Accent 5"/>
    <w:lsdException w:uiPriority="73" w:name="Colorful Grid Accent 5"/>
    <w:lsdException w:uiPriority="60" w:name="Light Shading Accent 6"/>
    <w:lsdException w:uiPriority="61" w:name="Light List Accent 6"/>
    <w:lsdException w:uiPriority="62" w:name="Light Grid Accent 6"/>
    <w:lsdException w:uiPriority="63" w:name="Medium Shading 1 Accent 6"/>
    <w:lsdException w:uiPriority="64" w:name="Medium Shading 2 Accent 6"/>
    <w:lsdException w:uiPriority="65" w:name="Medium List 1 Accent 6"/>
    <w:lsdException w:uiPriority="66" w:name="Medium List 2 Accent 6"/>
    <w:lsdException w:uiPriority="67" w:name="Medium Grid 1 Accent 6"/>
    <w:lsdException w:uiPriority="68" w:name="Medium Grid 2 Accent 6"/>
    <w:lsdException w:uiPriority="69" w:name="Medium Grid 3 Accent 6"/>
    <w:lsdException w:uiPriority="70" w:name="Dark List Accent 6"/>
    <w:lsdException w:uiPriority="71" w:name="Colorful Shading Accent 6"/>
    <w:lsdException w:uiPriority="72" w:name="Colorful List Accent 6"/>
    <w:lsdException w:uiPriority="73" w:name="Colorful Grid Accent 6"/>
  </w:latentStyles>
  <w:style w:type="paragraph" w:default="1" w:styleId="1">
    <w:name w:val="Normal"/>
    <w:next w:val="2"/>
    <w:qFormat/>
    <w:uiPriority w:val="0"/>
    <w:pPr>
      <w:widowControl w:val="0"/>
      <w:spacing w:line="360" w:lineRule="auto"/>
      <w:jc w:val="both"/>
    </w:pPr>
    <w:rPr>
      <w:kern w:val="2"/>
      <w:sz w:val="21"/>
      <w:lang w:val="en-US" w:eastAsia="zh-CN" w:bidi="ar-SA"/>
    </w:rPr>
  </w:style>
  <w:style w:type="paragraph" w:styleId="3">
    <w:name w:val="heading 1"/>
    <w:basedOn w:val="1"/>
    <w:link w:val="190"/>
    <w:qFormat/>
    <w:uiPriority w:val="0"/>
    <w:pPr>
      <w:adjustRightInd w:val="0"/>
      <w:jc w:val="center"/>
      <w:textAlignment w:val="baseline"/>
      <w:outlineLvl w:val="0"/>
    </w:pPr>
    <w:rPr>
      <w:b/>
      <w:kern w:val="0"/>
      <w:sz w:val="30"/>
    </w:rPr>
  </w:style>
  <w:style w:type="paragraph" w:styleId="4">
    <w:name w:val="heading 2"/>
    <w:basedOn w:val="1"/>
    <w:next w:val="1"/>
    <w:link w:val="353"/>
    <w:qFormat/>
    <w:uiPriority w:val="0"/>
    <w:pPr>
      <w:tabs>
        <w:tab w:val="left" w:pos="1260"/>
        <w:tab w:val="left" w:pos="1575"/>
      </w:tabs>
      <w:jc w:val="left"/>
      <w:outlineLvl w:val="1"/>
    </w:pPr>
    <w:rPr>
      <w:b/>
    </w:rPr>
  </w:style>
  <w:style w:type="paragraph" w:styleId="2">
    <w:name w:val="heading 3"/>
    <w:basedOn w:val="1"/>
    <w:next w:val="1"/>
    <w:link w:val="415"/>
    <w:qFormat/>
    <w:uiPriority w:val="0"/>
    <w:pPr>
      <w:keepNext/>
      <w:keepLines/>
      <w:spacing w:before="260" w:after="260" w:line="416" w:lineRule="auto"/>
      <w:outlineLvl w:val="2"/>
    </w:pPr>
    <w:rPr>
      <w:b/>
      <w:bCs/>
      <w:sz w:val="32"/>
      <w:szCs w:val="32"/>
    </w:rPr>
  </w:style>
  <w:style w:type="paragraph" w:styleId="5">
    <w:name w:val="heading 4"/>
    <w:basedOn w:val="2"/>
    <w:link w:val="362"/>
    <w:qFormat/>
    <w:uiPriority w:val="0"/>
    <w:pPr>
      <w:keepNext w:val="0"/>
      <w:keepLines w:val="0"/>
      <w:tabs>
        <w:tab w:val="left" w:pos="1575"/>
        <w:tab w:val="left" w:pos="1680"/>
        <w:tab w:val="left" w:pos="1771"/>
        <w:tab w:val="left" w:pos="1995"/>
        <w:tab w:val="left" w:pos="2100"/>
      </w:tabs>
      <w:adjustRightInd w:val="0"/>
      <w:spacing w:before="0" w:after="0" w:line="400" w:lineRule="exact"/>
      <w:textAlignment w:val="baseline"/>
      <w:outlineLvl w:val="3"/>
    </w:pPr>
    <w:rPr>
      <w:b w:val="0"/>
      <w:bCs w:val="0"/>
      <w:kern w:val="0"/>
      <w:sz w:val="24"/>
      <w:szCs w:val="20"/>
    </w:rPr>
  </w:style>
  <w:style w:type="paragraph" w:styleId="6">
    <w:name w:val="heading 5"/>
    <w:basedOn w:val="5"/>
    <w:link w:val="206"/>
    <w:qFormat/>
    <w:uiPriority w:val="0"/>
    <w:pPr>
      <w:tabs>
        <w:tab w:val="left" w:pos="2520"/>
        <w:tab w:val="clear" w:pos="1575"/>
        <w:tab w:val="clear" w:pos="1680"/>
        <w:tab w:val="clear" w:pos="1771"/>
        <w:tab w:val="clear" w:pos="1995"/>
        <w:tab w:val="clear" w:pos="2100"/>
      </w:tabs>
      <w:outlineLvl w:val="4"/>
    </w:pPr>
  </w:style>
  <w:style w:type="paragraph" w:styleId="7">
    <w:name w:val="heading 6"/>
    <w:basedOn w:val="6"/>
    <w:link w:val="138"/>
    <w:qFormat/>
    <w:uiPriority w:val="0"/>
    <w:pPr>
      <w:tabs>
        <w:tab w:val="left" w:pos="2940"/>
        <w:tab w:val="clear" w:pos="2520"/>
      </w:tabs>
      <w:outlineLvl w:val="5"/>
    </w:pPr>
  </w:style>
  <w:style w:type="paragraph" w:styleId="8">
    <w:name w:val="heading 7"/>
    <w:basedOn w:val="7"/>
    <w:link w:val="287"/>
    <w:qFormat/>
    <w:uiPriority w:val="99"/>
    <w:pPr>
      <w:tabs>
        <w:tab w:val="left" w:pos="3360"/>
        <w:tab w:val="clear" w:pos="2940"/>
      </w:tabs>
      <w:outlineLvl w:val="6"/>
    </w:pPr>
  </w:style>
  <w:style w:type="paragraph" w:styleId="9">
    <w:name w:val="heading 8"/>
    <w:basedOn w:val="8"/>
    <w:link w:val="198"/>
    <w:qFormat/>
    <w:uiPriority w:val="99"/>
    <w:pPr>
      <w:tabs>
        <w:tab w:val="left" w:pos="3780"/>
        <w:tab w:val="clear" w:pos="3360"/>
      </w:tabs>
      <w:outlineLvl w:val="7"/>
    </w:pPr>
  </w:style>
  <w:style w:type="paragraph" w:styleId="10">
    <w:name w:val="heading 9"/>
    <w:basedOn w:val="9"/>
    <w:link w:val="326"/>
    <w:qFormat/>
    <w:uiPriority w:val="99"/>
    <w:pPr>
      <w:tabs>
        <w:tab w:val="left" w:pos="480"/>
        <w:tab w:val="left" w:pos="4200"/>
        <w:tab w:val="clear" w:pos="3780"/>
      </w:tabs>
      <w:outlineLvl w:val="8"/>
    </w:pPr>
  </w:style>
  <w:style w:type="character" w:default="1" w:styleId="56">
    <w:name w:val="Default Paragraph Font"/>
    <w:unhideWhenUsed/>
    <w:uiPriority w:val="1"/>
  </w:style>
  <w:style w:type="table" w:default="1" w:styleId="53">
    <w:name w:val="Normal Table"/>
    <w:unhideWhenUsed/>
    <w:uiPriority w:val="99"/>
    <w:tblPr>
      <w:tblStyle w:val="53"/>
      <w:tblCellMar>
        <w:top w:w="0" w:type="dxa"/>
        <w:left w:w="108" w:type="dxa"/>
        <w:bottom w:w="0" w:type="dxa"/>
        <w:right w:w="108" w:type="dxa"/>
      </w:tblCellMar>
    </w:tblPr>
  </w:style>
  <w:style w:type="paragraph" w:styleId="11">
    <w:name w:val="toc 7"/>
    <w:basedOn w:val="1"/>
    <w:next w:val="1"/>
    <w:unhideWhenUsed/>
    <w:qFormat/>
    <w:uiPriority w:val="39"/>
    <w:pPr>
      <w:spacing w:line="240" w:lineRule="auto"/>
      <w:ind w:left="1260"/>
      <w:jc w:val="left"/>
    </w:pPr>
    <w:rPr>
      <w:rFonts w:ascii="等线" w:hAnsi="等线" w:eastAsia="等线"/>
      <w:sz w:val="18"/>
      <w:szCs w:val="18"/>
    </w:rPr>
  </w:style>
  <w:style w:type="paragraph" w:styleId="12">
    <w:name w:val="List Number"/>
    <w:basedOn w:val="1"/>
    <w:qFormat/>
    <w:uiPriority w:val="0"/>
    <w:pPr>
      <w:tabs>
        <w:tab w:val="left" w:pos="360"/>
      </w:tabs>
      <w:ind w:left="360" w:hanging="360"/>
    </w:pPr>
  </w:style>
  <w:style w:type="paragraph" w:styleId="13">
    <w:name w:val="Normal Indent"/>
    <w:basedOn w:val="1"/>
    <w:link w:val="409"/>
    <w:qFormat/>
    <w:uiPriority w:val="0"/>
    <w:pPr>
      <w:widowControl/>
      <w:adjustRightInd w:val="0"/>
      <w:snapToGrid w:val="0"/>
      <w:spacing w:line="480" w:lineRule="exact"/>
      <w:ind w:firstLine="567"/>
    </w:pPr>
    <w:rPr>
      <w:rFonts w:ascii="宋体"/>
      <w:snapToGrid w:val="0"/>
      <w:color w:val="000000"/>
      <w:kern w:val="28"/>
      <w:sz w:val="28"/>
    </w:rPr>
  </w:style>
  <w:style w:type="paragraph" w:styleId="14">
    <w:name w:val="caption"/>
    <w:basedOn w:val="1"/>
    <w:next w:val="1"/>
    <w:link w:val="293"/>
    <w:qFormat/>
    <w:uiPriority w:val="0"/>
    <w:pPr>
      <w:spacing w:before="152" w:after="160"/>
    </w:pPr>
    <w:rPr>
      <w:rFonts w:ascii="Arial" w:hAnsi="Arial" w:eastAsia="黑体"/>
      <w:sz w:val="20"/>
    </w:rPr>
  </w:style>
  <w:style w:type="paragraph" w:styleId="15">
    <w:name w:val="List Bullet"/>
    <w:basedOn w:val="1"/>
    <w:unhideWhenUsed/>
    <w:uiPriority w:val="0"/>
    <w:pPr>
      <w:tabs>
        <w:tab w:val="left" w:pos="360"/>
      </w:tabs>
      <w:spacing w:line="240" w:lineRule="auto"/>
      <w:ind w:left="360" w:hanging="360" w:hangingChars="200"/>
      <w:contextualSpacing/>
    </w:pPr>
    <w:rPr>
      <w:rFonts w:ascii="Times New Roman" w:hAnsi="Times New Roman"/>
      <w:sz w:val="52"/>
      <w:szCs w:val="24"/>
    </w:rPr>
  </w:style>
  <w:style w:type="paragraph" w:styleId="16">
    <w:name w:val="Document Map"/>
    <w:basedOn w:val="1"/>
    <w:link w:val="434"/>
    <w:qFormat/>
    <w:uiPriority w:val="99"/>
    <w:pPr>
      <w:spacing w:line="240" w:lineRule="auto"/>
    </w:pPr>
    <w:rPr>
      <w:rFonts w:ascii="宋体"/>
      <w:sz w:val="18"/>
      <w:szCs w:val="18"/>
    </w:rPr>
  </w:style>
  <w:style w:type="paragraph" w:styleId="17">
    <w:name w:val="annotation text"/>
    <w:basedOn w:val="1"/>
    <w:link w:val="441"/>
    <w:qFormat/>
    <w:uiPriority w:val="99"/>
    <w:pPr>
      <w:jc w:val="left"/>
    </w:pPr>
    <w:rPr>
      <w:szCs w:val="24"/>
    </w:rPr>
  </w:style>
  <w:style w:type="paragraph" w:styleId="18">
    <w:name w:val="Body Text 3"/>
    <w:basedOn w:val="1"/>
    <w:link w:val="177"/>
    <w:qFormat/>
    <w:uiPriority w:val="99"/>
    <w:pPr>
      <w:spacing w:line="500" w:lineRule="exact"/>
      <w:jc w:val="center"/>
    </w:pPr>
    <w:rPr>
      <w:rFonts w:ascii="宋体" w:hAnsi="宋体"/>
      <w:b/>
      <w:bCs/>
      <w:sz w:val="36"/>
      <w:szCs w:val="32"/>
    </w:rPr>
  </w:style>
  <w:style w:type="paragraph" w:styleId="19">
    <w:name w:val="Body Text"/>
    <w:basedOn w:val="1"/>
    <w:link w:val="253"/>
    <w:qFormat/>
    <w:uiPriority w:val="0"/>
    <w:pPr>
      <w:adjustRightInd w:val="0"/>
      <w:textAlignment w:val="baseline"/>
    </w:pPr>
    <w:rPr>
      <w:rFonts w:ascii="宋体" w:hAnsi="宋体"/>
      <w:sz w:val="32"/>
    </w:rPr>
  </w:style>
  <w:style w:type="paragraph" w:styleId="20">
    <w:name w:val="Body Text Indent"/>
    <w:basedOn w:val="1"/>
    <w:next w:val="1"/>
    <w:link w:val="386"/>
    <w:qFormat/>
    <w:uiPriority w:val="0"/>
    <w:pPr>
      <w:ind w:firstLine="560" w:firstLineChars="200"/>
    </w:pPr>
    <w:rPr>
      <w:sz w:val="28"/>
      <w:szCs w:val="24"/>
    </w:rPr>
  </w:style>
  <w:style w:type="paragraph" w:styleId="21">
    <w:name w:val="List Number 3"/>
    <w:basedOn w:val="1"/>
    <w:qFormat/>
    <w:uiPriority w:val="0"/>
    <w:pPr>
      <w:tabs>
        <w:tab w:val="left" w:pos="1200"/>
      </w:tabs>
      <w:ind w:left="1200" w:hanging="360"/>
    </w:pPr>
    <w:rPr>
      <w:szCs w:val="24"/>
    </w:rPr>
  </w:style>
  <w:style w:type="paragraph" w:styleId="22">
    <w:name w:val="List 2"/>
    <w:basedOn w:val="1"/>
    <w:qFormat/>
    <w:uiPriority w:val="0"/>
    <w:pPr>
      <w:ind w:left="100" w:leftChars="200" w:hanging="200" w:hangingChars="200"/>
    </w:pPr>
  </w:style>
  <w:style w:type="paragraph" w:styleId="23">
    <w:name w:val="Block Text"/>
    <w:basedOn w:val="1"/>
    <w:qFormat/>
    <w:uiPriority w:val="0"/>
    <w:pPr>
      <w:adjustRightInd w:val="0"/>
      <w:snapToGrid w:val="0"/>
      <w:spacing w:line="300" w:lineRule="auto"/>
      <w:ind w:left="958" w:right="-120" w:rightChars="-120"/>
      <w:jc w:val="left"/>
    </w:pPr>
    <w:rPr>
      <w:rFonts w:hint="eastAsia" w:ascii="宋体" w:hAnsi="宋体"/>
      <w:sz w:val="28"/>
    </w:rPr>
  </w:style>
  <w:style w:type="paragraph" w:styleId="24">
    <w:name w:val="List Bullet 2"/>
    <w:basedOn w:val="1"/>
    <w:uiPriority w:val="0"/>
    <w:pPr>
      <w:tabs>
        <w:tab w:val="left" w:pos="960"/>
      </w:tabs>
      <w:spacing w:line="240" w:lineRule="auto"/>
      <w:ind w:left="960" w:hanging="420"/>
      <w:outlineLvl w:val="0"/>
    </w:pPr>
    <w:rPr>
      <w:rFonts w:ascii="Times New Roman" w:hAnsi="Times New Roman"/>
      <w:color w:val="0000FF"/>
      <w:sz w:val="24"/>
    </w:rPr>
  </w:style>
  <w:style w:type="paragraph" w:styleId="25">
    <w:name w:val="toc 5"/>
    <w:basedOn w:val="1"/>
    <w:next w:val="1"/>
    <w:unhideWhenUsed/>
    <w:qFormat/>
    <w:uiPriority w:val="39"/>
    <w:pPr>
      <w:spacing w:line="240" w:lineRule="auto"/>
      <w:ind w:left="840"/>
      <w:jc w:val="left"/>
    </w:pPr>
    <w:rPr>
      <w:rFonts w:ascii="等线" w:hAnsi="等线" w:eastAsia="等线"/>
      <w:sz w:val="18"/>
      <w:szCs w:val="18"/>
    </w:rPr>
  </w:style>
  <w:style w:type="paragraph" w:styleId="26">
    <w:name w:val="toc 3"/>
    <w:basedOn w:val="1"/>
    <w:next w:val="1"/>
    <w:qFormat/>
    <w:uiPriority w:val="39"/>
    <w:pPr>
      <w:ind w:left="840" w:leftChars="400"/>
    </w:pPr>
  </w:style>
  <w:style w:type="paragraph" w:styleId="27">
    <w:name w:val="Plain Text"/>
    <w:basedOn w:val="1"/>
    <w:link w:val="385"/>
    <w:qFormat/>
    <w:uiPriority w:val="0"/>
    <w:rPr>
      <w:rFonts w:ascii="宋体" w:hAnsi="Courier New"/>
    </w:rPr>
  </w:style>
  <w:style w:type="paragraph" w:styleId="28">
    <w:name w:val="toc 8"/>
    <w:basedOn w:val="1"/>
    <w:next w:val="1"/>
    <w:unhideWhenUsed/>
    <w:qFormat/>
    <w:uiPriority w:val="39"/>
    <w:pPr>
      <w:spacing w:line="240" w:lineRule="auto"/>
      <w:ind w:left="1470"/>
      <w:jc w:val="left"/>
    </w:pPr>
    <w:rPr>
      <w:rFonts w:ascii="等线" w:hAnsi="等线" w:eastAsia="等线"/>
      <w:sz w:val="18"/>
      <w:szCs w:val="18"/>
    </w:rPr>
  </w:style>
  <w:style w:type="paragraph" w:styleId="29">
    <w:name w:val="Date"/>
    <w:basedOn w:val="1"/>
    <w:next w:val="1"/>
    <w:link w:val="442"/>
    <w:qFormat/>
    <w:uiPriority w:val="99"/>
    <w:pPr>
      <w:ind w:left="2500" w:leftChars="2500"/>
    </w:pPr>
    <w:rPr>
      <w:rFonts w:eastAsia="楷体_GB2312"/>
      <w:sz w:val="32"/>
    </w:rPr>
  </w:style>
  <w:style w:type="paragraph" w:styleId="30">
    <w:name w:val="Body Text Indent 2"/>
    <w:basedOn w:val="1"/>
    <w:link w:val="401"/>
    <w:qFormat/>
    <w:uiPriority w:val="99"/>
    <w:pPr>
      <w:ind w:left="916" w:hanging="916" w:hangingChars="333"/>
    </w:pPr>
    <w:rPr>
      <w:rFonts w:eastAsia="黑体"/>
      <w:b/>
      <w:bCs/>
      <w:sz w:val="28"/>
    </w:rPr>
  </w:style>
  <w:style w:type="paragraph" w:styleId="31">
    <w:name w:val="Balloon Text"/>
    <w:basedOn w:val="1"/>
    <w:link w:val="104"/>
    <w:qFormat/>
    <w:uiPriority w:val="0"/>
    <w:rPr>
      <w:sz w:val="18"/>
      <w:szCs w:val="18"/>
    </w:rPr>
  </w:style>
  <w:style w:type="paragraph" w:styleId="32">
    <w:name w:val="footer"/>
    <w:basedOn w:val="1"/>
    <w:link w:val="433"/>
    <w:qFormat/>
    <w:uiPriority w:val="0"/>
    <w:pPr>
      <w:tabs>
        <w:tab w:val="center" w:pos="4153"/>
        <w:tab w:val="right" w:pos="8306"/>
      </w:tabs>
      <w:snapToGrid w:val="0"/>
      <w:jc w:val="left"/>
    </w:pPr>
    <w:rPr>
      <w:sz w:val="18"/>
      <w:szCs w:val="18"/>
    </w:rPr>
  </w:style>
  <w:style w:type="paragraph" w:styleId="33">
    <w:name w:val="header"/>
    <w:basedOn w:val="1"/>
    <w:link w:val="118"/>
    <w:qFormat/>
    <w:uiPriority w:val="0"/>
    <w:pPr>
      <w:tabs>
        <w:tab w:val="center" w:pos="4153"/>
        <w:tab w:val="right" w:pos="8306"/>
      </w:tabs>
      <w:snapToGrid w:val="0"/>
      <w:jc w:val="center"/>
    </w:pPr>
    <w:rPr>
      <w:sz w:val="18"/>
    </w:rPr>
  </w:style>
  <w:style w:type="paragraph" w:styleId="34">
    <w:name w:val="toc 1"/>
    <w:basedOn w:val="1"/>
    <w:next w:val="1"/>
    <w:qFormat/>
    <w:uiPriority w:val="39"/>
    <w:rPr>
      <w:szCs w:val="24"/>
    </w:rPr>
  </w:style>
  <w:style w:type="paragraph" w:styleId="35">
    <w:name w:val="toc 4"/>
    <w:basedOn w:val="1"/>
    <w:next w:val="1"/>
    <w:qFormat/>
    <w:uiPriority w:val="39"/>
    <w:pPr>
      <w:ind w:left="1260" w:leftChars="600"/>
    </w:pPr>
  </w:style>
  <w:style w:type="paragraph" w:styleId="36">
    <w:name w:val="index heading"/>
    <w:basedOn w:val="1"/>
    <w:next w:val="37"/>
    <w:uiPriority w:val="0"/>
    <w:pPr>
      <w:spacing w:line="240" w:lineRule="auto"/>
    </w:pPr>
    <w:rPr>
      <w:rFonts w:ascii="Times New Roman" w:hAnsi="Times New Roman"/>
    </w:rPr>
  </w:style>
  <w:style w:type="paragraph" w:styleId="37">
    <w:name w:val="index 1"/>
    <w:basedOn w:val="1"/>
    <w:next w:val="1"/>
    <w:unhideWhenUsed/>
    <w:uiPriority w:val="0"/>
    <w:pPr>
      <w:spacing w:line="240" w:lineRule="auto"/>
    </w:pPr>
    <w:rPr>
      <w:rFonts w:ascii="Times New Roman" w:hAnsi="Times New Roman"/>
      <w:szCs w:val="24"/>
    </w:rPr>
  </w:style>
  <w:style w:type="paragraph" w:styleId="38">
    <w:name w:val="Subtitle"/>
    <w:basedOn w:val="1"/>
    <w:next w:val="1"/>
    <w:link w:val="212"/>
    <w:qFormat/>
    <w:uiPriority w:val="99"/>
    <w:pPr>
      <w:widowControl/>
      <w:spacing w:before="240" w:after="60" w:line="312" w:lineRule="auto"/>
      <w:jc w:val="center"/>
      <w:outlineLvl w:val="1"/>
    </w:pPr>
    <w:rPr>
      <w:rFonts w:ascii="Cambria" w:hAnsi="Cambria"/>
      <w:b/>
      <w:bCs/>
      <w:kern w:val="28"/>
      <w:sz w:val="32"/>
      <w:szCs w:val="32"/>
    </w:rPr>
  </w:style>
  <w:style w:type="paragraph" w:styleId="39">
    <w:name w:val="List"/>
    <w:basedOn w:val="1"/>
    <w:link w:val="124"/>
    <w:qFormat/>
    <w:uiPriority w:val="0"/>
    <w:pPr>
      <w:ind w:left="200" w:hanging="200"/>
    </w:pPr>
  </w:style>
  <w:style w:type="paragraph" w:styleId="40">
    <w:name w:val="footnote text"/>
    <w:basedOn w:val="1"/>
    <w:link w:val="278"/>
    <w:uiPriority w:val="0"/>
    <w:pPr>
      <w:snapToGrid w:val="0"/>
      <w:spacing w:line="240" w:lineRule="auto"/>
      <w:jc w:val="left"/>
    </w:pPr>
    <w:rPr>
      <w:sz w:val="18"/>
      <w:szCs w:val="18"/>
    </w:rPr>
  </w:style>
  <w:style w:type="paragraph" w:styleId="41">
    <w:name w:val="toc 6"/>
    <w:basedOn w:val="1"/>
    <w:next w:val="1"/>
    <w:unhideWhenUsed/>
    <w:qFormat/>
    <w:uiPriority w:val="39"/>
    <w:pPr>
      <w:spacing w:line="240" w:lineRule="auto"/>
      <w:ind w:left="1050"/>
      <w:jc w:val="left"/>
    </w:pPr>
    <w:rPr>
      <w:rFonts w:ascii="等线" w:hAnsi="等线" w:eastAsia="等线"/>
      <w:sz w:val="18"/>
      <w:szCs w:val="18"/>
    </w:rPr>
  </w:style>
  <w:style w:type="paragraph" w:styleId="42">
    <w:name w:val="Body Text Indent 3"/>
    <w:basedOn w:val="1"/>
    <w:link w:val="72"/>
    <w:qFormat/>
    <w:uiPriority w:val="99"/>
    <w:pPr>
      <w:adjustRightInd w:val="0"/>
      <w:ind w:left="638" w:leftChars="304"/>
    </w:pPr>
    <w:rPr>
      <w:sz w:val="32"/>
    </w:rPr>
  </w:style>
  <w:style w:type="paragraph" w:styleId="43">
    <w:name w:val="toc 2"/>
    <w:basedOn w:val="1"/>
    <w:next w:val="1"/>
    <w:qFormat/>
    <w:uiPriority w:val="0"/>
    <w:pPr>
      <w:ind w:left="420" w:leftChars="200"/>
    </w:pPr>
  </w:style>
  <w:style w:type="paragraph" w:styleId="44">
    <w:name w:val="toc 9"/>
    <w:basedOn w:val="1"/>
    <w:next w:val="1"/>
    <w:unhideWhenUsed/>
    <w:qFormat/>
    <w:uiPriority w:val="39"/>
    <w:pPr>
      <w:spacing w:line="240" w:lineRule="auto"/>
      <w:ind w:left="1680"/>
      <w:jc w:val="left"/>
    </w:pPr>
    <w:rPr>
      <w:rFonts w:ascii="等线" w:hAnsi="等线" w:eastAsia="等线"/>
      <w:sz w:val="18"/>
      <w:szCs w:val="18"/>
    </w:rPr>
  </w:style>
  <w:style w:type="paragraph" w:styleId="45">
    <w:name w:val="Body Text 2"/>
    <w:basedOn w:val="1"/>
    <w:link w:val="407"/>
    <w:qFormat/>
    <w:uiPriority w:val="99"/>
    <w:pPr>
      <w:jc w:val="center"/>
    </w:pPr>
    <w:rPr>
      <w:b/>
      <w:sz w:val="72"/>
    </w:rPr>
  </w:style>
  <w:style w:type="paragraph" w:styleId="46">
    <w:name w:val="List 4"/>
    <w:basedOn w:val="1"/>
    <w:uiPriority w:val="0"/>
    <w:pPr>
      <w:spacing w:line="240" w:lineRule="auto"/>
      <w:ind w:left="100" w:leftChars="600" w:hanging="200" w:hangingChars="200"/>
    </w:pPr>
    <w:rPr>
      <w:rFonts w:ascii="Times New Roman" w:hAnsi="Times New Roman" w:cs="Times New Roman"/>
    </w:rPr>
  </w:style>
  <w:style w:type="paragraph" w:styleId="47">
    <w:name w:val="HTML Preformatted"/>
    <w:basedOn w:val="1"/>
    <w:link w:val="254"/>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Courier New"/>
    </w:rPr>
  </w:style>
  <w:style w:type="paragraph" w:styleId="48">
    <w:name w:val="Normal (Web)"/>
    <w:basedOn w:val="1"/>
    <w:link w:val="291"/>
    <w:qFormat/>
    <w:uiPriority w:val="99"/>
    <w:pPr>
      <w:widowControl/>
      <w:spacing w:before="100" w:beforeAutospacing="1" w:after="100" w:afterAutospacing="1"/>
      <w:jc w:val="left"/>
    </w:pPr>
    <w:rPr>
      <w:rFonts w:ascii="宋体" w:hAnsi="宋体"/>
      <w:kern w:val="0"/>
      <w:sz w:val="24"/>
      <w:szCs w:val="24"/>
    </w:rPr>
  </w:style>
  <w:style w:type="paragraph" w:styleId="49">
    <w:name w:val="Title"/>
    <w:basedOn w:val="1"/>
    <w:next w:val="1"/>
    <w:link w:val="348"/>
    <w:qFormat/>
    <w:uiPriority w:val="99"/>
    <w:pPr>
      <w:spacing w:before="240" w:after="60"/>
      <w:jc w:val="center"/>
      <w:outlineLvl w:val="0"/>
    </w:pPr>
    <w:rPr>
      <w:rFonts w:ascii="Cambria" w:hAnsi="Cambria"/>
      <w:b/>
      <w:bCs/>
      <w:sz w:val="32"/>
      <w:szCs w:val="32"/>
    </w:rPr>
  </w:style>
  <w:style w:type="paragraph" w:styleId="50">
    <w:name w:val="annotation subject"/>
    <w:basedOn w:val="17"/>
    <w:next w:val="17"/>
    <w:link w:val="174"/>
    <w:qFormat/>
    <w:uiPriority w:val="99"/>
    <w:rPr>
      <w:b/>
      <w:bCs/>
      <w:szCs w:val="20"/>
    </w:rPr>
  </w:style>
  <w:style w:type="paragraph" w:styleId="51">
    <w:name w:val="Body Text First Indent"/>
    <w:basedOn w:val="19"/>
    <w:link w:val="331"/>
    <w:qFormat/>
    <w:uiPriority w:val="99"/>
    <w:pPr>
      <w:adjustRightInd/>
      <w:spacing w:after="120" w:line="240" w:lineRule="auto"/>
      <w:ind w:firstLine="420" w:firstLineChars="100"/>
      <w:textAlignment w:val="auto"/>
    </w:pPr>
    <w:rPr>
      <w:sz w:val="21"/>
    </w:rPr>
  </w:style>
  <w:style w:type="paragraph" w:styleId="52">
    <w:name w:val="Body Text First Indent 2"/>
    <w:basedOn w:val="20"/>
    <w:link w:val="261"/>
    <w:uiPriority w:val="0"/>
    <w:pPr>
      <w:spacing w:after="120" w:line="240" w:lineRule="auto"/>
      <w:ind w:left="420" w:leftChars="200" w:firstLine="420"/>
    </w:pPr>
    <w:rPr>
      <w:rFonts w:ascii="宋体" w:hAnsi="Courier New"/>
      <w:spacing w:val="-4"/>
      <w:sz w:val="21"/>
    </w:rPr>
  </w:style>
  <w:style w:type="table" w:styleId="54">
    <w:name w:val="Table Grid"/>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5">
    <w:name w:val="Table Grid 8"/>
    <w:basedOn w:val="53"/>
    <w:uiPriority w:val="0"/>
    <w:rPr>
      <w:rFonts w:ascii="Times New Roman" w:hAnsi="Times New Roman" w:cs="Times New Roman"/>
    </w:rPr>
    <w:tblPr>
      <w:tblStyle w:val="53"/>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blStyle w:val="53"/>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blStyle w:val="53"/>
      </w:tblPr>
      <w:tcPr>
        <w:tcBorders>
          <w:top w:val="nil"/>
          <w:left w:val="nil"/>
          <w:bottom w:val="nil"/>
          <w:right w:val="nil"/>
          <w:insideH w:val="nil"/>
          <w:insideV w:val="nil"/>
          <w:tl2br w:val="nil"/>
          <w:tr2bl w:val="nil"/>
        </w:tcBorders>
      </w:tcPr>
    </w:tblStylePr>
    <w:tblStylePr w:type="lastCol">
      <w:rPr>
        <w:b/>
        <w:bCs/>
        <w:color w:val="auto"/>
      </w:rPr>
      <w:tblPr>
        <w:tblStyle w:val="53"/>
      </w:tblPr>
      <w:tcPr>
        <w:tcBorders>
          <w:top w:val="nil"/>
          <w:left w:val="nil"/>
          <w:bottom w:val="nil"/>
          <w:right w:val="nil"/>
          <w:insideH w:val="nil"/>
          <w:insideV w:val="nil"/>
          <w:tl2br w:val="nil"/>
          <w:tr2bl w:val="nil"/>
        </w:tcBorders>
      </w:tcPr>
    </w:tblStylePr>
  </w:style>
  <w:style w:type="character" w:styleId="57">
    <w:name w:val="Strong"/>
    <w:qFormat/>
    <w:uiPriority w:val="0"/>
    <w:rPr>
      <w:b/>
      <w:bCs/>
    </w:rPr>
  </w:style>
  <w:style w:type="character" w:styleId="58">
    <w:name w:val="page number"/>
    <w:qFormat/>
    <w:uiPriority w:val="0"/>
  </w:style>
  <w:style w:type="character" w:styleId="59">
    <w:name w:val="FollowedHyperlink"/>
    <w:qFormat/>
    <w:uiPriority w:val="99"/>
    <w:rPr>
      <w:color w:val="800080"/>
      <w:u w:val="single"/>
    </w:rPr>
  </w:style>
  <w:style w:type="character" w:styleId="60">
    <w:name w:val="Emphasis"/>
    <w:qFormat/>
    <w:uiPriority w:val="20"/>
    <w:rPr>
      <w:i/>
      <w:iCs/>
    </w:rPr>
  </w:style>
  <w:style w:type="character" w:styleId="61">
    <w:name w:val="Hyperlink"/>
    <w:qFormat/>
    <w:uiPriority w:val="99"/>
    <w:rPr>
      <w:color w:val="0000FF"/>
      <w:u w:val="single"/>
    </w:rPr>
  </w:style>
  <w:style w:type="character" w:styleId="62">
    <w:name w:val="annotation reference"/>
    <w:qFormat/>
    <w:uiPriority w:val="0"/>
    <w:rPr>
      <w:sz w:val="21"/>
      <w:szCs w:val="21"/>
    </w:rPr>
  </w:style>
  <w:style w:type="character" w:styleId="63">
    <w:name w:val="HTML Cite"/>
    <w:uiPriority w:val="0"/>
    <w:rPr>
      <w:color w:val="008000"/>
    </w:rPr>
  </w:style>
  <w:style w:type="character" w:styleId="64">
    <w:name w:val="footnote reference"/>
    <w:unhideWhenUsed/>
    <w:uiPriority w:val="0"/>
    <w:rPr>
      <w:vertAlign w:val="superscript"/>
    </w:rPr>
  </w:style>
  <w:style w:type="character" w:styleId="65">
    <w:name w:val="HTML Sample"/>
    <w:unhideWhenUsed/>
    <w:uiPriority w:val="99"/>
    <w:rPr>
      <w:rFonts w:ascii="宋体" w:hAnsi="宋体" w:eastAsia="宋体" w:cs="宋体"/>
    </w:rPr>
  </w:style>
  <w:style w:type="character" w:customStyle="1" w:styleId="66">
    <w:name w:val="页眉 Char1"/>
    <w:uiPriority w:val="0"/>
    <w:rPr>
      <w:rFonts w:ascii="Times New Roman" w:hAnsi="Times New Roman"/>
      <w:kern w:val="2"/>
      <w:sz w:val="18"/>
      <w:szCs w:val="18"/>
    </w:rPr>
  </w:style>
  <w:style w:type="character" w:customStyle="1" w:styleId="67">
    <w:name w:val="style2"/>
    <w:uiPriority w:val="0"/>
  </w:style>
  <w:style w:type="character" w:customStyle="1" w:styleId="68">
    <w:name w:val="1级标题 Char"/>
    <w:link w:val="69"/>
    <w:uiPriority w:val="0"/>
    <w:rPr>
      <w:rFonts w:ascii="黑体" w:hAnsi="黑体" w:eastAsia="黑体"/>
      <w:sz w:val="36"/>
      <w:szCs w:val="36"/>
      <w:lang w:eastAsia="en-US" w:bidi="en-US"/>
    </w:rPr>
  </w:style>
  <w:style w:type="paragraph" w:customStyle="1" w:styleId="69">
    <w:name w:val="1级标题"/>
    <w:basedOn w:val="70"/>
    <w:link w:val="68"/>
    <w:qFormat/>
    <w:uiPriority w:val="0"/>
    <w:pPr>
      <w:keepLines/>
      <w:pageBreakBefore/>
      <w:numPr>
        <w:ilvl w:val="0"/>
        <w:numId w:val="1"/>
      </w:numPr>
      <w:spacing w:before="240" w:after="240"/>
      <w:ind w:firstLine="0" w:firstLineChars="0"/>
      <w:contextualSpacing/>
      <w:jc w:val="center"/>
      <w:outlineLvl w:val="0"/>
    </w:pPr>
    <w:rPr>
      <w:rFonts w:ascii="黑体" w:hAnsi="黑体" w:eastAsia="黑体"/>
      <w:kern w:val="0"/>
      <w:sz w:val="36"/>
      <w:szCs w:val="36"/>
      <w:lang w:eastAsia="en-US" w:bidi="en-US"/>
    </w:rPr>
  </w:style>
  <w:style w:type="paragraph" w:styleId="70">
    <w:name w:val="List Paragraph"/>
    <w:basedOn w:val="1"/>
    <w:link w:val="436"/>
    <w:qFormat/>
    <w:uiPriority w:val="34"/>
    <w:pPr>
      <w:ind w:firstLine="420" w:firstLineChars="200"/>
    </w:pPr>
    <w:rPr>
      <w:rFonts w:ascii="Calibri" w:hAnsi="Calibri"/>
    </w:rPr>
  </w:style>
  <w:style w:type="character" w:customStyle="1" w:styleId="71">
    <w:name w:val="c121"/>
    <w:uiPriority w:val="0"/>
    <w:rPr>
      <w:color w:val="0258B7"/>
      <w:sz w:val="24"/>
      <w:szCs w:val="24"/>
    </w:rPr>
  </w:style>
  <w:style w:type="character" w:customStyle="1" w:styleId="72">
    <w:name w:val="正文文本缩进 3 字符1"/>
    <w:link w:val="42"/>
    <w:qFormat/>
    <w:uiPriority w:val="99"/>
    <w:rPr>
      <w:kern w:val="2"/>
      <w:sz w:val="32"/>
    </w:rPr>
  </w:style>
  <w:style w:type="character" w:customStyle="1" w:styleId="73">
    <w:name w:val="文档结构图 Char"/>
    <w:uiPriority w:val="0"/>
    <w:rPr>
      <w:rFonts w:ascii="宋体"/>
      <w:kern w:val="2"/>
      <w:sz w:val="18"/>
      <w:szCs w:val="18"/>
    </w:rPr>
  </w:style>
  <w:style w:type="character" w:customStyle="1" w:styleId="74">
    <w:name w:val="脚注文本 Char1"/>
    <w:semiHidden/>
    <w:uiPriority w:val="0"/>
    <w:rPr>
      <w:kern w:val="2"/>
      <w:sz w:val="18"/>
      <w:szCs w:val="18"/>
    </w:rPr>
  </w:style>
  <w:style w:type="character" w:customStyle="1" w:styleId="75">
    <w:name w:val="Comment Text Char"/>
    <w:qFormat/>
    <w:uiPriority w:val="0"/>
    <w:rPr>
      <w:kern w:val="2"/>
      <w:sz w:val="22"/>
    </w:rPr>
  </w:style>
  <w:style w:type="character" w:customStyle="1" w:styleId="76">
    <w:name w:val="标题 9 Char"/>
    <w:aliases w:val="ft Char,ft1 Char,table Char,heading 9 Char,t Char,table left Char,tl Char,HF Char,figures Char,9 Char,Appendix Char,Code eg's Char"/>
    <w:uiPriority w:val="0"/>
    <w:rPr>
      <w:rFonts w:ascii="Arial" w:hAnsi="Arial" w:eastAsia="楷体_GB2312" w:cs="Times New Roman"/>
      <w:b/>
      <w:i/>
      <w:kern w:val="0"/>
      <w:sz w:val="18"/>
      <w:szCs w:val="20"/>
      <w:lang w:val="en-US" w:eastAsia="zh-CN"/>
    </w:rPr>
  </w:style>
  <w:style w:type="character" w:customStyle="1" w:styleId="77">
    <w:name w:val="WW8Num9z6"/>
    <w:qFormat/>
    <w:uiPriority w:val="0"/>
  </w:style>
  <w:style w:type="character" w:customStyle="1" w:styleId="78">
    <w:name w:val="批注框文本 Char1"/>
    <w:qFormat/>
    <w:locked/>
    <w:uiPriority w:val="0"/>
    <w:rPr>
      <w:kern w:val="2"/>
      <w:sz w:val="18"/>
      <w:szCs w:val="18"/>
    </w:rPr>
  </w:style>
  <w:style w:type="character" w:customStyle="1" w:styleId="79">
    <w:name w:val="文档结构图 字符"/>
    <w:qFormat/>
    <w:uiPriority w:val="0"/>
    <w:rPr>
      <w:rFonts w:ascii="宋体"/>
      <w:kern w:val="2"/>
      <w:sz w:val="18"/>
      <w:szCs w:val="18"/>
    </w:rPr>
  </w:style>
  <w:style w:type="character" w:customStyle="1" w:styleId="80">
    <w:name w:val="HTML 预设格式 Char1"/>
    <w:qFormat/>
    <w:uiPriority w:val="0"/>
    <w:rPr>
      <w:rFonts w:ascii="Courier New" w:hAnsi="Courier New" w:cs="Courier New"/>
      <w:kern w:val="2"/>
    </w:rPr>
  </w:style>
  <w:style w:type="character" w:customStyle="1" w:styleId="81">
    <w:name w:val="标题 1 字符1"/>
    <w:qFormat/>
    <w:uiPriority w:val="9"/>
    <w:rPr>
      <w:b/>
      <w:bCs/>
      <w:kern w:val="44"/>
      <w:sz w:val="30"/>
      <w:szCs w:val="44"/>
    </w:rPr>
  </w:style>
  <w:style w:type="character" w:customStyle="1" w:styleId="82">
    <w:name w:val="纯文本 字符3"/>
    <w:qFormat/>
    <w:uiPriority w:val="0"/>
    <w:rPr>
      <w:rFonts w:ascii="宋体" w:hAnsi="Courier New" w:eastAsia="宋体"/>
      <w:kern w:val="2"/>
      <w:sz w:val="21"/>
      <w:lang w:val="en-US" w:eastAsia="zh-CN" w:bidi="ar-SA"/>
    </w:rPr>
  </w:style>
  <w:style w:type="character" w:customStyle="1" w:styleId="83">
    <w:name w:val="WW8Num16z6"/>
    <w:qFormat/>
    <w:uiPriority w:val="0"/>
  </w:style>
  <w:style w:type="character" w:customStyle="1" w:styleId="84">
    <w:name w:val="标题 8 字符1"/>
    <w:uiPriority w:val="0"/>
    <w:rPr>
      <w:rFonts w:ascii="Cambria" w:hAnsi="Cambria" w:eastAsia="宋体"/>
      <w:kern w:val="2"/>
      <w:sz w:val="24"/>
      <w:szCs w:val="24"/>
      <w:lang w:val="en-US" w:eastAsia="zh-CN" w:bidi="ar-SA"/>
    </w:rPr>
  </w:style>
  <w:style w:type="character" w:customStyle="1" w:styleId="85">
    <w:name w:val="内容文本 Char"/>
    <w:link w:val="86"/>
    <w:uiPriority w:val="0"/>
    <w:rPr>
      <w:rFonts w:ascii="宋体" w:hAnsi="宋体"/>
      <w:sz w:val="21"/>
      <w:szCs w:val="24"/>
      <w:lang w:eastAsia="en-US" w:bidi="en-US"/>
    </w:rPr>
  </w:style>
  <w:style w:type="paragraph" w:customStyle="1" w:styleId="86">
    <w:name w:val="内容文本"/>
    <w:basedOn w:val="70"/>
    <w:link w:val="85"/>
    <w:qFormat/>
    <w:uiPriority w:val="0"/>
    <w:pPr>
      <w:ind w:firstLine="200"/>
      <w:contextualSpacing/>
      <w:jc w:val="left"/>
    </w:pPr>
    <w:rPr>
      <w:rFonts w:ascii="宋体" w:hAnsi="宋体"/>
      <w:kern w:val="0"/>
      <w:szCs w:val="24"/>
      <w:lang w:eastAsia="en-US" w:bidi="en-US"/>
    </w:rPr>
  </w:style>
  <w:style w:type="character" w:customStyle="1" w:styleId="87">
    <w:name w:val="图片 Char"/>
    <w:link w:val="88"/>
    <w:qFormat/>
    <w:uiPriority w:val="0"/>
    <w:rPr>
      <w:rFonts w:ascii="仿宋" w:hAnsi="宋体" w:cs="Times New Roman"/>
      <w:kern w:val="2"/>
      <w:sz w:val="24"/>
      <w:szCs w:val="24"/>
    </w:rPr>
  </w:style>
  <w:style w:type="paragraph" w:customStyle="1" w:styleId="88">
    <w:name w:val="图片"/>
    <w:basedOn w:val="1"/>
    <w:link w:val="87"/>
    <w:qFormat/>
    <w:uiPriority w:val="0"/>
    <w:pPr>
      <w:jc w:val="center"/>
    </w:pPr>
    <w:rPr>
      <w:rFonts w:ascii="仿宋" w:hAnsi="宋体"/>
      <w:sz w:val="24"/>
      <w:szCs w:val="24"/>
    </w:rPr>
  </w:style>
  <w:style w:type="character" w:customStyle="1" w:styleId="89">
    <w:name w:val="WW8Num13z8"/>
    <w:qFormat/>
    <w:uiPriority w:val="0"/>
  </w:style>
  <w:style w:type="character" w:customStyle="1" w:styleId="90">
    <w:name w:val="WW8Num12z7"/>
    <w:qFormat/>
    <w:uiPriority w:val="0"/>
  </w:style>
  <w:style w:type="character" w:customStyle="1" w:styleId="91">
    <w:name w:val="WW8Num10z0"/>
    <w:qFormat/>
    <w:uiPriority w:val="0"/>
    <w:rPr>
      <w:rFonts w:hint="default" w:ascii="Wingdings" w:hAnsi="Wingdings" w:cs="Wingdings"/>
    </w:rPr>
  </w:style>
  <w:style w:type="character" w:customStyle="1" w:styleId="92">
    <w:name w:val="正文段 Char"/>
    <w:link w:val="93"/>
    <w:qFormat/>
    <w:uiPriority w:val="0"/>
    <w:rPr>
      <w:sz w:val="24"/>
    </w:rPr>
  </w:style>
  <w:style w:type="paragraph" w:customStyle="1" w:styleId="93">
    <w:name w:val="正文段"/>
    <w:basedOn w:val="1"/>
    <w:link w:val="92"/>
    <w:qFormat/>
    <w:uiPriority w:val="0"/>
    <w:pPr>
      <w:widowControl/>
      <w:snapToGrid w:val="0"/>
      <w:spacing w:afterLines="50"/>
      <w:ind w:firstLine="200" w:firstLineChars="200"/>
    </w:pPr>
    <w:rPr>
      <w:kern w:val="0"/>
      <w:sz w:val="24"/>
    </w:rPr>
  </w:style>
  <w:style w:type="character" w:customStyle="1" w:styleId="94">
    <w:name w:val="WW8Num2z7"/>
    <w:qFormat/>
    <w:uiPriority w:val="0"/>
  </w:style>
  <w:style w:type="character" w:customStyle="1" w:styleId="95">
    <w:name w:val="标题 8 Char"/>
    <w:aliases w:val="tt Char,tt1 Char,Figure Char,heading 8 Char,No num/gap Char"/>
    <w:uiPriority w:val="0"/>
    <w:rPr>
      <w:rFonts w:ascii="Arial" w:hAnsi="Arial" w:eastAsia="楷体_GB2312" w:cs="Times New Roman"/>
      <w:i/>
      <w:kern w:val="0"/>
      <w:sz w:val="20"/>
      <w:szCs w:val="20"/>
      <w:lang w:val="en-US" w:eastAsia="zh-CN"/>
    </w:rPr>
  </w:style>
  <w:style w:type="character" w:customStyle="1" w:styleId="96">
    <w:name w:val="WW8Num5z7"/>
    <w:qFormat/>
    <w:uiPriority w:val="0"/>
  </w:style>
  <w:style w:type="character" w:customStyle="1" w:styleId="97">
    <w:name w:val="WW8Num2z8"/>
    <w:qFormat/>
    <w:uiPriority w:val="0"/>
  </w:style>
  <w:style w:type="character" w:customStyle="1" w:styleId="98">
    <w:name w:val="Char Char7"/>
    <w:qFormat/>
    <w:uiPriority w:val="0"/>
    <w:rPr>
      <w:rFonts w:ascii="Calibri Light" w:hAnsi="Calibri Light" w:eastAsia="宋体" w:cs="Calibri Light"/>
      <w:b/>
      <w:bCs/>
      <w:kern w:val="1"/>
      <w:sz w:val="28"/>
      <w:szCs w:val="28"/>
      <w:lang w:val="en-US" w:eastAsia="ar-SA" w:bidi="ar-SA"/>
    </w:rPr>
  </w:style>
  <w:style w:type="character" w:customStyle="1" w:styleId="99">
    <w:name w:val="正文文本首行缩进 2 字符1"/>
    <w:semiHidden/>
    <w:uiPriority w:val="0"/>
    <w:rPr>
      <w:rFonts w:eastAsia="宋体"/>
      <w:kern w:val="2"/>
      <w:sz w:val="21"/>
      <w:szCs w:val="24"/>
      <w:lang w:val="en-US" w:eastAsia="zh-CN" w:bidi="ar-SA"/>
    </w:rPr>
  </w:style>
  <w:style w:type="character" w:customStyle="1" w:styleId="100">
    <w:name w:val="hover25"/>
    <w:uiPriority w:val="0"/>
    <w:rPr>
      <w:color w:val="315EFB"/>
    </w:rPr>
  </w:style>
  <w:style w:type="character" w:customStyle="1" w:styleId="101">
    <w:name w:val="WW8Num6z4"/>
    <w:qFormat/>
    <w:uiPriority w:val="0"/>
  </w:style>
  <w:style w:type="character" w:customStyle="1" w:styleId="102">
    <w:name w:val="font61"/>
    <w:qFormat/>
    <w:uiPriority w:val="0"/>
    <w:rPr>
      <w:rFonts w:hint="eastAsia" w:ascii="宋体" w:hAnsi="宋体" w:eastAsia="宋体" w:cs="宋体"/>
      <w:color w:val="000000"/>
      <w:sz w:val="20"/>
      <w:szCs w:val="20"/>
      <w:u w:val="none"/>
    </w:rPr>
  </w:style>
  <w:style w:type="character" w:styleId="103">
    <w:name w:val=""/>
    <w:qFormat/>
    <w:uiPriority w:val="19"/>
    <w:rPr>
      <w:i/>
      <w:iCs/>
      <w:color w:val="808080"/>
    </w:rPr>
  </w:style>
  <w:style w:type="character" w:customStyle="1" w:styleId="104">
    <w:name w:val="批注框文本 字符2"/>
    <w:link w:val="31"/>
    <w:qFormat/>
    <w:uiPriority w:val="0"/>
    <w:rPr>
      <w:kern w:val="2"/>
      <w:sz w:val="18"/>
      <w:szCs w:val="18"/>
    </w:rPr>
  </w:style>
  <w:style w:type="character" w:customStyle="1" w:styleId="105">
    <w:name w:val="zbggmain style9"/>
    <w:qFormat/>
    <w:uiPriority w:val="0"/>
  </w:style>
  <w:style w:type="character" w:customStyle="1" w:styleId="106">
    <w:name w:val="说明 Char"/>
    <w:link w:val="107"/>
    <w:qFormat/>
    <w:uiPriority w:val="0"/>
    <w:rPr>
      <w:rFonts w:ascii="仿宋" w:hAnsi="仿宋" w:eastAsia="仿宋" w:cs="仿宋"/>
      <w:iCs/>
      <w:color w:val="FF0000"/>
      <w:kern w:val="2"/>
      <w:sz w:val="24"/>
      <w:szCs w:val="24"/>
    </w:rPr>
  </w:style>
  <w:style w:type="paragraph" w:customStyle="1" w:styleId="107">
    <w:name w:val="说明"/>
    <w:basedOn w:val="1"/>
    <w:link w:val="106"/>
    <w:qFormat/>
    <w:uiPriority w:val="0"/>
    <w:pPr>
      <w:adjustRightInd w:val="0"/>
      <w:ind w:firstLine="640" w:firstLineChars="200"/>
      <w:jc w:val="left"/>
    </w:pPr>
    <w:rPr>
      <w:rFonts w:ascii="仿宋" w:hAnsi="仿宋" w:eastAsia="仿宋"/>
      <w:iCs/>
      <w:color w:val="FF0000"/>
      <w:sz w:val="24"/>
      <w:szCs w:val="24"/>
    </w:rPr>
  </w:style>
  <w:style w:type="character" w:customStyle="1" w:styleId="108">
    <w:name w:val="WW8Num5z0"/>
    <w:qFormat/>
    <w:uiPriority w:val="0"/>
    <w:rPr>
      <w:rFonts w:hint="default"/>
    </w:rPr>
  </w:style>
  <w:style w:type="character" w:customStyle="1" w:styleId="109">
    <w:name w:val="批注文字 Char2"/>
    <w:uiPriority w:val="0"/>
    <w:rPr>
      <w:kern w:val="2"/>
      <w:sz w:val="21"/>
      <w:szCs w:val="24"/>
    </w:rPr>
  </w:style>
  <w:style w:type="character" w:customStyle="1" w:styleId="110">
    <w:name w:val="访问过的超链接1"/>
    <w:qFormat/>
    <w:uiPriority w:val="0"/>
    <w:rPr>
      <w:color w:val="800080"/>
      <w:u w:val="single"/>
    </w:rPr>
  </w:style>
  <w:style w:type="character" w:customStyle="1" w:styleId="111">
    <w:name w:val="标题 9 字符"/>
    <w:qFormat/>
    <w:uiPriority w:val="0"/>
    <w:rPr>
      <w:sz w:val="24"/>
    </w:rPr>
  </w:style>
  <w:style w:type="character" w:customStyle="1" w:styleId="112">
    <w:name w:val="WW8Num9z2"/>
    <w:qFormat/>
    <w:uiPriority w:val="0"/>
  </w:style>
  <w:style w:type="character" w:customStyle="1" w:styleId="113">
    <w:name w:val="WW8Num13z7"/>
    <w:qFormat/>
    <w:uiPriority w:val="0"/>
  </w:style>
  <w:style w:type="character" w:customStyle="1" w:styleId="114">
    <w:name w:val="表格 Char Char"/>
    <w:link w:val="115"/>
    <w:uiPriority w:val="0"/>
    <w:rPr>
      <w:rFonts w:ascii="宋体" w:hAnsi="宋体"/>
    </w:rPr>
  </w:style>
  <w:style w:type="paragraph" w:customStyle="1" w:styleId="115">
    <w:name w:val="表格"/>
    <w:basedOn w:val="1"/>
    <w:link w:val="114"/>
    <w:uiPriority w:val="0"/>
    <w:pPr>
      <w:snapToGrid w:val="0"/>
      <w:spacing w:line="240" w:lineRule="auto"/>
      <w:ind w:firstLine="42" w:firstLineChars="21"/>
    </w:pPr>
    <w:rPr>
      <w:rFonts w:ascii="宋体" w:hAnsi="宋体"/>
      <w:kern w:val="0"/>
      <w:sz w:val="20"/>
    </w:rPr>
  </w:style>
  <w:style w:type="character" w:customStyle="1" w:styleId="116">
    <w:name w:val="列表段落 字符"/>
    <w:qFormat/>
    <w:uiPriority w:val="34"/>
    <w:rPr>
      <w:rFonts w:ascii="Calibri" w:hAnsi="Calibri" w:cs="Calibri"/>
      <w:kern w:val="2"/>
      <w:sz w:val="21"/>
      <w:szCs w:val="21"/>
    </w:rPr>
  </w:style>
  <w:style w:type="character" w:customStyle="1" w:styleId="117">
    <w:name w:val="font41"/>
    <w:qFormat/>
    <w:uiPriority w:val="0"/>
    <w:rPr>
      <w:rFonts w:hint="eastAsia" w:ascii="宋体" w:hAnsi="宋体" w:eastAsia="宋体" w:cs="宋体"/>
      <w:color w:val="000000"/>
      <w:sz w:val="18"/>
      <w:szCs w:val="18"/>
      <w:u w:val="none"/>
    </w:rPr>
  </w:style>
  <w:style w:type="character" w:customStyle="1" w:styleId="118">
    <w:name w:val="页眉 字符2"/>
    <w:link w:val="33"/>
    <w:qFormat/>
    <w:uiPriority w:val="0"/>
    <w:rPr>
      <w:kern w:val="2"/>
      <w:sz w:val="18"/>
    </w:rPr>
  </w:style>
  <w:style w:type="character" w:customStyle="1" w:styleId="119">
    <w:name w:val="Char Char5"/>
    <w:qFormat/>
    <w:uiPriority w:val="0"/>
    <w:rPr>
      <w:rFonts w:ascii="Calibri Light" w:hAnsi="Calibri Light" w:eastAsia="宋体" w:cs="Calibri Light"/>
      <w:b/>
      <w:bCs/>
      <w:kern w:val="1"/>
      <w:sz w:val="24"/>
      <w:szCs w:val="24"/>
      <w:lang w:val="en-US" w:eastAsia="ar-SA" w:bidi="ar-SA"/>
    </w:rPr>
  </w:style>
  <w:style w:type="character" w:customStyle="1" w:styleId="120">
    <w:name w:val="apple-converted-space"/>
    <w:qFormat/>
    <w:uiPriority w:val="0"/>
  </w:style>
  <w:style w:type="character" w:customStyle="1" w:styleId="121">
    <w:name w:val="WW8Num2z0"/>
    <w:qFormat/>
    <w:uiPriority w:val="0"/>
    <w:rPr>
      <w:rFonts w:hint="eastAsia"/>
    </w:rPr>
  </w:style>
  <w:style w:type="character" w:customStyle="1" w:styleId="122">
    <w:name w:val="WW8Num5z1"/>
    <w:qFormat/>
    <w:uiPriority w:val="0"/>
  </w:style>
  <w:style w:type="character" w:customStyle="1" w:styleId="123">
    <w:name w:val="Char Char101"/>
    <w:qFormat/>
    <w:uiPriority w:val="0"/>
    <w:rPr>
      <w:rFonts w:eastAsia="宋体"/>
      <w:b/>
      <w:bCs/>
      <w:kern w:val="1"/>
      <w:sz w:val="44"/>
      <w:szCs w:val="44"/>
      <w:lang w:val="en-US" w:eastAsia="ar-SA" w:bidi="ar-SA"/>
    </w:rPr>
  </w:style>
  <w:style w:type="character" w:customStyle="1" w:styleId="124">
    <w:name w:val="列表 字符"/>
    <w:link w:val="39"/>
    <w:uiPriority w:val="0"/>
    <w:rPr>
      <w:kern w:val="2"/>
      <w:sz w:val="21"/>
    </w:rPr>
  </w:style>
  <w:style w:type="character" w:customStyle="1" w:styleId="125">
    <w:name w:val="WW8Num5z6"/>
    <w:qFormat/>
    <w:uiPriority w:val="0"/>
  </w:style>
  <w:style w:type="character" w:customStyle="1" w:styleId="126">
    <w:name w:val="WW8Num4z2"/>
    <w:qFormat/>
    <w:uiPriority w:val="0"/>
  </w:style>
  <w:style w:type="character" w:styleId="127">
    <w:name w:val=""/>
    <w:qFormat/>
    <w:uiPriority w:val="31"/>
    <w:rPr>
      <w:smallCaps/>
      <w:color w:val="C0504D"/>
      <w:u w:val="single"/>
    </w:rPr>
  </w:style>
  <w:style w:type="character" w:customStyle="1" w:styleId="128">
    <w:name w:val="WW8Num5z8"/>
    <w:qFormat/>
    <w:uiPriority w:val="0"/>
  </w:style>
  <w:style w:type="character" w:customStyle="1" w:styleId="129">
    <w:name w:val="批注主题 字符2"/>
    <w:qFormat/>
    <w:uiPriority w:val="0"/>
    <w:rPr>
      <w:rFonts w:eastAsia="宋体"/>
      <w:b/>
      <w:bCs/>
      <w:kern w:val="2"/>
      <w:sz w:val="21"/>
      <w:szCs w:val="24"/>
      <w:lang w:val="en-US" w:eastAsia="zh-CN" w:bidi="ar-SA"/>
    </w:rPr>
  </w:style>
  <w:style w:type="character" w:customStyle="1" w:styleId="130">
    <w:name w:val="正文文本 Char2"/>
    <w:uiPriority w:val="0"/>
    <w:rPr>
      <w:rFonts w:cs="Times New Roman"/>
      <w:kern w:val="2"/>
      <w:sz w:val="24"/>
      <w:szCs w:val="24"/>
    </w:rPr>
  </w:style>
  <w:style w:type="character" w:customStyle="1" w:styleId="131">
    <w:name w:val="WW8Num13z6"/>
    <w:qFormat/>
    <w:uiPriority w:val="0"/>
  </w:style>
  <w:style w:type="character" w:customStyle="1" w:styleId="132">
    <w:name w:val="标题 5 字符1"/>
    <w:qFormat/>
    <w:uiPriority w:val="9"/>
    <w:rPr>
      <w:rFonts w:ascii="Calibri" w:hAnsi="Calibri" w:eastAsia="宋体"/>
      <w:b/>
      <w:bCs/>
      <w:kern w:val="2"/>
      <w:sz w:val="28"/>
      <w:szCs w:val="28"/>
      <w:lang w:val="en-US" w:eastAsia="zh-CN" w:bidi="ar-SA"/>
    </w:rPr>
  </w:style>
  <w:style w:type="character" w:customStyle="1" w:styleId="133">
    <w:name w:val="日期 字符"/>
    <w:qFormat/>
    <w:uiPriority w:val="0"/>
    <w:rPr>
      <w:rFonts w:eastAsia="楷体_GB2312"/>
      <w:kern w:val="2"/>
      <w:sz w:val="32"/>
    </w:rPr>
  </w:style>
  <w:style w:type="character" w:customStyle="1" w:styleId="134">
    <w:name w:val="页脚 字符1"/>
    <w:qFormat/>
    <w:uiPriority w:val="99"/>
    <w:rPr>
      <w:rFonts w:eastAsia="宋体"/>
      <w:kern w:val="2"/>
      <w:sz w:val="18"/>
      <w:szCs w:val="18"/>
      <w:lang w:val="en-US" w:eastAsia="zh-CN" w:bidi="ar-SA"/>
    </w:rPr>
  </w:style>
  <w:style w:type="character" w:customStyle="1" w:styleId="135">
    <w:name w:val="文字 Char"/>
    <w:link w:val="136"/>
    <w:uiPriority w:val="0"/>
    <w:rPr>
      <w:rFonts w:ascii="楷体_GB2312" w:eastAsia="楷体_GB2312"/>
      <w:kern w:val="2"/>
      <w:sz w:val="28"/>
    </w:rPr>
  </w:style>
  <w:style w:type="paragraph" w:customStyle="1" w:styleId="136">
    <w:name w:val="文字"/>
    <w:basedOn w:val="1"/>
    <w:link w:val="135"/>
    <w:qFormat/>
    <w:uiPriority w:val="0"/>
    <w:pPr>
      <w:tabs>
        <w:tab w:val="left" w:pos="8520"/>
      </w:tabs>
      <w:spacing w:line="312" w:lineRule="auto"/>
      <w:ind w:right="-210" w:firstLine="556"/>
    </w:pPr>
    <w:rPr>
      <w:rFonts w:ascii="楷体_GB2312" w:eastAsia="楷体_GB2312"/>
      <w:sz w:val="28"/>
    </w:rPr>
  </w:style>
  <w:style w:type="character" w:customStyle="1" w:styleId="137">
    <w:name w:val="批注框文本 Char"/>
    <w:uiPriority w:val="0"/>
    <w:rPr>
      <w:kern w:val="2"/>
      <w:sz w:val="18"/>
      <w:szCs w:val="18"/>
    </w:rPr>
  </w:style>
  <w:style w:type="character" w:customStyle="1" w:styleId="138">
    <w:name w:val="标题 6 字符2"/>
    <w:link w:val="7"/>
    <w:qFormat/>
    <w:uiPriority w:val="0"/>
    <w:rPr>
      <w:sz w:val="24"/>
    </w:rPr>
  </w:style>
  <w:style w:type="character" w:customStyle="1" w:styleId="139">
    <w:name w:val="WW8Num7z0"/>
    <w:qFormat/>
    <w:uiPriority w:val="0"/>
    <w:rPr>
      <w:rFonts w:hint="default" w:ascii="Wingdings" w:hAnsi="Wingdings" w:cs="Wingdings"/>
    </w:rPr>
  </w:style>
  <w:style w:type="character" w:customStyle="1" w:styleId="140">
    <w:name w:val="WW8Num4z3"/>
    <w:qFormat/>
    <w:uiPriority w:val="0"/>
  </w:style>
  <w:style w:type="character" w:customStyle="1" w:styleId="141">
    <w:name w:val="文档结构图 Char2"/>
    <w:semiHidden/>
    <w:uiPriority w:val="99"/>
    <w:rPr>
      <w:rFonts w:ascii="宋体" w:hAnsi="Times New Roman"/>
      <w:kern w:val="2"/>
      <w:sz w:val="18"/>
      <w:szCs w:val="18"/>
    </w:rPr>
  </w:style>
  <w:style w:type="character" w:customStyle="1" w:styleId="142">
    <w:name w:val="WW8Num11z8"/>
    <w:qFormat/>
    <w:uiPriority w:val="0"/>
  </w:style>
  <w:style w:type="character" w:customStyle="1" w:styleId="143">
    <w:name w:val="正文缩进 Char"/>
    <w:aliases w:val="正文对齐 Char,正文不缩进 Char,四号 Char,标题4 Char,样式3 Char,段1 Char,正文非缩进 Char,特点 Char1,ALT+Z Char,水上软件 Char,特点 Char Char,特点正文 Char,PI Char,首行缩进 Char,正文缩进（首行缩进两字） Char,标题四 Char,缩进 Char,正文双线 Char,表正文1 Char,正文非缩进1 Char,标题41 Char,四号1 Char,特点1 Char"/>
    <w:qFormat/>
    <w:uiPriority w:val="0"/>
    <w:rPr>
      <w:rFonts w:eastAsia="宋体"/>
      <w:kern w:val="2"/>
      <w:sz w:val="21"/>
      <w:lang w:val="en-US" w:eastAsia="zh-CN" w:bidi="ar-SA"/>
    </w:rPr>
  </w:style>
  <w:style w:type="character" w:customStyle="1" w:styleId="144">
    <w:name w:val="正文缩进 字符"/>
    <w:qFormat/>
    <w:uiPriority w:val="0"/>
    <w:rPr>
      <w:rFonts w:ascii="宋体"/>
      <w:snapToGrid/>
      <w:color w:val="000000"/>
      <w:kern w:val="28"/>
      <w:sz w:val="28"/>
    </w:rPr>
  </w:style>
  <w:style w:type="character" w:customStyle="1" w:styleId="145">
    <w:name w:val="正文文本 Char1"/>
    <w:qFormat/>
    <w:uiPriority w:val="0"/>
    <w:rPr>
      <w:kern w:val="2"/>
      <w:sz w:val="28"/>
      <w:szCs w:val="24"/>
    </w:rPr>
  </w:style>
  <w:style w:type="character" w:customStyle="1" w:styleId="146">
    <w:name w:val="WW8Num4z8"/>
    <w:qFormat/>
    <w:uiPriority w:val="0"/>
  </w:style>
  <w:style w:type="character" w:customStyle="1" w:styleId="147">
    <w:name w:val="WW8Num14z0"/>
    <w:qFormat/>
    <w:uiPriority w:val="0"/>
    <w:rPr>
      <w:rFonts w:hint="default" w:ascii="Wingdings" w:hAnsi="Wingdings" w:cs="Wingdings"/>
    </w:rPr>
  </w:style>
  <w:style w:type="character" w:customStyle="1" w:styleId="148">
    <w:name w:val="纯文本 Char2"/>
    <w:aliases w:val="纯文本 Char Char Char2,普通文字 Char Char Char2,Texte Char1,小 Char1,普通文字1 Char1,正 文 1 Char1,0921 Char1,一般文字 字元 Char1,一般文字 字元 字元 字元 字元 Char1,一般文字 字元 字元 字元 字元 字元 字元 字元 字元 Char1,一般文字 字元 字元 字元 字元 字元 字元 字元 Char1"/>
    <w:qFormat/>
    <w:uiPriority w:val="0"/>
    <w:rPr>
      <w:rFonts w:ascii="宋体" w:hAnsi="Courier New" w:eastAsia="宋体"/>
      <w:kern w:val="2"/>
      <w:sz w:val="21"/>
      <w:lang w:val="en-US" w:eastAsia="zh-CN" w:bidi="ar-SA"/>
    </w:rPr>
  </w:style>
  <w:style w:type="character" w:customStyle="1" w:styleId="149">
    <w:name w:val="文档结构图 Char1"/>
    <w:qFormat/>
    <w:uiPriority w:val="0"/>
    <w:rPr>
      <w:rFonts w:ascii="宋体"/>
      <w:kern w:val="2"/>
      <w:sz w:val="18"/>
      <w:szCs w:val="18"/>
    </w:rPr>
  </w:style>
  <w:style w:type="character" w:customStyle="1" w:styleId="150">
    <w:name w:val="HTML 预设格式 Char"/>
    <w:qFormat/>
    <w:uiPriority w:val="0"/>
    <w:rPr>
      <w:rFonts w:ascii="Arial" w:hAnsi="Arial" w:cs="Arial"/>
      <w:sz w:val="24"/>
      <w:szCs w:val="24"/>
    </w:rPr>
  </w:style>
  <w:style w:type="character" w:customStyle="1" w:styleId="151">
    <w:name w:val="正文文本 2 字符"/>
    <w:qFormat/>
    <w:uiPriority w:val="0"/>
    <w:rPr>
      <w:b/>
      <w:kern w:val="2"/>
      <w:sz w:val="72"/>
    </w:rPr>
  </w:style>
  <w:style w:type="character" w:customStyle="1" w:styleId="152">
    <w:name w:val="标题 4 Char"/>
    <w:aliases w:val="四级 Char,第三层条 Char,H4 Char1,H4 Char Char,4th level Char Char,Ref Heading 1 Char,rh1 Char,Heading sql Char,sect 1.2.3.4 Char,h4 Char,First Subheading Char,bullet Char,bl Char,bb Char,L4 Char,4th level Char1,h41 Char,h42 Char,h43 Char,h411 Char"/>
    <w:uiPriority w:val="0"/>
    <w:rPr>
      <w:rFonts w:ascii="Times New Roman" w:hAnsi="Times New Roman" w:eastAsia="楷体_GB2312" w:cs="Times New Roman"/>
      <w:sz w:val="24"/>
    </w:rPr>
  </w:style>
  <w:style w:type="character" w:customStyle="1" w:styleId="153">
    <w:name w:val="纯文本 Char1"/>
    <w:aliases w:val="普通文字 Char Char1,纯文本 Char1 Char Char Char,纯文本 Char Char Char Char Char,纯文本 Char Char1 Char,纯文本 Char1 Char Char1,纯文本 Char Char Char Char1,普通文字 Char1,纯文本 Char Char Char1,纯文本 Char Char2,普通文字 Char Char Char1,普通文字1 Char,普通文字2 Char,普通文字3 Char,小 Char"/>
    <w:qFormat/>
    <w:uiPriority w:val="0"/>
    <w:rPr>
      <w:rFonts w:ascii="宋体" w:hAnsi="Courier New" w:eastAsia="宋体"/>
      <w:kern w:val="2"/>
      <w:sz w:val="21"/>
      <w:lang w:val="en-US" w:eastAsia="zh-CN" w:bidi="ar-SA"/>
    </w:rPr>
  </w:style>
  <w:style w:type="character" w:customStyle="1" w:styleId="154">
    <w:name w:val="WW8Num8z4"/>
    <w:qFormat/>
    <w:uiPriority w:val="0"/>
  </w:style>
  <w:style w:type="character" w:customStyle="1" w:styleId="155">
    <w:name w:val="WW8Num13z3"/>
    <w:qFormat/>
    <w:uiPriority w:val="0"/>
  </w:style>
  <w:style w:type="character" w:customStyle="1" w:styleId="156">
    <w:name w:val="WW8Num12z0"/>
    <w:qFormat/>
    <w:uiPriority w:val="0"/>
  </w:style>
  <w:style w:type="character" w:customStyle="1" w:styleId="157">
    <w:name w:val="WW8Num11z7"/>
    <w:qFormat/>
    <w:uiPriority w:val="0"/>
  </w:style>
  <w:style w:type="character" w:customStyle="1" w:styleId="158">
    <w:name w:val="文档结构图 字符1"/>
    <w:qFormat/>
    <w:uiPriority w:val="0"/>
    <w:rPr>
      <w:rFonts w:eastAsia="宋体"/>
      <w:kern w:val="2"/>
      <w:sz w:val="21"/>
      <w:szCs w:val="24"/>
      <w:lang w:val="en-US" w:eastAsia="zh-CN" w:bidi="ar-SA"/>
    </w:rPr>
  </w:style>
  <w:style w:type="character" w:customStyle="1" w:styleId="159">
    <w:name w:val="WW8Num12z6"/>
    <w:qFormat/>
    <w:uiPriority w:val="0"/>
  </w:style>
  <w:style w:type="character" w:customStyle="1" w:styleId="160">
    <w:name w:val="正文2 Char Char"/>
    <w:link w:val="161"/>
    <w:qFormat/>
    <w:uiPriority w:val="0"/>
    <w:rPr>
      <w:kern w:val="2"/>
      <w:sz w:val="24"/>
    </w:rPr>
  </w:style>
  <w:style w:type="paragraph" w:customStyle="1" w:styleId="161">
    <w:name w:val="正文2"/>
    <w:basedOn w:val="1"/>
    <w:link w:val="160"/>
    <w:qFormat/>
    <w:uiPriority w:val="0"/>
    <w:pPr>
      <w:spacing w:before="156"/>
      <w:ind w:firstLine="510" w:firstLineChars="200"/>
    </w:pPr>
    <w:rPr>
      <w:sz w:val="24"/>
    </w:rPr>
  </w:style>
  <w:style w:type="character" w:customStyle="1" w:styleId="162">
    <w:name w:val="WW8Num8z6"/>
    <w:qFormat/>
    <w:uiPriority w:val="0"/>
  </w:style>
  <w:style w:type="character" w:customStyle="1" w:styleId="163">
    <w:name w:val="正文文本缩进 3 Char1"/>
    <w:semiHidden/>
    <w:uiPriority w:val="99"/>
    <w:rPr>
      <w:rFonts w:ascii="Times New Roman" w:hAnsi="Times New Roman"/>
      <w:kern w:val="2"/>
      <w:sz w:val="16"/>
      <w:szCs w:val="16"/>
    </w:rPr>
  </w:style>
  <w:style w:type="character" w:customStyle="1" w:styleId="164">
    <w:name w:val="bookmark-item"/>
    <w:qFormat/>
    <w:uiPriority w:val="0"/>
  </w:style>
  <w:style w:type="character" w:customStyle="1" w:styleId="165">
    <w:name w:val="unnamed1"/>
    <w:qFormat/>
    <w:uiPriority w:val="0"/>
  </w:style>
  <w:style w:type="character" w:customStyle="1" w:styleId="166">
    <w:name w:val="font91"/>
    <w:qFormat/>
    <w:uiPriority w:val="0"/>
    <w:rPr>
      <w:rFonts w:hint="default" w:ascii="Times New Roman" w:hAnsi="Times New Roman" w:cs="Times New Roman"/>
      <w:color w:val="000000"/>
      <w:sz w:val="21"/>
      <w:szCs w:val="21"/>
      <w:u w:val="none"/>
    </w:rPr>
  </w:style>
  <w:style w:type="character" w:customStyle="1" w:styleId="167">
    <w:name w:val="标题 1 字符"/>
    <w:qFormat/>
    <w:uiPriority w:val="0"/>
    <w:rPr>
      <w:b/>
      <w:sz w:val="30"/>
    </w:rPr>
  </w:style>
  <w:style w:type="character" w:customStyle="1" w:styleId="168">
    <w:name w:val="grame"/>
    <w:uiPriority w:val="0"/>
  </w:style>
  <w:style w:type="character" w:customStyle="1" w:styleId="169">
    <w:name w:val="WW8Num2z1"/>
    <w:qFormat/>
    <w:uiPriority w:val="0"/>
  </w:style>
  <w:style w:type="character" w:customStyle="1" w:styleId="170">
    <w:name w:val="Char Char8"/>
    <w:qFormat/>
    <w:uiPriority w:val="0"/>
    <w:rPr>
      <w:rFonts w:ascii="仿宋_GB2312" w:hAnsi="仿宋_GB2312" w:eastAsia="仿宋_GB2312" w:cs="宋体"/>
      <w:kern w:val="1"/>
      <w:sz w:val="30"/>
      <w:lang w:val="en-US" w:eastAsia="ar-SA" w:bidi="ar-SA"/>
    </w:rPr>
  </w:style>
  <w:style w:type="character" w:customStyle="1" w:styleId="171">
    <w:name w:val="txt1"/>
    <w:uiPriority w:val="0"/>
    <w:rPr>
      <w:rFonts w:hint="default" w:ascii="ˎ̥" w:hAnsi="ˎ̥"/>
      <w:sz w:val="18"/>
      <w:szCs w:val="18"/>
    </w:rPr>
  </w:style>
  <w:style w:type="character" w:customStyle="1" w:styleId="172">
    <w:name w:val="表正文 Char1"/>
    <w:aliases w:val="特点 Char2,正文非缩进 Char1,ALT+Z Char1,水上软件 Char1,段1 Char1,正文不缩进 Char1,特点 Char Char1,特点正文 Char1,PI Char1,首行缩进 Char1,正文缩进（首行缩进两字） Char1,四号 Char1,标题四 Char1,缩进 Char1,标题4 Char1,正文双线 Char1,表正文1 Char1,正文非缩进1 Char1,标题41 Char1,四号1 Char1,特点1 Char1,表正文2 Char1"/>
    <w:qFormat/>
    <w:uiPriority w:val="0"/>
    <w:rPr>
      <w:rFonts w:ascii="宋体" w:hAnsi="Courier New" w:eastAsia="宋体"/>
      <w:kern w:val="2"/>
      <w:sz w:val="21"/>
    </w:rPr>
  </w:style>
  <w:style w:type="character" w:customStyle="1" w:styleId="173">
    <w:name w:val="15"/>
    <w:uiPriority w:val="0"/>
    <w:rPr>
      <w:rFonts w:hint="default" w:ascii="Times New Roman" w:hAnsi="Times New Roman" w:cs="Times New Roman"/>
      <w:color w:val="333333"/>
      <w:sz w:val="20"/>
      <w:szCs w:val="20"/>
    </w:rPr>
  </w:style>
  <w:style w:type="character" w:customStyle="1" w:styleId="174">
    <w:name w:val="批注主题 字符3"/>
    <w:link w:val="50"/>
    <w:qFormat/>
    <w:uiPriority w:val="99"/>
    <w:rPr>
      <w:b/>
      <w:bCs/>
      <w:kern w:val="2"/>
      <w:sz w:val="21"/>
    </w:rPr>
  </w:style>
  <w:style w:type="character" w:customStyle="1" w:styleId="175">
    <w:name w:val="正文文本 字符"/>
    <w:qFormat/>
    <w:uiPriority w:val="0"/>
    <w:rPr>
      <w:rFonts w:ascii="宋体" w:hAnsi="宋体" w:eastAsia="宋体"/>
      <w:kern w:val="2"/>
      <w:sz w:val="32"/>
      <w:lang w:val="en-US" w:eastAsia="zh-CN" w:bidi="ar-SA"/>
    </w:rPr>
  </w:style>
  <w:style w:type="character" w:customStyle="1" w:styleId="176">
    <w:name w:val="Char Char2"/>
    <w:qFormat/>
    <w:uiPriority w:val="0"/>
    <w:rPr>
      <w:rFonts w:ascii="宋体" w:hAnsi="Courier New" w:eastAsia="楷体_GB2312"/>
      <w:kern w:val="2"/>
      <w:sz w:val="26"/>
      <w:lang w:val="en-US" w:eastAsia="zh-CN" w:bidi="ar-SA"/>
    </w:rPr>
  </w:style>
  <w:style w:type="character" w:customStyle="1" w:styleId="177">
    <w:name w:val="正文文本 3 字符2"/>
    <w:link w:val="18"/>
    <w:qFormat/>
    <w:uiPriority w:val="99"/>
    <w:rPr>
      <w:rFonts w:ascii="宋体" w:hAnsi="宋体"/>
      <w:b/>
      <w:bCs/>
      <w:kern w:val="2"/>
      <w:sz w:val="36"/>
      <w:szCs w:val="32"/>
    </w:rPr>
  </w:style>
  <w:style w:type="character" w:customStyle="1" w:styleId="178">
    <w:name w:val="WW8Num9z5"/>
    <w:qFormat/>
    <w:uiPriority w:val="0"/>
  </w:style>
  <w:style w:type="character" w:customStyle="1" w:styleId="179">
    <w:name w:val="Char Char9"/>
    <w:qFormat/>
    <w:uiPriority w:val="0"/>
    <w:rPr>
      <w:rFonts w:ascii="Arial" w:hAnsi="Arial" w:eastAsia="黑体" w:cs="Arial"/>
      <w:b/>
      <w:bCs/>
      <w:kern w:val="1"/>
      <w:sz w:val="32"/>
      <w:szCs w:val="32"/>
      <w:lang w:val="en-US" w:eastAsia="ar-SA" w:bidi="ar-SA"/>
    </w:rPr>
  </w:style>
  <w:style w:type="character" w:customStyle="1" w:styleId="180">
    <w:name w:val="正文缩进 字符1"/>
    <w:qFormat/>
    <w:uiPriority w:val="0"/>
    <w:rPr>
      <w:rFonts w:eastAsia="宋体"/>
      <w:kern w:val="2"/>
      <w:sz w:val="21"/>
      <w:lang w:val="en-US" w:eastAsia="zh-CN" w:bidi="ar-SA"/>
    </w:rPr>
  </w:style>
  <w:style w:type="character" w:customStyle="1" w:styleId="181">
    <w:name w:val="WW8Num8z5"/>
    <w:qFormat/>
    <w:uiPriority w:val="0"/>
  </w:style>
  <w:style w:type="character" w:customStyle="1" w:styleId="182">
    <w:name w:val="列出段落 Char"/>
    <w:link w:val="183"/>
    <w:qFormat/>
    <w:uiPriority w:val="0"/>
    <w:rPr>
      <w:rFonts w:ascii="Times New Roman" w:hAnsi="Times New Roman" w:eastAsia="楷体_GB2312" w:cs="黑体"/>
      <w:kern w:val="2"/>
      <w:sz w:val="24"/>
    </w:rPr>
  </w:style>
  <w:style w:type="paragraph" w:customStyle="1" w:styleId="183">
    <w:name w:val="列表段落1"/>
    <w:basedOn w:val="1"/>
    <w:link w:val="182"/>
    <w:qFormat/>
    <w:uiPriority w:val="0"/>
    <w:pPr>
      <w:spacing w:line="240" w:lineRule="auto"/>
      <w:ind w:firstLine="420" w:firstLineChars="200"/>
    </w:pPr>
    <w:rPr>
      <w:rFonts w:eastAsia="楷体_GB2312"/>
      <w:sz w:val="24"/>
    </w:rPr>
  </w:style>
  <w:style w:type="character" w:customStyle="1" w:styleId="184">
    <w:name w:val="WW8Num8z2"/>
    <w:qFormat/>
    <w:uiPriority w:val="0"/>
  </w:style>
  <w:style w:type="character" w:customStyle="1" w:styleId="185">
    <w:name w:val="正文文本 Char"/>
    <w:qFormat/>
    <w:uiPriority w:val="99"/>
    <w:rPr>
      <w:kern w:val="2"/>
      <w:sz w:val="21"/>
      <w:szCs w:val="22"/>
    </w:rPr>
  </w:style>
  <w:style w:type="character" w:customStyle="1" w:styleId="186">
    <w:name w:val="Char Char6"/>
    <w:qFormat/>
    <w:uiPriority w:val="0"/>
    <w:rPr>
      <w:rFonts w:ascii="Calibri" w:hAnsi="Calibri" w:eastAsia="宋体" w:cs="Calibri"/>
      <w:b/>
      <w:bCs/>
      <w:kern w:val="1"/>
      <w:sz w:val="28"/>
      <w:szCs w:val="28"/>
      <w:lang w:val="en-US" w:eastAsia="ar-SA" w:bidi="ar-SA"/>
    </w:rPr>
  </w:style>
  <w:style w:type="character" w:customStyle="1" w:styleId="187">
    <w:name w:val="WW8Num12z1"/>
    <w:qFormat/>
    <w:uiPriority w:val="0"/>
  </w:style>
  <w:style w:type="character" w:customStyle="1" w:styleId="188">
    <w:name w:val="标题 6 字符1"/>
    <w:qFormat/>
    <w:uiPriority w:val="0"/>
    <w:rPr>
      <w:rFonts w:ascii="Cambria" w:hAnsi="Cambria" w:eastAsia="宋体"/>
      <w:b/>
      <w:bCs/>
      <w:kern w:val="2"/>
      <w:sz w:val="24"/>
      <w:szCs w:val="24"/>
      <w:lang w:val="en-US" w:eastAsia="zh-CN" w:bidi="ar-SA"/>
    </w:rPr>
  </w:style>
  <w:style w:type="character" w:customStyle="1" w:styleId="189">
    <w:name w:val="btn-lnk-alignl2"/>
    <w:uiPriority w:val="0"/>
  </w:style>
  <w:style w:type="character" w:customStyle="1" w:styleId="190">
    <w:name w:val="标题 1 字符2"/>
    <w:link w:val="3"/>
    <w:qFormat/>
    <w:uiPriority w:val="0"/>
    <w:rPr>
      <w:b/>
      <w:sz w:val="30"/>
    </w:rPr>
  </w:style>
  <w:style w:type="character" w:customStyle="1" w:styleId="191">
    <w:name w:val="Char Char91"/>
    <w:qFormat/>
    <w:uiPriority w:val="0"/>
    <w:rPr>
      <w:rFonts w:ascii="Arial" w:hAnsi="Arial" w:eastAsia="黑体" w:cs="Arial"/>
      <w:b/>
      <w:bCs/>
      <w:kern w:val="1"/>
      <w:sz w:val="32"/>
      <w:szCs w:val="32"/>
      <w:lang w:val="en-US" w:eastAsia="ar-SA" w:bidi="ar-SA"/>
    </w:rPr>
  </w:style>
  <w:style w:type="character" w:customStyle="1" w:styleId="192">
    <w:name w:val="WW8Num2z5"/>
    <w:qFormat/>
    <w:uiPriority w:val="0"/>
  </w:style>
  <w:style w:type="character" w:customStyle="1" w:styleId="193">
    <w:name w:val="标题 1 Char Char"/>
    <w:qFormat/>
    <w:uiPriority w:val="0"/>
    <w:rPr>
      <w:rFonts w:eastAsia="宋体"/>
      <w:b/>
      <w:spacing w:val="-2"/>
      <w:sz w:val="24"/>
      <w:lang w:val="en-US" w:eastAsia="zh-CN" w:bidi="ar-SA"/>
    </w:rPr>
  </w:style>
  <w:style w:type="character" w:customStyle="1" w:styleId="194">
    <w:name w:val="WW8Num6z0"/>
    <w:qFormat/>
    <w:uiPriority w:val="0"/>
  </w:style>
  <w:style w:type="character" w:customStyle="1" w:styleId="195">
    <w:name w:val="font141"/>
    <w:qFormat/>
    <w:uiPriority w:val="0"/>
    <w:rPr>
      <w:rFonts w:hint="eastAsia" w:ascii="宋体" w:hAnsi="宋体" w:eastAsia="宋体" w:cs="宋体"/>
      <w:color w:val="000000"/>
      <w:sz w:val="20"/>
      <w:szCs w:val="20"/>
      <w:u w:val="none"/>
    </w:rPr>
  </w:style>
  <w:style w:type="character" w:customStyle="1" w:styleId="196">
    <w:name w:val="引用 字符"/>
    <w:link w:val="197"/>
    <w:uiPriority w:val="29"/>
    <w:rPr>
      <w:rFonts w:ascii="Times New Roman" w:hAnsi="Times New Roman"/>
      <w:i/>
      <w:iCs/>
      <w:color w:val="000000"/>
      <w:kern w:val="2"/>
      <w:sz w:val="21"/>
      <w:szCs w:val="24"/>
    </w:rPr>
  </w:style>
  <w:style w:type="paragraph" w:styleId="197">
    <w:name w:val="Quote"/>
    <w:basedOn w:val="1"/>
    <w:next w:val="1"/>
    <w:link w:val="196"/>
    <w:qFormat/>
    <w:uiPriority w:val="29"/>
    <w:pPr>
      <w:spacing w:line="240" w:lineRule="auto"/>
    </w:pPr>
    <w:rPr>
      <w:i/>
      <w:iCs/>
      <w:color w:val="000000"/>
      <w:szCs w:val="24"/>
    </w:rPr>
  </w:style>
  <w:style w:type="character" w:customStyle="1" w:styleId="198">
    <w:name w:val="标题 8 字符2"/>
    <w:link w:val="9"/>
    <w:qFormat/>
    <w:uiPriority w:val="99"/>
    <w:rPr>
      <w:sz w:val="24"/>
    </w:rPr>
  </w:style>
  <w:style w:type="character" w:customStyle="1" w:styleId="199">
    <w:name w:val="font3"/>
    <w:qFormat/>
    <w:uiPriority w:val="0"/>
  </w:style>
  <w:style w:type="character" w:customStyle="1" w:styleId="200">
    <w:name w:val="标题 字符1"/>
    <w:qFormat/>
    <w:uiPriority w:val="0"/>
    <w:rPr>
      <w:rFonts w:ascii="Cambria" w:hAnsi="Cambria" w:eastAsia="宋体"/>
      <w:b/>
      <w:bCs/>
      <w:kern w:val="2"/>
      <w:sz w:val="32"/>
      <w:szCs w:val="32"/>
      <w:lang w:bidi="ar-SA"/>
    </w:rPr>
  </w:style>
  <w:style w:type="character" w:customStyle="1" w:styleId="201">
    <w:name w:val="WW8Num5z3"/>
    <w:qFormat/>
    <w:uiPriority w:val="0"/>
  </w:style>
  <w:style w:type="character" w:customStyle="1" w:styleId="202">
    <w:name w:val="WW8Num12z3"/>
    <w:qFormat/>
    <w:uiPriority w:val="0"/>
  </w:style>
  <w:style w:type="character" w:customStyle="1" w:styleId="203">
    <w:name w:val="标题 3 Char"/>
    <w:aliases w:val="三级 Char,Heading 3 - old Char,h3 Char,3rd level Char,3 Char,标题 3 Char1 Char,标题 3 Char Char Char,h3 Char Char Char,BOD 0 Char Char Char,H3 Char Char Char,l3 C... Char,BOD 0 Char,H3 Char,l3 Char,CT Char,Level 3 Head Char,Titre3 Char,list 3 Char"/>
    <w:uiPriority w:val="0"/>
    <w:rPr>
      <w:rFonts w:ascii="Times New Roman" w:hAnsi="Times New Roman" w:eastAsia="楷体_GB2312" w:cs="黑体"/>
      <w:sz w:val="24"/>
    </w:rPr>
  </w:style>
  <w:style w:type="character" w:customStyle="1" w:styleId="204">
    <w:name w:val="标题 6 Char"/>
    <w:aliases w:val="Figure label Char,h6 Char,l6 Char,hsm Char,cnp Char,Caption number (page-wide) Char,list 6 Char,h61 Char,heading 6 Char,Heading6 Char,H6 Char,Bullet list Char,PIM 6 Char,6 Char,L6 Char,submodule heading Char,BOD 4 Char,Sub-bullet point Char"/>
    <w:uiPriority w:val="0"/>
    <w:rPr>
      <w:rFonts w:ascii="Times New Roman" w:hAnsi="Times New Roman" w:eastAsia="楷体_GB2312" w:cs="Times New Roman"/>
      <w:i/>
      <w:sz w:val="22"/>
    </w:rPr>
  </w:style>
  <w:style w:type="character" w:customStyle="1" w:styleId="205">
    <w:name w:val="op_dict_text21"/>
    <w:uiPriority w:val="0"/>
  </w:style>
  <w:style w:type="character" w:customStyle="1" w:styleId="206">
    <w:name w:val="标题 5 字符2"/>
    <w:link w:val="6"/>
    <w:qFormat/>
    <w:uiPriority w:val="0"/>
    <w:rPr>
      <w:sz w:val="24"/>
    </w:rPr>
  </w:style>
  <w:style w:type="character" w:customStyle="1" w:styleId="207">
    <w:name w:val="日期 Char"/>
    <w:qFormat/>
    <w:uiPriority w:val="0"/>
    <w:rPr>
      <w:rFonts w:ascii="Calibri" w:hAnsi="Calibri" w:eastAsia="宋体" w:cs="Times New Roman"/>
    </w:rPr>
  </w:style>
  <w:style w:type="character" w:customStyle="1" w:styleId="208">
    <w:name w:val="正文缩进 Char1"/>
    <w:qFormat/>
    <w:uiPriority w:val="0"/>
    <w:rPr>
      <w:rFonts w:eastAsia="宋体"/>
      <w:kern w:val="2"/>
      <w:sz w:val="21"/>
      <w:lang w:val="en-US" w:eastAsia="zh-CN" w:bidi="ar-SA"/>
    </w:rPr>
  </w:style>
  <w:style w:type="character" w:styleId="209">
    <w:name w:val=""/>
    <w:unhideWhenUsed/>
    <w:uiPriority w:val="99"/>
    <w:rPr>
      <w:color w:val="605E5C"/>
      <w:shd w:val="clear" w:color="auto" w:fill="E1DFDD"/>
    </w:rPr>
  </w:style>
  <w:style w:type="character" w:customStyle="1" w:styleId="210">
    <w:name w:val="WW8Num6z2"/>
    <w:qFormat/>
    <w:uiPriority w:val="0"/>
  </w:style>
  <w:style w:type="character" w:customStyle="1" w:styleId="211">
    <w:name w:val="WW8Num13z1"/>
    <w:qFormat/>
    <w:uiPriority w:val="0"/>
  </w:style>
  <w:style w:type="character" w:customStyle="1" w:styleId="212">
    <w:name w:val="副标题 字符1"/>
    <w:link w:val="38"/>
    <w:qFormat/>
    <w:uiPriority w:val="99"/>
    <w:rPr>
      <w:rFonts w:ascii="Cambria" w:hAnsi="Cambria"/>
      <w:b/>
      <w:bCs/>
      <w:kern w:val="28"/>
      <w:sz w:val="32"/>
      <w:szCs w:val="32"/>
    </w:rPr>
  </w:style>
  <w:style w:type="character" w:customStyle="1" w:styleId="213">
    <w:name w:val="WW8Num12z4"/>
    <w:qFormat/>
    <w:uiPriority w:val="0"/>
  </w:style>
  <w:style w:type="character" w:customStyle="1" w:styleId="214">
    <w:name w:val="WW8Num16z0"/>
    <w:qFormat/>
    <w:uiPriority w:val="0"/>
    <w:rPr>
      <w:rFonts w:hint="eastAsia"/>
    </w:rPr>
  </w:style>
  <w:style w:type="character" w:customStyle="1" w:styleId="215">
    <w:name w:val="WW8Num16z5"/>
    <w:qFormat/>
    <w:uiPriority w:val="0"/>
  </w:style>
  <w:style w:type="character" w:customStyle="1" w:styleId="216">
    <w:name w:val="正文文本 3 Char1"/>
    <w:semiHidden/>
    <w:uiPriority w:val="99"/>
    <w:rPr>
      <w:rFonts w:ascii="Times New Roman" w:hAnsi="Times New Roman"/>
      <w:kern w:val="2"/>
      <w:sz w:val="16"/>
      <w:szCs w:val="16"/>
    </w:rPr>
  </w:style>
  <w:style w:type="character" w:customStyle="1" w:styleId="217">
    <w:name w:val="Char Char14"/>
    <w:locked/>
    <w:uiPriority w:val="0"/>
    <w:rPr>
      <w:kern w:val="2"/>
      <w:sz w:val="18"/>
      <w:szCs w:val="18"/>
    </w:rPr>
  </w:style>
  <w:style w:type="character" w:customStyle="1" w:styleId="218">
    <w:name w:val="未处理的提及1"/>
    <w:unhideWhenUsed/>
    <w:uiPriority w:val="99"/>
    <w:rPr>
      <w:color w:val="605E5C"/>
      <w:shd w:val="clear" w:color="auto" w:fill="E1DFDD"/>
    </w:rPr>
  </w:style>
  <w:style w:type="character" w:customStyle="1" w:styleId="219">
    <w:name w:val="标题 1 Char1"/>
    <w:qFormat/>
    <w:uiPriority w:val="0"/>
    <w:rPr>
      <w:b/>
      <w:sz w:val="30"/>
    </w:rPr>
  </w:style>
  <w:style w:type="character" w:customStyle="1" w:styleId="220">
    <w:name w:val="标题 2 Char"/>
    <w:aliases w:val="二级 Char,H2 Char,Heading 2 Hidden Char,Heading 2 CCBS Char,heading 2 Char,2nd level Char,h2 Char,Header 2 Char,l2 Char,Titre2 Char,Head 2 Char,Underrubrik1 Char,prop2 Char,heading 2+ Indent: Left 0.25 in Char,H21 Char,Level 2 Topic Heading Char"/>
    <w:qFormat/>
    <w:uiPriority w:val="9"/>
    <w:rPr>
      <w:rFonts w:ascii="Times New Roman" w:hAnsi="Times New Roman" w:eastAsia="楷体_GB2312" w:cs="Times New Roman"/>
      <w:sz w:val="24"/>
    </w:rPr>
  </w:style>
  <w:style w:type="character" w:customStyle="1" w:styleId="221">
    <w:name w:val="WW8Num16z8"/>
    <w:qFormat/>
    <w:uiPriority w:val="0"/>
  </w:style>
  <w:style w:type="character" w:customStyle="1" w:styleId="222">
    <w:name w:val="WW8Num13z4"/>
    <w:qFormat/>
    <w:uiPriority w:val="0"/>
  </w:style>
  <w:style w:type="character" w:customStyle="1" w:styleId="223">
    <w:name w:val="标题 7 Char"/>
    <w:aliases w:val="h7 Char,st Char,SDL title Char,NICMAN Heading 7 Char,PIM 7 Char,letter list Char,Para no numbering Char"/>
    <w:uiPriority w:val="0"/>
    <w:rPr>
      <w:rFonts w:ascii="Arial" w:hAnsi="Arial" w:eastAsia="楷体_GB2312" w:cs="Times New Roman"/>
      <w:sz w:val="20"/>
      <w:szCs w:val="20"/>
    </w:rPr>
  </w:style>
  <w:style w:type="character" w:customStyle="1" w:styleId="224">
    <w:name w:val="WW8Num8z3"/>
    <w:qFormat/>
    <w:uiPriority w:val="0"/>
  </w:style>
  <w:style w:type="character" w:customStyle="1" w:styleId="225">
    <w:name w:val="WW8Num4z1"/>
    <w:qFormat/>
    <w:uiPriority w:val="0"/>
  </w:style>
  <w:style w:type="character" w:customStyle="1" w:styleId="226">
    <w:name w:val="无间隔 Char"/>
    <w:link w:val="227"/>
    <w:uiPriority w:val="0"/>
    <w:rPr>
      <w:rFonts w:ascii="等线" w:hAnsi="等线" w:eastAsia="等线"/>
      <w:kern w:val="2"/>
      <w:sz w:val="21"/>
      <w:szCs w:val="21"/>
    </w:rPr>
  </w:style>
  <w:style w:type="paragraph" w:customStyle="1" w:styleId="227">
    <w:name w:val="无间隔1"/>
    <w:basedOn w:val="1"/>
    <w:link w:val="226"/>
    <w:qFormat/>
    <w:uiPriority w:val="0"/>
    <w:rPr>
      <w:rFonts w:ascii="等线" w:hAnsi="等线" w:eastAsia="等线"/>
      <w:szCs w:val="21"/>
    </w:rPr>
  </w:style>
  <w:style w:type="character" w:customStyle="1" w:styleId="228">
    <w:name w:val="标题 2 字符1"/>
    <w:uiPriority w:val="0"/>
    <w:rPr>
      <w:rFonts w:ascii="仿宋_GB2312" w:eastAsia="仿宋_GB2312"/>
      <w:b/>
      <w:sz w:val="36"/>
      <w:lang w:val="en-US" w:eastAsia="zh-CN" w:bidi="ar-SA"/>
    </w:rPr>
  </w:style>
  <w:style w:type="character" w:customStyle="1" w:styleId="229">
    <w:name w:val="WW8Num11z5"/>
    <w:qFormat/>
    <w:uiPriority w:val="0"/>
  </w:style>
  <w:style w:type="character" w:customStyle="1" w:styleId="230">
    <w:name w:val="页脚 Char"/>
    <w:uiPriority w:val="0"/>
    <w:rPr>
      <w:sz w:val="18"/>
      <w:szCs w:val="18"/>
    </w:rPr>
  </w:style>
  <w:style w:type="character" w:customStyle="1" w:styleId="231">
    <w:name w:val="WW8Num6z8"/>
    <w:qFormat/>
    <w:uiPriority w:val="0"/>
  </w:style>
  <w:style w:type="character" w:customStyle="1" w:styleId="232">
    <w:name w:val="正文文本缩进 2 Char1"/>
    <w:semiHidden/>
    <w:uiPriority w:val="99"/>
    <w:rPr>
      <w:rFonts w:ascii="Times New Roman" w:hAnsi="Times New Roman"/>
      <w:kern w:val="2"/>
      <w:sz w:val="21"/>
      <w:szCs w:val="24"/>
    </w:rPr>
  </w:style>
  <w:style w:type="character" w:customStyle="1" w:styleId="233">
    <w:name w:val="WW8Num16z2"/>
    <w:qFormat/>
    <w:uiPriority w:val="0"/>
  </w:style>
  <w:style w:type="character" w:customStyle="1" w:styleId="234">
    <w:name w:val="标题 4 字符1"/>
    <w:qFormat/>
    <w:uiPriority w:val="9"/>
    <w:rPr>
      <w:rFonts w:ascii="Arial" w:hAnsi="Arial" w:eastAsia="黑体"/>
      <w:b/>
      <w:bCs/>
      <w:kern w:val="2"/>
      <w:sz w:val="28"/>
      <w:szCs w:val="28"/>
      <w:lang w:val="en-US" w:eastAsia="zh-CN" w:bidi="ar-SA"/>
    </w:rPr>
  </w:style>
  <w:style w:type="character" w:customStyle="1" w:styleId="235">
    <w:name w:val="WW8Num4z0"/>
    <w:qFormat/>
    <w:uiPriority w:val="0"/>
    <w:rPr>
      <w:rFonts w:hint="default"/>
    </w:rPr>
  </w:style>
  <w:style w:type="character" w:customStyle="1" w:styleId="236">
    <w:name w:val="Char Char15"/>
    <w:qFormat/>
    <w:uiPriority w:val="0"/>
    <w:rPr>
      <w:rFonts w:eastAsia="黑体"/>
      <w:kern w:val="1"/>
      <w:sz w:val="18"/>
      <w:szCs w:val="18"/>
      <w:lang w:val="en-US" w:eastAsia="ar-SA" w:bidi="ar-SA"/>
    </w:rPr>
  </w:style>
  <w:style w:type="character" w:customStyle="1" w:styleId="237">
    <w:name w:val="font11"/>
    <w:qFormat/>
    <w:uiPriority w:val="0"/>
    <w:rPr>
      <w:rFonts w:hint="eastAsia" w:ascii="宋体" w:hAnsi="宋体" w:eastAsia="宋体" w:cs="宋体"/>
      <w:color w:val="000000"/>
      <w:sz w:val="20"/>
      <w:szCs w:val="20"/>
      <w:u w:val="none"/>
    </w:rPr>
  </w:style>
  <w:style w:type="character" w:customStyle="1" w:styleId="238">
    <w:name w:val="正文文本缩进 3 Char"/>
    <w:qFormat/>
    <w:uiPriority w:val="0"/>
    <w:rPr>
      <w:rFonts w:ascii="仿宋_GB2312" w:hAnsi="宋体" w:eastAsia="仿宋_GB2312"/>
      <w:color w:val="000000"/>
      <w:kern w:val="2"/>
      <w:sz w:val="24"/>
      <w:szCs w:val="24"/>
    </w:rPr>
  </w:style>
  <w:style w:type="character" w:customStyle="1" w:styleId="239">
    <w:name w:val="WW8Num5z2"/>
    <w:qFormat/>
    <w:uiPriority w:val="0"/>
  </w:style>
  <w:style w:type="character" w:customStyle="1" w:styleId="240">
    <w:name w:val="font151"/>
    <w:qFormat/>
    <w:uiPriority w:val="0"/>
    <w:rPr>
      <w:rFonts w:ascii="Tahoma" w:hAnsi="Tahoma" w:eastAsia="Tahoma" w:cs="Tahoma"/>
      <w:color w:val="FF0000"/>
      <w:sz w:val="18"/>
      <w:szCs w:val="18"/>
      <w:u w:val="none"/>
    </w:rPr>
  </w:style>
  <w:style w:type="character" w:customStyle="1" w:styleId="241">
    <w:name w:val="表格标题 Char"/>
    <w:link w:val="242"/>
    <w:qFormat/>
    <w:uiPriority w:val="0"/>
    <w:rPr>
      <w:rFonts w:ascii="Times New Roman" w:hAnsi="Times New Roman"/>
      <w:b/>
      <w:bCs/>
      <w:kern w:val="1"/>
      <w:sz w:val="21"/>
      <w:szCs w:val="24"/>
      <w:lang w:eastAsia="ar-SA"/>
    </w:rPr>
  </w:style>
  <w:style w:type="paragraph" w:customStyle="1" w:styleId="242">
    <w:name w:val="表格标题"/>
    <w:basedOn w:val="243"/>
    <w:link w:val="241"/>
    <w:qFormat/>
    <w:uiPriority w:val="0"/>
    <w:pPr>
      <w:adjustRightInd/>
      <w:spacing w:line="240" w:lineRule="auto"/>
      <w:jc w:val="center"/>
      <w:textAlignment w:val="auto"/>
    </w:pPr>
    <w:rPr>
      <w:rFonts w:ascii="Times New Roman" w:hAnsi="Times New Roman"/>
      <w:b/>
      <w:bCs/>
      <w:szCs w:val="24"/>
    </w:rPr>
  </w:style>
  <w:style w:type="paragraph" w:customStyle="1" w:styleId="243">
    <w:name w:val="表格内容"/>
    <w:basedOn w:val="19"/>
    <w:link w:val="262"/>
    <w:qFormat/>
    <w:uiPriority w:val="0"/>
    <w:pPr>
      <w:suppressLineNumbers/>
      <w:suppressAutoHyphens/>
    </w:pPr>
    <w:rPr>
      <w:kern w:val="1"/>
      <w:sz w:val="21"/>
      <w:lang w:eastAsia="ar-SA"/>
    </w:rPr>
  </w:style>
  <w:style w:type="character" w:customStyle="1" w:styleId="244">
    <w:name w:val="标题 Char2"/>
    <w:qFormat/>
    <w:uiPriority w:val="10"/>
    <w:rPr>
      <w:rFonts w:ascii="Calibri Light" w:hAnsi="Calibri Light"/>
      <w:b/>
      <w:bCs/>
      <w:kern w:val="2"/>
      <w:sz w:val="32"/>
      <w:szCs w:val="32"/>
    </w:rPr>
  </w:style>
  <w:style w:type="character" w:customStyle="1" w:styleId="245">
    <w:name w:val="批注主题 字符1"/>
    <w:qFormat/>
    <w:uiPriority w:val="0"/>
    <w:rPr>
      <w:b/>
      <w:bCs/>
      <w:kern w:val="2"/>
      <w:sz w:val="21"/>
    </w:rPr>
  </w:style>
  <w:style w:type="character" w:customStyle="1" w:styleId="246">
    <w:name w:val="页脚 字符"/>
    <w:qFormat/>
    <w:uiPriority w:val="99"/>
    <w:rPr>
      <w:kern w:val="2"/>
      <w:sz w:val="18"/>
      <w:szCs w:val="18"/>
    </w:rPr>
  </w:style>
  <w:style w:type="character" w:customStyle="1" w:styleId="247">
    <w:name w:val="Char Char41"/>
    <w:qFormat/>
    <w:uiPriority w:val="0"/>
    <w:rPr>
      <w:rFonts w:ascii="Calibri" w:hAnsi="Calibri" w:eastAsia="宋体" w:cs="Calibri"/>
      <w:b/>
      <w:bCs/>
      <w:kern w:val="1"/>
      <w:sz w:val="24"/>
      <w:szCs w:val="24"/>
      <w:lang w:val="en-US" w:eastAsia="ar-SA" w:bidi="ar-SA"/>
    </w:rPr>
  </w:style>
  <w:style w:type="character" w:customStyle="1" w:styleId="248">
    <w:name w:val="样式 正文缩进 + 首行缩进:  2 字符 Char"/>
    <w:link w:val="249"/>
    <w:qFormat/>
    <w:uiPriority w:val="0"/>
    <w:rPr>
      <w:rFonts w:ascii="Times New Roman" w:hAnsi="Times New Roman"/>
      <w:kern w:val="2"/>
      <w:sz w:val="24"/>
    </w:rPr>
  </w:style>
  <w:style w:type="paragraph" w:customStyle="1" w:styleId="249">
    <w:name w:val="样式 正文缩进 + 首行缩进:  2 字符"/>
    <w:basedOn w:val="13"/>
    <w:link w:val="248"/>
    <w:qFormat/>
    <w:uiPriority w:val="0"/>
    <w:pPr>
      <w:widowControl w:val="0"/>
      <w:spacing w:line="360" w:lineRule="auto"/>
      <w:ind w:firstLine="200" w:firstLineChars="200"/>
    </w:pPr>
    <w:rPr>
      <w:rFonts w:ascii="Times New Roman"/>
      <w:snapToGrid/>
      <w:color w:val="auto"/>
      <w:kern w:val="2"/>
      <w:sz w:val="24"/>
    </w:rPr>
  </w:style>
  <w:style w:type="character" w:customStyle="1" w:styleId="250">
    <w:name w:val="批注文字 字符2"/>
    <w:qFormat/>
    <w:uiPriority w:val="0"/>
    <w:rPr>
      <w:rFonts w:eastAsia="宋体"/>
      <w:kern w:val="2"/>
      <w:sz w:val="21"/>
      <w:szCs w:val="24"/>
      <w:lang w:val="en-US" w:eastAsia="zh-CN" w:bidi="ar-SA"/>
    </w:rPr>
  </w:style>
  <w:style w:type="character" w:customStyle="1" w:styleId="251">
    <w:name w:val="表格正文 Char"/>
    <w:link w:val="252"/>
    <w:uiPriority w:val="0"/>
    <w:rPr>
      <w:kern w:val="2"/>
      <w:sz w:val="21"/>
      <w:szCs w:val="24"/>
    </w:rPr>
  </w:style>
  <w:style w:type="paragraph" w:customStyle="1" w:styleId="252">
    <w:name w:val="表格正文"/>
    <w:basedOn w:val="1"/>
    <w:link w:val="251"/>
    <w:qFormat/>
    <w:uiPriority w:val="0"/>
    <w:pPr>
      <w:spacing w:line="240" w:lineRule="auto"/>
    </w:pPr>
    <w:rPr>
      <w:szCs w:val="24"/>
    </w:rPr>
  </w:style>
  <w:style w:type="character" w:customStyle="1" w:styleId="253">
    <w:name w:val="正文文本 字符2"/>
    <w:link w:val="19"/>
    <w:qFormat/>
    <w:uiPriority w:val="0"/>
    <w:rPr>
      <w:rFonts w:ascii="宋体" w:hAnsi="宋体" w:eastAsia="宋体"/>
      <w:kern w:val="2"/>
      <w:sz w:val="32"/>
      <w:lang w:val="en-US" w:eastAsia="zh-CN" w:bidi="ar-SA"/>
    </w:rPr>
  </w:style>
  <w:style w:type="character" w:customStyle="1" w:styleId="254">
    <w:name w:val="HTML 预设格式 字符1"/>
    <w:link w:val="47"/>
    <w:qFormat/>
    <w:uiPriority w:val="0"/>
    <w:rPr>
      <w:rFonts w:ascii="宋体" w:hAnsi="Courier New"/>
      <w:kern w:val="2"/>
      <w:sz w:val="21"/>
    </w:rPr>
  </w:style>
  <w:style w:type="character" w:customStyle="1" w:styleId="255">
    <w:name w:val="WW8Num9z7"/>
    <w:qFormat/>
    <w:uiPriority w:val="0"/>
  </w:style>
  <w:style w:type="character" w:customStyle="1" w:styleId="256">
    <w:name w:val="副标题 Char"/>
    <w:qFormat/>
    <w:uiPriority w:val="0"/>
    <w:rPr>
      <w:rFonts w:ascii="Cambria" w:hAnsi="Cambria" w:cs="Times New Roman"/>
      <w:b/>
      <w:bCs/>
      <w:kern w:val="28"/>
      <w:sz w:val="32"/>
      <w:szCs w:val="32"/>
    </w:rPr>
  </w:style>
  <w:style w:type="character" w:customStyle="1" w:styleId="257">
    <w:name w:val="金保标题2 Char"/>
    <w:link w:val="258"/>
    <w:uiPriority w:val="0"/>
    <w:rPr>
      <w:rFonts w:ascii="宋体" w:hAnsi="宋体"/>
      <w:b/>
      <w:sz w:val="24"/>
      <w:szCs w:val="24"/>
    </w:rPr>
  </w:style>
  <w:style w:type="paragraph" w:customStyle="1" w:styleId="258">
    <w:name w:val="金保标题2"/>
    <w:basedOn w:val="4"/>
    <w:next w:val="1"/>
    <w:link w:val="257"/>
    <w:uiPriority w:val="0"/>
    <w:pPr>
      <w:keepNext/>
      <w:keepLines/>
      <w:tabs>
        <w:tab w:val="left" w:pos="709"/>
        <w:tab w:val="clear" w:pos="1260"/>
        <w:tab w:val="clear" w:pos="1575"/>
      </w:tabs>
      <w:spacing w:before="240"/>
      <w:jc w:val="both"/>
    </w:pPr>
    <w:rPr>
      <w:rFonts w:ascii="宋体" w:hAnsi="宋体"/>
      <w:kern w:val="0"/>
      <w:sz w:val="24"/>
      <w:szCs w:val="24"/>
    </w:rPr>
  </w:style>
  <w:style w:type="character" w:customStyle="1" w:styleId="259">
    <w:name w:val="标题 3 字符"/>
    <w:qFormat/>
    <w:uiPriority w:val="9"/>
    <w:rPr>
      <w:b/>
      <w:bCs/>
      <w:kern w:val="2"/>
      <w:sz w:val="32"/>
      <w:szCs w:val="32"/>
    </w:rPr>
  </w:style>
  <w:style w:type="character" w:customStyle="1" w:styleId="260">
    <w:name w:val="正文文本 2 Char2"/>
    <w:qFormat/>
    <w:uiPriority w:val="99"/>
    <w:rPr>
      <w:b/>
      <w:kern w:val="2"/>
      <w:sz w:val="72"/>
    </w:rPr>
  </w:style>
  <w:style w:type="character" w:customStyle="1" w:styleId="261">
    <w:name w:val="正文文本首行缩进 2 字符"/>
    <w:link w:val="52"/>
    <w:uiPriority w:val="0"/>
    <w:rPr>
      <w:rFonts w:ascii="宋体" w:hAnsi="Courier New"/>
      <w:spacing w:val="-4"/>
      <w:kern w:val="2"/>
      <w:sz w:val="21"/>
      <w:szCs w:val="24"/>
    </w:rPr>
  </w:style>
  <w:style w:type="character" w:customStyle="1" w:styleId="262">
    <w:name w:val="表格内容 Char"/>
    <w:link w:val="243"/>
    <w:qFormat/>
    <w:uiPriority w:val="0"/>
    <w:rPr>
      <w:rFonts w:ascii="宋体" w:hAnsi="宋体"/>
      <w:kern w:val="1"/>
      <w:sz w:val="21"/>
      <w:lang w:eastAsia="ar-SA"/>
    </w:rPr>
  </w:style>
  <w:style w:type="character" w:customStyle="1" w:styleId="263">
    <w:name w:val="Char Char11"/>
    <w:qFormat/>
    <w:uiPriority w:val="0"/>
    <w:rPr>
      <w:kern w:val="1"/>
      <w:sz w:val="21"/>
      <w:szCs w:val="24"/>
    </w:rPr>
  </w:style>
  <w:style w:type="character" w:customStyle="1" w:styleId="264">
    <w:name w:val="脚注文本 字符"/>
    <w:uiPriority w:val="0"/>
    <w:rPr>
      <w:kern w:val="2"/>
      <w:sz w:val="18"/>
      <w:szCs w:val="18"/>
    </w:rPr>
  </w:style>
  <w:style w:type="character" w:customStyle="1" w:styleId="265">
    <w:name w:val="Char Char3"/>
    <w:qFormat/>
    <w:uiPriority w:val="0"/>
    <w:rPr>
      <w:rFonts w:ascii="Calibri Light" w:hAnsi="Calibri Light" w:eastAsia="宋体" w:cs="Calibri Light"/>
      <w:kern w:val="1"/>
      <w:sz w:val="24"/>
      <w:szCs w:val="24"/>
      <w:lang w:val="en-US" w:eastAsia="ar-SA" w:bidi="ar-SA"/>
    </w:rPr>
  </w:style>
  <w:style w:type="character" w:customStyle="1" w:styleId="266">
    <w:name w:val="Char Char1"/>
    <w:qFormat/>
    <w:locked/>
    <w:uiPriority w:val="0"/>
    <w:rPr>
      <w:rFonts w:ascii="宋体" w:hAnsi="宋体" w:eastAsia="宋体"/>
      <w:kern w:val="2"/>
      <w:sz w:val="28"/>
      <w:szCs w:val="24"/>
      <w:lang w:val="en-US" w:eastAsia="zh-CN" w:bidi="ar-SA"/>
    </w:rPr>
  </w:style>
  <w:style w:type="character" w:customStyle="1" w:styleId="267">
    <w:name w:val="正文文本 (2)_"/>
    <w:link w:val="268"/>
    <w:qFormat/>
    <w:uiPriority w:val="0"/>
    <w:rPr>
      <w:rFonts w:ascii="宋体" w:hAnsi="宋体" w:cs="宋体"/>
      <w:color w:val="000000"/>
      <w:shd w:val="clear" w:color="auto" w:fill="FFFFFF"/>
      <w:lang w:val="zh-CN" w:bidi="zh-CN"/>
    </w:rPr>
  </w:style>
  <w:style w:type="paragraph" w:customStyle="1" w:styleId="268">
    <w:name w:val="正文文本 (2)3"/>
    <w:basedOn w:val="1"/>
    <w:link w:val="267"/>
    <w:qFormat/>
    <w:uiPriority w:val="0"/>
    <w:pPr>
      <w:shd w:val="clear" w:color="auto" w:fill="FFFFFF"/>
      <w:spacing w:before="660" w:line="0" w:lineRule="atLeast"/>
      <w:ind w:hanging="420"/>
      <w:jc w:val="distribute"/>
    </w:pPr>
    <w:rPr>
      <w:rFonts w:ascii="宋体" w:hAnsi="宋体" w:cs="宋体"/>
      <w:color w:val="000000"/>
      <w:kern w:val="0"/>
      <w:sz w:val="20"/>
      <w:lang w:val="zh-CN" w:bidi="zh-CN"/>
    </w:rPr>
  </w:style>
  <w:style w:type="character" w:customStyle="1" w:styleId="269">
    <w:name w:val="WW8Num9z0"/>
    <w:qFormat/>
    <w:uiPriority w:val="0"/>
    <w:rPr>
      <w:rFonts w:hint="default"/>
    </w:rPr>
  </w:style>
  <w:style w:type="character" w:customStyle="1" w:styleId="270">
    <w:name w:val="WW8Num5z5"/>
    <w:qFormat/>
    <w:uiPriority w:val="0"/>
  </w:style>
  <w:style w:type="character" w:customStyle="1" w:styleId="271">
    <w:name w:val="表正文 Char"/>
    <w:qFormat/>
    <w:uiPriority w:val="0"/>
    <w:rPr>
      <w:rFonts w:eastAsia="宋体"/>
      <w:kern w:val="2"/>
      <w:sz w:val="21"/>
      <w:lang w:val="en-US" w:eastAsia="zh-CN" w:bidi="ar-SA"/>
    </w:rPr>
  </w:style>
  <w:style w:type="character" w:customStyle="1" w:styleId="272">
    <w:name w:val="一级条标题 Char"/>
    <w:link w:val="273"/>
    <w:uiPriority w:val="0"/>
    <w:rPr>
      <w:rFonts w:ascii="黑体" w:eastAsia="黑体"/>
      <w:kern w:val="2"/>
      <w:sz w:val="21"/>
      <w:szCs w:val="21"/>
      <w:lang w:val="en-US" w:eastAsia="zh-CN" w:bidi="ar-SA"/>
    </w:rPr>
  </w:style>
  <w:style w:type="paragraph" w:customStyle="1" w:styleId="273">
    <w:name w:val="一级条标题"/>
    <w:next w:val="274"/>
    <w:link w:val="272"/>
    <w:uiPriority w:val="0"/>
    <w:pPr>
      <w:numPr>
        <w:ilvl w:val="1"/>
        <w:numId w:val="1"/>
      </w:numPr>
      <w:spacing w:beforeLines="50" w:afterLines="50"/>
      <w:outlineLvl w:val="2"/>
    </w:pPr>
    <w:rPr>
      <w:rFonts w:ascii="黑体" w:eastAsia="黑体"/>
      <w:kern w:val="2"/>
      <w:sz w:val="21"/>
      <w:szCs w:val="21"/>
      <w:lang w:val="en-US" w:eastAsia="zh-CN" w:bidi="ar-SA"/>
    </w:rPr>
  </w:style>
  <w:style w:type="paragraph" w:customStyle="1" w:styleId="274">
    <w:name w:val="段"/>
    <w:link w:val="461"/>
    <w:uiPriority w:val="0"/>
    <w:pPr>
      <w:tabs>
        <w:tab w:val="center" w:pos="4201"/>
        <w:tab w:val="right" w:leader="dot" w:pos="9298"/>
      </w:tabs>
      <w:autoSpaceDE w:val="0"/>
      <w:autoSpaceDN w:val="0"/>
      <w:ind w:firstLine="420" w:firstLineChars="200"/>
      <w:jc w:val="both"/>
    </w:pPr>
    <w:rPr>
      <w:rFonts w:ascii="宋体" w:eastAsia="Times New Roman"/>
      <w:kern w:val="2"/>
      <w:sz w:val="21"/>
      <w:szCs w:val="22"/>
      <w:lang w:val="en-US" w:eastAsia="zh-CN" w:bidi="ar-SA"/>
    </w:rPr>
  </w:style>
  <w:style w:type="character" w:customStyle="1" w:styleId="275">
    <w:name w:val="正文首行缩进 Char"/>
    <w:qFormat/>
    <w:uiPriority w:val="0"/>
  </w:style>
  <w:style w:type="character" w:customStyle="1" w:styleId="276">
    <w:name w:val="WW8Num9z1"/>
    <w:qFormat/>
    <w:uiPriority w:val="0"/>
  </w:style>
  <w:style w:type="character" w:customStyle="1" w:styleId="277">
    <w:name w:val="WW8Num16z3"/>
    <w:qFormat/>
    <w:uiPriority w:val="0"/>
  </w:style>
  <w:style w:type="character" w:customStyle="1" w:styleId="278">
    <w:name w:val="脚注文本 字符1"/>
    <w:link w:val="40"/>
    <w:uiPriority w:val="0"/>
    <w:rPr>
      <w:kern w:val="2"/>
      <w:sz w:val="18"/>
      <w:szCs w:val="18"/>
    </w:rPr>
  </w:style>
  <w:style w:type="character" w:customStyle="1" w:styleId="279">
    <w:name w:val="font-121"/>
    <w:uiPriority w:val="0"/>
    <w:rPr>
      <w:color w:val="666666"/>
      <w:sz w:val="24"/>
      <w:szCs w:val="24"/>
      <w:u w:val="none"/>
    </w:rPr>
  </w:style>
  <w:style w:type="character" w:customStyle="1" w:styleId="280">
    <w:name w:val="sub"/>
    <w:qFormat/>
    <w:uiPriority w:val="0"/>
  </w:style>
  <w:style w:type="character" w:customStyle="1" w:styleId="281">
    <w:name w:val="WW8Num6z3"/>
    <w:qFormat/>
    <w:uiPriority w:val="0"/>
  </w:style>
  <w:style w:type="character" w:customStyle="1" w:styleId="282">
    <w:name w:val="font51"/>
    <w:qFormat/>
    <w:uiPriority w:val="0"/>
    <w:rPr>
      <w:rFonts w:hint="eastAsia" w:ascii="宋体" w:hAnsi="宋体" w:eastAsia="宋体" w:cs="宋体"/>
      <w:color w:val="000000"/>
      <w:sz w:val="18"/>
      <w:szCs w:val="18"/>
      <w:u w:val="none"/>
    </w:rPr>
  </w:style>
  <w:style w:type="character" w:customStyle="1" w:styleId="283">
    <w:name w:val="WW8Num12z2"/>
    <w:qFormat/>
    <w:uiPriority w:val="0"/>
  </w:style>
  <w:style w:type="character" w:customStyle="1" w:styleId="284">
    <w:name w:val="WW8Num9z8"/>
    <w:qFormat/>
    <w:uiPriority w:val="0"/>
  </w:style>
  <w:style w:type="character" w:customStyle="1" w:styleId="285">
    <w:name w:val="*正文 Char"/>
    <w:link w:val="286"/>
    <w:qFormat/>
    <w:uiPriority w:val="99"/>
    <w:rPr>
      <w:rFonts w:cs="仿宋_GB2312"/>
      <w:kern w:val="2"/>
      <w:sz w:val="24"/>
      <w:szCs w:val="24"/>
    </w:rPr>
  </w:style>
  <w:style w:type="paragraph" w:customStyle="1" w:styleId="286">
    <w:name w:val="*正文"/>
    <w:basedOn w:val="1"/>
    <w:link w:val="285"/>
    <w:qFormat/>
    <w:uiPriority w:val="99"/>
    <w:pPr>
      <w:ind w:firstLine="480" w:firstLineChars="200"/>
    </w:pPr>
    <w:rPr>
      <w:sz w:val="24"/>
      <w:szCs w:val="24"/>
    </w:rPr>
  </w:style>
  <w:style w:type="character" w:customStyle="1" w:styleId="287">
    <w:name w:val="标题 7 字符2"/>
    <w:link w:val="8"/>
    <w:qFormat/>
    <w:uiPriority w:val="99"/>
    <w:rPr>
      <w:sz w:val="24"/>
    </w:rPr>
  </w:style>
  <w:style w:type="character" w:customStyle="1" w:styleId="288">
    <w:name w:val="标题 5 Char"/>
    <w:aliases w:val="H5 Char,h5 Char,l5 Char,hm Char,Table label Char,mh2 Char,Module heading 2 Char,Head 5 Char,list 5 Char,IS41 Heading 5 Char,h51 Char,heading 5 Char,Heading5 Char,PIM 5 Char,ITT t5 Char,PA Pico Section Char,H5-Heading 5 Char,heading5 Char"/>
    <w:uiPriority w:val="0"/>
    <w:rPr>
      <w:rFonts w:ascii="Times New Roman" w:hAnsi="Times New Roman" w:eastAsia="楷体_GB2312" w:cs="黑体"/>
      <w:sz w:val="22"/>
    </w:rPr>
  </w:style>
  <w:style w:type="character" w:customStyle="1" w:styleId="289">
    <w:name w:val="正式正文样式 Char"/>
    <w:link w:val="290"/>
    <w:locked/>
    <w:uiPriority w:val="0"/>
    <w:rPr>
      <w:rFonts w:ascii="Times New Roman" w:hAnsi="Times New Roman"/>
      <w:kern w:val="2"/>
      <w:sz w:val="21"/>
      <w:szCs w:val="24"/>
    </w:rPr>
  </w:style>
  <w:style w:type="paragraph" w:customStyle="1" w:styleId="290">
    <w:name w:val="正式正文样式"/>
    <w:basedOn w:val="1"/>
    <w:link w:val="289"/>
    <w:uiPriority w:val="0"/>
    <w:pPr>
      <w:widowControl/>
      <w:ind w:firstLine="480" w:firstLineChars="200"/>
      <w:jc w:val="left"/>
    </w:pPr>
    <w:rPr>
      <w:szCs w:val="24"/>
    </w:rPr>
  </w:style>
  <w:style w:type="character" w:customStyle="1" w:styleId="291">
    <w:name w:val="普通(网站) 字符"/>
    <w:link w:val="48"/>
    <w:qFormat/>
    <w:locked/>
    <w:uiPriority w:val="99"/>
    <w:rPr>
      <w:rFonts w:ascii="宋体" w:hAnsi="宋体"/>
      <w:sz w:val="24"/>
      <w:szCs w:val="24"/>
    </w:rPr>
  </w:style>
  <w:style w:type="character" w:customStyle="1" w:styleId="292">
    <w:name w:val="副标题 字符"/>
    <w:qFormat/>
    <w:uiPriority w:val="0"/>
    <w:rPr>
      <w:rFonts w:ascii="Cambria" w:hAnsi="Cambria"/>
      <w:b/>
      <w:bCs/>
      <w:kern w:val="28"/>
      <w:sz w:val="32"/>
      <w:szCs w:val="32"/>
    </w:rPr>
  </w:style>
  <w:style w:type="character" w:customStyle="1" w:styleId="293">
    <w:name w:val="题注 字符"/>
    <w:link w:val="14"/>
    <w:uiPriority w:val="0"/>
    <w:rPr>
      <w:rFonts w:ascii="Arial" w:hAnsi="Arial" w:eastAsia="黑体" w:cs="Arial"/>
      <w:kern w:val="2"/>
    </w:rPr>
  </w:style>
  <w:style w:type="character" w:customStyle="1" w:styleId="294">
    <w:name w:val="Char Char43"/>
    <w:uiPriority w:val="0"/>
    <w:rPr>
      <w:rFonts w:ascii="Calibri" w:hAnsi="Calibri" w:eastAsia="宋体" w:cs="Calibri"/>
      <w:b/>
      <w:bCs/>
      <w:kern w:val="1"/>
      <w:sz w:val="24"/>
      <w:szCs w:val="24"/>
      <w:lang w:val="en-US" w:eastAsia="ar-SA" w:bidi="ar-SA"/>
    </w:rPr>
  </w:style>
  <w:style w:type="character" w:customStyle="1" w:styleId="295">
    <w:name w:val="WW8Num12z8"/>
    <w:qFormat/>
    <w:uiPriority w:val="0"/>
  </w:style>
  <w:style w:type="character" w:customStyle="1" w:styleId="296">
    <w:name w:val="纯文本 字符"/>
    <w:aliases w:val="普通文字 Char 字符,纯文本 Char Char 字符,Texte 字符,小 字符,普通文字 字符,普通文字1 字符,普通文字2 字符,普通文字3 字符,普通文字4 字符,普通文字5 字符,普通文字6 字符,普通文字11 字符,普通文字21 字符,普通文字31 字符,普通文字41 字符,普通文字7 字符,正 文 1 字符,纯文本 Char Char Char Char Char Char Char Char Char Char Char Char Char 字符,Text 字符"/>
    <w:qFormat/>
    <w:uiPriority w:val="99"/>
    <w:rPr>
      <w:rFonts w:ascii="宋体" w:hAnsi="Courier New" w:eastAsia="宋体"/>
      <w:kern w:val="2"/>
      <w:sz w:val="21"/>
      <w:lang w:val="en-US" w:eastAsia="zh-CN" w:bidi="ar-SA"/>
    </w:rPr>
  </w:style>
  <w:style w:type="character" w:customStyle="1" w:styleId="297">
    <w:name w:val="标题 4 字符"/>
    <w:qFormat/>
    <w:uiPriority w:val="0"/>
    <w:rPr>
      <w:sz w:val="24"/>
    </w:rPr>
  </w:style>
  <w:style w:type="character" w:customStyle="1" w:styleId="298">
    <w:name w:val="WW8Num2z6"/>
    <w:qFormat/>
    <w:uiPriority w:val="0"/>
  </w:style>
  <w:style w:type="character" w:customStyle="1" w:styleId="299">
    <w:name w:val="Char Char13"/>
    <w:qFormat/>
    <w:uiPriority w:val="0"/>
    <w:rPr>
      <w:rFonts w:ascii="宋体" w:hAnsi="Courier New" w:eastAsia="楷体_GB2312"/>
      <w:kern w:val="2"/>
      <w:sz w:val="26"/>
      <w:lang w:val="en-US" w:eastAsia="zh-CN" w:bidi="ar-SA"/>
    </w:rPr>
  </w:style>
  <w:style w:type="character" w:styleId="300">
    <w:name w:val=""/>
    <w:qFormat/>
    <w:uiPriority w:val="33"/>
    <w:rPr>
      <w:b/>
      <w:bCs/>
      <w:smallCaps/>
      <w:spacing w:val="5"/>
    </w:rPr>
  </w:style>
  <w:style w:type="character" w:customStyle="1" w:styleId="301">
    <w:name w:val="正文文本缩进 3 字符"/>
    <w:qFormat/>
    <w:uiPriority w:val="0"/>
    <w:rPr>
      <w:kern w:val="2"/>
      <w:sz w:val="32"/>
    </w:rPr>
  </w:style>
  <w:style w:type="character" w:customStyle="1" w:styleId="302">
    <w:name w:val="方案正文-样式 小四 行距: 1.5 倍行距 Char Char"/>
    <w:link w:val="303"/>
    <w:uiPriority w:val="0"/>
    <w:rPr>
      <w:kern w:val="2"/>
      <w:sz w:val="24"/>
    </w:rPr>
  </w:style>
  <w:style w:type="paragraph" w:customStyle="1" w:styleId="303">
    <w:name w:val="方案正文-样式 小四 行距: 1.5 倍行距"/>
    <w:basedOn w:val="1"/>
    <w:link w:val="302"/>
    <w:uiPriority w:val="0"/>
    <w:pPr>
      <w:ind w:firstLine="480" w:firstLineChars="200"/>
    </w:pPr>
    <w:rPr>
      <w:sz w:val="24"/>
    </w:rPr>
  </w:style>
  <w:style w:type="character" w:customStyle="1" w:styleId="304">
    <w:name w:val="纯文本 字符2"/>
    <w:qFormat/>
    <w:uiPriority w:val="99"/>
    <w:rPr>
      <w:rFonts w:ascii="宋体" w:hAnsi="Courier New" w:eastAsia="宋体"/>
      <w:kern w:val="2"/>
      <w:sz w:val="21"/>
      <w:lang w:val="en-US" w:eastAsia="zh-CN" w:bidi="ar-SA"/>
    </w:rPr>
  </w:style>
  <w:style w:type="character" w:customStyle="1" w:styleId="305">
    <w:name w:val="页眉 字符1"/>
    <w:uiPriority w:val="0"/>
    <w:rPr>
      <w:rFonts w:eastAsia="宋体"/>
      <w:kern w:val="2"/>
      <w:sz w:val="18"/>
      <w:szCs w:val="18"/>
      <w:lang w:val="en-US" w:eastAsia="zh-CN" w:bidi="ar-SA"/>
    </w:rPr>
  </w:style>
  <w:style w:type="character" w:customStyle="1" w:styleId="306">
    <w:name w:val="WW8Num6z5"/>
    <w:qFormat/>
    <w:uiPriority w:val="0"/>
  </w:style>
  <w:style w:type="character" w:customStyle="1" w:styleId="307">
    <w:name w:val="2级标题 Char"/>
    <w:link w:val="308"/>
    <w:uiPriority w:val="0"/>
    <w:rPr>
      <w:rFonts w:ascii="黑体" w:hAnsi="黑体" w:eastAsia="黑体" w:cs="Times New Roman"/>
      <w:sz w:val="32"/>
      <w:szCs w:val="36"/>
      <w:lang w:eastAsia="en-US" w:bidi="en-US"/>
    </w:rPr>
  </w:style>
  <w:style w:type="paragraph" w:customStyle="1" w:styleId="308">
    <w:name w:val="2级标题"/>
    <w:basedOn w:val="70"/>
    <w:link w:val="307"/>
    <w:qFormat/>
    <w:uiPriority w:val="0"/>
    <w:pPr>
      <w:keepLines/>
      <w:spacing w:before="240" w:after="120"/>
      <w:ind w:left="1843" w:firstLine="0" w:firstLineChars="0"/>
      <w:contextualSpacing/>
      <w:jc w:val="left"/>
      <w:outlineLvl w:val="1"/>
    </w:pPr>
    <w:rPr>
      <w:rFonts w:ascii="黑体" w:hAnsi="黑体" w:eastAsia="黑体"/>
      <w:kern w:val="0"/>
      <w:sz w:val="32"/>
      <w:szCs w:val="36"/>
      <w:lang w:eastAsia="en-US" w:bidi="en-US"/>
    </w:rPr>
  </w:style>
  <w:style w:type="character" w:customStyle="1" w:styleId="309">
    <w:name w:val="WW8Num11z4"/>
    <w:qFormat/>
    <w:uiPriority w:val="0"/>
  </w:style>
  <w:style w:type="character" w:customStyle="1" w:styleId="310">
    <w:name w:val="WW8Num8z0"/>
    <w:qFormat/>
    <w:uiPriority w:val="0"/>
    <w:rPr>
      <w:rFonts w:hint="default" w:ascii="宋体" w:hAnsi="宋体" w:cs="宋体"/>
    </w:rPr>
  </w:style>
  <w:style w:type="character" w:customStyle="1" w:styleId="311">
    <w:name w:val="style41"/>
    <w:uiPriority w:val="0"/>
    <w:rPr>
      <w:color w:val="666666"/>
    </w:rPr>
  </w:style>
  <w:style w:type="character" w:customStyle="1" w:styleId="312">
    <w:name w:val="WW8Num6z6"/>
    <w:qFormat/>
    <w:uiPriority w:val="0"/>
  </w:style>
  <w:style w:type="character" w:customStyle="1" w:styleId="313">
    <w:name w:val="标题 3 字符1"/>
    <w:qFormat/>
    <w:uiPriority w:val="9"/>
    <w:rPr>
      <w:rFonts w:ascii="仿宋_GB2312" w:eastAsia="仿宋_GB2312"/>
      <w:b/>
      <w:bCs/>
      <w:kern w:val="2"/>
      <w:sz w:val="30"/>
    </w:rPr>
  </w:style>
  <w:style w:type="character" w:customStyle="1" w:styleId="314">
    <w:name w:val="批注文字 字符"/>
    <w:qFormat/>
    <w:uiPriority w:val="99"/>
    <w:rPr>
      <w:kern w:val="2"/>
      <w:sz w:val="21"/>
      <w:szCs w:val="24"/>
    </w:rPr>
  </w:style>
  <w:style w:type="character" w:customStyle="1" w:styleId="315">
    <w:name w:val="WW8Num4z6"/>
    <w:qFormat/>
    <w:uiPriority w:val="0"/>
  </w:style>
  <w:style w:type="character" w:customStyle="1" w:styleId="316">
    <w:name w:val="正文文本缩进 字符2"/>
    <w:uiPriority w:val="0"/>
    <w:rPr>
      <w:rFonts w:ascii="宋体" w:hAnsi="Courier New" w:eastAsia="宋体"/>
      <w:spacing w:val="-4"/>
      <w:kern w:val="2"/>
      <w:sz w:val="18"/>
      <w:lang w:val="en-US" w:eastAsia="zh-CN" w:bidi="ar-SA"/>
    </w:rPr>
  </w:style>
  <w:style w:type="character" w:customStyle="1" w:styleId="317">
    <w:name w:val="正文文本缩进 2 字符"/>
    <w:uiPriority w:val="0"/>
    <w:rPr>
      <w:rFonts w:eastAsia="黑体"/>
      <w:b/>
      <w:bCs/>
      <w:kern w:val="2"/>
      <w:sz w:val="28"/>
    </w:rPr>
  </w:style>
  <w:style w:type="character" w:customStyle="1" w:styleId="318">
    <w:name w:val="表正文 Char2"/>
    <w:aliases w:val="特点 Char3,正文非缩进 Char2,ALT+Z Char2,水上软件 Char2,段1 Char2,正文不缩进 Char2,特点 Char Char2,特点正文 Char2,PI Char2,首行缩进 Char2,正文缩进（首行缩进两字） Char2,四号 Char2,标题四 Char2,缩进 Char2,标题4 Char2,正文双线 Char2,表正文1 Char2,正文非缩进1 Char2,标题41 Char2,四号1 Char2,特点1 Char2,表正文2 Char2"/>
    <w:qFormat/>
    <w:uiPriority w:val="0"/>
    <w:rPr>
      <w:rFonts w:ascii="宋体" w:hAnsi="Courier New" w:eastAsia="宋体"/>
      <w:kern w:val="2"/>
      <w:sz w:val="21"/>
      <w:lang w:val="en-US" w:eastAsia="zh-CN" w:bidi="ar-SA"/>
    </w:rPr>
  </w:style>
  <w:style w:type="character" w:customStyle="1" w:styleId="319">
    <w:name w:val="正文文本 字符1"/>
    <w:qFormat/>
    <w:uiPriority w:val="0"/>
    <w:rPr>
      <w:rFonts w:eastAsia="宋体"/>
      <w:kern w:val="2"/>
      <w:sz w:val="21"/>
      <w:szCs w:val="24"/>
      <w:lang w:val="en-US" w:eastAsia="zh-CN" w:bidi="ar-SA"/>
    </w:rPr>
  </w:style>
  <w:style w:type="character" w:customStyle="1" w:styleId="320">
    <w:name w:val="!我的正文 Ctr+Q Char"/>
    <w:link w:val="321"/>
    <w:qFormat/>
    <w:uiPriority w:val="0"/>
    <w:rPr>
      <w:rFonts w:ascii="仿宋GB2312" w:hAnsi="Arial" w:eastAsia="仿宋_GB2312" w:cs="Times New Roman"/>
      <w:kern w:val="2"/>
      <w:sz w:val="24"/>
      <w:szCs w:val="21"/>
    </w:rPr>
  </w:style>
  <w:style w:type="paragraph" w:customStyle="1" w:styleId="321">
    <w:name w:val="!我的正文 Ctr+Q"/>
    <w:basedOn w:val="1"/>
    <w:link w:val="320"/>
    <w:qFormat/>
    <w:uiPriority w:val="0"/>
    <w:pPr>
      <w:adjustRightInd w:val="0"/>
      <w:snapToGrid w:val="0"/>
      <w:ind w:firstLine="480" w:firstLineChars="200"/>
    </w:pPr>
    <w:rPr>
      <w:rFonts w:ascii="仿宋GB2312" w:hAnsi="Arial" w:eastAsia="仿宋_GB2312"/>
      <w:sz w:val="24"/>
      <w:szCs w:val="21"/>
    </w:rPr>
  </w:style>
  <w:style w:type="character" w:customStyle="1" w:styleId="322">
    <w:name w:val="批注框文本 字符"/>
    <w:qFormat/>
    <w:uiPriority w:val="0"/>
    <w:rPr>
      <w:kern w:val="2"/>
      <w:sz w:val="18"/>
      <w:szCs w:val="18"/>
    </w:rPr>
  </w:style>
  <w:style w:type="character" w:customStyle="1" w:styleId="323">
    <w:name w:val="标题 Char1"/>
    <w:qFormat/>
    <w:uiPriority w:val="10"/>
    <w:rPr>
      <w:rFonts w:ascii="Cambria" w:hAnsi="Cambria" w:cs="Times New Roman"/>
      <w:b/>
      <w:bCs/>
      <w:kern w:val="2"/>
      <w:sz w:val="32"/>
      <w:szCs w:val="32"/>
    </w:rPr>
  </w:style>
  <w:style w:type="character" w:customStyle="1" w:styleId="324">
    <w:name w:val="font31"/>
    <w:qFormat/>
    <w:uiPriority w:val="0"/>
    <w:rPr>
      <w:rFonts w:hint="default" w:ascii="等线" w:hAnsi="等线" w:eastAsia="等线" w:cs="等线"/>
      <w:color w:val="FF0000"/>
      <w:sz w:val="22"/>
      <w:szCs w:val="22"/>
      <w:u w:val="none"/>
    </w:rPr>
  </w:style>
  <w:style w:type="character" w:customStyle="1" w:styleId="325">
    <w:name w:val="WW8Num8z8"/>
    <w:qFormat/>
    <w:uiPriority w:val="0"/>
  </w:style>
  <w:style w:type="character" w:customStyle="1" w:styleId="326">
    <w:name w:val="标题 9 字符2"/>
    <w:link w:val="10"/>
    <w:qFormat/>
    <w:uiPriority w:val="99"/>
    <w:rPr>
      <w:sz w:val="24"/>
    </w:rPr>
  </w:style>
  <w:style w:type="character" w:customStyle="1" w:styleId="327">
    <w:name w:val="标题 9 字符1"/>
    <w:uiPriority w:val="0"/>
    <w:rPr>
      <w:rFonts w:ascii="Cambria" w:hAnsi="Cambria" w:eastAsia="宋体"/>
      <w:kern w:val="2"/>
      <w:sz w:val="21"/>
      <w:szCs w:val="24"/>
      <w:lang w:val="en-US" w:eastAsia="zh-CN" w:bidi="ar-SA"/>
    </w:rPr>
  </w:style>
  <w:style w:type="character" w:customStyle="1" w:styleId="328">
    <w:name w:val="访问过的超链接2"/>
    <w:qFormat/>
    <w:uiPriority w:val="99"/>
    <w:rPr>
      <w:color w:val="800080"/>
      <w:u w:val="single"/>
    </w:rPr>
  </w:style>
  <w:style w:type="character" w:customStyle="1" w:styleId="329">
    <w:name w:val="标准正文格式 Char"/>
    <w:uiPriority w:val="0"/>
    <w:rPr>
      <w:rFonts w:ascii="Times New Roman" w:hAnsi="Times New Roman" w:eastAsia="仿宋_GB2312" w:cs="Times New Roman"/>
      <w:bCs/>
      <w:sz w:val="28"/>
      <w:szCs w:val="20"/>
    </w:rPr>
  </w:style>
  <w:style w:type="character" w:customStyle="1" w:styleId="330">
    <w:name w:val="WW8Num12z5"/>
    <w:qFormat/>
    <w:uiPriority w:val="0"/>
  </w:style>
  <w:style w:type="character" w:customStyle="1" w:styleId="331">
    <w:name w:val="正文文本首行缩进 字符1"/>
    <w:link w:val="51"/>
    <w:qFormat/>
    <w:uiPriority w:val="99"/>
    <w:rPr>
      <w:rFonts w:ascii="宋体" w:hAnsi="宋体" w:eastAsia="宋体"/>
      <w:kern w:val="2"/>
      <w:sz w:val="21"/>
      <w:lang w:val="en-US" w:eastAsia="zh-CN" w:bidi="ar-SA"/>
    </w:rPr>
  </w:style>
  <w:style w:type="character" w:customStyle="1" w:styleId="332">
    <w:name w:val="明显引用 字符"/>
    <w:link w:val="333"/>
    <w:uiPriority w:val="30"/>
    <w:rPr>
      <w:rFonts w:ascii="Times New Roman" w:hAnsi="Times New Roman"/>
      <w:b/>
      <w:bCs/>
      <w:i/>
      <w:iCs/>
      <w:color w:val="4F81BD"/>
      <w:kern w:val="2"/>
      <w:sz w:val="21"/>
      <w:szCs w:val="24"/>
    </w:rPr>
  </w:style>
  <w:style w:type="paragraph" w:styleId="333">
    <w:name w:val="Intense Quote"/>
    <w:basedOn w:val="1"/>
    <w:next w:val="1"/>
    <w:link w:val="332"/>
    <w:qFormat/>
    <w:uiPriority w:val="30"/>
    <w:pPr>
      <w:pBdr>
        <w:bottom w:val="single" w:color="4F81BD" w:sz="4" w:space="4"/>
      </w:pBdr>
      <w:spacing w:before="200" w:after="280" w:line="240" w:lineRule="auto"/>
      <w:ind w:left="936" w:right="936"/>
    </w:pPr>
    <w:rPr>
      <w:b/>
      <w:bCs/>
      <w:i/>
      <w:iCs/>
      <w:color w:val="4F81BD"/>
      <w:szCs w:val="24"/>
    </w:rPr>
  </w:style>
  <w:style w:type="character" w:customStyle="1" w:styleId="334">
    <w:name w:val="font122"/>
    <w:qFormat/>
    <w:uiPriority w:val="0"/>
    <w:rPr>
      <w:rFonts w:ascii="Calibri" w:hAnsi="Calibri" w:cs="Calibri"/>
      <w:color w:val="000000"/>
      <w:sz w:val="20"/>
      <w:szCs w:val="20"/>
      <w:u w:val="none"/>
    </w:rPr>
  </w:style>
  <w:style w:type="character" w:customStyle="1" w:styleId="335">
    <w:name w:val="Char Char71"/>
    <w:qFormat/>
    <w:uiPriority w:val="0"/>
    <w:rPr>
      <w:rFonts w:ascii="Calibri Light" w:hAnsi="Calibri Light" w:eastAsia="宋体" w:cs="Calibri Light"/>
      <w:b/>
      <w:bCs/>
      <w:kern w:val="1"/>
      <w:sz w:val="28"/>
      <w:szCs w:val="28"/>
      <w:lang w:val="en-US" w:eastAsia="ar-SA" w:bidi="ar-SA"/>
    </w:rPr>
  </w:style>
  <w:style w:type="character" w:customStyle="1" w:styleId="336">
    <w:name w:val="hover26"/>
    <w:uiPriority w:val="0"/>
    <w:rPr>
      <w:u w:val="single"/>
    </w:rPr>
  </w:style>
  <w:style w:type="character" w:customStyle="1" w:styleId="337">
    <w:name w:val="标题 字符"/>
    <w:qFormat/>
    <w:uiPriority w:val="0"/>
    <w:rPr>
      <w:rFonts w:ascii="Cambria" w:hAnsi="Cambria" w:cs="Times New Roman"/>
      <w:b/>
      <w:bCs/>
      <w:kern w:val="2"/>
      <w:sz w:val="32"/>
      <w:szCs w:val="32"/>
    </w:rPr>
  </w:style>
  <w:style w:type="character" w:customStyle="1" w:styleId="338">
    <w:name w:val="投标书正文无序编号 Char Char"/>
    <w:link w:val="339"/>
    <w:uiPriority w:val="0"/>
    <w:rPr>
      <w:kern w:val="2"/>
      <w:sz w:val="24"/>
      <w:szCs w:val="24"/>
    </w:rPr>
  </w:style>
  <w:style w:type="paragraph" w:customStyle="1" w:styleId="339">
    <w:name w:val="投标书正文无序编号"/>
    <w:basedOn w:val="340"/>
    <w:link w:val="338"/>
    <w:uiPriority w:val="0"/>
    <w:pPr>
      <w:tabs>
        <w:tab w:val="left" w:pos="780"/>
        <w:tab w:val="left" w:pos="902"/>
      </w:tabs>
      <w:adjustRightInd w:val="0"/>
      <w:ind w:left="420" w:firstLine="0" w:firstLineChars="0"/>
    </w:pPr>
    <w:rPr>
      <w:rFonts w:eastAsia="宋体"/>
    </w:rPr>
  </w:style>
  <w:style w:type="paragraph" w:customStyle="1" w:styleId="340">
    <w:name w:val="投标书正文"/>
    <w:link w:val="402"/>
    <w:uiPriority w:val="0"/>
    <w:pPr>
      <w:autoSpaceDE w:val="0"/>
      <w:spacing w:line="360" w:lineRule="auto"/>
      <w:ind w:firstLine="200" w:firstLineChars="200"/>
    </w:pPr>
    <w:rPr>
      <w:rFonts w:eastAsia="Times New Roman"/>
      <w:kern w:val="2"/>
      <w:sz w:val="24"/>
      <w:szCs w:val="24"/>
      <w:lang w:val="en-US" w:eastAsia="zh-CN" w:bidi="ar-SA"/>
    </w:rPr>
  </w:style>
  <w:style w:type="character" w:customStyle="1" w:styleId="341">
    <w:name w:val="标准正文格式 Char Char"/>
    <w:link w:val="342"/>
    <w:qFormat/>
    <w:uiPriority w:val="0"/>
    <w:rPr>
      <w:rFonts w:ascii="宋体" w:eastAsia="仿宋_GB2312" w:cs="宋体"/>
      <w:color w:val="000000"/>
      <w:sz w:val="24"/>
    </w:rPr>
  </w:style>
  <w:style w:type="paragraph" w:customStyle="1" w:styleId="342">
    <w:name w:val="标准正文格式"/>
    <w:basedOn w:val="1"/>
    <w:link w:val="341"/>
    <w:qFormat/>
    <w:uiPriority w:val="0"/>
    <w:pPr>
      <w:widowControl/>
      <w:adjustRightInd w:val="0"/>
      <w:spacing w:before="60" w:after="120"/>
      <w:ind w:firstLine="200" w:firstLineChars="200"/>
      <w:textAlignment w:val="baseline"/>
    </w:pPr>
    <w:rPr>
      <w:rFonts w:ascii="宋体" w:eastAsia="仿宋_GB2312"/>
      <w:color w:val="000000"/>
      <w:kern w:val="0"/>
      <w:sz w:val="24"/>
    </w:rPr>
  </w:style>
  <w:style w:type="character" w:customStyle="1" w:styleId="343">
    <w:name w:val="标题 8 字符"/>
    <w:qFormat/>
    <w:uiPriority w:val="0"/>
    <w:rPr>
      <w:sz w:val="24"/>
    </w:rPr>
  </w:style>
  <w:style w:type="character" w:customStyle="1" w:styleId="344">
    <w:name w:val="普通文字 Char Char Char Char1"/>
    <w:aliases w:val="普通文字 Char Char Char Char Char,正 文 1 Char,Texte Char,普通文字4 Char,普通文字5 Char,普通文字6 Char,普通文字11 Char,普通文字21 Char,普通文字 Char Char3,普通文字 Char Char Char3,普通文字 Char3,普通文字 Char Char Char Char2,普通文字 Char Char Char Char Char1,Texte Char2"/>
    <w:qFormat/>
    <w:uiPriority w:val="0"/>
    <w:rPr>
      <w:rFonts w:ascii="宋体" w:hAnsi="Courier New" w:eastAsia="宋体"/>
      <w:kern w:val="2"/>
      <w:sz w:val="24"/>
      <w:lang w:val="en-US" w:eastAsia="zh-CN" w:bidi="ar-SA"/>
    </w:rPr>
  </w:style>
  <w:style w:type="character" w:customStyle="1" w:styleId="345">
    <w:name w:val="批注文字 Char"/>
    <w:uiPriority w:val="0"/>
    <w:rPr>
      <w:kern w:val="2"/>
      <w:sz w:val="21"/>
      <w:szCs w:val="22"/>
    </w:rPr>
  </w:style>
  <w:style w:type="character" w:customStyle="1" w:styleId="346">
    <w:name w:val="标题 5 字符"/>
    <w:qFormat/>
    <w:uiPriority w:val="9"/>
    <w:rPr>
      <w:sz w:val="24"/>
    </w:rPr>
  </w:style>
  <w:style w:type="character" w:customStyle="1" w:styleId="347">
    <w:name w:val="批注文字 字符1"/>
    <w:qFormat/>
    <w:uiPriority w:val="0"/>
    <w:rPr>
      <w:kern w:val="2"/>
      <w:sz w:val="21"/>
      <w:szCs w:val="24"/>
    </w:rPr>
  </w:style>
  <w:style w:type="character" w:customStyle="1" w:styleId="348">
    <w:name w:val="标题 字符2"/>
    <w:link w:val="49"/>
    <w:qFormat/>
    <w:uiPriority w:val="99"/>
    <w:rPr>
      <w:rFonts w:ascii="Cambria" w:hAnsi="Cambria" w:cs="Times New Roman"/>
      <w:b/>
      <w:bCs/>
      <w:kern w:val="2"/>
      <w:sz w:val="32"/>
      <w:szCs w:val="32"/>
    </w:rPr>
  </w:style>
  <w:style w:type="character" w:customStyle="1" w:styleId="349">
    <w:name w:val="Char Char32"/>
    <w:qFormat/>
    <w:uiPriority w:val="0"/>
    <w:rPr>
      <w:rFonts w:hint="eastAsia" w:ascii="宋体" w:hAnsi="Courier New" w:eastAsia="楷体_GB2312"/>
      <w:kern w:val="2"/>
      <w:sz w:val="26"/>
      <w:lang w:val="en-US" w:eastAsia="zh-CN" w:bidi="ar-SA"/>
    </w:rPr>
  </w:style>
  <w:style w:type="character" w:customStyle="1" w:styleId="350">
    <w:name w:val="正文文本缩进 Char1"/>
    <w:semiHidden/>
    <w:uiPriority w:val="99"/>
    <w:rPr>
      <w:rFonts w:ascii="Times New Roman" w:hAnsi="Times New Roman"/>
      <w:kern w:val="2"/>
      <w:sz w:val="21"/>
      <w:szCs w:val="24"/>
    </w:rPr>
  </w:style>
  <w:style w:type="character" w:customStyle="1" w:styleId="351">
    <w:name w:val="WW8Num15z0"/>
    <w:qFormat/>
    <w:uiPriority w:val="0"/>
    <w:rPr>
      <w:rFonts w:hint="default" w:ascii="Wingdings" w:hAnsi="Wingdings" w:cs="Wingdings"/>
    </w:rPr>
  </w:style>
  <w:style w:type="character" w:customStyle="1" w:styleId="352">
    <w:name w:val="font71"/>
    <w:qFormat/>
    <w:uiPriority w:val="0"/>
    <w:rPr>
      <w:rFonts w:hint="eastAsia" w:ascii="宋体" w:hAnsi="宋体" w:eastAsia="宋体" w:cs="宋体"/>
      <w:color w:val="000000"/>
      <w:sz w:val="20"/>
      <w:szCs w:val="20"/>
      <w:u w:val="none"/>
    </w:rPr>
  </w:style>
  <w:style w:type="character" w:customStyle="1" w:styleId="353">
    <w:name w:val="标题 2 字符2"/>
    <w:link w:val="4"/>
    <w:qFormat/>
    <w:uiPriority w:val="0"/>
    <w:rPr>
      <w:b/>
      <w:kern w:val="2"/>
      <w:sz w:val="21"/>
    </w:rPr>
  </w:style>
  <w:style w:type="character" w:customStyle="1" w:styleId="354">
    <w:name w:val="样式2 Char Char"/>
    <w:link w:val="355"/>
    <w:qFormat/>
    <w:uiPriority w:val="0"/>
    <w:rPr>
      <w:rFonts w:eastAsia="微软雅黑"/>
      <w:b/>
      <w:color w:val="FF6600"/>
      <w:kern w:val="2"/>
      <w:sz w:val="24"/>
      <w:szCs w:val="22"/>
    </w:rPr>
  </w:style>
  <w:style w:type="paragraph" w:customStyle="1" w:styleId="355">
    <w:name w:val="样式2"/>
    <w:basedOn w:val="1"/>
    <w:link w:val="354"/>
    <w:qFormat/>
    <w:uiPriority w:val="0"/>
    <w:pPr>
      <w:overflowPunct w:val="0"/>
      <w:autoSpaceDE w:val="0"/>
      <w:autoSpaceDN w:val="0"/>
      <w:adjustRightInd w:val="0"/>
      <w:spacing w:line="336" w:lineRule="auto"/>
      <w:jc w:val="left"/>
    </w:pPr>
    <w:rPr>
      <w:rFonts w:eastAsia="微软雅黑"/>
      <w:b/>
      <w:color w:val="FF6600"/>
      <w:sz w:val="24"/>
      <w:szCs w:val="22"/>
    </w:rPr>
  </w:style>
  <w:style w:type="character" w:customStyle="1" w:styleId="356">
    <w:name w:val="标书正文 Char Char"/>
    <w:link w:val="357"/>
    <w:qFormat/>
    <w:uiPriority w:val="0"/>
    <w:rPr>
      <w:color w:val="000000"/>
      <w:kern w:val="2"/>
      <w:sz w:val="24"/>
    </w:rPr>
  </w:style>
  <w:style w:type="paragraph" w:customStyle="1" w:styleId="357">
    <w:name w:val="标书正文"/>
    <w:basedOn w:val="1"/>
    <w:link w:val="356"/>
    <w:qFormat/>
    <w:uiPriority w:val="0"/>
    <w:pPr>
      <w:ind w:firstLine="200" w:firstLineChars="200"/>
      <w:jc w:val="left"/>
    </w:pPr>
    <w:rPr>
      <w:color w:val="000000"/>
      <w:sz w:val="24"/>
    </w:rPr>
  </w:style>
  <w:style w:type="character" w:customStyle="1" w:styleId="358">
    <w:name w:val="正文文本 2 Char1"/>
    <w:semiHidden/>
    <w:uiPriority w:val="99"/>
    <w:rPr>
      <w:rFonts w:ascii="Times New Roman" w:hAnsi="Times New Roman"/>
      <w:kern w:val="2"/>
      <w:sz w:val="21"/>
      <w:szCs w:val="24"/>
    </w:rPr>
  </w:style>
  <w:style w:type="character" w:customStyle="1" w:styleId="359">
    <w:name w:val="正文文本 3 字符"/>
    <w:qFormat/>
    <w:uiPriority w:val="0"/>
    <w:rPr>
      <w:rFonts w:ascii="宋体" w:hAnsi="宋体"/>
      <w:b/>
      <w:bCs/>
      <w:kern w:val="2"/>
      <w:sz w:val="36"/>
      <w:szCs w:val="32"/>
    </w:rPr>
  </w:style>
  <w:style w:type="character" w:customStyle="1" w:styleId="360">
    <w:name w:val="hover24"/>
    <w:uiPriority w:val="0"/>
  </w:style>
  <w:style w:type="character" w:customStyle="1" w:styleId="361">
    <w:name w:val="批注主题 Char2"/>
    <w:qFormat/>
    <w:uiPriority w:val="0"/>
    <w:rPr>
      <w:rFonts w:ascii="Times New Roman" w:hAnsi="Times New Roman"/>
      <w:b/>
      <w:bCs/>
      <w:kern w:val="2"/>
      <w:sz w:val="21"/>
      <w:szCs w:val="24"/>
    </w:rPr>
  </w:style>
  <w:style w:type="character" w:customStyle="1" w:styleId="362">
    <w:name w:val="标题 4 字符2"/>
    <w:link w:val="5"/>
    <w:qFormat/>
    <w:uiPriority w:val="0"/>
    <w:rPr>
      <w:sz w:val="24"/>
    </w:rPr>
  </w:style>
  <w:style w:type="character" w:customStyle="1" w:styleId="363">
    <w:name w:val="WW8Num4z4"/>
    <w:qFormat/>
    <w:uiPriority w:val="0"/>
  </w:style>
  <w:style w:type="character" w:customStyle="1" w:styleId="364">
    <w:name w:val="正文文本缩进 Char"/>
    <w:aliases w:val="正文文字首行缩进 Char,HD正文1 Char,正文小标题 Char,（较稀疏） Char,正文内容 Char"/>
    <w:qFormat/>
    <w:uiPriority w:val="0"/>
    <w:rPr>
      <w:rFonts w:ascii="宋体" w:hAnsi="Courier New"/>
      <w:spacing w:val="-4"/>
      <w:kern w:val="2"/>
      <w:sz w:val="18"/>
    </w:rPr>
  </w:style>
  <w:style w:type="character" w:customStyle="1" w:styleId="365">
    <w:name w:val="批注文字 Char3"/>
    <w:semiHidden/>
    <w:uiPriority w:val="99"/>
    <w:rPr>
      <w:rFonts w:ascii="Times New Roman" w:hAnsi="Times New Roman"/>
      <w:kern w:val="2"/>
      <w:sz w:val="21"/>
      <w:szCs w:val="24"/>
    </w:rPr>
  </w:style>
  <w:style w:type="character" w:customStyle="1" w:styleId="366">
    <w:name w:val="标题 7 字符1"/>
    <w:uiPriority w:val="0"/>
    <w:rPr>
      <w:rFonts w:eastAsia="宋体"/>
      <w:b/>
      <w:bCs/>
      <w:kern w:val="2"/>
      <w:sz w:val="24"/>
      <w:szCs w:val="24"/>
      <w:lang w:val="en-US" w:eastAsia="zh-CN" w:bidi="ar-SA"/>
    </w:rPr>
  </w:style>
  <w:style w:type="character" w:customStyle="1" w:styleId="367">
    <w:name w:val="16"/>
    <w:uiPriority w:val="0"/>
    <w:rPr>
      <w:rFonts w:hint="default" w:ascii="Times New Roman" w:hAnsi="Times New Roman" w:cs="Times New Roman"/>
      <w:color w:val="0368A8"/>
      <w:sz w:val="20"/>
      <w:szCs w:val="20"/>
      <w:u w:val="none"/>
    </w:rPr>
  </w:style>
  <w:style w:type="character" w:customStyle="1" w:styleId="368">
    <w:name w:val="WW8Num9z3"/>
    <w:qFormat/>
    <w:uiPriority w:val="0"/>
  </w:style>
  <w:style w:type="character" w:customStyle="1" w:styleId="369">
    <w:name w:val="font81"/>
    <w:qFormat/>
    <w:uiPriority w:val="0"/>
    <w:rPr>
      <w:rFonts w:hint="default" w:ascii="Calibri" w:hAnsi="Calibri" w:cs="Calibri"/>
      <w:color w:val="FF0000"/>
      <w:sz w:val="20"/>
      <w:szCs w:val="20"/>
      <w:u w:val="none"/>
    </w:rPr>
  </w:style>
  <w:style w:type="character" w:customStyle="1" w:styleId="370">
    <w:name w:val="__正文 Char"/>
    <w:link w:val="371"/>
    <w:qFormat/>
    <w:uiPriority w:val="0"/>
    <w:rPr>
      <w:rFonts w:ascii="宋体" w:hAnsi="宋体"/>
      <w:kern w:val="2"/>
      <w:sz w:val="24"/>
      <w:szCs w:val="24"/>
      <w:lang w:val="en-US" w:eastAsia="zh-CN" w:bidi="ar-SA"/>
    </w:rPr>
  </w:style>
  <w:style w:type="paragraph" w:customStyle="1" w:styleId="371">
    <w:name w:val="__正文"/>
    <w:link w:val="370"/>
    <w:qFormat/>
    <w:uiPriority w:val="0"/>
    <w:pPr>
      <w:spacing w:line="360" w:lineRule="auto"/>
      <w:ind w:firstLine="480" w:firstLineChars="200"/>
    </w:pPr>
    <w:rPr>
      <w:rFonts w:ascii="宋体" w:hAnsi="宋体"/>
      <w:kern w:val="2"/>
      <w:sz w:val="24"/>
      <w:szCs w:val="24"/>
      <w:lang w:val="en-US" w:eastAsia="zh-CN" w:bidi="ar-SA"/>
    </w:rPr>
  </w:style>
  <w:style w:type="character" w:customStyle="1" w:styleId="372">
    <w:name w:val="style11"/>
    <w:uiPriority w:val="0"/>
    <w:rPr>
      <w:rFonts w:hint="default" w:ascii="Arial" w:hAnsi="Arial" w:cs="Arial"/>
      <w:b/>
      <w:bCs/>
      <w:sz w:val="27"/>
      <w:szCs w:val="27"/>
    </w:rPr>
  </w:style>
  <w:style w:type="character" w:customStyle="1" w:styleId="373">
    <w:name w:val="Body Char"/>
    <w:link w:val="374"/>
    <w:uiPriority w:val="0"/>
    <w:rPr>
      <w:rFonts w:ascii="Arial" w:hAnsi="Arial"/>
      <w:szCs w:val="21"/>
      <w:lang w:eastAsia="en-US"/>
    </w:rPr>
  </w:style>
  <w:style w:type="paragraph" w:customStyle="1" w:styleId="374">
    <w:name w:val="Body"/>
    <w:basedOn w:val="1"/>
    <w:link w:val="373"/>
    <w:uiPriority w:val="0"/>
    <w:pPr>
      <w:widowControl/>
      <w:tabs>
        <w:tab w:val="left" w:pos="1247"/>
      </w:tabs>
      <w:spacing w:before="120" w:line="288" w:lineRule="auto"/>
      <w:ind w:left="1247"/>
    </w:pPr>
    <w:rPr>
      <w:rFonts w:ascii="Arial" w:hAnsi="Arial"/>
      <w:kern w:val="0"/>
      <w:sz w:val="20"/>
      <w:szCs w:val="21"/>
      <w:lang w:eastAsia="en-US"/>
    </w:rPr>
  </w:style>
  <w:style w:type="character" w:customStyle="1" w:styleId="375">
    <w:name w:val="标题 Char"/>
    <w:qFormat/>
    <w:uiPriority w:val="0"/>
    <w:rPr>
      <w:rFonts w:ascii="Cambria" w:hAnsi="Cambria" w:eastAsia="楷体_GB2312" w:cs="Times New Roman"/>
      <w:b/>
      <w:bCs/>
      <w:sz w:val="32"/>
      <w:szCs w:val="32"/>
    </w:rPr>
  </w:style>
  <w:style w:type="character" w:customStyle="1" w:styleId="376">
    <w:name w:val="p41"/>
    <w:qFormat/>
    <w:uiPriority w:val="0"/>
    <w:rPr>
      <w:sz w:val="21"/>
    </w:rPr>
  </w:style>
  <w:style w:type="character" w:customStyle="1" w:styleId="377">
    <w:name w:val="段正文 Char Char"/>
    <w:qFormat/>
    <w:uiPriority w:val="0"/>
    <w:rPr>
      <w:sz w:val="24"/>
      <w:lang w:eastAsia="ar-SA" w:bidi="ar-SA"/>
    </w:rPr>
  </w:style>
  <w:style w:type="character" w:customStyle="1" w:styleId="378">
    <w:name w:val="WW8Num11z3"/>
    <w:qFormat/>
    <w:uiPriority w:val="0"/>
  </w:style>
  <w:style w:type="character" w:customStyle="1" w:styleId="379">
    <w:name w:val="Char Char31"/>
    <w:qFormat/>
    <w:uiPriority w:val="0"/>
    <w:rPr>
      <w:rFonts w:ascii="Calibri Light" w:hAnsi="Calibri Light" w:eastAsia="宋体" w:cs="Calibri Light"/>
      <w:kern w:val="1"/>
      <w:sz w:val="24"/>
      <w:szCs w:val="24"/>
      <w:lang w:val="en-US" w:eastAsia="ar-SA" w:bidi="ar-SA"/>
    </w:rPr>
  </w:style>
  <w:style w:type="character" w:customStyle="1" w:styleId="380">
    <w:name w:val="Char Char61"/>
    <w:qFormat/>
    <w:uiPriority w:val="0"/>
    <w:rPr>
      <w:rFonts w:ascii="Calibri" w:hAnsi="Calibri" w:eastAsia="宋体" w:cs="Calibri"/>
      <w:b/>
      <w:bCs/>
      <w:kern w:val="1"/>
      <w:sz w:val="28"/>
      <w:szCs w:val="28"/>
      <w:lang w:val="en-US" w:eastAsia="ar-SA" w:bidi="ar-SA"/>
    </w:rPr>
  </w:style>
  <w:style w:type="character" w:customStyle="1" w:styleId="381">
    <w:name w:val="Char Char51"/>
    <w:qFormat/>
    <w:uiPriority w:val="0"/>
    <w:rPr>
      <w:rFonts w:ascii="Calibri Light" w:hAnsi="Calibri Light" w:eastAsia="宋体" w:cs="Calibri Light"/>
      <w:b/>
      <w:bCs/>
      <w:kern w:val="1"/>
      <w:sz w:val="24"/>
      <w:szCs w:val="24"/>
      <w:lang w:val="en-US" w:eastAsia="ar-SA" w:bidi="ar-SA"/>
    </w:rPr>
  </w:style>
  <w:style w:type="character" w:customStyle="1" w:styleId="382">
    <w:name w:val="标题 7 字符"/>
    <w:qFormat/>
    <w:uiPriority w:val="0"/>
    <w:rPr>
      <w:sz w:val="24"/>
    </w:rPr>
  </w:style>
  <w:style w:type="character" w:customStyle="1" w:styleId="383">
    <w:name w:val="WW8Num11z0"/>
    <w:qFormat/>
    <w:uiPriority w:val="0"/>
    <w:rPr>
      <w:rFonts w:hint="default"/>
    </w:rPr>
  </w:style>
  <w:style w:type="character" w:customStyle="1" w:styleId="384">
    <w:name w:val="WW8Num2z4"/>
    <w:qFormat/>
    <w:uiPriority w:val="0"/>
  </w:style>
  <w:style w:type="character" w:customStyle="1" w:styleId="385">
    <w:name w:val="纯文本 字符4"/>
    <w:link w:val="27"/>
    <w:qFormat/>
    <w:uiPriority w:val="0"/>
    <w:rPr>
      <w:rFonts w:ascii="宋体" w:hAnsi="Courier New" w:eastAsia="宋体"/>
      <w:kern w:val="2"/>
      <w:sz w:val="21"/>
      <w:lang w:val="en-US" w:eastAsia="zh-CN" w:bidi="ar-SA"/>
    </w:rPr>
  </w:style>
  <w:style w:type="character" w:customStyle="1" w:styleId="386">
    <w:name w:val="正文文本缩进 字符3"/>
    <w:link w:val="20"/>
    <w:qFormat/>
    <w:uiPriority w:val="0"/>
    <w:rPr>
      <w:rFonts w:eastAsia="宋体"/>
      <w:kern w:val="2"/>
      <w:sz w:val="28"/>
      <w:szCs w:val="24"/>
      <w:lang w:val="en-US" w:eastAsia="zh-CN" w:bidi="ar-SA"/>
    </w:rPr>
  </w:style>
  <w:style w:type="character" w:customStyle="1" w:styleId="387">
    <w:name w:val="Char Char321"/>
    <w:qFormat/>
    <w:uiPriority w:val="0"/>
    <w:rPr>
      <w:rFonts w:ascii="宋体" w:hAnsi="Courier New" w:eastAsia="楷体_GB2312"/>
      <w:kern w:val="2"/>
      <w:sz w:val="26"/>
      <w:lang w:val="en-US" w:eastAsia="zh-CN" w:bidi="ar-SA"/>
    </w:rPr>
  </w:style>
  <w:style w:type="character" w:customStyle="1" w:styleId="388">
    <w:name w:val="纯文本 Char"/>
    <w:aliases w:val="普通文字 Char Char4,纯文本 Char Char Char3,普通文字 Char4,小 Char2,正 文 1 Char2,0921 Char2,普通文字1 Char2,普通文字2 Char1,普通文字31 Char,普通文字41 Char,普通文字7 Char,纯文本 Char Char Char,普通文字 Char Char Char Char,普通文字 Char2,0921 Char,普通文字3 Char1,普通文字4 Char1,普通文字5 Char1"/>
    <w:qFormat/>
    <w:uiPriority w:val="99"/>
    <w:rPr>
      <w:rFonts w:ascii="宋体" w:hAnsi="Courier New" w:eastAsia="宋体"/>
      <w:kern w:val="2"/>
      <w:sz w:val="21"/>
      <w:lang w:val="en-US" w:eastAsia="zh-CN" w:bidi="ar-SA"/>
    </w:rPr>
  </w:style>
  <w:style w:type="character" w:customStyle="1" w:styleId="389">
    <w:name w:val="样式1 Char Char"/>
    <w:link w:val="390"/>
    <w:qFormat/>
    <w:uiPriority w:val="0"/>
    <w:rPr>
      <w:rFonts w:ascii="Arial" w:hAnsi="Arial"/>
      <w:kern w:val="2"/>
      <w:sz w:val="21"/>
      <w:szCs w:val="24"/>
    </w:rPr>
  </w:style>
  <w:style w:type="paragraph" w:customStyle="1" w:styleId="390">
    <w:name w:val="样式1"/>
    <w:basedOn w:val="1"/>
    <w:link w:val="389"/>
    <w:qFormat/>
    <w:uiPriority w:val="0"/>
    <w:pPr>
      <w:spacing w:line="360" w:lineRule="exact"/>
      <w:ind w:firstLine="200" w:firstLineChars="200"/>
    </w:pPr>
    <w:rPr>
      <w:rFonts w:ascii="Arial" w:hAnsi="Arial"/>
      <w:szCs w:val="24"/>
    </w:rPr>
  </w:style>
  <w:style w:type="character" w:customStyle="1" w:styleId="391">
    <w:name w:val="页脚 Char1"/>
    <w:qFormat/>
    <w:locked/>
    <w:uiPriority w:val="99"/>
    <w:rPr>
      <w:rFonts w:eastAsia="黑体"/>
      <w:snapToGrid w:val="0"/>
      <w:sz w:val="18"/>
      <w:szCs w:val="18"/>
    </w:rPr>
  </w:style>
  <w:style w:type="character" w:customStyle="1" w:styleId="392">
    <w:name w:val="批注主题 Char1"/>
    <w:qFormat/>
    <w:uiPriority w:val="0"/>
    <w:rPr>
      <w:rFonts w:cs="Times New Roman"/>
      <w:b/>
      <w:kern w:val="2"/>
      <w:sz w:val="24"/>
      <w:szCs w:val="24"/>
    </w:rPr>
  </w:style>
  <w:style w:type="character" w:customStyle="1" w:styleId="393">
    <w:name w:val="批注主题 字符"/>
    <w:qFormat/>
    <w:uiPriority w:val="0"/>
    <w:rPr>
      <w:b/>
      <w:bCs/>
      <w:kern w:val="2"/>
      <w:sz w:val="21"/>
      <w:szCs w:val="24"/>
    </w:rPr>
  </w:style>
  <w:style w:type="character" w:customStyle="1" w:styleId="394">
    <w:name w:val="页眉 Char"/>
    <w:aliases w:val="h Char,Ò³Ã¼ Char,Header Char"/>
    <w:qFormat/>
    <w:uiPriority w:val="0"/>
    <w:rPr>
      <w:sz w:val="18"/>
      <w:szCs w:val="18"/>
    </w:rPr>
  </w:style>
  <w:style w:type="character" w:customStyle="1" w:styleId="395">
    <w:name w:val="正文文本缩进 字符1"/>
    <w:qFormat/>
    <w:uiPriority w:val="0"/>
    <w:rPr>
      <w:rFonts w:eastAsia="宋体"/>
      <w:kern w:val="2"/>
      <w:sz w:val="28"/>
      <w:szCs w:val="24"/>
      <w:lang w:val="en-US" w:eastAsia="zh-CN" w:bidi="ar-SA"/>
    </w:rPr>
  </w:style>
  <w:style w:type="character" w:customStyle="1" w:styleId="396">
    <w:name w:val="WW8Num4z7"/>
    <w:qFormat/>
    <w:uiPriority w:val="0"/>
  </w:style>
  <w:style w:type="character" w:customStyle="1" w:styleId="397">
    <w:name w:val="正文文本 3 字符1"/>
    <w:qFormat/>
    <w:uiPriority w:val="0"/>
    <w:rPr>
      <w:kern w:val="2"/>
      <w:sz w:val="16"/>
      <w:szCs w:val="16"/>
    </w:rPr>
  </w:style>
  <w:style w:type="character" w:customStyle="1" w:styleId="398">
    <w:name w:val="标题 6 字符"/>
    <w:qFormat/>
    <w:uiPriority w:val="0"/>
    <w:rPr>
      <w:sz w:val="24"/>
    </w:rPr>
  </w:style>
  <w:style w:type="character" w:customStyle="1" w:styleId="399">
    <w:name w:val="标题 2 字符"/>
    <w:aliases w:val="第*章 字符,h2 字符,sect 1.2 字符,H2 字符,2nd level 字符,2 字符,Header 2 字符,UNDERRUBRIK 1-2 字符,章标题 字符,Heading 2 Hidden 字符,Heading 2 CCBS 字符,heading 2 字符,第一章 标题 2 字符,ISO1 字符,TestHeading2 字符,th2 字符,节 字符,标题 1.1 字符,Underrubrik1 字符,prop2 字符,l2 字符,Chapter Title 字符"/>
    <w:qFormat/>
    <w:uiPriority w:val="0"/>
    <w:rPr>
      <w:rFonts w:ascii="仿宋_GB2312" w:eastAsia="仿宋_GB2312"/>
      <w:b/>
      <w:sz w:val="36"/>
      <w:lang w:val="en-US" w:eastAsia="zh-CN" w:bidi="ar-SA"/>
    </w:rPr>
  </w:style>
  <w:style w:type="character" w:customStyle="1" w:styleId="400">
    <w:name w:val="正文文本首行缩进 字符"/>
    <w:qFormat/>
    <w:uiPriority w:val="0"/>
    <w:rPr>
      <w:rFonts w:ascii="宋体" w:hAnsi="宋体"/>
      <w:kern w:val="2"/>
      <w:sz w:val="21"/>
    </w:rPr>
  </w:style>
  <w:style w:type="character" w:customStyle="1" w:styleId="401">
    <w:name w:val="正文文本缩进 2 字符1"/>
    <w:link w:val="30"/>
    <w:uiPriority w:val="99"/>
    <w:rPr>
      <w:rFonts w:eastAsia="黑体"/>
      <w:b/>
      <w:bCs/>
      <w:kern w:val="2"/>
      <w:sz w:val="28"/>
    </w:rPr>
  </w:style>
  <w:style w:type="character" w:customStyle="1" w:styleId="402">
    <w:name w:val="投标书正文 Char Char"/>
    <w:link w:val="340"/>
    <w:uiPriority w:val="0"/>
    <w:rPr>
      <w:rFonts w:eastAsia="Times New Roman"/>
      <w:kern w:val="2"/>
      <w:sz w:val="24"/>
      <w:szCs w:val="24"/>
      <w:lang w:val="en-US" w:eastAsia="zh-CN" w:bidi="ar-SA"/>
    </w:rPr>
  </w:style>
  <w:style w:type="character" w:customStyle="1" w:styleId="403">
    <w:name w:val="3级标题 Char"/>
    <w:link w:val="404"/>
    <w:uiPriority w:val="0"/>
    <w:rPr>
      <w:rFonts w:ascii="黑体" w:hAnsi="黑体" w:eastAsia="黑体"/>
      <w:sz w:val="28"/>
      <w:szCs w:val="36"/>
      <w:lang w:eastAsia="en-US" w:bidi="en-US"/>
    </w:rPr>
  </w:style>
  <w:style w:type="paragraph" w:customStyle="1" w:styleId="404">
    <w:name w:val="3级标题"/>
    <w:basedOn w:val="70"/>
    <w:link w:val="403"/>
    <w:qFormat/>
    <w:uiPriority w:val="0"/>
    <w:pPr>
      <w:keepLines/>
      <w:numPr>
        <w:ilvl w:val="2"/>
        <w:numId w:val="1"/>
      </w:numPr>
      <w:spacing w:before="120" w:after="120"/>
      <w:ind w:firstLine="0" w:firstLineChars="0"/>
      <w:contextualSpacing/>
      <w:jc w:val="left"/>
      <w:outlineLvl w:val="2"/>
    </w:pPr>
    <w:rPr>
      <w:rFonts w:ascii="黑体" w:hAnsi="黑体" w:eastAsia="黑体"/>
      <w:kern w:val="0"/>
      <w:sz w:val="28"/>
      <w:szCs w:val="36"/>
      <w:lang w:eastAsia="en-US" w:bidi="en-US"/>
    </w:rPr>
  </w:style>
  <w:style w:type="character" w:customStyle="1" w:styleId="405">
    <w:name w:val="WW8Num16z7"/>
    <w:qFormat/>
    <w:uiPriority w:val="0"/>
  </w:style>
  <w:style w:type="character" w:customStyle="1" w:styleId="406">
    <w:name w:val="WW8Num11z6"/>
    <w:qFormat/>
    <w:uiPriority w:val="0"/>
  </w:style>
  <w:style w:type="character" w:customStyle="1" w:styleId="407">
    <w:name w:val="正文文本 2 字符1"/>
    <w:link w:val="45"/>
    <w:qFormat/>
    <w:uiPriority w:val="99"/>
    <w:rPr>
      <w:b/>
      <w:kern w:val="2"/>
      <w:sz w:val="72"/>
    </w:rPr>
  </w:style>
  <w:style w:type="character" w:customStyle="1" w:styleId="408">
    <w:name w:val="cm-header1"/>
    <w:uiPriority w:val="0"/>
    <w:rPr>
      <w:b/>
    </w:rPr>
  </w:style>
  <w:style w:type="character" w:customStyle="1" w:styleId="409">
    <w:name w:val="正文缩进 字符2"/>
    <w:link w:val="13"/>
    <w:qFormat/>
    <w:uiPriority w:val="0"/>
    <w:rPr>
      <w:rFonts w:ascii="宋体"/>
      <w:snapToGrid w:val="0"/>
      <w:color w:val="000000"/>
      <w:kern w:val="28"/>
      <w:sz w:val="28"/>
    </w:rPr>
  </w:style>
  <w:style w:type="character" w:customStyle="1" w:styleId="410">
    <w:name w:val="WW8Num1z0"/>
    <w:qFormat/>
    <w:uiPriority w:val="0"/>
  </w:style>
  <w:style w:type="character" w:customStyle="1" w:styleId="411">
    <w:name w:val="WW8Num2z3"/>
    <w:qFormat/>
    <w:uiPriority w:val="0"/>
  </w:style>
  <w:style w:type="character" w:customStyle="1" w:styleId="412">
    <w:name w:val="样式3 Char Char"/>
    <w:uiPriority w:val="0"/>
    <w:rPr>
      <w:rFonts w:ascii="Calibri" w:hAnsi="Calibri" w:eastAsia="微软雅黑" w:cs="黑体"/>
      <w:color w:val="808080"/>
    </w:rPr>
  </w:style>
  <w:style w:type="character" w:customStyle="1" w:styleId="413">
    <w:name w:val="large1"/>
    <w:uiPriority w:val="0"/>
    <w:rPr>
      <w:rFonts w:hint="eastAsia" w:ascii="宋体" w:hAnsi="宋体" w:eastAsia="宋体"/>
      <w:sz w:val="21"/>
      <w:szCs w:val="21"/>
    </w:rPr>
  </w:style>
  <w:style w:type="character" w:customStyle="1" w:styleId="414">
    <w:name w:val="tk1"/>
    <w:uiPriority w:val="0"/>
    <w:rPr>
      <w:rFonts w:hint="eastAsia" w:ascii="新宋体" w:hAnsi="新宋体" w:eastAsia="新宋体"/>
      <w:color w:val="000000"/>
      <w:sz w:val="18"/>
      <w:szCs w:val="18"/>
      <w:u w:val="none"/>
    </w:rPr>
  </w:style>
  <w:style w:type="character" w:customStyle="1" w:styleId="415">
    <w:name w:val="标题 3 字符2"/>
    <w:link w:val="2"/>
    <w:qFormat/>
    <w:uiPriority w:val="0"/>
    <w:rPr>
      <w:b/>
      <w:bCs/>
      <w:kern w:val="2"/>
      <w:sz w:val="32"/>
      <w:szCs w:val="32"/>
    </w:rPr>
  </w:style>
  <w:style w:type="character" w:customStyle="1" w:styleId="416">
    <w:name w:val="op_dict3_lineone_result_tip"/>
    <w:uiPriority w:val="0"/>
  </w:style>
  <w:style w:type="character" w:customStyle="1" w:styleId="417">
    <w:name w:val="正文首行缩进 Char1"/>
    <w:semiHidden/>
    <w:uiPriority w:val="99"/>
    <w:rPr>
      <w:rFonts w:ascii="Times New Roman" w:hAnsi="Times New Roman"/>
      <w:kern w:val="2"/>
      <w:sz w:val="21"/>
      <w:szCs w:val="24"/>
    </w:rPr>
  </w:style>
  <w:style w:type="character" w:customStyle="1" w:styleId="418">
    <w:name w:val="WW8Num5z4"/>
    <w:qFormat/>
    <w:uiPriority w:val="0"/>
  </w:style>
  <w:style w:type="character" w:customStyle="1" w:styleId="419">
    <w:name w:val="WW8Num8z7"/>
    <w:qFormat/>
    <w:uiPriority w:val="0"/>
  </w:style>
  <w:style w:type="character" w:customStyle="1" w:styleId="420">
    <w:name w:val="正文文本 2 Char"/>
    <w:qFormat/>
    <w:uiPriority w:val="0"/>
    <w:rPr>
      <w:rFonts w:ascii="宋体" w:hAnsi="宋体"/>
      <w:color w:val="000000"/>
      <w:kern w:val="2"/>
      <w:sz w:val="24"/>
      <w:szCs w:val="24"/>
    </w:rPr>
  </w:style>
  <w:style w:type="character" w:customStyle="1" w:styleId="421">
    <w:name w:val="font01"/>
    <w:qFormat/>
    <w:uiPriority w:val="0"/>
    <w:rPr>
      <w:rFonts w:hint="default" w:ascii="Times New Roman" w:hAnsi="Times New Roman" w:cs="Times New Roman"/>
      <w:color w:val="000000"/>
      <w:sz w:val="24"/>
      <w:szCs w:val="24"/>
      <w:u w:val="none"/>
    </w:rPr>
  </w:style>
  <w:style w:type="character" w:customStyle="1" w:styleId="422">
    <w:name w:val="WW8Num2z2"/>
    <w:qFormat/>
    <w:uiPriority w:val="0"/>
  </w:style>
  <w:style w:type="character" w:customStyle="1" w:styleId="423">
    <w:name w:val="正文（绿盟科技） Char"/>
    <w:link w:val="424"/>
    <w:uiPriority w:val="0"/>
    <w:rPr>
      <w:rFonts w:ascii="Arial" w:hAnsi="Arial"/>
      <w:szCs w:val="21"/>
      <w:lang w:val="en-US" w:eastAsia="zh-CN" w:bidi="ar-SA"/>
    </w:rPr>
  </w:style>
  <w:style w:type="paragraph" w:customStyle="1" w:styleId="424">
    <w:name w:val="正文（绿盟科技）"/>
    <w:link w:val="423"/>
    <w:uiPriority w:val="0"/>
    <w:pPr>
      <w:spacing w:line="300" w:lineRule="auto"/>
    </w:pPr>
    <w:rPr>
      <w:rFonts w:ascii="Arial" w:hAnsi="Arial"/>
      <w:szCs w:val="21"/>
      <w:lang w:val="en-US" w:eastAsia="zh-CN" w:bidi="ar-SA"/>
    </w:rPr>
  </w:style>
  <w:style w:type="character" w:customStyle="1" w:styleId="425">
    <w:name w:val="Char Char"/>
    <w:qFormat/>
    <w:locked/>
    <w:uiPriority w:val="0"/>
    <w:rPr>
      <w:rFonts w:ascii="宋体" w:hAnsi="宋体" w:eastAsia="宋体"/>
      <w:kern w:val="2"/>
      <w:sz w:val="32"/>
      <w:lang w:val="en-US" w:eastAsia="zh-CN" w:bidi="ar-SA"/>
    </w:rPr>
  </w:style>
  <w:style w:type="character" w:customStyle="1" w:styleId="426">
    <w:name w:val="副标题 Char1"/>
    <w:uiPriority w:val="11"/>
    <w:rPr>
      <w:rFonts w:ascii="Cambria" w:hAnsi="Cambria" w:eastAsia="宋体" w:cs="Times New Roman"/>
      <w:b/>
      <w:bCs/>
      <w:kern w:val="28"/>
      <w:sz w:val="32"/>
      <w:szCs w:val="32"/>
    </w:rPr>
  </w:style>
  <w:style w:type="character" w:customStyle="1" w:styleId="427">
    <w:name w:val="批注框文本 字符1"/>
    <w:qFormat/>
    <w:uiPriority w:val="99"/>
    <w:rPr>
      <w:rFonts w:eastAsia="宋体"/>
      <w:kern w:val="2"/>
      <w:sz w:val="18"/>
      <w:szCs w:val="18"/>
      <w:lang w:val="en-US" w:eastAsia="zh-CN" w:bidi="ar-SA"/>
    </w:rPr>
  </w:style>
  <w:style w:type="character" w:customStyle="1" w:styleId="428">
    <w:name w:val="WW8Num13z0"/>
    <w:qFormat/>
    <w:uiPriority w:val="0"/>
    <w:rPr>
      <w:rFonts w:hint="eastAsia" w:ascii="宋体" w:hAnsi="宋体" w:cs="宋体"/>
      <w:szCs w:val="21"/>
    </w:rPr>
  </w:style>
  <w:style w:type="character" w:styleId="429">
    <w:name w:val=""/>
    <w:qFormat/>
    <w:uiPriority w:val="32"/>
    <w:rPr>
      <w:b/>
      <w:bCs/>
      <w:smallCaps/>
      <w:color w:val="C0504D"/>
      <w:spacing w:val="5"/>
      <w:u w:val="single"/>
    </w:rPr>
  </w:style>
  <w:style w:type="character" w:customStyle="1" w:styleId="430">
    <w:name w:val="批注主题 Char"/>
    <w:qFormat/>
    <w:uiPriority w:val="0"/>
    <w:rPr>
      <w:b/>
      <w:bCs/>
      <w:kern w:val="2"/>
      <w:sz w:val="21"/>
      <w:szCs w:val="24"/>
    </w:rPr>
  </w:style>
  <w:style w:type="character" w:customStyle="1" w:styleId="431">
    <w:name w:val="WW8Num16z4"/>
    <w:qFormat/>
    <w:uiPriority w:val="0"/>
  </w:style>
  <w:style w:type="character" w:customStyle="1" w:styleId="432">
    <w:name w:val="headst1"/>
    <w:uiPriority w:val="0"/>
    <w:rPr>
      <w:color w:val="526BAD"/>
    </w:rPr>
  </w:style>
  <w:style w:type="character" w:customStyle="1" w:styleId="433">
    <w:name w:val="页脚 字符2"/>
    <w:link w:val="32"/>
    <w:qFormat/>
    <w:uiPriority w:val="0"/>
    <w:rPr>
      <w:kern w:val="2"/>
      <w:sz w:val="18"/>
      <w:szCs w:val="18"/>
    </w:rPr>
  </w:style>
  <w:style w:type="character" w:customStyle="1" w:styleId="434">
    <w:name w:val="文档结构图 字符2"/>
    <w:link w:val="16"/>
    <w:qFormat/>
    <w:uiPriority w:val="99"/>
    <w:rPr>
      <w:rFonts w:ascii="宋体"/>
      <w:kern w:val="2"/>
      <w:sz w:val="18"/>
      <w:szCs w:val="18"/>
    </w:rPr>
  </w:style>
  <w:style w:type="character" w:customStyle="1" w:styleId="435">
    <w:name w:val="WW8Num13z5"/>
    <w:qFormat/>
    <w:uiPriority w:val="0"/>
  </w:style>
  <w:style w:type="character" w:customStyle="1" w:styleId="436">
    <w:name w:val="列表段落 字符1"/>
    <w:link w:val="70"/>
    <w:qFormat/>
    <w:uiPriority w:val="34"/>
    <w:rPr>
      <w:rFonts w:ascii="Calibri" w:hAnsi="Calibri"/>
      <w:kern w:val="2"/>
      <w:sz w:val="21"/>
    </w:rPr>
  </w:style>
  <w:style w:type="character" w:customStyle="1" w:styleId="437">
    <w:name w:val="c-icon30"/>
    <w:uiPriority w:val="0"/>
  </w:style>
  <w:style w:type="character" w:customStyle="1" w:styleId="438">
    <w:name w:val="Char Char81"/>
    <w:qFormat/>
    <w:uiPriority w:val="0"/>
    <w:rPr>
      <w:rFonts w:ascii="仿宋_GB2312" w:hAnsi="仿宋_GB2312" w:eastAsia="仿宋_GB2312" w:cs="宋体"/>
      <w:kern w:val="1"/>
      <w:sz w:val="30"/>
      <w:lang w:val="en-US" w:eastAsia="ar-SA" w:bidi="ar-SA"/>
    </w:rPr>
  </w:style>
  <w:style w:type="character" w:customStyle="1" w:styleId="439">
    <w:name w:val="font101"/>
    <w:qFormat/>
    <w:uiPriority w:val="0"/>
    <w:rPr>
      <w:rFonts w:hint="eastAsia" w:ascii="宋体" w:hAnsi="宋体" w:eastAsia="宋体" w:cs="宋体"/>
      <w:color w:val="000000"/>
      <w:sz w:val="22"/>
      <w:szCs w:val="22"/>
      <w:u w:val="none"/>
    </w:rPr>
  </w:style>
  <w:style w:type="character" w:customStyle="1" w:styleId="440">
    <w:name w:val="Char Char10"/>
    <w:qFormat/>
    <w:uiPriority w:val="0"/>
    <w:rPr>
      <w:rFonts w:eastAsia="宋体"/>
      <w:b/>
      <w:bCs/>
      <w:kern w:val="1"/>
      <w:sz w:val="44"/>
      <w:szCs w:val="44"/>
      <w:lang w:val="en-US" w:eastAsia="ar-SA" w:bidi="ar-SA"/>
    </w:rPr>
  </w:style>
  <w:style w:type="character" w:customStyle="1" w:styleId="441">
    <w:name w:val="批注文字 字符3"/>
    <w:link w:val="17"/>
    <w:qFormat/>
    <w:uiPriority w:val="99"/>
    <w:rPr>
      <w:kern w:val="2"/>
      <w:sz w:val="21"/>
      <w:szCs w:val="24"/>
    </w:rPr>
  </w:style>
  <w:style w:type="character" w:customStyle="1" w:styleId="442">
    <w:name w:val="日期 字符1"/>
    <w:link w:val="29"/>
    <w:qFormat/>
    <w:uiPriority w:val="99"/>
    <w:rPr>
      <w:rFonts w:eastAsia="楷体_GB2312"/>
      <w:kern w:val="2"/>
      <w:sz w:val="32"/>
    </w:rPr>
  </w:style>
  <w:style w:type="character" w:customStyle="1" w:styleId="443">
    <w:name w:val="font21"/>
    <w:qFormat/>
    <w:uiPriority w:val="0"/>
    <w:rPr>
      <w:rFonts w:hint="eastAsia" w:ascii="宋体" w:hAnsi="宋体" w:eastAsia="宋体" w:cs="宋体"/>
      <w:color w:val="FF0000"/>
      <w:sz w:val="20"/>
      <w:szCs w:val="20"/>
      <w:u w:val="none"/>
    </w:rPr>
  </w:style>
  <w:style w:type="character" w:customStyle="1" w:styleId="444">
    <w:name w:val="纯文本 字符1"/>
    <w:aliases w:val="纯文本 Char1 Char Char 字符,纯文本 Char Char Char Char 字符,纯文本 Char Char1 字符,纯文本 Char1 Char 字符,纯文本 Char Char Char 字符,纯文本 Char Char Char Char Char 字符,纯文本 Char Cha 字符,纯文本 Char Cha Char 字符,纯文本 Char Char Char Char Char Char 字符,普通文字 Char Char Char Char 字符"/>
    <w:qFormat/>
    <w:uiPriority w:val="0"/>
    <w:rPr>
      <w:rFonts w:ascii="宋体" w:hAnsi="Courier New" w:eastAsia="宋体"/>
      <w:kern w:val="2"/>
      <w:sz w:val="24"/>
      <w:szCs w:val="24"/>
      <w:lang w:val="en-US" w:eastAsia="zh-CN" w:bidi="ar-SA"/>
    </w:rPr>
  </w:style>
  <w:style w:type="character" w:customStyle="1" w:styleId="445">
    <w:name w:val="批注文字 Char1"/>
    <w:qFormat/>
    <w:uiPriority w:val="0"/>
    <w:rPr>
      <w:kern w:val="2"/>
      <w:sz w:val="21"/>
    </w:rPr>
  </w:style>
  <w:style w:type="character" w:customStyle="1" w:styleId="446">
    <w:name w:val="4级标题 Char"/>
    <w:link w:val="447"/>
    <w:uiPriority w:val="0"/>
    <w:rPr>
      <w:rFonts w:ascii="黑体" w:hAnsi="黑体" w:eastAsia="黑体"/>
      <w:sz w:val="21"/>
      <w:szCs w:val="24"/>
      <w:lang w:eastAsia="en-US" w:bidi="en-US"/>
    </w:rPr>
  </w:style>
  <w:style w:type="paragraph" w:customStyle="1" w:styleId="447">
    <w:name w:val="4级标题"/>
    <w:basedOn w:val="70"/>
    <w:link w:val="446"/>
    <w:qFormat/>
    <w:uiPriority w:val="0"/>
    <w:pPr>
      <w:keepLines/>
      <w:numPr>
        <w:ilvl w:val="3"/>
        <w:numId w:val="1"/>
      </w:numPr>
      <w:ind w:firstLine="0" w:firstLineChars="0"/>
      <w:contextualSpacing/>
      <w:jc w:val="left"/>
      <w:outlineLvl w:val="3"/>
    </w:pPr>
    <w:rPr>
      <w:rFonts w:ascii="黑体" w:hAnsi="黑体" w:eastAsia="黑体"/>
      <w:kern w:val="0"/>
      <w:szCs w:val="24"/>
      <w:lang w:eastAsia="en-US" w:bidi="en-US"/>
    </w:rPr>
  </w:style>
  <w:style w:type="character" w:customStyle="1" w:styleId="448">
    <w:name w:val="正文文本 Char3"/>
    <w:uiPriority w:val="0"/>
    <w:rPr>
      <w:rFonts w:eastAsia="宋体"/>
      <w:kern w:val="2"/>
      <w:sz w:val="28"/>
      <w:szCs w:val="24"/>
      <w:lang w:val="en-US" w:eastAsia="zh-CN" w:bidi="ar-SA"/>
    </w:rPr>
  </w:style>
  <w:style w:type="character" w:customStyle="1" w:styleId="449">
    <w:name w:val="WW8Num9z4"/>
    <w:qFormat/>
    <w:uiPriority w:val="0"/>
  </w:style>
  <w:style w:type="character" w:customStyle="1" w:styleId="450">
    <w:name w:val="标题 1 Char"/>
    <w:aliases w:val="一级 Char,H1 Char,Section Head Char,h1 Char,1st level Char,l1 Char,H11 Char,H12 Char,H13 Char,H14 Char,H15 Char,H16 Char,H17 Char,Level 1 Topic Heading Char,Head 1 Char,Head 11 Char,Head 12 Char,Head 111 Char,Head 13 Char,Head 112 Char,标书1 Char"/>
    <w:uiPriority w:val="0"/>
    <w:rPr>
      <w:rFonts w:ascii="Times New Roman" w:hAnsi="Times New Roman" w:eastAsia="楷体_GB2312" w:cs="黑体"/>
      <w:b/>
      <w:kern w:val="28"/>
      <w:sz w:val="26"/>
    </w:rPr>
  </w:style>
  <w:style w:type="character" w:styleId="451">
    <w:name w:val=""/>
    <w:qFormat/>
    <w:uiPriority w:val="21"/>
    <w:rPr>
      <w:b/>
      <w:bCs/>
      <w:i/>
      <w:iCs/>
      <w:color w:val="4F81BD"/>
    </w:rPr>
  </w:style>
  <w:style w:type="character" w:customStyle="1" w:styleId="452">
    <w:name w:val="List Paragraph Char"/>
    <w:link w:val="453"/>
    <w:locked/>
    <w:uiPriority w:val="0"/>
    <w:rPr>
      <w:kern w:val="2"/>
      <w:sz w:val="21"/>
      <w:szCs w:val="24"/>
    </w:rPr>
  </w:style>
  <w:style w:type="paragraph" w:customStyle="1" w:styleId="453">
    <w:name w:val="列出段落1"/>
    <w:basedOn w:val="1"/>
    <w:link w:val="452"/>
    <w:qFormat/>
    <w:uiPriority w:val="0"/>
    <w:pPr>
      <w:ind w:firstLine="420" w:firstLineChars="200"/>
    </w:pPr>
    <w:rPr>
      <w:szCs w:val="24"/>
    </w:rPr>
  </w:style>
  <w:style w:type="character" w:customStyle="1" w:styleId="454">
    <w:name w:val="WW8Num6z7"/>
    <w:qFormat/>
    <w:uiPriority w:val="0"/>
  </w:style>
  <w:style w:type="character" w:customStyle="1" w:styleId="455">
    <w:name w:val="WW8Num13z2"/>
    <w:qFormat/>
    <w:uiPriority w:val="0"/>
  </w:style>
  <w:style w:type="character" w:customStyle="1" w:styleId="456">
    <w:name w:val="页眉 字符"/>
    <w:qFormat/>
    <w:uiPriority w:val="0"/>
    <w:rPr>
      <w:kern w:val="2"/>
      <w:sz w:val="18"/>
    </w:rPr>
  </w:style>
  <w:style w:type="character" w:customStyle="1" w:styleId="457">
    <w:name w:val="正文文本缩进 2 Char"/>
    <w:uiPriority w:val="0"/>
    <w:rPr>
      <w:rFonts w:ascii="仿宋_GB2312" w:hAnsi="宋体" w:cs="Arial"/>
      <w:b/>
      <w:bCs/>
      <w:color w:val="000000"/>
      <w:kern w:val="2"/>
      <w:sz w:val="24"/>
      <w:szCs w:val="24"/>
    </w:rPr>
  </w:style>
  <w:style w:type="character" w:customStyle="1" w:styleId="458">
    <w:name w:val="ptdl Char Char"/>
    <w:link w:val="459"/>
    <w:qFormat/>
    <w:uiPriority w:val="0"/>
    <w:rPr>
      <w:kern w:val="2"/>
      <w:sz w:val="24"/>
    </w:rPr>
  </w:style>
  <w:style w:type="paragraph" w:customStyle="1" w:styleId="459">
    <w:name w:val="ptdl"/>
    <w:basedOn w:val="1"/>
    <w:link w:val="458"/>
    <w:qFormat/>
    <w:uiPriority w:val="0"/>
    <w:pPr>
      <w:spacing w:after="156"/>
      <w:ind w:firstLine="480"/>
    </w:pPr>
    <w:rPr>
      <w:sz w:val="24"/>
    </w:rPr>
  </w:style>
  <w:style w:type="character" w:customStyle="1" w:styleId="460">
    <w:name w:val="font111"/>
    <w:uiPriority w:val="0"/>
    <w:rPr>
      <w:rFonts w:hint="eastAsia" w:ascii="宋体" w:hAnsi="宋体" w:eastAsia="宋体" w:cs="宋体"/>
      <w:color w:val="000000"/>
      <w:sz w:val="22"/>
      <w:szCs w:val="22"/>
      <w:u w:val="none"/>
    </w:rPr>
  </w:style>
  <w:style w:type="character" w:customStyle="1" w:styleId="461">
    <w:name w:val="段 Char"/>
    <w:link w:val="274"/>
    <w:uiPriority w:val="0"/>
    <w:rPr>
      <w:rFonts w:ascii="宋体" w:eastAsia="Times New Roman"/>
      <w:kern w:val="2"/>
      <w:sz w:val="21"/>
      <w:szCs w:val="22"/>
      <w:lang w:val="en-US" w:eastAsia="zh-CN" w:bidi="ar-SA"/>
    </w:rPr>
  </w:style>
  <w:style w:type="character" w:customStyle="1" w:styleId="462">
    <w:name w:val="lxs1"/>
    <w:uiPriority w:val="0"/>
    <w:rPr>
      <w:rFonts w:hint="default" w:ascii="ˎ̥" w:hAnsi="ˎ̥"/>
      <w:sz w:val="21"/>
      <w:szCs w:val="21"/>
    </w:rPr>
  </w:style>
  <w:style w:type="character" w:customStyle="1" w:styleId="463">
    <w:name w:val="WW8Num6z1"/>
    <w:qFormat/>
    <w:uiPriority w:val="0"/>
  </w:style>
  <w:style w:type="character" w:customStyle="1" w:styleId="464">
    <w:name w:val="正文文本 3 Char"/>
    <w:uiPriority w:val="0"/>
    <w:rPr>
      <w:rFonts w:hAnsi="宋体" w:eastAsia="仿宋_GB2312"/>
      <w:b/>
      <w:bCs/>
      <w:kern w:val="2"/>
      <w:sz w:val="24"/>
    </w:rPr>
  </w:style>
  <w:style w:type="character" w:customStyle="1" w:styleId="465">
    <w:name w:val="书籍标题1"/>
    <w:qFormat/>
    <w:uiPriority w:val="33"/>
    <w:rPr>
      <w:b/>
      <w:bCs/>
      <w:smallCaps/>
      <w:spacing w:val="5"/>
    </w:rPr>
  </w:style>
  <w:style w:type="character" w:customStyle="1" w:styleId="466">
    <w:name w:val="正文文本缩进 字符"/>
    <w:aliases w:val="正文文字首行缩进 字符,正文小标题 字符,（较稀疏） 字符,正文内容 字符"/>
    <w:qFormat/>
    <w:uiPriority w:val="0"/>
    <w:rPr>
      <w:rFonts w:ascii="宋体" w:hAnsi="Courier New"/>
      <w:spacing w:val="-4"/>
      <w:kern w:val="2"/>
      <w:sz w:val="18"/>
    </w:rPr>
  </w:style>
  <w:style w:type="character" w:customStyle="1" w:styleId="467">
    <w:name w:val="HTML 预设格式 字符"/>
    <w:qFormat/>
    <w:uiPriority w:val="0"/>
    <w:rPr>
      <w:rFonts w:ascii="宋体" w:hAnsi="Courier New"/>
      <w:kern w:val="2"/>
      <w:sz w:val="21"/>
    </w:rPr>
  </w:style>
  <w:style w:type="character" w:customStyle="1" w:styleId="468">
    <w:name w:val="WW8Num8z1"/>
    <w:qFormat/>
    <w:uiPriority w:val="0"/>
  </w:style>
  <w:style w:type="character" w:customStyle="1" w:styleId="469">
    <w:name w:val="WW8Num3z0"/>
    <w:qFormat/>
    <w:uiPriority w:val="0"/>
    <w:rPr>
      <w:rFonts w:hint="eastAsia"/>
    </w:rPr>
  </w:style>
  <w:style w:type="character" w:customStyle="1" w:styleId="470">
    <w:name w:val="spelle"/>
    <w:uiPriority w:val="0"/>
  </w:style>
  <w:style w:type="character" w:customStyle="1" w:styleId="471">
    <w:name w:val="WW8Num4z5"/>
    <w:qFormat/>
    <w:uiPriority w:val="0"/>
  </w:style>
  <w:style w:type="paragraph" w:customStyle="1" w:styleId="472">
    <w:name w:val="标题 12"/>
    <w:basedOn w:val="1"/>
    <w:next w:val="1"/>
    <w:uiPriority w:val="0"/>
    <w:pPr>
      <w:keepNext/>
      <w:keepLines/>
      <w:pageBreakBefore/>
      <w:tabs>
        <w:tab w:val="left" w:pos="960"/>
        <w:tab w:val="left" w:pos="1152"/>
      </w:tabs>
      <w:spacing w:before="120" w:after="120" w:line="480" w:lineRule="auto"/>
      <w:ind w:left="960" w:hanging="420"/>
      <w:outlineLvl w:val="0"/>
    </w:pPr>
    <w:rPr>
      <w:rFonts w:ascii="宋体" w:hAnsi="Times New Roman"/>
      <w:b/>
      <w:sz w:val="36"/>
      <w:szCs w:val="24"/>
    </w:rPr>
  </w:style>
  <w:style w:type="paragraph" w:customStyle="1" w:styleId="473">
    <w:name w:val="样式 正文首行缩进 + 首行缩进:  1 字符"/>
    <w:basedOn w:val="1"/>
    <w:uiPriority w:val="0"/>
    <w:pPr>
      <w:ind w:firstLine="200" w:firstLineChars="200"/>
    </w:pPr>
    <w:rPr>
      <w:rFonts w:ascii="Times New Roman" w:hAnsi="Times New Roman"/>
      <w:sz w:val="24"/>
    </w:rPr>
  </w:style>
  <w:style w:type="paragraph" w:customStyle="1" w:styleId="474">
    <w:name w:val="xl9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475">
    <w:name w:val="Char Char9 Char Char"/>
    <w:basedOn w:val="1"/>
    <w:uiPriority w:val="0"/>
    <w:pPr>
      <w:tabs>
        <w:tab w:val="left" w:pos="360"/>
      </w:tabs>
      <w:spacing w:line="240" w:lineRule="auto"/>
    </w:pPr>
    <w:rPr>
      <w:rFonts w:ascii="Times New Roman" w:hAnsi="Times New Roman" w:cs="Times New Roman"/>
      <w:szCs w:val="24"/>
    </w:rPr>
  </w:style>
  <w:style w:type="paragraph" w:customStyle="1" w:styleId="476">
    <w:name w:val="内容目录 10"/>
    <w:basedOn w:val="477"/>
    <w:qFormat/>
    <w:uiPriority w:val="0"/>
    <w:pPr>
      <w:suppressLineNumbers/>
      <w:tabs>
        <w:tab w:val="right" w:leader="dot" w:pos="7091"/>
      </w:tabs>
      <w:suppressAutoHyphens/>
      <w:adjustRightInd/>
      <w:spacing w:before="0" w:after="0" w:line="240" w:lineRule="auto"/>
      <w:ind w:left="2547"/>
      <w:jc w:val="both"/>
      <w:textAlignment w:val="auto"/>
    </w:pPr>
    <w:rPr>
      <w:rFonts w:ascii="Times New Roman" w:hAnsi="Times New Roman" w:eastAsia="宋体" w:cs="Mangal"/>
      <w:b w:val="0"/>
      <w:caps w:val="0"/>
      <w:kern w:val="1"/>
      <w:sz w:val="21"/>
      <w:szCs w:val="24"/>
      <w:lang w:eastAsia="ar-SA"/>
    </w:rPr>
  </w:style>
  <w:style w:type="paragraph" w:customStyle="1" w:styleId="477">
    <w:name w:val="目录"/>
    <w:basedOn w:val="34"/>
    <w:qFormat/>
    <w:uiPriority w:val="0"/>
    <w:pPr>
      <w:tabs>
        <w:tab w:val="right" w:leader="dot" w:pos="7937"/>
      </w:tabs>
      <w:adjustRightInd w:val="0"/>
      <w:spacing w:before="120" w:after="120"/>
      <w:jc w:val="center"/>
      <w:textAlignment w:val="baseline"/>
    </w:pPr>
    <w:rPr>
      <w:rFonts w:ascii="宋体" w:eastAsia="黑体"/>
      <w:b/>
      <w:caps/>
      <w:kern w:val="0"/>
      <w:sz w:val="30"/>
      <w:szCs w:val="20"/>
    </w:rPr>
  </w:style>
  <w:style w:type="paragraph" w:customStyle="1" w:styleId="478">
    <w:name w:val="TOC 标题3"/>
    <w:basedOn w:val="3"/>
    <w:next w:val="1"/>
    <w:qFormat/>
    <w:uiPriority w:val="39"/>
    <w:pPr>
      <w:keepNext/>
      <w:keepLines/>
      <w:widowControl/>
      <w:adjustRightInd/>
      <w:spacing w:before="480" w:line="276" w:lineRule="auto"/>
      <w:textAlignment w:val="auto"/>
      <w:outlineLvl w:val="9"/>
    </w:pPr>
    <w:rPr>
      <w:rFonts w:ascii="Cambria" w:hAnsi="Cambria"/>
      <w:b w:val="0"/>
      <w:bCs/>
      <w:color w:val="365F91"/>
      <w:sz w:val="28"/>
      <w:szCs w:val="28"/>
    </w:rPr>
  </w:style>
  <w:style w:type="paragraph" w:customStyle="1" w:styleId="479">
    <w:name w:val="_Style 18"/>
    <w:basedOn w:val="1"/>
    <w:qFormat/>
    <w:uiPriority w:val="34"/>
    <w:pPr>
      <w:ind w:firstLine="420" w:firstLineChars="200"/>
    </w:pPr>
  </w:style>
  <w:style w:type="paragraph" w:customStyle="1" w:styleId="480">
    <w:name w:val="xl129"/>
    <w:basedOn w:val="1"/>
    <w:qFormat/>
    <w:uiPriority w:val="0"/>
    <w:pPr>
      <w:widowControl/>
      <w:pBdr>
        <w:top w:val="single" w:color="auto" w:sz="4" w:space="0"/>
        <w:lef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481">
    <w:name w:val="Char21"/>
    <w:basedOn w:val="1"/>
    <w:qFormat/>
    <w:uiPriority w:val="0"/>
    <w:pPr>
      <w:tabs>
        <w:tab w:val="left" w:pos="1365"/>
      </w:tabs>
      <w:ind w:left="1365" w:hanging="735"/>
    </w:pPr>
    <w:rPr>
      <w:sz w:val="24"/>
      <w:szCs w:val="24"/>
    </w:rPr>
  </w:style>
  <w:style w:type="paragraph" w:customStyle="1" w:styleId="482">
    <w:name w:val="无间隔3"/>
    <w:qFormat/>
    <w:uiPriority w:val="0"/>
    <w:rPr>
      <w:sz w:val="22"/>
      <w:szCs w:val="22"/>
      <w:lang w:val="en-US" w:eastAsia="zh-CN" w:bidi="ar-SA"/>
    </w:rPr>
  </w:style>
  <w:style w:type="paragraph" w:customStyle="1" w:styleId="483">
    <w:name w:val="xl85"/>
    <w:basedOn w:val="1"/>
    <w:uiPriority w:val="0"/>
    <w:pPr>
      <w:widowControl/>
      <w:pBdr>
        <w:bottom w:val="single" w:color="auto" w:sz="8" w:space="0"/>
        <w:right w:val="single" w:color="auto" w:sz="8" w:space="0"/>
      </w:pBdr>
      <w:spacing w:before="100" w:beforeAutospacing="1" w:after="100" w:afterAutospacing="1" w:line="240" w:lineRule="auto"/>
      <w:jc w:val="center"/>
    </w:pPr>
    <w:rPr>
      <w:rFonts w:ascii="仿宋" w:hAnsi="仿宋" w:eastAsia="仿宋"/>
      <w:color w:val="FF0000"/>
      <w:kern w:val="0"/>
      <w:sz w:val="24"/>
      <w:szCs w:val="24"/>
    </w:rPr>
  </w:style>
  <w:style w:type="paragraph" w:customStyle="1" w:styleId="484">
    <w:name w:val="xl72"/>
    <w:basedOn w:val="1"/>
    <w:uiPriority w:val="0"/>
    <w:pPr>
      <w:widowControl/>
      <w:shd w:val="clear" w:color="000000" w:fill="FFFFFF"/>
      <w:spacing w:before="100" w:beforeAutospacing="1" w:after="100" w:afterAutospacing="1" w:line="240" w:lineRule="auto"/>
      <w:jc w:val="left"/>
    </w:pPr>
    <w:rPr>
      <w:rFonts w:ascii="宋体" w:hAnsi="宋体"/>
      <w:color w:val="000000"/>
      <w:kern w:val="0"/>
      <w:sz w:val="18"/>
      <w:szCs w:val="18"/>
    </w:rPr>
  </w:style>
  <w:style w:type="paragraph" w:customStyle="1" w:styleId="485">
    <w:name w:val="正文 New New New New New New New New New New New New New New New New New New New New New New New New"/>
    <w:uiPriority w:val="0"/>
    <w:pPr>
      <w:widowControl w:val="0"/>
      <w:autoSpaceDE w:val="0"/>
      <w:autoSpaceDN w:val="0"/>
      <w:adjustRightInd w:val="0"/>
      <w:jc w:val="both"/>
    </w:pPr>
    <w:rPr>
      <w:color w:val="000000"/>
      <w:sz w:val="21"/>
      <w:szCs w:val="21"/>
      <w:lang w:val="en-US" w:eastAsia="zh-CN" w:bidi="ar-SA"/>
    </w:rPr>
  </w:style>
  <w:style w:type="paragraph" w:customStyle="1" w:styleId="486">
    <w:name w:val="纯文本111"/>
    <w:basedOn w:val="1"/>
    <w:qFormat/>
    <w:uiPriority w:val="0"/>
    <w:pPr>
      <w:adjustRightInd w:val="0"/>
    </w:pPr>
    <w:rPr>
      <w:rFonts w:ascii="宋体" w:hAnsi="Courier New" w:eastAsia="楷体_GB2312"/>
      <w:sz w:val="26"/>
    </w:rPr>
  </w:style>
  <w:style w:type="paragraph" w:customStyle="1" w:styleId="487">
    <w:name w:val="xl3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黑体" w:hAnsi="黑体" w:eastAsia="黑体"/>
      <w:b/>
      <w:bCs/>
      <w:kern w:val="0"/>
      <w:sz w:val="24"/>
      <w:szCs w:val="24"/>
    </w:rPr>
  </w:style>
  <w:style w:type="paragraph" w:customStyle="1" w:styleId="488">
    <w:name w:val="Char Char7 Char11"/>
    <w:basedOn w:val="1"/>
    <w:qFormat/>
    <w:uiPriority w:val="0"/>
    <w:pPr>
      <w:tabs>
        <w:tab w:val="left" w:pos="425"/>
      </w:tabs>
      <w:ind w:left="420" w:leftChars="200" w:firstLine="270" w:firstLineChars="150"/>
    </w:pPr>
    <w:rPr>
      <w:szCs w:val="24"/>
    </w:rPr>
  </w:style>
  <w:style w:type="paragraph" w:customStyle="1" w:styleId="489">
    <w:name w:val="列出段落11"/>
    <w:basedOn w:val="1"/>
    <w:qFormat/>
    <w:uiPriority w:val="0"/>
    <w:pPr>
      <w:widowControl/>
      <w:spacing w:after="200" w:line="276" w:lineRule="auto"/>
      <w:ind w:left="720"/>
      <w:contextualSpacing/>
      <w:jc w:val="left"/>
    </w:pPr>
    <w:rPr>
      <w:kern w:val="0"/>
      <w:sz w:val="22"/>
      <w:lang w:val="tr-TR" w:eastAsia="en-US"/>
    </w:rPr>
  </w:style>
  <w:style w:type="paragraph" w:customStyle="1" w:styleId="490">
    <w:name w:val="xl10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right"/>
    </w:pPr>
    <w:rPr>
      <w:rFonts w:ascii="微软雅黑" w:hAnsi="微软雅黑" w:eastAsia="微软雅黑"/>
      <w:kern w:val="0"/>
      <w:sz w:val="16"/>
      <w:szCs w:val="16"/>
    </w:rPr>
  </w:style>
  <w:style w:type="paragraph" w:styleId="491">
    <w:name w:val="No Spacing"/>
    <w:qFormat/>
    <w:uiPriority w:val="1"/>
    <w:pPr>
      <w:widowControl w:val="0"/>
      <w:spacing w:line="360" w:lineRule="auto"/>
      <w:jc w:val="both"/>
    </w:pPr>
    <w:rPr>
      <w:rFonts w:ascii="宋体" w:hAnsi="宋体"/>
      <w:kern w:val="2"/>
      <w:sz w:val="21"/>
      <w:szCs w:val="21"/>
      <w:lang w:val="en-US" w:eastAsia="zh-CN" w:bidi="ar-SA"/>
    </w:rPr>
  </w:style>
  <w:style w:type="paragraph" w:customStyle="1" w:styleId="492">
    <w:name w:val="标题 82"/>
    <w:basedOn w:val="1"/>
    <w:next w:val="1"/>
    <w:uiPriority w:val="0"/>
    <w:pPr>
      <w:keepNext/>
      <w:keepLines/>
      <w:tabs>
        <w:tab w:val="left" w:pos="1440"/>
        <w:tab w:val="left" w:pos="3900"/>
      </w:tabs>
      <w:spacing w:before="240" w:after="64" w:line="317" w:lineRule="auto"/>
      <w:ind w:left="3900" w:hanging="420"/>
      <w:textAlignment w:val="baseline"/>
      <w:outlineLvl w:val="7"/>
    </w:pPr>
    <w:rPr>
      <w:rFonts w:ascii="Arial" w:hAnsi="Arial" w:eastAsia="黑体"/>
      <w:sz w:val="24"/>
      <w:szCs w:val="24"/>
    </w:rPr>
  </w:style>
  <w:style w:type="paragraph" w:customStyle="1" w:styleId="493">
    <w:name w:val="_Style 48"/>
    <w:next w:val="1"/>
    <w:qFormat/>
    <w:uiPriority w:val="0"/>
    <w:pPr>
      <w:widowControl w:val="0"/>
      <w:jc w:val="both"/>
    </w:pPr>
    <w:rPr>
      <w:kern w:val="2"/>
      <w:sz w:val="21"/>
      <w:szCs w:val="24"/>
      <w:lang w:val="en-US" w:eastAsia="zh-CN" w:bidi="ar-SA"/>
    </w:rPr>
  </w:style>
  <w:style w:type="paragraph" w:customStyle="1" w:styleId="494">
    <w:name w:val="Char11"/>
    <w:basedOn w:val="1"/>
    <w:qFormat/>
    <w:uiPriority w:val="0"/>
    <w:pPr>
      <w:tabs>
        <w:tab w:val="left" w:pos="360"/>
      </w:tabs>
      <w:spacing w:line="240" w:lineRule="auto"/>
    </w:pPr>
    <w:rPr>
      <w:rFonts w:ascii="Times New Roman" w:hAnsi="Times New Roman"/>
      <w:szCs w:val="24"/>
    </w:rPr>
  </w:style>
  <w:style w:type="paragraph" w:customStyle="1" w:styleId="495">
    <w:name w:val="_标题5"/>
    <w:basedOn w:val="1"/>
    <w:next w:val="1"/>
    <w:qFormat/>
    <w:uiPriority w:val="0"/>
    <w:pPr>
      <w:keepNext/>
      <w:keepLines/>
      <w:widowControl/>
      <w:tabs>
        <w:tab w:val="left" w:pos="1008"/>
      </w:tabs>
      <w:spacing w:beforeLines="50" w:afterLines="50" w:line="480" w:lineRule="exact"/>
      <w:ind w:left="1192" w:leftChars="200" w:hanging="992" w:firstLineChars="200"/>
      <w:jc w:val="left"/>
      <w:outlineLvl w:val="4"/>
    </w:pPr>
    <w:rPr>
      <w:rFonts w:cs="Times New Roman"/>
      <w:b/>
      <w:sz w:val="28"/>
      <w:szCs w:val="28"/>
    </w:rPr>
  </w:style>
  <w:style w:type="paragraph" w:customStyle="1" w:styleId="496">
    <w:name w:val="--规划正文"/>
    <w:basedOn w:val="1"/>
    <w:qFormat/>
    <w:uiPriority w:val="0"/>
    <w:pPr>
      <w:widowControl/>
      <w:suppressAutoHyphens/>
      <w:ind w:firstLine="200"/>
      <w:jc w:val="left"/>
    </w:pPr>
    <w:rPr>
      <w:kern w:val="1"/>
      <w:lang w:eastAsia="ar-SA"/>
    </w:rPr>
  </w:style>
  <w:style w:type="paragraph" w:customStyle="1" w:styleId="497">
    <w:name w:val="xl76"/>
    <w:basedOn w:val="1"/>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498">
    <w:name w:val="Char Char Char Char Char Char Char Char Char Char Char Char Char Char Char1 Char"/>
    <w:basedOn w:val="1"/>
    <w:uiPriority w:val="0"/>
    <w:pPr>
      <w:spacing w:line="240" w:lineRule="auto"/>
    </w:pPr>
    <w:rPr>
      <w:rFonts w:ascii="Times New Roman" w:hAnsi="Times New Roman" w:cs="Times New Roman"/>
      <w:sz w:val="28"/>
    </w:rPr>
  </w:style>
  <w:style w:type="paragraph" w:customStyle="1" w:styleId="499">
    <w:name w:val="一般正文 Char"/>
    <w:basedOn w:val="1"/>
    <w:uiPriority w:val="0"/>
    <w:pPr>
      <w:spacing w:beforeLines="25" w:afterLines="25" w:line="300" w:lineRule="auto"/>
      <w:ind w:firstLine="200" w:firstLineChars="200"/>
    </w:pPr>
    <w:rPr>
      <w:rFonts w:ascii="Times New Roman" w:hAnsi="Times New Roman"/>
      <w:szCs w:val="24"/>
    </w:rPr>
  </w:style>
  <w:style w:type="paragraph" w:customStyle="1" w:styleId="500">
    <w:name w:val="框内容"/>
    <w:basedOn w:val="19"/>
    <w:qFormat/>
    <w:uiPriority w:val="0"/>
    <w:pPr>
      <w:suppressAutoHyphens/>
      <w:adjustRightInd/>
      <w:spacing w:after="120" w:line="240" w:lineRule="auto"/>
      <w:textAlignment w:val="auto"/>
    </w:pPr>
    <w:rPr>
      <w:rFonts w:ascii="Times New Roman" w:hAnsi="Times New Roman"/>
      <w:kern w:val="1"/>
      <w:sz w:val="28"/>
      <w:szCs w:val="24"/>
      <w:lang w:eastAsia="ar-SA"/>
    </w:rPr>
  </w:style>
  <w:style w:type="paragraph" w:customStyle="1" w:styleId="501">
    <w:name w:val="_Style 100"/>
    <w:next w:val="1"/>
    <w:uiPriority w:val="99"/>
    <w:pPr>
      <w:widowControl w:val="0"/>
      <w:jc w:val="both"/>
    </w:pPr>
    <w:rPr>
      <w:kern w:val="2"/>
      <w:sz w:val="21"/>
      <w:szCs w:val="24"/>
      <w:lang w:val="en-US" w:eastAsia="zh-CN" w:bidi="ar-SA"/>
    </w:rPr>
  </w:style>
  <w:style w:type="paragraph" w:customStyle="1" w:styleId="502">
    <w:name w:val="项目正文"/>
    <w:basedOn w:val="1"/>
    <w:uiPriority w:val="0"/>
    <w:pPr>
      <w:tabs>
        <w:tab w:val="left" w:pos="360"/>
      </w:tabs>
      <w:spacing w:line="240" w:lineRule="auto"/>
      <w:ind w:left="317" w:hanging="317"/>
    </w:pPr>
    <w:rPr>
      <w:rFonts w:ascii="Times New Roman" w:hAnsi="Times New Roman"/>
      <w:szCs w:val="24"/>
    </w:rPr>
  </w:style>
  <w:style w:type="paragraph" w:customStyle="1" w:styleId="503">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504">
    <w:name w:val="正文样式"/>
    <w:basedOn w:val="1"/>
    <w:qFormat/>
    <w:uiPriority w:val="0"/>
    <w:pPr>
      <w:spacing w:line="240" w:lineRule="auto"/>
      <w:ind w:firstLine="480" w:firstLineChars="200"/>
    </w:pPr>
    <w:rPr>
      <w:szCs w:val="22"/>
    </w:rPr>
  </w:style>
  <w:style w:type="paragraph" w:customStyle="1" w:styleId="505">
    <w:name w:val="Char Char1211"/>
    <w:basedOn w:val="1"/>
    <w:qFormat/>
    <w:uiPriority w:val="0"/>
    <w:pPr>
      <w:spacing w:line="240" w:lineRule="auto"/>
    </w:pPr>
    <w:rPr>
      <w:szCs w:val="21"/>
    </w:rPr>
  </w:style>
  <w:style w:type="paragraph" w:customStyle="1" w:styleId="506">
    <w:name w:val="标题 81"/>
    <w:basedOn w:val="1"/>
    <w:next w:val="1"/>
    <w:uiPriority w:val="0"/>
    <w:pPr>
      <w:keepNext/>
      <w:keepLines/>
      <w:tabs>
        <w:tab w:val="left" w:pos="1440"/>
        <w:tab w:val="left" w:pos="3900"/>
      </w:tabs>
      <w:spacing w:before="240" w:after="64" w:line="317" w:lineRule="auto"/>
      <w:ind w:left="3900" w:hanging="420"/>
      <w:textAlignment w:val="baseline"/>
      <w:outlineLvl w:val="7"/>
    </w:pPr>
    <w:rPr>
      <w:rFonts w:ascii="Arial" w:hAnsi="Arial" w:eastAsia="黑体"/>
      <w:sz w:val="24"/>
      <w:szCs w:val="24"/>
    </w:rPr>
  </w:style>
  <w:style w:type="paragraph" w:customStyle="1" w:styleId="507">
    <w:name w:val="无间隔11"/>
    <w:basedOn w:val="1"/>
    <w:qFormat/>
    <w:uiPriority w:val="0"/>
    <w:rPr>
      <w:rFonts w:ascii="等线" w:hAnsi="等线" w:eastAsia="等线"/>
      <w:szCs w:val="21"/>
    </w:rPr>
  </w:style>
  <w:style w:type="paragraph" w:customStyle="1" w:styleId="508">
    <w:name w:val="p16"/>
    <w:basedOn w:val="1"/>
    <w:uiPriority w:val="0"/>
    <w:pPr>
      <w:widowControl/>
      <w:snapToGrid w:val="0"/>
      <w:spacing w:line="312" w:lineRule="atLeast"/>
      <w:ind w:firstLine="420"/>
    </w:pPr>
    <w:rPr>
      <w:rFonts w:ascii="宋体" w:hAnsi="宋体"/>
      <w:kern w:val="0"/>
      <w:szCs w:val="21"/>
    </w:rPr>
  </w:style>
  <w:style w:type="paragraph" w:customStyle="1" w:styleId="509">
    <w:name w:val="段正文"/>
    <w:basedOn w:val="1"/>
    <w:qFormat/>
    <w:uiPriority w:val="0"/>
    <w:pPr>
      <w:widowControl/>
      <w:suppressAutoHyphens/>
      <w:ind w:firstLine="200"/>
      <w:jc w:val="left"/>
    </w:pPr>
    <w:rPr>
      <w:rFonts w:ascii="Times New Roman" w:hAnsi="Times New Roman" w:eastAsia="Times New Roman"/>
      <w:kern w:val="1"/>
      <w:sz w:val="24"/>
      <w:lang w:eastAsia="ar-SA"/>
    </w:rPr>
  </w:style>
  <w:style w:type="paragraph" w:customStyle="1" w:styleId="510">
    <w:name w:val="Char Char1 Char1"/>
    <w:basedOn w:val="1"/>
    <w:uiPriority w:val="0"/>
    <w:pPr>
      <w:tabs>
        <w:tab w:val="left" w:pos="360"/>
      </w:tabs>
      <w:spacing w:line="240" w:lineRule="auto"/>
    </w:pPr>
    <w:rPr>
      <w:rFonts w:ascii="Times New Roman" w:hAnsi="Times New Roman" w:cs="Times New Roman"/>
      <w:sz w:val="24"/>
      <w:szCs w:val="24"/>
    </w:rPr>
  </w:style>
  <w:style w:type="paragraph" w:customStyle="1" w:styleId="511">
    <w:name w:val="条文1"/>
    <w:basedOn w:val="1"/>
    <w:qFormat/>
    <w:uiPriority w:val="0"/>
    <w:pPr>
      <w:numPr>
        <w:ilvl w:val="0"/>
        <w:numId w:val="2"/>
      </w:numPr>
      <w:tabs>
        <w:tab w:val="left" w:pos="720"/>
      </w:tabs>
    </w:pPr>
    <w:rPr>
      <w:rFonts w:ascii="MS UI Gothic" w:hAnsi="MS UI Gothic"/>
      <w:kern w:val="44"/>
      <w:sz w:val="24"/>
    </w:rPr>
  </w:style>
  <w:style w:type="paragraph" w:customStyle="1" w:styleId="512">
    <w:name w:val="正文－恩普"/>
    <w:basedOn w:val="513"/>
    <w:qFormat/>
    <w:uiPriority w:val="0"/>
    <w:pPr>
      <w:widowControl/>
      <w:spacing w:line="360" w:lineRule="auto"/>
      <w:ind w:firstLine="480"/>
      <w:jc w:val="left"/>
    </w:pPr>
    <w:rPr>
      <w:szCs w:val="24"/>
    </w:rPr>
  </w:style>
  <w:style w:type="paragraph" w:customStyle="1" w:styleId="513">
    <w:name w:val="WW-正文缩进"/>
    <w:basedOn w:val="1"/>
    <w:qFormat/>
    <w:uiPriority w:val="0"/>
    <w:pPr>
      <w:suppressAutoHyphens/>
      <w:spacing w:line="240" w:lineRule="auto"/>
      <w:ind w:firstLine="420"/>
    </w:pPr>
    <w:rPr>
      <w:rFonts w:ascii="Times New Roman" w:hAnsi="Times New Roman"/>
      <w:kern w:val="1"/>
      <w:lang w:eastAsia="ar-SA"/>
    </w:rPr>
  </w:style>
  <w:style w:type="paragraph" w:styleId="514">
    <w:name w:val=""/>
    <w:basedOn w:val="3"/>
    <w:next w:val="1"/>
    <w:qFormat/>
    <w:uiPriority w:val="39"/>
    <w:pPr>
      <w:keepNext/>
      <w:keepLines/>
      <w:widowControl/>
      <w:adjustRightInd/>
      <w:spacing w:before="480" w:line="276" w:lineRule="auto"/>
      <w:textAlignment w:val="auto"/>
      <w:outlineLvl w:val="9"/>
    </w:pPr>
    <w:rPr>
      <w:rFonts w:ascii="Cambria" w:hAnsi="Cambria"/>
      <w:b w:val="0"/>
      <w:bCs/>
      <w:color w:val="365F91"/>
      <w:sz w:val="28"/>
      <w:szCs w:val="28"/>
    </w:rPr>
  </w:style>
  <w:style w:type="paragraph" w:customStyle="1" w:styleId="515">
    <w:name w:val="_标题9"/>
    <w:basedOn w:val="1"/>
    <w:next w:val="1"/>
    <w:qFormat/>
    <w:uiPriority w:val="0"/>
    <w:pPr>
      <w:widowControl/>
      <w:numPr>
        <w:ilvl w:val="8"/>
        <w:numId w:val="3"/>
      </w:numPr>
      <w:tabs>
        <w:tab w:val="left" w:pos="1584"/>
      </w:tabs>
      <w:spacing w:beforeLines="50" w:afterLines="50" w:line="480" w:lineRule="exact"/>
      <w:ind w:left="1759" w:leftChars="200" w:hanging="1559" w:firstLineChars="200"/>
      <w:jc w:val="left"/>
      <w:outlineLvl w:val="8"/>
    </w:pPr>
    <w:rPr>
      <w:rFonts w:cs="Times New Roman"/>
      <w:b/>
      <w:sz w:val="24"/>
      <w:szCs w:val="28"/>
    </w:rPr>
  </w:style>
  <w:style w:type="paragraph" w:customStyle="1" w:styleId="516">
    <w:name w:val="xl10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517">
    <w:name w:val="xl84"/>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518">
    <w:name w:val="Char4"/>
    <w:basedOn w:val="3"/>
    <w:qFormat/>
    <w:uiPriority w:val="0"/>
    <w:pPr>
      <w:keepNext/>
      <w:keepLines/>
      <w:snapToGrid w:val="0"/>
      <w:spacing w:before="240" w:after="240" w:line="348" w:lineRule="auto"/>
      <w:textAlignment w:val="auto"/>
    </w:pPr>
    <w:rPr>
      <w:bCs/>
      <w:kern w:val="44"/>
      <w:sz w:val="32"/>
      <w:szCs w:val="44"/>
    </w:rPr>
  </w:style>
  <w:style w:type="paragraph" w:customStyle="1" w:styleId="519">
    <w:name w:val="xl102"/>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520">
    <w:name w:val="ss"/>
    <w:basedOn w:val="1"/>
    <w:qFormat/>
    <w:uiPriority w:val="0"/>
    <w:pPr>
      <w:widowControl/>
      <w:suppressAutoHyphens/>
      <w:spacing w:before="280" w:after="280" w:line="288" w:lineRule="atLeast"/>
      <w:jc w:val="left"/>
    </w:pPr>
    <w:rPr>
      <w:rFonts w:hint="eastAsia" w:ascii="宋体" w:hAnsi="宋体" w:cs="Arial"/>
      <w:kern w:val="1"/>
      <w:sz w:val="15"/>
      <w:szCs w:val="15"/>
      <w:lang w:eastAsia="ar-SA"/>
    </w:rPr>
  </w:style>
  <w:style w:type="paragraph" w:customStyle="1" w:styleId="521">
    <w:name w:val="简单回函地址"/>
    <w:basedOn w:val="1"/>
    <w:uiPriority w:val="0"/>
    <w:rPr>
      <w:rFonts w:ascii="Tahoma" w:hAnsi="Tahoma"/>
      <w:sz w:val="24"/>
      <w:szCs w:val="24"/>
    </w:rPr>
  </w:style>
  <w:style w:type="paragraph" w:customStyle="1" w:styleId="522">
    <w:name w:val="Char Char121"/>
    <w:basedOn w:val="1"/>
    <w:qFormat/>
    <w:uiPriority w:val="0"/>
    <w:pPr>
      <w:spacing w:line="240" w:lineRule="auto"/>
    </w:pPr>
    <w:rPr>
      <w:szCs w:val="21"/>
    </w:rPr>
  </w:style>
  <w:style w:type="paragraph" w:customStyle="1" w:styleId="523">
    <w:name w:val="标题 71"/>
    <w:basedOn w:val="1"/>
    <w:next w:val="1"/>
    <w:uiPriority w:val="0"/>
    <w:pPr>
      <w:keepNext/>
      <w:keepLines/>
      <w:tabs>
        <w:tab w:val="left" w:pos="1296"/>
        <w:tab w:val="left" w:pos="3480"/>
      </w:tabs>
      <w:spacing w:before="240" w:after="64" w:line="317" w:lineRule="auto"/>
      <w:ind w:left="3480" w:hanging="420"/>
      <w:textAlignment w:val="baseline"/>
      <w:outlineLvl w:val="6"/>
    </w:pPr>
    <w:rPr>
      <w:rFonts w:ascii="Arial" w:hAnsi="Times New Roman"/>
      <w:b/>
      <w:sz w:val="24"/>
      <w:szCs w:val="24"/>
    </w:rPr>
  </w:style>
  <w:style w:type="paragraph" w:customStyle="1" w:styleId="524">
    <w:name w:val="表格内的red dot"/>
    <w:uiPriority w:val="0"/>
    <w:pPr>
      <w:tabs>
        <w:tab w:val="left" w:pos="360"/>
        <w:tab w:val="left" w:pos="420"/>
      </w:tabs>
      <w:spacing w:line="288" w:lineRule="auto"/>
      <w:ind w:left="360" w:hanging="360"/>
    </w:pPr>
    <w:rPr>
      <w:rFonts w:eastAsia="新宋体"/>
      <w:kern w:val="2"/>
      <w:sz w:val="21"/>
      <w:szCs w:val="21"/>
      <w:lang w:val="en-US" w:eastAsia="zh-CN" w:bidi="ar-SA"/>
    </w:rPr>
  </w:style>
  <w:style w:type="paragraph" w:customStyle="1" w:styleId="525">
    <w:name w:val="默认段落字体 Para Char"/>
    <w:basedOn w:val="1"/>
    <w:qFormat/>
    <w:uiPriority w:val="0"/>
    <w:pPr>
      <w:adjustRightInd w:val="0"/>
    </w:pPr>
    <w:rPr>
      <w:kern w:val="0"/>
      <w:sz w:val="24"/>
    </w:rPr>
  </w:style>
  <w:style w:type="paragraph" w:customStyle="1" w:styleId="526">
    <w:name w:val="Char1"/>
    <w:basedOn w:val="1"/>
    <w:qFormat/>
    <w:uiPriority w:val="0"/>
    <w:rPr>
      <w:szCs w:val="24"/>
    </w:rPr>
  </w:style>
  <w:style w:type="paragraph" w:customStyle="1" w:styleId="527">
    <w:name w:val="Char Char Char Char Char Char Char111"/>
    <w:basedOn w:val="1"/>
    <w:qFormat/>
    <w:uiPriority w:val="0"/>
    <w:rPr>
      <w:szCs w:val="21"/>
    </w:rPr>
  </w:style>
  <w:style w:type="paragraph" w:customStyle="1" w:styleId="528">
    <w:name w:val="_Style 141"/>
    <w:basedOn w:val="1"/>
    <w:uiPriority w:val="0"/>
    <w:pPr>
      <w:spacing w:line="240" w:lineRule="auto"/>
    </w:pPr>
    <w:rPr>
      <w:rFonts w:ascii="Times New Roman" w:hAnsi="Times New Roman" w:cs="Times New Roman"/>
    </w:rPr>
  </w:style>
  <w:style w:type="paragraph" w:customStyle="1" w:styleId="529">
    <w:name w:val="xl66"/>
    <w:basedOn w:val="1"/>
    <w:uiPriority w:val="0"/>
    <w:pPr>
      <w:widowControl/>
      <w:pBdr>
        <w:right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530">
    <w:name w:val="默认段落字体 Para Char Char Char Char Char Char Char Char Char1 Char Char Char Char"/>
    <w:basedOn w:val="1"/>
    <w:qFormat/>
    <w:uiPriority w:val="0"/>
    <w:rPr>
      <w:rFonts w:ascii="Tahoma" w:hAnsi="Tahoma"/>
      <w:sz w:val="24"/>
    </w:rPr>
  </w:style>
  <w:style w:type="paragraph" w:customStyle="1" w:styleId="531">
    <w:name w:val="Char Char Char2"/>
    <w:basedOn w:val="1"/>
    <w:uiPriority w:val="0"/>
    <w:pPr>
      <w:spacing w:line="240" w:lineRule="auto"/>
    </w:pPr>
    <w:rPr>
      <w:rFonts w:ascii="Tahoma" w:hAnsi="Tahoma"/>
      <w:sz w:val="24"/>
    </w:rPr>
  </w:style>
  <w:style w:type="paragraph" w:customStyle="1" w:styleId="532">
    <w:name w:val="_标题1"/>
    <w:basedOn w:val="1"/>
    <w:next w:val="1"/>
    <w:qFormat/>
    <w:uiPriority w:val="0"/>
    <w:pPr>
      <w:keepNext/>
      <w:keepLines/>
      <w:pageBreakBefore/>
      <w:tabs>
        <w:tab w:val="left" w:pos="432"/>
      </w:tabs>
      <w:spacing w:before="480" w:after="480" w:line="480" w:lineRule="exact"/>
      <w:ind w:left="1588" w:hanging="1588" w:firstLineChars="200"/>
      <w:jc w:val="left"/>
      <w:outlineLvl w:val="0"/>
    </w:pPr>
    <w:rPr>
      <w:rFonts w:cs="Times New Roman"/>
      <w:b/>
      <w:sz w:val="44"/>
      <w:szCs w:val="28"/>
    </w:rPr>
  </w:style>
  <w:style w:type="paragraph" w:customStyle="1" w:styleId="533">
    <w:name w:val="tabletext"/>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534">
    <w:name w:val="表头文本"/>
    <w:basedOn w:val="1"/>
    <w:qFormat/>
    <w:uiPriority w:val="0"/>
    <w:pPr>
      <w:autoSpaceDE w:val="0"/>
      <w:autoSpaceDN w:val="0"/>
      <w:adjustRightInd w:val="0"/>
      <w:jc w:val="center"/>
    </w:pPr>
    <w:rPr>
      <w:b/>
      <w:kern w:val="0"/>
      <w:sz w:val="24"/>
    </w:rPr>
  </w:style>
  <w:style w:type="paragraph" w:customStyle="1" w:styleId="535">
    <w:name w:val="插图题注"/>
    <w:next w:val="1"/>
    <w:uiPriority w:val="0"/>
    <w:pPr>
      <w:numPr>
        <w:ilvl w:val="7"/>
        <w:numId w:val="4"/>
      </w:numPr>
      <w:tabs>
        <w:tab w:val="left" w:pos="7500"/>
      </w:tabs>
      <w:spacing w:afterLines="100"/>
      <w:jc w:val="center"/>
    </w:pPr>
    <w:rPr>
      <w:rFonts w:ascii="Arial" w:hAnsi="Arial"/>
      <w:sz w:val="18"/>
      <w:szCs w:val="18"/>
      <w:lang w:val="en-US" w:eastAsia="zh-CN" w:bidi="ar-SA"/>
    </w:rPr>
  </w:style>
  <w:style w:type="paragraph" w:customStyle="1" w:styleId="536">
    <w:name w:val="Char Char Char Char Char Char1"/>
    <w:basedOn w:val="1"/>
    <w:qFormat/>
    <w:uiPriority w:val="0"/>
    <w:pPr>
      <w:widowControl/>
      <w:spacing w:after="160" w:line="240" w:lineRule="exact"/>
      <w:jc w:val="left"/>
    </w:pPr>
    <w:rPr>
      <w:kern w:val="0"/>
    </w:rPr>
  </w:style>
  <w:style w:type="paragraph" w:customStyle="1" w:styleId="537">
    <w:name w:val="样式 样式 样式 左侧:  2 字符1 + 首行缩进:  2 字符1 + 首行缩进:  2 字符"/>
    <w:basedOn w:val="1"/>
    <w:uiPriority w:val="0"/>
    <w:pPr>
      <w:widowControl/>
      <w:adjustRightInd w:val="0"/>
      <w:spacing w:before="60" w:after="120" w:line="440" w:lineRule="atLeast"/>
      <w:ind w:firstLine="480"/>
      <w:textAlignment w:val="baseline"/>
    </w:pPr>
    <w:rPr>
      <w:rFonts w:ascii="Times New Roman" w:hAnsi="Times New Roman" w:cs="Times New Roman"/>
      <w:sz w:val="24"/>
    </w:rPr>
  </w:style>
  <w:style w:type="paragraph" w:customStyle="1" w:styleId="538">
    <w:name w:val="列出段落13"/>
    <w:basedOn w:val="1"/>
    <w:qFormat/>
    <w:uiPriority w:val="34"/>
    <w:pPr>
      <w:ind w:firstLine="420" w:firstLineChars="200"/>
    </w:pPr>
    <w:rPr>
      <w:rFonts w:cs="Times New Roman"/>
      <w:szCs w:val="24"/>
    </w:rPr>
  </w:style>
  <w:style w:type="paragraph" w:customStyle="1" w:styleId="539">
    <w:name w:val="字元 字元11"/>
    <w:basedOn w:val="1"/>
    <w:qFormat/>
    <w:uiPriority w:val="99"/>
    <w:pPr>
      <w:widowControl/>
      <w:spacing w:after="160" w:line="240" w:lineRule="exact"/>
      <w:jc w:val="left"/>
    </w:pPr>
    <w:rPr>
      <w:rFonts w:ascii="Times New Roman" w:hAnsi="Times New Roman"/>
      <w:sz w:val="28"/>
    </w:rPr>
  </w:style>
  <w:style w:type="paragraph" w:customStyle="1" w:styleId="540">
    <w:name w:val="a2"/>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541">
    <w:name w:val="p15"/>
    <w:basedOn w:val="1"/>
    <w:uiPriority w:val="0"/>
    <w:pPr>
      <w:widowControl/>
      <w:spacing w:after="120" w:line="240" w:lineRule="auto"/>
    </w:pPr>
    <w:rPr>
      <w:rFonts w:ascii="Times New Roman" w:hAnsi="Times New Roman"/>
      <w:kern w:val="0"/>
      <w:szCs w:val="21"/>
    </w:rPr>
  </w:style>
  <w:style w:type="paragraph" w:customStyle="1" w:styleId="542">
    <w:name w:val="xl117"/>
    <w:basedOn w:val="1"/>
    <w:qFormat/>
    <w:uiPriority w:val="0"/>
    <w:pPr>
      <w:widowControl/>
      <w:pBdr>
        <w:top w:val="single" w:color="auto" w:sz="4" w:space="0"/>
        <w:left w:val="single" w:color="auto" w:sz="4" w:space="0"/>
        <w:bottom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543">
    <w:name w:val="a"/>
    <w:basedOn w:val="1"/>
    <w:qFormat/>
    <w:uiPriority w:val="0"/>
    <w:pPr>
      <w:widowControl/>
      <w:spacing w:before="100" w:beforeAutospacing="1" w:after="100" w:afterAutospacing="1"/>
      <w:jc w:val="left"/>
    </w:pPr>
    <w:rPr>
      <w:rFonts w:ascii="宋体" w:hAnsi="宋体"/>
      <w:kern w:val="0"/>
      <w:sz w:val="24"/>
    </w:rPr>
  </w:style>
  <w:style w:type="paragraph" w:customStyle="1" w:styleId="544">
    <w:name w:val="标题 4（绿盟科技）"/>
    <w:basedOn w:val="5"/>
    <w:next w:val="424"/>
    <w:uiPriority w:val="0"/>
    <w:pPr>
      <w:widowControl/>
      <w:numPr>
        <w:ilvl w:val="0"/>
        <w:numId w:val="4"/>
      </w:numPr>
      <w:tabs>
        <w:tab w:val="left" w:pos="1440"/>
        <w:tab w:val="clear" w:pos="1575"/>
        <w:tab w:val="clear" w:pos="1680"/>
        <w:tab w:val="clear" w:pos="1771"/>
        <w:tab w:val="clear" w:pos="1995"/>
        <w:tab w:val="clear" w:pos="2100"/>
      </w:tabs>
      <w:adjustRightInd/>
      <w:spacing w:before="240" w:after="156" w:line="240" w:lineRule="auto"/>
      <w:jc w:val="left"/>
      <w:textAlignment w:val="auto"/>
    </w:pPr>
    <w:rPr>
      <w:rFonts w:ascii="Arial" w:hAnsi="Arial" w:eastAsia="黑体"/>
      <w:sz w:val="21"/>
      <w:szCs w:val="24"/>
      <w:lang w:val="en-US" w:eastAsia="zh-CN"/>
    </w:rPr>
  </w:style>
  <w:style w:type="paragraph" w:customStyle="1" w:styleId="545">
    <w:name w:val="单位"/>
    <w:basedOn w:val="1"/>
    <w:qFormat/>
    <w:uiPriority w:val="0"/>
    <w:pPr>
      <w:adjustRightInd w:val="0"/>
      <w:jc w:val="center"/>
      <w:textAlignment w:val="baseline"/>
    </w:pPr>
    <w:rPr>
      <w:rFonts w:ascii="宋体"/>
      <w:b/>
      <w:kern w:val="0"/>
      <w:sz w:val="32"/>
    </w:rPr>
  </w:style>
  <w:style w:type="paragraph" w:customStyle="1" w:styleId="546">
    <w:name w:val="p17"/>
    <w:basedOn w:val="1"/>
    <w:uiPriority w:val="0"/>
    <w:pPr>
      <w:widowControl/>
      <w:spacing w:after="120" w:line="240" w:lineRule="auto"/>
    </w:pPr>
    <w:rPr>
      <w:rFonts w:ascii="Times New Roman" w:hAnsi="Times New Roman"/>
      <w:kern w:val="0"/>
      <w:szCs w:val="21"/>
    </w:rPr>
  </w:style>
  <w:style w:type="paragraph" w:customStyle="1" w:styleId="547">
    <w:name w:val="WPS Plain"/>
    <w:qFormat/>
    <w:uiPriority w:val="0"/>
    <w:rPr>
      <w:lang w:val="en-US" w:eastAsia="zh-CN" w:bidi="ar-SA"/>
    </w:rPr>
  </w:style>
  <w:style w:type="paragraph" w:customStyle="1" w:styleId="548">
    <w:name w:val="_Style 3"/>
    <w:qFormat/>
    <w:uiPriority w:val="1"/>
    <w:pPr>
      <w:widowControl w:val="0"/>
      <w:jc w:val="both"/>
    </w:pPr>
    <w:rPr>
      <w:kern w:val="2"/>
      <w:sz w:val="21"/>
      <w:szCs w:val="22"/>
      <w:lang w:val="en-US" w:eastAsia="zh-CN" w:bidi="ar-SA"/>
    </w:rPr>
  </w:style>
  <w:style w:type="paragraph" w:customStyle="1" w:styleId="549">
    <w:name w:val="xl97"/>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550">
    <w:name w:val="xl2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b/>
      <w:bCs/>
      <w:color w:val="FF0000"/>
      <w:kern w:val="0"/>
      <w:sz w:val="24"/>
      <w:szCs w:val="24"/>
    </w:rPr>
  </w:style>
  <w:style w:type="paragraph" w:customStyle="1" w:styleId="551">
    <w:name w:val="_Style 112"/>
    <w:uiPriority w:val="99"/>
    <w:pPr>
      <w:widowControl w:val="0"/>
      <w:spacing w:line="360" w:lineRule="auto"/>
      <w:jc w:val="both"/>
    </w:pPr>
    <w:rPr>
      <w:kern w:val="2"/>
      <w:sz w:val="21"/>
      <w:lang w:val="en-US" w:eastAsia="zh-CN" w:bidi="ar-SA"/>
    </w:rPr>
  </w:style>
  <w:style w:type="paragraph" w:customStyle="1" w:styleId="552">
    <w:name w:val="xl28"/>
    <w:basedOn w:val="1"/>
    <w:uiPriority w:val="0"/>
    <w:pPr>
      <w:widowControl/>
      <w:spacing w:before="100" w:beforeAutospacing="1" w:after="100" w:afterAutospacing="1" w:line="240" w:lineRule="auto"/>
      <w:jc w:val="center"/>
      <w:textAlignment w:val="center"/>
    </w:pPr>
    <w:rPr>
      <w:rFonts w:ascii="宋体" w:hAnsi="宋体"/>
      <w:kern w:val="0"/>
      <w:sz w:val="24"/>
      <w:szCs w:val="24"/>
    </w:rPr>
  </w:style>
  <w:style w:type="paragraph" w:customStyle="1" w:styleId="553">
    <w:name w:val="样式 仿宋_GB2312 五号 黑色 行距: 单倍行距"/>
    <w:basedOn w:val="1"/>
    <w:qFormat/>
    <w:uiPriority w:val="0"/>
    <w:pPr>
      <w:snapToGrid w:val="0"/>
      <w:spacing w:line="240" w:lineRule="auto"/>
    </w:pPr>
    <w:rPr>
      <w:rFonts w:ascii="仿宋_GB2312" w:eastAsia="仿宋_GB2312"/>
      <w:color w:val="000000"/>
      <w:sz w:val="24"/>
    </w:rPr>
  </w:style>
  <w:style w:type="paragraph" w:customStyle="1" w:styleId="554">
    <w:name w:val="标题 11"/>
    <w:basedOn w:val="1"/>
    <w:next w:val="1"/>
    <w:uiPriority w:val="0"/>
    <w:pPr>
      <w:keepNext/>
      <w:keepLines/>
      <w:pageBreakBefore/>
      <w:tabs>
        <w:tab w:val="left" w:pos="960"/>
        <w:tab w:val="left" w:pos="1152"/>
      </w:tabs>
      <w:spacing w:before="120" w:after="120" w:line="480" w:lineRule="auto"/>
      <w:ind w:left="960" w:hanging="420"/>
      <w:outlineLvl w:val="0"/>
    </w:pPr>
    <w:rPr>
      <w:rFonts w:ascii="宋体" w:hAnsi="Times New Roman"/>
      <w:b/>
      <w:sz w:val="36"/>
      <w:szCs w:val="24"/>
    </w:rPr>
  </w:style>
  <w:style w:type="paragraph" w:customStyle="1" w:styleId="555">
    <w:name w:val="纯文本1111"/>
    <w:basedOn w:val="1"/>
    <w:qFormat/>
    <w:uiPriority w:val="99"/>
    <w:pPr>
      <w:adjustRightInd w:val="0"/>
      <w:textAlignment w:val="baseline"/>
    </w:pPr>
    <w:rPr>
      <w:rFonts w:ascii="宋体" w:hAnsi="Courier New" w:eastAsia="楷体_GB2312"/>
      <w:sz w:val="26"/>
    </w:rPr>
  </w:style>
  <w:style w:type="paragraph" w:customStyle="1" w:styleId="556">
    <w:name w:val="Char Char Char Char Char Char2"/>
    <w:basedOn w:val="1"/>
    <w:qFormat/>
    <w:uiPriority w:val="0"/>
    <w:pPr>
      <w:ind w:firstLine="200" w:firstLineChars="200"/>
    </w:pPr>
    <w:rPr>
      <w:rFonts w:ascii="Tahoma" w:hAnsi="Tahoma" w:cs="Tahoma"/>
      <w:sz w:val="24"/>
      <w:szCs w:val="24"/>
    </w:rPr>
  </w:style>
  <w:style w:type="paragraph" w:customStyle="1" w:styleId="557">
    <w:name w:val="xl128"/>
    <w:basedOn w:val="1"/>
    <w:qFormat/>
    <w:uiPriority w:val="0"/>
    <w:pPr>
      <w:widowControl/>
      <w:pBdr>
        <w:left w:val="single" w:color="auto" w:sz="4" w:space="0"/>
        <w:bottom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558">
    <w:name w:val="正文_17"/>
    <w:qFormat/>
    <w:uiPriority w:val="0"/>
    <w:pPr>
      <w:widowControl w:val="0"/>
      <w:jc w:val="both"/>
    </w:pPr>
    <w:rPr>
      <w:kern w:val="2"/>
      <w:sz w:val="21"/>
      <w:szCs w:val="24"/>
      <w:lang w:val="en-US" w:eastAsia="zh-CN" w:bidi="ar-SA"/>
    </w:rPr>
  </w:style>
  <w:style w:type="paragraph" w:customStyle="1" w:styleId="559">
    <w:name w:val="af17cgridlangnp1033langf"/>
    <w:qFormat/>
    <w:uiPriority w:val="0"/>
    <w:pPr>
      <w:widowControl w:val="0"/>
      <w:autoSpaceDE w:val="0"/>
      <w:autoSpaceDN w:val="0"/>
      <w:adjustRightInd w:val="0"/>
      <w:spacing w:before="156" w:line="360" w:lineRule="atLeast"/>
      <w:ind w:left="567" w:firstLine="510"/>
      <w:jc w:val="both"/>
    </w:pPr>
    <w:rPr>
      <w:lang w:val="en-US" w:eastAsia="zh-CN" w:bidi="ar-SA"/>
    </w:rPr>
  </w:style>
  <w:style w:type="paragraph" w:customStyle="1" w:styleId="560">
    <w:name w:val="xl63"/>
    <w:basedOn w:val="1"/>
    <w:uiPriority w:val="0"/>
    <w:pPr>
      <w:widowControl/>
      <w:pBdr>
        <w:top w:val="single" w:color="000000" w:sz="4" w:space="0"/>
        <w:bottom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561">
    <w:name w:val="xl105"/>
    <w:basedOn w:val="1"/>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000000"/>
      <w:kern w:val="0"/>
      <w:sz w:val="16"/>
      <w:szCs w:val="16"/>
    </w:rPr>
  </w:style>
  <w:style w:type="paragraph" w:customStyle="1" w:styleId="562">
    <w:name w:val="xl126"/>
    <w:basedOn w:val="1"/>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563">
    <w:name w:val="样式3"/>
    <w:basedOn w:val="1"/>
    <w:uiPriority w:val="0"/>
    <w:pPr>
      <w:tabs>
        <w:tab w:val="left" w:pos="420"/>
        <w:tab w:val="left" w:pos="1365"/>
      </w:tabs>
      <w:spacing w:line="240" w:lineRule="auto"/>
      <w:ind w:left="1365" w:hanging="132"/>
    </w:pPr>
    <w:rPr>
      <w:rFonts w:ascii="Times New Roman" w:hAnsi="Times New Roman" w:cs="Times New Roman"/>
      <w:szCs w:val="24"/>
    </w:rPr>
  </w:style>
  <w:style w:type="paragraph" w:customStyle="1" w:styleId="564">
    <w:name w:val="Char Char Char Char Char Char Char11"/>
    <w:basedOn w:val="1"/>
    <w:qFormat/>
    <w:uiPriority w:val="0"/>
    <w:rPr>
      <w:szCs w:val="21"/>
    </w:rPr>
  </w:style>
  <w:style w:type="paragraph" w:customStyle="1" w:styleId="565">
    <w:name w:val="_标题8"/>
    <w:basedOn w:val="1"/>
    <w:next w:val="1"/>
    <w:qFormat/>
    <w:uiPriority w:val="0"/>
    <w:pPr>
      <w:widowControl/>
      <w:tabs>
        <w:tab w:val="left" w:pos="1440"/>
      </w:tabs>
      <w:spacing w:beforeLines="50" w:afterLines="50" w:line="480" w:lineRule="exact"/>
      <w:ind w:left="1618" w:leftChars="200" w:hanging="1418" w:firstLineChars="200"/>
      <w:jc w:val="left"/>
      <w:outlineLvl w:val="7"/>
    </w:pPr>
    <w:rPr>
      <w:rFonts w:cs="Times New Roman"/>
      <w:b/>
      <w:sz w:val="24"/>
      <w:szCs w:val="28"/>
    </w:rPr>
  </w:style>
  <w:style w:type="paragraph" w:customStyle="1" w:styleId="566">
    <w:name w:val="正文111"/>
    <w:qFormat/>
    <w:uiPriority w:val="99"/>
    <w:pPr>
      <w:widowControl w:val="0"/>
      <w:jc w:val="both"/>
    </w:pPr>
    <w:rPr>
      <w:rFonts w:hint="eastAsia"/>
      <w:kern w:val="2"/>
      <w:sz w:val="21"/>
      <w:lang w:val="en-US" w:eastAsia="zh-CN" w:bidi="ar-SA"/>
    </w:rPr>
  </w:style>
  <w:style w:type="paragraph" w:customStyle="1" w:styleId="567">
    <w:name w:val="xl77"/>
    <w:basedOn w:val="1"/>
    <w:uiPriority w:val="0"/>
    <w:pPr>
      <w:widowControl/>
      <w:pBdr>
        <w:top w:val="single" w:color="000000" w:sz="4" w:space="0"/>
        <w:left w:val="single" w:color="000000" w:sz="4" w:space="0"/>
        <w:right w:val="single" w:color="000000" w:sz="4" w:space="0"/>
      </w:pBdr>
      <w:shd w:val="clear" w:color="000000" w:fill="FFFFFF"/>
      <w:spacing w:before="100" w:beforeAutospacing="1" w:after="100" w:afterAutospacing="1" w:line="240" w:lineRule="auto"/>
      <w:jc w:val="left"/>
      <w:textAlignment w:val="center"/>
    </w:pPr>
    <w:rPr>
      <w:rFonts w:ascii="宋体" w:hAnsi="宋体"/>
      <w:color w:val="000000"/>
      <w:kern w:val="0"/>
      <w:sz w:val="18"/>
      <w:szCs w:val="18"/>
    </w:rPr>
  </w:style>
  <w:style w:type="paragraph" w:customStyle="1" w:styleId="568">
    <w:name w:val="product_spec1"/>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569">
    <w:name w:val="样式5"/>
    <w:basedOn w:val="1"/>
    <w:uiPriority w:val="0"/>
    <w:pPr>
      <w:jc w:val="left"/>
      <w:outlineLvl w:val="2"/>
    </w:pPr>
    <w:rPr>
      <w:rFonts w:ascii="宋体" w:hAnsi="宋体"/>
      <w:b/>
      <w:bCs/>
      <w:sz w:val="52"/>
    </w:rPr>
  </w:style>
  <w:style w:type="paragraph" w:customStyle="1" w:styleId="570">
    <w:name w:val="正文 New"/>
    <w:qFormat/>
    <w:uiPriority w:val="0"/>
    <w:pPr>
      <w:widowControl w:val="0"/>
      <w:jc w:val="both"/>
    </w:pPr>
    <w:rPr>
      <w:kern w:val="2"/>
      <w:sz w:val="21"/>
      <w:szCs w:val="24"/>
      <w:lang w:val="en-US" w:eastAsia="zh-CN" w:bidi="ar-SA"/>
    </w:rPr>
  </w:style>
  <w:style w:type="paragraph" w:customStyle="1" w:styleId="571">
    <w:name w:val="xl119"/>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572">
    <w:name w:val="xl69"/>
    <w:basedOn w:val="1"/>
    <w:uiPriority w:val="0"/>
    <w:pPr>
      <w:widowControl/>
      <w:pBdr>
        <w:left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573">
    <w:name w:val="图表标题"/>
    <w:basedOn w:val="1"/>
    <w:qFormat/>
    <w:uiPriority w:val="0"/>
    <w:pPr>
      <w:adjustRightInd w:val="0"/>
      <w:jc w:val="center"/>
    </w:pPr>
    <w:rPr>
      <w:rFonts w:ascii="仿宋" w:hAnsi="仿宋" w:eastAsia="仿宋" w:cs="仿宋"/>
      <w:b/>
      <w:szCs w:val="24"/>
    </w:rPr>
  </w:style>
  <w:style w:type="paragraph" w:customStyle="1" w:styleId="574">
    <w:name w:val="Char Char Char Char Char Char Char Char Char Char"/>
    <w:basedOn w:val="1"/>
    <w:uiPriority w:val="0"/>
    <w:pPr>
      <w:widowControl/>
      <w:spacing w:after="160"/>
      <w:jc w:val="left"/>
    </w:pPr>
    <w:rPr>
      <w:rFonts w:ascii="Verdana" w:hAnsi="Verdana" w:cs="Verdana"/>
      <w:kern w:val="0"/>
      <w:szCs w:val="21"/>
      <w:lang w:eastAsia="en-US"/>
    </w:rPr>
  </w:style>
  <w:style w:type="paragraph" w:customStyle="1" w:styleId="575">
    <w:name w:val="xl101"/>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left"/>
    </w:pPr>
    <w:rPr>
      <w:rFonts w:ascii="微软雅黑" w:hAnsi="微软雅黑" w:eastAsia="微软雅黑"/>
      <w:kern w:val="0"/>
      <w:sz w:val="16"/>
      <w:szCs w:val="16"/>
    </w:rPr>
  </w:style>
  <w:style w:type="paragraph" w:customStyle="1" w:styleId="576">
    <w:name w:val="样式4"/>
    <w:basedOn w:val="1"/>
    <w:uiPriority w:val="0"/>
    <w:pPr>
      <w:tabs>
        <w:tab w:val="left" w:pos="420"/>
        <w:tab w:val="left" w:pos="720"/>
      </w:tabs>
      <w:overflowPunct w:val="0"/>
      <w:autoSpaceDE w:val="0"/>
      <w:autoSpaceDN w:val="0"/>
      <w:adjustRightInd w:val="0"/>
      <w:spacing w:line="336" w:lineRule="auto"/>
      <w:ind w:left="420" w:hanging="420"/>
      <w:jc w:val="left"/>
    </w:pPr>
    <w:rPr>
      <w:rFonts w:eastAsia="微软雅黑"/>
      <w:color w:val="808080"/>
      <w:szCs w:val="21"/>
    </w:rPr>
  </w:style>
  <w:style w:type="paragraph" w:customStyle="1" w:styleId="577">
    <w:name w:val="xl127"/>
    <w:basedOn w:val="1"/>
    <w:qFormat/>
    <w:uiPriority w:val="0"/>
    <w:pPr>
      <w:widowControl/>
      <w:pBdr>
        <w:lef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578">
    <w:name w:val="Char Char2 Char1"/>
    <w:basedOn w:val="1"/>
    <w:qFormat/>
    <w:uiPriority w:val="0"/>
    <w:pPr>
      <w:keepNext/>
      <w:keepLines/>
      <w:pageBreakBefore/>
      <w:tabs>
        <w:tab w:val="left" w:pos="845"/>
      </w:tabs>
      <w:suppressAutoHyphens/>
      <w:spacing w:line="240" w:lineRule="auto"/>
      <w:ind w:left="845" w:hanging="420"/>
    </w:pPr>
    <w:rPr>
      <w:rFonts w:ascii="Tahoma" w:hAnsi="Tahoma" w:cs="Tahoma"/>
      <w:kern w:val="1"/>
      <w:sz w:val="24"/>
      <w:lang w:eastAsia="ar-SA"/>
    </w:rPr>
  </w:style>
  <w:style w:type="paragraph" w:customStyle="1" w:styleId="579">
    <w:name w:val="Char2"/>
    <w:basedOn w:val="1"/>
    <w:qFormat/>
    <w:uiPriority w:val="0"/>
    <w:pPr>
      <w:tabs>
        <w:tab w:val="left" w:pos="1788"/>
      </w:tabs>
      <w:ind w:left="1788" w:hanging="1125"/>
    </w:pPr>
    <w:rPr>
      <w:sz w:val="24"/>
      <w:szCs w:val="24"/>
    </w:rPr>
  </w:style>
  <w:style w:type="paragraph" w:customStyle="1" w:styleId="580">
    <w:name w:val="SUB1-C"/>
    <w:basedOn w:val="1"/>
    <w:uiPriority w:val="0"/>
    <w:pPr>
      <w:keepNext/>
      <w:snapToGrid w:val="0"/>
      <w:spacing w:beforeLines="50" w:afterLines="50"/>
      <w:ind w:firstLine="475" w:firstLineChars="198"/>
      <w:outlineLvl w:val="3"/>
    </w:pPr>
    <w:rPr>
      <w:rFonts w:ascii="Arial" w:hAnsi="Arial" w:cs="Arial"/>
      <w:bCs/>
      <w:color w:val="FF0000"/>
      <w:sz w:val="24"/>
      <w:szCs w:val="24"/>
      <w:u w:val="single"/>
    </w:rPr>
  </w:style>
  <w:style w:type="paragraph" w:customStyle="1" w:styleId="581">
    <w:name w:val="xl118"/>
    <w:basedOn w:val="1"/>
    <w:uiPriority w:val="0"/>
    <w:pPr>
      <w:widowControl/>
      <w:pBdr>
        <w:top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582">
    <w:name w:val="Char Char Char Char Char Char"/>
    <w:basedOn w:val="1"/>
    <w:qFormat/>
    <w:uiPriority w:val="0"/>
    <w:pPr>
      <w:widowControl/>
      <w:spacing w:after="160" w:line="240" w:lineRule="exact"/>
      <w:jc w:val="left"/>
    </w:pPr>
    <w:rPr>
      <w:kern w:val="0"/>
    </w:rPr>
  </w:style>
  <w:style w:type="paragraph" w:customStyle="1" w:styleId="583">
    <w:name w:val="xl8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b/>
      <w:bCs/>
      <w:kern w:val="0"/>
      <w:sz w:val="20"/>
    </w:rPr>
  </w:style>
  <w:style w:type="paragraph" w:customStyle="1" w:styleId="584">
    <w:name w:val="Default"/>
    <w:qFormat/>
    <w:uiPriority w:val="0"/>
    <w:pPr>
      <w:widowControl w:val="0"/>
      <w:autoSpaceDE w:val="0"/>
      <w:autoSpaceDN w:val="0"/>
      <w:adjustRightInd w:val="0"/>
    </w:pPr>
    <w:rPr>
      <w:rFonts w:ascii="仿宋_GB2312" w:cs="仿宋_GB2312"/>
      <w:color w:val="000000"/>
      <w:sz w:val="24"/>
      <w:szCs w:val="24"/>
      <w:lang w:val="en-US" w:eastAsia="zh-CN" w:bidi="ar-SA"/>
    </w:rPr>
  </w:style>
  <w:style w:type="paragraph" w:customStyle="1" w:styleId="585">
    <w:name w:val="xl131"/>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586">
    <w:name w:val="_标题6"/>
    <w:basedOn w:val="1"/>
    <w:next w:val="1"/>
    <w:qFormat/>
    <w:uiPriority w:val="0"/>
    <w:pPr>
      <w:keepNext/>
      <w:keepLines/>
      <w:widowControl/>
      <w:tabs>
        <w:tab w:val="left" w:pos="1152"/>
      </w:tabs>
      <w:spacing w:beforeLines="50" w:afterLines="50" w:line="480" w:lineRule="exact"/>
      <w:ind w:left="1334" w:leftChars="200" w:hanging="1134" w:firstLineChars="200"/>
      <w:jc w:val="left"/>
      <w:outlineLvl w:val="5"/>
    </w:pPr>
    <w:rPr>
      <w:rFonts w:cs="Times New Roman"/>
      <w:b/>
      <w:sz w:val="24"/>
      <w:szCs w:val="28"/>
    </w:rPr>
  </w:style>
  <w:style w:type="paragraph" w:customStyle="1" w:styleId="587">
    <w:name w:val="xl3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b/>
      <w:bCs/>
      <w:color w:val="FF0000"/>
      <w:kern w:val="0"/>
      <w:sz w:val="24"/>
      <w:szCs w:val="24"/>
    </w:rPr>
  </w:style>
  <w:style w:type="paragraph" w:customStyle="1" w:styleId="588">
    <w:name w:val="目录标题"/>
    <w:basedOn w:val="1"/>
    <w:next w:val="1"/>
    <w:uiPriority w:val="0"/>
    <w:pPr>
      <w:widowControl/>
      <w:spacing w:before="566" w:after="544" w:line="566" w:lineRule="atLeast"/>
      <w:ind w:firstLine="419"/>
      <w:jc w:val="center"/>
      <w:textAlignment w:val="baseline"/>
    </w:pPr>
    <w:rPr>
      <w:rFonts w:ascii="Arial" w:hAnsi="Times New Roman" w:eastAsia="黑体" w:cs="Times New Roman"/>
      <w:color w:val="000000"/>
      <w:spacing w:val="566"/>
      <w:kern w:val="0"/>
      <w:sz w:val="54"/>
      <w:u w:val="none" w:color="000000"/>
    </w:rPr>
  </w:style>
  <w:style w:type="paragraph" w:customStyle="1" w:styleId="589">
    <w:name w:val="Char Char Char1 Char Char Char Char"/>
    <w:basedOn w:val="1"/>
    <w:uiPriority w:val="0"/>
    <w:pPr>
      <w:widowControl/>
      <w:spacing w:after="160" w:line="240" w:lineRule="exact"/>
      <w:jc w:val="left"/>
    </w:pPr>
    <w:rPr>
      <w:szCs w:val="24"/>
    </w:rPr>
  </w:style>
  <w:style w:type="paragraph" w:customStyle="1" w:styleId="590">
    <w:name w:val="样式 首行缩进:  2 字符"/>
    <w:basedOn w:val="1"/>
    <w:uiPriority w:val="0"/>
    <w:pPr>
      <w:ind w:firstLine="200" w:firstLineChars="200"/>
    </w:pPr>
    <w:rPr>
      <w:rFonts w:ascii="Times New Roman" w:hAnsi="Times New Roman"/>
    </w:rPr>
  </w:style>
  <w:style w:type="paragraph" w:customStyle="1" w:styleId="591">
    <w:name w:val="xl9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592">
    <w:name w:val="xl80"/>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left"/>
      <w:textAlignment w:val="center"/>
    </w:pPr>
    <w:rPr>
      <w:rFonts w:ascii="宋体" w:hAnsi="宋体"/>
      <w:color w:val="000000"/>
      <w:kern w:val="0"/>
      <w:sz w:val="18"/>
      <w:szCs w:val="18"/>
    </w:rPr>
  </w:style>
  <w:style w:type="paragraph" w:customStyle="1" w:styleId="593">
    <w:name w:val="样式 首行缩进:  0 字符"/>
    <w:basedOn w:val="1"/>
    <w:qFormat/>
    <w:uiPriority w:val="0"/>
    <w:pPr>
      <w:spacing w:line="240" w:lineRule="auto"/>
      <w:ind w:firstLine="200" w:firstLineChars="200"/>
    </w:pPr>
    <w:rPr>
      <w:rFonts w:ascii="Arial" w:hAnsi="Arial"/>
    </w:rPr>
  </w:style>
  <w:style w:type="paragraph" w:customStyle="1" w:styleId="594">
    <w:name w:val="Char5"/>
    <w:basedOn w:val="3"/>
    <w:qFormat/>
    <w:uiPriority w:val="0"/>
    <w:pPr>
      <w:keepNext/>
      <w:keepLines/>
      <w:snapToGrid w:val="0"/>
      <w:spacing w:before="240" w:after="240" w:line="348" w:lineRule="auto"/>
      <w:textAlignment w:val="auto"/>
    </w:pPr>
    <w:rPr>
      <w:bCs/>
      <w:kern w:val="44"/>
      <w:sz w:val="32"/>
      <w:szCs w:val="44"/>
    </w:rPr>
  </w:style>
  <w:style w:type="paragraph" w:customStyle="1" w:styleId="595">
    <w:name w:val="xl13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仿宋" w:hAnsi="仿宋" w:eastAsia="仿宋"/>
      <w:b/>
      <w:bCs/>
      <w:kern w:val="0"/>
      <w:sz w:val="28"/>
      <w:szCs w:val="28"/>
    </w:rPr>
  </w:style>
  <w:style w:type="paragraph" w:customStyle="1" w:styleId="596">
    <w:name w:val="列出段落[858D7CFB-ED40-4347-BF05-701D383B685F][858D7CFB-ED40-4347-BF05-701D383B685F]"/>
    <w:basedOn w:val="1"/>
    <w:qFormat/>
    <w:uiPriority w:val="0"/>
    <w:pPr>
      <w:suppressAutoHyphens/>
      <w:spacing w:line="240" w:lineRule="auto"/>
      <w:ind w:firstLine="420"/>
    </w:pPr>
    <w:rPr>
      <w:rFonts w:ascii="Times New Roman" w:hAnsi="Times New Roman"/>
      <w:kern w:val="1"/>
      <w:szCs w:val="24"/>
      <w:lang w:eastAsia="ar-SA"/>
    </w:rPr>
  </w:style>
  <w:style w:type="paragraph" w:customStyle="1" w:styleId="597">
    <w:name w:val="Char Char2 Char"/>
    <w:basedOn w:val="1"/>
    <w:qFormat/>
    <w:uiPriority w:val="0"/>
    <w:pPr>
      <w:keepNext/>
      <w:keepLines/>
      <w:pageBreakBefore/>
      <w:tabs>
        <w:tab w:val="left" w:pos="845"/>
      </w:tabs>
      <w:suppressAutoHyphens/>
      <w:spacing w:line="240" w:lineRule="auto"/>
      <w:ind w:left="845" w:hanging="420"/>
    </w:pPr>
    <w:rPr>
      <w:rFonts w:ascii="Tahoma" w:hAnsi="Tahoma" w:cs="Tahoma"/>
      <w:kern w:val="1"/>
      <w:sz w:val="24"/>
      <w:lang w:eastAsia="ar-SA"/>
    </w:rPr>
  </w:style>
  <w:style w:type="paragraph" w:customStyle="1" w:styleId="598">
    <w:name w:val="xl64"/>
    <w:basedOn w:val="1"/>
    <w:uiPriority w:val="0"/>
    <w:pPr>
      <w:widowControl/>
      <w:pBdr>
        <w:top w:val="single" w:color="000000" w:sz="4" w:space="0"/>
        <w:left w:val="single" w:color="000000" w:sz="4" w:space="0"/>
        <w:bottom w:val="single" w:color="000000" w:sz="4" w:space="0"/>
      </w:pBdr>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599">
    <w:name w:val="_Style 66"/>
    <w:next w:val="1"/>
    <w:qFormat/>
    <w:uiPriority w:val="0"/>
    <w:pPr>
      <w:widowControl w:val="0"/>
      <w:jc w:val="both"/>
    </w:pPr>
    <w:rPr>
      <w:kern w:val="2"/>
      <w:sz w:val="21"/>
      <w:szCs w:val="24"/>
      <w:lang w:val="en-US" w:eastAsia="zh-CN" w:bidi="ar-SA"/>
    </w:rPr>
  </w:style>
  <w:style w:type="paragraph" w:customStyle="1" w:styleId="600">
    <w:name w:val="金保标题1"/>
    <w:basedOn w:val="3"/>
    <w:next w:val="1"/>
    <w:uiPriority w:val="0"/>
    <w:pPr>
      <w:keepNext/>
      <w:keepLines/>
      <w:pageBreakBefore/>
      <w:tabs>
        <w:tab w:val="left" w:pos="720"/>
      </w:tabs>
      <w:adjustRightInd/>
      <w:spacing w:before="340" w:after="330" w:line="240" w:lineRule="auto"/>
      <w:ind w:left="144" w:hanging="144"/>
      <w:textAlignment w:val="auto"/>
    </w:pPr>
    <w:rPr>
      <w:rFonts w:ascii="黑体" w:hAnsi="Tahoma" w:eastAsia="黑体"/>
      <w:b w:val="0"/>
      <w:bCs/>
      <w:kern w:val="44"/>
      <w:sz w:val="44"/>
      <w:szCs w:val="44"/>
      <w:lang w:val="en-US" w:eastAsia="zh-CN"/>
    </w:rPr>
  </w:style>
  <w:style w:type="paragraph" w:customStyle="1" w:styleId="601">
    <w:name w:val="xl9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kern w:val="0"/>
      <w:sz w:val="16"/>
      <w:szCs w:val="16"/>
    </w:rPr>
  </w:style>
  <w:style w:type="paragraph" w:customStyle="1" w:styleId="602">
    <w:name w:val="无间隔2"/>
    <w:qFormat/>
    <w:uiPriority w:val="0"/>
    <w:rPr>
      <w:sz w:val="22"/>
      <w:szCs w:val="22"/>
      <w:lang w:val="en-US" w:eastAsia="zh-CN" w:bidi="ar-SA"/>
    </w:rPr>
  </w:style>
  <w:style w:type="paragraph" w:customStyle="1" w:styleId="603">
    <w:name w:val="Char Char42"/>
    <w:basedOn w:val="1"/>
    <w:qFormat/>
    <w:uiPriority w:val="0"/>
    <w:pPr>
      <w:widowControl/>
      <w:spacing w:after="160" w:line="240" w:lineRule="exact"/>
      <w:jc w:val="left"/>
    </w:pPr>
    <w:rPr>
      <w:rFonts w:ascii="Times New Roman" w:hAnsi="Times New Roman"/>
      <w:sz w:val="28"/>
    </w:rPr>
  </w:style>
  <w:style w:type="paragraph" w:customStyle="1" w:styleId="604">
    <w:name w:val="xl1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b/>
      <w:bCs/>
      <w:kern w:val="0"/>
      <w:sz w:val="20"/>
    </w:rPr>
  </w:style>
  <w:style w:type="paragraph" w:customStyle="1" w:styleId="605">
    <w:name w:val="xl10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right"/>
    </w:pPr>
    <w:rPr>
      <w:rFonts w:ascii="微软雅黑" w:hAnsi="微软雅黑" w:eastAsia="微软雅黑"/>
      <w:kern w:val="0"/>
      <w:sz w:val="16"/>
      <w:szCs w:val="16"/>
    </w:rPr>
  </w:style>
  <w:style w:type="paragraph" w:customStyle="1" w:styleId="606">
    <w:name w:val="xl70"/>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607">
    <w:name w:val="xl68"/>
    <w:basedOn w:val="1"/>
    <w:uiPriority w:val="0"/>
    <w:pPr>
      <w:widowControl/>
      <w:pBdr>
        <w:top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608">
    <w:name w:val="Char3 Char Char Char Char Char Char"/>
    <w:basedOn w:val="16"/>
    <w:uiPriority w:val="0"/>
    <w:pPr>
      <w:shd w:val="clear" w:color="auto" w:fill="000080"/>
    </w:pPr>
    <w:rPr>
      <w:rFonts w:ascii="Tahoma" w:hAnsi="Tahoma" w:cs="Tahoma"/>
      <w:sz w:val="24"/>
      <w:szCs w:val="24"/>
      <w:lang w:val="en-US" w:eastAsia="zh-CN"/>
    </w:rPr>
  </w:style>
  <w:style w:type="paragraph" w:customStyle="1" w:styleId="609">
    <w:name w:val="xl11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宋体" w:hAnsi="宋体"/>
      <w:color w:val="000000"/>
      <w:kern w:val="0"/>
      <w:sz w:val="24"/>
      <w:szCs w:val="24"/>
    </w:rPr>
  </w:style>
  <w:style w:type="paragraph" w:customStyle="1" w:styleId="610">
    <w:name w:val="xl11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611">
    <w:name w:val="xl1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b/>
      <w:bCs/>
      <w:kern w:val="0"/>
      <w:sz w:val="24"/>
      <w:szCs w:val="24"/>
    </w:rPr>
  </w:style>
  <w:style w:type="paragraph" w:customStyle="1" w:styleId="612">
    <w:name w:val="Char Char Char"/>
    <w:basedOn w:val="1"/>
    <w:uiPriority w:val="0"/>
    <w:pPr>
      <w:spacing w:line="240" w:lineRule="auto"/>
    </w:pPr>
    <w:rPr>
      <w:rFonts w:ascii="Tahoma" w:hAnsi="Tahoma"/>
      <w:sz w:val="24"/>
    </w:rPr>
  </w:style>
  <w:style w:type="paragraph" w:customStyle="1" w:styleId="613">
    <w:name w:val="xl1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14">
    <w:name w:val="Char Char7 Char2"/>
    <w:basedOn w:val="1"/>
    <w:qFormat/>
    <w:uiPriority w:val="0"/>
    <w:pPr>
      <w:tabs>
        <w:tab w:val="left" w:pos="425"/>
      </w:tabs>
      <w:ind w:left="420" w:leftChars="200" w:firstLine="270" w:firstLineChars="150"/>
    </w:pPr>
    <w:rPr>
      <w:szCs w:val="24"/>
    </w:rPr>
  </w:style>
  <w:style w:type="paragraph" w:customStyle="1" w:styleId="615">
    <w:name w:val="_标题2"/>
    <w:basedOn w:val="1"/>
    <w:next w:val="1"/>
    <w:qFormat/>
    <w:uiPriority w:val="0"/>
    <w:pPr>
      <w:keepNext/>
      <w:keepLines/>
      <w:widowControl/>
      <w:tabs>
        <w:tab w:val="left" w:pos="576"/>
      </w:tabs>
      <w:spacing w:beforeLines="100" w:afterLines="100" w:line="480" w:lineRule="exact"/>
      <w:jc w:val="left"/>
      <w:outlineLvl w:val="1"/>
    </w:pPr>
    <w:rPr>
      <w:rFonts w:cs="Times New Roman"/>
      <w:b/>
      <w:sz w:val="36"/>
      <w:szCs w:val="28"/>
    </w:rPr>
  </w:style>
  <w:style w:type="paragraph" w:customStyle="1" w:styleId="616">
    <w:name w:val="xl120"/>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617">
    <w:name w:val="Char Char7 Char"/>
    <w:basedOn w:val="1"/>
    <w:qFormat/>
    <w:uiPriority w:val="0"/>
    <w:pPr>
      <w:tabs>
        <w:tab w:val="left" w:pos="425"/>
      </w:tabs>
      <w:ind w:left="420" w:leftChars="200" w:firstLine="270" w:firstLineChars="150"/>
    </w:pPr>
    <w:rPr>
      <w:szCs w:val="24"/>
    </w:rPr>
  </w:style>
  <w:style w:type="paragraph" w:customStyle="1" w:styleId="618">
    <w:name w:val="xl124"/>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19">
    <w:name w:val="_Style 1"/>
    <w:basedOn w:val="1"/>
    <w:qFormat/>
    <w:uiPriority w:val="34"/>
    <w:pPr>
      <w:ind w:firstLine="420" w:firstLineChars="200"/>
    </w:pPr>
    <w:rPr>
      <w:sz w:val="24"/>
      <w:szCs w:val="22"/>
    </w:rPr>
  </w:style>
  <w:style w:type="paragraph" w:customStyle="1" w:styleId="620">
    <w:name w:val="正文 首行缩进:  2 字符 Char"/>
    <w:basedOn w:val="1"/>
    <w:qFormat/>
    <w:uiPriority w:val="0"/>
    <w:pPr>
      <w:ind w:firstLine="480"/>
    </w:pPr>
    <w:rPr>
      <w:rFonts w:ascii="Times New Roman" w:hAnsi="Times New Roman"/>
      <w:sz w:val="24"/>
      <w:szCs w:val="24"/>
    </w:rPr>
  </w:style>
  <w:style w:type="paragraph" w:customStyle="1" w:styleId="621">
    <w:name w:val="List Paragraph"/>
    <w:basedOn w:val="1"/>
    <w:qFormat/>
    <w:uiPriority w:val="0"/>
    <w:pPr>
      <w:spacing w:line="240" w:lineRule="auto"/>
      <w:ind w:firstLine="420" w:firstLineChars="200"/>
    </w:pPr>
    <w:rPr>
      <w:rFonts w:eastAsia="楷体_GB2312"/>
      <w:sz w:val="24"/>
    </w:rPr>
  </w:style>
  <w:style w:type="paragraph" w:customStyle="1" w:styleId="622">
    <w:name w:val="_标题3"/>
    <w:basedOn w:val="1"/>
    <w:next w:val="1"/>
    <w:qFormat/>
    <w:uiPriority w:val="0"/>
    <w:pPr>
      <w:keepNext/>
      <w:keepLines/>
      <w:widowControl/>
      <w:tabs>
        <w:tab w:val="left" w:pos="720"/>
      </w:tabs>
      <w:spacing w:beforeLines="100" w:afterLines="100" w:line="480" w:lineRule="exact"/>
      <w:jc w:val="left"/>
      <w:outlineLvl w:val="2"/>
    </w:pPr>
    <w:rPr>
      <w:rFonts w:cs="Times New Roman"/>
      <w:b/>
      <w:sz w:val="32"/>
      <w:szCs w:val="28"/>
    </w:rPr>
  </w:style>
  <w:style w:type="paragraph" w:customStyle="1" w:styleId="623">
    <w:name w:val="正文缩进1"/>
    <w:basedOn w:val="1"/>
    <w:qFormat/>
    <w:uiPriority w:val="0"/>
    <w:pPr>
      <w:suppressAutoHyphens/>
      <w:spacing w:line="240" w:lineRule="auto"/>
      <w:ind w:firstLine="420"/>
    </w:pPr>
    <w:rPr>
      <w:rFonts w:ascii="Times New Roman" w:hAnsi="Times New Roman"/>
      <w:kern w:val="1"/>
      <w:lang w:eastAsia="ar-SA"/>
    </w:rPr>
  </w:style>
  <w:style w:type="paragraph" w:customStyle="1" w:styleId="624">
    <w:name w:val="Char Char Char1 Char Char Char Char2"/>
    <w:basedOn w:val="1"/>
    <w:qFormat/>
    <w:uiPriority w:val="0"/>
    <w:pPr>
      <w:widowControl/>
      <w:spacing w:after="160" w:line="240" w:lineRule="exact"/>
      <w:jc w:val="left"/>
    </w:pPr>
    <w:rPr>
      <w:szCs w:val="24"/>
    </w:rPr>
  </w:style>
  <w:style w:type="paragraph" w:customStyle="1" w:styleId="625">
    <w:name w:val="正文3"/>
    <w:uiPriority w:val="0"/>
    <w:pPr>
      <w:widowControl w:val="0"/>
      <w:jc w:val="both"/>
    </w:pPr>
    <w:rPr>
      <w:rFonts w:hint="eastAsia"/>
      <w:kern w:val="2"/>
      <w:sz w:val="21"/>
      <w:lang w:val="en-US" w:eastAsia="zh-CN" w:bidi="ar-SA"/>
    </w:rPr>
  </w:style>
  <w:style w:type="paragraph" w:customStyle="1" w:styleId="626">
    <w:name w:val="xl125"/>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27">
    <w:name w:val="正文 New New New New New New"/>
    <w:qFormat/>
    <w:uiPriority w:val="0"/>
    <w:pPr>
      <w:widowControl w:val="0"/>
      <w:jc w:val="both"/>
    </w:pPr>
    <w:rPr>
      <w:kern w:val="2"/>
      <w:sz w:val="21"/>
      <w:lang w:val="en-US" w:eastAsia="zh-CN" w:bidi="ar-SA"/>
    </w:rPr>
  </w:style>
  <w:style w:type="paragraph" w:customStyle="1" w:styleId="628">
    <w:name w:val="xl67"/>
    <w:basedOn w:val="1"/>
    <w:uiPriority w:val="0"/>
    <w:pPr>
      <w:widowControl/>
      <w:pBdr>
        <w:top w:val="single" w:color="000000" w:sz="4" w:space="0"/>
        <w:left w:val="single" w:color="000000" w:sz="4" w:space="0"/>
        <w:right w:val="single" w:color="000000" w:sz="4" w:space="0"/>
      </w:pBdr>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629">
    <w:name w:val="Char Char7 Char1"/>
    <w:basedOn w:val="1"/>
    <w:qFormat/>
    <w:uiPriority w:val="0"/>
    <w:pPr>
      <w:tabs>
        <w:tab w:val="left" w:pos="425"/>
      </w:tabs>
      <w:ind w:left="420" w:leftChars="200" w:firstLine="270" w:firstLineChars="150"/>
    </w:pPr>
    <w:rPr>
      <w:szCs w:val="24"/>
    </w:rPr>
  </w:style>
  <w:style w:type="paragraph" w:customStyle="1" w:styleId="630">
    <w:name w:val="Char Char1 Char Char Char Char1 Char Char Char"/>
    <w:basedOn w:val="1"/>
    <w:uiPriority w:val="0"/>
    <w:pPr>
      <w:adjustRightInd w:val="0"/>
      <w:spacing w:line="360" w:lineRule="atLeast"/>
      <w:textAlignment w:val="baseline"/>
    </w:pPr>
    <w:rPr>
      <w:rFonts w:ascii="Tahoma" w:hAnsi="Tahoma" w:cs="Times New Roman"/>
      <w:sz w:val="24"/>
    </w:rPr>
  </w:style>
  <w:style w:type="paragraph" w:customStyle="1" w:styleId="631">
    <w:name w:val="Char Char Char Char Char Char Char Char Char Char Char Char Char1"/>
    <w:basedOn w:val="1"/>
    <w:qFormat/>
    <w:uiPriority w:val="0"/>
    <w:pPr>
      <w:tabs>
        <w:tab w:val="left" w:pos="432"/>
      </w:tabs>
      <w:ind w:left="432" w:hanging="432"/>
    </w:pPr>
    <w:rPr>
      <w:rFonts w:ascii="Tahoma" w:hAnsi="Tahoma"/>
      <w:sz w:val="24"/>
    </w:rPr>
  </w:style>
  <w:style w:type="paragraph" w:customStyle="1" w:styleId="632">
    <w:name w:val="xl114"/>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633">
    <w:name w:val="Char Char12"/>
    <w:basedOn w:val="1"/>
    <w:qFormat/>
    <w:uiPriority w:val="0"/>
    <w:pPr>
      <w:spacing w:line="240" w:lineRule="auto"/>
    </w:pPr>
    <w:rPr>
      <w:szCs w:val="21"/>
    </w:rPr>
  </w:style>
  <w:style w:type="paragraph" w:customStyle="1" w:styleId="634">
    <w:name w:val="Char Char Char Char Char Char Char Char Char Char Char Char Char"/>
    <w:basedOn w:val="1"/>
    <w:qFormat/>
    <w:uiPriority w:val="0"/>
    <w:pPr>
      <w:tabs>
        <w:tab w:val="left" w:pos="432"/>
      </w:tabs>
      <w:ind w:left="432" w:hanging="432"/>
    </w:pPr>
    <w:rPr>
      <w:rFonts w:ascii="Tahoma" w:hAnsi="Tahoma"/>
      <w:sz w:val="24"/>
    </w:rPr>
  </w:style>
  <w:style w:type="paragraph" w:customStyle="1" w:styleId="635">
    <w:name w:val="华宇段落1"/>
    <w:basedOn w:val="1"/>
    <w:uiPriority w:val="0"/>
    <w:pPr>
      <w:ind w:firstLine="420" w:firstLineChars="175"/>
    </w:pPr>
    <w:rPr>
      <w:rFonts w:ascii="宋体" w:hAnsi="宋体"/>
      <w:kern w:val="0"/>
      <w:sz w:val="24"/>
    </w:rPr>
  </w:style>
  <w:style w:type="paragraph" w:customStyle="1" w:styleId="636">
    <w:name w:val="Char Char Char Char Char Char Char1"/>
    <w:basedOn w:val="1"/>
    <w:qFormat/>
    <w:uiPriority w:val="0"/>
    <w:pPr>
      <w:tabs>
        <w:tab w:val="left" w:pos="432"/>
      </w:tabs>
      <w:suppressAutoHyphens/>
      <w:spacing w:line="240" w:lineRule="auto"/>
      <w:ind w:left="432" w:hanging="432"/>
      <w:jc w:val="center"/>
    </w:pPr>
    <w:rPr>
      <w:rFonts w:ascii="Times New Roman" w:hAnsi="Times New Roman"/>
      <w:kern w:val="1"/>
      <w:szCs w:val="24"/>
      <w:lang w:eastAsia="ar-SA"/>
    </w:rPr>
  </w:style>
  <w:style w:type="paragraph" w:customStyle="1" w:styleId="637">
    <w:name w:val="正文1"/>
    <w:qFormat/>
    <w:uiPriority w:val="0"/>
    <w:pPr>
      <w:widowControl w:val="0"/>
      <w:jc w:val="both"/>
    </w:pPr>
    <w:rPr>
      <w:rFonts w:hint="eastAsia"/>
      <w:kern w:val="2"/>
      <w:sz w:val="21"/>
      <w:lang w:val="en-US" w:eastAsia="zh-CN" w:bidi="ar-SA"/>
    </w:rPr>
  </w:style>
  <w:style w:type="paragraph" w:customStyle="1" w:styleId="638">
    <w:name w:val="Definition Term"/>
    <w:basedOn w:val="1"/>
    <w:next w:val="1"/>
    <w:uiPriority w:val="0"/>
    <w:pPr>
      <w:widowControl/>
      <w:autoSpaceDE w:val="0"/>
      <w:autoSpaceDN w:val="0"/>
      <w:adjustRightInd w:val="0"/>
      <w:spacing w:line="240" w:lineRule="auto"/>
      <w:jc w:val="left"/>
    </w:pPr>
    <w:rPr>
      <w:rFonts w:ascii="Times New Roman" w:hAnsi="Times New Roman"/>
      <w:kern w:val="0"/>
      <w:sz w:val="20"/>
      <w:szCs w:val="24"/>
      <w:lang w:eastAsia="en-US"/>
    </w:rPr>
  </w:style>
  <w:style w:type="paragraph" w:customStyle="1" w:styleId="639">
    <w:name w:val="xl2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黑体" w:hAnsi="黑体" w:eastAsia="黑体"/>
      <w:kern w:val="0"/>
      <w:sz w:val="24"/>
      <w:szCs w:val="24"/>
    </w:rPr>
  </w:style>
  <w:style w:type="paragraph" w:customStyle="1" w:styleId="640">
    <w:name w:val="字元 字元"/>
    <w:basedOn w:val="1"/>
    <w:uiPriority w:val="0"/>
    <w:pPr>
      <w:widowControl/>
      <w:spacing w:after="160" w:line="240" w:lineRule="exact"/>
      <w:jc w:val="left"/>
    </w:pPr>
    <w:rPr>
      <w:rFonts w:ascii="Times New Roman" w:hAnsi="Times New Roman"/>
      <w:sz w:val="28"/>
    </w:rPr>
  </w:style>
  <w:style w:type="paragraph" w:customStyle="1" w:styleId="641">
    <w:name w:val="xl133"/>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642">
    <w:name w:val="xl11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643">
    <w:name w:val="xl132"/>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644">
    <w:name w:val="xl12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645">
    <w:name w:val="_Style 153"/>
    <w:next w:val="1"/>
    <w:uiPriority w:val="99"/>
    <w:pPr>
      <w:widowControl w:val="0"/>
      <w:jc w:val="both"/>
    </w:pPr>
    <w:rPr>
      <w:kern w:val="2"/>
      <w:sz w:val="21"/>
      <w:szCs w:val="24"/>
      <w:lang w:val="en-US" w:eastAsia="zh-CN" w:bidi="ar-SA"/>
    </w:rPr>
  </w:style>
  <w:style w:type="paragraph" w:customStyle="1" w:styleId="646">
    <w:name w:val="正文文字1"/>
    <w:basedOn w:val="19"/>
    <w:uiPriority w:val="0"/>
    <w:pPr>
      <w:spacing w:line="360" w:lineRule="atLeast"/>
      <w:ind w:left="72" w:leftChars="30" w:right="72" w:rightChars="30"/>
    </w:pPr>
    <w:rPr>
      <w:rFonts w:ascii="Times New Roman" w:hAnsi="Times New Roman" w:cs="Times New Roman"/>
      <w:kern w:val="0"/>
      <w:sz w:val="20"/>
    </w:rPr>
  </w:style>
  <w:style w:type="paragraph" w:customStyle="1" w:styleId="647">
    <w:name w:val="Char Char Char1 Char Char Char Char1"/>
    <w:basedOn w:val="1"/>
    <w:qFormat/>
    <w:uiPriority w:val="0"/>
    <w:pPr>
      <w:widowControl/>
      <w:spacing w:after="160" w:line="240" w:lineRule="exact"/>
      <w:jc w:val="left"/>
    </w:pPr>
    <w:rPr>
      <w:szCs w:val="24"/>
    </w:rPr>
  </w:style>
  <w:style w:type="paragraph" w:customStyle="1" w:styleId="648">
    <w:name w:val="xl104"/>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000000"/>
      <w:kern w:val="0"/>
      <w:sz w:val="16"/>
      <w:szCs w:val="16"/>
    </w:rPr>
  </w:style>
  <w:style w:type="paragraph" w:customStyle="1" w:styleId="649">
    <w:name w:val="xl83"/>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650">
    <w:name w:val="1 Char Char Char Char"/>
    <w:basedOn w:val="1"/>
    <w:qFormat/>
    <w:uiPriority w:val="0"/>
    <w:rPr>
      <w:rFonts w:ascii="Tahoma" w:hAnsi="Tahoma"/>
      <w:sz w:val="24"/>
    </w:rPr>
  </w:style>
  <w:style w:type="paragraph" w:customStyle="1" w:styleId="651">
    <w:name w:val="正文文字2"/>
    <w:basedOn w:val="19"/>
    <w:uiPriority w:val="0"/>
    <w:pPr>
      <w:spacing w:after="60" w:line="360" w:lineRule="atLeast"/>
      <w:ind w:left="72" w:leftChars="30" w:right="72" w:rightChars="30"/>
      <w:jc w:val="center"/>
    </w:pPr>
    <w:rPr>
      <w:rFonts w:ascii="Arial" w:hAnsi="Times New Roman" w:eastAsia="黑体" w:cs="Times New Roman"/>
      <w:kern w:val="0"/>
      <w:sz w:val="20"/>
    </w:rPr>
  </w:style>
  <w:style w:type="paragraph" w:customStyle="1" w:styleId="652">
    <w:name w:val="xl82"/>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653">
    <w:name w:val="Char"/>
    <w:basedOn w:val="1"/>
    <w:qFormat/>
    <w:uiPriority w:val="0"/>
    <w:pPr>
      <w:tabs>
        <w:tab w:val="left" w:pos="360"/>
      </w:tabs>
    </w:pPr>
    <w:rPr>
      <w:sz w:val="24"/>
      <w:szCs w:val="24"/>
    </w:rPr>
  </w:style>
  <w:style w:type="paragraph" w:customStyle="1" w:styleId="654">
    <w:name w:val="彩色列表 - 强调文字颜色 11"/>
    <w:basedOn w:val="1"/>
    <w:qFormat/>
    <w:uiPriority w:val="34"/>
    <w:pPr>
      <w:ind w:firstLine="420" w:firstLineChars="200"/>
    </w:pPr>
    <w:rPr>
      <w:szCs w:val="22"/>
    </w:rPr>
  </w:style>
  <w:style w:type="paragraph" w:customStyle="1" w:styleId="655">
    <w:name w:val="xl8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kern w:val="0"/>
      <w:sz w:val="16"/>
      <w:szCs w:val="16"/>
    </w:rPr>
  </w:style>
  <w:style w:type="paragraph" w:customStyle="1" w:styleId="656">
    <w:name w:val="f1"/>
    <w:basedOn w:val="1"/>
    <w:qFormat/>
    <w:uiPriority w:val="0"/>
    <w:pPr>
      <w:widowControl/>
      <w:spacing w:before="100" w:beforeAutospacing="1" w:after="100" w:afterAutospacing="1"/>
      <w:jc w:val="center"/>
    </w:pPr>
    <w:rPr>
      <w:rFonts w:ascii="Helvetica" w:hAnsi="Helvetica" w:cs="Helvetica"/>
      <w:b/>
      <w:bCs/>
      <w:color w:val="FF8080"/>
      <w:spacing w:val="160"/>
      <w:kern w:val="0"/>
      <w:sz w:val="80"/>
      <w:szCs w:val="80"/>
    </w:rPr>
  </w:style>
  <w:style w:type="paragraph" w:customStyle="1" w:styleId="657">
    <w:name w:val="_Style 49"/>
    <w:basedOn w:val="1"/>
    <w:next w:val="27"/>
    <w:qFormat/>
    <w:uiPriority w:val="0"/>
    <w:pPr>
      <w:suppressAutoHyphens/>
      <w:spacing w:line="240" w:lineRule="auto"/>
    </w:pPr>
    <w:rPr>
      <w:rFonts w:ascii="宋体" w:hAnsi="宋体" w:cs="Courier New"/>
      <w:kern w:val="1"/>
      <w:sz w:val="24"/>
      <w:lang w:eastAsia="ar-SA"/>
    </w:rPr>
  </w:style>
  <w:style w:type="paragraph" w:customStyle="1" w:styleId="658">
    <w:name w:val="保留正文"/>
    <w:basedOn w:val="1"/>
    <w:qFormat/>
    <w:uiPriority w:val="0"/>
    <w:pPr>
      <w:keepNext/>
      <w:adjustRightInd w:val="0"/>
      <w:spacing w:after="160" w:line="480" w:lineRule="auto"/>
      <w:textAlignment w:val="baseline"/>
    </w:pPr>
    <w:rPr>
      <w:rFonts w:ascii="宋体"/>
      <w:kern w:val="0"/>
      <w:sz w:val="24"/>
    </w:rPr>
  </w:style>
  <w:style w:type="paragraph" w:customStyle="1" w:styleId="659">
    <w:name w:val="_标题7"/>
    <w:basedOn w:val="1"/>
    <w:next w:val="1"/>
    <w:qFormat/>
    <w:uiPriority w:val="0"/>
    <w:pPr>
      <w:keepNext/>
      <w:keepLines/>
      <w:widowControl/>
      <w:tabs>
        <w:tab w:val="left" w:pos="1296"/>
      </w:tabs>
      <w:spacing w:beforeLines="50" w:afterLines="50" w:line="480" w:lineRule="exact"/>
      <w:ind w:left="1476" w:leftChars="200" w:hanging="1276" w:firstLineChars="200"/>
      <w:jc w:val="left"/>
      <w:outlineLvl w:val="6"/>
    </w:pPr>
    <w:rPr>
      <w:rFonts w:cs="Times New Roman"/>
      <w:b/>
      <w:sz w:val="24"/>
      <w:szCs w:val="28"/>
    </w:rPr>
  </w:style>
  <w:style w:type="paragraph" w:customStyle="1" w:styleId="660">
    <w:name w:val="xl2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b/>
      <w:bCs/>
      <w:kern w:val="0"/>
      <w:sz w:val="24"/>
      <w:szCs w:val="24"/>
    </w:rPr>
  </w:style>
  <w:style w:type="paragraph" w:customStyle="1" w:styleId="661">
    <w:name w:val="_Style 204"/>
    <w:qFormat/>
    <w:uiPriority w:val="99"/>
    <w:pPr>
      <w:widowControl w:val="0"/>
      <w:spacing w:line="360" w:lineRule="auto"/>
      <w:jc w:val="both"/>
    </w:pPr>
    <w:rPr>
      <w:kern w:val="2"/>
      <w:sz w:val="21"/>
      <w:lang w:val="en-US" w:eastAsia="zh-CN" w:bidi="ar-SA"/>
    </w:rPr>
  </w:style>
  <w:style w:type="paragraph" w:customStyle="1" w:styleId="662">
    <w:name w:val="字元 字元1"/>
    <w:basedOn w:val="1"/>
    <w:qFormat/>
    <w:uiPriority w:val="0"/>
    <w:pPr>
      <w:widowControl/>
      <w:spacing w:after="160" w:line="240" w:lineRule="exact"/>
      <w:jc w:val="left"/>
    </w:pPr>
    <w:rPr>
      <w:rFonts w:ascii="Times New Roman" w:hAnsi="Times New Roman"/>
      <w:sz w:val="28"/>
    </w:rPr>
  </w:style>
  <w:style w:type="paragraph" w:customStyle="1" w:styleId="663">
    <w:name w:val="Char Char4"/>
    <w:basedOn w:val="1"/>
    <w:uiPriority w:val="0"/>
    <w:pPr>
      <w:widowControl/>
      <w:spacing w:after="160" w:line="240" w:lineRule="exact"/>
      <w:jc w:val="left"/>
    </w:pPr>
    <w:rPr>
      <w:rFonts w:ascii="Times New Roman" w:hAnsi="Times New Roman"/>
      <w:sz w:val="28"/>
    </w:rPr>
  </w:style>
  <w:style w:type="paragraph" w:customStyle="1" w:styleId="664">
    <w:name w:val="xl71"/>
    <w:basedOn w:val="1"/>
    <w:uiPriority w:val="0"/>
    <w:pPr>
      <w:widowControl/>
      <w:shd w:val="clear" w:color="000000" w:fill="FFFFFF"/>
      <w:spacing w:before="100" w:beforeAutospacing="1" w:after="100" w:afterAutospacing="1" w:line="240" w:lineRule="auto"/>
      <w:jc w:val="right"/>
    </w:pPr>
    <w:rPr>
      <w:rFonts w:ascii="宋体" w:hAnsi="宋体"/>
      <w:color w:val="000000"/>
      <w:kern w:val="0"/>
      <w:sz w:val="18"/>
      <w:szCs w:val="18"/>
    </w:rPr>
  </w:style>
  <w:style w:type="paragraph" w:customStyle="1" w:styleId="665">
    <w:name w:val="p19"/>
    <w:basedOn w:val="1"/>
    <w:qFormat/>
    <w:uiPriority w:val="0"/>
    <w:pPr>
      <w:widowControl/>
      <w:spacing w:line="300" w:lineRule="auto"/>
      <w:jc w:val="left"/>
    </w:pPr>
    <w:rPr>
      <w:rFonts w:ascii="Arial" w:hAnsi="Arial" w:cs="Arial"/>
      <w:kern w:val="0"/>
      <w:szCs w:val="21"/>
    </w:rPr>
  </w:style>
  <w:style w:type="paragraph" w:customStyle="1" w:styleId="666">
    <w:name w:val="Char Char Char1"/>
    <w:basedOn w:val="1"/>
    <w:uiPriority w:val="0"/>
    <w:pPr>
      <w:spacing w:line="240" w:lineRule="auto"/>
    </w:pPr>
    <w:rPr>
      <w:rFonts w:ascii="Times New Roman" w:hAnsi="Times New Roman" w:eastAsia="Times New Roman"/>
    </w:rPr>
  </w:style>
  <w:style w:type="paragraph" w:customStyle="1" w:styleId="667">
    <w:name w:val="xl79"/>
    <w:basedOn w:val="1"/>
    <w:uiPriority w:val="0"/>
    <w:pPr>
      <w:widowControl/>
      <w:pBdr>
        <w:top w:val="single" w:color="000000" w:sz="4" w:space="0"/>
        <w:left w:val="single" w:color="000000" w:sz="4" w:space="0"/>
        <w:bottom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668">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b/>
      <w:bCs/>
      <w:color w:val="000000"/>
      <w:kern w:val="0"/>
      <w:sz w:val="24"/>
      <w:szCs w:val="24"/>
    </w:rPr>
  </w:style>
  <w:style w:type="paragraph" w:customStyle="1" w:styleId="669">
    <w:name w:val="xl26"/>
    <w:basedOn w:val="1"/>
    <w:uiPriority w:val="0"/>
    <w:pPr>
      <w:widowControl/>
      <w:spacing w:before="100" w:beforeAutospacing="1" w:after="100" w:afterAutospacing="1" w:line="240" w:lineRule="auto"/>
      <w:jc w:val="center"/>
    </w:pPr>
    <w:rPr>
      <w:rFonts w:ascii="仿宋_GB2312" w:hAnsi="宋体" w:eastAsia="仿宋_GB2312" w:cs="Times New Roman"/>
      <w:b/>
      <w:bCs/>
      <w:kern w:val="0"/>
      <w:sz w:val="24"/>
      <w:szCs w:val="24"/>
    </w:rPr>
  </w:style>
  <w:style w:type="paragraph" w:customStyle="1" w:styleId="670">
    <w:name w:val="xl74"/>
    <w:basedOn w:val="1"/>
    <w:uiPriority w:val="0"/>
    <w:pPr>
      <w:widowControl/>
      <w:shd w:val="clear" w:color="000000" w:fill="FFFFFF"/>
      <w:spacing w:before="100" w:beforeAutospacing="1" w:after="100" w:afterAutospacing="1" w:line="240" w:lineRule="auto"/>
      <w:jc w:val="left"/>
      <w:textAlignment w:val="center"/>
    </w:pPr>
    <w:rPr>
      <w:rFonts w:ascii="宋体" w:hAnsi="宋体"/>
      <w:color w:val="000000"/>
      <w:kern w:val="0"/>
      <w:sz w:val="18"/>
      <w:szCs w:val="18"/>
    </w:rPr>
  </w:style>
  <w:style w:type="paragraph" w:customStyle="1" w:styleId="671">
    <w:name w:val="Char3"/>
    <w:basedOn w:val="1"/>
    <w:qFormat/>
    <w:uiPriority w:val="0"/>
    <w:pPr>
      <w:tabs>
        <w:tab w:val="left" w:pos="360"/>
      </w:tabs>
    </w:pPr>
    <w:rPr>
      <w:sz w:val="24"/>
      <w:szCs w:val="24"/>
    </w:rPr>
  </w:style>
  <w:style w:type="paragraph" w:customStyle="1" w:styleId="672">
    <w:name w:val="模板普通正文"/>
    <w:basedOn w:val="20"/>
    <w:uiPriority w:val="0"/>
    <w:pPr>
      <w:spacing w:beforeLines="50" w:after="10"/>
      <w:ind w:firstLine="490" w:firstLineChars="175"/>
      <w:jc w:val="left"/>
    </w:pPr>
    <w:rPr>
      <w:rFonts w:ascii="Times New Roman" w:hAnsi="Times New Roman"/>
      <w:sz w:val="24"/>
      <w:szCs w:val="20"/>
    </w:rPr>
  </w:style>
  <w:style w:type="paragraph" w:customStyle="1" w:styleId="673">
    <w:name w:val="表格格式"/>
    <w:basedOn w:val="1"/>
    <w:qFormat/>
    <w:uiPriority w:val="0"/>
    <w:pPr>
      <w:adjustRightInd w:val="0"/>
      <w:spacing w:line="240" w:lineRule="auto"/>
      <w:jc w:val="left"/>
    </w:pPr>
    <w:rPr>
      <w:rFonts w:ascii="仿宋" w:hAnsi="仿宋" w:eastAsia="仿宋" w:cs="仿宋"/>
      <w:sz w:val="24"/>
      <w:szCs w:val="24"/>
    </w:rPr>
  </w:style>
  <w:style w:type="paragraph" w:customStyle="1" w:styleId="674">
    <w:name w:val="表内文字"/>
    <w:basedOn w:val="1"/>
    <w:qFormat/>
    <w:uiPriority w:val="0"/>
    <w:pPr>
      <w:tabs>
        <w:tab w:val="left" w:pos="1418"/>
      </w:tabs>
      <w:jc w:val="center"/>
    </w:pPr>
    <w:rPr>
      <w:rFonts w:ascii="仿宋_GB2312" w:eastAsia="仿宋_GB2312"/>
      <w:spacing w:val="-20"/>
      <w:kern w:val="0"/>
      <w:sz w:val="24"/>
      <w:szCs w:val="24"/>
    </w:rPr>
  </w:style>
  <w:style w:type="paragraph" w:customStyle="1" w:styleId="675">
    <w:name w:val="样式 楷体_GB2312 小四 Char Char Char Char Char Char Char Char Char Char Char Char"/>
    <w:basedOn w:val="1"/>
    <w:next w:val="1"/>
    <w:uiPriority w:val="0"/>
    <w:rPr>
      <w:rFonts w:ascii="楷体_GB2312" w:hAnsi="Times New Roman" w:eastAsia="楷体_GB2312" w:cs="Times New Roman"/>
      <w:sz w:val="24"/>
      <w:szCs w:val="24"/>
    </w:rPr>
  </w:style>
  <w:style w:type="paragraph" w:customStyle="1" w:styleId="676">
    <w:name w:val="list-blue check"/>
    <w:basedOn w:val="1"/>
    <w:uiPriority w:val="0"/>
    <w:pPr>
      <w:tabs>
        <w:tab w:val="left" w:pos="420"/>
        <w:tab w:val="left" w:pos="780"/>
      </w:tabs>
      <w:overflowPunct w:val="0"/>
      <w:autoSpaceDE w:val="0"/>
      <w:autoSpaceDN w:val="0"/>
      <w:adjustRightInd w:val="0"/>
      <w:spacing w:line="336" w:lineRule="auto"/>
      <w:ind w:left="780" w:hanging="420"/>
      <w:jc w:val="left"/>
    </w:pPr>
    <w:rPr>
      <w:rFonts w:eastAsia="微软雅黑"/>
      <w:kern w:val="0"/>
      <w:sz w:val="20"/>
    </w:rPr>
  </w:style>
  <w:style w:type="paragraph" w:customStyle="1" w:styleId="677">
    <w:name w:val="列出段落12"/>
    <w:basedOn w:val="1"/>
    <w:qFormat/>
    <w:uiPriority w:val="0"/>
    <w:pPr>
      <w:widowControl/>
      <w:spacing w:after="200" w:line="276" w:lineRule="auto"/>
      <w:ind w:left="720"/>
      <w:contextualSpacing/>
      <w:jc w:val="left"/>
    </w:pPr>
    <w:rPr>
      <w:kern w:val="0"/>
      <w:sz w:val="22"/>
      <w:lang w:val="tr-TR" w:eastAsia="en-US"/>
    </w:rPr>
  </w:style>
  <w:style w:type="paragraph" w:customStyle="1" w:styleId="678">
    <w:name w:val="节标题"/>
    <w:basedOn w:val="1"/>
    <w:next w:val="1"/>
    <w:uiPriority w:val="0"/>
    <w:pPr>
      <w:widowControl/>
      <w:spacing w:line="289" w:lineRule="atLeast"/>
      <w:jc w:val="center"/>
      <w:textAlignment w:val="baseline"/>
    </w:pPr>
    <w:rPr>
      <w:rFonts w:ascii="Times New Roman" w:hAnsi="Times New Roman" w:cs="Times New Roman"/>
      <w:color w:val="000000"/>
      <w:kern w:val="0"/>
      <w:sz w:val="28"/>
      <w:u w:val="none" w:color="000000"/>
    </w:rPr>
  </w:style>
  <w:style w:type="paragraph" w:customStyle="1" w:styleId="679">
    <w:name w:val="标准正文"/>
    <w:basedOn w:val="1"/>
    <w:qFormat/>
    <w:uiPriority w:val="0"/>
    <w:pPr>
      <w:ind w:firstLine="200" w:firstLineChars="200"/>
    </w:pPr>
    <w:rPr>
      <w:sz w:val="24"/>
    </w:rPr>
  </w:style>
  <w:style w:type="paragraph" w:customStyle="1" w:styleId="680">
    <w:name w:val="p0"/>
    <w:basedOn w:val="1"/>
    <w:qFormat/>
    <w:uiPriority w:val="0"/>
    <w:pPr>
      <w:widowControl/>
      <w:spacing w:before="100" w:beforeAutospacing="1" w:after="100" w:afterAutospacing="1" w:line="240" w:lineRule="auto"/>
      <w:jc w:val="left"/>
    </w:pPr>
    <w:rPr>
      <w:rFonts w:ascii="宋体" w:hAnsi="宋体"/>
      <w:kern w:val="0"/>
      <w:sz w:val="24"/>
    </w:rPr>
  </w:style>
  <w:style w:type="paragraph" w:customStyle="1" w:styleId="681">
    <w:name w:val="xl81"/>
    <w:basedOn w:val="1"/>
    <w:uiPriority w:val="0"/>
    <w:pPr>
      <w:widowControl/>
      <w:pBdr>
        <w:top w:val="single" w:color="000000" w:sz="4" w:space="0"/>
        <w:left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682">
    <w:name w:val="纯文本11"/>
    <w:basedOn w:val="1"/>
    <w:qFormat/>
    <w:uiPriority w:val="0"/>
    <w:pPr>
      <w:adjustRightInd w:val="0"/>
      <w:spacing w:line="240" w:lineRule="auto"/>
      <w:textAlignment w:val="baseline"/>
    </w:pPr>
    <w:rPr>
      <w:rFonts w:ascii="宋体" w:hAnsi="Courier New" w:eastAsia="楷体_GB2312"/>
      <w:sz w:val="26"/>
    </w:rPr>
  </w:style>
  <w:style w:type="paragraph" w:customStyle="1" w:styleId="683">
    <w:name w:val="纯文本1"/>
    <w:basedOn w:val="1"/>
    <w:qFormat/>
    <w:uiPriority w:val="0"/>
    <w:pPr>
      <w:adjustRightInd w:val="0"/>
      <w:textAlignment w:val="baseline"/>
    </w:pPr>
    <w:rPr>
      <w:rFonts w:ascii="宋体" w:hAnsi="Courier New" w:eastAsia="楷体_GB2312"/>
      <w:sz w:val="26"/>
    </w:rPr>
  </w:style>
  <w:style w:type="paragraph" w:customStyle="1" w:styleId="684">
    <w:name w:val="xl73"/>
    <w:basedOn w:val="1"/>
    <w:uiPriority w:val="0"/>
    <w:pPr>
      <w:widowControl/>
      <w:shd w:val="clear" w:color="000000" w:fill="FFFFFF"/>
      <w:spacing w:before="100" w:beforeAutospacing="1" w:after="100" w:afterAutospacing="1" w:line="240" w:lineRule="auto"/>
      <w:jc w:val="center"/>
      <w:textAlignment w:val="center"/>
    </w:pPr>
    <w:rPr>
      <w:rFonts w:ascii="宋体" w:hAnsi="宋体"/>
      <w:b/>
      <w:bCs/>
      <w:color w:val="000000"/>
      <w:kern w:val="0"/>
      <w:sz w:val="40"/>
      <w:szCs w:val="40"/>
    </w:rPr>
  </w:style>
  <w:style w:type="paragraph" w:customStyle="1" w:styleId="685">
    <w:name w:val="Char Char Char Char Char Char Char"/>
    <w:basedOn w:val="1"/>
    <w:qFormat/>
    <w:uiPriority w:val="0"/>
    <w:rPr>
      <w:szCs w:val="21"/>
    </w:rPr>
  </w:style>
  <w:style w:type="paragraph" w:customStyle="1" w:styleId="686">
    <w:name w:val="标题 72"/>
    <w:basedOn w:val="1"/>
    <w:next w:val="1"/>
    <w:uiPriority w:val="0"/>
    <w:pPr>
      <w:keepNext/>
      <w:keepLines/>
      <w:tabs>
        <w:tab w:val="left" w:pos="1296"/>
        <w:tab w:val="left" w:pos="3480"/>
      </w:tabs>
      <w:spacing w:before="240" w:after="64" w:line="317" w:lineRule="auto"/>
      <w:ind w:left="3480" w:hanging="420"/>
      <w:textAlignment w:val="baseline"/>
      <w:outlineLvl w:val="6"/>
    </w:pPr>
    <w:rPr>
      <w:rFonts w:ascii="Arial" w:hAnsi="Times New Roman"/>
      <w:b/>
      <w:sz w:val="24"/>
      <w:szCs w:val="24"/>
    </w:rPr>
  </w:style>
  <w:style w:type="paragraph" w:customStyle="1" w:styleId="687">
    <w:name w:val="_Style 16"/>
    <w:uiPriority w:val="0"/>
    <w:pPr>
      <w:widowControl w:val="0"/>
      <w:jc w:val="both"/>
    </w:pPr>
    <w:rPr>
      <w:rFonts w:cs="黑体"/>
      <w:kern w:val="2"/>
      <w:sz w:val="21"/>
      <w:szCs w:val="22"/>
      <w:lang w:val="en-US" w:eastAsia="zh-CN" w:bidi="ar-SA"/>
    </w:rPr>
  </w:style>
  <w:style w:type="paragraph" w:customStyle="1" w:styleId="688">
    <w:name w:val="xl96"/>
    <w:basedOn w:val="1"/>
    <w:uiPriority w:val="0"/>
    <w:pPr>
      <w:widowControl/>
      <w:pBdr>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689">
    <w:name w:val="xl137"/>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微软雅黑" w:hAnsi="微软雅黑" w:eastAsia="微软雅黑"/>
      <w:b/>
      <w:bCs/>
      <w:kern w:val="0"/>
      <w:sz w:val="20"/>
    </w:rPr>
  </w:style>
  <w:style w:type="paragraph" w:customStyle="1" w:styleId="690">
    <w:name w:val="xl8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b/>
      <w:bCs/>
      <w:kern w:val="0"/>
      <w:sz w:val="20"/>
    </w:rPr>
  </w:style>
  <w:style w:type="paragraph" w:customStyle="1" w:styleId="691">
    <w:name w:val="xl2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kern w:val="0"/>
      <w:sz w:val="24"/>
      <w:szCs w:val="24"/>
    </w:rPr>
  </w:style>
  <w:style w:type="paragraph" w:customStyle="1" w:styleId="692">
    <w:name w:val="xl11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693">
    <w:name w:val="Table Paragraph"/>
    <w:basedOn w:val="1"/>
    <w:qFormat/>
    <w:uiPriority w:val="0"/>
    <w:pPr>
      <w:spacing w:line="240" w:lineRule="auto"/>
    </w:pPr>
    <w:rPr>
      <w:rFonts w:ascii="宋体" w:hAnsi="宋体"/>
      <w:szCs w:val="24"/>
    </w:rPr>
  </w:style>
  <w:style w:type="paragraph" w:customStyle="1" w:styleId="694">
    <w:name w:val="默认段落字体 Para Char Char Char Char Char Char Char Char Char1 Char"/>
    <w:basedOn w:val="1"/>
    <w:uiPriority w:val="0"/>
    <w:pPr>
      <w:spacing w:line="240" w:lineRule="auto"/>
    </w:pPr>
    <w:rPr>
      <w:rFonts w:ascii="Tahoma" w:hAnsi="Tahoma"/>
      <w:sz w:val="24"/>
    </w:rPr>
  </w:style>
  <w:style w:type="paragraph" w:customStyle="1" w:styleId="695">
    <w:name w:val="xl9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696">
    <w:name w:val="Char Char Char Char"/>
    <w:basedOn w:val="1"/>
    <w:uiPriority w:val="0"/>
    <w:pPr>
      <w:widowControl/>
      <w:spacing w:line="240" w:lineRule="auto"/>
      <w:jc w:val="left"/>
    </w:pPr>
    <w:rPr>
      <w:rFonts w:ascii="Times New Roman" w:hAnsi="Times New Roman" w:cs="Times New Roman"/>
      <w:kern w:val="0"/>
      <w:sz w:val="24"/>
      <w:szCs w:val="24"/>
    </w:rPr>
  </w:style>
  <w:style w:type="paragraph" w:customStyle="1" w:styleId="697">
    <w:name w:val="纯文本 New New New New New New New New New New New New"/>
    <w:next w:val="1"/>
    <w:uiPriority w:val="0"/>
    <w:pPr>
      <w:widowControl w:val="0"/>
      <w:jc w:val="both"/>
    </w:pPr>
    <w:rPr>
      <w:kern w:val="2"/>
      <w:sz w:val="24"/>
      <w:lang w:val="en-US" w:eastAsia="zh-CN" w:bidi="ar-SA"/>
    </w:rPr>
  </w:style>
  <w:style w:type="paragraph" w:customStyle="1" w:styleId="698">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699">
    <w:name w:val="_Style 81"/>
    <w:uiPriority w:val="0"/>
    <w:pPr>
      <w:widowControl w:val="0"/>
      <w:jc w:val="both"/>
    </w:pPr>
    <w:rPr>
      <w:rFonts w:cs="黑体"/>
      <w:kern w:val="2"/>
      <w:sz w:val="21"/>
      <w:szCs w:val="22"/>
      <w:lang w:val="en-US" w:eastAsia="zh-CN" w:bidi="ar-SA"/>
    </w:rPr>
  </w:style>
  <w:style w:type="paragraph" w:customStyle="1" w:styleId="700">
    <w:name w:val="列出段落3"/>
    <w:basedOn w:val="1"/>
    <w:qFormat/>
    <w:uiPriority w:val="34"/>
    <w:pPr>
      <w:ind w:firstLine="420" w:firstLineChars="200"/>
    </w:pPr>
    <w:rPr>
      <w:szCs w:val="24"/>
    </w:rPr>
  </w:style>
  <w:style w:type="paragraph" w:customStyle="1" w:styleId="701">
    <w:name w:val="introcss2"/>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702">
    <w:name w:val="Char41"/>
    <w:basedOn w:val="3"/>
    <w:qFormat/>
    <w:uiPriority w:val="0"/>
    <w:pPr>
      <w:keepNext/>
      <w:keepLines/>
      <w:snapToGrid w:val="0"/>
      <w:spacing w:before="240" w:after="240" w:line="348" w:lineRule="auto"/>
      <w:textAlignment w:val="auto"/>
    </w:pPr>
    <w:rPr>
      <w:bCs/>
      <w:kern w:val="44"/>
      <w:sz w:val="32"/>
      <w:szCs w:val="44"/>
    </w:rPr>
  </w:style>
  <w:style w:type="paragraph" w:customStyle="1" w:styleId="703">
    <w:name w:val="普通(网站)1"/>
    <w:basedOn w:val="1"/>
    <w:uiPriority w:val="0"/>
    <w:pPr>
      <w:spacing w:before="100" w:beforeAutospacing="1" w:after="100" w:afterAutospacing="1" w:line="240" w:lineRule="auto"/>
    </w:pPr>
    <w:rPr>
      <w:rFonts w:hint="eastAsia" w:ascii="Times New Roman" w:hAnsi="Times New Roman" w:cs="Times New Roman"/>
      <w:szCs w:val="24"/>
    </w:rPr>
  </w:style>
  <w:style w:type="paragraph" w:customStyle="1" w:styleId="704">
    <w:name w:val="纯文本2"/>
    <w:basedOn w:val="1"/>
    <w:qFormat/>
    <w:uiPriority w:val="0"/>
    <w:pPr>
      <w:adjustRightInd w:val="0"/>
      <w:textAlignment w:val="baseline"/>
    </w:pPr>
    <w:rPr>
      <w:rFonts w:ascii="宋体" w:hAnsi="Courier New" w:eastAsia="楷体_GB2312"/>
      <w:sz w:val="26"/>
    </w:rPr>
  </w:style>
  <w:style w:type="paragraph" w:customStyle="1" w:styleId="705">
    <w:name w:val="xl2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宋体" w:hAnsi="宋体"/>
      <w:color w:val="FF0000"/>
      <w:kern w:val="0"/>
      <w:sz w:val="24"/>
      <w:szCs w:val="24"/>
    </w:rPr>
  </w:style>
  <w:style w:type="paragraph" w:customStyle="1" w:styleId="706">
    <w:name w:val="Char Char Char Char Char Char21"/>
    <w:basedOn w:val="1"/>
    <w:qFormat/>
    <w:uiPriority w:val="0"/>
    <w:pPr>
      <w:ind w:firstLine="200" w:firstLineChars="200"/>
    </w:pPr>
    <w:rPr>
      <w:rFonts w:ascii="Tahoma" w:hAnsi="Tahoma" w:cs="Tahoma"/>
      <w:sz w:val="24"/>
      <w:szCs w:val="24"/>
    </w:rPr>
  </w:style>
  <w:style w:type="paragraph" w:customStyle="1" w:styleId="707">
    <w:name w:val="缺省文本"/>
    <w:uiPriority w:val="0"/>
    <w:pPr>
      <w:autoSpaceDE w:val="0"/>
      <w:autoSpaceDN w:val="0"/>
      <w:adjustRightInd w:val="0"/>
      <w:spacing w:line="300" w:lineRule="auto"/>
      <w:ind w:firstLine="200" w:firstLineChars="200"/>
    </w:pPr>
    <w:rPr>
      <w:rFonts w:eastAsia="Times New Roman"/>
      <w:sz w:val="24"/>
      <w:lang w:val="en-US" w:eastAsia="zh-CN" w:bidi="ar-SA"/>
    </w:rPr>
  </w:style>
  <w:style w:type="paragraph" w:customStyle="1" w:styleId="708">
    <w:name w:val="Char Char Char1 Char Char Char Char11"/>
    <w:basedOn w:val="1"/>
    <w:qFormat/>
    <w:uiPriority w:val="0"/>
    <w:pPr>
      <w:widowControl/>
      <w:spacing w:after="160" w:line="240" w:lineRule="exact"/>
      <w:jc w:val="left"/>
    </w:pPr>
    <w:rPr>
      <w:szCs w:val="24"/>
    </w:rPr>
  </w:style>
  <w:style w:type="paragraph" w:customStyle="1" w:styleId="709">
    <w:name w:val="列表内容"/>
    <w:basedOn w:val="1"/>
    <w:next w:val="1"/>
    <w:uiPriority w:val="0"/>
    <w:pPr>
      <w:widowControl/>
      <w:tabs>
        <w:tab w:val="left" w:pos="720"/>
        <w:tab w:val="left" w:pos="840"/>
      </w:tabs>
      <w:spacing w:line="240" w:lineRule="auto"/>
      <w:ind w:left="720" w:hanging="720"/>
      <w:jc w:val="left"/>
    </w:pPr>
    <w:rPr>
      <w:rFonts w:ascii="Times New Roman" w:hAnsi="Times New Roman" w:cs="Times New Roman"/>
      <w:kern w:val="0"/>
      <w:sz w:val="18"/>
    </w:rPr>
  </w:style>
  <w:style w:type="paragraph" w:customStyle="1" w:styleId="710">
    <w:name w:val="xl121"/>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711">
    <w:name w:val="金保文档标准正文 Char"/>
    <w:basedOn w:val="1"/>
    <w:uiPriority w:val="0"/>
    <w:pPr>
      <w:ind w:firstLine="480" w:firstLineChars="200"/>
      <w:jc w:val="left"/>
    </w:pPr>
    <w:rPr>
      <w:rFonts w:ascii="Times New Roman" w:hAnsi="Times New Roman"/>
      <w:szCs w:val="24"/>
    </w:rPr>
  </w:style>
  <w:style w:type="paragraph" w:customStyle="1" w:styleId="712">
    <w:name w:val="TOC 标题2"/>
    <w:basedOn w:val="3"/>
    <w:next w:val="1"/>
    <w:qFormat/>
    <w:uiPriority w:val="39"/>
    <w:pPr>
      <w:keepNext/>
      <w:keepLines/>
      <w:widowControl/>
      <w:adjustRightInd/>
      <w:spacing w:before="480" w:line="276" w:lineRule="auto"/>
      <w:textAlignment w:val="auto"/>
      <w:outlineLvl w:val="9"/>
    </w:pPr>
    <w:rPr>
      <w:rFonts w:ascii="Cambria" w:hAnsi="Cambria"/>
      <w:b w:val="0"/>
      <w:bCs/>
      <w:color w:val="365F91"/>
      <w:sz w:val="28"/>
      <w:szCs w:val="28"/>
    </w:rPr>
  </w:style>
  <w:style w:type="paragraph" w:customStyle="1" w:styleId="713">
    <w:name w:val="xl9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714">
    <w:name w:val="列出段落2"/>
    <w:basedOn w:val="1"/>
    <w:qFormat/>
    <w:uiPriority w:val="0"/>
    <w:pPr>
      <w:spacing w:line="240" w:lineRule="auto"/>
      <w:ind w:firstLine="420" w:firstLineChars="200"/>
    </w:pPr>
    <w:rPr>
      <w:szCs w:val="24"/>
    </w:rPr>
  </w:style>
  <w:style w:type="paragraph" w:customStyle="1" w:styleId="715">
    <w:name w:val="xl65"/>
    <w:basedOn w:val="1"/>
    <w:uiPriority w:val="0"/>
    <w:pPr>
      <w:widowControl/>
      <w:pBdr>
        <w:top w:val="single" w:color="000000" w:sz="4" w:space="0"/>
        <w:right w:val="single" w:color="000000" w:sz="4" w:space="0"/>
      </w:pBdr>
      <w:spacing w:before="100" w:beforeAutospacing="1" w:after="100" w:afterAutospacing="1" w:line="240" w:lineRule="auto"/>
      <w:jc w:val="left"/>
    </w:pPr>
    <w:rPr>
      <w:rFonts w:ascii="宋体" w:hAnsi="宋体"/>
      <w:kern w:val="0"/>
      <w:sz w:val="24"/>
      <w:szCs w:val="24"/>
    </w:rPr>
  </w:style>
  <w:style w:type="paragraph" w:customStyle="1" w:styleId="716">
    <w:name w:val="xl9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color w:val="FF0000"/>
      <w:kern w:val="0"/>
      <w:sz w:val="16"/>
      <w:szCs w:val="16"/>
    </w:rPr>
  </w:style>
  <w:style w:type="paragraph" w:customStyle="1" w:styleId="717">
    <w:name w:val="正文文本缩进 31"/>
    <w:basedOn w:val="1"/>
    <w:uiPriority w:val="0"/>
    <w:pPr>
      <w:spacing w:after="120" w:line="240" w:lineRule="auto"/>
      <w:ind w:left="420" w:leftChars="200"/>
    </w:pPr>
    <w:rPr>
      <w:rFonts w:ascii="Times New Roman" w:hAnsi="Times New Roman" w:eastAsia="Times New Roman"/>
      <w:sz w:val="16"/>
      <w:szCs w:val="16"/>
    </w:rPr>
  </w:style>
  <w:style w:type="paragraph" w:customStyle="1" w:styleId="718">
    <w:name w:val="列出段落121"/>
    <w:basedOn w:val="1"/>
    <w:qFormat/>
    <w:uiPriority w:val="34"/>
    <w:pPr>
      <w:widowControl/>
      <w:spacing w:after="200" w:line="276" w:lineRule="auto"/>
      <w:ind w:left="720"/>
      <w:contextualSpacing/>
      <w:jc w:val="left"/>
    </w:pPr>
    <w:rPr>
      <w:kern w:val="0"/>
      <w:sz w:val="22"/>
      <w:lang w:val="tr-TR" w:eastAsia="en-US"/>
    </w:rPr>
  </w:style>
  <w:style w:type="paragraph" w:customStyle="1" w:styleId="719">
    <w:name w:val="xl95"/>
    <w:basedOn w:val="1"/>
    <w:uiPriority w:val="0"/>
    <w:pPr>
      <w:widowControl/>
      <w:pBdr>
        <w:top w:val="single" w:color="auto" w:sz="4" w:space="0"/>
        <w:left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720">
    <w:name w:val="xl78"/>
    <w:basedOn w:val="1"/>
    <w:uiPriority w:val="0"/>
    <w:pPr>
      <w:widowControl/>
      <w:pBdr>
        <w:top w:val="single" w:color="000000" w:sz="4" w:space="0"/>
        <w:left w:val="single" w:color="000000" w:sz="4" w:space="0"/>
        <w:bottom w:val="single" w:color="000000" w:sz="4" w:space="0"/>
      </w:pBdr>
      <w:shd w:val="clear" w:color="000000" w:fill="FFFFFF"/>
      <w:spacing w:before="100" w:beforeAutospacing="1" w:after="100" w:afterAutospacing="1" w:line="240" w:lineRule="auto"/>
      <w:jc w:val="right"/>
      <w:textAlignment w:val="center"/>
    </w:pPr>
    <w:rPr>
      <w:rFonts w:ascii="宋体" w:hAnsi="宋体"/>
      <w:color w:val="000000"/>
      <w:kern w:val="0"/>
      <w:sz w:val="18"/>
      <w:szCs w:val="18"/>
    </w:rPr>
  </w:style>
  <w:style w:type="paragraph" w:customStyle="1" w:styleId="721">
    <w:name w:val="正文 New New New New New New New New New New New New New New"/>
    <w:uiPriority w:val="0"/>
    <w:pPr>
      <w:widowControl w:val="0"/>
      <w:jc w:val="both"/>
    </w:pPr>
    <w:rPr>
      <w:kern w:val="2"/>
      <w:sz w:val="21"/>
      <w:szCs w:val="22"/>
      <w:lang w:val="en-US" w:eastAsia="zh-CN" w:bidi="ar-SA"/>
    </w:rPr>
  </w:style>
  <w:style w:type="paragraph" w:customStyle="1" w:styleId="722">
    <w:name w:val="BT3"/>
    <w:basedOn w:val="2"/>
    <w:qFormat/>
    <w:uiPriority w:val="0"/>
    <w:pPr>
      <w:spacing w:before="0" w:after="0" w:line="415" w:lineRule="auto"/>
      <w:jc w:val="left"/>
    </w:pPr>
    <w:rPr>
      <w:rFonts w:ascii="宋体" w:hAnsi="宋体" w:eastAsia="华文中宋"/>
      <w:kern w:val="0"/>
      <w:sz w:val="21"/>
      <w:szCs w:val="24"/>
      <w:lang w:val="en-US" w:eastAsia="zh-CN"/>
    </w:rPr>
  </w:style>
  <w:style w:type="paragraph" w:styleId="723">
    <w:name w:val=""/>
    <w:unhideWhenUsed/>
    <w:uiPriority w:val="99"/>
    <w:rPr>
      <w:kern w:val="2"/>
      <w:sz w:val="21"/>
      <w:szCs w:val="24"/>
      <w:lang w:val="en-US" w:eastAsia="zh-CN" w:bidi="ar-SA"/>
    </w:rPr>
  </w:style>
  <w:style w:type="paragraph" w:customStyle="1" w:styleId="724">
    <w:name w:val="标题 21"/>
    <w:basedOn w:val="1"/>
    <w:next w:val="1"/>
    <w:uiPriority w:val="0"/>
    <w:pPr>
      <w:keepNext/>
      <w:keepLines/>
      <w:tabs>
        <w:tab w:val="left" w:pos="936"/>
        <w:tab w:val="left" w:pos="1380"/>
      </w:tabs>
      <w:autoSpaceDE w:val="0"/>
      <w:autoSpaceDN w:val="0"/>
      <w:spacing w:before="260" w:after="260"/>
      <w:ind w:left="1380" w:hanging="420"/>
      <w:jc w:val="left"/>
      <w:textAlignment w:val="baseline"/>
      <w:outlineLvl w:val="1"/>
    </w:pPr>
    <w:rPr>
      <w:rFonts w:ascii="Arial" w:hAnsi="Times New Roman"/>
      <w:b/>
      <w:sz w:val="32"/>
      <w:szCs w:val="24"/>
    </w:rPr>
  </w:style>
  <w:style w:type="paragraph" w:customStyle="1" w:styleId="725">
    <w:name w:val="列出段落4"/>
    <w:basedOn w:val="1"/>
    <w:unhideWhenUsed/>
    <w:uiPriority w:val="34"/>
    <w:pPr>
      <w:spacing w:line="240" w:lineRule="auto"/>
      <w:ind w:firstLine="420" w:firstLineChars="200"/>
    </w:pPr>
    <w:rPr>
      <w:rFonts w:ascii="Times New Roman" w:hAnsi="Times New Roman"/>
      <w:szCs w:val="24"/>
    </w:rPr>
  </w:style>
  <w:style w:type="paragraph" w:customStyle="1" w:styleId="726">
    <w:name w:val="a1"/>
    <w:basedOn w:val="1"/>
    <w:uiPriority w:val="0"/>
    <w:pPr>
      <w:widowControl/>
      <w:spacing w:before="100" w:beforeAutospacing="1" w:after="100" w:afterAutospacing="1" w:line="240" w:lineRule="auto"/>
      <w:jc w:val="left"/>
    </w:pPr>
    <w:rPr>
      <w:rFonts w:ascii="宋体" w:hAnsi="宋体"/>
      <w:kern w:val="0"/>
      <w:sz w:val="24"/>
      <w:szCs w:val="24"/>
    </w:rPr>
  </w:style>
  <w:style w:type="paragraph" w:customStyle="1" w:styleId="727">
    <w:name w:val="标题 22"/>
    <w:basedOn w:val="1"/>
    <w:next w:val="1"/>
    <w:uiPriority w:val="0"/>
    <w:pPr>
      <w:keepNext/>
      <w:keepLines/>
      <w:tabs>
        <w:tab w:val="left" w:pos="936"/>
        <w:tab w:val="left" w:pos="1380"/>
      </w:tabs>
      <w:autoSpaceDE w:val="0"/>
      <w:autoSpaceDN w:val="0"/>
      <w:spacing w:before="260" w:after="260"/>
      <w:ind w:left="1380" w:hanging="420"/>
      <w:jc w:val="left"/>
      <w:textAlignment w:val="baseline"/>
      <w:outlineLvl w:val="1"/>
    </w:pPr>
    <w:rPr>
      <w:rFonts w:ascii="Arial" w:hAnsi="Times New Roman"/>
      <w:b/>
      <w:sz w:val="32"/>
      <w:szCs w:val="24"/>
    </w:rPr>
  </w:style>
  <w:style w:type="paragraph" w:customStyle="1" w:styleId="728">
    <w:name w:val="font5"/>
    <w:basedOn w:val="1"/>
    <w:uiPriority w:val="0"/>
    <w:pPr>
      <w:widowControl/>
      <w:spacing w:before="100" w:beforeAutospacing="1" w:after="100" w:afterAutospacing="1" w:line="240" w:lineRule="auto"/>
      <w:jc w:val="left"/>
    </w:pPr>
    <w:rPr>
      <w:rFonts w:ascii="宋体" w:hAnsi="宋体"/>
      <w:kern w:val="0"/>
      <w:sz w:val="18"/>
      <w:szCs w:val="18"/>
    </w:rPr>
  </w:style>
  <w:style w:type="paragraph" w:customStyle="1" w:styleId="729">
    <w:name w:val="GS-4"/>
    <w:basedOn w:val="1"/>
    <w:qFormat/>
    <w:uiPriority w:val="0"/>
    <w:pPr>
      <w:numPr>
        <w:ilvl w:val="3"/>
        <w:numId w:val="5"/>
      </w:numPr>
      <w:spacing w:beforeLines="50" w:afterLines="50"/>
      <w:ind w:left="1680" w:hanging="420"/>
      <w:outlineLvl w:val="3"/>
    </w:pPr>
    <w:rPr>
      <w:rFonts w:ascii="Times New Roman" w:hAnsi="Times New Roman" w:eastAsia="新宋体" w:cs="Times New Roman"/>
      <w:b/>
      <w:sz w:val="30"/>
      <w:szCs w:val="22"/>
    </w:rPr>
  </w:style>
  <w:style w:type="paragraph" w:customStyle="1" w:styleId="730">
    <w:name w:val="xl75"/>
    <w:basedOn w:val="1"/>
    <w:uiPriority w:val="0"/>
    <w:pPr>
      <w:widowControl/>
      <w:shd w:val="clear" w:color="000000" w:fill="FFFFFF"/>
      <w:spacing w:before="100" w:beforeAutospacing="1" w:after="100" w:afterAutospacing="1" w:line="240" w:lineRule="auto"/>
      <w:jc w:val="center"/>
      <w:textAlignment w:val="center"/>
    </w:pPr>
    <w:rPr>
      <w:rFonts w:ascii="宋体" w:hAnsi="宋体"/>
      <w:color w:val="000000"/>
      <w:kern w:val="0"/>
      <w:sz w:val="18"/>
      <w:szCs w:val="18"/>
    </w:rPr>
  </w:style>
  <w:style w:type="paragraph" w:customStyle="1" w:styleId="731">
    <w:name w:val="_Style 42"/>
    <w:next w:val="1"/>
    <w:qFormat/>
    <w:uiPriority w:val="0"/>
    <w:pPr>
      <w:widowControl w:val="0"/>
      <w:jc w:val="both"/>
    </w:pPr>
    <w:rPr>
      <w:kern w:val="2"/>
      <w:sz w:val="21"/>
      <w:szCs w:val="24"/>
      <w:lang w:val="en-US" w:eastAsia="zh-CN" w:bidi="ar-SA"/>
    </w:rPr>
  </w:style>
  <w:style w:type="paragraph" w:customStyle="1" w:styleId="732">
    <w:name w:val="默认段落字体 Para Char Char Char Char"/>
    <w:basedOn w:val="1"/>
    <w:qFormat/>
    <w:uiPriority w:val="0"/>
    <w:rPr>
      <w:rFonts w:ascii="Arial" w:hAnsi="Arial" w:cs="Arial"/>
      <w:szCs w:val="21"/>
    </w:rPr>
  </w:style>
  <w:style w:type="paragraph" w:customStyle="1" w:styleId="733">
    <w:name w:val="Char Char Char Char Char Char3"/>
    <w:basedOn w:val="1"/>
    <w:qFormat/>
    <w:uiPriority w:val="0"/>
    <w:pPr>
      <w:widowControl/>
      <w:spacing w:after="160" w:line="240" w:lineRule="exact"/>
      <w:jc w:val="left"/>
    </w:pPr>
    <w:rPr>
      <w:kern w:val="0"/>
    </w:rPr>
  </w:style>
  <w:style w:type="paragraph" w:customStyle="1" w:styleId="734">
    <w:name w:val="章正文"/>
    <w:basedOn w:val="1"/>
    <w:uiPriority w:val="0"/>
    <w:pPr>
      <w:spacing w:beforeLines="50" w:after="120" w:line="300" w:lineRule="auto"/>
      <w:ind w:firstLine="480"/>
    </w:pPr>
    <w:rPr>
      <w:rFonts w:ascii="Helvetica" w:hAnsi="Helvetica"/>
      <w:szCs w:val="24"/>
    </w:rPr>
  </w:style>
  <w:style w:type="paragraph" w:customStyle="1" w:styleId="735">
    <w:name w:val="_标题4"/>
    <w:basedOn w:val="1"/>
    <w:next w:val="1"/>
    <w:qFormat/>
    <w:uiPriority w:val="0"/>
    <w:pPr>
      <w:keepNext/>
      <w:keepLines/>
      <w:widowControl/>
      <w:spacing w:beforeLines="100" w:afterLines="100" w:line="480" w:lineRule="exact"/>
      <w:jc w:val="left"/>
      <w:outlineLvl w:val="3"/>
    </w:pPr>
    <w:rPr>
      <w:rFonts w:cs="Times New Roman"/>
      <w:b/>
      <w:sz w:val="30"/>
      <w:szCs w:val="28"/>
    </w:rPr>
  </w:style>
  <w:style w:type="paragraph" w:customStyle="1" w:styleId="736">
    <w:name w:val="Char Char1 Char"/>
    <w:basedOn w:val="1"/>
    <w:uiPriority w:val="0"/>
    <w:pPr>
      <w:widowControl/>
      <w:spacing w:after="160" w:line="240" w:lineRule="exact"/>
      <w:jc w:val="left"/>
    </w:pPr>
    <w:rPr>
      <w:rFonts w:ascii="Verdana" w:hAnsi="Verdana" w:eastAsia="Times New Roman" w:cs="Times New Roman"/>
      <w:kern w:val="0"/>
      <w:sz w:val="24"/>
      <w:lang w:eastAsia="en-US"/>
    </w:rPr>
  </w:style>
  <w:style w:type="paragraph" w:customStyle="1" w:styleId="737">
    <w:name w:val="样式 宋体 小四 行距: 1.5 倍行距"/>
    <w:basedOn w:val="1"/>
    <w:uiPriority w:val="0"/>
    <w:pPr>
      <w:spacing w:line="240" w:lineRule="auto"/>
      <w:ind w:firstLine="200" w:firstLineChars="200"/>
    </w:pPr>
    <w:rPr>
      <w:rFonts w:ascii="宋体" w:hAnsi="宋体"/>
      <w:sz w:val="24"/>
    </w:rPr>
  </w:style>
  <w:style w:type="paragraph" w:customStyle="1" w:styleId="738">
    <w:name w:val="xl10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739">
    <w:name w:val="xl12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6"/>
      <w:szCs w:val="16"/>
    </w:rPr>
  </w:style>
  <w:style w:type="paragraph" w:customStyle="1" w:styleId="740">
    <w:name w:val="xl11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pPr>
    <w:rPr>
      <w:rFonts w:ascii="微软雅黑" w:hAnsi="微软雅黑" w:eastAsia="微软雅黑"/>
      <w:kern w:val="0"/>
      <w:sz w:val="18"/>
      <w:szCs w:val="18"/>
    </w:rPr>
  </w:style>
  <w:style w:type="paragraph" w:customStyle="1" w:styleId="741">
    <w:name w:val="xl9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color w:val="FF0000"/>
      <w:kern w:val="0"/>
      <w:sz w:val="16"/>
      <w:szCs w:val="16"/>
    </w:rPr>
  </w:style>
  <w:style w:type="paragraph" w:customStyle="1" w:styleId="742">
    <w:name w:val="p18"/>
    <w:basedOn w:val="1"/>
    <w:uiPriority w:val="0"/>
    <w:pPr>
      <w:widowControl/>
      <w:spacing w:line="240" w:lineRule="auto"/>
      <w:ind w:firstLine="420"/>
    </w:pPr>
    <w:rPr>
      <w:rFonts w:ascii="Times New Roman" w:hAnsi="Times New Roman"/>
      <w:kern w:val="0"/>
      <w:szCs w:val="21"/>
    </w:rPr>
  </w:style>
  <w:style w:type="paragraph" w:customStyle="1" w:styleId="743">
    <w:name w:val="xl8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微软雅黑" w:hAnsi="微软雅黑" w:eastAsia="微软雅黑"/>
      <w:b/>
      <w:bCs/>
      <w:kern w:val="0"/>
      <w:sz w:val="20"/>
    </w:rPr>
  </w:style>
  <w:style w:type="paragraph" w:customStyle="1" w:styleId="744">
    <w:name w:val="TOC 标题1"/>
    <w:basedOn w:val="3"/>
    <w:next w:val="1"/>
    <w:unhideWhenUsed/>
    <w:qFormat/>
    <w:uiPriority w:val="39"/>
    <w:pPr>
      <w:keepNext/>
      <w:keepLines/>
      <w:widowControl/>
      <w:adjustRightInd/>
      <w:spacing w:before="480" w:line="276" w:lineRule="auto"/>
      <w:jc w:val="left"/>
      <w:textAlignment w:val="auto"/>
      <w:outlineLvl w:val="9"/>
    </w:pPr>
    <w:rPr>
      <w:rFonts w:ascii="等线 Light" w:hAnsi="等线 Light" w:eastAsia="等线 Light"/>
      <w:bCs/>
      <w:color w:val="2F5496"/>
      <w:sz w:val="28"/>
      <w:szCs w:val="28"/>
    </w:rPr>
  </w:style>
  <w:style w:type="paragraph" w:customStyle="1" w:styleId="745">
    <w:name w:val="默认段落字体 Para Char Char Char Char Char Char Char Char Char Char Char Char Char"/>
    <w:basedOn w:val="16"/>
    <w:uiPriority w:val="0"/>
    <w:pPr>
      <w:shd w:val="clear" w:color="auto" w:fill="000080"/>
    </w:pPr>
    <w:rPr>
      <w:rFonts w:ascii="Tahoma" w:hAnsi="Tahoma" w:cs="Tahoma"/>
      <w:sz w:val="24"/>
      <w:szCs w:val="24"/>
      <w:lang w:val="en-US" w:eastAsia="zh-CN"/>
    </w:rPr>
  </w:style>
  <w:style w:type="paragraph" w:customStyle="1" w:styleId="746">
    <w:name w:val="列表段落11"/>
    <w:basedOn w:val="1"/>
    <w:qFormat/>
    <w:uiPriority w:val="34"/>
    <w:pPr>
      <w:spacing w:line="240" w:lineRule="auto"/>
      <w:ind w:firstLine="420" w:firstLineChars="200"/>
    </w:pPr>
    <w:rPr>
      <w:rFonts w:cs="Times New Roman"/>
      <w:szCs w:val="22"/>
    </w:rPr>
  </w:style>
  <w:style w:type="paragraph" w:customStyle="1" w:styleId="747">
    <w:name w:val="正文11"/>
    <w:qFormat/>
    <w:uiPriority w:val="0"/>
    <w:pPr>
      <w:widowControl w:val="0"/>
      <w:jc w:val="both"/>
    </w:pPr>
    <w:rPr>
      <w:kern w:val="2"/>
      <w:sz w:val="21"/>
      <w:lang w:val="en-US" w:eastAsia="zh-CN" w:bidi="ar-SA"/>
    </w:rPr>
  </w:style>
  <w:style w:type="paragraph" w:customStyle="1" w:styleId="748">
    <w:name w:val="正文文本3"/>
    <w:basedOn w:val="1"/>
    <w:uiPriority w:val="0"/>
    <w:pPr>
      <w:shd w:val="clear" w:color="auto" w:fill="FFFFFF"/>
      <w:spacing w:before="180" w:line="425" w:lineRule="exact"/>
      <w:jc w:val="distribute"/>
    </w:pPr>
    <w:rPr>
      <w:rFonts w:ascii="宋体" w:hAnsi="宋体"/>
      <w:kern w:val="0"/>
      <w:sz w:val="23"/>
      <w:szCs w:val="23"/>
    </w:rPr>
  </w:style>
  <w:style w:type="paragraph" w:customStyle="1" w:styleId="749">
    <w:name w:val="默认段落字体 Para Char Char Char"/>
    <w:basedOn w:val="1"/>
    <w:uiPriority w:val="0"/>
    <w:pPr>
      <w:spacing w:line="240" w:lineRule="auto"/>
    </w:pPr>
    <w:rPr>
      <w:rFonts w:ascii="Times New Roman" w:hAnsi="Times New Roman"/>
      <w:szCs w:val="24"/>
    </w:rPr>
  </w:style>
  <w:style w:type="paragraph" w:customStyle="1" w:styleId="750">
    <w:name w:val="Char Char122"/>
    <w:basedOn w:val="1"/>
    <w:qFormat/>
    <w:uiPriority w:val="0"/>
    <w:pPr>
      <w:spacing w:line="240" w:lineRule="auto"/>
    </w:pPr>
    <w:rPr>
      <w:szCs w:val="21"/>
    </w:rPr>
  </w:style>
  <w:style w:type="paragraph" w:customStyle="1" w:styleId="751">
    <w:name w:val="Char1 Char Char Char Char Char Char Char Char Char"/>
    <w:basedOn w:val="1"/>
    <w:uiPriority w:val="0"/>
    <w:pPr>
      <w:widowControl/>
      <w:spacing w:after="160" w:line="240" w:lineRule="exact"/>
      <w:jc w:val="left"/>
    </w:pPr>
    <w:rPr>
      <w:rFonts w:ascii="Times New Roman" w:hAnsi="Times New Roman" w:eastAsia="楷体_GB2312" w:cs="Times New Roman"/>
      <w:sz w:val="30"/>
    </w:rPr>
  </w:style>
  <w:style w:type="paragraph" w:customStyle="1" w:styleId="752">
    <w:name w:val="he"/>
    <w:basedOn w:val="1"/>
    <w:next w:val="1"/>
    <w:uiPriority w:val="0"/>
    <w:pPr>
      <w:keepNext/>
      <w:keepLines/>
      <w:spacing w:before="260" w:after="260" w:line="416" w:lineRule="auto"/>
    </w:pPr>
    <w:rPr>
      <w:rFonts w:ascii="Times New Roman" w:hAnsi="Times New Roman"/>
      <w:b/>
      <w:bCs/>
      <w:sz w:val="32"/>
      <w:szCs w:val="32"/>
    </w:rPr>
  </w:style>
  <w:style w:type="paragraph" w:customStyle="1" w:styleId="753">
    <w:name w:val="Char Char Char Char Char Char Char2"/>
    <w:basedOn w:val="1"/>
    <w:qFormat/>
    <w:uiPriority w:val="0"/>
    <w:rPr>
      <w:szCs w:val="21"/>
    </w:rPr>
  </w:style>
  <w:style w:type="table" w:customStyle="1" w:styleId="754">
    <w:name w:val="网格型12"/>
    <w:basedOn w:val="53"/>
    <w:qFormat/>
    <w:uiPriority w:val="0"/>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5">
    <w:name w:val="网格型3"/>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6">
    <w:name w:val="网格型5"/>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7">
    <w:name w:val="网格型1"/>
    <w:basedOn w:val="53"/>
    <w:qFormat/>
    <w:uiPriority w:val="0"/>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8">
    <w:name w:val="网格型6"/>
    <w:basedOn w:val="53"/>
    <w:qFormat/>
    <w:uiPriority w:val="0"/>
    <w:pPr>
      <w:widowControl w:val="0"/>
      <w:jc w:val="both"/>
    </w:pPr>
    <w:rPr>
      <w:rFonts w:ascii="Times New Roman" w:hAnsi="Times New Roman"/>
    </w:r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9">
    <w:name w:val="网格型11"/>
    <w:basedOn w:val="53"/>
    <w:qFormat/>
    <w:uiPriority w:val="0"/>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0">
    <w:name w:val="网格型7"/>
    <w:basedOn w:val="53"/>
    <w:uiPriority w:val="59"/>
    <w:tblPr>
      <w:tblStyle w:val="53"/>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761">
    <w:name w:val="网格型4"/>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62">
    <w:name w:val="网格型2"/>
    <w:basedOn w:val="53"/>
    <w:qFormat/>
    <w:uiPriority w:val="0"/>
    <w:pPr>
      <w:widowControl w:val="0"/>
      <w:jc w:val="both"/>
    </w:pPr>
    <w:tblPr>
      <w:tblStyle w:val="5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footer4.xml" Type="http://schemas.openxmlformats.org/officeDocument/2006/relationships/footer"/><Relationship Id="rId11" Target="header3.xml" Type="http://schemas.openxmlformats.org/officeDocument/2006/relationships/header"/><Relationship Id="rId12" Target="footer5.xml" Type="http://schemas.openxmlformats.org/officeDocument/2006/relationships/footer"/><Relationship Id="rId13" Target="footer6.xml" Type="http://schemas.openxmlformats.org/officeDocument/2006/relationships/footer"/><Relationship Id="rId14" Target="footer7.xml" Type="http://schemas.openxmlformats.org/officeDocument/2006/relationships/footer"/><Relationship Id="rId15" Target="theme/theme1.xml" Type="http://schemas.openxmlformats.org/officeDocument/2006/relationships/theme"/><Relationship Id="rId16" Target="media/image1.tiff" Type="http://schemas.openxmlformats.org/officeDocument/2006/relationships/image"/><Relationship Id="rId17" Target="media/image2.tiff" Type="http://schemas.openxmlformats.org/officeDocument/2006/relationships/image"/><Relationship Id="rId18" Target="media/image3.png" Type="http://schemas.openxmlformats.org/officeDocument/2006/relationships/image"/><Relationship Id="rId19" Target="media/image4.png" Type="http://schemas.openxmlformats.org/officeDocument/2006/relationships/image"/><Relationship Id="rId2" Target="settings.xml" Type="http://schemas.openxmlformats.org/officeDocument/2006/relationships/settings"/><Relationship Id="rId20" Target="media/image5.jpeg" Type="http://schemas.openxmlformats.org/officeDocument/2006/relationships/image"/><Relationship Id="rId21" Target="media/image6.jpeg" Type="http://schemas.openxmlformats.org/officeDocument/2006/relationships/image"/><Relationship Id="rId22" Target="media/image7.jpeg" Type="http://schemas.openxmlformats.org/officeDocument/2006/relationships/image"/><Relationship Id="rId23" Target="media/image8.jpeg" Type="http://schemas.openxmlformats.org/officeDocument/2006/relationships/image"/><Relationship Id="rId24" Target="media/image9.jpeg" Type="http://schemas.openxmlformats.org/officeDocument/2006/relationships/image"/><Relationship Id="rId25" Target="media/image10.jpeg" Type="http://schemas.openxmlformats.org/officeDocument/2006/relationships/image"/><Relationship Id="rId26" Target="media/image11.jpeg" Type="http://schemas.openxmlformats.org/officeDocument/2006/relationships/image"/><Relationship Id="rId27" Target="media/image12.jpeg" Type="http://schemas.openxmlformats.org/officeDocument/2006/relationships/image"/><Relationship Id="rId28" Target="media/image13.jpeg" Type="http://schemas.openxmlformats.org/officeDocument/2006/relationships/image"/><Relationship Id="rId29" Target="media/image14.jpeg" Type="http://schemas.openxmlformats.org/officeDocument/2006/relationships/image"/><Relationship Id="rId3" Target="footnotes.xml" Type="http://schemas.openxmlformats.org/officeDocument/2006/relationships/footnotes"/><Relationship Id="rId30" Target="media/image15.jpeg" Type="http://schemas.openxmlformats.org/officeDocument/2006/relationships/image"/><Relationship Id="rId31" Target="media/image16.jpeg" Type="http://schemas.openxmlformats.org/officeDocument/2006/relationships/image"/><Relationship Id="rId32" Target="media/image17.jpeg" Type="http://schemas.openxmlformats.org/officeDocument/2006/relationships/image"/><Relationship Id="rId33" Target="media/image18.jpeg" Type="http://schemas.openxmlformats.org/officeDocument/2006/relationships/image"/><Relationship Id="rId34" Target="media/image19.png" Type="http://schemas.openxmlformats.org/officeDocument/2006/relationships/image"/><Relationship Id="rId35" Target="media/image20.png" Type="http://schemas.openxmlformats.org/officeDocument/2006/relationships/image"/><Relationship Id="rId36" Target="media/image21.jpeg" Type="http://schemas.openxmlformats.org/officeDocument/2006/relationships/image"/><Relationship Id="rId37" Target="media/image22.jpeg" Type="http://schemas.openxmlformats.org/officeDocument/2006/relationships/image"/><Relationship Id="rId38" Target="media/image23.jpeg" Type="http://schemas.openxmlformats.org/officeDocument/2006/relationships/image"/><Relationship Id="rId39" Target="media/image24.jpeg" Type="http://schemas.openxmlformats.org/officeDocument/2006/relationships/image"/><Relationship Id="rId4" Target="endnotes.xml" Type="http://schemas.openxmlformats.org/officeDocument/2006/relationships/endnotes"/><Relationship Id="rId40" Target="../customXml/item1.xml" Type="http://schemas.openxmlformats.org/officeDocument/2006/relationships/customXml"/><Relationship Id="rId41" Target="numbering.xml" Type="http://schemas.openxmlformats.org/officeDocument/2006/relationships/numbering"/><Relationship Id="rId42" Target="fontTable.xml" Type="http://schemas.openxmlformats.org/officeDocument/2006/relationships/fontTable"/><Relationship Id="rId5" Target="footer1.xml" Type="http://schemas.openxmlformats.org/officeDocument/2006/relationships/footer"/><Relationship Id="rId6" Target="footer2.xml" Type="http://schemas.openxmlformats.org/officeDocument/2006/relationships/footer"/><Relationship Id="rId7" Target="header1.xml" Type="http://schemas.openxmlformats.org/officeDocument/2006/relationships/header"/><Relationship Id="rId8" Target="footer3.xml" Type="http://schemas.openxmlformats.org/officeDocument/2006/relationships/footer"/><Relationship Id="rId9" Target="header2.xml" Type="http://schemas.openxmlformats.org/officeDocument/2006/relationships/header"/></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49"/>
    <customShpInfo spid="_x0000_s1050"/>
    <customShpInfo spid="_x0000_s1048"/>
    <customShpInfo spid="_x0000_s1027"/>
    <customShpInfo spid="_x0000_s1028"/>
    <customShpInfo spid="_x0000_s1029"/>
    <customShpInfo spid="_x0000_s1031"/>
    <customShpInfo spid="_x0000_s1032"/>
    <customShpInfo spid="_x0000_s1033"/>
    <customShpInfo spid="_x0000_s1034"/>
    <customShpInfo spid="_x0000_s1035"/>
    <customShpInfo spid="_x0000_s1036"/>
    <customShpInfo spid="_x0000_s1030"/>
    <customShpInfo spid="_x0000_s1026"/>
    <customShpInfo spid="_x0000_s1053"/>
    <customShpInfo spid="_x0000_s1054"/>
    <customShpInfo spid="_x0000_s1055"/>
    <customShpInfo spid="_x0000_s1057"/>
    <customShpInfo spid="_x0000_s1058"/>
    <customShpInfo spid="_x0000_s1059"/>
    <customShpInfo spid="_x0000_s1060"/>
    <customShpInfo spid="_x0000_s1061"/>
    <customShpInfo spid="_x0000_s1062"/>
    <customShpInfo spid="_x0000_s1056"/>
    <customShpInfo spid="_x0000_s105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138</Pages>
  <Words>14115</Words>
  <Characters>80459</Characters>
  <Lines>670</Lines>
  <Paragraphs>188</Paragraphs>
  <TotalTime>0</TotalTime>
  <ScaleCrop>false</ScaleCrop>
  <LinksUpToDate>false</LinksUpToDate>
  <CharactersWithSpaces>94386</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2022-10-10T00:55:00Z</dcterms:created>
  <dc:creator>易蓉</dc:creator>
  <cp:lastModifiedBy>WPS_1701756769</cp:lastModifiedBy>
  <cp:lastPrinted>2021-12-10T08:50:00Z</cp:lastPrinted>
  <dcterms:modified xsi:type="dcterms:W3CDTF">2024-02-26T03:49:33Z</dcterms:modified>
  <cp:revision>3</cp:revision>
  <dc:title>招标文件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F1C0FA536B8741D795511335FD46C0C8_13</vt:lpwstr>
  </property>
</Properties>
</file>