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62" w:leftChars="-135" w:right="-378" w:rightChars="-180" w:hanging="345" w:hangingChars="78"/>
        <w:jc w:val="center"/>
        <w:rPr>
          <w:rFonts w:hint="eastAsia" w:hAnsi="宋体"/>
          <w:b/>
          <w:sz w:val="44"/>
          <w:szCs w:val="44"/>
        </w:rPr>
      </w:pPr>
      <w:bookmarkStart w:id="451" w:name="_GoBack"/>
      <w:bookmarkEnd w:id="451"/>
    </w:p>
    <w:p>
      <w:pPr>
        <w:pStyle w:val="20"/>
        <w:jc w:val="center"/>
        <w:rPr>
          <w:rFonts w:hint="eastAsia" w:hAnsi="宋体"/>
          <w:b/>
          <w:sz w:val="28"/>
          <w:szCs w:val="28"/>
        </w:rPr>
      </w:pPr>
      <w:r>
        <w:rPr>
          <w:rFonts w:hint="eastAsia" w:hAnsi="宋体"/>
          <w:b/>
          <w:sz w:val="44"/>
          <w:szCs w:val="44"/>
        </w:rPr>
        <w:t>嘉兴市公安局经济技术开发区(国际商务区)分局移动**通购买项目</w:t>
      </w:r>
    </w:p>
    <w:p>
      <w:pPr>
        <w:pStyle w:val="20"/>
        <w:jc w:val="center"/>
        <w:rPr>
          <w:rFonts w:hint="eastAsia" w:hAnsi="宋体"/>
          <w:b/>
          <w:sz w:val="48"/>
          <w:szCs w:val="48"/>
        </w:rPr>
      </w:pPr>
    </w:p>
    <w:p>
      <w:pPr>
        <w:pStyle w:val="20"/>
        <w:jc w:val="center"/>
        <w:rPr>
          <w:rFonts w:hint="eastAsia" w:hAnsi="宋体"/>
          <w:b/>
          <w:sz w:val="48"/>
          <w:szCs w:val="48"/>
        </w:rPr>
      </w:pPr>
    </w:p>
    <w:p>
      <w:pPr>
        <w:pStyle w:val="20"/>
        <w:jc w:val="center"/>
        <w:rPr>
          <w:rFonts w:hint="eastAsia" w:hAnsi="宋体"/>
          <w:b/>
          <w:sz w:val="48"/>
          <w:szCs w:val="48"/>
        </w:rPr>
      </w:pPr>
      <w:r>
        <w:rPr>
          <w:rFonts w:hint="eastAsia" w:hAnsi="宋体"/>
          <w:b/>
          <w:sz w:val="48"/>
          <w:szCs w:val="48"/>
        </w:rPr>
        <w:t>竞</w:t>
      </w:r>
    </w:p>
    <w:p>
      <w:pPr>
        <w:pStyle w:val="20"/>
        <w:jc w:val="center"/>
        <w:rPr>
          <w:rFonts w:hint="eastAsia" w:hAnsi="宋体"/>
          <w:b/>
          <w:sz w:val="48"/>
          <w:szCs w:val="48"/>
        </w:rPr>
      </w:pPr>
      <w:r>
        <w:rPr>
          <w:rFonts w:hint="eastAsia" w:hAnsi="宋体"/>
          <w:b/>
          <w:sz w:val="48"/>
          <w:szCs w:val="48"/>
        </w:rPr>
        <w:t>争</w:t>
      </w:r>
    </w:p>
    <w:p>
      <w:pPr>
        <w:pStyle w:val="20"/>
        <w:jc w:val="center"/>
        <w:rPr>
          <w:rFonts w:hint="eastAsia" w:hAnsi="宋体"/>
          <w:b/>
          <w:sz w:val="48"/>
          <w:szCs w:val="48"/>
        </w:rPr>
      </w:pPr>
      <w:r>
        <w:rPr>
          <w:rFonts w:hint="eastAsia" w:hAnsi="宋体"/>
          <w:b/>
          <w:sz w:val="48"/>
          <w:szCs w:val="48"/>
        </w:rPr>
        <w:t>性</w:t>
      </w:r>
    </w:p>
    <w:p>
      <w:pPr>
        <w:pStyle w:val="20"/>
        <w:jc w:val="center"/>
        <w:rPr>
          <w:rFonts w:hint="eastAsia" w:hAnsi="宋体"/>
          <w:b/>
          <w:sz w:val="48"/>
          <w:szCs w:val="48"/>
        </w:rPr>
      </w:pPr>
      <w:r>
        <w:rPr>
          <w:rFonts w:hint="eastAsia" w:hAnsi="宋体"/>
          <w:b/>
          <w:sz w:val="48"/>
          <w:szCs w:val="48"/>
        </w:rPr>
        <w:t>磋</w:t>
      </w:r>
    </w:p>
    <w:p>
      <w:pPr>
        <w:pStyle w:val="20"/>
        <w:jc w:val="center"/>
        <w:rPr>
          <w:rFonts w:hint="eastAsia" w:hAnsi="宋体"/>
          <w:b/>
          <w:sz w:val="48"/>
          <w:szCs w:val="48"/>
        </w:rPr>
      </w:pPr>
      <w:r>
        <w:rPr>
          <w:rFonts w:hint="eastAsia" w:hAnsi="宋体"/>
          <w:b/>
          <w:sz w:val="48"/>
          <w:szCs w:val="48"/>
        </w:rPr>
        <w:t>商</w:t>
      </w:r>
    </w:p>
    <w:p>
      <w:pPr>
        <w:pStyle w:val="20"/>
        <w:jc w:val="center"/>
        <w:rPr>
          <w:rFonts w:hint="eastAsia" w:hAnsi="宋体"/>
          <w:b/>
          <w:sz w:val="48"/>
          <w:szCs w:val="48"/>
        </w:rPr>
      </w:pPr>
      <w:r>
        <w:rPr>
          <w:rFonts w:hint="eastAsia" w:hAnsi="宋体"/>
          <w:b/>
          <w:sz w:val="48"/>
          <w:szCs w:val="48"/>
        </w:rPr>
        <w:t>文</w:t>
      </w:r>
    </w:p>
    <w:p>
      <w:pPr>
        <w:pStyle w:val="20"/>
        <w:jc w:val="center"/>
        <w:rPr>
          <w:rFonts w:hint="eastAsia" w:hAnsi="宋体"/>
          <w:b/>
          <w:sz w:val="48"/>
          <w:szCs w:val="48"/>
        </w:rPr>
      </w:pPr>
      <w:r>
        <w:rPr>
          <w:rFonts w:hint="eastAsia" w:hAnsi="宋体"/>
          <w:b/>
          <w:sz w:val="48"/>
          <w:szCs w:val="48"/>
        </w:rPr>
        <w:t>件</w:t>
      </w:r>
    </w:p>
    <w:p>
      <w:pPr>
        <w:pStyle w:val="20"/>
        <w:spacing w:line="360" w:lineRule="auto"/>
        <w:ind w:firstLine="703" w:firstLineChars="352"/>
        <w:rPr>
          <w:rFonts w:hint="eastAsia" w:hAnsi="宋体"/>
          <w:b/>
          <w:bCs/>
          <w:w w:val="95"/>
          <w:szCs w:val="21"/>
        </w:rPr>
      </w:pPr>
      <w:r>
        <w:rPr>
          <w:rFonts w:hint="eastAsia" w:hAnsi="宋体"/>
          <w:b/>
          <w:bCs/>
          <w:w w:val="95"/>
          <w:szCs w:val="21"/>
        </w:rPr>
        <w:t xml:space="preserve"> </w:t>
      </w:r>
    </w:p>
    <w:p>
      <w:pPr>
        <w:pStyle w:val="20"/>
        <w:spacing w:line="360" w:lineRule="auto"/>
        <w:ind w:firstLine="801" w:firstLineChars="300"/>
        <w:rPr>
          <w:rFonts w:hint="eastAsia" w:hAnsi="宋体"/>
          <w:b/>
          <w:bCs/>
          <w:w w:val="95"/>
          <w:sz w:val="28"/>
          <w:szCs w:val="28"/>
        </w:rPr>
      </w:pPr>
    </w:p>
    <w:p>
      <w:pPr>
        <w:pStyle w:val="20"/>
        <w:spacing w:line="360" w:lineRule="auto"/>
        <w:ind w:firstLine="801" w:firstLineChars="300"/>
        <w:rPr>
          <w:rFonts w:hint="eastAsia" w:hAnsi="宋体"/>
          <w:b/>
          <w:bCs/>
          <w:w w:val="95"/>
          <w:sz w:val="28"/>
          <w:szCs w:val="28"/>
        </w:rPr>
      </w:pPr>
    </w:p>
    <w:p>
      <w:pPr>
        <w:pStyle w:val="20"/>
        <w:spacing w:line="360" w:lineRule="auto"/>
        <w:ind w:firstLine="303" w:firstLineChars="106"/>
        <w:rPr>
          <w:rFonts w:hint="eastAsia" w:hAnsi="宋体"/>
          <w:b/>
          <w:bCs/>
          <w:w w:val="95"/>
          <w:sz w:val="30"/>
          <w:szCs w:val="30"/>
        </w:rPr>
      </w:pPr>
      <w:r>
        <w:rPr>
          <w:rFonts w:hAnsi="宋体"/>
          <w:b/>
          <w:bCs/>
          <w:w w:val="95"/>
          <w:sz w:val="30"/>
          <w:szCs w:val="30"/>
        </w:rPr>
        <w:t>项目编号：</w:t>
      </w:r>
      <w:r>
        <w:rPr>
          <w:rFonts w:hint="eastAsia" w:hAnsi="宋体"/>
          <w:b/>
          <w:bCs/>
          <w:w w:val="95"/>
          <w:sz w:val="30"/>
          <w:szCs w:val="30"/>
        </w:rPr>
        <w:t>浙江禾城-2019-020</w:t>
      </w:r>
    </w:p>
    <w:p>
      <w:pPr>
        <w:pStyle w:val="20"/>
        <w:spacing w:line="360" w:lineRule="auto"/>
        <w:ind w:right="-378" w:rightChars="-180" w:firstLine="303" w:firstLineChars="106"/>
        <w:rPr>
          <w:rFonts w:hint="eastAsia" w:hAnsi="宋体"/>
          <w:b/>
          <w:bCs/>
          <w:w w:val="95"/>
          <w:sz w:val="30"/>
          <w:szCs w:val="30"/>
        </w:rPr>
      </w:pPr>
      <w:r>
        <w:rPr>
          <w:rFonts w:hint="eastAsia" w:hAnsi="宋体"/>
          <w:b/>
          <w:bCs/>
          <w:w w:val="95"/>
          <w:sz w:val="30"/>
          <w:szCs w:val="30"/>
        </w:rPr>
        <w:t>采购单位：嘉兴市公安局经济技术开发区(国际商务区)分局</w:t>
      </w:r>
    </w:p>
    <w:p>
      <w:pPr>
        <w:pStyle w:val="20"/>
        <w:spacing w:line="360" w:lineRule="auto"/>
        <w:ind w:right="-378" w:rightChars="-180" w:firstLine="303" w:firstLineChars="106"/>
        <w:rPr>
          <w:rFonts w:hint="eastAsia" w:hAnsi="宋体"/>
          <w:b/>
          <w:bCs/>
          <w:w w:val="95"/>
          <w:sz w:val="30"/>
          <w:szCs w:val="30"/>
        </w:rPr>
      </w:pPr>
      <w:r>
        <w:rPr>
          <w:rFonts w:hint="eastAsia" w:hAnsi="宋体"/>
          <w:b/>
          <w:bCs/>
          <w:w w:val="95"/>
          <w:sz w:val="30"/>
          <w:szCs w:val="30"/>
        </w:rPr>
        <w:t>代理</w:t>
      </w:r>
      <w:r>
        <w:rPr>
          <w:rFonts w:hAnsi="宋体"/>
          <w:b/>
          <w:bCs/>
          <w:w w:val="95"/>
          <w:sz w:val="30"/>
          <w:szCs w:val="30"/>
        </w:rPr>
        <w:t>机构：</w:t>
      </w:r>
      <w:r>
        <w:rPr>
          <w:rFonts w:hint="eastAsia" w:hAnsi="宋体"/>
          <w:b/>
          <w:bCs/>
          <w:w w:val="95"/>
          <w:sz w:val="30"/>
          <w:szCs w:val="30"/>
        </w:rPr>
        <w:t>浙江禾城工程管理有限公司</w:t>
      </w:r>
    </w:p>
    <w:p>
      <w:pPr>
        <w:pStyle w:val="20"/>
        <w:spacing w:line="360" w:lineRule="auto"/>
        <w:ind w:firstLine="303" w:firstLineChars="106"/>
        <w:rPr>
          <w:rFonts w:hint="eastAsia" w:hAnsi="宋体"/>
          <w:b/>
          <w:bCs/>
          <w:w w:val="95"/>
          <w:sz w:val="30"/>
          <w:szCs w:val="30"/>
        </w:rPr>
      </w:pPr>
      <w:r>
        <w:rPr>
          <w:rFonts w:hint="eastAsia" w:hAnsi="宋体"/>
          <w:b/>
          <w:bCs/>
          <w:w w:val="95"/>
          <w:sz w:val="30"/>
          <w:szCs w:val="30"/>
        </w:rPr>
        <w:t>备案单位：嘉兴经济技术开发区财政局</w:t>
      </w:r>
    </w:p>
    <w:p>
      <w:pPr>
        <w:pStyle w:val="20"/>
        <w:spacing w:line="360" w:lineRule="auto"/>
        <w:ind w:firstLine="807" w:firstLineChars="282"/>
        <w:rPr>
          <w:rFonts w:hint="eastAsia" w:hAnsi="宋体"/>
          <w:b/>
          <w:bCs/>
          <w:w w:val="95"/>
          <w:sz w:val="30"/>
          <w:szCs w:val="30"/>
        </w:rPr>
      </w:pPr>
    </w:p>
    <w:p>
      <w:pPr>
        <w:snapToGrid w:val="0"/>
        <w:spacing w:line="360" w:lineRule="auto"/>
        <w:ind w:left="1735" w:leftChars="-135" w:hanging="2018" w:hangingChars="705"/>
        <w:jc w:val="center"/>
        <w:rPr>
          <w:rFonts w:hint="eastAsia" w:ascii="宋体" w:hAnsi="宋体"/>
          <w:b/>
          <w:bCs/>
          <w:w w:val="95"/>
          <w:sz w:val="30"/>
          <w:szCs w:val="30"/>
        </w:rPr>
      </w:pPr>
      <w:r>
        <w:rPr>
          <w:rFonts w:ascii="宋体" w:hAnsi="宋体"/>
          <w:b/>
          <w:bCs/>
          <w:w w:val="95"/>
          <w:sz w:val="30"/>
          <w:szCs w:val="30"/>
        </w:rPr>
        <w:t>2019年05月</w:t>
      </w:r>
    </w:p>
    <w:p>
      <w:pPr>
        <w:snapToGrid w:val="0"/>
        <w:spacing w:line="360" w:lineRule="auto"/>
        <w:ind w:left="1832" w:leftChars="-135" w:hanging="2115" w:hangingChars="705"/>
        <w:jc w:val="center"/>
        <w:rPr>
          <w:rFonts w:ascii="宋体" w:hAnsi="宋体"/>
          <w:sz w:val="30"/>
          <w:szCs w:val="30"/>
        </w:rPr>
        <w:sectPr>
          <w:footerReference r:id="rId6" w:type="first"/>
          <w:headerReference r:id="rId3" w:type="default"/>
          <w:footerReference r:id="rId4" w:type="default"/>
          <w:footerReference r:id="rId5" w:type="even"/>
          <w:pgSz w:w="11906" w:h="16838"/>
          <w:pgMar w:top="1440" w:right="1700" w:bottom="1440" w:left="1797" w:header="851" w:footer="851" w:gutter="0"/>
          <w:cols w:space="720" w:num="1"/>
          <w:docGrid w:linePitch="312" w:charSpace="0"/>
        </w:sectPr>
      </w:pPr>
    </w:p>
    <w:p>
      <w:pPr>
        <w:pStyle w:val="2"/>
        <w:spacing w:before="0" w:after="0" w:line="360" w:lineRule="auto"/>
        <w:jc w:val="center"/>
        <w:rPr>
          <w:rFonts w:ascii="宋体" w:hAnsi="宋体"/>
          <w:sz w:val="32"/>
          <w:szCs w:val="32"/>
        </w:rPr>
      </w:pPr>
      <w:bookmarkStart w:id="0" w:name="_Toc523582751"/>
      <w:bookmarkStart w:id="1" w:name="_Toc524612708"/>
      <w:bookmarkStart w:id="2" w:name="_Toc493699288"/>
      <w:bookmarkStart w:id="3" w:name="_Toc493082104"/>
      <w:bookmarkStart w:id="4" w:name="_Toc518327067"/>
      <w:bookmarkStart w:id="5" w:name="_Toc522549159"/>
      <w:bookmarkStart w:id="6" w:name="_Toc523583058"/>
      <w:bookmarkStart w:id="7" w:name="_Toc448487525"/>
      <w:bookmarkStart w:id="8" w:name="_Toc192313098"/>
      <w:r>
        <w:rPr>
          <w:rFonts w:ascii="宋体" w:hAnsi="宋体"/>
          <w:sz w:val="32"/>
          <w:szCs w:val="32"/>
          <w:lang w:val="zh-CN"/>
        </w:rPr>
        <w:t>目</w:t>
      </w:r>
      <w:r>
        <w:rPr>
          <w:rFonts w:hint="eastAsia" w:ascii="宋体" w:hAnsi="宋体"/>
          <w:sz w:val="32"/>
          <w:szCs w:val="32"/>
          <w:lang w:val="zh-CN"/>
        </w:rPr>
        <w:t xml:space="preserve">  </w:t>
      </w:r>
      <w:r>
        <w:rPr>
          <w:rFonts w:ascii="宋体" w:hAnsi="宋体"/>
          <w:sz w:val="32"/>
          <w:szCs w:val="32"/>
          <w:lang w:val="zh-CN"/>
        </w:rPr>
        <w:t>录</w:t>
      </w:r>
      <w:bookmarkEnd w:id="0"/>
      <w:bookmarkEnd w:id="1"/>
      <w:bookmarkEnd w:id="2"/>
      <w:bookmarkEnd w:id="3"/>
      <w:bookmarkEnd w:id="4"/>
      <w:bookmarkEnd w:id="5"/>
      <w:bookmarkEnd w:id="6"/>
      <w:bookmarkEnd w:id="7"/>
    </w:p>
    <w:p>
      <w:pPr>
        <w:pStyle w:val="27"/>
        <w:spacing w:before="120" w:after="120" w:line="360" w:lineRule="auto"/>
        <w:ind w:left="0" w:leftChars="0" w:firstLine="0"/>
        <w:rPr>
          <w:rStyle w:val="36"/>
          <w:lang/>
        </w:rPr>
      </w:pPr>
      <w:r>
        <w:rPr>
          <w:szCs w:val="21"/>
        </w:rPr>
        <w:fldChar w:fldCharType="begin"/>
      </w:r>
      <w:r>
        <w:rPr>
          <w:szCs w:val="21"/>
        </w:rPr>
        <w:instrText xml:space="preserve"> TOC \o "1-3" \h \z \u </w:instrText>
      </w:r>
      <w:r>
        <w:rPr>
          <w:szCs w:val="21"/>
        </w:rPr>
        <w:fldChar w:fldCharType="separate"/>
      </w:r>
      <w:r>
        <w:rPr>
          <w:rStyle w:val="36"/>
          <w:lang/>
        </w:rPr>
        <w:fldChar w:fldCharType="begin"/>
      </w:r>
      <w:r>
        <w:rPr>
          <w:rStyle w:val="36"/>
          <w:lang/>
        </w:rPr>
        <w:instrText xml:space="preserve"> HYPERLINK \l "_Toc524612709" </w:instrText>
      </w:r>
      <w:r>
        <w:rPr>
          <w:rStyle w:val="36"/>
          <w:lang/>
        </w:rPr>
        <w:fldChar w:fldCharType="separate"/>
      </w:r>
      <w:r>
        <w:rPr>
          <w:rStyle w:val="36"/>
          <w:rFonts w:hint="eastAsia"/>
          <w:lang/>
        </w:rPr>
        <w:t>第一章</w:t>
      </w:r>
      <w:r>
        <w:rPr>
          <w:rStyle w:val="36"/>
          <w:lang/>
        </w:rPr>
        <w:t xml:space="preserve">  </w:t>
      </w:r>
      <w:r>
        <w:rPr>
          <w:rStyle w:val="36"/>
          <w:rFonts w:hint="eastAsia"/>
          <w:lang/>
        </w:rPr>
        <w:t>竞争性磋商采购公告</w:t>
      </w:r>
      <w:r>
        <w:rPr>
          <w:rStyle w:val="36"/>
          <w:lang/>
        </w:rPr>
        <w:tab/>
      </w:r>
      <w:r>
        <w:rPr>
          <w:rStyle w:val="36"/>
          <w:lang/>
        </w:rPr>
        <w:fldChar w:fldCharType="begin"/>
      </w:r>
      <w:r>
        <w:rPr>
          <w:rStyle w:val="36"/>
          <w:lang/>
        </w:rPr>
        <w:instrText xml:space="preserve"> PAGEREF _Toc524612709 \h </w:instrText>
      </w:r>
      <w:r>
        <w:rPr>
          <w:rStyle w:val="36"/>
          <w:lang/>
        </w:rPr>
        <w:fldChar w:fldCharType="separate"/>
      </w:r>
      <w:r>
        <w:rPr>
          <w:rStyle w:val="36"/>
          <w:lang/>
        </w:rPr>
        <w:t>2</w:t>
      </w:r>
      <w:r>
        <w:rPr>
          <w:rStyle w:val="36"/>
          <w:lang/>
        </w:rPr>
        <w:fldChar w:fldCharType="end"/>
      </w:r>
      <w:r>
        <w:rPr>
          <w:rStyle w:val="36"/>
          <w:lang/>
        </w:rPr>
        <w:fldChar w:fldCharType="end"/>
      </w:r>
    </w:p>
    <w:p>
      <w:pPr>
        <w:pStyle w:val="27"/>
        <w:spacing w:before="120" w:after="120" w:line="360" w:lineRule="auto"/>
        <w:ind w:left="0" w:leftChars="0" w:firstLine="0"/>
        <w:rPr>
          <w:rStyle w:val="36"/>
          <w:lang/>
        </w:rPr>
      </w:pPr>
      <w:r>
        <w:rPr>
          <w:rStyle w:val="36"/>
          <w:lang/>
        </w:rPr>
        <w:fldChar w:fldCharType="begin"/>
      </w:r>
      <w:r>
        <w:rPr>
          <w:rStyle w:val="36"/>
          <w:lang/>
        </w:rPr>
        <w:instrText xml:space="preserve"> HYPERLINK \l "_Toc524612710" </w:instrText>
      </w:r>
      <w:r>
        <w:rPr>
          <w:rStyle w:val="36"/>
          <w:lang/>
        </w:rPr>
        <w:fldChar w:fldCharType="separate"/>
      </w:r>
      <w:r>
        <w:rPr>
          <w:rStyle w:val="36"/>
          <w:rFonts w:hint="eastAsia"/>
          <w:lang/>
        </w:rPr>
        <w:t>第二章</w:t>
      </w:r>
      <w:r>
        <w:rPr>
          <w:rStyle w:val="36"/>
          <w:lang/>
        </w:rPr>
        <w:t xml:space="preserve">  </w:t>
      </w:r>
      <w:r>
        <w:rPr>
          <w:rStyle w:val="36"/>
          <w:rFonts w:hint="eastAsia"/>
          <w:lang/>
        </w:rPr>
        <w:t>供应商须知</w:t>
      </w:r>
      <w:r>
        <w:rPr>
          <w:rStyle w:val="36"/>
          <w:lang/>
        </w:rPr>
        <w:tab/>
      </w:r>
      <w:r>
        <w:rPr>
          <w:rStyle w:val="36"/>
          <w:lang/>
        </w:rPr>
        <w:fldChar w:fldCharType="begin"/>
      </w:r>
      <w:r>
        <w:rPr>
          <w:rStyle w:val="36"/>
          <w:lang/>
        </w:rPr>
        <w:instrText xml:space="preserve"> PAGEREF _Toc524612710 \h </w:instrText>
      </w:r>
      <w:r>
        <w:rPr>
          <w:rStyle w:val="36"/>
          <w:lang/>
        </w:rPr>
        <w:fldChar w:fldCharType="separate"/>
      </w:r>
      <w:r>
        <w:rPr>
          <w:rStyle w:val="36"/>
          <w:lang/>
        </w:rPr>
        <w:t>4</w:t>
      </w:r>
      <w:r>
        <w:rPr>
          <w:rStyle w:val="36"/>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"_Toc524612711"</w:instrText>
      </w:r>
      <w:r>
        <w:rPr>
          <w:rStyle w:val="36"/>
          <w:lang/>
        </w:rPr>
        <w:instrText xml:space="preserve"> </w:instrText>
      </w:r>
      <w:r>
        <w:rPr>
          <w:rStyle w:val="36"/>
          <w:lang/>
        </w:rPr>
        <w:fldChar w:fldCharType="separate"/>
      </w:r>
      <w:r>
        <w:rPr>
          <w:rStyle w:val="36"/>
          <w:rFonts w:hint="eastAsia" w:ascii="宋体" w:hAnsi="宋体"/>
          <w:b/>
          <w:lang/>
        </w:rPr>
        <w:t>前附表</w:t>
      </w:r>
      <w:r>
        <w:rPr>
          <w:lang/>
        </w:rPr>
        <w:tab/>
      </w:r>
      <w:r>
        <w:rPr>
          <w:lang/>
        </w:rPr>
        <w:fldChar w:fldCharType="begin"/>
      </w:r>
      <w:r>
        <w:rPr>
          <w:lang/>
        </w:rPr>
        <w:instrText xml:space="preserve"> PAGEREF _Toc524612711 \h </w:instrText>
      </w:r>
      <w:r>
        <w:rPr>
          <w:lang/>
        </w:rPr>
        <w:fldChar w:fldCharType="separate"/>
      </w:r>
      <w:r>
        <w:rPr>
          <w:lang/>
        </w:rPr>
        <w:t>4</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"_Toc524612712"</w:instrText>
      </w:r>
      <w:r>
        <w:rPr>
          <w:rStyle w:val="36"/>
          <w:lang/>
        </w:rPr>
        <w:instrText xml:space="preserve"> </w:instrText>
      </w:r>
      <w:r>
        <w:rPr>
          <w:rStyle w:val="36"/>
          <w:lang/>
        </w:rPr>
        <w:fldChar w:fldCharType="separate"/>
      </w:r>
      <w:r>
        <w:rPr>
          <w:rStyle w:val="36"/>
          <w:rFonts w:hint="eastAsia" w:ascii="宋体" w:hAnsi="宋体"/>
          <w:lang/>
        </w:rPr>
        <w:t>一</w:t>
      </w:r>
      <w:r>
        <w:rPr>
          <w:rStyle w:val="36"/>
          <w:rFonts w:ascii="宋体" w:hAnsi="宋体"/>
          <w:lang/>
        </w:rPr>
        <w:t xml:space="preserve">  </w:t>
      </w:r>
      <w:r>
        <w:rPr>
          <w:rStyle w:val="36"/>
          <w:rFonts w:hint="eastAsia" w:ascii="宋体" w:hAnsi="宋体"/>
          <w:lang/>
        </w:rPr>
        <w:t>总</w:t>
      </w:r>
      <w:r>
        <w:rPr>
          <w:rStyle w:val="36"/>
          <w:rFonts w:ascii="宋体" w:hAnsi="宋体"/>
          <w:lang/>
        </w:rPr>
        <w:t xml:space="preserve">  </w:t>
      </w:r>
      <w:bookmarkStart w:id="9" w:name="_Hlt8384598"/>
      <w:bookmarkStart w:id="10" w:name="_Hlt8384597"/>
      <w:r>
        <w:rPr>
          <w:rStyle w:val="36"/>
          <w:rFonts w:hint="eastAsia" w:ascii="宋体" w:hAnsi="宋体"/>
          <w:lang/>
        </w:rPr>
        <w:t>则</w:t>
      </w:r>
      <w:bookmarkEnd w:id="9"/>
      <w:bookmarkEnd w:id="10"/>
      <w:bookmarkStart w:id="11" w:name="_Hlt8384670"/>
      <w:r>
        <w:rPr>
          <w:lang/>
        </w:rPr>
        <w:tab/>
      </w:r>
      <w:bookmarkEnd w:id="11"/>
      <w:r>
        <w:rPr>
          <w:lang/>
        </w:rPr>
        <w:fldChar w:fldCharType="begin"/>
      </w:r>
      <w:r>
        <w:rPr>
          <w:lang/>
        </w:rPr>
        <w:instrText xml:space="preserve"> PAGEREF _Toc524612712 \h </w:instrText>
      </w:r>
      <w:r>
        <w:rPr>
          <w:lang/>
        </w:rPr>
        <w:fldChar w:fldCharType="separate"/>
      </w:r>
      <w:r>
        <w:rPr>
          <w:lang/>
        </w:rPr>
        <w:t>6</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"_Toc524612723"</w:instrText>
      </w:r>
      <w:r>
        <w:rPr>
          <w:rStyle w:val="36"/>
          <w:lang/>
        </w:rPr>
        <w:instrText xml:space="preserve"> </w:instrText>
      </w:r>
      <w:r>
        <w:rPr>
          <w:rStyle w:val="36"/>
          <w:lang/>
        </w:rPr>
        <w:fldChar w:fldCharType="separate"/>
      </w:r>
      <w:r>
        <w:rPr>
          <w:rStyle w:val="36"/>
          <w:rFonts w:hint="eastAsia" w:ascii="宋体" w:hAnsi="宋体"/>
          <w:lang/>
        </w:rPr>
        <w:t>二</w:t>
      </w:r>
      <w:r>
        <w:rPr>
          <w:rStyle w:val="36"/>
          <w:rFonts w:ascii="宋体" w:hAnsi="宋体"/>
          <w:lang/>
        </w:rPr>
        <w:t xml:space="preserve">  </w:t>
      </w:r>
      <w:r>
        <w:rPr>
          <w:rStyle w:val="36"/>
          <w:rFonts w:hint="eastAsia" w:ascii="宋体" w:hAnsi="宋体"/>
          <w:lang/>
        </w:rPr>
        <w:t>磋商文件</w:t>
      </w:r>
      <w:r>
        <w:rPr>
          <w:lang/>
        </w:rPr>
        <w:tab/>
      </w:r>
      <w:r>
        <w:rPr>
          <w:lang/>
        </w:rPr>
        <w:fldChar w:fldCharType="begin"/>
      </w:r>
      <w:r>
        <w:rPr>
          <w:lang/>
        </w:rPr>
        <w:instrText xml:space="preserve"> PAGEREF _Toc524612723 \h </w:instrText>
      </w:r>
      <w:r>
        <w:rPr>
          <w:lang/>
        </w:rPr>
        <w:fldChar w:fldCharType="separate"/>
      </w:r>
      <w:r>
        <w:rPr>
          <w:lang/>
        </w:rPr>
        <w:t>7</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"_Toc524612724"</w:instrText>
      </w:r>
      <w:r>
        <w:rPr>
          <w:rStyle w:val="36"/>
          <w:lang/>
        </w:rPr>
        <w:instrText xml:space="preserve"> </w:instrText>
      </w:r>
      <w:r>
        <w:rPr>
          <w:rStyle w:val="36"/>
          <w:lang/>
        </w:rPr>
        <w:fldChar w:fldCharType="separate"/>
      </w:r>
      <w:r>
        <w:rPr>
          <w:rStyle w:val="36"/>
          <w:rFonts w:hint="eastAsia" w:ascii="宋体" w:hAnsi="宋体"/>
          <w:lang/>
        </w:rPr>
        <w:t>三</w:t>
      </w:r>
      <w:r>
        <w:rPr>
          <w:rStyle w:val="36"/>
          <w:rFonts w:ascii="宋体" w:hAnsi="宋体"/>
          <w:lang/>
        </w:rPr>
        <w:t xml:space="preserve">  </w:t>
      </w:r>
      <w:r>
        <w:rPr>
          <w:rStyle w:val="36"/>
          <w:rFonts w:hint="eastAsia" w:ascii="宋体" w:hAnsi="宋体"/>
          <w:lang/>
        </w:rPr>
        <w:t>磋商响应文件的编制</w:t>
      </w:r>
      <w:r>
        <w:rPr>
          <w:lang/>
        </w:rPr>
        <w:tab/>
      </w:r>
      <w:r>
        <w:rPr>
          <w:lang/>
        </w:rPr>
        <w:fldChar w:fldCharType="begin"/>
      </w:r>
      <w:r>
        <w:rPr>
          <w:lang/>
        </w:rPr>
        <w:instrText xml:space="preserve"> PAGEREF _Toc524612724 \h </w:instrText>
      </w:r>
      <w:r>
        <w:rPr>
          <w:lang/>
        </w:rPr>
        <w:fldChar w:fldCharType="separate"/>
      </w:r>
      <w:r>
        <w:rPr>
          <w:lang/>
        </w:rPr>
        <w:t>8</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"_Toc524612752"</w:instrText>
      </w:r>
      <w:r>
        <w:rPr>
          <w:rStyle w:val="36"/>
          <w:lang/>
        </w:rPr>
        <w:instrText xml:space="preserve"> </w:instrText>
      </w:r>
      <w:r>
        <w:rPr>
          <w:rStyle w:val="36"/>
          <w:lang/>
        </w:rPr>
        <w:fldChar w:fldCharType="separate"/>
      </w:r>
      <w:r>
        <w:rPr>
          <w:rStyle w:val="36"/>
          <w:rFonts w:hint="eastAsia" w:ascii="宋体" w:hAnsi="宋体"/>
          <w:lang/>
        </w:rPr>
        <w:t>四</w:t>
      </w:r>
      <w:r>
        <w:rPr>
          <w:rStyle w:val="36"/>
          <w:rFonts w:ascii="宋体" w:hAnsi="宋体"/>
          <w:lang/>
        </w:rPr>
        <w:t xml:space="preserve">  </w:t>
      </w:r>
      <w:r>
        <w:rPr>
          <w:rStyle w:val="36"/>
          <w:rFonts w:hint="eastAsia" w:ascii="宋体" w:hAnsi="宋体"/>
          <w:lang/>
        </w:rPr>
        <w:t>磋商前的准备</w:t>
      </w:r>
      <w:r>
        <w:rPr>
          <w:lang/>
        </w:rPr>
        <w:tab/>
      </w:r>
      <w:r>
        <w:rPr>
          <w:lang/>
        </w:rPr>
        <w:fldChar w:fldCharType="begin"/>
      </w:r>
      <w:r>
        <w:rPr>
          <w:lang/>
        </w:rPr>
        <w:instrText xml:space="preserve"> PAGEREF _Toc524612752 \h </w:instrText>
      </w:r>
      <w:r>
        <w:rPr>
          <w:lang/>
        </w:rPr>
        <w:fldChar w:fldCharType="separate"/>
      </w:r>
      <w:r>
        <w:rPr>
          <w:lang/>
        </w:rPr>
        <w:t>10</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"_Toc524612753"</w:instrText>
      </w:r>
      <w:r>
        <w:rPr>
          <w:rStyle w:val="36"/>
          <w:lang/>
        </w:rPr>
        <w:instrText xml:space="preserve"> </w:instrText>
      </w:r>
      <w:r>
        <w:rPr>
          <w:rStyle w:val="36"/>
          <w:lang/>
        </w:rPr>
        <w:fldChar w:fldCharType="separate"/>
      </w:r>
      <w:r>
        <w:rPr>
          <w:rStyle w:val="36"/>
          <w:rFonts w:hint="eastAsia" w:ascii="宋体" w:hAnsi="宋体"/>
          <w:lang/>
        </w:rPr>
        <w:t>五</w:t>
      </w:r>
      <w:r>
        <w:rPr>
          <w:rStyle w:val="36"/>
          <w:rFonts w:ascii="宋体" w:hAnsi="宋体"/>
          <w:lang/>
        </w:rPr>
        <w:t xml:space="preserve">  </w:t>
      </w:r>
      <w:r>
        <w:rPr>
          <w:rStyle w:val="36"/>
          <w:rFonts w:hint="eastAsia" w:ascii="宋体" w:hAnsi="宋体"/>
          <w:lang/>
        </w:rPr>
        <w:t>磋商程序</w:t>
      </w:r>
      <w:bookmarkStart w:id="12" w:name="_Hlt525750088"/>
      <w:bookmarkStart w:id="13" w:name="_Hlt525750089"/>
      <w:r>
        <w:rPr>
          <w:lang/>
        </w:rPr>
        <w:tab/>
      </w:r>
      <w:bookmarkEnd w:id="12"/>
      <w:bookmarkEnd w:id="13"/>
      <w:r>
        <w:rPr>
          <w:lang/>
        </w:rPr>
        <w:fldChar w:fldCharType="begin"/>
      </w:r>
      <w:r>
        <w:rPr>
          <w:lang/>
        </w:rPr>
        <w:instrText xml:space="preserve"> PAGEREF _Toc524612753 \h </w:instrText>
      </w:r>
      <w:r>
        <w:rPr>
          <w:lang/>
        </w:rPr>
        <w:fldChar w:fldCharType="separate"/>
      </w:r>
      <w:r>
        <w:rPr>
          <w:lang/>
        </w:rPr>
        <w:t>10</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"_Toc524612760"</w:instrText>
      </w:r>
      <w:r>
        <w:rPr>
          <w:rStyle w:val="36"/>
          <w:lang/>
        </w:rPr>
        <w:instrText xml:space="preserve"> </w:instrText>
      </w:r>
      <w:r>
        <w:rPr>
          <w:rStyle w:val="36"/>
          <w:lang/>
        </w:rPr>
        <w:fldChar w:fldCharType="separate"/>
      </w:r>
      <w:r>
        <w:rPr>
          <w:rStyle w:val="36"/>
          <w:rFonts w:hint="eastAsia" w:ascii="宋体" w:hAnsi="宋体"/>
          <w:lang/>
        </w:rPr>
        <w:t>六</w:t>
      </w:r>
      <w:r>
        <w:rPr>
          <w:rStyle w:val="36"/>
          <w:rFonts w:ascii="宋体" w:hAnsi="宋体"/>
          <w:lang/>
        </w:rPr>
        <w:t xml:space="preserve">  </w:t>
      </w:r>
      <w:r>
        <w:rPr>
          <w:rStyle w:val="36"/>
          <w:rFonts w:hint="eastAsia" w:ascii="宋体" w:hAnsi="宋体"/>
          <w:lang/>
        </w:rPr>
        <w:t>评</w:t>
      </w:r>
      <w:r>
        <w:rPr>
          <w:rStyle w:val="36"/>
          <w:rFonts w:ascii="宋体" w:hAnsi="宋体"/>
          <w:lang/>
        </w:rPr>
        <w:t xml:space="preserve"> </w:t>
      </w:r>
      <w:r>
        <w:rPr>
          <w:rStyle w:val="36"/>
          <w:rFonts w:hint="eastAsia" w:ascii="宋体" w:hAnsi="宋体"/>
          <w:lang/>
        </w:rPr>
        <w:t>标</w:t>
      </w:r>
      <w:r>
        <w:rPr>
          <w:lang/>
        </w:rPr>
        <w:tab/>
      </w:r>
      <w:r>
        <w:rPr>
          <w:lang/>
        </w:rPr>
        <w:fldChar w:fldCharType="begin"/>
      </w:r>
      <w:r>
        <w:rPr>
          <w:lang/>
        </w:rPr>
        <w:instrText xml:space="preserve"> PAGEREF _Toc524612760 \h </w:instrText>
      </w:r>
      <w:r>
        <w:rPr>
          <w:lang/>
        </w:rPr>
        <w:fldChar w:fldCharType="separate"/>
      </w:r>
      <w:r>
        <w:rPr>
          <w:lang/>
        </w:rPr>
        <w:t>12</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"_Toc524612761"</w:instrText>
      </w:r>
      <w:r>
        <w:rPr>
          <w:rStyle w:val="36"/>
          <w:lang/>
        </w:rPr>
        <w:instrText xml:space="preserve"> </w:instrText>
      </w:r>
      <w:r>
        <w:rPr>
          <w:rStyle w:val="36"/>
          <w:lang/>
        </w:rPr>
        <w:fldChar w:fldCharType="separate"/>
      </w:r>
      <w:r>
        <w:rPr>
          <w:rStyle w:val="36"/>
          <w:rFonts w:hint="eastAsia" w:ascii="宋体" w:hAnsi="宋体"/>
          <w:lang/>
        </w:rPr>
        <w:t>七</w:t>
      </w:r>
      <w:r>
        <w:rPr>
          <w:rStyle w:val="36"/>
          <w:rFonts w:ascii="宋体" w:hAnsi="宋体"/>
          <w:lang/>
        </w:rPr>
        <w:t xml:space="preserve">  </w:t>
      </w:r>
      <w:r>
        <w:rPr>
          <w:rStyle w:val="36"/>
          <w:rFonts w:hint="eastAsia" w:ascii="宋体" w:hAnsi="宋体"/>
          <w:lang/>
        </w:rPr>
        <w:t>磋商结果的确定</w:t>
      </w:r>
      <w:r>
        <w:rPr>
          <w:lang/>
        </w:rPr>
        <w:tab/>
      </w:r>
      <w:r>
        <w:rPr>
          <w:lang/>
        </w:rPr>
        <w:fldChar w:fldCharType="begin"/>
      </w:r>
      <w:r>
        <w:rPr>
          <w:lang/>
        </w:rPr>
        <w:instrText xml:space="preserve"> PAGEREF _Toc524612761 \h </w:instrText>
      </w:r>
      <w:r>
        <w:rPr>
          <w:lang/>
        </w:rPr>
        <w:fldChar w:fldCharType="separate"/>
      </w:r>
      <w:r>
        <w:rPr>
          <w:lang/>
        </w:rPr>
        <w:t>13</w:t>
      </w:r>
      <w:r>
        <w:rPr>
          <w:lang/>
        </w:rPr>
        <w:fldChar w:fldCharType="end"/>
      </w:r>
      <w:r>
        <w:rPr>
          <w:rStyle w:val="36"/>
          <w:lang/>
        </w:rPr>
        <w:fldChar w:fldCharType="end"/>
      </w:r>
    </w:p>
    <w:p>
      <w:pPr>
        <w:pStyle w:val="27"/>
        <w:spacing w:before="120" w:after="120" w:line="360" w:lineRule="auto"/>
        <w:ind w:left="420" w:firstLine="0"/>
        <w:rPr>
          <w:rFonts w:ascii="Calibri" w:hAnsi="Calibri"/>
          <w:szCs w:val="22"/>
          <w:lang/>
        </w:rPr>
      </w:pPr>
      <w:r>
        <w:rPr>
          <w:rStyle w:val="36"/>
          <w:lang/>
        </w:rPr>
        <w:fldChar w:fldCharType="begin"/>
      </w:r>
      <w:r>
        <w:rPr>
          <w:rStyle w:val="36"/>
          <w:lang/>
        </w:rPr>
        <w:instrText xml:space="preserve"> </w:instrText>
      </w:r>
      <w:r>
        <w:rPr>
          <w:lang/>
        </w:rPr>
        <w:instrText xml:space="preserve">HYPERLINK \l "_Toc524612763"</w:instrText>
      </w:r>
      <w:r>
        <w:rPr>
          <w:rStyle w:val="36"/>
          <w:lang/>
        </w:rPr>
        <w:instrText xml:space="preserve"> </w:instrText>
      </w:r>
      <w:r>
        <w:rPr>
          <w:rStyle w:val="36"/>
          <w:lang/>
        </w:rPr>
        <w:fldChar w:fldCharType="separate"/>
      </w:r>
      <w:r>
        <w:rPr>
          <w:rStyle w:val="36"/>
          <w:rFonts w:hint="eastAsia" w:ascii="宋体" w:hAnsi="宋体"/>
          <w:lang/>
        </w:rPr>
        <w:t>八</w:t>
      </w:r>
      <w:r>
        <w:rPr>
          <w:rStyle w:val="36"/>
          <w:rFonts w:ascii="宋体" w:hAnsi="宋体"/>
          <w:lang/>
        </w:rPr>
        <w:t xml:space="preserve">  </w:t>
      </w:r>
      <w:r>
        <w:rPr>
          <w:rStyle w:val="36"/>
          <w:rFonts w:hint="eastAsia" w:ascii="宋体" w:hAnsi="宋体"/>
          <w:lang/>
        </w:rPr>
        <w:t>合同授予</w:t>
      </w:r>
      <w:r>
        <w:rPr>
          <w:lang/>
        </w:rPr>
        <w:tab/>
      </w:r>
      <w:bookmarkStart w:id="14" w:name="_Hlt8152403"/>
      <w:bookmarkStart w:id="15" w:name="_Hlt8152402"/>
      <w:bookmarkStart w:id="16" w:name="_Hlt8152447"/>
      <w:r>
        <w:rPr>
          <w:lang/>
        </w:rPr>
        <w:fldChar w:fldCharType="begin"/>
      </w:r>
      <w:r>
        <w:rPr>
          <w:lang/>
        </w:rPr>
        <w:instrText xml:space="preserve"> PAGEREF _Toc524612763 \h </w:instrText>
      </w:r>
      <w:r>
        <w:rPr>
          <w:lang/>
        </w:rPr>
        <w:fldChar w:fldCharType="separate"/>
      </w:r>
      <w:r>
        <w:rPr>
          <w:lang/>
        </w:rPr>
        <w:t>13</w:t>
      </w:r>
      <w:r>
        <w:rPr>
          <w:lang/>
        </w:rPr>
        <w:fldChar w:fldCharType="end"/>
      </w:r>
      <w:bookmarkEnd w:id="14"/>
      <w:bookmarkEnd w:id="15"/>
      <w:bookmarkEnd w:id="16"/>
      <w:r>
        <w:rPr>
          <w:rStyle w:val="36"/>
          <w:lang/>
        </w:rPr>
        <w:fldChar w:fldCharType="end"/>
      </w:r>
    </w:p>
    <w:p>
      <w:pPr>
        <w:pStyle w:val="27"/>
        <w:spacing w:before="120" w:after="120" w:line="360" w:lineRule="auto"/>
        <w:ind w:left="0" w:leftChars="0" w:firstLine="0"/>
        <w:rPr>
          <w:rStyle w:val="36"/>
          <w:lang/>
        </w:rPr>
      </w:pPr>
      <w:r>
        <w:rPr>
          <w:rStyle w:val="36"/>
          <w:lang/>
        </w:rPr>
        <w:fldChar w:fldCharType="begin"/>
      </w:r>
      <w:r>
        <w:rPr>
          <w:rStyle w:val="36"/>
          <w:lang/>
        </w:rPr>
        <w:instrText xml:space="preserve"> HYPERLINK \l "_Toc524612765" </w:instrText>
      </w:r>
      <w:r>
        <w:rPr>
          <w:rStyle w:val="36"/>
          <w:lang/>
        </w:rPr>
        <w:fldChar w:fldCharType="separate"/>
      </w:r>
      <w:r>
        <w:rPr>
          <w:rStyle w:val="36"/>
          <w:rFonts w:hint="eastAsia"/>
          <w:lang/>
        </w:rPr>
        <w:t>第三章</w:t>
      </w:r>
      <w:r>
        <w:rPr>
          <w:rStyle w:val="36"/>
          <w:lang/>
        </w:rPr>
        <w:t xml:space="preserve">  </w:t>
      </w:r>
      <w:r>
        <w:rPr>
          <w:rStyle w:val="36"/>
          <w:rFonts w:hint="eastAsia"/>
          <w:lang/>
        </w:rPr>
        <w:t>磋商项目需求</w:t>
      </w:r>
      <w:r>
        <w:rPr>
          <w:rStyle w:val="36"/>
          <w:lang/>
        </w:rPr>
        <w:tab/>
      </w:r>
      <w:r>
        <w:rPr>
          <w:rStyle w:val="36"/>
          <w:lang/>
        </w:rPr>
        <w:fldChar w:fldCharType="begin"/>
      </w:r>
      <w:r>
        <w:rPr>
          <w:rStyle w:val="36"/>
          <w:lang/>
        </w:rPr>
        <w:instrText xml:space="preserve"> PAGEREF _Toc524612765 \h </w:instrText>
      </w:r>
      <w:r>
        <w:rPr>
          <w:rStyle w:val="36"/>
          <w:lang/>
        </w:rPr>
        <w:fldChar w:fldCharType="separate"/>
      </w:r>
      <w:r>
        <w:rPr>
          <w:rStyle w:val="36"/>
          <w:lang/>
        </w:rPr>
        <w:t>14</w:t>
      </w:r>
      <w:r>
        <w:rPr>
          <w:rStyle w:val="36"/>
          <w:lang/>
        </w:rPr>
        <w:fldChar w:fldCharType="end"/>
      </w:r>
      <w:r>
        <w:rPr>
          <w:rStyle w:val="36"/>
          <w:lang/>
        </w:rPr>
        <w:fldChar w:fldCharType="end"/>
      </w:r>
    </w:p>
    <w:p>
      <w:pPr>
        <w:pStyle w:val="27"/>
        <w:spacing w:before="120" w:after="120" w:line="360" w:lineRule="auto"/>
        <w:ind w:left="424" w:leftChars="1" w:hanging="422" w:hangingChars="201"/>
        <w:rPr>
          <w:rStyle w:val="36"/>
          <w:lang/>
        </w:rPr>
      </w:pPr>
      <w:r>
        <w:rPr>
          <w:rStyle w:val="36"/>
          <w:lang/>
        </w:rPr>
        <w:fldChar w:fldCharType="begin"/>
      </w:r>
      <w:r>
        <w:rPr>
          <w:rStyle w:val="36"/>
          <w:lang/>
        </w:rPr>
        <w:instrText xml:space="preserve"> HYPERLINK \l "_Toc524612766" </w:instrText>
      </w:r>
      <w:r>
        <w:rPr>
          <w:rStyle w:val="36"/>
          <w:lang/>
        </w:rPr>
        <w:fldChar w:fldCharType="separate"/>
      </w:r>
      <w:r>
        <w:rPr>
          <w:rStyle w:val="36"/>
          <w:rFonts w:hint="eastAsia"/>
          <w:lang/>
        </w:rPr>
        <w:t>第四章</w:t>
      </w:r>
      <w:r>
        <w:rPr>
          <w:rStyle w:val="36"/>
          <w:lang/>
        </w:rPr>
        <w:t xml:space="preserve">  </w:t>
      </w:r>
      <w:r>
        <w:rPr>
          <w:rStyle w:val="36"/>
          <w:rFonts w:hint="eastAsia"/>
          <w:lang/>
        </w:rPr>
        <w:t>嘉兴市政府采购合同</w:t>
      </w:r>
      <w:r>
        <w:rPr>
          <w:rStyle w:val="36"/>
          <w:lang/>
        </w:rPr>
        <w:tab/>
      </w:r>
      <w:r>
        <w:rPr>
          <w:rStyle w:val="36"/>
          <w:lang/>
        </w:rPr>
        <w:fldChar w:fldCharType="begin"/>
      </w:r>
      <w:r>
        <w:rPr>
          <w:rStyle w:val="36"/>
          <w:lang/>
        </w:rPr>
        <w:instrText xml:space="preserve"> PAGEREF _Toc524612766 \h </w:instrText>
      </w:r>
      <w:r>
        <w:rPr>
          <w:rStyle w:val="36"/>
          <w:lang/>
        </w:rPr>
        <w:fldChar w:fldCharType="separate"/>
      </w:r>
      <w:r>
        <w:rPr>
          <w:rStyle w:val="36"/>
          <w:lang/>
        </w:rPr>
        <w:t>19</w:t>
      </w:r>
      <w:r>
        <w:rPr>
          <w:rStyle w:val="36"/>
          <w:lang/>
        </w:rPr>
        <w:fldChar w:fldCharType="end"/>
      </w:r>
      <w:r>
        <w:rPr>
          <w:rStyle w:val="36"/>
          <w:lang/>
        </w:rPr>
        <w:fldChar w:fldCharType="end"/>
      </w:r>
    </w:p>
    <w:p>
      <w:pPr>
        <w:pStyle w:val="27"/>
        <w:spacing w:before="120" w:after="120" w:line="360" w:lineRule="auto"/>
        <w:ind w:left="424" w:leftChars="1" w:hanging="422" w:hangingChars="201"/>
        <w:rPr>
          <w:rStyle w:val="36"/>
          <w:lang/>
        </w:rPr>
      </w:pPr>
      <w:r>
        <w:rPr>
          <w:rStyle w:val="36"/>
          <w:lang/>
        </w:rPr>
        <w:fldChar w:fldCharType="begin"/>
      </w:r>
      <w:r>
        <w:rPr>
          <w:rStyle w:val="36"/>
          <w:lang/>
        </w:rPr>
        <w:instrText xml:space="preserve"> HYPERLINK \l "_Toc524612767" </w:instrText>
      </w:r>
      <w:r>
        <w:rPr>
          <w:rStyle w:val="36"/>
          <w:lang/>
        </w:rPr>
        <w:fldChar w:fldCharType="separate"/>
      </w:r>
      <w:r>
        <w:rPr>
          <w:rStyle w:val="36"/>
          <w:rFonts w:hint="eastAsia"/>
          <w:lang/>
        </w:rPr>
        <w:t>第五章</w:t>
      </w:r>
      <w:r>
        <w:rPr>
          <w:rStyle w:val="36"/>
          <w:lang/>
        </w:rPr>
        <w:t xml:space="preserve">  </w:t>
      </w:r>
      <w:r>
        <w:rPr>
          <w:rStyle w:val="36"/>
          <w:rFonts w:hint="eastAsia"/>
          <w:lang/>
        </w:rPr>
        <w:t>磋商办法及标准</w:t>
      </w:r>
      <w:r>
        <w:rPr>
          <w:rStyle w:val="36"/>
          <w:lang/>
        </w:rPr>
        <w:tab/>
      </w:r>
      <w:bookmarkStart w:id="17" w:name="_Hlt525752764"/>
      <w:r>
        <w:rPr>
          <w:rStyle w:val="36"/>
          <w:lang/>
        </w:rPr>
        <w:fldChar w:fldCharType="begin"/>
      </w:r>
      <w:r>
        <w:rPr>
          <w:rStyle w:val="36"/>
          <w:lang/>
        </w:rPr>
        <w:instrText xml:space="preserve"> PAGEREF _Toc524612767 \h </w:instrText>
      </w:r>
      <w:r>
        <w:rPr>
          <w:rStyle w:val="36"/>
          <w:lang/>
        </w:rPr>
        <w:fldChar w:fldCharType="separate"/>
      </w:r>
      <w:r>
        <w:rPr>
          <w:rStyle w:val="36"/>
          <w:lang/>
        </w:rPr>
        <w:t>23</w:t>
      </w:r>
      <w:r>
        <w:rPr>
          <w:rStyle w:val="36"/>
          <w:lang/>
        </w:rPr>
        <w:fldChar w:fldCharType="end"/>
      </w:r>
      <w:bookmarkEnd w:id="17"/>
      <w:r>
        <w:rPr>
          <w:rStyle w:val="36"/>
          <w:lang/>
        </w:rPr>
        <w:fldChar w:fldCharType="end"/>
      </w:r>
    </w:p>
    <w:p>
      <w:pPr>
        <w:pStyle w:val="27"/>
        <w:spacing w:before="120" w:after="120" w:line="360" w:lineRule="auto"/>
        <w:ind w:left="424" w:leftChars="1" w:hanging="422" w:hangingChars="201"/>
        <w:rPr>
          <w:rStyle w:val="36"/>
          <w:lang/>
        </w:rPr>
      </w:pPr>
      <w:r>
        <w:rPr>
          <w:rStyle w:val="36"/>
          <w:lang/>
        </w:rPr>
        <w:fldChar w:fldCharType="begin"/>
      </w:r>
      <w:r>
        <w:rPr>
          <w:rStyle w:val="36"/>
          <w:lang/>
        </w:rPr>
        <w:instrText xml:space="preserve"> HYPERLINK \l "_Toc524612769" </w:instrText>
      </w:r>
      <w:r>
        <w:rPr>
          <w:rStyle w:val="36"/>
          <w:lang/>
        </w:rPr>
        <w:fldChar w:fldCharType="separate"/>
      </w:r>
      <w:r>
        <w:rPr>
          <w:rStyle w:val="36"/>
          <w:rFonts w:hint="eastAsia"/>
          <w:lang/>
        </w:rPr>
        <w:t>第六章　磋商相关文件格式</w:t>
      </w:r>
      <w:r>
        <w:rPr>
          <w:rStyle w:val="36"/>
          <w:lang/>
        </w:rPr>
        <w:tab/>
      </w:r>
      <w:r>
        <w:rPr>
          <w:rStyle w:val="36"/>
          <w:lang/>
        </w:rPr>
        <w:fldChar w:fldCharType="begin"/>
      </w:r>
      <w:r>
        <w:rPr>
          <w:rStyle w:val="36"/>
          <w:lang/>
        </w:rPr>
        <w:instrText xml:space="preserve"> PAGEREF _Toc524612769 \h </w:instrText>
      </w:r>
      <w:r>
        <w:rPr>
          <w:rStyle w:val="36"/>
          <w:lang/>
        </w:rPr>
        <w:fldChar w:fldCharType="separate"/>
      </w:r>
      <w:r>
        <w:rPr>
          <w:rStyle w:val="36"/>
          <w:lang/>
        </w:rPr>
        <w:t>26</w:t>
      </w:r>
      <w:r>
        <w:rPr>
          <w:rStyle w:val="36"/>
          <w:lang/>
        </w:rPr>
        <w:fldChar w:fldCharType="end"/>
      </w:r>
      <w:r>
        <w:rPr>
          <w:rStyle w:val="36"/>
          <w:lang/>
        </w:rPr>
        <w:fldChar w:fldCharType="end"/>
      </w:r>
    </w:p>
    <w:p>
      <w:pPr>
        <w:pStyle w:val="29"/>
        <w:ind w:left="-141" w:leftChars="-67"/>
        <w:rPr>
          <w:rFonts w:hint="eastAsia" w:ascii="宋体" w:hAnsi="宋体"/>
          <w:sz w:val="24"/>
          <w:szCs w:val="24"/>
        </w:rPr>
      </w:pPr>
      <w:r>
        <w:rPr>
          <w:rFonts w:ascii="宋体" w:hAnsi="宋体"/>
          <w:b w:val="0"/>
          <w:sz w:val="21"/>
          <w:szCs w:val="21"/>
        </w:rPr>
        <w:fldChar w:fldCharType="end"/>
      </w:r>
      <w:r>
        <w:rPr>
          <w:rFonts w:ascii="宋体" w:hAnsi="宋体"/>
        </w:rPr>
        <w:br w:type="page"/>
      </w:r>
      <w:bookmarkStart w:id="18" w:name="_Toc524612709"/>
      <w:r>
        <w:rPr>
          <w:rFonts w:hint="eastAsia" w:ascii="宋体" w:hAnsi="宋体"/>
          <w:sz w:val="24"/>
          <w:szCs w:val="24"/>
        </w:rPr>
        <w:t>第一章  竞争性磋商采购公告</w:t>
      </w:r>
      <w:bookmarkEnd w:id="8"/>
      <w:bookmarkEnd w:id="18"/>
    </w:p>
    <w:p>
      <w:pPr>
        <w:spacing w:line="360" w:lineRule="auto"/>
        <w:ind w:firstLine="525" w:firstLineChars="250"/>
        <w:rPr>
          <w:rFonts w:hint="eastAsia" w:ascii="宋体" w:hAnsi="宋体"/>
          <w:szCs w:val="21"/>
        </w:rPr>
      </w:pPr>
    </w:p>
    <w:p>
      <w:pPr>
        <w:spacing w:line="360" w:lineRule="auto"/>
        <w:ind w:firstLine="525" w:firstLineChars="250"/>
        <w:rPr>
          <w:rFonts w:ascii="宋体" w:hAnsi="宋体" w:cs="宋体"/>
          <w:kern w:val="0"/>
          <w:sz w:val="24"/>
        </w:rPr>
      </w:pPr>
      <w:r>
        <w:rPr>
          <w:rFonts w:ascii="宋体" w:hAnsi="宋体"/>
          <w:szCs w:val="21"/>
        </w:rPr>
        <w:t>根据《中华人民共和国政府采购法》、</w:t>
      </w:r>
      <w:r>
        <w:rPr>
          <w:rFonts w:hint="eastAsia" w:ascii="宋体" w:hAnsi="宋体"/>
          <w:szCs w:val="21"/>
        </w:rPr>
        <w:t>《</w:t>
      </w:r>
      <w:r>
        <w:rPr>
          <w:rFonts w:ascii="宋体" w:hAnsi="宋体"/>
          <w:szCs w:val="21"/>
        </w:rPr>
        <w:t>中华人民共和国政府采购法实施条例</w:t>
      </w:r>
      <w:r>
        <w:rPr>
          <w:rFonts w:hint="eastAsia" w:ascii="宋体" w:hAnsi="宋体"/>
          <w:szCs w:val="21"/>
        </w:rPr>
        <w:t>》和</w:t>
      </w:r>
      <w:r>
        <w:rPr>
          <w:rFonts w:ascii="宋体" w:hAnsi="宋体"/>
          <w:szCs w:val="21"/>
        </w:rPr>
        <w:t>《政府采购货物和服务招标投标管理办法》等规定</w:t>
      </w:r>
      <w:r>
        <w:rPr>
          <w:rFonts w:hint="eastAsia" w:ascii="宋体" w:hAnsi="宋体"/>
          <w:szCs w:val="21"/>
        </w:rPr>
        <w:t>，浙江禾城工程管理有限公司受采购人委托，经嘉兴经济技术开发区财政局采购计划文号</w:t>
      </w:r>
      <w:r>
        <w:rPr>
          <w:rFonts w:ascii="宋体" w:hAnsi="宋体"/>
          <w:szCs w:val="21"/>
        </w:rPr>
        <w:t>JM-00006346-1</w:t>
      </w:r>
      <w:r>
        <w:rPr>
          <w:rFonts w:hint="eastAsia" w:ascii="宋体" w:hAnsi="宋体"/>
          <w:szCs w:val="21"/>
        </w:rPr>
        <w:t>批准，现就以下项目</w:t>
      </w:r>
      <w:r>
        <w:rPr>
          <w:rFonts w:ascii="宋体" w:hAnsi="宋体"/>
          <w:szCs w:val="21"/>
        </w:rPr>
        <w:t>进行</w:t>
      </w:r>
      <w:r>
        <w:rPr>
          <w:rFonts w:hint="eastAsia" w:ascii="宋体" w:hAnsi="宋体"/>
          <w:szCs w:val="21"/>
        </w:rPr>
        <w:t>竞争性磋商</w:t>
      </w:r>
      <w:r>
        <w:rPr>
          <w:rFonts w:ascii="宋体" w:hAnsi="宋体"/>
          <w:szCs w:val="21"/>
        </w:rPr>
        <w:t>采购，</w:t>
      </w:r>
      <w:r>
        <w:rPr>
          <w:rFonts w:hint="eastAsia" w:ascii="宋体" w:hAnsi="宋体"/>
          <w:szCs w:val="21"/>
        </w:rPr>
        <w:t>欢迎国内合格供应商前来投标，现将有有关事项公告如下：</w:t>
      </w:r>
    </w:p>
    <w:p>
      <w:pPr>
        <w:snapToGrid w:val="0"/>
        <w:spacing w:line="360" w:lineRule="auto"/>
        <w:ind w:firstLine="420" w:firstLineChars="200"/>
        <w:rPr>
          <w:rFonts w:ascii="宋体" w:hAnsi="宋体" w:cs="Arial"/>
          <w:b/>
          <w:bCs/>
          <w:szCs w:val="21"/>
        </w:rPr>
      </w:pPr>
      <w:r>
        <w:rPr>
          <w:rFonts w:hint="eastAsia" w:ascii="宋体" w:hAnsi="宋体" w:cs="Arial"/>
          <w:szCs w:val="21"/>
        </w:rPr>
        <w:t>一、</w:t>
      </w:r>
      <w:r>
        <w:rPr>
          <w:rFonts w:hint="eastAsia" w:ascii="宋体" w:hAnsi="宋体" w:cs="Arial"/>
          <w:b/>
          <w:bCs/>
          <w:szCs w:val="21"/>
        </w:rPr>
        <w:t>项目编号：浙江禾城-2019-020</w:t>
      </w:r>
    </w:p>
    <w:p>
      <w:pPr>
        <w:snapToGrid w:val="0"/>
        <w:spacing w:line="360" w:lineRule="auto"/>
        <w:ind w:firstLine="420" w:firstLineChars="200"/>
        <w:rPr>
          <w:rFonts w:ascii="宋体" w:hAnsi="宋体" w:cs="Arial"/>
          <w:szCs w:val="21"/>
        </w:rPr>
      </w:pPr>
      <w:r>
        <w:rPr>
          <w:rFonts w:hint="eastAsia" w:ascii="宋体" w:hAnsi="宋体" w:cs="Arial"/>
          <w:szCs w:val="21"/>
        </w:rPr>
        <w:t>二、</w:t>
      </w:r>
      <w:r>
        <w:rPr>
          <w:rFonts w:hint="eastAsia" w:ascii="宋体" w:hAnsi="宋体" w:cs="Arial"/>
          <w:b/>
          <w:szCs w:val="21"/>
        </w:rPr>
        <w:t>采购组织类型：分散采购委托代理</w:t>
      </w:r>
    </w:p>
    <w:p>
      <w:pPr>
        <w:snapToGrid w:val="0"/>
        <w:spacing w:line="360" w:lineRule="auto"/>
        <w:ind w:firstLine="422" w:firstLineChars="200"/>
        <w:rPr>
          <w:rFonts w:ascii="宋体" w:hAnsi="宋体" w:cs="Arial"/>
          <w:szCs w:val="21"/>
        </w:rPr>
      </w:pPr>
      <w:r>
        <w:rPr>
          <w:rFonts w:hint="eastAsia" w:ascii="宋体" w:hAnsi="宋体" w:cs="Arial"/>
          <w:b/>
          <w:szCs w:val="21"/>
        </w:rPr>
        <w:t>三、采购方式：竞争性磋商</w:t>
      </w:r>
    </w:p>
    <w:p>
      <w:pPr>
        <w:snapToGrid w:val="0"/>
        <w:spacing w:line="360" w:lineRule="auto"/>
        <w:ind w:left="420" w:leftChars="200"/>
        <w:rPr>
          <w:rFonts w:ascii="宋体" w:hAnsi="宋体"/>
          <w:b/>
          <w:szCs w:val="21"/>
        </w:rPr>
      </w:pPr>
      <w:r>
        <w:rPr>
          <w:rFonts w:hint="eastAsia" w:ascii="宋体" w:hAnsi="宋体" w:cs="Arial"/>
          <w:b/>
          <w:szCs w:val="21"/>
        </w:rPr>
        <w:t xml:space="preserve">四、招标项目: </w:t>
      </w:r>
      <w:r>
        <w:rPr>
          <w:rFonts w:hint="eastAsia" w:ascii="宋体" w:hAnsi="宋体"/>
          <w:b/>
          <w:szCs w:val="21"/>
        </w:rPr>
        <w:t>嘉兴市公安局经济技术开发区(国际商务区)分局移动**通购买项目</w:t>
      </w:r>
    </w:p>
    <w:p>
      <w:pPr>
        <w:snapToGrid w:val="0"/>
        <w:spacing w:line="360" w:lineRule="auto"/>
        <w:ind w:firstLine="422" w:firstLineChars="200"/>
        <w:rPr>
          <w:rFonts w:hint="eastAsia" w:ascii="宋体" w:hAnsi="宋体" w:cs="Arial"/>
          <w:b/>
          <w:szCs w:val="21"/>
        </w:rPr>
      </w:pPr>
      <w:r>
        <w:rPr>
          <w:rFonts w:hint="eastAsia" w:ascii="宋体" w:hAnsi="宋体" w:cs="Arial"/>
          <w:b/>
          <w:szCs w:val="21"/>
        </w:rPr>
        <w:t>五、招标采购内容：</w:t>
      </w:r>
    </w:p>
    <w:p>
      <w:pPr>
        <w:adjustRightInd w:val="0"/>
        <w:snapToGrid w:val="0"/>
        <w:spacing w:line="360" w:lineRule="auto"/>
        <w:ind w:firstLine="474" w:firstLineChars="225"/>
        <w:rPr>
          <w:rFonts w:ascii="宋体" w:hAnsi="宋体" w:cs="Arial"/>
          <w:b/>
          <w:szCs w:val="21"/>
        </w:rPr>
      </w:pPr>
      <w:r>
        <w:rPr>
          <w:rFonts w:hint="eastAsia" w:ascii="宋体" w:hAnsi="宋体"/>
          <w:b/>
          <w:szCs w:val="21"/>
        </w:rPr>
        <w:t>嘉兴市公安局经济技术开发区(国际商务区)分局移动**通购买项目(</w:t>
      </w:r>
      <w:r>
        <w:rPr>
          <w:rFonts w:ascii="宋体" w:hAnsi="宋体" w:cs="Arial"/>
          <w:b/>
          <w:szCs w:val="21"/>
        </w:rPr>
        <w:t>详见</w:t>
      </w:r>
      <w:r>
        <w:rPr>
          <w:rFonts w:hint="eastAsia" w:ascii="宋体" w:hAnsi="宋体" w:cs="Arial"/>
          <w:b/>
          <w:szCs w:val="21"/>
        </w:rPr>
        <w:t>第三章磋商项目需求</w:t>
      </w:r>
      <w:r>
        <w:rPr>
          <w:rFonts w:ascii="宋体" w:hAnsi="宋体" w:cs="Arial"/>
          <w:b/>
          <w:szCs w:val="21"/>
        </w:rPr>
        <w:t>）</w:t>
      </w:r>
      <w:r>
        <w:rPr>
          <w:rFonts w:hint="eastAsia" w:ascii="宋体" w:hAnsi="宋体" w:cs="Arial"/>
          <w:b/>
          <w:szCs w:val="21"/>
        </w:rPr>
        <w:t>100套。</w:t>
      </w:r>
      <w:r>
        <w:rPr>
          <w:rFonts w:ascii="宋体" w:hAnsi="宋体" w:cs="Arial"/>
          <w:b/>
          <w:szCs w:val="21"/>
        </w:rPr>
        <w:t>预算金额：人民币</w:t>
      </w:r>
      <w:r>
        <w:rPr>
          <w:rFonts w:hint="eastAsia" w:ascii="宋体" w:hAnsi="宋体" w:cs="Arial"/>
          <w:b/>
          <w:szCs w:val="21"/>
        </w:rPr>
        <w:t>44.992</w:t>
      </w:r>
      <w:r>
        <w:rPr>
          <w:rFonts w:ascii="宋体" w:hAnsi="宋体" w:cs="Arial"/>
          <w:b/>
          <w:szCs w:val="21"/>
        </w:rPr>
        <w:t>万元</w:t>
      </w:r>
      <w:r>
        <w:rPr>
          <w:rFonts w:hint="eastAsia" w:ascii="宋体" w:hAnsi="宋体" w:cs="Arial"/>
          <w:b/>
          <w:szCs w:val="21"/>
        </w:rPr>
        <w:t>。</w:t>
      </w:r>
    </w:p>
    <w:p>
      <w:pPr>
        <w:snapToGrid w:val="0"/>
        <w:spacing w:line="360" w:lineRule="auto"/>
        <w:ind w:firstLine="422" w:firstLineChars="200"/>
        <w:rPr>
          <w:rFonts w:ascii="宋体" w:hAnsi="宋体" w:cs="Arial"/>
          <w:b/>
          <w:bCs/>
          <w:szCs w:val="21"/>
        </w:rPr>
      </w:pPr>
      <w:r>
        <w:rPr>
          <w:rFonts w:hint="eastAsia" w:ascii="宋体" w:hAnsi="宋体" w:cs="Arial"/>
          <w:b/>
          <w:szCs w:val="21"/>
        </w:rPr>
        <w:t>六</w:t>
      </w:r>
      <w:r>
        <w:rPr>
          <w:rFonts w:hint="eastAsia" w:ascii="宋体" w:hAnsi="宋体" w:cs="Arial"/>
          <w:szCs w:val="21"/>
        </w:rPr>
        <w:t>、</w:t>
      </w:r>
      <w:r>
        <w:rPr>
          <w:rFonts w:hint="eastAsia" w:ascii="宋体" w:hAnsi="宋体" w:cs="Arial"/>
          <w:b/>
          <w:bCs/>
          <w:szCs w:val="21"/>
        </w:rPr>
        <w:t>合格投标人的资格要求</w:t>
      </w:r>
    </w:p>
    <w:p>
      <w:pPr>
        <w:spacing w:line="360" w:lineRule="auto"/>
        <w:ind w:firstLine="525" w:firstLineChars="250"/>
        <w:rPr>
          <w:rFonts w:hint="eastAsia" w:ascii="宋体" w:hAnsi="宋体"/>
          <w:szCs w:val="21"/>
        </w:rPr>
      </w:pPr>
      <w:r>
        <w:rPr>
          <w:rFonts w:hint="eastAsia" w:ascii="宋体" w:hAnsi="宋体"/>
          <w:szCs w:val="21"/>
        </w:rPr>
        <w:t>1、符合《中华人民共和国政府采购法》第二十二条（1.具有独立承担民事责任的能力；2.具有良好的商业信誉和健全的财务会计制度；3.具有履行合同所必需的设备和专业技术能力；4</w:t>
      </w:r>
      <w:r>
        <w:rPr>
          <w:rFonts w:ascii="宋体" w:hAnsi="宋体"/>
          <w:szCs w:val="21"/>
        </w:rPr>
        <w:t>.</w:t>
      </w:r>
      <w:r>
        <w:rPr>
          <w:rFonts w:hint="eastAsia" w:ascii="宋体" w:hAnsi="宋体"/>
          <w:szCs w:val="21"/>
        </w:rPr>
        <w:t>有依法缴纳税收和社会保障资金的良好记录；5</w:t>
      </w:r>
      <w:r>
        <w:rPr>
          <w:rFonts w:ascii="宋体" w:hAnsi="宋体"/>
          <w:szCs w:val="21"/>
        </w:rPr>
        <w:t>.</w:t>
      </w:r>
      <w:r>
        <w:rPr>
          <w:rFonts w:hint="eastAsia" w:ascii="宋体" w:hAnsi="宋体"/>
          <w:szCs w:val="21"/>
        </w:rPr>
        <w:t>参加政府采购活动前三年，在经营活动中没有重大违法记录；6</w:t>
      </w:r>
      <w:r>
        <w:rPr>
          <w:rFonts w:ascii="宋体" w:hAnsi="宋体"/>
          <w:szCs w:val="21"/>
        </w:rPr>
        <w:t>.</w:t>
      </w:r>
      <w:r>
        <w:rPr>
          <w:rFonts w:hint="eastAsia" w:ascii="宋体" w:hAnsi="宋体"/>
          <w:szCs w:val="21"/>
        </w:rPr>
        <w:t>法律、行政法规规定的其他条件。）</w:t>
      </w:r>
    </w:p>
    <w:p>
      <w:pPr>
        <w:spacing w:line="360" w:lineRule="auto"/>
        <w:ind w:firstLine="525" w:firstLineChars="250"/>
        <w:rPr>
          <w:rFonts w:hint="eastAsia" w:ascii="宋体" w:hAnsi="宋体"/>
          <w:szCs w:val="21"/>
        </w:rPr>
      </w:pPr>
      <w:r>
        <w:rPr>
          <w:rFonts w:ascii="宋体" w:hAnsi="宋体"/>
          <w:szCs w:val="21"/>
        </w:rPr>
        <w:t>2、</w:t>
      </w:r>
      <w:r>
        <w:rPr>
          <w:rFonts w:hint="eastAsia" w:ascii="宋体" w:hAnsi="宋体"/>
          <w:szCs w:val="21"/>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以开标当日采购人或由采购人委托的评标委员会核实的查询结果为准）。</w:t>
      </w:r>
    </w:p>
    <w:p>
      <w:pPr>
        <w:spacing w:line="360" w:lineRule="auto"/>
        <w:ind w:firstLine="525" w:firstLineChars="250"/>
        <w:rPr>
          <w:rFonts w:hint="eastAsia" w:ascii="宋体" w:hAnsi="宋体"/>
          <w:szCs w:val="21"/>
        </w:rPr>
      </w:pPr>
      <w:r>
        <w:rPr>
          <w:rFonts w:ascii="宋体" w:hAnsi="宋体"/>
          <w:szCs w:val="21"/>
        </w:rPr>
        <w:t>3</w:t>
      </w:r>
      <w:r>
        <w:rPr>
          <w:rFonts w:hint="eastAsia" w:ascii="宋体" w:hAnsi="宋体"/>
          <w:szCs w:val="21"/>
        </w:rPr>
        <w:t>、本项目谢绝联合体投标。</w:t>
      </w:r>
    </w:p>
    <w:p>
      <w:pPr>
        <w:spacing w:line="360" w:lineRule="auto"/>
        <w:ind w:firstLine="525" w:firstLineChars="250"/>
        <w:rPr>
          <w:rFonts w:hint="eastAsia" w:ascii="宋体" w:hAnsi="宋体" w:cs="Arial"/>
          <w:szCs w:val="21"/>
        </w:rPr>
      </w:pPr>
      <w:r>
        <w:rPr>
          <w:rFonts w:hint="eastAsia" w:ascii="宋体" w:hAnsi="宋体"/>
          <w:szCs w:val="21"/>
        </w:rPr>
        <w:t>注：本采购项目，中标单位与采购单位签订的政府采购合同适用于嘉兴市政府采购贷款政策，简称“政采贷”，具体内容可参阅政府采购贷款流程：</w:t>
      </w: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http://www.jxzbtb.gov.cn/jxcms/jxztb/category/zcd/zcd_zxqyrzwj/list.html</w:instrText>
      </w:r>
      <w:r>
        <w:rPr>
          <w:rFonts w:ascii="宋体" w:hAnsi="宋体"/>
          <w:szCs w:val="21"/>
        </w:rPr>
        <w:instrText xml:space="preserve">" </w:instrText>
      </w:r>
      <w:r>
        <w:rPr>
          <w:rFonts w:ascii="宋体" w:hAnsi="宋体"/>
          <w:szCs w:val="21"/>
        </w:rPr>
        <w:fldChar w:fldCharType="separate"/>
      </w:r>
      <w:r>
        <w:rPr>
          <w:rFonts w:hint="eastAsia"/>
        </w:rPr>
        <w:t>http://www.jxzbtb.gov.cn/jxcms/jxztb/category/zcd/zcd_zxqyrzwj/list.html</w:t>
      </w:r>
      <w:r>
        <w:rPr>
          <w:rFonts w:ascii="宋体" w:hAnsi="宋体"/>
          <w:szCs w:val="21"/>
        </w:rPr>
        <w:fldChar w:fldCharType="end"/>
      </w:r>
      <w:r>
        <w:rPr>
          <w:rFonts w:hint="eastAsia" w:ascii="宋体" w:hAnsi="宋体"/>
          <w:szCs w:val="21"/>
        </w:rPr>
        <w:t>。</w:t>
      </w:r>
    </w:p>
    <w:p>
      <w:pPr>
        <w:snapToGrid w:val="0"/>
        <w:spacing w:line="360" w:lineRule="auto"/>
        <w:ind w:firstLine="422" w:firstLineChars="200"/>
        <w:rPr>
          <w:rFonts w:ascii="宋体" w:hAnsi="宋体" w:cs="Arial"/>
          <w:b/>
          <w:szCs w:val="21"/>
        </w:rPr>
      </w:pPr>
      <w:r>
        <w:rPr>
          <w:rFonts w:hint="eastAsia" w:ascii="宋体" w:hAnsi="宋体" w:cs="Arial"/>
          <w:b/>
          <w:szCs w:val="21"/>
        </w:rPr>
        <w:t>七、报名及招标文件的获取：</w:t>
      </w:r>
    </w:p>
    <w:p>
      <w:pPr>
        <w:spacing w:line="360" w:lineRule="auto"/>
        <w:ind w:firstLine="527" w:firstLineChars="250"/>
        <w:rPr>
          <w:rFonts w:hint="eastAsia" w:ascii="宋体" w:hAnsi="宋体"/>
          <w:b/>
          <w:szCs w:val="21"/>
        </w:rPr>
      </w:pPr>
      <w:r>
        <w:rPr>
          <w:rFonts w:hint="eastAsia" w:ascii="宋体" w:hAnsi="宋体"/>
          <w:b/>
          <w:szCs w:val="21"/>
        </w:rPr>
        <w:t>1、报名：本项目实行网上报名，不接受现场报名，现场报名的投标文件将被拒绝。</w:t>
      </w:r>
    </w:p>
    <w:p>
      <w:pPr>
        <w:spacing w:line="360" w:lineRule="auto"/>
        <w:ind w:firstLine="527" w:firstLineChars="250"/>
        <w:rPr>
          <w:rFonts w:hint="eastAsia" w:ascii="宋体" w:hAnsi="宋体"/>
          <w:szCs w:val="21"/>
        </w:rPr>
      </w:pPr>
      <w:r>
        <w:rPr>
          <w:rFonts w:hint="eastAsia" w:ascii="宋体" w:hAnsi="宋体"/>
          <w:b/>
          <w:szCs w:val="21"/>
        </w:rPr>
        <w:t>报名网址：</w:t>
      </w:r>
      <w:r>
        <w:rPr>
          <w:rFonts w:hint="eastAsia" w:ascii="宋体" w:hAnsi="宋体"/>
          <w:szCs w:val="21"/>
        </w:rPr>
        <w:t>浙江政府采购网：http://www.zjzfcg.gov.cn/（“政采云用户”登录后进行报名）</w:t>
      </w:r>
    </w:p>
    <w:p>
      <w:pPr>
        <w:spacing w:line="360" w:lineRule="auto"/>
        <w:ind w:firstLine="527" w:firstLineChars="250"/>
        <w:rPr>
          <w:rFonts w:hint="eastAsia" w:ascii="宋体" w:hAnsi="宋体"/>
          <w:b/>
          <w:szCs w:val="21"/>
        </w:rPr>
      </w:pPr>
      <w:r>
        <w:rPr>
          <w:rFonts w:hint="eastAsia" w:ascii="宋体" w:hAnsi="宋体"/>
          <w:b/>
          <w:szCs w:val="21"/>
        </w:rPr>
        <w:t>说明：</w:t>
      </w:r>
    </w:p>
    <w:p>
      <w:pPr>
        <w:spacing w:line="360" w:lineRule="auto"/>
        <w:ind w:firstLine="525" w:firstLineChars="250"/>
        <w:rPr>
          <w:rFonts w:hint="eastAsia" w:ascii="宋体" w:hAnsi="宋体"/>
          <w:szCs w:val="21"/>
        </w:rPr>
      </w:pPr>
      <w:r>
        <w:rPr>
          <w:rFonts w:hint="eastAsia" w:ascii="宋体" w:hAnsi="宋体"/>
          <w:szCs w:val="21"/>
        </w:rPr>
        <w:t>未注册的投标人：可在浙江政府采购网完成供应商注册后再行报名</w:t>
      </w:r>
    </w:p>
    <w:p>
      <w:pPr>
        <w:spacing w:line="360" w:lineRule="auto"/>
        <w:ind w:firstLine="525" w:firstLineChars="250"/>
        <w:rPr>
          <w:rFonts w:ascii="宋体" w:hAnsi="宋体"/>
          <w:szCs w:val="21"/>
        </w:rPr>
      </w:pPr>
      <w:r>
        <w:rPr>
          <w:rFonts w:hint="eastAsia" w:ascii="宋体" w:hAnsi="宋体"/>
          <w:szCs w:val="21"/>
        </w:rPr>
        <w:t>注册地址：</w:t>
      </w: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http://www.zjzfcg.gov.cn/</w:instrText>
      </w:r>
      <w:r>
        <w:rPr>
          <w:rFonts w:ascii="宋体" w:hAnsi="宋体"/>
          <w:szCs w:val="21"/>
        </w:rPr>
        <w:instrText xml:space="preserve">" </w:instrText>
      </w:r>
      <w:r>
        <w:rPr>
          <w:rFonts w:ascii="宋体" w:hAnsi="宋体"/>
          <w:szCs w:val="21"/>
        </w:rPr>
        <w:fldChar w:fldCharType="separate"/>
      </w:r>
      <w:r>
        <w:rPr>
          <w:rFonts w:hint="eastAsia"/>
        </w:rPr>
        <w:t>http://www.zjzfcg.gov.cn/</w:t>
      </w:r>
      <w:r>
        <w:rPr>
          <w:rFonts w:ascii="宋体" w:hAnsi="宋体"/>
          <w:szCs w:val="21"/>
        </w:rPr>
        <w:fldChar w:fldCharType="end"/>
      </w:r>
    </w:p>
    <w:p>
      <w:pPr>
        <w:spacing w:line="360" w:lineRule="auto"/>
        <w:ind w:firstLine="525" w:firstLineChars="250"/>
        <w:rPr>
          <w:rFonts w:hint="eastAsia" w:ascii="宋体" w:hAnsi="宋体"/>
          <w:szCs w:val="21"/>
        </w:rPr>
      </w:pPr>
      <w:r>
        <w:rPr>
          <w:rFonts w:hint="eastAsia" w:ascii="宋体" w:hAnsi="宋体"/>
          <w:szCs w:val="21"/>
        </w:rPr>
        <w:t>政采云咨询电话：400-881-7190；</w:t>
      </w:r>
    </w:p>
    <w:p>
      <w:pPr>
        <w:spacing w:line="360" w:lineRule="auto"/>
        <w:ind w:firstLine="527" w:firstLineChars="250"/>
        <w:rPr>
          <w:rFonts w:hint="eastAsia" w:ascii="宋体" w:hAnsi="宋体"/>
          <w:b/>
          <w:szCs w:val="21"/>
        </w:rPr>
      </w:pPr>
      <w:r>
        <w:rPr>
          <w:rFonts w:hint="eastAsia" w:ascii="宋体" w:hAnsi="宋体"/>
          <w:b/>
          <w:szCs w:val="21"/>
          <w:highlight w:val="yellow"/>
        </w:rPr>
        <w:t>2、报名时间：2019年05月20日至2019年05月27日</w:t>
      </w:r>
    </w:p>
    <w:p>
      <w:pPr>
        <w:spacing w:line="360" w:lineRule="auto"/>
        <w:ind w:firstLine="525" w:firstLineChars="250"/>
        <w:rPr>
          <w:rFonts w:hint="eastAsia" w:ascii="宋体" w:hAnsi="宋体"/>
          <w:szCs w:val="21"/>
        </w:rPr>
      </w:pPr>
      <w:r>
        <w:rPr>
          <w:rFonts w:hint="eastAsia" w:ascii="宋体" w:hAnsi="宋体"/>
          <w:szCs w:val="21"/>
        </w:rPr>
        <w:t>报名时间截止后至投标截止时间前允许潜在投标人获取招标文件，但供应商如对采购文件有异议应按采购文件规定的时间提出，逾期提出的不予受理、答复。</w:t>
      </w:r>
    </w:p>
    <w:p>
      <w:pPr>
        <w:spacing w:line="360" w:lineRule="auto"/>
        <w:ind w:firstLine="527" w:firstLineChars="250"/>
        <w:rPr>
          <w:rFonts w:hint="eastAsia" w:ascii="宋体" w:hAnsi="宋体"/>
          <w:b/>
          <w:szCs w:val="21"/>
        </w:rPr>
      </w:pPr>
      <w:r>
        <w:rPr>
          <w:rFonts w:hint="eastAsia" w:ascii="宋体" w:hAnsi="宋体"/>
          <w:b/>
          <w:szCs w:val="21"/>
        </w:rPr>
        <w:t>3、招标文件的获取（网上下载）：</w:t>
      </w:r>
    </w:p>
    <w:p>
      <w:pPr>
        <w:spacing w:line="360" w:lineRule="auto"/>
        <w:ind w:firstLine="525" w:firstLineChars="250"/>
        <w:rPr>
          <w:rFonts w:ascii="宋体" w:hAnsi="宋体"/>
          <w:szCs w:val="21"/>
        </w:rPr>
      </w:pPr>
      <w:r>
        <w:rPr>
          <w:rFonts w:hint="eastAsia" w:ascii="宋体" w:hAnsi="宋体"/>
          <w:szCs w:val="21"/>
        </w:rPr>
        <w:t>浙江政府采购网：</w:t>
      </w:r>
      <w:r>
        <w:rPr>
          <w:rFonts w:hint="eastAsia" w:ascii="宋体" w:hAnsi="宋体"/>
          <w:szCs w:val="21"/>
        </w:rPr>
        <w:fldChar w:fldCharType="begin"/>
      </w:r>
      <w:r>
        <w:rPr>
          <w:rFonts w:hint="eastAsia" w:ascii="宋体" w:hAnsi="宋体"/>
          <w:szCs w:val="21"/>
        </w:rPr>
        <w:instrText xml:space="preserve"> HYPERLINK "http://www.zjzfcg.gov.cn/new/" </w:instrText>
      </w:r>
      <w:r>
        <w:rPr>
          <w:rFonts w:hint="eastAsia" w:ascii="宋体" w:hAnsi="宋体"/>
          <w:szCs w:val="21"/>
        </w:rPr>
        <w:fldChar w:fldCharType="separate"/>
      </w:r>
      <w:r>
        <w:rPr>
          <w:rFonts w:hint="eastAsia" w:ascii="宋体" w:hAnsi="宋体"/>
          <w:szCs w:val="21"/>
        </w:rPr>
        <w:t>http://www.zjzfcg.gov.cn/</w:t>
      </w:r>
      <w:r>
        <w:rPr>
          <w:rFonts w:hint="eastAsia" w:ascii="宋体" w:hAnsi="宋体"/>
          <w:szCs w:val="21"/>
        </w:rPr>
        <w:fldChar w:fldCharType="end"/>
      </w:r>
      <w:r>
        <w:rPr>
          <w:rFonts w:hint="eastAsia" w:ascii="宋体" w:hAnsi="宋体"/>
          <w:szCs w:val="21"/>
        </w:rPr>
        <w:t>（须完成正式供应商注册。招标文件以附件形式附于招标公告下，请自行下载）</w:t>
      </w:r>
    </w:p>
    <w:p>
      <w:pPr>
        <w:snapToGrid w:val="0"/>
        <w:spacing w:line="360" w:lineRule="auto"/>
        <w:ind w:firstLine="422" w:firstLineChars="200"/>
        <w:rPr>
          <w:rFonts w:hint="eastAsia" w:ascii="宋体" w:hAnsi="宋体" w:cs="Arial"/>
          <w:b/>
          <w:bCs/>
          <w:kern w:val="0"/>
          <w:szCs w:val="21"/>
        </w:rPr>
      </w:pPr>
      <w:r>
        <w:rPr>
          <w:rFonts w:hint="eastAsia" w:ascii="宋体" w:hAnsi="宋体" w:cs="Arial"/>
          <w:b/>
          <w:bCs/>
          <w:szCs w:val="21"/>
        </w:rPr>
        <w:t>八、磋商保证金</w:t>
      </w:r>
      <w:r>
        <w:rPr>
          <w:rFonts w:hint="eastAsia" w:ascii="宋体" w:hAnsi="宋体" w:cs="Arial"/>
          <w:szCs w:val="21"/>
        </w:rPr>
        <w:t>：</w:t>
      </w:r>
      <w:r>
        <w:rPr>
          <w:rFonts w:hint="eastAsia" w:ascii="宋体" w:hAnsi="宋体" w:cs="Arial"/>
          <w:b/>
          <w:bCs/>
          <w:kern w:val="0"/>
          <w:szCs w:val="21"/>
        </w:rPr>
        <w:t>无</w:t>
      </w:r>
    </w:p>
    <w:p>
      <w:pPr>
        <w:spacing w:line="360" w:lineRule="auto"/>
        <w:ind w:firstLine="426" w:firstLineChars="202"/>
        <w:rPr>
          <w:rFonts w:hint="eastAsia" w:ascii="宋体" w:hAnsi="宋体" w:cs="宋体"/>
          <w:kern w:val="0"/>
          <w:szCs w:val="21"/>
        </w:rPr>
      </w:pPr>
      <w:r>
        <w:rPr>
          <w:rFonts w:hint="eastAsia" w:ascii="宋体" w:hAnsi="宋体" w:cs="Arial"/>
          <w:b/>
          <w:bCs/>
          <w:szCs w:val="21"/>
        </w:rPr>
        <w:t>九、投标截止时间和地点</w:t>
      </w:r>
      <w:r>
        <w:rPr>
          <w:rFonts w:hint="eastAsia" w:ascii="宋体" w:hAnsi="宋体" w:cs="Arial"/>
          <w:szCs w:val="21"/>
        </w:rPr>
        <w:t>：</w:t>
      </w:r>
      <w:r>
        <w:rPr>
          <w:rFonts w:hint="eastAsia" w:ascii="宋体" w:hAnsi="宋体" w:cs="宋体"/>
          <w:kern w:val="0"/>
          <w:szCs w:val="21"/>
        </w:rPr>
        <w:t>投标人应于</w:t>
      </w:r>
      <w:r>
        <w:rPr>
          <w:rFonts w:hint="eastAsia" w:ascii="宋体" w:hAnsi="宋体" w:cs="宋体"/>
          <w:kern w:val="0"/>
          <w:szCs w:val="21"/>
          <w:highlight w:val="yellow"/>
        </w:rPr>
        <w:t>2019年06月03日14时30分</w:t>
      </w:r>
      <w:r>
        <w:rPr>
          <w:rFonts w:hint="eastAsia" w:ascii="宋体" w:hAnsi="宋体" w:cs="宋体"/>
          <w:kern w:val="0"/>
          <w:szCs w:val="21"/>
        </w:rPr>
        <w:t>前将投标文件密封送交到嘉兴市公共资源交易中心（嘉兴市广场路350号）开标室，逾期送达作无效标处理。</w:t>
      </w:r>
    </w:p>
    <w:p>
      <w:pPr>
        <w:spacing w:line="360" w:lineRule="auto"/>
        <w:ind w:firstLine="422" w:firstLineChars="200"/>
        <w:rPr>
          <w:rFonts w:hint="eastAsia" w:ascii="宋体" w:hAnsi="宋体" w:cs="Arial"/>
          <w:szCs w:val="21"/>
        </w:rPr>
      </w:pPr>
      <w:r>
        <w:rPr>
          <w:rFonts w:hint="eastAsia" w:ascii="宋体" w:hAnsi="宋体" w:cs="Arial"/>
          <w:b/>
          <w:bCs/>
          <w:szCs w:val="21"/>
        </w:rPr>
        <w:t>十、开标时间及地点</w:t>
      </w:r>
      <w:r>
        <w:rPr>
          <w:rFonts w:hint="eastAsia" w:ascii="宋体" w:hAnsi="宋体" w:cs="Arial"/>
          <w:szCs w:val="21"/>
        </w:rPr>
        <w:t>：本次招标将于</w:t>
      </w:r>
      <w:r>
        <w:rPr>
          <w:rFonts w:hint="eastAsia" w:ascii="宋体" w:hAnsi="宋体" w:cs="宋体"/>
          <w:kern w:val="0"/>
          <w:szCs w:val="21"/>
          <w:highlight w:val="yellow"/>
        </w:rPr>
        <w:t>2019年06月03日14时30分</w:t>
      </w:r>
      <w:r>
        <w:rPr>
          <w:rFonts w:hint="eastAsia" w:ascii="宋体" w:hAnsi="宋体" w:cs="Arial"/>
          <w:szCs w:val="21"/>
        </w:rPr>
        <w:t>在</w:t>
      </w:r>
      <w:r>
        <w:rPr>
          <w:rFonts w:hint="eastAsia" w:ascii="宋体" w:hAnsi="宋体" w:cs="宋体"/>
          <w:kern w:val="0"/>
          <w:szCs w:val="21"/>
        </w:rPr>
        <w:t>嘉兴市公共资源交易中心（嘉兴市广场路350号）开标室</w:t>
      </w:r>
      <w:r>
        <w:rPr>
          <w:rFonts w:hint="eastAsia" w:ascii="宋体" w:hAnsi="宋体" w:cs="Arial"/>
          <w:szCs w:val="21"/>
        </w:rPr>
        <w:t>开标，投标人代表必须持身份证及有效证件出席开标会议。</w:t>
      </w:r>
    </w:p>
    <w:p>
      <w:pPr>
        <w:spacing w:line="360" w:lineRule="auto"/>
        <w:ind w:firstLine="422" w:firstLineChars="200"/>
        <w:rPr>
          <w:rFonts w:hint="eastAsia" w:ascii="宋体" w:hAnsi="宋体" w:cs="Arial"/>
          <w:b/>
          <w:szCs w:val="21"/>
        </w:rPr>
      </w:pPr>
      <w:r>
        <w:rPr>
          <w:rFonts w:hint="eastAsia" w:ascii="宋体" w:hAnsi="宋体" w:cs="Arial"/>
          <w:b/>
          <w:szCs w:val="21"/>
        </w:rPr>
        <w:t>十一、招标公告发布于：</w:t>
      </w:r>
    </w:p>
    <w:p>
      <w:pPr>
        <w:snapToGrid w:val="0"/>
        <w:spacing w:line="360" w:lineRule="auto"/>
        <w:ind w:firstLine="411" w:firstLineChars="196"/>
        <w:rPr>
          <w:rFonts w:hint="eastAsia" w:ascii="宋体" w:hAnsi="宋体" w:cs="Arial"/>
          <w:bCs/>
          <w:szCs w:val="21"/>
        </w:rPr>
      </w:pPr>
      <w:r>
        <w:rPr>
          <w:rFonts w:hint="eastAsia" w:ascii="宋体" w:hAnsi="宋体" w:cs="Arial"/>
          <w:bCs/>
          <w:szCs w:val="21"/>
        </w:rPr>
        <w:t>浙江省政府采购网(</w:t>
      </w:r>
      <w:r>
        <w:rPr>
          <w:rFonts w:ascii="宋体" w:hAnsi="宋体" w:cs="Arial"/>
          <w:bCs/>
          <w:szCs w:val="21"/>
        </w:rPr>
        <w:fldChar w:fldCharType="begin"/>
      </w:r>
      <w:r>
        <w:rPr>
          <w:rFonts w:ascii="宋体" w:hAnsi="宋体" w:cs="Arial"/>
          <w:bCs/>
          <w:szCs w:val="21"/>
        </w:rPr>
        <w:instrText xml:space="preserve"> HYPERLINK "http://www.zjzfcg.gov.cn/" </w:instrText>
      </w:r>
      <w:r>
        <w:rPr>
          <w:rFonts w:ascii="宋体" w:hAnsi="宋体" w:cs="Arial"/>
          <w:bCs/>
          <w:szCs w:val="21"/>
        </w:rPr>
        <w:fldChar w:fldCharType="separate"/>
      </w:r>
      <w:r>
        <w:rPr>
          <w:rStyle w:val="36"/>
          <w:rFonts w:ascii="宋体" w:hAnsi="宋体" w:cs="Arial"/>
          <w:bCs/>
          <w:color w:val="auto"/>
          <w:szCs w:val="21"/>
        </w:rPr>
        <w:t>http://www.zjzfcg.gov.cn/</w:t>
      </w:r>
      <w:r>
        <w:rPr>
          <w:rFonts w:ascii="宋体" w:hAnsi="宋体" w:cs="Arial"/>
          <w:bCs/>
          <w:szCs w:val="21"/>
        </w:rPr>
        <w:fldChar w:fldCharType="end"/>
      </w:r>
      <w:r>
        <w:rPr>
          <w:rFonts w:hint="eastAsia" w:ascii="宋体" w:hAnsi="宋体" w:cs="Arial"/>
          <w:bCs/>
          <w:szCs w:val="21"/>
        </w:rPr>
        <w:t>)。</w:t>
      </w:r>
    </w:p>
    <w:p>
      <w:pPr>
        <w:snapToGrid w:val="0"/>
        <w:spacing w:line="360" w:lineRule="auto"/>
        <w:ind w:firstLine="413" w:firstLineChars="196"/>
        <w:rPr>
          <w:rFonts w:hint="eastAsia" w:ascii="宋体" w:hAnsi="宋体" w:cs="Arial"/>
          <w:b/>
          <w:bCs/>
          <w:szCs w:val="21"/>
        </w:rPr>
      </w:pPr>
      <w:r>
        <w:rPr>
          <w:rFonts w:hint="eastAsia" w:ascii="宋体" w:hAnsi="宋体" w:cs="Arial"/>
          <w:b/>
          <w:bCs/>
          <w:szCs w:val="21"/>
        </w:rPr>
        <w:t>十二、采购方联系方式：</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szCs w:val="21"/>
        </w:rPr>
        <w:t>采购</w:t>
      </w:r>
      <w:r>
        <w:rPr>
          <w:rFonts w:hint="eastAsia" w:ascii="宋体" w:hAnsi="宋体" w:cs="宋体"/>
          <w:color w:val="000000"/>
          <w:szCs w:val="21"/>
        </w:rPr>
        <w:t>单位：嘉兴市公安局经济技术开发区(国际商务区)分局</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szCs w:val="21"/>
        </w:rPr>
        <w:t xml:space="preserve">贝舒捷   </w:t>
      </w:r>
      <w:r>
        <w:rPr>
          <w:rFonts w:hint="eastAsia" w:ascii="宋体" w:hAnsi="宋体" w:cs="宋体"/>
          <w:color w:val="000000"/>
          <w:szCs w:val="21"/>
        </w:rPr>
        <w:t xml:space="preserve">            联系电话：</w:t>
      </w:r>
      <w:r>
        <w:rPr>
          <w:rFonts w:hint="eastAsia" w:ascii="宋体" w:hAnsi="宋体" w:cs="宋体"/>
          <w:szCs w:val="21"/>
        </w:rPr>
        <w:t>0573-81291865</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代理单位：浙江禾城工程管理有限公司</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联系人：陈工                 联系电话：0573-82852278</w:t>
      </w:r>
    </w:p>
    <w:p>
      <w:pPr>
        <w:spacing w:line="360" w:lineRule="auto"/>
        <w:ind w:firstLine="420" w:firstLineChars="200"/>
        <w:rPr>
          <w:rFonts w:hint="eastAsia" w:ascii="宋体" w:hAnsi="宋体" w:cs="宋体"/>
          <w:szCs w:val="21"/>
        </w:rPr>
      </w:pPr>
      <w:r>
        <w:rPr>
          <w:rFonts w:hint="eastAsia" w:ascii="宋体" w:hAnsi="宋体" w:cs="宋体"/>
          <w:szCs w:val="21"/>
        </w:rPr>
        <w:t>同级政府采购监督管理部门</w:t>
      </w:r>
      <w:r>
        <w:rPr>
          <w:rFonts w:hint="eastAsia" w:ascii="宋体" w:hAnsi="宋体" w:cs="宋体"/>
          <w:color w:val="000000"/>
          <w:szCs w:val="21"/>
        </w:rPr>
        <w:t>：嘉兴经济技术开发区财政局    联系电话：0573-82208590</w:t>
      </w:r>
    </w:p>
    <w:p>
      <w:pPr>
        <w:snapToGrid w:val="0"/>
        <w:spacing w:line="360" w:lineRule="auto"/>
        <w:ind w:left="315" w:leftChars="150" w:firstLine="97" w:firstLineChars="46"/>
        <w:rPr>
          <w:rFonts w:hint="eastAsia" w:ascii="宋体" w:hAnsi="宋体" w:cs="Arial"/>
          <w:b/>
          <w:bCs/>
          <w:szCs w:val="21"/>
        </w:rPr>
      </w:pPr>
    </w:p>
    <w:p>
      <w:pPr>
        <w:spacing w:line="360" w:lineRule="auto"/>
        <w:ind w:firstLine="420" w:firstLineChars="200"/>
        <w:jc w:val="right"/>
        <w:rPr>
          <w:rFonts w:hint="eastAsia" w:ascii="宋体" w:hAnsi="宋体"/>
          <w:szCs w:val="21"/>
        </w:rPr>
      </w:pPr>
      <w:r>
        <w:rPr>
          <w:rFonts w:hint="eastAsia" w:ascii="宋体" w:hAnsi="宋体"/>
          <w:szCs w:val="21"/>
        </w:rPr>
        <w:t xml:space="preserve">                                       </w:t>
      </w:r>
      <w:r>
        <w:rPr>
          <w:rFonts w:hint="eastAsia" w:ascii="宋体" w:hAnsi="宋体" w:cs="Arial"/>
          <w:szCs w:val="21"/>
        </w:rPr>
        <w:t>浙江禾城工程管理有限公司</w:t>
      </w:r>
    </w:p>
    <w:p>
      <w:pPr>
        <w:spacing w:line="360" w:lineRule="auto"/>
        <w:ind w:left="238"/>
        <w:jc w:val="right"/>
        <w:rPr>
          <w:rFonts w:hint="eastAsia" w:ascii="宋体" w:hAnsi="宋体"/>
          <w:szCs w:val="21"/>
        </w:rPr>
      </w:pPr>
      <w:r>
        <w:rPr>
          <w:rFonts w:hint="eastAsia" w:ascii="宋体" w:hAnsi="宋体"/>
          <w:szCs w:val="21"/>
        </w:rPr>
        <w:t xml:space="preserve">                                      2019年05月</w:t>
      </w:r>
    </w:p>
    <w:p>
      <w:pPr>
        <w:pStyle w:val="29"/>
        <w:spacing w:before="0" w:after="0" w:line="360" w:lineRule="auto"/>
        <w:rPr>
          <w:rFonts w:hint="eastAsia" w:ascii="宋体" w:hAnsi="宋体"/>
          <w:sz w:val="21"/>
          <w:szCs w:val="21"/>
        </w:rPr>
      </w:pPr>
      <w:bookmarkStart w:id="19" w:name="_Toc192313099"/>
      <w:bookmarkStart w:id="20" w:name="_Toc524612710"/>
      <w:r>
        <w:rPr>
          <w:rFonts w:ascii="宋体" w:hAnsi="宋体"/>
          <w:b w:val="0"/>
          <w:bCs w:val="0"/>
          <w:sz w:val="21"/>
          <w:szCs w:val="21"/>
          <w:lang w:val="en-US" w:eastAsia="zh-CN"/>
        </w:rPr>
        <w:br w:type="page"/>
      </w:r>
      <w:r>
        <w:rPr>
          <w:rFonts w:hint="eastAsia" w:ascii="宋体" w:hAnsi="宋体"/>
          <w:sz w:val="21"/>
          <w:szCs w:val="21"/>
        </w:rPr>
        <w:t>第二章  供应商须知</w:t>
      </w:r>
      <w:bookmarkEnd w:id="19"/>
      <w:bookmarkEnd w:id="20"/>
    </w:p>
    <w:p>
      <w:pPr>
        <w:snapToGrid w:val="0"/>
        <w:spacing w:line="360" w:lineRule="auto"/>
        <w:ind w:left="238"/>
        <w:jc w:val="center"/>
        <w:outlineLvl w:val="1"/>
        <w:rPr>
          <w:rFonts w:ascii="宋体" w:hAnsi="宋体"/>
          <w:b/>
          <w:szCs w:val="21"/>
        </w:rPr>
      </w:pPr>
      <w:bookmarkStart w:id="21" w:name="_Toc524612711"/>
      <w:r>
        <w:rPr>
          <w:rFonts w:hint="eastAsia" w:ascii="宋体" w:hAnsi="宋体"/>
          <w:b/>
          <w:szCs w:val="21"/>
        </w:rPr>
        <w:t>前附表</w:t>
      </w:r>
      <w:bookmarkEnd w:id="21"/>
    </w:p>
    <w:tbl>
      <w:tblPr>
        <w:tblStyle w:val="31"/>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rPr>
                <w:rFonts w:hint="eastAsia"/>
              </w:rPr>
              <w:t>序号</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t>1</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项目名称：嘉兴市公安局经济技术开发区(国际商务区)分局移动**通购买项目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t>2</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采购内容：详见第三章项目需求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56"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t>3</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pPr>
            <w:r>
              <w:rPr>
                <w:rFonts w:hint="eastAsia"/>
              </w:rPr>
              <w:t>磋商报价及费用：</w:t>
            </w:r>
          </w:p>
          <w:p>
            <w:pPr>
              <w:spacing w:line="360" w:lineRule="auto"/>
              <w:jc w:val="left"/>
            </w:pPr>
            <w:r>
              <w:t>1</w:t>
            </w:r>
            <w:r>
              <w:rPr>
                <w:rFonts w:hint="eastAsia"/>
              </w:rPr>
              <w:t>、本项目磋商应以人民币报价；</w:t>
            </w:r>
          </w:p>
          <w:p>
            <w:pPr>
              <w:spacing w:line="360" w:lineRule="auto"/>
              <w:jc w:val="left"/>
            </w:pPr>
            <w:r>
              <w:t>2</w:t>
            </w:r>
            <w:r>
              <w:rPr>
                <w:rFonts w:hint="eastAsia"/>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6"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4</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磋商保证金：无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5</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8"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6</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磋商文件组成：磋商响应文件正本1 份，副本3 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6"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7</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响应文件开启时间及地点：</w:t>
            </w:r>
            <w:r>
              <w:rPr>
                <w:rFonts w:hint="eastAsia" w:ascii="宋体" w:hAnsi="宋体" w:cs="宋体"/>
                <w:kern w:val="0"/>
                <w:szCs w:val="21"/>
                <w:highlight w:val="yellow"/>
              </w:rPr>
              <w:t>2019年06月03日14时30分</w:t>
            </w:r>
            <w:r>
              <w:rPr>
                <w:rFonts w:hint="eastAsia"/>
              </w:rPr>
              <w:t>，嘉兴市公共资源交易中心（嘉兴市广场路350号）开标室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7"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8</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磋商时间及地点：</w:t>
            </w:r>
            <w:r>
              <w:rPr>
                <w:rFonts w:hint="eastAsia" w:ascii="宋体" w:hAnsi="宋体" w:cs="宋体"/>
                <w:kern w:val="0"/>
                <w:szCs w:val="21"/>
                <w:highlight w:val="yellow"/>
              </w:rPr>
              <w:t>2019年06月03日14时30分</w:t>
            </w:r>
            <w:r>
              <w:rPr>
                <w:rFonts w:hint="eastAsia"/>
              </w:rPr>
              <w:t>，嘉兴市公共资源交易中心（嘉兴市广场路350号）开标室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8"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9</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t>1</w:t>
            </w:r>
            <w:r>
              <w:rPr>
                <w:rFonts w:hint="eastAsia"/>
              </w:rPr>
              <w:t>0</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磋商办法及评分标准：详见第四章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11</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磋商结果公告：磋商结束后</w:t>
            </w:r>
            <w:r>
              <w:t>2</w:t>
            </w:r>
            <w:r>
              <w:rPr>
                <w:rFonts w:hint="eastAsia"/>
              </w:rPr>
              <w:t>天内，磋商结果公告于浙江省政府采购网(</w:t>
            </w:r>
            <w:r>
              <w:fldChar w:fldCharType="begin"/>
            </w:r>
            <w:r>
              <w:instrText xml:space="preserve"> HYPERLINK "http://www.zjzfcg.gov.cn/" </w:instrText>
            </w:r>
            <w:r>
              <w:fldChar w:fldCharType="separate"/>
            </w:r>
            <w:r>
              <w:t>http://www.zjzfcg.go</w:t>
            </w:r>
            <w:bookmarkStart w:id="22" w:name="_Hlt523575335"/>
            <w:r>
              <w:t>v</w:t>
            </w:r>
            <w:bookmarkEnd w:id="22"/>
            <w:r>
              <w:t>.cn/</w:t>
            </w:r>
            <w:r>
              <w:fldChar w:fldCharType="end"/>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4"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12</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中标公告：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8"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13</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6"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t>1</w:t>
            </w:r>
            <w:r>
              <w:rPr>
                <w:rFonts w:hint="eastAsia"/>
              </w:rPr>
              <w:t>4</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4"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t>1</w:t>
            </w:r>
            <w:r>
              <w:rPr>
                <w:rFonts w:hint="eastAsia"/>
              </w:rPr>
              <w:t>5</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招标文件工本费：人民币伍佰元整（现金）在递交投标文件的同时缴纳，否则视为自动放弃，投标文件不予接收。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1"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t>1</w:t>
            </w:r>
            <w:r>
              <w:rPr>
                <w:rFonts w:hint="eastAsia"/>
              </w:rPr>
              <w:t>6</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highlight w:val="yellow"/>
              </w:rPr>
            </w:pPr>
            <w:r>
              <w:rPr>
                <w:rFonts w:hint="eastAsia"/>
              </w:rPr>
              <w:t>本项目预算：人民币：44.992万元，最高限价为预算价，超过预算价的磋商文件为无效文件。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t>1</w:t>
            </w:r>
            <w:r>
              <w:rPr>
                <w:rFonts w:hint="eastAsia"/>
              </w:rPr>
              <w:t>7</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付款方式：详见第三章项目需求。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4"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18</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pPr>
            <w:r>
              <w:rPr>
                <w:rFonts w:hint="eastAsia"/>
              </w:rPr>
              <w:t>19</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磋商响应文件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20</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网上注册：</w:t>
            </w:r>
            <w:r>
              <w:br w:type="textWrapping"/>
            </w:r>
            <w:r>
              <w:rPr>
                <w:rFonts w:hint="eastAsia"/>
              </w:rPr>
              <w:t>本项目不接受现场报名，须注册后进行网上报名。在浙江政府采购网进行供应商注册后完成报名；（详情请见第一章公告“七、报名及招标文件的获取”）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21</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pPr>
            <w:r>
              <w:rPr>
                <w:rFonts w:hint="eastAsia"/>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1"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rPr>
            </w:pPr>
            <w:r>
              <w:rPr>
                <w:rFonts w:hint="eastAsia"/>
              </w:rPr>
              <w:t>22</w:t>
            </w:r>
          </w:p>
        </w:tc>
        <w:tc>
          <w:tcPr>
            <w:tcW w:w="846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rPr>
            </w:pPr>
            <w:r>
              <w:rPr>
                <w:rFonts w:hint="eastAsia"/>
              </w:rPr>
              <w:t>注：根据</w:t>
            </w:r>
            <w:r>
              <w:t>财库</w:t>
            </w:r>
            <w:r>
              <w:rPr>
                <w:rFonts w:hint="eastAsia"/>
              </w:rPr>
              <w:t>（[</w:t>
            </w:r>
            <w:r>
              <w:t>2015</w:t>
            </w:r>
            <w:r>
              <w:rPr>
                <w:rFonts w:hint="eastAsia"/>
              </w:rPr>
              <w:t>]</w:t>
            </w:r>
            <w:r>
              <w:t xml:space="preserve"> 124号）</w:t>
            </w:r>
            <w:r>
              <w:rPr>
                <w:rFonts w:hint="eastAsia"/>
              </w:rPr>
              <w:t>采用竞争性磋商采购方式采购的政府购买服务项目（含政府和社会资本合作项目），在采购过程中符合要求的供应商（社会资本）只有</w:t>
            </w:r>
            <w:r>
              <w:t>2</w:t>
            </w:r>
            <w:r>
              <w:rPr>
                <w:rFonts w:hint="eastAsia"/>
              </w:rPr>
              <w:t>家的，竞争性磋商采购活动可以继续进行</w:t>
            </w:r>
            <w:r>
              <w:t>。</w:t>
            </w:r>
          </w:p>
        </w:tc>
      </w:tr>
    </w:tbl>
    <w:p>
      <w:pPr>
        <w:rPr>
          <w:rFonts w:hint="eastAsia"/>
        </w:rPr>
      </w:pPr>
      <w:bookmarkStart w:id="23" w:name="_Toc192313101"/>
    </w:p>
    <w:p>
      <w:pPr>
        <w:pStyle w:val="3"/>
        <w:spacing w:before="0" w:after="0"/>
        <w:ind w:firstLine="726" w:firstLineChars="201"/>
        <w:rPr>
          <w:rFonts w:hint="eastAsia"/>
        </w:rPr>
      </w:pPr>
      <w:bookmarkStart w:id="24" w:name="_Toc524612712"/>
      <w:r>
        <w:br w:type="page"/>
      </w:r>
      <w:r>
        <w:rPr>
          <w:rFonts w:hint="eastAsia" w:ascii="宋体" w:hAnsi="宋体" w:eastAsia="宋体"/>
          <w:sz w:val="21"/>
          <w:szCs w:val="21"/>
        </w:rPr>
        <w:t>一    总  则</w:t>
      </w:r>
      <w:bookmarkEnd w:id="23"/>
      <w:bookmarkEnd w:id="24"/>
    </w:p>
    <w:p>
      <w:pPr>
        <w:snapToGrid w:val="0"/>
        <w:spacing w:line="360" w:lineRule="auto"/>
        <w:ind w:firstLine="424" w:firstLineChars="201"/>
        <w:jc w:val="left"/>
        <w:outlineLvl w:val="1"/>
        <w:rPr>
          <w:rFonts w:hint="eastAsia" w:ascii="宋体" w:hAnsi="宋体"/>
          <w:b/>
          <w:szCs w:val="21"/>
        </w:rPr>
      </w:pPr>
      <w:bookmarkStart w:id="25" w:name="_Toc518327072"/>
      <w:bookmarkStart w:id="26" w:name="_Toc437979771"/>
      <w:bookmarkStart w:id="27" w:name="_Toc177825120"/>
      <w:bookmarkStart w:id="28" w:name="_Toc177824939"/>
      <w:bookmarkStart w:id="29" w:name="_Toc493082109"/>
      <w:bookmarkStart w:id="30" w:name="_Toc493699293"/>
      <w:bookmarkStart w:id="31" w:name="_Toc487802088"/>
      <w:bookmarkStart w:id="32" w:name="_Toc177870537"/>
      <w:bookmarkStart w:id="33" w:name="_Toc192313102"/>
      <w:bookmarkStart w:id="34" w:name="_Toc177824872"/>
      <w:bookmarkStart w:id="35" w:name="_Toc448487530"/>
      <w:bookmarkStart w:id="36" w:name="_Toc522549164"/>
      <w:bookmarkStart w:id="37" w:name="_Toc523583063"/>
      <w:bookmarkStart w:id="38" w:name="_Toc524612713"/>
      <w:bookmarkStart w:id="39" w:name="_Toc487802019"/>
      <w:bookmarkStart w:id="40" w:name="_Toc487793381"/>
      <w:r>
        <w:rPr>
          <w:rFonts w:hint="eastAsia" w:ascii="宋体" w:hAnsi="宋体"/>
          <w:b/>
          <w:szCs w:val="21"/>
        </w:rPr>
        <w:t>1、 适用范围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napToGrid w:val="0"/>
        <w:spacing w:line="360" w:lineRule="auto"/>
        <w:ind w:firstLine="422" w:firstLineChars="201"/>
        <w:jc w:val="left"/>
        <w:rPr>
          <w:rFonts w:hint="eastAsia" w:ascii="宋体" w:hAnsi="宋体"/>
          <w:szCs w:val="21"/>
        </w:rPr>
      </w:pPr>
      <w:r>
        <w:rPr>
          <w:rFonts w:hint="eastAsia" w:ascii="宋体" w:hAnsi="宋体"/>
          <w:szCs w:val="21"/>
        </w:rPr>
        <w:t>1.1、本磋商文件适用于本项目的磋商。</w:t>
      </w:r>
    </w:p>
    <w:p>
      <w:pPr>
        <w:snapToGrid w:val="0"/>
        <w:spacing w:line="360" w:lineRule="auto"/>
        <w:ind w:firstLine="424" w:firstLineChars="201"/>
        <w:jc w:val="left"/>
        <w:outlineLvl w:val="1"/>
        <w:rPr>
          <w:rFonts w:hint="eastAsia" w:ascii="宋体" w:hAnsi="宋体"/>
          <w:b/>
          <w:szCs w:val="21"/>
        </w:rPr>
      </w:pPr>
      <w:bookmarkStart w:id="41" w:name="_Toc177824940"/>
      <w:bookmarkStart w:id="42" w:name="_Toc177825121"/>
      <w:bookmarkStart w:id="43" w:name="_Toc448487531"/>
      <w:bookmarkStart w:id="44" w:name="_Toc487802089"/>
      <w:bookmarkStart w:id="45" w:name="_Toc493082110"/>
      <w:bookmarkStart w:id="46" w:name="_Toc518327073"/>
      <w:bookmarkStart w:id="47" w:name="_Toc177824873"/>
      <w:bookmarkStart w:id="48" w:name="_Toc524612714"/>
      <w:bookmarkStart w:id="49" w:name="_Toc177870538"/>
      <w:bookmarkStart w:id="50" w:name="_Toc487793382"/>
      <w:bookmarkStart w:id="51" w:name="_Toc487802020"/>
      <w:bookmarkStart w:id="52" w:name="_Toc522549165"/>
      <w:bookmarkStart w:id="53" w:name="_Toc437979772"/>
      <w:bookmarkStart w:id="54" w:name="_Toc192313103"/>
      <w:bookmarkStart w:id="55" w:name="_Toc523583064"/>
      <w:bookmarkStart w:id="56" w:name="_Toc493699294"/>
      <w:r>
        <w:rPr>
          <w:rFonts w:hint="eastAsia" w:ascii="宋体" w:hAnsi="宋体"/>
          <w:b/>
          <w:szCs w:val="21"/>
        </w:rPr>
        <w:t>2、定义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napToGrid w:val="0"/>
        <w:spacing w:line="360" w:lineRule="auto"/>
        <w:ind w:firstLine="422" w:firstLineChars="201"/>
        <w:jc w:val="left"/>
        <w:rPr>
          <w:rFonts w:hint="eastAsia" w:ascii="宋体" w:hAnsi="宋体"/>
          <w:szCs w:val="21"/>
        </w:rPr>
      </w:pPr>
      <w:bookmarkStart w:id="57" w:name="_Toc437979773"/>
      <w:bookmarkStart w:id="58" w:name="_Toc177870539"/>
      <w:bookmarkStart w:id="59" w:name="_Toc493082111"/>
      <w:bookmarkStart w:id="60" w:name="_Toc522549166"/>
      <w:bookmarkStart w:id="61" w:name="_Toc518327074"/>
      <w:bookmarkStart w:id="62" w:name="_Toc448487532"/>
      <w:bookmarkStart w:id="63" w:name="_Toc192313104"/>
      <w:bookmarkStart w:id="64" w:name="_Toc493699295"/>
      <w:bookmarkStart w:id="65" w:name="_Toc487802090"/>
      <w:bookmarkStart w:id="66" w:name="_Toc487793383"/>
      <w:bookmarkStart w:id="67" w:name="_Toc487802021"/>
      <w:r>
        <w:rPr>
          <w:rFonts w:hint="eastAsia" w:ascii="宋体" w:hAnsi="宋体"/>
          <w:szCs w:val="21"/>
        </w:rPr>
        <w:t>2.1 “招标人或采购人”指嘉兴市公安局经济技术开发区(国际商务区)分局。</w:t>
      </w:r>
    </w:p>
    <w:p>
      <w:pPr>
        <w:snapToGrid w:val="0"/>
        <w:spacing w:line="360" w:lineRule="auto"/>
        <w:ind w:firstLine="422" w:firstLineChars="201"/>
        <w:jc w:val="left"/>
        <w:rPr>
          <w:rFonts w:hint="eastAsia" w:ascii="宋体" w:hAnsi="宋体"/>
          <w:szCs w:val="21"/>
        </w:rPr>
      </w:pPr>
      <w:r>
        <w:rPr>
          <w:rFonts w:hint="eastAsia" w:ascii="宋体" w:hAnsi="宋体"/>
          <w:szCs w:val="21"/>
        </w:rPr>
        <w:t xml:space="preserve">2.2 </w:t>
      </w:r>
      <w:r>
        <w:rPr>
          <w:rFonts w:hint="eastAsia" w:ascii="仿宋_GB2312" w:eastAsia="仿宋_GB2312"/>
          <w:sz w:val="24"/>
        </w:rPr>
        <w:t>“</w:t>
      </w:r>
      <w:r>
        <w:rPr>
          <w:rFonts w:hint="eastAsia" w:ascii="宋体" w:hAnsi="宋体"/>
          <w:szCs w:val="21"/>
        </w:rPr>
        <w:t>采购代理”指浙江禾城工程管理有限公司。</w:t>
      </w:r>
    </w:p>
    <w:p>
      <w:pPr>
        <w:snapToGrid w:val="0"/>
        <w:spacing w:line="360" w:lineRule="auto"/>
        <w:ind w:firstLine="422" w:firstLineChars="201"/>
        <w:jc w:val="left"/>
        <w:rPr>
          <w:rFonts w:hint="eastAsia" w:ascii="宋体" w:hAnsi="宋体"/>
          <w:szCs w:val="21"/>
        </w:rPr>
      </w:pPr>
      <w:r>
        <w:rPr>
          <w:rFonts w:hint="eastAsia" w:ascii="宋体" w:hAnsi="宋体"/>
          <w:szCs w:val="21"/>
        </w:rPr>
        <w:t>2.3 “供应商”指向招标人提交磋商响应文件的供应商。</w:t>
      </w:r>
    </w:p>
    <w:p>
      <w:pPr>
        <w:snapToGrid w:val="0"/>
        <w:spacing w:line="360" w:lineRule="auto"/>
        <w:ind w:firstLine="422" w:firstLineChars="201"/>
        <w:jc w:val="left"/>
        <w:rPr>
          <w:rFonts w:hint="eastAsia" w:ascii="宋体" w:hAnsi="宋体" w:cs="宋体"/>
          <w:kern w:val="0"/>
          <w:szCs w:val="21"/>
        </w:rPr>
      </w:pPr>
      <w:r>
        <w:rPr>
          <w:rFonts w:hint="eastAsia" w:ascii="宋体" w:hAnsi="宋体"/>
          <w:szCs w:val="21"/>
        </w:rPr>
        <w:t>2.4 “产品”系指供应商按竞争性磋商文件规定，</w:t>
      </w:r>
      <w:r>
        <w:rPr>
          <w:rFonts w:ascii="宋体" w:hAnsi="宋体" w:cs="宋体"/>
          <w:kern w:val="0"/>
          <w:szCs w:val="21"/>
        </w:rPr>
        <w:t>须向</w:t>
      </w:r>
      <w:r>
        <w:rPr>
          <w:rFonts w:hint="eastAsia" w:ascii="宋体" w:hAnsi="宋体" w:cs="宋体"/>
          <w:kern w:val="0"/>
          <w:szCs w:val="21"/>
        </w:rPr>
        <w:t>采购人</w:t>
      </w:r>
      <w:r>
        <w:rPr>
          <w:rFonts w:ascii="宋体" w:hAnsi="宋体" w:cs="宋体"/>
          <w:kern w:val="0"/>
          <w:szCs w:val="21"/>
        </w:rPr>
        <w:t>提供的一切设备、</w:t>
      </w:r>
      <w:r>
        <w:rPr>
          <w:szCs w:val="21"/>
        </w:rPr>
        <w:t>保险、税金、</w:t>
      </w:r>
      <w:r>
        <w:rPr>
          <w:rFonts w:ascii="宋体" w:hAnsi="宋体" w:cs="宋体"/>
          <w:kern w:val="0"/>
          <w:szCs w:val="21"/>
        </w:rPr>
        <w:t>备品备件、工具、手册及其它有关技术资料和材料。</w:t>
      </w:r>
    </w:p>
    <w:p>
      <w:pPr>
        <w:snapToGrid w:val="0"/>
        <w:spacing w:line="360" w:lineRule="auto"/>
        <w:ind w:firstLine="422" w:firstLineChars="201"/>
        <w:jc w:val="left"/>
        <w:rPr>
          <w:rFonts w:hint="eastAsia" w:ascii="宋体" w:hAnsi="宋体"/>
          <w:szCs w:val="21"/>
        </w:rPr>
      </w:pPr>
      <w:r>
        <w:rPr>
          <w:rFonts w:hint="eastAsia" w:ascii="宋体" w:hAnsi="宋体" w:cs="宋体"/>
          <w:kern w:val="0"/>
          <w:szCs w:val="21"/>
        </w:rPr>
        <w:t>2.5</w:t>
      </w:r>
      <w:r>
        <w:rPr>
          <w:rFonts w:hint="eastAsia" w:ascii="宋体" w:hAnsi="宋体"/>
          <w:szCs w:val="21"/>
        </w:rPr>
        <w:t>“服务”系指竞争性磋商文件里规定供应商须承担的安装、调试、技术协助、校准、培训、维修、技术指导以及其他类似的义务。</w:t>
      </w:r>
    </w:p>
    <w:p>
      <w:pPr>
        <w:snapToGrid w:val="0"/>
        <w:spacing w:line="360" w:lineRule="auto"/>
        <w:ind w:firstLine="422" w:firstLineChars="201"/>
        <w:jc w:val="left"/>
        <w:rPr>
          <w:rFonts w:hint="eastAsia" w:ascii="宋体" w:hAnsi="宋体"/>
          <w:szCs w:val="21"/>
        </w:rPr>
      </w:pPr>
      <w:r>
        <w:rPr>
          <w:rFonts w:hint="eastAsia" w:ascii="宋体" w:hAnsi="宋体"/>
          <w:szCs w:val="21"/>
        </w:rPr>
        <w:t>2.6“项目”系指供应商按竞争性磋商文件规定向采购人提供的产品和服务。</w:t>
      </w:r>
      <w:r>
        <w:rPr>
          <w:rFonts w:ascii="宋体" w:hAnsi="宋体" w:cs="宋体"/>
          <w:kern w:val="0"/>
          <w:szCs w:val="21"/>
        </w:rPr>
        <w:br w:type="textWrapping"/>
      </w:r>
      <w:r>
        <w:rPr>
          <w:rFonts w:hint="eastAsia" w:ascii="宋体" w:hAnsi="宋体"/>
          <w:szCs w:val="21"/>
        </w:rPr>
        <w:t>2.7“书面形式”包括信函、传真、电报、电子文档等。</w:t>
      </w:r>
    </w:p>
    <w:p>
      <w:pPr>
        <w:snapToGrid w:val="0"/>
        <w:spacing w:line="360" w:lineRule="auto"/>
        <w:ind w:firstLine="422" w:firstLineChars="201"/>
        <w:jc w:val="left"/>
        <w:rPr>
          <w:rFonts w:hint="eastAsia" w:ascii="宋体" w:hAnsi="宋体"/>
          <w:szCs w:val="21"/>
        </w:rPr>
      </w:pPr>
      <w:r>
        <w:rPr>
          <w:rFonts w:hint="eastAsia" w:ascii="宋体" w:hAnsi="宋体"/>
          <w:szCs w:val="21"/>
        </w:rPr>
        <w:t>2.8“▲”系指实质性要求条款。</w:t>
      </w:r>
    </w:p>
    <w:p>
      <w:pPr>
        <w:snapToGrid w:val="0"/>
        <w:spacing w:line="360" w:lineRule="auto"/>
        <w:ind w:firstLine="424" w:firstLineChars="201"/>
        <w:jc w:val="left"/>
        <w:outlineLvl w:val="1"/>
        <w:rPr>
          <w:rFonts w:hint="eastAsia" w:ascii="宋体" w:hAnsi="宋体"/>
          <w:b/>
          <w:szCs w:val="21"/>
        </w:rPr>
      </w:pPr>
      <w:bookmarkStart w:id="68" w:name="_Toc524612715"/>
      <w:bookmarkStart w:id="69" w:name="_Toc523583065"/>
      <w:r>
        <w:rPr>
          <w:rFonts w:hint="eastAsia" w:ascii="宋体" w:hAnsi="宋体"/>
          <w:b/>
          <w:szCs w:val="21"/>
        </w:rPr>
        <w:t>3、磋商方式</w:t>
      </w:r>
      <w:bookmarkEnd w:id="57"/>
      <w:bookmarkEnd w:id="58"/>
      <w:bookmarkEnd w:id="59"/>
      <w:bookmarkEnd w:id="60"/>
      <w:bookmarkEnd w:id="61"/>
      <w:bookmarkEnd w:id="62"/>
      <w:bookmarkEnd w:id="63"/>
      <w:bookmarkEnd w:id="64"/>
      <w:bookmarkEnd w:id="65"/>
      <w:bookmarkEnd w:id="66"/>
      <w:bookmarkEnd w:id="67"/>
      <w:bookmarkEnd w:id="68"/>
      <w:bookmarkEnd w:id="69"/>
    </w:p>
    <w:p>
      <w:pPr>
        <w:snapToGrid w:val="0"/>
        <w:spacing w:line="360" w:lineRule="auto"/>
        <w:ind w:firstLine="422" w:firstLineChars="201"/>
        <w:jc w:val="left"/>
        <w:rPr>
          <w:rFonts w:hint="eastAsia" w:ascii="宋体" w:hAnsi="宋体"/>
          <w:szCs w:val="21"/>
        </w:rPr>
      </w:pPr>
      <w:r>
        <w:rPr>
          <w:rFonts w:hint="eastAsia" w:ascii="宋体" w:hAnsi="宋体"/>
          <w:szCs w:val="21"/>
        </w:rPr>
        <w:t>3.1、本次磋商采用竞争性磋商方式进行。</w:t>
      </w:r>
    </w:p>
    <w:p>
      <w:pPr>
        <w:snapToGrid w:val="0"/>
        <w:spacing w:line="360" w:lineRule="auto"/>
        <w:ind w:firstLine="422" w:firstLineChars="201"/>
        <w:jc w:val="left"/>
        <w:rPr>
          <w:rFonts w:hint="eastAsia" w:ascii="宋体" w:hAnsi="宋体"/>
          <w:b/>
          <w:szCs w:val="21"/>
        </w:rPr>
      </w:pPr>
      <w:r>
        <w:rPr>
          <w:rFonts w:hint="eastAsia" w:ascii="宋体" w:hAnsi="宋体"/>
          <w:szCs w:val="21"/>
        </w:rPr>
        <w:t>3.2、本次磋商设定上限价为预算价。</w:t>
      </w:r>
    </w:p>
    <w:p>
      <w:pPr>
        <w:snapToGrid w:val="0"/>
        <w:spacing w:line="360" w:lineRule="auto"/>
        <w:ind w:firstLine="424" w:firstLineChars="201"/>
        <w:jc w:val="left"/>
        <w:outlineLvl w:val="1"/>
        <w:rPr>
          <w:rFonts w:hint="eastAsia" w:ascii="宋体" w:hAnsi="宋体"/>
          <w:b/>
          <w:szCs w:val="21"/>
        </w:rPr>
      </w:pPr>
      <w:bookmarkStart w:id="70" w:name="_Toc487802022"/>
      <w:bookmarkStart w:id="71" w:name="_Toc493699296"/>
      <w:bookmarkStart w:id="72" w:name="_Toc177824941"/>
      <w:bookmarkStart w:id="73" w:name="_Toc487802091"/>
      <w:bookmarkStart w:id="74" w:name="_Toc192313105"/>
      <w:bookmarkStart w:id="75" w:name="_Toc177824874"/>
      <w:bookmarkStart w:id="76" w:name="_Toc448487533"/>
      <w:bookmarkStart w:id="77" w:name="_Toc177825122"/>
      <w:bookmarkStart w:id="78" w:name="_Toc177870540"/>
      <w:bookmarkStart w:id="79" w:name="_Toc437979774"/>
      <w:bookmarkStart w:id="80" w:name="_Toc518327075"/>
      <w:bookmarkStart w:id="81" w:name="_Toc522549167"/>
      <w:bookmarkStart w:id="82" w:name="_Toc523583066"/>
      <w:bookmarkStart w:id="83" w:name="_Toc524612716"/>
      <w:bookmarkStart w:id="84" w:name="_Toc493082112"/>
      <w:bookmarkStart w:id="85" w:name="_Toc487793384"/>
      <w:r>
        <w:rPr>
          <w:rFonts w:hint="eastAsia" w:ascii="宋体" w:hAnsi="宋体"/>
          <w:b/>
          <w:szCs w:val="21"/>
        </w:rPr>
        <w:t>4、磋商委托</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18"/>
        <w:snapToGrid w:val="0"/>
        <w:spacing w:line="360" w:lineRule="auto"/>
        <w:ind w:firstLine="406" w:firstLineChars="201"/>
        <w:jc w:val="left"/>
        <w:rPr>
          <w:rFonts w:hint="eastAsia" w:hAnsi="宋体"/>
          <w:sz w:val="21"/>
          <w:szCs w:val="21"/>
        </w:rPr>
      </w:pPr>
      <w:r>
        <w:rPr>
          <w:rFonts w:hint="eastAsia" w:hAnsi="宋体"/>
          <w:sz w:val="21"/>
          <w:szCs w:val="21"/>
        </w:rPr>
        <w:t>供应商代表须携带居民身份证。如供应商代表不是法定代表人，须有法定代表人出具的授权委托书。（正本用原件，副本用复印件，格式见第六部分）。</w:t>
      </w:r>
    </w:p>
    <w:p>
      <w:pPr>
        <w:snapToGrid w:val="0"/>
        <w:spacing w:line="360" w:lineRule="auto"/>
        <w:ind w:firstLine="424" w:firstLineChars="201"/>
        <w:jc w:val="left"/>
        <w:outlineLvl w:val="1"/>
        <w:rPr>
          <w:rFonts w:hint="eastAsia" w:ascii="宋体" w:hAnsi="宋体"/>
          <w:b/>
          <w:szCs w:val="21"/>
        </w:rPr>
      </w:pPr>
      <w:bookmarkStart w:id="86" w:name="_Toc487802092"/>
      <w:bookmarkStart w:id="87" w:name="_Toc177870541"/>
      <w:bookmarkStart w:id="88" w:name="_Toc448487534"/>
      <w:bookmarkStart w:id="89" w:name="_Toc493082113"/>
      <w:bookmarkStart w:id="90" w:name="_Toc437979775"/>
      <w:bookmarkStart w:id="91" w:name="_Toc192313106"/>
      <w:bookmarkStart w:id="92" w:name="_Toc177825123"/>
      <w:bookmarkStart w:id="93" w:name="_Toc518327076"/>
      <w:bookmarkStart w:id="94" w:name="_Toc487802023"/>
      <w:bookmarkStart w:id="95" w:name="_Toc522549168"/>
      <w:bookmarkStart w:id="96" w:name="_Toc487793385"/>
      <w:bookmarkStart w:id="97" w:name="_Toc493699297"/>
      <w:bookmarkStart w:id="98" w:name="_Toc524612717"/>
      <w:bookmarkStart w:id="99" w:name="_Toc523583067"/>
      <w:bookmarkStart w:id="100" w:name="_Toc177824875"/>
      <w:bookmarkStart w:id="101" w:name="_Toc177824942"/>
      <w:r>
        <w:rPr>
          <w:rFonts w:hint="eastAsia" w:ascii="宋体" w:hAnsi="宋体"/>
          <w:b/>
          <w:szCs w:val="21"/>
        </w:rPr>
        <w:t>5、磋商费用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napToGrid w:val="0"/>
        <w:spacing w:line="360" w:lineRule="auto"/>
        <w:ind w:firstLine="422" w:firstLineChars="201"/>
        <w:jc w:val="left"/>
        <w:rPr>
          <w:rFonts w:hint="eastAsia" w:ascii="宋体" w:hAnsi="宋体"/>
          <w:szCs w:val="21"/>
        </w:rPr>
      </w:pPr>
      <w:r>
        <w:rPr>
          <w:rFonts w:hint="eastAsia" w:ascii="宋体" w:hAnsi="宋体"/>
          <w:szCs w:val="21"/>
        </w:rPr>
        <w:t>不论磋商结果如何，供应商均应自行承担与磋商有关的全部费用。</w:t>
      </w:r>
    </w:p>
    <w:p>
      <w:pPr>
        <w:snapToGrid w:val="0"/>
        <w:spacing w:line="360" w:lineRule="auto"/>
        <w:ind w:firstLine="424" w:firstLineChars="201"/>
        <w:jc w:val="left"/>
        <w:outlineLvl w:val="1"/>
        <w:rPr>
          <w:rFonts w:hint="eastAsia" w:ascii="宋体" w:hAnsi="宋体"/>
          <w:b/>
          <w:szCs w:val="21"/>
        </w:rPr>
      </w:pPr>
      <w:bookmarkStart w:id="102" w:name="_Toc523583068"/>
      <w:bookmarkStart w:id="103" w:name="_Toc524612718"/>
      <w:r>
        <w:rPr>
          <w:rFonts w:hint="eastAsia" w:ascii="宋体" w:hAnsi="宋体"/>
          <w:b/>
          <w:szCs w:val="21"/>
        </w:rPr>
        <w:t>6、联合体参与磋商</w:t>
      </w:r>
      <w:bookmarkEnd w:id="102"/>
      <w:bookmarkEnd w:id="103"/>
    </w:p>
    <w:p>
      <w:pPr>
        <w:snapToGrid w:val="0"/>
        <w:spacing w:line="360" w:lineRule="auto"/>
        <w:ind w:firstLine="422" w:firstLineChars="201"/>
        <w:jc w:val="left"/>
        <w:rPr>
          <w:rFonts w:hint="eastAsia" w:ascii="宋体" w:hAnsi="宋体"/>
          <w:szCs w:val="21"/>
        </w:rPr>
      </w:pPr>
      <w:r>
        <w:rPr>
          <w:rFonts w:hint="eastAsia" w:ascii="宋体" w:hAnsi="宋体" w:cs="Arial"/>
          <w:szCs w:val="21"/>
        </w:rPr>
        <w:t>本项目不接受联合体参与磋商。</w:t>
      </w:r>
    </w:p>
    <w:p>
      <w:pPr>
        <w:snapToGrid w:val="0"/>
        <w:spacing w:line="360" w:lineRule="auto"/>
        <w:ind w:firstLine="424" w:firstLineChars="201"/>
        <w:jc w:val="left"/>
        <w:outlineLvl w:val="1"/>
        <w:rPr>
          <w:rFonts w:hint="eastAsia" w:ascii="宋体" w:hAnsi="宋体"/>
          <w:b/>
          <w:szCs w:val="21"/>
        </w:rPr>
      </w:pPr>
      <w:bookmarkStart w:id="104" w:name="_Toc523583069"/>
      <w:bookmarkStart w:id="105" w:name="_Toc524612719"/>
      <w:r>
        <w:rPr>
          <w:rFonts w:hint="eastAsia" w:ascii="宋体" w:hAnsi="宋体"/>
          <w:b/>
          <w:szCs w:val="21"/>
        </w:rPr>
        <w:t>7、关联企业参与磋商</w:t>
      </w:r>
      <w:bookmarkEnd w:id="104"/>
      <w:bookmarkEnd w:id="105"/>
    </w:p>
    <w:p>
      <w:pPr>
        <w:snapToGrid w:val="0"/>
        <w:spacing w:line="360" w:lineRule="auto"/>
        <w:ind w:firstLine="422" w:firstLineChars="201"/>
        <w:jc w:val="left"/>
        <w:rPr>
          <w:rFonts w:hint="eastAsia" w:ascii="宋体" w:hAnsi="宋体"/>
          <w:szCs w:val="21"/>
        </w:rPr>
      </w:pPr>
      <w:r>
        <w:rPr>
          <w:rFonts w:hint="eastAsia" w:ascii="宋体" w:hAnsi="宋体"/>
          <w:szCs w:val="21"/>
        </w:rPr>
        <w:t>7.1、本磋商文件所称关联企业,是指存在“关联关系</w:t>
      </w:r>
      <w:r>
        <w:rPr>
          <w:rFonts w:ascii="宋体" w:hAnsi="宋体"/>
          <w:szCs w:val="21"/>
        </w:rPr>
        <w:t>”</w:t>
      </w:r>
      <w:r>
        <w:rPr>
          <w:rFonts w:hint="eastAsia" w:ascii="宋体" w:hAnsi="宋体"/>
          <w:szCs w:val="21"/>
        </w:rPr>
        <w:t>的企业;“关联关系</w:t>
      </w:r>
      <w:r>
        <w:rPr>
          <w:rFonts w:ascii="宋体" w:hAnsi="宋体"/>
          <w:szCs w:val="21"/>
        </w:rPr>
        <w:t>”</w:t>
      </w:r>
      <w:r>
        <w:rPr>
          <w:rFonts w:hint="eastAsia" w:ascii="宋体" w:hAnsi="宋体"/>
          <w:szCs w:val="21"/>
        </w:rPr>
        <w:t>的界定适用《中华人民共和国公司法》217条之规定。</w:t>
      </w:r>
    </w:p>
    <w:p>
      <w:pPr>
        <w:spacing w:line="360" w:lineRule="auto"/>
        <w:ind w:firstLine="422" w:firstLineChars="201"/>
        <w:rPr>
          <w:rFonts w:hint="eastAsia" w:ascii="宋体" w:hAnsi="宋体"/>
          <w:szCs w:val="21"/>
        </w:rPr>
      </w:pPr>
      <w:r>
        <w:rPr>
          <w:rFonts w:hint="eastAsia" w:ascii="宋体" w:hAnsi="宋体"/>
          <w:szCs w:val="21"/>
        </w:rPr>
        <w:t>7.2、关联企业中,法定代表人为同一个的两个及两个以上法人，母公司、全资子公司及其控股公司，都不得同时参加磋商。一经发现，将导致磋商响应同时被拒绝。</w:t>
      </w:r>
    </w:p>
    <w:p>
      <w:pPr>
        <w:snapToGrid w:val="0"/>
        <w:spacing w:line="360" w:lineRule="auto"/>
        <w:ind w:firstLine="424" w:firstLineChars="201"/>
        <w:jc w:val="left"/>
        <w:outlineLvl w:val="1"/>
        <w:rPr>
          <w:rFonts w:hint="eastAsia" w:ascii="宋体" w:hAnsi="宋体"/>
          <w:b/>
          <w:szCs w:val="21"/>
        </w:rPr>
      </w:pPr>
      <w:bookmarkStart w:id="106" w:name="_Toc524612720"/>
      <w:bookmarkStart w:id="107" w:name="_Toc523583070"/>
      <w:r>
        <w:rPr>
          <w:rFonts w:hint="eastAsia" w:ascii="宋体" w:hAnsi="宋体"/>
          <w:b/>
          <w:szCs w:val="21"/>
        </w:rPr>
        <w:t>8、转包与分包</w:t>
      </w:r>
      <w:bookmarkEnd w:id="106"/>
      <w:bookmarkEnd w:id="107"/>
    </w:p>
    <w:p>
      <w:pPr>
        <w:spacing w:line="360" w:lineRule="auto"/>
        <w:ind w:firstLine="422" w:firstLineChars="201"/>
        <w:rPr>
          <w:rFonts w:hint="eastAsia" w:ascii="宋体" w:hAnsi="宋体" w:cs="宋体"/>
          <w:kern w:val="0"/>
          <w:szCs w:val="21"/>
        </w:rPr>
      </w:pPr>
      <w:r>
        <w:rPr>
          <w:rFonts w:hint="eastAsia" w:ascii="宋体" w:hAnsi="宋体" w:cs="宋体"/>
          <w:kern w:val="0"/>
          <w:szCs w:val="21"/>
        </w:rPr>
        <w:t>8.1、本项目不允许转包。</w:t>
      </w:r>
    </w:p>
    <w:p>
      <w:pPr>
        <w:spacing w:line="360" w:lineRule="auto"/>
        <w:ind w:firstLine="422" w:firstLineChars="201"/>
        <w:rPr>
          <w:rFonts w:hint="eastAsia" w:ascii="宋体" w:hAnsi="宋体"/>
          <w:szCs w:val="21"/>
        </w:rPr>
      </w:pPr>
      <w:r>
        <w:rPr>
          <w:rFonts w:hint="eastAsia" w:ascii="宋体" w:hAnsi="宋体" w:cs="宋体"/>
          <w:kern w:val="0"/>
          <w:szCs w:val="21"/>
        </w:rPr>
        <w:t>8.2、本项目不可以分包。</w:t>
      </w:r>
    </w:p>
    <w:p>
      <w:pPr>
        <w:snapToGrid w:val="0"/>
        <w:spacing w:line="360" w:lineRule="auto"/>
        <w:ind w:firstLine="424" w:firstLineChars="201"/>
        <w:jc w:val="left"/>
        <w:outlineLvl w:val="1"/>
        <w:rPr>
          <w:rFonts w:hint="eastAsia" w:ascii="宋体" w:hAnsi="宋体"/>
          <w:b/>
          <w:szCs w:val="21"/>
        </w:rPr>
      </w:pPr>
      <w:bookmarkStart w:id="108" w:name="_Toc518327077"/>
      <w:bookmarkStart w:id="109" w:name="_Toc522549169"/>
      <w:bookmarkStart w:id="110" w:name="_Toc448487535"/>
      <w:bookmarkStart w:id="111" w:name="_Toc493699298"/>
      <w:bookmarkStart w:id="112" w:name="_Toc524612721"/>
      <w:bookmarkStart w:id="113" w:name="_Toc487793386"/>
      <w:bookmarkStart w:id="114" w:name="_Toc523583071"/>
      <w:bookmarkStart w:id="115" w:name="_Toc177870542"/>
      <w:bookmarkStart w:id="116" w:name="_Toc192313107"/>
      <w:bookmarkStart w:id="117" w:name="_Toc437979776"/>
      <w:bookmarkStart w:id="118" w:name="_Toc487802024"/>
      <w:bookmarkStart w:id="119" w:name="_Toc487802093"/>
      <w:bookmarkStart w:id="120" w:name="_Toc493082114"/>
      <w:r>
        <w:rPr>
          <w:rFonts w:hint="eastAsia" w:ascii="宋体" w:hAnsi="宋体"/>
          <w:b/>
          <w:szCs w:val="21"/>
        </w:rPr>
        <w:t>9、特别说明：</w:t>
      </w:r>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20"/>
        <w:spacing w:line="360" w:lineRule="auto"/>
        <w:ind w:left="2" w:firstLine="422" w:firstLineChars="201"/>
        <w:rPr>
          <w:rFonts w:hint="eastAsia" w:hAnsi="宋体"/>
          <w:szCs w:val="21"/>
        </w:rPr>
      </w:pPr>
      <w:r>
        <w:rPr>
          <w:rFonts w:hint="eastAsia" w:hAnsi="宋体"/>
          <w:szCs w:val="21"/>
        </w:rPr>
        <w:t>9.1、供应商磋商所使用的资格、信誉、荣誉、业绩与企业认证必须为本法人所拥有。</w:t>
      </w:r>
    </w:p>
    <w:p>
      <w:pPr>
        <w:pStyle w:val="20"/>
        <w:spacing w:line="360" w:lineRule="auto"/>
        <w:ind w:left="2" w:firstLine="422" w:firstLineChars="201"/>
        <w:rPr>
          <w:rFonts w:hint="eastAsia" w:hAnsi="宋体"/>
          <w:szCs w:val="21"/>
        </w:rPr>
      </w:pPr>
      <w:r>
        <w:rPr>
          <w:rFonts w:hint="eastAsia" w:hAnsi="宋体"/>
          <w:szCs w:val="21"/>
        </w:rPr>
        <w:t>9.2、供应商磋商不得含有任何虚假材料,否则作无效处理；成交后发现的, 成交供应商须依照《中华人民共和国消费者权益保护法》第49条之规定双倍赔偿采购人。民事上之赔偿不免除作假供应商之行政与刑事责任。</w:t>
      </w:r>
    </w:p>
    <w:p>
      <w:pPr>
        <w:pStyle w:val="20"/>
        <w:spacing w:line="360" w:lineRule="auto"/>
        <w:ind w:firstLine="424" w:firstLineChars="201"/>
        <w:outlineLvl w:val="1"/>
        <w:rPr>
          <w:rFonts w:hint="eastAsia" w:hAnsi="宋体"/>
          <w:b/>
          <w:bCs/>
          <w:szCs w:val="21"/>
        </w:rPr>
      </w:pPr>
      <w:bookmarkStart w:id="121" w:name="_Toc448487536"/>
      <w:bookmarkStart w:id="122" w:name="_Toc487802025"/>
      <w:bookmarkStart w:id="123" w:name="_Toc487802094"/>
      <w:bookmarkStart w:id="124" w:name="_Toc487793387"/>
      <w:bookmarkStart w:id="125" w:name="_Toc523583072"/>
      <w:bookmarkStart w:id="126" w:name="_Toc192313108"/>
      <w:bookmarkStart w:id="127" w:name="_Toc524612722"/>
      <w:bookmarkStart w:id="128" w:name="_Toc177870543"/>
      <w:bookmarkStart w:id="129" w:name="_Toc518327078"/>
      <w:bookmarkStart w:id="130" w:name="_Toc493082115"/>
      <w:bookmarkStart w:id="131" w:name="_Toc493699299"/>
      <w:bookmarkStart w:id="132" w:name="_Toc522549170"/>
      <w:bookmarkStart w:id="133" w:name="_Toc437979777"/>
      <w:r>
        <w:rPr>
          <w:rFonts w:hint="eastAsia" w:hAnsi="宋体"/>
          <w:b/>
          <w:bCs/>
          <w:szCs w:val="21"/>
        </w:rPr>
        <w:t>10、质疑</w:t>
      </w:r>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20"/>
        <w:spacing w:line="360" w:lineRule="auto"/>
        <w:ind w:left="1" w:firstLine="422" w:firstLineChars="201"/>
        <w:rPr>
          <w:rFonts w:hint="eastAsia" w:hAnsi="宋体"/>
          <w:bCs/>
          <w:szCs w:val="21"/>
        </w:rPr>
      </w:pPr>
      <w:r>
        <w:rPr>
          <w:rFonts w:hint="eastAsia" w:hAnsi="宋体"/>
          <w:bCs/>
          <w:szCs w:val="21"/>
        </w:rPr>
        <w:t>10.1、供应商认为磋商文件、磋商过程和成交结果使自己的合法权益受到损害的，应当在知道或者应知其权益受到损害之日起七个工作日内，以书面形式向采购人、采购代理机构提出质疑。</w:t>
      </w:r>
    </w:p>
    <w:p>
      <w:pPr>
        <w:pStyle w:val="20"/>
        <w:spacing w:line="360" w:lineRule="auto"/>
        <w:ind w:left="1" w:firstLine="422" w:firstLineChars="201"/>
        <w:rPr>
          <w:rFonts w:hint="eastAsia" w:hAnsi="宋体"/>
          <w:bCs/>
          <w:szCs w:val="21"/>
        </w:rPr>
      </w:pPr>
      <w:r>
        <w:rPr>
          <w:rFonts w:hint="eastAsia" w:hAnsi="宋体"/>
          <w:bCs/>
          <w:szCs w:val="21"/>
        </w:rPr>
        <w:t>10.2、供应商认可代理机构在质疑答复程序中启用的调查和复评等程序，在该程序操作过程未明显违反法律禁止性规定时，不得提出疑义。</w:t>
      </w:r>
    </w:p>
    <w:p>
      <w:pPr>
        <w:pStyle w:val="3"/>
        <w:spacing w:before="0" w:after="0"/>
        <w:ind w:firstLine="424" w:firstLineChars="201"/>
        <w:rPr>
          <w:rFonts w:hint="eastAsia" w:ascii="宋体" w:hAnsi="宋体" w:eastAsia="宋体"/>
          <w:sz w:val="21"/>
          <w:szCs w:val="21"/>
        </w:rPr>
      </w:pPr>
      <w:bookmarkStart w:id="134" w:name="_Toc192313109"/>
      <w:bookmarkStart w:id="135" w:name="_Toc487802095"/>
    </w:p>
    <w:p>
      <w:pPr>
        <w:pStyle w:val="3"/>
        <w:spacing w:before="0" w:after="0"/>
        <w:ind w:firstLine="424" w:firstLineChars="201"/>
        <w:rPr>
          <w:rFonts w:hint="eastAsia" w:ascii="宋体" w:hAnsi="宋体" w:eastAsia="宋体"/>
          <w:sz w:val="21"/>
          <w:szCs w:val="21"/>
        </w:rPr>
      </w:pPr>
      <w:bookmarkStart w:id="136" w:name="_Toc524612723"/>
      <w:r>
        <w:rPr>
          <w:rFonts w:hint="eastAsia" w:ascii="宋体" w:hAnsi="宋体" w:eastAsia="宋体"/>
          <w:sz w:val="21"/>
          <w:szCs w:val="21"/>
        </w:rPr>
        <w:t>二    磋商文件</w:t>
      </w:r>
      <w:bookmarkEnd w:id="134"/>
      <w:bookmarkEnd w:id="135"/>
      <w:bookmarkEnd w:id="136"/>
    </w:p>
    <w:p>
      <w:pPr>
        <w:spacing w:line="360" w:lineRule="auto"/>
        <w:ind w:firstLine="424" w:firstLineChars="201"/>
        <w:jc w:val="left"/>
        <w:rPr>
          <w:rFonts w:hint="eastAsia" w:ascii="宋体" w:hAnsi="宋体"/>
          <w:b/>
          <w:szCs w:val="21"/>
        </w:rPr>
      </w:pPr>
      <w:r>
        <w:rPr>
          <w:rFonts w:hint="eastAsia" w:ascii="宋体" w:hAnsi="宋体"/>
          <w:b/>
          <w:szCs w:val="21"/>
        </w:rPr>
        <w:t>1、磋商文件的构成</w:t>
      </w:r>
    </w:p>
    <w:p>
      <w:pPr>
        <w:spacing w:line="360" w:lineRule="auto"/>
        <w:ind w:firstLine="422" w:firstLineChars="201"/>
        <w:jc w:val="left"/>
        <w:rPr>
          <w:rFonts w:hint="eastAsia" w:ascii="宋体" w:hAnsi="宋体"/>
          <w:szCs w:val="21"/>
        </w:rPr>
      </w:pPr>
      <w:r>
        <w:rPr>
          <w:rFonts w:hint="eastAsia" w:ascii="宋体" w:hAnsi="宋体"/>
          <w:szCs w:val="21"/>
        </w:rPr>
        <w:t>1.1、竞争性磋商公告</w:t>
      </w:r>
    </w:p>
    <w:p>
      <w:pPr>
        <w:spacing w:line="360" w:lineRule="auto"/>
        <w:ind w:firstLine="422" w:firstLineChars="201"/>
        <w:jc w:val="left"/>
        <w:rPr>
          <w:rFonts w:hint="eastAsia" w:ascii="宋体" w:hAnsi="宋体"/>
          <w:szCs w:val="21"/>
        </w:rPr>
      </w:pPr>
      <w:r>
        <w:rPr>
          <w:rFonts w:hint="eastAsia" w:ascii="宋体" w:hAnsi="宋体"/>
          <w:szCs w:val="21"/>
        </w:rPr>
        <w:t>1.2、供应商须知</w:t>
      </w:r>
    </w:p>
    <w:p>
      <w:pPr>
        <w:spacing w:line="360" w:lineRule="auto"/>
        <w:ind w:firstLine="422" w:firstLineChars="201"/>
        <w:jc w:val="left"/>
        <w:rPr>
          <w:rFonts w:hint="eastAsia" w:ascii="宋体" w:hAnsi="宋体"/>
          <w:szCs w:val="21"/>
        </w:rPr>
      </w:pPr>
      <w:r>
        <w:rPr>
          <w:rFonts w:hint="eastAsia" w:ascii="宋体" w:hAnsi="宋体"/>
          <w:szCs w:val="21"/>
        </w:rPr>
        <w:t>1.3、磋商项目需求</w:t>
      </w:r>
    </w:p>
    <w:p>
      <w:pPr>
        <w:spacing w:line="360" w:lineRule="auto"/>
        <w:ind w:firstLine="422" w:firstLineChars="201"/>
        <w:jc w:val="left"/>
        <w:rPr>
          <w:rFonts w:hint="eastAsia" w:ascii="宋体" w:hAnsi="宋体"/>
          <w:szCs w:val="21"/>
        </w:rPr>
      </w:pPr>
      <w:r>
        <w:rPr>
          <w:rFonts w:hint="eastAsia" w:ascii="宋体" w:hAnsi="宋体"/>
          <w:szCs w:val="21"/>
        </w:rPr>
        <w:t>1.4、评审办法及标准</w:t>
      </w:r>
    </w:p>
    <w:p>
      <w:pPr>
        <w:spacing w:line="360" w:lineRule="auto"/>
        <w:ind w:firstLine="422" w:firstLineChars="201"/>
        <w:jc w:val="left"/>
        <w:rPr>
          <w:rFonts w:hint="eastAsia" w:ascii="宋体" w:hAnsi="宋体"/>
          <w:szCs w:val="21"/>
        </w:rPr>
      </w:pPr>
      <w:r>
        <w:rPr>
          <w:rFonts w:hint="eastAsia" w:ascii="宋体" w:hAnsi="宋体"/>
          <w:szCs w:val="21"/>
        </w:rPr>
        <w:t>1.5、合同主要条款</w:t>
      </w:r>
    </w:p>
    <w:p>
      <w:pPr>
        <w:spacing w:line="360" w:lineRule="auto"/>
        <w:ind w:firstLine="422" w:firstLineChars="201"/>
        <w:jc w:val="left"/>
        <w:rPr>
          <w:rFonts w:hint="eastAsia" w:ascii="宋体" w:hAnsi="宋体"/>
          <w:szCs w:val="21"/>
        </w:rPr>
      </w:pPr>
      <w:r>
        <w:rPr>
          <w:rFonts w:hint="eastAsia" w:ascii="宋体" w:hAnsi="宋体"/>
          <w:szCs w:val="21"/>
        </w:rPr>
        <w:t>1.6、磋商文件相关文件格式</w:t>
      </w:r>
    </w:p>
    <w:p>
      <w:pPr>
        <w:spacing w:line="360" w:lineRule="auto"/>
        <w:ind w:firstLine="424" w:firstLineChars="201"/>
        <w:jc w:val="left"/>
        <w:rPr>
          <w:rFonts w:hint="eastAsia" w:ascii="宋体" w:hAnsi="宋体"/>
          <w:b/>
          <w:szCs w:val="21"/>
        </w:rPr>
      </w:pPr>
      <w:r>
        <w:rPr>
          <w:rFonts w:hint="eastAsia" w:ascii="宋体" w:hAnsi="宋体"/>
          <w:b/>
          <w:szCs w:val="21"/>
        </w:rPr>
        <w:t>2、存在的风险</w:t>
      </w:r>
    </w:p>
    <w:p>
      <w:pPr>
        <w:spacing w:line="360" w:lineRule="auto"/>
        <w:ind w:firstLine="422" w:firstLineChars="201"/>
        <w:jc w:val="left"/>
        <w:rPr>
          <w:rFonts w:hint="eastAsia" w:ascii="宋体" w:hAnsi="宋体"/>
          <w:szCs w:val="21"/>
        </w:rPr>
      </w:pPr>
      <w:r>
        <w:rPr>
          <w:rFonts w:hint="eastAsia" w:ascii="宋体" w:hAnsi="宋体"/>
          <w:szCs w:val="21"/>
        </w:rPr>
        <w:t>供应商没有按照磋商文件要求提供全部资料，或者供应商没有对磋商文件在各方面都作出实质性响应是供应商的风险，并可能导致其磋商被拒绝。</w:t>
      </w:r>
    </w:p>
    <w:p>
      <w:pPr>
        <w:pStyle w:val="12"/>
        <w:widowControl w:val="0"/>
        <w:numPr>
          <w:ilvl w:val="0"/>
          <w:numId w:val="0"/>
        </w:numPr>
        <w:spacing w:after="0" w:afterLines="0" w:line="360" w:lineRule="auto"/>
        <w:ind w:firstLine="424" w:firstLineChars="201"/>
        <w:rPr>
          <w:rFonts w:hint="eastAsia" w:ascii="宋体" w:hAnsi="宋体"/>
          <w:b/>
          <w:sz w:val="21"/>
          <w:szCs w:val="21"/>
        </w:rPr>
      </w:pPr>
      <w:r>
        <w:rPr>
          <w:rFonts w:hint="eastAsia" w:ascii="宋体" w:hAnsi="宋体"/>
          <w:b/>
          <w:sz w:val="21"/>
          <w:szCs w:val="21"/>
        </w:rPr>
        <w:t xml:space="preserve">3、磋商文件的澄清与修改 </w:t>
      </w:r>
    </w:p>
    <w:p>
      <w:pPr>
        <w:pStyle w:val="20"/>
        <w:spacing w:line="360" w:lineRule="auto"/>
        <w:ind w:firstLine="422" w:firstLineChars="201"/>
        <w:rPr>
          <w:rFonts w:hint="eastAsia" w:hAnsi="宋体"/>
          <w:szCs w:val="21"/>
        </w:rPr>
      </w:pPr>
      <w:r>
        <w:rPr>
          <w:rFonts w:hint="eastAsia" w:hAnsi="宋体"/>
          <w:szCs w:val="21"/>
        </w:rPr>
        <w:t>3.1、</w:t>
      </w:r>
      <w:r>
        <w:rPr>
          <w:rFonts w:hint="eastAsia" w:hAnsi="宋体"/>
          <w:bCs/>
          <w:szCs w:val="21"/>
        </w:rPr>
        <w:t>供应商应认真阅读本磋商文件，发现其中有误或有要求不合理的，供应商必须在在知道或者应当知道之日起七个工作日内以书面形式要求采购代理机构澄清，否则，由此产生的后果由供应商负责</w:t>
      </w:r>
      <w:r>
        <w:rPr>
          <w:rFonts w:hint="eastAsia" w:hAnsi="宋体"/>
          <w:szCs w:val="21"/>
        </w:rPr>
        <w:t>。</w:t>
      </w:r>
    </w:p>
    <w:p>
      <w:pPr>
        <w:pStyle w:val="20"/>
        <w:spacing w:line="360" w:lineRule="auto"/>
        <w:ind w:firstLine="422" w:firstLineChars="201"/>
        <w:rPr>
          <w:rFonts w:hint="eastAsia" w:hAnsi="宋体"/>
          <w:szCs w:val="21"/>
        </w:rPr>
      </w:pPr>
      <w:r>
        <w:rPr>
          <w:rFonts w:hint="eastAsia" w:hAnsi="宋体"/>
          <w:szCs w:val="21"/>
        </w:rPr>
        <w:t>3.2、采购代理机构必须以书面形式答复所有购买磋商文件的供应商（注：答复中不包含问题的来源）要求澄清的问题，同时认定其他澄清方式为无效。</w:t>
      </w:r>
    </w:p>
    <w:p>
      <w:pPr>
        <w:pStyle w:val="20"/>
        <w:spacing w:line="360" w:lineRule="auto"/>
        <w:ind w:firstLine="422" w:firstLineChars="201"/>
        <w:rPr>
          <w:rFonts w:hint="eastAsia" w:hAnsi="宋体"/>
          <w:szCs w:val="21"/>
        </w:rPr>
      </w:pPr>
      <w:r>
        <w:rPr>
          <w:rFonts w:hint="eastAsia" w:hAnsi="宋体"/>
          <w:szCs w:val="21"/>
        </w:rPr>
        <w:t>3.3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pPr>
        <w:pStyle w:val="20"/>
        <w:spacing w:line="360" w:lineRule="auto"/>
        <w:ind w:firstLine="422" w:firstLineChars="201"/>
        <w:rPr>
          <w:rFonts w:hint="eastAsia" w:hAnsi="宋体"/>
          <w:szCs w:val="21"/>
        </w:rPr>
      </w:pPr>
      <w:r>
        <w:rPr>
          <w:rFonts w:hint="eastAsia" w:hAnsi="宋体"/>
          <w:szCs w:val="21"/>
        </w:rPr>
        <w:t>3.4、采购代理机构和采购单位可以视采购具体情况，延长提交磋商文件的截止时间和磋商时间，但至少应当在磋商文件要求提交磋商文件的截止时间三日前，将变更时间书面通知所有磋商文件收受人，并在财政部门指定的政府采购信息发布媒体上发布变更公告。</w:t>
      </w:r>
    </w:p>
    <w:p>
      <w:pPr>
        <w:pStyle w:val="20"/>
        <w:spacing w:line="360" w:lineRule="auto"/>
        <w:ind w:firstLine="422" w:firstLineChars="201"/>
        <w:rPr>
          <w:rFonts w:hint="eastAsia" w:hAnsi="宋体"/>
          <w:szCs w:val="21"/>
        </w:rPr>
      </w:pPr>
      <w:r>
        <w:rPr>
          <w:rFonts w:hint="eastAsia" w:hAnsi="宋体"/>
        </w:rPr>
        <w:t>3.5、磋商文件的澄清或者修改都应该通过本代理机构以法定形式发布，采购人非通过本机构，不得擅自澄清或者修改磋商文件。</w:t>
      </w:r>
      <w:bookmarkStart w:id="137" w:name="_Toc192313110"/>
    </w:p>
    <w:p>
      <w:pPr>
        <w:pStyle w:val="3"/>
        <w:spacing w:before="0" w:after="0"/>
        <w:ind w:firstLine="424" w:firstLineChars="201"/>
        <w:rPr>
          <w:rFonts w:hint="eastAsia" w:ascii="宋体" w:hAnsi="宋体" w:eastAsia="宋体"/>
          <w:sz w:val="21"/>
          <w:szCs w:val="21"/>
        </w:rPr>
      </w:pPr>
      <w:bookmarkStart w:id="138" w:name="_Toc524612724"/>
      <w:r>
        <w:rPr>
          <w:rFonts w:hint="eastAsia" w:ascii="宋体" w:hAnsi="宋体" w:eastAsia="宋体"/>
          <w:sz w:val="21"/>
          <w:szCs w:val="21"/>
        </w:rPr>
        <w:t>三    磋商响应文件的编制</w:t>
      </w:r>
      <w:bookmarkEnd w:id="137"/>
      <w:bookmarkEnd w:id="138"/>
    </w:p>
    <w:p>
      <w:pPr>
        <w:spacing w:line="360" w:lineRule="auto"/>
        <w:ind w:firstLine="422" w:firstLineChars="201"/>
        <w:rPr>
          <w:rFonts w:hint="eastAsia"/>
        </w:rPr>
      </w:pPr>
      <w:bookmarkStart w:id="139" w:name="_Toc518327081"/>
      <w:bookmarkStart w:id="140" w:name="_Toc522549173"/>
      <w:r>
        <w:rPr>
          <w:rFonts w:hint="eastAsia"/>
        </w:rPr>
        <w:t>本项目所涉投标文件格式请详见第六章，未给出的格式请自拟。</w:t>
      </w:r>
      <w:bookmarkEnd w:id="139"/>
      <w:bookmarkEnd w:id="140"/>
    </w:p>
    <w:p>
      <w:pPr>
        <w:snapToGrid w:val="0"/>
        <w:spacing w:line="360" w:lineRule="auto"/>
        <w:ind w:firstLine="424" w:firstLineChars="201"/>
        <w:jc w:val="left"/>
        <w:outlineLvl w:val="0"/>
        <w:rPr>
          <w:rFonts w:hint="eastAsia" w:ascii="宋体" w:hAnsi="宋体"/>
          <w:b/>
          <w:szCs w:val="21"/>
        </w:rPr>
      </w:pPr>
      <w:bookmarkStart w:id="141" w:name="_Toc192313111"/>
      <w:bookmarkStart w:id="142" w:name="_Toc448487539"/>
      <w:bookmarkStart w:id="143" w:name="_Toc493082118"/>
      <w:bookmarkStart w:id="144" w:name="_Toc493699302"/>
      <w:bookmarkStart w:id="145" w:name="_Toc177824876"/>
      <w:bookmarkStart w:id="146" w:name="_Toc177824943"/>
      <w:bookmarkStart w:id="147" w:name="_Toc437979780"/>
      <w:bookmarkStart w:id="148" w:name="_Toc518327082"/>
      <w:bookmarkStart w:id="149" w:name="_Toc177870546"/>
      <w:bookmarkStart w:id="150" w:name="_Toc522549174"/>
      <w:bookmarkStart w:id="151" w:name="_Toc523583075"/>
      <w:bookmarkStart w:id="152" w:name="_Toc524612725"/>
      <w:bookmarkStart w:id="153" w:name="_Toc177825124"/>
      <w:r>
        <w:rPr>
          <w:rFonts w:hint="eastAsia" w:ascii="宋体" w:hAnsi="宋体"/>
          <w:b/>
          <w:szCs w:val="21"/>
        </w:rPr>
        <w:t>1、磋商响应文件的组成</w:t>
      </w:r>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422" w:firstLineChars="201"/>
        <w:jc w:val="left"/>
        <w:rPr>
          <w:rFonts w:hint="eastAsia" w:ascii="宋体" w:hAnsi="宋体"/>
          <w:szCs w:val="21"/>
        </w:rPr>
      </w:pPr>
      <w:r>
        <w:rPr>
          <w:rFonts w:hint="eastAsia" w:ascii="宋体" w:hAnsi="宋体"/>
          <w:szCs w:val="21"/>
        </w:rPr>
        <w:t>磋商响应文件由</w:t>
      </w:r>
      <w:r>
        <w:rPr>
          <w:rFonts w:ascii="宋体" w:hAnsi="宋体"/>
          <w:szCs w:val="21"/>
        </w:rPr>
        <w:t>资信商务及技术文件</w:t>
      </w:r>
      <w:r>
        <w:rPr>
          <w:rFonts w:hint="eastAsia" w:ascii="宋体" w:hAnsi="宋体"/>
          <w:szCs w:val="21"/>
        </w:rPr>
        <w:t>和报价文件二部份组成。</w:t>
      </w:r>
      <w:bookmarkStart w:id="154" w:name="_Toc493511650"/>
    </w:p>
    <w:p>
      <w:pPr>
        <w:snapToGrid w:val="0"/>
        <w:spacing w:line="360" w:lineRule="auto"/>
        <w:ind w:left="420" w:firstLine="4" w:firstLineChars="2"/>
        <w:jc w:val="left"/>
        <w:outlineLvl w:val="1"/>
        <w:rPr>
          <w:rFonts w:ascii="宋体" w:hAnsi="宋体"/>
          <w:color w:val="000000"/>
          <w:szCs w:val="21"/>
        </w:rPr>
      </w:pPr>
      <w:bookmarkStart w:id="155" w:name="_Toc524612726"/>
      <w:bookmarkStart w:id="156" w:name="_Toc523583076"/>
      <w:bookmarkStart w:id="157" w:name="_Toc522549175"/>
      <w:bookmarkStart w:id="158" w:name="_Toc518327083"/>
      <w:r>
        <w:rPr>
          <w:rFonts w:hint="eastAsia" w:ascii="宋体" w:hAnsi="宋体"/>
          <w:color w:val="000000"/>
          <w:szCs w:val="21"/>
        </w:rPr>
        <w:t>1.1技术文件：</w:t>
      </w:r>
      <w:bookmarkEnd w:id="155"/>
      <w:bookmarkEnd w:id="156"/>
    </w:p>
    <w:p>
      <w:pPr>
        <w:snapToGrid w:val="0"/>
        <w:spacing w:line="360" w:lineRule="auto"/>
        <w:ind w:left="420" w:firstLine="4" w:firstLineChars="2"/>
        <w:jc w:val="left"/>
        <w:outlineLvl w:val="1"/>
        <w:rPr>
          <w:rFonts w:hint="eastAsia" w:ascii="宋体" w:hAnsi="宋体"/>
          <w:color w:val="000000"/>
          <w:szCs w:val="21"/>
        </w:rPr>
      </w:pPr>
      <w:bookmarkStart w:id="159" w:name="_Toc523583082"/>
      <w:bookmarkStart w:id="160" w:name="_Toc524612732"/>
      <w:bookmarkStart w:id="161" w:name="_Toc522549180"/>
      <w:bookmarkStart w:id="162" w:name="_Toc493511644"/>
      <w:r>
        <w:rPr>
          <w:rFonts w:hint="eastAsia" w:ascii="宋体" w:hAnsi="宋体"/>
          <w:color w:val="000000"/>
          <w:szCs w:val="21"/>
        </w:rPr>
        <w:t>1.1.1、</w:t>
      </w:r>
      <w:r>
        <w:rPr>
          <w:rFonts w:ascii="宋体" w:hAnsi="宋体"/>
          <w:color w:val="000000"/>
          <w:szCs w:val="21"/>
        </w:rPr>
        <w:t>对本项目系统总体要求的理解；</w:t>
      </w:r>
      <w:bookmarkEnd w:id="159"/>
      <w:bookmarkEnd w:id="160"/>
      <w:bookmarkEnd w:id="161"/>
      <w:bookmarkEnd w:id="162"/>
    </w:p>
    <w:p>
      <w:pPr>
        <w:snapToGrid w:val="0"/>
        <w:spacing w:line="360" w:lineRule="auto"/>
        <w:ind w:left="420" w:firstLine="4" w:firstLineChars="2"/>
        <w:jc w:val="left"/>
        <w:outlineLvl w:val="1"/>
        <w:rPr>
          <w:rFonts w:hint="eastAsia" w:ascii="宋体" w:hAnsi="宋体"/>
          <w:color w:val="000000"/>
          <w:szCs w:val="21"/>
        </w:rPr>
      </w:pPr>
      <w:bookmarkStart w:id="163" w:name="_Toc493511645"/>
      <w:bookmarkStart w:id="164" w:name="_Toc522549181"/>
      <w:bookmarkStart w:id="165" w:name="_Toc523583083"/>
      <w:bookmarkStart w:id="166" w:name="_Toc524612733"/>
      <w:r>
        <w:rPr>
          <w:rFonts w:hint="eastAsia" w:ascii="宋体" w:hAnsi="宋体"/>
          <w:color w:val="000000"/>
          <w:szCs w:val="21"/>
        </w:rPr>
        <w:t>1.1.2、针对本项目服务的技术方案及保证措施；</w:t>
      </w:r>
      <w:bookmarkEnd w:id="163"/>
      <w:bookmarkEnd w:id="164"/>
      <w:bookmarkEnd w:id="165"/>
      <w:bookmarkEnd w:id="166"/>
    </w:p>
    <w:p>
      <w:pPr>
        <w:snapToGrid w:val="0"/>
        <w:spacing w:line="360" w:lineRule="auto"/>
        <w:ind w:left="420" w:firstLine="4" w:firstLineChars="2"/>
        <w:jc w:val="left"/>
        <w:outlineLvl w:val="1"/>
        <w:rPr>
          <w:rFonts w:hint="eastAsia" w:ascii="宋体" w:hAnsi="宋体"/>
          <w:color w:val="000000"/>
          <w:szCs w:val="21"/>
        </w:rPr>
      </w:pPr>
      <w:bookmarkStart w:id="167" w:name="_Toc523583084"/>
      <w:bookmarkStart w:id="168" w:name="_Toc524612734"/>
      <w:bookmarkStart w:id="169" w:name="_Toc493511646"/>
      <w:bookmarkStart w:id="170" w:name="_Toc522549182"/>
      <w:r>
        <w:rPr>
          <w:rFonts w:hint="eastAsia" w:ascii="宋体" w:hAnsi="宋体"/>
          <w:color w:val="000000"/>
          <w:szCs w:val="21"/>
        </w:rPr>
        <w:t>1.1.3、针对本项目的项目进度安排；</w:t>
      </w:r>
      <w:bookmarkEnd w:id="167"/>
      <w:bookmarkEnd w:id="168"/>
      <w:bookmarkEnd w:id="169"/>
      <w:bookmarkEnd w:id="170"/>
    </w:p>
    <w:p>
      <w:pPr>
        <w:snapToGrid w:val="0"/>
        <w:spacing w:line="360" w:lineRule="auto"/>
        <w:ind w:left="420" w:firstLine="4" w:firstLineChars="2"/>
        <w:jc w:val="left"/>
        <w:outlineLvl w:val="1"/>
        <w:rPr>
          <w:rFonts w:hint="eastAsia" w:ascii="宋体" w:hAnsi="宋体"/>
          <w:color w:val="000000"/>
          <w:szCs w:val="21"/>
        </w:rPr>
      </w:pPr>
      <w:bookmarkStart w:id="171" w:name="_Toc524612735"/>
      <w:bookmarkStart w:id="172" w:name="_Toc522549183"/>
      <w:bookmarkStart w:id="173" w:name="_Toc493511647"/>
      <w:bookmarkStart w:id="174" w:name="_Toc523583085"/>
      <w:r>
        <w:rPr>
          <w:rFonts w:hint="eastAsia" w:ascii="宋体" w:hAnsi="宋体"/>
          <w:color w:val="000000"/>
          <w:szCs w:val="21"/>
        </w:rPr>
        <w:t>1.1.4、</w:t>
      </w:r>
      <w:r>
        <w:rPr>
          <w:rFonts w:ascii="宋体" w:hAnsi="宋体"/>
          <w:color w:val="000000"/>
          <w:szCs w:val="21"/>
        </w:rPr>
        <w:t>保证</w:t>
      </w:r>
      <w:r>
        <w:rPr>
          <w:rFonts w:hint="eastAsia" w:ascii="宋体" w:hAnsi="宋体"/>
          <w:color w:val="000000"/>
          <w:szCs w:val="21"/>
        </w:rPr>
        <w:t>本项目有效实施的</w:t>
      </w:r>
      <w:r>
        <w:rPr>
          <w:rFonts w:ascii="宋体" w:hAnsi="宋体"/>
          <w:color w:val="000000"/>
          <w:szCs w:val="21"/>
        </w:rPr>
        <w:t>组织</w:t>
      </w:r>
      <w:r>
        <w:rPr>
          <w:rFonts w:hint="eastAsia" w:ascii="宋体" w:hAnsi="宋体"/>
          <w:color w:val="000000"/>
          <w:szCs w:val="21"/>
        </w:rPr>
        <w:t>结构</w:t>
      </w:r>
      <w:r>
        <w:rPr>
          <w:rFonts w:ascii="宋体" w:hAnsi="宋体"/>
          <w:color w:val="000000"/>
          <w:szCs w:val="21"/>
        </w:rPr>
        <w:t>及人力资源安排；</w:t>
      </w:r>
      <w:bookmarkEnd w:id="171"/>
      <w:bookmarkEnd w:id="172"/>
      <w:bookmarkEnd w:id="173"/>
      <w:bookmarkEnd w:id="174"/>
    </w:p>
    <w:p>
      <w:pPr>
        <w:snapToGrid w:val="0"/>
        <w:spacing w:line="360" w:lineRule="auto"/>
        <w:ind w:left="420" w:firstLine="4" w:firstLineChars="2"/>
        <w:jc w:val="left"/>
        <w:outlineLvl w:val="1"/>
        <w:rPr>
          <w:rFonts w:hint="eastAsia" w:ascii="宋体" w:hAnsi="宋体"/>
          <w:color w:val="000000"/>
          <w:szCs w:val="21"/>
        </w:rPr>
      </w:pPr>
      <w:bookmarkStart w:id="175" w:name="_Toc518327091"/>
      <w:bookmarkStart w:id="176" w:name="_Toc522549184"/>
      <w:bookmarkStart w:id="177" w:name="_Toc524612736"/>
      <w:bookmarkStart w:id="178" w:name="_Toc523583086"/>
      <w:r>
        <w:rPr>
          <w:rFonts w:hint="eastAsia" w:ascii="宋体" w:hAnsi="宋体"/>
          <w:color w:val="000000"/>
          <w:szCs w:val="21"/>
        </w:rPr>
        <w:t>1.1.5、技术服务、售后服务的内容和措施；</w:t>
      </w:r>
      <w:bookmarkEnd w:id="175"/>
      <w:bookmarkEnd w:id="176"/>
      <w:bookmarkEnd w:id="177"/>
      <w:bookmarkEnd w:id="178"/>
    </w:p>
    <w:p>
      <w:pPr>
        <w:snapToGrid w:val="0"/>
        <w:spacing w:line="360" w:lineRule="auto"/>
        <w:ind w:left="420" w:firstLine="4" w:firstLineChars="2"/>
        <w:jc w:val="left"/>
        <w:outlineLvl w:val="1"/>
        <w:rPr>
          <w:rFonts w:hint="eastAsia" w:ascii="宋体" w:hAnsi="宋体"/>
          <w:color w:val="000000"/>
          <w:szCs w:val="21"/>
        </w:rPr>
      </w:pPr>
      <w:bookmarkStart w:id="179" w:name="_Toc518327094"/>
      <w:bookmarkStart w:id="180" w:name="_Toc523583087"/>
      <w:bookmarkStart w:id="181" w:name="_Toc524612737"/>
      <w:bookmarkStart w:id="182" w:name="_Toc522549185"/>
      <w:r>
        <w:rPr>
          <w:rFonts w:hint="eastAsia" w:ascii="宋体" w:hAnsi="宋体"/>
          <w:color w:val="000000"/>
          <w:szCs w:val="21"/>
        </w:rPr>
        <w:t>1.1.6、供应商对本项目的合理化建议和改进措施；</w:t>
      </w:r>
      <w:bookmarkEnd w:id="179"/>
      <w:bookmarkEnd w:id="180"/>
      <w:bookmarkEnd w:id="181"/>
      <w:bookmarkEnd w:id="182"/>
    </w:p>
    <w:p>
      <w:pPr>
        <w:snapToGrid w:val="0"/>
        <w:spacing w:line="360" w:lineRule="auto"/>
        <w:ind w:left="420" w:firstLine="4" w:firstLineChars="2"/>
        <w:jc w:val="left"/>
        <w:outlineLvl w:val="1"/>
        <w:rPr>
          <w:rFonts w:hint="eastAsia" w:ascii="宋体" w:hAnsi="宋体"/>
          <w:color w:val="000000"/>
          <w:szCs w:val="21"/>
        </w:rPr>
      </w:pPr>
      <w:r>
        <w:rPr>
          <w:rFonts w:hint="eastAsia" w:ascii="宋体" w:hAnsi="宋体"/>
          <w:color w:val="000000"/>
          <w:szCs w:val="21"/>
        </w:rPr>
        <w:t>1.2资信商务文件：</w:t>
      </w:r>
    </w:p>
    <w:p>
      <w:pPr>
        <w:snapToGrid w:val="0"/>
        <w:spacing w:line="360" w:lineRule="auto"/>
        <w:ind w:firstLine="422" w:firstLineChars="201"/>
        <w:jc w:val="left"/>
        <w:outlineLvl w:val="1"/>
        <w:rPr>
          <w:rFonts w:hint="eastAsia" w:ascii="宋体" w:hAnsi="宋体"/>
          <w:color w:val="000000"/>
          <w:szCs w:val="21"/>
        </w:rPr>
      </w:pPr>
      <w:bookmarkStart w:id="183" w:name="_Toc523583077"/>
      <w:bookmarkStart w:id="184" w:name="_Toc524612727"/>
      <w:r>
        <w:rPr>
          <w:rFonts w:hint="eastAsia" w:ascii="宋体" w:hAnsi="宋体"/>
          <w:color w:val="000000"/>
          <w:szCs w:val="21"/>
        </w:rPr>
        <w:t>1.2.1、磋商响应函；</w:t>
      </w:r>
      <w:bookmarkEnd w:id="157"/>
      <w:bookmarkEnd w:id="158"/>
      <w:bookmarkEnd w:id="183"/>
      <w:bookmarkEnd w:id="184"/>
    </w:p>
    <w:p>
      <w:pPr>
        <w:snapToGrid w:val="0"/>
        <w:spacing w:line="360" w:lineRule="auto"/>
        <w:ind w:firstLine="422" w:firstLineChars="201"/>
        <w:jc w:val="left"/>
        <w:outlineLvl w:val="1"/>
        <w:rPr>
          <w:rFonts w:hint="eastAsia" w:ascii="宋体" w:hAnsi="宋体"/>
          <w:color w:val="000000"/>
          <w:szCs w:val="21"/>
        </w:rPr>
      </w:pPr>
      <w:bookmarkStart w:id="185" w:name="_Toc523583078"/>
      <w:bookmarkStart w:id="186" w:name="_Toc518327084"/>
      <w:bookmarkStart w:id="187" w:name="_Toc522549176"/>
      <w:bookmarkStart w:id="188" w:name="_Toc524612728"/>
      <w:r>
        <w:rPr>
          <w:rFonts w:hint="eastAsia" w:ascii="宋体" w:hAnsi="宋体"/>
          <w:color w:val="000000"/>
          <w:szCs w:val="21"/>
        </w:rPr>
        <w:t>1.2.2、</w:t>
      </w:r>
      <w:bookmarkEnd w:id="185"/>
      <w:bookmarkEnd w:id="186"/>
      <w:bookmarkEnd w:id="187"/>
      <w:bookmarkEnd w:id="188"/>
      <w:bookmarkStart w:id="189" w:name="_Toc522549177"/>
      <w:bookmarkStart w:id="190" w:name="_Toc518327085"/>
      <w:bookmarkStart w:id="191" w:name="_Toc523583079"/>
      <w:bookmarkStart w:id="192" w:name="_Toc524612729"/>
      <w:r>
        <w:rPr>
          <w:rFonts w:hint="eastAsia" w:ascii="宋体" w:hAnsi="宋体"/>
          <w:color w:val="000000"/>
          <w:szCs w:val="21"/>
        </w:rPr>
        <w:t>法定代表人授权书；</w:t>
      </w:r>
    </w:p>
    <w:p>
      <w:pPr>
        <w:snapToGrid w:val="0"/>
        <w:spacing w:line="360" w:lineRule="auto"/>
        <w:ind w:firstLine="422" w:firstLineChars="201"/>
        <w:jc w:val="left"/>
        <w:outlineLvl w:val="1"/>
        <w:rPr>
          <w:rFonts w:hint="eastAsia" w:ascii="宋体" w:hAnsi="宋体"/>
          <w:color w:val="000000"/>
          <w:szCs w:val="21"/>
        </w:rPr>
      </w:pPr>
      <w:r>
        <w:rPr>
          <w:rFonts w:hint="eastAsia" w:ascii="宋体" w:hAnsi="宋体"/>
          <w:color w:val="000000"/>
          <w:szCs w:val="21"/>
        </w:rPr>
        <w:t>1.2.3、</w:t>
      </w:r>
      <w:bookmarkEnd w:id="189"/>
      <w:bookmarkEnd w:id="190"/>
      <w:bookmarkEnd w:id="191"/>
      <w:bookmarkEnd w:id="192"/>
      <w:r>
        <w:rPr>
          <w:rFonts w:hint="eastAsia" w:ascii="宋体" w:hAnsi="宋体"/>
          <w:color w:val="000000"/>
          <w:szCs w:val="21"/>
        </w:rPr>
        <w:t>关于资格的声明函；</w:t>
      </w:r>
    </w:p>
    <w:p>
      <w:pPr>
        <w:snapToGrid w:val="0"/>
        <w:spacing w:line="360" w:lineRule="auto"/>
        <w:ind w:firstLine="422" w:firstLineChars="201"/>
        <w:jc w:val="left"/>
        <w:outlineLvl w:val="1"/>
        <w:rPr>
          <w:rFonts w:hint="eastAsia" w:ascii="宋体" w:hAnsi="宋体"/>
          <w:color w:val="000000"/>
          <w:szCs w:val="21"/>
        </w:rPr>
      </w:pPr>
      <w:bookmarkStart w:id="193" w:name="_Toc522549178"/>
      <w:bookmarkStart w:id="194" w:name="_Toc524612730"/>
      <w:bookmarkStart w:id="195" w:name="_Toc523583080"/>
      <w:bookmarkStart w:id="196" w:name="_Toc518327086"/>
      <w:r>
        <w:rPr>
          <w:rFonts w:hint="eastAsia" w:ascii="宋体" w:hAnsi="宋体"/>
          <w:color w:val="000000"/>
          <w:szCs w:val="21"/>
        </w:rPr>
        <w:t>1.2.4、</w:t>
      </w:r>
      <w:bookmarkEnd w:id="193"/>
      <w:bookmarkEnd w:id="194"/>
      <w:bookmarkEnd w:id="195"/>
      <w:bookmarkEnd w:id="196"/>
      <w:r>
        <w:rPr>
          <w:rFonts w:hint="eastAsia" w:ascii="宋体" w:hAnsi="宋体"/>
          <w:color w:val="000000"/>
          <w:szCs w:val="21"/>
        </w:rPr>
        <w:t>供应商基本情况表；</w:t>
      </w:r>
    </w:p>
    <w:p>
      <w:pPr>
        <w:snapToGrid w:val="0"/>
        <w:spacing w:line="360" w:lineRule="auto"/>
        <w:ind w:firstLine="422" w:firstLineChars="201"/>
        <w:jc w:val="left"/>
        <w:outlineLvl w:val="1"/>
        <w:rPr>
          <w:rFonts w:hint="eastAsia" w:ascii="宋体" w:hAnsi="宋体"/>
          <w:szCs w:val="21"/>
        </w:rPr>
      </w:pPr>
      <w:bookmarkStart w:id="197" w:name="_Toc523583081"/>
      <w:bookmarkStart w:id="198" w:name="_Toc522549179"/>
      <w:bookmarkStart w:id="199" w:name="_Toc524612731"/>
      <w:bookmarkStart w:id="200" w:name="_Toc518327087"/>
      <w:r>
        <w:rPr>
          <w:rFonts w:hint="eastAsia" w:ascii="宋体" w:hAnsi="宋体"/>
          <w:szCs w:val="21"/>
        </w:rPr>
        <w:t>1.2.5、</w:t>
      </w:r>
      <w:bookmarkEnd w:id="197"/>
      <w:bookmarkEnd w:id="198"/>
      <w:bookmarkEnd w:id="199"/>
      <w:bookmarkEnd w:id="200"/>
      <w:r>
        <w:rPr>
          <w:rFonts w:hint="eastAsia" w:ascii="宋体" w:hAnsi="宋体"/>
          <w:szCs w:val="21"/>
        </w:rPr>
        <w:t>供应商2016年1月1日以来项目业绩一览表；</w:t>
      </w:r>
    </w:p>
    <w:p>
      <w:pPr>
        <w:snapToGrid w:val="0"/>
        <w:spacing w:line="360" w:lineRule="auto"/>
        <w:ind w:firstLine="422" w:firstLineChars="201"/>
        <w:jc w:val="left"/>
        <w:outlineLvl w:val="1"/>
        <w:rPr>
          <w:rFonts w:hint="eastAsia" w:ascii="宋体" w:hAnsi="宋体"/>
          <w:szCs w:val="21"/>
          <w:highlight w:val="cyan"/>
        </w:rPr>
      </w:pPr>
      <w:r>
        <w:rPr>
          <w:rFonts w:hint="eastAsia" w:ascii="宋体" w:hAnsi="宋体"/>
          <w:szCs w:val="21"/>
        </w:rPr>
        <w:t>1.2.6、投入的项目实施人员名单；</w:t>
      </w:r>
    </w:p>
    <w:p>
      <w:pPr>
        <w:snapToGrid w:val="0"/>
        <w:spacing w:line="360" w:lineRule="auto"/>
        <w:ind w:firstLine="422" w:firstLineChars="201"/>
        <w:jc w:val="left"/>
        <w:outlineLvl w:val="1"/>
        <w:rPr>
          <w:rFonts w:hint="eastAsia" w:ascii="宋体" w:hAnsi="宋体"/>
          <w:szCs w:val="21"/>
        </w:rPr>
      </w:pPr>
      <w:r>
        <w:rPr>
          <w:rFonts w:hint="eastAsia" w:ascii="宋体" w:hAnsi="宋体"/>
          <w:szCs w:val="21"/>
        </w:rPr>
        <w:t>1.2.7、投入设备一览表（如有）；</w:t>
      </w:r>
    </w:p>
    <w:p>
      <w:pPr>
        <w:snapToGrid w:val="0"/>
        <w:spacing w:line="360" w:lineRule="auto"/>
        <w:ind w:firstLine="422" w:firstLineChars="201"/>
        <w:jc w:val="left"/>
        <w:outlineLvl w:val="1"/>
        <w:rPr>
          <w:rFonts w:hint="eastAsia" w:ascii="宋体" w:hAnsi="宋体"/>
          <w:szCs w:val="21"/>
        </w:rPr>
      </w:pPr>
      <w:bookmarkStart w:id="201" w:name="_Toc518327096"/>
      <w:bookmarkStart w:id="202" w:name="_Toc522549186"/>
      <w:bookmarkStart w:id="203" w:name="_Toc524612738"/>
      <w:bookmarkStart w:id="204" w:name="_Toc523583088"/>
      <w:r>
        <w:rPr>
          <w:rFonts w:hint="eastAsia" w:ascii="宋体" w:hAnsi="宋体"/>
          <w:szCs w:val="21"/>
        </w:rPr>
        <w:t>1.2.8、中小企业声明函</w:t>
      </w:r>
      <w:bookmarkEnd w:id="201"/>
      <w:r>
        <w:rPr>
          <w:rFonts w:hint="eastAsia" w:ascii="宋体" w:hAnsi="宋体"/>
          <w:szCs w:val="21"/>
        </w:rPr>
        <w:t>等</w:t>
      </w:r>
      <w:bookmarkEnd w:id="202"/>
      <w:bookmarkEnd w:id="203"/>
      <w:bookmarkEnd w:id="204"/>
      <w:r>
        <w:rPr>
          <w:rFonts w:hint="eastAsia" w:ascii="宋体" w:hAnsi="宋体"/>
          <w:szCs w:val="21"/>
        </w:rPr>
        <w:t>；</w:t>
      </w:r>
    </w:p>
    <w:p>
      <w:pPr>
        <w:snapToGrid w:val="0"/>
        <w:spacing w:line="360" w:lineRule="auto"/>
        <w:ind w:firstLine="422" w:firstLineChars="201"/>
        <w:jc w:val="left"/>
        <w:outlineLvl w:val="1"/>
        <w:rPr>
          <w:rFonts w:hint="eastAsia" w:ascii="宋体" w:hAnsi="宋体"/>
          <w:szCs w:val="21"/>
        </w:rPr>
      </w:pPr>
      <w:r>
        <w:rPr>
          <w:rFonts w:hint="eastAsia" w:ascii="宋体" w:hAnsi="宋体"/>
          <w:szCs w:val="21"/>
        </w:rPr>
        <w:t>1.2.9、商务响应表；</w:t>
      </w:r>
    </w:p>
    <w:p>
      <w:pPr>
        <w:snapToGrid w:val="0"/>
        <w:spacing w:line="360" w:lineRule="auto"/>
        <w:ind w:firstLine="422" w:firstLineChars="201"/>
        <w:jc w:val="left"/>
        <w:outlineLvl w:val="1"/>
        <w:rPr>
          <w:rFonts w:hint="eastAsia" w:ascii="宋体" w:hAnsi="宋体"/>
          <w:szCs w:val="21"/>
        </w:rPr>
      </w:pPr>
      <w:bookmarkStart w:id="205" w:name="_Toc518327097"/>
      <w:bookmarkStart w:id="206" w:name="_Toc523583089"/>
      <w:bookmarkStart w:id="207" w:name="_Toc522549187"/>
      <w:bookmarkStart w:id="208" w:name="_Toc524612739"/>
      <w:r>
        <w:rPr>
          <w:rFonts w:hint="eastAsia" w:ascii="宋体" w:hAnsi="宋体"/>
          <w:szCs w:val="21"/>
        </w:rPr>
        <w:t>1.2.10、优惠条件：供应商承诺给予磋商人的各种优惠条件，包括付款条件、技术服务、售后服务等方面的优惠；当优惠条件涉及“报价单”中的各项费用时，必须与磋商价格相统一；</w:t>
      </w:r>
      <w:bookmarkEnd w:id="205"/>
      <w:bookmarkEnd w:id="206"/>
      <w:bookmarkEnd w:id="207"/>
      <w:bookmarkEnd w:id="208"/>
    </w:p>
    <w:p>
      <w:pPr>
        <w:spacing w:line="360" w:lineRule="auto"/>
        <w:ind w:firstLine="422" w:firstLineChars="201"/>
        <w:rPr>
          <w:rFonts w:hint="eastAsia" w:ascii="宋体" w:hAnsi="宋体"/>
          <w:szCs w:val="21"/>
        </w:rPr>
      </w:pPr>
      <w:r>
        <w:rPr>
          <w:rFonts w:hint="eastAsia" w:ascii="宋体" w:hAnsi="宋体"/>
          <w:szCs w:val="21"/>
        </w:rPr>
        <w:t>1.2.11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ind w:firstLine="422" w:firstLineChars="201"/>
        <w:jc w:val="left"/>
        <w:outlineLvl w:val="1"/>
        <w:rPr>
          <w:rFonts w:hint="eastAsia" w:ascii="宋体" w:hAnsi="宋体"/>
          <w:szCs w:val="21"/>
        </w:rPr>
      </w:pPr>
      <w:bookmarkStart w:id="209" w:name="_Toc523583090"/>
      <w:bookmarkStart w:id="210" w:name="_Toc524612740"/>
      <w:bookmarkStart w:id="211" w:name="_Toc518327102"/>
      <w:bookmarkStart w:id="212" w:name="_Toc522549192"/>
      <w:r>
        <w:rPr>
          <w:rFonts w:hint="eastAsia" w:ascii="宋体" w:hAnsi="宋体"/>
          <w:szCs w:val="21"/>
        </w:rPr>
        <w:t>1.2.12、未尽事宜根据磋商文件评分要求及本项目实际需求，投标单位自行编制；</w:t>
      </w:r>
      <w:bookmarkEnd w:id="209"/>
      <w:bookmarkEnd w:id="210"/>
    </w:p>
    <w:p>
      <w:pPr>
        <w:snapToGrid w:val="0"/>
        <w:spacing w:line="360" w:lineRule="auto"/>
        <w:ind w:firstLine="422" w:firstLineChars="201"/>
        <w:jc w:val="left"/>
        <w:outlineLvl w:val="1"/>
        <w:rPr>
          <w:rFonts w:hint="eastAsia" w:ascii="宋体" w:hAnsi="宋体"/>
          <w:szCs w:val="21"/>
        </w:rPr>
      </w:pPr>
      <w:bookmarkStart w:id="213" w:name="_Toc523583091"/>
      <w:bookmarkStart w:id="214" w:name="_Toc524612741"/>
      <w:r>
        <w:rPr>
          <w:rFonts w:hint="eastAsia" w:ascii="宋体" w:hAnsi="宋体"/>
          <w:szCs w:val="21"/>
        </w:rPr>
        <w:t>1.2.13、供应商需要说明的其他文件和说明。</w:t>
      </w:r>
      <w:bookmarkEnd w:id="213"/>
      <w:bookmarkEnd w:id="214"/>
    </w:p>
    <w:p>
      <w:pPr>
        <w:snapToGrid w:val="0"/>
        <w:spacing w:line="360" w:lineRule="auto"/>
        <w:ind w:firstLine="422" w:firstLineChars="201"/>
        <w:jc w:val="left"/>
        <w:outlineLvl w:val="1"/>
        <w:rPr>
          <w:rFonts w:hint="eastAsia" w:ascii="宋体" w:hAnsi="宋体"/>
          <w:szCs w:val="21"/>
        </w:rPr>
      </w:pPr>
      <w:bookmarkStart w:id="215" w:name="_Toc524612742"/>
      <w:bookmarkStart w:id="216" w:name="_Toc523583092"/>
      <w:r>
        <w:rPr>
          <w:rFonts w:hint="eastAsia" w:ascii="宋体" w:hAnsi="宋体"/>
          <w:szCs w:val="21"/>
        </w:rPr>
        <w:t>注：复印件应加盖供应商公章</w:t>
      </w:r>
      <w:bookmarkEnd w:id="215"/>
      <w:bookmarkEnd w:id="216"/>
    </w:p>
    <w:p>
      <w:pPr>
        <w:snapToGrid w:val="0"/>
        <w:spacing w:line="360" w:lineRule="auto"/>
        <w:ind w:firstLine="422" w:firstLineChars="201"/>
        <w:jc w:val="left"/>
        <w:outlineLvl w:val="1"/>
        <w:rPr>
          <w:rFonts w:hint="eastAsia" w:ascii="宋体" w:hAnsi="宋体"/>
          <w:szCs w:val="21"/>
        </w:rPr>
      </w:pPr>
      <w:bookmarkStart w:id="217" w:name="_Toc523583093"/>
      <w:bookmarkStart w:id="218" w:name="_Toc524612743"/>
      <w:r>
        <w:rPr>
          <w:rFonts w:hint="eastAsia" w:ascii="宋体" w:hAnsi="宋体"/>
          <w:szCs w:val="21"/>
        </w:rPr>
        <w:t>1.3、报价文件：</w:t>
      </w:r>
      <w:bookmarkEnd w:id="217"/>
      <w:bookmarkEnd w:id="218"/>
    </w:p>
    <w:p>
      <w:pPr>
        <w:snapToGrid w:val="0"/>
        <w:spacing w:line="360" w:lineRule="auto"/>
        <w:ind w:firstLine="422" w:firstLineChars="201"/>
        <w:jc w:val="left"/>
        <w:outlineLvl w:val="1"/>
        <w:rPr>
          <w:rFonts w:hint="eastAsia" w:ascii="宋体" w:hAnsi="宋体"/>
          <w:szCs w:val="21"/>
        </w:rPr>
      </w:pPr>
      <w:bookmarkStart w:id="219" w:name="_Toc523583094"/>
      <w:bookmarkStart w:id="220" w:name="_Toc524612744"/>
      <w:r>
        <w:rPr>
          <w:rFonts w:hint="eastAsia" w:ascii="宋体" w:hAnsi="宋体"/>
          <w:szCs w:val="21"/>
        </w:rPr>
        <w:t>1.3.1、报价一览表；</w:t>
      </w:r>
      <w:bookmarkEnd w:id="211"/>
      <w:bookmarkEnd w:id="212"/>
      <w:bookmarkEnd w:id="219"/>
      <w:bookmarkEnd w:id="220"/>
    </w:p>
    <w:p>
      <w:pPr>
        <w:snapToGrid w:val="0"/>
        <w:spacing w:line="360" w:lineRule="auto"/>
        <w:ind w:firstLine="422" w:firstLineChars="201"/>
        <w:jc w:val="left"/>
        <w:outlineLvl w:val="1"/>
        <w:rPr>
          <w:rFonts w:hint="eastAsia" w:ascii="宋体" w:hAnsi="宋体"/>
          <w:szCs w:val="21"/>
        </w:rPr>
      </w:pPr>
      <w:bookmarkStart w:id="221" w:name="_Toc522549194"/>
      <w:bookmarkStart w:id="222" w:name="_Toc524612746"/>
      <w:bookmarkStart w:id="223" w:name="_Toc523583096"/>
      <w:bookmarkStart w:id="224" w:name="_Toc518327104"/>
      <w:r>
        <w:rPr>
          <w:rFonts w:hint="eastAsia" w:ascii="宋体" w:hAnsi="宋体"/>
          <w:szCs w:val="21"/>
        </w:rPr>
        <w:t>1.3.2、供应商需要说明的其他文件和说明。</w:t>
      </w:r>
      <w:bookmarkEnd w:id="221"/>
      <w:bookmarkEnd w:id="222"/>
      <w:bookmarkEnd w:id="223"/>
      <w:bookmarkEnd w:id="224"/>
    </w:p>
    <w:bookmarkEnd w:id="154"/>
    <w:p>
      <w:pPr>
        <w:snapToGrid w:val="0"/>
        <w:spacing w:line="360" w:lineRule="auto"/>
        <w:ind w:firstLine="424" w:firstLineChars="201"/>
        <w:jc w:val="left"/>
        <w:outlineLvl w:val="0"/>
        <w:rPr>
          <w:rFonts w:hint="eastAsia" w:ascii="宋体" w:hAnsi="宋体"/>
          <w:b/>
          <w:szCs w:val="21"/>
        </w:rPr>
      </w:pPr>
      <w:bookmarkStart w:id="225" w:name="_Toc523583097"/>
      <w:bookmarkStart w:id="226" w:name="_Toc177824944"/>
      <w:bookmarkStart w:id="227" w:name="_Toc177870547"/>
      <w:bookmarkStart w:id="228" w:name="_Toc493082119"/>
      <w:bookmarkStart w:id="229" w:name="_Toc518327105"/>
      <w:bookmarkStart w:id="230" w:name="_Toc177825125"/>
      <w:bookmarkStart w:id="231" w:name="_Toc177824877"/>
      <w:bookmarkStart w:id="232" w:name="_Toc192313112"/>
      <w:bookmarkStart w:id="233" w:name="_Toc448487540"/>
      <w:bookmarkStart w:id="234" w:name="_Toc493699303"/>
      <w:bookmarkStart w:id="235" w:name="_Toc524612747"/>
      <w:bookmarkStart w:id="236" w:name="_Toc522549195"/>
      <w:bookmarkStart w:id="237" w:name="_Toc437979781"/>
      <w:r>
        <w:rPr>
          <w:rFonts w:hint="eastAsia" w:ascii="宋体" w:hAnsi="宋体"/>
          <w:b/>
          <w:szCs w:val="21"/>
        </w:rPr>
        <w:t>2、磋商响应文件的语言及计量</w:t>
      </w:r>
      <w:bookmarkEnd w:id="225"/>
      <w:bookmarkEnd w:id="226"/>
      <w:bookmarkEnd w:id="227"/>
      <w:bookmarkEnd w:id="228"/>
      <w:bookmarkEnd w:id="229"/>
      <w:bookmarkEnd w:id="230"/>
      <w:bookmarkEnd w:id="231"/>
      <w:bookmarkEnd w:id="232"/>
      <w:bookmarkEnd w:id="233"/>
      <w:bookmarkEnd w:id="234"/>
      <w:bookmarkEnd w:id="235"/>
      <w:bookmarkEnd w:id="236"/>
      <w:bookmarkEnd w:id="237"/>
    </w:p>
    <w:p>
      <w:pPr>
        <w:snapToGrid w:val="0"/>
        <w:spacing w:line="360" w:lineRule="auto"/>
        <w:ind w:firstLine="422" w:firstLineChars="201"/>
        <w:jc w:val="left"/>
        <w:rPr>
          <w:rFonts w:hint="eastAsia" w:ascii="宋体" w:hAnsi="宋体"/>
          <w:szCs w:val="21"/>
        </w:rPr>
      </w:pPr>
      <w:r>
        <w:rPr>
          <w:rFonts w:hint="eastAsia" w:ascii="宋体" w:hAnsi="宋体"/>
          <w:szCs w:val="21"/>
        </w:rPr>
        <w:t>2.1、磋商响应文件以及磋商方与代理机构就有关磋商事宜的所有来往函电，均应以中文书写。</w:t>
      </w:r>
    </w:p>
    <w:p>
      <w:pPr>
        <w:snapToGrid w:val="0"/>
        <w:spacing w:line="360" w:lineRule="auto"/>
        <w:ind w:firstLine="422" w:firstLineChars="201"/>
        <w:jc w:val="left"/>
        <w:rPr>
          <w:rFonts w:hint="eastAsia" w:ascii="宋体" w:hAnsi="宋体"/>
          <w:szCs w:val="21"/>
        </w:rPr>
      </w:pPr>
      <w:r>
        <w:rPr>
          <w:rFonts w:hint="eastAsia" w:ascii="宋体" w:hAnsi="宋体"/>
          <w:szCs w:val="21"/>
        </w:rPr>
        <w:t>2.2、磋商计量单位，除磋商文件中有特殊要求外，应采用中华人民共和国法定计量单位，货币单位：人民币元。</w:t>
      </w:r>
    </w:p>
    <w:p>
      <w:pPr>
        <w:spacing w:line="360" w:lineRule="auto"/>
        <w:ind w:firstLine="424" w:firstLineChars="201"/>
        <w:jc w:val="left"/>
        <w:outlineLvl w:val="0"/>
        <w:rPr>
          <w:rFonts w:hint="eastAsia" w:ascii="宋体" w:hAnsi="宋体"/>
          <w:b/>
          <w:szCs w:val="21"/>
        </w:rPr>
      </w:pPr>
      <w:bookmarkStart w:id="238" w:name="_Toc177870548"/>
      <w:bookmarkStart w:id="239" w:name="_Toc493082120"/>
      <w:bookmarkStart w:id="240" w:name="_Toc192313113"/>
      <w:bookmarkStart w:id="241" w:name="_Toc524612748"/>
      <w:bookmarkStart w:id="242" w:name="_Toc522549196"/>
      <w:bookmarkStart w:id="243" w:name="_Toc523583098"/>
      <w:bookmarkStart w:id="244" w:name="_Toc177825126"/>
      <w:bookmarkStart w:id="245" w:name="_Toc493699304"/>
      <w:bookmarkStart w:id="246" w:name="_Toc518327106"/>
      <w:bookmarkStart w:id="247" w:name="_Toc437979782"/>
      <w:bookmarkStart w:id="248" w:name="_Toc177824878"/>
      <w:bookmarkStart w:id="249" w:name="_Toc177824945"/>
      <w:bookmarkStart w:id="250" w:name="_Toc448487541"/>
      <w:r>
        <w:rPr>
          <w:rFonts w:hint="eastAsia" w:ascii="宋体" w:hAnsi="宋体"/>
          <w:b/>
          <w:szCs w:val="21"/>
        </w:rPr>
        <w:t>3、磋商响应报价</w:t>
      </w:r>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20"/>
        <w:spacing w:line="360" w:lineRule="auto"/>
        <w:ind w:firstLine="422" w:firstLineChars="201"/>
        <w:jc w:val="left"/>
        <w:rPr>
          <w:rFonts w:hint="eastAsia" w:hAnsi="宋体"/>
          <w:szCs w:val="21"/>
        </w:rPr>
      </w:pPr>
      <w:r>
        <w:rPr>
          <w:rFonts w:hint="eastAsia" w:hAnsi="宋体"/>
          <w:szCs w:val="21"/>
        </w:rPr>
        <w:t>3.1、磋商响应报价应按磋商文件中相关附表格式填写。</w:t>
      </w:r>
    </w:p>
    <w:p>
      <w:pPr>
        <w:pStyle w:val="20"/>
        <w:spacing w:line="360" w:lineRule="auto"/>
        <w:ind w:firstLine="422" w:firstLineChars="201"/>
        <w:jc w:val="left"/>
        <w:rPr>
          <w:rFonts w:hint="eastAsia" w:hAnsi="宋体"/>
          <w:szCs w:val="21"/>
        </w:rPr>
      </w:pPr>
      <w:r>
        <w:rPr>
          <w:rFonts w:hint="eastAsia" w:hAnsi="宋体"/>
          <w:szCs w:val="21"/>
        </w:rPr>
        <w:t>3.2、报价应包括设备费用、人工费用、劳务、管理、材料、利润、税金及政策性文件规定等各项应有费用， 以及为完成本项目所需要的全部费用。</w:t>
      </w:r>
    </w:p>
    <w:p>
      <w:pPr>
        <w:tabs>
          <w:tab w:val="left" w:pos="525"/>
        </w:tabs>
        <w:spacing w:line="360" w:lineRule="auto"/>
        <w:ind w:firstLine="422" w:firstLineChars="201"/>
        <w:jc w:val="left"/>
        <w:rPr>
          <w:rFonts w:hint="eastAsia" w:ascii="宋体" w:hAnsi="宋体"/>
          <w:szCs w:val="21"/>
        </w:rPr>
      </w:pPr>
      <w:r>
        <w:rPr>
          <w:rFonts w:hint="eastAsia" w:ascii="宋体" w:hAnsi="宋体"/>
          <w:szCs w:val="21"/>
        </w:rPr>
        <w:t>3.3、磋商响应报价只允许有一个报价，有选择的报价将不予接受。</w:t>
      </w:r>
    </w:p>
    <w:p>
      <w:pPr>
        <w:pStyle w:val="12"/>
        <w:numPr>
          <w:ilvl w:val="0"/>
          <w:numId w:val="0"/>
        </w:numPr>
        <w:spacing w:after="0" w:afterLines="0" w:line="360" w:lineRule="auto"/>
        <w:ind w:firstLine="424" w:firstLineChars="201"/>
        <w:rPr>
          <w:rFonts w:hint="eastAsia" w:ascii="宋体" w:hAnsi="宋体"/>
          <w:b/>
          <w:sz w:val="21"/>
          <w:szCs w:val="21"/>
        </w:rPr>
      </w:pPr>
      <w:r>
        <w:rPr>
          <w:rFonts w:hint="eastAsia" w:ascii="宋体" w:hAnsi="宋体"/>
          <w:b/>
          <w:sz w:val="21"/>
          <w:szCs w:val="21"/>
        </w:rPr>
        <w:t>4、磋商响应文件的有效期</w:t>
      </w:r>
    </w:p>
    <w:p>
      <w:pPr>
        <w:pStyle w:val="12"/>
        <w:numPr>
          <w:ilvl w:val="0"/>
          <w:numId w:val="0"/>
        </w:numPr>
        <w:spacing w:after="0" w:afterLines="0" w:line="360" w:lineRule="auto"/>
        <w:ind w:firstLine="422" w:firstLineChars="201"/>
        <w:rPr>
          <w:rFonts w:hint="eastAsia" w:ascii="宋体" w:hAnsi="宋体"/>
          <w:sz w:val="21"/>
          <w:szCs w:val="21"/>
        </w:rPr>
      </w:pPr>
      <w:r>
        <w:rPr>
          <w:rFonts w:hint="eastAsia" w:ascii="宋体" w:hAnsi="宋体"/>
          <w:sz w:val="21"/>
          <w:szCs w:val="21"/>
        </w:rPr>
        <w:t>4.1、自磋商响应截止日起60天磋商响应文件应保持有效。如采购人认为必要可延长，但至总计最长不超过90天。有效期短于这个规定期限的磋商响应文件将被拒绝。</w:t>
      </w:r>
    </w:p>
    <w:p>
      <w:pPr>
        <w:pStyle w:val="12"/>
        <w:numPr>
          <w:ilvl w:val="0"/>
          <w:numId w:val="0"/>
        </w:numPr>
        <w:spacing w:after="0" w:afterLines="0" w:line="360" w:lineRule="auto"/>
        <w:ind w:firstLine="422" w:firstLineChars="201"/>
        <w:rPr>
          <w:rFonts w:hint="eastAsia" w:ascii="宋体" w:hAnsi="宋体"/>
          <w:sz w:val="21"/>
          <w:szCs w:val="21"/>
        </w:rPr>
      </w:pPr>
      <w:r>
        <w:rPr>
          <w:rFonts w:hint="eastAsia" w:ascii="宋体" w:hAnsi="宋体"/>
          <w:sz w:val="21"/>
          <w:szCs w:val="21"/>
        </w:rPr>
        <w:t>4.2、在特殊情况下，磋商人可与供应商协商延长磋商响应文件的有效期，这种要求和答复均以书面形式进行。</w:t>
      </w:r>
    </w:p>
    <w:p>
      <w:pPr>
        <w:snapToGrid w:val="0"/>
        <w:spacing w:line="360" w:lineRule="auto"/>
        <w:ind w:firstLine="422" w:firstLineChars="201"/>
        <w:jc w:val="left"/>
        <w:outlineLvl w:val="0"/>
        <w:rPr>
          <w:rFonts w:hint="eastAsia" w:ascii="宋体" w:hAnsi="宋体"/>
          <w:szCs w:val="21"/>
        </w:rPr>
      </w:pPr>
      <w:bookmarkStart w:id="251" w:name="_Toc192313114"/>
      <w:bookmarkStart w:id="252" w:name="_Toc493699305"/>
      <w:bookmarkStart w:id="253" w:name="_Toc448487542"/>
      <w:bookmarkStart w:id="254" w:name="_Toc524612749"/>
      <w:bookmarkStart w:id="255" w:name="_Toc518327107"/>
      <w:bookmarkStart w:id="256" w:name="_Toc177824946"/>
      <w:bookmarkStart w:id="257" w:name="_Toc177825127"/>
      <w:bookmarkStart w:id="258" w:name="_Toc522549197"/>
      <w:bookmarkStart w:id="259" w:name="_Toc523583099"/>
      <w:bookmarkStart w:id="260" w:name="_Toc177870549"/>
      <w:bookmarkStart w:id="261" w:name="_Toc493082121"/>
      <w:bookmarkStart w:id="262" w:name="_Toc437979783"/>
      <w:bookmarkStart w:id="263" w:name="_Toc177824879"/>
      <w:r>
        <w:rPr>
          <w:rFonts w:hint="eastAsia" w:ascii="宋体" w:hAnsi="宋体"/>
          <w:szCs w:val="21"/>
        </w:rPr>
        <w:t>4.3、供应商可拒绝接受延期要求而不会导致保证金被没收。同意延长有效期的供应商不能修改磋商文件。</w:t>
      </w:r>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ascii="宋体" w:hAnsi="宋体"/>
          <w:szCs w:val="21"/>
        </w:rPr>
        <w:t xml:space="preserve"> </w:t>
      </w:r>
    </w:p>
    <w:p>
      <w:pPr>
        <w:snapToGrid w:val="0"/>
        <w:spacing w:line="360" w:lineRule="auto"/>
        <w:ind w:firstLine="424" w:firstLineChars="201"/>
        <w:jc w:val="left"/>
        <w:outlineLvl w:val="0"/>
        <w:rPr>
          <w:rFonts w:hint="eastAsia" w:ascii="宋体" w:hAnsi="宋体"/>
          <w:b/>
          <w:szCs w:val="21"/>
        </w:rPr>
      </w:pPr>
      <w:bookmarkStart w:id="264" w:name="_Toc177870550"/>
      <w:bookmarkStart w:id="265" w:name="_Toc448487543"/>
      <w:bookmarkStart w:id="266" w:name="_Toc437979784"/>
      <w:bookmarkStart w:id="267" w:name="_Toc192313115"/>
      <w:bookmarkStart w:id="268" w:name="_Toc177825128"/>
      <w:bookmarkStart w:id="269" w:name="_Toc177824947"/>
      <w:bookmarkStart w:id="270" w:name="_Toc177824880"/>
      <w:bookmarkStart w:id="271" w:name="_Toc487802039"/>
      <w:bookmarkStart w:id="272" w:name="_Toc518327108"/>
      <w:bookmarkStart w:id="273" w:name="_Toc493699306"/>
      <w:bookmarkStart w:id="274" w:name="_Toc487793394"/>
      <w:bookmarkStart w:id="275" w:name="_Toc522549198"/>
      <w:bookmarkStart w:id="276" w:name="_Toc493082122"/>
      <w:bookmarkStart w:id="277" w:name="_Toc524612750"/>
      <w:bookmarkStart w:id="278" w:name="_Toc487802108"/>
      <w:bookmarkStart w:id="279" w:name="_Toc523583100"/>
      <w:bookmarkStart w:id="280" w:name="_Toc170792769"/>
      <w:bookmarkStart w:id="281" w:name="_Toc107820050"/>
      <w:r>
        <w:rPr>
          <w:rFonts w:hint="eastAsia" w:ascii="宋体" w:hAnsi="宋体"/>
          <w:b/>
          <w:szCs w:val="21"/>
        </w:rPr>
        <w:t>5</w:t>
      </w:r>
      <w:bookmarkEnd w:id="264"/>
      <w:bookmarkEnd w:id="265"/>
      <w:bookmarkEnd w:id="266"/>
      <w:bookmarkEnd w:id="267"/>
      <w:bookmarkEnd w:id="268"/>
      <w:bookmarkEnd w:id="269"/>
      <w:bookmarkEnd w:id="270"/>
      <w:r>
        <w:rPr>
          <w:rFonts w:hint="eastAsia" w:ascii="宋体" w:hAnsi="宋体"/>
          <w:b/>
          <w:szCs w:val="21"/>
        </w:rPr>
        <w:t>、下列情况，供应商将由代理机构上报行政主管部门，接受行政主管部门的处罚</w:t>
      </w:r>
      <w:bookmarkEnd w:id="271"/>
      <w:bookmarkEnd w:id="272"/>
      <w:bookmarkEnd w:id="273"/>
      <w:bookmarkEnd w:id="274"/>
      <w:bookmarkEnd w:id="275"/>
      <w:bookmarkEnd w:id="276"/>
      <w:bookmarkEnd w:id="277"/>
      <w:bookmarkEnd w:id="278"/>
      <w:bookmarkEnd w:id="279"/>
    </w:p>
    <w:p>
      <w:pPr>
        <w:spacing w:line="360" w:lineRule="auto"/>
        <w:ind w:firstLine="422" w:firstLineChars="201"/>
        <w:jc w:val="left"/>
        <w:rPr>
          <w:rFonts w:hint="eastAsia" w:ascii="宋体" w:hAnsi="宋体"/>
          <w:szCs w:val="21"/>
        </w:rPr>
      </w:pPr>
      <w:r>
        <w:rPr>
          <w:rFonts w:hint="eastAsia" w:ascii="宋体" w:hAnsi="宋体"/>
          <w:szCs w:val="21"/>
        </w:rPr>
        <w:t>5.1、供应商在磋商响应文件有效期内撤回磋商响应文件的；</w:t>
      </w:r>
    </w:p>
    <w:p>
      <w:pPr>
        <w:spacing w:line="360" w:lineRule="auto"/>
        <w:ind w:firstLine="422" w:firstLineChars="201"/>
        <w:jc w:val="left"/>
        <w:rPr>
          <w:rFonts w:hint="eastAsia" w:ascii="宋体" w:hAnsi="宋体"/>
          <w:szCs w:val="21"/>
        </w:rPr>
      </w:pPr>
      <w:r>
        <w:rPr>
          <w:rFonts w:hint="eastAsia" w:ascii="宋体" w:hAnsi="宋体"/>
          <w:szCs w:val="21"/>
        </w:rPr>
        <w:t>5.2、中标供应商未按规定的时间、地点与采购人签订合同的；</w:t>
      </w:r>
    </w:p>
    <w:p>
      <w:pPr>
        <w:spacing w:line="360" w:lineRule="auto"/>
        <w:ind w:firstLine="422" w:firstLineChars="201"/>
        <w:jc w:val="left"/>
        <w:rPr>
          <w:rFonts w:hint="eastAsia" w:ascii="宋体" w:hAnsi="宋体"/>
          <w:szCs w:val="21"/>
        </w:rPr>
      </w:pPr>
      <w:r>
        <w:rPr>
          <w:rFonts w:hint="eastAsia" w:ascii="宋体" w:hAnsi="宋体"/>
          <w:szCs w:val="21"/>
        </w:rPr>
        <w:t>5.3、供应商在磋商过程中弄虚作假，提供虚假材料；</w:t>
      </w:r>
    </w:p>
    <w:p>
      <w:pPr>
        <w:spacing w:line="360" w:lineRule="auto"/>
        <w:ind w:firstLine="422" w:firstLineChars="201"/>
        <w:rPr>
          <w:rFonts w:hint="eastAsia" w:ascii="宋体" w:hAnsi="宋体"/>
          <w:szCs w:val="21"/>
        </w:rPr>
      </w:pPr>
      <w:r>
        <w:rPr>
          <w:rFonts w:hint="eastAsia" w:ascii="宋体" w:hAnsi="宋体"/>
          <w:szCs w:val="21"/>
        </w:rPr>
        <w:t>5.4、其他严重扰乱竞争性磋商程序的；</w:t>
      </w:r>
    </w:p>
    <w:p>
      <w:pPr>
        <w:spacing w:line="360" w:lineRule="auto"/>
        <w:ind w:firstLine="424" w:firstLineChars="201"/>
        <w:rPr>
          <w:rFonts w:hint="eastAsia" w:ascii="宋体" w:hAnsi="宋体"/>
          <w:b/>
          <w:szCs w:val="21"/>
        </w:rPr>
      </w:pPr>
      <w:bookmarkStart w:id="282" w:name="_Toc192313116"/>
      <w:bookmarkStart w:id="283" w:name="_Toc177824881"/>
      <w:bookmarkStart w:id="284" w:name="_Toc177825129"/>
      <w:bookmarkStart w:id="285" w:name="_Toc177824948"/>
      <w:bookmarkStart w:id="286" w:name="_Toc177870551"/>
      <w:r>
        <w:rPr>
          <w:rFonts w:hint="eastAsia" w:ascii="宋体" w:hAnsi="宋体"/>
          <w:b/>
          <w:szCs w:val="21"/>
        </w:rPr>
        <w:t>6、磋商响应文件的签署和份数</w:t>
      </w:r>
      <w:bookmarkEnd w:id="282"/>
      <w:bookmarkEnd w:id="283"/>
      <w:bookmarkEnd w:id="284"/>
      <w:bookmarkEnd w:id="285"/>
      <w:bookmarkEnd w:id="286"/>
    </w:p>
    <w:p>
      <w:pPr>
        <w:snapToGrid w:val="0"/>
        <w:spacing w:line="360" w:lineRule="auto"/>
        <w:ind w:firstLine="422" w:firstLineChars="201"/>
        <w:jc w:val="left"/>
        <w:rPr>
          <w:rFonts w:hint="eastAsia" w:ascii="宋体" w:hAnsi="宋体"/>
          <w:szCs w:val="21"/>
        </w:rPr>
      </w:pPr>
      <w:r>
        <w:rPr>
          <w:rFonts w:hint="eastAsia" w:ascii="宋体" w:hAnsi="宋体"/>
          <w:szCs w:val="21"/>
        </w:rPr>
        <w:t>6.1、磋商响应文件</w:t>
      </w:r>
      <w:r>
        <w:rPr>
          <w:rFonts w:ascii="宋体" w:hAnsi="宋体"/>
          <w:szCs w:val="21"/>
        </w:rPr>
        <w:t>正本</w:t>
      </w:r>
      <w:r>
        <w:rPr>
          <w:rFonts w:hint="eastAsia" w:ascii="宋体" w:hAnsi="宋体"/>
          <w:szCs w:val="21"/>
        </w:rPr>
        <w:t>壹</w:t>
      </w:r>
      <w:r>
        <w:rPr>
          <w:rFonts w:ascii="宋体" w:hAnsi="宋体"/>
          <w:szCs w:val="21"/>
        </w:rPr>
        <w:t>份和副本</w:t>
      </w:r>
      <w:r>
        <w:rPr>
          <w:rFonts w:hint="eastAsia" w:ascii="宋体" w:hAnsi="宋体"/>
          <w:szCs w:val="21"/>
        </w:rPr>
        <w:t>叁份（</w:t>
      </w:r>
      <w:r>
        <w:rPr>
          <w:rFonts w:hint="eastAsia" w:ascii="宋体" w:hAnsi="宋体"/>
          <w:b/>
          <w:szCs w:val="21"/>
        </w:rPr>
        <w:t>装订成册</w:t>
      </w:r>
      <w:r>
        <w:rPr>
          <w:rFonts w:hint="eastAsia" w:ascii="宋体" w:hAnsi="宋体"/>
          <w:szCs w:val="21"/>
        </w:rPr>
        <w:t>）。磋商响应文件的正本需打印或用不褪色的墨水填写，并注明“正本”字样，磋商响应文件正本除本磋商须知中规定的可提供复印件外均须提供原件。副本可为正本的复印件。资信商务及技术文件和报价文件可密封包装在一起，封口上要加盖投标单位的公章。</w:t>
      </w:r>
    </w:p>
    <w:p>
      <w:pPr>
        <w:snapToGrid w:val="0"/>
        <w:spacing w:line="360" w:lineRule="auto"/>
        <w:ind w:firstLine="422" w:firstLineChars="201"/>
        <w:rPr>
          <w:rFonts w:hint="eastAsia" w:ascii="宋体" w:hAnsi="宋体"/>
          <w:szCs w:val="21"/>
        </w:rPr>
      </w:pPr>
      <w:r>
        <w:rPr>
          <w:rFonts w:hint="eastAsia" w:ascii="宋体" w:hAnsi="宋体"/>
          <w:szCs w:val="21"/>
        </w:rPr>
        <w:t>6.2、磋商响应文件须由供应商在规定位置盖章并由法定代表人或法定代表授权人署名，供应商应写全称。磋商响应文件不得涂改，若有修改错漏处，须加盖单位公章或者法定代表人或授权委托人签字或盖章。磋商响应文件因字迹潦草或表达不清所引起的后果由供应商负责。</w:t>
      </w:r>
    </w:p>
    <w:p>
      <w:pPr>
        <w:spacing w:line="360" w:lineRule="auto"/>
        <w:ind w:firstLine="424" w:firstLineChars="201"/>
        <w:outlineLvl w:val="2"/>
        <w:rPr>
          <w:rFonts w:hint="eastAsia" w:ascii="宋体" w:hAnsi="宋体"/>
          <w:b/>
          <w:szCs w:val="21"/>
        </w:rPr>
      </w:pPr>
      <w:bookmarkStart w:id="287" w:name="_Toc487793395"/>
      <w:bookmarkStart w:id="288" w:name="_Toc487802040"/>
      <w:bookmarkStart w:id="289" w:name="_Toc487802109"/>
      <w:bookmarkStart w:id="290" w:name="_Toc192313117"/>
      <w:bookmarkStart w:id="291" w:name="_Toc493082123"/>
      <w:bookmarkStart w:id="292" w:name="_Toc177870552"/>
      <w:bookmarkStart w:id="293" w:name="_Toc437979785"/>
      <w:bookmarkStart w:id="294" w:name="_Toc448487544"/>
      <w:bookmarkStart w:id="295" w:name="_Toc493699307"/>
      <w:bookmarkStart w:id="296" w:name="_Toc518327109"/>
      <w:bookmarkStart w:id="297" w:name="_Toc522549199"/>
      <w:bookmarkStart w:id="298" w:name="_Toc524612751"/>
      <w:bookmarkStart w:id="299" w:name="_Toc523583101"/>
      <w:r>
        <w:rPr>
          <w:rFonts w:hint="eastAsia" w:ascii="宋体" w:hAnsi="宋体"/>
          <w:b/>
          <w:szCs w:val="21"/>
        </w:rPr>
        <w:t>7、无效响应文件条款：</w:t>
      </w:r>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360" w:lineRule="auto"/>
        <w:ind w:firstLine="422" w:firstLineChars="201"/>
        <w:rPr>
          <w:rFonts w:ascii="宋体" w:hAnsi="宋体"/>
          <w:szCs w:val="21"/>
        </w:rPr>
      </w:pPr>
      <w:r>
        <w:rPr>
          <w:rFonts w:hint="eastAsia" w:ascii="宋体" w:hAnsi="宋体"/>
          <w:szCs w:val="21"/>
        </w:rPr>
        <w:t>存在下列情况之一的,其磋商将响应文件被作无效文件处理:</w:t>
      </w:r>
    </w:p>
    <w:p>
      <w:pPr>
        <w:pStyle w:val="20"/>
        <w:spacing w:line="360" w:lineRule="auto"/>
        <w:ind w:firstLine="422" w:firstLineChars="201"/>
        <w:rPr>
          <w:rFonts w:hint="eastAsia" w:hAnsi="宋体"/>
          <w:szCs w:val="21"/>
        </w:rPr>
      </w:pPr>
      <w:r>
        <w:rPr>
          <w:rFonts w:hint="eastAsia" w:hAnsi="宋体"/>
          <w:szCs w:val="21"/>
        </w:rPr>
        <w:t>7.1、超过截止时间送达的或未按规定地点送达的；</w:t>
      </w:r>
    </w:p>
    <w:p>
      <w:pPr>
        <w:pStyle w:val="20"/>
        <w:spacing w:line="360" w:lineRule="auto"/>
        <w:ind w:firstLine="422" w:firstLineChars="201"/>
        <w:rPr>
          <w:rFonts w:hint="eastAsia" w:hAnsi="宋体"/>
          <w:szCs w:val="21"/>
        </w:rPr>
      </w:pPr>
      <w:r>
        <w:rPr>
          <w:rFonts w:hint="eastAsia" w:hAnsi="宋体"/>
          <w:szCs w:val="21"/>
        </w:rPr>
        <w:t>7.2、未按规定密封、签章的；</w:t>
      </w:r>
    </w:p>
    <w:p>
      <w:pPr>
        <w:spacing w:line="360" w:lineRule="auto"/>
        <w:ind w:firstLine="422" w:firstLineChars="201"/>
        <w:rPr>
          <w:rFonts w:ascii="宋体" w:hAnsi="宋体"/>
          <w:szCs w:val="21"/>
        </w:rPr>
      </w:pPr>
      <w:r>
        <w:rPr>
          <w:rFonts w:hint="eastAsia" w:ascii="宋体" w:hAnsi="宋体"/>
          <w:szCs w:val="21"/>
        </w:rPr>
        <w:t>7.3、超出经营范围参加磋商的；</w:t>
      </w:r>
    </w:p>
    <w:p>
      <w:pPr>
        <w:spacing w:line="360" w:lineRule="auto"/>
        <w:ind w:firstLine="422" w:firstLineChars="201"/>
        <w:rPr>
          <w:rFonts w:ascii="宋体" w:hAnsi="宋体"/>
          <w:bCs/>
          <w:szCs w:val="21"/>
        </w:rPr>
      </w:pPr>
      <w:r>
        <w:rPr>
          <w:rFonts w:hint="eastAsia" w:ascii="宋体" w:hAnsi="宋体"/>
          <w:szCs w:val="21"/>
        </w:rPr>
        <w:t>7.4、</w:t>
      </w:r>
      <w:r>
        <w:rPr>
          <w:rFonts w:hint="eastAsia" w:ascii="宋体" w:hAnsi="宋体"/>
          <w:bCs/>
          <w:szCs w:val="21"/>
        </w:rPr>
        <w:t>资格证明文件不全的；</w:t>
      </w:r>
    </w:p>
    <w:p>
      <w:pPr>
        <w:spacing w:line="360" w:lineRule="auto"/>
        <w:ind w:firstLine="422" w:firstLineChars="201"/>
        <w:rPr>
          <w:rFonts w:hint="eastAsia" w:ascii="宋体" w:hAnsi="宋体"/>
          <w:szCs w:val="21"/>
        </w:rPr>
      </w:pPr>
      <w:r>
        <w:rPr>
          <w:rFonts w:hint="eastAsia" w:ascii="宋体" w:hAnsi="宋体"/>
          <w:szCs w:val="21"/>
        </w:rPr>
        <w:t>7.5、磋商响应文件无法定代表人签字,或无法定代表人有效授权委托书的; 或磋商代表人未能出具身份证明或与法定代表人授权委托人身份不符的；</w:t>
      </w:r>
    </w:p>
    <w:p>
      <w:pPr>
        <w:spacing w:line="360" w:lineRule="auto"/>
        <w:ind w:firstLine="422" w:firstLineChars="201"/>
        <w:rPr>
          <w:rFonts w:hint="eastAsia" w:ascii="宋体" w:hAnsi="宋体"/>
          <w:snapToGrid w:val="0"/>
          <w:szCs w:val="21"/>
        </w:rPr>
      </w:pPr>
      <w:r>
        <w:rPr>
          <w:rFonts w:hint="eastAsia" w:ascii="宋体" w:hAnsi="宋体"/>
          <w:szCs w:val="21"/>
        </w:rPr>
        <w:t>7.6、</w:t>
      </w:r>
      <w:r>
        <w:rPr>
          <w:rFonts w:hint="eastAsia" w:ascii="宋体" w:hAnsi="宋体"/>
          <w:snapToGrid w:val="0"/>
          <w:szCs w:val="21"/>
        </w:rPr>
        <w:t>明显不符合技术规格、技术标准的要求；</w:t>
      </w:r>
    </w:p>
    <w:p>
      <w:pPr>
        <w:spacing w:line="360" w:lineRule="auto"/>
        <w:ind w:firstLine="422" w:firstLineChars="201"/>
        <w:rPr>
          <w:rFonts w:hint="eastAsia" w:ascii="宋体" w:hAnsi="宋体"/>
          <w:szCs w:val="21"/>
        </w:rPr>
      </w:pPr>
      <w:r>
        <w:rPr>
          <w:rFonts w:hint="eastAsia" w:ascii="宋体" w:hAnsi="宋体"/>
          <w:snapToGrid w:val="0"/>
          <w:szCs w:val="21"/>
        </w:rPr>
        <w:t>7.7、最后一轮</w:t>
      </w:r>
      <w:r>
        <w:rPr>
          <w:rFonts w:hint="eastAsia" w:ascii="宋体" w:hAnsi="宋体"/>
          <w:szCs w:val="21"/>
        </w:rPr>
        <w:t>报价超出采购项目预算范围的；</w:t>
      </w:r>
    </w:p>
    <w:p>
      <w:pPr>
        <w:spacing w:line="360" w:lineRule="auto"/>
        <w:ind w:firstLine="422" w:firstLineChars="201"/>
        <w:rPr>
          <w:rFonts w:hint="eastAsia" w:ascii="宋体" w:hAnsi="宋体"/>
          <w:szCs w:val="21"/>
        </w:rPr>
      </w:pPr>
      <w:r>
        <w:rPr>
          <w:rFonts w:hint="eastAsia" w:ascii="宋体" w:hAnsi="宋体"/>
          <w:szCs w:val="21"/>
        </w:rPr>
        <w:t>7.8、磋商供应商提出采购方不能接受之条件的；</w:t>
      </w:r>
    </w:p>
    <w:p>
      <w:pPr>
        <w:pStyle w:val="18"/>
        <w:adjustRightInd w:val="0"/>
        <w:snapToGrid w:val="0"/>
        <w:spacing w:line="360" w:lineRule="auto"/>
        <w:ind w:firstLine="406" w:firstLineChars="201"/>
        <w:rPr>
          <w:rFonts w:hint="eastAsia" w:hAnsi="宋体"/>
          <w:b/>
          <w:snapToGrid w:val="0"/>
          <w:sz w:val="21"/>
          <w:szCs w:val="21"/>
        </w:rPr>
      </w:pPr>
      <w:r>
        <w:rPr>
          <w:rFonts w:hint="eastAsia" w:hAnsi="宋体"/>
          <w:snapToGrid w:val="0"/>
          <w:sz w:val="21"/>
          <w:szCs w:val="21"/>
        </w:rPr>
        <w:t>7.9、</w:t>
      </w:r>
      <w:r>
        <w:rPr>
          <w:rFonts w:hint="eastAsia" w:hAnsi="宋体"/>
          <w:b/>
          <w:snapToGrid w:val="0"/>
          <w:sz w:val="21"/>
          <w:szCs w:val="21"/>
        </w:rPr>
        <w:t>两份磋商</w:t>
      </w:r>
      <w:r>
        <w:rPr>
          <w:rFonts w:hint="eastAsia" w:hAnsi="宋体"/>
          <w:b/>
          <w:sz w:val="21"/>
          <w:szCs w:val="21"/>
        </w:rPr>
        <w:t>响应</w:t>
      </w:r>
      <w:r>
        <w:rPr>
          <w:rFonts w:hint="eastAsia" w:hAnsi="宋体"/>
          <w:b/>
          <w:snapToGrid w:val="0"/>
          <w:sz w:val="21"/>
          <w:szCs w:val="21"/>
        </w:rPr>
        <w:t>文件存在以下情况之一：两处或两处以上差错相同； 两处及以上技术文件文字表述相同连续二十行及以上的；</w:t>
      </w:r>
    </w:p>
    <w:p>
      <w:pPr>
        <w:pStyle w:val="18"/>
        <w:adjustRightInd w:val="0"/>
        <w:snapToGrid w:val="0"/>
        <w:spacing w:line="360" w:lineRule="auto"/>
        <w:ind w:firstLine="406" w:firstLineChars="201"/>
        <w:rPr>
          <w:rFonts w:hint="eastAsia" w:hAnsi="宋体"/>
          <w:sz w:val="21"/>
          <w:szCs w:val="21"/>
        </w:rPr>
      </w:pPr>
      <w:r>
        <w:rPr>
          <w:rFonts w:hint="eastAsia" w:hAnsi="宋体"/>
          <w:snapToGrid w:val="0"/>
          <w:sz w:val="21"/>
          <w:szCs w:val="21"/>
        </w:rPr>
        <w:t>7.10、存在带</w:t>
      </w:r>
      <w:r>
        <w:rPr>
          <w:rFonts w:hint="eastAsia" w:hAnsi="宋体"/>
          <w:sz w:val="21"/>
          <w:szCs w:val="21"/>
        </w:rPr>
        <w:t>“▲”条款的负偏离的；</w:t>
      </w:r>
    </w:p>
    <w:p>
      <w:pPr>
        <w:pStyle w:val="18"/>
        <w:adjustRightInd w:val="0"/>
        <w:snapToGrid w:val="0"/>
        <w:spacing w:line="360" w:lineRule="auto"/>
        <w:ind w:firstLine="406" w:firstLineChars="201"/>
        <w:rPr>
          <w:rFonts w:hint="eastAsia" w:hAnsi="宋体"/>
          <w:sz w:val="21"/>
          <w:szCs w:val="21"/>
        </w:rPr>
      </w:pPr>
      <w:r>
        <w:rPr>
          <w:rFonts w:hint="eastAsia" w:hAnsi="宋体"/>
          <w:sz w:val="21"/>
          <w:szCs w:val="21"/>
        </w:rPr>
        <w:t>7.11、本磋商文件其他部分已规定为无效响应文件的情形；</w:t>
      </w:r>
    </w:p>
    <w:p>
      <w:pPr>
        <w:pStyle w:val="20"/>
        <w:spacing w:line="360" w:lineRule="auto"/>
        <w:ind w:firstLine="422" w:firstLineChars="201"/>
        <w:rPr>
          <w:rFonts w:hint="eastAsia" w:hAnsi="宋体"/>
          <w:szCs w:val="21"/>
        </w:rPr>
      </w:pPr>
      <w:r>
        <w:rPr>
          <w:rFonts w:hint="eastAsia" w:hAnsi="宋体"/>
          <w:szCs w:val="21"/>
        </w:rPr>
        <w:t>7.12、评审专家认定的其他必须按无效响应文件处理的。</w:t>
      </w:r>
    </w:p>
    <w:p>
      <w:pPr>
        <w:pStyle w:val="3"/>
        <w:spacing w:before="0" w:after="0"/>
        <w:ind w:firstLine="424" w:firstLineChars="201"/>
        <w:rPr>
          <w:rFonts w:hint="eastAsia" w:ascii="宋体" w:hAnsi="宋体" w:eastAsia="宋体"/>
          <w:sz w:val="21"/>
          <w:szCs w:val="21"/>
        </w:rPr>
      </w:pPr>
      <w:bookmarkStart w:id="300" w:name="_Toc192313118"/>
      <w:bookmarkStart w:id="301" w:name="_Toc524612752"/>
      <w:r>
        <w:rPr>
          <w:rFonts w:hint="eastAsia" w:ascii="宋体" w:hAnsi="宋体" w:eastAsia="宋体"/>
          <w:sz w:val="21"/>
          <w:szCs w:val="21"/>
        </w:rPr>
        <w:t>四</w:t>
      </w:r>
      <w:bookmarkEnd w:id="280"/>
      <w:bookmarkEnd w:id="281"/>
      <w:bookmarkEnd w:id="300"/>
      <w:r>
        <w:rPr>
          <w:rFonts w:hint="eastAsia" w:ascii="宋体" w:hAnsi="宋体" w:eastAsia="宋体"/>
          <w:sz w:val="21"/>
          <w:szCs w:val="21"/>
        </w:rPr>
        <w:t xml:space="preserve">    磋商前的准备</w:t>
      </w:r>
      <w:bookmarkEnd w:id="301"/>
    </w:p>
    <w:p>
      <w:pPr>
        <w:pStyle w:val="20"/>
        <w:spacing w:line="360" w:lineRule="auto"/>
        <w:ind w:left="2" w:firstLine="422" w:firstLineChars="201"/>
        <w:rPr>
          <w:rFonts w:hint="eastAsia" w:hAnsi="宋体" w:cs="宋体-18030"/>
          <w:szCs w:val="21"/>
        </w:rPr>
      </w:pPr>
      <w:r>
        <w:rPr>
          <w:rFonts w:hint="eastAsia" w:hAnsi="宋体" w:cs="宋体-18030"/>
          <w:szCs w:val="21"/>
        </w:rPr>
        <w:t>1、采购代理机构将在规定的时间和地点启封磋商响应文件，供应商的法定代表人或其委托代理人应参加会议并签到，</w:t>
      </w:r>
      <w:r>
        <w:rPr>
          <w:rFonts w:hint="eastAsia" w:hAnsi="宋体" w:cs="宋体-18030"/>
          <w:bCs/>
          <w:szCs w:val="21"/>
        </w:rPr>
        <w:t>如未按时签到，磋商响应文件将被拒绝</w:t>
      </w:r>
      <w:r>
        <w:rPr>
          <w:rFonts w:hint="eastAsia" w:hAnsi="宋体" w:cs="宋体-18030"/>
          <w:szCs w:val="21"/>
        </w:rPr>
        <w:t>。</w:t>
      </w:r>
    </w:p>
    <w:p>
      <w:pPr>
        <w:pStyle w:val="20"/>
        <w:spacing w:line="360" w:lineRule="auto"/>
        <w:ind w:left="630" w:firstLine="422" w:firstLineChars="201"/>
        <w:rPr>
          <w:rFonts w:hint="eastAsia" w:hAnsi="宋体" w:cs="宋体-18030"/>
          <w:szCs w:val="21"/>
        </w:rPr>
      </w:pPr>
      <w:r>
        <w:rPr>
          <w:rFonts w:hint="eastAsia" w:hAnsi="宋体" w:cs="宋体-18030"/>
          <w:szCs w:val="21"/>
        </w:rPr>
        <w:t>2、启封磋商文件时检验供应商的磋商保证金交纳情况。</w:t>
      </w:r>
    </w:p>
    <w:p>
      <w:pPr>
        <w:pStyle w:val="20"/>
        <w:spacing w:line="360" w:lineRule="auto"/>
        <w:ind w:left="630" w:firstLine="422" w:firstLineChars="201"/>
        <w:rPr>
          <w:rFonts w:hint="eastAsia" w:hAnsi="宋体" w:cs="宋体-18030"/>
          <w:szCs w:val="21"/>
        </w:rPr>
      </w:pPr>
      <w:r>
        <w:rPr>
          <w:rFonts w:hint="eastAsia" w:hAnsi="宋体" w:cs="宋体-18030"/>
          <w:szCs w:val="21"/>
        </w:rPr>
        <w:t>3、准备工作程序：</w:t>
      </w:r>
    </w:p>
    <w:p>
      <w:pPr>
        <w:pStyle w:val="20"/>
        <w:spacing w:line="360" w:lineRule="auto"/>
        <w:ind w:firstLine="422" w:firstLineChars="201"/>
        <w:rPr>
          <w:rFonts w:hint="eastAsia" w:hAnsi="宋体" w:cs="宋体-18030"/>
          <w:szCs w:val="21"/>
        </w:rPr>
      </w:pPr>
      <w:r>
        <w:rPr>
          <w:rFonts w:hint="eastAsia" w:hAnsi="宋体" w:cs="宋体-18030"/>
          <w:szCs w:val="21"/>
        </w:rPr>
        <w:t>3.1、会议由采购代理机构主持，主持人宣布会议开始；</w:t>
      </w:r>
    </w:p>
    <w:p>
      <w:pPr>
        <w:pStyle w:val="20"/>
        <w:spacing w:line="360" w:lineRule="auto"/>
        <w:ind w:firstLine="422" w:firstLineChars="201"/>
        <w:rPr>
          <w:rFonts w:hint="eastAsia" w:hAnsi="宋体" w:cs="宋体-18030"/>
          <w:szCs w:val="21"/>
        </w:rPr>
      </w:pPr>
      <w:r>
        <w:rPr>
          <w:rFonts w:hint="eastAsia" w:hAnsi="宋体" w:cs="宋体-18030"/>
          <w:szCs w:val="21"/>
        </w:rPr>
        <w:t>3.2、介绍参加会议的人员名单（包括主持人、记录人和监督人等）；</w:t>
      </w:r>
    </w:p>
    <w:p>
      <w:pPr>
        <w:pStyle w:val="20"/>
        <w:spacing w:line="360" w:lineRule="auto"/>
        <w:ind w:firstLine="422" w:firstLineChars="201"/>
        <w:rPr>
          <w:rFonts w:hint="eastAsia" w:hAnsi="宋体" w:cs="宋体-18030"/>
          <w:szCs w:val="21"/>
        </w:rPr>
      </w:pPr>
      <w:r>
        <w:rPr>
          <w:rFonts w:hint="eastAsia" w:hAnsi="宋体" w:cs="宋体-18030"/>
          <w:szCs w:val="21"/>
        </w:rPr>
        <w:t>3.3、告知是否应有回避人员；</w:t>
      </w:r>
    </w:p>
    <w:p>
      <w:pPr>
        <w:pStyle w:val="20"/>
        <w:spacing w:line="360" w:lineRule="auto"/>
        <w:ind w:firstLine="422" w:firstLineChars="201"/>
        <w:rPr>
          <w:rFonts w:hint="eastAsia" w:hAnsi="宋体" w:cs="宋体-18030"/>
          <w:szCs w:val="21"/>
        </w:rPr>
      </w:pPr>
      <w:r>
        <w:rPr>
          <w:rFonts w:hint="eastAsia" w:hAnsi="宋体" w:cs="宋体-18030"/>
          <w:szCs w:val="21"/>
        </w:rPr>
        <w:t>3.4、投标人代表检验磋商响应文件密封的完整性并签字确认；</w:t>
      </w:r>
    </w:p>
    <w:p>
      <w:pPr>
        <w:pStyle w:val="20"/>
        <w:spacing w:line="360" w:lineRule="auto"/>
        <w:ind w:firstLine="422" w:firstLineChars="201"/>
        <w:rPr>
          <w:rFonts w:hint="eastAsia" w:hAnsi="宋体" w:cs="宋体-18030"/>
          <w:szCs w:val="21"/>
        </w:rPr>
      </w:pPr>
      <w:r>
        <w:rPr>
          <w:rFonts w:hint="eastAsia" w:hAnsi="宋体" w:cs="宋体-18030"/>
          <w:szCs w:val="21"/>
        </w:rPr>
        <w:t>3.5、宣布磋商期间的有关事项；</w:t>
      </w:r>
    </w:p>
    <w:p>
      <w:pPr>
        <w:pStyle w:val="20"/>
        <w:spacing w:line="360" w:lineRule="auto"/>
        <w:ind w:firstLine="422" w:firstLineChars="201"/>
        <w:rPr>
          <w:rFonts w:hint="eastAsia" w:hAnsi="宋体" w:cs="宋体-18030"/>
          <w:szCs w:val="21"/>
        </w:rPr>
      </w:pPr>
      <w:r>
        <w:rPr>
          <w:rFonts w:hint="eastAsia" w:hAnsi="宋体" w:cs="宋体-18030"/>
          <w:szCs w:val="21"/>
        </w:rPr>
        <w:t>3.6、会议结束。</w:t>
      </w:r>
    </w:p>
    <w:p>
      <w:pPr>
        <w:pStyle w:val="20"/>
        <w:spacing w:line="360" w:lineRule="auto"/>
        <w:ind w:left="630" w:firstLine="422" w:firstLineChars="201"/>
        <w:rPr>
          <w:rFonts w:hint="eastAsia" w:hAnsi="宋体" w:cs="宋体-18030"/>
          <w:szCs w:val="21"/>
        </w:rPr>
      </w:pPr>
      <w:r>
        <w:rPr>
          <w:rFonts w:hint="eastAsia" w:hAnsi="宋体" w:cs="宋体-18030"/>
          <w:szCs w:val="21"/>
        </w:rPr>
        <w:t>4、代理机构做会议记录,并由记录人、监督人和供应商签字确认。</w:t>
      </w:r>
    </w:p>
    <w:p>
      <w:pPr>
        <w:pStyle w:val="3"/>
        <w:spacing w:before="0" w:after="0"/>
        <w:ind w:firstLine="424" w:firstLineChars="201"/>
        <w:rPr>
          <w:rFonts w:hint="eastAsia" w:ascii="宋体" w:hAnsi="宋体" w:eastAsia="宋体"/>
          <w:sz w:val="21"/>
          <w:szCs w:val="21"/>
        </w:rPr>
      </w:pPr>
      <w:bookmarkStart w:id="302" w:name="_Toc192313119"/>
      <w:bookmarkStart w:id="303" w:name="_Toc524612753"/>
      <w:r>
        <w:rPr>
          <w:rFonts w:hint="eastAsia" w:ascii="宋体" w:hAnsi="宋体" w:eastAsia="宋体"/>
          <w:sz w:val="21"/>
          <w:szCs w:val="21"/>
        </w:rPr>
        <w:t>五</w:t>
      </w:r>
      <w:bookmarkEnd w:id="302"/>
      <w:r>
        <w:rPr>
          <w:rFonts w:hint="eastAsia" w:ascii="宋体" w:hAnsi="宋体" w:eastAsia="宋体"/>
          <w:sz w:val="21"/>
          <w:szCs w:val="21"/>
        </w:rPr>
        <w:t xml:space="preserve">    磋商程序</w:t>
      </w:r>
      <w:bookmarkEnd w:id="303"/>
    </w:p>
    <w:p>
      <w:pPr>
        <w:pStyle w:val="3"/>
        <w:spacing w:before="0" w:after="0"/>
        <w:ind w:firstLine="424" w:firstLineChars="201"/>
        <w:jc w:val="both"/>
        <w:rPr>
          <w:rFonts w:hint="eastAsia" w:ascii="宋体" w:hAnsi="宋体" w:eastAsia="宋体" w:cs="宋体-18030"/>
          <w:kern w:val="2"/>
          <w:sz w:val="21"/>
          <w:szCs w:val="21"/>
        </w:rPr>
      </w:pPr>
      <w:bookmarkStart w:id="304" w:name="_Toc493082126"/>
      <w:bookmarkStart w:id="305" w:name="_Toc518327112"/>
      <w:bookmarkStart w:id="306" w:name="_Toc522549202"/>
      <w:bookmarkStart w:id="307" w:name="_Toc523583104"/>
      <w:bookmarkStart w:id="308" w:name="_Toc524612754"/>
      <w:bookmarkStart w:id="309" w:name="_Toc493699310"/>
      <w:bookmarkStart w:id="310" w:name="_Toc192313120"/>
      <w:r>
        <w:rPr>
          <w:rFonts w:hint="eastAsia" w:ascii="宋体" w:hAnsi="宋体" w:eastAsia="宋体" w:cs="宋体-18030"/>
          <w:kern w:val="2"/>
          <w:sz w:val="21"/>
          <w:szCs w:val="21"/>
        </w:rPr>
        <w:t>1、磋商流程</w:t>
      </w:r>
      <w:bookmarkEnd w:id="304"/>
      <w:bookmarkEnd w:id="305"/>
      <w:bookmarkEnd w:id="306"/>
      <w:bookmarkEnd w:id="307"/>
      <w:bookmarkEnd w:id="308"/>
      <w:bookmarkEnd w:id="309"/>
    </w:p>
    <w:p>
      <w:pPr>
        <w:spacing w:line="360" w:lineRule="auto"/>
        <w:ind w:firstLine="422" w:firstLineChars="201"/>
        <w:rPr>
          <w:rFonts w:hint="eastAsia" w:ascii="宋体" w:hAnsi="宋体" w:cs="宋体-18030"/>
          <w:szCs w:val="21"/>
        </w:rPr>
      </w:pPr>
      <w:r>
        <w:rPr>
          <w:rFonts w:hint="eastAsia" w:ascii="宋体" w:hAnsi="宋体" w:cs="宋体-18030"/>
          <w:szCs w:val="21"/>
        </w:rPr>
        <w:t>1.1、磋商小组讨论、通过磋商工作流程和磋商要点；</w:t>
      </w:r>
    </w:p>
    <w:p>
      <w:pPr>
        <w:spacing w:line="360" w:lineRule="auto"/>
        <w:ind w:firstLine="422" w:firstLineChars="201"/>
        <w:rPr>
          <w:rFonts w:hint="eastAsia" w:ascii="宋体" w:hAnsi="宋体" w:cs="宋体-18030"/>
          <w:szCs w:val="21"/>
        </w:rPr>
      </w:pPr>
      <w:r>
        <w:rPr>
          <w:rFonts w:hint="eastAsia" w:ascii="宋体" w:hAnsi="宋体" w:cs="宋体-18030"/>
          <w:szCs w:val="21"/>
        </w:rPr>
        <w:t>1.2、主持人宣布磋商的有关事项；</w:t>
      </w:r>
    </w:p>
    <w:p>
      <w:pPr>
        <w:spacing w:line="360" w:lineRule="auto"/>
        <w:ind w:firstLine="422" w:firstLineChars="201"/>
        <w:rPr>
          <w:rFonts w:hint="eastAsia" w:ascii="宋体" w:hAnsi="宋体" w:cs="宋体-18030"/>
          <w:szCs w:val="21"/>
        </w:rPr>
      </w:pPr>
      <w:bookmarkStart w:id="311" w:name="_Toc182848998"/>
      <w:r>
        <w:rPr>
          <w:rFonts w:hint="eastAsia" w:ascii="宋体" w:hAnsi="宋体" w:cs="宋体-18030"/>
          <w:szCs w:val="21"/>
        </w:rPr>
        <w:t>1.3、工作人员查验磋商响应文件的密封情况，确认无误后拆封</w:t>
      </w:r>
      <w:bookmarkEnd w:id="311"/>
      <w:r>
        <w:rPr>
          <w:rFonts w:hint="eastAsia" w:ascii="宋体" w:hAnsi="宋体" w:cs="宋体-18030"/>
          <w:szCs w:val="21"/>
        </w:rPr>
        <w:t>各磋商响应方提交的磋商响应文件包装，清点磋商响应文件正本、副本数量；</w:t>
      </w:r>
    </w:p>
    <w:p>
      <w:pPr>
        <w:spacing w:line="360" w:lineRule="auto"/>
        <w:ind w:firstLine="422" w:firstLineChars="201"/>
        <w:rPr>
          <w:rFonts w:hint="eastAsia" w:ascii="宋体" w:hAnsi="宋体" w:cs="宋体-18030"/>
          <w:szCs w:val="21"/>
        </w:rPr>
      </w:pPr>
      <w:r>
        <w:rPr>
          <w:rFonts w:hint="eastAsia" w:ascii="宋体" w:hAnsi="宋体" w:cs="宋体-18030"/>
          <w:szCs w:val="21"/>
        </w:rPr>
        <w:t>1.4、磋商小组对所提交的磋商响应文件进行审查，审查结束后，由主持人公布无效磋商响应方名单、磋商响应无效的原因、标项废标情况；</w:t>
      </w:r>
    </w:p>
    <w:p>
      <w:pPr>
        <w:spacing w:line="360" w:lineRule="auto"/>
        <w:ind w:firstLine="422" w:firstLineChars="201"/>
        <w:rPr>
          <w:rFonts w:hint="eastAsia" w:ascii="宋体" w:hAnsi="宋体" w:cs="宋体-18030"/>
          <w:szCs w:val="21"/>
        </w:rPr>
      </w:pPr>
      <w:r>
        <w:rPr>
          <w:rFonts w:hint="eastAsia" w:ascii="宋体" w:hAnsi="宋体" w:cs="宋体-18030"/>
          <w:szCs w:val="21"/>
        </w:rPr>
        <w:t>1.5、磋商小组按标项与各磋商响应方就公司情况、项目需求、售后服务、价格构成、供货时间、付款方式等要素分别进行磋商。逐家磋商一次为一个轮次，磋商轮次由磋商小组视情况决定。</w:t>
      </w:r>
    </w:p>
    <w:p>
      <w:pPr>
        <w:spacing w:line="360" w:lineRule="auto"/>
        <w:ind w:firstLine="422" w:firstLineChars="201"/>
        <w:rPr>
          <w:rFonts w:hint="eastAsia" w:ascii="宋体" w:hAnsi="宋体" w:cs="宋体-18030"/>
          <w:szCs w:val="21"/>
        </w:rPr>
      </w:pPr>
      <w:r>
        <w:rPr>
          <w:rFonts w:hint="eastAsia" w:ascii="宋体" w:hAnsi="宋体" w:cs="宋体-18030"/>
          <w:szCs w:val="21"/>
        </w:rPr>
        <w:t>1.6、标项磋商结束后，主持人宣布</w:t>
      </w:r>
      <w:r>
        <w:rPr>
          <w:rFonts w:ascii="宋体" w:hAnsi="宋体" w:cs="宋体-18030"/>
          <w:szCs w:val="21"/>
        </w:rPr>
        <w:t>本次</w:t>
      </w:r>
      <w:r>
        <w:rPr>
          <w:rFonts w:hint="eastAsia" w:ascii="宋体" w:hAnsi="宋体" w:cs="宋体-18030"/>
          <w:szCs w:val="21"/>
        </w:rPr>
        <w:t>最终报价的</w:t>
      </w:r>
      <w:r>
        <w:rPr>
          <w:rFonts w:ascii="宋体" w:hAnsi="宋体" w:cs="宋体-18030"/>
          <w:szCs w:val="21"/>
        </w:rPr>
        <w:t>最高限价</w:t>
      </w:r>
      <w:r>
        <w:rPr>
          <w:rFonts w:hint="eastAsia" w:ascii="宋体" w:hAnsi="宋体" w:cs="宋体-18030"/>
          <w:szCs w:val="21"/>
        </w:rPr>
        <w:t>，并要求各磋商响应方在规定时间内进行最终报价，密封后统一时间收取保存。在规定时间内没有提交最终报价的磋商供应商，其磋商文件视为无效。</w:t>
      </w:r>
    </w:p>
    <w:p>
      <w:pPr>
        <w:spacing w:line="360" w:lineRule="auto"/>
        <w:ind w:firstLine="422" w:firstLineChars="201"/>
        <w:rPr>
          <w:rFonts w:hint="eastAsia" w:ascii="宋体" w:hAnsi="宋体" w:cs="宋体-18030"/>
          <w:szCs w:val="21"/>
        </w:rPr>
      </w:pPr>
      <w:r>
        <w:rPr>
          <w:rFonts w:hint="eastAsia" w:ascii="宋体" w:hAnsi="宋体" w:cs="宋体-18030"/>
          <w:szCs w:val="21"/>
        </w:rPr>
        <w:t>1.7、在各磋商响应方最终报价过程中，同时磋商小组根据第三章评审方法对各磋商响应方的资信及商务、技术情况进行评审打分。工作人员按照磋商小组独立评定结果进行算术平均值计算。</w:t>
      </w:r>
    </w:p>
    <w:p>
      <w:pPr>
        <w:spacing w:line="360" w:lineRule="auto"/>
        <w:ind w:firstLine="422" w:firstLineChars="201"/>
        <w:rPr>
          <w:rFonts w:hint="eastAsia" w:ascii="宋体" w:hAnsi="宋体" w:cs="宋体-18030"/>
          <w:szCs w:val="21"/>
        </w:rPr>
      </w:pPr>
      <w:r>
        <w:rPr>
          <w:rFonts w:hint="eastAsia" w:ascii="宋体" w:hAnsi="宋体" w:cs="宋体-18030"/>
          <w:szCs w:val="21"/>
        </w:rPr>
        <w:t>1.8、主持人宣布磋商最终报价（价格标）评审的有关事项。</w:t>
      </w:r>
    </w:p>
    <w:p>
      <w:pPr>
        <w:spacing w:line="360" w:lineRule="auto"/>
        <w:ind w:firstLine="422" w:firstLineChars="201"/>
        <w:rPr>
          <w:rFonts w:hint="eastAsia" w:ascii="宋体" w:hAnsi="宋体" w:cs="宋体-18030"/>
          <w:szCs w:val="21"/>
        </w:rPr>
      </w:pPr>
      <w:r>
        <w:rPr>
          <w:rFonts w:hint="eastAsia" w:ascii="宋体" w:hAnsi="宋体" w:cs="宋体-18030"/>
          <w:szCs w:val="21"/>
        </w:rPr>
        <w:t>1.9、工作人员查验最终报价的密封情况，确认无误后拆封各磋商响应方提交的按规定进入价格标评审的磋商最终报价，并公开宣读最终报价，最后要求磋商响应方公开确认无误。</w:t>
      </w:r>
    </w:p>
    <w:p>
      <w:pPr>
        <w:spacing w:line="360" w:lineRule="auto"/>
        <w:ind w:firstLine="422" w:firstLineChars="201"/>
        <w:rPr>
          <w:rFonts w:hint="eastAsia" w:ascii="宋体" w:hAnsi="宋体" w:cs="宋体-18030"/>
          <w:szCs w:val="21"/>
        </w:rPr>
      </w:pPr>
      <w:r>
        <w:rPr>
          <w:rFonts w:hint="eastAsia" w:ascii="宋体" w:hAnsi="宋体" w:cs="宋体-18030"/>
          <w:szCs w:val="21"/>
        </w:rPr>
        <w:t>1.10、磋商小组对最终报价的合理性进行审核，决定是否结束磋商。若报价合理，磋商小组则根据第三章评审方法计算出总得分并推荐中标商；</w:t>
      </w:r>
    </w:p>
    <w:p>
      <w:pPr>
        <w:spacing w:line="360" w:lineRule="auto"/>
        <w:ind w:firstLine="422" w:firstLineChars="201"/>
        <w:rPr>
          <w:rFonts w:hint="eastAsia" w:ascii="宋体" w:hAnsi="宋体" w:cs="宋体-18030"/>
          <w:szCs w:val="21"/>
        </w:rPr>
      </w:pPr>
      <w:r>
        <w:rPr>
          <w:rFonts w:hint="eastAsia" w:ascii="宋体" w:hAnsi="宋体" w:cs="宋体-18030"/>
          <w:szCs w:val="21"/>
        </w:rPr>
        <w:t>1.11、磋商结束后，主持人公布有效磋商响应方的总得分结果和推荐的中标商。</w:t>
      </w:r>
    </w:p>
    <w:p>
      <w:pPr>
        <w:spacing w:line="360" w:lineRule="auto"/>
        <w:ind w:firstLine="422" w:firstLineChars="201"/>
        <w:rPr>
          <w:rFonts w:hint="eastAsia" w:ascii="宋体" w:hAnsi="宋体" w:cs="宋体-18030"/>
          <w:szCs w:val="21"/>
        </w:rPr>
      </w:pPr>
      <w:r>
        <w:rPr>
          <w:rFonts w:hint="eastAsia" w:ascii="宋体" w:hAnsi="宋体" w:cs="宋体-18030"/>
          <w:szCs w:val="21"/>
        </w:rPr>
        <w:t>1.12、磋商原则：磋商小组必须公平、公正、客观，不带任何倾向性和启发性；不得向外界透露任何与磋商有关的内容；任何单位和个人不得干扰、影响磋商的正常进行；磋商小组及有关工作人员不得私下与磋商响应方接触。</w:t>
      </w:r>
    </w:p>
    <w:p>
      <w:pPr>
        <w:pStyle w:val="3"/>
        <w:spacing w:before="0" w:after="0"/>
        <w:ind w:firstLine="424" w:firstLineChars="201"/>
        <w:jc w:val="both"/>
        <w:rPr>
          <w:rFonts w:hint="eastAsia" w:ascii="宋体" w:hAnsi="宋体" w:eastAsia="宋体" w:cs="宋体-18030"/>
          <w:kern w:val="2"/>
          <w:sz w:val="21"/>
          <w:szCs w:val="21"/>
        </w:rPr>
      </w:pPr>
      <w:bookmarkStart w:id="312" w:name="_Toc518327113"/>
      <w:bookmarkStart w:id="313" w:name="_Toc448487547"/>
      <w:bookmarkStart w:id="314" w:name="_Toc493082127"/>
      <w:bookmarkStart w:id="315" w:name="_Toc437979788"/>
      <w:bookmarkStart w:id="316" w:name="_Toc493699311"/>
      <w:bookmarkStart w:id="317" w:name="_Toc332724041"/>
      <w:bookmarkStart w:id="318" w:name="_Toc524612755"/>
      <w:bookmarkStart w:id="319" w:name="_Toc522549203"/>
      <w:bookmarkStart w:id="320" w:name="_Toc523583105"/>
      <w:r>
        <w:rPr>
          <w:rFonts w:hint="eastAsia" w:ascii="宋体" w:hAnsi="宋体" w:eastAsia="宋体" w:cs="宋体-18030"/>
          <w:kern w:val="2"/>
          <w:sz w:val="21"/>
          <w:szCs w:val="21"/>
        </w:rPr>
        <w:t>2、磋商文件的澄清</w:t>
      </w:r>
      <w:bookmarkEnd w:id="312"/>
      <w:bookmarkEnd w:id="313"/>
      <w:bookmarkEnd w:id="314"/>
      <w:bookmarkEnd w:id="315"/>
      <w:bookmarkEnd w:id="316"/>
      <w:bookmarkEnd w:id="317"/>
      <w:bookmarkEnd w:id="318"/>
      <w:bookmarkEnd w:id="319"/>
      <w:bookmarkEnd w:id="320"/>
    </w:p>
    <w:p>
      <w:pPr>
        <w:spacing w:line="360" w:lineRule="auto"/>
        <w:ind w:firstLine="422" w:firstLineChars="201"/>
        <w:rPr>
          <w:rFonts w:hint="eastAsia" w:ascii="宋体" w:hAnsi="宋体" w:cs="宋体-18030"/>
          <w:szCs w:val="21"/>
        </w:rPr>
      </w:pPr>
      <w:r>
        <w:rPr>
          <w:rFonts w:hint="eastAsia" w:ascii="宋体" w:hAnsi="宋体" w:cs="宋体-18030"/>
          <w:szCs w:val="21"/>
        </w:rPr>
        <w:t>2.l、在磋商期间，磋商小组有权要求磋商供应商对其磋商文件含义不明确、同类问题表述不一致或者有明显文字和计算错误的内容进行澄清。磋商供应商应派授权代表和技术人员按磋商小组通知的时间和地点接受询标。</w:t>
      </w:r>
    </w:p>
    <w:p>
      <w:pPr>
        <w:spacing w:line="360" w:lineRule="auto"/>
        <w:ind w:firstLine="422" w:firstLineChars="201"/>
        <w:rPr>
          <w:rFonts w:hint="eastAsia" w:ascii="宋体" w:hAnsi="宋体" w:cs="宋体-18030"/>
          <w:szCs w:val="21"/>
        </w:rPr>
      </w:pPr>
      <w:r>
        <w:rPr>
          <w:rFonts w:hint="eastAsia" w:ascii="宋体" w:hAnsi="宋体" w:cs="宋体-18030"/>
          <w:szCs w:val="21"/>
        </w:rPr>
        <w:t>2.2、磋商小组认为有必要，可要求磋商供应商对某些问题作出必要的澄清、说明和纠正。投标人的澄清、说明或者补正应当采用书面形式，由其授权的代表签字。投标人的书面澄清材料作为磋商文件的补充。</w:t>
      </w:r>
    </w:p>
    <w:p>
      <w:pPr>
        <w:spacing w:line="360" w:lineRule="auto"/>
        <w:ind w:firstLine="422" w:firstLineChars="201"/>
        <w:rPr>
          <w:rFonts w:hint="eastAsia" w:ascii="宋体" w:hAnsi="宋体" w:cs="宋体-18030"/>
          <w:szCs w:val="21"/>
        </w:rPr>
      </w:pPr>
      <w:r>
        <w:rPr>
          <w:rFonts w:hint="eastAsia" w:ascii="宋体" w:hAnsi="宋体" w:cs="宋体-18030"/>
          <w:szCs w:val="21"/>
        </w:rPr>
        <w:t>2.3、磋商供应商不按磋商小组规定的时间和地点作书面澄清，将视为放弃该权利。</w:t>
      </w:r>
    </w:p>
    <w:p>
      <w:pPr>
        <w:spacing w:line="360" w:lineRule="auto"/>
        <w:ind w:firstLine="422" w:firstLineChars="201"/>
        <w:rPr>
          <w:rFonts w:hint="eastAsia" w:ascii="宋体" w:hAnsi="宋体" w:cs="宋体-18030"/>
          <w:szCs w:val="21"/>
        </w:rPr>
      </w:pPr>
      <w:r>
        <w:rPr>
          <w:rFonts w:hint="eastAsia" w:ascii="宋体" w:hAnsi="宋体" w:cs="宋体-18030"/>
          <w:szCs w:val="21"/>
        </w:rPr>
        <w:t>2.4、并非每个磋商供应商都将被询标。</w:t>
      </w:r>
    </w:p>
    <w:p>
      <w:pPr>
        <w:pStyle w:val="3"/>
        <w:spacing w:before="0" w:after="0"/>
        <w:ind w:firstLine="424" w:firstLineChars="201"/>
        <w:jc w:val="both"/>
        <w:rPr>
          <w:rFonts w:hint="eastAsia" w:ascii="宋体" w:hAnsi="宋体" w:eastAsia="宋体" w:cs="宋体-18030"/>
          <w:kern w:val="2"/>
          <w:sz w:val="21"/>
          <w:szCs w:val="21"/>
        </w:rPr>
      </w:pPr>
      <w:bookmarkStart w:id="321" w:name="_Toc448487548"/>
      <w:bookmarkStart w:id="322" w:name="_Toc518327114"/>
      <w:bookmarkStart w:id="323" w:name="_Toc524612756"/>
      <w:bookmarkStart w:id="324" w:name="_Toc332724042"/>
      <w:bookmarkStart w:id="325" w:name="_Toc493699312"/>
      <w:bookmarkStart w:id="326" w:name="_Toc523583106"/>
      <w:bookmarkStart w:id="327" w:name="_Toc522549204"/>
      <w:bookmarkStart w:id="328" w:name="_Toc437979789"/>
      <w:bookmarkStart w:id="329" w:name="_Toc493082128"/>
      <w:r>
        <w:rPr>
          <w:rFonts w:hint="eastAsia" w:ascii="宋体" w:hAnsi="宋体" w:eastAsia="宋体" w:cs="宋体-18030"/>
          <w:kern w:val="2"/>
          <w:sz w:val="21"/>
          <w:szCs w:val="21"/>
        </w:rPr>
        <w:t>3、确定成交供应商</w:t>
      </w:r>
      <w:bookmarkEnd w:id="321"/>
      <w:bookmarkEnd w:id="322"/>
      <w:bookmarkEnd w:id="323"/>
      <w:bookmarkEnd w:id="324"/>
      <w:bookmarkEnd w:id="325"/>
      <w:bookmarkEnd w:id="326"/>
      <w:bookmarkEnd w:id="327"/>
      <w:bookmarkEnd w:id="328"/>
      <w:bookmarkEnd w:id="329"/>
    </w:p>
    <w:p>
      <w:pPr>
        <w:spacing w:line="360" w:lineRule="auto"/>
        <w:ind w:firstLine="422" w:firstLineChars="201"/>
        <w:rPr>
          <w:rFonts w:hint="eastAsia" w:ascii="宋体" w:hAnsi="宋体" w:cs="宋体-18030"/>
          <w:szCs w:val="21"/>
        </w:rPr>
      </w:pPr>
      <w:r>
        <w:rPr>
          <w:rFonts w:hint="eastAsia" w:ascii="宋体" w:hAnsi="宋体" w:cs="宋体-18030"/>
          <w:szCs w:val="21"/>
        </w:rPr>
        <w:t>3.1、磋商小组将对通过资格性审查和符合性审查的磋商文件进行评价和比较。</w:t>
      </w:r>
    </w:p>
    <w:p>
      <w:pPr>
        <w:spacing w:line="360" w:lineRule="auto"/>
        <w:ind w:firstLine="422" w:firstLineChars="201"/>
        <w:rPr>
          <w:rFonts w:hint="eastAsia" w:ascii="宋体" w:hAnsi="宋体" w:cs="宋体-18030"/>
          <w:szCs w:val="21"/>
        </w:rPr>
      </w:pPr>
      <w:r>
        <w:rPr>
          <w:rFonts w:hint="eastAsia" w:ascii="宋体" w:hAnsi="宋体" w:cs="宋体-18030"/>
          <w:szCs w:val="21"/>
        </w:rPr>
        <w:t>3.2、磋商小组按采购文件第三章中公布的评定成交标准对磋商文件进行评审，确定成交候选人。最低报价等任何单项因素的最优不能作为成交的保证。</w:t>
      </w:r>
    </w:p>
    <w:p>
      <w:pPr>
        <w:pStyle w:val="3"/>
        <w:spacing w:before="0" w:after="0"/>
        <w:ind w:firstLine="424" w:firstLineChars="201"/>
        <w:jc w:val="both"/>
        <w:rPr>
          <w:rFonts w:hint="eastAsia" w:ascii="宋体" w:hAnsi="宋体" w:eastAsia="宋体" w:cs="宋体-18030"/>
          <w:kern w:val="2"/>
          <w:sz w:val="21"/>
          <w:szCs w:val="21"/>
        </w:rPr>
      </w:pPr>
      <w:bookmarkStart w:id="330" w:name="_Toc332724043"/>
      <w:bookmarkStart w:id="331" w:name="_Toc493699313"/>
      <w:bookmarkStart w:id="332" w:name="_Toc437979790"/>
      <w:bookmarkStart w:id="333" w:name="_Toc493082129"/>
      <w:bookmarkStart w:id="334" w:name="_Toc448487549"/>
      <w:bookmarkStart w:id="335" w:name="_Toc518327115"/>
      <w:bookmarkStart w:id="336" w:name="_Toc522549205"/>
      <w:bookmarkStart w:id="337" w:name="_Toc524612757"/>
      <w:bookmarkStart w:id="338" w:name="_Toc523583107"/>
      <w:r>
        <w:rPr>
          <w:rFonts w:hint="eastAsia" w:ascii="宋体" w:hAnsi="宋体" w:eastAsia="宋体" w:cs="宋体-18030"/>
          <w:kern w:val="2"/>
          <w:sz w:val="21"/>
          <w:szCs w:val="21"/>
        </w:rPr>
        <w:t>4、磋商过程保密</w:t>
      </w:r>
      <w:bookmarkEnd w:id="330"/>
      <w:bookmarkEnd w:id="331"/>
      <w:bookmarkEnd w:id="332"/>
      <w:bookmarkEnd w:id="333"/>
      <w:bookmarkEnd w:id="334"/>
      <w:bookmarkEnd w:id="335"/>
      <w:bookmarkEnd w:id="336"/>
      <w:bookmarkEnd w:id="337"/>
      <w:bookmarkEnd w:id="338"/>
    </w:p>
    <w:p>
      <w:pPr>
        <w:spacing w:line="360" w:lineRule="auto"/>
        <w:ind w:firstLine="422" w:firstLineChars="201"/>
        <w:rPr>
          <w:rFonts w:hint="eastAsia" w:ascii="宋体" w:hAnsi="宋体" w:cs="宋体-18030"/>
          <w:szCs w:val="21"/>
        </w:rPr>
      </w:pPr>
      <w:r>
        <w:rPr>
          <w:rFonts w:hint="eastAsia" w:ascii="宋体" w:hAnsi="宋体" w:cs="宋体-18030"/>
          <w:szCs w:val="21"/>
        </w:rPr>
        <w:t>4.l、在宣布成交结果之前，凡属于审查、澄清、评价、比较磋商文件等有关信息，相关当事人均不得泄露给任何磋商供应商或与磋商工作无关的人员。</w:t>
      </w:r>
    </w:p>
    <w:p>
      <w:pPr>
        <w:spacing w:line="360" w:lineRule="auto"/>
        <w:ind w:firstLine="422" w:firstLineChars="201"/>
        <w:rPr>
          <w:rFonts w:hint="eastAsia" w:ascii="宋体" w:hAnsi="宋体" w:cs="宋体-18030"/>
          <w:szCs w:val="21"/>
        </w:rPr>
      </w:pPr>
      <w:r>
        <w:rPr>
          <w:rFonts w:hint="eastAsia" w:ascii="宋体" w:hAnsi="宋体" w:cs="宋体-18030"/>
          <w:szCs w:val="21"/>
        </w:rPr>
        <w:t>4.2、磋商供应商不得探听上述信息，不得以任何行为影响磋商过程，否则其磋商文件将被作为无效磋商文件。</w:t>
      </w:r>
    </w:p>
    <w:p>
      <w:pPr>
        <w:spacing w:line="360" w:lineRule="auto"/>
        <w:ind w:firstLine="422" w:firstLineChars="201"/>
        <w:rPr>
          <w:rFonts w:hint="eastAsia" w:ascii="宋体" w:hAnsi="宋体" w:cs="宋体-18030"/>
          <w:szCs w:val="21"/>
        </w:rPr>
      </w:pPr>
      <w:r>
        <w:rPr>
          <w:rFonts w:hint="eastAsia" w:ascii="宋体" w:hAnsi="宋体" w:cs="宋体-18030"/>
          <w:szCs w:val="21"/>
        </w:rPr>
        <w:t>4.3、在磋商期间，采购中心将有专门人员与磋商供应商进行联络。</w:t>
      </w:r>
    </w:p>
    <w:p>
      <w:pPr>
        <w:spacing w:line="360" w:lineRule="auto"/>
        <w:ind w:firstLine="422" w:firstLineChars="201"/>
        <w:rPr>
          <w:rFonts w:hint="eastAsia" w:ascii="宋体" w:hAnsi="宋体" w:cs="宋体-18030"/>
          <w:szCs w:val="21"/>
        </w:rPr>
      </w:pPr>
      <w:r>
        <w:rPr>
          <w:rFonts w:hint="eastAsia" w:ascii="宋体" w:hAnsi="宋体" w:cs="宋体-18030"/>
          <w:szCs w:val="21"/>
        </w:rPr>
        <w:t>4.4、采购中心和磋商小组不向未成交的磋商供应商解释未成交原因，也不对磋商过程中的细节问题进行公布。</w:t>
      </w:r>
    </w:p>
    <w:p>
      <w:pPr>
        <w:pStyle w:val="3"/>
        <w:spacing w:before="0" w:after="0"/>
        <w:ind w:firstLine="424" w:firstLineChars="201"/>
        <w:jc w:val="both"/>
        <w:rPr>
          <w:rFonts w:hint="eastAsia" w:ascii="宋体" w:hAnsi="宋体" w:eastAsia="宋体" w:cs="宋体-18030"/>
          <w:kern w:val="2"/>
          <w:sz w:val="21"/>
          <w:szCs w:val="21"/>
        </w:rPr>
      </w:pPr>
      <w:bookmarkStart w:id="339" w:name="_Toc448487550"/>
      <w:bookmarkStart w:id="340" w:name="_Toc493082130"/>
      <w:bookmarkStart w:id="341" w:name="_Toc437979791"/>
      <w:bookmarkStart w:id="342" w:name="_Toc523583108"/>
      <w:bookmarkStart w:id="343" w:name="_Toc524612758"/>
      <w:bookmarkStart w:id="344" w:name="_Toc493699314"/>
      <w:bookmarkStart w:id="345" w:name="_Toc518327116"/>
      <w:bookmarkStart w:id="346" w:name="_Toc522549206"/>
      <w:bookmarkStart w:id="347" w:name="_Toc332724044"/>
      <w:r>
        <w:rPr>
          <w:rFonts w:hint="eastAsia" w:ascii="宋体" w:hAnsi="宋体" w:eastAsia="宋体" w:cs="宋体-18030"/>
          <w:kern w:val="2"/>
          <w:sz w:val="21"/>
          <w:szCs w:val="21"/>
        </w:rPr>
        <w:t>5、磋商供应商不足三家的处理</w:t>
      </w:r>
      <w:bookmarkEnd w:id="339"/>
      <w:bookmarkEnd w:id="340"/>
      <w:bookmarkEnd w:id="341"/>
      <w:bookmarkEnd w:id="342"/>
      <w:bookmarkEnd w:id="343"/>
      <w:bookmarkEnd w:id="344"/>
      <w:bookmarkEnd w:id="345"/>
      <w:bookmarkEnd w:id="346"/>
      <w:bookmarkEnd w:id="347"/>
    </w:p>
    <w:p>
      <w:pPr>
        <w:pStyle w:val="29"/>
        <w:spacing w:before="0" w:after="0" w:line="360" w:lineRule="auto"/>
        <w:ind w:firstLine="422" w:firstLineChars="201"/>
        <w:jc w:val="both"/>
        <w:rPr>
          <w:rFonts w:ascii="宋体" w:hAnsi="宋体" w:cs="宋体-18030"/>
          <w:b w:val="0"/>
          <w:bCs w:val="0"/>
          <w:sz w:val="21"/>
          <w:szCs w:val="21"/>
        </w:rPr>
      </w:pPr>
      <w:bookmarkStart w:id="348" w:name="_Toc487802048"/>
      <w:bookmarkStart w:id="349" w:name="_Toc487802117"/>
      <w:bookmarkStart w:id="350" w:name="_Toc487793403"/>
      <w:bookmarkStart w:id="351" w:name="_Toc522549207"/>
      <w:bookmarkStart w:id="352" w:name="_Toc523583109"/>
      <w:bookmarkStart w:id="353" w:name="_Toc524612759"/>
      <w:bookmarkStart w:id="354" w:name="_Toc518327117"/>
      <w:bookmarkStart w:id="355" w:name="_Toc487802118"/>
      <w:r>
        <w:rPr>
          <w:rFonts w:hint="eastAsia" w:ascii="宋体" w:hAnsi="宋体" w:cs="宋体-18030"/>
          <w:b w:val="0"/>
          <w:bCs w:val="0"/>
          <w:sz w:val="21"/>
          <w:szCs w:val="21"/>
        </w:rPr>
        <w:t>根据</w:t>
      </w:r>
      <w:r>
        <w:rPr>
          <w:rFonts w:ascii="宋体" w:hAnsi="宋体" w:cs="宋体-18030"/>
          <w:b w:val="0"/>
          <w:bCs w:val="0"/>
          <w:sz w:val="21"/>
          <w:szCs w:val="21"/>
        </w:rPr>
        <w:t>财库</w:t>
      </w:r>
      <w:r>
        <w:rPr>
          <w:rFonts w:hint="eastAsia" w:ascii="宋体" w:hAnsi="宋体" w:cs="宋体-18030"/>
          <w:b w:val="0"/>
          <w:bCs w:val="0"/>
          <w:sz w:val="21"/>
          <w:szCs w:val="21"/>
        </w:rPr>
        <w:t>[</w:t>
      </w:r>
      <w:r>
        <w:rPr>
          <w:rFonts w:ascii="宋体" w:hAnsi="宋体" w:cs="宋体-18030"/>
          <w:b w:val="0"/>
          <w:bCs w:val="0"/>
          <w:sz w:val="21"/>
          <w:szCs w:val="21"/>
        </w:rPr>
        <w:t>2015</w:t>
      </w:r>
      <w:r>
        <w:rPr>
          <w:rFonts w:hint="eastAsia" w:ascii="宋体" w:hAnsi="宋体" w:cs="宋体-18030"/>
          <w:b w:val="0"/>
          <w:bCs w:val="0"/>
          <w:sz w:val="21"/>
          <w:szCs w:val="21"/>
        </w:rPr>
        <w:t>]</w:t>
      </w:r>
      <w:r>
        <w:rPr>
          <w:rFonts w:ascii="宋体" w:hAnsi="宋体" w:cs="宋体-18030"/>
          <w:b w:val="0"/>
          <w:bCs w:val="0"/>
          <w:sz w:val="21"/>
          <w:szCs w:val="21"/>
        </w:rPr>
        <w:t xml:space="preserve"> 124号</w:t>
      </w:r>
      <w:r>
        <w:rPr>
          <w:rFonts w:hint="eastAsia" w:ascii="宋体" w:hAnsi="宋体" w:cs="宋体-18030"/>
          <w:b w:val="0"/>
          <w:bCs w:val="0"/>
          <w:sz w:val="21"/>
          <w:szCs w:val="21"/>
        </w:rPr>
        <w:t>，规定采用竞争性磋商采购方式采购的政府购买服务项目（含政府和社会资本合作项目），在采购过程中符合要求的供应商（社会资本）只有</w:t>
      </w:r>
      <w:r>
        <w:rPr>
          <w:rFonts w:ascii="宋体" w:hAnsi="宋体" w:cs="宋体-18030"/>
          <w:b w:val="0"/>
          <w:bCs w:val="0"/>
          <w:sz w:val="21"/>
          <w:szCs w:val="21"/>
        </w:rPr>
        <w:t>2</w:t>
      </w:r>
      <w:r>
        <w:rPr>
          <w:rFonts w:hint="eastAsia" w:ascii="宋体" w:hAnsi="宋体" w:cs="宋体-18030"/>
          <w:b w:val="0"/>
          <w:bCs w:val="0"/>
          <w:sz w:val="21"/>
          <w:szCs w:val="21"/>
        </w:rPr>
        <w:t>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r>
        <w:rPr>
          <w:rFonts w:ascii="宋体" w:hAnsi="宋体" w:cs="宋体-18030"/>
          <w:b w:val="0"/>
          <w:bCs w:val="0"/>
          <w:sz w:val="21"/>
          <w:szCs w:val="21"/>
        </w:rPr>
        <w:t>。</w:t>
      </w:r>
      <w:bookmarkEnd w:id="348"/>
      <w:bookmarkEnd w:id="349"/>
      <w:bookmarkEnd w:id="350"/>
      <w:bookmarkEnd w:id="351"/>
      <w:bookmarkEnd w:id="352"/>
      <w:bookmarkEnd w:id="353"/>
      <w:bookmarkEnd w:id="354"/>
    </w:p>
    <w:p>
      <w:pPr>
        <w:pStyle w:val="29"/>
        <w:spacing w:before="0" w:after="0" w:line="360" w:lineRule="auto"/>
        <w:ind w:firstLine="424" w:firstLineChars="201"/>
        <w:outlineLvl w:val="1"/>
        <w:rPr>
          <w:rFonts w:hint="eastAsia" w:ascii="宋体" w:hAnsi="宋体"/>
          <w:sz w:val="21"/>
          <w:szCs w:val="21"/>
        </w:rPr>
      </w:pPr>
      <w:bookmarkStart w:id="356" w:name="_Toc524612760"/>
      <w:r>
        <w:rPr>
          <w:rFonts w:hint="eastAsia" w:ascii="宋体" w:hAnsi="宋体"/>
          <w:sz w:val="21"/>
          <w:szCs w:val="21"/>
        </w:rPr>
        <w:t>六  评</w:t>
      </w:r>
      <w:r>
        <w:rPr>
          <w:rFonts w:hint="eastAsia" w:ascii="宋体" w:hAnsi="宋体"/>
          <w:sz w:val="21"/>
          <w:szCs w:val="21"/>
          <w:lang w:eastAsia="zh-CN"/>
        </w:rPr>
        <w:t xml:space="preserve"> </w:t>
      </w:r>
      <w:r>
        <w:rPr>
          <w:rFonts w:hint="eastAsia" w:ascii="宋体" w:hAnsi="宋体"/>
          <w:sz w:val="21"/>
          <w:szCs w:val="21"/>
        </w:rPr>
        <w:t>标</w:t>
      </w:r>
      <w:bookmarkEnd w:id="355"/>
      <w:bookmarkEnd w:id="356"/>
    </w:p>
    <w:p>
      <w:pPr>
        <w:spacing w:line="360" w:lineRule="auto"/>
        <w:ind w:firstLine="424" w:firstLineChars="201"/>
        <w:rPr>
          <w:rFonts w:ascii="宋体" w:hAnsi="宋体"/>
          <w:b/>
          <w:szCs w:val="21"/>
        </w:rPr>
      </w:pPr>
      <w:r>
        <w:rPr>
          <w:rFonts w:hint="eastAsia" w:ascii="宋体" w:hAnsi="宋体"/>
          <w:b/>
          <w:szCs w:val="21"/>
        </w:rPr>
        <w:t>1、</w:t>
      </w:r>
      <w:r>
        <w:rPr>
          <w:rFonts w:ascii="宋体" w:hAnsi="宋体"/>
          <w:b/>
          <w:szCs w:val="21"/>
        </w:rPr>
        <w:t>组建磋商小组</w:t>
      </w:r>
    </w:p>
    <w:p>
      <w:pPr>
        <w:spacing w:line="360" w:lineRule="auto"/>
        <w:ind w:firstLine="422" w:firstLineChars="201"/>
        <w:rPr>
          <w:rFonts w:ascii="宋体" w:hAnsi="宋体"/>
          <w:szCs w:val="21"/>
        </w:rPr>
      </w:pPr>
      <w:r>
        <w:rPr>
          <w:rFonts w:ascii="宋体" w:hAnsi="宋体"/>
          <w:szCs w:val="21"/>
        </w:rPr>
        <w:t>本项目磋商小组由政府采购评审专家</w:t>
      </w:r>
      <w:r>
        <w:rPr>
          <w:rFonts w:hint="eastAsia" w:ascii="宋体" w:hAnsi="宋体"/>
          <w:szCs w:val="21"/>
        </w:rPr>
        <w:t>4</w:t>
      </w:r>
      <w:r>
        <w:rPr>
          <w:rFonts w:ascii="宋体" w:hAnsi="宋体"/>
          <w:szCs w:val="21"/>
        </w:rPr>
        <w:t>人和采购人代表</w:t>
      </w:r>
      <w:r>
        <w:rPr>
          <w:rFonts w:hint="eastAsia" w:ascii="宋体" w:hAnsi="宋体"/>
          <w:szCs w:val="21"/>
        </w:rPr>
        <w:t>1</w:t>
      </w:r>
      <w:r>
        <w:rPr>
          <w:rFonts w:ascii="宋体" w:hAnsi="宋体"/>
          <w:szCs w:val="21"/>
        </w:rPr>
        <w:t>人，共</w:t>
      </w:r>
      <w:r>
        <w:rPr>
          <w:rFonts w:hint="eastAsia" w:ascii="宋体" w:hAnsi="宋体"/>
          <w:szCs w:val="21"/>
        </w:rPr>
        <w:t>5</w:t>
      </w:r>
      <w:r>
        <w:rPr>
          <w:rFonts w:ascii="宋体" w:hAnsi="宋体"/>
          <w:szCs w:val="21"/>
        </w:rPr>
        <w:t>人组成。</w:t>
      </w:r>
    </w:p>
    <w:p>
      <w:pPr>
        <w:spacing w:line="360" w:lineRule="auto"/>
        <w:ind w:firstLine="424" w:firstLineChars="201"/>
        <w:rPr>
          <w:rFonts w:ascii="宋体" w:hAnsi="宋体"/>
          <w:b/>
          <w:szCs w:val="21"/>
        </w:rPr>
      </w:pPr>
      <w:r>
        <w:rPr>
          <w:rFonts w:hint="eastAsia" w:ascii="宋体" w:hAnsi="宋体"/>
          <w:b/>
          <w:szCs w:val="21"/>
        </w:rPr>
        <w:t>2、磋商</w:t>
      </w:r>
      <w:r>
        <w:rPr>
          <w:rFonts w:ascii="宋体" w:hAnsi="宋体"/>
          <w:b/>
          <w:szCs w:val="21"/>
        </w:rPr>
        <w:t>的方式</w:t>
      </w:r>
    </w:p>
    <w:p>
      <w:pPr>
        <w:spacing w:line="360" w:lineRule="auto"/>
        <w:ind w:firstLine="422" w:firstLineChars="201"/>
        <w:rPr>
          <w:rFonts w:ascii="宋体" w:hAnsi="宋体"/>
          <w:szCs w:val="21"/>
        </w:rPr>
      </w:pPr>
      <w:r>
        <w:rPr>
          <w:rFonts w:ascii="宋体" w:hAnsi="宋体"/>
          <w:szCs w:val="21"/>
        </w:rPr>
        <w:t>本项目采用不公开方式</w:t>
      </w:r>
      <w:r>
        <w:rPr>
          <w:rFonts w:hint="eastAsia" w:ascii="宋体" w:hAnsi="宋体"/>
          <w:szCs w:val="21"/>
        </w:rPr>
        <w:t>磋商</w:t>
      </w:r>
      <w:r>
        <w:rPr>
          <w:rFonts w:ascii="宋体" w:hAnsi="宋体"/>
          <w:szCs w:val="21"/>
        </w:rPr>
        <w:t>，</w:t>
      </w:r>
      <w:r>
        <w:rPr>
          <w:rFonts w:hint="eastAsia" w:ascii="宋体" w:hAnsi="宋体"/>
          <w:szCs w:val="21"/>
        </w:rPr>
        <w:t>磋商</w:t>
      </w:r>
      <w:r>
        <w:rPr>
          <w:rFonts w:ascii="宋体" w:hAnsi="宋体"/>
          <w:szCs w:val="21"/>
        </w:rPr>
        <w:t>的依据为招标文件和投标文件。</w:t>
      </w:r>
    </w:p>
    <w:p>
      <w:pPr>
        <w:spacing w:line="360" w:lineRule="auto"/>
        <w:ind w:firstLine="424" w:firstLineChars="201"/>
        <w:rPr>
          <w:rFonts w:ascii="宋体" w:hAnsi="宋体"/>
          <w:b/>
          <w:szCs w:val="21"/>
        </w:rPr>
      </w:pPr>
      <w:r>
        <w:rPr>
          <w:rFonts w:hint="eastAsia" w:ascii="宋体" w:hAnsi="宋体"/>
          <w:b/>
          <w:szCs w:val="21"/>
        </w:rPr>
        <w:t>3、磋商</w:t>
      </w:r>
      <w:r>
        <w:rPr>
          <w:rFonts w:ascii="宋体" w:hAnsi="宋体"/>
          <w:b/>
          <w:szCs w:val="21"/>
        </w:rPr>
        <w:t>程序</w:t>
      </w:r>
    </w:p>
    <w:p>
      <w:pPr>
        <w:spacing w:line="360" w:lineRule="auto"/>
        <w:ind w:firstLine="422" w:firstLineChars="201"/>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w:t>
      </w:r>
      <w:r>
        <w:rPr>
          <w:rFonts w:ascii="宋体" w:hAnsi="宋体"/>
          <w:szCs w:val="21"/>
        </w:rPr>
        <w:t>形式审查</w:t>
      </w:r>
    </w:p>
    <w:p>
      <w:pPr>
        <w:spacing w:line="360" w:lineRule="auto"/>
        <w:ind w:firstLine="422" w:firstLineChars="201"/>
        <w:rPr>
          <w:rFonts w:ascii="宋体" w:hAnsi="宋体"/>
          <w:szCs w:val="21"/>
        </w:rPr>
      </w:pPr>
      <w:r>
        <w:rPr>
          <w:rFonts w:hint="eastAsia" w:ascii="宋体" w:hAnsi="宋体"/>
          <w:szCs w:val="21"/>
        </w:rPr>
        <w:t xml:space="preserve"> 磋商小组对磋商供应商的资格</w:t>
      </w:r>
      <w:r>
        <w:rPr>
          <w:rFonts w:ascii="宋体" w:hAnsi="宋体"/>
          <w:szCs w:val="21"/>
        </w:rPr>
        <w:t>和投标文件的完整性、合法性等进行审查。</w:t>
      </w:r>
    </w:p>
    <w:p>
      <w:pPr>
        <w:spacing w:line="360" w:lineRule="auto"/>
        <w:ind w:firstLine="422" w:firstLineChars="201"/>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ascii="宋体" w:hAnsi="宋体"/>
          <w:szCs w:val="21"/>
        </w:rPr>
        <w:t>实质审查与比较</w:t>
      </w:r>
    </w:p>
    <w:p>
      <w:pPr>
        <w:spacing w:line="360" w:lineRule="auto"/>
        <w:ind w:firstLine="422" w:firstLineChars="201"/>
        <w:rPr>
          <w:rFonts w:hint="eastAsia" w:ascii="宋体" w:hAnsi="宋体"/>
          <w:szCs w:val="21"/>
        </w:rPr>
      </w:pPr>
      <w:r>
        <w:rPr>
          <w:rFonts w:hint="eastAsia" w:ascii="宋体" w:hAnsi="宋体"/>
          <w:szCs w:val="21"/>
        </w:rPr>
        <w:t>3.2.1、</w:t>
      </w:r>
      <w:r>
        <w:rPr>
          <w:rFonts w:ascii="宋体" w:hAnsi="宋体"/>
          <w:szCs w:val="21"/>
        </w:rPr>
        <w:t>磋商小组审查投标文件的实质性内容是否符合招标文件的实质性要求。</w:t>
      </w:r>
    </w:p>
    <w:p>
      <w:pPr>
        <w:spacing w:line="360" w:lineRule="auto"/>
        <w:ind w:firstLine="422" w:firstLineChars="201"/>
        <w:rPr>
          <w:rFonts w:ascii="宋体" w:hAnsi="宋体"/>
          <w:szCs w:val="21"/>
        </w:rPr>
      </w:pPr>
      <w:r>
        <w:rPr>
          <w:rFonts w:hint="eastAsia" w:ascii="宋体" w:hAnsi="宋体"/>
          <w:szCs w:val="21"/>
        </w:rPr>
        <w:t>3.2.2、</w:t>
      </w:r>
      <w:r>
        <w:rPr>
          <w:rFonts w:ascii="宋体" w:hAnsi="宋体"/>
          <w:szCs w:val="21"/>
        </w:rPr>
        <w:t>磋商小组将根据磋商供应商的投标文件进行审查、核对，如有疑问,将对磋商供应商进行询标,磋商供应商要向磋商小组澄清有关问题,并最终以书面形式进行答复。</w:t>
      </w:r>
    </w:p>
    <w:p>
      <w:pPr>
        <w:spacing w:line="360" w:lineRule="auto"/>
        <w:ind w:firstLine="422" w:firstLineChars="201"/>
        <w:rPr>
          <w:rFonts w:hint="eastAsia" w:ascii="宋体" w:hAnsi="宋体"/>
          <w:szCs w:val="21"/>
        </w:rPr>
      </w:pPr>
      <w:r>
        <w:rPr>
          <w:rFonts w:ascii="宋体" w:hAnsi="宋体"/>
          <w:szCs w:val="21"/>
        </w:rPr>
        <w:t>询标</w:t>
      </w:r>
      <w:r>
        <w:rPr>
          <w:rFonts w:hint="eastAsia" w:ascii="宋体" w:hAnsi="宋体"/>
          <w:szCs w:val="21"/>
        </w:rPr>
        <w:t>时，磋商供应商代表未到场或者拒绝澄清或者澄清的内容改变了投标文件的实质性内容的，磋商小组有权对该投标文件作出不利于磋商供应商的评判。</w:t>
      </w:r>
    </w:p>
    <w:p>
      <w:pPr>
        <w:spacing w:line="360" w:lineRule="auto"/>
        <w:ind w:firstLine="422" w:firstLineChars="201"/>
        <w:rPr>
          <w:rFonts w:hint="eastAsia" w:ascii="宋体" w:hAnsi="宋体"/>
          <w:szCs w:val="21"/>
        </w:rPr>
      </w:pPr>
      <w:r>
        <w:rPr>
          <w:rFonts w:hint="eastAsia" w:ascii="宋体" w:hAnsi="宋体"/>
          <w:szCs w:val="21"/>
        </w:rPr>
        <w:t>3.2.3、</w:t>
      </w:r>
      <w:r>
        <w:rPr>
          <w:rFonts w:ascii="宋体" w:hAnsi="宋体"/>
          <w:szCs w:val="21"/>
        </w:rPr>
        <w:t>各磋商供应商的</w:t>
      </w:r>
      <w:r>
        <w:rPr>
          <w:rFonts w:hint="eastAsia" w:ascii="宋体" w:hAnsi="宋体"/>
          <w:szCs w:val="21"/>
        </w:rPr>
        <w:t>资信商务及技术分按照磋商小组成员的独立评分汇总后的算术平均分计算</w:t>
      </w:r>
      <w:r>
        <w:rPr>
          <w:rFonts w:ascii="宋体" w:hAnsi="宋体"/>
          <w:szCs w:val="21"/>
        </w:rPr>
        <w:t>。</w:t>
      </w:r>
    </w:p>
    <w:p>
      <w:pPr>
        <w:spacing w:line="360" w:lineRule="auto"/>
        <w:ind w:firstLine="422" w:firstLineChars="201"/>
        <w:rPr>
          <w:rFonts w:hint="eastAsia" w:ascii="宋体" w:hAnsi="宋体"/>
          <w:szCs w:val="21"/>
        </w:rPr>
      </w:pPr>
      <w:r>
        <w:rPr>
          <w:rFonts w:hint="eastAsia" w:ascii="宋体" w:hAnsi="宋体"/>
          <w:szCs w:val="21"/>
        </w:rPr>
        <w:t>3.2.4、代理公司工作人员协助</w:t>
      </w:r>
      <w:r>
        <w:rPr>
          <w:rFonts w:ascii="宋体" w:hAnsi="宋体"/>
          <w:szCs w:val="21"/>
        </w:rPr>
        <w:t>磋商小组根据</w:t>
      </w:r>
      <w:r>
        <w:rPr>
          <w:rFonts w:hint="eastAsia" w:ascii="宋体" w:hAnsi="宋体"/>
          <w:szCs w:val="21"/>
        </w:rPr>
        <w:t>本项目的评分标准操作政府采购业务系统，由系统</w:t>
      </w:r>
      <w:r>
        <w:rPr>
          <w:rFonts w:ascii="宋体" w:hAnsi="宋体"/>
          <w:szCs w:val="21"/>
        </w:rPr>
        <w:t>计算各磋商供应商的商务报价得分</w:t>
      </w:r>
      <w:r>
        <w:rPr>
          <w:rFonts w:hint="eastAsia" w:ascii="宋体" w:hAnsi="宋体"/>
          <w:szCs w:val="21"/>
        </w:rPr>
        <w:t>。</w:t>
      </w:r>
    </w:p>
    <w:p>
      <w:pPr>
        <w:spacing w:line="360" w:lineRule="auto"/>
        <w:ind w:firstLine="422" w:firstLineChars="201"/>
        <w:rPr>
          <w:rFonts w:ascii="宋体" w:hAnsi="宋体"/>
          <w:szCs w:val="21"/>
        </w:rPr>
      </w:pPr>
      <w:r>
        <w:rPr>
          <w:rFonts w:hint="eastAsia" w:ascii="宋体" w:hAnsi="宋体"/>
          <w:szCs w:val="21"/>
        </w:rPr>
        <w:t>3.2.5、</w:t>
      </w:r>
      <w:r>
        <w:rPr>
          <w:rFonts w:ascii="宋体" w:hAnsi="宋体"/>
          <w:szCs w:val="21"/>
        </w:rPr>
        <w:t>磋商小组完成评标后,评委对各部分得分汇总,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。磋商小组按评标原则推荐中标候选人同时起草评标报告。</w:t>
      </w:r>
    </w:p>
    <w:p>
      <w:pPr>
        <w:spacing w:line="360" w:lineRule="auto"/>
        <w:ind w:firstLine="424" w:firstLineChars="201"/>
        <w:rPr>
          <w:rFonts w:ascii="宋体" w:hAnsi="宋体"/>
          <w:b/>
          <w:szCs w:val="21"/>
        </w:rPr>
      </w:pPr>
      <w:r>
        <w:rPr>
          <w:rFonts w:hint="eastAsia" w:ascii="宋体" w:hAnsi="宋体"/>
          <w:b/>
          <w:szCs w:val="21"/>
        </w:rPr>
        <w:t>4、澄清问题的形式</w:t>
      </w:r>
    </w:p>
    <w:p>
      <w:pPr>
        <w:spacing w:line="360" w:lineRule="auto"/>
        <w:ind w:firstLine="422" w:firstLineChars="201"/>
        <w:rPr>
          <w:rFonts w:ascii="宋体" w:hAnsi="宋体"/>
          <w:szCs w:val="21"/>
        </w:rPr>
      </w:pPr>
      <w:r>
        <w:rPr>
          <w:rFonts w:hint="eastAsia" w:ascii="宋体" w:hAnsi="宋体"/>
          <w:szCs w:val="21"/>
        </w:rPr>
        <w:t>对投标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投标文件的范围或者改变投标文件的实质性内容。</w:t>
      </w:r>
    </w:p>
    <w:p>
      <w:pPr>
        <w:spacing w:line="360" w:lineRule="auto"/>
        <w:ind w:firstLine="424" w:firstLineChars="201"/>
        <w:rPr>
          <w:rFonts w:ascii="宋体" w:hAnsi="宋体"/>
          <w:b/>
          <w:szCs w:val="21"/>
        </w:rPr>
      </w:pPr>
      <w:r>
        <w:rPr>
          <w:rFonts w:hint="eastAsia" w:ascii="宋体" w:hAnsi="宋体"/>
          <w:b/>
          <w:szCs w:val="21"/>
        </w:rPr>
        <w:t>5、</w:t>
      </w:r>
      <w:r>
        <w:rPr>
          <w:rFonts w:ascii="宋体" w:hAnsi="宋体"/>
          <w:b/>
          <w:szCs w:val="21"/>
        </w:rPr>
        <w:t>错误修正</w:t>
      </w:r>
    </w:p>
    <w:p>
      <w:pPr>
        <w:spacing w:line="360" w:lineRule="auto"/>
        <w:ind w:firstLine="422" w:firstLineChars="201"/>
        <w:rPr>
          <w:rFonts w:ascii="宋体" w:hAnsi="宋体"/>
          <w:szCs w:val="21"/>
        </w:rPr>
      </w:pPr>
      <w:r>
        <w:rPr>
          <w:rFonts w:ascii="宋体" w:hAnsi="宋体"/>
          <w:szCs w:val="21"/>
        </w:rPr>
        <w:t>投标文件如果出现计算或表达上的错误，修正错误的原则如下：</w:t>
      </w:r>
    </w:p>
    <w:p>
      <w:pPr>
        <w:spacing w:line="360" w:lineRule="auto"/>
        <w:ind w:firstLine="422" w:firstLineChars="201"/>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、报价一览表总价与投标报价明细表汇总数不一致的，以报价一览表为准；</w:t>
      </w:r>
    </w:p>
    <w:p>
      <w:pPr>
        <w:spacing w:line="360" w:lineRule="auto"/>
        <w:ind w:firstLine="422" w:firstLineChars="201"/>
        <w:rPr>
          <w:rFonts w:ascii="宋体" w:hAnsi="宋体"/>
          <w:szCs w:val="21"/>
        </w:rPr>
      </w:pPr>
      <w:r>
        <w:rPr>
          <w:rFonts w:hint="eastAsia" w:ascii="宋体" w:hAnsi="宋体"/>
          <w:szCs w:val="21"/>
        </w:rPr>
        <w:t>5.</w:t>
      </w:r>
      <w:r>
        <w:rPr>
          <w:rFonts w:ascii="宋体" w:hAnsi="宋体"/>
          <w:szCs w:val="21"/>
        </w:rPr>
        <w:t>2</w:t>
      </w:r>
      <w:r>
        <w:rPr>
          <w:rFonts w:hint="eastAsia" w:ascii="宋体" w:hAnsi="宋体"/>
          <w:szCs w:val="21"/>
        </w:rPr>
        <w:t>、</w:t>
      </w:r>
      <w:r>
        <w:rPr>
          <w:rFonts w:ascii="宋体" w:hAnsi="宋体"/>
          <w:szCs w:val="21"/>
        </w:rPr>
        <w:t>投标文件的大写金额和小写金额不一致的，以大写金额为准；</w:t>
      </w:r>
    </w:p>
    <w:p>
      <w:pPr>
        <w:spacing w:line="360" w:lineRule="auto"/>
        <w:ind w:firstLine="422" w:firstLineChars="201"/>
        <w:rPr>
          <w:rFonts w:ascii="宋体" w:hAnsi="宋体"/>
          <w:szCs w:val="21"/>
        </w:rPr>
      </w:pPr>
      <w:r>
        <w:rPr>
          <w:rFonts w:hint="eastAsia" w:ascii="宋体" w:hAnsi="宋体"/>
          <w:szCs w:val="21"/>
        </w:rPr>
        <w:t>5.</w:t>
      </w:r>
      <w:r>
        <w:rPr>
          <w:rFonts w:ascii="宋体" w:hAnsi="宋体"/>
          <w:szCs w:val="21"/>
        </w:rPr>
        <w:t>3</w:t>
      </w:r>
      <w:r>
        <w:rPr>
          <w:rFonts w:hint="eastAsia" w:ascii="宋体" w:hAnsi="宋体"/>
          <w:szCs w:val="21"/>
        </w:rPr>
        <w:t>、</w:t>
      </w:r>
      <w:r>
        <w:rPr>
          <w:rFonts w:ascii="宋体" w:hAnsi="宋体"/>
          <w:szCs w:val="21"/>
        </w:rPr>
        <w:t>总价金额与按单价汇总金额不一致的，以单价金额计算结果为准；</w:t>
      </w:r>
    </w:p>
    <w:p>
      <w:pPr>
        <w:spacing w:line="360" w:lineRule="auto"/>
        <w:ind w:firstLine="422" w:firstLineChars="201"/>
        <w:rPr>
          <w:rFonts w:ascii="宋体" w:hAnsi="宋体"/>
          <w:szCs w:val="21"/>
        </w:rPr>
      </w:pPr>
      <w:r>
        <w:rPr>
          <w:rFonts w:hint="eastAsia" w:ascii="宋体" w:hAnsi="宋体"/>
          <w:szCs w:val="21"/>
        </w:rPr>
        <w:t>5.</w:t>
      </w:r>
      <w:r>
        <w:rPr>
          <w:rFonts w:ascii="宋体" w:hAnsi="宋体"/>
          <w:szCs w:val="21"/>
        </w:rPr>
        <w:t>4</w:t>
      </w:r>
      <w:r>
        <w:rPr>
          <w:rFonts w:hint="eastAsia" w:ascii="宋体" w:hAnsi="宋体"/>
          <w:szCs w:val="21"/>
        </w:rPr>
        <w:t>、</w:t>
      </w:r>
      <w:r>
        <w:rPr>
          <w:rFonts w:ascii="宋体" w:hAnsi="宋体"/>
          <w:szCs w:val="21"/>
        </w:rPr>
        <w:t>对不同文字文本投标文件的解释发生异议的，以中文文本为准。</w:t>
      </w:r>
    </w:p>
    <w:p>
      <w:pPr>
        <w:spacing w:line="360" w:lineRule="auto"/>
        <w:ind w:firstLine="422" w:firstLineChars="201"/>
        <w:rPr>
          <w:rFonts w:ascii="宋体" w:hAnsi="宋体"/>
          <w:szCs w:val="21"/>
        </w:rPr>
      </w:pPr>
      <w:r>
        <w:rPr>
          <w:rFonts w:ascii="宋体" w:hAnsi="宋体"/>
          <w:szCs w:val="21"/>
        </w:rPr>
        <w:t>按上述修正错误的原则及方法调整或修正投标文件的投标报价，磋商供应商同意</w:t>
      </w:r>
      <w:r>
        <w:rPr>
          <w:rFonts w:hint="eastAsia" w:ascii="宋体" w:hAnsi="宋体"/>
          <w:szCs w:val="21"/>
        </w:rPr>
        <w:t>并签字确认</w:t>
      </w:r>
      <w:r>
        <w:rPr>
          <w:rFonts w:ascii="宋体" w:hAnsi="宋体"/>
          <w:szCs w:val="21"/>
        </w:rPr>
        <w:t>后，调整后的投标报价对磋商供应商具有约束作用。如果磋商供应商不接受修正后的报价，则其投标将</w:t>
      </w:r>
      <w:r>
        <w:rPr>
          <w:rFonts w:hint="eastAsia" w:ascii="宋体" w:hAnsi="宋体"/>
          <w:szCs w:val="21"/>
        </w:rPr>
        <w:t>作为无效投标处理</w:t>
      </w:r>
      <w:r>
        <w:rPr>
          <w:rFonts w:ascii="宋体" w:hAnsi="宋体"/>
          <w:szCs w:val="21"/>
        </w:rPr>
        <w:t>。</w:t>
      </w:r>
    </w:p>
    <w:p>
      <w:pPr>
        <w:spacing w:line="360" w:lineRule="auto"/>
        <w:ind w:firstLine="424" w:firstLineChars="201"/>
        <w:rPr>
          <w:rFonts w:ascii="宋体" w:hAnsi="宋体"/>
          <w:b/>
          <w:szCs w:val="21"/>
        </w:rPr>
      </w:pPr>
      <w:r>
        <w:rPr>
          <w:rFonts w:hint="eastAsia" w:ascii="宋体" w:hAnsi="宋体"/>
          <w:b/>
          <w:szCs w:val="21"/>
        </w:rPr>
        <w:t>6、</w:t>
      </w:r>
      <w:r>
        <w:rPr>
          <w:rFonts w:ascii="宋体" w:hAnsi="宋体"/>
          <w:b/>
          <w:szCs w:val="21"/>
        </w:rPr>
        <w:t>评标原则和评标办法</w:t>
      </w:r>
    </w:p>
    <w:p>
      <w:pPr>
        <w:spacing w:line="360" w:lineRule="auto"/>
        <w:ind w:firstLine="422" w:firstLineChars="201"/>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w:t>
      </w:r>
      <w:r>
        <w:rPr>
          <w:rFonts w:ascii="宋体" w:hAnsi="宋体"/>
          <w:szCs w:val="21"/>
        </w:rPr>
        <w:t>评标原则。磋商小组必须公平、公正、客观，不带任何倾向性和启发性；不得向外界透露任何与评标有关的内容；任何单位和个人不得干扰、影响评标的正常进行；磋商小组及有关工作人员不得私下与磋商供应商接触。</w:t>
      </w:r>
    </w:p>
    <w:p>
      <w:pPr>
        <w:spacing w:line="360" w:lineRule="auto"/>
        <w:ind w:firstLine="422" w:firstLineChars="201"/>
        <w:rPr>
          <w:rFonts w:ascii="宋体" w:hAnsi="宋体"/>
          <w:szCs w:val="21"/>
        </w:rPr>
      </w:pPr>
      <w:r>
        <w:rPr>
          <w:rFonts w:hint="eastAsia" w:ascii="宋体" w:hAnsi="宋体"/>
          <w:szCs w:val="21"/>
        </w:rPr>
        <w:t>6.</w:t>
      </w:r>
      <w:r>
        <w:rPr>
          <w:rFonts w:ascii="宋体" w:hAnsi="宋体"/>
          <w:szCs w:val="21"/>
        </w:rPr>
        <w:t>2</w:t>
      </w:r>
      <w:r>
        <w:rPr>
          <w:rFonts w:hint="eastAsia" w:ascii="宋体" w:hAnsi="宋体"/>
          <w:szCs w:val="21"/>
        </w:rPr>
        <w:t>、</w:t>
      </w:r>
      <w:r>
        <w:rPr>
          <w:rFonts w:ascii="宋体" w:hAnsi="宋体"/>
          <w:szCs w:val="21"/>
        </w:rPr>
        <w:t>评标办法。本项目评标办法是</w:t>
      </w:r>
      <w:r>
        <w:rPr>
          <w:rFonts w:hint="eastAsia" w:ascii="宋体" w:hAnsi="宋体"/>
          <w:szCs w:val="21"/>
        </w:rPr>
        <w:t>综合评标法</w:t>
      </w:r>
      <w:r>
        <w:rPr>
          <w:rFonts w:ascii="宋体" w:hAnsi="宋体"/>
          <w:szCs w:val="21"/>
        </w:rPr>
        <w:t xml:space="preserve"> ，具体评标内容及评分标准等详见《第四章：评标办法及评分标准》。</w:t>
      </w:r>
    </w:p>
    <w:p>
      <w:pPr>
        <w:spacing w:line="360" w:lineRule="auto"/>
        <w:ind w:firstLine="424" w:firstLineChars="201"/>
        <w:rPr>
          <w:rFonts w:ascii="宋体" w:hAnsi="宋体"/>
          <w:b/>
          <w:szCs w:val="21"/>
        </w:rPr>
      </w:pPr>
      <w:r>
        <w:rPr>
          <w:rFonts w:hint="eastAsia" w:ascii="宋体" w:hAnsi="宋体"/>
          <w:b/>
          <w:szCs w:val="21"/>
        </w:rPr>
        <w:t>7、</w:t>
      </w:r>
      <w:r>
        <w:rPr>
          <w:rFonts w:ascii="宋体" w:hAnsi="宋体"/>
          <w:b/>
          <w:szCs w:val="21"/>
        </w:rPr>
        <w:t>评标过程的监控</w:t>
      </w:r>
    </w:p>
    <w:p>
      <w:pPr>
        <w:spacing w:line="360" w:lineRule="auto"/>
        <w:ind w:firstLine="422" w:firstLineChars="201"/>
        <w:rPr>
          <w:rFonts w:hint="eastAsia" w:ascii="宋体" w:hAnsi="宋体"/>
          <w:szCs w:val="21"/>
        </w:rPr>
      </w:pPr>
      <w:r>
        <w:rPr>
          <w:rFonts w:ascii="宋体" w:hAnsi="宋体"/>
          <w:szCs w:val="21"/>
        </w:rPr>
        <w:t>本项目评标过程实行全程录音、录像监控</w:t>
      </w:r>
      <w:r>
        <w:rPr>
          <w:rFonts w:hint="eastAsia" w:ascii="宋体" w:hAnsi="宋体"/>
          <w:szCs w:val="21"/>
        </w:rPr>
        <w:t>。</w:t>
      </w:r>
      <w:r>
        <w:rPr>
          <w:rFonts w:ascii="宋体" w:hAnsi="宋体"/>
          <w:szCs w:val="21"/>
        </w:rPr>
        <w:t>磋商供应商在评标过程中所进行的</w:t>
      </w:r>
      <w:r>
        <w:rPr>
          <w:rFonts w:hint="eastAsia" w:ascii="宋体" w:hAnsi="宋体"/>
          <w:szCs w:val="21"/>
        </w:rPr>
        <w:t>试</w:t>
      </w:r>
      <w:r>
        <w:rPr>
          <w:rFonts w:ascii="宋体" w:hAnsi="宋体"/>
          <w:szCs w:val="21"/>
        </w:rPr>
        <w:t>图影响评标结果的不公正活动，可能导致其投标被拒绝。</w:t>
      </w:r>
    </w:p>
    <w:bookmarkEnd w:id="310"/>
    <w:p>
      <w:pPr>
        <w:pStyle w:val="29"/>
        <w:spacing w:before="0" w:after="0" w:line="360" w:lineRule="auto"/>
        <w:ind w:firstLine="424" w:firstLineChars="201"/>
        <w:outlineLvl w:val="1"/>
        <w:rPr>
          <w:rFonts w:hint="eastAsia" w:ascii="宋体" w:hAnsi="宋体"/>
          <w:sz w:val="21"/>
          <w:szCs w:val="21"/>
        </w:rPr>
      </w:pPr>
      <w:bookmarkStart w:id="357" w:name="_Toc524612761"/>
      <w:r>
        <w:rPr>
          <w:rFonts w:hint="eastAsia" w:ascii="宋体" w:hAnsi="宋体"/>
          <w:sz w:val="21"/>
          <w:szCs w:val="21"/>
        </w:rPr>
        <w:t>七    磋商结果的确定</w:t>
      </w:r>
      <w:bookmarkEnd w:id="357"/>
    </w:p>
    <w:p>
      <w:pPr>
        <w:spacing w:line="360" w:lineRule="auto"/>
        <w:ind w:firstLine="424" w:firstLineChars="201"/>
        <w:rPr>
          <w:rFonts w:hint="eastAsia" w:ascii="宋体" w:hAnsi="宋体"/>
          <w:b/>
          <w:szCs w:val="21"/>
        </w:rPr>
      </w:pPr>
      <w:r>
        <w:rPr>
          <w:rFonts w:hint="eastAsia" w:ascii="宋体" w:hAnsi="宋体"/>
          <w:b/>
          <w:szCs w:val="21"/>
        </w:rPr>
        <w:t>1、磋商结果确定</w:t>
      </w:r>
    </w:p>
    <w:p>
      <w:pPr>
        <w:pStyle w:val="3"/>
        <w:spacing w:before="0" w:after="0"/>
        <w:ind w:firstLine="422" w:firstLineChars="201"/>
        <w:jc w:val="left"/>
        <w:rPr>
          <w:rFonts w:hint="eastAsia" w:ascii="宋体" w:hAnsi="宋体" w:eastAsia="宋体"/>
          <w:b w:val="0"/>
          <w:kern w:val="2"/>
          <w:sz w:val="21"/>
          <w:szCs w:val="21"/>
        </w:rPr>
      </w:pPr>
      <w:bookmarkStart w:id="358" w:name="_Toc523583112"/>
      <w:bookmarkStart w:id="359" w:name="_Toc518327120"/>
      <w:bookmarkStart w:id="360" w:name="_Toc522549210"/>
      <w:bookmarkStart w:id="361" w:name="_Toc524612762"/>
      <w:r>
        <w:rPr>
          <w:rFonts w:hint="eastAsia" w:ascii="宋体" w:hAnsi="宋体" w:eastAsia="宋体"/>
          <w:b w:val="0"/>
          <w:kern w:val="2"/>
          <w:sz w:val="21"/>
          <w:szCs w:val="21"/>
        </w:rPr>
        <w:t>1.1、采购单位事先授权磋商小组直接确定成交供应商，磋商小组可直接确定成交供应商。</w:t>
      </w:r>
      <w:bookmarkEnd w:id="358"/>
      <w:bookmarkEnd w:id="359"/>
      <w:bookmarkEnd w:id="360"/>
      <w:bookmarkEnd w:id="361"/>
      <w:bookmarkStart w:id="362" w:name="_Toc170792772"/>
      <w:bookmarkStart w:id="363" w:name="_Toc107820051"/>
    </w:p>
    <w:p>
      <w:pPr>
        <w:spacing w:line="360" w:lineRule="auto"/>
        <w:ind w:firstLine="422" w:firstLineChars="201"/>
        <w:rPr>
          <w:rFonts w:hint="eastAsia" w:ascii="宋体" w:hAnsi="宋体"/>
          <w:szCs w:val="21"/>
        </w:rPr>
      </w:pPr>
      <w:r>
        <w:rPr>
          <w:rFonts w:hint="eastAsia" w:ascii="宋体" w:hAnsi="宋体"/>
          <w:szCs w:val="21"/>
        </w:rPr>
        <w:t>1.2、没有事先授权的，采购代理机构在磋商结束后2个工作日内将磋商结果交采购人确认。采购人应在收到后5个工作日内对磋商结果进行确认。</w:t>
      </w:r>
    </w:p>
    <w:p>
      <w:pPr>
        <w:spacing w:line="360" w:lineRule="auto"/>
        <w:ind w:firstLine="422" w:firstLineChars="201"/>
        <w:rPr>
          <w:rFonts w:hint="eastAsia" w:ascii="宋体" w:hAnsi="宋体"/>
          <w:szCs w:val="21"/>
        </w:rPr>
      </w:pPr>
      <w:r>
        <w:rPr>
          <w:rFonts w:hint="eastAsia" w:ascii="宋体" w:hAnsi="宋体"/>
          <w:szCs w:val="21"/>
        </w:rPr>
        <w:t>2、成交公告：公告1个工作日。</w:t>
      </w:r>
    </w:p>
    <w:p>
      <w:pPr>
        <w:pStyle w:val="29"/>
        <w:spacing w:before="0" w:after="0" w:line="360" w:lineRule="auto"/>
        <w:ind w:firstLine="424" w:firstLineChars="201"/>
        <w:outlineLvl w:val="1"/>
        <w:rPr>
          <w:rFonts w:hint="eastAsia" w:ascii="宋体" w:hAnsi="宋体"/>
          <w:sz w:val="21"/>
          <w:szCs w:val="21"/>
        </w:rPr>
      </w:pPr>
      <w:bookmarkStart w:id="364" w:name="_Toc192313121"/>
      <w:bookmarkStart w:id="365" w:name="_Toc524612763"/>
      <w:r>
        <w:rPr>
          <w:rFonts w:hint="eastAsia" w:ascii="宋体" w:hAnsi="宋体"/>
          <w:sz w:val="21"/>
          <w:szCs w:val="21"/>
        </w:rPr>
        <w:t>八   合同</w:t>
      </w:r>
      <w:bookmarkEnd w:id="362"/>
      <w:bookmarkEnd w:id="363"/>
      <w:r>
        <w:rPr>
          <w:rFonts w:hint="eastAsia" w:ascii="宋体" w:hAnsi="宋体"/>
          <w:sz w:val="21"/>
          <w:szCs w:val="21"/>
        </w:rPr>
        <w:t>授予</w:t>
      </w:r>
      <w:bookmarkEnd w:id="364"/>
      <w:bookmarkEnd w:id="365"/>
    </w:p>
    <w:p>
      <w:pPr>
        <w:spacing w:line="360" w:lineRule="auto"/>
        <w:ind w:firstLine="424" w:firstLineChars="201"/>
        <w:rPr>
          <w:rFonts w:hint="eastAsia" w:ascii="宋体" w:hAnsi="宋体"/>
          <w:b/>
          <w:szCs w:val="21"/>
        </w:rPr>
      </w:pPr>
      <w:r>
        <w:rPr>
          <w:rFonts w:hint="eastAsia" w:ascii="宋体" w:hAnsi="宋体"/>
          <w:b/>
          <w:szCs w:val="21"/>
        </w:rPr>
        <w:t>1、签订合同</w:t>
      </w:r>
    </w:p>
    <w:p>
      <w:pPr>
        <w:spacing w:line="360" w:lineRule="auto"/>
        <w:ind w:firstLine="422" w:firstLineChars="201"/>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、成交供应商自接到成交通知书后30天内与采购人签订合同。同时采购代理机构对合同内容进行审查，如发现与采购结果和磋商承诺内容不一致的，应予以纠正。</w:t>
      </w:r>
    </w:p>
    <w:p>
      <w:pPr>
        <w:spacing w:line="360" w:lineRule="auto"/>
        <w:ind w:firstLine="422" w:firstLineChars="201"/>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2、成交供应商拖延、拒签合同的，将被扣罚磋商保证金并取消成交供应商资格。</w:t>
      </w:r>
    </w:p>
    <w:p>
      <w:pPr>
        <w:spacing w:line="360" w:lineRule="auto"/>
        <w:ind w:firstLine="424" w:firstLineChars="201"/>
        <w:rPr>
          <w:rFonts w:ascii="宋体" w:hAnsi="宋体"/>
          <w:b/>
          <w:szCs w:val="21"/>
        </w:rPr>
      </w:pPr>
      <w:r>
        <w:rPr>
          <w:rFonts w:hint="eastAsia" w:ascii="宋体" w:hAnsi="宋体"/>
          <w:b/>
          <w:szCs w:val="21"/>
        </w:rPr>
        <w:t>2、履约保证金及质保金</w:t>
      </w:r>
    </w:p>
    <w:p>
      <w:pPr>
        <w:snapToGrid w:val="0"/>
        <w:spacing w:line="360" w:lineRule="auto"/>
        <w:ind w:firstLine="422" w:firstLineChars="201"/>
        <w:jc w:val="left"/>
        <w:outlineLvl w:val="1"/>
        <w:rPr>
          <w:rFonts w:hint="eastAsia" w:ascii="宋体" w:hAnsi="宋体"/>
          <w:szCs w:val="21"/>
        </w:rPr>
      </w:pPr>
      <w:bookmarkStart w:id="366" w:name="_Toc518327122"/>
      <w:bookmarkStart w:id="367" w:name="_Toc524612764"/>
      <w:bookmarkStart w:id="368" w:name="_Toc523583114"/>
      <w:bookmarkStart w:id="369" w:name="_Toc522549212"/>
      <w:bookmarkStart w:id="370" w:name="_Toc170792774"/>
      <w:bookmarkStart w:id="371" w:name="_Toc192313122"/>
      <w:r>
        <w:rPr>
          <w:rFonts w:hint="eastAsia" w:ascii="宋体" w:hAnsi="宋体"/>
          <w:szCs w:val="21"/>
        </w:rPr>
        <w:t>2.1、</w:t>
      </w:r>
      <w:bookmarkEnd w:id="366"/>
      <w:r>
        <w:rPr>
          <w:rFonts w:hint="eastAsia" w:ascii="宋体" w:hAnsi="宋体"/>
          <w:szCs w:val="21"/>
        </w:rPr>
        <w:t>本项目不设置履约保证金。</w:t>
      </w:r>
      <w:bookmarkEnd w:id="367"/>
      <w:bookmarkEnd w:id="368"/>
      <w:bookmarkEnd w:id="369"/>
    </w:p>
    <w:bookmarkEnd w:id="370"/>
    <w:bookmarkEnd w:id="371"/>
    <w:p>
      <w:pPr>
        <w:spacing w:line="360" w:lineRule="auto"/>
        <w:rPr>
          <w:rStyle w:val="62"/>
          <w:rFonts w:ascii="宋体" w:hAnsi="宋体"/>
          <w:sz w:val="21"/>
          <w:szCs w:val="21"/>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797" w:bottom="1440" w:left="1797" w:header="851" w:footer="992" w:gutter="0"/>
          <w:pgNumType w:start="1"/>
          <w:cols w:space="720" w:num="1"/>
          <w:docGrid w:linePitch="312" w:charSpace="0"/>
        </w:sectPr>
      </w:pPr>
      <w:bookmarkStart w:id="372" w:name="_Toc170792778"/>
      <w:bookmarkStart w:id="373" w:name="_Toc72069792"/>
      <w:bookmarkStart w:id="374" w:name="_Toc119481961"/>
      <w:bookmarkStart w:id="375" w:name="_Toc71033410"/>
    </w:p>
    <w:bookmarkEnd w:id="372"/>
    <w:bookmarkEnd w:id="373"/>
    <w:bookmarkEnd w:id="374"/>
    <w:bookmarkEnd w:id="375"/>
    <w:p>
      <w:pPr>
        <w:pStyle w:val="4"/>
        <w:rPr>
          <w:rFonts w:hint="eastAsia" w:ascii="宋体" w:hAnsi="宋体" w:eastAsia="宋体"/>
        </w:rPr>
      </w:pPr>
      <w:bookmarkStart w:id="376" w:name="_Toc524612765"/>
      <w:bookmarkStart w:id="377" w:name="_Toc296611790"/>
      <w:bookmarkStart w:id="378" w:name="_Toc192313124"/>
      <w:r>
        <w:rPr>
          <w:rFonts w:hint="eastAsia" w:ascii="宋体" w:hAnsi="宋体" w:eastAsia="宋体"/>
        </w:rPr>
        <w:t>第三章  磋商项目需求</w:t>
      </w:r>
      <w:bookmarkEnd w:id="376"/>
    </w:p>
    <w:p>
      <w:pPr>
        <w:numPr>
          <w:ilvl w:val="0"/>
          <w:numId w:val="4"/>
        </w:numPr>
        <w:autoSpaceDE w:val="0"/>
        <w:autoSpaceDN w:val="0"/>
        <w:adjustRightInd w:val="0"/>
        <w:snapToGrid w:val="0"/>
        <w:spacing w:line="360" w:lineRule="auto"/>
        <w:textAlignment w:val="bottom"/>
        <w:rPr>
          <w:rFonts w:ascii="宋体" w:hAnsi="宋体"/>
          <w:b/>
          <w:szCs w:val="21"/>
        </w:rPr>
      </w:pPr>
      <w:r>
        <w:rPr>
          <w:rFonts w:hint="eastAsia" w:ascii="宋体" w:hAnsi="宋体"/>
          <w:b/>
        </w:rPr>
        <w:t>采购清单</w:t>
      </w:r>
    </w:p>
    <w:tbl>
      <w:tblPr>
        <w:tblStyle w:val="3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96"/>
        <w:gridCol w:w="558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szCs w:val="21"/>
              </w:rPr>
            </w:pPr>
            <w:r>
              <w:rPr>
                <w:rFonts w:hint="eastAsia" w:ascii="宋体" w:hAnsi="宋体"/>
                <w:b/>
                <w:iCs/>
                <w:szCs w:val="21"/>
              </w:rPr>
              <w:t>序号</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szCs w:val="21"/>
              </w:rPr>
            </w:pPr>
            <w:r>
              <w:rPr>
                <w:rFonts w:hint="eastAsia" w:ascii="宋体" w:hAnsi="宋体"/>
                <w:b/>
                <w:szCs w:val="21"/>
              </w:rPr>
              <w:t>设备名称</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szCs w:val="21"/>
              </w:rPr>
            </w:pPr>
            <w:r>
              <w:rPr>
                <w:rFonts w:hint="eastAsia" w:ascii="宋体" w:hAnsi="宋体"/>
                <w:b/>
                <w:iCs/>
                <w:szCs w:val="21"/>
              </w:rPr>
              <w:t>参数要求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iCs/>
                <w:szCs w:val="21"/>
              </w:rPr>
            </w:pPr>
            <w:r>
              <w:rPr>
                <w:rFonts w:hint="eastAsia" w:ascii="宋体" w:hAnsi="宋体"/>
                <w:b/>
                <w:iCs/>
                <w:szCs w:val="21"/>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szCs w:val="21"/>
              </w:rPr>
            </w:pPr>
            <w:r>
              <w:rPr>
                <w:rFonts w:hint="eastAsia" w:ascii="宋体" w:hAnsi="宋体"/>
                <w:iCs/>
                <w:szCs w:val="21"/>
              </w:rPr>
              <w:t>1</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iCs/>
                <w:szCs w:val="21"/>
              </w:rPr>
            </w:pPr>
            <w:r>
              <w:rPr>
                <w:rFonts w:hint="eastAsia" w:ascii="宋体" w:hAnsi="宋体" w:cs="宋体"/>
                <w:szCs w:val="21"/>
              </w:rPr>
              <w:t>移动**终端</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公安部一所 华为CX9 Puls POMS版 6+128G</w:t>
            </w:r>
          </w:p>
          <w:p>
            <w:pPr>
              <w:rPr>
                <w:rFonts w:ascii="宋体" w:hAnsi="宋体"/>
                <w:iCs/>
                <w:szCs w:val="21"/>
              </w:rPr>
            </w:pPr>
            <w:r>
              <w:rPr>
                <w:rFonts w:hint="eastAsia" w:ascii="宋体" w:hAnsi="宋体" w:cs="宋体"/>
                <w:kern w:val="0"/>
                <w:szCs w:val="21"/>
              </w:rPr>
              <w:t>（含硬件、软件加密费等）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szCs w:val="21"/>
              </w:rPr>
            </w:pPr>
            <w:r>
              <w:rPr>
                <w:rFonts w:hint="eastAsia" w:ascii="宋体" w:hAnsi="宋体"/>
                <w:i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szCs w:val="21"/>
              </w:rPr>
            </w:pPr>
            <w:r>
              <w:rPr>
                <w:rFonts w:hint="eastAsia" w:ascii="宋体" w:hAnsi="宋体"/>
                <w:iCs/>
                <w:szCs w:val="21"/>
              </w:rPr>
              <w:t>2</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iCs/>
                <w:szCs w:val="21"/>
              </w:rPr>
            </w:pPr>
            <w:r>
              <w:rPr>
                <w:rFonts w:hint="eastAsia" w:ascii="宋体" w:hAnsi="宋体" w:cs="宋体"/>
                <w:szCs w:val="21"/>
              </w:rPr>
              <w:t>移动**终端</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华为Mate20（HMA-AL00） 6+128G</w:t>
            </w:r>
          </w:p>
          <w:p>
            <w:pPr>
              <w:rPr>
                <w:rFonts w:ascii="宋体" w:hAnsi="宋体"/>
                <w:iCs/>
                <w:szCs w:val="21"/>
              </w:rPr>
            </w:pPr>
            <w:r>
              <w:rPr>
                <w:rFonts w:hint="eastAsia" w:ascii="宋体" w:hAnsi="宋体" w:cs="宋体"/>
                <w:kern w:val="0"/>
                <w:szCs w:val="21"/>
              </w:rPr>
              <w:t>（含硬件、软件加密费等）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iCs/>
                <w:szCs w:val="21"/>
              </w:rPr>
            </w:pPr>
            <w:r>
              <w:rPr>
                <w:rFonts w:hint="eastAsia" w:ascii="宋体" w:hAnsi="宋体"/>
                <w:iCs/>
                <w:szCs w:val="21"/>
              </w:rPr>
              <w:t>80</w:t>
            </w:r>
          </w:p>
        </w:tc>
      </w:tr>
    </w:tbl>
    <w:p>
      <w:pPr>
        <w:autoSpaceDE w:val="0"/>
        <w:autoSpaceDN w:val="0"/>
        <w:adjustRightInd w:val="0"/>
        <w:snapToGrid w:val="0"/>
        <w:spacing w:line="360" w:lineRule="auto"/>
        <w:textAlignment w:val="bottom"/>
        <w:rPr>
          <w:rFonts w:hint="eastAsia" w:ascii="宋体" w:hAnsi="宋体"/>
          <w:b/>
          <w:szCs w:val="21"/>
        </w:rPr>
      </w:pPr>
    </w:p>
    <w:p>
      <w:pPr>
        <w:numPr>
          <w:ilvl w:val="0"/>
          <w:numId w:val="4"/>
        </w:numPr>
        <w:autoSpaceDE w:val="0"/>
        <w:autoSpaceDN w:val="0"/>
        <w:adjustRightInd w:val="0"/>
        <w:snapToGrid w:val="0"/>
        <w:spacing w:line="360" w:lineRule="auto"/>
        <w:textAlignment w:val="bottom"/>
        <w:rPr>
          <w:rFonts w:hint="eastAsia" w:ascii="宋体" w:hAnsi="宋体"/>
          <w:b/>
        </w:rPr>
      </w:pPr>
      <w:r>
        <w:rPr>
          <w:rFonts w:hint="eastAsia" w:ascii="宋体" w:hAnsi="宋体"/>
          <w:b/>
        </w:rPr>
        <w:t>设备及服务要求</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35"/>
        <w:gridCol w:w="1531"/>
        <w:gridCol w:w="5242"/>
        <w:gridCol w:w="70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序号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设备名称</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指定品牌</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技术要求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单位</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kern w:val="0"/>
                <w:szCs w:val="21"/>
              </w:rPr>
            </w:pPr>
            <w:r>
              <w:rPr>
                <w:rFonts w:hint="eastAsia" w:ascii="宋体" w:hAnsi="宋体" w:cs="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szCs w:val="21"/>
              </w:rPr>
              <w:t>移动**终端</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kern w:val="0"/>
                <w:szCs w:val="21"/>
              </w:rPr>
              <w:t>▲公安部一所</w:t>
            </w:r>
          </w:p>
          <w:p>
            <w:pPr>
              <w:widowControl/>
              <w:snapToGrid w:val="0"/>
              <w:rPr>
                <w:rFonts w:ascii="宋体" w:hAnsi="宋体" w:cs="宋体"/>
                <w:kern w:val="0"/>
                <w:szCs w:val="21"/>
              </w:rPr>
            </w:pPr>
            <w:r>
              <w:rPr>
                <w:rFonts w:hint="eastAsia" w:ascii="宋体" w:hAnsi="宋体" w:cs="宋体"/>
                <w:kern w:val="0"/>
                <w:szCs w:val="21"/>
              </w:rPr>
              <w:t>华为CX9 Puls POMS版6+128G（含硬件、软件加密费等）</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kern w:val="0"/>
                <w:szCs w:val="21"/>
              </w:rPr>
              <w:t>此次采购的移动**终端需符合公安部《智能手机型移动**终端 第1部分 总体技术要求》GA/T 1466.1-2018</w:t>
            </w:r>
          </w:p>
          <w:p>
            <w:pPr>
              <w:widowControl/>
              <w:snapToGrid w:val="0"/>
              <w:rPr>
                <w:rFonts w:hint="eastAsia" w:ascii="宋体" w:hAnsi="宋体" w:cs="宋体"/>
                <w:kern w:val="0"/>
                <w:szCs w:val="21"/>
              </w:rPr>
            </w:pPr>
            <w:r>
              <w:rPr>
                <w:rFonts w:hint="eastAsia" w:ascii="宋体" w:hAnsi="宋体" w:cs="宋体"/>
                <w:kern w:val="0"/>
                <w:szCs w:val="21"/>
              </w:rPr>
              <w:t>一、配置要求</w:t>
            </w:r>
          </w:p>
          <w:p>
            <w:pPr>
              <w:widowControl/>
              <w:snapToGrid w:val="0"/>
              <w:rPr>
                <w:rFonts w:hint="eastAsia" w:ascii="宋体" w:hAnsi="宋体" w:cs="宋体"/>
                <w:kern w:val="0"/>
                <w:szCs w:val="21"/>
              </w:rPr>
            </w:pPr>
            <w:r>
              <w:rPr>
                <w:rFonts w:hint="eastAsia" w:ascii="宋体" w:hAnsi="宋体" w:cs="宋体"/>
                <w:kern w:val="0"/>
                <w:szCs w:val="21"/>
              </w:rPr>
              <w:t>网络制式：4G全网通，支持双4G网络，双卡双待，双卡槽不区分主副卡；</w:t>
            </w:r>
          </w:p>
          <w:p>
            <w:pPr>
              <w:widowControl/>
              <w:snapToGrid w:val="0"/>
              <w:rPr>
                <w:rFonts w:hint="eastAsia" w:ascii="宋体" w:hAnsi="宋体" w:cs="宋体"/>
                <w:kern w:val="0"/>
                <w:szCs w:val="21"/>
              </w:rPr>
            </w:pPr>
            <w:r>
              <w:rPr>
                <w:rFonts w:hint="eastAsia" w:ascii="宋体" w:hAnsi="宋体" w:cs="宋体"/>
                <w:kern w:val="0"/>
                <w:szCs w:val="21"/>
              </w:rPr>
              <w:t>CPU芯片型号：海思Kirin 710 8核；</w:t>
            </w:r>
          </w:p>
          <w:p>
            <w:pPr>
              <w:widowControl/>
              <w:snapToGrid w:val="0"/>
              <w:rPr>
                <w:rFonts w:hint="eastAsia" w:ascii="宋体" w:hAnsi="宋体" w:cs="宋体"/>
                <w:kern w:val="0"/>
                <w:szCs w:val="21"/>
              </w:rPr>
            </w:pPr>
            <w:r>
              <w:rPr>
                <w:rFonts w:hint="eastAsia" w:ascii="宋体" w:hAnsi="宋体" w:cs="宋体"/>
                <w:kern w:val="0"/>
                <w:szCs w:val="21"/>
              </w:rPr>
              <w:t>机身：屏幕尺寸6.5英寸；</w:t>
            </w:r>
          </w:p>
          <w:p>
            <w:pPr>
              <w:widowControl/>
              <w:snapToGrid w:val="0"/>
              <w:rPr>
                <w:rFonts w:hint="eastAsia" w:ascii="宋体" w:hAnsi="宋体" w:cs="宋体"/>
                <w:kern w:val="0"/>
                <w:szCs w:val="21"/>
              </w:rPr>
            </w:pPr>
            <w:r>
              <w:rPr>
                <w:rFonts w:hint="eastAsia" w:ascii="宋体" w:hAnsi="宋体" w:cs="宋体"/>
                <w:kern w:val="0"/>
                <w:szCs w:val="21"/>
              </w:rPr>
              <w:t>屏幕分辨率：1080*2340；</w:t>
            </w:r>
            <w:r>
              <w:rPr>
                <w:rFonts w:hint="eastAsia" w:ascii="宋体" w:hAnsi="宋体" w:cs="宋体"/>
                <w:kern w:val="0"/>
                <w:szCs w:val="21"/>
              </w:rPr>
              <w:br w:type="textWrapping"/>
            </w:r>
            <w:r>
              <w:rPr>
                <w:rFonts w:hint="eastAsia" w:ascii="宋体" w:hAnsi="宋体" w:cs="宋体"/>
                <w:kern w:val="0"/>
                <w:szCs w:val="21"/>
              </w:rPr>
              <w:t>运行内存：6G；</w:t>
            </w:r>
          </w:p>
          <w:p>
            <w:pPr>
              <w:widowControl/>
              <w:snapToGrid w:val="0"/>
              <w:rPr>
                <w:rFonts w:hint="eastAsia" w:ascii="宋体" w:hAnsi="宋体" w:cs="宋体"/>
                <w:kern w:val="0"/>
                <w:szCs w:val="21"/>
              </w:rPr>
            </w:pPr>
            <w:r>
              <w:rPr>
                <w:rFonts w:hint="eastAsia" w:ascii="宋体" w:hAnsi="宋体" w:cs="宋体"/>
                <w:kern w:val="0"/>
                <w:szCs w:val="21"/>
              </w:rPr>
              <w:t>机身存储：128G；</w:t>
            </w:r>
            <w:r>
              <w:rPr>
                <w:rFonts w:hint="eastAsia" w:ascii="宋体" w:hAnsi="宋体" w:cs="宋体"/>
                <w:kern w:val="0"/>
                <w:szCs w:val="21"/>
              </w:rPr>
              <w:br w:type="textWrapping"/>
            </w:r>
            <w:r>
              <w:rPr>
                <w:rFonts w:hint="eastAsia" w:ascii="宋体" w:hAnsi="宋体" w:cs="宋体"/>
                <w:kern w:val="0"/>
                <w:szCs w:val="21"/>
              </w:rPr>
              <w:t>电池容量： 4000mAh，不可拆卸；</w:t>
            </w:r>
            <w:r>
              <w:rPr>
                <w:rFonts w:hint="eastAsia" w:ascii="宋体" w:hAnsi="宋体" w:cs="宋体"/>
                <w:kern w:val="0"/>
                <w:szCs w:val="21"/>
              </w:rPr>
              <w:br w:type="textWrapping"/>
            </w:r>
            <w:r>
              <w:rPr>
                <w:rFonts w:hint="eastAsia" w:ascii="宋体" w:hAnsi="宋体" w:cs="宋体"/>
                <w:kern w:val="0"/>
                <w:szCs w:val="21"/>
              </w:rPr>
              <w:t>摄像头：前后双摄像头，支持数码变焦，主摄像头拍摄像素前1600万，后1300万；</w:t>
            </w:r>
          </w:p>
          <w:p>
            <w:pPr>
              <w:widowControl/>
              <w:snapToGrid w:val="0"/>
              <w:rPr>
                <w:rFonts w:hint="eastAsia" w:ascii="宋体" w:hAnsi="宋体" w:cs="宋体"/>
                <w:kern w:val="0"/>
                <w:szCs w:val="21"/>
              </w:rPr>
            </w:pPr>
            <w:r>
              <w:rPr>
                <w:rFonts w:hint="eastAsia" w:ascii="宋体" w:hAnsi="宋体" w:cs="宋体"/>
                <w:kern w:val="0"/>
                <w:szCs w:val="21"/>
              </w:rPr>
              <w:t>数据传输方式：蓝牙、WLAN、USB；</w:t>
            </w:r>
          </w:p>
          <w:p>
            <w:pPr>
              <w:widowControl/>
              <w:snapToGrid w:val="0"/>
              <w:rPr>
                <w:rFonts w:hint="eastAsia" w:ascii="宋体" w:hAnsi="宋体" w:cs="宋体"/>
                <w:kern w:val="0"/>
                <w:szCs w:val="21"/>
              </w:rPr>
            </w:pPr>
            <w:r>
              <w:rPr>
                <w:rFonts w:hint="eastAsia" w:ascii="宋体" w:hAnsi="宋体" w:cs="宋体"/>
                <w:kern w:val="0"/>
                <w:szCs w:val="21"/>
              </w:rPr>
              <w:t>二、操作系统</w:t>
            </w:r>
            <w:r>
              <w:rPr>
                <w:rFonts w:hint="eastAsia" w:ascii="宋体" w:hAnsi="宋体" w:cs="宋体"/>
                <w:kern w:val="0"/>
                <w:szCs w:val="21"/>
              </w:rPr>
              <w:br w:type="textWrapping"/>
            </w:r>
            <w:r>
              <w:rPr>
                <w:rFonts w:hint="eastAsia" w:ascii="宋体" w:hAnsi="宋体" w:cs="宋体"/>
                <w:kern w:val="0"/>
                <w:szCs w:val="21"/>
              </w:rPr>
              <w:t>1.采用PMOS-H安全双操作系统架构，各系统能单独运行，逻辑上完全隔离，双系统之间任何用户数据不能共享；</w:t>
            </w:r>
          </w:p>
          <w:p>
            <w:pPr>
              <w:widowControl/>
              <w:snapToGrid w:val="0"/>
              <w:rPr>
                <w:rFonts w:hint="eastAsia" w:ascii="宋体" w:hAnsi="宋体" w:cs="宋体"/>
                <w:kern w:val="0"/>
                <w:szCs w:val="21"/>
              </w:rPr>
            </w:pPr>
            <w:r>
              <w:rPr>
                <w:rFonts w:hint="eastAsia" w:ascii="宋体" w:hAnsi="宋体" w:cs="宋体"/>
                <w:kern w:val="0"/>
                <w:szCs w:val="21"/>
              </w:rPr>
              <w:t>2.系统ROM定制，以满足采购方业务需求；</w:t>
            </w:r>
          </w:p>
          <w:p>
            <w:pPr>
              <w:widowControl/>
              <w:snapToGrid w:val="0"/>
              <w:rPr>
                <w:rFonts w:hint="eastAsia" w:ascii="宋体" w:hAnsi="宋体" w:cs="宋体"/>
                <w:kern w:val="0"/>
                <w:szCs w:val="21"/>
              </w:rPr>
            </w:pPr>
            <w:r>
              <w:rPr>
                <w:rFonts w:hint="eastAsia" w:ascii="宋体" w:hAnsi="宋体" w:cs="宋体"/>
                <w:kern w:val="0"/>
                <w:szCs w:val="21"/>
              </w:rPr>
              <w:t>双操作系统为官方授权定制的原版系统，非获取root权限刷机系统；</w:t>
            </w:r>
          </w:p>
          <w:p>
            <w:pPr>
              <w:widowControl/>
              <w:snapToGrid w:val="0"/>
              <w:rPr>
                <w:rFonts w:hint="eastAsia" w:ascii="宋体" w:hAnsi="宋体" w:cs="宋体"/>
                <w:kern w:val="0"/>
                <w:szCs w:val="21"/>
              </w:rPr>
            </w:pPr>
            <w:r>
              <w:rPr>
                <w:rFonts w:hint="eastAsia" w:ascii="宋体" w:hAnsi="宋体" w:cs="宋体"/>
                <w:kern w:val="0"/>
                <w:szCs w:val="21"/>
              </w:rPr>
              <w:t>双系统都支持语音通话功能。</w:t>
            </w:r>
            <w:r>
              <w:rPr>
                <w:rFonts w:hint="eastAsia" w:ascii="宋体" w:hAnsi="宋体" w:cs="宋体"/>
                <w:kern w:val="0"/>
                <w:szCs w:val="21"/>
              </w:rPr>
              <w:br w:type="textWrapping"/>
            </w:r>
            <w:r>
              <w:rPr>
                <w:rFonts w:hint="eastAsia" w:ascii="宋体" w:hAnsi="宋体" w:cs="宋体"/>
                <w:kern w:val="0"/>
                <w:szCs w:val="21"/>
              </w:rPr>
              <w:t>三、安全需求</w:t>
            </w:r>
            <w:r>
              <w:rPr>
                <w:rFonts w:hint="eastAsia" w:ascii="宋体" w:hAnsi="宋体" w:cs="宋体"/>
                <w:kern w:val="0"/>
                <w:szCs w:val="21"/>
              </w:rPr>
              <w:br w:type="textWrapping"/>
            </w:r>
            <w:r>
              <w:rPr>
                <w:rFonts w:hint="eastAsia" w:ascii="宋体" w:hAnsi="宋体" w:cs="宋体"/>
                <w:kern w:val="0"/>
                <w:szCs w:val="21"/>
              </w:rPr>
              <w:t>1.其中PMOS-H系统作为安全系统，采用专用APN接入方式通信；</w:t>
            </w:r>
          </w:p>
          <w:p>
            <w:pPr>
              <w:widowControl/>
              <w:snapToGrid w:val="0"/>
              <w:rPr>
                <w:rFonts w:hint="eastAsia" w:ascii="宋体" w:hAnsi="宋体" w:cs="宋体"/>
                <w:kern w:val="0"/>
                <w:szCs w:val="21"/>
              </w:rPr>
            </w:pPr>
            <w:r>
              <w:rPr>
                <w:rFonts w:hint="eastAsia" w:ascii="宋体" w:hAnsi="宋体" w:cs="宋体"/>
                <w:kern w:val="0"/>
                <w:szCs w:val="21"/>
              </w:rPr>
              <w:t>作为安全系统，BT（蓝牙）/互联网（WIFI）功能禁用，USB只保留充电功能，非安全系统配置不作限制；</w:t>
            </w:r>
          </w:p>
          <w:p>
            <w:pPr>
              <w:widowControl/>
              <w:snapToGrid w:val="0"/>
              <w:rPr>
                <w:rFonts w:hint="eastAsia" w:ascii="宋体" w:hAnsi="宋体" w:cs="宋体"/>
                <w:kern w:val="0"/>
                <w:szCs w:val="21"/>
              </w:rPr>
            </w:pPr>
            <w:r>
              <w:rPr>
                <w:rFonts w:hint="eastAsia" w:ascii="宋体" w:hAnsi="宋体" w:cs="宋体"/>
                <w:kern w:val="0"/>
                <w:szCs w:val="21"/>
              </w:rPr>
              <w:t>双系统可分别设置密码、指纹等安全锁，要求锁屏密码和系统进入密码统一；</w:t>
            </w:r>
          </w:p>
          <w:p>
            <w:pPr>
              <w:widowControl/>
              <w:snapToGrid w:val="0"/>
              <w:rPr>
                <w:rFonts w:hint="eastAsia" w:ascii="宋体" w:hAnsi="宋体" w:cs="宋体"/>
                <w:kern w:val="0"/>
                <w:szCs w:val="21"/>
              </w:rPr>
            </w:pPr>
            <w:r>
              <w:rPr>
                <w:rFonts w:hint="eastAsia" w:ascii="宋体" w:hAnsi="宋体" w:cs="宋体"/>
                <w:kern w:val="0"/>
                <w:szCs w:val="21"/>
              </w:rPr>
              <w:t>锁屏状态下，双系统可以互相切换，输入当前系统解锁密码进入。</w:t>
            </w:r>
          </w:p>
          <w:p>
            <w:pPr>
              <w:widowControl/>
              <w:snapToGrid w:val="0"/>
              <w:rPr>
                <w:rFonts w:ascii="宋体" w:hAnsi="宋体" w:cs="宋体"/>
                <w:kern w:val="0"/>
                <w:szCs w:val="21"/>
              </w:rPr>
            </w:pPr>
            <w:r>
              <w:rPr>
                <w:rFonts w:hint="eastAsia" w:ascii="宋体" w:hAnsi="宋体" w:cs="宋体"/>
                <w:szCs w:val="21"/>
              </w:rPr>
              <w:t>四、</w:t>
            </w:r>
            <w:r>
              <w:rPr>
                <w:rFonts w:hint="eastAsia" w:ascii="宋体" w:hAnsi="宋体" w:cs="宋体"/>
                <w:kern w:val="0"/>
                <w:szCs w:val="21"/>
              </w:rPr>
              <w:t>▲合同签订时提供原厂商针对本项目的授权证明材料原件。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szCs w:val="21"/>
              </w:rPr>
              <w:t>移动**终端</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Cs w:val="21"/>
              </w:rPr>
            </w:pPr>
            <w:r>
              <w:rPr>
                <w:rFonts w:hint="eastAsia" w:ascii="宋体" w:hAnsi="宋体" w:cs="宋体"/>
                <w:kern w:val="0"/>
                <w:szCs w:val="21"/>
              </w:rPr>
              <w:t>▲华为Mate20（HMA-AL00） 6+128G（含硬件、软件加密费等）</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kern w:val="0"/>
                <w:szCs w:val="21"/>
              </w:rPr>
              <w:t>此次采购的移动**终端需符合公安部《智能手机型移动**终端 第1部分 总体技术要求》GA/T 1466.1-2018</w:t>
            </w:r>
          </w:p>
          <w:p>
            <w:pPr>
              <w:widowControl/>
              <w:snapToGrid w:val="0"/>
              <w:rPr>
                <w:rFonts w:hint="eastAsia" w:ascii="宋体" w:hAnsi="宋体" w:cs="宋体"/>
                <w:kern w:val="0"/>
                <w:szCs w:val="21"/>
              </w:rPr>
            </w:pPr>
            <w:r>
              <w:rPr>
                <w:rFonts w:hint="eastAsia" w:ascii="宋体" w:hAnsi="宋体" w:cs="宋体"/>
                <w:kern w:val="0"/>
                <w:szCs w:val="21"/>
              </w:rPr>
              <w:t>一、配置要求</w:t>
            </w:r>
          </w:p>
          <w:p>
            <w:pPr>
              <w:widowControl/>
              <w:snapToGrid w:val="0"/>
              <w:rPr>
                <w:rFonts w:hint="eastAsia" w:ascii="宋体" w:hAnsi="宋体" w:cs="宋体"/>
                <w:kern w:val="0"/>
                <w:szCs w:val="21"/>
              </w:rPr>
            </w:pPr>
            <w:r>
              <w:rPr>
                <w:rFonts w:hint="eastAsia" w:ascii="宋体" w:hAnsi="宋体" w:cs="宋体"/>
                <w:kern w:val="0"/>
                <w:szCs w:val="21"/>
              </w:rPr>
              <w:t>网络制式：4G全网通，支持双4G网络，双卡双待，双卡槽不区分主副卡；</w:t>
            </w:r>
          </w:p>
          <w:p>
            <w:pPr>
              <w:widowControl/>
              <w:snapToGrid w:val="0"/>
              <w:rPr>
                <w:rFonts w:hint="eastAsia" w:ascii="宋体" w:hAnsi="宋体" w:cs="宋体"/>
                <w:kern w:val="0"/>
                <w:szCs w:val="21"/>
              </w:rPr>
            </w:pPr>
            <w:r>
              <w:rPr>
                <w:rFonts w:hint="eastAsia" w:ascii="宋体" w:hAnsi="宋体" w:cs="宋体"/>
                <w:kern w:val="0"/>
                <w:szCs w:val="21"/>
              </w:rPr>
              <w:t>CPU芯片型号：海思Kirin 980 8核；</w:t>
            </w:r>
          </w:p>
          <w:p>
            <w:pPr>
              <w:widowControl/>
              <w:snapToGrid w:val="0"/>
              <w:rPr>
                <w:rFonts w:hint="eastAsia" w:ascii="宋体" w:hAnsi="宋体" w:cs="宋体"/>
                <w:kern w:val="0"/>
                <w:szCs w:val="21"/>
              </w:rPr>
            </w:pPr>
            <w:r>
              <w:rPr>
                <w:rFonts w:hint="eastAsia" w:ascii="宋体" w:hAnsi="宋体" w:cs="宋体"/>
                <w:kern w:val="0"/>
                <w:szCs w:val="21"/>
              </w:rPr>
              <w:t>机身：屏幕尺寸6.53英寸；</w:t>
            </w:r>
          </w:p>
          <w:p>
            <w:pPr>
              <w:widowControl/>
              <w:snapToGrid w:val="0"/>
              <w:rPr>
                <w:rFonts w:hint="eastAsia" w:ascii="宋体" w:hAnsi="宋体" w:cs="宋体"/>
                <w:kern w:val="0"/>
                <w:szCs w:val="21"/>
              </w:rPr>
            </w:pPr>
            <w:r>
              <w:rPr>
                <w:rFonts w:hint="eastAsia" w:ascii="宋体" w:hAnsi="宋体" w:cs="宋体"/>
                <w:kern w:val="0"/>
                <w:szCs w:val="21"/>
              </w:rPr>
              <w:t>屏幕分辨率：2244x1080；</w:t>
            </w:r>
            <w:r>
              <w:rPr>
                <w:rFonts w:hint="eastAsia" w:ascii="宋体" w:hAnsi="宋体" w:cs="宋体"/>
                <w:kern w:val="0"/>
                <w:szCs w:val="21"/>
              </w:rPr>
              <w:br w:type="textWrapping"/>
            </w:r>
            <w:r>
              <w:rPr>
                <w:rFonts w:hint="eastAsia" w:ascii="宋体" w:hAnsi="宋体" w:cs="宋体"/>
                <w:kern w:val="0"/>
                <w:szCs w:val="21"/>
              </w:rPr>
              <w:t>运行内存：6G；</w:t>
            </w:r>
          </w:p>
          <w:p>
            <w:pPr>
              <w:widowControl/>
              <w:snapToGrid w:val="0"/>
              <w:rPr>
                <w:rFonts w:hint="eastAsia" w:ascii="宋体" w:hAnsi="宋体" w:cs="宋体"/>
                <w:kern w:val="0"/>
                <w:szCs w:val="21"/>
              </w:rPr>
            </w:pPr>
            <w:r>
              <w:rPr>
                <w:rFonts w:hint="eastAsia" w:ascii="宋体" w:hAnsi="宋体" w:cs="宋体"/>
                <w:kern w:val="0"/>
                <w:szCs w:val="21"/>
              </w:rPr>
              <w:t>机身存储：128G；</w:t>
            </w:r>
            <w:r>
              <w:rPr>
                <w:rFonts w:hint="eastAsia" w:ascii="宋体" w:hAnsi="宋体" w:cs="宋体"/>
                <w:kern w:val="0"/>
                <w:szCs w:val="21"/>
              </w:rPr>
              <w:br w:type="textWrapping"/>
            </w:r>
            <w:r>
              <w:rPr>
                <w:rFonts w:hint="eastAsia" w:ascii="宋体" w:hAnsi="宋体" w:cs="宋体"/>
                <w:kern w:val="0"/>
                <w:szCs w:val="21"/>
              </w:rPr>
              <w:t>电池容量： 4000mAh，不可拆卸；</w:t>
            </w:r>
            <w:r>
              <w:rPr>
                <w:rFonts w:hint="eastAsia" w:ascii="宋体" w:hAnsi="宋体" w:cs="宋体"/>
                <w:kern w:val="0"/>
                <w:szCs w:val="21"/>
              </w:rPr>
              <w:br w:type="textWrapping"/>
            </w:r>
            <w:r>
              <w:rPr>
                <w:rFonts w:hint="eastAsia" w:ascii="宋体" w:hAnsi="宋体" w:cs="宋体"/>
                <w:kern w:val="0"/>
                <w:szCs w:val="21"/>
              </w:rPr>
              <w:t>摄像头：后置徕卡三摄，前置单摄，支持数码变焦，,摄像头拍摄像素前2400万，后1200+1600+800万；</w:t>
            </w:r>
          </w:p>
          <w:p>
            <w:pPr>
              <w:widowControl/>
              <w:snapToGrid w:val="0"/>
              <w:rPr>
                <w:rFonts w:hint="eastAsia" w:ascii="宋体" w:hAnsi="宋体" w:cs="宋体"/>
                <w:kern w:val="0"/>
                <w:szCs w:val="21"/>
              </w:rPr>
            </w:pPr>
            <w:r>
              <w:rPr>
                <w:rFonts w:hint="eastAsia" w:ascii="宋体" w:hAnsi="宋体" w:cs="宋体"/>
                <w:kern w:val="0"/>
                <w:szCs w:val="21"/>
              </w:rPr>
              <w:t>数据传输方式：蓝牙、WLAN、OTG、NFC；</w:t>
            </w:r>
          </w:p>
          <w:p>
            <w:pPr>
              <w:widowControl/>
              <w:snapToGrid w:val="0"/>
              <w:rPr>
                <w:rFonts w:hint="eastAsia" w:ascii="宋体" w:hAnsi="宋体" w:cs="宋体"/>
                <w:kern w:val="0"/>
                <w:szCs w:val="21"/>
              </w:rPr>
            </w:pPr>
            <w:r>
              <w:rPr>
                <w:rFonts w:hint="eastAsia" w:ascii="宋体" w:hAnsi="宋体" w:cs="宋体"/>
                <w:kern w:val="0"/>
                <w:szCs w:val="21"/>
              </w:rPr>
              <w:t>二、操作系统</w:t>
            </w:r>
            <w:r>
              <w:rPr>
                <w:rFonts w:hint="eastAsia" w:ascii="宋体" w:hAnsi="宋体" w:cs="宋体"/>
                <w:kern w:val="0"/>
                <w:szCs w:val="21"/>
              </w:rPr>
              <w:br w:type="textWrapping"/>
            </w:r>
            <w:r>
              <w:rPr>
                <w:rFonts w:hint="eastAsia" w:ascii="宋体" w:hAnsi="宋体" w:cs="宋体"/>
                <w:kern w:val="0"/>
                <w:szCs w:val="21"/>
              </w:rPr>
              <w:t>1. 华为EMUI9.0.0（兼容Android9）；</w:t>
            </w:r>
          </w:p>
          <w:p>
            <w:pPr>
              <w:widowControl/>
              <w:snapToGrid w:val="0"/>
              <w:rPr>
                <w:rFonts w:hint="eastAsia" w:ascii="宋体" w:hAnsi="宋体" w:cs="宋体"/>
                <w:kern w:val="0"/>
                <w:szCs w:val="21"/>
              </w:rPr>
            </w:pPr>
            <w:r>
              <w:rPr>
                <w:rFonts w:hint="eastAsia" w:ascii="宋体" w:hAnsi="宋体" w:cs="宋体"/>
                <w:kern w:val="0"/>
                <w:szCs w:val="21"/>
              </w:rPr>
              <w:t>2. 获取root权限刷机系统，以满足采购方业务需求；</w:t>
            </w:r>
            <w:r>
              <w:rPr>
                <w:rFonts w:hint="eastAsia" w:ascii="宋体" w:hAnsi="宋体" w:cs="宋体"/>
                <w:kern w:val="0"/>
                <w:szCs w:val="21"/>
              </w:rPr>
              <w:br w:type="textWrapping"/>
            </w:r>
            <w:r>
              <w:rPr>
                <w:rFonts w:hint="eastAsia" w:ascii="宋体" w:hAnsi="宋体" w:cs="宋体"/>
                <w:kern w:val="0"/>
                <w:szCs w:val="21"/>
              </w:rPr>
              <w:t>三、安全需求</w:t>
            </w:r>
            <w:r>
              <w:rPr>
                <w:rFonts w:hint="eastAsia" w:ascii="宋体" w:hAnsi="宋体" w:cs="宋体"/>
                <w:kern w:val="0"/>
                <w:szCs w:val="21"/>
              </w:rPr>
              <w:br w:type="textWrapping"/>
            </w:r>
            <w:r>
              <w:rPr>
                <w:rFonts w:hint="eastAsia" w:ascii="宋体" w:hAnsi="宋体" w:cs="宋体"/>
                <w:kern w:val="0"/>
                <w:szCs w:val="21"/>
              </w:rPr>
              <w:t xml:space="preserve">CPU 中内置 inSE 安全芯片，支持SM2/SM3/SM4 算法，可提供移动**所需的各项密码功能，有效克服传统密码模块在使用、管理和安全等方面所存在的多种问题。 </w:t>
            </w:r>
          </w:p>
          <w:p>
            <w:pPr>
              <w:widowControl/>
              <w:snapToGrid w:val="0"/>
              <w:rPr>
                <w:rFonts w:hint="eastAsia" w:ascii="宋体" w:hAnsi="宋体" w:cs="宋体"/>
                <w:kern w:val="0"/>
                <w:szCs w:val="21"/>
              </w:rPr>
            </w:pPr>
            <w:r>
              <w:rPr>
                <w:rFonts w:hint="eastAsia" w:ascii="宋体" w:hAnsi="宋体" w:cs="宋体"/>
                <w:kern w:val="0"/>
                <w:szCs w:val="21"/>
              </w:rPr>
              <w:t xml:space="preserve">1. 与移动**终端一体，免除对密码模块实体的各项管理工作和软硬件兼容适配性问题； </w:t>
            </w:r>
          </w:p>
          <w:p>
            <w:pPr>
              <w:widowControl/>
              <w:snapToGrid w:val="0"/>
              <w:rPr>
                <w:rFonts w:hint="eastAsia" w:ascii="宋体" w:hAnsi="宋体" w:cs="宋体"/>
                <w:kern w:val="0"/>
                <w:szCs w:val="21"/>
              </w:rPr>
            </w:pPr>
            <w:r>
              <w:rPr>
                <w:rFonts w:hint="eastAsia" w:ascii="宋体" w:hAnsi="宋体" w:cs="宋体"/>
                <w:kern w:val="0"/>
                <w:szCs w:val="21"/>
              </w:rPr>
              <w:t xml:space="preserve">2. 不使用外部通信接口，不占用手机SIM卡或TF卡槽，无需手机终端预留TF卡接口； </w:t>
            </w:r>
          </w:p>
          <w:p>
            <w:pPr>
              <w:widowControl/>
              <w:snapToGrid w:val="0"/>
              <w:rPr>
                <w:rFonts w:hint="eastAsia" w:ascii="宋体" w:hAnsi="宋体" w:cs="宋体"/>
                <w:kern w:val="0"/>
                <w:szCs w:val="21"/>
              </w:rPr>
            </w:pPr>
            <w:r>
              <w:rPr>
                <w:rFonts w:hint="eastAsia" w:ascii="宋体" w:hAnsi="宋体" w:cs="宋体"/>
                <w:kern w:val="0"/>
                <w:szCs w:val="21"/>
              </w:rPr>
              <w:t xml:space="preserve">3. 生产工艺高，经过严格检验和测试，可靠性高、功耗低，性能强，工作稳定，可满足长时间高强度的移动**需要； </w:t>
            </w:r>
          </w:p>
          <w:p>
            <w:pPr>
              <w:widowControl/>
              <w:snapToGrid w:val="0"/>
              <w:rPr>
                <w:rFonts w:hint="eastAsia" w:ascii="宋体" w:hAnsi="宋体" w:cs="宋体"/>
                <w:kern w:val="0"/>
                <w:szCs w:val="21"/>
              </w:rPr>
            </w:pPr>
            <w:r>
              <w:rPr>
                <w:rFonts w:hint="eastAsia" w:ascii="宋体" w:hAnsi="宋体" w:cs="宋体"/>
                <w:kern w:val="0"/>
                <w:szCs w:val="21"/>
              </w:rPr>
              <w:t>4. 无需特殊定制终端， 因此可有效避免因定制终端导致的终端成本高、硬件稳定性差、软硬件适配不达标以及Bug无法修复和服务支持无法到位、无法持续升级等问题。</w:t>
            </w:r>
          </w:p>
          <w:p>
            <w:pPr>
              <w:widowControl/>
              <w:snapToGrid w:val="0"/>
              <w:rPr>
                <w:rFonts w:ascii="宋体" w:hAnsi="宋体" w:cs="宋体"/>
                <w:kern w:val="0"/>
                <w:szCs w:val="21"/>
              </w:rPr>
            </w:pPr>
            <w:r>
              <w:rPr>
                <w:rFonts w:hint="eastAsia" w:ascii="宋体" w:hAnsi="宋体" w:cs="宋体"/>
                <w:kern w:val="0"/>
                <w:szCs w:val="21"/>
              </w:rPr>
              <w:t>四、▲合同签订时提供原厂商针对本项目的授权证明材料原件。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szCs w:val="21"/>
              </w:rPr>
            </w:pPr>
            <w:r>
              <w:rPr>
                <w:rFonts w:hint="eastAsia" w:ascii="宋体" w:hAnsi="宋体" w:cs="宋体"/>
                <w:szCs w:val="21"/>
              </w:rPr>
              <w:t>终端安全管控及密码模块（含浙江省公安厅</w:t>
            </w:r>
            <w:r>
              <w:rPr>
                <w:rFonts w:hint="eastAsia" w:ascii="宋体" w:hAnsi="宋体"/>
                <w:bCs/>
              </w:rPr>
              <w:t>移动**终端管控软件模块，软件授权服务期限</w:t>
            </w:r>
            <w:r>
              <w:rPr>
                <w:rFonts w:hint="eastAsia" w:ascii="宋体" w:hAnsi="宋体" w:cs="宋体"/>
                <w:szCs w:val="21"/>
              </w:rPr>
              <w:t>≥</w:t>
            </w:r>
            <w:r>
              <w:rPr>
                <w:rFonts w:hint="eastAsia" w:ascii="宋体" w:hAnsi="宋体" w:cs="Arial"/>
                <w:szCs w:val="21"/>
              </w:rPr>
              <w:t>24个</w:t>
            </w:r>
            <w:r>
              <w:rPr>
                <w:rFonts w:hint="eastAsia" w:ascii="宋体" w:hAnsi="宋体" w:cs="宋体"/>
                <w:szCs w:val="21"/>
              </w:rPr>
              <w:t>月）</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kern w:val="0"/>
                <w:szCs w:val="21"/>
              </w:rPr>
            </w:pPr>
            <w:r>
              <w:rPr>
                <w:rFonts w:hint="eastAsia" w:ascii="宋体" w:hAnsi="宋体" w:cs="宋体"/>
                <w:szCs w:val="21"/>
              </w:rPr>
              <w:t>浙江省公安厅</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1.终端安全管控</w:t>
            </w:r>
          </w:p>
          <w:p>
            <w:pPr>
              <w:rPr>
                <w:rFonts w:hint="eastAsia" w:ascii="宋体" w:hAnsi="宋体"/>
                <w:bCs/>
              </w:rPr>
            </w:pPr>
            <w:r>
              <w:rPr>
                <w:rFonts w:hint="eastAsia" w:ascii="宋体" w:hAnsi="宋体" w:cs="宋体"/>
                <w:szCs w:val="21"/>
              </w:rPr>
              <w:t>1.1</w:t>
            </w:r>
            <w:r>
              <w:rPr>
                <w:rFonts w:hint="eastAsia" w:ascii="宋体" w:hAnsi="宋体"/>
                <w:bCs/>
              </w:rPr>
              <w:t>终端安全管控服务需符合公安部《智能手机型移动**终端 第2部分 安全监控组件技术规范》GA/T 1466.2-2018</w:t>
            </w:r>
          </w:p>
          <w:p>
            <w:pPr>
              <w:rPr>
                <w:rFonts w:hint="eastAsia" w:ascii="宋体" w:hAnsi="宋体" w:cs="宋体"/>
                <w:szCs w:val="21"/>
              </w:rPr>
            </w:pPr>
            <w:r>
              <w:rPr>
                <w:rFonts w:hint="eastAsia" w:ascii="宋体" w:hAnsi="宋体" w:cs="宋体"/>
                <w:szCs w:val="21"/>
              </w:rPr>
              <w:t>1.2提供终端入网使用的全生命周期管理，主要满足以下功能：</w:t>
            </w:r>
          </w:p>
          <w:p>
            <w:pPr>
              <w:rPr>
                <w:rFonts w:hint="eastAsia" w:ascii="宋体" w:hAnsi="宋体" w:cs="宋体"/>
                <w:szCs w:val="21"/>
              </w:rPr>
            </w:pPr>
            <w:r>
              <w:rPr>
                <w:rFonts w:hint="eastAsia" w:ascii="宋体" w:hAnsi="宋体" w:cs="宋体"/>
                <w:szCs w:val="21"/>
              </w:rPr>
              <w:t>1）基本管理：终端启用注册、终端激活号卡管理，终端丢失或退役注销；</w:t>
            </w:r>
          </w:p>
          <w:p>
            <w:pPr>
              <w:rPr>
                <w:rFonts w:hint="eastAsia" w:ascii="宋体" w:hAnsi="宋体" w:cs="宋体"/>
                <w:szCs w:val="21"/>
              </w:rPr>
            </w:pPr>
            <w:r>
              <w:rPr>
                <w:rFonts w:hint="eastAsia" w:ascii="宋体" w:hAnsi="宋体" w:cs="宋体"/>
                <w:szCs w:val="21"/>
              </w:rPr>
              <w:t>2）设备管理：终端各端口的开启/关闭管理，包括蓝牙、摄像头、麦克风、移动数据、WIFI、个人热点、GPS、USB。提供终端的防ROOT功能；</w:t>
            </w:r>
          </w:p>
          <w:p>
            <w:pPr>
              <w:rPr>
                <w:rFonts w:hint="eastAsia" w:ascii="宋体" w:hAnsi="宋体" w:cs="宋体"/>
                <w:szCs w:val="21"/>
              </w:rPr>
            </w:pPr>
            <w:r>
              <w:rPr>
                <w:rFonts w:hint="eastAsia" w:ascii="宋体" w:hAnsi="宋体" w:cs="宋体"/>
                <w:szCs w:val="21"/>
              </w:rPr>
              <w:t>3）网络管理：强制终端开启移动数据，工作模式强制使用工作卡移动数据。普通模式优先使用个人卡移动数据，用户可选择使用工作卡移动数据。实现公安专网APN/VPDN的自动配置和接入；</w:t>
            </w:r>
          </w:p>
          <w:p>
            <w:pPr>
              <w:rPr>
                <w:rFonts w:hint="eastAsia" w:ascii="宋体" w:hAnsi="宋体" w:cs="宋体"/>
                <w:szCs w:val="21"/>
              </w:rPr>
            </w:pPr>
            <w:r>
              <w:rPr>
                <w:rFonts w:hint="eastAsia" w:ascii="宋体" w:hAnsi="宋体" w:cs="宋体"/>
                <w:szCs w:val="21"/>
              </w:rPr>
              <w:t>4）安全管理：能够给指定的应用或全设备加载水印，终端丢失后可实现远程锁机及信息擦除管理，避免信息泄露；</w:t>
            </w:r>
          </w:p>
          <w:p>
            <w:pPr>
              <w:rPr>
                <w:rFonts w:hint="eastAsia" w:ascii="宋体" w:hAnsi="宋体" w:cs="宋体"/>
                <w:szCs w:val="21"/>
              </w:rPr>
            </w:pPr>
            <w:r>
              <w:rPr>
                <w:rFonts w:hint="eastAsia" w:ascii="宋体" w:hAnsi="宋体" w:cs="宋体"/>
                <w:szCs w:val="21"/>
              </w:rPr>
              <w:t>1.3终端安全管控服务能够为“浙警云端”移动应用门户提供应用静默安装、卸载功能。</w:t>
            </w:r>
          </w:p>
          <w:p>
            <w:pPr>
              <w:rPr>
                <w:rFonts w:hint="eastAsia" w:ascii="宋体" w:hAnsi="宋体" w:cs="宋体"/>
                <w:szCs w:val="21"/>
              </w:rPr>
            </w:pPr>
            <w:r>
              <w:rPr>
                <w:rFonts w:hint="eastAsia" w:ascii="宋体" w:hAnsi="宋体" w:cs="宋体"/>
                <w:szCs w:val="21"/>
              </w:rPr>
              <w:t>2.终端密码模块</w:t>
            </w:r>
          </w:p>
          <w:p>
            <w:pPr>
              <w:rPr>
                <w:rFonts w:hint="eastAsia" w:ascii="宋体" w:hAnsi="宋体" w:cs="宋体"/>
                <w:szCs w:val="21"/>
              </w:rPr>
            </w:pPr>
            <w:r>
              <w:rPr>
                <w:rFonts w:hint="eastAsia" w:ascii="宋体" w:hAnsi="宋体" w:cs="宋体"/>
                <w:szCs w:val="21"/>
              </w:rPr>
              <w:t>2.1在移动**终端中配套提供终端密码模块，用于移动**证书的存储和调用，终端密码模块的形式包括但不限于CPU芯片INSE、软硬件TF加密卡和贴膜加密卡，也可采用手机盾软件安全环境作为终端密码模块。</w:t>
            </w:r>
          </w:p>
          <w:p>
            <w:pPr>
              <w:rPr>
                <w:rFonts w:hint="eastAsia" w:ascii="宋体" w:hAnsi="宋体" w:cs="宋体"/>
                <w:szCs w:val="21"/>
              </w:rPr>
            </w:pPr>
            <w:r>
              <w:rPr>
                <w:rFonts w:hint="eastAsia" w:ascii="宋体" w:hAnsi="宋体" w:cs="宋体"/>
                <w:szCs w:val="21"/>
              </w:rPr>
              <w:t>2.2终端密码模块或软件手机盾必须具有国家密码管理局所颁发的密码产品型号核准证—SM2系列。</w:t>
            </w:r>
          </w:p>
          <w:p>
            <w:pPr>
              <w:rPr>
                <w:rFonts w:hint="eastAsia" w:ascii="宋体" w:hAnsi="宋体" w:cs="宋体"/>
                <w:szCs w:val="21"/>
              </w:rPr>
            </w:pPr>
            <w:r>
              <w:rPr>
                <w:rFonts w:hint="eastAsia" w:ascii="宋体" w:hAnsi="宋体" w:cs="宋体"/>
                <w:szCs w:val="21"/>
              </w:rPr>
              <w:t>2.3终端密码模块配合空中发证服务实现以下功能要求：</w:t>
            </w:r>
          </w:p>
          <w:p>
            <w:pPr>
              <w:rPr>
                <w:rFonts w:hint="eastAsia" w:ascii="宋体" w:hAnsi="宋体"/>
              </w:rPr>
            </w:pPr>
            <w:r>
              <w:rPr>
                <w:rFonts w:hint="eastAsia" w:ascii="宋体" w:hAnsi="宋体"/>
                <w:bCs/>
              </w:rPr>
              <w:t>2.3.1证书申请：</w:t>
            </w:r>
            <w:r>
              <w:rPr>
                <w:rFonts w:hint="eastAsia" w:ascii="宋体" w:hAnsi="宋体"/>
              </w:rPr>
              <w:t>可通过空中发证系统，实现证书的首次制发、证书过期或吊销后的再次申请。</w:t>
            </w:r>
          </w:p>
          <w:p>
            <w:pPr>
              <w:rPr>
                <w:rFonts w:hint="eastAsia" w:ascii="宋体" w:hAnsi="宋体"/>
              </w:rPr>
            </w:pPr>
            <w:r>
              <w:rPr>
                <w:rFonts w:hint="eastAsia" w:ascii="宋体" w:hAnsi="宋体"/>
                <w:bCs/>
              </w:rPr>
              <w:t>2.3.2证书更新：</w:t>
            </w:r>
            <w:r>
              <w:rPr>
                <w:rFonts w:hint="eastAsia" w:ascii="宋体" w:hAnsi="宋体"/>
              </w:rPr>
              <w:t>在数字证书有效期内，进行数字证书的更新。</w:t>
            </w:r>
          </w:p>
          <w:p>
            <w:pPr>
              <w:rPr>
                <w:rFonts w:hint="eastAsia" w:ascii="宋体" w:hAnsi="宋体"/>
              </w:rPr>
            </w:pPr>
            <w:r>
              <w:rPr>
                <w:rFonts w:hint="eastAsia" w:ascii="宋体" w:hAnsi="宋体"/>
                <w:bCs/>
              </w:rPr>
              <w:t>2.3.3证书吊销：</w:t>
            </w:r>
            <w:r>
              <w:rPr>
                <w:rFonts w:hint="eastAsia" w:ascii="宋体" w:hAnsi="宋体"/>
              </w:rPr>
              <w:t>通过空中发证系统可主动提交证书吊销申请，实现证书的吊销废弃。</w:t>
            </w:r>
          </w:p>
          <w:p>
            <w:pPr>
              <w:rPr>
                <w:rFonts w:hint="eastAsia" w:ascii="宋体" w:hAnsi="宋体"/>
              </w:rPr>
            </w:pPr>
            <w:r>
              <w:rPr>
                <w:rFonts w:hint="eastAsia" w:ascii="宋体" w:hAnsi="宋体"/>
                <w:bCs/>
              </w:rPr>
              <w:t>2.3.4证书挂起：</w:t>
            </w:r>
            <w:r>
              <w:rPr>
                <w:rFonts w:hint="eastAsia" w:ascii="宋体" w:hAnsi="宋体"/>
              </w:rPr>
              <w:t>通过空中发证，可执行证书挂起操作，改变证书的可用状态。</w:t>
            </w:r>
          </w:p>
          <w:p>
            <w:pPr>
              <w:widowControl/>
              <w:snapToGrid w:val="0"/>
              <w:rPr>
                <w:rFonts w:hint="eastAsia" w:ascii="宋体" w:hAnsi="宋体" w:cs="宋体"/>
                <w:szCs w:val="21"/>
              </w:rPr>
            </w:pPr>
            <w:r>
              <w:rPr>
                <w:rFonts w:hint="eastAsia" w:ascii="宋体" w:hAnsi="宋体"/>
              </w:rPr>
              <w:t>3.终端密码模块中的移动**证书</w:t>
            </w:r>
            <w:r>
              <w:rPr>
                <w:rFonts w:hint="eastAsia" w:ascii="宋体" w:hAnsi="宋体" w:cs="宋体"/>
                <w:szCs w:val="21"/>
              </w:rPr>
              <w:t>可被VPN拨号客户端调用，实现移动**应用过程中人员的身份认证和数据传输的加解密。</w:t>
            </w:r>
          </w:p>
          <w:p>
            <w:pPr>
              <w:widowControl/>
              <w:snapToGrid w:val="0"/>
              <w:rPr>
                <w:rFonts w:hint="eastAsia" w:ascii="宋体" w:hAnsi="宋体" w:cs="宋体"/>
                <w:szCs w:val="21"/>
              </w:rPr>
            </w:pPr>
            <w:r>
              <w:rPr>
                <w:rFonts w:hint="eastAsia" w:ascii="宋体" w:hAnsi="宋体" w:cs="宋体"/>
                <w:szCs w:val="21"/>
              </w:rPr>
              <w:t>4.</w:t>
            </w:r>
            <w:r>
              <w:rPr>
                <w:rFonts w:hint="eastAsia" w:ascii="宋体" w:hAnsi="宋体"/>
                <w:bCs/>
              </w:rPr>
              <w:t xml:space="preserve"> 移动**终端管控软件模块，软件授权服务期限</w:t>
            </w:r>
            <w:r>
              <w:rPr>
                <w:rFonts w:hint="eastAsia" w:ascii="宋体" w:hAnsi="宋体" w:cs="宋体"/>
                <w:szCs w:val="21"/>
              </w:rPr>
              <w:t>≥</w:t>
            </w:r>
            <w:r>
              <w:rPr>
                <w:rFonts w:hint="eastAsia" w:ascii="宋体" w:hAnsi="宋体" w:cs="Arial"/>
                <w:szCs w:val="21"/>
              </w:rPr>
              <w:t>24个</w:t>
            </w:r>
            <w:r>
              <w:rPr>
                <w:rFonts w:hint="eastAsia" w:ascii="宋体" w:hAnsi="宋体" w:cs="宋体"/>
                <w:szCs w:val="21"/>
              </w:rPr>
              <w:t>月</w:t>
            </w:r>
          </w:p>
          <w:p>
            <w:pPr>
              <w:widowControl/>
              <w:snapToGrid w:val="0"/>
              <w:rPr>
                <w:rFonts w:ascii="宋体" w:hAnsi="宋体" w:cs="宋体"/>
                <w:szCs w:val="21"/>
              </w:rPr>
            </w:pPr>
            <w:r>
              <w:rPr>
                <w:rFonts w:hint="eastAsia" w:ascii="宋体" w:hAnsi="宋体" w:cs="宋体"/>
                <w:szCs w:val="21"/>
              </w:rPr>
              <w:t>5.</w:t>
            </w:r>
            <w:r>
              <w:rPr>
                <w:rFonts w:hint="eastAsia" w:ascii="宋体" w:hAnsi="宋体" w:cs="宋体"/>
                <w:kern w:val="0"/>
                <w:szCs w:val="21"/>
              </w:rPr>
              <w:t xml:space="preserve"> 硬件加密卡或集成加密模块满足要求即可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套</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屏保险</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自手机销售一年内，因手机不慎跌落、碰撞、挤压受力，意外受重物、钝器的碰撞，意外因他方行为受损、意外因它物擦碰受损等导致外屏、内屏碎裂，给予一次免费提供手机屏幕修复服务。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cs="宋体"/>
                <w:kern w:val="0"/>
                <w:szCs w:val="21"/>
              </w:rPr>
            </w:pPr>
            <w:r>
              <w:rPr>
                <w:rFonts w:hint="eastAsia" w:cs="宋体"/>
                <w:kern w:val="0"/>
                <w:szCs w:val="21"/>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微软雅黑" w:hAnsi="微软雅黑" w:eastAsia="微软雅黑" w:cs="宋体"/>
                <w:kern w:val="0"/>
                <w:szCs w:val="21"/>
              </w:rPr>
            </w:pPr>
            <w:r>
              <w:rPr>
                <w:rFonts w:hint="eastAsia" w:ascii="微软雅黑" w:hAnsi="微软雅黑" w:eastAsia="微软雅黑"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szCs w:val="21"/>
              </w:rPr>
            </w:pPr>
            <w:r>
              <w:rPr>
                <w:rFonts w:hint="eastAsia" w:ascii="宋体" w:hAnsi="宋体" w:cs="宋体"/>
                <w:szCs w:val="21"/>
              </w:rPr>
              <w:t>质保要求</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宋体" w:hAnsi="宋体" w:cs="宋体"/>
                <w:szCs w:val="21"/>
              </w:rPr>
            </w:pPr>
            <w:r>
              <w:rPr>
                <w:rFonts w:hint="eastAsia" w:ascii="宋体" w:hAnsi="宋体" w:cs="宋体"/>
                <w:szCs w:val="21"/>
              </w:rPr>
              <w:t>正品行货，全国联保，享受三包服务，自终端设备验收之日起，整体质保期24个月。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cs="宋体"/>
                <w:kern w:val="0"/>
                <w:szCs w:val="21"/>
              </w:rPr>
            </w:pPr>
            <w:r>
              <w:rPr>
                <w:rFonts w:hint="eastAsia" w:cs="宋体"/>
                <w:kern w:val="0"/>
                <w:szCs w:val="21"/>
              </w:rPr>
              <w:t>套</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cs="宋体"/>
                <w:kern w:val="0"/>
                <w:szCs w:val="21"/>
              </w:rPr>
            </w:pPr>
            <w:r>
              <w:rPr>
                <w:rFonts w:cs="宋体"/>
                <w:kern w:val="0"/>
                <w:szCs w:val="21"/>
              </w:rPr>
              <w:t>100</w:t>
            </w:r>
          </w:p>
        </w:tc>
      </w:tr>
    </w:tbl>
    <w:p>
      <w:pPr>
        <w:autoSpaceDE w:val="0"/>
        <w:autoSpaceDN w:val="0"/>
        <w:adjustRightInd w:val="0"/>
        <w:snapToGrid w:val="0"/>
        <w:spacing w:line="400" w:lineRule="exact"/>
        <w:textAlignment w:val="bottom"/>
        <w:rPr>
          <w:rFonts w:hint="eastAsia" w:ascii="宋体" w:hAnsi="宋体"/>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bookmarkStart w:id="379" w:name="_Toc448487559"/>
      <w:r>
        <w:rPr>
          <w:rFonts w:hint="eastAsia" w:ascii="宋体" w:hAnsi="宋体" w:cs="Arial"/>
          <w:b/>
          <w:kern w:val="0"/>
          <w:szCs w:val="21"/>
        </w:rPr>
        <w:t>三、设备及服务要求</w:t>
      </w:r>
      <w:bookmarkEnd w:id="37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1、中标供应商交付的货物必须是全新的无缺陷的。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2、中标供应商应按照采购文件规定的技术要求和范围提供有关货物，并提供主要设备及产品的质量检验证明文件。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3、中标供应商提供的货物运抵现场后，由中标供应商、使用单位同时在场进行现场开箱检验，检验无误后，货物移交给使用单位。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4、中标供应商负责投标货物安装调试及试运行全过程进行技术指导工作。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5、供应商需提供货物检验、验收的方法和标准供使用单位参考。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6、中标供应商、买方有关人员同时在场进行现场测试，测试后货物的各种性能和参数应满足采购文件规定的技术要求，不合格产品买方将拒绝付款。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7、中标方需提供足够的备机、备件，保证采购方日常工作的正常运行。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8、中标供应商必须按采购方安排的培训方式提供必要的培训；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9、培训的内容包括主要货物的使用以及基本维护知识；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10、中标供应商提供的负责培训的人员应具备同类产品的使用维修经验。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bookmarkStart w:id="380" w:name="_Toc448487560"/>
      <w:r>
        <w:rPr>
          <w:rFonts w:hint="eastAsia" w:ascii="宋体" w:hAnsi="宋体" w:cs="Arial"/>
          <w:b/>
          <w:kern w:val="0"/>
          <w:szCs w:val="21"/>
        </w:rPr>
        <w:t>四、质量保证及售后服务</w:t>
      </w:r>
      <w:bookmarkEnd w:id="38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1、维修人员接到维修电话后须</w:t>
      </w:r>
      <w:r>
        <w:rPr>
          <w:rFonts w:hint="eastAsia" w:ascii="宋体" w:hAnsi="宋体" w:cs="Arial"/>
          <w:kern w:val="0"/>
          <w:szCs w:val="21"/>
          <w:u w:val="single"/>
        </w:rPr>
        <w:t>2小时</w:t>
      </w:r>
      <w:r>
        <w:rPr>
          <w:rFonts w:hint="eastAsia" w:ascii="宋体" w:hAnsi="宋体" w:cs="Arial"/>
          <w:kern w:val="0"/>
          <w:szCs w:val="21"/>
        </w:rPr>
        <w:t>内响应</w:t>
      </w:r>
      <w:r>
        <w:rPr>
          <w:rFonts w:hint="eastAsia" w:ascii="宋体" w:hAnsi="宋体" w:cs="Arial"/>
          <w:kern w:val="0"/>
          <w:szCs w:val="21"/>
          <w:u w:val="single"/>
        </w:rPr>
        <w:t>，24小时</w:t>
      </w:r>
      <w:r>
        <w:rPr>
          <w:rFonts w:hint="eastAsia" w:ascii="宋体" w:hAnsi="宋体" w:cs="Arial"/>
          <w:kern w:val="0"/>
          <w:szCs w:val="21"/>
        </w:rPr>
        <w:t>内赶到现场，投标人须在投标文件中说明维修点地址，以及接到故障通知后几小时内响应。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2、投标人须对本项目中的移动终端，按国家规定的手机产品三包政策实行质量三包。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3、在质保期内，中标供应商应负责对其提供的货物进行现场维修、损坏件更换，不收取额外费用，响应时间必须满足系统正常运行的要求。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4、在缺陷保修结束时，须由专业工程师对货物进行另一次测试，任何故障须由中标供应商自费解决并取得采购人的同意。解决后，中标供应商需一式两份报告给采购人，包括故障原因，解决措施，完成修理所费时间及恢复正常运行日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5、为保证持续运行，中标供应商应保证相关货物原厂备品备件的长期供应，并承诺免费保修期后有关备品备件优惠价格。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五、付款方式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自交货之日起试用三个月，经验收合格后支付合同总金额的100%。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六、履</w:t>
      </w:r>
      <w:r>
        <w:rPr>
          <w:rFonts w:hint="eastAsia" w:ascii="宋体" w:hAnsi="宋体" w:cs="宋体"/>
          <w:b/>
          <w:color w:val="000000"/>
          <w:szCs w:val="21"/>
        </w:rPr>
        <w:t>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七、其他要求</w:t>
      </w:r>
    </w:p>
    <w:p>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 xml:space="preserve"> 1、交货要求</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中标供应商在合同规定的地点负责组织将货物按期运抵使用单位的指定现场，提单日期为交货日期。货物的运输和保险及中国政府根据现行税法向中标供应商征收的与履行本合同有关的一切税费均由中标供应商承担；</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中标供应商应以成套形式交货；</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货物随箱应附有下列资料：</w:t>
      </w:r>
    </w:p>
    <w:p>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详细装箱单；</w:t>
      </w:r>
    </w:p>
    <w:p>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产品合格证及检验记录；</w:t>
      </w:r>
    </w:p>
    <w:p>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安装操作与维修说明书及其他技术文档。</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kern w:val="0"/>
          <w:szCs w:val="21"/>
        </w:rPr>
      </w:pPr>
      <w:r>
        <w:rPr>
          <w:rFonts w:hint="eastAsia" w:ascii="宋体" w:hAnsi="宋体" w:cs="Arial"/>
          <w:b/>
          <w:kern w:val="0"/>
          <w:szCs w:val="21"/>
        </w:rPr>
        <w:t>2、工期要求：</w:t>
      </w:r>
      <w:r>
        <w:rPr>
          <w:rFonts w:hint="eastAsia" w:ascii="宋体" w:hAnsi="宋体" w:cs="Arial"/>
          <w:kern w:val="0"/>
          <w:szCs w:val="21"/>
        </w:rPr>
        <w:t>在合同签订后，45天完成调测、开通服务、设备使用培训及设备调试发放。</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3、交货地点为买方指定地点。</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cs="Arial"/>
          <w:b/>
          <w:kern w:val="0"/>
          <w:szCs w:val="21"/>
        </w:rPr>
      </w:pPr>
      <w:r>
        <w:rPr>
          <w:rFonts w:hint="eastAsia" w:ascii="宋体" w:hAnsi="宋体" w:cs="Arial"/>
          <w:b/>
          <w:kern w:val="0"/>
          <w:szCs w:val="21"/>
        </w:rPr>
        <w:t xml:space="preserve">4、技术资料： </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卖方应向买方提供下列文件：</w:t>
      </w:r>
    </w:p>
    <w:p>
      <w:pPr>
        <w:widowControl/>
        <w:tabs>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投标书中应附所投货物的样本资料。</w:t>
      </w:r>
    </w:p>
    <w:p>
      <w:pPr>
        <w:widowControl/>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制造商针对本项目产品的售后保障授权证明。</w:t>
      </w:r>
    </w:p>
    <w:p>
      <w:pPr>
        <w:widowControl/>
        <w:tabs>
          <w:tab w:val="left" w:pos="680"/>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货物生产制造单位对该产品的加工制造及验收标准。</w:t>
      </w:r>
    </w:p>
    <w:p>
      <w:pPr>
        <w:widowControl/>
        <w:tabs>
          <w:tab w:val="left" w:pos="680"/>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检验记录，试验报告和质量合格证，以及按国家安全检测规定批准文件等出厂报告。</w:t>
      </w:r>
    </w:p>
    <w:p>
      <w:pPr>
        <w:widowControl/>
        <w:tabs>
          <w:tab w:val="left" w:pos="680"/>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材料发运和装箱的详细清单。</w:t>
      </w:r>
    </w:p>
    <w:p>
      <w:pPr>
        <w:widowControl/>
        <w:tabs>
          <w:tab w:val="left" w:pos="680"/>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管理资料文件，包括维护、保管、检修所需的说明书。</w:t>
      </w:r>
    </w:p>
    <w:p>
      <w:pPr>
        <w:widowControl/>
        <w:tabs>
          <w:tab w:val="left" w:pos="680"/>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szCs w:val="21"/>
        </w:rPr>
      </w:pPr>
      <w:r>
        <w:rPr>
          <w:rFonts w:hint="eastAsia" w:ascii="宋体" w:hAnsi="宋体" w:cs="Arial"/>
          <w:kern w:val="0"/>
          <w:szCs w:val="21"/>
        </w:rPr>
        <w:t>按有关标准、规程规定应提交的技术文件、资料。</w:t>
      </w:r>
    </w:p>
    <w:p>
      <w:pPr>
        <w:pStyle w:val="4"/>
        <w:ind w:firstLine="422"/>
        <w:rPr>
          <w:rFonts w:hint="eastAsia" w:ascii="宋体" w:hAnsi="宋体"/>
          <w:sz w:val="21"/>
          <w:szCs w:val="21"/>
          <w:lang w:eastAsia="zh-CN"/>
        </w:rPr>
      </w:pPr>
      <w:bookmarkStart w:id="381" w:name="_Toc524612766"/>
      <w:r>
        <w:rPr>
          <w:rFonts w:ascii="宋体" w:hAnsi="宋体"/>
          <w:sz w:val="21"/>
          <w:szCs w:val="21"/>
        </w:rPr>
        <w:br w:type="page"/>
      </w:r>
      <w:r>
        <w:rPr>
          <w:rFonts w:hint="eastAsia" w:ascii="宋体" w:hAnsi="宋体" w:eastAsia="宋体"/>
        </w:rPr>
        <w:t>第四章  嘉兴市政府采购合同</w:t>
      </w:r>
      <w:bookmarkEnd w:id="38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r>
        <w:rPr>
          <w:rFonts w:hint="eastAsia" w:ascii="宋体" w:hAnsi="宋体"/>
          <w:b/>
          <w:szCs w:val="21"/>
        </w:rPr>
        <w:t>一、通用必备条款部分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招标编号：</w:t>
      </w:r>
      <w:r>
        <w:rPr>
          <w:rFonts w:hint="eastAsia" w:ascii="宋体" w:hAnsi="宋体" w:cs="宋体"/>
          <w:kern w:val="0"/>
          <w:szCs w:val="21"/>
        </w:rPr>
        <w:t>浙江禾城-2019-020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合同编号：</w:t>
      </w:r>
      <w:r>
        <w:rPr>
          <w:rFonts w:hint="eastAsia" w:ascii="宋体" w:hAnsi="宋体" w:cs="宋体"/>
          <w:kern w:val="0"/>
          <w:szCs w:val="21"/>
        </w:rPr>
        <w:t>浙江禾城-2019-020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政府采购计划（预算）确认书号：</w:t>
      </w:r>
      <w:r>
        <w:rPr>
          <w:rFonts w:ascii="宋体" w:hAnsi="宋体"/>
          <w:szCs w:val="21"/>
        </w:rPr>
        <w:t>JM-00006346-1</w:t>
      </w:r>
      <w:r>
        <w:rPr>
          <w:rFonts w:hint="eastAsia" w:ascii="宋体" w:hAnsi="宋体"/>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采购人（以下称甲方）：</w:t>
      </w:r>
      <w:r>
        <w:rPr>
          <w:rFonts w:hint="eastAsia" w:ascii="宋体" w:hAnsi="宋体" w:cs="宋体"/>
          <w:kern w:val="0"/>
          <w:szCs w:val="21"/>
        </w:rPr>
        <w:t>嘉兴市公安局经济技术开发区(国际商务区)分局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采购代理机构：浙江禾城工程管理有限公司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采购方式：竞争性磋商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根据《中华人民共和国政府采购法》、《中华人民共和国合同法》等法律法规的规定，甲乙双方按照</w:t>
      </w:r>
      <w:r>
        <w:rPr>
          <w:rFonts w:hint="eastAsia"/>
          <w:u w:val="single"/>
        </w:rPr>
        <w:t>嘉兴市公安局经济技术开发区(国际商务区)分局移动**通购买项目</w:t>
      </w:r>
      <w:r>
        <w:rPr>
          <w:rFonts w:hint="eastAsia" w:ascii="宋体" w:hAnsi="宋体" w:cs="Arial"/>
          <w:kern w:val="0"/>
          <w:szCs w:val="21"/>
        </w:rPr>
        <w:t>采购结果签订本合同。</w:t>
      </w:r>
    </w:p>
    <w:bookmarkEnd w:id="377"/>
    <w:bookmarkEnd w:id="378"/>
    <w:p>
      <w:pPr>
        <w:tabs>
          <w:tab w:val="left" w:pos="916"/>
          <w:tab w:val="left" w:pos="1832"/>
          <w:tab w:val="left" w:pos="2748"/>
        </w:tabs>
        <w:spacing w:line="360" w:lineRule="auto"/>
        <w:ind w:firstLine="422" w:firstLineChars="200"/>
        <w:jc w:val="left"/>
        <w:rPr>
          <w:rFonts w:hint="eastAsia" w:ascii="宋体" w:hAnsi="宋体"/>
          <w:b/>
          <w:szCs w:val="21"/>
        </w:rPr>
      </w:pPr>
      <w:bookmarkStart w:id="382" w:name="_Toc296611791"/>
      <w:bookmarkStart w:id="383" w:name="_Toc192313125"/>
      <w:bookmarkStart w:id="384" w:name="_Toc170792802"/>
      <w:r>
        <w:rPr>
          <w:rFonts w:hint="eastAsia" w:ascii="宋体" w:hAnsi="宋体"/>
          <w:b/>
          <w:szCs w:val="21"/>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（2）采购文件与采购响应文件；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第二条 合同标的与相关属性</w:t>
      </w:r>
    </w:p>
    <w:p>
      <w:pPr>
        <w:snapToGrid w:val="0"/>
        <w:spacing w:line="360" w:lineRule="auto"/>
        <w:ind w:firstLine="525" w:firstLineChars="250"/>
        <w:rPr>
          <w:rFonts w:hint="eastAsia" w:ascii="宋体" w:hAnsi="宋体"/>
          <w:szCs w:val="21"/>
        </w:rPr>
      </w:pPr>
      <w:r>
        <w:rPr>
          <w:rFonts w:hint="eastAsia" w:ascii="宋体" w:hAnsi="宋体"/>
          <w:szCs w:val="21"/>
        </w:rPr>
        <w:t>1、本次采购的是</w:t>
      </w:r>
      <w:r>
        <w:rPr>
          <w:rFonts w:hint="eastAsia" w:ascii="宋体" w:hAnsi="宋体" w:cs="Tahoma"/>
          <w:bCs/>
          <w:kern w:val="36"/>
          <w:u w:val="single"/>
        </w:rPr>
        <w:t xml:space="preserve">                                   </w:t>
      </w:r>
      <w:r>
        <w:rPr>
          <w:rFonts w:hint="eastAsia" w:ascii="宋体" w:hAnsi="宋体"/>
          <w:szCs w:val="21"/>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 xml:space="preserve">1、本合同项下总价款为（大写） </w:t>
      </w:r>
      <w:r>
        <w:rPr>
          <w:rFonts w:hint="eastAsia" w:ascii="宋体" w:hAnsi="宋体"/>
          <w:szCs w:val="21"/>
          <w:u w:val="single"/>
        </w:rPr>
        <w:t xml:space="preserve">             </w:t>
      </w:r>
      <w:r>
        <w:rPr>
          <w:rFonts w:hint="eastAsia" w:ascii="宋体" w:hAnsi="宋体"/>
          <w:szCs w:val="21"/>
        </w:rPr>
        <w:t>人民币。</w:t>
      </w:r>
    </w:p>
    <w:tbl>
      <w:tblPr>
        <w:tblStyle w:val="31"/>
        <w:tblW w:w="7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80"/>
        <w:gridCol w:w="3464"/>
        <w:gridCol w:w="136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63" w:type="dxa"/>
            <w:noWrap w:val="0"/>
            <w:vAlign w:val="center"/>
          </w:tcPr>
          <w:p>
            <w:pPr>
              <w:jc w:val="center"/>
              <w:rPr>
                <w:rFonts w:ascii="宋体" w:hAnsi="宋体"/>
                <w:iCs/>
                <w:szCs w:val="21"/>
              </w:rPr>
            </w:pPr>
            <w:r>
              <w:rPr>
                <w:rFonts w:hint="eastAsia" w:ascii="宋体" w:hAnsi="宋体"/>
                <w:iCs/>
                <w:szCs w:val="21"/>
              </w:rPr>
              <w:t>序号</w:t>
            </w:r>
          </w:p>
        </w:tc>
        <w:tc>
          <w:tcPr>
            <w:tcW w:w="1080" w:type="dxa"/>
            <w:noWrap w:val="0"/>
            <w:vAlign w:val="center"/>
          </w:tcPr>
          <w:p>
            <w:pPr>
              <w:rPr>
                <w:rFonts w:ascii="宋体" w:hAnsi="宋体"/>
                <w:iCs/>
                <w:szCs w:val="21"/>
              </w:rPr>
            </w:pPr>
            <w:r>
              <w:rPr>
                <w:rFonts w:hint="eastAsia" w:ascii="宋体" w:hAnsi="宋体"/>
                <w:szCs w:val="21"/>
              </w:rPr>
              <w:t>设备名称</w:t>
            </w:r>
          </w:p>
        </w:tc>
        <w:tc>
          <w:tcPr>
            <w:tcW w:w="3464" w:type="dxa"/>
            <w:noWrap w:val="0"/>
            <w:vAlign w:val="center"/>
          </w:tcPr>
          <w:p>
            <w:pPr>
              <w:jc w:val="center"/>
              <w:rPr>
                <w:rFonts w:ascii="宋体" w:hAnsi="宋体"/>
                <w:iCs/>
                <w:szCs w:val="21"/>
              </w:rPr>
            </w:pPr>
            <w:r>
              <w:rPr>
                <w:rFonts w:hint="eastAsia" w:ascii="宋体" w:hAnsi="宋体"/>
                <w:iCs/>
                <w:szCs w:val="21"/>
              </w:rPr>
              <w:t>参数要求</w:t>
            </w:r>
          </w:p>
        </w:tc>
        <w:tc>
          <w:tcPr>
            <w:tcW w:w="1365" w:type="dxa"/>
            <w:noWrap w:val="0"/>
            <w:vAlign w:val="center"/>
          </w:tcPr>
          <w:p>
            <w:pPr>
              <w:jc w:val="center"/>
              <w:rPr>
                <w:rFonts w:ascii="宋体" w:hAnsi="宋体"/>
                <w:iCs/>
                <w:szCs w:val="21"/>
              </w:rPr>
            </w:pPr>
            <w:r>
              <w:rPr>
                <w:rFonts w:hint="eastAsia" w:ascii="宋体" w:hAnsi="宋体"/>
                <w:iCs/>
                <w:szCs w:val="21"/>
              </w:rPr>
              <w:t>数量（套）</w:t>
            </w:r>
          </w:p>
        </w:tc>
        <w:tc>
          <w:tcPr>
            <w:tcW w:w="1263" w:type="dxa"/>
            <w:noWrap w:val="0"/>
            <w:vAlign w:val="center"/>
          </w:tcPr>
          <w:p>
            <w:pPr>
              <w:jc w:val="center"/>
              <w:rPr>
                <w:rFonts w:hint="eastAsia" w:ascii="宋体" w:hAnsi="宋体"/>
                <w:szCs w:val="21"/>
              </w:rPr>
            </w:pPr>
            <w:r>
              <w:rPr>
                <w:rFonts w:hint="eastAsia" w:ascii="宋体" w:hAnsi="宋体"/>
                <w:szCs w:val="21"/>
              </w:rPr>
              <w:t>单价</w:t>
            </w:r>
          </w:p>
          <w:p>
            <w:pPr>
              <w:jc w:val="center"/>
              <w:rPr>
                <w:rFonts w:ascii="宋体" w:hAnsi="宋体"/>
                <w:iCs/>
                <w:szCs w:val="21"/>
              </w:rPr>
            </w:pPr>
            <w:r>
              <w:rPr>
                <w:rFonts w:hint="eastAsia" w:ascii="宋体" w:hAnsi="宋体"/>
                <w:szCs w:val="21"/>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63" w:type="dxa"/>
            <w:noWrap w:val="0"/>
            <w:vAlign w:val="center"/>
          </w:tcPr>
          <w:p>
            <w:pPr>
              <w:jc w:val="center"/>
              <w:rPr>
                <w:rFonts w:ascii="宋体" w:hAnsi="宋体"/>
                <w:iCs/>
                <w:szCs w:val="21"/>
              </w:rPr>
            </w:pPr>
            <w:r>
              <w:rPr>
                <w:rFonts w:ascii="宋体" w:hAnsi="宋体"/>
                <w:iCs/>
                <w:szCs w:val="21"/>
              </w:rPr>
              <w:t>1</w:t>
            </w:r>
          </w:p>
        </w:tc>
        <w:tc>
          <w:tcPr>
            <w:tcW w:w="1080" w:type="dxa"/>
            <w:noWrap w:val="0"/>
            <w:vAlign w:val="center"/>
          </w:tcPr>
          <w:p>
            <w:pPr>
              <w:rPr>
                <w:rFonts w:ascii="宋体" w:hAnsi="宋体"/>
                <w:iCs/>
                <w:szCs w:val="21"/>
              </w:rPr>
            </w:pPr>
            <w:r>
              <w:rPr>
                <w:rFonts w:hint="eastAsia" w:ascii="宋体" w:hAnsi="宋体" w:cs="宋体"/>
                <w:szCs w:val="21"/>
              </w:rPr>
              <w:t>移动**终端</w:t>
            </w:r>
          </w:p>
        </w:tc>
        <w:tc>
          <w:tcPr>
            <w:tcW w:w="3464" w:type="dxa"/>
            <w:noWrap w:val="0"/>
            <w:vAlign w:val="center"/>
          </w:tcPr>
          <w:p>
            <w:pPr>
              <w:rPr>
                <w:rFonts w:ascii="宋体" w:hAnsi="宋体"/>
                <w:iCs/>
                <w:szCs w:val="21"/>
              </w:rPr>
            </w:pPr>
            <w:r>
              <w:rPr>
                <w:rFonts w:hint="eastAsia" w:ascii="宋体" w:hAnsi="宋体" w:cs="宋体"/>
                <w:kern w:val="0"/>
                <w:szCs w:val="21"/>
              </w:rPr>
              <w:t>公安部一所 华为CX9 Puls POMS版 6+128G（含硬件、软件加密费等）</w:t>
            </w:r>
          </w:p>
        </w:tc>
        <w:tc>
          <w:tcPr>
            <w:tcW w:w="1365" w:type="dxa"/>
            <w:noWrap w:val="0"/>
            <w:vAlign w:val="center"/>
          </w:tcPr>
          <w:p>
            <w:pPr>
              <w:jc w:val="center"/>
              <w:rPr>
                <w:rFonts w:hint="eastAsia" w:ascii="宋体" w:hAnsi="宋体"/>
                <w:iCs/>
                <w:szCs w:val="21"/>
              </w:rPr>
            </w:pPr>
            <w:r>
              <w:rPr>
                <w:rFonts w:hint="eastAsia" w:ascii="宋体" w:hAnsi="宋体"/>
                <w:iCs/>
                <w:szCs w:val="21"/>
              </w:rPr>
              <w:t>20</w:t>
            </w:r>
          </w:p>
        </w:tc>
        <w:tc>
          <w:tcPr>
            <w:tcW w:w="1263" w:type="dxa"/>
            <w:noWrap w:val="0"/>
            <w:vAlign w:val="center"/>
          </w:tcPr>
          <w:p>
            <w:pPr>
              <w:jc w:val="center"/>
              <w:rPr>
                <w:rFonts w:hint="eastAsia"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63" w:type="dxa"/>
            <w:noWrap w:val="0"/>
            <w:vAlign w:val="center"/>
          </w:tcPr>
          <w:p>
            <w:pPr>
              <w:jc w:val="center"/>
              <w:rPr>
                <w:rFonts w:ascii="宋体" w:hAnsi="宋体"/>
                <w:iCs/>
                <w:szCs w:val="21"/>
              </w:rPr>
            </w:pPr>
            <w:r>
              <w:rPr>
                <w:rFonts w:hint="eastAsia" w:ascii="宋体" w:hAnsi="宋体"/>
                <w:iCs/>
                <w:szCs w:val="21"/>
              </w:rPr>
              <w:t>2</w:t>
            </w:r>
          </w:p>
        </w:tc>
        <w:tc>
          <w:tcPr>
            <w:tcW w:w="1080" w:type="dxa"/>
            <w:noWrap w:val="0"/>
            <w:vAlign w:val="center"/>
          </w:tcPr>
          <w:p>
            <w:pPr>
              <w:rPr>
                <w:rFonts w:ascii="宋体" w:hAnsi="宋体"/>
                <w:iCs/>
                <w:szCs w:val="21"/>
              </w:rPr>
            </w:pPr>
            <w:r>
              <w:rPr>
                <w:rFonts w:hint="eastAsia" w:ascii="宋体" w:hAnsi="宋体" w:cs="宋体"/>
                <w:szCs w:val="21"/>
              </w:rPr>
              <w:t>移动**终端</w:t>
            </w:r>
          </w:p>
        </w:tc>
        <w:tc>
          <w:tcPr>
            <w:tcW w:w="3464" w:type="dxa"/>
            <w:noWrap w:val="0"/>
            <w:vAlign w:val="center"/>
          </w:tcPr>
          <w:p>
            <w:pPr>
              <w:rPr>
                <w:rFonts w:ascii="宋体" w:hAnsi="宋体"/>
                <w:iCs/>
                <w:szCs w:val="21"/>
              </w:rPr>
            </w:pPr>
            <w:r>
              <w:rPr>
                <w:rFonts w:hint="eastAsia" w:ascii="宋体" w:hAnsi="宋体" w:cs="宋体"/>
                <w:kern w:val="0"/>
                <w:szCs w:val="21"/>
              </w:rPr>
              <w:t>华为Mate20（HMA-AL00） 6+128G（含硬件、软件加密费等）</w:t>
            </w:r>
          </w:p>
        </w:tc>
        <w:tc>
          <w:tcPr>
            <w:tcW w:w="1365" w:type="dxa"/>
            <w:noWrap w:val="0"/>
            <w:vAlign w:val="center"/>
          </w:tcPr>
          <w:p>
            <w:pPr>
              <w:jc w:val="center"/>
              <w:rPr>
                <w:rFonts w:ascii="宋体" w:hAnsi="宋体"/>
                <w:iCs/>
                <w:szCs w:val="21"/>
              </w:rPr>
            </w:pPr>
            <w:r>
              <w:rPr>
                <w:rFonts w:hint="eastAsia" w:ascii="宋体" w:hAnsi="宋体"/>
                <w:iCs/>
                <w:szCs w:val="21"/>
              </w:rPr>
              <w:t>80</w:t>
            </w:r>
          </w:p>
        </w:tc>
        <w:tc>
          <w:tcPr>
            <w:tcW w:w="1263" w:type="dxa"/>
            <w:noWrap w:val="0"/>
            <w:vAlign w:val="center"/>
          </w:tcPr>
          <w:p>
            <w:pPr>
              <w:jc w:val="center"/>
              <w:rPr>
                <w:rFonts w:hint="eastAsia"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3" w:hRule="atLeast"/>
          <w:jc w:val="center"/>
        </w:trPr>
        <w:tc>
          <w:tcPr>
            <w:tcW w:w="7835" w:type="dxa"/>
            <w:gridSpan w:val="5"/>
            <w:noWrap w:val="0"/>
            <w:vAlign w:val="center"/>
          </w:tcPr>
          <w:p>
            <w:pPr>
              <w:jc w:val="center"/>
              <w:rPr>
                <w:rFonts w:hint="eastAsia" w:ascii="宋体" w:hAnsi="宋体"/>
                <w:iCs/>
                <w:szCs w:val="21"/>
              </w:rPr>
            </w:pPr>
            <w:r>
              <w:rPr>
                <w:rFonts w:hint="eastAsia" w:ascii="宋体" w:hAnsi="宋体"/>
                <w:iCs/>
                <w:szCs w:val="21"/>
              </w:rPr>
              <w:t>合计：        元</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3、本合同付款方式为以下第</w:t>
      </w:r>
      <w:r>
        <w:rPr>
          <w:rFonts w:hint="eastAsia" w:ascii="宋体" w:hAnsi="宋体"/>
          <w:szCs w:val="21"/>
          <w:u w:val="single"/>
        </w:rPr>
        <w:t xml:space="preserve">           </w:t>
      </w:r>
      <w:r>
        <w:rPr>
          <w:rFonts w:hint="eastAsia" w:ascii="宋体" w:hAnsi="宋体"/>
          <w:szCs w:val="21"/>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（1）本合同项下的采购资金系甲方自行支付，付款程序为</w:t>
      </w:r>
      <w:r>
        <w:rPr>
          <w:rFonts w:hint="eastAsia" w:ascii="宋体" w:hAnsi="宋体"/>
          <w:szCs w:val="21"/>
          <w:u w:val="single"/>
        </w:rPr>
        <w:t xml:space="preserve">                    </w:t>
      </w:r>
      <w:r>
        <w:rPr>
          <w:rFonts w:hint="eastAsia" w:ascii="宋体" w:hAnsi="宋体"/>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（2）本合同项下的采购资金须财政直接支付，付款程序为</w:t>
      </w:r>
      <w:r>
        <w:rPr>
          <w:rFonts w:hint="eastAsia" w:ascii="宋体" w:hAnsi="宋体"/>
          <w:szCs w:val="21"/>
          <w:u w:val="single"/>
        </w:rPr>
        <w:t xml:space="preserve">                    </w:t>
      </w:r>
      <w:r>
        <w:rPr>
          <w:rFonts w:hint="eastAsia" w:ascii="宋体" w:hAnsi="宋体"/>
          <w:szCs w:val="21"/>
        </w:rPr>
        <w:t>；</w:t>
      </w:r>
    </w:p>
    <w:p>
      <w:pPr>
        <w:spacing w:line="360" w:lineRule="auto"/>
        <w:rPr>
          <w:rFonts w:hint="eastAsia"/>
        </w:rPr>
      </w:pPr>
      <w:r>
        <w:rPr>
          <w:rFonts w:hint="eastAsia" w:ascii="宋体" w:hAnsi="宋体"/>
          <w:szCs w:val="21"/>
        </w:rPr>
        <w:t>（3）其他方式：</w:t>
      </w:r>
      <w:r>
        <w:rPr>
          <w:rFonts w:hint="eastAsia" w:ascii="宋体" w:hAnsi="宋体"/>
          <w:szCs w:val="21"/>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4、本合同项下的采购资金付款进度按招投标文件规定，未规定时按以下第</w:t>
      </w:r>
      <w:r>
        <w:rPr>
          <w:rFonts w:hint="eastAsia" w:ascii="宋体" w:hAnsi="宋体"/>
          <w:szCs w:val="21"/>
          <w:u w:val="single"/>
        </w:rPr>
        <w:t xml:space="preserve">     </w:t>
      </w:r>
      <w:r>
        <w:rPr>
          <w:rFonts w:hint="eastAsia" w:ascii="宋体" w:hAnsi="宋体"/>
          <w:szCs w:val="21"/>
        </w:rPr>
        <w:t>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（1）一次性付款：乙方合同履行达到</w:t>
      </w:r>
      <w:r>
        <w:rPr>
          <w:rFonts w:hint="eastAsia" w:ascii="宋体" w:hAnsi="宋体"/>
          <w:szCs w:val="21"/>
          <w:u w:val="single"/>
        </w:rPr>
        <w:t xml:space="preserve">         （</w:t>
      </w:r>
      <w:r>
        <w:rPr>
          <w:rFonts w:hint="eastAsia" w:ascii="宋体" w:hAnsi="宋体"/>
          <w:szCs w:val="21"/>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（2）分期付款</w:t>
      </w:r>
      <w:r>
        <w:rPr>
          <w:rFonts w:hint="eastAsia" w:ascii="宋体" w:hAnsi="宋体"/>
          <w:szCs w:val="21"/>
          <w:u w:val="single"/>
        </w:rPr>
        <w:t xml:space="preserve">         </w:t>
      </w:r>
      <w:r>
        <w:rPr>
          <w:rFonts w:hint="eastAsia" w:ascii="宋体" w:hAnsi="宋体"/>
          <w:szCs w:val="21"/>
        </w:rPr>
        <w:t>时支付</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时支付</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时支付</w:t>
      </w:r>
      <w:r>
        <w:rPr>
          <w:rFonts w:hint="eastAsia" w:ascii="宋体" w:hAnsi="宋体"/>
          <w:szCs w:val="21"/>
          <w:u w:val="single"/>
        </w:rPr>
        <w:t xml:space="preserve">         </w:t>
      </w:r>
      <w:r>
        <w:rPr>
          <w:rFonts w:hint="eastAsia" w:ascii="宋体" w:hAnsi="宋体"/>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szCs w:val="21"/>
        </w:rPr>
      </w:pPr>
      <w:r>
        <w:rPr>
          <w:rFonts w:hint="eastAsia" w:ascii="宋体" w:hAnsi="宋体"/>
          <w:b/>
          <w:szCs w:val="21"/>
        </w:rPr>
        <w:t>第四条</w:t>
      </w:r>
      <w:r>
        <w:rPr>
          <w:rFonts w:hint="eastAsia" w:ascii="宋体" w:hAnsi="宋体" w:cs="宋体"/>
          <w:b/>
          <w:szCs w:val="21"/>
        </w:rPr>
        <w:t>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cs="宋体"/>
          <w:szCs w:val="21"/>
        </w:rPr>
        <w:t>按以下第</w:t>
      </w:r>
      <w:r>
        <w:rPr>
          <w:rFonts w:hint="eastAsia" w:ascii="宋体" w:hAnsi="宋体" w:cs="宋体"/>
          <w:szCs w:val="21"/>
          <w:u w:val="single"/>
        </w:rPr>
        <w:t xml:space="preserve">   1   </w:t>
      </w:r>
      <w:r>
        <w:rPr>
          <w:rFonts w:hint="eastAsia" w:ascii="宋体" w:hAnsi="宋体" w:cs="宋体"/>
          <w:szCs w:val="21"/>
        </w:rPr>
        <w:t>项处理：</w:t>
      </w:r>
    </w:p>
    <w:p>
      <w:pPr>
        <w:numPr>
          <w:ilvl w:val="0"/>
          <w:numId w:val="5"/>
        </w:numPr>
        <w:spacing w:line="360" w:lineRule="auto"/>
        <w:ind w:firstLine="210" w:firstLineChars="100"/>
        <w:rPr>
          <w:rFonts w:hint="eastAsia" w:ascii="宋体" w:hAnsi="宋体" w:cs="宋体"/>
          <w:szCs w:val="21"/>
        </w:rPr>
      </w:pPr>
      <w:r>
        <w:rPr>
          <w:rFonts w:hint="eastAsia" w:ascii="宋体" w:hAnsi="宋体" w:cs="宋体"/>
          <w:szCs w:val="21"/>
        </w:rPr>
        <w:t>本项目设置履约保证金，乙方应于</w:t>
      </w:r>
      <w:r>
        <w:rPr>
          <w:rFonts w:hint="eastAsia" w:ascii="宋体" w:hAnsi="宋体" w:cs="宋体"/>
          <w:szCs w:val="21"/>
          <w:u w:val="single"/>
        </w:rPr>
        <w:t xml:space="preserve">         </w:t>
      </w:r>
      <w:r>
        <w:rPr>
          <w:rFonts w:hint="eastAsia" w:ascii="宋体" w:hAnsi="宋体" w:cs="宋体"/>
          <w:szCs w:val="21"/>
        </w:rPr>
        <w:t>（时间）向甲方提交履约保证金</w:t>
      </w:r>
      <w:r>
        <w:rPr>
          <w:rFonts w:hint="eastAsia" w:ascii="宋体" w:hAnsi="宋体" w:cs="宋体"/>
          <w:szCs w:val="21"/>
          <w:u w:val="single"/>
        </w:rPr>
        <w:t xml:space="preserve">          </w:t>
      </w:r>
      <w:r>
        <w:rPr>
          <w:rFonts w:hint="eastAsia" w:ascii="宋体" w:hAnsi="宋体" w:cs="宋体"/>
          <w:szCs w:val="21"/>
        </w:rPr>
        <w:t>元（不得高于本合同金额的10%）。履约保证金在</w:t>
      </w:r>
      <w:r>
        <w:rPr>
          <w:rFonts w:hint="eastAsia" w:ascii="宋体" w:hAnsi="宋体" w:cs="宋体"/>
          <w:szCs w:val="21"/>
          <w:u w:val="single"/>
        </w:rPr>
        <w:t xml:space="preserve">         </w:t>
      </w:r>
      <w:r>
        <w:rPr>
          <w:rFonts w:hint="eastAsia" w:ascii="宋体" w:hAnsi="宋体" w:cs="宋体"/>
          <w:szCs w:val="21"/>
        </w:rPr>
        <w:t>（时间）退还乙方。</w:t>
      </w:r>
    </w:p>
    <w:p>
      <w:pPr>
        <w:spacing w:line="360" w:lineRule="auto"/>
        <w:rPr>
          <w:rFonts w:hint="eastAsia" w:ascii="宋体" w:hAnsi="宋体" w:cs="宋体"/>
          <w:szCs w:val="21"/>
        </w:rPr>
      </w:pPr>
      <w:r>
        <w:rPr>
          <w:rFonts w:hint="eastAsia" w:ascii="宋体" w:hAnsi="宋体" w:cs="宋体"/>
          <w:szCs w:val="21"/>
        </w:rPr>
        <w:t xml:space="preserve">  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第五条合同的变更和终止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1、因履行本合同引起的或与本合同有关的争议，甲、乙双方应首先通过友好协商解决，如果协商不能解决争议，则采取以下第</w:t>
      </w:r>
      <w:r>
        <w:rPr>
          <w:rFonts w:hint="eastAsia" w:ascii="宋体" w:hAnsi="宋体"/>
          <w:szCs w:val="21"/>
          <w:u w:val="single"/>
        </w:rPr>
        <w:t xml:space="preserve">  2  </w:t>
      </w:r>
      <w:r>
        <w:rPr>
          <w:rFonts w:hint="eastAsia" w:ascii="宋体" w:hAnsi="宋体"/>
          <w:szCs w:val="21"/>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（2）向</w:t>
      </w:r>
      <w:r>
        <w:rPr>
          <w:rFonts w:hint="eastAsia" w:ascii="宋体" w:hAnsi="宋体"/>
          <w:szCs w:val="21"/>
          <w:u w:val="single"/>
        </w:rPr>
        <w:t xml:space="preserve">  嘉兴  </w:t>
      </w:r>
      <w:r>
        <w:rPr>
          <w:rFonts w:hint="eastAsia" w:ascii="宋体" w:hAnsi="宋体"/>
          <w:szCs w:val="21"/>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left"/>
        <w:rPr>
          <w:rFonts w:hint="eastAsia" w:ascii="宋体" w:hAnsi="宋体"/>
          <w:b/>
          <w:szCs w:val="21"/>
        </w:rPr>
      </w:pPr>
      <w:r>
        <w:rPr>
          <w:rFonts w:hint="eastAsia" w:ascii="宋体" w:hAnsi="宋体"/>
          <w:b/>
          <w:szCs w:val="21"/>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hint="eastAsia" w:ascii="宋体" w:hAnsi="宋体"/>
          <w:szCs w:val="21"/>
        </w:rPr>
      </w:pPr>
      <w:r>
        <w:rPr>
          <w:rFonts w:hint="eastAsia" w:ascii="宋体" w:hAnsi="宋体"/>
          <w:szCs w:val="21"/>
        </w:rPr>
        <w:t>本合同一式六份，甲乙双方各执二份，1份报送政府采购监督管理部门备案，1份送招标代理机构存档。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7" w:firstLineChars="250"/>
        <w:jc w:val="center"/>
        <w:rPr>
          <w:rFonts w:hint="eastAsia" w:ascii="宋体" w:hAnsi="宋体"/>
          <w:b/>
          <w:szCs w:val="21"/>
        </w:rPr>
      </w:pPr>
      <w:r>
        <w:rPr>
          <w:rFonts w:hint="eastAsia" w:ascii="宋体" w:hAnsi="宋体"/>
          <w:b/>
          <w:szCs w:val="21"/>
        </w:rPr>
        <w:t>二、特殊专用条款部分</w:t>
      </w:r>
    </w:p>
    <w:p>
      <w:pPr>
        <w:numPr>
          <w:ilvl w:val="0"/>
          <w:numId w:val="6"/>
        </w:numPr>
        <w:autoSpaceDE w:val="0"/>
        <w:autoSpaceDN w:val="0"/>
        <w:adjustRightInd w:val="0"/>
        <w:spacing w:line="360" w:lineRule="auto"/>
        <w:rPr>
          <w:rFonts w:hint="eastAsia" w:ascii="宋体" w:hAnsi="宋体"/>
          <w:b/>
          <w:kern w:val="36"/>
          <w:szCs w:val="21"/>
        </w:rPr>
      </w:pPr>
      <w:r>
        <w:rPr>
          <w:rFonts w:hint="eastAsia" w:ascii="宋体" w:hAnsi="宋体"/>
          <w:b/>
          <w:kern w:val="36"/>
          <w:szCs w:val="21"/>
        </w:rPr>
        <w:t>服务内容</w:t>
      </w:r>
    </w:p>
    <w:p>
      <w:pPr>
        <w:pStyle w:val="20"/>
        <w:snapToGrid w:val="0"/>
        <w:spacing w:line="360" w:lineRule="auto"/>
        <w:ind w:firstLine="413" w:firstLineChars="196"/>
        <w:rPr>
          <w:rFonts w:hint="eastAsia" w:hAnsi="宋体"/>
          <w:b/>
          <w:szCs w:val="21"/>
        </w:rPr>
      </w:pPr>
      <w:r>
        <w:rPr>
          <w:rFonts w:hint="eastAsia" w:hAnsi="宋体"/>
          <w:b/>
          <w:szCs w:val="21"/>
        </w:rPr>
        <w:t>第二条</w:t>
      </w:r>
      <w:r>
        <w:rPr>
          <w:rFonts w:hAnsi="宋体"/>
          <w:b/>
          <w:szCs w:val="21"/>
        </w:rPr>
        <w:t>、合同履行时间、履行方式及履行地点</w:t>
      </w:r>
    </w:p>
    <w:p>
      <w:pPr>
        <w:pStyle w:val="20"/>
        <w:snapToGrid w:val="0"/>
        <w:spacing w:line="360" w:lineRule="auto"/>
        <w:ind w:firstLine="411" w:firstLineChars="196"/>
        <w:rPr>
          <w:rFonts w:hint="eastAsia" w:hAnsi="宋体"/>
          <w:bCs/>
          <w:szCs w:val="21"/>
        </w:rPr>
      </w:pPr>
      <w:r>
        <w:rPr>
          <w:rFonts w:hAnsi="宋体"/>
          <w:bCs/>
          <w:szCs w:val="21"/>
        </w:rPr>
        <w:t>1</w:t>
      </w:r>
      <w:r>
        <w:rPr>
          <w:rFonts w:hint="eastAsia" w:hAnsi="宋体"/>
          <w:bCs/>
          <w:szCs w:val="21"/>
        </w:rPr>
        <w:t>、</w:t>
      </w:r>
      <w:r>
        <w:rPr>
          <w:rFonts w:hAnsi="宋体"/>
          <w:szCs w:val="21"/>
        </w:rPr>
        <w:t>履行时间</w:t>
      </w:r>
      <w:r>
        <w:rPr>
          <w:rFonts w:hAnsi="宋体"/>
          <w:bCs/>
          <w:szCs w:val="21"/>
        </w:rPr>
        <w:t>：</w:t>
      </w:r>
    </w:p>
    <w:p>
      <w:pPr>
        <w:pStyle w:val="20"/>
        <w:snapToGrid w:val="0"/>
        <w:spacing w:line="360" w:lineRule="auto"/>
        <w:ind w:firstLine="411" w:firstLineChars="196"/>
        <w:rPr>
          <w:rFonts w:hAnsi="宋体"/>
          <w:bCs/>
          <w:szCs w:val="21"/>
        </w:rPr>
      </w:pPr>
      <w:r>
        <w:rPr>
          <w:rFonts w:hAnsi="宋体"/>
          <w:bCs/>
          <w:szCs w:val="21"/>
        </w:rPr>
        <w:t>2</w:t>
      </w:r>
      <w:r>
        <w:rPr>
          <w:rFonts w:hint="eastAsia" w:hAnsi="宋体"/>
          <w:bCs/>
          <w:szCs w:val="21"/>
        </w:rPr>
        <w:t>、</w:t>
      </w:r>
      <w:r>
        <w:rPr>
          <w:rFonts w:hAnsi="宋体"/>
          <w:szCs w:val="21"/>
        </w:rPr>
        <w:t>履行方式</w:t>
      </w:r>
      <w:r>
        <w:rPr>
          <w:rFonts w:hAnsi="宋体"/>
          <w:bCs/>
          <w:szCs w:val="21"/>
        </w:rPr>
        <w:t>：</w:t>
      </w:r>
    </w:p>
    <w:p>
      <w:pPr>
        <w:pStyle w:val="20"/>
        <w:snapToGrid w:val="0"/>
        <w:spacing w:line="360" w:lineRule="auto"/>
        <w:ind w:firstLine="420" w:firstLineChars="200"/>
        <w:rPr>
          <w:rFonts w:hint="eastAsia" w:hAnsi="宋体"/>
          <w:bCs/>
          <w:szCs w:val="21"/>
        </w:rPr>
      </w:pPr>
      <w:r>
        <w:rPr>
          <w:rFonts w:hAnsi="宋体"/>
          <w:bCs/>
          <w:szCs w:val="21"/>
        </w:rPr>
        <w:t>3</w:t>
      </w:r>
      <w:r>
        <w:rPr>
          <w:rFonts w:hint="eastAsia" w:hAnsi="宋体"/>
          <w:bCs/>
          <w:szCs w:val="21"/>
        </w:rPr>
        <w:t>、</w:t>
      </w:r>
      <w:r>
        <w:rPr>
          <w:rFonts w:hAnsi="宋体"/>
          <w:szCs w:val="21"/>
        </w:rPr>
        <w:t>履行地点</w:t>
      </w:r>
      <w:r>
        <w:rPr>
          <w:rFonts w:hAnsi="宋体"/>
          <w:bCs/>
          <w:szCs w:val="21"/>
        </w:rPr>
        <w:t>：</w:t>
      </w:r>
    </w:p>
    <w:p>
      <w:pPr>
        <w:pStyle w:val="20"/>
        <w:snapToGrid w:val="0"/>
        <w:spacing w:line="360" w:lineRule="auto"/>
        <w:ind w:firstLine="422" w:firstLineChars="200"/>
        <w:rPr>
          <w:rFonts w:hint="eastAsia" w:hAnsi="宋体"/>
          <w:b/>
          <w:szCs w:val="21"/>
        </w:rPr>
      </w:pPr>
      <w:r>
        <w:rPr>
          <w:rFonts w:hint="eastAsia" w:hAnsi="宋体"/>
          <w:b/>
          <w:szCs w:val="21"/>
        </w:rPr>
        <w:t>第</w:t>
      </w:r>
      <w:r>
        <w:rPr>
          <w:rFonts w:hAnsi="宋体"/>
          <w:b/>
          <w:szCs w:val="21"/>
        </w:rPr>
        <w:t>三</w:t>
      </w:r>
      <w:r>
        <w:rPr>
          <w:rFonts w:hint="eastAsia" w:hAnsi="宋体"/>
          <w:b/>
          <w:szCs w:val="21"/>
        </w:rPr>
        <w:t>条</w:t>
      </w:r>
      <w:r>
        <w:rPr>
          <w:rFonts w:hAnsi="宋体"/>
          <w:b/>
          <w:szCs w:val="21"/>
        </w:rPr>
        <w:t>、技术资料</w:t>
      </w:r>
    </w:p>
    <w:p>
      <w:pPr>
        <w:pStyle w:val="20"/>
        <w:snapToGrid w:val="0"/>
        <w:spacing w:line="360" w:lineRule="auto"/>
        <w:ind w:firstLine="420" w:firstLineChars="200"/>
        <w:rPr>
          <w:rFonts w:hint="eastAsia" w:hAnsi="宋体"/>
          <w:szCs w:val="21"/>
        </w:rPr>
      </w:pPr>
      <w:r>
        <w:rPr>
          <w:rFonts w:hAnsi="宋体"/>
          <w:szCs w:val="21"/>
        </w:rPr>
        <w:t>1</w:t>
      </w:r>
      <w:r>
        <w:rPr>
          <w:rFonts w:hint="eastAsia" w:hAnsi="宋体"/>
          <w:szCs w:val="21"/>
        </w:rPr>
        <w:t>、</w:t>
      </w:r>
      <w:r>
        <w:rPr>
          <w:rFonts w:hAnsi="宋体"/>
          <w:szCs w:val="21"/>
        </w:rPr>
        <w:t>乙方应按招标文件规定的时间向甲方提供有关技术资料。</w:t>
      </w:r>
    </w:p>
    <w:p>
      <w:pPr>
        <w:pStyle w:val="20"/>
        <w:snapToGrid w:val="0"/>
        <w:spacing w:line="360" w:lineRule="auto"/>
        <w:ind w:firstLine="420" w:firstLineChars="200"/>
        <w:rPr>
          <w:rFonts w:hint="eastAsia" w:hAnsi="宋体"/>
          <w:szCs w:val="21"/>
        </w:rPr>
      </w:pPr>
      <w:r>
        <w:rPr>
          <w:rFonts w:hAnsi="宋体"/>
          <w:szCs w:val="21"/>
        </w:rPr>
        <w:t>2</w:t>
      </w:r>
      <w:r>
        <w:rPr>
          <w:rFonts w:hint="eastAsia" w:hAnsi="宋体"/>
          <w:szCs w:val="21"/>
        </w:rPr>
        <w:t>、</w:t>
      </w:r>
      <w:r>
        <w:rPr>
          <w:rFonts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line="360" w:lineRule="auto"/>
        <w:ind w:firstLine="422" w:firstLineChars="200"/>
        <w:rPr>
          <w:rFonts w:hint="eastAsia" w:hAnsi="宋体"/>
          <w:b/>
          <w:szCs w:val="21"/>
        </w:rPr>
      </w:pPr>
      <w:r>
        <w:rPr>
          <w:rFonts w:hint="eastAsia" w:hAnsi="宋体"/>
          <w:b/>
          <w:szCs w:val="21"/>
        </w:rPr>
        <w:t>第</w:t>
      </w:r>
      <w:r>
        <w:rPr>
          <w:rFonts w:hAnsi="宋体"/>
          <w:b/>
          <w:szCs w:val="21"/>
        </w:rPr>
        <w:t>四</w:t>
      </w:r>
      <w:r>
        <w:rPr>
          <w:rFonts w:hint="eastAsia" w:hAnsi="宋体"/>
          <w:b/>
          <w:szCs w:val="21"/>
        </w:rPr>
        <w:t>条</w:t>
      </w:r>
      <w:r>
        <w:rPr>
          <w:rFonts w:hAnsi="宋体"/>
          <w:b/>
          <w:szCs w:val="21"/>
        </w:rPr>
        <w:t>、知识产权</w:t>
      </w:r>
    </w:p>
    <w:p>
      <w:pPr>
        <w:pStyle w:val="20"/>
        <w:snapToGrid w:val="0"/>
        <w:spacing w:line="360" w:lineRule="auto"/>
        <w:ind w:firstLine="420" w:firstLineChars="200"/>
        <w:rPr>
          <w:rFonts w:hint="eastAsia" w:hAnsi="宋体"/>
          <w:b/>
          <w:bCs/>
          <w:szCs w:val="21"/>
        </w:rPr>
      </w:pPr>
      <w:r>
        <w:rPr>
          <w:rFonts w:hAnsi="宋体"/>
          <w:szCs w:val="21"/>
        </w:rPr>
        <w:t>乙方应保证提供服务过程中不会侵犯任何第三方的知识产权</w:t>
      </w:r>
      <w:r>
        <w:rPr>
          <w:rFonts w:hAnsi="宋体"/>
          <w:bCs/>
          <w:szCs w:val="21"/>
        </w:rPr>
        <w:t>。</w:t>
      </w:r>
    </w:p>
    <w:p>
      <w:pPr>
        <w:pStyle w:val="20"/>
        <w:snapToGrid w:val="0"/>
        <w:spacing w:line="360" w:lineRule="auto"/>
        <w:ind w:firstLine="422" w:firstLineChars="200"/>
        <w:rPr>
          <w:rFonts w:hint="eastAsia" w:hAnsi="宋体"/>
          <w:b/>
          <w:szCs w:val="21"/>
        </w:rPr>
      </w:pPr>
      <w:r>
        <w:rPr>
          <w:rFonts w:hint="eastAsia" w:hAnsi="宋体"/>
          <w:b/>
          <w:szCs w:val="21"/>
        </w:rPr>
        <w:t>第五条</w:t>
      </w:r>
      <w:r>
        <w:rPr>
          <w:rFonts w:hAnsi="宋体"/>
          <w:b/>
          <w:szCs w:val="21"/>
        </w:rPr>
        <w:t>、履约保证金</w:t>
      </w:r>
    </w:p>
    <w:p>
      <w:pPr>
        <w:pStyle w:val="20"/>
        <w:snapToGrid w:val="0"/>
        <w:spacing w:line="360" w:lineRule="auto"/>
        <w:ind w:firstLine="420" w:firstLineChars="200"/>
        <w:rPr>
          <w:rFonts w:hint="eastAsia" w:hAnsi="宋体"/>
          <w:szCs w:val="21"/>
        </w:rPr>
      </w:pPr>
      <w:r>
        <w:rPr>
          <w:rFonts w:hint="eastAsia" w:hAnsi="宋体"/>
          <w:szCs w:val="21"/>
        </w:rPr>
        <w:t>本项目不设置履约保证金。</w:t>
      </w:r>
    </w:p>
    <w:p>
      <w:pPr>
        <w:snapToGrid w:val="0"/>
        <w:spacing w:line="360" w:lineRule="auto"/>
        <w:ind w:firstLine="413" w:firstLineChars="196"/>
        <w:rPr>
          <w:rFonts w:hint="eastAsia" w:ascii="宋体" w:hAnsi="宋体"/>
          <w:b/>
          <w:szCs w:val="21"/>
        </w:rPr>
      </w:pPr>
      <w:r>
        <w:rPr>
          <w:rFonts w:hint="eastAsia" w:ascii="宋体" w:hAnsi="宋体"/>
          <w:b/>
          <w:szCs w:val="21"/>
        </w:rPr>
        <w:t>第六条、税费</w:t>
      </w:r>
    </w:p>
    <w:p>
      <w:pPr>
        <w:snapToGrid w:val="0"/>
        <w:spacing w:line="360" w:lineRule="auto"/>
        <w:ind w:firstLine="411" w:firstLineChars="196"/>
        <w:rPr>
          <w:rFonts w:hint="eastAsia"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20"/>
        <w:snapToGrid w:val="0"/>
        <w:spacing w:line="360" w:lineRule="auto"/>
        <w:ind w:firstLine="413" w:firstLineChars="196"/>
        <w:rPr>
          <w:rFonts w:hint="eastAsia" w:hAnsi="宋体"/>
          <w:b/>
          <w:szCs w:val="21"/>
        </w:rPr>
      </w:pPr>
      <w:r>
        <w:rPr>
          <w:rFonts w:hint="eastAsia" w:hAnsi="宋体"/>
          <w:b/>
          <w:szCs w:val="21"/>
        </w:rPr>
        <w:t>第七条</w:t>
      </w:r>
      <w:r>
        <w:rPr>
          <w:rFonts w:hAnsi="宋体"/>
          <w:b/>
          <w:szCs w:val="21"/>
        </w:rPr>
        <w:t>、违约责任</w:t>
      </w:r>
    </w:p>
    <w:p>
      <w:pPr>
        <w:pStyle w:val="20"/>
        <w:snapToGrid w:val="0"/>
        <w:spacing w:line="360" w:lineRule="auto"/>
        <w:ind w:firstLine="411" w:firstLineChars="196"/>
        <w:rPr>
          <w:rFonts w:hint="eastAsia" w:hAnsi="宋体"/>
          <w:szCs w:val="21"/>
        </w:rPr>
      </w:pPr>
      <w:r>
        <w:rPr>
          <w:rFonts w:hint="eastAsia" w:hAnsi="宋体"/>
          <w:szCs w:val="21"/>
        </w:rPr>
        <w:t>1、</w:t>
      </w:r>
      <w:r>
        <w:rPr>
          <w:rFonts w:hAnsi="宋体"/>
          <w:szCs w:val="21"/>
        </w:rPr>
        <w:t>甲方无正当理由拒收接受服务的，甲方向乙方偿付合同款项百分之五作为违约金。</w:t>
      </w:r>
    </w:p>
    <w:p>
      <w:pPr>
        <w:pStyle w:val="20"/>
        <w:snapToGrid w:val="0"/>
        <w:spacing w:line="360" w:lineRule="auto"/>
        <w:ind w:firstLine="420" w:firstLineChars="200"/>
        <w:rPr>
          <w:rFonts w:hint="eastAsia" w:hAnsi="宋体"/>
          <w:szCs w:val="21"/>
        </w:rPr>
      </w:pPr>
      <w:r>
        <w:rPr>
          <w:rFonts w:hint="eastAsia" w:hAnsi="宋体"/>
          <w:szCs w:val="21"/>
        </w:rPr>
        <w:t>2、</w:t>
      </w:r>
      <w:r>
        <w:rPr>
          <w:rFonts w:hAnsi="宋体"/>
          <w:szCs w:val="21"/>
        </w:rPr>
        <w:t>甲方无故逾期验收和办理款项支付手续的,甲方应按逾期付款总额每日万分之五向乙方支付违约金。</w:t>
      </w:r>
    </w:p>
    <w:p>
      <w:pPr>
        <w:pStyle w:val="20"/>
        <w:snapToGrid w:val="0"/>
        <w:spacing w:line="360" w:lineRule="auto"/>
        <w:ind w:firstLine="420" w:firstLineChars="200"/>
        <w:rPr>
          <w:rFonts w:hAnsi="宋体"/>
          <w:szCs w:val="21"/>
        </w:rPr>
      </w:pPr>
      <w:r>
        <w:rPr>
          <w:rFonts w:hAnsi="宋体"/>
          <w:szCs w:val="21"/>
        </w:rPr>
        <w:t>3</w:t>
      </w:r>
      <w:r>
        <w:rPr>
          <w:rFonts w:hint="eastAsia" w:hAnsi="宋体"/>
          <w:szCs w:val="21"/>
        </w:rPr>
        <w:t>、</w:t>
      </w:r>
      <w:r>
        <w:rPr>
          <w:rFonts w:hAnsi="宋体"/>
          <w:szCs w:val="21"/>
        </w:rPr>
        <w:t>乙方</w:t>
      </w:r>
      <w:r>
        <w:rPr>
          <w:rFonts w:hint="eastAsia" w:hAnsi="宋体"/>
          <w:szCs w:val="21"/>
        </w:rPr>
        <w:t>未能如</w:t>
      </w:r>
      <w:r>
        <w:rPr>
          <w:rFonts w:hAnsi="宋体"/>
          <w:szCs w:val="21"/>
        </w:rPr>
        <w:t>期提供服务的，每日向甲方支付</w:t>
      </w:r>
      <w:r>
        <w:rPr>
          <w:rFonts w:hint="eastAsia" w:hAnsi="宋体"/>
          <w:szCs w:val="21"/>
        </w:rPr>
        <w:t>合同款项的</w:t>
      </w:r>
      <w:r>
        <w:rPr>
          <w:rFonts w:hAnsi="宋体"/>
          <w:szCs w:val="21"/>
        </w:rPr>
        <w:t>千分之六</w:t>
      </w:r>
      <w:r>
        <w:rPr>
          <w:rFonts w:hint="eastAsia" w:hAnsi="宋体"/>
          <w:szCs w:val="21"/>
        </w:rPr>
        <w:t>作为</w:t>
      </w:r>
      <w:r>
        <w:rPr>
          <w:rFonts w:hAnsi="宋体"/>
          <w:szCs w:val="21"/>
        </w:rPr>
        <w:t>违约金。乙方超过约定日期10个工作日</w:t>
      </w:r>
      <w:r>
        <w:rPr>
          <w:rFonts w:hint="eastAsia" w:hAnsi="宋体"/>
          <w:szCs w:val="21"/>
        </w:rPr>
        <w:t>仍</w:t>
      </w:r>
      <w:r>
        <w:rPr>
          <w:rFonts w:hAnsi="宋体"/>
          <w:szCs w:val="21"/>
        </w:rPr>
        <w:t>不能</w:t>
      </w:r>
      <w:r>
        <w:rPr>
          <w:rFonts w:hint="eastAsia" w:hAnsi="宋体"/>
          <w:szCs w:val="21"/>
        </w:rPr>
        <w:t>提供服务</w:t>
      </w:r>
      <w:r>
        <w:rPr>
          <w:rFonts w:hAnsi="宋体"/>
          <w:szCs w:val="21"/>
        </w:rPr>
        <w:t>的，甲方可解除本合同。乙方因</w:t>
      </w:r>
      <w:r>
        <w:rPr>
          <w:rFonts w:hint="eastAsia" w:hAnsi="宋体"/>
          <w:szCs w:val="21"/>
        </w:rPr>
        <w:t>未能如</w:t>
      </w:r>
      <w:r>
        <w:rPr>
          <w:rFonts w:hAnsi="宋体"/>
          <w:szCs w:val="21"/>
        </w:rPr>
        <w:t xml:space="preserve">期提供服务或因其他违约行为导致甲方解除合同的，乙方应向甲方支付合同总值5%的违约金，如造成甲方损失超过违约金的，超出部分由乙方继续承担赔偿责任。 </w:t>
      </w:r>
    </w:p>
    <w:p>
      <w:pPr>
        <w:pStyle w:val="20"/>
        <w:snapToGrid w:val="0"/>
        <w:spacing w:line="360" w:lineRule="auto"/>
        <w:ind w:firstLine="413" w:firstLineChars="196"/>
        <w:rPr>
          <w:rFonts w:hAnsi="宋体"/>
          <w:b/>
          <w:szCs w:val="21"/>
        </w:rPr>
      </w:pPr>
      <w:r>
        <w:rPr>
          <w:rFonts w:hint="eastAsia" w:hAnsi="宋体"/>
          <w:b/>
          <w:szCs w:val="21"/>
        </w:rPr>
        <w:t>第九条</w:t>
      </w:r>
      <w:r>
        <w:rPr>
          <w:rFonts w:hAnsi="宋体"/>
          <w:b/>
          <w:szCs w:val="21"/>
        </w:rPr>
        <w:t>、不可抗力事件处理</w:t>
      </w:r>
    </w:p>
    <w:p>
      <w:pPr>
        <w:pStyle w:val="20"/>
        <w:snapToGrid w:val="0"/>
        <w:spacing w:line="360" w:lineRule="auto"/>
        <w:ind w:firstLine="420" w:firstLineChars="200"/>
        <w:rPr>
          <w:rFonts w:hAnsi="宋体"/>
          <w:szCs w:val="21"/>
        </w:rPr>
      </w:pPr>
      <w:r>
        <w:rPr>
          <w:rFonts w:hAnsi="宋体"/>
          <w:szCs w:val="21"/>
        </w:rPr>
        <w:t>1</w:t>
      </w:r>
      <w:r>
        <w:rPr>
          <w:rFonts w:hint="eastAsia" w:hAnsi="宋体"/>
          <w:szCs w:val="21"/>
        </w:rPr>
        <w:t>、</w:t>
      </w:r>
      <w:r>
        <w:rPr>
          <w:rFonts w:hAnsi="宋体"/>
          <w:szCs w:val="21"/>
        </w:rPr>
        <w:t>在合同有效期内，任何一方因不可抗力事件导致不能履行合同，则合同履行期可延长，其延长期与不可抗力影响期相同。</w:t>
      </w:r>
    </w:p>
    <w:p>
      <w:pPr>
        <w:pStyle w:val="20"/>
        <w:snapToGrid w:val="0"/>
        <w:spacing w:line="360" w:lineRule="auto"/>
        <w:ind w:firstLine="420" w:firstLineChars="200"/>
        <w:rPr>
          <w:rFonts w:hAnsi="宋体"/>
          <w:szCs w:val="21"/>
        </w:rPr>
      </w:pPr>
      <w:r>
        <w:rPr>
          <w:rFonts w:hAnsi="宋体"/>
          <w:szCs w:val="21"/>
        </w:rPr>
        <w:t>2</w:t>
      </w:r>
      <w:r>
        <w:rPr>
          <w:rFonts w:hint="eastAsia" w:hAnsi="宋体"/>
          <w:szCs w:val="21"/>
        </w:rPr>
        <w:t>、不</w:t>
      </w:r>
      <w:r>
        <w:rPr>
          <w:rFonts w:hAnsi="宋体"/>
          <w:szCs w:val="21"/>
        </w:rPr>
        <w:t>可抗力事件发生后，应立即通知对方，并寄送有关权威机构出具的证明。</w:t>
      </w:r>
    </w:p>
    <w:p>
      <w:pPr>
        <w:pStyle w:val="20"/>
        <w:snapToGrid w:val="0"/>
        <w:spacing w:line="360" w:lineRule="auto"/>
        <w:ind w:firstLine="420" w:firstLineChars="200"/>
        <w:rPr>
          <w:rFonts w:hint="eastAsia" w:hAnsi="宋体"/>
          <w:szCs w:val="21"/>
        </w:rPr>
      </w:pPr>
      <w:r>
        <w:rPr>
          <w:rFonts w:hAnsi="宋体"/>
          <w:szCs w:val="21"/>
        </w:rPr>
        <w:t>3</w:t>
      </w:r>
      <w:r>
        <w:rPr>
          <w:rFonts w:hint="eastAsia" w:hAnsi="宋体"/>
          <w:szCs w:val="21"/>
        </w:rPr>
        <w:t>、</w:t>
      </w:r>
      <w:r>
        <w:rPr>
          <w:rFonts w:hAnsi="宋体"/>
          <w:szCs w:val="21"/>
        </w:rPr>
        <w:t>不可抗力事件延续120天以上，双方应通过友好协商，确定是否继续履行合同。</w:t>
      </w:r>
    </w:p>
    <w:p>
      <w:pPr>
        <w:pStyle w:val="20"/>
        <w:snapToGrid w:val="0"/>
        <w:spacing w:line="360" w:lineRule="auto"/>
        <w:ind w:firstLine="422" w:firstLineChars="200"/>
        <w:rPr>
          <w:rFonts w:hint="eastAsia" w:hAnsi="宋体"/>
          <w:b/>
          <w:szCs w:val="21"/>
        </w:rPr>
      </w:pPr>
      <w:r>
        <w:rPr>
          <w:rFonts w:hint="eastAsia" w:hAnsi="宋体"/>
          <w:b/>
          <w:szCs w:val="21"/>
        </w:rPr>
        <w:t>第十条</w:t>
      </w:r>
      <w:r>
        <w:rPr>
          <w:rFonts w:hAnsi="宋体"/>
          <w:b/>
          <w:szCs w:val="21"/>
        </w:rPr>
        <w:t>、诉讼</w:t>
      </w:r>
    </w:p>
    <w:p>
      <w:pPr>
        <w:pStyle w:val="20"/>
        <w:snapToGrid w:val="0"/>
        <w:spacing w:line="360" w:lineRule="auto"/>
        <w:ind w:firstLine="420" w:firstLineChars="200"/>
        <w:rPr>
          <w:rFonts w:hint="eastAsia" w:hAnsi="宋体"/>
          <w:szCs w:val="21"/>
        </w:rPr>
      </w:pPr>
      <w:r>
        <w:rPr>
          <w:rFonts w:hAnsi="宋体"/>
          <w:szCs w:val="21"/>
        </w:rPr>
        <w:t>双方在执行合同中所发生的一切争议，应通过协商解决。如协商不成，可向</w:t>
      </w:r>
      <w:r>
        <w:rPr>
          <w:rFonts w:hint="eastAsia" w:hAnsi="宋体"/>
          <w:szCs w:val="21"/>
        </w:rPr>
        <w:t>甲方所在</w:t>
      </w:r>
      <w:r>
        <w:rPr>
          <w:rFonts w:hAnsi="宋体"/>
          <w:szCs w:val="21"/>
        </w:rPr>
        <w:t>地法院起诉。</w:t>
      </w:r>
    </w:p>
    <w:p>
      <w:pPr>
        <w:pStyle w:val="20"/>
        <w:snapToGrid w:val="0"/>
        <w:spacing w:line="360" w:lineRule="auto"/>
        <w:ind w:firstLine="422" w:firstLineChars="200"/>
        <w:rPr>
          <w:rFonts w:hAnsi="宋体"/>
          <w:b/>
          <w:szCs w:val="21"/>
        </w:rPr>
      </w:pPr>
      <w:r>
        <w:rPr>
          <w:rFonts w:hint="eastAsia" w:hAnsi="宋体"/>
          <w:b/>
          <w:szCs w:val="21"/>
        </w:rPr>
        <w:t>第十一条</w:t>
      </w:r>
      <w:r>
        <w:rPr>
          <w:rFonts w:hAnsi="宋体"/>
          <w:b/>
          <w:szCs w:val="21"/>
        </w:rPr>
        <w:t>、合同生效及其它</w:t>
      </w:r>
    </w:p>
    <w:p>
      <w:pPr>
        <w:autoSpaceDE w:val="0"/>
        <w:autoSpaceDN w:val="0"/>
        <w:adjustRightIn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合同经双方法定代表人或授权委托代理人签字并加盖单位公章后生效。</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本合同未尽事宜，遵照《</w:t>
      </w:r>
      <w:r>
        <w:rPr>
          <w:rFonts w:ascii="宋体" w:hAnsi="宋体"/>
          <w:kern w:val="0"/>
          <w:szCs w:val="21"/>
        </w:rPr>
        <w:t>中华人民共和国政府</w:t>
      </w:r>
      <w:r>
        <w:rPr>
          <w:rFonts w:ascii="宋体" w:hAnsi="宋体"/>
          <w:szCs w:val="21"/>
        </w:rPr>
        <w:t>合同法》有关条文执行。</w:t>
      </w:r>
    </w:p>
    <w:p>
      <w:pPr>
        <w:pStyle w:val="20"/>
        <w:snapToGrid w:val="0"/>
        <w:spacing w:line="360" w:lineRule="auto"/>
        <w:ind w:left="420" w:hanging="420" w:hangingChars="200"/>
        <w:rPr>
          <w:rFonts w:hint="eastAsia" w:hAnsi="宋体"/>
          <w:szCs w:val="21"/>
        </w:rPr>
      </w:pPr>
      <w:r>
        <w:rPr>
          <w:rFonts w:hAnsi="宋体"/>
          <w:szCs w:val="21"/>
        </w:rPr>
        <w:t xml:space="preserve">  </w:t>
      </w:r>
    </w:p>
    <w:p>
      <w:pPr>
        <w:pStyle w:val="20"/>
        <w:snapToGrid w:val="0"/>
        <w:spacing w:line="360" w:lineRule="auto"/>
        <w:ind w:left="420" w:hanging="420" w:hangingChars="200"/>
        <w:rPr>
          <w:rFonts w:hint="eastAsia" w:hAnsi="宋体"/>
          <w:szCs w:val="21"/>
        </w:rPr>
      </w:pPr>
    </w:p>
    <w:p>
      <w:pPr>
        <w:pStyle w:val="20"/>
        <w:snapToGrid w:val="0"/>
        <w:spacing w:line="360" w:lineRule="auto"/>
        <w:ind w:left="420" w:hanging="420" w:hangingChars="200"/>
        <w:rPr>
          <w:rFonts w:hint="eastAsia" w:hAnsi="宋体"/>
          <w:szCs w:val="21"/>
        </w:rPr>
      </w:pPr>
    </w:p>
    <w:p>
      <w:pPr>
        <w:pStyle w:val="20"/>
        <w:snapToGrid w:val="0"/>
        <w:spacing w:line="360" w:lineRule="auto"/>
        <w:ind w:left="420" w:hanging="420" w:hangingChars="200"/>
        <w:rPr>
          <w:rFonts w:hint="eastAsia" w:hAnsi="宋体"/>
          <w:szCs w:val="21"/>
        </w:rPr>
      </w:pPr>
    </w:p>
    <w:p>
      <w:pPr>
        <w:autoSpaceDE w:val="0"/>
        <w:autoSpaceDN w:val="0"/>
        <w:adjustRightInd w:val="0"/>
        <w:spacing w:line="500" w:lineRule="exact"/>
        <w:rPr>
          <w:rFonts w:ascii="宋体" w:hAnsi="宋体"/>
          <w:szCs w:val="21"/>
        </w:rPr>
      </w:pPr>
      <w:r>
        <w:rPr>
          <w:rFonts w:ascii="宋体" w:hAnsi="宋体"/>
          <w:szCs w:val="21"/>
        </w:rPr>
        <w:t>甲方：</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乙方： </w:t>
      </w:r>
    </w:p>
    <w:p>
      <w:pPr>
        <w:autoSpaceDE w:val="0"/>
        <w:autoSpaceDN w:val="0"/>
        <w:adjustRightInd w:val="0"/>
        <w:spacing w:line="500" w:lineRule="exact"/>
        <w:ind w:left="4620" w:hanging="4620" w:hangingChars="2200"/>
        <w:rPr>
          <w:rFonts w:ascii="宋体" w:hAnsi="宋体"/>
          <w:szCs w:val="21"/>
        </w:rPr>
      </w:pPr>
      <w:r>
        <w:rPr>
          <w:rFonts w:ascii="宋体" w:hAnsi="宋体"/>
          <w:szCs w:val="21"/>
        </w:rPr>
        <w:t>地址：</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地址： </w:t>
      </w:r>
    </w:p>
    <w:p>
      <w:pPr>
        <w:autoSpaceDE w:val="0"/>
        <w:autoSpaceDN w:val="0"/>
        <w:adjustRightInd w:val="0"/>
        <w:spacing w:line="500" w:lineRule="exact"/>
        <w:rPr>
          <w:rFonts w:ascii="宋体" w:hAnsi="宋体"/>
          <w:szCs w:val="21"/>
        </w:rPr>
      </w:pPr>
      <w:r>
        <w:rPr>
          <w:rFonts w:ascii="宋体" w:hAnsi="宋体"/>
          <w:szCs w:val="21"/>
        </w:rPr>
        <w:t>法定代表人</w:t>
      </w:r>
      <w:r>
        <w:rPr>
          <w:rFonts w:hint="eastAsia" w:ascii="宋体" w:hAnsi="宋体"/>
          <w:szCs w:val="21"/>
        </w:rPr>
        <w:t>或经办人</w:t>
      </w:r>
      <w:r>
        <w:rPr>
          <w:rFonts w:ascii="宋体" w:hAnsi="宋体"/>
          <w:szCs w:val="21"/>
        </w:rPr>
        <w:t xml:space="preserve">：              </w:t>
      </w:r>
      <w:r>
        <w:rPr>
          <w:rFonts w:hint="eastAsia" w:ascii="宋体" w:hAnsi="宋体"/>
          <w:szCs w:val="21"/>
        </w:rPr>
        <w:t xml:space="preserve">   </w:t>
      </w:r>
      <w:r>
        <w:rPr>
          <w:rFonts w:ascii="宋体" w:hAnsi="宋体"/>
          <w:szCs w:val="21"/>
        </w:rPr>
        <w:t xml:space="preserve"> 法定代表人</w:t>
      </w:r>
      <w:r>
        <w:rPr>
          <w:rFonts w:hint="eastAsia" w:ascii="宋体" w:hAnsi="宋体"/>
          <w:szCs w:val="21"/>
        </w:rPr>
        <w:t>或经办人</w:t>
      </w:r>
      <w:r>
        <w:rPr>
          <w:rFonts w:ascii="宋体" w:hAnsi="宋体"/>
          <w:szCs w:val="21"/>
        </w:rPr>
        <w:t>：</w:t>
      </w:r>
    </w:p>
    <w:p>
      <w:pPr>
        <w:autoSpaceDE w:val="0"/>
        <w:autoSpaceDN w:val="0"/>
        <w:adjustRightInd w:val="0"/>
        <w:spacing w:line="500" w:lineRule="exact"/>
        <w:rPr>
          <w:rFonts w:ascii="宋体" w:hAnsi="宋体"/>
          <w:szCs w:val="21"/>
        </w:rPr>
      </w:pPr>
      <w:r>
        <w:rPr>
          <w:rFonts w:hint="eastAsia" w:ascii="宋体" w:hAnsi="宋体"/>
          <w:szCs w:val="21"/>
        </w:rPr>
        <w:t xml:space="preserve">                                      开户银行：</w:t>
      </w:r>
      <w:r>
        <w:rPr>
          <w:rFonts w:ascii="宋体" w:hAnsi="宋体"/>
          <w:szCs w:val="21"/>
        </w:rPr>
        <w:t xml:space="preserve"> </w:t>
      </w:r>
    </w:p>
    <w:p>
      <w:pPr>
        <w:autoSpaceDE w:val="0"/>
        <w:autoSpaceDN w:val="0"/>
        <w:adjustRightInd w:val="0"/>
        <w:spacing w:line="500" w:lineRule="exact"/>
        <w:rPr>
          <w:rFonts w:hint="eastAsia" w:ascii="宋体" w:hAnsi="宋体"/>
          <w:szCs w:val="21"/>
        </w:rPr>
      </w:pPr>
      <w:r>
        <w:rPr>
          <w:rFonts w:hint="eastAsia" w:ascii="宋体" w:hAnsi="宋体"/>
          <w:szCs w:val="21"/>
        </w:rPr>
        <w:t xml:space="preserve">                                      开户帐号：</w:t>
      </w:r>
      <w:bookmarkStart w:id="385" w:name="_GoBack"/>
      <w:bookmarkEnd w:id="385"/>
    </w:p>
    <w:p>
      <w:pPr>
        <w:autoSpaceDE w:val="0"/>
        <w:autoSpaceDN w:val="0"/>
        <w:adjustRightInd w:val="0"/>
        <w:spacing w:line="500" w:lineRule="exact"/>
        <w:rPr>
          <w:rFonts w:hint="eastAsia" w:ascii="宋体" w:hAnsi="宋体"/>
          <w:szCs w:val="21"/>
        </w:rPr>
      </w:pPr>
    </w:p>
    <w:p>
      <w:pPr>
        <w:autoSpaceDE w:val="0"/>
        <w:autoSpaceDN w:val="0"/>
        <w:adjustRightInd w:val="0"/>
        <w:spacing w:line="500" w:lineRule="exact"/>
        <w:rPr>
          <w:rFonts w:hint="eastAsia" w:ascii="宋体" w:hAnsi="宋体"/>
          <w:szCs w:val="21"/>
        </w:rPr>
      </w:pPr>
    </w:p>
    <w:p>
      <w:pPr>
        <w:autoSpaceDE w:val="0"/>
        <w:autoSpaceDN w:val="0"/>
        <w:adjustRightInd w:val="0"/>
        <w:spacing w:line="500" w:lineRule="exact"/>
        <w:rPr>
          <w:rFonts w:ascii="宋体" w:hAnsi="宋体"/>
          <w:szCs w:val="21"/>
        </w:rPr>
      </w:pPr>
      <w:r>
        <w:rPr>
          <w:rFonts w:ascii="宋体" w:hAnsi="宋体"/>
          <w:szCs w:val="21"/>
        </w:rPr>
        <w:t xml:space="preserve"> </w:t>
      </w:r>
    </w:p>
    <w:p>
      <w:pPr>
        <w:spacing w:line="360" w:lineRule="auto"/>
        <w:rPr>
          <w:rFonts w:ascii="宋体" w:hAnsi="宋体"/>
          <w:szCs w:val="21"/>
        </w:rPr>
      </w:pPr>
      <w:r>
        <w:rPr>
          <w:rFonts w:hint="eastAsia" w:ascii="宋体" w:hAnsi="宋体"/>
          <w:szCs w:val="21"/>
        </w:rPr>
        <w:t>合同鉴证单位：浙江禾城工程管理有限公司</w:t>
      </w:r>
    </w:p>
    <w:p>
      <w:pPr>
        <w:ind w:right="-670"/>
        <w:rPr>
          <w:rFonts w:hint="eastAsia" w:ascii="宋体" w:hAnsi="宋体"/>
          <w:szCs w:val="21"/>
        </w:rPr>
      </w:pPr>
    </w:p>
    <w:p>
      <w:pPr>
        <w:ind w:right="-670"/>
        <w:rPr>
          <w:rFonts w:ascii="宋体" w:hAnsi="宋体"/>
          <w:szCs w:val="21"/>
        </w:rPr>
      </w:pPr>
      <w:r>
        <w:rPr>
          <w:rFonts w:hint="eastAsia" w:ascii="宋体" w:hAnsi="宋体"/>
          <w:szCs w:val="21"/>
        </w:rPr>
        <w:t>经办人：</w:t>
      </w:r>
    </w:p>
    <w:p>
      <w:pPr>
        <w:ind w:right="-670"/>
        <w:rPr>
          <w:rFonts w:ascii="宋体" w:hAnsi="宋体"/>
          <w:szCs w:val="21"/>
        </w:rPr>
      </w:pPr>
    </w:p>
    <w:p>
      <w:pPr>
        <w:ind w:right="-670"/>
        <w:rPr>
          <w:rFonts w:ascii="宋体" w:hAnsi="宋体"/>
          <w:szCs w:val="21"/>
        </w:rPr>
      </w:pPr>
    </w:p>
    <w:p>
      <w:pPr>
        <w:ind w:right="-670"/>
        <w:rPr>
          <w:rFonts w:ascii="宋体" w:hAnsi="宋体"/>
          <w:szCs w:val="21"/>
        </w:rPr>
      </w:pPr>
    </w:p>
    <w:p>
      <w:pPr>
        <w:ind w:right="-670"/>
        <w:rPr>
          <w:rFonts w:ascii="宋体" w:hAnsi="宋体"/>
          <w:szCs w:val="21"/>
        </w:rPr>
      </w:pPr>
    </w:p>
    <w:p>
      <w:pPr>
        <w:autoSpaceDE w:val="0"/>
        <w:autoSpaceDN w:val="0"/>
        <w:adjustRightInd w:val="0"/>
        <w:spacing w:line="500" w:lineRule="exact"/>
        <w:rPr>
          <w:rFonts w:ascii="宋体" w:hAnsi="宋体"/>
          <w:szCs w:val="21"/>
        </w:rPr>
      </w:pPr>
      <w:r>
        <w:rPr>
          <w:rFonts w:ascii="宋体" w:hAnsi="宋体"/>
          <w:szCs w:val="21"/>
        </w:rPr>
        <w:t>签订地点：</w:t>
      </w:r>
      <w:r>
        <w:rPr>
          <w:rFonts w:hint="eastAsia" w:ascii="宋体" w:hAnsi="宋体"/>
          <w:szCs w:val="21"/>
        </w:rPr>
        <w:t>浙江省嘉兴市南湖区</w:t>
      </w:r>
    </w:p>
    <w:p>
      <w:pPr>
        <w:autoSpaceDE w:val="0"/>
        <w:autoSpaceDN w:val="0"/>
        <w:adjustRightInd w:val="0"/>
        <w:spacing w:line="500" w:lineRule="exact"/>
        <w:rPr>
          <w:rFonts w:ascii="宋体" w:hAnsi="宋体"/>
          <w:szCs w:val="21"/>
        </w:rPr>
      </w:pPr>
      <w:r>
        <w:rPr>
          <w:rFonts w:ascii="宋体" w:hAnsi="宋体"/>
          <w:szCs w:val="21"/>
        </w:rPr>
        <w:t>签订日期：</w:t>
      </w:r>
      <w:r>
        <w:rPr>
          <w:rFonts w:hint="eastAsia" w:ascii="宋体" w:hAnsi="宋体"/>
          <w:szCs w:val="21"/>
        </w:rPr>
        <w:t xml:space="preserve">2019年  </w:t>
      </w:r>
      <w:r>
        <w:rPr>
          <w:rFonts w:ascii="宋体" w:hAnsi="宋体"/>
          <w:szCs w:val="21"/>
        </w:rPr>
        <w:t>月</w:t>
      </w:r>
      <w:r>
        <w:rPr>
          <w:rFonts w:hint="eastAsia" w:ascii="宋体" w:hAnsi="宋体"/>
          <w:szCs w:val="21"/>
        </w:rPr>
        <w:t xml:space="preserve">  </w:t>
      </w:r>
      <w:r>
        <w:rPr>
          <w:rFonts w:ascii="宋体" w:hAnsi="宋体"/>
          <w:szCs w:val="21"/>
        </w:rPr>
        <w:t>日</w:t>
      </w:r>
    </w:p>
    <w:p>
      <w:pPr>
        <w:pStyle w:val="20"/>
        <w:snapToGrid w:val="0"/>
        <w:spacing w:after="120" w:line="360" w:lineRule="auto"/>
        <w:rPr>
          <w:rFonts w:hint="eastAsia" w:hAnsi="宋体"/>
          <w:szCs w:val="21"/>
        </w:rPr>
      </w:pPr>
    </w:p>
    <w:p>
      <w:pPr>
        <w:pStyle w:val="29"/>
        <w:spacing w:before="0" w:after="0" w:line="360" w:lineRule="auto"/>
        <w:rPr>
          <w:rFonts w:hint="eastAsia" w:ascii="宋体" w:hAnsi="宋体"/>
          <w:sz w:val="21"/>
          <w:szCs w:val="21"/>
          <w:lang w:eastAsia="zh-CN"/>
        </w:rPr>
      </w:pPr>
      <w:bookmarkStart w:id="386" w:name="_Toc524612767"/>
      <w:r>
        <w:rPr>
          <w:rFonts w:ascii="宋体" w:hAnsi="宋体"/>
          <w:sz w:val="21"/>
          <w:szCs w:val="21"/>
        </w:rPr>
        <w:br w:type="page"/>
      </w:r>
      <w:r>
        <w:rPr>
          <w:rFonts w:hint="eastAsia" w:ascii="宋体" w:hAnsi="宋体"/>
          <w:sz w:val="21"/>
          <w:szCs w:val="21"/>
        </w:rPr>
        <w:t>第五章</w:t>
      </w:r>
      <w:r>
        <w:rPr>
          <w:rFonts w:ascii="宋体" w:hAnsi="宋体"/>
          <w:sz w:val="21"/>
          <w:szCs w:val="21"/>
        </w:rPr>
        <w:t xml:space="preserve">  </w:t>
      </w:r>
      <w:r>
        <w:rPr>
          <w:rFonts w:hint="eastAsia" w:ascii="宋体" w:hAnsi="宋体"/>
          <w:sz w:val="21"/>
          <w:szCs w:val="21"/>
          <w:lang w:eastAsia="zh-CN"/>
        </w:rPr>
        <w:t>磋商</w:t>
      </w:r>
      <w:r>
        <w:rPr>
          <w:rFonts w:hint="eastAsia" w:ascii="宋体" w:hAnsi="宋体"/>
          <w:sz w:val="21"/>
          <w:szCs w:val="21"/>
        </w:rPr>
        <w:t>办法</w:t>
      </w:r>
      <w:bookmarkEnd w:id="382"/>
      <w:r>
        <w:rPr>
          <w:rFonts w:hint="eastAsia" w:ascii="宋体" w:hAnsi="宋体"/>
          <w:sz w:val="21"/>
          <w:szCs w:val="21"/>
          <w:lang w:eastAsia="zh-CN"/>
        </w:rPr>
        <w:t>及标准</w:t>
      </w:r>
      <w:bookmarkEnd w:id="386"/>
    </w:p>
    <w:bookmarkEnd w:id="383"/>
    <w:p>
      <w:pPr>
        <w:spacing w:line="360" w:lineRule="auto"/>
        <w:ind w:firstLine="472" w:firstLineChars="225"/>
        <w:rPr>
          <w:rFonts w:hint="eastAsia" w:ascii="宋体" w:hAnsi="宋体"/>
          <w:szCs w:val="21"/>
        </w:rPr>
      </w:pPr>
      <w:bookmarkStart w:id="387" w:name="_Toc192313126"/>
      <w:r>
        <w:rPr>
          <w:rFonts w:hint="eastAsia" w:ascii="宋体" w:hAnsi="宋体"/>
          <w:szCs w:val="21"/>
        </w:rPr>
        <w:t>为公正、公平、科学地选择中标人，根据《中华人民共和国政府采购法》等有关法律法规的规定，并结合本项目的实际，制定本办法。</w:t>
      </w:r>
    </w:p>
    <w:p>
      <w:pPr>
        <w:spacing w:line="360" w:lineRule="auto"/>
        <w:ind w:firstLine="420" w:firstLineChars="200"/>
        <w:rPr>
          <w:rFonts w:hint="eastAsia" w:ascii="宋体" w:hAnsi="宋体"/>
          <w:szCs w:val="21"/>
        </w:rPr>
      </w:pPr>
      <w:r>
        <w:rPr>
          <w:rFonts w:hint="eastAsia" w:ascii="宋体" w:hAnsi="宋体"/>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即</w:t>
      </w:r>
      <w:r>
        <w:rPr>
          <w:rFonts w:hint="eastAsia" w:ascii="宋体" w:hAnsi="宋体"/>
          <w:b/>
          <w:szCs w:val="21"/>
        </w:rPr>
        <w:t>由磋商小组按规定推荐其中一名为成交候选人</w:t>
      </w:r>
      <w:r>
        <w:rPr>
          <w:rFonts w:hint="eastAsia" w:ascii="宋体" w:hAnsi="宋体"/>
          <w:szCs w:val="21"/>
        </w:rPr>
        <w:t>）,排名第二的投标人为候补中标候选人……其他投标人中标候选资格依此类推。评分过程中采用四舍五入法，并保留小数2位。</w:t>
      </w:r>
    </w:p>
    <w:p>
      <w:pPr>
        <w:spacing w:line="360" w:lineRule="auto"/>
        <w:ind w:firstLine="422" w:firstLineChars="200"/>
        <w:rPr>
          <w:rFonts w:hint="eastAsia" w:ascii="宋体" w:hAnsi="宋体"/>
          <w:b/>
          <w:szCs w:val="21"/>
        </w:rPr>
      </w:pPr>
      <w:r>
        <w:rPr>
          <w:rFonts w:hint="eastAsia" w:ascii="宋体" w:hAnsi="宋体"/>
          <w:b/>
          <w:szCs w:val="21"/>
        </w:rPr>
        <w:t>投标人评标综合得分=价格分+技术、资信商务及其他分</w:t>
      </w:r>
    </w:p>
    <w:p>
      <w:pPr>
        <w:numPr>
          <w:ilvl w:val="0"/>
          <w:numId w:val="7"/>
        </w:numPr>
        <w:spacing w:line="360" w:lineRule="auto"/>
        <w:rPr>
          <w:rFonts w:hint="eastAsia" w:ascii="宋体" w:hAnsi="宋体"/>
          <w:b/>
          <w:bCs/>
          <w:spacing w:val="-4"/>
          <w:kern w:val="0"/>
          <w:szCs w:val="21"/>
        </w:rPr>
      </w:pPr>
      <w:r>
        <w:rPr>
          <w:rFonts w:ascii="宋体" w:hAnsi="宋体"/>
          <w:b/>
          <w:bCs/>
          <w:spacing w:val="-4"/>
          <w:kern w:val="0"/>
          <w:szCs w:val="21"/>
        </w:rPr>
        <w:t>价格分（</w:t>
      </w:r>
      <w:r>
        <w:rPr>
          <w:rFonts w:hint="eastAsia" w:ascii="宋体" w:hAnsi="宋体"/>
          <w:b/>
          <w:bCs/>
          <w:spacing w:val="-4"/>
          <w:kern w:val="0"/>
          <w:szCs w:val="21"/>
        </w:rPr>
        <w:t>30</w:t>
      </w:r>
      <w:r>
        <w:rPr>
          <w:rFonts w:ascii="宋体" w:hAnsi="宋体"/>
          <w:b/>
          <w:bCs/>
          <w:spacing w:val="-4"/>
          <w:kern w:val="0"/>
          <w:szCs w:val="21"/>
        </w:rPr>
        <w:t>分）</w:t>
      </w:r>
    </w:p>
    <w:p>
      <w:pPr>
        <w:pStyle w:val="20"/>
        <w:spacing w:line="360" w:lineRule="auto"/>
        <w:ind w:firstLine="420" w:firstLineChars="200"/>
        <w:rPr>
          <w:rFonts w:hAnsi="宋体"/>
          <w:szCs w:val="21"/>
        </w:rPr>
      </w:pPr>
      <w:r>
        <w:rPr>
          <w:rFonts w:hint="eastAsia" w:hAnsi="宋体"/>
          <w:szCs w:val="21"/>
        </w:rPr>
        <w:t>1、价格分采用低价优先法计算，即满足招标文件要求且投标价格最低的投标报价为评标基准价，其他投标人的价格分按照下列公式计算：</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a.所有有效报价的最低价为评标基准价。其价格分为30分。</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b.供应商的报价得分：</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报价得分＝评标基准价（最低报价）/磋商最终报价×价格权值30％）×100</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c.计算报价评分不足一个百分点时，使用四舍五入计算，保留小数2位。</w:t>
      </w:r>
    </w:p>
    <w:p>
      <w:pPr>
        <w:pStyle w:val="20"/>
        <w:spacing w:line="360" w:lineRule="auto"/>
        <w:ind w:firstLine="420" w:firstLineChars="200"/>
        <w:rPr>
          <w:rFonts w:hint="eastAsia" w:hAnsi="宋体"/>
          <w:szCs w:val="21"/>
        </w:rPr>
      </w:pPr>
      <w:r>
        <w:rPr>
          <w:rFonts w:hint="eastAsia" w:hAnsi="宋体"/>
          <w:szCs w:val="21"/>
        </w:rPr>
        <w:t>2、投标人的投标报价超过采购人设定的最高限价，将作为无效标。</w:t>
      </w:r>
    </w:p>
    <w:p>
      <w:pPr>
        <w:pStyle w:val="18"/>
        <w:wordWrap w:val="0"/>
        <w:spacing w:line="360" w:lineRule="auto"/>
        <w:ind w:firstLine="404" w:firstLineChars="200"/>
        <w:rPr>
          <w:rFonts w:hAnsi="宋体"/>
          <w:bCs/>
          <w:sz w:val="21"/>
          <w:szCs w:val="21"/>
        </w:rPr>
      </w:pPr>
      <w:r>
        <w:rPr>
          <w:rFonts w:hint="eastAsia" w:hAnsi="宋体"/>
          <w:bCs/>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wordWrap w:val="0"/>
        <w:spacing w:line="360" w:lineRule="auto"/>
        <w:ind w:firstLine="404" w:firstLineChars="200"/>
        <w:rPr>
          <w:rFonts w:hAnsi="宋体"/>
          <w:bCs/>
          <w:sz w:val="21"/>
          <w:szCs w:val="21"/>
        </w:rPr>
      </w:pPr>
      <w:r>
        <w:rPr>
          <w:rFonts w:hint="eastAsia" w:hAnsi="宋体"/>
          <w:bCs/>
          <w:sz w:val="21"/>
          <w:szCs w:val="21"/>
        </w:rPr>
        <w:t>4. 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w:t>
      </w:r>
      <w:r>
        <w:rPr>
          <w:rFonts w:hAnsi="宋体"/>
          <w:bCs/>
          <w:sz w:val="21"/>
          <w:szCs w:val="21"/>
        </w:rPr>
        <w:t>http://xwqy.gsxt.gov.cn/mirco/micro_lib</w:t>
      </w:r>
      <w:r>
        <w:rPr>
          <w:rFonts w:hint="eastAsia" w:hAnsi="宋体"/>
          <w:bCs/>
          <w:sz w:val="21"/>
          <w:szCs w:val="21"/>
        </w:rPr>
        <w:t>（查询时间为投标前一周内，并加盖单位公章）。(注：未提供以上材料的，均不给予价格扣除）</w:t>
      </w:r>
    </w:p>
    <w:p>
      <w:pPr>
        <w:pStyle w:val="18"/>
        <w:wordWrap w:val="0"/>
        <w:spacing w:line="360" w:lineRule="auto"/>
        <w:ind w:firstLine="404" w:firstLineChars="200"/>
        <w:rPr>
          <w:rFonts w:hAnsi="宋体"/>
          <w:bCs/>
          <w:sz w:val="21"/>
          <w:szCs w:val="21"/>
        </w:rPr>
      </w:pPr>
      <w:r>
        <w:rPr>
          <w:rFonts w:hint="eastAsia" w:hAnsi="宋体"/>
          <w:bCs/>
          <w:sz w:val="21"/>
          <w:szCs w:val="21"/>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wordWrap w:val="0"/>
        <w:spacing w:line="360" w:lineRule="auto"/>
        <w:ind w:firstLine="404" w:firstLineChars="200"/>
        <w:rPr>
          <w:rFonts w:hint="eastAsia" w:hAnsi="宋体"/>
          <w:bCs/>
          <w:sz w:val="21"/>
          <w:szCs w:val="21"/>
        </w:rPr>
      </w:pPr>
      <w:r>
        <w:rPr>
          <w:rFonts w:hint="eastAsia" w:hAnsi="宋体"/>
          <w:bCs/>
          <w:sz w:val="21"/>
          <w:szCs w:val="21"/>
        </w:rPr>
        <w:t>6. 监狱企业同视为小型、微型企业，享受小微企业政策扶持。</w:t>
      </w:r>
    </w:p>
    <w:p>
      <w:pPr>
        <w:pStyle w:val="18"/>
        <w:wordWrap w:val="0"/>
        <w:spacing w:line="360" w:lineRule="auto"/>
        <w:ind w:firstLine="404" w:firstLineChars="200"/>
        <w:rPr>
          <w:rFonts w:hint="eastAsia" w:hAnsi="宋体"/>
          <w:bCs/>
          <w:sz w:val="21"/>
          <w:szCs w:val="21"/>
        </w:rPr>
      </w:pPr>
      <w:r>
        <w:rPr>
          <w:rFonts w:hAnsi="宋体"/>
          <w:bCs/>
          <w:sz w:val="21"/>
          <w:szCs w:val="21"/>
        </w:rPr>
        <w:br w:type="page"/>
      </w:r>
    </w:p>
    <w:p>
      <w:pPr>
        <w:numPr>
          <w:ilvl w:val="0"/>
          <w:numId w:val="7"/>
        </w:numPr>
        <w:spacing w:line="360" w:lineRule="auto"/>
        <w:rPr>
          <w:rFonts w:hint="eastAsia" w:ascii="宋体" w:hAnsi="宋体"/>
          <w:b/>
          <w:szCs w:val="21"/>
        </w:rPr>
      </w:pPr>
      <w:r>
        <w:rPr>
          <w:rFonts w:hint="eastAsia" w:ascii="宋体" w:hAnsi="宋体"/>
          <w:b/>
          <w:szCs w:val="21"/>
        </w:rPr>
        <w:t>技术分：</w:t>
      </w:r>
    </w:p>
    <w:p>
      <w:pPr>
        <w:pStyle w:val="18"/>
        <w:wordWrap w:val="0"/>
        <w:spacing w:line="360" w:lineRule="auto"/>
        <w:ind w:firstLine="404" w:firstLineChars="200"/>
        <w:rPr>
          <w:rFonts w:hint="eastAsia" w:hAnsi="宋体"/>
          <w:b/>
          <w:szCs w:val="21"/>
        </w:rPr>
      </w:pPr>
      <w:r>
        <w:rPr>
          <w:rFonts w:hint="eastAsia" w:hAnsi="宋体"/>
          <w:bCs/>
          <w:sz w:val="21"/>
          <w:szCs w:val="21"/>
        </w:rPr>
        <w:t>各评委成员按评标具体办法独立进行评判，每人一张评分计算票，并记名。如某张票的一个因素项目超过规定的范围，则该张票无效。各投标人的技术分值为所有评标成员给出的值算术平均值。</w:t>
      </w:r>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bookmarkStart w:id="388" w:name="_Toc493511777"/>
            <w:bookmarkStart w:id="389" w:name="_Toc522549217"/>
            <w:r>
              <w:rPr>
                <w:rFonts w:hint="eastAsia"/>
              </w:rPr>
              <w:t>序号</w:t>
            </w:r>
            <w:bookmarkEnd w:id="388"/>
            <w:bookmarkEnd w:id="389"/>
          </w:p>
        </w:tc>
        <w:tc>
          <w:tcPr>
            <w:tcW w:w="7088" w:type="dxa"/>
            <w:noWrap w:val="0"/>
            <w:vAlign w:val="center"/>
          </w:tcPr>
          <w:p>
            <w:pPr>
              <w:spacing w:before="120" w:beforeLines="50" w:line="360" w:lineRule="auto"/>
              <w:jc w:val="center"/>
              <w:rPr>
                <w:rFonts w:hint="eastAsia"/>
              </w:rPr>
            </w:pPr>
            <w:bookmarkStart w:id="390" w:name="_Toc522549218"/>
            <w:bookmarkStart w:id="391" w:name="_Toc493511778"/>
            <w:r>
              <w:rPr>
                <w:rFonts w:hint="eastAsia"/>
              </w:rPr>
              <w:t>评分标准</w:t>
            </w:r>
            <w:bookmarkEnd w:id="390"/>
            <w:bookmarkEnd w:id="391"/>
          </w:p>
        </w:tc>
        <w:tc>
          <w:tcPr>
            <w:tcW w:w="1134" w:type="dxa"/>
            <w:noWrap w:val="0"/>
            <w:vAlign w:val="center"/>
          </w:tcPr>
          <w:p>
            <w:pPr>
              <w:spacing w:before="120" w:beforeLines="50" w:line="360" w:lineRule="auto"/>
              <w:jc w:val="center"/>
              <w:rPr>
                <w:rFonts w:hint="eastAsia"/>
              </w:rPr>
            </w:pPr>
            <w:bookmarkStart w:id="392" w:name="_Toc522549219"/>
            <w:bookmarkStart w:id="393" w:name="_Toc493511779"/>
            <w:r>
              <w:rPr>
                <w:rFonts w:hint="eastAsia"/>
              </w:rPr>
              <w:t>最高得分</w:t>
            </w:r>
            <w:bookmarkEnd w:id="392"/>
            <w:bookmarkEnd w:id="3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bookmarkStart w:id="394" w:name="_Toc522549220"/>
            <w:bookmarkStart w:id="395" w:name="_Toc493511780"/>
            <w:bookmarkStart w:id="396" w:name="OLE_LINK1" w:colFirst="2" w:colLast="66"/>
            <w:r>
              <w:rPr>
                <w:rFonts w:hint="eastAsia"/>
              </w:rPr>
              <w:t>1</w:t>
            </w:r>
            <w:bookmarkEnd w:id="394"/>
            <w:bookmarkEnd w:id="395"/>
          </w:p>
        </w:tc>
        <w:tc>
          <w:tcPr>
            <w:tcW w:w="7088" w:type="dxa"/>
            <w:noWrap w:val="0"/>
            <w:vAlign w:val="center"/>
          </w:tcPr>
          <w:p>
            <w:pPr>
              <w:spacing w:before="120" w:beforeLines="50" w:line="360" w:lineRule="auto"/>
              <w:jc w:val="left"/>
              <w:rPr>
                <w:rFonts w:hint="eastAsia"/>
              </w:rPr>
            </w:pPr>
            <w:bookmarkStart w:id="397" w:name="_Toc522549221"/>
            <w:r>
              <w:rPr>
                <w:rFonts w:hint="eastAsia"/>
              </w:rPr>
              <w:t>针</w:t>
            </w:r>
            <w:r>
              <w:rPr>
                <w:rFonts w:ascii="宋体" w:hAnsi="宋体"/>
                <w:szCs w:val="21"/>
              </w:rPr>
              <w:t>对本项目系统总体要求的理解</w:t>
            </w:r>
            <w:r>
              <w:rPr>
                <w:rFonts w:hint="eastAsia"/>
              </w:rPr>
              <w:t>，进行综合评分；（0-</w:t>
            </w:r>
            <w:r>
              <w:t>6</w:t>
            </w:r>
            <w:r>
              <w:rPr>
                <w:rFonts w:hint="eastAsia"/>
              </w:rPr>
              <w:t>分</w:t>
            </w:r>
            <w:bookmarkEnd w:id="397"/>
            <w:r>
              <w:rPr>
                <w:rFonts w:hint="eastAsia"/>
              </w:rPr>
              <w:t>）</w:t>
            </w:r>
          </w:p>
        </w:tc>
        <w:tc>
          <w:tcPr>
            <w:tcW w:w="1134" w:type="dxa"/>
            <w:noWrap w:val="0"/>
            <w:vAlign w:val="center"/>
          </w:tcPr>
          <w:p>
            <w:pPr>
              <w:spacing w:before="120" w:beforeLines="50" w:line="360" w:lineRule="auto"/>
              <w:jc w:val="center"/>
              <w:rPr>
                <w:rFonts w:hint="eastAsia"/>
              </w:rP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bookmarkStart w:id="398" w:name="_Toc522549223"/>
            <w:r>
              <w:rPr>
                <w:rFonts w:hint="eastAsia"/>
              </w:rPr>
              <w:t>2</w:t>
            </w:r>
            <w:bookmarkEnd w:id="398"/>
          </w:p>
        </w:tc>
        <w:tc>
          <w:tcPr>
            <w:tcW w:w="7088" w:type="dxa"/>
            <w:noWrap w:val="0"/>
            <w:vAlign w:val="center"/>
          </w:tcPr>
          <w:p>
            <w:pPr>
              <w:spacing w:before="120" w:beforeLines="50" w:line="360" w:lineRule="auto"/>
              <w:jc w:val="left"/>
              <w:rPr>
                <w:rFonts w:hint="eastAsia"/>
              </w:rPr>
            </w:pPr>
            <w:bookmarkStart w:id="399" w:name="_Toc522549224"/>
            <w:r>
              <w:rPr>
                <w:rFonts w:hint="eastAsia"/>
              </w:rPr>
              <w:t>投标设备的基本功能、技术指标与项目需求的吻合程度和偏差情况（指详细配置），是否能够满足招标文件要求，全部满足得10分，有一项不满足该项不得分；</w:t>
            </w:r>
            <w:bookmarkEnd w:id="399"/>
            <w:r>
              <w:rPr>
                <w:rFonts w:hint="eastAsia"/>
              </w:rPr>
              <w:t>（0-10分）</w:t>
            </w:r>
          </w:p>
        </w:tc>
        <w:tc>
          <w:tcPr>
            <w:tcW w:w="1134" w:type="dxa"/>
            <w:noWrap w:val="0"/>
            <w:vAlign w:val="center"/>
          </w:tcPr>
          <w:p>
            <w:pPr>
              <w:spacing w:before="120" w:beforeLines="50" w:line="360" w:lineRule="auto"/>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t>3</w:t>
            </w:r>
          </w:p>
        </w:tc>
        <w:tc>
          <w:tcPr>
            <w:tcW w:w="7088" w:type="dxa"/>
            <w:noWrap w:val="0"/>
            <w:vAlign w:val="center"/>
          </w:tcPr>
          <w:p>
            <w:pPr>
              <w:spacing w:before="120" w:beforeLines="50" w:line="360" w:lineRule="auto"/>
              <w:jc w:val="left"/>
              <w:rPr>
                <w:rFonts w:hint="eastAsia"/>
              </w:rPr>
            </w:pPr>
            <w:bookmarkStart w:id="400" w:name="_Toc522549230"/>
            <w:r>
              <w:rPr>
                <w:rFonts w:hint="eastAsia"/>
              </w:rPr>
              <w:t>针对本项目服务的技术方案及保证措施，进行综合评分；（0-7分）</w:t>
            </w:r>
            <w:bookmarkEnd w:id="400"/>
          </w:p>
        </w:tc>
        <w:tc>
          <w:tcPr>
            <w:tcW w:w="1134" w:type="dxa"/>
            <w:noWrap w:val="0"/>
            <w:vAlign w:val="center"/>
          </w:tcPr>
          <w:p>
            <w:pPr>
              <w:spacing w:before="120" w:beforeLines="50" w:line="360" w:lineRule="auto"/>
              <w:jc w:val="center"/>
              <w:rPr>
                <w:rFonts w:hint="eastAsia"/>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t>4</w:t>
            </w:r>
          </w:p>
        </w:tc>
        <w:tc>
          <w:tcPr>
            <w:tcW w:w="7088" w:type="dxa"/>
            <w:noWrap w:val="0"/>
            <w:vAlign w:val="center"/>
          </w:tcPr>
          <w:p>
            <w:pPr>
              <w:spacing w:before="120" w:beforeLines="50" w:line="360" w:lineRule="auto"/>
              <w:jc w:val="left"/>
              <w:rPr>
                <w:rFonts w:hint="eastAsia"/>
              </w:rPr>
            </w:pPr>
            <w:bookmarkStart w:id="401" w:name="_Toc522549233"/>
            <w:r>
              <w:rPr>
                <w:rFonts w:hint="eastAsia"/>
              </w:rPr>
              <w:t>针对本项目的项目进度安排，进行综合评分；（0-6分）</w:t>
            </w:r>
            <w:bookmarkEnd w:id="401"/>
          </w:p>
        </w:tc>
        <w:tc>
          <w:tcPr>
            <w:tcW w:w="1134" w:type="dxa"/>
            <w:noWrap w:val="0"/>
            <w:vAlign w:val="center"/>
          </w:tcPr>
          <w:p>
            <w:pPr>
              <w:spacing w:before="120" w:beforeLines="50" w:line="360" w:lineRule="auto"/>
              <w:jc w:val="center"/>
              <w:rPr>
                <w:rFonts w:hint="eastAsia"/>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t>5</w:t>
            </w:r>
          </w:p>
        </w:tc>
        <w:tc>
          <w:tcPr>
            <w:tcW w:w="7088" w:type="dxa"/>
            <w:noWrap w:val="0"/>
            <w:vAlign w:val="center"/>
          </w:tcPr>
          <w:p>
            <w:pPr>
              <w:spacing w:before="120" w:beforeLines="50" w:line="360" w:lineRule="auto"/>
              <w:jc w:val="left"/>
              <w:rPr>
                <w:rFonts w:hint="eastAsia"/>
              </w:rPr>
            </w:pPr>
            <w:bookmarkStart w:id="402" w:name="_Toc522549236"/>
            <w:r>
              <w:rPr>
                <w:rFonts w:ascii="宋体" w:hAnsi="宋体"/>
                <w:szCs w:val="21"/>
              </w:rPr>
              <w:t>保证</w:t>
            </w:r>
            <w:r>
              <w:rPr>
                <w:rFonts w:hint="eastAsia" w:ascii="宋体" w:hAnsi="宋体"/>
                <w:szCs w:val="21"/>
              </w:rPr>
              <w:t>本项目有效实施的</w:t>
            </w:r>
            <w:r>
              <w:rPr>
                <w:rFonts w:ascii="宋体" w:hAnsi="宋体"/>
                <w:szCs w:val="21"/>
              </w:rPr>
              <w:t>组织</w:t>
            </w:r>
            <w:r>
              <w:rPr>
                <w:rFonts w:hint="eastAsia" w:ascii="宋体" w:hAnsi="宋体"/>
                <w:szCs w:val="21"/>
              </w:rPr>
              <w:t>结构</w:t>
            </w:r>
            <w:r>
              <w:rPr>
                <w:rFonts w:ascii="宋体" w:hAnsi="宋体"/>
                <w:szCs w:val="21"/>
              </w:rPr>
              <w:t>及人力资源安排</w:t>
            </w:r>
            <w:r>
              <w:rPr>
                <w:rFonts w:hint="eastAsia"/>
              </w:rPr>
              <w:t>，根据其合理性、完整性、科学性等综合评分；（0-</w:t>
            </w:r>
            <w:r>
              <w:t>5</w:t>
            </w:r>
            <w:r>
              <w:rPr>
                <w:rFonts w:hint="eastAsia"/>
              </w:rPr>
              <w:t>分）</w:t>
            </w:r>
            <w:bookmarkEnd w:id="402"/>
          </w:p>
        </w:tc>
        <w:tc>
          <w:tcPr>
            <w:tcW w:w="1134" w:type="dxa"/>
            <w:noWrap w:val="0"/>
            <w:vAlign w:val="center"/>
          </w:tcPr>
          <w:p>
            <w:pPr>
              <w:spacing w:before="120" w:beforeLines="50" w:line="360" w:lineRule="auto"/>
              <w:jc w:val="center"/>
              <w:rPr>
                <w:rFonts w:hint="eastAsia"/>
              </w:rP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rPr>
                <w:rFonts w:hint="eastAsia"/>
              </w:rPr>
              <w:t>6</w:t>
            </w:r>
          </w:p>
        </w:tc>
        <w:tc>
          <w:tcPr>
            <w:tcW w:w="7088" w:type="dxa"/>
            <w:noWrap w:val="0"/>
            <w:vAlign w:val="center"/>
          </w:tcPr>
          <w:p>
            <w:pPr>
              <w:spacing w:before="120" w:beforeLines="50" w:line="360" w:lineRule="auto"/>
              <w:jc w:val="left"/>
              <w:rPr>
                <w:rFonts w:hint="eastAsia"/>
              </w:rPr>
            </w:pPr>
            <w:bookmarkStart w:id="403" w:name="_Toc522549242"/>
            <w:r>
              <w:rPr>
                <w:rFonts w:hint="eastAsia"/>
              </w:rPr>
              <w:t>根据投标人提供的项目完成以后的后期项目服务方案和服务承诺情况，以及服务承诺的可行性、完整性以及服务承诺落实的保障措施等其他优惠承诺等情况打分；（0-7分）</w:t>
            </w:r>
            <w:bookmarkEnd w:id="403"/>
          </w:p>
        </w:tc>
        <w:tc>
          <w:tcPr>
            <w:tcW w:w="1134" w:type="dxa"/>
            <w:noWrap w:val="0"/>
            <w:vAlign w:val="center"/>
          </w:tcPr>
          <w:p>
            <w:pPr>
              <w:spacing w:before="120" w:beforeLines="50" w:line="360" w:lineRule="auto"/>
              <w:jc w:val="center"/>
              <w:rPr>
                <w:rFonts w:hint="eastAsia"/>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rPr>
                <w:rFonts w:hint="eastAsia"/>
              </w:rPr>
              <w:t>7</w:t>
            </w:r>
          </w:p>
        </w:tc>
        <w:tc>
          <w:tcPr>
            <w:tcW w:w="7088" w:type="dxa"/>
            <w:noWrap w:val="0"/>
            <w:vAlign w:val="center"/>
          </w:tcPr>
          <w:p>
            <w:pPr>
              <w:spacing w:before="120" w:beforeLines="50" w:line="360" w:lineRule="auto"/>
              <w:jc w:val="left"/>
              <w:rPr>
                <w:rFonts w:hint="eastAsia"/>
              </w:rPr>
            </w:pPr>
            <w:bookmarkStart w:id="404" w:name="_Toc522549245"/>
            <w:r>
              <w:rPr>
                <w:rFonts w:hint="eastAsia"/>
              </w:rPr>
              <w:t>根据投标人在本项目服务的地区范围内的售后服务网点数量（网点需自营，提供网点证明材料复印件做在投标文件），根据网点的分布范围及多少打分；（0-6分）</w:t>
            </w:r>
            <w:bookmarkEnd w:id="404"/>
          </w:p>
          <w:p>
            <w:pPr>
              <w:spacing w:before="120" w:beforeLines="50" w:line="360" w:lineRule="auto"/>
              <w:jc w:val="left"/>
              <w:rPr>
                <w:rFonts w:hint="eastAsia"/>
              </w:rPr>
            </w:pPr>
            <w:r>
              <w:rPr>
                <w:rFonts w:hint="eastAsia"/>
              </w:rPr>
              <w:t>网点分布数量≥10家，得6分；网点分布数量≥5家，得3分；网点分布数量＜5家，得1分；</w:t>
            </w:r>
          </w:p>
        </w:tc>
        <w:tc>
          <w:tcPr>
            <w:tcW w:w="1134" w:type="dxa"/>
            <w:noWrap w:val="0"/>
            <w:vAlign w:val="center"/>
          </w:tcPr>
          <w:p>
            <w:pPr>
              <w:spacing w:before="120" w:beforeLines="50" w:line="360" w:lineRule="auto"/>
              <w:jc w:val="center"/>
              <w:rPr>
                <w:rFonts w:hint="eastAsia"/>
              </w:rPr>
            </w:pPr>
            <w:r>
              <w:rPr>
                <w:rFonts w:hint="eastAsia"/>
              </w:rPr>
              <w:t>6</w:t>
            </w:r>
          </w:p>
        </w:tc>
      </w:tr>
      <w:bookmarkEnd w:id="3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p>
        </w:tc>
        <w:tc>
          <w:tcPr>
            <w:tcW w:w="7088" w:type="dxa"/>
            <w:noWrap w:val="0"/>
            <w:vAlign w:val="center"/>
          </w:tcPr>
          <w:p>
            <w:pPr>
              <w:spacing w:before="120" w:beforeLines="50" w:line="360" w:lineRule="auto"/>
              <w:jc w:val="center"/>
              <w:rPr>
                <w:rFonts w:hint="eastAsia"/>
              </w:rPr>
            </w:pPr>
            <w:bookmarkStart w:id="405" w:name="_Toc522549247"/>
            <w:r>
              <w:rPr>
                <w:rFonts w:hint="eastAsia"/>
              </w:rPr>
              <w:t>合计</w:t>
            </w:r>
            <w:bookmarkEnd w:id="405"/>
          </w:p>
        </w:tc>
        <w:tc>
          <w:tcPr>
            <w:tcW w:w="1134" w:type="dxa"/>
            <w:noWrap w:val="0"/>
            <w:vAlign w:val="center"/>
          </w:tcPr>
          <w:p>
            <w:pPr>
              <w:spacing w:before="120" w:beforeLines="50" w:line="360" w:lineRule="auto"/>
              <w:jc w:val="center"/>
              <w:rPr>
                <w:rFonts w:hint="eastAsia"/>
              </w:rPr>
            </w:pPr>
            <w:r>
              <w:t>4</w:t>
            </w:r>
            <w:r>
              <w:rPr>
                <w:rFonts w:hint="eastAsia"/>
              </w:rPr>
              <w:t>7</w:t>
            </w:r>
          </w:p>
        </w:tc>
      </w:tr>
    </w:tbl>
    <w:p>
      <w:pPr>
        <w:snapToGrid w:val="0"/>
        <w:spacing w:line="360" w:lineRule="auto"/>
        <w:jc w:val="left"/>
        <w:outlineLvl w:val="1"/>
        <w:rPr>
          <w:rFonts w:hint="eastAsia" w:ascii="宋体" w:hAnsi="宋体"/>
          <w:szCs w:val="21"/>
        </w:rPr>
      </w:pPr>
    </w:p>
    <w:p>
      <w:pPr>
        <w:snapToGrid w:val="0"/>
        <w:spacing w:line="360" w:lineRule="auto"/>
        <w:jc w:val="left"/>
        <w:outlineLvl w:val="1"/>
        <w:rPr>
          <w:rFonts w:hint="eastAsia" w:ascii="宋体" w:hAnsi="宋体"/>
          <w:szCs w:val="21"/>
        </w:rPr>
      </w:pPr>
      <w:bookmarkStart w:id="406" w:name="_Toc522549249"/>
      <w:bookmarkStart w:id="407" w:name="_Toc524612768"/>
      <w:bookmarkStart w:id="408" w:name="_Toc523583119"/>
      <w:r>
        <w:rPr>
          <w:rFonts w:hint="eastAsia" w:ascii="宋体" w:hAnsi="宋体"/>
          <w:szCs w:val="21"/>
        </w:rPr>
        <w:t>（三）商务、资信及其他分</w:t>
      </w:r>
      <w:bookmarkEnd w:id="406"/>
      <w:bookmarkEnd w:id="407"/>
      <w:bookmarkEnd w:id="408"/>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bookmarkStart w:id="409" w:name="_Toc522549250"/>
            <w:r>
              <w:rPr>
                <w:rFonts w:hint="eastAsia"/>
              </w:rPr>
              <w:t>序号</w:t>
            </w:r>
            <w:bookmarkEnd w:id="409"/>
          </w:p>
        </w:tc>
        <w:tc>
          <w:tcPr>
            <w:tcW w:w="7088" w:type="dxa"/>
            <w:noWrap w:val="0"/>
            <w:vAlign w:val="center"/>
          </w:tcPr>
          <w:p>
            <w:pPr>
              <w:spacing w:before="120" w:beforeLines="50" w:line="360" w:lineRule="auto"/>
              <w:jc w:val="center"/>
              <w:rPr>
                <w:rFonts w:hint="eastAsia"/>
              </w:rPr>
            </w:pPr>
            <w:bookmarkStart w:id="410" w:name="_Toc522549251"/>
            <w:r>
              <w:rPr>
                <w:rFonts w:hint="eastAsia"/>
              </w:rPr>
              <w:t>评分标准</w:t>
            </w:r>
            <w:bookmarkEnd w:id="410"/>
          </w:p>
        </w:tc>
        <w:tc>
          <w:tcPr>
            <w:tcW w:w="1134" w:type="dxa"/>
            <w:noWrap w:val="0"/>
            <w:vAlign w:val="center"/>
          </w:tcPr>
          <w:p>
            <w:pPr>
              <w:spacing w:before="120" w:beforeLines="50" w:line="360" w:lineRule="auto"/>
              <w:jc w:val="center"/>
              <w:rPr>
                <w:rFonts w:hint="eastAsia"/>
              </w:rPr>
            </w:pPr>
            <w:bookmarkStart w:id="411" w:name="_Toc522549252"/>
            <w:r>
              <w:rPr>
                <w:rFonts w:hint="eastAsia"/>
              </w:rPr>
              <w:t>最高得分</w:t>
            </w:r>
            <w:bookmarkEnd w:id="4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rPr>
                <w:rFonts w:hint="eastAsia"/>
              </w:rPr>
              <w:t>8</w:t>
            </w:r>
          </w:p>
        </w:tc>
        <w:tc>
          <w:tcPr>
            <w:tcW w:w="7088" w:type="dxa"/>
            <w:noWrap w:val="0"/>
            <w:vAlign w:val="center"/>
          </w:tcPr>
          <w:p>
            <w:pPr>
              <w:spacing w:before="120" w:beforeLines="50" w:line="360" w:lineRule="auto"/>
              <w:jc w:val="left"/>
              <w:rPr>
                <w:rFonts w:hint="eastAsia"/>
              </w:rPr>
            </w:pPr>
            <w:bookmarkStart w:id="412" w:name="_Toc493511800"/>
            <w:bookmarkStart w:id="413" w:name="_Toc522549254"/>
            <w:r>
              <w:rPr>
                <w:rFonts w:hint="eastAsia"/>
              </w:rPr>
              <w:t>根据投标人的资质信誉、知名度、市场形象、用户反馈、违法违规记录等情况的综合评价，其中资质信誉好、知名度高、市场形象佳、用户反馈好、无违法违规记录的，得5分；</w:t>
            </w:r>
            <w:bookmarkEnd w:id="412"/>
            <w:bookmarkEnd w:id="413"/>
          </w:p>
          <w:p>
            <w:pPr>
              <w:spacing w:before="120" w:beforeLines="50" w:line="360" w:lineRule="auto"/>
              <w:jc w:val="left"/>
              <w:rPr>
                <w:rFonts w:hint="eastAsia"/>
              </w:rPr>
            </w:pPr>
            <w:bookmarkStart w:id="414" w:name="_Toc522549255"/>
            <w:bookmarkStart w:id="415" w:name="_Toc493511801"/>
            <w:r>
              <w:rPr>
                <w:rFonts w:hint="eastAsia"/>
              </w:rPr>
              <w:t>上述各项中有欠缺的或者投标人存在未结纠纷（诉讼）的，每项扣1分，扣完该项得分为止；</w:t>
            </w:r>
            <w:bookmarkEnd w:id="414"/>
            <w:bookmarkEnd w:id="415"/>
          </w:p>
          <w:p>
            <w:pPr>
              <w:spacing w:before="120" w:beforeLines="50" w:line="360" w:lineRule="auto"/>
              <w:jc w:val="left"/>
              <w:rPr>
                <w:rFonts w:hint="eastAsia"/>
              </w:rPr>
            </w:pPr>
            <w:bookmarkStart w:id="416" w:name="_Toc493511802"/>
            <w:bookmarkStart w:id="417" w:name="_Toc522549256"/>
            <w:r>
              <w:rPr>
                <w:rFonts w:hint="eastAsia"/>
              </w:rPr>
              <w:t>在政府采购活动中有不诚信记录的，本项不得分；</w:t>
            </w:r>
            <w:bookmarkEnd w:id="416"/>
            <w:bookmarkEnd w:id="417"/>
          </w:p>
        </w:tc>
        <w:tc>
          <w:tcPr>
            <w:tcW w:w="1134" w:type="dxa"/>
            <w:noWrap w:val="0"/>
            <w:vAlign w:val="center"/>
          </w:tcPr>
          <w:p>
            <w:pPr>
              <w:spacing w:before="120" w:beforeLines="50" w:line="360" w:lineRule="auto"/>
              <w:jc w:val="center"/>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r>
              <w:rPr>
                <w:rFonts w:hint="eastAsia"/>
              </w:rPr>
              <w:t>9</w:t>
            </w:r>
          </w:p>
        </w:tc>
        <w:tc>
          <w:tcPr>
            <w:tcW w:w="7088" w:type="dxa"/>
            <w:noWrap w:val="0"/>
            <w:vAlign w:val="center"/>
          </w:tcPr>
          <w:p>
            <w:pPr>
              <w:spacing w:before="120" w:beforeLines="50" w:line="360" w:lineRule="auto"/>
              <w:jc w:val="left"/>
              <w:rPr>
                <w:rFonts w:hint="eastAsia"/>
              </w:rPr>
            </w:pPr>
            <w:r>
              <w:rPr>
                <w:rFonts w:hint="eastAsia"/>
              </w:rPr>
              <w:t>投标人在本项目中所提供的终端及软件服务的销售资质（投标时提供生产厂家或代理商的销售授权书）；两款手机各</w:t>
            </w:r>
            <w:r>
              <w:t>5</w:t>
            </w:r>
            <w:r>
              <w:rPr>
                <w:rFonts w:hint="eastAsia"/>
              </w:rPr>
              <w:t>分，软件服务</w:t>
            </w:r>
            <w:r>
              <w:t>5</w:t>
            </w:r>
            <w:r>
              <w:rPr>
                <w:rFonts w:hint="eastAsia"/>
              </w:rPr>
              <w:t>分，全部满足得1</w:t>
            </w:r>
            <w:r>
              <w:t>5</w:t>
            </w:r>
            <w:r>
              <w:rPr>
                <w:rFonts w:hint="eastAsia"/>
              </w:rPr>
              <w:t>分；（0-1</w:t>
            </w:r>
            <w:r>
              <w:t>5</w:t>
            </w:r>
            <w:r>
              <w:rPr>
                <w:rFonts w:hint="eastAsia"/>
              </w:rPr>
              <w:t>分）</w:t>
            </w:r>
          </w:p>
        </w:tc>
        <w:tc>
          <w:tcPr>
            <w:tcW w:w="1134" w:type="dxa"/>
            <w:noWrap w:val="0"/>
            <w:vAlign w:val="center"/>
          </w:tcPr>
          <w:p>
            <w:pPr>
              <w:spacing w:before="120" w:beforeLines="50" w:line="360" w:lineRule="auto"/>
              <w:jc w:val="center"/>
              <w:rPr>
                <w:rFonts w:hint="eastAsia"/>
              </w:rPr>
            </w:pPr>
            <w:bookmarkStart w:id="418" w:name="_Toc522549263"/>
            <w:r>
              <w:rPr>
                <w:rFonts w:hint="eastAsia"/>
              </w:rPr>
              <w:t>1</w:t>
            </w:r>
            <w:bookmarkEnd w:id="418"/>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bookmarkStart w:id="419" w:name="_Toc493511821"/>
            <w:bookmarkEnd w:id="419"/>
            <w:bookmarkStart w:id="420" w:name="_Toc522549267"/>
            <w:r>
              <w:rPr>
                <w:rFonts w:hint="eastAsia"/>
              </w:rPr>
              <w:t>1</w:t>
            </w:r>
            <w:bookmarkEnd w:id="420"/>
            <w:r>
              <w:rPr>
                <w:rFonts w:hint="eastAsia"/>
              </w:rPr>
              <w:t>0</w:t>
            </w:r>
          </w:p>
        </w:tc>
        <w:tc>
          <w:tcPr>
            <w:tcW w:w="7088" w:type="dxa"/>
            <w:noWrap w:val="0"/>
            <w:vAlign w:val="center"/>
          </w:tcPr>
          <w:p>
            <w:pPr>
              <w:spacing w:before="120" w:beforeLines="50" w:line="360" w:lineRule="auto"/>
              <w:jc w:val="left"/>
              <w:rPr>
                <w:rFonts w:hint="eastAsia"/>
              </w:rPr>
            </w:pPr>
            <w:bookmarkStart w:id="421" w:name="_Toc493511822"/>
            <w:bookmarkStart w:id="422" w:name="_Toc522549268"/>
            <w:r>
              <w:rPr>
                <w:rFonts w:hint="eastAsia"/>
              </w:rPr>
              <w:t>投标文件编制完整，格式规范、环保（双面打印）、装订整齐、符合招标文件要求的，得</w:t>
            </w:r>
            <w:r>
              <w:t>3</w:t>
            </w:r>
            <w:r>
              <w:rPr>
                <w:rFonts w:hint="eastAsia"/>
              </w:rPr>
              <w:t>分；投标文件有关内容前后矛盾、与招标文件要求不一致等，评标委员会允许且需要通过询标等程序进行澄清的，该项不得分；投标文件存在其他错漏的，每项（次）扣 0.5 分，扣完该项得分为止。</w:t>
            </w:r>
            <w:bookmarkEnd w:id="421"/>
            <w:bookmarkEnd w:id="422"/>
            <w:r>
              <w:rPr>
                <w:rFonts w:hint="eastAsia"/>
              </w:rPr>
              <w:t>（0-</w:t>
            </w:r>
            <w:r>
              <w:t>3</w:t>
            </w:r>
            <w:r>
              <w:rPr>
                <w:rFonts w:hint="eastAsia"/>
              </w:rPr>
              <w:t>分）</w:t>
            </w:r>
          </w:p>
        </w:tc>
        <w:tc>
          <w:tcPr>
            <w:tcW w:w="1134" w:type="dxa"/>
            <w:noWrap w:val="0"/>
            <w:vAlign w:val="center"/>
          </w:tcPr>
          <w:p>
            <w:pPr>
              <w:spacing w:before="120" w:beforeLines="50" w:line="360" w:lineRule="auto"/>
              <w:jc w:val="center"/>
              <w:rPr>
                <w:rFonts w:hint="eastAsia"/>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before="120" w:beforeLines="50" w:line="360" w:lineRule="auto"/>
              <w:jc w:val="center"/>
              <w:rPr>
                <w:rFonts w:hint="eastAsia"/>
              </w:rPr>
            </w:pPr>
          </w:p>
        </w:tc>
        <w:tc>
          <w:tcPr>
            <w:tcW w:w="7088" w:type="dxa"/>
            <w:noWrap w:val="0"/>
            <w:vAlign w:val="center"/>
          </w:tcPr>
          <w:p>
            <w:pPr>
              <w:spacing w:before="120" w:beforeLines="50" w:line="360" w:lineRule="auto"/>
              <w:jc w:val="center"/>
              <w:rPr>
                <w:rFonts w:hint="eastAsia"/>
              </w:rPr>
            </w:pPr>
            <w:bookmarkStart w:id="423" w:name="_Toc493511824"/>
            <w:bookmarkStart w:id="424" w:name="_Toc522549270"/>
            <w:r>
              <w:rPr>
                <w:rFonts w:hint="eastAsia"/>
              </w:rPr>
              <w:t>合计</w:t>
            </w:r>
            <w:bookmarkEnd w:id="423"/>
            <w:bookmarkEnd w:id="424"/>
          </w:p>
        </w:tc>
        <w:tc>
          <w:tcPr>
            <w:tcW w:w="1134" w:type="dxa"/>
            <w:noWrap w:val="0"/>
            <w:vAlign w:val="center"/>
          </w:tcPr>
          <w:p>
            <w:pPr>
              <w:spacing w:before="120" w:beforeLines="50" w:line="360" w:lineRule="auto"/>
              <w:jc w:val="center"/>
              <w:rPr>
                <w:rFonts w:hint="eastAsia"/>
              </w:rPr>
            </w:pPr>
            <w:r>
              <w:rPr>
                <w:rFonts w:hint="eastAsia"/>
              </w:rPr>
              <w:t>23</w:t>
            </w:r>
          </w:p>
        </w:tc>
      </w:tr>
    </w:tbl>
    <w:p>
      <w:pPr>
        <w:pStyle w:val="29"/>
        <w:spacing w:before="0" w:after="0" w:line="360" w:lineRule="auto"/>
        <w:rPr>
          <w:rFonts w:ascii="宋体" w:hAnsi="宋体"/>
          <w:b w:val="0"/>
          <w:bCs w:val="0"/>
          <w:sz w:val="21"/>
          <w:szCs w:val="21"/>
          <w:lang w:val="en-US" w:eastAsia="zh-CN"/>
        </w:rPr>
      </w:pPr>
    </w:p>
    <w:p>
      <w:pPr>
        <w:pStyle w:val="29"/>
        <w:spacing w:before="0" w:after="0" w:line="360" w:lineRule="auto"/>
        <w:rPr>
          <w:rFonts w:hint="eastAsia" w:ascii="宋体" w:hAnsi="宋体"/>
          <w:sz w:val="21"/>
          <w:szCs w:val="21"/>
          <w:lang w:eastAsia="zh-CN"/>
        </w:rPr>
      </w:pPr>
      <w:r>
        <w:rPr>
          <w:rFonts w:ascii="宋体" w:hAnsi="宋体"/>
          <w:b w:val="0"/>
          <w:bCs w:val="0"/>
          <w:sz w:val="21"/>
          <w:szCs w:val="21"/>
          <w:lang w:val="en-US" w:eastAsia="zh-CN"/>
        </w:rPr>
        <w:br w:type="page"/>
      </w:r>
    </w:p>
    <w:p>
      <w:pPr>
        <w:pStyle w:val="29"/>
        <w:spacing w:before="0" w:after="0" w:line="360" w:lineRule="auto"/>
        <w:rPr>
          <w:rFonts w:hint="eastAsia" w:ascii="宋体" w:hAnsi="宋体"/>
          <w:sz w:val="21"/>
          <w:szCs w:val="21"/>
        </w:rPr>
      </w:pPr>
      <w:bookmarkStart w:id="425" w:name="_Toc524612769"/>
      <w:r>
        <w:rPr>
          <w:rFonts w:hint="eastAsia" w:ascii="宋体" w:hAnsi="宋体"/>
          <w:sz w:val="21"/>
          <w:szCs w:val="21"/>
        </w:rPr>
        <w:t>第六章　磋商相关文件格式</w:t>
      </w:r>
      <w:bookmarkEnd w:id="384"/>
      <w:bookmarkEnd w:id="387"/>
      <w:bookmarkEnd w:id="425"/>
      <w:bookmarkStart w:id="426" w:name="_Toc47756041"/>
      <w:bookmarkStart w:id="427" w:name="_Toc45506740"/>
      <w:bookmarkStart w:id="428" w:name="_Toc15805942"/>
      <w:bookmarkStart w:id="429" w:name="_Toc15813259"/>
    </w:p>
    <w:p>
      <w:pPr>
        <w:pStyle w:val="4"/>
        <w:spacing w:before="0" w:after="0"/>
        <w:ind w:firstLine="1052" w:firstLineChars="499"/>
        <w:rPr>
          <w:rFonts w:hint="eastAsia" w:ascii="宋体" w:hAnsi="宋体" w:eastAsia="宋体"/>
          <w:sz w:val="21"/>
          <w:szCs w:val="21"/>
          <w:lang w:eastAsia="zh-CN"/>
        </w:rPr>
      </w:pPr>
      <w:bookmarkStart w:id="430" w:name="_Toc448487565"/>
      <w:bookmarkStart w:id="431" w:name="_Toc192313127"/>
      <w:bookmarkStart w:id="432" w:name="_Toc437979801"/>
      <w:bookmarkStart w:id="433" w:name="_Toc493082154"/>
      <w:bookmarkStart w:id="434" w:name="_Toc493699339"/>
      <w:bookmarkStart w:id="435" w:name="_Toc518327128"/>
    </w:p>
    <w:p>
      <w:pPr>
        <w:pStyle w:val="4"/>
        <w:spacing w:before="0" w:after="0"/>
        <w:ind w:firstLine="1052" w:firstLineChars="499"/>
        <w:rPr>
          <w:rFonts w:hint="eastAsia" w:ascii="宋体" w:hAnsi="宋体" w:eastAsia="宋体"/>
          <w:sz w:val="21"/>
          <w:szCs w:val="21"/>
        </w:rPr>
      </w:pPr>
      <w:bookmarkStart w:id="436" w:name="_Toc524612770"/>
      <w:bookmarkStart w:id="437" w:name="_Toc522549273"/>
      <w:bookmarkStart w:id="438" w:name="_Toc523583121"/>
      <w:r>
        <w:rPr>
          <w:rFonts w:ascii="宋体" w:hAnsi="宋体" w:eastAsia="宋体"/>
          <w:sz w:val="21"/>
          <w:szCs w:val="21"/>
        </w:rPr>
        <w:t>磋商</w:t>
      </w:r>
      <w:r>
        <w:rPr>
          <w:rFonts w:hint="eastAsia" w:ascii="宋体" w:hAnsi="宋体" w:eastAsia="宋体"/>
          <w:sz w:val="21"/>
          <w:szCs w:val="21"/>
        </w:rPr>
        <w:t>响应</w:t>
      </w:r>
      <w:r>
        <w:rPr>
          <w:rFonts w:ascii="宋体" w:hAnsi="宋体" w:eastAsia="宋体"/>
          <w:sz w:val="21"/>
          <w:szCs w:val="21"/>
        </w:rPr>
        <w:t>文件</w:t>
      </w:r>
      <w:r>
        <w:rPr>
          <w:rFonts w:hint="eastAsia" w:ascii="宋体" w:hAnsi="宋体" w:eastAsia="宋体"/>
          <w:sz w:val="21"/>
          <w:szCs w:val="21"/>
        </w:rPr>
        <w:t>及内外层信封</w:t>
      </w:r>
      <w:r>
        <w:rPr>
          <w:rFonts w:ascii="宋体" w:hAnsi="宋体" w:eastAsia="宋体"/>
          <w:sz w:val="21"/>
          <w:szCs w:val="21"/>
        </w:rPr>
        <w:t>封面格式</w:t>
      </w:r>
      <w:bookmarkEnd w:id="430"/>
      <w:bookmarkEnd w:id="431"/>
      <w:bookmarkEnd w:id="432"/>
      <w:bookmarkEnd w:id="433"/>
      <w:bookmarkEnd w:id="434"/>
      <w:bookmarkEnd w:id="435"/>
      <w:bookmarkEnd w:id="436"/>
      <w:bookmarkEnd w:id="437"/>
      <w:bookmarkEnd w:id="438"/>
    </w:p>
    <w:p>
      <w:pPr>
        <w:spacing w:line="360" w:lineRule="auto"/>
        <w:rPr>
          <w:rFonts w:ascii="宋体" w:hAnsi="宋体"/>
          <w:szCs w:val="21"/>
        </w:rPr>
      </w:pPr>
    </w:p>
    <w:p>
      <w:pPr>
        <w:spacing w:line="360" w:lineRule="auto"/>
        <w:jc w:val="center"/>
        <w:rPr>
          <w:rFonts w:hint="eastAsia" w:ascii="宋体" w:hAnsi="宋体"/>
          <w:szCs w:val="21"/>
        </w:rPr>
      </w:pPr>
      <w:r>
        <w:rPr>
          <w:rFonts w:hint="eastAsia" w:ascii="宋体" w:hAnsi="宋体"/>
          <w:szCs w:val="21"/>
        </w:rPr>
        <w:t>＿＿＿＿＿＿政府采购磋商项目</w:t>
      </w:r>
    </w:p>
    <w:p>
      <w:pPr>
        <w:spacing w:line="360" w:lineRule="auto"/>
        <w:jc w:val="center"/>
        <w:rPr>
          <w:rFonts w:ascii="宋体" w:hAnsi="宋体"/>
          <w:szCs w:val="21"/>
        </w:rPr>
      </w:pPr>
      <w:r>
        <w:rPr>
          <w:rFonts w:hint="eastAsia" w:ascii="宋体" w:hAnsi="宋体"/>
          <w:szCs w:val="21"/>
        </w:rPr>
        <w:t>响  应 书</w:t>
      </w:r>
    </w:p>
    <w:p>
      <w:pPr>
        <w:spacing w:line="360" w:lineRule="auto"/>
        <w:rPr>
          <w:rFonts w:ascii="宋体" w:hAnsi="宋体"/>
          <w:szCs w:val="21"/>
        </w:rPr>
      </w:pPr>
    </w:p>
    <w:p>
      <w:pPr>
        <w:spacing w:line="360" w:lineRule="auto"/>
        <w:ind w:firstLine="934" w:firstLineChars="445"/>
        <w:rPr>
          <w:rFonts w:hint="eastAsia" w:ascii="宋体" w:hAnsi="宋体"/>
          <w:bCs/>
          <w:szCs w:val="21"/>
        </w:rPr>
      </w:pPr>
      <w:r>
        <w:rPr>
          <w:rFonts w:hint="eastAsia" w:ascii="宋体" w:hAnsi="宋体"/>
          <w:bCs/>
          <w:szCs w:val="21"/>
        </w:rPr>
        <w:t>项目名称：</w:t>
      </w:r>
      <w:r>
        <w:rPr>
          <w:rFonts w:hint="eastAsia" w:ascii="宋体" w:hAnsi="宋体"/>
          <w:bCs/>
          <w:szCs w:val="21"/>
          <w:u w:val="single"/>
        </w:rPr>
        <w:t xml:space="preserve">                                 </w:t>
      </w:r>
    </w:p>
    <w:p>
      <w:pPr>
        <w:spacing w:line="360" w:lineRule="auto"/>
        <w:ind w:firstLine="420" w:firstLineChars="20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bCs/>
          <w:szCs w:val="21"/>
        </w:rPr>
        <w:t>项目编号</w:t>
      </w:r>
      <w:r>
        <w:rPr>
          <w:rFonts w:hint="eastAsia" w:ascii="宋体" w:hAnsi="宋体"/>
          <w:szCs w:val="21"/>
        </w:rPr>
        <w:t>：</w:t>
      </w:r>
      <w:r>
        <w:rPr>
          <w:rFonts w:hint="eastAsia" w:ascii="宋体" w:hAnsi="宋体"/>
          <w:szCs w:val="21"/>
          <w:u w:val="single"/>
        </w:rPr>
        <w:t xml:space="preserve">                                 </w:t>
      </w:r>
    </w:p>
    <w:p>
      <w:pPr>
        <w:pStyle w:val="5"/>
        <w:spacing w:line="360" w:lineRule="auto"/>
        <w:ind w:firstLine="873" w:firstLineChars="416"/>
        <w:rPr>
          <w:rFonts w:ascii="宋体" w:hAnsi="宋体"/>
          <w:szCs w:val="21"/>
        </w:rPr>
      </w:pPr>
      <w:r>
        <w:rPr>
          <w:rFonts w:ascii="宋体" w:hAnsi="宋体"/>
          <w:szCs w:val="21"/>
        </w:rPr>
        <w:t>供应商名称（盖章）：</w:t>
      </w:r>
    </w:p>
    <w:p>
      <w:pPr>
        <w:pStyle w:val="5"/>
        <w:spacing w:line="360" w:lineRule="auto"/>
        <w:ind w:firstLine="873" w:firstLineChars="416"/>
        <w:rPr>
          <w:rFonts w:hint="eastAsia" w:ascii="宋体" w:hAnsi="宋体"/>
          <w:szCs w:val="21"/>
        </w:rPr>
      </w:pPr>
      <w:r>
        <w:rPr>
          <w:rFonts w:ascii="宋体" w:hAnsi="宋体"/>
          <w:szCs w:val="21"/>
        </w:rPr>
        <w:t>供应商地址：</w:t>
      </w:r>
    </w:p>
    <w:p>
      <w:pPr>
        <w:pStyle w:val="5"/>
        <w:spacing w:line="360" w:lineRule="auto"/>
        <w:ind w:firstLine="840" w:firstLineChars="400"/>
        <w:rPr>
          <w:rFonts w:ascii="宋体" w:hAnsi="宋体"/>
          <w:szCs w:val="21"/>
        </w:rPr>
      </w:pPr>
      <w:r>
        <w:rPr>
          <w:rFonts w:ascii="宋体" w:hAnsi="宋体"/>
          <w:szCs w:val="21"/>
        </w:rPr>
        <w:t>在  年  月  日  时  分之前不得启封</w:t>
      </w:r>
    </w:p>
    <w:p>
      <w:pPr>
        <w:pStyle w:val="5"/>
        <w:spacing w:line="360" w:lineRule="auto"/>
        <w:ind w:firstLine="873" w:firstLineChars="416"/>
        <w:rPr>
          <w:rFonts w:hint="eastAsia" w:ascii="宋体" w:hAnsi="宋体"/>
          <w:szCs w:val="21"/>
        </w:rPr>
      </w:pPr>
    </w:p>
    <w:p>
      <w:pPr>
        <w:spacing w:line="360" w:lineRule="auto"/>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ind w:firstLine="645"/>
        <w:jc w:val="center"/>
        <w:rPr>
          <w:rFonts w:hint="eastAsia" w:ascii="宋体" w:hAnsi="宋体"/>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adjustRightInd w:val="0"/>
        <w:spacing w:line="360" w:lineRule="auto"/>
        <w:jc w:val="center"/>
        <w:rPr>
          <w:rFonts w:hint="eastAsia" w:ascii="宋体" w:hAnsi="宋体"/>
          <w:b/>
          <w:szCs w:val="21"/>
        </w:rPr>
      </w:pPr>
    </w:p>
    <w:p>
      <w:pPr>
        <w:pStyle w:val="29"/>
        <w:rPr>
          <w:rFonts w:hint="eastAsia"/>
        </w:rPr>
      </w:pPr>
      <w:bookmarkStart w:id="439" w:name="_Toc524612771"/>
      <w:r>
        <w:rPr>
          <w:rFonts w:hint="eastAsia"/>
        </w:rPr>
        <w:t>磋商响应函</w:t>
      </w:r>
      <w:bookmarkEnd w:id="439"/>
    </w:p>
    <w:p>
      <w:pPr>
        <w:adjustRightInd w:val="0"/>
        <w:spacing w:line="360" w:lineRule="auto"/>
        <w:rPr>
          <w:rFonts w:hint="eastAsia" w:ascii="宋体" w:hAnsi="宋体"/>
          <w:szCs w:val="21"/>
          <w:u w:val="single"/>
        </w:rPr>
      </w:pPr>
      <w:r>
        <w:rPr>
          <w:rFonts w:hint="eastAsia" w:ascii="宋体" w:hAnsi="宋体"/>
          <w:szCs w:val="21"/>
        </w:rPr>
        <w:t>致：</w:t>
      </w:r>
      <w:r>
        <w:rPr>
          <w:rFonts w:hint="eastAsia" w:ascii="宋体" w:hAnsi="宋体"/>
          <w:szCs w:val="21"/>
          <w:u w:val="single"/>
        </w:rPr>
        <w:t xml:space="preserve">                                  </w:t>
      </w:r>
    </w:p>
    <w:p>
      <w:pPr>
        <w:adjustRightInd w:val="0"/>
        <w:spacing w:line="360" w:lineRule="auto"/>
        <w:rPr>
          <w:rFonts w:ascii="宋体" w:hAnsi="宋体"/>
          <w:szCs w:val="21"/>
        </w:rPr>
      </w:pPr>
      <w:r>
        <w:rPr>
          <w:rFonts w:ascii="宋体" w:hAnsi="宋体"/>
          <w:szCs w:val="21"/>
        </w:rPr>
        <w:t xml:space="preserve">    根据贵方为</w:t>
      </w:r>
      <w:r>
        <w:rPr>
          <w:rFonts w:hint="eastAsia" w:ascii="宋体" w:hAnsi="宋体"/>
          <w:szCs w:val="21"/>
          <w:u w:val="single"/>
        </w:rPr>
        <w:t xml:space="preserve">                 </w:t>
      </w:r>
      <w:r>
        <w:rPr>
          <w:rFonts w:hint="eastAsia" w:ascii="宋体" w:hAnsi="宋体"/>
          <w:szCs w:val="21"/>
        </w:rPr>
        <w:t>采购</w:t>
      </w:r>
      <w:r>
        <w:rPr>
          <w:rFonts w:ascii="宋体" w:hAnsi="宋体"/>
          <w:szCs w:val="21"/>
        </w:rPr>
        <w:t>项目的</w:t>
      </w:r>
      <w:r>
        <w:rPr>
          <w:rFonts w:hint="eastAsia" w:ascii="宋体" w:hAnsi="宋体"/>
          <w:szCs w:val="21"/>
        </w:rPr>
        <w:t>磋商[</w:t>
      </w:r>
      <w:r>
        <w:rPr>
          <w:rFonts w:hint="eastAsia" w:ascii="宋体" w:hAnsi="宋体"/>
          <w:szCs w:val="21"/>
          <w:u w:val="single"/>
        </w:rPr>
        <w:t xml:space="preserve">              </w:t>
      </w:r>
      <w:r>
        <w:rPr>
          <w:rFonts w:hint="eastAsia" w:ascii="宋体" w:hAnsi="宋体"/>
          <w:szCs w:val="21"/>
        </w:rPr>
        <w:t>]（项目编号）</w:t>
      </w:r>
      <w:r>
        <w:rPr>
          <w:rFonts w:ascii="宋体" w:hAnsi="宋体"/>
          <w:szCs w:val="21"/>
        </w:rPr>
        <w:t>，签字代表</w:t>
      </w:r>
      <w:r>
        <w:rPr>
          <w:rFonts w:hint="eastAsia" w:ascii="宋体" w:hAnsi="宋体"/>
          <w:szCs w:val="21"/>
          <w:u w:val="single"/>
        </w:rPr>
        <w:t xml:space="preserve">             </w:t>
      </w:r>
      <w:r>
        <w:rPr>
          <w:rFonts w:ascii="宋体" w:hAnsi="宋体"/>
          <w:szCs w:val="21"/>
        </w:rPr>
        <w:t>（全名）经正式授权并代表磋商</w:t>
      </w:r>
      <w:r>
        <w:rPr>
          <w:rFonts w:hint="eastAsia" w:ascii="宋体" w:hAnsi="宋体"/>
          <w:szCs w:val="21"/>
        </w:rPr>
        <w:t>响应</w:t>
      </w:r>
      <w:r>
        <w:rPr>
          <w:rFonts w:ascii="宋体" w:hAnsi="宋体"/>
          <w:szCs w:val="21"/>
        </w:rPr>
        <w:t>方</w:t>
      </w:r>
      <w:r>
        <w:rPr>
          <w:rFonts w:hint="eastAsia" w:ascii="宋体" w:hAnsi="宋体"/>
          <w:szCs w:val="21"/>
        </w:rPr>
        <w:t xml:space="preserve"> </w:t>
      </w:r>
      <w:r>
        <w:rPr>
          <w:rFonts w:hint="eastAsia" w:ascii="宋体" w:hAnsi="宋体"/>
          <w:szCs w:val="21"/>
          <w:u w:val="single"/>
        </w:rPr>
        <w:t xml:space="preserve">                 </w:t>
      </w:r>
      <w:r>
        <w:rPr>
          <w:rFonts w:ascii="宋体" w:hAnsi="宋体"/>
          <w:szCs w:val="21"/>
        </w:rPr>
        <w:t>（磋商</w:t>
      </w:r>
      <w:r>
        <w:rPr>
          <w:rFonts w:hint="eastAsia" w:ascii="宋体" w:hAnsi="宋体"/>
          <w:szCs w:val="21"/>
        </w:rPr>
        <w:t>响应</w:t>
      </w:r>
      <w:r>
        <w:rPr>
          <w:rFonts w:ascii="宋体" w:hAnsi="宋体"/>
          <w:szCs w:val="21"/>
        </w:rPr>
        <w:t>方名称）提交</w:t>
      </w:r>
      <w:r>
        <w:rPr>
          <w:rFonts w:hint="eastAsia" w:ascii="宋体" w:hAnsi="宋体"/>
          <w:szCs w:val="21"/>
        </w:rPr>
        <w:t>磋商响应文件</w:t>
      </w:r>
      <w:r>
        <w:rPr>
          <w:rFonts w:ascii="宋体" w:hAnsi="宋体"/>
          <w:szCs w:val="21"/>
        </w:rPr>
        <w:t>正本</w:t>
      </w:r>
      <w:r>
        <w:rPr>
          <w:rFonts w:hint="eastAsia" w:ascii="宋体" w:hAnsi="宋体"/>
          <w:szCs w:val="21"/>
        </w:rPr>
        <w:t>各</w:t>
      </w:r>
      <w:r>
        <w:rPr>
          <w:rFonts w:ascii="宋体" w:hAnsi="宋体"/>
          <w:szCs w:val="21"/>
        </w:rPr>
        <w:t>一份副本</w:t>
      </w:r>
      <w:r>
        <w:rPr>
          <w:rFonts w:hint="eastAsia" w:ascii="宋体" w:hAnsi="宋体"/>
          <w:szCs w:val="21"/>
          <w:u w:val="single"/>
        </w:rPr>
        <w:t xml:space="preserve">   </w:t>
      </w:r>
      <w:r>
        <w:rPr>
          <w:rFonts w:ascii="宋体" w:hAnsi="宋体"/>
          <w:szCs w:val="21"/>
        </w:rPr>
        <w:t>份。</w:t>
      </w:r>
    </w:p>
    <w:p>
      <w:pPr>
        <w:adjustRightInd w:val="0"/>
        <w:spacing w:line="360" w:lineRule="auto"/>
        <w:ind w:firstLine="420" w:firstLineChars="200"/>
        <w:rPr>
          <w:rFonts w:ascii="宋体" w:hAnsi="宋体"/>
          <w:szCs w:val="21"/>
        </w:rPr>
      </w:pPr>
      <w:r>
        <w:rPr>
          <w:rFonts w:ascii="宋体" w:hAnsi="宋体"/>
          <w:szCs w:val="21"/>
        </w:rPr>
        <w:t>据此函，</w:t>
      </w:r>
      <w:r>
        <w:rPr>
          <w:rFonts w:hint="eastAsia" w:ascii="宋体" w:hAnsi="宋体"/>
          <w:szCs w:val="21"/>
        </w:rPr>
        <w:t>签字代表宣布同意如下：</w:t>
      </w:r>
    </w:p>
    <w:p>
      <w:pPr>
        <w:adjustRightInd w:val="0"/>
        <w:spacing w:line="360" w:lineRule="auto"/>
        <w:ind w:firstLine="420" w:firstLineChars="200"/>
        <w:rPr>
          <w:rFonts w:ascii="宋体" w:hAnsi="宋体"/>
          <w:szCs w:val="21"/>
        </w:rPr>
      </w:pPr>
      <w:r>
        <w:rPr>
          <w:rFonts w:hint="eastAsia" w:ascii="宋体" w:hAnsi="宋体"/>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pPr>
        <w:adjustRightInd w:val="0"/>
        <w:spacing w:line="360" w:lineRule="auto"/>
        <w:ind w:firstLine="420" w:firstLineChars="200"/>
        <w:rPr>
          <w:rFonts w:ascii="宋体" w:hAnsi="宋体"/>
          <w:szCs w:val="21"/>
        </w:rPr>
      </w:pPr>
      <w:r>
        <w:rPr>
          <w:rFonts w:hint="eastAsia" w:ascii="宋体" w:hAnsi="宋体"/>
          <w:szCs w:val="21"/>
        </w:rPr>
        <w:t xml:space="preserve">本磋商响应文件有效期自开标日起至 </w:t>
      </w:r>
      <w:r>
        <w:rPr>
          <w:rFonts w:ascii="宋体" w:hAnsi="宋体"/>
          <w:szCs w:val="21"/>
        </w:rPr>
        <w:t>______</w:t>
      </w:r>
      <w:r>
        <w:rPr>
          <w:rFonts w:hint="eastAsia" w:ascii="宋体" w:hAnsi="宋体"/>
          <w:szCs w:val="21"/>
        </w:rPr>
        <w:t>内</w:t>
      </w:r>
      <w:r>
        <w:rPr>
          <w:rFonts w:ascii="宋体" w:hAnsi="宋体"/>
          <w:szCs w:val="21"/>
        </w:rPr>
        <w:t>有效。</w:t>
      </w:r>
      <w:r>
        <w:rPr>
          <w:rFonts w:hint="eastAsia" w:ascii="宋体" w:hAnsi="宋体"/>
          <w:szCs w:val="21"/>
        </w:rPr>
        <w:t>磋商响应方同意提供按照贵方要求与磋商有关的一切数据或资料，理解贵方不一定接受最低的磋商报价。</w:t>
      </w:r>
    </w:p>
    <w:p>
      <w:pPr>
        <w:adjustRightInd w:val="0"/>
        <w:spacing w:line="360" w:lineRule="auto"/>
        <w:ind w:firstLine="420" w:firstLineChars="200"/>
        <w:rPr>
          <w:rFonts w:ascii="宋体" w:hAnsi="宋体"/>
          <w:szCs w:val="21"/>
        </w:rPr>
      </w:pPr>
      <w:r>
        <w:rPr>
          <w:rFonts w:hint="eastAsia" w:ascii="宋体" w:hAnsi="宋体"/>
          <w:szCs w:val="21"/>
        </w:rPr>
        <w:t>与本次磋商有关的一切正式往来通讯请寄：</w:t>
      </w:r>
    </w:p>
    <w:p>
      <w:pPr>
        <w:adjustRightInd w:val="0"/>
        <w:spacing w:line="360" w:lineRule="auto"/>
        <w:rPr>
          <w:rFonts w:hint="eastAsia" w:ascii="宋体" w:hAnsi="宋体"/>
          <w:szCs w:val="21"/>
        </w:rPr>
      </w:pPr>
      <w:r>
        <w:rPr>
          <w:rFonts w:hint="eastAsia" w:ascii="宋体" w:hAnsi="宋体"/>
          <w:szCs w:val="21"/>
        </w:rPr>
        <w:t>地址：</w:t>
      </w:r>
      <w:r>
        <w:rPr>
          <w:rFonts w:ascii="宋体" w:hAnsi="宋体"/>
          <w:szCs w:val="21"/>
        </w:rPr>
        <w:t>_______________邮编：______________</w:t>
      </w:r>
      <w:r>
        <w:rPr>
          <w:rFonts w:hint="eastAsia" w:ascii="宋体" w:hAnsi="宋体"/>
          <w:szCs w:val="21"/>
        </w:rPr>
        <w:t>电话：</w:t>
      </w:r>
      <w:r>
        <w:rPr>
          <w:rFonts w:ascii="宋体" w:hAnsi="宋体"/>
          <w:szCs w:val="21"/>
        </w:rPr>
        <w:t>_______________</w:t>
      </w:r>
    </w:p>
    <w:p>
      <w:pPr>
        <w:adjustRightInd w:val="0"/>
        <w:spacing w:line="360" w:lineRule="auto"/>
        <w:rPr>
          <w:rFonts w:hint="eastAsia" w:ascii="宋体" w:hAnsi="宋体"/>
          <w:szCs w:val="21"/>
        </w:rPr>
      </w:pPr>
      <w:r>
        <w:rPr>
          <w:rFonts w:ascii="宋体" w:hAnsi="宋体"/>
          <w:szCs w:val="21"/>
        </w:rPr>
        <w:t>传真：______________</w:t>
      </w:r>
      <w:r>
        <w:rPr>
          <w:rFonts w:hint="eastAsia" w:ascii="宋体" w:hAnsi="宋体"/>
          <w:szCs w:val="21"/>
        </w:rPr>
        <w:t>磋商响应方代表姓名</w:t>
      </w:r>
      <w:r>
        <w:rPr>
          <w:rFonts w:ascii="宋体" w:hAnsi="宋体"/>
          <w:szCs w:val="21"/>
        </w:rPr>
        <w:t xml:space="preserve"> ____________ 职务：_____________</w:t>
      </w:r>
    </w:p>
    <w:p>
      <w:pPr>
        <w:adjustRightInd w:val="0"/>
        <w:spacing w:line="360" w:lineRule="auto"/>
        <w:rPr>
          <w:rFonts w:hint="eastAsia" w:ascii="宋体" w:hAnsi="宋体"/>
          <w:szCs w:val="21"/>
        </w:rPr>
      </w:pPr>
      <w:r>
        <w:rPr>
          <w:rFonts w:hint="eastAsia" w:ascii="宋体" w:hAnsi="宋体"/>
          <w:szCs w:val="21"/>
        </w:rPr>
        <w:t>磋商响应方名称</w:t>
      </w:r>
      <w:r>
        <w:rPr>
          <w:rFonts w:ascii="宋体" w:hAnsi="宋体"/>
          <w:szCs w:val="21"/>
        </w:rPr>
        <w:t>(公章):___________________</w:t>
      </w:r>
    </w:p>
    <w:p>
      <w:pPr>
        <w:adjustRightInd w:val="0"/>
        <w:spacing w:line="360" w:lineRule="auto"/>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银行帐号：</w:t>
      </w:r>
      <w:r>
        <w:rPr>
          <w:rFonts w:hint="eastAsia" w:ascii="宋体" w:hAnsi="宋体"/>
          <w:szCs w:val="21"/>
          <w:u w:val="single"/>
        </w:rPr>
        <w:t xml:space="preserve">                    </w:t>
      </w:r>
      <w:r>
        <w:rPr>
          <w:rFonts w:hint="eastAsia" w:ascii="宋体" w:hAnsi="宋体"/>
          <w:szCs w:val="21"/>
        </w:rPr>
        <w:t xml:space="preserve"> </w:t>
      </w:r>
    </w:p>
    <w:p>
      <w:pPr>
        <w:adjustRightInd w:val="0"/>
        <w:spacing w:line="360" w:lineRule="auto"/>
        <w:rPr>
          <w:rFonts w:ascii="宋体" w:hAnsi="宋体"/>
          <w:szCs w:val="21"/>
        </w:rPr>
      </w:pPr>
      <w:r>
        <w:rPr>
          <w:rFonts w:hint="eastAsia" w:ascii="宋体" w:hAnsi="宋体"/>
          <w:szCs w:val="21"/>
        </w:rPr>
        <w:t>日期</w:t>
      </w:r>
      <w:r>
        <w:rPr>
          <w:rFonts w:ascii="宋体" w:hAnsi="宋体"/>
          <w:szCs w:val="21"/>
        </w:rPr>
        <w:t>:_____年___月___日</w:t>
      </w:r>
    </w:p>
    <w:p>
      <w:pPr>
        <w:adjustRightInd w:val="0"/>
        <w:spacing w:line="360" w:lineRule="auto"/>
        <w:rPr>
          <w:rFonts w:hint="eastAsia" w:ascii="宋体" w:hAnsi="宋体"/>
          <w:szCs w:val="21"/>
        </w:rPr>
      </w:pPr>
      <w:r>
        <w:rPr>
          <w:rFonts w:hint="eastAsia" w:ascii="宋体" w:hAnsi="宋体"/>
          <w:szCs w:val="21"/>
        </w:rPr>
        <w:t>全权代表签字</w:t>
      </w:r>
      <w:r>
        <w:rPr>
          <w:rFonts w:ascii="宋体" w:hAnsi="宋体"/>
          <w:szCs w:val="21"/>
        </w:rPr>
        <w:t>:___________</w:t>
      </w: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p>
      <w:pPr>
        <w:adjustRightInd w:val="0"/>
        <w:spacing w:line="360" w:lineRule="auto"/>
        <w:rPr>
          <w:rFonts w:hint="eastAsia" w:ascii="宋体" w:hAnsi="宋体"/>
          <w:szCs w:val="21"/>
        </w:rPr>
      </w:pPr>
    </w:p>
    <w:bookmarkEnd w:id="426"/>
    <w:bookmarkEnd w:id="427"/>
    <w:bookmarkEnd w:id="428"/>
    <w:bookmarkEnd w:id="429"/>
    <w:p>
      <w:pPr>
        <w:pStyle w:val="29"/>
      </w:pPr>
      <w:bookmarkStart w:id="440" w:name="_Toc524612772"/>
      <w:r>
        <w:rPr>
          <w:rFonts w:hint="eastAsia"/>
        </w:rPr>
        <w:t>供应商法定代表人授权书</w:t>
      </w:r>
      <w:bookmarkEnd w:id="440"/>
    </w:p>
    <w:p>
      <w:pPr>
        <w:spacing w:line="360" w:lineRule="auto"/>
        <w:rPr>
          <w:rFonts w:hint="eastAsia" w:ascii="宋体" w:hAnsi="宋体"/>
          <w:szCs w:val="21"/>
          <w:u w:val="single"/>
        </w:rPr>
      </w:pPr>
      <w:r>
        <w:rPr>
          <w:rFonts w:hint="eastAsia" w:ascii="宋体" w:hAnsi="宋体"/>
          <w:bCs/>
          <w:szCs w:val="21"/>
        </w:rPr>
        <w:t>致：</w:t>
      </w:r>
      <w:r>
        <w:rPr>
          <w:rFonts w:hint="eastAsia" w:ascii="宋体" w:hAnsi="宋体"/>
          <w:szCs w:val="21"/>
        </w:rPr>
        <w:t xml:space="preserve"> </w:t>
      </w:r>
      <w:r>
        <w:rPr>
          <w:rFonts w:hint="eastAsia" w:ascii="宋体" w:hAnsi="宋体"/>
          <w:szCs w:val="21"/>
          <w:u w:val="single"/>
        </w:rPr>
        <w:t xml:space="preserve">                                       </w:t>
      </w:r>
    </w:p>
    <w:p>
      <w:pPr>
        <w:spacing w:line="360" w:lineRule="auto"/>
        <w:ind w:firstLine="630" w:firstLineChars="300"/>
        <w:rPr>
          <w:rFonts w:ascii="宋体" w:hAnsi="宋体"/>
          <w:szCs w:val="21"/>
        </w:rPr>
      </w:pPr>
      <w:r>
        <w:rPr>
          <w:rFonts w:hint="eastAsia" w:ascii="宋体" w:hAnsi="宋体"/>
          <w:szCs w:val="21"/>
          <w:u w:val="single"/>
        </w:rPr>
        <w:t xml:space="preserve">                </w:t>
      </w:r>
      <w:r>
        <w:rPr>
          <w:rFonts w:hint="eastAsia" w:ascii="宋体" w:hAnsi="宋体"/>
          <w:szCs w:val="21"/>
        </w:rPr>
        <w:t>（企业名称）系中华人民共和国合法企业，法定地址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630" w:firstLineChars="300"/>
        <w:rPr>
          <w:rFonts w:ascii="宋体" w:hAnsi="宋体"/>
          <w:szCs w:val="21"/>
        </w:rPr>
      </w:pPr>
      <w:r>
        <w:rPr>
          <w:rFonts w:hint="eastAsia" w:ascii="宋体" w:hAnsi="宋体"/>
          <w:szCs w:val="21"/>
          <w:u w:val="single"/>
        </w:rPr>
        <w:t xml:space="preserve">                </w:t>
      </w:r>
      <w:r>
        <w:rPr>
          <w:rFonts w:hint="eastAsia" w:ascii="宋体" w:hAnsi="宋体"/>
          <w:szCs w:val="21"/>
        </w:rPr>
        <w:t xml:space="preserve">（法人）特授权 </w:t>
      </w:r>
      <w:r>
        <w:rPr>
          <w:rFonts w:hint="eastAsia" w:ascii="宋体" w:hAnsi="宋体"/>
          <w:szCs w:val="21"/>
          <w:u w:val="single"/>
        </w:rPr>
        <w:t xml:space="preserve">                      </w:t>
      </w:r>
      <w:r>
        <w:rPr>
          <w:rFonts w:hint="eastAsia" w:ascii="宋体" w:hAnsi="宋体"/>
          <w:szCs w:val="21"/>
        </w:rPr>
        <w:t>代表我单位全权办理针对上述项目的磋商、签约等具体工作，并签署全部有关的文件、协议。</w:t>
      </w:r>
    </w:p>
    <w:p>
      <w:pPr>
        <w:spacing w:line="360" w:lineRule="auto"/>
        <w:rPr>
          <w:rFonts w:ascii="宋体" w:hAnsi="宋体"/>
          <w:szCs w:val="21"/>
        </w:rPr>
      </w:pPr>
      <w:r>
        <w:rPr>
          <w:rFonts w:ascii="宋体" w:hAnsi="宋体"/>
          <w:szCs w:val="21"/>
        </w:rPr>
        <w:t xml:space="preserve">    </w:t>
      </w:r>
      <w:r>
        <w:rPr>
          <w:rFonts w:hint="eastAsia" w:ascii="宋体" w:hAnsi="宋体"/>
          <w:szCs w:val="21"/>
        </w:rPr>
        <w:t>我单位对被授权人的签名负全部责任。</w:t>
      </w:r>
    </w:p>
    <w:p>
      <w:pPr>
        <w:spacing w:line="360" w:lineRule="auto"/>
        <w:rPr>
          <w:rFonts w:ascii="宋体" w:hAnsi="宋体"/>
          <w:szCs w:val="21"/>
        </w:rPr>
      </w:pPr>
      <w:r>
        <w:rPr>
          <w:rFonts w:ascii="宋体" w:hAnsi="宋体"/>
          <w:szCs w:val="21"/>
        </w:rPr>
        <w:t xml:space="preserve">    </w:t>
      </w:r>
      <w:r>
        <w:rPr>
          <w:rFonts w:hint="eastAsia" w:ascii="宋体" w:hAnsi="宋体"/>
          <w:szCs w:val="21"/>
        </w:rPr>
        <w:t>在撤销授权的书面通知以前，本授权书一直有效。被授权人签署的所有文件（在授权书有效期内签署的）不因授权的撤销而失效。</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被授权人签名：</w:t>
      </w:r>
      <w:r>
        <w:rPr>
          <w:rFonts w:ascii="宋体" w:hAnsi="宋体"/>
          <w:szCs w:val="21"/>
          <w:u w:val="single"/>
        </w:rPr>
        <w:t xml:space="preserve">          </w:t>
      </w:r>
      <w:r>
        <w:rPr>
          <w:rFonts w:ascii="宋体" w:hAnsi="宋体"/>
          <w:szCs w:val="21"/>
        </w:rPr>
        <w:t xml:space="preserve">    授权人签名：</w:t>
      </w:r>
      <w:r>
        <w:rPr>
          <w:rFonts w:ascii="宋体" w:hAnsi="宋体"/>
          <w:szCs w:val="21"/>
          <w:u w:val="single"/>
        </w:rPr>
        <w:t xml:space="preserve">          </w:t>
      </w:r>
    </w:p>
    <w:p>
      <w:pPr>
        <w:spacing w:line="360" w:lineRule="auto"/>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职务：</w:t>
      </w:r>
      <w:r>
        <w:rPr>
          <w:rFonts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pacing w:line="360" w:lineRule="auto"/>
        <w:jc w:val="center"/>
        <w:rPr>
          <w:rFonts w:ascii="宋体" w:hAnsi="宋体"/>
          <w:szCs w:val="21"/>
        </w:rPr>
      </w:pPr>
    </w:p>
    <w:p>
      <w:pPr>
        <w:spacing w:line="360" w:lineRule="auto"/>
        <w:jc w:val="right"/>
        <w:rPr>
          <w:rFonts w:ascii="宋体" w:hAnsi="宋体"/>
          <w:szCs w:val="21"/>
          <w:u w:val="single"/>
        </w:rPr>
      </w:pPr>
      <w:r>
        <w:rPr>
          <w:rFonts w:hint="eastAsia" w:ascii="宋体" w:hAnsi="宋体"/>
          <w:szCs w:val="21"/>
        </w:rPr>
        <w:t>供应商公章：</w:t>
      </w:r>
    </w:p>
    <w:p>
      <w:pPr>
        <w:spacing w:line="360" w:lineRule="auto"/>
        <w:ind w:firstLine="3150" w:firstLineChars="1500"/>
        <w:jc w:val="right"/>
        <w:rPr>
          <w:rFonts w:hint="eastAsia" w:ascii="宋体" w:hAnsi="宋体"/>
          <w:szCs w:val="21"/>
        </w:rPr>
      </w:pPr>
      <w:r>
        <w:rPr>
          <w:rFonts w:hint="eastAsia" w:ascii="宋体" w:hAnsi="宋体"/>
          <w:szCs w:val="21"/>
        </w:rPr>
        <w:t>年    月    日</w:t>
      </w:r>
    </w:p>
    <w:p>
      <w:pPr>
        <w:spacing w:line="360" w:lineRule="auto"/>
        <w:ind w:firstLine="3150" w:firstLineChars="1500"/>
        <w:jc w:val="right"/>
        <w:rPr>
          <w:rFonts w:hint="eastAsia" w:ascii="宋体" w:hAnsi="宋体"/>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spacing w:line="360" w:lineRule="auto"/>
        <w:jc w:val="center"/>
        <w:rPr>
          <w:rFonts w:hint="eastAsia" w:ascii="宋体" w:hAnsi="宋体"/>
          <w:b/>
          <w:szCs w:val="21"/>
        </w:rPr>
      </w:pPr>
    </w:p>
    <w:p>
      <w:pPr>
        <w:pStyle w:val="29"/>
        <w:rPr>
          <w:rFonts w:hint="eastAsia"/>
        </w:rPr>
      </w:pPr>
      <w:bookmarkStart w:id="441" w:name="_Toc524612773"/>
      <w:r>
        <w:rPr>
          <w:rFonts w:hint="eastAsia"/>
        </w:rPr>
        <w:t>关于资格的声明函</w:t>
      </w:r>
      <w:bookmarkEnd w:id="441"/>
    </w:p>
    <w:p>
      <w:pPr>
        <w:spacing w:line="360" w:lineRule="auto"/>
        <w:rPr>
          <w:rFonts w:hint="eastAsia" w:ascii="宋体" w:hAnsi="宋体"/>
          <w:szCs w:val="21"/>
          <w:u w:val="single"/>
        </w:rPr>
      </w:pPr>
      <w:r>
        <w:rPr>
          <w:rFonts w:hint="eastAsia" w:ascii="宋体" w:hAnsi="宋体"/>
          <w:szCs w:val="21"/>
        </w:rPr>
        <w:t xml:space="preserve">致： </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 xml:space="preserve">    关于贵方</w:t>
      </w:r>
      <w:r>
        <w:rPr>
          <w:rFonts w:hint="eastAsia" w:ascii="宋体" w:hAnsi="宋体"/>
          <w:szCs w:val="21"/>
          <w:u w:val="single"/>
        </w:rPr>
        <w:t xml:space="preserve">                </w:t>
      </w:r>
      <w:r>
        <w:rPr>
          <w:rFonts w:ascii="宋体" w:hAnsi="宋体"/>
          <w:szCs w:val="21"/>
        </w:rPr>
        <w:t>磋商</w:t>
      </w:r>
      <w:r>
        <w:rPr>
          <w:rFonts w:hint="eastAsia" w:ascii="宋体" w:hAnsi="宋体"/>
          <w:szCs w:val="21"/>
        </w:rPr>
        <w:t>项目</w:t>
      </w:r>
      <w:r>
        <w:rPr>
          <w:rFonts w:ascii="宋体" w:hAnsi="宋体"/>
          <w:szCs w:val="21"/>
        </w:rPr>
        <w:t>，本签字人愿意参加磋商，提供</w:t>
      </w:r>
      <w:r>
        <w:rPr>
          <w:rFonts w:hint="eastAsia" w:ascii="宋体" w:hAnsi="宋体"/>
          <w:szCs w:val="21"/>
        </w:rPr>
        <w:t>嘉兴政府采购一</w:t>
      </w:r>
      <w:r>
        <w:rPr>
          <w:rFonts w:ascii="宋体" w:hAnsi="宋体"/>
          <w:szCs w:val="21"/>
        </w:rPr>
        <w:t>览表中规定的</w:t>
      </w:r>
      <w:r>
        <w:rPr>
          <w:rFonts w:hint="eastAsia" w:ascii="宋体" w:hAnsi="宋体"/>
          <w:szCs w:val="21"/>
        </w:rPr>
        <w:t>要求及服务，</w:t>
      </w:r>
      <w:r>
        <w:rPr>
          <w:rFonts w:ascii="宋体" w:hAnsi="宋体"/>
          <w:szCs w:val="21"/>
        </w:rPr>
        <w:t>并证实提交的下列文件和说明是准确的和真实的</w:t>
      </w:r>
      <w:r>
        <w:rPr>
          <w:rFonts w:hint="eastAsia" w:ascii="宋体" w:hAnsi="宋体"/>
          <w:szCs w:val="21"/>
        </w:rPr>
        <w:t>：</w:t>
      </w:r>
    </w:p>
    <w:p>
      <w:pPr>
        <w:spacing w:line="360" w:lineRule="auto"/>
        <w:rPr>
          <w:rFonts w:hint="eastAsia" w:ascii="宋体" w:hAnsi="宋体"/>
          <w:szCs w:val="21"/>
        </w:rPr>
      </w:pPr>
      <w:r>
        <w:rPr>
          <w:rFonts w:ascii="宋体" w:hAnsi="宋体"/>
          <w:szCs w:val="21"/>
        </w:rPr>
        <w:t xml:space="preserve">    1、</w:t>
      </w:r>
      <w:r>
        <w:rPr>
          <w:rFonts w:hint="eastAsia" w:ascii="宋体" w:hAnsi="宋体"/>
          <w:szCs w:val="21"/>
        </w:rPr>
        <w:t>我方工商营业执照副本复印件一份。</w:t>
      </w:r>
    </w:p>
    <w:p>
      <w:pPr>
        <w:spacing w:line="360" w:lineRule="auto"/>
        <w:rPr>
          <w:rFonts w:ascii="宋体" w:hAnsi="宋体"/>
          <w:szCs w:val="21"/>
        </w:rPr>
      </w:pPr>
      <w:r>
        <w:rPr>
          <w:rFonts w:ascii="宋体" w:hAnsi="宋体"/>
          <w:szCs w:val="21"/>
        </w:rPr>
        <w:t xml:space="preserve">    </w:t>
      </w:r>
      <w:r>
        <w:rPr>
          <w:rFonts w:hint="eastAsia" w:ascii="宋体" w:hAnsi="宋体"/>
          <w:szCs w:val="21"/>
        </w:rPr>
        <w:t>2</w:t>
      </w:r>
      <w:r>
        <w:rPr>
          <w:rFonts w:ascii="宋体" w:hAnsi="宋体"/>
          <w:szCs w:val="21"/>
        </w:rPr>
        <w:t>、我方公司简介。</w:t>
      </w:r>
    </w:p>
    <w:p>
      <w:pPr>
        <w:pStyle w:val="20"/>
        <w:spacing w:line="360" w:lineRule="auto"/>
        <w:ind w:firstLine="464" w:firstLineChars="221"/>
        <w:rPr>
          <w:rFonts w:hAnsi="宋体"/>
          <w:szCs w:val="21"/>
        </w:rPr>
      </w:pPr>
      <w:r>
        <w:rPr>
          <w:rFonts w:hint="eastAsia" w:hAnsi="宋体"/>
          <w:szCs w:val="21"/>
        </w:rPr>
        <w:t>3</w:t>
      </w:r>
      <w:r>
        <w:rPr>
          <w:rFonts w:hAnsi="宋体"/>
          <w:szCs w:val="21"/>
        </w:rPr>
        <w:t>、</w:t>
      </w:r>
      <w:r>
        <w:rPr>
          <w:rFonts w:hint="eastAsia" w:hAnsi="宋体"/>
          <w:szCs w:val="21"/>
        </w:rPr>
        <w:t>其他资料等。</w:t>
      </w:r>
    </w:p>
    <w:p>
      <w:pPr>
        <w:pStyle w:val="20"/>
        <w:spacing w:line="360" w:lineRule="auto"/>
        <w:ind w:firstLine="480"/>
        <w:rPr>
          <w:rFonts w:hint="eastAsia" w:hAnsi="宋体"/>
          <w:szCs w:val="21"/>
        </w:rPr>
      </w:pPr>
      <w:r>
        <w:rPr>
          <w:rFonts w:hint="eastAsia" w:hAnsi="宋体"/>
          <w:szCs w:val="21"/>
        </w:rPr>
        <w:t>..</w:t>
      </w:r>
    </w:p>
    <w:p>
      <w:pPr>
        <w:pStyle w:val="20"/>
        <w:spacing w:line="360" w:lineRule="auto"/>
        <w:ind w:firstLine="480"/>
        <w:rPr>
          <w:rFonts w:hint="eastAsia" w:hAnsi="宋体"/>
          <w:szCs w:val="21"/>
        </w:rPr>
      </w:pPr>
    </w:p>
    <w:p>
      <w:pPr>
        <w:spacing w:line="360" w:lineRule="auto"/>
        <w:jc w:val="center"/>
        <w:rPr>
          <w:rFonts w:hint="eastAsia" w:ascii="宋体" w:hAnsi="宋体"/>
          <w:szCs w:val="21"/>
        </w:rPr>
      </w:pPr>
    </w:p>
    <w:p>
      <w:pPr>
        <w:spacing w:line="360" w:lineRule="auto"/>
        <w:ind w:firstLine="3255" w:firstLineChars="1550"/>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spacing w:line="360" w:lineRule="auto"/>
        <w:ind w:firstLine="5880" w:firstLineChars="2800"/>
        <w:rPr>
          <w:rFonts w:hint="eastAsia" w:ascii="宋体" w:hAnsi="宋体"/>
          <w:szCs w:val="21"/>
        </w:rPr>
      </w:pPr>
    </w:p>
    <w:p>
      <w:pPr>
        <w:spacing w:line="360" w:lineRule="auto"/>
        <w:ind w:firstLine="5880" w:firstLineChars="2800"/>
        <w:rPr>
          <w:rFonts w:hint="eastAsia" w:ascii="宋体" w:hAnsi="宋体"/>
          <w:szCs w:val="21"/>
        </w:rPr>
      </w:pPr>
      <w:r>
        <w:rPr>
          <w:rFonts w:hint="eastAsia" w:ascii="宋体" w:hAnsi="宋体"/>
          <w:szCs w:val="21"/>
        </w:rPr>
        <w:t>年  月  日</w:t>
      </w: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ind w:firstLine="3360" w:firstLineChars="1600"/>
        <w:rPr>
          <w:rFonts w:hint="eastAsia" w:ascii="宋体" w:hAnsi="宋体"/>
          <w:szCs w:val="21"/>
        </w:rPr>
      </w:pPr>
    </w:p>
    <w:p>
      <w:pPr>
        <w:spacing w:line="360" w:lineRule="auto"/>
        <w:rPr>
          <w:rFonts w:hint="eastAsia" w:ascii="宋体" w:hAnsi="宋体"/>
          <w:szCs w:val="21"/>
        </w:rPr>
      </w:pPr>
    </w:p>
    <w:tbl>
      <w:tblPr>
        <w:tblStyle w:val="31"/>
        <w:tblpPr w:leftFromText="180" w:rightFromText="180" w:vertAnchor="text" w:horzAnchor="page" w:tblpXSpec="center" w:tblpY="850"/>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1" w:hRule="atLeast"/>
          <w:jc w:val="center"/>
        </w:trPr>
        <w:tc>
          <w:tcPr>
            <w:tcW w:w="645" w:type="dxa"/>
            <w:vMerge w:val="restart"/>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投</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标</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人</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概</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况</w:t>
            </w:r>
          </w:p>
        </w:tc>
        <w:tc>
          <w:tcPr>
            <w:tcW w:w="1800" w:type="dxa"/>
            <w:noWrap w:val="0"/>
            <w:vAlign w:val="center"/>
          </w:tcPr>
          <w:p>
            <w:pPr>
              <w:jc w:val="center"/>
              <w:rPr>
                <w:rFonts w:hint="eastAsia" w:ascii="宋体" w:hAnsi="宋体"/>
                <w:sz w:val="24"/>
              </w:rPr>
            </w:pPr>
            <w:r>
              <w:rPr>
                <w:rFonts w:hint="eastAsia" w:ascii="宋体" w:hAnsi="宋体"/>
                <w:sz w:val="24"/>
              </w:rPr>
              <w:t>公司名称</w:t>
            </w:r>
          </w:p>
        </w:tc>
        <w:tc>
          <w:tcPr>
            <w:tcW w:w="6795"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5"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地址</w:t>
            </w:r>
          </w:p>
        </w:tc>
        <w:tc>
          <w:tcPr>
            <w:tcW w:w="6795"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经营范围</w:t>
            </w:r>
          </w:p>
        </w:tc>
        <w:tc>
          <w:tcPr>
            <w:tcW w:w="6795"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成立时间</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经济性质</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1"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法定代表人</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联系电话</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注册资金</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技术人员数</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资产总额</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净资产</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7"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开户银行</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账号</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是否依法纳税</w:t>
            </w:r>
          </w:p>
        </w:tc>
        <w:tc>
          <w:tcPr>
            <w:tcW w:w="2119" w:type="dxa"/>
            <w:noWrap w:val="0"/>
            <w:vAlign w:val="center"/>
          </w:tcPr>
          <w:p>
            <w:pPr>
              <w:jc w:val="center"/>
              <w:rPr>
                <w:rFonts w:hint="eastAsia" w:ascii="宋体" w:hAnsi="宋体"/>
                <w:sz w:val="24"/>
              </w:rPr>
            </w:pPr>
          </w:p>
        </w:tc>
        <w:tc>
          <w:tcPr>
            <w:tcW w:w="1920" w:type="dxa"/>
            <w:noWrap w:val="0"/>
            <w:vAlign w:val="center"/>
          </w:tcPr>
          <w:p>
            <w:pPr>
              <w:jc w:val="center"/>
              <w:rPr>
                <w:rFonts w:hint="eastAsia" w:ascii="宋体" w:hAnsi="宋体"/>
                <w:sz w:val="24"/>
              </w:rPr>
            </w:pPr>
            <w:r>
              <w:rPr>
                <w:rFonts w:hint="eastAsia" w:ascii="宋体" w:hAnsi="宋体"/>
                <w:sz w:val="24"/>
              </w:rPr>
              <w:t>是否参加社保</w:t>
            </w:r>
          </w:p>
        </w:tc>
        <w:tc>
          <w:tcPr>
            <w:tcW w:w="27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71" w:hRule="atLeast"/>
          <w:jc w:val="center"/>
        </w:trPr>
        <w:tc>
          <w:tcPr>
            <w:tcW w:w="645" w:type="dxa"/>
            <w:vMerge w:val="continue"/>
            <w:noWrap w:val="0"/>
            <w:vAlign w:val="center"/>
          </w:tcPr>
          <w:p>
            <w:pPr>
              <w:jc w:val="center"/>
              <w:rPr>
                <w:rFonts w:hint="eastAsia" w:ascii="宋体" w:hAnsi="宋体"/>
                <w:sz w:val="24"/>
              </w:rPr>
            </w:pPr>
          </w:p>
        </w:tc>
        <w:tc>
          <w:tcPr>
            <w:tcW w:w="1800" w:type="dxa"/>
            <w:noWrap w:val="0"/>
            <w:vAlign w:val="center"/>
          </w:tcPr>
          <w:p>
            <w:pPr>
              <w:jc w:val="center"/>
              <w:rPr>
                <w:rFonts w:hint="eastAsia" w:ascii="宋体" w:hAnsi="宋体"/>
                <w:sz w:val="24"/>
              </w:rPr>
            </w:pPr>
            <w:r>
              <w:rPr>
                <w:rFonts w:hint="eastAsia" w:ascii="宋体" w:hAnsi="宋体"/>
                <w:sz w:val="24"/>
              </w:rPr>
              <w:t>近三年业绩、</w:t>
            </w:r>
          </w:p>
          <w:p>
            <w:pPr>
              <w:jc w:val="center"/>
              <w:rPr>
                <w:rFonts w:hint="eastAsia" w:ascii="宋体" w:hAnsi="宋体"/>
                <w:sz w:val="24"/>
              </w:rPr>
            </w:pPr>
            <w:r>
              <w:rPr>
                <w:rFonts w:hint="eastAsia" w:ascii="宋体" w:hAnsi="宋体"/>
                <w:sz w:val="24"/>
              </w:rPr>
              <w:t>信誉</w:t>
            </w:r>
          </w:p>
        </w:tc>
        <w:tc>
          <w:tcPr>
            <w:tcW w:w="6795" w:type="dxa"/>
            <w:gridSpan w:val="3"/>
            <w:noWrap w:val="0"/>
            <w:vAlign w:val="center"/>
          </w:tcPr>
          <w:p>
            <w:pPr>
              <w:rPr>
                <w:rFonts w:hint="eastAsia" w:ascii="宋体" w:hAnsi="宋体"/>
                <w:sz w:val="24"/>
              </w:rPr>
            </w:pPr>
            <w:r>
              <w:rPr>
                <w:rFonts w:hint="eastAsia" w:ascii="宋体" w:hAnsi="宋体"/>
                <w:sz w:val="24"/>
              </w:rPr>
              <w:t>合同总额：     万元，合同履行情况：</w:t>
            </w:r>
          </w:p>
          <w:p>
            <w:pPr>
              <w:jc w:val="cente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78" w:hRule="atLeast"/>
          <w:jc w:val="center"/>
        </w:trPr>
        <w:tc>
          <w:tcPr>
            <w:tcW w:w="645" w:type="dxa"/>
            <w:vMerge w:val="continue"/>
            <w:noWrap w:val="0"/>
            <w:vAlign w:val="center"/>
          </w:tcPr>
          <w:p>
            <w:pPr>
              <w:jc w:val="center"/>
              <w:rPr>
                <w:rFonts w:hint="eastAsia" w:ascii="宋体" w:hAnsi="宋体"/>
                <w:sz w:val="24"/>
              </w:rPr>
            </w:pPr>
          </w:p>
        </w:tc>
        <w:tc>
          <w:tcPr>
            <w:tcW w:w="8595" w:type="dxa"/>
            <w:gridSpan w:val="4"/>
            <w:noWrap w:val="0"/>
            <w:vAlign w:val="top"/>
          </w:tcPr>
          <w:p>
            <w:pPr>
              <w:rPr>
                <w:rFonts w:hint="eastAsia" w:ascii="宋体" w:hAnsi="宋体"/>
                <w:sz w:val="24"/>
              </w:rPr>
            </w:pPr>
            <w:r>
              <w:rPr>
                <w:rFonts w:hint="eastAsia" w:ascii="宋体" w:hAnsi="宋体"/>
                <w:sz w:val="24"/>
              </w:rPr>
              <w:t>单位优势及特点：</w:t>
            </w:r>
          </w:p>
        </w:tc>
      </w:tr>
    </w:tbl>
    <w:p>
      <w:pPr>
        <w:pStyle w:val="29"/>
        <w:rPr>
          <w:rFonts w:hint="eastAsia" w:ascii="宋体" w:hAnsi="宋体"/>
          <w:sz w:val="24"/>
        </w:rPr>
      </w:pPr>
      <w:bookmarkStart w:id="442" w:name="_Toc524612774"/>
      <w:r>
        <w:rPr>
          <w:rFonts w:hint="eastAsia"/>
        </w:rPr>
        <w:t>供应商基本情况表</w:t>
      </w:r>
      <w:bookmarkEnd w:id="442"/>
    </w:p>
    <w:p>
      <w:pPr>
        <w:spacing w:before="120" w:beforeLines="50" w:line="360" w:lineRule="auto"/>
        <w:ind w:leftChars="-201" w:hanging="422" w:hangingChars="201"/>
        <w:jc w:val="left"/>
        <w:rPr>
          <w:rFonts w:hint="eastAsia" w:ascii="宋体" w:hAnsi="宋体"/>
          <w:szCs w:val="21"/>
        </w:rPr>
      </w:pPr>
      <w:r>
        <w:rPr>
          <w:rFonts w:hint="eastAsia" w:ascii="宋体" w:hAnsi="宋体"/>
          <w:szCs w:val="21"/>
        </w:rPr>
        <w:t>注：本表后附营业执照、开户许可证及投标人认为需要提供的各种证书的复印件（需加盖公章）</w:t>
      </w:r>
    </w:p>
    <w:p>
      <w:pPr>
        <w:spacing w:before="120" w:beforeLines="50" w:line="360" w:lineRule="auto"/>
        <w:ind w:firstLine="3118" w:firstLineChars="1485"/>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spacing w:line="360" w:lineRule="auto"/>
        <w:ind w:firstLine="560" w:firstLineChars="200"/>
        <w:rPr>
          <w:rFonts w:hint="eastAsia" w:ascii="宋体" w:hAnsi="宋体"/>
          <w:spacing w:val="20"/>
          <w:sz w:val="24"/>
        </w:rPr>
      </w:pPr>
    </w:p>
    <w:p>
      <w:pPr>
        <w:spacing w:line="360" w:lineRule="auto"/>
        <w:ind w:left="6160" w:leftChars="1600" w:hanging="2800" w:hangingChars="1000"/>
        <w:rPr>
          <w:rFonts w:ascii="宋体" w:hAnsi="宋体"/>
          <w:szCs w:val="21"/>
        </w:rPr>
        <w:sectPr>
          <w:footerReference r:id="rId13" w:type="default"/>
          <w:pgSz w:w="11906" w:h="16838"/>
          <w:pgMar w:top="1440" w:right="1797" w:bottom="1440" w:left="1797" w:header="851" w:footer="992" w:gutter="0"/>
          <w:cols w:space="720" w:num="1"/>
          <w:docGrid w:linePitch="312" w:charSpace="0"/>
        </w:sectPr>
      </w:pPr>
      <w:r>
        <w:rPr>
          <w:rFonts w:hint="eastAsia" w:ascii="宋体" w:hAnsi="宋体"/>
          <w:spacing w:val="20"/>
          <w:sz w:val="24"/>
        </w:rPr>
        <w:t xml:space="preserve">           </w:t>
      </w:r>
      <w:r>
        <w:rPr>
          <w:rFonts w:hint="eastAsia" w:ascii="宋体" w:hAnsi="宋体"/>
          <w:spacing w:val="20"/>
          <w:szCs w:val="21"/>
        </w:rPr>
        <w:t>日     期：</w:t>
      </w:r>
    </w:p>
    <w:p>
      <w:pPr>
        <w:pStyle w:val="29"/>
        <w:rPr>
          <w:szCs w:val="21"/>
        </w:rPr>
      </w:pPr>
      <w:bookmarkStart w:id="443" w:name="_Toc524612775"/>
      <w:r>
        <w:rPr>
          <w:rFonts w:hint="eastAsia"/>
        </w:rPr>
        <w:t>供应商201</w:t>
      </w:r>
      <w:r>
        <w:rPr>
          <w:rFonts w:hint="eastAsia"/>
          <w:lang w:eastAsia="zh-CN"/>
        </w:rPr>
        <w:t>6</w:t>
      </w:r>
      <w:r>
        <w:rPr>
          <w:rFonts w:hint="eastAsia"/>
        </w:rPr>
        <w:t>年</w:t>
      </w:r>
      <w:r>
        <w:rPr>
          <w:rFonts w:hint="eastAsia"/>
          <w:lang w:eastAsia="zh-CN"/>
        </w:rPr>
        <w:t>1月1日</w:t>
      </w:r>
      <w:r>
        <w:rPr>
          <w:rFonts w:hint="eastAsia"/>
        </w:rPr>
        <w:t>以来项目业绩一览表</w:t>
      </w:r>
      <w:bookmarkEnd w:id="443"/>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1566"/>
        <w:gridCol w:w="1451"/>
        <w:gridCol w:w="1467"/>
        <w:gridCol w:w="1730"/>
        <w:gridCol w:w="1451"/>
        <w:gridCol w:w="1935"/>
        <w:gridCol w:w="2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85"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采购单位名称</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项目名称</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报告名称</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报告编文号</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报告日期</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合同金额</w:t>
            </w:r>
          </w:p>
          <w:p>
            <w:pPr>
              <w:snapToGrid w:val="0"/>
              <w:spacing w:line="360" w:lineRule="auto"/>
              <w:jc w:val="center"/>
              <w:rPr>
                <w:rFonts w:ascii="宋体" w:hAnsi="宋体"/>
                <w:szCs w:val="21"/>
              </w:rPr>
            </w:pPr>
            <w:r>
              <w:rPr>
                <w:rFonts w:ascii="宋体" w:hAnsi="宋体"/>
                <w:szCs w:val="21"/>
              </w:rPr>
              <w:t>（万元）</w:t>
            </w:r>
          </w:p>
        </w:tc>
        <w:tc>
          <w:tcPr>
            <w:tcW w:w="1935"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有效证明文件</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采购单位联系人及</w:t>
            </w:r>
          </w:p>
          <w:p>
            <w:pPr>
              <w:snapToGrid w:val="0"/>
              <w:spacing w:line="360" w:lineRule="auto"/>
              <w:jc w:val="center"/>
              <w:rPr>
                <w:rFonts w:ascii="宋体" w:hAnsi="宋体"/>
                <w:szCs w:val="21"/>
              </w:rPr>
            </w:pPr>
            <w:r>
              <w:rPr>
                <w:rFonts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2" w:hRule="atLeast"/>
        </w:trPr>
        <w:tc>
          <w:tcPr>
            <w:tcW w:w="191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19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c>
          <w:tcPr>
            <w:tcW w:w="24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宋体" w:hAnsi="宋体"/>
                <w:szCs w:val="21"/>
              </w:rPr>
            </w:pPr>
          </w:p>
        </w:tc>
      </w:tr>
    </w:tbl>
    <w:p>
      <w:pPr>
        <w:pStyle w:val="13"/>
        <w:snapToGrid w:val="0"/>
        <w:spacing w:before="0" w:after="0" w:line="360" w:lineRule="auto"/>
        <w:rPr>
          <w:rFonts w:ascii="宋体" w:hAnsi="宋体" w:eastAsia="宋体"/>
          <w:sz w:val="21"/>
          <w:szCs w:val="21"/>
        </w:rPr>
      </w:pPr>
      <w:r>
        <w:rPr>
          <w:rFonts w:hint="eastAsia" w:ascii="宋体" w:hAnsi="宋体" w:eastAsia="宋体"/>
          <w:sz w:val="21"/>
          <w:szCs w:val="21"/>
        </w:rPr>
        <w:t>注：本表按顺序后附相应业绩的合同复印件（需加盖公章）</w:t>
      </w:r>
    </w:p>
    <w:p>
      <w:pPr>
        <w:spacing w:line="360" w:lineRule="auto"/>
        <w:jc w:val="left"/>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jc w:val="left"/>
        <w:rPr>
          <w:rFonts w:hint="eastAsia" w:ascii="宋体" w:hAnsi="宋体"/>
          <w:szCs w:val="21"/>
          <w:u w:val="single"/>
        </w:rPr>
      </w:pPr>
      <w:r>
        <w:rPr>
          <w:rFonts w:hint="eastAsia" w:ascii="宋体" w:hAnsi="宋体"/>
          <w:szCs w:val="21"/>
        </w:rPr>
        <w:t>供应商公章：</w:t>
      </w:r>
      <w:r>
        <w:rPr>
          <w:rFonts w:ascii="宋体" w:hAnsi="宋体"/>
          <w:szCs w:val="21"/>
          <w:u w:val="single"/>
        </w:rPr>
        <w:t xml:space="preserve">              </w:t>
      </w:r>
    </w:p>
    <w:p>
      <w:pPr>
        <w:snapToGrid w:val="0"/>
        <w:spacing w:line="360" w:lineRule="auto"/>
        <w:ind w:firstLine="420" w:firstLineChars="200"/>
        <w:jc w:val="left"/>
        <w:rPr>
          <w:rFonts w:ascii="宋体" w:hAnsi="宋体"/>
          <w:szCs w:val="21"/>
        </w:rPr>
      </w:pPr>
      <w:r>
        <w:rPr>
          <w:rFonts w:ascii="宋体" w:hAnsi="宋体"/>
          <w:szCs w:val="21"/>
        </w:rPr>
        <w:t xml:space="preserve">                                           年    月  </w:t>
      </w:r>
      <w:r>
        <w:rPr>
          <w:rFonts w:hint="eastAsia" w:ascii="宋体" w:hAnsi="宋体"/>
          <w:szCs w:val="21"/>
        </w:rPr>
        <w:t xml:space="preserve">  </w:t>
      </w:r>
      <w:r>
        <w:rPr>
          <w:rFonts w:ascii="宋体" w:hAnsi="宋体"/>
          <w:szCs w:val="21"/>
        </w:rPr>
        <w:t>日</w:t>
      </w:r>
    </w:p>
    <w:p>
      <w:pPr>
        <w:spacing w:line="360" w:lineRule="auto"/>
        <w:ind w:firstLine="3360" w:firstLineChars="1600"/>
        <w:rPr>
          <w:rFonts w:ascii="宋体" w:hAnsi="宋体"/>
          <w:szCs w:val="21"/>
        </w:rPr>
        <w:sectPr>
          <w:pgSz w:w="16838" w:h="11906" w:orient="landscape"/>
          <w:pgMar w:top="1797" w:right="1440" w:bottom="1797" w:left="1440" w:header="851" w:footer="992" w:gutter="0"/>
          <w:cols w:space="720" w:num="1"/>
          <w:docGrid w:linePitch="312" w:charSpace="0"/>
        </w:sectPr>
      </w:pPr>
    </w:p>
    <w:p>
      <w:pPr>
        <w:widowControl/>
        <w:spacing w:line="360" w:lineRule="auto"/>
        <w:jc w:val="left"/>
        <w:rPr>
          <w:rFonts w:hint="eastAsia" w:ascii="宋体" w:hAnsi="宋体"/>
          <w:szCs w:val="21"/>
        </w:rPr>
      </w:pPr>
    </w:p>
    <w:p>
      <w:pPr>
        <w:spacing w:line="360" w:lineRule="auto"/>
        <w:jc w:val="center"/>
        <w:outlineLvl w:val="3"/>
        <w:rPr>
          <w:rFonts w:hint="eastAsia" w:ascii="宋体" w:hAnsi="宋体"/>
          <w:b/>
          <w:bCs/>
          <w:szCs w:val="21"/>
        </w:rPr>
      </w:pPr>
      <w:bookmarkStart w:id="444" w:name="OLE_LINK9"/>
    </w:p>
    <w:p>
      <w:pPr>
        <w:pStyle w:val="29"/>
      </w:pPr>
      <w:bookmarkStart w:id="445" w:name="_Toc524612776"/>
      <w:r>
        <w:t>投入的项目实施人员名单</w:t>
      </w:r>
      <w:bookmarkEnd w:id="444"/>
      <w:bookmarkEnd w:id="445"/>
    </w:p>
    <w:p>
      <w:pPr>
        <w:spacing w:line="360" w:lineRule="auto"/>
        <w:rPr>
          <w:rFonts w:ascii="宋体" w:hAnsi="宋体"/>
          <w:szCs w:val="21"/>
        </w:rPr>
      </w:pPr>
      <w:r>
        <w:rPr>
          <w:rFonts w:ascii="宋体" w:hAnsi="宋体"/>
          <w:b/>
          <w:szCs w:val="21"/>
        </w:rPr>
        <w:t>项目名称：                                         项目编号：</w:t>
      </w:r>
      <w:r>
        <w:rPr>
          <w:rFonts w:ascii="宋体" w:hAnsi="宋体"/>
          <w:szCs w:val="21"/>
        </w:rPr>
        <w:t xml:space="preserve"> </w:t>
      </w:r>
    </w:p>
    <w:tbl>
      <w:tblPr>
        <w:tblStyle w:val="31"/>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5" w:hRule="atLeast"/>
        </w:trPr>
        <w:tc>
          <w:tcPr>
            <w:tcW w:w="742" w:type="dxa"/>
            <w:noWrap w:val="0"/>
            <w:vAlign w:val="center"/>
          </w:tcPr>
          <w:p>
            <w:pPr>
              <w:spacing w:line="360" w:lineRule="auto"/>
              <w:jc w:val="center"/>
              <w:rPr>
                <w:rFonts w:ascii="宋体" w:hAnsi="宋体"/>
                <w:szCs w:val="21"/>
              </w:rPr>
            </w:pPr>
            <w:r>
              <w:rPr>
                <w:rFonts w:ascii="宋体" w:hAnsi="宋体"/>
                <w:szCs w:val="21"/>
              </w:rPr>
              <w:t>序号</w:t>
            </w:r>
          </w:p>
        </w:tc>
        <w:tc>
          <w:tcPr>
            <w:tcW w:w="927" w:type="dxa"/>
            <w:noWrap w:val="0"/>
            <w:vAlign w:val="center"/>
          </w:tcPr>
          <w:p>
            <w:pPr>
              <w:spacing w:line="360" w:lineRule="auto"/>
              <w:jc w:val="center"/>
              <w:rPr>
                <w:rFonts w:ascii="宋体" w:hAnsi="宋体"/>
                <w:szCs w:val="21"/>
              </w:rPr>
            </w:pPr>
            <w:r>
              <w:rPr>
                <w:rFonts w:ascii="宋体" w:hAnsi="宋体"/>
                <w:szCs w:val="21"/>
              </w:rPr>
              <w:t>姓名</w:t>
            </w:r>
          </w:p>
        </w:tc>
        <w:tc>
          <w:tcPr>
            <w:tcW w:w="927" w:type="dxa"/>
            <w:noWrap w:val="0"/>
            <w:vAlign w:val="center"/>
          </w:tcPr>
          <w:p>
            <w:pPr>
              <w:spacing w:line="360" w:lineRule="auto"/>
              <w:jc w:val="center"/>
              <w:rPr>
                <w:rFonts w:ascii="宋体" w:hAnsi="宋体"/>
                <w:szCs w:val="21"/>
              </w:rPr>
            </w:pPr>
            <w:r>
              <w:rPr>
                <w:rFonts w:ascii="宋体" w:hAnsi="宋体"/>
                <w:szCs w:val="21"/>
              </w:rPr>
              <w:t>性别</w:t>
            </w:r>
          </w:p>
        </w:tc>
        <w:tc>
          <w:tcPr>
            <w:tcW w:w="742" w:type="dxa"/>
            <w:noWrap w:val="0"/>
            <w:vAlign w:val="center"/>
          </w:tcPr>
          <w:p>
            <w:pPr>
              <w:spacing w:line="360" w:lineRule="auto"/>
              <w:jc w:val="center"/>
              <w:rPr>
                <w:rFonts w:ascii="宋体" w:hAnsi="宋体"/>
                <w:szCs w:val="21"/>
              </w:rPr>
            </w:pPr>
            <w:r>
              <w:rPr>
                <w:rFonts w:ascii="宋体" w:hAnsi="宋体"/>
                <w:szCs w:val="21"/>
              </w:rPr>
              <w:t>年龄</w:t>
            </w:r>
          </w:p>
        </w:tc>
        <w:tc>
          <w:tcPr>
            <w:tcW w:w="742" w:type="dxa"/>
            <w:noWrap w:val="0"/>
            <w:vAlign w:val="center"/>
          </w:tcPr>
          <w:p>
            <w:pPr>
              <w:spacing w:line="360" w:lineRule="auto"/>
              <w:jc w:val="center"/>
              <w:rPr>
                <w:rFonts w:ascii="宋体" w:hAnsi="宋体"/>
                <w:szCs w:val="21"/>
              </w:rPr>
            </w:pPr>
            <w:r>
              <w:rPr>
                <w:rFonts w:ascii="宋体" w:hAnsi="宋体"/>
                <w:szCs w:val="21"/>
              </w:rPr>
              <w:t>学历</w:t>
            </w:r>
          </w:p>
        </w:tc>
        <w:tc>
          <w:tcPr>
            <w:tcW w:w="1297" w:type="dxa"/>
            <w:noWrap w:val="0"/>
            <w:vAlign w:val="center"/>
          </w:tcPr>
          <w:p>
            <w:pPr>
              <w:spacing w:line="360" w:lineRule="auto"/>
              <w:jc w:val="center"/>
              <w:rPr>
                <w:rFonts w:ascii="宋体" w:hAnsi="宋体"/>
                <w:szCs w:val="21"/>
              </w:rPr>
            </w:pPr>
            <w:r>
              <w:rPr>
                <w:rFonts w:ascii="宋体" w:hAnsi="宋体"/>
                <w:szCs w:val="21"/>
              </w:rPr>
              <w:t>职称/职务</w:t>
            </w:r>
          </w:p>
        </w:tc>
        <w:tc>
          <w:tcPr>
            <w:tcW w:w="1284" w:type="dxa"/>
            <w:noWrap w:val="0"/>
            <w:vAlign w:val="center"/>
          </w:tcPr>
          <w:p>
            <w:pPr>
              <w:spacing w:line="360" w:lineRule="auto"/>
              <w:jc w:val="center"/>
              <w:rPr>
                <w:rFonts w:ascii="宋体" w:hAnsi="宋体"/>
                <w:szCs w:val="21"/>
              </w:rPr>
            </w:pPr>
            <w:r>
              <w:rPr>
                <w:rFonts w:ascii="宋体" w:hAnsi="宋体"/>
                <w:szCs w:val="21"/>
              </w:rPr>
              <w:t>本工程中的岗位</w:t>
            </w:r>
          </w:p>
        </w:tc>
        <w:tc>
          <w:tcPr>
            <w:tcW w:w="1766" w:type="dxa"/>
            <w:noWrap w:val="0"/>
            <w:vAlign w:val="center"/>
          </w:tcPr>
          <w:p>
            <w:pPr>
              <w:spacing w:line="360" w:lineRule="auto"/>
              <w:jc w:val="center"/>
              <w:rPr>
                <w:rFonts w:ascii="宋体" w:hAnsi="宋体"/>
                <w:szCs w:val="21"/>
              </w:rPr>
            </w:pPr>
            <w:r>
              <w:rPr>
                <w:rFonts w:ascii="宋体" w:hAnsi="宋体"/>
                <w:szCs w:val="21"/>
              </w:rPr>
              <w:t>从事专业年限</w:t>
            </w:r>
          </w:p>
        </w:tc>
        <w:tc>
          <w:tcPr>
            <w:tcW w:w="1112" w:type="dxa"/>
            <w:noWrap w:val="0"/>
            <w:vAlign w:val="center"/>
          </w:tcPr>
          <w:p>
            <w:pPr>
              <w:spacing w:line="360" w:lineRule="auto"/>
              <w:jc w:val="center"/>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exact"/>
        </w:trPr>
        <w:tc>
          <w:tcPr>
            <w:tcW w:w="742"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927"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742" w:type="dxa"/>
            <w:noWrap w:val="0"/>
            <w:vAlign w:val="center"/>
          </w:tcPr>
          <w:p>
            <w:pPr>
              <w:spacing w:line="360" w:lineRule="auto"/>
              <w:jc w:val="center"/>
              <w:rPr>
                <w:rFonts w:ascii="宋体" w:hAnsi="宋体"/>
                <w:szCs w:val="21"/>
              </w:rPr>
            </w:pPr>
          </w:p>
        </w:tc>
        <w:tc>
          <w:tcPr>
            <w:tcW w:w="1297" w:type="dxa"/>
            <w:noWrap w:val="0"/>
            <w:vAlign w:val="center"/>
          </w:tcPr>
          <w:p>
            <w:pPr>
              <w:spacing w:line="360" w:lineRule="auto"/>
              <w:jc w:val="center"/>
              <w:rPr>
                <w:rFonts w:ascii="宋体" w:hAnsi="宋体"/>
                <w:szCs w:val="21"/>
              </w:rPr>
            </w:pPr>
          </w:p>
        </w:tc>
        <w:tc>
          <w:tcPr>
            <w:tcW w:w="1284" w:type="dxa"/>
            <w:noWrap w:val="0"/>
            <w:vAlign w:val="center"/>
          </w:tcPr>
          <w:p>
            <w:pPr>
              <w:spacing w:line="360" w:lineRule="auto"/>
              <w:jc w:val="center"/>
              <w:rPr>
                <w:rFonts w:ascii="宋体" w:hAnsi="宋体"/>
                <w:szCs w:val="21"/>
              </w:rPr>
            </w:pPr>
          </w:p>
        </w:tc>
        <w:tc>
          <w:tcPr>
            <w:tcW w:w="1766" w:type="dxa"/>
            <w:noWrap w:val="0"/>
            <w:vAlign w:val="top"/>
          </w:tcPr>
          <w:p>
            <w:pPr>
              <w:spacing w:line="360" w:lineRule="auto"/>
              <w:jc w:val="center"/>
              <w:rPr>
                <w:rFonts w:ascii="宋体" w:hAnsi="宋体"/>
                <w:szCs w:val="21"/>
              </w:rPr>
            </w:pPr>
          </w:p>
        </w:tc>
        <w:tc>
          <w:tcPr>
            <w:tcW w:w="1112" w:type="dxa"/>
            <w:noWrap w:val="0"/>
            <w:vAlign w:val="center"/>
          </w:tcPr>
          <w:p>
            <w:pPr>
              <w:spacing w:line="360" w:lineRule="auto"/>
              <w:jc w:val="center"/>
              <w:rPr>
                <w:rFonts w:ascii="宋体" w:hAnsi="宋体"/>
                <w:szCs w:val="21"/>
              </w:rPr>
            </w:pPr>
          </w:p>
        </w:tc>
      </w:tr>
    </w:tbl>
    <w:p>
      <w:pPr>
        <w:pStyle w:val="20"/>
        <w:spacing w:before="156" w:after="156" w:line="360" w:lineRule="auto"/>
        <w:ind w:left="630" w:hanging="630" w:hangingChars="300"/>
        <w:rPr>
          <w:rFonts w:hAnsi="宋体"/>
          <w:szCs w:val="21"/>
        </w:rPr>
      </w:pPr>
      <w:r>
        <w:rPr>
          <w:rFonts w:hAnsi="宋体"/>
          <w:szCs w:val="21"/>
        </w:rPr>
        <w:t>注：</w:t>
      </w:r>
      <w:r>
        <w:rPr>
          <w:rFonts w:hAnsi="宋体"/>
          <w:bCs/>
          <w:szCs w:val="21"/>
        </w:rPr>
        <w:t>1、</w:t>
      </w:r>
      <w:r>
        <w:rPr>
          <w:rFonts w:hAnsi="宋体"/>
          <w:szCs w:val="21"/>
        </w:rPr>
        <w:t>本表应附学历证书、职称证书、身份证、经验证明等复印件</w:t>
      </w:r>
      <w:r>
        <w:rPr>
          <w:rFonts w:hint="eastAsia" w:hAnsi="宋体"/>
          <w:szCs w:val="21"/>
        </w:rPr>
        <w:t>（需加盖公章）</w:t>
      </w:r>
      <w:r>
        <w:rPr>
          <w:rFonts w:hAnsi="宋体"/>
          <w:szCs w:val="21"/>
        </w:rPr>
        <w:t>；</w:t>
      </w:r>
    </w:p>
    <w:p>
      <w:pPr>
        <w:pStyle w:val="20"/>
        <w:spacing w:before="156" w:after="156" w:line="360" w:lineRule="auto"/>
        <w:ind w:left="630" w:hanging="630" w:hangingChars="300"/>
        <w:rPr>
          <w:rFonts w:hAnsi="宋体"/>
          <w:szCs w:val="21"/>
        </w:rPr>
      </w:pPr>
      <w:r>
        <w:rPr>
          <w:rFonts w:hAnsi="宋体"/>
          <w:szCs w:val="21"/>
        </w:rPr>
        <w:t xml:space="preserve">    2、此表仅提供了表格形式，报价供应商可按此表格复制。</w:t>
      </w:r>
    </w:p>
    <w:p>
      <w:pPr>
        <w:pStyle w:val="20"/>
        <w:spacing w:before="156" w:after="156" w:line="360" w:lineRule="auto"/>
        <w:ind w:left="630" w:hanging="630" w:hangingChars="300"/>
        <w:rPr>
          <w:rFonts w:hAnsi="宋体"/>
          <w:szCs w:val="21"/>
        </w:rPr>
      </w:pPr>
      <w:r>
        <w:rPr>
          <w:rFonts w:hAnsi="宋体"/>
          <w:szCs w:val="21"/>
        </w:rPr>
        <w:t xml:space="preserve">    3、</w:t>
      </w:r>
      <w:r>
        <w:rPr>
          <w:rFonts w:hAnsi="宋体" w:cs="新宋体"/>
          <w:bCs/>
          <w:snapToGrid w:val="0"/>
          <w:szCs w:val="21"/>
        </w:rPr>
        <w:t>不得随意更换项目实施人员，如不经招标人同意擅自更换，则招标人有权解除合同。</w:t>
      </w:r>
      <w:r>
        <w:rPr>
          <w:rFonts w:hAnsi="宋体" w:cs="新宋体"/>
          <w:szCs w:val="21"/>
        </w:rPr>
        <w:t xml:space="preserve"> </w:t>
      </w:r>
    </w:p>
    <w:p>
      <w:pPr>
        <w:spacing w:line="360" w:lineRule="auto"/>
        <w:ind w:firstLine="3255" w:firstLineChars="1550"/>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pStyle w:val="20"/>
        <w:spacing w:before="156" w:after="156" w:line="360" w:lineRule="auto"/>
        <w:ind w:left="657" w:leftChars="313" w:firstLine="4620" w:firstLineChars="2200"/>
        <w:rPr>
          <w:rFonts w:hint="eastAsia" w:hAnsi="宋体"/>
          <w:szCs w:val="21"/>
        </w:rPr>
      </w:pPr>
      <w:r>
        <w:rPr>
          <w:rFonts w:hAnsi="宋体"/>
          <w:szCs w:val="21"/>
        </w:rPr>
        <w:t xml:space="preserve">日 </w:t>
      </w:r>
      <w:r>
        <w:rPr>
          <w:rFonts w:hint="eastAsia" w:hAnsi="宋体"/>
          <w:szCs w:val="21"/>
        </w:rPr>
        <w:t xml:space="preserve"> </w:t>
      </w:r>
      <w:r>
        <w:rPr>
          <w:rFonts w:hAnsi="宋体"/>
          <w:szCs w:val="21"/>
        </w:rPr>
        <w:t xml:space="preserve"> 期：  年  月</w:t>
      </w:r>
      <w:r>
        <w:rPr>
          <w:rFonts w:hint="eastAsia" w:hAnsi="宋体"/>
          <w:szCs w:val="21"/>
        </w:rPr>
        <w:t xml:space="preserve">  日</w:t>
      </w: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pStyle w:val="29"/>
        <w:rPr>
          <w:rFonts w:hint="eastAsia"/>
        </w:rPr>
      </w:pPr>
      <w:r>
        <w:rPr>
          <w:rFonts w:ascii="宋体" w:hAnsi="宋体"/>
          <w:szCs w:val="21"/>
        </w:rPr>
        <w:br w:type="page"/>
      </w:r>
      <w:bookmarkStart w:id="446" w:name="_Toc524612777"/>
      <w:r>
        <w:rPr>
          <w:rFonts w:hint="eastAsia"/>
        </w:rPr>
        <w:t>投入设备一览表</w:t>
      </w:r>
      <w:bookmarkEnd w:id="446"/>
    </w:p>
    <w:p>
      <w:pPr>
        <w:pStyle w:val="5"/>
        <w:overflowPunct w:val="0"/>
        <w:ind w:firstLine="0"/>
        <w:rPr>
          <w:rFonts w:hint="eastAsia" w:ascii="宋体" w:hAnsi="宋体"/>
          <w:b/>
          <w:szCs w:val="21"/>
        </w:rPr>
      </w:pP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r>
              <w:rPr>
                <w:rFonts w:hint="eastAsia" w:hAnsi="宋体"/>
                <w:sz w:val="21"/>
                <w:szCs w:val="21"/>
                <w:lang w:val="en-US" w:eastAsia="zh-CN"/>
              </w:rPr>
              <w:t>序号</w:t>
            </w:r>
          </w:p>
        </w:tc>
        <w:tc>
          <w:tcPr>
            <w:tcW w:w="1816" w:type="dxa"/>
            <w:noWrap w:val="0"/>
            <w:vAlign w:val="center"/>
          </w:tcPr>
          <w:p>
            <w:pPr>
              <w:pStyle w:val="57"/>
              <w:spacing w:after="120"/>
              <w:jc w:val="center"/>
              <w:rPr>
                <w:rFonts w:hAnsi="宋体"/>
                <w:sz w:val="21"/>
                <w:szCs w:val="21"/>
                <w:lang w:val="en-US" w:eastAsia="zh-CN"/>
              </w:rPr>
            </w:pPr>
            <w:r>
              <w:rPr>
                <w:rFonts w:hint="eastAsia" w:hAnsi="宋体"/>
                <w:sz w:val="21"/>
                <w:szCs w:val="21"/>
                <w:lang w:val="en-US" w:eastAsia="zh-CN"/>
              </w:rPr>
              <w:t>名称</w:t>
            </w:r>
          </w:p>
        </w:tc>
        <w:tc>
          <w:tcPr>
            <w:tcW w:w="1211" w:type="dxa"/>
            <w:noWrap w:val="0"/>
            <w:vAlign w:val="center"/>
          </w:tcPr>
          <w:p>
            <w:pPr>
              <w:pStyle w:val="57"/>
              <w:spacing w:after="120"/>
              <w:jc w:val="center"/>
              <w:rPr>
                <w:rFonts w:hint="eastAsia" w:hAnsi="宋体"/>
                <w:sz w:val="21"/>
                <w:szCs w:val="21"/>
                <w:lang w:val="en-US" w:eastAsia="zh-CN"/>
              </w:rPr>
            </w:pPr>
            <w:r>
              <w:rPr>
                <w:rFonts w:hint="eastAsia" w:hAnsi="宋体"/>
                <w:sz w:val="21"/>
                <w:szCs w:val="21"/>
                <w:lang w:val="en-US" w:eastAsia="zh-CN"/>
              </w:rPr>
              <w:t>品牌</w:t>
            </w:r>
          </w:p>
        </w:tc>
        <w:tc>
          <w:tcPr>
            <w:tcW w:w="1211" w:type="dxa"/>
            <w:tcBorders>
              <w:bottom w:val="single" w:color="auto" w:sz="4" w:space="0"/>
            </w:tcBorders>
            <w:noWrap w:val="0"/>
            <w:vAlign w:val="center"/>
          </w:tcPr>
          <w:p>
            <w:pPr>
              <w:pStyle w:val="57"/>
              <w:spacing w:after="120"/>
              <w:jc w:val="center"/>
              <w:rPr>
                <w:rFonts w:hAnsi="宋体"/>
                <w:sz w:val="21"/>
                <w:szCs w:val="21"/>
                <w:lang w:val="en-US" w:eastAsia="zh-CN"/>
              </w:rPr>
            </w:pPr>
            <w:r>
              <w:rPr>
                <w:rFonts w:hint="eastAsia" w:hAnsi="宋体"/>
                <w:sz w:val="21"/>
                <w:szCs w:val="21"/>
                <w:lang w:val="en-US" w:eastAsia="zh-CN"/>
              </w:rPr>
              <w:t>型号、规格</w:t>
            </w:r>
          </w:p>
        </w:tc>
        <w:tc>
          <w:tcPr>
            <w:tcW w:w="679" w:type="dxa"/>
            <w:tcBorders>
              <w:right w:val="single" w:color="auto" w:sz="4" w:space="0"/>
            </w:tcBorders>
            <w:noWrap w:val="0"/>
            <w:vAlign w:val="center"/>
          </w:tcPr>
          <w:p>
            <w:pPr>
              <w:pStyle w:val="57"/>
              <w:spacing w:after="120"/>
              <w:jc w:val="center"/>
              <w:rPr>
                <w:rFonts w:hint="eastAsia" w:hAnsi="宋体"/>
                <w:sz w:val="21"/>
                <w:szCs w:val="21"/>
                <w:lang w:val="en-US" w:eastAsia="zh-CN"/>
              </w:rPr>
            </w:pPr>
            <w:r>
              <w:rPr>
                <w:rFonts w:hint="eastAsia" w:hAnsi="宋体"/>
                <w:sz w:val="21"/>
                <w:szCs w:val="21"/>
                <w:lang w:val="en-US" w:eastAsia="zh-CN"/>
              </w:rPr>
              <w:t>单位</w:t>
            </w: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r>
              <w:rPr>
                <w:rFonts w:hint="eastAsia" w:hAnsi="宋体"/>
                <w:sz w:val="21"/>
                <w:szCs w:val="21"/>
                <w:lang w:val="en-US" w:eastAsia="zh-CN"/>
              </w:rPr>
              <w:t>数量</w:t>
            </w:r>
          </w:p>
        </w:tc>
        <w:tc>
          <w:tcPr>
            <w:tcW w:w="2400" w:type="dxa"/>
            <w:noWrap w:val="0"/>
            <w:vAlign w:val="center"/>
          </w:tcPr>
          <w:p>
            <w:pPr>
              <w:pStyle w:val="57"/>
              <w:spacing w:after="120"/>
              <w:jc w:val="center"/>
              <w:rPr>
                <w:rFonts w:hint="eastAsia" w:hAnsi="宋体"/>
                <w:sz w:val="21"/>
                <w:szCs w:val="21"/>
                <w:lang w:val="en-US" w:eastAsia="zh-CN"/>
              </w:rPr>
            </w:pPr>
            <w:r>
              <w:rPr>
                <w:rFonts w:hint="eastAsia" w:hAnsi="宋体"/>
                <w:sz w:val="21"/>
                <w:szCs w:val="21"/>
                <w:lang w:val="en-US" w:eastAsia="zh-CN"/>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p>
        </w:tc>
        <w:tc>
          <w:tcPr>
            <w:tcW w:w="1816" w:type="dxa"/>
            <w:noWrap w:val="0"/>
            <w:vAlign w:val="center"/>
          </w:tcPr>
          <w:p>
            <w:pPr>
              <w:pStyle w:val="57"/>
              <w:spacing w:after="120"/>
              <w:jc w:val="center"/>
              <w:rPr>
                <w:rFonts w:hAnsi="宋体"/>
                <w:sz w:val="21"/>
                <w:szCs w:val="21"/>
                <w:lang w:val="en-US" w:eastAsia="zh-CN"/>
              </w:rPr>
            </w:pPr>
          </w:p>
        </w:tc>
        <w:tc>
          <w:tcPr>
            <w:tcW w:w="1211" w:type="dxa"/>
            <w:noWrap w:val="0"/>
            <w:vAlign w:val="top"/>
          </w:tcPr>
          <w:p>
            <w:pPr>
              <w:pStyle w:val="57"/>
              <w:spacing w:after="120"/>
              <w:jc w:val="center"/>
              <w:rPr>
                <w:rFonts w:hAnsi="宋体"/>
                <w:sz w:val="21"/>
                <w:szCs w:val="21"/>
                <w:lang w:val="en-US" w:eastAsia="zh-CN"/>
              </w:rPr>
            </w:pPr>
          </w:p>
        </w:tc>
        <w:tc>
          <w:tcPr>
            <w:tcW w:w="1211" w:type="dxa"/>
            <w:tcBorders>
              <w:top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right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p>
        </w:tc>
        <w:tc>
          <w:tcPr>
            <w:tcW w:w="2400" w:type="dxa"/>
            <w:noWrap w:val="0"/>
            <w:vAlign w:val="center"/>
          </w:tcPr>
          <w:p>
            <w:pPr>
              <w:pStyle w:val="57"/>
              <w:spacing w:after="120"/>
              <w:jc w:val="center"/>
              <w:rPr>
                <w:rFonts w:hAnsi="宋体"/>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p>
        </w:tc>
        <w:tc>
          <w:tcPr>
            <w:tcW w:w="1816" w:type="dxa"/>
            <w:noWrap w:val="0"/>
            <w:vAlign w:val="center"/>
          </w:tcPr>
          <w:p>
            <w:pPr>
              <w:pStyle w:val="57"/>
              <w:spacing w:after="120"/>
              <w:jc w:val="center"/>
              <w:rPr>
                <w:rFonts w:hAnsi="宋体"/>
                <w:sz w:val="21"/>
                <w:szCs w:val="21"/>
                <w:lang w:val="en-US" w:eastAsia="zh-CN"/>
              </w:rPr>
            </w:pPr>
          </w:p>
        </w:tc>
        <w:tc>
          <w:tcPr>
            <w:tcW w:w="1211" w:type="dxa"/>
            <w:noWrap w:val="0"/>
            <w:vAlign w:val="top"/>
          </w:tcPr>
          <w:p>
            <w:pPr>
              <w:pStyle w:val="57"/>
              <w:spacing w:after="120"/>
              <w:jc w:val="center"/>
              <w:rPr>
                <w:rFonts w:hAnsi="宋体"/>
                <w:sz w:val="21"/>
                <w:szCs w:val="21"/>
                <w:lang w:val="en-US" w:eastAsia="zh-CN"/>
              </w:rPr>
            </w:pPr>
          </w:p>
        </w:tc>
        <w:tc>
          <w:tcPr>
            <w:tcW w:w="1211" w:type="dxa"/>
            <w:noWrap w:val="0"/>
            <w:vAlign w:val="center"/>
          </w:tcPr>
          <w:p>
            <w:pPr>
              <w:pStyle w:val="57"/>
              <w:spacing w:after="120"/>
              <w:jc w:val="center"/>
              <w:rPr>
                <w:rFonts w:hAnsi="宋体"/>
                <w:sz w:val="21"/>
                <w:szCs w:val="21"/>
                <w:lang w:val="en-US" w:eastAsia="zh-CN"/>
              </w:rPr>
            </w:pPr>
          </w:p>
        </w:tc>
        <w:tc>
          <w:tcPr>
            <w:tcW w:w="679" w:type="dxa"/>
            <w:tcBorders>
              <w:right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p>
        </w:tc>
        <w:tc>
          <w:tcPr>
            <w:tcW w:w="2400" w:type="dxa"/>
            <w:noWrap w:val="0"/>
            <w:vAlign w:val="center"/>
          </w:tcPr>
          <w:p>
            <w:pPr>
              <w:pStyle w:val="57"/>
              <w:spacing w:after="120"/>
              <w:jc w:val="center"/>
              <w:rPr>
                <w:rFonts w:hAnsi="宋体"/>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p>
        </w:tc>
        <w:tc>
          <w:tcPr>
            <w:tcW w:w="1816" w:type="dxa"/>
            <w:noWrap w:val="0"/>
            <w:vAlign w:val="center"/>
          </w:tcPr>
          <w:p>
            <w:pPr>
              <w:pStyle w:val="57"/>
              <w:spacing w:after="120"/>
              <w:jc w:val="center"/>
              <w:rPr>
                <w:rFonts w:hAnsi="宋体"/>
                <w:sz w:val="21"/>
                <w:szCs w:val="21"/>
                <w:lang w:val="en-US" w:eastAsia="zh-CN"/>
              </w:rPr>
            </w:pPr>
          </w:p>
        </w:tc>
        <w:tc>
          <w:tcPr>
            <w:tcW w:w="1211" w:type="dxa"/>
            <w:noWrap w:val="0"/>
            <w:vAlign w:val="top"/>
          </w:tcPr>
          <w:p>
            <w:pPr>
              <w:pStyle w:val="57"/>
              <w:spacing w:after="120"/>
              <w:jc w:val="center"/>
              <w:rPr>
                <w:rFonts w:hAnsi="宋体"/>
                <w:sz w:val="21"/>
                <w:szCs w:val="21"/>
                <w:lang w:val="en-US" w:eastAsia="zh-CN"/>
              </w:rPr>
            </w:pPr>
          </w:p>
        </w:tc>
        <w:tc>
          <w:tcPr>
            <w:tcW w:w="1211" w:type="dxa"/>
            <w:noWrap w:val="0"/>
            <w:vAlign w:val="center"/>
          </w:tcPr>
          <w:p>
            <w:pPr>
              <w:pStyle w:val="57"/>
              <w:spacing w:after="120"/>
              <w:jc w:val="center"/>
              <w:rPr>
                <w:rFonts w:hAnsi="宋体"/>
                <w:sz w:val="21"/>
                <w:szCs w:val="21"/>
                <w:lang w:val="en-US" w:eastAsia="zh-CN"/>
              </w:rPr>
            </w:pPr>
          </w:p>
        </w:tc>
        <w:tc>
          <w:tcPr>
            <w:tcW w:w="679" w:type="dxa"/>
            <w:tcBorders>
              <w:right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p>
        </w:tc>
        <w:tc>
          <w:tcPr>
            <w:tcW w:w="2400" w:type="dxa"/>
            <w:noWrap w:val="0"/>
            <w:vAlign w:val="center"/>
          </w:tcPr>
          <w:p>
            <w:pPr>
              <w:pStyle w:val="57"/>
              <w:spacing w:after="120"/>
              <w:jc w:val="center"/>
              <w:rPr>
                <w:rFonts w:hAnsi="宋体"/>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p>
        </w:tc>
        <w:tc>
          <w:tcPr>
            <w:tcW w:w="1816" w:type="dxa"/>
            <w:noWrap w:val="0"/>
            <w:vAlign w:val="center"/>
          </w:tcPr>
          <w:p>
            <w:pPr>
              <w:pStyle w:val="57"/>
              <w:spacing w:after="120"/>
              <w:jc w:val="center"/>
              <w:rPr>
                <w:rFonts w:hAnsi="宋体"/>
                <w:sz w:val="21"/>
                <w:szCs w:val="21"/>
                <w:lang w:val="en-US" w:eastAsia="zh-CN"/>
              </w:rPr>
            </w:pPr>
          </w:p>
        </w:tc>
        <w:tc>
          <w:tcPr>
            <w:tcW w:w="1211" w:type="dxa"/>
            <w:noWrap w:val="0"/>
            <w:vAlign w:val="top"/>
          </w:tcPr>
          <w:p>
            <w:pPr>
              <w:pStyle w:val="57"/>
              <w:spacing w:after="120"/>
              <w:jc w:val="center"/>
              <w:rPr>
                <w:rFonts w:hAnsi="宋体"/>
                <w:sz w:val="21"/>
                <w:szCs w:val="21"/>
                <w:lang w:val="en-US" w:eastAsia="zh-CN"/>
              </w:rPr>
            </w:pPr>
          </w:p>
        </w:tc>
        <w:tc>
          <w:tcPr>
            <w:tcW w:w="1211" w:type="dxa"/>
            <w:noWrap w:val="0"/>
            <w:vAlign w:val="center"/>
          </w:tcPr>
          <w:p>
            <w:pPr>
              <w:pStyle w:val="57"/>
              <w:spacing w:after="120"/>
              <w:jc w:val="center"/>
              <w:rPr>
                <w:rFonts w:hAnsi="宋体"/>
                <w:sz w:val="21"/>
                <w:szCs w:val="21"/>
                <w:lang w:val="en-US" w:eastAsia="zh-CN"/>
              </w:rPr>
            </w:pPr>
          </w:p>
        </w:tc>
        <w:tc>
          <w:tcPr>
            <w:tcW w:w="679" w:type="dxa"/>
            <w:tcBorders>
              <w:right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p>
        </w:tc>
        <w:tc>
          <w:tcPr>
            <w:tcW w:w="2400" w:type="dxa"/>
            <w:noWrap w:val="0"/>
            <w:vAlign w:val="center"/>
          </w:tcPr>
          <w:p>
            <w:pPr>
              <w:pStyle w:val="57"/>
              <w:spacing w:after="120"/>
              <w:jc w:val="center"/>
              <w:rPr>
                <w:rFonts w:hAnsi="宋体"/>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spacing w:after="120"/>
              <w:jc w:val="center"/>
              <w:rPr>
                <w:rFonts w:hAnsi="宋体"/>
                <w:sz w:val="21"/>
                <w:szCs w:val="21"/>
                <w:lang w:val="en-US" w:eastAsia="zh-CN"/>
              </w:rPr>
            </w:pPr>
          </w:p>
        </w:tc>
        <w:tc>
          <w:tcPr>
            <w:tcW w:w="1816" w:type="dxa"/>
            <w:noWrap w:val="0"/>
            <w:vAlign w:val="center"/>
          </w:tcPr>
          <w:p>
            <w:pPr>
              <w:pStyle w:val="57"/>
              <w:spacing w:after="120"/>
              <w:jc w:val="center"/>
              <w:rPr>
                <w:rFonts w:hAnsi="宋体"/>
                <w:sz w:val="21"/>
                <w:szCs w:val="21"/>
                <w:lang w:val="en-US" w:eastAsia="zh-CN"/>
              </w:rPr>
            </w:pPr>
          </w:p>
        </w:tc>
        <w:tc>
          <w:tcPr>
            <w:tcW w:w="1211" w:type="dxa"/>
            <w:noWrap w:val="0"/>
            <w:vAlign w:val="top"/>
          </w:tcPr>
          <w:p>
            <w:pPr>
              <w:pStyle w:val="57"/>
              <w:spacing w:after="120"/>
              <w:jc w:val="center"/>
              <w:rPr>
                <w:rFonts w:hAnsi="宋体"/>
                <w:sz w:val="21"/>
                <w:szCs w:val="21"/>
                <w:lang w:val="en-US" w:eastAsia="zh-CN"/>
              </w:rPr>
            </w:pPr>
          </w:p>
        </w:tc>
        <w:tc>
          <w:tcPr>
            <w:tcW w:w="1211" w:type="dxa"/>
            <w:noWrap w:val="0"/>
            <w:vAlign w:val="center"/>
          </w:tcPr>
          <w:p>
            <w:pPr>
              <w:pStyle w:val="57"/>
              <w:spacing w:after="120"/>
              <w:jc w:val="center"/>
              <w:rPr>
                <w:rFonts w:hAnsi="宋体"/>
                <w:sz w:val="21"/>
                <w:szCs w:val="21"/>
                <w:lang w:val="en-US" w:eastAsia="zh-CN"/>
              </w:rPr>
            </w:pPr>
          </w:p>
        </w:tc>
        <w:tc>
          <w:tcPr>
            <w:tcW w:w="679" w:type="dxa"/>
            <w:tcBorders>
              <w:right w:val="single" w:color="auto" w:sz="4" w:space="0"/>
            </w:tcBorders>
            <w:noWrap w:val="0"/>
            <w:vAlign w:val="center"/>
          </w:tcPr>
          <w:p>
            <w:pPr>
              <w:pStyle w:val="57"/>
              <w:spacing w:after="120"/>
              <w:jc w:val="center"/>
              <w:rPr>
                <w:rFonts w:hAnsi="宋体"/>
                <w:sz w:val="21"/>
                <w:szCs w:val="21"/>
                <w:lang w:val="en-US" w:eastAsia="zh-CN"/>
              </w:rPr>
            </w:pPr>
          </w:p>
        </w:tc>
        <w:tc>
          <w:tcPr>
            <w:tcW w:w="679" w:type="dxa"/>
            <w:tcBorders>
              <w:left w:val="single" w:color="auto" w:sz="4" w:space="0"/>
            </w:tcBorders>
            <w:noWrap w:val="0"/>
            <w:vAlign w:val="center"/>
          </w:tcPr>
          <w:p>
            <w:pPr>
              <w:pStyle w:val="57"/>
              <w:spacing w:after="120"/>
              <w:jc w:val="center"/>
              <w:rPr>
                <w:rFonts w:hAnsi="宋体"/>
                <w:sz w:val="21"/>
                <w:szCs w:val="21"/>
                <w:lang w:val="en-US" w:eastAsia="zh-CN"/>
              </w:rPr>
            </w:pPr>
          </w:p>
        </w:tc>
        <w:tc>
          <w:tcPr>
            <w:tcW w:w="2400" w:type="dxa"/>
            <w:noWrap w:val="0"/>
            <w:vAlign w:val="center"/>
          </w:tcPr>
          <w:p>
            <w:pPr>
              <w:pStyle w:val="57"/>
              <w:spacing w:after="120"/>
              <w:jc w:val="center"/>
              <w:rPr>
                <w:rFonts w:hAnsi="宋体"/>
                <w:sz w:val="21"/>
                <w:szCs w:val="21"/>
                <w:lang w:val="en-US" w:eastAsia="zh-CN"/>
              </w:rPr>
            </w:pPr>
          </w:p>
        </w:tc>
      </w:tr>
    </w:tbl>
    <w:p>
      <w:pPr>
        <w:pStyle w:val="57"/>
        <w:spacing w:after="120" w:line="360" w:lineRule="auto"/>
        <w:ind w:firstLine="422" w:firstLineChars="200"/>
        <w:rPr>
          <w:rFonts w:hint="eastAsia" w:hAnsi="宋体"/>
          <w:b/>
          <w:sz w:val="21"/>
          <w:szCs w:val="21"/>
        </w:rPr>
      </w:pPr>
      <w:r>
        <w:rPr>
          <w:rFonts w:hint="eastAsia" w:hAnsi="宋体"/>
          <w:b/>
          <w:sz w:val="21"/>
          <w:szCs w:val="21"/>
        </w:rPr>
        <w:t>注：自有设备需提供购销发票复印件，租赁设备需提供租赁协议复印件，表格行数不够可自行添加。</w:t>
      </w:r>
    </w:p>
    <w:p>
      <w:pPr>
        <w:spacing w:line="360" w:lineRule="auto"/>
        <w:ind w:firstLine="3255" w:firstLineChars="1550"/>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widowControl/>
        <w:spacing w:line="360" w:lineRule="auto"/>
        <w:jc w:val="left"/>
        <w:rPr>
          <w:rFonts w:hint="eastAsia" w:ascii="宋体" w:hAnsi="宋体"/>
          <w:szCs w:val="21"/>
        </w:rPr>
      </w:pP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rPr>
        <w:t xml:space="preserve">                   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p>
      <w:pPr>
        <w:widowControl/>
        <w:spacing w:line="360" w:lineRule="auto"/>
        <w:jc w:val="left"/>
        <w:rPr>
          <w:rFonts w:hint="eastAsia" w:ascii="宋体" w:hAnsi="宋体"/>
          <w:szCs w:val="21"/>
        </w:rPr>
      </w:pPr>
    </w:p>
    <w:p>
      <w:pPr>
        <w:pStyle w:val="20"/>
        <w:snapToGrid w:val="0"/>
        <w:spacing w:before="120" w:after="120" w:line="360" w:lineRule="auto"/>
        <w:jc w:val="center"/>
        <w:rPr>
          <w:rFonts w:hint="eastAsia" w:hAnsi="宋体"/>
          <w:b/>
          <w:szCs w:val="21"/>
        </w:rPr>
      </w:pPr>
    </w:p>
    <w:p>
      <w:pPr>
        <w:pStyle w:val="29"/>
      </w:pPr>
      <w:bookmarkStart w:id="447" w:name="_Toc524612779"/>
      <w:r>
        <w:br w:type="page"/>
      </w:r>
      <w:r>
        <w:rPr>
          <w:rFonts w:hint="eastAsia"/>
        </w:rPr>
        <w:t>中小企业声明函</w:t>
      </w:r>
      <w:bookmarkEnd w:id="447"/>
    </w:p>
    <w:p>
      <w:pPr>
        <w:pStyle w:val="20"/>
        <w:snapToGrid w:val="0"/>
        <w:spacing w:before="120" w:after="120" w:line="360" w:lineRule="auto"/>
        <w:rPr>
          <w:rFonts w:hAnsi="宋体"/>
          <w:szCs w:val="21"/>
        </w:rPr>
      </w:pPr>
      <w:r>
        <w:rPr>
          <w:rFonts w:hint="eastAsia" w:hAnsi="宋体"/>
          <w:szCs w:val="21"/>
        </w:rPr>
        <w:t>本公司着重声明：</w:t>
      </w:r>
    </w:p>
    <w:p>
      <w:pPr>
        <w:pStyle w:val="20"/>
        <w:snapToGrid w:val="0"/>
        <w:spacing w:before="120" w:after="120" w:line="360" w:lineRule="auto"/>
        <w:ind w:left="210" w:leftChars="100" w:firstLine="210" w:firstLineChars="100"/>
        <w:rPr>
          <w:rFonts w:hAnsi="宋体"/>
          <w:szCs w:val="21"/>
        </w:rPr>
      </w:pPr>
      <w:r>
        <w:rPr>
          <w:rFonts w:hint="eastAsia" w:hAnsi="宋体"/>
          <w:szCs w:val="21"/>
        </w:rPr>
        <w:t>根据《政府采购促进中小企业发展暂行办法》</w:t>
      </w:r>
      <w:r>
        <w:rPr>
          <w:rFonts w:hAnsi="宋体" w:cs="Arial"/>
          <w:szCs w:val="21"/>
        </w:rPr>
        <w:t>(财库[2011]181号</w:t>
      </w:r>
      <w:r>
        <w:rPr>
          <w:rFonts w:hint="eastAsia" w:hAnsi="宋体" w:cs="Arial"/>
          <w:szCs w:val="21"/>
        </w:rPr>
        <w:t>的规定，本公司为（</w:t>
      </w:r>
      <w:r>
        <w:rPr>
          <w:rFonts w:hAnsi="宋体"/>
          <w:szCs w:val="21"/>
          <w:u w:val="single"/>
        </w:rPr>
        <w:t xml:space="preserve">    </w:t>
      </w:r>
      <w:r>
        <w:rPr>
          <w:rFonts w:hint="eastAsia" w:hAnsi="宋体"/>
          <w:szCs w:val="21"/>
          <w:u w:val="single"/>
        </w:rPr>
        <w:t>）</w:t>
      </w:r>
      <w:r>
        <w:rPr>
          <w:rFonts w:hint="eastAsia" w:hAnsi="宋体" w:cs="Arial"/>
          <w:szCs w:val="21"/>
        </w:rPr>
        <w:t>型（中、小、微）企业。本公司同时满足以下条件：</w:t>
      </w:r>
    </w:p>
    <w:p>
      <w:pPr>
        <w:pStyle w:val="20"/>
        <w:snapToGrid w:val="0"/>
        <w:spacing w:before="120" w:after="120" w:line="360" w:lineRule="auto"/>
        <w:ind w:firstLine="420" w:firstLineChars="200"/>
        <w:rPr>
          <w:rFonts w:hAnsi="宋体"/>
          <w:szCs w:val="21"/>
        </w:rPr>
      </w:pPr>
      <w:r>
        <w:rPr>
          <w:rFonts w:hint="eastAsia" w:hAnsi="宋体"/>
          <w:szCs w:val="21"/>
        </w:rPr>
        <w:t>（一）符合中小企业划分标准；</w:t>
      </w:r>
      <w:r>
        <w:rPr>
          <w:rFonts w:hAnsi="宋体"/>
          <w:szCs w:val="21"/>
        </w:rPr>
        <w:t xml:space="preserve"> </w:t>
      </w:r>
    </w:p>
    <w:p>
      <w:pPr>
        <w:pStyle w:val="20"/>
        <w:snapToGrid w:val="0"/>
        <w:spacing w:before="120" w:after="120" w:line="360" w:lineRule="auto"/>
        <w:ind w:firstLine="420" w:firstLineChars="200"/>
        <w:rPr>
          <w:rFonts w:hAnsi="宋体"/>
          <w:szCs w:val="21"/>
        </w:rPr>
      </w:pPr>
      <w:r>
        <w:rPr>
          <w:rFonts w:hint="eastAsia" w:hAnsi="宋体"/>
          <w:szCs w:val="21"/>
        </w:rPr>
        <w:t>（二）提供本企业制造的货物、承担的工程或者服务，或者提供其他中小企业制造的货物。本项所称货物不包括使用大型企业注册商标的货物。</w:t>
      </w:r>
      <w:r>
        <w:rPr>
          <w:rFonts w:hAnsi="宋体"/>
          <w:szCs w:val="21"/>
        </w:rPr>
        <w:t xml:space="preserve">  </w:t>
      </w:r>
    </w:p>
    <w:p>
      <w:pPr>
        <w:pStyle w:val="20"/>
        <w:snapToGrid w:val="0"/>
        <w:spacing w:before="120" w:after="120" w:line="360" w:lineRule="auto"/>
        <w:ind w:firstLine="420" w:firstLineChars="200"/>
        <w:rPr>
          <w:rFonts w:hAnsi="宋体"/>
          <w:szCs w:val="21"/>
        </w:rPr>
      </w:pPr>
      <w:r>
        <w:rPr>
          <w:rFonts w:hint="eastAsia" w:hAnsi="宋体"/>
          <w:szCs w:val="21"/>
        </w:rPr>
        <w:t>（三）本公司参加</w:t>
      </w:r>
      <w:r>
        <w:rPr>
          <w:rFonts w:hint="eastAsia" w:hAnsi="宋体"/>
          <w:szCs w:val="21"/>
          <w:u w:val="single"/>
        </w:rPr>
        <w:t xml:space="preserve">                                  </w:t>
      </w:r>
      <w:r>
        <w:rPr>
          <w:rFonts w:hint="eastAsia" w:hAnsi="宋体"/>
          <w:szCs w:val="21"/>
        </w:rPr>
        <w:t>项目采购活动，由本公司承担工程，提供服务。本公司对上述声明的真实性负责，如有虚假，将依法承担责任。</w:t>
      </w:r>
      <w:r>
        <w:rPr>
          <w:rFonts w:hAnsi="宋体"/>
          <w:szCs w:val="21"/>
        </w:rPr>
        <w:t xml:space="preserve">  </w:t>
      </w:r>
    </w:p>
    <w:p>
      <w:pPr>
        <w:spacing w:line="360" w:lineRule="auto"/>
        <w:ind w:firstLine="3255" w:firstLineChars="1550"/>
        <w:rPr>
          <w:rFonts w:ascii="宋体" w:hAnsi="宋体"/>
          <w:szCs w:val="21"/>
        </w:rPr>
      </w:pPr>
      <w:r>
        <w:rPr>
          <w:rFonts w:hint="eastAsia" w:ascii="宋体" w:hAnsi="宋体"/>
          <w:szCs w:val="21"/>
        </w:rPr>
        <w:t xml:space="preserve"> 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snapToGrid w:val="0"/>
        <w:spacing w:line="360" w:lineRule="auto"/>
        <w:ind w:firstLine="5355" w:firstLineChars="2550"/>
        <w:jc w:val="left"/>
        <w:rPr>
          <w:rFonts w:hint="eastAsia" w:ascii="宋体" w:hAnsi="宋体"/>
          <w:szCs w:val="21"/>
        </w:rPr>
      </w:pPr>
      <w:r>
        <w:rPr>
          <w:rFonts w:hint="eastAsia" w:ascii="宋体" w:hAnsi="宋体"/>
          <w:szCs w:val="21"/>
        </w:rPr>
        <w:t>日期：  年   月   日</w:t>
      </w: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hint="eastAsia" w:ascii="宋体" w:hAnsi="宋体"/>
          <w:szCs w:val="21"/>
        </w:rPr>
      </w:pPr>
    </w:p>
    <w:p>
      <w:pPr>
        <w:snapToGrid w:val="0"/>
        <w:spacing w:line="360" w:lineRule="auto"/>
        <w:ind w:firstLine="5355" w:firstLineChars="2550"/>
        <w:jc w:val="left"/>
        <w:rPr>
          <w:rFonts w:ascii="宋体" w:hAnsi="宋体"/>
          <w:szCs w:val="21"/>
        </w:rPr>
      </w:pPr>
    </w:p>
    <w:p>
      <w:pPr>
        <w:widowControl/>
        <w:spacing w:line="360" w:lineRule="auto"/>
        <w:jc w:val="center"/>
        <w:rPr>
          <w:rFonts w:hint="eastAsia" w:ascii="宋体" w:hAnsi="宋体"/>
          <w:b/>
          <w:szCs w:val="21"/>
        </w:rPr>
      </w:pPr>
    </w:p>
    <w:p>
      <w:pPr>
        <w:pStyle w:val="29"/>
        <w:rPr>
          <w:rFonts w:hint="eastAsia"/>
          <w:lang w:eastAsia="zh-CN"/>
        </w:rPr>
      </w:pPr>
      <w:bookmarkStart w:id="448" w:name="_Toc524612780"/>
    </w:p>
    <w:p>
      <w:pPr>
        <w:pStyle w:val="29"/>
      </w:pPr>
      <w:r>
        <w:rPr>
          <w:rFonts w:hint="eastAsia"/>
        </w:rPr>
        <w:t>残疾人福利性单位声明函</w:t>
      </w:r>
      <w:bookmarkEnd w:id="448"/>
    </w:p>
    <w:p>
      <w:pPr>
        <w:widowControl/>
        <w:spacing w:line="360" w:lineRule="auto"/>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宋体" w:hAnsi="宋体"/>
          <w:szCs w:val="21"/>
        </w:rPr>
      </w:pPr>
      <w:r>
        <w:rPr>
          <w:rFonts w:hint="eastAsia" w:ascii="宋体" w:hAnsi="宋体"/>
          <w:szCs w:val="21"/>
        </w:rPr>
        <w:t xml:space="preserve">  本单位对上述声明的真实性负责。如有虚假，将依法承担相应责任。</w:t>
      </w:r>
    </w:p>
    <w:p>
      <w:pPr>
        <w:spacing w:line="360" w:lineRule="auto"/>
        <w:ind w:firstLine="3255" w:firstLineChars="1550"/>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snapToGrid w:val="0"/>
        <w:spacing w:line="360" w:lineRule="auto"/>
        <w:ind w:firstLine="5355" w:firstLineChars="2550"/>
        <w:jc w:val="left"/>
        <w:rPr>
          <w:rFonts w:hint="eastAsia" w:ascii="宋体" w:hAnsi="宋体"/>
          <w:szCs w:val="21"/>
        </w:rPr>
      </w:pPr>
      <w:r>
        <w:rPr>
          <w:rFonts w:hint="eastAsia" w:ascii="宋体" w:hAnsi="宋体"/>
          <w:szCs w:val="21"/>
        </w:rPr>
        <w:t>日期：  年   月   日</w:t>
      </w:r>
    </w:p>
    <w:p>
      <w:pPr>
        <w:pStyle w:val="29"/>
        <w:rPr>
          <w:rFonts w:hint="eastAsia"/>
        </w:rPr>
      </w:pPr>
      <w:bookmarkStart w:id="449" w:name="_Toc524612778"/>
      <w:r>
        <w:br w:type="page"/>
      </w:r>
      <w:r>
        <w:rPr>
          <w:rFonts w:hint="eastAsia"/>
        </w:rPr>
        <w:t>商务响应表</w:t>
      </w:r>
      <w:bookmarkEnd w:id="449"/>
    </w:p>
    <w:p>
      <w:pPr>
        <w:snapToGrid w:val="0"/>
        <w:spacing w:before="50" w:line="360" w:lineRule="auto"/>
        <w:jc w:val="left"/>
        <w:rPr>
          <w:rFonts w:ascii="宋体" w:hAnsi="宋体"/>
          <w:szCs w:val="21"/>
          <w:u w:val="single"/>
        </w:rPr>
      </w:pPr>
      <w:r>
        <w:rPr>
          <w:rFonts w:hint="eastAsia" w:ascii="宋体" w:hAnsi="宋体"/>
          <w:szCs w:val="21"/>
        </w:rPr>
        <w:t>项目名称：</w:t>
      </w:r>
      <w:r>
        <w:rPr>
          <w:rFonts w:ascii="宋体" w:hAnsi="宋体"/>
          <w:szCs w:val="21"/>
          <w:u w:val="single"/>
        </w:rPr>
        <w:t xml:space="preserve">              </w:t>
      </w:r>
    </w:p>
    <w:tbl>
      <w:tblPr>
        <w:tblStyle w:val="31"/>
        <w:tblW w:w="8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1962"/>
        <w:gridCol w:w="1560"/>
        <w:gridCol w:w="2552"/>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项目</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招标文件要求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是否响应</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投标人的承诺或说明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6"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bl>
    <w:p>
      <w:pPr>
        <w:pStyle w:val="16"/>
        <w:rPr>
          <w:rFonts w:hint="eastAsia" w:ascii="宋体" w:hAnsi="宋体"/>
          <w:sz w:val="21"/>
          <w:szCs w:val="21"/>
          <w:highlight w:val="cyan"/>
          <w:lang w:eastAsia="zh-CN"/>
        </w:rPr>
      </w:pPr>
      <w:r>
        <w:rPr>
          <w:rFonts w:ascii="宋体" w:hAnsi="宋体"/>
          <w:sz w:val="21"/>
          <w:szCs w:val="21"/>
        </w:rPr>
        <w:t>注：</w:t>
      </w:r>
      <w:r>
        <w:rPr>
          <w:rFonts w:hint="eastAsia" w:ascii="宋体" w:hAnsi="宋体"/>
          <w:sz w:val="21"/>
          <w:szCs w:val="21"/>
        </w:rPr>
        <w:t>供应商</w:t>
      </w:r>
      <w:r>
        <w:rPr>
          <w:rFonts w:ascii="宋体" w:hAnsi="宋体"/>
          <w:sz w:val="21"/>
          <w:szCs w:val="21"/>
        </w:rPr>
        <w:t>应根据投标</w:t>
      </w:r>
      <w:r>
        <w:rPr>
          <w:rFonts w:hint="eastAsia" w:ascii="宋体" w:hAnsi="宋体"/>
          <w:sz w:val="21"/>
          <w:szCs w:val="21"/>
        </w:rPr>
        <w:t>项目</w:t>
      </w:r>
      <w:r>
        <w:rPr>
          <w:rFonts w:ascii="宋体" w:hAnsi="宋体"/>
          <w:sz w:val="21"/>
          <w:szCs w:val="21"/>
        </w:rPr>
        <w:t>的</w:t>
      </w:r>
      <w:r>
        <w:rPr>
          <w:rFonts w:hint="eastAsia" w:ascii="宋体" w:hAnsi="宋体"/>
          <w:sz w:val="21"/>
          <w:szCs w:val="21"/>
        </w:rPr>
        <w:t>服务要求</w:t>
      </w:r>
      <w:r>
        <w:rPr>
          <w:rFonts w:ascii="宋体" w:hAnsi="宋体"/>
          <w:sz w:val="21"/>
          <w:szCs w:val="21"/>
        </w:rPr>
        <w:t>、对照招标文件要求在“偏离情况”栏注明“正偏离”、“负偏离”或“无偏离”</w:t>
      </w:r>
      <w:r>
        <w:rPr>
          <w:rFonts w:hint="eastAsia" w:ascii="宋体" w:hAnsi="宋体"/>
          <w:sz w:val="21"/>
          <w:szCs w:val="21"/>
          <w:lang w:eastAsia="zh-CN"/>
        </w:rPr>
        <w:t>，</w:t>
      </w:r>
      <w:r>
        <w:rPr>
          <w:rFonts w:hint="eastAsia" w:ascii="宋体" w:hAnsi="宋体"/>
          <w:sz w:val="21"/>
          <w:szCs w:val="21"/>
        </w:rPr>
        <w:t>未在上表中说明的，将被认为完全响应招标文件的规定</w:t>
      </w:r>
      <w:r>
        <w:rPr>
          <w:rFonts w:ascii="宋体" w:hAnsi="宋体"/>
          <w:sz w:val="21"/>
          <w:szCs w:val="21"/>
        </w:rPr>
        <w:t>。</w:t>
      </w:r>
    </w:p>
    <w:p>
      <w:pPr>
        <w:pStyle w:val="16"/>
        <w:rPr>
          <w:rFonts w:hint="eastAsia" w:ascii="宋体" w:hAnsi="宋体"/>
          <w:sz w:val="21"/>
          <w:szCs w:val="21"/>
          <w:highlight w:val="cyan"/>
          <w:lang w:eastAsia="zh-CN"/>
        </w:rPr>
      </w:pPr>
    </w:p>
    <w:p>
      <w:pPr>
        <w:spacing w:line="360" w:lineRule="auto"/>
        <w:ind w:firstLine="3255" w:firstLineChars="1550"/>
        <w:rPr>
          <w:rFonts w:ascii="宋体" w:hAnsi="宋体"/>
          <w:szCs w:val="21"/>
        </w:rPr>
      </w:pPr>
      <w:r>
        <w:rPr>
          <w:rFonts w:hint="eastAsia" w:ascii="宋体" w:hAnsi="宋体"/>
          <w:szCs w:val="21"/>
        </w:rPr>
        <w:t>供应商法人代表或授权委托人签字：</w:t>
      </w:r>
      <w:r>
        <w:rPr>
          <w:rFonts w:ascii="宋体" w:hAnsi="宋体"/>
          <w:szCs w:val="21"/>
          <w:u w:val="single"/>
        </w:rPr>
        <w:t xml:space="preserve">            </w:t>
      </w:r>
    </w:p>
    <w:p>
      <w:pPr>
        <w:spacing w:line="360" w:lineRule="auto"/>
        <w:ind w:firstLine="4872" w:firstLineChars="2320"/>
        <w:rPr>
          <w:rFonts w:hint="eastAsia" w:ascii="宋体" w:hAnsi="宋体"/>
          <w:szCs w:val="21"/>
          <w:u w:val="single"/>
        </w:rPr>
      </w:pPr>
      <w:r>
        <w:rPr>
          <w:rFonts w:ascii="宋体" w:hAnsi="宋体"/>
          <w:szCs w:val="21"/>
        </w:rPr>
        <w:t xml:space="preserve">  </w:t>
      </w:r>
      <w:r>
        <w:rPr>
          <w:rFonts w:hint="eastAsia" w:ascii="宋体" w:hAnsi="宋体"/>
          <w:szCs w:val="21"/>
        </w:rPr>
        <w:t xml:space="preserve"> 供应商公章：</w:t>
      </w:r>
      <w:r>
        <w:rPr>
          <w:rFonts w:ascii="宋体" w:hAnsi="宋体"/>
          <w:szCs w:val="21"/>
          <w:u w:val="single"/>
        </w:rPr>
        <w:t xml:space="preserve">              </w:t>
      </w:r>
    </w:p>
    <w:p>
      <w:pPr>
        <w:spacing w:line="360" w:lineRule="auto"/>
        <w:rPr>
          <w:rFonts w:hint="eastAsia" w:ascii="宋体" w:hAnsi="宋体"/>
          <w:szCs w:val="21"/>
        </w:rPr>
      </w:pPr>
    </w:p>
    <w:p>
      <w:pPr>
        <w:snapToGrid w:val="0"/>
        <w:spacing w:line="360" w:lineRule="auto"/>
        <w:jc w:val="right"/>
        <w:rPr>
          <w:rFonts w:hint="eastAsia" w:ascii="宋体" w:hAnsi="宋体"/>
          <w:b/>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auto"/>
        <w:rPr>
          <w:rFonts w:hint="eastAsia" w:ascii="宋体" w:hAnsi="宋体"/>
          <w:b/>
          <w:szCs w:val="21"/>
        </w:rPr>
      </w:pPr>
      <w:r>
        <w:rPr>
          <w:rFonts w:ascii="宋体" w:hAnsi="宋体"/>
          <w:b/>
          <w:szCs w:val="21"/>
        </w:rPr>
        <w:br w:type="page"/>
      </w:r>
    </w:p>
    <w:p>
      <w:pPr>
        <w:pStyle w:val="29"/>
      </w:pPr>
      <w:bookmarkStart w:id="450" w:name="_Toc524612781"/>
      <w:r>
        <w:rPr>
          <w:rFonts w:hint="eastAsia"/>
        </w:rPr>
        <w:t>报价一览表</w:t>
      </w:r>
      <w:bookmarkEnd w:id="450"/>
    </w:p>
    <w:p>
      <w:pPr>
        <w:snapToGrid w:val="0"/>
        <w:spacing w:line="360" w:lineRule="auto"/>
        <w:jc w:val="center"/>
        <w:rPr>
          <w:rFonts w:hint="eastAsia" w:ascii="宋体" w:hAnsi="宋体"/>
        </w:rPr>
      </w:pPr>
    </w:p>
    <w:p>
      <w:pPr>
        <w:snapToGrid w:val="0"/>
        <w:spacing w:line="360" w:lineRule="auto"/>
        <w:jc w:val="center"/>
        <w:rPr>
          <w:rFonts w:hint="eastAsia" w:ascii="宋体" w:hAnsi="宋体"/>
          <w:b/>
          <w:sz w:val="28"/>
          <w:szCs w:val="28"/>
        </w:rPr>
      </w:pPr>
      <w:r>
        <w:rPr>
          <w:rFonts w:hint="eastAsia" w:ascii="宋体" w:hAnsi="宋体"/>
          <w:b/>
          <w:sz w:val="28"/>
          <w:szCs w:val="28"/>
        </w:rPr>
        <w:t>嘉兴市公安局经济技术开发区(国际商务区)分局</w:t>
      </w:r>
    </w:p>
    <w:p>
      <w:pPr>
        <w:snapToGrid w:val="0"/>
        <w:spacing w:line="360" w:lineRule="auto"/>
        <w:jc w:val="center"/>
        <w:rPr>
          <w:rFonts w:hint="eastAsia" w:ascii="宋体" w:hAnsi="宋体"/>
          <w:sz w:val="28"/>
          <w:szCs w:val="28"/>
        </w:rPr>
      </w:pPr>
      <w:r>
        <w:rPr>
          <w:rFonts w:hint="eastAsia" w:ascii="宋体" w:hAnsi="宋体"/>
          <w:b/>
          <w:sz w:val="28"/>
          <w:szCs w:val="28"/>
        </w:rPr>
        <w:t>移动**通购买项目初次报价</w:t>
      </w:r>
    </w:p>
    <w:p>
      <w:pPr>
        <w:snapToGrid w:val="0"/>
        <w:spacing w:line="360" w:lineRule="auto"/>
        <w:rPr>
          <w:rFonts w:hint="eastAsia" w:ascii="宋体" w:hAnsi="宋体"/>
          <w:szCs w:val="21"/>
        </w:rPr>
      </w:pPr>
      <w:r>
        <w:rPr>
          <w:rFonts w:hint="eastAsia" w:ascii="宋体" w:hAnsi="宋体"/>
          <w:szCs w:val="21"/>
        </w:rPr>
        <w:t>招标编号：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投标人名称：</w:t>
      </w:r>
      <w:r>
        <w:rPr>
          <w:rFonts w:ascii="宋体" w:hAnsi="宋体"/>
          <w:szCs w:val="21"/>
          <w:u w:val="single"/>
        </w:rPr>
        <w:t xml:space="preserve">                     </w:t>
      </w:r>
      <w:r>
        <w:rPr>
          <w:rFonts w:ascii="宋体" w:hAnsi="宋体"/>
          <w:szCs w:val="21"/>
        </w:rPr>
        <w:t xml:space="preserve">    </w:t>
      </w:r>
      <w:r>
        <w:rPr>
          <w:rFonts w:hint="eastAsia" w:ascii="宋体" w:hAnsi="宋体"/>
          <w:szCs w:val="21"/>
        </w:rPr>
        <w:t>单位：元</w:t>
      </w:r>
    </w:p>
    <w:p>
      <w:pPr>
        <w:snapToGrid w:val="0"/>
        <w:spacing w:line="360" w:lineRule="auto"/>
        <w:rPr>
          <w:rFonts w:hint="eastAsia" w:ascii="宋体" w:hAnsi="宋体"/>
          <w:szCs w:val="21"/>
        </w:rPr>
      </w:pPr>
    </w:p>
    <w:tbl>
      <w:tblPr>
        <w:tblStyle w:val="3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119"/>
        <w:gridCol w:w="709"/>
        <w:gridCol w:w="992"/>
        <w:gridCol w:w="1134"/>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项目内容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投标单价</w:t>
            </w:r>
          </w:p>
          <w:p>
            <w:pPr>
              <w:snapToGrid w:val="0"/>
              <w:spacing w:before="120" w:beforeLines="50" w:line="360" w:lineRule="auto"/>
              <w:jc w:val="center"/>
              <w:rPr>
                <w:rFonts w:hint="eastAsia" w:ascii="宋体" w:hAnsi="宋体"/>
                <w:szCs w:val="21"/>
              </w:rPr>
            </w:pPr>
            <w:r>
              <w:rPr>
                <w:rFonts w:hint="eastAsia" w:ascii="宋体" w:hAnsi="宋体"/>
                <w:szCs w:val="21"/>
              </w:rPr>
              <w:t>元/台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投标报价</w:t>
            </w:r>
          </w:p>
          <w:p>
            <w:pPr>
              <w:snapToGrid w:val="0"/>
              <w:spacing w:before="120" w:beforeLines="50" w:line="360" w:lineRule="auto"/>
              <w:jc w:val="center"/>
              <w:rPr>
                <w:rFonts w:ascii="宋体" w:hAnsi="宋体"/>
                <w:szCs w:val="21"/>
              </w:rPr>
            </w:pPr>
            <w:r>
              <w:rPr>
                <w:rFonts w:hint="eastAsia" w:ascii="宋体" w:hAnsi="宋体"/>
                <w:szCs w:val="21"/>
              </w:rPr>
              <w:t>（元）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22" w:hRule="atLeast"/>
        </w:trPr>
        <w:tc>
          <w:tcPr>
            <w:tcW w:w="675" w:type="dxa"/>
            <w:tcBorders>
              <w:top w:val="single" w:color="auto" w:sz="4" w:space="0"/>
              <w:left w:val="single" w:color="auto" w:sz="4" w:space="0"/>
              <w:right w:val="single" w:color="auto" w:sz="4" w:space="0"/>
            </w:tcBorders>
            <w:noWrap w:val="0"/>
            <w:vAlign w:val="center"/>
          </w:tcPr>
          <w:p>
            <w:pPr>
              <w:spacing w:before="120" w:beforeLines="50"/>
              <w:jc w:val="center"/>
              <w:rPr>
                <w:rFonts w:ascii="宋体" w:hAnsi="宋体" w:cs="宋体"/>
                <w:szCs w:val="21"/>
              </w:rPr>
            </w:pPr>
            <w:r>
              <w:rPr>
                <w:rFonts w:hint="eastAsia" w:ascii="宋体" w:hAnsi="宋体" w:cs="宋体"/>
                <w:szCs w:val="21"/>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left"/>
              <w:rPr>
                <w:rFonts w:hint="eastAsia" w:ascii="宋体" w:hAnsi="宋体" w:cs="宋体"/>
                <w:szCs w:val="21"/>
              </w:rPr>
            </w:pPr>
            <w:r>
              <w:rPr>
                <w:rFonts w:hint="eastAsia" w:ascii="宋体" w:hAnsi="宋体" w:cs="宋体"/>
                <w:szCs w:val="21"/>
              </w:rPr>
              <w:t>移动**终端</w:t>
            </w:r>
          </w:p>
          <w:p>
            <w:pPr>
              <w:spacing w:before="120" w:beforeLines="50"/>
              <w:jc w:val="left"/>
              <w:rPr>
                <w:rFonts w:ascii="宋体" w:hAnsi="宋体"/>
                <w:iCs/>
                <w:szCs w:val="21"/>
              </w:rPr>
            </w:pPr>
            <w:r>
              <w:rPr>
                <w:rFonts w:hint="eastAsia" w:ascii="宋体" w:hAnsi="宋体" w:cs="宋体"/>
                <w:kern w:val="0"/>
                <w:szCs w:val="21"/>
              </w:rPr>
              <w:t>公安部一所 华为CX9 Puls POMS版 6+128G（含硬件、软件加密费等）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22" w:hRule="atLeast"/>
        </w:trPr>
        <w:tc>
          <w:tcPr>
            <w:tcW w:w="675" w:type="dxa"/>
            <w:tcBorders>
              <w:top w:val="single" w:color="auto" w:sz="4" w:space="0"/>
              <w:left w:val="single" w:color="auto" w:sz="4" w:space="0"/>
              <w:right w:val="single" w:color="auto" w:sz="4" w:space="0"/>
            </w:tcBorders>
            <w:noWrap w:val="0"/>
            <w:vAlign w:val="center"/>
          </w:tcPr>
          <w:p>
            <w:pPr>
              <w:spacing w:before="120" w:beforeLines="50"/>
              <w:jc w:val="center"/>
              <w:rPr>
                <w:rFonts w:hint="eastAsia" w:ascii="宋体" w:hAnsi="宋体" w:cs="宋体"/>
                <w:szCs w:val="21"/>
              </w:rPr>
            </w:pPr>
            <w:r>
              <w:rPr>
                <w:rFonts w:hint="eastAsia" w:ascii="宋体" w:hAnsi="宋体" w:cs="宋体"/>
                <w:szCs w:val="21"/>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left"/>
              <w:rPr>
                <w:rFonts w:hint="eastAsia" w:ascii="宋体" w:hAnsi="宋体" w:cs="宋体"/>
                <w:szCs w:val="21"/>
              </w:rPr>
            </w:pPr>
            <w:r>
              <w:rPr>
                <w:rFonts w:hint="eastAsia" w:ascii="宋体" w:hAnsi="宋体" w:cs="宋体"/>
                <w:szCs w:val="21"/>
              </w:rPr>
              <w:t>移动**终端</w:t>
            </w:r>
          </w:p>
          <w:p>
            <w:pPr>
              <w:spacing w:before="120" w:beforeLines="50"/>
              <w:jc w:val="left"/>
              <w:rPr>
                <w:rFonts w:ascii="宋体" w:hAnsi="宋体"/>
                <w:iCs/>
                <w:szCs w:val="21"/>
              </w:rPr>
            </w:pPr>
            <w:r>
              <w:rPr>
                <w:rFonts w:hint="eastAsia" w:ascii="宋体" w:hAnsi="宋体" w:cs="宋体"/>
                <w:kern w:val="0"/>
                <w:szCs w:val="21"/>
              </w:rPr>
              <w:t>华为Mate20（HMA-AL00） 6+128G（含硬件、软件加密费等）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2"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合计金额大写：</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tc>
      </w:tr>
    </w:tbl>
    <w:p>
      <w:pPr>
        <w:snapToGrid w:val="0"/>
        <w:spacing w:line="360" w:lineRule="auto"/>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hint="eastAsia" w:ascii="宋体" w:hAnsi="宋体"/>
          <w:szCs w:val="21"/>
        </w:rPr>
      </w:pPr>
      <w:r>
        <w:rPr>
          <w:rFonts w:hint="eastAsia" w:ascii="宋体" w:hAnsi="宋体"/>
          <w:szCs w:val="21"/>
        </w:rPr>
        <w:t>2、投标报价包括项目实施所需的设备费、人工费、服务费、购买及制作标书费、税费及其他一切费用。</w:t>
      </w: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ascii="宋体" w:hAnsi="宋体"/>
          <w:szCs w:val="21"/>
        </w:rPr>
      </w:pPr>
      <w:r>
        <w:rPr>
          <w:rFonts w:hint="eastAsia" w:ascii="宋体" w:hAnsi="宋体"/>
          <w:szCs w:val="21"/>
        </w:rPr>
        <w:t>法定代表人或授权代表（签字或盖章）：</w:t>
      </w:r>
      <w:r>
        <w:rPr>
          <w:rFonts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投标人名称（盖章）：</w:t>
      </w:r>
      <w:r>
        <w:rPr>
          <w:rFonts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hint="eastAsia" w:ascii="宋体" w:hAnsi="宋体"/>
          <w:szCs w:val="21"/>
        </w:rPr>
      </w:pPr>
    </w:p>
    <w:p>
      <w:pPr>
        <w:spacing w:line="360" w:lineRule="auto"/>
        <w:rPr>
          <w:rFonts w:ascii="宋体" w:hAnsi="宋体"/>
          <w:szCs w:val="21"/>
        </w:rPr>
        <w:sectPr>
          <w:pgSz w:w="11906" w:h="16838"/>
          <w:pgMar w:top="1440" w:right="1797" w:bottom="1440" w:left="1797" w:header="851" w:footer="992" w:gutter="0"/>
          <w:cols w:space="720" w:num="1"/>
          <w:docGrid w:linePitch="312" w:charSpace="0"/>
        </w:sectPr>
      </w:pPr>
    </w:p>
    <w:p>
      <w:pPr>
        <w:spacing w:line="360" w:lineRule="auto"/>
        <w:rPr>
          <w:rFonts w:hint="eastAsia" w:ascii="宋体" w:hAnsi="宋体"/>
          <w:szCs w:val="21"/>
        </w:rPr>
      </w:pPr>
    </w:p>
    <w:p>
      <w:pPr>
        <w:pStyle w:val="29"/>
      </w:pPr>
      <w:r>
        <w:rPr>
          <w:rFonts w:hint="eastAsia"/>
        </w:rPr>
        <w:t>报价一览表（</w:t>
      </w:r>
      <w:r>
        <w:rPr>
          <w:rFonts w:hint="eastAsia"/>
          <w:lang w:eastAsia="zh-CN"/>
        </w:rPr>
        <w:t>第二次）</w:t>
      </w:r>
    </w:p>
    <w:p>
      <w:pPr>
        <w:snapToGrid w:val="0"/>
        <w:spacing w:line="360" w:lineRule="auto"/>
        <w:jc w:val="center"/>
        <w:rPr>
          <w:rFonts w:hint="eastAsia" w:ascii="宋体" w:hAnsi="宋体"/>
        </w:rPr>
      </w:pPr>
    </w:p>
    <w:p>
      <w:pPr>
        <w:snapToGrid w:val="0"/>
        <w:spacing w:line="360" w:lineRule="auto"/>
        <w:jc w:val="center"/>
        <w:rPr>
          <w:rFonts w:hint="eastAsia" w:ascii="宋体" w:hAnsi="宋体"/>
          <w:b/>
          <w:sz w:val="28"/>
          <w:szCs w:val="28"/>
        </w:rPr>
      </w:pPr>
      <w:r>
        <w:rPr>
          <w:rFonts w:hint="eastAsia" w:ascii="宋体" w:hAnsi="宋体"/>
          <w:b/>
          <w:sz w:val="28"/>
          <w:szCs w:val="28"/>
        </w:rPr>
        <w:t>嘉兴市公安局经济技术开发区(国际商务区)分局</w:t>
      </w:r>
    </w:p>
    <w:p>
      <w:pPr>
        <w:snapToGrid w:val="0"/>
        <w:spacing w:line="360" w:lineRule="auto"/>
        <w:jc w:val="center"/>
        <w:rPr>
          <w:rFonts w:hint="eastAsia" w:ascii="宋体" w:hAnsi="宋体"/>
          <w:sz w:val="28"/>
          <w:szCs w:val="28"/>
        </w:rPr>
      </w:pPr>
      <w:r>
        <w:rPr>
          <w:rFonts w:hint="eastAsia" w:ascii="宋体" w:hAnsi="宋体"/>
          <w:b/>
          <w:sz w:val="28"/>
          <w:szCs w:val="28"/>
        </w:rPr>
        <w:t>移动**通购买项目第二次报价</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r>
        <w:rPr>
          <w:rFonts w:hint="eastAsia" w:ascii="宋体" w:hAnsi="宋体"/>
          <w:szCs w:val="21"/>
        </w:rPr>
        <w:t>招标编号：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单位：元</w:t>
      </w:r>
    </w:p>
    <w:tbl>
      <w:tblPr>
        <w:tblStyle w:val="3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119"/>
        <w:gridCol w:w="709"/>
        <w:gridCol w:w="992"/>
        <w:gridCol w:w="1134"/>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序号</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项目内容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投标单价</w:t>
            </w:r>
          </w:p>
          <w:p>
            <w:pPr>
              <w:snapToGrid w:val="0"/>
              <w:spacing w:before="120" w:beforeLines="50" w:line="360" w:lineRule="auto"/>
              <w:jc w:val="center"/>
              <w:rPr>
                <w:rFonts w:hint="eastAsia" w:ascii="宋体" w:hAnsi="宋体"/>
                <w:szCs w:val="21"/>
              </w:rPr>
            </w:pPr>
            <w:r>
              <w:rPr>
                <w:rFonts w:hint="eastAsia" w:ascii="宋体" w:hAnsi="宋体"/>
                <w:szCs w:val="21"/>
              </w:rPr>
              <w:t>元/台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投标报价（元）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22" w:hRule="atLeast"/>
        </w:trPr>
        <w:tc>
          <w:tcPr>
            <w:tcW w:w="675" w:type="dxa"/>
            <w:tcBorders>
              <w:top w:val="single" w:color="auto" w:sz="4" w:space="0"/>
              <w:left w:val="single" w:color="auto" w:sz="4" w:space="0"/>
              <w:right w:val="single" w:color="auto" w:sz="4" w:space="0"/>
            </w:tcBorders>
            <w:noWrap w:val="0"/>
            <w:vAlign w:val="center"/>
          </w:tcPr>
          <w:p>
            <w:pPr>
              <w:spacing w:before="120" w:beforeLines="50"/>
              <w:jc w:val="center"/>
              <w:rPr>
                <w:rFonts w:ascii="宋体" w:hAnsi="宋体" w:cs="宋体"/>
                <w:szCs w:val="21"/>
              </w:rPr>
            </w:pPr>
            <w:r>
              <w:rPr>
                <w:rFonts w:hint="eastAsia" w:ascii="宋体" w:hAnsi="宋体" w:cs="宋体"/>
                <w:szCs w:val="21"/>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left"/>
              <w:rPr>
                <w:rFonts w:hint="eastAsia" w:ascii="宋体" w:hAnsi="宋体" w:cs="宋体"/>
                <w:szCs w:val="21"/>
              </w:rPr>
            </w:pPr>
            <w:r>
              <w:rPr>
                <w:rFonts w:hint="eastAsia" w:ascii="宋体" w:hAnsi="宋体" w:cs="宋体"/>
                <w:szCs w:val="21"/>
              </w:rPr>
              <w:t>移动**终端</w:t>
            </w:r>
          </w:p>
          <w:p>
            <w:pPr>
              <w:spacing w:before="120" w:beforeLines="50"/>
              <w:jc w:val="left"/>
              <w:rPr>
                <w:rFonts w:ascii="宋体" w:hAnsi="宋体"/>
                <w:iCs/>
                <w:szCs w:val="21"/>
              </w:rPr>
            </w:pPr>
            <w:r>
              <w:rPr>
                <w:rFonts w:hint="eastAsia" w:ascii="宋体" w:hAnsi="宋体" w:cs="宋体"/>
                <w:kern w:val="0"/>
                <w:szCs w:val="21"/>
              </w:rPr>
              <w:t>公安部一所 华为CX9 Puls POMS版 6+128G（含硬件、软件加密费等）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22" w:hRule="atLeast"/>
        </w:trPr>
        <w:tc>
          <w:tcPr>
            <w:tcW w:w="675" w:type="dxa"/>
            <w:tcBorders>
              <w:top w:val="single" w:color="auto" w:sz="4" w:space="0"/>
              <w:left w:val="single" w:color="auto" w:sz="4" w:space="0"/>
              <w:right w:val="single" w:color="auto" w:sz="4" w:space="0"/>
            </w:tcBorders>
            <w:noWrap w:val="0"/>
            <w:vAlign w:val="center"/>
          </w:tcPr>
          <w:p>
            <w:pPr>
              <w:spacing w:before="120" w:beforeLines="50"/>
              <w:jc w:val="center"/>
              <w:rPr>
                <w:rFonts w:hint="eastAsia" w:ascii="宋体" w:hAnsi="宋体" w:cs="宋体"/>
                <w:szCs w:val="21"/>
              </w:rPr>
            </w:pPr>
            <w:r>
              <w:rPr>
                <w:rFonts w:hint="eastAsia" w:ascii="宋体" w:hAnsi="宋体" w:cs="宋体"/>
                <w:szCs w:val="21"/>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left"/>
              <w:rPr>
                <w:rFonts w:hint="eastAsia" w:ascii="宋体" w:hAnsi="宋体" w:cs="宋体"/>
                <w:szCs w:val="21"/>
              </w:rPr>
            </w:pPr>
            <w:r>
              <w:rPr>
                <w:rFonts w:hint="eastAsia" w:ascii="宋体" w:hAnsi="宋体" w:cs="宋体"/>
                <w:szCs w:val="21"/>
              </w:rPr>
              <w:t>移动**终端</w:t>
            </w:r>
          </w:p>
          <w:p>
            <w:pPr>
              <w:spacing w:before="120" w:beforeLines="50"/>
              <w:jc w:val="left"/>
              <w:rPr>
                <w:rFonts w:ascii="宋体" w:hAnsi="宋体"/>
                <w:iCs/>
                <w:szCs w:val="21"/>
              </w:rPr>
            </w:pPr>
            <w:r>
              <w:rPr>
                <w:rFonts w:hint="eastAsia" w:ascii="宋体" w:hAnsi="宋体" w:cs="宋体"/>
                <w:kern w:val="0"/>
                <w:szCs w:val="21"/>
              </w:rPr>
              <w:t>华为Mate20（HMA-AL00） 6+128G（含硬件、软件加密费等）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szCs w:val="21"/>
              </w:rPr>
            </w:pPr>
            <w:r>
              <w:rPr>
                <w:rFonts w:hint="eastAsia" w:ascii="宋体" w:hAnsi="宋体"/>
                <w:szCs w:val="21"/>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2"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left"/>
              <w:rPr>
                <w:rFonts w:ascii="宋体" w:hAnsi="宋体"/>
                <w:szCs w:val="21"/>
              </w:rPr>
            </w:pPr>
            <w:r>
              <w:rPr>
                <w:rFonts w:hint="eastAsia" w:ascii="宋体" w:hAnsi="宋体"/>
                <w:szCs w:val="21"/>
              </w:rPr>
              <w:t>合计金额大写：</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w:t>
            </w:r>
          </w:p>
        </w:tc>
      </w:tr>
    </w:tbl>
    <w:p>
      <w:pPr>
        <w:snapToGrid w:val="0"/>
        <w:spacing w:line="360" w:lineRule="auto"/>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hint="eastAsia" w:ascii="宋体" w:hAnsi="宋体"/>
          <w:szCs w:val="21"/>
        </w:rPr>
      </w:pPr>
      <w:r>
        <w:rPr>
          <w:rFonts w:hint="eastAsia" w:ascii="宋体" w:hAnsi="宋体"/>
          <w:szCs w:val="21"/>
        </w:rPr>
        <w:t>2、投标报价包括项目实施所需的设备费、人工费、服务费、购买及制作标书费、税费及其他一切费用。</w:t>
      </w: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hint="eastAsia" w:ascii="宋体" w:hAnsi="宋体"/>
          <w:szCs w:val="21"/>
        </w:rPr>
      </w:pPr>
    </w:p>
    <w:p>
      <w:pPr>
        <w:snapToGrid w:val="0"/>
        <w:spacing w:line="360" w:lineRule="auto"/>
        <w:ind w:left="-21" w:leftChars="-22" w:right="-817" w:rightChars="-389" w:hanging="25" w:hangingChars="12"/>
        <w:rPr>
          <w:rFonts w:ascii="宋体" w:hAnsi="宋体"/>
          <w:szCs w:val="21"/>
        </w:rPr>
      </w:pPr>
      <w:r>
        <w:rPr>
          <w:rFonts w:hint="eastAsia" w:ascii="宋体" w:hAnsi="宋体"/>
          <w:szCs w:val="21"/>
        </w:rPr>
        <w:t>法定代表人或授权代表（签字或盖章）：</w:t>
      </w:r>
      <w:r>
        <w:rPr>
          <w:rFonts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r>
        <w:rPr>
          <w:rFonts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hint="eastAsia" w:ascii="宋体" w:hAnsi="宋体"/>
          <w:szCs w:val="21"/>
        </w:rPr>
      </w:pPr>
    </w:p>
    <w:sectPr>
      <w:footerReference r:id="rId1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宋体-18030">
    <w:altName w:val="宋体"/>
    <w:panose1 w:val="00000000000000000000"/>
    <w:charset w:val="86"/>
    <w:family w:val="modern"/>
    <w:pitch w:val="default"/>
    <w:sig w:usb0="800022A7" w:usb1="880F3C78"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firstLine="210" w:firstLineChars="100"/>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ihY+c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mKFj5yQEAAJk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separate"/>
    </w:r>
    <w:r>
      <w:rPr>
        <w:rStyle w:val="34"/>
        <w:lang/>
      </w:rPr>
      <w:t>42</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firstLine="210" w:firstLineChars="100"/>
      <w:jc w:val="center"/>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Ux0jM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1THSMyQEAAJk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separate"/>
    </w:r>
    <w:r>
      <w:rPr>
        <w:rStyle w:val="34"/>
        <w:lang/>
      </w:rPr>
      <w:t>42</w: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firstLine="210" w:firstLineChars="100"/>
      <w:jc w:val="center"/>
      <w:rPr>
        <w:rFonts w:hint="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78"/>
      <w:lvlText w:val="%1."/>
      <w:lvlJc w:val="left"/>
      <w:pPr>
        <w:tabs>
          <w:tab w:val="left" w:pos="1200"/>
        </w:tabs>
        <w:ind w:left="1200" w:hanging="360"/>
      </w:pPr>
    </w:lvl>
  </w:abstractNum>
  <w:abstractNum w:abstractNumId="1">
    <w:nsid w:val="099268A0"/>
    <w:multiLevelType w:val="multilevel"/>
    <w:tmpl w:val="099268A0"/>
    <w:lvl w:ilvl="0" w:tentative="0">
      <w:start w:val="1"/>
      <w:numFmt w:val="japaneseCounting"/>
      <w:lvlText w:val="%1、"/>
      <w:lvlJc w:val="left"/>
      <w:pPr>
        <w:ind w:left="450" w:hanging="45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F43525"/>
    <w:multiLevelType w:val="multilevel"/>
    <w:tmpl w:val="43F43525"/>
    <w:lvl w:ilvl="0" w:tentative="0">
      <w:start w:val="1"/>
      <w:numFmt w:val="decimal"/>
      <w:pStyle w:val="6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1FA1A31"/>
    <w:multiLevelType w:val="multilevel"/>
    <w:tmpl w:val="51FA1A31"/>
    <w:lvl w:ilvl="0" w:tentative="0">
      <w:start w:val="1"/>
      <w:numFmt w:val="japaneseCounting"/>
      <w:pStyle w:val="1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42EA7"/>
    <w:multiLevelType w:val="singleLevel"/>
    <w:tmpl w:val="54F42EA7"/>
    <w:lvl w:ilvl="0" w:tentative="0">
      <w:start w:val="1"/>
      <w:numFmt w:val="decimal"/>
      <w:suff w:val="nothing"/>
      <w:lvlText w:val="%1、"/>
      <w:lvlJc w:val="left"/>
    </w:lvl>
  </w:abstractNum>
  <w:abstractNum w:abstractNumId="5">
    <w:nsid w:val="73501D6F"/>
    <w:multiLevelType w:val="multilevel"/>
    <w:tmpl w:val="73501D6F"/>
    <w:lvl w:ilvl="0" w:tentative="0">
      <w:start w:val="1"/>
      <w:numFmt w:val="japaneseCounting"/>
      <w:lvlText w:val="%1、"/>
      <w:lvlJc w:val="left"/>
      <w:pPr>
        <w:tabs>
          <w:tab w:val="left" w:pos="946"/>
        </w:tabs>
        <w:ind w:left="946" w:hanging="480"/>
      </w:pPr>
      <w:rPr>
        <w:rFonts w:hint="default"/>
      </w:rPr>
    </w:lvl>
    <w:lvl w:ilvl="1" w:tentative="0">
      <w:start w:val="1"/>
      <w:numFmt w:val="lowerLetter"/>
      <w:lvlText w:val="%2)"/>
      <w:lvlJc w:val="left"/>
      <w:pPr>
        <w:tabs>
          <w:tab w:val="left" w:pos="1306"/>
        </w:tabs>
        <w:ind w:left="1306" w:hanging="420"/>
      </w:pPr>
    </w:lvl>
    <w:lvl w:ilvl="2" w:tentative="0">
      <w:start w:val="1"/>
      <w:numFmt w:val="lowerRoman"/>
      <w:lvlText w:val="%3."/>
      <w:lvlJc w:val="right"/>
      <w:pPr>
        <w:tabs>
          <w:tab w:val="left" w:pos="1726"/>
        </w:tabs>
        <w:ind w:left="1726" w:hanging="420"/>
      </w:pPr>
    </w:lvl>
    <w:lvl w:ilvl="3" w:tentative="0">
      <w:start w:val="1"/>
      <w:numFmt w:val="decimal"/>
      <w:lvlText w:val="%4."/>
      <w:lvlJc w:val="left"/>
      <w:pPr>
        <w:tabs>
          <w:tab w:val="left" w:pos="2146"/>
        </w:tabs>
        <w:ind w:left="2146" w:hanging="420"/>
      </w:pPr>
    </w:lvl>
    <w:lvl w:ilvl="4" w:tentative="0">
      <w:start w:val="1"/>
      <w:numFmt w:val="lowerLetter"/>
      <w:lvlText w:val="%5)"/>
      <w:lvlJc w:val="left"/>
      <w:pPr>
        <w:tabs>
          <w:tab w:val="left" w:pos="2566"/>
        </w:tabs>
        <w:ind w:left="2566" w:hanging="420"/>
      </w:pPr>
    </w:lvl>
    <w:lvl w:ilvl="5" w:tentative="0">
      <w:start w:val="1"/>
      <w:numFmt w:val="lowerRoman"/>
      <w:lvlText w:val="%6."/>
      <w:lvlJc w:val="right"/>
      <w:pPr>
        <w:tabs>
          <w:tab w:val="left" w:pos="2986"/>
        </w:tabs>
        <w:ind w:left="2986" w:hanging="420"/>
      </w:pPr>
    </w:lvl>
    <w:lvl w:ilvl="6" w:tentative="0">
      <w:start w:val="1"/>
      <w:numFmt w:val="decimal"/>
      <w:lvlText w:val="%7."/>
      <w:lvlJc w:val="left"/>
      <w:pPr>
        <w:tabs>
          <w:tab w:val="left" w:pos="3406"/>
        </w:tabs>
        <w:ind w:left="3406" w:hanging="420"/>
      </w:pPr>
    </w:lvl>
    <w:lvl w:ilvl="7" w:tentative="0">
      <w:start w:val="1"/>
      <w:numFmt w:val="lowerLetter"/>
      <w:lvlText w:val="%8)"/>
      <w:lvlJc w:val="left"/>
      <w:pPr>
        <w:tabs>
          <w:tab w:val="left" w:pos="3826"/>
        </w:tabs>
        <w:ind w:left="3826" w:hanging="420"/>
      </w:pPr>
    </w:lvl>
    <w:lvl w:ilvl="8" w:tentative="0">
      <w:start w:val="1"/>
      <w:numFmt w:val="lowerRoman"/>
      <w:lvlText w:val="%9."/>
      <w:lvlJc w:val="right"/>
      <w:pPr>
        <w:tabs>
          <w:tab w:val="left" w:pos="4246"/>
        </w:tabs>
        <w:ind w:left="4246" w:hanging="420"/>
      </w:pPr>
    </w:lvl>
  </w:abstractNum>
  <w:abstractNum w:abstractNumId="6">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3"/>
    <w:rsid w:val="00000065"/>
    <w:rsid w:val="00000650"/>
    <w:rsid w:val="000007C3"/>
    <w:rsid w:val="000008B9"/>
    <w:rsid w:val="00002709"/>
    <w:rsid w:val="00015F8C"/>
    <w:rsid w:val="000166C3"/>
    <w:rsid w:val="0003100E"/>
    <w:rsid w:val="000357FA"/>
    <w:rsid w:val="00035F9A"/>
    <w:rsid w:val="00037AF4"/>
    <w:rsid w:val="00037D3D"/>
    <w:rsid w:val="00043D53"/>
    <w:rsid w:val="00045AE4"/>
    <w:rsid w:val="00050063"/>
    <w:rsid w:val="00051994"/>
    <w:rsid w:val="00051C58"/>
    <w:rsid w:val="00054173"/>
    <w:rsid w:val="00061AAE"/>
    <w:rsid w:val="000628FB"/>
    <w:rsid w:val="00063B70"/>
    <w:rsid w:val="00063D5C"/>
    <w:rsid w:val="00067AD3"/>
    <w:rsid w:val="00076418"/>
    <w:rsid w:val="00081F64"/>
    <w:rsid w:val="00090B59"/>
    <w:rsid w:val="000921DA"/>
    <w:rsid w:val="00094427"/>
    <w:rsid w:val="0009569B"/>
    <w:rsid w:val="0009715B"/>
    <w:rsid w:val="000A2B0F"/>
    <w:rsid w:val="000B0F00"/>
    <w:rsid w:val="000B3521"/>
    <w:rsid w:val="000B3A56"/>
    <w:rsid w:val="000B3ABA"/>
    <w:rsid w:val="000B4EFE"/>
    <w:rsid w:val="000B6862"/>
    <w:rsid w:val="000B6ED2"/>
    <w:rsid w:val="000B7373"/>
    <w:rsid w:val="000C3E30"/>
    <w:rsid w:val="000C4DA9"/>
    <w:rsid w:val="000C6055"/>
    <w:rsid w:val="000C6B83"/>
    <w:rsid w:val="000D6FE0"/>
    <w:rsid w:val="000E01C5"/>
    <w:rsid w:val="000E36B2"/>
    <w:rsid w:val="000E75B9"/>
    <w:rsid w:val="000F5046"/>
    <w:rsid w:val="000F63B4"/>
    <w:rsid w:val="00104C91"/>
    <w:rsid w:val="00111880"/>
    <w:rsid w:val="00124DD0"/>
    <w:rsid w:val="00125A8B"/>
    <w:rsid w:val="001263A6"/>
    <w:rsid w:val="00135518"/>
    <w:rsid w:val="0014272F"/>
    <w:rsid w:val="00142B09"/>
    <w:rsid w:val="0014321D"/>
    <w:rsid w:val="0014491F"/>
    <w:rsid w:val="00147059"/>
    <w:rsid w:val="00151D05"/>
    <w:rsid w:val="00156A72"/>
    <w:rsid w:val="0016015D"/>
    <w:rsid w:val="00172352"/>
    <w:rsid w:val="00173CD1"/>
    <w:rsid w:val="00176244"/>
    <w:rsid w:val="00182638"/>
    <w:rsid w:val="001829D6"/>
    <w:rsid w:val="00183DEB"/>
    <w:rsid w:val="0018483A"/>
    <w:rsid w:val="0018668D"/>
    <w:rsid w:val="001867C4"/>
    <w:rsid w:val="00187282"/>
    <w:rsid w:val="00190AB1"/>
    <w:rsid w:val="00193722"/>
    <w:rsid w:val="00193D24"/>
    <w:rsid w:val="00194B1E"/>
    <w:rsid w:val="001A332A"/>
    <w:rsid w:val="001A3EFE"/>
    <w:rsid w:val="001A4104"/>
    <w:rsid w:val="001A6132"/>
    <w:rsid w:val="001A63D0"/>
    <w:rsid w:val="001B38EC"/>
    <w:rsid w:val="001B4AD1"/>
    <w:rsid w:val="001B4F1B"/>
    <w:rsid w:val="001C1C3D"/>
    <w:rsid w:val="001C2105"/>
    <w:rsid w:val="001C364F"/>
    <w:rsid w:val="001C3F3D"/>
    <w:rsid w:val="001C761E"/>
    <w:rsid w:val="001D07ED"/>
    <w:rsid w:val="001D16F2"/>
    <w:rsid w:val="001D197F"/>
    <w:rsid w:val="001D2721"/>
    <w:rsid w:val="001D7D8E"/>
    <w:rsid w:val="001E1007"/>
    <w:rsid w:val="001E1D4D"/>
    <w:rsid w:val="001E26E6"/>
    <w:rsid w:val="001E7D55"/>
    <w:rsid w:val="001E7F42"/>
    <w:rsid w:val="001F4E0E"/>
    <w:rsid w:val="001F692A"/>
    <w:rsid w:val="00210A44"/>
    <w:rsid w:val="002129C4"/>
    <w:rsid w:val="00222DA5"/>
    <w:rsid w:val="0023389C"/>
    <w:rsid w:val="0023478E"/>
    <w:rsid w:val="00240D0C"/>
    <w:rsid w:val="002415E9"/>
    <w:rsid w:val="00245AE8"/>
    <w:rsid w:val="00245F6D"/>
    <w:rsid w:val="002504A1"/>
    <w:rsid w:val="0025297A"/>
    <w:rsid w:val="002556B9"/>
    <w:rsid w:val="0025745C"/>
    <w:rsid w:val="00264434"/>
    <w:rsid w:val="002734D4"/>
    <w:rsid w:val="0027359B"/>
    <w:rsid w:val="00274903"/>
    <w:rsid w:val="00274CA7"/>
    <w:rsid w:val="00275810"/>
    <w:rsid w:val="002809B3"/>
    <w:rsid w:val="00281AE7"/>
    <w:rsid w:val="00281C79"/>
    <w:rsid w:val="002831E3"/>
    <w:rsid w:val="00285959"/>
    <w:rsid w:val="00292CCF"/>
    <w:rsid w:val="002A254C"/>
    <w:rsid w:val="002A57AB"/>
    <w:rsid w:val="002A7E6D"/>
    <w:rsid w:val="002B1CAA"/>
    <w:rsid w:val="002B33A1"/>
    <w:rsid w:val="002B4935"/>
    <w:rsid w:val="002B7A86"/>
    <w:rsid w:val="002C2611"/>
    <w:rsid w:val="002C3D21"/>
    <w:rsid w:val="002C3F1E"/>
    <w:rsid w:val="002C45B9"/>
    <w:rsid w:val="002C595E"/>
    <w:rsid w:val="002E038E"/>
    <w:rsid w:val="002E042A"/>
    <w:rsid w:val="002E1658"/>
    <w:rsid w:val="002E2B94"/>
    <w:rsid w:val="002E5F6B"/>
    <w:rsid w:val="002E62FC"/>
    <w:rsid w:val="002F14E1"/>
    <w:rsid w:val="002F165E"/>
    <w:rsid w:val="002F2DC5"/>
    <w:rsid w:val="002F6610"/>
    <w:rsid w:val="00301F39"/>
    <w:rsid w:val="003023BF"/>
    <w:rsid w:val="00303597"/>
    <w:rsid w:val="00315412"/>
    <w:rsid w:val="00331DE3"/>
    <w:rsid w:val="003322F5"/>
    <w:rsid w:val="00334C51"/>
    <w:rsid w:val="00334DBA"/>
    <w:rsid w:val="00335B88"/>
    <w:rsid w:val="00335D8F"/>
    <w:rsid w:val="0034386D"/>
    <w:rsid w:val="0034452F"/>
    <w:rsid w:val="0034745D"/>
    <w:rsid w:val="00347596"/>
    <w:rsid w:val="00353446"/>
    <w:rsid w:val="00366817"/>
    <w:rsid w:val="00367170"/>
    <w:rsid w:val="003707D3"/>
    <w:rsid w:val="00375573"/>
    <w:rsid w:val="00377E3B"/>
    <w:rsid w:val="00381683"/>
    <w:rsid w:val="00385A35"/>
    <w:rsid w:val="00385AA8"/>
    <w:rsid w:val="00386830"/>
    <w:rsid w:val="003A3921"/>
    <w:rsid w:val="003B0252"/>
    <w:rsid w:val="003B5027"/>
    <w:rsid w:val="003C3D7E"/>
    <w:rsid w:val="003C5AC0"/>
    <w:rsid w:val="003C6E0E"/>
    <w:rsid w:val="003D72BA"/>
    <w:rsid w:val="003E138E"/>
    <w:rsid w:val="003E69ED"/>
    <w:rsid w:val="003F3295"/>
    <w:rsid w:val="003F530B"/>
    <w:rsid w:val="003F5576"/>
    <w:rsid w:val="003F7763"/>
    <w:rsid w:val="00400DA5"/>
    <w:rsid w:val="004012D9"/>
    <w:rsid w:val="00401E4F"/>
    <w:rsid w:val="00402E7C"/>
    <w:rsid w:val="00403BC9"/>
    <w:rsid w:val="00403CF4"/>
    <w:rsid w:val="0040498E"/>
    <w:rsid w:val="0041341B"/>
    <w:rsid w:val="004153E5"/>
    <w:rsid w:val="0042079F"/>
    <w:rsid w:val="00423B8F"/>
    <w:rsid w:val="00423BDD"/>
    <w:rsid w:val="00426A60"/>
    <w:rsid w:val="00430441"/>
    <w:rsid w:val="00432BFA"/>
    <w:rsid w:val="00437538"/>
    <w:rsid w:val="00440435"/>
    <w:rsid w:val="00441CF8"/>
    <w:rsid w:val="0044364B"/>
    <w:rsid w:val="0044532B"/>
    <w:rsid w:val="00445EF7"/>
    <w:rsid w:val="00452FCF"/>
    <w:rsid w:val="00453AD7"/>
    <w:rsid w:val="00454A70"/>
    <w:rsid w:val="00455A73"/>
    <w:rsid w:val="00456623"/>
    <w:rsid w:val="00460358"/>
    <w:rsid w:val="004612B3"/>
    <w:rsid w:val="004618A4"/>
    <w:rsid w:val="00461913"/>
    <w:rsid w:val="004628E0"/>
    <w:rsid w:val="00464680"/>
    <w:rsid w:val="004652A2"/>
    <w:rsid w:val="00466E4B"/>
    <w:rsid w:val="00471D36"/>
    <w:rsid w:val="004763CB"/>
    <w:rsid w:val="004774B4"/>
    <w:rsid w:val="00480CDD"/>
    <w:rsid w:val="00485C65"/>
    <w:rsid w:val="004918D7"/>
    <w:rsid w:val="00491A47"/>
    <w:rsid w:val="00494ECF"/>
    <w:rsid w:val="0049616C"/>
    <w:rsid w:val="004B0342"/>
    <w:rsid w:val="004B296C"/>
    <w:rsid w:val="004B3862"/>
    <w:rsid w:val="004B3F0B"/>
    <w:rsid w:val="004B7140"/>
    <w:rsid w:val="004C183F"/>
    <w:rsid w:val="004D00C3"/>
    <w:rsid w:val="004D074A"/>
    <w:rsid w:val="004D50A8"/>
    <w:rsid w:val="004D5C6E"/>
    <w:rsid w:val="004D6880"/>
    <w:rsid w:val="004E19AD"/>
    <w:rsid w:val="004E1C50"/>
    <w:rsid w:val="004E2EB3"/>
    <w:rsid w:val="004E375E"/>
    <w:rsid w:val="004E7E3D"/>
    <w:rsid w:val="004F4B74"/>
    <w:rsid w:val="004F4D1E"/>
    <w:rsid w:val="00500ADE"/>
    <w:rsid w:val="00502AAA"/>
    <w:rsid w:val="00502AEC"/>
    <w:rsid w:val="00503194"/>
    <w:rsid w:val="005034D3"/>
    <w:rsid w:val="00503705"/>
    <w:rsid w:val="005073FA"/>
    <w:rsid w:val="00511EEE"/>
    <w:rsid w:val="00522A9C"/>
    <w:rsid w:val="00522FF3"/>
    <w:rsid w:val="00536544"/>
    <w:rsid w:val="00541BAB"/>
    <w:rsid w:val="00543FD6"/>
    <w:rsid w:val="00544956"/>
    <w:rsid w:val="00547CFF"/>
    <w:rsid w:val="00550536"/>
    <w:rsid w:val="00550797"/>
    <w:rsid w:val="00556789"/>
    <w:rsid w:val="00557D6B"/>
    <w:rsid w:val="0056291D"/>
    <w:rsid w:val="0056338A"/>
    <w:rsid w:val="00564BAB"/>
    <w:rsid w:val="00565198"/>
    <w:rsid w:val="005658CC"/>
    <w:rsid w:val="005666D7"/>
    <w:rsid w:val="00570C7A"/>
    <w:rsid w:val="00571C00"/>
    <w:rsid w:val="00574B52"/>
    <w:rsid w:val="005764BA"/>
    <w:rsid w:val="00580BF8"/>
    <w:rsid w:val="00593938"/>
    <w:rsid w:val="00593D15"/>
    <w:rsid w:val="00594179"/>
    <w:rsid w:val="00596B4D"/>
    <w:rsid w:val="005A4B27"/>
    <w:rsid w:val="005B1011"/>
    <w:rsid w:val="005B164C"/>
    <w:rsid w:val="005B53E3"/>
    <w:rsid w:val="005B7F57"/>
    <w:rsid w:val="005C04F1"/>
    <w:rsid w:val="005C240C"/>
    <w:rsid w:val="005C791D"/>
    <w:rsid w:val="005D0FC4"/>
    <w:rsid w:val="005E358F"/>
    <w:rsid w:val="00602BB0"/>
    <w:rsid w:val="006033C4"/>
    <w:rsid w:val="006108B2"/>
    <w:rsid w:val="006108D5"/>
    <w:rsid w:val="00611A95"/>
    <w:rsid w:val="00613725"/>
    <w:rsid w:val="0061628C"/>
    <w:rsid w:val="00616FE1"/>
    <w:rsid w:val="00622333"/>
    <w:rsid w:val="00622C80"/>
    <w:rsid w:val="006278F1"/>
    <w:rsid w:val="006330F5"/>
    <w:rsid w:val="006354A8"/>
    <w:rsid w:val="00636411"/>
    <w:rsid w:val="00636D68"/>
    <w:rsid w:val="00641A58"/>
    <w:rsid w:val="00643111"/>
    <w:rsid w:val="006434DF"/>
    <w:rsid w:val="00644BA1"/>
    <w:rsid w:val="00651309"/>
    <w:rsid w:val="00651F2B"/>
    <w:rsid w:val="00657846"/>
    <w:rsid w:val="006617BE"/>
    <w:rsid w:val="0066698A"/>
    <w:rsid w:val="00672666"/>
    <w:rsid w:val="00673DA6"/>
    <w:rsid w:val="00675D8B"/>
    <w:rsid w:val="0067697A"/>
    <w:rsid w:val="00681985"/>
    <w:rsid w:val="006847BC"/>
    <w:rsid w:val="00686303"/>
    <w:rsid w:val="0068719F"/>
    <w:rsid w:val="006873EC"/>
    <w:rsid w:val="0068753C"/>
    <w:rsid w:val="006951E4"/>
    <w:rsid w:val="00697BF0"/>
    <w:rsid w:val="00697E4A"/>
    <w:rsid w:val="006A0750"/>
    <w:rsid w:val="006A7AAD"/>
    <w:rsid w:val="006B06A5"/>
    <w:rsid w:val="006B3D31"/>
    <w:rsid w:val="006B53FD"/>
    <w:rsid w:val="006C07B6"/>
    <w:rsid w:val="006C20DC"/>
    <w:rsid w:val="006D3C14"/>
    <w:rsid w:val="006D4FC2"/>
    <w:rsid w:val="006D5676"/>
    <w:rsid w:val="006E1E84"/>
    <w:rsid w:val="006E2781"/>
    <w:rsid w:val="006E4194"/>
    <w:rsid w:val="006E61AF"/>
    <w:rsid w:val="006F6FFB"/>
    <w:rsid w:val="006F725B"/>
    <w:rsid w:val="006F7B74"/>
    <w:rsid w:val="006F7BC3"/>
    <w:rsid w:val="00705BEA"/>
    <w:rsid w:val="007149FC"/>
    <w:rsid w:val="007161AC"/>
    <w:rsid w:val="0072193B"/>
    <w:rsid w:val="00726069"/>
    <w:rsid w:val="00726E79"/>
    <w:rsid w:val="00726ED3"/>
    <w:rsid w:val="0073058D"/>
    <w:rsid w:val="00732EA9"/>
    <w:rsid w:val="00736ED4"/>
    <w:rsid w:val="00737BAB"/>
    <w:rsid w:val="007408A0"/>
    <w:rsid w:val="007426B0"/>
    <w:rsid w:val="00744228"/>
    <w:rsid w:val="00744DFA"/>
    <w:rsid w:val="007461DC"/>
    <w:rsid w:val="00753A2A"/>
    <w:rsid w:val="00754F01"/>
    <w:rsid w:val="0075556D"/>
    <w:rsid w:val="0076081E"/>
    <w:rsid w:val="0076448C"/>
    <w:rsid w:val="00770033"/>
    <w:rsid w:val="007710A3"/>
    <w:rsid w:val="0077238E"/>
    <w:rsid w:val="00774011"/>
    <w:rsid w:val="00774A6F"/>
    <w:rsid w:val="00776394"/>
    <w:rsid w:val="00783350"/>
    <w:rsid w:val="007841DA"/>
    <w:rsid w:val="00784BC2"/>
    <w:rsid w:val="007949E3"/>
    <w:rsid w:val="00795456"/>
    <w:rsid w:val="007A3B48"/>
    <w:rsid w:val="007A6AB4"/>
    <w:rsid w:val="007A776E"/>
    <w:rsid w:val="007B012D"/>
    <w:rsid w:val="007B08B1"/>
    <w:rsid w:val="007B0F0C"/>
    <w:rsid w:val="007C0D03"/>
    <w:rsid w:val="007C0ED0"/>
    <w:rsid w:val="007C6A67"/>
    <w:rsid w:val="007C6FD6"/>
    <w:rsid w:val="007C76B8"/>
    <w:rsid w:val="007D1888"/>
    <w:rsid w:val="007D3654"/>
    <w:rsid w:val="007D3E2E"/>
    <w:rsid w:val="007D6E3A"/>
    <w:rsid w:val="007E5156"/>
    <w:rsid w:val="007E7447"/>
    <w:rsid w:val="007F0C07"/>
    <w:rsid w:val="007F5E5A"/>
    <w:rsid w:val="00801CB1"/>
    <w:rsid w:val="008028B5"/>
    <w:rsid w:val="00802AEC"/>
    <w:rsid w:val="0080345A"/>
    <w:rsid w:val="00803470"/>
    <w:rsid w:val="0080779C"/>
    <w:rsid w:val="00812AF3"/>
    <w:rsid w:val="00814EAD"/>
    <w:rsid w:val="00815507"/>
    <w:rsid w:val="00820407"/>
    <w:rsid w:val="008210E7"/>
    <w:rsid w:val="0082122A"/>
    <w:rsid w:val="00821964"/>
    <w:rsid w:val="00821D32"/>
    <w:rsid w:val="008222EF"/>
    <w:rsid w:val="0082271D"/>
    <w:rsid w:val="00823685"/>
    <w:rsid w:val="00832C85"/>
    <w:rsid w:val="00834D27"/>
    <w:rsid w:val="0083782E"/>
    <w:rsid w:val="00842C6A"/>
    <w:rsid w:val="0084441B"/>
    <w:rsid w:val="00845055"/>
    <w:rsid w:val="00852BEC"/>
    <w:rsid w:val="00853D85"/>
    <w:rsid w:val="008562CD"/>
    <w:rsid w:val="008601AE"/>
    <w:rsid w:val="00860F7D"/>
    <w:rsid w:val="00871263"/>
    <w:rsid w:val="00874DB7"/>
    <w:rsid w:val="00875A09"/>
    <w:rsid w:val="00875FE3"/>
    <w:rsid w:val="0088042B"/>
    <w:rsid w:val="0088319D"/>
    <w:rsid w:val="008956EF"/>
    <w:rsid w:val="00895C29"/>
    <w:rsid w:val="008969C1"/>
    <w:rsid w:val="008A161D"/>
    <w:rsid w:val="008A21F7"/>
    <w:rsid w:val="008A54B6"/>
    <w:rsid w:val="008B245A"/>
    <w:rsid w:val="008B41D4"/>
    <w:rsid w:val="008B6D5D"/>
    <w:rsid w:val="008C4EDE"/>
    <w:rsid w:val="008C73BF"/>
    <w:rsid w:val="008D4557"/>
    <w:rsid w:val="008E0D47"/>
    <w:rsid w:val="008F00B6"/>
    <w:rsid w:val="008F2622"/>
    <w:rsid w:val="008F4513"/>
    <w:rsid w:val="008F594C"/>
    <w:rsid w:val="00901637"/>
    <w:rsid w:val="00901729"/>
    <w:rsid w:val="009034D0"/>
    <w:rsid w:val="00907724"/>
    <w:rsid w:val="00910F7E"/>
    <w:rsid w:val="00913EE6"/>
    <w:rsid w:val="00914A55"/>
    <w:rsid w:val="0091570E"/>
    <w:rsid w:val="009167EF"/>
    <w:rsid w:val="009225DD"/>
    <w:rsid w:val="009232F4"/>
    <w:rsid w:val="009312DD"/>
    <w:rsid w:val="009321A2"/>
    <w:rsid w:val="00945149"/>
    <w:rsid w:val="00945266"/>
    <w:rsid w:val="009469EB"/>
    <w:rsid w:val="00952103"/>
    <w:rsid w:val="00953409"/>
    <w:rsid w:val="009679C5"/>
    <w:rsid w:val="00970B61"/>
    <w:rsid w:val="009759B3"/>
    <w:rsid w:val="00976210"/>
    <w:rsid w:val="00980243"/>
    <w:rsid w:val="00994BC5"/>
    <w:rsid w:val="009A086F"/>
    <w:rsid w:val="009A0EA1"/>
    <w:rsid w:val="009A357B"/>
    <w:rsid w:val="009A6EEE"/>
    <w:rsid w:val="009B0BFB"/>
    <w:rsid w:val="009B435E"/>
    <w:rsid w:val="009C0518"/>
    <w:rsid w:val="009D0341"/>
    <w:rsid w:val="009D04CB"/>
    <w:rsid w:val="009D100F"/>
    <w:rsid w:val="009D6362"/>
    <w:rsid w:val="009E1F2F"/>
    <w:rsid w:val="009E2451"/>
    <w:rsid w:val="009E7520"/>
    <w:rsid w:val="009F109C"/>
    <w:rsid w:val="009F2444"/>
    <w:rsid w:val="009F2667"/>
    <w:rsid w:val="009F29BB"/>
    <w:rsid w:val="009F490F"/>
    <w:rsid w:val="00A00748"/>
    <w:rsid w:val="00A02813"/>
    <w:rsid w:val="00A05922"/>
    <w:rsid w:val="00A114C6"/>
    <w:rsid w:val="00A11D2F"/>
    <w:rsid w:val="00A15432"/>
    <w:rsid w:val="00A15485"/>
    <w:rsid w:val="00A21B28"/>
    <w:rsid w:val="00A22DA2"/>
    <w:rsid w:val="00A320A1"/>
    <w:rsid w:val="00A405CC"/>
    <w:rsid w:val="00A42D55"/>
    <w:rsid w:val="00A43DB3"/>
    <w:rsid w:val="00A4442B"/>
    <w:rsid w:val="00A45EAA"/>
    <w:rsid w:val="00A516A9"/>
    <w:rsid w:val="00A5391A"/>
    <w:rsid w:val="00A560FB"/>
    <w:rsid w:val="00A56555"/>
    <w:rsid w:val="00A618FE"/>
    <w:rsid w:val="00A63887"/>
    <w:rsid w:val="00A74A83"/>
    <w:rsid w:val="00A772E2"/>
    <w:rsid w:val="00A83891"/>
    <w:rsid w:val="00A87004"/>
    <w:rsid w:val="00A96801"/>
    <w:rsid w:val="00AB1DC0"/>
    <w:rsid w:val="00AB6920"/>
    <w:rsid w:val="00AC1371"/>
    <w:rsid w:val="00AC31FD"/>
    <w:rsid w:val="00AC68B4"/>
    <w:rsid w:val="00AD06DD"/>
    <w:rsid w:val="00AD223A"/>
    <w:rsid w:val="00AD2772"/>
    <w:rsid w:val="00AD6253"/>
    <w:rsid w:val="00AD7AD2"/>
    <w:rsid w:val="00AE7919"/>
    <w:rsid w:val="00AF28F7"/>
    <w:rsid w:val="00AF4637"/>
    <w:rsid w:val="00AF6131"/>
    <w:rsid w:val="00AF690E"/>
    <w:rsid w:val="00B001B1"/>
    <w:rsid w:val="00B02026"/>
    <w:rsid w:val="00B12DC2"/>
    <w:rsid w:val="00B20182"/>
    <w:rsid w:val="00B2611F"/>
    <w:rsid w:val="00B26864"/>
    <w:rsid w:val="00B274E9"/>
    <w:rsid w:val="00B33930"/>
    <w:rsid w:val="00B35339"/>
    <w:rsid w:val="00B3590F"/>
    <w:rsid w:val="00B37D97"/>
    <w:rsid w:val="00B40884"/>
    <w:rsid w:val="00B42618"/>
    <w:rsid w:val="00B45A10"/>
    <w:rsid w:val="00B45F29"/>
    <w:rsid w:val="00B61BD6"/>
    <w:rsid w:val="00B77B48"/>
    <w:rsid w:val="00B810F6"/>
    <w:rsid w:val="00B84829"/>
    <w:rsid w:val="00B85AB5"/>
    <w:rsid w:val="00B90D02"/>
    <w:rsid w:val="00B9145B"/>
    <w:rsid w:val="00B93240"/>
    <w:rsid w:val="00B9401F"/>
    <w:rsid w:val="00BA0358"/>
    <w:rsid w:val="00BA3D2B"/>
    <w:rsid w:val="00BA5F15"/>
    <w:rsid w:val="00BA7EE4"/>
    <w:rsid w:val="00BB03BE"/>
    <w:rsid w:val="00BB0CE1"/>
    <w:rsid w:val="00BB3891"/>
    <w:rsid w:val="00BB5082"/>
    <w:rsid w:val="00BB6055"/>
    <w:rsid w:val="00BB62F4"/>
    <w:rsid w:val="00BC0D80"/>
    <w:rsid w:val="00BC1714"/>
    <w:rsid w:val="00BC4080"/>
    <w:rsid w:val="00BC45D1"/>
    <w:rsid w:val="00BD109E"/>
    <w:rsid w:val="00BD7A82"/>
    <w:rsid w:val="00BF0085"/>
    <w:rsid w:val="00BF1D99"/>
    <w:rsid w:val="00BF2418"/>
    <w:rsid w:val="00BF2FE6"/>
    <w:rsid w:val="00BF4D2A"/>
    <w:rsid w:val="00BF5A21"/>
    <w:rsid w:val="00C171FA"/>
    <w:rsid w:val="00C17F72"/>
    <w:rsid w:val="00C21511"/>
    <w:rsid w:val="00C220F7"/>
    <w:rsid w:val="00C2301E"/>
    <w:rsid w:val="00C25B7D"/>
    <w:rsid w:val="00C27527"/>
    <w:rsid w:val="00C30A94"/>
    <w:rsid w:val="00C408AD"/>
    <w:rsid w:val="00C41D3A"/>
    <w:rsid w:val="00C45F06"/>
    <w:rsid w:val="00C54F87"/>
    <w:rsid w:val="00C6115B"/>
    <w:rsid w:val="00C6205F"/>
    <w:rsid w:val="00C6266B"/>
    <w:rsid w:val="00C65E1B"/>
    <w:rsid w:val="00C669C7"/>
    <w:rsid w:val="00C72448"/>
    <w:rsid w:val="00C73441"/>
    <w:rsid w:val="00C7393D"/>
    <w:rsid w:val="00C746B9"/>
    <w:rsid w:val="00C74BE3"/>
    <w:rsid w:val="00C771DE"/>
    <w:rsid w:val="00C848D2"/>
    <w:rsid w:val="00C869D3"/>
    <w:rsid w:val="00C90B7C"/>
    <w:rsid w:val="00C93196"/>
    <w:rsid w:val="00CA1E84"/>
    <w:rsid w:val="00CA22EC"/>
    <w:rsid w:val="00CA5D52"/>
    <w:rsid w:val="00CA6179"/>
    <w:rsid w:val="00CB13C5"/>
    <w:rsid w:val="00CB1A19"/>
    <w:rsid w:val="00CB54F4"/>
    <w:rsid w:val="00CB6BEE"/>
    <w:rsid w:val="00CC033A"/>
    <w:rsid w:val="00CC1ABA"/>
    <w:rsid w:val="00CC3CB6"/>
    <w:rsid w:val="00CC7DCC"/>
    <w:rsid w:val="00CD3323"/>
    <w:rsid w:val="00CD34AB"/>
    <w:rsid w:val="00CD3E45"/>
    <w:rsid w:val="00CD5E76"/>
    <w:rsid w:val="00CD7FD6"/>
    <w:rsid w:val="00CE0CA5"/>
    <w:rsid w:val="00CE69F9"/>
    <w:rsid w:val="00CE7E04"/>
    <w:rsid w:val="00CF2635"/>
    <w:rsid w:val="00CF3D26"/>
    <w:rsid w:val="00D00DBF"/>
    <w:rsid w:val="00D01136"/>
    <w:rsid w:val="00D01EF2"/>
    <w:rsid w:val="00D0227E"/>
    <w:rsid w:val="00D06F9D"/>
    <w:rsid w:val="00D07D63"/>
    <w:rsid w:val="00D127E2"/>
    <w:rsid w:val="00D145BB"/>
    <w:rsid w:val="00D1670C"/>
    <w:rsid w:val="00D1760C"/>
    <w:rsid w:val="00D20B9C"/>
    <w:rsid w:val="00D30B87"/>
    <w:rsid w:val="00D42006"/>
    <w:rsid w:val="00D42640"/>
    <w:rsid w:val="00D432E2"/>
    <w:rsid w:val="00D47E9E"/>
    <w:rsid w:val="00D600E8"/>
    <w:rsid w:val="00D61045"/>
    <w:rsid w:val="00D61A19"/>
    <w:rsid w:val="00D626F1"/>
    <w:rsid w:val="00D7209E"/>
    <w:rsid w:val="00D76127"/>
    <w:rsid w:val="00D76622"/>
    <w:rsid w:val="00D7722A"/>
    <w:rsid w:val="00D8794A"/>
    <w:rsid w:val="00D93B66"/>
    <w:rsid w:val="00D979D7"/>
    <w:rsid w:val="00DA02A4"/>
    <w:rsid w:val="00DA38AC"/>
    <w:rsid w:val="00DA5633"/>
    <w:rsid w:val="00DB0CFC"/>
    <w:rsid w:val="00DB5537"/>
    <w:rsid w:val="00DC0BEA"/>
    <w:rsid w:val="00DC53FB"/>
    <w:rsid w:val="00DC7892"/>
    <w:rsid w:val="00DD11D7"/>
    <w:rsid w:val="00DD1EF3"/>
    <w:rsid w:val="00DD536B"/>
    <w:rsid w:val="00DE1F70"/>
    <w:rsid w:val="00DE2F39"/>
    <w:rsid w:val="00DE40BB"/>
    <w:rsid w:val="00DF02E9"/>
    <w:rsid w:val="00DF0BEB"/>
    <w:rsid w:val="00DF0E97"/>
    <w:rsid w:val="00DF18F0"/>
    <w:rsid w:val="00DF399D"/>
    <w:rsid w:val="00E0101A"/>
    <w:rsid w:val="00E03085"/>
    <w:rsid w:val="00E03B00"/>
    <w:rsid w:val="00E13CFD"/>
    <w:rsid w:val="00E15FA5"/>
    <w:rsid w:val="00E2312A"/>
    <w:rsid w:val="00E24318"/>
    <w:rsid w:val="00E25DDB"/>
    <w:rsid w:val="00E26A84"/>
    <w:rsid w:val="00E26B35"/>
    <w:rsid w:val="00E33E3E"/>
    <w:rsid w:val="00E3437C"/>
    <w:rsid w:val="00E37845"/>
    <w:rsid w:val="00E37EF8"/>
    <w:rsid w:val="00E40C99"/>
    <w:rsid w:val="00E4145D"/>
    <w:rsid w:val="00E4748D"/>
    <w:rsid w:val="00E57DEC"/>
    <w:rsid w:val="00E625B2"/>
    <w:rsid w:val="00E627BA"/>
    <w:rsid w:val="00E634F4"/>
    <w:rsid w:val="00E674CA"/>
    <w:rsid w:val="00E6780C"/>
    <w:rsid w:val="00E7079F"/>
    <w:rsid w:val="00E70A5A"/>
    <w:rsid w:val="00E7642E"/>
    <w:rsid w:val="00E830AC"/>
    <w:rsid w:val="00E87EA3"/>
    <w:rsid w:val="00E92B77"/>
    <w:rsid w:val="00E930D6"/>
    <w:rsid w:val="00E93153"/>
    <w:rsid w:val="00E94034"/>
    <w:rsid w:val="00E959E9"/>
    <w:rsid w:val="00E97B20"/>
    <w:rsid w:val="00E97DD9"/>
    <w:rsid w:val="00EA266A"/>
    <w:rsid w:val="00EA575C"/>
    <w:rsid w:val="00EA6C08"/>
    <w:rsid w:val="00EA7CA1"/>
    <w:rsid w:val="00EB0661"/>
    <w:rsid w:val="00EB0F03"/>
    <w:rsid w:val="00EB105F"/>
    <w:rsid w:val="00EB2303"/>
    <w:rsid w:val="00EB6230"/>
    <w:rsid w:val="00EC019F"/>
    <w:rsid w:val="00EC3321"/>
    <w:rsid w:val="00EC4E63"/>
    <w:rsid w:val="00ED0ACB"/>
    <w:rsid w:val="00EE238A"/>
    <w:rsid w:val="00EF55CC"/>
    <w:rsid w:val="00F03524"/>
    <w:rsid w:val="00F2613F"/>
    <w:rsid w:val="00F32D7C"/>
    <w:rsid w:val="00F35DF2"/>
    <w:rsid w:val="00F42050"/>
    <w:rsid w:val="00F42F90"/>
    <w:rsid w:val="00F43B2C"/>
    <w:rsid w:val="00F451AE"/>
    <w:rsid w:val="00F4571F"/>
    <w:rsid w:val="00F47832"/>
    <w:rsid w:val="00F51772"/>
    <w:rsid w:val="00F64FCD"/>
    <w:rsid w:val="00F669C7"/>
    <w:rsid w:val="00F70BF0"/>
    <w:rsid w:val="00F72078"/>
    <w:rsid w:val="00F7664C"/>
    <w:rsid w:val="00F815EB"/>
    <w:rsid w:val="00F81EBA"/>
    <w:rsid w:val="00F83C61"/>
    <w:rsid w:val="00F90C5A"/>
    <w:rsid w:val="00F90D30"/>
    <w:rsid w:val="00F91487"/>
    <w:rsid w:val="00F91C91"/>
    <w:rsid w:val="00FA03C4"/>
    <w:rsid w:val="00FA047A"/>
    <w:rsid w:val="00FA448E"/>
    <w:rsid w:val="00FA7207"/>
    <w:rsid w:val="00FA7CC6"/>
    <w:rsid w:val="00FB0B9A"/>
    <w:rsid w:val="00FB2E9F"/>
    <w:rsid w:val="00FB501F"/>
    <w:rsid w:val="00FC0133"/>
    <w:rsid w:val="00FC744F"/>
    <w:rsid w:val="00FD20BA"/>
    <w:rsid w:val="00FD2E16"/>
    <w:rsid w:val="00FD5591"/>
    <w:rsid w:val="00FD637D"/>
    <w:rsid w:val="00FD6571"/>
    <w:rsid w:val="00FD7A55"/>
    <w:rsid w:val="00FE51B2"/>
    <w:rsid w:val="00FE5BA5"/>
    <w:rsid w:val="00FF2281"/>
    <w:rsid w:val="00FF7BEE"/>
    <w:rsid w:val="071B3E5D"/>
    <w:rsid w:val="0F5257B1"/>
    <w:rsid w:val="13E92E5C"/>
    <w:rsid w:val="18BA2B7A"/>
    <w:rsid w:val="1E9A4142"/>
    <w:rsid w:val="31CE28CF"/>
    <w:rsid w:val="32C364A9"/>
    <w:rsid w:val="34621C60"/>
    <w:rsid w:val="35EB50BF"/>
    <w:rsid w:val="406D7B2C"/>
    <w:rsid w:val="41577F94"/>
    <w:rsid w:val="41912A31"/>
    <w:rsid w:val="43A94785"/>
    <w:rsid w:val="47EE743F"/>
    <w:rsid w:val="4C9068AB"/>
    <w:rsid w:val="4D27266D"/>
    <w:rsid w:val="54426BBB"/>
    <w:rsid w:val="57E97CA4"/>
    <w:rsid w:val="5B154D72"/>
    <w:rsid w:val="6B535CD2"/>
    <w:rsid w:val="6EC03AE2"/>
    <w:rsid w:val="6F4A0CB7"/>
    <w:rsid w:val="74EB3682"/>
    <w:rsid w:val="76002DAA"/>
    <w:rsid w:val="77E519E5"/>
    <w:rsid w:val="7BB162F7"/>
    <w:rsid w:val="7D4D1F01"/>
    <w:rsid w:val="7FA051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1"/>
    <w:qFormat/>
    <w:uiPriority w:val="0"/>
    <w:pPr>
      <w:keepNext/>
      <w:keepLines/>
      <w:spacing w:before="260" w:after="260" w:line="360" w:lineRule="auto"/>
      <w:ind w:firstLine="602" w:firstLineChars="200"/>
      <w:jc w:val="center"/>
      <w:outlineLvl w:val="2"/>
    </w:pPr>
    <w:rPr>
      <w:rFonts w:ascii="仿宋_GB2312" w:eastAsia="仿宋_GB2312"/>
      <w:b/>
      <w:bCs/>
      <w:sz w:val="30"/>
      <w:szCs w:val="20"/>
    </w:rPr>
  </w:style>
  <w:style w:type="paragraph" w:styleId="6">
    <w:name w:val="heading 4"/>
    <w:basedOn w:val="1"/>
    <w:next w:val="1"/>
    <w:link w:val="42"/>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43"/>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44"/>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45"/>
    <w:qFormat/>
    <w:uiPriority w:val="0"/>
    <w:pPr>
      <w:keepNext/>
      <w:keepLines/>
      <w:spacing w:before="240" w:after="64" w:line="320" w:lineRule="auto"/>
      <w:ind w:left="1296" w:hanging="1296"/>
      <w:outlineLvl w:val="6"/>
    </w:pPr>
    <w:rPr>
      <w:b/>
      <w:bCs/>
      <w:sz w:val="24"/>
    </w:rPr>
  </w:style>
  <w:style w:type="paragraph" w:styleId="10">
    <w:name w:val="heading 8"/>
    <w:basedOn w:val="1"/>
    <w:next w:val="1"/>
    <w:link w:val="46"/>
    <w:qFormat/>
    <w:uiPriority w:val="0"/>
    <w:pPr>
      <w:keepNext/>
      <w:keepLines/>
      <w:spacing w:before="240" w:after="64" w:line="320" w:lineRule="auto"/>
      <w:ind w:left="1440" w:hanging="1440"/>
      <w:outlineLvl w:val="7"/>
    </w:pPr>
    <w:rPr>
      <w:rFonts w:ascii="Cambria" w:hAnsi="Cambria"/>
      <w:sz w:val="24"/>
    </w:rPr>
  </w:style>
  <w:style w:type="paragraph" w:styleId="11">
    <w:name w:val="heading 9"/>
    <w:basedOn w:val="1"/>
    <w:next w:val="1"/>
    <w:link w:val="47"/>
    <w:qFormat/>
    <w:uiPriority w:val="0"/>
    <w:pPr>
      <w:keepNext/>
      <w:keepLines/>
      <w:spacing w:before="240" w:after="64" w:line="320" w:lineRule="auto"/>
      <w:ind w:left="1584" w:hanging="1584"/>
      <w:outlineLvl w:val="8"/>
    </w:pPr>
    <w:rPr>
      <w:rFonts w:ascii="Cambria" w:hAnsi="Cambria"/>
    </w:rPr>
  </w:style>
  <w:style w:type="character" w:default="1" w:styleId="32">
    <w:name w:val="Default Paragraph Font"/>
    <w:semiHidden/>
    <w:uiPriority w:val="0"/>
  </w:style>
  <w:style w:type="table" w:default="1" w:styleId="31">
    <w:name w:val="Normal Table"/>
    <w:semiHidden/>
    <w:uiPriority w:val="0"/>
    <w:tblPr>
      <w:tblStyle w:val="31"/>
      <w:tblCellMar>
        <w:top w:w="0" w:type="dxa"/>
        <w:left w:w="108" w:type="dxa"/>
        <w:bottom w:w="0" w:type="dxa"/>
        <w:right w:w="108" w:type="dxa"/>
      </w:tblCellMar>
    </w:tblPr>
  </w:style>
  <w:style w:type="paragraph" w:styleId="5">
    <w:name w:val="Normal Indent"/>
    <w:basedOn w:val="1"/>
    <w:link w:val="40"/>
    <w:qFormat/>
    <w:uiPriority w:val="0"/>
    <w:pPr>
      <w:ind w:firstLine="420"/>
    </w:pPr>
    <w:rPr>
      <w:szCs w:val="20"/>
    </w:rPr>
  </w:style>
  <w:style w:type="paragraph" w:styleId="12">
    <w:name w:val="List Number"/>
    <w:basedOn w:val="1"/>
    <w:uiPriority w:val="0"/>
    <w:pPr>
      <w:widowControl/>
      <w:numPr>
        <w:ilvl w:val="0"/>
        <w:numId w:val="1"/>
      </w:numPr>
      <w:tabs>
        <w:tab w:val="left" w:pos="454"/>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7"/>
    <w:uiPriority w:val="0"/>
    <w:pPr>
      <w:shd w:val="clear" w:color="auto" w:fill="000080"/>
    </w:pPr>
  </w:style>
  <w:style w:type="paragraph" w:styleId="15">
    <w:name w:val="annotation text"/>
    <w:basedOn w:val="1"/>
    <w:link w:val="61"/>
    <w:uiPriority w:val="0"/>
    <w:pPr>
      <w:jc w:val="left"/>
    </w:pPr>
  </w:style>
  <w:style w:type="paragraph" w:styleId="16">
    <w:name w:val="Body Text 3"/>
    <w:basedOn w:val="1"/>
    <w:link w:val="50"/>
    <w:uiPriority w:val="0"/>
    <w:pPr>
      <w:spacing w:after="120"/>
    </w:pPr>
    <w:rPr>
      <w:sz w:val="16"/>
      <w:szCs w:val="16"/>
    </w:rPr>
  </w:style>
  <w:style w:type="paragraph" w:styleId="17">
    <w:name w:val="Body Text"/>
    <w:basedOn w:val="1"/>
    <w:link w:val="49"/>
    <w:uiPriority w:val="0"/>
    <w:pPr>
      <w:spacing w:after="120"/>
    </w:pPr>
  </w:style>
  <w:style w:type="paragraph" w:styleId="18">
    <w:name w:val="Body Text Indent"/>
    <w:basedOn w:val="1"/>
    <w:link w:val="71"/>
    <w:qFormat/>
    <w:uiPriority w:val="0"/>
    <w:pPr>
      <w:spacing w:line="200" w:lineRule="exact"/>
      <w:ind w:firstLine="301"/>
    </w:pPr>
    <w:rPr>
      <w:rFonts w:ascii="宋体" w:hAnsi="Courier New"/>
      <w:spacing w:val="-4"/>
      <w:sz w:val="18"/>
      <w:szCs w:val="20"/>
    </w:rPr>
  </w:style>
  <w:style w:type="paragraph" w:styleId="19">
    <w:name w:val="toc 3"/>
    <w:basedOn w:val="1"/>
    <w:next w:val="1"/>
    <w:uiPriority w:val="39"/>
    <w:pPr>
      <w:ind w:left="840" w:leftChars="400"/>
    </w:pPr>
  </w:style>
  <w:style w:type="paragraph" w:styleId="20">
    <w:name w:val="Plain Text"/>
    <w:basedOn w:val="1"/>
    <w:link w:val="48"/>
    <w:qFormat/>
    <w:uiPriority w:val="0"/>
    <w:rPr>
      <w:rFonts w:ascii="宋体" w:hAnsi="Courier New"/>
      <w:szCs w:val="20"/>
    </w:rPr>
  </w:style>
  <w:style w:type="paragraph" w:styleId="21">
    <w:name w:val="Date"/>
    <w:basedOn w:val="1"/>
    <w:next w:val="1"/>
    <w:uiPriority w:val="0"/>
    <w:pPr>
      <w:ind w:leftChars="2500"/>
    </w:pPr>
    <w:rPr>
      <w:rFonts w:eastAsia="楷体_GB2312"/>
      <w:sz w:val="32"/>
      <w:szCs w:val="20"/>
    </w:rPr>
  </w:style>
  <w:style w:type="paragraph" w:styleId="22">
    <w:name w:val="Balloon Text"/>
    <w:basedOn w:val="1"/>
    <w:link w:val="53"/>
    <w:semiHidden/>
    <w:uiPriority w:val="0"/>
    <w:rPr>
      <w:sz w:val="18"/>
      <w:szCs w:val="18"/>
    </w:rPr>
  </w:style>
  <w:style w:type="paragraph" w:styleId="23">
    <w:name w:val="footer"/>
    <w:basedOn w:val="1"/>
    <w:link w:val="55"/>
    <w:uiPriority w:val="0"/>
    <w:pPr>
      <w:tabs>
        <w:tab w:val="center" w:pos="4153"/>
        <w:tab w:val="right" w:pos="8306"/>
      </w:tabs>
      <w:snapToGrid w:val="0"/>
      <w:jc w:val="left"/>
    </w:pPr>
    <w:rPr>
      <w:sz w:val="18"/>
      <w:szCs w:val="18"/>
    </w:rPr>
  </w:style>
  <w:style w:type="paragraph" w:styleId="24">
    <w:name w:val="header"/>
    <w:basedOn w:val="1"/>
    <w:link w:val="70"/>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39"/>
    <w:pPr>
      <w:tabs>
        <w:tab w:val="right" w:leader="dot" w:pos="8296"/>
      </w:tabs>
      <w:spacing w:before="50" w:beforeLines="50" w:line="360" w:lineRule="auto"/>
      <w:ind w:firstLine="200" w:firstLineChars="200"/>
    </w:pPr>
    <w:rPr>
      <w:rFonts w:ascii="宋体" w:hAnsi="宋体"/>
      <w:color w:val="000000"/>
      <w:lang/>
    </w:rPr>
  </w:style>
  <w:style w:type="paragraph" w:styleId="26">
    <w:name w:val="List"/>
    <w:basedOn w:val="1"/>
    <w:uiPriority w:val="0"/>
    <w:pPr>
      <w:ind w:left="200" w:hanging="200" w:hangingChars="200"/>
      <w:contextualSpacing/>
    </w:pPr>
  </w:style>
  <w:style w:type="paragraph" w:styleId="27">
    <w:name w:val="toc 2"/>
    <w:basedOn w:val="1"/>
    <w:next w:val="1"/>
    <w:uiPriority w:val="39"/>
    <w:pPr>
      <w:tabs>
        <w:tab w:val="right" w:leader="dot" w:pos="8296"/>
      </w:tabs>
      <w:spacing w:before="156" w:beforeLines="50" w:after="156" w:afterLines="50" w:line="400" w:lineRule="exact"/>
      <w:ind w:left="480" w:leftChars="200" w:hanging="60"/>
    </w:pPr>
  </w:style>
  <w:style w:type="paragraph" w:styleId="28">
    <w:name w:val="Normal (Web)"/>
    <w:basedOn w:val="1"/>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62"/>
    <w:qFormat/>
    <w:uiPriority w:val="0"/>
    <w:pPr>
      <w:spacing w:before="240" w:after="60"/>
      <w:jc w:val="center"/>
      <w:outlineLvl w:val="0"/>
    </w:pPr>
    <w:rPr>
      <w:rFonts w:ascii="Cambria" w:hAnsi="Cambria"/>
      <w:b/>
      <w:bCs/>
      <w:sz w:val="32"/>
      <w:szCs w:val="32"/>
    </w:rPr>
  </w:style>
  <w:style w:type="paragraph" w:styleId="30">
    <w:name w:val="annotation subject"/>
    <w:basedOn w:val="15"/>
    <w:next w:val="15"/>
    <w:link w:val="74"/>
    <w:uiPriority w:val="0"/>
    <w:rPr>
      <w:b/>
      <w:bCs/>
    </w:rPr>
  </w:style>
  <w:style w:type="character" w:styleId="33">
    <w:name w:val="Strong"/>
    <w:qFormat/>
    <w:uiPriority w:val="22"/>
    <w:rPr>
      <w:b/>
      <w:bCs/>
    </w:rPr>
  </w:style>
  <w:style w:type="character" w:styleId="34">
    <w:name w:val="page number"/>
    <w:basedOn w:val="32"/>
    <w:uiPriority w:val="0"/>
  </w:style>
  <w:style w:type="character" w:styleId="35">
    <w:name w:val="FollowedHyperlink"/>
    <w:uiPriority w:val="0"/>
    <w:rPr>
      <w:color w:val="800080"/>
      <w:u w:val="single"/>
    </w:rPr>
  </w:style>
  <w:style w:type="character" w:styleId="36">
    <w:name w:val="Hyperlink"/>
    <w:uiPriority w:val="99"/>
    <w:rPr>
      <w:color w:val="0000FF"/>
      <w:u w:val="single"/>
    </w:rPr>
  </w:style>
  <w:style w:type="character" w:styleId="37">
    <w:name w:val="annotation reference"/>
    <w:uiPriority w:val="0"/>
    <w:rPr>
      <w:sz w:val="21"/>
      <w:szCs w:val="21"/>
    </w:rPr>
  </w:style>
  <w:style w:type="character" w:customStyle="1" w:styleId="38">
    <w:name w:val="标题 1 Char"/>
    <w:link w:val="2"/>
    <w:uiPriority w:val="0"/>
    <w:rPr>
      <w:rFonts w:eastAsia="宋体"/>
      <w:b/>
      <w:bCs/>
      <w:kern w:val="44"/>
      <w:sz w:val="44"/>
      <w:szCs w:val="44"/>
      <w:lang w:val="en-US" w:eastAsia="zh-CN" w:bidi="ar-SA"/>
    </w:rPr>
  </w:style>
  <w:style w:type="character" w:customStyle="1" w:styleId="39">
    <w:name w:val="标题 2 Char1"/>
    <w:link w:val="3"/>
    <w:uiPriority w:val="0"/>
    <w:rPr>
      <w:rFonts w:ascii="仿宋_GB2312" w:eastAsia="仿宋_GB2312"/>
      <w:b/>
      <w:sz w:val="36"/>
      <w:lang w:val="en-US" w:eastAsia="zh-CN" w:bidi="ar-SA"/>
    </w:rPr>
  </w:style>
  <w:style w:type="character" w:customStyle="1" w:styleId="40">
    <w:name w:val="正文缩进 Char1"/>
    <w:link w:val="5"/>
    <w:uiPriority w:val="0"/>
    <w:rPr>
      <w:rFonts w:eastAsia="宋体"/>
      <w:kern w:val="2"/>
      <w:sz w:val="21"/>
      <w:lang w:val="en-US" w:eastAsia="zh-CN" w:bidi="ar-SA"/>
    </w:rPr>
  </w:style>
  <w:style w:type="character" w:customStyle="1" w:styleId="41">
    <w:name w:val="标题 3 Char"/>
    <w:link w:val="4"/>
    <w:uiPriority w:val="0"/>
    <w:rPr>
      <w:rFonts w:ascii="仿宋_GB2312" w:eastAsia="仿宋_GB2312"/>
      <w:b/>
      <w:bCs/>
      <w:kern w:val="2"/>
      <w:sz w:val="30"/>
    </w:rPr>
  </w:style>
  <w:style w:type="character" w:customStyle="1" w:styleId="42">
    <w:name w:val="标题 4 Char"/>
    <w:link w:val="6"/>
    <w:uiPriority w:val="0"/>
    <w:rPr>
      <w:rFonts w:ascii="Arial" w:hAnsi="Arial" w:eastAsia="黑体"/>
      <w:b/>
      <w:bCs/>
      <w:kern w:val="2"/>
      <w:sz w:val="28"/>
      <w:szCs w:val="28"/>
      <w:lang w:val="en-US" w:eastAsia="zh-CN" w:bidi="ar-SA"/>
    </w:rPr>
  </w:style>
  <w:style w:type="character" w:customStyle="1" w:styleId="43">
    <w:name w:val="标题 5 Char"/>
    <w:link w:val="7"/>
    <w:uiPriority w:val="0"/>
    <w:rPr>
      <w:rFonts w:ascii="Calibri" w:hAnsi="Calibri" w:eastAsia="宋体"/>
      <w:b/>
      <w:bCs/>
      <w:kern w:val="2"/>
      <w:sz w:val="28"/>
      <w:szCs w:val="28"/>
      <w:lang w:val="en-US" w:eastAsia="zh-CN" w:bidi="ar-SA"/>
    </w:rPr>
  </w:style>
  <w:style w:type="character" w:customStyle="1" w:styleId="44">
    <w:name w:val="标题 6 Char"/>
    <w:link w:val="8"/>
    <w:uiPriority w:val="0"/>
    <w:rPr>
      <w:rFonts w:ascii="Cambria" w:hAnsi="Cambria" w:eastAsia="宋体"/>
      <w:b/>
      <w:bCs/>
      <w:kern w:val="2"/>
      <w:sz w:val="24"/>
      <w:szCs w:val="24"/>
      <w:lang w:val="en-US" w:eastAsia="zh-CN" w:bidi="ar-SA"/>
    </w:rPr>
  </w:style>
  <w:style w:type="character" w:customStyle="1" w:styleId="45">
    <w:name w:val="标题 7 Char"/>
    <w:link w:val="9"/>
    <w:uiPriority w:val="0"/>
    <w:rPr>
      <w:rFonts w:eastAsia="宋体"/>
      <w:b/>
      <w:bCs/>
      <w:kern w:val="2"/>
      <w:sz w:val="24"/>
      <w:szCs w:val="24"/>
      <w:lang w:val="en-US" w:eastAsia="zh-CN" w:bidi="ar-SA"/>
    </w:rPr>
  </w:style>
  <w:style w:type="character" w:customStyle="1" w:styleId="46">
    <w:name w:val="标题 8 Char"/>
    <w:link w:val="10"/>
    <w:uiPriority w:val="0"/>
    <w:rPr>
      <w:rFonts w:ascii="Cambria" w:hAnsi="Cambria" w:eastAsia="宋体"/>
      <w:kern w:val="2"/>
      <w:sz w:val="24"/>
      <w:szCs w:val="24"/>
      <w:lang w:val="en-US" w:eastAsia="zh-CN" w:bidi="ar-SA"/>
    </w:rPr>
  </w:style>
  <w:style w:type="character" w:customStyle="1" w:styleId="47">
    <w:name w:val="标题 9 Char"/>
    <w:link w:val="11"/>
    <w:uiPriority w:val="0"/>
    <w:rPr>
      <w:rFonts w:ascii="Cambria" w:hAnsi="Cambria" w:eastAsia="宋体"/>
      <w:kern w:val="2"/>
      <w:sz w:val="21"/>
      <w:szCs w:val="24"/>
      <w:lang w:val="en-US" w:eastAsia="zh-CN" w:bidi="ar-SA"/>
    </w:rPr>
  </w:style>
  <w:style w:type="character" w:customStyle="1" w:styleId="48">
    <w:name w:val="纯文本 Char"/>
    <w:link w:val="20"/>
    <w:uiPriority w:val="0"/>
    <w:rPr>
      <w:rFonts w:ascii="宋体" w:hAnsi="Courier New" w:eastAsia="宋体"/>
      <w:kern w:val="2"/>
      <w:sz w:val="21"/>
      <w:lang w:val="en-US" w:eastAsia="zh-CN" w:bidi="ar-SA"/>
    </w:rPr>
  </w:style>
  <w:style w:type="character" w:customStyle="1" w:styleId="49">
    <w:name w:val="正文文本 Char"/>
    <w:link w:val="17"/>
    <w:uiPriority w:val="0"/>
    <w:rPr>
      <w:rFonts w:eastAsia="宋体"/>
      <w:kern w:val="2"/>
      <w:sz w:val="21"/>
      <w:szCs w:val="24"/>
      <w:lang w:val="en-US" w:eastAsia="zh-CN" w:bidi="ar-SA"/>
    </w:rPr>
  </w:style>
  <w:style w:type="character" w:customStyle="1" w:styleId="50">
    <w:name w:val="正文文本 3 Char"/>
    <w:link w:val="16"/>
    <w:uiPriority w:val="0"/>
    <w:rPr>
      <w:kern w:val="2"/>
      <w:sz w:val="16"/>
      <w:szCs w:val="16"/>
    </w:rPr>
  </w:style>
  <w:style w:type="character" w:customStyle="1" w:styleId="51">
    <w:name w:val="标题 2 Char"/>
    <w:uiPriority w:val="0"/>
    <w:rPr>
      <w:rFonts w:ascii="仿宋_GB2312" w:eastAsia="仿宋_GB2312"/>
      <w:b/>
      <w:sz w:val="36"/>
      <w:lang w:val="en-US" w:eastAsia="zh-CN" w:bidi="ar-SA"/>
    </w:rPr>
  </w:style>
  <w:style w:type="character" w:customStyle="1" w:styleId="52">
    <w:name w:val="正文缩进 Char"/>
    <w:aliases w:val="正文对齐 Char,正文不缩进 Char,四号 Char,标题4 Char,样式3 Char,段1 Char,表正文 Char,正文非缩进 Char,特点 Char1,ALT+Z Char,水上软件 Char,特点 Char Char,特点正文 Char,PI Char,首行缩进 Char,正文缩进（首行缩进两字） Char,标题四 Char,缩进 Char,正文双线 Char,表正文1 Char,正文非缩进1 Char,标题41 Char,四号1 Char,特点1 Char"/>
    <w:qFormat/>
    <w:uiPriority w:val="0"/>
    <w:rPr>
      <w:kern w:val="2"/>
      <w:sz w:val="21"/>
    </w:rPr>
  </w:style>
  <w:style w:type="character" w:customStyle="1" w:styleId="53">
    <w:name w:val="批注框文本 Char"/>
    <w:link w:val="22"/>
    <w:uiPriority w:val="0"/>
    <w:rPr>
      <w:rFonts w:eastAsia="宋体"/>
      <w:kern w:val="2"/>
      <w:sz w:val="18"/>
      <w:szCs w:val="18"/>
      <w:lang w:val="en-US" w:eastAsia="zh-CN" w:bidi="ar-SA"/>
    </w:rPr>
  </w:style>
  <w:style w:type="character" w:customStyle="1" w:styleId="54">
    <w:name w:val="普通文字 Char Char2"/>
    <w:aliases w:val="纯文本 Char Char Char,普通文字 Char Char Char1,普通文字 Char2,Texte Char,小 Char,普通文字1 Char,正 文 1 Char,0921 Char,一般文字 字元 Char,一般文字 字元 字元 字元 字元 Char,一般文字 字元 字元 字元 字元 字元 字元 字元 字元 Char,一般文字 字元 字元 字元 字元 字元 字元 字元 Char,一般文字 字元 字元 字元 Char,普通文字2 Char"/>
    <w:uiPriority w:val="0"/>
    <w:rPr>
      <w:rFonts w:ascii="宋体" w:hAnsi="Courier New" w:eastAsia="宋体"/>
      <w:kern w:val="2"/>
      <w:sz w:val="21"/>
      <w:lang w:val="en-US" w:eastAsia="zh-CN" w:bidi="ar-SA"/>
    </w:rPr>
  </w:style>
  <w:style w:type="character" w:customStyle="1" w:styleId="55">
    <w:name w:val="页脚 Char"/>
    <w:link w:val="23"/>
    <w:uiPriority w:val="0"/>
    <w:rPr>
      <w:rFonts w:eastAsia="宋体"/>
      <w:kern w:val="2"/>
      <w:sz w:val="18"/>
      <w:szCs w:val="18"/>
      <w:lang w:val="en-US" w:eastAsia="zh-CN" w:bidi="ar-SA"/>
    </w:rPr>
  </w:style>
  <w:style w:type="character" w:customStyle="1" w:styleId="56">
    <w:name w:val="纯文本 Char1"/>
    <w:aliases w:val="普通文字 Char1,纯文本 Char Char1,纯文本 Char Char Char Char Char Char,纯文本 Char Char Char1,纯文本 Char Char Char Char Char1,纯文本 Char Char Char Char1,普通文字 Char Char1,普通文字 Char Char Char,纯文本 Char1 Char Char Char,纯文本 Char Char Char Char Char,纯文本 Char Char1 Char"/>
    <w:link w:val="57"/>
    <w:qFormat/>
    <w:uiPriority w:val="99"/>
    <w:rPr>
      <w:rFonts w:ascii="宋体" w:hAnsi="Courier New" w:eastAsia="宋体"/>
      <w:kern w:val="2"/>
      <w:sz w:val="24"/>
      <w:lang w:bidi="ar-SA"/>
    </w:rPr>
  </w:style>
  <w:style w:type="paragraph" w:customStyle="1" w:styleId="57">
    <w:name w:val="Plain Text"/>
    <w:basedOn w:val="1"/>
    <w:link w:val="56"/>
    <w:uiPriority w:val="99"/>
    <w:pPr>
      <w:spacing w:after="156" w:afterLines="50"/>
    </w:pPr>
    <w:rPr>
      <w:rFonts w:ascii="宋体" w:hAnsi="Courier New"/>
      <w:sz w:val="24"/>
      <w:szCs w:val="20"/>
    </w:rPr>
  </w:style>
  <w:style w:type="character" w:customStyle="1" w:styleId="58">
    <w:name w:val="正文文本缩进 Char"/>
    <w:aliases w:val="正文文字首行缩进 Char,HD正文1 Char,正文小标题 Char,（较稀疏） Char,正文内容 Char"/>
    <w:uiPriority w:val="0"/>
    <w:rPr>
      <w:rFonts w:ascii="宋体" w:hAnsi="Courier New"/>
      <w:spacing w:val="-4"/>
      <w:kern w:val="2"/>
      <w:sz w:val="18"/>
    </w:rPr>
  </w:style>
  <w:style w:type="character" w:customStyle="1" w:styleId="59">
    <w:name w:val="表格正文 Char"/>
    <w:link w:val="60"/>
    <w:uiPriority w:val="0"/>
    <w:rPr>
      <w:kern w:val="2"/>
      <w:sz w:val="21"/>
      <w:szCs w:val="24"/>
    </w:rPr>
  </w:style>
  <w:style w:type="paragraph" w:customStyle="1" w:styleId="60">
    <w:name w:val="表格正文"/>
    <w:basedOn w:val="1"/>
    <w:link w:val="59"/>
    <w:qFormat/>
    <w:uiPriority w:val="0"/>
  </w:style>
  <w:style w:type="character" w:customStyle="1" w:styleId="61">
    <w:name w:val="批注文字 Char"/>
    <w:link w:val="15"/>
    <w:uiPriority w:val="0"/>
    <w:rPr>
      <w:rFonts w:eastAsia="宋体"/>
      <w:kern w:val="2"/>
      <w:sz w:val="21"/>
      <w:szCs w:val="24"/>
      <w:lang w:val="en-US" w:eastAsia="zh-CN" w:bidi="ar-SA"/>
    </w:rPr>
  </w:style>
  <w:style w:type="character" w:customStyle="1" w:styleId="62">
    <w:name w:val="标题 Char"/>
    <w:link w:val="29"/>
    <w:uiPriority w:val="0"/>
    <w:rPr>
      <w:rFonts w:ascii="Cambria" w:hAnsi="Cambria" w:eastAsia="宋体"/>
      <w:b/>
      <w:bCs/>
      <w:kern w:val="2"/>
      <w:sz w:val="32"/>
      <w:szCs w:val="32"/>
      <w:lang w:bidi="ar-SA"/>
    </w:rPr>
  </w:style>
  <w:style w:type="character" w:customStyle="1" w:styleId="63">
    <w:name w:val="投标书正文无序编号 Char Char"/>
    <w:link w:val="64"/>
    <w:uiPriority w:val="0"/>
    <w:rPr>
      <w:rFonts w:eastAsia="宋体"/>
      <w:kern w:val="2"/>
      <w:sz w:val="24"/>
      <w:szCs w:val="24"/>
      <w:lang w:bidi="ar-SA"/>
    </w:rPr>
  </w:style>
  <w:style w:type="paragraph" w:customStyle="1" w:styleId="64">
    <w:name w:val="投标书正文无序编号"/>
    <w:basedOn w:val="65"/>
    <w:link w:val="63"/>
    <w:uiPriority w:val="0"/>
    <w:pPr>
      <w:numPr>
        <w:ilvl w:val="0"/>
        <w:numId w:val="2"/>
      </w:numPr>
      <w:tabs>
        <w:tab w:val="left" w:pos="902"/>
      </w:tabs>
      <w:adjustRightInd w:val="0"/>
      <w:ind w:firstLineChars="0"/>
    </w:pPr>
    <w:rPr>
      <w:rFonts w:eastAsia="宋体"/>
    </w:rPr>
  </w:style>
  <w:style w:type="paragraph" w:customStyle="1" w:styleId="65">
    <w:name w:val="投标书正文"/>
    <w:link w:val="66"/>
    <w:uiPriority w:val="0"/>
    <w:pPr>
      <w:autoSpaceDE w:val="0"/>
      <w:spacing w:line="360" w:lineRule="auto"/>
      <w:ind w:firstLine="200" w:firstLineChars="200"/>
    </w:pPr>
    <w:rPr>
      <w:rFonts w:eastAsia="Times New Roman"/>
      <w:kern w:val="2"/>
      <w:sz w:val="24"/>
      <w:szCs w:val="24"/>
      <w:lang w:val="en-US" w:eastAsia="zh-CN" w:bidi="ar-SA"/>
    </w:rPr>
  </w:style>
  <w:style w:type="character" w:customStyle="1" w:styleId="66">
    <w:name w:val="投标书正文 Char Char"/>
    <w:link w:val="65"/>
    <w:uiPriority w:val="0"/>
    <w:rPr>
      <w:rFonts w:eastAsia="Times New Roman"/>
      <w:kern w:val="2"/>
      <w:sz w:val="24"/>
      <w:szCs w:val="24"/>
      <w:lang w:val="en-US" w:eastAsia="zh-CN" w:bidi="ar-SA"/>
    </w:rPr>
  </w:style>
  <w:style w:type="character" w:customStyle="1" w:styleId="67">
    <w:name w:val="文档结构图 Char"/>
    <w:link w:val="14"/>
    <w:uiPriority w:val="0"/>
    <w:rPr>
      <w:rFonts w:eastAsia="宋体"/>
      <w:kern w:val="2"/>
      <w:sz w:val="21"/>
      <w:szCs w:val="24"/>
      <w:lang w:val="en-US" w:eastAsia="zh-CN" w:bidi="ar-SA"/>
    </w:rPr>
  </w:style>
  <w:style w:type="character" w:customStyle="1" w:styleId="68">
    <w:name w:val="方案正文-样式 小四 行距: 1.5 倍行距 Char Char"/>
    <w:link w:val="69"/>
    <w:uiPriority w:val="0"/>
    <w:rPr>
      <w:kern w:val="2"/>
      <w:sz w:val="24"/>
      <w:lang w:bidi="ar-SA"/>
    </w:rPr>
  </w:style>
  <w:style w:type="paragraph" w:customStyle="1" w:styleId="69">
    <w:name w:val="方案正文-样式 小四 行距: 1.5 倍行距"/>
    <w:basedOn w:val="1"/>
    <w:link w:val="68"/>
    <w:uiPriority w:val="0"/>
    <w:pPr>
      <w:spacing w:line="360" w:lineRule="auto"/>
      <w:ind w:firstLine="480" w:firstLineChars="200"/>
    </w:pPr>
    <w:rPr>
      <w:sz w:val="24"/>
      <w:szCs w:val="20"/>
    </w:rPr>
  </w:style>
  <w:style w:type="character" w:customStyle="1" w:styleId="70">
    <w:name w:val="页眉 Char1"/>
    <w:link w:val="24"/>
    <w:uiPriority w:val="0"/>
    <w:rPr>
      <w:rFonts w:eastAsia="宋体"/>
      <w:kern w:val="2"/>
      <w:sz w:val="18"/>
      <w:szCs w:val="18"/>
      <w:lang w:val="en-US" w:eastAsia="zh-CN" w:bidi="ar-SA"/>
    </w:rPr>
  </w:style>
  <w:style w:type="character" w:customStyle="1" w:styleId="71">
    <w:name w:val="正文文本缩进 Char1"/>
    <w:link w:val="18"/>
    <w:uiPriority w:val="0"/>
    <w:rPr>
      <w:rFonts w:ascii="宋体" w:hAnsi="Courier New" w:eastAsia="宋体"/>
      <w:spacing w:val="-4"/>
      <w:kern w:val="2"/>
      <w:sz w:val="18"/>
      <w:lang w:val="en-US" w:eastAsia="zh-CN" w:bidi="ar-SA"/>
    </w:rPr>
  </w:style>
  <w:style w:type="character" w:customStyle="1" w:styleId="72">
    <w:name w:val="List Paragraph Char"/>
    <w:link w:val="73"/>
    <w:uiPriority w:val="0"/>
    <w:rPr>
      <w:kern w:val="2"/>
      <w:sz w:val="21"/>
      <w:lang w:bidi="ar-SA"/>
    </w:rPr>
  </w:style>
  <w:style w:type="paragraph" w:customStyle="1" w:styleId="73">
    <w:name w:val="列出段落1"/>
    <w:basedOn w:val="1"/>
    <w:link w:val="72"/>
    <w:qFormat/>
    <w:uiPriority w:val="0"/>
    <w:pPr>
      <w:ind w:firstLine="420" w:firstLineChars="200"/>
    </w:pPr>
    <w:rPr>
      <w:szCs w:val="20"/>
    </w:rPr>
  </w:style>
  <w:style w:type="character" w:customStyle="1" w:styleId="74">
    <w:name w:val="批注主题 Char"/>
    <w:link w:val="30"/>
    <w:uiPriority w:val="0"/>
    <w:rPr>
      <w:rFonts w:eastAsia="宋体"/>
      <w:b/>
      <w:bCs/>
      <w:kern w:val="2"/>
      <w:sz w:val="21"/>
      <w:szCs w:val="24"/>
      <w:lang w:val="en-US" w:eastAsia="zh-CN" w:bidi="ar-SA"/>
    </w:rPr>
  </w:style>
  <w:style w:type="character" w:customStyle="1" w:styleId="75">
    <w:name w:val="页眉 Char"/>
    <w:aliases w:val="h Char,Ò³Ã¼ Char"/>
    <w:uiPriority w:val="0"/>
    <w:rPr>
      <w:kern w:val="2"/>
      <w:sz w:val="18"/>
      <w:szCs w:val="18"/>
    </w:rPr>
  </w:style>
  <w:style w:type="paragraph" w:styleId="76">
    <w:name w:val="List Paragraph"/>
    <w:basedOn w:val="1"/>
    <w:qFormat/>
    <w:uiPriority w:val="34"/>
    <w:pPr>
      <w:ind w:firstLine="420" w:firstLineChars="200"/>
    </w:pPr>
    <w:rPr>
      <w:rFonts w:ascii="Calibri" w:hAnsi="Calibri" w:cs="Calibri"/>
      <w:szCs w:val="21"/>
    </w:rPr>
  </w:style>
  <w:style w:type="paragraph" w:customStyle="1" w:styleId="77">
    <w:name w:val="正文段"/>
    <w:basedOn w:val="1"/>
    <w:uiPriority w:val="0"/>
    <w:pPr>
      <w:widowControl/>
      <w:snapToGrid w:val="0"/>
      <w:spacing w:after="50" w:afterLines="50"/>
      <w:ind w:firstLine="200" w:firstLineChars="200"/>
    </w:pPr>
    <w:rPr>
      <w:kern w:val="0"/>
      <w:sz w:val="24"/>
      <w:szCs w:val="20"/>
    </w:rPr>
  </w:style>
  <w:style w:type="paragraph" w:customStyle="1" w:styleId="78">
    <w:name w:val="Char"/>
    <w:basedOn w:val="1"/>
    <w:uiPriority w:val="0"/>
    <w:pPr>
      <w:numPr>
        <w:ilvl w:val="0"/>
        <w:numId w:val="3"/>
      </w:numPr>
      <w:tabs>
        <w:tab w:val="left" w:pos="360"/>
        <w:tab w:val="clear" w:pos="1200"/>
      </w:tabs>
      <w:ind w:left="0" w:leftChars="0" w:firstLine="0" w:firstLineChars="0"/>
    </w:pPr>
    <w:rPr>
      <w:sz w:val="24"/>
    </w:rPr>
  </w:style>
  <w:style w:type="paragraph" w:customStyle="1" w:styleId="79">
    <w:name w:val="p17"/>
    <w:basedOn w:val="1"/>
    <w:uiPriority w:val="0"/>
    <w:pPr>
      <w:widowControl/>
    </w:pPr>
    <w:rPr>
      <w:kern w:val="0"/>
      <w:szCs w:val="21"/>
    </w:rPr>
  </w:style>
  <w:style w:type="paragraph" w:customStyle="1" w:styleId="80">
    <w:name w:val="p16"/>
    <w:basedOn w:val="1"/>
    <w:uiPriority w:val="0"/>
    <w:pPr>
      <w:widowControl/>
    </w:pPr>
    <w:rPr>
      <w:kern w:val="0"/>
      <w:szCs w:val="21"/>
    </w:rPr>
  </w:style>
  <w:style w:type="paragraph" w:styleId="81">
    <w:name w:val=""/>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2">
    <w:name w:val="表内文字"/>
    <w:basedOn w:val="1"/>
    <w:uiPriority w:val="0"/>
    <w:pPr>
      <w:jc w:val="center"/>
    </w:pPr>
    <w:rPr>
      <w:rFonts w:ascii="仿宋_GB2312" w:eastAsia="仿宋_GB2312"/>
      <w:sz w:val="24"/>
    </w:rPr>
  </w:style>
  <w:style w:type="character" w:customStyle="1" w:styleId="83">
    <w:name w:val="纯文本 字符"/>
    <w:uiPriority w:val="0"/>
    <w:rPr>
      <w:rFonts w:ascii="宋体" w:hAnsi="Courier New" w:eastAsia="宋体"/>
      <w:kern w:val="2"/>
      <w:sz w:val="21"/>
      <w:lang w:val="en-US" w:eastAsia="zh-CN" w:bidi="ar-SA"/>
    </w:rPr>
  </w:style>
  <w:style w:type="character" w:customStyle="1" w:styleId="84">
    <w:name w:val="标题 2 字符"/>
    <w:aliases w:val="第*章 字符,h2 字符,sect 1.2 字符,H2 字符,2nd level 字符,2 字符,Header 2 字符,UNDERRUBRIK 1-2 字符,章标题 字符,Heading 2 Hidden 字符,Heading 2 CCBS 字符,heading 2 字符,第一章 标题 2 字符,ISO1 字符,TestHeading2 字符,th2 字符,节 字符,标题 1.1 字符,Underrubrik1 字符,prop2 字符,l2 字符,Chapter Title 字符"/>
    <w:uiPriority w:val="0"/>
    <w:rPr>
      <w:rFonts w:ascii="仿宋_GB2312" w:eastAsia="仿宋_GB2312"/>
      <w:b/>
      <w:sz w:val="36"/>
      <w:lang w:val="en-US" w:eastAsia="zh-CN" w:bidi="ar-SA"/>
    </w:rPr>
  </w:style>
  <w:style w:type="character" w:customStyle="1" w:styleId="85">
    <w:name w:val="纯文本 Char2"/>
    <w:aliases w:val="普通文字 Char Char3,纯文本 Char Char Char2,纯文本 Char Char2,普通文字 Char Char Char2,普通文字 Char3,Texte Char1,小 Char1,普通文字1 Char1,正 文 1 Char1,0921 Char1,一般文字 字元 Char1,一般文字 字元 字元 字元 字元 Char1,一般文字 字元 字元 字元 字元 字元 字元 字元 字元 Char1,一般文字 字元 字元 字元 字元 字元 字元 字元 Char1"/>
    <w:uiPriority w:val="0"/>
    <w:rPr>
      <w:rFonts w:ascii="宋体" w:hAnsi="Courier New"/>
      <w:kern w:val="2"/>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39</Pages>
  <Words>3702</Words>
  <Characters>21103</Characters>
  <Lines>175</Lines>
  <Paragraphs>49</Paragraphs>
  <TotalTime>0</TotalTime>
  <ScaleCrop>false</ScaleCrop>
  <LinksUpToDate>false</LinksUpToDate>
  <CharactersWithSpaces>24756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2019-05-20T04:01:00Z</dcterms:created>
  <dc:creator>WIN</dc:creator>
  <cp:lastModifiedBy>WPS_1701756769</cp:lastModifiedBy>
  <cp:lastPrinted>2018-09-28T08:45:00Z</cp:lastPrinted>
  <dcterms:modified xsi:type="dcterms:W3CDTF">2024-02-26T04:00:37Z</dcterms:modified>
  <cp:revision>4</cp:revision>
  <dc:title>嘉兴市秀洲区发展和改革局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58B11D15A54F4C089AC04935D36E9C5D_13</vt:lpwstr>
  </property>
</Properties>
</file>