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hint="eastAsia" w:ascii="宋体" w:hAnsi="宋体"/>
          <w:b/>
          <w:color w:val="FF0000"/>
          <w:sz w:val="52"/>
          <w:szCs w:val="52"/>
        </w:rPr>
      </w:pPr>
      <w:bookmarkStart w:id="83" w:name="_GoBack"/>
      <w:bookmarkEnd w:id="83"/>
    </w:p>
    <w:p>
      <w:pPr>
        <w:snapToGrid w:val="0"/>
        <w:jc w:val="center"/>
        <w:rPr>
          <w:rFonts w:hint="eastAsia" w:ascii="宋体" w:hAnsi="宋体"/>
          <w:b/>
          <w:sz w:val="52"/>
          <w:szCs w:val="52"/>
        </w:rPr>
      </w:pPr>
      <w:r>
        <w:rPr>
          <w:rFonts w:hint="eastAsia" w:ascii="宋体" w:hAnsi="宋体"/>
          <w:b/>
          <w:sz w:val="52"/>
          <w:szCs w:val="52"/>
        </w:rPr>
        <w:t>梧桐街道智慧安防小区建设（振东***辖区）</w:t>
      </w:r>
    </w:p>
    <w:p>
      <w:pPr>
        <w:snapToGrid w:val="0"/>
        <w:jc w:val="center"/>
        <w:rPr>
          <w:rFonts w:hint="eastAsia" w:ascii="宋体" w:hAnsi="宋体"/>
          <w:b/>
          <w:color w:val="FF0000"/>
          <w:sz w:val="52"/>
          <w:szCs w:val="52"/>
        </w:rPr>
      </w:pPr>
    </w:p>
    <w:p>
      <w:pPr>
        <w:snapToGrid w:val="0"/>
        <w:jc w:val="center"/>
        <w:rPr>
          <w:rFonts w:hint="eastAsia" w:ascii="宋体" w:hAnsi="宋体"/>
          <w:b/>
          <w:color w:val="FF0000"/>
          <w:sz w:val="52"/>
          <w:szCs w:val="52"/>
        </w:rPr>
      </w:pPr>
    </w:p>
    <w:p>
      <w:pPr>
        <w:snapToGrid w:val="0"/>
        <w:jc w:val="center"/>
        <w:rPr>
          <w:rFonts w:hint="eastAsia" w:ascii="宋体" w:hAnsi="宋体"/>
          <w:b/>
          <w:color w:val="FF0000"/>
          <w:sz w:val="52"/>
          <w:szCs w:val="52"/>
        </w:rPr>
      </w:pPr>
    </w:p>
    <w:p>
      <w:pPr>
        <w:snapToGrid w:val="0"/>
        <w:jc w:val="center"/>
        <w:rPr>
          <w:rFonts w:hint="eastAsia" w:ascii="宋体" w:hAnsi="宋体"/>
          <w:b/>
          <w:sz w:val="52"/>
          <w:szCs w:val="52"/>
        </w:rPr>
      </w:pPr>
      <w:r>
        <w:rPr>
          <w:rFonts w:hint="eastAsia" w:ascii="宋体" w:hAnsi="宋体"/>
          <w:b/>
          <w:sz w:val="52"/>
          <w:szCs w:val="52"/>
        </w:rPr>
        <w:t>公开招标文件</w:t>
      </w:r>
    </w:p>
    <w:p>
      <w:pPr>
        <w:snapToGrid w:val="0"/>
        <w:jc w:val="center"/>
        <w:rPr>
          <w:rFonts w:hint="eastAsia" w:ascii="宋体" w:hAnsi="宋体"/>
          <w:b/>
          <w:sz w:val="52"/>
          <w:szCs w:val="52"/>
        </w:rPr>
      </w:pPr>
    </w:p>
    <w:p>
      <w:pPr>
        <w:snapToGrid w:val="0"/>
        <w:jc w:val="center"/>
        <w:rPr>
          <w:rFonts w:hint="eastAsia" w:ascii="宋体" w:hAnsi="宋体"/>
          <w:b/>
          <w:sz w:val="52"/>
          <w:szCs w:val="52"/>
        </w:rPr>
      </w:pPr>
    </w:p>
    <w:p>
      <w:pPr>
        <w:snapToGrid w:val="0"/>
        <w:jc w:val="center"/>
        <w:rPr>
          <w:rFonts w:hint="eastAsia" w:ascii="宋体" w:hAnsi="宋体"/>
          <w:b/>
          <w:sz w:val="52"/>
          <w:szCs w:val="52"/>
        </w:rPr>
      </w:pPr>
    </w:p>
    <w:p>
      <w:pPr>
        <w:jc w:val="center"/>
        <w:rPr>
          <w:rFonts w:hint="eastAsia" w:ascii="宋体" w:hAnsi="宋体"/>
          <w:sz w:val="32"/>
          <w:szCs w:val="32"/>
        </w:rPr>
      </w:pPr>
      <w:r>
        <w:rPr>
          <w:rFonts w:hint="eastAsia" w:ascii="宋体" w:hAnsi="宋体"/>
          <w:sz w:val="32"/>
          <w:szCs w:val="32"/>
        </w:rPr>
        <w:t xml:space="preserve">项目编号：JXCXZFCG2020-069  </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napToGrid w:val="0"/>
        <w:spacing w:line="360" w:lineRule="auto"/>
        <w:jc w:val="center"/>
        <w:outlineLvl w:val="0"/>
        <w:rPr>
          <w:rFonts w:hint="eastAsia" w:ascii="宋体" w:hAnsi="宋体"/>
          <w:sz w:val="32"/>
          <w:szCs w:val="32"/>
        </w:rPr>
      </w:pPr>
      <w:bookmarkStart w:id="0" w:name="_Toc354401488"/>
      <w:bookmarkStart w:id="1" w:name="_Toc322352981"/>
      <w:bookmarkStart w:id="2" w:name="_Toc350256312"/>
      <w:r>
        <w:rPr>
          <w:rFonts w:hint="eastAsia" w:ascii="宋体" w:hAnsi="宋体"/>
          <w:sz w:val="32"/>
          <w:szCs w:val="32"/>
        </w:rPr>
        <w:t>采购组织形式：分散采购委托代理</w:t>
      </w:r>
    </w:p>
    <w:p>
      <w:pPr>
        <w:snapToGrid w:val="0"/>
        <w:spacing w:line="360" w:lineRule="auto"/>
        <w:ind w:left="2013" w:leftChars="172" w:hanging="1600" w:hangingChars="500"/>
        <w:jc w:val="center"/>
        <w:outlineLvl w:val="0"/>
        <w:rPr>
          <w:rFonts w:hint="eastAsia" w:ascii="宋体" w:hAnsi="宋体"/>
          <w:sz w:val="32"/>
          <w:szCs w:val="32"/>
        </w:rPr>
      </w:pPr>
      <w:r>
        <w:rPr>
          <w:rFonts w:hint="eastAsia" w:ascii="宋体" w:hAnsi="宋体"/>
          <w:sz w:val="32"/>
          <w:szCs w:val="32"/>
        </w:rPr>
        <w:t>采购单位：桐乡市人民政府梧桐街道办事处</w:t>
      </w:r>
    </w:p>
    <w:p>
      <w:pPr>
        <w:snapToGrid w:val="0"/>
        <w:spacing w:line="360" w:lineRule="auto"/>
        <w:jc w:val="center"/>
        <w:rPr>
          <w:rFonts w:hint="eastAsia" w:ascii="宋体" w:hAnsi="宋体"/>
          <w:sz w:val="32"/>
          <w:szCs w:val="32"/>
        </w:rPr>
      </w:pPr>
      <w:r>
        <w:rPr>
          <w:rFonts w:hint="eastAsia" w:ascii="宋体" w:hAnsi="宋体"/>
          <w:sz w:val="32"/>
          <w:szCs w:val="32"/>
        </w:rPr>
        <w:t>采购代理机构：嘉兴诚欣工程咨询有限公司</w:t>
      </w:r>
    </w:p>
    <w:p>
      <w:pPr>
        <w:snapToGrid w:val="0"/>
        <w:spacing w:line="360" w:lineRule="auto"/>
        <w:jc w:val="center"/>
        <w:rPr>
          <w:rFonts w:hint="eastAsia" w:ascii="宋体" w:hAnsi="宋体"/>
          <w:sz w:val="32"/>
          <w:szCs w:val="32"/>
        </w:rPr>
      </w:pPr>
      <w:r>
        <w:rPr>
          <w:rFonts w:hint="eastAsia" w:ascii="宋体" w:hAnsi="宋体"/>
          <w:sz w:val="32"/>
          <w:szCs w:val="32"/>
        </w:rPr>
        <w:t>2020年9月30日</w:t>
      </w:r>
    </w:p>
    <w:p>
      <w:pPr>
        <w:snapToGrid w:val="0"/>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32"/>
          <w:szCs w:val="32"/>
        </w:rPr>
      </w:pPr>
      <w:r>
        <w:rPr>
          <w:rFonts w:hint="eastAsia" w:ascii="宋体" w:hAnsi="宋体" w:cs="宋体"/>
          <w:b/>
          <w:sz w:val="32"/>
          <w:szCs w:val="32"/>
        </w:rPr>
        <w:t>目 录</w:t>
      </w:r>
    </w:p>
    <w:p>
      <w:pPr>
        <w:pStyle w:val="41"/>
        <w:tabs>
          <w:tab w:val="right" w:leader="dot" w:pos="9118"/>
        </w:tabs>
        <w:overflowPunct w:val="0"/>
        <w:snapToGrid w:val="0"/>
        <w:spacing w:line="240" w:lineRule="auto"/>
        <w:rPr>
          <w:rFonts w:hint="eastAsia" w:ascii="宋体" w:hAnsi="宋体" w:eastAsia="宋体"/>
          <w:szCs w:val="32"/>
          <w:lang/>
        </w:rPr>
      </w:pPr>
      <w:r>
        <w:rPr>
          <w:rFonts w:hint="eastAsia" w:ascii="宋体" w:hAnsi="宋体" w:eastAsia="宋体" w:cs="宋体"/>
          <w:szCs w:val="32"/>
        </w:rPr>
        <w:fldChar w:fldCharType="begin"/>
      </w:r>
      <w:r>
        <w:rPr>
          <w:rFonts w:hint="eastAsia" w:ascii="宋体" w:hAnsi="宋体" w:eastAsia="宋体" w:cs="宋体"/>
          <w:szCs w:val="32"/>
        </w:rPr>
        <w:instrText xml:space="preserve"> TOC \o "1-3" \h \z \u </w:instrText>
      </w:r>
      <w:r>
        <w:rPr>
          <w:rFonts w:hint="eastAsia" w:ascii="宋体" w:hAnsi="宋体" w:eastAsia="宋体" w:cs="宋体"/>
          <w:szCs w:val="32"/>
        </w:rPr>
        <w:fldChar w:fldCharType="separate"/>
      </w:r>
      <w:r>
        <w:rPr>
          <w:rFonts w:hint="eastAsia" w:ascii="宋体" w:hAnsi="宋体" w:eastAsia="宋体"/>
          <w:szCs w:val="32"/>
        </w:rPr>
        <w:fldChar w:fldCharType="begin"/>
      </w:r>
      <w:r>
        <w:rPr>
          <w:rFonts w:hint="eastAsia" w:ascii="宋体" w:hAnsi="宋体" w:eastAsia="宋体"/>
          <w:szCs w:val="32"/>
        </w:rPr>
        <w:instrText xml:space="preserve">HYPERLINK \l "_Toc359856795"</w:instrText>
      </w:r>
      <w:r>
        <w:rPr>
          <w:rFonts w:hint="eastAsia" w:ascii="宋体" w:hAnsi="宋体" w:eastAsia="宋体"/>
          <w:szCs w:val="32"/>
        </w:rPr>
        <w:fldChar w:fldCharType="separate"/>
      </w:r>
      <w:r>
        <w:rPr>
          <w:rStyle w:val="72"/>
          <w:rFonts w:hint="eastAsia" w:ascii="宋体" w:hAnsi="宋体" w:eastAsia="宋体" w:cs="宋体"/>
          <w:color w:val="auto"/>
          <w:szCs w:val="32"/>
          <w:lang/>
        </w:rPr>
        <w:t>第一章  招标公告</w:t>
      </w:r>
      <w:r>
        <w:rPr>
          <w:rFonts w:hint="eastAsia" w:ascii="宋体" w:hAnsi="宋体" w:eastAsia="宋体"/>
          <w:szCs w:val="32"/>
        </w:rPr>
        <w:fldChar w:fldCharType="end"/>
      </w:r>
    </w:p>
    <w:p>
      <w:pPr>
        <w:pStyle w:val="41"/>
        <w:tabs>
          <w:tab w:val="right" w:leader="dot" w:pos="9118"/>
        </w:tabs>
        <w:overflowPunct w:val="0"/>
        <w:snapToGrid w:val="0"/>
        <w:spacing w:line="240" w:lineRule="auto"/>
        <w:rPr>
          <w:rFonts w:hint="eastAsia" w:ascii="宋体" w:hAnsi="宋体" w:eastAsia="宋体"/>
          <w:szCs w:val="32"/>
          <w:lang/>
        </w:rPr>
      </w:pPr>
      <w:r>
        <w:rPr>
          <w:rFonts w:hint="eastAsia" w:ascii="宋体" w:hAnsi="宋体" w:eastAsia="宋体"/>
          <w:szCs w:val="32"/>
        </w:rPr>
        <w:fldChar w:fldCharType="begin"/>
      </w:r>
      <w:r>
        <w:rPr>
          <w:rFonts w:hint="eastAsia" w:ascii="宋体" w:hAnsi="宋体" w:eastAsia="宋体"/>
          <w:szCs w:val="32"/>
        </w:rPr>
        <w:instrText xml:space="preserve">HYPERLINK \l "_Toc359856796"</w:instrText>
      </w:r>
      <w:r>
        <w:rPr>
          <w:rFonts w:hint="eastAsia" w:ascii="宋体" w:hAnsi="宋体" w:eastAsia="宋体"/>
          <w:szCs w:val="32"/>
        </w:rPr>
        <w:fldChar w:fldCharType="separate"/>
      </w:r>
      <w:r>
        <w:rPr>
          <w:rStyle w:val="72"/>
          <w:rFonts w:hint="eastAsia" w:ascii="宋体" w:hAnsi="宋体" w:eastAsia="宋体" w:cs="宋体"/>
          <w:color w:val="auto"/>
          <w:szCs w:val="32"/>
          <w:lang/>
        </w:rPr>
        <w:t>第二章  投标须知及说明</w:t>
      </w:r>
      <w:r>
        <w:rPr>
          <w:rFonts w:hint="eastAsia" w:ascii="宋体" w:hAnsi="宋体" w:eastAsia="宋体"/>
          <w:szCs w:val="32"/>
        </w:rPr>
        <w:fldChar w:fldCharType="end"/>
      </w:r>
      <w:r>
        <w:rPr>
          <w:rFonts w:hint="eastAsia" w:ascii="宋体" w:hAnsi="宋体" w:eastAsia="宋体"/>
          <w:szCs w:val="32"/>
        </w:rPr>
        <w:fldChar w:fldCharType="begin"/>
      </w:r>
      <w:r>
        <w:rPr>
          <w:rFonts w:hint="eastAsia" w:ascii="宋体" w:hAnsi="宋体" w:eastAsia="宋体"/>
          <w:szCs w:val="32"/>
        </w:rPr>
        <w:instrText xml:space="preserve">HYPERLINK \l "_Toc359856797"</w:instrText>
      </w:r>
      <w:r>
        <w:rPr>
          <w:rFonts w:hint="eastAsia" w:ascii="宋体" w:hAnsi="宋体" w:eastAsia="宋体"/>
          <w:szCs w:val="32"/>
        </w:rPr>
        <w:fldChar w:fldCharType="separate"/>
      </w:r>
      <w:r>
        <w:rPr>
          <w:rFonts w:hint="eastAsia" w:ascii="宋体" w:hAnsi="宋体" w:eastAsia="宋体"/>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"_Toc359856798"</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一、 投标</w:t>
      </w:r>
      <w:bookmarkStart w:id="3" w:name="_Hlt40715619"/>
      <w:r>
        <w:rPr>
          <w:rStyle w:val="72"/>
          <w:rFonts w:hint="eastAsia" w:ascii="宋体" w:hAnsi="宋体" w:eastAsia="宋体"/>
          <w:color w:val="auto"/>
          <w:sz w:val="32"/>
          <w:szCs w:val="32"/>
          <w:lang/>
        </w:rPr>
        <w:t>须</w:t>
      </w:r>
      <w:bookmarkEnd w:id="3"/>
      <w:r>
        <w:rPr>
          <w:rStyle w:val="72"/>
          <w:rFonts w:hint="eastAsia" w:ascii="宋体" w:hAnsi="宋体" w:eastAsia="宋体"/>
          <w:color w:val="auto"/>
          <w:sz w:val="32"/>
          <w:szCs w:val="32"/>
          <w:lang/>
        </w:rPr>
        <w:t>知</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"_Toc359856799"</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二、 招标文</w:t>
      </w:r>
      <w:bookmarkStart w:id="4" w:name="_Hlt18920486"/>
      <w:r>
        <w:rPr>
          <w:rStyle w:val="72"/>
          <w:rFonts w:hint="eastAsia" w:ascii="宋体" w:hAnsi="宋体" w:eastAsia="宋体"/>
          <w:color w:val="auto"/>
          <w:sz w:val="32"/>
          <w:szCs w:val="32"/>
          <w:lang/>
        </w:rPr>
        <w:t>件</w:t>
      </w:r>
      <w:bookmarkEnd w:id="4"/>
      <w:r>
        <w:rPr>
          <w:rStyle w:val="72"/>
          <w:rFonts w:hint="eastAsia" w:ascii="宋体" w:hAnsi="宋体" w:eastAsia="宋体"/>
          <w:color w:val="auto"/>
          <w:sz w:val="32"/>
          <w:szCs w:val="32"/>
          <w:lang/>
        </w:rPr>
        <w:t>说明</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"_Toc359856800"</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三、 投标文件的编制</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"_Toc359856801"</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四、 投标保证金</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"_Toc359856802"</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五、 投标文件的签署及规定</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"_Toc359856803"</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六、 投标文件的递交</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"_Toc359856804"</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七、 投标无效的情形</w:t>
      </w:r>
      <w:r>
        <w:rPr>
          <w:rFonts w:hint="eastAsia" w:ascii="宋体" w:hAnsi="宋体" w:eastAsia="宋体"/>
          <w:sz w:val="32"/>
          <w:szCs w:val="32"/>
        </w:rPr>
        <w:fldChar w:fldCharType="end"/>
      </w:r>
    </w:p>
    <w:p>
      <w:pPr>
        <w:pStyle w:val="52"/>
        <w:tabs>
          <w:tab w:val="right" w:leader="dot" w:pos="9118"/>
        </w:tabs>
        <w:overflowPunct w:val="0"/>
        <w:snapToGrid w:val="0"/>
        <w:rPr>
          <w:rStyle w:val="72"/>
          <w:rFonts w:hint="eastAsia" w:ascii="宋体" w:hAnsi="宋体" w:eastAsia="宋体"/>
          <w:color w:val="auto"/>
          <w:sz w:val="32"/>
          <w:szCs w:val="32"/>
          <w:lang/>
        </w:rPr>
      </w:pPr>
      <w:r>
        <w:rPr>
          <w:rStyle w:val="72"/>
          <w:rFonts w:hint="eastAsia" w:ascii="宋体" w:hAnsi="宋体" w:eastAsia="宋体"/>
          <w:color w:val="auto"/>
          <w:sz w:val="32"/>
          <w:szCs w:val="32"/>
          <w:lang/>
        </w:rPr>
        <w:fldChar w:fldCharType="begin"/>
      </w:r>
      <w:r>
        <w:rPr>
          <w:rStyle w:val="72"/>
          <w:rFonts w:hint="eastAsia" w:ascii="宋体" w:hAnsi="宋体" w:eastAsia="宋体"/>
          <w:color w:val="auto"/>
          <w:sz w:val="32"/>
          <w:szCs w:val="32"/>
          <w:lang/>
        </w:rPr>
        <w:instrText xml:space="preserve"> HYPERLINK  \l "串通投标的情形" </w:instrText>
      </w:r>
      <w:r>
        <w:rPr>
          <w:rStyle w:val="72"/>
          <w:rFonts w:hint="eastAsia" w:ascii="宋体" w:hAnsi="宋体" w:eastAsia="宋体"/>
          <w:color w:val="auto"/>
          <w:sz w:val="32"/>
          <w:szCs w:val="32"/>
          <w:lang/>
        </w:rPr>
        <w:fldChar w:fldCharType="separate"/>
      </w:r>
      <w:r>
        <w:rPr>
          <w:rStyle w:val="72"/>
          <w:rFonts w:hint="eastAsia" w:ascii="宋体" w:hAnsi="宋体" w:eastAsia="宋体"/>
          <w:color w:val="auto"/>
          <w:sz w:val="32"/>
          <w:szCs w:val="32"/>
          <w:lang/>
        </w:rPr>
        <w:fldChar w:fldCharType="end"/>
      </w:r>
      <w:r>
        <w:rPr>
          <w:rStyle w:val="72"/>
          <w:rFonts w:hint="eastAsia" w:ascii="宋体" w:hAnsi="宋体" w:eastAsia="宋体"/>
          <w:color w:val="auto"/>
          <w:sz w:val="32"/>
          <w:szCs w:val="32"/>
          <w:lang/>
        </w:rPr>
        <w:fldChar w:fldCharType="begin"/>
      </w:r>
      <w:r>
        <w:rPr>
          <w:rStyle w:val="72"/>
          <w:rFonts w:hint="eastAsia" w:ascii="宋体" w:hAnsi="宋体" w:eastAsia="宋体"/>
          <w:color w:val="auto"/>
          <w:sz w:val="32"/>
          <w:szCs w:val="32"/>
          <w:lang/>
        </w:rPr>
        <w:instrText xml:space="preserve"> HYPERLINK  \l "废标的情形" </w:instrText>
      </w:r>
      <w:r>
        <w:rPr>
          <w:rStyle w:val="72"/>
          <w:rFonts w:hint="eastAsia" w:ascii="宋体" w:hAnsi="宋体" w:eastAsia="宋体"/>
          <w:color w:val="auto"/>
          <w:sz w:val="32"/>
          <w:szCs w:val="32"/>
          <w:lang/>
        </w:rPr>
        <w:fldChar w:fldCharType="separate"/>
      </w:r>
      <w:r>
        <w:rPr>
          <w:rStyle w:val="72"/>
          <w:rFonts w:hint="eastAsia" w:ascii="宋体" w:hAnsi="宋体" w:eastAsia="宋体"/>
          <w:color w:val="auto"/>
          <w:sz w:val="32"/>
          <w:szCs w:val="32"/>
          <w:lang/>
        </w:rPr>
        <w:t>八、 废标</w:t>
      </w:r>
      <w:bookmarkStart w:id="5" w:name="_Hlt40713956"/>
      <w:r>
        <w:rPr>
          <w:rStyle w:val="72"/>
          <w:rFonts w:hint="eastAsia" w:ascii="宋体" w:hAnsi="宋体" w:eastAsia="宋体"/>
          <w:color w:val="auto"/>
          <w:sz w:val="32"/>
          <w:szCs w:val="32"/>
          <w:lang/>
        </w:rPr>
        <w:t>的</w:t>
      </w:r>
      <w:bookmarkEnd w:id="5"/>
      <w:r>
        <w:rPr>
          <w:rStyle w:val="72"/>
          <w:rFonts w:hint="eastAsia" w:ascii="宋体" w:hAnsi="宋体" w:eastAsia="宋体"/>
          <w:color w:val="auto"/>
          <w:sz w:val="32"/>
          <w:szCs w:val="32"/>
          <w:lang/>
        </w:rPr>
        <w:t>情形</w:t>
      </w:r>
      <w:r>
        <w:rPr>
          <w:rStyle w:val="72"/>
          <w:rFonts w:hint="eastAsia" w:ascii="宋体" w:hAnsi="宋体" w:eastAsia="宋体"/>
          <w:color w:val="auto"/>
          <w:sz w:val="32"/>
          <w:szCs w:val="32"/>
          <w:lang/>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"_Toc359856806"</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九、 开标和评标</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"_Toc359856807"</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十、 授予合同</w:t>
      </w:r>
      <w:r>
        <w:rPr>
          <w:rFonts w:hint="eastAsia" w:ascii="宋体" w:hAnsi="宋体" w:eastAsia="宋体"/>
          <w:sz w:val="32"/>
          <w:szCs w:val="32"/>
        </w:rPr>
        <w:fldChar w:fldCharType="end"/>
      </w:r>
    </w:p>
    <w:p>
      <w:pPr>
        <w:pStyle w:val="52"/>
        <w:tabs>
          <w:tab w:val="right" w:leader="dot" w:pos="9118"/>
        </w:tabs>
        <w:overflowPunct w:val="0"/>
        <w:snapToGrid w:val="0"/>
        <w:rPr>
          <w:rStyle w:val="72"/>
          <w:rFonts w:hint="eastAsia" w:ascii="宋体" w:hAnsi="宋体" w:eastAsia="宋体"/>
          <w:color w:val="auto"/>
          <w:sz w:val="32"/>
          <w:szCs w:val="32"/>
          <w:lang/>
        </w:rPr>
      </w:pPr>
      <w:r>
        <w:rPr>
          <w:rStyle w:val="72"/>
          <w:rFonts w:hint="eastAsia" w:ascii="宋体" w:hAnsi="宋体" w:eastAsia="宋体"/>
          <w:color w:val="auto"/>
          <w:sz w:val="32"/>
          <w:szCs w:val="32"/>
          <w:lang/>
        </w:rPr>
        <w:fldChar w:fldCharType="begin"/>
      </w:r>
      <w:r>
        <w:rPr>
          <w:rStyle w:val="72"/>
          <w:rFonts w:hint="eastAsia" w:ascii="宋体" w:hAnsi="宋体" w:eastAsia="宋体"/>
          <w:color w:val="auto"/>
          <w:sz w:val="32"/>
          <w:szCs w:val="32"/>
          <w:lang/>
        </w:rPr>
        <w:instrText xml:space="preserve"> HYPERLINK  \l "质疑与投诉" </w:instrText>
      </w:r>
      <w:r>
        <w:rPr>
          <w:rStyle w:val="72"/>
          <w:rFonts w:hint="eastAsia" w:ascii="宋体" w:hAnsi="宋体" w:eastAsia="宋体"/>
          <w:color w:val="auto"/>
          <w:sz w:val="32"/>
          <w:szCs w:val="32"/>
          <w:lang/>
        </w:rPr>
        <w:fldChar w:fldCharType="separate"/>
      </w:r>
      <w:r>
        <w:rPr>
          <w:rStyle w:val="72"/>
          <w:rFonts w:hint="eastAsia" w:ascii="宋体" w:hAnsi="宋体" w:eastAsia="宋体"/>
          <w:color w:val="auto"/>
          <w:sz w:val="32"/>
          <w:szCs w:val="32"/>
          <w:lang/>
        </w:rPr>
        <w:t>十一、 质疑与投诉</w:t>
      </w:r>
    </w:p>
    <w:p>
      <w:pPr>
        <w:pStyle w:val="52"/>
        <w:tabs>
          <w:tab w:val="right" w:leader="dot" w:pos="9118"/>
        </w:tabs>
        <w:overflowPunct w:val="0"/>
        <w:snapToGrid w:val="0"/>
        <w:rPr>
          <w:rFonts w:hint="eastAsia" w:ascii="宋体" w:hAnsi="宋体" w:eastAsia="宋体"/>
          <w:smallCaps w:val="0"/>
          <w:sz w:val="32"/>
          <w:szCs w:val="32"/>
          <w:lang/>
        </w:rPr>
      </w:pPr>
      <w:r>
        <w:rPr>
          <w:rStyle w:val="72"/>
          <w:rFonts w:hint="eastAsia" w:ascii="宋体" w:hAnsi="宋体" w:eastAsia="宋体"/>
          <w:color w:val="auto"/>
          <w:sz w:val="32"/>
          <w:szCs w:val="32"/>
          <w:lang/>
        </w:rPr>
        <w:fldChar w:fldCharType="end"/>
      </w:r>
      <w:r>
        <w:rPr>
          <w:rStyle w:val="72"/>
          <w:rFonts w:hint="eastAsia" w:ascii="宋体" w:hAnsi="宋体" w:eastAsia="宋体"/>
          <w:color w:val="auto"/>
          <w:sz w:val="32"/>
          <w:szCs w:val="32"/>
          <w:lang/>
        </w:rPr>
        <w:fldChar w:fldCharType="begin"/>
      </w:r>
      <w:r>
        <w:rPr>
          <w:rStyle w:val="72"/>
          <w:rFonts w:hint="eastAsia" w:ascii="宋体" w:hAnsi="宋体" w:eastAsia="宋体"/>
          <w:color w:val="auto"/>
          <w:sz w:val="32"/>
          <w:szCs w:val="32"/>
          <w:lang/>
        </w:rPr>
        <w:instrText xml:space="preserve"> HYPERLINK  \l "法律责任" </w:instrText>
      </w:r>
      <w:r>
        <w:rPr>
          <w:rStyle w:val="72"/>
          <w:rFonts w:hint="eastAsia" w:ascii="宋体" w:hAnsi="宋体" w:eastAsia="宋体"/>
          <w:color w:val="auto"/>
          <w:sz w:val="32"/>
          <w:szCs w:val="32"/>
          <w:lang/>
        </w:rPr>
        <w:fldChar w:fldCharType="separate"/>
      </w:r>
      <w:r>
        <w:rPr>
          <w:rStyle w:val="72"/>
          <w:rFonts w:hint="eastAsia" w:ascii="宋体" w:hAnsi="宋体" w:eastAsia="宋体"/>
          <w:color w:val="auto"/>
          <w:sz w:val="32"/>
          <w:szCs w:val="32"/>
          <w:lang/>
        </w:rPr>
        <w:fldChar w:fldCharType="end"/>
      </w: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"_Toc359856809"</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十二、 其</w:t>
      </w:r>
      <w:bookmarkStart w:id="6" w:name="_Hlt40081043"/>
      <w:r>
        <w:rPr>
          <w:rStyle w:val="72"/>
          <w:rFonts w:hint="eastAsia" w:ascii="宋体" w:hAnsi="宋体" w:eastAsia="宋体"/>
          <w:color w:val="auto"/>
          <w:sz w:val="32"/>
          <w:szCs w:val="32"/>
          <w:lang/>
        </w:rPr>
        <w:t>他</w:t>
      </w:r>
      <w:bookmarkEnd w:id="6"/>
      <w:r>
        <w:rPr>
          <w:rFonts w:hint="eastAsia" w:ascii="宋体" w:hAnsi="宋体" w:eastAsia="宋体"/>
          <w:sz w:val="32"/>
          <w:szCs w:val="32"/>
        </w:rPr>
        <w:fldChar w:fldCharType="end"/>
      </w:r>
    </w:p>
    <w:p>
      <w:pPr>
        <w:pStyle w:val="41"/>
        <w:tabs>
          <w:tab w:val="right" w:leader="dot" w:pos="9118"/>
        </w:tabs>
        <w:overflowPunct w:val="0"/>
        <w:snapToGrid w:val="0"/>
        <w:spacing w:line="240" w:lineRule="auto"/>
        <w:rPr>
          <w:rStyle w:val="72"/>
          <w:rFonts w:hint="eastAsia" w:ascii="宋体" w:hAnsi="宋体" w:eastAsia="宋体" w:cs="宋体"/>
          <w:color w:val="auto"/>
          <w:szCs w:val="32"/>
          <w:lang/>
        </w:rPr>
      </w:pPr>
      <w:r>
        <w:rPr>
          <w:rFonts w:hint="eastAsia" w:ascii="宋体" w:hAnsi="宋体" w:eastAsia="宋体"/>
          <w:szCs w:val="32"/>
        </w:rPr>
        <w:fldChar w:fldCharType="begin"/>
      </w:r>
      <w:r>
        <w:rPr>
          <w:rFonts w:hint="eastAsia" w:ascii="宋体" w:hAnsi="宋体" w:eastAsia="宋体"/>
          <w:szCs w:val="32"/>
        </w:rPr>
        <w:instrText xml:space="preserve">HYPERLINK \l "_Toc359856810"</w:instrText>
      </w:r>
      <w:r>
        <w:rPr>
          <w:rFonts w:hint="eastAsia" w:ascii="宋体" w:hAnsi="宋体" w:eastAsia="宋体"/>
          <w:szCs w:val="32"/>
        </w:rPr>
        <w:fldChar w:fldCharType="separate"/>
      </w:r>
      <w:r>
        <w:rPr>
          <w:rStyle w:val="72"/>
          <w:rFonts w:hint="eastAsia" w:ascii="宋体" w:hAnsi="宋体" w:eastAsia="宋体" w:cs="宋体"/>
          <w:color w:val="auto"/>
          <w:szCs w:val="32"/>
          <w:lang/>
        </w:rPr>
        <w:t>第三章  采购</w:t>
      </w:r>
      <w:bookmarkStart w:id="7" w:name="_Hlt40081097"/>
      <w:r>
        <w:rPr>
          <w:rStyle w:val="72"/>
          <w:rFonts w:hint="eastAsia" w:ascii="宋体" w:hAnsi="宋体" w:eastAsia="宋体" w:cs="宋体"/>
          <w:color w:val="auto"/>
          <w:szCs w:val="32"/>
          <w:lang/>
        </w:rPr>
        <w:t>内</w:t>
      </w:r>
      <w:bookmarkEnd w:id="7"/>
      <w:r>
        <w:rPr>
          <w:rStyle w:val="72"/>
          <w:rFonts w:hint="eastAsia" w:ascii="宋体" w:hAnsi="宋体" w:eastAsia="宋体" w:cs="宋体"/>
          <w:color w:val="auto"/>
          <w:szCs w:val="32"/>
          <w:lang/>
        </w:rPr>
        <w:t>容及要求</w:t>
      </w:r>
      <w:r>
        <w:rPr>
          <w:rFonts w:hint="eastAsia" w:ascii="宋体" w:hAnsi="宋体" w:eastAsia="宋体"/>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mallCaps w:val="0"/>
          <w:sz w:val="32"/>
          <w:szCs w:val="32"/>
          <w:lang/>
        </w:rPr>
        <w:t xml:space="preserve"> </w:t>
      </w:r>
    </w:p>
    <w:p>
      <w:pPr>
        <w:pStyle w:val="41"/>
        <w:tabs>
          <w:tab w:val="right" w:leader="dot" w:pos="9118"/>
        </w:tabs>
        <w:overflowPunct w:val="0"/>
        <w:snapToGrid w:val="0"/>
        <w:spacing w:line="240" w:lineRule="auto"/>
        <w:rPr>
          <w:rStyle w:val="72"/>
          <w:rFonts w:hint="eastAsia" w:ascii="宋体" w:hAnsi="宋体" w:eastAsia="宋体" w:cs="宋体"/>
          <w:color w:val="auto"/>
          <w:szCs w:val="32"/>
          <w:lang/>
        </w:rPr>
      </w:pPr>
      <w:r>
        <w:rPr>
          <w:rFonts w:hint="eastAsia" w:ascii="宋体" w:hAnsi="宋体" w:eastAsia="宋体"/>
          <w:szCs w:val="32"/>
        </w:rPr>
        <w:fldChar w:fldCharType="begin"/>
      </w:r>
      <w:r>
        <w:rPr>
          <w:rFonts w:hint="eastAsia" w:ascii="宋体" w:hAnsi="宋体" w:eastAsia="宋体"/>
          <w:szCs w:val="32"/>
        </w:rPr>
        <w:instrText xml:space="preserve">HYPERLINK \l "_Toc359856819"</w:instrText>
      </w:r>
      <w:r>
        <w:rPr>
          <w:rFonts w:hint="eastAsia" w:ascii="宋体" w:hAnsi="宋体" w:eastAsia="宋体"/>
          <w:szCs w:val="32"/>
        </w:rPr>
        <w:fldChar w:fldCharType="separate"/>
      </w:r>
      <w:r>
        <w:rPr>
          <w:rStyle w:val="72"/>
          <w:rFonts w:hint="eastAsia" w:ascii="宋体" w:hAnsi="宋体" w:eastAsia="宋体" w:cs="宋体"/>
          <w:color w:val="auto"/>
          <w:szCs w:val="32"/>
          <w:lang/>
        </w:rPr>
        <w:t>第四章  有关格式参考范例</w:t>
      </w:r>
      <w:r>
        <w:rPr>
          <w:rFonts w:hint="eastAsia" w:ascii="宋体" w:hAnsi="宋体" w:eastAsia="宋体"/>
          <w:szCs w:val="32"/>
        </w:rPr>
        <w:fldChar w:fldCharType="end"/>
      </w:r>
    </w:p>
    <w:p>
      <w:pPr>
        <w:pStyle w:val="52"/>
        <w:tabs>
          <w:tab w:val="right" w:leader="dot" w:pos="9118"/>
        </w:tabs>
        <w:overflowPunct w:val="0"/>
        <w:snapToGrid w:val="0"/>
        <w:rPr>
          <w:rStyle w:val="72"/>
          <w:rFonts w:hint="eastAsia" w:ascii="宋体" w:hAnsi="宋体" w:eastAsia="宋体"/>
          <w:color w:val="auto"/>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"_Toc359856820"</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一、投标文件</w:t>
      </w:r>
      <w:bookmarkStart w:id="8" w:name="_Hlt40081086"/>
      <w:r>
        <w:rPr>
          <w:rStyle w:val="72"/>
          <w:rFonts w:hint="eastAsia" w:ascii="宋体" w:hAnsi="宋体" w:eastAsia="宋体"/>
          <w:color w:val="auto"/>
          <w:sz w:val="32"/>
          <w:szCs w:val="32"/>
          <w:lang/>
        </w:rPr>
        <w:t>封</w:t>
      </w:r>
      <w:bookmarkEnd w:id="8"/>
      <w:r>
        <w:rPr>
          <w:rStyle w:val="72"/>
          <w:rFonts w:hint="eastAsia" w:ascii="宋体" w:hAnsi="宋体" w:eastAsia="宋体"/>
          <w:color w:val="auto"/>
          <w:sz w:val="32"/>
          <w:szCs w:val="32"/>
          <w:lang/>
        </w:rPr>
        <w:t>面</w:t>
      </w:r>
      <w:r>
        <w:rPr>
          <w:rFonts w:hint="eastAsia" w:ascii="宋体" w:hAnsi="宋体" w:eastAsia="宋体"/>
          <w:sz w:val="32"/>
          <w:szCs w:val="32"/>
        </w:rPr>
        <w:fldChar w:fldCharType="end"/>
      </w:r>
    </w:p>
    <w:p>
      <w:pPr>
        <w:pStyle w:val="52"/>
        <w:tabs>
          <w:tab w:val="right" w:leader="dot" w:pos="9118"/>
        </w:tabs>
        <w:overflowPunct w:val="0"/>
        <w:snapToGrid w:val="0"/>
        <w:rPr>
          <w:rStyle w:val="72"/>
          <w:rFonts w:hint="eastAsia" w:ascii="宋体" w:hAnsi="宋体" w:eastAsia="宋体"/>
          <w:color w:val="auto"/>
          <w:sz w:val="32"/>
          <w:szCs w:val="32"/>
          <w:lang/>
        </w:rPr>
      </w:pPr>
      <w:r>
        <w:rPr>
          <w:rStyle w:val="72"/>
          <w:rFonts w:hint="eastAsia" w:ascii="宋体" w:hAnsi="宋体" w:eastAsia="宋体"/>
          <w:color w:val="auto"/>
          <w:sz w:val="32"/>
          <w:szCs w:val="32"/>
          <w:lang/>
        </w:rPr>
        <w:fldChar w:fldCharType="begin"/>
      </w:r>
      <w:r>
        <w:rPr>
          <w:rStyle w:val="72"/>
          <w:rFonts w:hint="eastAsia" w:ascii="宋体" w:hAnsi="宋体" w:eastAsia="宋体"/>
          <w:color w:val="auto"/>
          <w:sz w:val="32"/>
          <w:szCs w:val="32"/>
          <w:lang/>
        </w:rPr>
        <w:instrText xml:space="preserve"> HYPERLINK  \l "资格审查文件" </w:instrText>
      </w:r>
      <w:r>
        <w:rPr>
          <w:rStyle w:val="72"/>
          <w:rFonts w:hint="eastAsia" w:ascii="宋体" w:hAnsi="宋体" w:eastAsia="宋体"/>
          <w:color w:val="auto"/>
          <w:sz w:val="32"/>
          <w:szCs w:val="32"/>
          <w:lang/>
        </w:rPr>
        <w:fldChar w:fldCharType="separate"/>
      </w:r>
      <w:r>
        <w:rPr>
          <w:rStyle w:val="72"/>
          <w:rFonts w:hint="eastAsia" w:ascii="宋体" w:hAnsi="宋体" w:eastAsia="宋体"/>
          <w:color w:val="auto"/>
          <w:sz w:val="32"/>
          <w:szCs w:val="32"/>
          <w:lang/>
        </w:rPr>
        <w:t>二、资格文件</w:t>
      </w:r>
    </w:p>
    <w:p>
      <w:pPr>
        <w:pStyle w:val="52"/>
        <w:tabs>
          <w:tab w:val="right" w:leader="dot" w:pos="9118"/>
        </w:tabs>
        <w:overflowPunct w:val="0"/>
        <w:snapToGrid w:val="0"/>
        <w:rPr>
          <w:rStyle w:val="72"/>
          <w:rFonts w:hint="eastAsia" w:ascii="宋体" w:hAnsi="宋体" w:eastAsia="宋体"/>
          <w:color w:val="auto"/>
          <w:sz w:val="32"/>
          <w:szCs w:val="32"/>
          <w:lang/>
        </w:rPr>
      </w:pPr>
      <w:r>
        <w:rPr>
          <w:rStyle w:val="72"/>
          <w:rFonts w:hint="eastAsia" w:ascii="宋体" w:hAnsi="宋体" w:eastAsia="宋体"/>
          <w:color w:val="auto"/>
          <w:sz w:val="32"/>
          <w:szCs w:val="32"/>
          <w:lang/>
        </w:rPr>
        <w:fldChar w:fldCharType="end"/>
      </w:r>
      <w:r>
        <w:rPr>
          <w:rStyle w:val="72"/>
          <w:rFonts w:hint="eastAsia" w:ascii="宋体" w:hAnsi="宋体" w:eastAsia="宋体"/>
          <w:color w:val="auto"/>
          <w:sz w:val="32"/>
          <w:szCs w:val="32"/>
          <w:lang/>
        </w:rPr>
        <w:fldChar w:fldCharType="begin"/>
      </w:r>
      <w:r>
        <w:rPr>
          <w:rStyle w:val="72"/>
          <w:rFonts w:hint="eastAsia" w:ascii="宋体" w:hAnsi="宋体" w:eastAsia="宋体"/>
          <w:color w:val="auto"/>
          <w:sz w:val="32"/>
          <w:szCs w:val="32"/>
          <w:lang/>
        </w:rPr>
        <w:instrText xml:space="preserve"> HYPERLINK  \l "技术资信文件格式" </w:instrText>
      </w:r>
      <w:r>
        <w:rPr>
          <w:rStyle w:val="72"/>
          <w:rFonts w:hint="eastAsia" w:ascii="宋体" w:hAnsi="宋体" w:eastAsia="宋体"/>
          <w:color w:val="auto"/>
          <w:sz w:val="32"/>
          <w:szCs w:val="32"/>
          <w:lang/>
        </w:rPr>
        <w:fldChar w:fldCharType="separate"/>
      </w:r>
      <w:r>
        <w:rPr>
          <w:rStyle w:val="72"/>
          <w:rFonts w:hint="eastAsia" w:ascii="宋体" w:hAnsi="宋体" w:eastAsia="宋体"/>
          <w:color w:val="auto"/>
          <w:sz w:val="32"/>
          <w:szCs w:val="32"/>
          <w:lang/>
        </w:rPr>
        <w:t>三、技术商务文件</w:t>
      </w:r>
    </w:p>
    <w:p>
      <w:pPr>
        <w:pStyle w:val="52"/>
        <w:tabs>
          <w:tab w:val="right" w:leader="dot" w:pos="9118"/>
        </w:tabs>
        <w:overflowPunct w:val="0"/>
        <w:snapToGrid w:val="0"/>
        <w:rPr>
          <w:rStyle w:val="72"/>
          <w:rFonts w:hint="eastAsia" w:ascii="宋体" w:hAnsi="宋体" w:eastAsia="宋体"/>
          <w:color w:val="auto"/>
          <w:sz w:val="32"/>
          <w:szCs w:val="32"/>
          <w:u w:val="none"/>
          <w:lang/>
        </w:rPr>
      </w:pPr>
      <w:r>
        <w:rPr>
          <w:rStyle w:val="72"/>
          <w:rFonts w:hint="eastAsia" w:ascii="宋体" w:hAnsi="宋体" w:eastAsia="宋体"/>
          <w:color w:val="auto"/>
          <w:sz w:val="32"/>
          <w:szCs w:val="32"/>
          <w:lang/>
        </w:rPr>
        <w:fldChar w:fldCharType="end"/>
      </w:r>
      <w:r>
        <w:rPr>
          <w:rFonts w:hint="eastAsia" w:ascii="宋体" w:hAnsi="宋体" w:eastAsia="宋体"/>
          <w:sz w:val="32"/>
          <w:szCs w:val="32"/>
        </w:rPr>
        <w:fldChar w:fldCharType="begin"/>
      </w:r>
      <w:r>
        <w:rPr>
          <w:rFonts w:hint="eastAsia" w:ascii="宋体" w:hAnsi="宋体" w:eastAsia="宋体"/>
          <w:sz w:val="32"/>
          <w:szCs w:val="32"/>
        </w:rPr>
        <w:instrText xml:space="preserve">HYPERLINK \l "报价文件格式"</w:instrText>
      </w:r>
      <w:r>
        <w:rPr>
          <w:rFonts w:hint="eastAsia" w:ascii="宋体" w:hAnsi="宋体" w:eastAsia="宋体"/>
          <w:sz w:val="32"/>
          <w:szCs w:val="32"/>
        </w:rPr>
        <w:fldChar w:fldCharType="separate"/>
      </w:r>
      <w:r>
        <w:rPr>
          <w:rStyle w:val="72"/>
          <w:rFonts w:hint="eastAsia" w:ascii="宋体" w:hAnsi="宋体" w:eastAsia="宋体"/>
          <w:color w:val="auto"/>
          <w:sz w:val="32"/>
          <w:szCs w:val="32"/>
          <w:lang/>
        </w:rPr>
        <w:t>四、报价文件</w:t>
      </w:r>
      <w:r>
        <w:rPr>
          <w:rFonts w:hint="eastAsia" w:ascii="宋体" w:hAnsi="宋体" w:eastAsia="宋体"/>
          <w:sz w:val="32"/>
          <w:szCs w:val="32"/>
        </w:rPr>
        <w:fldChar w:fldCharType="end"/>
      </w:r>
      <w:r>
        <w:rPr>
          <w:rStyle w:val="72"/>
          <w:rFonts w:hint="eastAsia" w:ascii="宋体" w:hAnsi="宋体" w:eastAsia="宋体"/>
          <w:color w:val="auto"/>
          <w:sz w:val="32"/>
          <w:szCs w:val="32"/>
          <w:lang/>
        </w:rPr>
        <w:fldChar w:fldCharType="begin"/>
      </w:r>
      <w:r>
        <w:rPr>
          <w:rStyle w:val="72"/>
          <w:rFonts w:hint="eastAsia" w:ascii="宋体" w:hAnsi="宋体" w:eastAsia="宋体"/>
          <w:color w:val="auto"/>
          <w:sz w:val="32"/>
          <w:szCs w:val="32"/>
          <w:lang/>
        </w:rPr>
        <w:instrText xml:space="preserve">HYPERLINK  \l "其他文件格式"</w:instrText>
      </w:r>
      <w:r>
        <w:rPr>
          <w:rStyle w:val="72"/>
          <w:rFonts w:hint="eastAsia" w:ascii="宋体" w:hAnsi="宋体" w:eastAsia="宋体"/>
          <w:color w:val="auto"/>
          <w:sz w:val="32"/>
          <w:szCs w:val="32"/>
          <w:lang/>
        </w:rPr>
        <w:fldChar w:fldCharType="separate"/>
      </w:r>
    </w:p>
    <w:p>
      <w:pPr>
        <w:pStyle w:val="41"/>
        <w:tabs>
          <w:tab w:val="right" w:leader="dot" w:pos="9118"/>
        </w:tabs>
        <w:overflowPunct w:val="0"/>
        <w:snapToGrid w:val="0"/>
        <w:spacing w:line="240" w:lineRule="auto"/>
        <w:rPr>
          <w:rStyle w:val="72"/>
          <w:rFonts w:hint="eastAsia" w:ascii="宋体" w:hAnsi="宋体" w:eastAsia="宋体" w:cs="宋体"/>
          <w:color w:val="auto"/>
          <w:szCs w:val="32"/>
          <w:lang/>
        </w:rPr>
      </w:pPr>
      <w:r>
        <w:rPr>
          <w:rStyle w:val="72"/>
          <w:rFonts w:hint="eastAsia" w:ascii="宋体" w:hAnsi="宋体" w:eastAsia="宋体"/>
          <w:smallCaps/>
          <w:color w:val="auto"/>
          <w:szCs w:val="32"/>
          <w:lang/>
        </w:rPr>
        <w:fldChar w:fldCharType="end"/>
      </w:r>
      <w:r>
        <w:rPr>
          <w:rStyle w:val="72"/>
          <w:rFonts w:hint="eastAsia" w:ascii="宋体" w:hAnsi="宋体" w:eastAsia="宋体" w:cs="宋体"/>
          <w:color w:val="auto"/>
          <w:szCs w:val="32"/>
          <w:lang/>
        </w:rPr>
        <w:fldChar w:fldCharType="begin"/>
      </w:r>
      <w:r>
        <w:rPr>
          <w:rStyle w:val="72"/>
          <w:rFonts w:hint="eastAsia" w:ascii="宋体" w:hAnsi="宋体" w:eastAsia="宋体" w:cs="宋体"/>
          <w:color w:val="auto"/>
          <w:szCs w:val="32"/>
          <w:lang/>
        </w:rPr>
        <w:instrText xml:space="preserve"> HYPERLINK  \l "评标办法及开标程序" </w:instrText>
      </w:r>
      <w:r>
        <w:rPr>
          <w:rStyle w:val="72"/>
          <w:rFonts w:hint="eastAsia" w:ascii="宋体" w:hAnsi="宋体" w:eastAsia="宋体" w:cs="宋体"/>
          <w:color w:val="auto"/>
          <w:szCs w:val="32"/>
          <w:lang/>
        </w:rPr>
        <w:fldChar w:fldCharType="separate"/>
      </w:r>
      <w:r>
        <w:rPr>
          <w:rStyle w:val="72"/>
          <w:rFonts w:hint="eastAsia" w:ascii="宋体" w:hAnsi="宋体" w:eastAsia="宋体" w:cs="宋体"/>
          <w:color w:val="auto"/>
          <w:szCs w:val="32"/>
          <w:lang/>
        </w:rPr>
        <w:t>第五章  评标办法及开标程序</w:t>
      </w:r>
    </w:p>
    <w:p>
      <w:pPr>
        <w:pStyle w:val="52"/>
        <w:tabs>
          <w:tab w:val="right" w:leader="dot" w:pos="9118"/>
        </w:tabs>
        <w:overflowPunct w:val="0"/>
        <w:snapToGrid w:val="0"/>
        <w:rPr>
          <w:rFonts w:hint="eastAsia" w:ascii="宋体" w:hAnsi="宋体" w:eastAsia="宋体"/>
          <w:smallCaps w:val="0"/>
          <w:sz w:val="32"/>
          <w:szCs w:val="32"/>
          <w:lang/>
        </w:rPr>
      </w:pPr>
      <w:r>
        <w:rPr>
          <w:rStyle w:val="72"/>
          <w:rFonts w:hint="eastAsia" w:ascii="宋体" w:hAnsi="宋体" w:eastAsia="宋体" w:cs="宋体"/>
          <w:smallCaps w:val="0"/>
          <w:color w:val="auto"/>
          <w:sz w:val="32"/>
          <w:szCs w:val="32"/>
          <w:lang/>
        </w:rPr>
        <w:fldChar w:fldCharType="end"/>
      </w: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"_Toc359856825"</w:instrText>
      </w:r>
      <w:r>
        <w:rPr>
          <w:rFonts w:hint="eastAsia" w:ascii="宋体" w:hAnsi="宋体" w:eastAsia="宋体"/>
          <w:sz w:val="32"/>
          <w:szCs w:val="32"/>
        </w:rPr>
        <w:fldChar w:fldCharType="separate"/>
      </w:r>
      <w:r>
        <w:rPr>
          <w:rStyle w:val="72"/>
          <w:rFonts w:hint="eastAsia" w:ascii="宋体" w:hAnsi="宋体" w:eastAsia="宋体" w:cs="宋体"/>
          <w:bCs/>
          <w:color w:val="auto"/>
          <w:sz w:val="32"/>
          <w:szCs w:val="32"/>
          <w:lang w:val="zh-CN"/>
        </w:rPr>
        <w:t>一、评标委</w:t>
      </w:r>
      <w:bookmarkStart w:id="9" w:name="_Hlt40714037"/>
      <w:r>
        <w:rPr>
          <w:rStyle w:val="72"/>
          <w:rFonts w:hint="eastAsia" w:ascii="宋体" w:hAnsi="宋体" w:eastAsia="宋体" w:cs="宋体"/>
          <w:bCs/>
          <w:color w:val="auto"/>
          <w:sz w:val="32"/>
          <w:szCs w:val="32"/>
          <w:lang w:val="zh-CN"/>
        </w:rPr>
        <w:t>员</w:t>
      </w:r>
      <w:bookmarkEnd w:id="9"/>
      <w:bookmarkStart w:id="10" w:name="_Hlt40714029"/>
      <w:r>
        <w:rPr>
          <w:rStyle w:val="72"/>
          <w:rFonts w:hint="eastAsia" w:ascii="宋体" w:hAnsi="宋体" w:eastAsia="宋体" w:cs="宋体"/>
          <w:bCs/>
          <w:color w:val="auto"/>
          <w:sz w:val="32"/>
          <w:szCs w:val="32"/>
          <w:lang w:val="zh-CN"/>
        </w:rPr>
        <w:t>会</w:t>
      </w:r>
      <w:bookmarkEnd w:id="10"/>
      <w:r>
        <w:rPr>
          <w:rStyle w:val="72"/>
          <w:rFonts w:hint="eastAsia" w:ascii="宋体" w:hAnsi="宋体" w:eastAsia="宋体" w:cs="宋体"/>
          <w:bCs/>
          <w:color w:val="auto"/>
          <w:sz w:val="32"/>
          <w:szCs w:val="32"/>
          <w:lang w:val="zh-CN"/>
        </w:rPr>
        <w:t>的组成</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"_Toc359856826"</w:instrText>
      </w:r>
      <w:r>
        <w:rPr>
          <w:rFonts w:hint="eastAsia" w:ascii="宋体" w:hAnsi="宋体" w:eastAsia="宋体"/>
          <w:sz w:val="32"/>
          <w:szCs w:val="32"/>
        </w:rPr>
        <w:fldChar w:fldCharType="separate"/>
      </w:r>
      <w:r>
        <w:rPr>
          <w:rStyle w:val="72"/>
          <w:rFonts w:hint="eastAsia" w:ascii="宋体" w:hAnsi="宋体" w:eastAsia="宋体" w:cs="宋体"/>
          <w:bCs/>
          <w:color w:val="auto"/>
          <w:sz w:val="32"/>
          <w:szCs w:val="32"/>
          <w:lang w:val="zh-CN"/>
        </w:rPr>
        <w:t>二、评标原则</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"_Toc359856827"</w:instrText>
      </w:r>
      <w:r>
        <w:rPr>
          <w:rFonts w:hint="eastAsia" w:ascii="宋体" w:hAnsi="宋体" w:eastAsia="宋体"/>
          <w:sz w:val="32"/>
          <w:szCs w:val="32"/>
        </w:rPr>
        <w:fldChar w:fldCharType="separate"/>
      </w:r>
      <w:r>
        <w:rPr>
          <w:rStyle w:val="72"/>
          <w:rFonts w:hint="eastAsia" w:ascii="宋体" w:hAnsi="宋体" w:eastAsia="宋体" w:cs="宋体"/>
          <w:bCs/>
          <w:color w:val="auto"/>
          <w:sz w:val="32"/>
          <w:szCs w:val="32"/>
          <w:lang w:val="zh-CN"/>
        </w:rPr>
        <w:t>三、注意事项</w:t>
      </w:r>
      <w:r>
        <w:rPr>
          <w:rFonts w:hint="eastAsia" w:ascii="宋体" w:hAnsi="宋体" w:eastAsia="宋体"/>
          <w:sz w:val="32"/>
          <w:szCs w:val="32"/>
        </w:rPr>
        <w:fldChar w:fldCharType="end"/>
      </w:r>
    </w:p>
    <w:p>
      <w:pPr>
        <w:pStyle w:val="52"/>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"_Toc359856828"</w:instrText>
      </w:r>
      <w:r>
        <w:rPr>
          <w:rFonts w:hint="eastAsia" w:ascii="宋体" w:hAnsi="宋体" w:eastAsia="宋体"/>
          <w:sz w:val="32"/>
          <w:szCs w:val="32"/>
        </w:rPr>
        <w:fldChar w:fldCharType="separate"/>
      </w:r>
      <w:r>
        <w:rPr>
          <w:rStyle w:val="72"/>
          <w:rFonts w:hint="eastAsia" w:ascii="宋体" w:hAnsi="宋体" w:eastAsia="宋体" w:cs="宋体"/>
          <w:bCs/>
          <w:color w:val="auto"/>
          <w:sz w:val="32"/>
          <w:szCs w:val="32"/>
          <w:lang w:val="zh-CN"/>
        </w:rPr>
        <w:t>四、评分标准</w:t>
      </w:r>
      <w:r>
        <w:rPr>
          <w:rFonts w:hint="eastAsia" w:ascii="宋体" w:hAnsi="宋体" w:eastAsia="宋体"/>
          <w:sz w:val="32"/>
          <w:szCs w:val="32"/>
        </w:rPr>
        <w:fldChar w:fldCharType="end"/>
      </w:r>
    </w:p>
    <w:p>
      <w:pPr>
        <w:pStyle w:val="52"/>
        <w:tabs>
          <w:tab w:val="right" w:leader="dot" w:pos="9118"/>
        </w:tabs>
        <w:overflowPunct w:val="0"/>
        <w:snapToGrid w:val="0"/>
        <w:rPr>
          <w:rStyle w:val="72"/>
          <w:rFonts w:hint="eastAsia" w:ascii="宋体" w:hAnsi="宋体" w:eastAsia="宋体"/>
          <w:smallCaps w:val="0"/>
          <w:color w:val="auto"/>
          <w:sz w:val="32"/>
          <w:szCs w:val="32"/>
          <w:lang/>
        </w:rPr>
      </w:pPr>
      <w:r>
        <w:rPr>
          <w:rStyle w:val="72"/>
          <w:rFonts w:hint="eastAsia" w:ascii="宋体" w:hAnsi="宋体" w:eastAsia="宋体" w:cs="宋体"/>
          <w:bCs/>
          <w:color w:val="auto"/>
          <w:sz w:val="32"/>
          <w:szCs w:val="32"/>
          <w:lang w:val="zh-CN"/>
        </w:rPr>
        <w:fldChar w:fldCharType="begin"/>
      </w:r>
      <w:r>
        <w:rPr>
          <w:rStyle w:val="72"/>
          <w:rFonts w:hint="eastAsia" w:ascii="宋体" w:hAnsi="宋体" w:eastAsia="宋体" w:cs="宋体"/>
          <w:bCs/>
          <w:color w:val="auto"/>
          <w:sz w:val="32"/>
          <w:szCs w:val="32"/>
          <w:lang w:val="zh-CN"/>
        </w:rPr>
        <w:instrText xml:space="preserve"> HYPERLINK  \l "开评标程序" </w:instrText>
      </w:r>
      <w:r>
        <w:rPr>
          <w:rStyle w:val="72"/>
          <w:rFonts w:hint="eastAsia" w:ascii="宋体" w:hAnsi="宋体" w:eastAsia="宋体" w:cs="宋体"/>
          <w:bCs/>
          <w:color w:val="auto"/>
          <w:sz w:val="32"/>
          <w:szCs w:val="32"/>
          <w:lang w:val="zh-CN"/>
        </w:rPr>
        <w:fldChar w:fldCharType="separate"/>
      </w:r>
      <w:r>
        <w:rPr>
          <w:rStyle w:val="72"/>
          <w:rFonts w:hint="eastAsia" w:ascii="宋体" w:hAnsi="宋体" w:eastAsia="宋体" w:cs="宋体"/>
          <w:bCs/>
          <w:color w:val="auto"/>
          <w:sz w:val="32"/>
          <w:szCs w:val="32"/>
          <w:lang w:val="zh-CN"/>
        </w:rPr>
        <w:t>五、开评标程序</w:t>
      </w:r>
    </w:p>
    <w:p>
      <w:pPr>
        <w:overflowPunct w:val="0"/>
        <w:snapToGrid w:val="0"/>
        <w:ind w:firstLine="3000"/>
        <w:jc w:val="center"/>
        <w:outlineLvl w:val="0"/>
        <w:rPr>
          <w:rFonts w:hint="eastAsia" w:ascii="宋体" w:hAnsi="宋体" w:cs="宋体"/>
          <w:b/>
          <w:sz w:val="32"/>
          <w:szCs w:val="32"/>
        </w:rPr>
      </w:pPr>
      <w:r>
        <w:rPr>
          <w:rStyle w:val="72"/>
          <w:rFonts w:hint="eastAsia" w:ascii="宋体" w:hAnsi="宋体" w:cs="宋体"/>
          <w:bCs/>
          <w:smallCaps/>
          <w:color w:val="auto"/>
          <w:sz w:val="32"/>
          <w:szCs w:val="32"/>
          <w:lang w:val="zh-CN"/>
        </w:rPr>
        <w:fldChar w:fldCharType="end"/>
      </w:r>
      <w:r>
        <w:rPr>
          <w:rFonts w:hint="eastAsia" w:ascii="宋体" w:hAnsi="宋体" w:cs="宋体"/>
          <w:sz w:val="32"/>
          <w:szCs w:val="32"/>
        </w:rPr>
        <w:fldChar w:fldCharType="end"/>
      </w:r>
      <w:bookmarkEnd w:id="0"/>
      <w:bookmarkEnd w:id="1"/>
      <w:bookmarkEnd w:id="2"/>
      <w:bookmarkStart w:id="11" w:name="_Toc354491895"/>
      <w:bookmarkStart w:id="12" w:name="_Toc356371429"/>
      <w:bookmarkStart w:id="13" w:name="_Toc359856795"/>
      <w:r>
        <w:rPr>
          <w:rFonts w:hint="eastAsia" w:ascii="宋体" w:hAnsi="宋体" w:cs="宋体"/>
          <w:sz w:val="28"/>
          <w:szCs w:val="28"/>
        </w:rPr>
        <w:br w:type="page"/>
      </w:r>
      <w:r>
        <w:rPr>
          <w:rFonts w:hint="eastAsia" w:ascii="宋体" w:hAnsi="宋体" w:cs="宋体"/>
          <w:b/>
          <w:sz w:val="32"/>
          <w:szCs w:val="32"/>
        </w:rPr>
        <w:t xml:space="preserve">第一章  </w:t>
      </w:r>
      <w:bookmarkEnd w:id="11"/>
      <w:r>
        <w:rPr>
          <w:rFonts w:hint="eastAsia" w:ascii="宋体" w:hAnsi="宋体" w:cs="宋体"/>
          <w:b/>
          <w:sz w:val="32"/>
          <w:szCs w:val="32"/>
        </w:rPr>
        <w:t>招标公告</w:t>
      </w:r>
      <w:bookmarkEnd w:id="12"/>
      <w:bookmarkEnd w:id="13"/>
    </w:p>
    <w:p>
      <w:pPr>
        <w:snapToGrid w:val="0"/>
        <w:jc w:val="center"/>
        <w:outlineLvl w:val="0"/>
        <w:rPr>
          <w:rFonts w:hint="eastAsia" w:ascii="宋体" w:hAnsi="宋体" w:cs="宋体"/>
          <w:b/>
          <w:sz w:val="28"/>
          <w:szCs w:val="28"/>
        </w:rPr>
      </w:pPr>
    </w:p>
    <w:p>
      <w:pPr>
        <w:snapToGrid w:val="0"/>
        <w:ind w:firstLine="560" w:firstLineChars="200"/>
        <w:rPr>
          <w:rFonts w:hint="eastAsia" w:ascii="宋体" w:hAnsi="宋体"/>
          <w:sz w:val="28"/>
          <w:szCs w:val="28"/>
        </w:rPr>
      </w:pPr>
      <w:r>
        <w:rPr>
          <w:rFonts w:hint="eastAsia" w:ascii="宋体" w:hAnsi="宋体"/>
          <w:sz w:val="28"/>
          <w:szCs w:val="28"/>
        </w:rPr>
        <w:t>根据《中华人民共和国政府采购法》、《中华人民共和国政府采购法实施条例》、《政府采购货物和服务招标投标管理办法》等规定，嘉兴诚欣工程咨询有限公司受桐乡市人民政府梧桐街道办事处委托，就下列项目进行公开招标采购，欢迎提供本项目货物、服务的供应商参加。</w:t>
      </w:r>
    </w:p>
    <w:p>
      <w:pPr>
        <w:numPr>
          <w:ilvl w:val="0"/>
          <w:numId w:val="17"/>
        </w:numPr>
        <w:snapToGrid w:val="0"/>
        <w:rPr>
          <w:rFonts w:hint="eastAsia" w:ascii="宋体" w:hAnsi="宋体"/>
          <w:sz w:val="28"/>
          <w:szCs w:val="28"/>
        </w:rPr>
      </w:pPr>
      <w:r>
        <w:rPr>
          <w:rFonts w:hint="eastAsia" w:ascii="宋体" w:hAnsi="宋体"/>
          <w:sz w:val="28"/>
          <w:szCs w:val="28"/>
        </w:rPr>
        <w:t xml:space="preserve">项目编号：JXCXZFCG2020-069 </w:t>
      </w:r>
    </w:p>
    <w:p>
      <w:pPr>
        <w:numPr>
          <w:ilvl w:val="0"/>
          <w:numId w:val="17"/>
        </w:numPr>
        <w:snapToGrid w:val="0"/>
        <w:rPr>
          <w:rFonts w:hint="eastAsia" w:ascii="宋体" w:hAnsi="宋体"/>
          <w:sz w:val="28"/>
          <w:szCs w:val="28"/>
        </w:rPr>
      </w:pPr>
      <w:r>
        <w:rPr>
          <w:rFonts w:hint="eastAsia" w:ascii="宋体" w:hAnsi="宋体"/>
          <w:sz w:val="28"/>
          <w:szCs w:val="28"/>
        </w:rPr>
        <w:t>招标方式：公开招标。</w:t>
      </w:r>
    </w:p>
    <w:p>
      <w:pPr>
        <w:numPr>
          <w:ilvl w:val="0"/>
          <w:numId w:val="17"/>
        </w:numPr>
        <w:snapToGrid w:val="0"/>
        <w:ind w:left="851" w:hanging="851"/>
        <w:rPr>
          <w:rFonts w:hint="eastAsia" w:ascii="宋体" w:hAnsi="宋体"/>
          <w:sz w:val="28"/>
          <w:szCs w:val="28"/>
        </w:rPr>
      </w:pPr>
      <w:r>
        <w:rPr>
          <w:rFonts w:hint="eastAsia" w:ascii="宋体" w:hAnsi="宋体"/>
          <w:sz w:val="28"/>
          <w:szCs w:val="28"/>
        </w:rPr>
        <w:t>招标内容：智慧安防小区建设项目采购，预算控制价620万元(具体见招标文件第三章)。</w:t>
      </w:r>
    </w:p>
    <w:p>
      <w:pPr>
        <w:numPr>
          <w:ilvl w:val="0"/>
          <w:numId w:val="17"/>
        </w:numPr>
        <w:snapToGrid w:val="0"/>
        <w:rPr>
          <w:rFonts w:hint="eastAsia" w:ascii="宋体" w:hAnsi="宋体"/>
          <w:b/>
          <w:sz w:val="28"/>
          <w:szCs w:val="28"/>
        </w:rPr>
      </w:pPr>
      <w:r>
        <w:rPr>
          <w:rFonts w:hint="eastAsia" w:ascii="宋体" w:hAnsi="宋体"/>
          <w:b/>
          <w:sz w:val="28"/>
          <w:szCs w:val="28"/>
        </w:rPr>
        <w:t>投标人资格要求:</w:t>
      </w:r>
    </w:p>
    <w:p>
      <w:pPr>
        <w:numPr>
          <w:ilvl w:val="1"/>
          <w:numId w:val="17"/>
        </w:numPr>
        <w:snapToGrid w:val="0"/>
        <w:rPr>
          <w:rFonts w:hint="eastAsia" w:ascii="宋体" w:hAnsi="宋体"/>
          <w:b/>
          <w:sz w:val="28"/>
          <w:szCs w:val="28"/>
        </w:rPr>
      </w:pPr>
      <w:r>
        <w:rPr>
          <w:rFonts w:hint="eastAsia" w:ascii="宋体" w:hAnsi="宋体"/>
          <w:b/>
          <w:sz w:val="28"/>
          <w:szCs w:val="28"/>
        </w:rPr>
        <w:t>符合《中华人民共和国政府采购法》第二十二条要求：</w:t>
      </w:r>
    </w:p>
    <w:p>
      <w:pPr>
        <w:snapToGrid w:val="0"/>
        <w:ind w:left="840"/>
        <w:rPr>
          <w:rFonts w:hint="eastAsia" w:ascii="宋体" w:hAnsi="宋体"/>
          <w:b/>
          <w:sz w:val="28"/>
          <w:szCs w:val="28"/>
        </w:rPr>
      </w:pPr>
      <w:r>
        <w:rPr>
          <w:rFonts w:hint="eastAsia" w:ascii="宋体" w:hAnsi="宋体"/>
          <w:b/>
          <w:sz w:val="28"/>
          <w:szCs w:val="28"/>
        </w:rPr>
        <w:t>（一）具有独立承担民事责任的能力；</w:t>
      </w:r>
    </w:p>
    <w:p>
      <w:pPr>
        <w:snapToGrid w:val="0"/>
        <w:ind w:left="840"/>
        <w:rPr>
          <w:rFonts w:hint="eastAsia" w:ascii="宋体" w:hAnsi="宋体"/>
          <w:b/>
          <w:sz w:val="28"/>
          <w:szCs w:val="28"/>
        </w:rPr>
      </w:pPr>
      <w:r>
        <w:rPr>
          <w:rFonts w:hint="eastAsia" w:ascii="宋体" w:hAnsi="宋体"/>
          <w:b/>
          <w:sz w:val="28"/>
          <w:szCs w:val="28"/>
        </w:rPr>
        <w:t>（二）具有良好的商业信誉和健全的财务会计制度；</w:t>
      </w:r>
    </w:p>
    <w:p>
      <w:pPr>
        <w:snapToGrid w:val="0"/>
        <w:ind w:left="840"/>
        <w:rPr>
          <w:rFonts w:hint="eastAsia" w:ascii="宋体" w:hAnsi="宋体"/>
          <w:b/>
          <w:sz w:val="28"/>
          <w:szCs w:val="28"/>
        </w:rPr>
      </w:pPr>
      <w:r>
        <w:rPr>
          <w:rFonts w:hint="eastAsia" w:ascii="宋体" w:hAnsi="宋体"/>
          <w:b/>
          <w:sz w:val="28"/>
          <w:szCs w:val="28"/>
        </w:rPr>
        <w:t>（三）具有履行合同所必需的设备和专业技术能力；</w:t>
      </w:r>
    </w:p>
    <w:p>
      <w:pPr>
        <w:snapToGrid w:val="0"/>
        <w:ind w:left="840"/>
        <w:rPr>
          <w:rFonts w:hint="eastAsia" w:ascii="宋体" w:hAnsi="宋体"/>
          <w:b/>
          <w:sz w:val="28"/>
          <w:szCs w:val="28"/>
        </w:rPr>
      </w:pPr>
      <w:r>
        <w:rPr>
          <w:rFonts w:hint="eastAsia" w:ascii="宋体" w:hAnsi="宋体"/>
          <w:b/>
          <w:sz w:val="28"/>
          <w:szCs w:val="28"/>
        </w:rPr>
        <w:t>（四）有依法缴纳税收和社会保障资金的良好记录；</w:t>
      </w:r>
    </w:p>
    <w:p>
      <w:pPr>
        <w:snapToGrid w:val="0"/>
        <w:ind w:left="840"/>
        <w:rPr>
          <w:rFonts w:hint="eastAsia" w:ascii="宋体" w:hAnsi="宋体"/>
          <w:b/>
          <w:sz w:val="28"/>
          <w:szCs w:val="28"/>
        </w:rPr>
      </w:pPr>
      <w:r>
        <w:rPr>
          <w:rFonts w:hint="eastAsia" w:ascii="宋体" w:hAnsi="宋体"/>
          <w:b/>
          <w:sz w:val="28"/>
          <w:szCs w:val="28"/>
        </w:rPr>
        <w:t>（五）参加政府采购活动前三年内，在经营活动中没有重大违法记录；</w:t>
      </w:r>
    </w:p>
    <w:p>
      <w:pPr>
        <w:snapToGrid w:val="0"/>
        <w:ind w:left="840"/>
        <w:rPr>
          <w:rFonts w:hint="eastAsia" w:ascii="宋体" w:hAnsi="宋体"/>
          <w:b/>
          <w:sz w:val="28"/>
          <w:szCs w:val="28"/>
        </w:rPr>
      </w:pPr>
      <w:r>
        <w:rPr>
          <w:rFonts w:hint="eastAsia" w:ascii="宋体" w:hAnsi="宋体"/>
          <w:b/>
          <w:sz w:val="28"/>
          <w:szCs w:val="28"/>
        </w:rPr>
        <w:t>（六）法律、行政法规规定的其他条件。</w:t>
      </w:r>
    </w:p>
    <w:p>
      <w:pPr>
        <w:numPr>
          <w:ilvl w:val="1"/>
          <w:numId w:val="17"/>
        </w:numPr>
        <w:snapToGrid w:val="0"/>
        <w:rPr>
          <w:rFonts w:hint="eastAsia" w:ascii="宋体" w:hAnsi="宋体"/>
          <w:b/>
          <w:sz w:val="28"/>
          <w:szCs w:val="28"/>
        </w:rPr>
      </w:pPr>
      <w:r>
        <w:rPr>
          <w:rFonts w:hint="eastAsia" w:ascii="宋体" w:hAnsi="宋体"/>
          <w:b/>
          <w:sz w:val="28"/>
          <w:szCs w:val="28"/>
        </w:rPr>
        <w:t>金融、保险、通讯等特定行业的全国性企业所设立的区域性分支机构，以及个体工商户、个人独资企业、合伙企业投标的，应符合浙财采监【2013】24号《关于规范政府采购供应商资格设定及资格审查的通知》第六条规定：</w:t>
      </w:r>
    </w:p>
    <w:p>
      <w:pPr>
        <w:numPr>
          <w:ilvl w:val="1"/>
          <w:numId w:val="17"/>
        </w:numPr>
        <w:snapToGrid w:val="0"/>
        <w:rPr>
          <w:rFonts w:hint="eastAsia" w:ascii="宋体" w:hAnsi="宋体"/>
          <w:b/>
          <w:sz w:val="28"/>
          <w:szCs w:val="28"/>
        </w:rPr>
      </w:pPr>
      <w:r>
        <w:rPr>
          <w:rFonts w:hint="eastAsia" w:ascii="宋体" w:hAnsi="宋体"/>
          <w:b/>
          <w:sz w:val="28"/>
          <w:szCs w:val="28"/>
        </w:rPr>
        <w:t>未被列入“信用中国”网站(www.creditchina.gov.cn)和中国政府采购网(www.ccgp.gov.cn)渠道的信用记录失信被执行人、重大税收违法案件当事人名单、政府采购严重违法失信行为记录名单。</w:t>
      </w:r>
    </w:p>
    <w:p>
      <w:pPr>
        <w:numPr>
          <w:ilvl w:val="1"/>
          <w:numId w:val="17"/>
        </w:numPr>
        <w:snapToGrid w:val="0"/>
        <w:rPr>
          <w:rFonts w:hint="eastAsia" w:ascii="宋体" w:hAnsi="宋体"/>
          <w:b/>
          <w:sz w:val="28"/>
          <w:szCs w:val="28"/>
        </w:rPr>
      </w:pPr>
      <w:r>
        <w:rPr>
          <w:rFonts w:hint="eastAsia" w:ascii="宋体" w:hAnsi="宋体"/>
          <w:b/>
          <w:sz w:val="28"/>
          <w:szCs w:val="28"/>
        </w:rPr>
        <w:t>本项目不接受联合体投标。</w:t>
      </w:r>
    </w:p>
    <w:p>
      <w:pPr>
        <w:numPr>
          <w:ilvl w:val="0"/>
          <w:numId w:val="17"/>
        </w:numPr>
        <w:snapToGrid w:val="0"/>
        <w:rPr>
          <w:rFonts w:hint="eastAsia" w:ascii="宋体" w:hAnsi="宋体"/>
          <w:sz w:val="28"/>
          <w:szCs w:val="28"/>
        </w:rPr>
      </w:pPr>
      <w:r>
        <w:rPr>
          <w:rFonts w:hint="eastAsia" w:ascii="宋体" w:hAnsi="宋体"/>
          <w:sz w:val="28"/>
          <w:szCs w:val="28"/>
        </w:rPr>
        <w:t>投标报名：</w:t>
      </w:r>
    </w:p>
    <w:p>
      <w:pPr>
        <w:numPr>
          <w:ilvl w:val="1"/>
          <w:numId w:val="17"/>
        </w:numPr>
        <w:snapToGrid w:val="0"/>
        <w:ind w:left="426" w:firstLine="0"/>
        <w:rPr>
          <w:rFonts w:hint="eastAsia" w:ascii="宋体" w:hAnsi="宋体"/>
          <w:sz w:val="28"/>
          <w:szCs w:val="28"/>
        </w:rPr>
      </w:pPr>
      <w:r>
        <w:rPr>
          <w:rFonts w:hint="eastAsia" w:ascii="宋体" w:hAnsi="宋体"/>
          <w:sz w:val="28"/>
          <w:szCs w:val="28"/>
        </w:rPr>
        <w:t>报名及获取招标文件时间：2020年9月30日至2020年10月20日（报名时间截止后至投标截止时间前潜在投标人仍可获取招标文件）；</w:t>
      </w:r>
    </w:p>
    <w:p>
      <w:pPr>
        <w:numPr>
          <w:ilvl w:val="1"/>
          <w:numId w:val="17"/>
        </w:numPr>
        <w:snapToGrid w:val="0"/>
        <w:ind w:left="426" w:firstLine="0"/>
        <w:rPr>
          <w:rFonts w:hint="eastAsia" w:ascii="宋体" w:hAnsi="宋体"/>
          <w:sz w:val="28"/>
          <w:szCs w:val="28"/>
        </w:rPr>
      </w:pPr>
      <w:r>
        <w:rPr>
          <w:rFonts w:hint="eastAsia" w:ascii="宋体" w:hAnsi="宋体"/>
          <w:sz w:val="28"/>
          <w:szCs w:val="28"/>
        </w:rPr>
        <w:t>报名方式：本项目接受</w:t>
      </w:r>
      <w:r>
        <w:rPr>
          <w:rFonts w:hint="eastAsia" w:ascii="宋体" w:hAnsi="宋体"/>
          <w:bCs/>
          <w:sz w:val="28"/>
          <w:szCs w:val="28"/>
        </w:rPr>
        <w:t>“政采云”平台</w:t>
      </w:r>
      <w:r>
        <w:rPr>
          <w:rFonts w:hint="eastAsia" w:ascii="宋体" w:hAnsi="宋体"/>
          <w:sz w:val="28"/>
          <w:szCs w:val="28"/>
        </w:rPr>
        <w:t>网上报名；</w:t>
      </w:r>
    </w:p>
    <w:p>
      <w:pPr>
        <w:numPr>
          <w:ilvl w:val="1"/>
          <w:numId w:val="17"/>
        </w:numPr>
        <w:snapToGrid w:val="0"/>
        <w:ind w:left="426" w:firstLine="0"/>
        <w:rPr>
          <w:rFonts w:hint="eastAsia" w:ascii="宋体" w:hAnsi="宋体"/>
          <w:sz w:val="28"/>
          <w:szCs w:val="28"/>
        </w:rPr>
      </w:pPr>
      <w:r>
        <w:rPr>
          <w:rFonts w:hint="eastAsia" w:ascii="宋体" w:hAnsi="宋体"/>
          <w:sz w:val="28"/>
          <w:szCs w:val="28"/>
        </w:rPr>
        <w:t>网上报名地址：浙江政府采购网</w:t>
      </w:r>
      <w:r>
        <w:rPr>
          <w:rFonts w:ascii="宋体" w:hAnsi="宋体"/>
          <w:sz w:val="28"/>
          <w:szCs w:val="28"/>
        </w:rPr>
        <w:t>https://login.zcygov.cn/user-login/#/login</w:t>
      </w:r>
      <w:r>
        <w:rPr>
          <w:rFonts w:hint="eastAsia" w:ascii="宋体" w:hAnsi="宋体"/>
          <w:sz w:val="28"/>
          <w:szCs w:val="28"/>
        </w:rPr>
        <w:t>（用政采云注册帐号、密码进行系统登录后申请获取招标文件，如果“已申请”标签页显示状态为“审核通过”即为报名成功）。</w:t>
      </w:r>
    </w:p>
    <w:p>
      <w:pPr>
        <w:numPr>
          <w:ilvl w:val="0"/>
          <w:numId w:val="17"/>
        </w:numPr>
        <w:snapToGrid w:val="0"/>
        <w:rPr>
          <w:rFonts w:hint="eastAsia" w:ascii="宋体" w:hAnsi="宋体"/>
          <w:sz w:val="28"/>
          <w:szCs w:val="28"/>
        </w:rPr>
      </w:pPr>
      <w:r>
        <w:rPr>
          <w:rFonts w:hint="eastAsia" w:ascii="宋体" w:hAnsi="宋体"/>
          <w:sz w:val="28"/>
          <w:szCs w:val="28"/>
        </w:rPr>
        <w:t>招标文件的获取途径及供应商注册：</w:t>
      </w:r>
    </w:p>
    <w:p>
      <w:pPr>
        <w:snapToGrid w:val="0"/>
        <w:ind w:left="426"/>
        <w:rPr>
          <w:rFonts w:ascii="宋体" w:hAnsi="宋体"/>
          <w:sz w:val="28"/>
          <w:szCs w:val="28"/>
        </w:rPr>
      </w:pPr>
      <w:r>
        <w:rPr>
          <w:rFonts w:hint="eastAsia" w:ascii="宋体" w:hAnsi="宋体"/>
          <w:sz w:val="28"/>
          <w:szCs w:val="28"/>
        </w:rPr>
        <w:t>1.招标文件的获取网址：浙江政府采购网　</w:t>
      </w:r>
      <w:r>
        <w:rPr>
          <w:rFonts w:ascii="宋体" w:hAnsi="宋体"/>
          <w:sz w:val="28"/>
          <w:szCs w:val="28"/>
        </w:rPr>
        <w:t>https://login.zcygov.cn/user-login/#/login</w:t>
      </w:r>
      <w:r>
        <w:rPr>
          <w:rFonts w:hint="eastAsia" w:ascii="宋体" w:hAnsi="宋体"/>
          <w:sz w:val="28"/>
          <w:szCs w:val="28"/>
        </w:rPr>
        <w:t>（用政采云注册帐号、密码进行系统登录后申请获取招标文件。获取路径：用户中心——项目采购——获取采购文件管理。）</w:t>
      </w:r>
    </w:p>
    <w:p>
      <w:pPr>
        <w:snapToGrid w:val="0"/>
        <w:ind w:left="426"/>
        <w:rPr>
          <w:rFonts w:hint="eastAsia" w:ascii="宋体" w:hAnsi="宋体"/>
          <w:sz w:val="28"/>
          <w:szCs w:val="28"/>
        </w:rPr>
      </w:pPr>
      <w:r>
        <w:rPr>
          <w:rFonts w:hint="eastAsia" w:ascii="宋体" w:hAnsi="宋体"/>
          <w:sz w:val="28"/>
          <w:szCs w:val="28"/>
        </w:rPr>
        <w:t xml:space="preserve">2.注册网址：浙江政府采购网 </w:t>
      </w:r>
      <w:r>
        <w:rPr>
          <w:rFonts w:ascii="宋体" w:hAnsi="宋体"/>
          <w:sz w:val="28"/>
          <w:szCs w:val="28"/>
        </w:rPr>
        <w:t>https://middle.zcygov.cn/v-settle-front/registry</w:t>
      </w:r>
    </w:p>
    <w:p>
      <w:pPr>
        <w:snapToGrid w:val="0"/>
        <w:ind w:left="426"/>
        <w:rPr>
          <w:rFonts w:ascii="宋体" w:hAnsi="宋体"/>
          <w:sz w:val="28"/>
          <w:szCs w:val="28"/>
        </w:rPr>
      </w:pPr>
      <w:r>
        <w:rPr>
          <w:rFonts w:hint="eastAsia" w:ascii="宋体" w:hAnsi="宋体"/>
          <w:sz w:val="28"/>
          <w:szCs w:val="28"/>
        </w:rPr>
        <w:t>3.政采云咨询电话：400-881-7190</w:t>
      </w:r>
    </w:p>
    <w:p>
      <w:pPr>
        <w:numPr>
          <w:ilvl w:val="0"/>
          <w:numId w:val="17"/>
        </w:numPr>
        <w:snapToGrid w:val="0"/>
        <w:rPr>
          <w:rFonts w:hint="eastAsia" w:ascii="宋体" w:hAnsi="宋体"/>
          <w:sz w:val="28"/>
          <w:szCs w:val="28"/>
        </w:rPr>
      </w:pPr>
      <w:r>
        <w:rPr>
          <w:rFonts w:hint="eastAsia" w:ascii="宋体" w:hAnsi="宋体" w:cs="Arial"/>
          <w:sz w:val="28"/>
          <w:szCs w:val="28"/>
        </w:rPr>
        <w:t>投标说明</w:t>
      </w:r>
    </w:p>
    <w:p>
      <w:pPr>
        <w:pStyle w:val="32"/>
        <w:numPr>
          <w:ilvl w:val="2"/>
          <w:numId w:val="17"/>
        </w:numPr>
        <w:adjustRightInd w:val="0"/>
        <w:snapToGrid w:val="0"/>
        <w:ind w:left="426" w:firstLine="283"/>
        <w:rPr>
          <w:rFonts w:hint="eastAsia" w:hAnsi="宋体"/>
          <w:sz w:val="28"/>
          <w:szCs w:val="28"/>
        </w:rPr>
      </w:pPr>
      <w:r>
        <w:rPr>
          <w:rFonts w:hint="eastAsia" w:hAnsi="宋体"/>
          <w:sz w:val="28"/>
          <w:szCs w:val="28"/>
        </w:rPr>
        <w:t>本项目实行电子投标，请按照本项目招标文件和</w:t>
      </w:r>
      <w:r>
        <w:rPr>
          <w:rFonts w:hint="eastAsia" w:hAnsi="宋体"/>
          <w:bCs/>
          <w:sz w:val="28"/>
          <w:szCs w:val="28"/>
        </w:rPr>
        <w:t>“政采云”</w:t>
      </w:r>
      <w:r>
        <w:rPr>
          <w:rFonts w:hint="eastAsia" w:hAnsi="宋体"/>
          <w:sz w:val="28"/>
          <w:szCs w:val="28"/>
        </w:rPr>
        <w:t>平台的要求编制、加密并递交投标文件。供应商在使用系统进行投标的过程中遇到涉及平台使用的任何问题，可致电</w:t>
      </w:r>
      <w:r>
        <w:rPr>
          <w:rFonts w:hint="eastAsia" w:hAnsi="宋体"/>
          <w:bCs/>
          <w:sz w:val="28"/>
          <w:szCs w:val="28"/>
        </w:rPr>
        <w:t>“政采云”</w:t>
      </w:r>
      <w:r>
        <w:rPr>
          <w:rFonts w:hint="eastAsia" w:hAnsi="宋体"/>
          <w:sz w:val="28"/>
          <w:szCs w:val="28"/>
        </w:rPr>
        <w:t>平台技术支持热线咨询，联系方式：400-881-7190；</w:t>
      </w:r>
    </w:p>
    <w:p>
      <w:pPr>
        <w:pStyle w:val="32"/>
        <w:numPr>
          <w:ilvl w:val="2"/>
          <w:numId w:val="17"/>
        </w:numPr>
        <w:adjustRightInd w:val="0"/>
        <w:snapToGrid w:val="0"/>
        <w:ind w:left="426" w:firstLine="283"/>
        <w:rPr>
          <w:rFonts w:hint="eastAsia" w:hAnsi="宋体"/>
          <w:sz w:val="28"/>
          <w:szCs w:val="28"/>
        </w:rPr>
      </w:pPr>
      <w:r>
        <w:rPr>
          <w:rFonts w:hint="eastAsia" w:hAnsi="宋体"/>
          <w:sz w:val="28"/>
          <w:szCs w:val="28"/>
        </w:rPr>
        <w:t>投标人应在开标前确保成为浙江政府采购网正式注册入库供应商，完成CA数字证书办理。（办理流程详见：《CA管理操作指南》</w:t>
      </w:r>
      <w:r>
        <w:rPr>
          <w:rFonts w:hAnsi="宋体"/>
          <w:sz w:val="28"/>
          <w:szCs w:val="28"/>
        </w:rPr>
        <w:t>https://service.zcygov.cn/#/knowledges/cm2eqWwBFdiHxlNd_otq/lwV6GXABiyELHE-oVMj3?keyword=ca</w:t>
      </w:r>
      <w:r>
        <w:rPr>
          <w:rFonts w:hint="eastAsia" w:hAnsi="宋体"/>
          <w:sz w:val="28"/>
          <w:szCs w:val="28"/>
        </w:rPr>
        <w:t>，完成CA数字证书办理预计一周左右，建议各投标人抓紧时间办理；</w:t>
      </w:r>
    </w:p>
    <w:p>
      <w:pPr>
        <w:numPr>
          <w:ilvl w:val="2"/>
          <w:numId w:val="17"/>
        </w:numPr>
        <w:snapToGrid w:val="0"/>
        <w:ind w:left="426" w:firstLine="283"/>
        <w:rPr>
          <w:rFonts w:hint="eastAsia" w:ascii="宋体" w:hAnsi="宋体"/>
          <w:sz w:val="28"/>
          <w:szCs w:val="28"/>
        </w:rPr>
      </w:pPr>
      <w:r>
        <w:rPr>
          <w:rFonts w:hint="eastAsia" w:ascii="宋体" w:hAnsi="宋体"/>
          <w:sz w:val="28"/>
          <w:szCs w:val="28"/>
        </w:rPr>
        <w:t>投标人通过</w:t>
      </w:r>
      <w:r>
        <w:rPr>
          <w:rFonts w:hint="eastAsia" w:ascii="宋体" w:hAnsi="宋体"/>
          <w:bCs/>
          <w:sz w:val="28"/>
          <w:szCs w:val="28"/>
        </w:rPr>
        <w:t>“政采云”</w:t>
      </w:r>
      <w:r>
        <w:rPr>
          <w:rFonts w:hint="eastAsia" w:ascii="宋体" w:hAnsi="宋体"/>
          <w:sz w:val="28"/>
          <w:szCs w:val="28"/>
        </w:rPr>
        <w:t>平台电子投标工具制作投标文件，电子投标工具请供应商自行前往浙江政府采购网下载并安装，（下载网址：</w:t>
      </w:r>
      <w:r>
        <w:rPr>
          <w:rFonts w:ascii="宋体" w:hAnsi="宋体"/>
          <w:kern w:val="2"/>
          <w:sz w:val="28"/>
          <w:szCs w:val="28"/>
        </w:rPr>
        <w:fldChar w:fldCharType="begin"/>
      </w:r>
      <w:r>
        <w:rPr>
          <w:rFonts w:ascii="宋体" w:hAnsi="宋体"/>
          <w:kern w:val="2"/>
          <w:sz w:val="28"/>
          <w:szCs w:val="28"/>
        </w:rPr>
        <w:instrText xml:space="preserve"> HYPERLINK "http://zfcg.czt.zj.gov.cn/download/index.html?_=1571296580459&amp;tdsourcetag=s_pcqq_aiomsg" </w:instrText>
      </w:r>
      <w:r>
        <w:rPr>
          <w:rFonts w:ascii="宋体" w:hAnsi="宋体"/>
          <w:kern w:val="2"/>
          <w:sz w:val="28"/>
          <w:szCs w:val="28"/>
        </w:rPr>
        <w:fldChar w:fldCharType="separate"/>
      </w:r>
      <w:r>
        <w:rPr>
          <w:rFonts w:ascii="宋体" w:hAnsi="宋体"/>
          <w:kern w:val="2"/>
          <w:sz w:val="28"/>
          <w:szCs w:val="28"/>
        </w:rPr>
        <w:t>http://zfcg.czt.zj.gov.cn/download/index.html?_=1571296580459&amp;tdsourcetag=s_pcqq_aiomsg</w:t>
      </w:r>
      <w:r>
        <w:rPr>
          <w:rFonts w:ascii="宋体" w:hAnsi="宋体"/>
          <w:kern w:val="2"/>
          <w:sz w:val="28"/>
          <w:szCs w:val="28"/>
        </w:rPr>
        <w:fldChar w:fldCharType="end"/>
      </w:r>
      <w:r>
        <w:rPr>
          <w:rFonts w:hint="eastAsia" w:ascii="宋体" w:hAnsi="宋体"/>
          <w:kern w:val="2"/>
          <w:sz w:val="28"/>
          <w:szCs w:val="28"/>
        </w:rPr>
        <w:t>）；</w:t>
      </w:r>
    </w:p>
    <w:p>
      <w:pPr>
        <w:numPr>
          <w:ilvl w:val="2"/>
          <w:numId w:val="17"/>
        </w:numPr>
        <w:snapToGrid w:val="0"/>
        <w:ind w:left="426" w:firstLine="283"/>
        <w:rPr>
          <w:rFonts w:hint="eastAsia" w:ascii="宋体" w:hAnsi="宋体"/>
          <w:sz w:val="28"/>
          <w:szCs w:val="28"/>
        </w:rPr>
      </w:pPr>
      <w:r>
        <w:rPr>
          <w:rFonts w:ascii="宋体" w:hAnsi="宋体"/>
          <w:sz w:val="28"/>
          <w:szCs w:val="28"/>
        </w:rPr>
        <w:t>投标文件制作</w:t>
      </w:r>
      <w:r>
        <w:rPr>
          <w:rFonts w:hint="eastAsia" w:ascii="宋体" w:hAnsi="宋体"/>
          <w:sz w:val="28"/>
          <w:szCs w:val="28"/>
        </w:rPr>
        <w:t>及电子招投标</w:t>
      </w:r>
      <w:r>
        <w:rPr>
          <w:rFonts w:ascii="宋体" w:hAnsi="宋体"/>
          <w:sz w:val="28"/>
          <w:szCs w:val="28"/>
        </w:rPr>
        <w:t>具体流程详见“</w:t>
      </w:r>
      <w:r>
        <w:rPr>
          <w:rFonts w:hint="eastAsia" w:ascii="宋体" w:hAnsi="宋体"/>
          <w:sz w:val="28"/>
          <w:szCs w:val="28"/>
        </w:rPr>
        <w:t>政府采购项目电子交易管理操作指南-供应商</w:t>
      </w:r>
      <w:r>
        <w:rPr>
          <w:rFonts w:ascii="宋体" w:hAnsi="宋体"/>
          <w:sz w:val="28"/>
          <w:szCs w:val="28"/>
        </w:rPr>
        <w:t>”（请投标供应商登</w:t>
      </w:r>
      <w:r>
        <w:rPr>
          <w:rFonts w:hint="eastAsia" w:ascii="宋体" w:hAnsi="宋体"/>
          <w:sz w:val="28"/>
          <w:szCs w:val="28"/>
        </w:rPr>
        <w:t>录</w:t>
      </w:r>
      <w:r>
        <w:rPr>
          <w:rFonts w:hint="eastAsia" w:ascii="宋体" w:hAnsi="宋体"/>
          <w:bCs/>
          <w:sz w:val="28"/>
          <w:szCs w:val="28"/>
        </w:rPr>
        <w:t>“政采云”</w:t>
      </w:r>
      <w:r>
        <w:rPr>
          <w:rFonts w:ascii="宋体" w:hAnsi="宋体"/>
          <w:sz w:val="28"/>
          <w:szCs w:val="28"/>
        </w:rPr>
        <w:t>平台政府采购电子卖场后</w:t>
      </w:r>
      <w:r>
        <w:rPr>
          <w:rFonts w:hint="eastAsia" w:ascii="宋体" w:hAnsi="宋体"/>
          <w:sz w:val="28"/>
          <w:szCs w:val="28"/>
        </w:rPr>
        <w:t>，</w:t>
      </w:r>
      <w:r>
        <w:rPr>
          <w:rFonts w:ascii="宋体" w:hAnsi="宋体"/>
          <w:sz w:val="28"/>
          <w:szCs w:val="28"/>
        </w:rPr>
        <w:t>点击链接https://service.zcygov.cn/#/knowledges/CW1EtGwBFdiHxlNd6I3m/6IMVAG0BFdiHxlNdQ8Na）以获取最新操作指南</w:t>
      </w:r>
      <w:r>
        <w:rPr>
          <w:rFonts w:hint="eastAsia" w:ascii="宋体" w:hAnsi="宋体"/>
          <w:sz w:val="28"/>
          <w:szCs w:val="28"/>
        </w:rPr>
        <w:t>。</w:t>
      </w:r>
    </w:p>
    <w:p>
      <w:pPr>
        <w:numPr>
          <w:ilvl w:val="0"/>
          <w:numId w:val="17"/>
        </w:numPr>
        <w:snapToGrid w:val="0"/>
        <w:rPr>
          <w:rFonts w:hint="eastAsia" w:ascii="宋体" w:hAnsi="宋体"/>
          <w:sz w:val="28"/>
          <w:szCs w:val="28"/>
        </w:rPr>
      </w:pPr>
      <w:r>
        <w:rPr>
          <w:rFonts w:hint="eastAsia" w:ascii="宋体" w:hAnsi="宋体"/>
          <w:sz w:val="28"/>
          <w:szCs w:val="28"/>
        </w:rPr>
        <w:t>投标截止时间及开标时间：2020年10月20日14</w:t>
      </w:r>
      <w:r>
        <w:rPr>
          <w:rFonts w:hint="eastAsia" w:ascii="宋体" w:hAnsi="宋体" w:cs="宋体"/>
          <w:sz w:val="28"/>
          <w:szCs w:val="28"/>
        </w:rPr>
        <w:t>:</w:t>
      </w:r>
      <w:r>
        <w:rPr>
          <w:rFonts w:hint="eastAsia" w:ascii="宋体" w:hAnsi="宋体"/>
          <w:sz w:val="28"/>
          <w:szCs w:val="28"/>
        </w:rPr>
        <w:t>00</w:t>
      </w:r>
      <w:r>
        <w:rPr>
          <w:rFonts w:hint="eastAsia" w:ascii="宋体" w:hAnsi="宋体" w:cs="宋体"/>
          <w:sz w:val="28"/>
          <w:szCs w:val="28"/>
        </w:rPr>
        <w:t>时整。</w:t>
      </w:r>
    </w:p>
    <w:p>
      <w:pPr>
        <w:numPr>
          <w:ilvl w:val="0"/>
          <w:numId w:val="17"/>
        </w:numPr>
        <w:snapToGrid w:val="0"/>
        <w:rPr>
          <w:rFonts w:hint="eastAsia" w:ascii="宋体" w:hAnsi="宋体"/>
          <w:sz w:val="28"/>
          <w:szCs w:val="28"/>
        </w:rPr>
      </w:pPr>
      <w:r>
        <w:rPr>
          <w:rFonts w:hint="eastAsia" w:ascii="宋体" w:hAnsi="宋体"/>
          <w:sz w:val="28"/>
          <w:szCs w:val="28"/>
        </w:rPr>
        <w:t>开标地点：桐乡市梧桐街道王家门路262号金源大厦四楼</w:t>
      </w:r>
    </w:p>
    <w:p>
      <w:pPr>
        <w:snapToGrid w:val="0"/>
        <w:ind w:left="425" w:leftChars="177"/>
        <w:rPr>
          <w:rFonts w:hint="eastAsia" w:ascii="宋体" w:hAnsi="宋体"/>
          <w:sz w:val="28"/>
          <w:szCs w:val="28"/>
        </w:rPr>
      </w:pPr>
      <w:r>
        <w:rPr>
          <w:rFonts w:hint="eastAsia" w:ascii="宋体" w:hAnsi="宋体"/>
          <w:sz w:val="28"/>
          <w:szCs w:val="28"/>
        </w:rPr>
        <w:t>备注：1.投标人无需在开标当天到达开标现场对电子投标文件进行解密，但投标人应在本项目开标时间后半小时内（即2020年10月20日14:30前）登录“政采云”平台，于规定时间内完成电子投标文件的解密工作（路径：项目采购-开标评标），若投标人在规定时间内无法解密或解密失败，则投标无效。</w:t>
      </w:r>
    </w:p>
    <w:p>
      <w:pPr>
        <w:snapToGrid w:val="0"/>
        <w:ind w:left="425" w:leftChars="177"/>
        <w:rPr>
          <w:rFonts w:hint="eastAsia" w:ascii="宋体" w:hAnsi="宋体"/>
          <w:sz w:val="28"/>
          <w:szCs w:val="28"/>
        </w:rPr>
      </w:pPr>
      <w:r>
        <w:rPr>
          <w:rFonts w:hint="eastAsia" w:ascii="宋体" w:hAnsi="宋体"/>
          <w:sz w:val="28"/>
          <w:szCs w:val="28"/>
        </w:rPr>
        <w:t>2.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w:t>
      </w:r>
      <w:r>
        <w:rPr>
          <w:rFonts w:ascii="宋体" w:hAnsi="宋体"/>
          <w:sz w:val="28"/>
          <w:szCs w:val="28"/>
        </w:rPr>
        <w:t>）</w:t>
      </w:r>
      <w:r>
        <w:rPr>
          <w:rFonts w:hint="eastAsia" w:ascii="宋体" w:hAnsi="宋体"/>
          <w:sz w:val="28"/>
          <w:szCs w:val="28"/>
        </w:rPr>
        <w:t>装袋密封后邮寄或直接送达至嘉兴诚欣工程咨询有限公司，密封袋上需注明投标人名称、项目名称、文件载体内容以及法定代表人或其委托代理人签名，密封袋上有接缝处均需加盖单位公章和法定代表人印章（送达地址：桐乡市梧桐街道王家门路262号金源大厦4楼招标代理部，收件人：张超，联系电话：15757816833），如在开标过程中出现解密失败情况，将以备份电子文件作为替代投标文件，如投标人未按照规定时间及要求提供有效备份电子文件，同时“政采云”平台上投标文件解密失败的，将导致投标无效。邮寄公司统一采用EMS或顺丰，快递费用由投标供应商承担，如投标供应商选择快递费到付，代理机构将拒签并退回。</w:t>
      </w:r>
    </w:p>
    <w:p>
      <w:pPr>
        <w:numPr>
          <w:ilvl w:val="0"/>
          <w:numId w:val="17"/>
        </w:numPr>
        <w:snapToGrid w:val="0"/>
        <w:rPr>
          <w:rFonts w:hint="eastAsia" w:ascii="宋体" w:hAnsi="宋体"/>
          <w:sz w:val="28"/>
          <w:szCs w:val="28"/>
        </w:rPr>
      </w:pPr>
      <w:r>
        <w:rPr>
          <w:rFonts w:hint="eastAsia" w:ascii="宋体" w:hAnsi="宋体"/>
          <w:sz w:val="28"/>
          <w:szCs w:val="28"/>
        </w:rPr>
        <w:t>投标保证金：本项目不收取投标保证金。</w:t>
      </w:r>
    </w:p>
    <w:p>
      <w:pPr>
        <w:numPr>
          <w:ilvl w:val="0"/>
          <w:numId w:val="17"/>
        </w:numPr>
        <w:snapToGrid w:val="0"/>
        <w:rPr>
          <w:rFonts w:hint="eastAsia" w:ascii="宋体" w:hAnsi="宋体"/>
          <w:sz w:val="28"/>
          <w:szCs w:val="28"/>
        </w:rPr>
      </w:pPr>
      <w:r>
        <w:rPr>
          <w:rFonts w:hint="eastAsia" w:ascii="宋体" w:hAnsi="宋体" w:cs="宋体"/>
          <w:sz w:val="28"/>
          <w:szCs w:val="28"/>
        </w:rPr>
        <w:t>质疑和投诉</w:t>
      </w:r>
      <w:r>
        <w:rPr>
          <w:rFonts w:hint="eastAsia" w:ascii="宋体" w:hAnsi="宋体"/>
          <w:sz w:val="28"/>
          <w:szCs w:val="28"/>
        </w:rPr>
        <w:t>：</w:t>
      </w:r>
    </w:p>
    <w:p>
      <w:pPr>
        <w:snapToGrid w:val="0"/>
        <w:ind w:left="425" w:leftChars="177"/>
        <w:rPr>
          <w:rFonts w:hint="eastAsia" w:ascii="宋体" w:hAnsi="宋体"/>
          <w:sz w:val="28"/>
          <w:szCs w:val="28"/>
        </w:rPr>
      </w:pPr>
      <w:r>
        <w:rPr>
          <w:rFonts w:hint="eastAsia" w:ascii="宋体" w:hAnsi="宋体"/>
          <w:sz w:val="28"/>
          <w:szCs w:val="28"/>
        </w:rPr>
        <w:t>投标人如认为招标文件、采购过程和中标结果使自身的合法权益受到损害的，可以在知道或者应知其权益受到损害之日起七个工作日内，以书面形式向采购人或嘉兴诚欣工程咨询有限公司提出质疑（联系人：张超；0573-88036288）；投标人对质疑答复不满意或者采购代理机构未在规定时间内作出答复的，可以在答复期满后十五个工作日内向桐乡市财政局政府采购监管科投诉（联系人：陈先生； 0573-88022840、88020161）。</w:t>
      </w:r>
    </w:p>
    <w:p>
      <w:pPr>
        <w:numPr>
          <w:ilvl w:val="0"/>
          <w:numId w:val="17"/>
        </w:numPr>
        <w:snapToGrid w:val="0"/>
        <w:rPr>
          <w:rFonts w:hint="eastAsia" w:ascii="宋体" w:hAnsi="宋体" w:cs="宋体"/>
          <w:sz w:val="28"/>
          <w:szCs w:val="28"/>
        </w:rPr>
      </w:pPr>
      <w:r>
        <w:rPr>
          <w:rFonts w:hint="eastAsia" w:ascii="宋体" w:hAnsi="宋体"/>
          <w:sz w:val="28"/>
          <w:szCs w:val="28"/>
        </w:rPr>
        <w:t>公告期限：本招标公告自发布之日起公告期限为5个工作日。</w:t>
      </w:r>
    </w:p>
    <w:p>
      <w:pPr>
        <w:numPr>
          <w:ilvl w:val="0"/>
          <w:numId w:val="17"/>
        </w:numPr>
        <w:snapToGrid w:val="0"/>
        <w:ind w:left="423" w:hanging="422" w:hangingChars="151"/>
        <w:rPr>
          <w:rFonts w:hint="eastAsia" w:ascii="宋体" w:hAnsi="宋体"/>
          <w:sz w:val="28"/>
          <w:szCs w:val="28"/>
        </w:rPr>
      </w:pPr>
      <w:r>
        <w:rPr>
          <w:rFonts w:hint="eastAsia" w:ascii="宋体" w:hAnsi="宋体"/>
          <w:sz w:val="28"/>
          <w:szCs w:val="28"/>
        </w:rPr>
        <w:t>其他事项：本采购项目，中标人与采购人签订的政府采购合同适用于桐乡市政府采购贷款政策，简称“政采贷”，具体内容可参阅各银行政府采购贷款流程：http://tx.jxzbtb.cn/zxfw/005010/20191217/106895f3-0871-4959-804d-30ac7ef5274a.html</w:t>
      </w:r>
    </w:p>
    <w:p>
      <w:pPr>
        <w:numPr>
          <w:ilvl w:val="0"/>
          <w:numId w:val="17"/>
        </w:numPr>
        <w:snapToGrid w:val="0"/>
        <w:rPr>
          <w:rFonts w:hint="eastAsia" w:ascii="宋体" w:hAnsi="宋体"/>
          <w:sz w:val="28"/>
          <w:szCs w:val="28"/>
        </w:rPr>
      </w:pPr>
      <w:r>
        <w:rPr>
          <w:rFonts w:hint="eastAsia" w:ascii="宋体" w:hAnsi="宋体"/>
          <w:sz w:val="28"/>
          <w:szCs w:val="28"/>
        </w:rPr>
        <w:t>联系方式</w:t>
      </w:r>
    </w:p>
    <w:p>
      <w:pPr>
        <w:snapToGrid w:val="0"/>
        <w:rPr>
          <w:rFonts w:hint="eastAsia" w:ascii="宋体" w:hAnsi="宋体"/>
          <w:sz w:val="28"/>
          <w:szCs w:val="28"/>
        </w:rPr>
      </w:pPr>
      <w:r>
        <w:rPr>
          <w:rFonts w:hint="eastAsia" w:ascii="宋体" w:hAnsi="宋体"/>
          <w:sz w:val="28"/>
          <w:szCs w:val="28"/>
        </w:rPr>
        <w:t>1）、采购代理机构名称：嘉兴诚欣工程咨询有限公司</w:t>
      </w:r>
      <w:r>
        <w:rPr>
          <w:rFonts w:hint="eastAsia" w:ascii="宋体" w:hAnsi="宋体"/>
          <w:sz w:val="28"/>
          <w:szCs w:val="28"/>
        </w:rPr>
        <w:cr/>
      </w:r>
      <w:r>
        <w:rPr>
          <w:rFonts w:hint="eastAsia" w:ascii="宋体" w:hAnsi="宋体"/>
          <w:sz w:val="28"/>
          <w:szCs w:val="28"/>
        </w:rPr>
        <w:t>地点：桐乡市梧桐街道王家门路262号金源大厦4楼</w:t>
      </w:r>
      <w:r>
        <w:rPr>
          <w:rFonts w:hint="eastAsia" w:ascii="宋体" w:hAnsi="宋体"/>
          <w:sz w:val="28"/>
          <w:szCs w:val="28"/>
        </w:rPr>
        <w:cr/>
      </w:r>
      <w:r>
        <w:rPr>
          <w:rFonts w:hint="eastAsia" w:ascii="宋体" w:hAnsi="宋体"/>
          <w:sz w:val="28"/>
          <w:szCs w:val="28"/>
        </w:rPr>
        <w:t>联系人：张超</w:t>
      </w:r>
    </w:p>
    <w:p>
      <w:pPr>
        <w:snapToGrid w:val="0"/>
        <w:rPr>
          <w:rFonts w:hint="eastAsia" w:ascii="宋体" w:hAnsi="宋体"/>
          <w:sz w:val="28"/>
          <w:szCs w:val="28"/>
        </w:rPr>
      </w:pPr>
      <w:r>
        <w:rPr>
          <w:rFonts w:hint="eastAsia" w:ascii="宋体" w:hAnsi="宋体"/>
          <w:sz w:val="28"/>
          <w:szCs w:val="28"/>
        </w:rPr>
        <w:t>联系电话：0573-88036288</w:t>
      </w:r>
      <w:r>
        <w:rPr>
          <w:rFonts w:hint="eastAsia" w:ascii="宋体" w:hAnsi="宋体"/>
          <w:sz w:val="28"/>
          <w:szCs w:val="28"/>
        </w:rPr>
        <w:cr/>
      </w:r>
      <w:r>
        <w:rPr>
          <w:rFonts w:hint="eastAsia" w:ascii="宋体" w:hAnsi="宋体"/>
          <w:sz w:val="28"/>
          <w:szCs w:val="28"/>
        </w:rPr>
        <w:t>传真：0573-88039897</w:t>
      </w:r>
      <w:r>
        <w:rPr>
          <w:rFonts w:hint="eastAsia" w:ascii="宋体" w:hAnsi="宋体"/>
          <w:sz w:val="28"/>
          <w:szCs w:val="28"/>
        </w:rPr>
        <w:cr/>
      </w:r>
      <w:r>
        <w:rPr>
          <w:rFonts w:hint="eastAsia" w:ascii="宋体" w:hAnsi="宋体"/>
          <w:sz w:val="28"/>
          <w:szCs w:val="28"/>
        </w:rPr>
        <w:t xml:space="preserve">2）、采购人名称：桐乡市人民政府梧桐街道办事处 </w:t>
      </w:r>
      <w:r>
        <w:rPr>
          <w:rFonts w:hint="eastAsia" w:ascii="宋体" w:hAnsi="宋体"/>
          <w:sz w:val="28"/>
          <w:szCs w:val="28"/>
        </w:rPr>
        <w:cr/>
      </w:r>
      <w:r>
        <w:rPr>
          <w:rFonts w:hint="eastAsia" w:ascii="宋体" w:hAnsi="宋体"/>
          <w:sz w:val="28"/>
          <w:szCs w:val="28"/>
        </w:rPr>
        <w:t>联系人：胡锋平</w:t>
      </w:r>
    </w:p>
    <w:p>
      <w:pPr>
        <w:snapToGrid w:val="0"/>
        <w:rPr>
          <w:rFonts w:hint="eastAsia" w:ascii="宋体" w:hAnsi="宋体"/>
          <w:sz w:val="28"/>
          <w:szCs w:val="28"/>
        </w:rPr>
      </w:pPr>
      <w:r>
        <w:rPr>
          <w:rFonts w:hint="eastAsia" w:ascii="宋体" w:hAnsi="宋体"/>
          <w:sz w:val="28"/>
          <w:szCs w:val="28"/>
        </w:rPr>
        <w:t>联系方式：0573-</w:t>
      </w:r>
      <w:r>
        <w:rPr>
          <w:rFonts w:ascii="宋体" w:hAnsi="宋体"/>
          <w:sz w:val="28"/>
          <w:szCs w:val="28"/>
        </w:rPr>
        <w:t>89396006</w:t>
      </w:r>
    </w:p>
    <w:p>
      <w:pPr>
        <w:snapToGrid w:val="0"/>
        <w:rPr>
          <w:rFonts w:hint="eastAsia" w:ascii="宋体" w:hAnsi="宋体"/>
          <w:sz w:val="28"/>
          <w:szCs w:val="28"/>
        </w:rPr>
      </w:pPr>
      <w:r>
        <w:rPr>
          <w:rFonts w:hint="eastAsia" w:ascii="宋体" w:hAnsi="宋体"/>
          <w:sz w:val="28"/>
          <w:szCs w:val="28"/>
        </w:rPr>
        <w:t xml:space="preserve">3）、同级政府采购监督管理部门名称：桐乡市财政局政府采购监管科 </w:t>
      </w:r>
    </w:p>
    <w:p>
      <w:pPr>
        <w:snapToGrid w:val="0"/>
        <w:rPr>
          <w:rFonts w:hint="eastAsia" w:ascii="宋体" w:hAnsi="宋体"/>
          <w:sz w:val="28"/>
          <w:szCs w:val="28"/>
        </w:rPr>
      </w:pPr>
      <w:r>
        <w:rPr>
          <w:rFonts w:hint="eastAsia" w:ascii="宋体" w:hAnsi="宋体"/>
          <w:sz w:val="28"/>
          <w:szCs w:val="28"/>
        </w:rPr>
        <w:t>联系人：陈先生</w:t>
      </w:r>
    </w:p>
    <w:p>
      <w:pPr>
        <w:snapToGrid w:val="0"/>
        <w:rPr>
          <w:rFonts w:hint="eastAsia" w:ascii="宋体" w:hAnsi="宋体"/>
          <w:sz w:val="28"/>
          <w:szCs w:val="28"/>
        </w:rPr>
      </w:pPr>
      <w:r>
        <w:rPr>
          <w:rFonts w:hint="eastAsia" w:ascii="宋体" w:hAnsi="宋体"/>
          <w:sz w:val="28"/>
          <w:szCs w:val="28"/>
        </w:rPr>
        <w:t>监督投诉电话：0573-88022840</w:t>
      </w:r>
      <w:r>
        <w:rPr>
          <w:rFonts w:hint="eastAsia" w:ascii="宋体" w:hAnsi="宋体"/>
          <w:sz w:val="28"/>
          <w:szCs w:val="28"/>
        </w:rPr>
        <w:cr/>
      </w:r>
      <w:r>
        <w:rPr>
          <w:rFonts w:hint="eastAsia" w:ascii="宋体" w:hAnsi="宋体"/>
          <w:sz w:val="28"/>
          <w:szCs w:val="28"/>
        </w:rPr>
        <w:t xml:space="preserve"> 地址：桐乡市茅盾西路2号</w:t>
      </w:r>
    </w:p>
    <w:p>
      <w:pPr>
        <w:numPr>
          <w:ilvl w:val="0"/>
          <w:numId w:val="17"/>
        </w:numPr>
        <w:snapToGrid w:val="0"/>
        <w:rPr>
          <w:rFonts w:hint="eastAsia" w:ascii="宋体" w:hAnsi="宋体"/>
          <w:sz w:val="28"/>
          <w:szCs w:val="28"/>
        </w:rPr>
      </w:pPr>
      <w:r>
        <w:rPr>
          <w:rFonts w:hint="eastAsia" w:hAnsi="宋体"/>
          <w:sz w:val="28"/>
          <w:szCs w:val="28"/>
        </w:rPr>
        <w:t>采购公告，更正公告，中标公示等相关公告发布网址：</w:t>
      </w:r>
    </w:p>
    <w:p>
      <w:pPr>
        <w:snapToGrid w:val="0"/>
        <w:ind w:left="480" w:leftChars="200"/>
        <w:rPr>
          <w:rStyle w:val="80"/>
          <w:rFonts w:hint="default"/>
          <w:bCs/>
          <w:sz w:val="28"/>
          <w:szCs w:val="28"/>
        </w:rPr>
      </w:pPr>
      <w:r>
        <w:rPr>
          <w:rFonts w:hAnsi="宋体"/>
          <w:sz w:val="28"/>
          <w:szCs w:val="28"/>
        </w:rPr>
        <w:t>http://zfcg.czt.zj.gov.cn/</w:t>
      </w:r>
      <w:r>
        <w:rPr>
          <w:rStyle w:val="80"/>
          <w:rFonts w:hint="default"/>
          <w:bCs/>
          <w:sz w:val="28"/>
          <w:szCs w:val="28"/>
        </w:rPr>
        <w:t>（浙江省政府采购网）</w:t>
      </w:r>
    </w:p>
    <w:p>
      <w:pPr>
        <w:snapToGrid w:val="0"/>
        <w:ind w:left="480" w:leftChars="200"/>
        <w:rPr>
          <w:rFonts w:hint="eastAsia" w:ascii="宋体" w:hAnsi="宋体"/>
          <w:sz w:val="28"/>
          <w:szCs w:val="28"/>
        </w:rPr>
      </w:pPr>
    </w:p>
    <w:p>
      <w:pPr>
        <w:tabs>
          <w:tab w:val="left" w:pos="0"/>
        </w:tabs>
        <w:autoSpaceDE w:val="0"/>
        <w:autoSpaceDN w:val="0"/>
        <w:adjustRightInd w:val="0"/>
        <w:snapToGrid w:val="0"/>
        <w:ind w:firstLine="5320" w:firstLineChars="1900"/>
        <w:jc w:val="right"/>
        <w:rPr>
          <w:rFonts w:hint="eastAsia" w:ascii="宋体" w:hAnsi="宋体"/>
          <w:sz w:val="28"/>
          <w:szCs w:val="28"/>
        </w:rPr>
      </w:pPr>
      <w:r>
        <w:rPr>
          <w:rFonts w:hint="eastAsia" w:ascii="宋体" w:hAnsi="宋体"/>
          <w:sz w:val="28"/>
          <w:szCs w:val="28"/>
        </w:rPr>
        <w:t>嘉兴诚欣工程咨询有限公司</w:t>
      </w:r>
    </w:p>
    <w:p>
      <w:pPr>
        <w:snapToGrid w:val="0"/>
        <w:ind w:firstLine="420" w:firstLineChars="150"/>
        <w:jc w:val="right"/>
        <w:rPr>
          <w:rFonts w:hint="eastAsia" w:ascii="宋体" w:hAnsi="宋体"/>
          <w:sz w:val="28"/>
          <w:szCs w:val="28"/>
        </w:rPr>
      </w:pPr>
      <w:r>
        <w:rPr>
          <w:rFonts w:hint="eastAsia" w:ascii="宋体" w:hAnsi="宋体"/>
          <w:sz w:val="28"/>
          <w:szCs w:val="28"/>
        </w:rPr>
        <w:t xml:space="preserve">                                   </w:t>
      </w:r>
      <w:r>
        <w:rPr>
          <w:rFonts w:hint="eastAsia" w:ascii="宋体" w:hAnsi="宋体"/>
          <w:color w:val="FF0000"/>
          <w:sz w:val="28"/>
          <w:szCs w:val="28"/>
        </w:rPr>
        <w:t xml:space="preserve"> </w:t>
      </w:r>
      <w:r>
        <w:rPr>
          <w:rFonts w:hint="eastAsia" w:ascii="宋体" w:hAnsi="宋体"/>
          <w:sz w:val="28"/>
          <w:szCs w:val="28"/>
        </w:rPr>
        <w:t xml:space="preserve">  2020年9月30日</w:t>
      </w:r>
    </w:p>
    <w:p>
      <w:pPr>
        <w:snapToGrid w:val="0"/>
        <w:jc w:val="center"/>
        <w:rPr>
          <w:rFonts w:hint="eastAsia" w:ascii="宋体" w:hAnsi="宋体" w:cs="宋体"/>
          <w:b/>
          <w:sz w:val="32"/>
          <w:szCs w:val="32"/>
        </w:rPr>
      </w:pPr>
      <w:r>
        <w:rPr>
          <w:rFonts w:hint="eastAsia" w:ascii="宋体" w:hAnsi="宋体"/>
          <w:sz w:val="28"/>
          <w:szCs w:val="28"/>
        </w:rPr>
        <w:br w:type="page"/>
      </w:r>
      <w:bookmarkStart w:id="14" w:name="_Toc322352982"/>
      <w:bookmarkStart w:id="15" w:name="_Toc354491896"/>
      <w:bookmarkStart w:id="16" w:name="_Toc356371430"/>
      <w:bookmarkStart w:id="17" w:name="_Toc359856796"/>
      <w:r>
        <w:rPr>
          <w:rFonts w:hint="eastAsia" w:ascii="宋体" w:hAnsi="宋体" w:cs="宋体"/>
          <w:b/>
          <w:sz w:val="32"/>
          <w:szCs w:val="32"/>
        </w:rPr>
        <w:t>第二章  投标</w:t>
      </w:r>
      <w:bookmarkEnd w:id="14"/>
      <w:bookmarkEnd w:id="15"/>
      <w:r>
        <w:rPr>
          <w:rFonts w:hint="eastAsia" w:ascii="宋体" w:hAnsi="宋体" w:cs="宋体"/>
          <w:b/>
          <w:sz w:val="32"/>
          <w:szCs w:val="32"/>
        </w:rPr>
        <w:t>须知</w:t>
      </w:r>
      <w:bookmarkEnd w:id="16"/>
      <w:bookmarkEnd w:id="17"/>
      <w:r>
        <w:rPr>
          <w:rFonts w:hint="eastAsia" w:ascii="宋体" w:hAnsi="宋体" w:cs="宋体"/>
          <w:b/>
          <w:sz w:val="32"/>
          <w:szCs w:val="32"/>
        </w:rPr>
        <w:t>及说明</w:t>
      </w:r>
    </w:p>
    <w:p>
      <w:pPr>
        <w:numPr>
          <w:ilvl w:val="0"/>
          <w:numId w:val="18"/>
        </w:numPr>
        <w:snapToGrid w:val="0"/>
        <w:outlineLvl w:val="1"/>
        <w:rPr>
          <w:rFonts w:hint="eastAsia" w:ascii="宋体" w:hAnsi="宋体"/>
          <w:b/>
          <w:sz w:val="28"/>
          <w:szCs w:val="28"/>
        </w:rPr>
      </w:pPr>
      <w:bookmarkStart w:id="18" w:name="_Toc359856798"/>
      <w:bookmarkStart w:id="19" w:name="_Toc356371433"/>
      <w:r>
        <w:rPr>
          <w:rFonts w:hint="eastAsia" w:ascii="宋体" w:hAnsi="宋体"/>
          <w:b/>
          <w:sz w:val="28"/>
          <w:szCs w:val="28"/>
        </w:rPr>
        <w:t>投标须知</w:t>
      </w:r>
      <w:bookmarkEnd w:id="18"/>
      <w:bookmarkEnd w:id="19"/>
    </w:p>
    <w:p>
      <w:pPr>
        <w:numPr>
          <w:ilvl w:val="1"/>
          <w:numId w:val="19"/>
        </w:numPr>
        <w:snapToGrid w:val="0"/>
        <w:rPr>
          <w:rFonts w:hint="eastAsia" w:ascii="宋体" w:hAnsi="宋体"/>
          <w:b/>
          <w:sz w:val="28"/>
          <w:szCs w:val="28"/>
        </w:rPr>
      </w:pPr>
      <w:r>
        <w:rPr>
          <w:rFonts w:hint="eastAsia" w:ascii="宋体" w:hAnsi="宋体"/>
          <w:sz w:val="28"/>
          <w:szCs w:val="28"/>
        </w:rPr>
        <w:t>适用范围</w:t>
      </w:r>
    </w:p>
    <w:p>
      <w:pPr>
        <w:tabs>
          <w:tab w:val="left" w:pos="0"/>
          <w:tab w:val="left" w:pos="900"/>
          <w:tab w:val="left" w:pos="7020"/>
          <w:tab w:val="left" w:pos="8460"/>
        </w:tabs>
        <w:snapToGrid w:val="0"/>
        <w:ind w:firstLine="560" w:firstLineChars="200"/>
        <w:rPr>
          <w:rFonts w:hint="eastAsia" w:ascii="宋体" w:hAnsi="宋体"/>
          <w:sz w:val="28"/>
          <w:szCs w:val="28"/>
        </w:rPr>
      </w:pPr>
      <w:r>
        <w:rPr>
          <w:rFonts w:hint="eastAsia" w:ascii="宋体" w:hAnsi="宋体"/>
          <w:sz w:val="28"/>
          <w:szCs w:val="28"/>
        </w:rPr>
        <w:t>本招标文件仅适用于本次采购项目的招标、投标、评标、定标、验收、合同履约、付款等行为。</w:t>
      </w:r>
    </w:p>
    <w:p>
      <w:pPr>
        <w:numPr>
          <w:ilvl w:val="1"/>
          <w:numId w:val="19"/>
        </w:numPr>
        <w:snapToGrid w:val="0"/>
        <w:rPr>
          <w:rFonts w:hint="eastAsia" w:ascii="宋体" w:hAnsi="宋体"/>
          <w:sz w:val="28"/>
          <w:szCs w:val="28"/>
        </w:rPr>
      </w:pPr>
      <w:r>
        <w:rPr>
          <w:rFonts w:hint="eastAsia" w:ascii="宋体" w:hAnsi="宋体"/>
          <w:sz w:val="28"/>
          <w:szCs w:val="28"/>
        </w:rPr>
        <w:t>定义</w:t>
      </w:r>
    </w:p>
    <w:p>
      <w:pPr>
        <w:numPr>
          <w:ilvl w:val="2"/>
          <w:numId w:val="19"/>
        </w:numPr>
        <w:snapToGrid w:val="0"/>
        <w:rPr>
          <w:rFonts w:hint="eastAsia" w:ascii="宋体" w:hAnsi="宋体"/>
          <w:sz w:val="28"/>
          <w:szCs w:val="28"/>
        </w:rPr>
      </w:pPr>
      <w:r>
        <w:rPr>
          <w:rFonts w:hint="eastAsia" w:ascii="宋体" w:hAnsi="宋体"/>
          <w:sz w:val="28"/>
          <w:szCs w:val="28"/>
        </w:rPr>
        <w:t>“采购代理机构”系指组织本次招标的嘉兴诚欣工程咨询有限公司。</w:t>
      </w:r>
    </w:p>
    <w:p>
      <w:pPr>
        <w:numPr>
          <w:ilvl w:val="2"/>
          <w:numId w:val="19"/>
        </w:numPr>
        <w:snapToGrid w:val="0"/>
        <w:rPr>
          <w:rFonts w:hint="eastAsia" w:ascii="宋体" w:hAnsi="宋体"/>
          <w:sz w:val="28"/>
          <w:szCs w:val="28"/>
        </w:rPr>
      </w:pPr>
      <w:r>
        <w:rPr>
          <w:rFonts w:hint="eastAsia" w:ascii="宋体" w:hAnsi="宋体"/>
          <w:sz w:val="28"/>
          <w:szCs w:val="28"/>
        </w:rPr>
        <w:t>“采购人”系指提出本次采购的采购委托单位。</w:t>
      </w:r>
    </w:p>
    <w:p>
      <w:pPr>
        <w:numPr>
          <w:ilvl w:val="2"/>
          <w:numId w:val="19"/>
        </w:numPr>
        <w:snapToGrid w:val="0"/>
        <w:rPr>
          <w:rFonts w:hint="eastAsia" w:ascii="宋体" w:hAnsi="宋体"/>
          <w:sz w:val="28"/>
          <w:szCs w:val="28"/>
        </w:rPr>
      </w:pPr>
      <w:r>
        <w:rPr>
          <w:rFonts w:hint="eastAsia" w:ascii="宋体" w:hAnsi="宋体"/>
          <w:sz w:val="28"/>
          <w:szCs w:val="28"/>
        </w:rPr>
        <w:t>“投标人”系指向招标方提交投标文件的供应商。</w:t>
      </w:r>
    </w:p>
    <w:p>
      <w:pPr>
        <w:numPr>
          <w:ilvl w:val="2"/>
          <w:numId w:val="19"/>
        </w:numPr>
        <w:snapToGrid w:val="0"/>
        <w:rPr>
          <w:rFonts w:hint="eastAsia" w:ascii="宋体" w:hAnsi="宋体"/>
          <w:sz w:val="28"/>
          <w:szCs w:val="28"/>
        </w:rPr>
      </w:pPr>
      <w:r>
        <w:rPr>
          <w:rFonts w:hint="eastAsia" w:ascii="宋体" w:hAnsi="宋体"/>
          <w:sz w:val="28"/>
          <w:szCs w:val="28"/>
        </w:rPr>
        <w:t>“货物”系指投标人按招标文件规定向采购人提供的各类设备、软件、技术资料及使用手册等。</w:t>
      </w:r>
    </w:p>
    <w:p>
      <w:pPr>
        <w:numPr>
          <w:ilvl w:val="2"/>
          <w:numId w:val="19"/>
        </w:numPr>
        <w:snapToGrid w:val="0"/>
        <w:rPr>
          <w:rFonts w:hint="eastAsia" w:ascii="宋体" w:hAnsi="宋体"/>
          <w:sz w:val="28"/>
          <w:szCs w:val="28"/>
        </w:rPr>
      </w:pPr>
      <w:r>
        <w:rPr>
          <w:rFonts w:hint="eastAsia" w:ascii="宋体" w:hAnsi="宋体"/>
          <w:sz w:val="28"/>
          <w:szCs w:val="28"/>
        </w:rPr>
        <w:t>“服务”系指投标人按招标文件规定向采购人提供的安装、调试、技术协助、培训以及其他类似的义务。</w:t>
      </w:r>
    </w:p>
    <w:p>
      <w:pPr>
        <w:numPr>
          <w:ilvl w:val="2"/>
          <w:numId w:val="19"/>
        </w:numPr>
        <w:snapToGrid w:val="0"/>
        <w:rPr>
          <w:rFonts w:hint="eastAsia" w:ascii="宋体" w:hAnsi="宋体"/>
          <w:sz w:val="28"/>
          <w:szCs w:val="28"/>
        </w:rPr>
      </w:pPr>
      <w:r>
        <w:rPr>
          <w:rFonts w:hint="eastAsia" w:ascii="宋体" w:hAnsi="宋体"/>
          <w:sz w:val="28"/>
          <w:szCs w:val="28"/>
        </w:rPr>
        <w:t>“▲”系指“第三章  采购内容及要求”中的实质性要求条款。</w:t>
      </w:r>
    </w:p>
    <w:p>
      <w:pPr>
        <w:numPr>
          <w:ilvl w:val="1"/>
          <w:numId w:val="19"/>
        </w:numPr>
        <w:snapToGrid w:val="0"/>
        <w:rPr>
          <w:rFonts w:hint="eastAsia" w:ascii="宋体" w:hAnsi="宋体"/>
          <w:sz w:val="28"/>
          <w:szCs w:val="28"/>
        </w:rPr>
      </w:pPr>
      <w:r>
        <w:rPr>
          <w:rFonts w:hint="eastAsia" w:ascii="宋体" w:hAnsi="宋体"/>
          <w:sz w:val="28"/>
          <w:szCs w:val="28"/>
        </w:rPr>
        <w:t>投标费用</w:t>
      </w:r>
    </w:p>
    <w:p>
      <w:pPr>
        <w:tabs>
          <w:tab w:val="left" w:pos="0"/>
          <w:tab w:val="left" w:pos="900"/>
          <w:tab w:val="left" w:pos="7020"/>
          <w:tab w:val="left" w:pos="8460"/>
        </w:tabs>
        <w:snapToGrid w:val="0"/>
        <w:ind w:firstLine="560" w:firstLineChars="200"/>
        <w:rPr>
          <w:rFonts w:hint="eastAsia" w:ascii="宋体" w:hAnsi="宋体"/>
          <w:sz w:val="28"/>
          <w:szCs w:val="28"/>
        </w:rPr>
      </w:pPr>
      <w:r>
        <w:rPr>
          <w:rFonts w:hint="eastAsia" w:ascii="宋体" w:hAnsi="宋体"/>
          <w:sz w:val="28"/>
          <w:szCs w:val="28"/>
        </w:rPr>
        <w:t>不论投标结果如何，投标人均应自行承担所有与投标有关的全部费用。</w:t>
      </w:r>
    </w:p>
    <w:p>
      <w:pPr>
        <w:numPr>
          <w:ilvl w:val="1"/>
          <w:numId w:val="19"/>
        </w:numPr>
        <w:snapToGrid w:val="0"/>
        <w:ind w:firstLine="560" w:firstLineChars="200"/>
        <w:rPr>
          <w:rFonts w:hint="eastAsia" w:ascii="宋体" w:hAnsi="宋体" w:cs="宋体"/>
          <w:sz w:val="28"/>
          <w:szCs w:val="28"/>
        </w:rPr>
      </w:pPr>
      <w:r>
        <w:rPr>
          <w:rFonts w:hint="eastAsia" w:ascii="宋体" w:hAnsi="宋体" w:cs="宋体"/>
          <w:sz w:val="28"/>
          <w:szCs w:val="28"/>
        </w:rPr>
        <w:t>转包、分包</w:t>
      </w:r>
    </w:p>
    <w:p>
      <w:pPr>
        <w:snapToGrid w:val="0"/>
        <w:ind w:firstLine="560" w:firstLineChars="200"/>
        <w:rPr>
          <w:rFonts w:hint="eastAsia" w:ascii="宋体" w:hAnsi="宋体" w:cs="宋体"/>
          <w:sz w:val="28"/>
          <w:szCs w:val="28"/>
        </w:rPr>
      </w:pPr>
      <w:r>
        <w:rPr>
          <w:rFonts w:hint="eastAsia" w:ascii="宋体" w:hAnsi="宋体" w:cs="宋体"/>
          <w:sz w:val="28"/>
          <w:szCs w:val="28"/>
        </w:rPr>
        <w:t>本项目不允许转包或分包（非主体部分分包经采购人同意的除外）。</w:t>
      </w:r>
    </w:p>
    <w:p>
      <w:pPr>
        <w:numPr>
          <w:ilvl w:val="1"/>
          <w:numId w:val="19"/>
        </w:numPr>
        <w:snapToGrid w:val="0"/>
        <w:rPr>
          <w:rFonts w:hint="eastAsia" w:ascii="宋体" w:hAnsi="宋体"/>
          <w:sz w:val="28"/>
          <w:szCs w:val="28"/>
        </w:rPr>
      </w:pPr>
      <w:r>
        <w:rPr>
          <w:rFonts w:hint="eastAsia" w:ascii="宋体" w:hAnsi="宋体"/>
          <w:sz w:val="28"/>
          <w:szCs w:val="28"/>
        </w:rPr>
        <w:t>特别说明：</w:t>
      </w:r>
    </w:p>
    <w:p>
      <w:pPr>
        <w:numPr>
          <w:ilvl w:val="2"/>
          <w:numId w:val="19"/>
        </w:numPr>
        <w:shd w:val="clear" w:color="auto" w:fill="FFFFFF"/>
        <w:snapToGrid w:val="0"/>
        <w:rPr>
          <w:rFonts w:hint="eastAsia" w:ascii="宋体" w:hAnsi="宋体" w:cs="宋体"/>
          <w:sz w:val="28"/>
          <w:szCs w:val="28"/>
        </w:rPr>
      </w:pPr>
      <w:r>
        <w:rPr>
          <w:rFonts w:hint="eastAsia" w:ascii="宋体" w:hAnsi="宋体" w:cs="宋体"/>
          <w:sz w:val="28"/>
          <w:szCs w:val="28"/>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fill="FFFFFF"/>
        <w:snapToGrid w:val="0"/>
        <w:ind w:firstLine="560" w:firstLineChars="200"/>
        <w:rPr>
          <w:rFonts w:hint="eastAsia" w:ascii="宋体" w:hAnsi="宋体" w:cs="宋体"/>
          <w:sz w:val="28"/>
          <w:szCs w:val="28"/>
        </w:rPr>
      </w:pPr>
      <w:r>
        <w:rPr>
          <w:rFonts w:hint="eastAsia" w:ascii="宋体" w:hAnsi="宋体" w:cs="宋体"/>
          <w:sz w:val="28"/>
          <w:szCs w:val="28"/>
        </w:rPr>
        <w:t>非单一产品采购项目中，招标文件中将标注“核心产品”，多家投标人提供的核心产品品牌均相同的，按一家投标人认定（依照上款）。</w:t>
      </w:r>
    </w:p>
    <w:p>
      <w:pPr>
        <w:numPr>
          <w:ilvl w:val="2"/>
          <w:numId w:val="19"/>
        </w:numPr>
        <w:snapToGrid w:val="0"/>
        <w:rPr>
          <w:rFonts w:hint="eastAsia" w:ascii="宋体" w:hAnsi="宋体"/>
          <w:sz w:val="28"/>
          <w:szCs w:val="28"/>
        </w:rPr>
      </w:pPr>
      <w:r>
        <w:rPr>
          <w:rFonts w:hint="eastAsia" w:ascii="宋体" w:hAnsi="宋体"/>
          <w:sz w:val="28"/>
          <w:szCs w:val="28"/>
        </w:rPr>
        <w:t>投标人投标所使用的资格、信誉、荣誉、业绩与企业认证必须为本法人（负责人）所拥有。</w:t>
      </w:r>
    </w:p>
    <w:p>
      <w:pPr>
        <w:numPr>
          <w:ilvl w:val="2"/>
          <w:numId w:val="19"/>
        </w:numPr>
        <w:snapToGrid w:val="0"/>
        <w:rPr>
          <w:rFonts w:hint="eastAsia" w:ascii="宋体" w:hAnsi="宋体"/>
          <w:sz w:val="28"/>
          <w:szCs w:val="28"/>
        </w:rPr>
      </w:pPr>
      <w:r>
        <w:rPr>
          <w:rFonts w:hint="eastAsia" w:ascii="宋体" w:hAnsi="宋体"/>
          <w:sz w:val="28"/>
          <w:szCs w:val="28"/>
        </w:rPr>
        <w:t>投标人应仔细阅读招标文件的所有内容，按照招标文件的要求提交投标文件，并对所提供的全部资料的真实性承担法律责任。</w:t>
      </w:r>
    </w:p>
    <w:p>
      <w:pPr>
        <w:numPr>
          <w:ilvl w:val="1"/>
          <w:numId w:val="19"/>
        </w:numPr>
        <w:snapToGrid w:val="0"/>
        <w:rPr>
          <w:rFonts w:hint="eastAsia" w:ascii="宋体" w:hAnsi="宋体"/>
          <w:b/>
          <w:sz w:val="28"/>
          <w:szCs w:val="28"/>
        </w:rPr>
      </w:pPr>
      <w:r>
        <w:rPr>
          <w:rFonts w:hint="eastAsia" w:ascii="宋体" w:hAnsi="宋体" w:cs="宋体"/>
          <w:sz w:val="28"/>
          <w:szCs w:val="28"/>
        </w:rPr>
        <w:t>关于中小企业、监狱和戒毒企业和残疾人福利性单位参与政府采购活动享受优惠的规定：</w:t>
      </w:r>
      <w:r>
        <w:rPr>
          <w:rFonts w:hint="eastAsia" w:ascii="宋体" w:hAnsi="宋体"/>
          <w:b/>
          <w:sz w:val="28"/>
          <w:szCs w:val="28"/>
        </w:rPr>
        <w:t xml:space="preserve"> </w:t>
      </w:r>
    </w:p>
    <w:p>
      <w:pPr>
        <w:numPr>
          <w:ilvl w:val="2"/>
          <w:numId w:val="19"/>
        </w:numPr>
        <w:shd w:val="clear" w:color="auto" w:fill="FFFFFF"/>
        <w:snapToGrid w:val="0"/>
        <w:rPr>
          <w:rFonts w:hint="eastAsia" w:ascii="宋体" w:hAnsi="宋体" w:cs="宋体"/>
          <w:sz w:val="28"/>
          <w:szCs w:val="28"/>
        </w:rPr>
      </w:pPr>
      <w:r>
        <w:rPr>
          <w:rFonts w:hint="eastAsia" w:ascii="宋体" w:hAnsi="宋体"/>
          <w:sz w:val="28"/>
          <w:szCs w:val="28"/>
        </w:rPr>
        <w:t>投标人属小型、微型企业的，</w:t>
      </w:r>
      <w:r>
        <w:rPr>
          <w:rFonts w:hint="eastAsia" w:ascii="宋体" w:hAnsi="宋体" w:cs="宋体"/>
          <w:sz w:val="28"/>
          <w:szCs w:val="28"/>
        </w:rPr>
        <w:t>根据</w:t>
      </w:r>
      <w:r>
        <w:rPr>
          <w:rFonts w:hint="eastAsia" w:ascii="宋体" w:hAnsi="宋体"/>
          <w:sz w:val="28"/>
          <w:szCs w:val="28"/>
        </w:rPr>
        <w:t>财库[2011]181号的相关规定执行。</w:t>
      </w:r>
      <w:r>
        <w:rPr>
          <w:rFonts w:hint="eastAsia" w:ascii="宋体" w:hAnsi="宋体" w:cs="宋体"/>
          <w:sz w:val="28"/>
          <w:szCs w:val="28"/>
        </w:rPr>
        <w:t xml:space="preserve"> </w:t>
      </w:r>
    </w:p>
    <w:p>
      <w:pPr>
        <w:numPr>
          <w:ilvl w:val="2"/>
          <w:numId w:val="19"/>
        </w:numPr>
        <w:shd w:val="clear" w:color="auto" w:fill="FFFFFF"/>
        <w:snapToGrid w:val="0"/>
        <w:rPr>
          <w:rFonts w:hint="eastAsia" w:ascii="宋体" w:hAnsi="宋体"/>
          <w:sz w:val="28"/>
          <w:szCs w:val="28"/>
        </w:rPr>
      </w:pPr>
      <w:r>
        <w:rPr>
          <w:rFonts w:hint="eastAsia" w:ascii="宋体" w:hAnsi="宋体"/>
          <w:sz w:val="28"/>
          <w:szCs w:val="28"/>
        </w:rPr>
        <w:t>投标人属监狱和戒毒企业的，根据财库〔2014〕68号）的相关规定执行。</w:t>
      </w:r>
    </w:p>
    <w:p>
      <w:pPr>
        <w:numPr>
          <w:ilvl w:val="2"/>
          <w:numId w:val="19"/>
        </w:numPr>
        <w:shd w:val="clear" w:color="auto" w:fill="FFFFFF"/>
        <w:snapToGrid w:val="0"/>
        <w:rPr>
          <w:rFonts w:hint="eastAsia" w:ascii="宋体" w:hAnsi="宋体"/>
          <w:sz w:val="28"/>
          <w:szCs w:val="28"/>
        </w:rPr>
      </w:pPr>
      <w:r>
        <w:rPr>
          <w:rFonts w:hint="eastAsia" w:ascii="宋体" w:hAnsi="宋体"/>
          <w:sz w:val="28"/>
          <w:szCs w:val="28"/>
        </w:rPr>
        <w:t>投标人属</w:t>
      </w:r>
      <w:r>
        <w:rPr>
          <w:rFonts w:hint="eastAsia" w:ascii="宋体" w:hAnsi="宋体" w:cs="宋体"/>
          <w:sz w:val="28"/>
          <w:szCs w:val="28"/>
        </w:rPr>
        <w:t>残疾人福利性单位的，</w:t>
      </w:r>
      <w:r>
        <w:rPr>
          <w:rFonts w:hint="eastAsia" w:ascii="宋体" w:hAnsi="宋体"/>
          <w:sz w:val="28"/>
          <w:szCs w:val="28"/>
        </w:rPr>
        <w:t>根据</w:t>
      </w:r>
      <w:r>
        <w:rPr>
          <w:rFonts w:hint="eastAsia" w:ascii="宋体" w:hAnsi="宋体" w:cs="宋体"/>
          <w:sz w:val="28"/>
          <w:szCs w:val="28"/>
        </w:rPr>
        <w:t>财库[2017]141号的相关规定执行。</w:t>
      </w:r>
    </w:p>
    <w:p>
      <w:pPr>
        <w:numPr>
          <w:ilvl w:val="2"/>
          <w:numId w:val="19"/>
        </w:numPr>
        <w:shd w:val="clear" w:color="auto" w:fill="FFFFFF"/>
        <w:snapToGrid w:val="0"/>
        <w:rPr>
          <w:rFonts w:hint="eastAsia" w:ascii="宋体" w:hAnsi="宋体"/>
          <w:sz w:val="28"/>
          <w:szCs w:val="28"/>
        </w:rPr>
      </w:pPr>
      <w:r>
        <w:rPr>
          <w:rFonts w:hint="eastAsia" w:ascii="宋体" w:hAnsi="宋体"/>
          <w:sz w:val="28"/>
          <w:szCs w:val="28"/>
        </w:rPr>
        <w:t>小型、</w:t>
      </w:r>
      <w:r>
        <w:rPr>
          <w:rFonts w:hint="eastAsia" w:ascii="宋体" w:hAnsi="宋体" w:cs="宋体"/>
          <w:sz w:val="28"/>
          <w:szCs w:val="28"/>
        </w:rPr>
        <w:t>微型企业参加投标时，应提供《小微企业声明函》；监狱和戒毒企业参加投标时应提供由省级以</w:t>
      </w:r>
      <w:r>
        <w:rPr>
          <w:rFonts w:hint="eastAsia" w:ascii="宋体" w:hAnsi="宋体"/>
          <w:sz w:val="28"/>
          <w:szCs w:val="28"/>
        </w:rPr>
        <w:t>上监狱管理局、戒毒管理局（含新疆生产建设兵团）出具的属于监狱企业的证明文件；</w:t>
      </w:r>
      <w:r>
        <w:rPr>
          <w:rFonts w:hint="eastAsia" w:ascii="宋体" w:hAnsi="宋体"/>
          <w:bCs/>
          <w:sz w:val="28"/>
          <w:szCs w:val="28"/>
        </w:rPr>
        <w:t>残疾人福利性单位参加投标时应提供残疾人福利性单位声明函。不提供以上材料的投标人将不享受评审中价格扣除优惠。</w:t>
      </w:r>
    </w:p>
    <w:p>
      <w:pPr>
        <w:numPr>
          <w:ilvl w:val="0"/>
          <w:numId w:val="18"/>
        </w:numPr>
        <w:snapToGrid w:val="0"/>
        <w:outlineLvl w:val="1"/>
        <w:rPr>
          <w:rFonts w:hint="eastAsia" w:ascii="宋体" w:hAnsi="宋体"/>
          <w:b/>
          <w:sz w:val="28"/>
          <w:szCs w:val="28"/>
        </w:rPr>
      </w:pPr>
      <w:bookmarkStart w:id="20" w:name="_Toc356371434"/>
      <w:bookmarkStart w:id="21" w:name="_Toc359856799"/>
      <w:r>
        <w:rPr>
          <w:rFonts w:hint="eastAsia" w:ascii="宋体" w:hAnsi="宋体"/>
          <w:b/>
          <w:sz w:val="28"/>
          <w:szCs w:val="28"/>
        </w:rPr>
        <w:t>招标文件说明</w:t>
      </w:r>
      <w:bookmarkEnd w:id="20"/>
      <w:bookmarkEnd w:id="21"/>
    </w:p>
    <w:p>
      <w:pPr>
        <w:numPr>
          <w:ilvl w:val="1"/>
          <w:numId w:val="20"/>
        </w:numPr>
        <w:snapToGrid w:val="0"/>
        <w:rPr>
          <w:rFonts w:hint="eastAsia" w:ascii="宋体" w:hAnsi="宋体"/>
          <w:sz w:val="28"/>
          <w:szCs w:val="28"/>
        </w:rPr>
      </w:pPr>
      <w:r>
        <w:rPr>
          <w:rFonts w:hint="eastAsia" w:ascii="宋体" w:hAnsi="宋体"/>
          <w:sz w:val="28"/>
          <w:szCs w:val="28"/>
        </w:rPr>
        <w:t>招标文件的组成</w:t>
      </w:r>
    </w:p>
    <w:p>
      <w:pPr>
        <w:numPr>
          <w:ilvl w:val="2"/>
          <w:numId w:val="20"/>
        </w:numPr>
        <w:snapToGrid w:val="0"/>
        <w:rPr>
          <w:rFonts w:hint="eastAsia" w:ascii="宋体" w:hAnsi="宋体"/>
          <w:sz w:val="28"/>
          <w:szCs w:val="28"/>
        </w:rPr>
      </w:pPr>
      <w:r>
        <w:rPr>
          <w:rFonts w:hint="eastAsia" w:ascii="宋体" w:hAnsi="宋体"/>
          <w:sz w:val="28"/>
          <w:szCs w:val="28"/>
        </w:rPr>
        <w:t>招标公告；</w:t>
      </w:r>
    </w:p>
    <w:p>
      <w:pPr>
        <w:numPr>
          <w:ilvl w:val="2"/>
          <w:numId w:val="20"/>
        </w:numPr>
        <w:snapToGrid w:val="0"/>
        <w:rPr>
          <w:rFonts w:hint="eastAsia" w:ascii="宋体" w:hAnsi="宋体"/>
          <w:sz w:val="28"/>
          <w:szCs w:val="28"/>
        </w:rPr>
      </w:pPr>
      <w:r>
        <w:rPr>
          <w:rFonts w:hint="eastAsia" w:ascii="宋体" w:hAnsi="宋体"/>
          <w:sz w:val="28"/>
          <w:szCs w:val="28"/>
        </w:rPr>
        <w:t>投标须知前附表及投标须知；</w:t>
      </w:r>
    </w:p>
    <w:p>
      <w:pPr>
        <w:numPr>
          <w:ilvl w:val="2"/>
          <w:numId w:val="20"/>
        </w:numPr>
        <w:snapToGrid w:val="0"/>
        <w:rPr>
          <w:rFonts w:hint="eastAsia" w:ascii="宋体" w:hAnsi="宋体"/>
          <w:sz w:val="28"/>
          <w:szCs w:val="28"/>
        </w:rPr>
      </w:pPr>
      <w:r>
        <w:rPr>
          <w:rFonts w:hint="eastAsia" w:ascii="宋体" w:hAnsi="宋体"/>
          <w:sz w:val="28"/>
          <w:szCs w:val="28"/>
        </w:rPr>
        <w:t>采购内容及要求；</w:t>
      </w:r>
    </w:p>
    <w:p>
      <w:pPr>
        <w:numPr>
          <w:ilvl w:val="2"/>
          <w:numId w:val="20"/>
        </w:numPr>
        <w:snapToGrid w:val="0"/>
        <w:rPr>
          <w:rFonts w:hint="eastAsia" w:ascii="宋体" w:hAnsi="宋体"/>
          <w:sz w:val="28"/>
          <w:szCs w:val="28"/>
        </w:rPr>
      </w:pPr>
      <w:r>
        <w:rPr>
          <w:rFonts w:hint="eastAsia" w:ascii="宋体" w:hAnsi="宋体"/>
          <w:sz w:val="28"/>
          <w:szCs w:val="28"/>
        </w:rPr>
        <w:t>有关格式范例；</w:t>
      </w:r>
    </w:p>
    <w:p>
      <w:pPr>
        <w:numPr>
          <w:ilvl w:val="2"/>
          <w:numId w:val="20"/>
        </w:numPr>
        <w:snapToGrid w:val="0"/>
        <w:rPr>
          <w:rFonts w:hint="eastAsia" w:ascii="宋体" w:hAnsi="宋体"/>
          <w:sz w:val="28"/>
          <w:szCs w:val="28"/>
        </w:rPr>
      </w:pPr>
      <w:r>
        <w:rPr>
          <w:rFonts w:hint="eastAsia" w:ascii="宋体" w:hAnsi="宋体"/>
          <w:sz w:val="28"/>
          <w:szCs w:val="28"/>
        </w:rPr>
        <w:t>评标办法及开评标程序。</w:t>
      </w:r>
    </w:p>
    <w:p>
      <w:pPr>
        <w:numPr>
          <w:ilvl w:val="1"/>
          <w:numId w:val="20"/>
        </w:numPr>
        <w:snapToGrid w:val="0"/>
        <w:rPr>
          <w:rFonts w:hint="eastAsia" w:ascii="宋体" w:hAnsi="宋体"/>
          <w:sz w:val="28"/>
          <w:szCs w:val="28"/>
        </w:rPr>
      </w:pPr>
      <w:r>
        <w:rPr>
          <w:rFonts w:hint="eastAsia" w:ascii="宋体" w:hAnsi="宋体"/>
          <w:sz w:val="28"/>
          <w:szCs w:val="28"/>
        </w:rPr>
        <w:t>招标文件的澄清及修改：采购代理机构可按照相关程序对已发出的招标文件进行必要的澄清或修改，投标人应按照澄清及修改后的招标文件要求投标。</w:t>
      </w:r>
    </w:p>
    <w:p>
      <w:pPr>
        <w:numPr>
          <w:ilvl w:val="0"/>
          <w:numId w:val="18"/>
        </w:numPr>
        <w:snapToGrid w:val="0"/>
        <w:outlineLvl w:val="1"/>
        <w:rPr>
          <w:rFonts w:hint="eastAsia" w:ascii="宋体" w:hAnsi="宋体"/>
          <w:b/>
          <w:sz w:val="28"/>
          <w:szCs w:val="28"/>
        </w:rPr>
      </w:pPr>
      <w:bookmarkStart w:id="22" w:name="_Toc359856800"/>
      <w:bookmarkStart w:id="23" w:name="_Toc356371435"/>
      <w:r>
        <w:rPr>
          <w:rFonts w:hint="eastAsia" w:ascii="宋体" w:hAnsi="宋体"/>
          <w:b/>
          <w:sz w:val="28"/>
          <w:szCs w:val="28"/>
        </w:rPr>
        <w:t>投标文件的编制</w:t>
      </w:r>
      <w:bookmarkEnd w:id="22"/>
      <w:bookmarkEnd w:id="23"/>
    </w:p>
    <w:p>
      <w:pPr>
        <w:numPr>
          <w:ilvl w:val="1"/>
          <w:numId w:val="21"/>
        </w:numPr>
        <w:snapToGrid w:val="0"/>
        <w:rPr>
          <w:rFonts w:hint="eastAsia" w:ascii="宋体" w:hAnsi="宋体"/>
          <w:sz w:val="28"/>
          <w:szCs w:val="28"/>
        </w:rPr>
      </w:pPr>
      <w:r>
        <w:rPr>
          <w:rFonts w:hint="eastAsia" w:ascii="宋体" w:hAnsi="宋体"/>
          <w:sz w:val="28"/>
          <w:szCs w:val="28"/>
        </w:rPr>
        <w:t>总体要求</w:t>
      </w:r>
    </w:p>
    <w:p>
      <w:pPr>
        <w:numPr>
          <w:ilvl w:val="2"/>
          <w:numId w:val="21"/>
        </w:numPr>
        <w:snapToGrid w:val="0"/>
        <w:rPr>
          <w:rFonts w:hint="eastAsia" w:ascii="宋体" w:hAnsi="宋体"/>
          <w:sz w:val="28"/>
          <w:szCs w:val="28"/>
        </w:rPr>
      </w:pPr>
      <w:r>
        <w:rPr>
          <w:rFonts w:hint="eastAsia" w:ascii="宋体" w:hAnsi="宋体"/>
          <w:sz w:val="28"/>
          <w:szCs w:val="28"/>
        </w:rPr>
        <w:t>投标人应仔细阅读招标文件的所有内容，按本文件的要求提供投标文件，并保证所提供的全部资料的真实性，以使其投标文件对招标文件作出实质性响应，</w:t>
      </w:r>
      <w:r>
        <w:rPr>
          <w:rFonts w:hint="eastAsia" w:ascii="宋体" w:hAnsi="宋体" w:cs="宋体"/>
          <w:sz w:val="28"/>
          <w:szCs w:val="28"/>
        </w:rPr>
        <w:t>否则，投标文件可能视为无效投标文件</w:t>
      </w:r>
      <w:r>
        <w:rPr>
          <w:rFonts w:hint="eastAsia" w:ascii="宋体" w:hAnsi="宋体"/>
          <w:sz w:val="28"/>
          <w:szCs w:val="28"/>
        </w:rPr>
        <w:t>。</w:t>
      </w:r>
    </w:p>
    <w:p>
      <w:pPr>
        <w:numPr>
          <w:ilvl w:val="2"/>
          <w:numId w:val="21"/>
        </w:numPr>
        <w:snapToGrid w:val="0"/>
        <w:rPr>
          <w:rFonts w:hint="eastAsia" w:ascii="宋体" w:hAnsi="宋体"/>
          <w:sz w:val="28"/>
          <w:szCs w:val="28"/>
        </w:rPr>
      </w:pPr>
      <w:r>
        <w:rPr>
          <w:rFonts w:hint="eastAsia" w:ascii="宋体" w:hAnsi="宋体"/>
          <w:sz w:val="28"/>
          <w:szCs w:val="28"/>
        </w:rPr>
        <w:t>投标文件及投标人与采购有关的来往通知，函件和文件均应使用中文。</w:t>
      </w:r>
    </w:p>
    <w:p>
      <w:pPr>
        <w:numPr>
          <w:ilvl w:val="2"/>
          <w:numId w:val="21"/>
        </w:numPr>
        <w:snapToGrid w:val="0"/>
        <w:rPr>
          <w:rFonts w:hint="eastAsia" w:ascii="宋体" w:hAnsi="宋体"/>
          <w:sz w:val="28"/>
          <w:szCs w:val="28"/>
        </w:rPr>
      </w:pPr>
      <w:r>
        <w:rPr>
          <w:rFonts w:hint="eastAsia" w:ascii="宋体" w:hAnsi="宋体"/>
          <w:sz w:val="28"/>
          <w:szCs w:val="28"/>
        </w:rPr>
        <w:t>投标人请按本文件中提供的文件格式、内容和要求制作投标文件。</w:t>
      </w:r>
    </w:p>
    <w:p>
      <w:pPr>
        <w:numPr>
          <w:ilvl w:val="2"/>
          <w:numId w:val="21"/>
        </w:numPr>
        <w:snapToGrid w:val="0"/>
        <w:rPr>
          <w:rFonts w:hint="eastAsia" w:ascii="宋体" w:hAnsi="宋体"/>
          <w:sz w:val="28"/>
          <w:szCs w:val="28"/>
        </w:rPr>
      </w:pPr>
      <w:r>
        <w:rPr>
          <w:rFonts w:hint="eastAsia" w:ascii="宋体" w:hAnsi="宋体"/>
          <w:sz w:val="28"/>
          <w:szCs w:val="28"/>
        </w:rPr>
        <w:t>投标文件的形式和效力</w:t>
      </w:r>
    </w:p>
    <w:p>
      <w:pPr>
        <w:numPr>
          <w:ilvl w:val="3"/>
          <w:numId w:val="21"/>
        </w:numPr>
        <w:snapToGrid w:val="0"/>
        <w:rPr>
          <w:rFonts w:hint="eastAsia" w:ascii="宋体" w:hAnsi="宋体"/>
          <w:sz w:val="28"/>
          <w:szCs w:val="28"/>
        </w:rPr>
      </w:pPr>
      <w:r>
        <w:rPr>
          <w:rFonts w:hint="eastAsia" w:ascii="宋体" w:hAnsi="宋体"/>
          <w:b/>
          <w:sz w:val="28"/>
          <w:szCs w:val="28"/>
        </w:rPr>
        <w:t>投标文件要求为电子投标文件。电子投标文件</w:t>
      </w:r>
      <w:r>
        <w:rPr>
          <w:rFonts w:hint="eastAsia" w:ascii="宋体" w:hAnsi="宋体"/>
          <w:b/>
          <w:bCs/>
          <w:sz w:val="28"/>
          <w:szCs w:val="28"/>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8"/>
          <w:szCs w:val="28"/>
        </w:rPr>
        <w:t>及本招标文件要求制作、加密并递交；</w:t>
      </w:r>
    </w:p>
    <w:p>
      <w:pPr>
        <w:numPr>
          <w:ilvl w:val="1"/>
          <w:numId w:val="21"/>
        </w:numPr>
        <w:snapToGrid w:val="0"/>
        <w:rPr>
          <w:rFonts w:hint="eastAsia" w:ascii="宋体" w:hAnsi="宋体"/>
          <w:sz w:val="28"/>
          <w:szCs w:val="28"/>
        </w:rPr>
      </w:pPr>
      <w:r>
        <w:rPr>
          <w:rFonts w:hint="eastAsia" w:ascii="宋体" w:hAnsi="宋体"/>
          <w:sz w:val="28"/>
          <w:szCs w:val="28"/>
        </w:rPr>
        <w:t>投标文件的组成（未注明原件的，均为提供复印件）</w:t>
      </w:r>
    </w:p>
    <w:p>
      <w:pPr>
        <w:tabs>
          <w:tab w:val="left" w:pos="0"/>
          <w:tab w:val="left" w:pos="900"/>
          <w:tab w:val="left" w:pos="7020"/>
          <w:tab w:val="left" w:pos="8460"/>
        </w:tabs>
        <w:snapToGrid w:val="0"/>
        <w:ind w:firstLine="560" w:firstLineChars="200"/>
        <w:rPr>
          <w:rFonts w:hint="eastAsia" w:ascii="宋体" w:hAnsi="宋体"/>
          <w:b/>
          <w:sz w:val="28"/>
          <w:szCs w:val="28"/>
        </w:rPr>
      </w:pPr>
      <w:r>
        <w:rPr>
          <w:rFonts w:hint="eastAsia" w:ascii="宋体" w:hAnsi="宋体"/>
          <w:sz w:val="28"/>
          <w:szCs w:val="28"/>
        </w:rPr>
        <w:t>投标文件分为【资格文件】、【技术商务文件】和【报价文件】三部分。</w:t>
      </w:r>
      <w:r>
        <w:rPr>
          <w:rFonts w:hint="eastAsia" w:ascii="宋体" w:hAnsi="宋体"/>
          <w:b/>
          <w:sz w:val="28"/>
          <w:szCs w:val="28"/>
        </w:rPr>
        <w:t>电子投标文件中所须加盖公章部分均采用CA签章。</w:t>
      </w:r>
    </w:p>
    <w:p>
      <w:pPr>
        <w:numPr>
          <w:ilvl w:val="2"/>
          <w:numId w:val="21"/>
        </w:numPr>
        <w:snapToGrid w:val="0"/>
        <w:rPr>
          <w:rFonts w:hint="eastAsia" w:ascii="宋体" w:hAnsi="宋体"/>
          <w:b/>
          <w:sz w:val="28"/>
          <w:szCs w:val="28"/>
        </w:rPr>
      </w:pPr>
      <w:r>
        <w:rPr>
          <w:rFonts w:hint="eastAsia" w:ascii="宋体" w:hAnsi="宋体"/>
          <w:b/>
          <w:sz w:val="28"/>
          <w:szCs w:val="28"/>
        </w:rPr>
        <w:t>【资格文件】包括（但不限于）下列部份</w:t>
      </w:r>
    </w:p>
    <w:p>
      <w:pPr>
        <w:numPr>
          <w:ilvl w:val="3"/>
          <w:numId w:val="21"/>
        </w:numPr>
        <w:snapToGrid w:val="0"/>
        <w:rPr>
          <w:rFonts w:hint="eastAsia" w:ascii="宋体" w:hAnsi="宋体"/>
          <w:sz w:val="28"/>
          <w:szCs w:val="28"/>
        </w:rPr>
      </w:pPr>
      <w:r>
        <w:rPr>
          <w:rFonts w:hint="eastAsia" w:ascii="宋体" w:hAnsi="宋体"/>
          <w:sz w:val="28"/>
          <w:szCs w:val="28"/>
        </w:rPr>
        <w:t>投标函；</w:t>
      </w:r>
    </w:p>
    <w:p>
      <w:pPr>
        <w:numPr>
          <w:ilvl w:val="3"/>
          <w:numId w:val="21"/>
        </w:numPr>
        <w:snapToGrid w:val="0"/>
        <w:rPr>
          <w:rFonts w:hint="eastAsia" w:ascii="宋体" w:hAnsi="宋体"/>
          <w:sz w:val="28"/>
          <w:szCs w:val="28"/>
        </w:rPr>
      </w:pPr>
      <w:r>
        <w:rPr>
          <w:rFonts w:hint="eastAsia" w:ascii="宋体" w:hAnsi="宋体" w:cs="宋体"/>
          <w:sz w:val="28"/>
          <w:szCs w:val="28"/>
        </w:rPr>
        <w:t>有效的营业执照、税务登记证、组织机构代码、社保代码，或“三证合一”（“五证合一”）的营业执照复印件；</w:t>
      </w:r>
    </w:p>
    <w:p>
      <w:pPr>
        <w:numPr>
          <w:ilvl w:val="3"/>
          <w:numId w:val="21"/>
        </w:numPr>
        <w:snapToGrid w:val="0"/>
        <w:rPr>
          <w:rFonts w:hint="eastAsia" w:ascii="宋体" w:hAnsi="宋体"/>
          <w:sz w:val="28"/>
          <w:szCs w:val="28"/>
        </w:rPr>
      </w:pPr>
      <w:r>
        <w:rPr>
          <w:rFonts w:hint="eastAsia" w:ascii="宋体" w:hAnsi="宋体"/>
          <w:sz w:val="28"/>
          <w:szCs w:val="28"/>
        </w:rPr>
        <w:t>分支机构参与投标的，须提供总公司（总机构）的《营业执照》复印件及总公司（总机构）的授权书（格式自拟）；</w:t>
      </w:r>
    </w:p>
    <w:p>
      <w:pPr>
        <w:numPr>
          <w:ilvl w:val="3"/>
          <w:numId w:val="21"/>
        </w:numPr>
        <w:snapToGrid w:val="0"/>
        <w:rPr>
          <w:rFonts w:hint="eastAsia" w:ascii="宋体" w:hAnsi="宋体"/>
          <w:sz w:val="28"/>
          <w:szCs w:val="28"/>
        </w:rPr>
      </w:pPr>
      <w:r>
        <w:rPr>
          <w:rFonts w:hint="eastAsia" w:ascii="宋体" w:hAnsi="宋体"/>
          <w:sz w:val="28"/>
          <w:szCs w:val="28"/>
        </w:rPr>
        <w:t>法定代表人（负责人）授权委托书；</w:t>
      </w:r>
    </w:p>
    <w:p>
      <w:pPr>
        <w:numPr>
          <w:ilvl w:val="2"/>
          <w:numId w:val="21"/>
        </w:numPr>
        <w:snapToGrid w:val="0"/>
        <w:rPr>
          <w:rFonts w:hint="eastAsia" w:ascii="宋体" w:hAnsi="宋体"/>
          <w:b/>
          <w:sz w:val="28"/>
          <w:szCs w:val="30"/>
        </w:rPr>
      </w:pPr>
      <w:r>
        <w:rPr>
          <w:rFonts w:hint="eastAsia" w:ascii="宋体" w:hAnsi="宋体"/>
          <w:b/>
          <w:sz w:val="28"/>
          <w:szCs w:val="30"/>
        </w:rPr>
        <w:t>【技术商务文件】包括（但不限于）下列部份</w:t>
      </w:r>
    </w:p>
    <w:p>
      <w:pPr>
        <w:numPr>
          <w:ilvl w:val="3"/>
          <w:numId w:val="21"/>
        </w:numPr>
        <w:snapToGrid w:val="0"/>
        <w:rPr>
          <w:rFonts w:hint="eastAsia" w:ascii="宋体" w:hAnsi="宋体"/>
          <w:sz w:val="28"/>
          <w:szCs w:val="28"/>
        </w:rPr>
      </w:pPr>
      <w:r>
        <w:rPr>
          <w:rFonts w:hint="eastAsia" w:ascii="宋体" w:hAnsi="宋体"/>
          <w:sz w:val="28"/>
          <w:szCs w:val="28"/>
        </w:rPr>
        <w:t>投标文件目录；</w:t>
      </w:r>
    </w:p>
    <w:p>
      <w:pPr>
        <w:numPr>
          <w:ilvl w:val="3"/>
          <w:numId w:val="21"/>
        </w:numPr>
        <w:snapToGrid w:val="0"/>
        <w:rPr>
          <w:rFonts w:hint="eastAsia" w:ascii="宋体" w:hAnsi="宋体"/>
          <w:sz w:val="28"/>
          <w:szCs w:val="28"/>
        </w:rPr>
      </w:pPr>
      <w:r>
        <w:rPr>
          <w:rFonts w:hint="eastAsia" w:ascii="宋体" w:hAnsi="宋体"/>
          <w:sz w:val="28"/>
          <w:szCs w:val="28"/>
        </w:rPr>
        <w:t>投标服务（货物）清单及偏离表</w:t>
      </w:r>
      <w:r>
        <w:rPr>
          <w:rFonts w:hint="eastAsia" w:ascii="宋体" w:hAnsi="宋体"/>
          <w:bCs/>
          <w:sz w:val="28"/>
          <w:szCs w:val="28"/>
        </w:rPr>
        <w:t>{品牌、型号、数量、详细技术指标（详细技术指标可另附）等，格式参照招标文件中</w:t>
      </w:r>
      <w:r>
        <w:rPr>
          <w:rFonts w:hint="eastAsia" w:ascii="宋体" w:hAnsi="宋体"/>
          <w:sz w:val="28"/>
          <w:szCs w:val="28"/>
        </w:rPr>
        <w:t>服务（货物）</w:t>
      </w:r>
      <w:r>
        <w:rPr>
          <w:rFonts w:hint="eastAsia" w:ascii="宋体" w:hAnsi="宋体"/>
          <w:bCs/>
          <w:sz w:val="28"/>
          <w:szCs w:val="28"/>
        </w:rPr>
        <w:t>清单，清单内容必须包括所有所投服务（货物）}</w:t>
      </w:r>
      <w:r>
        <w:rPr>
          <w:rFonts w:hint="eastAsia" w:ascii="宋体" w:hAnsi="宋体"/>
          <w:sz w:val="28"/>
          <w:szCs w:val="28"/>
        </w:rPr>
        <w:t>；</w:t>
      </w:r>
    </w:p>
    <w:p>
      <w:pPr>
        <w:numPr>
          <w:ilvl w:val="3"/>
          <w:numId w:val="21"/>
        </w:numPr>
        <w:snapToGrid w:val="0"/>
        <w:rPr>
          <w:rFonts w:hint="eastAsia" w:ascii="宋体" w:hAnsi="宋体"/>
          <w:sz w:val="28"/>
          <w:szCs w:val="28"/>
        </w:rPr>
      </w:pPr>
      <w:r>
        <w:rPr>
          <w:rFonts w:hint="eastAsia" w:ascii="宋体" w:hAnsi="宋体"/>
          <w:sz w:val="28"/>
          <w:szCs w:val="28"/>
        </w:rPr>
        <w:t xml:space="preserve">上一月（以招标文件发出时间为准）财务报表复印件； </w:t>
      </w:r>
    </w:p>
    <w:p>
      <w:pPr>
        <w:numPr>
          <w:ilvl w:val="3"/>
          <w:numId w:val="21"/>
        </w:numPr>
        <w:snapToGrid w:val="0"/>
        <w:rPr>
          <w:rFonts w:hint="eastAsia" w:ascii="宋体" w:hAnsi="宋体"/>
          <w:sz w:val="28"/>
          <w:szCs w:val="28"/>
        </w:rPr>
      </w:pPr>
      <w:r>
        <w:rPr>
          <w:rFonts w:hint="eastAsia" w:ascii="宋体" w:hAnsi="宋体"/>
          <w:sz w:val="28"/>
          <w:szCs w:val="28"/>
        </w:rPr>
        <w:t>相关部门出具的上一月（以招标文件发出时间为准）企业纳税情况和社保基金缴纳情况证明材料；</w:t>
      </w:r>
    </w:p>
    <w:p>
      <w:pPr>
        <w:numPr>
          <w:ilvl w:val="3"/>
          <w:numId w:val="21"/>
        </w:numPr>
        <w:snapToGrid w:val="0"/>
        <w:rPr>
          <w:rFonts w:hint="eastAsia" w:ascii="宋体" w:hAnsi="宋体"/>
          <w:sz w:val="28"/>
          <w:szCs w:val="28"/>
        </w:rPr>
      </w:pPr>
      <w:r>
        <w:rPr>
          <w:rFonts w:hint="eastAsia" w:ascii="宋体" w:hAnsi="宋体"/>
          <w:sz w:val="28"/>
          <w:szCs w:val="28"/>
        </w:rPr>
        <w:t>售后服务网点介绍、服务内容、措施和售后服务承诺书；</w:t>
      </w:r>
    </w:p>
    <w:p>
      <w:pPr>
        <w:numPr>
          <w:ilvl w:val="3"/>
          <w:numId w:val="21"/>
        </w:numPr>
        <w:snapToGrid w:val="0"/>
        <w:rPr>
          <w:rFonts w:hint="eastAsia" w:ascii="宋体" w:hAnsi="宋体"/>
          <w:sz w:val="28"/>
          <w:szCs w:val="28"/>
        </w:rPr>
      </w:pPr>
      <w:r>
        <w:rPr>
          <w:rFonts w:hint="eastAsia" w:ascii="宋体" w:hAnsi="宋体"/>
          <w:bCs/>
          <w:sz w:val="28"/>
          <w:szCs w:val="28"/>
        </w:rPr>
        <w:t>履行合同所需的设备、专业技术能力的证明材料和案例</w:t>
      </w:r>
      <w:r>
        <w:rPr>
          <w:rFonts w:hint="eastAsia" w:ascii="宋体" w:hAnsi="宋体"/>
          <w:sz w:val="28"/>
          <w:szCs w:val="28"/>
        </w:rPr>
        <w:t>；</w:t>
      </w:r>
    </w:p>
    <w:p>
      <w:pPr>
        <w:numPr>
          <w:ilvl w:val="3"/>
          <w:numId w:val="21"/>
        </w:numPr>
        <w:snapToGrid w:val="0"/>
        <w:rPr>
          <w:rFonts w:hint="eastAsia" w:ascii="宋体" w:hAnsi="宋体"/>
          <w:sz w:val="28"/>
          <w:szCs w:val="28"/>
        </w:rPr>
      </w:pPr>
      <w:r>
        <w:rPr>
          <w:rFonts w:hint="eastAsia" w:ascii="宋体" w:hAnsi="宋体"/>
          <w:sz w:val="28"/>
          <w:szCs w:val="28"/>
        </w:rPr>
        <w:t>针对本项目的技术力量配备，投入项目组成员汇总表；</w:t>
      </w:r>
    </w:p>
    <w:p>
      <w:pPr>
        <w:numPr>
          <w:ilvl w:val="3"/>
          <w:numId w:val="21"/>
        </w:numPr>
        <w:snapToGrid w:val="0"/>
        <w:rPr>
          <w:rFonts w:hint="eastAsia" w:ascii="宋体" w:hAnsi="宋体"/>
          <w:bCs/>
          <w:sz w:val="28"/>
          <w:szCs w:val="28"/>
        </w:rPr>
      </w:pPr>
      <w:r>
        <w:rPr>
          <w:rFonts w:hint="eastAsia" w:ascii="宋体" w:hAnsi="宋体"/>
          <w:sz w:val="28"/>
          <w:szCs w:val="28"/>
        </w:rPr>
        <w:t>针对本项目的完整实施方案，包括项目组织机构和各部分项目进度计划等；工期、调试方案等；</w:t>
      </w:r>
    </w:p>
    <w:p>
      <w:pPr>
        <w:numPr>
          <w:ilvl w:val="3"/>
          <w:numId w:val="21"/>
        </w:numPr>
        <w:snapToGrid w:val="0"/>
        <w:rPr>
          <w:rFonts w:hint="eastAsia" w:ascii="宋体" w:hAnsi="宋体"/>
          <w:bCs/>
          <w:sz w:val="28"/>
          <w:szCs w:val="28"/>
        </w:rPr>
      </w:pPr>
      <w:r>
        <w:rPr>
          <w:rFonts w:hint="eastAsia" w:ascii="宋体" w:hAnsi="宋体"/>
          <w:sz w:val="28"/>
          <w:szCs w:val="28"/>
        </w:rPr>
        <w:t>随机备品、备件（如有）；</w:t>
      </w:r>
      <w:r>
        <w:rPr>
          <w:rFonts w:hint="eastAsia" w:ascii="宋体" w:hAnsi="宋体"/>
          <w:bCs/>
          <w:sz w:val="28"/>
          <w:szCs w:val="28"/>
        </w:rPr>
        <w:t xml:space="preserve"> </w:t>
      </w:r>
    </w:p>
    <w:p>
      <w:pPr>
        <w:numPr>
          <w:ilvl w:val="3"/>
          <w:numId w:val="21"/>
        </w:numPr>
        <w:snapToGrid w:val="0"/>
        <w:rPr>
          <w:rFonts w:hint="eastAsia" w:ascii="宋体" w:hAnsi="宋体"/>
          <w:bCs/>
          <w:sz w:val="28"/>
          <w:szCs w:val="28"/>
        </w:rPr>
      </w:pPr>
      <w:r>
        <w:rPr>
          <w:rFonts w:hint="eastAsia" w:ascii="宋体" w:hAnsi="宋体"/>
          <w:sz w:val="28"/>
          <w:szCs w:val="28"/>
        </w:rPr>
        <w:t>投标人认为需要的其他技术商务资料</w:t>
      </w:r>
      <w:r>
        <w:rPr>
          <w:rFonts w:hint="eastAsia" w:ascii="宋体" w:hAnsi="宋体"/>
          <w:bCs/>
          <w:sz w:val="28"/>
          <w:szCs w:val="28"/>
        </w:rPr>
        <w:t>（请参考评标办法中条款）。</w:t>
      </w:r>
    </w:p>
    <w:p>
      <w:pPr>
        <w:numPr>
          <w:ilvl w:val="2"/>
          <w:numId w:val="21"/>
        </w:numPr>
        <w:snapToGrid w:val="0"/>
        <w:rPr>
          <w:rFonts w:hint="eastAsia" w:ascii="宋体" w:hAnsi="宋体"/>
          <w:b/>
          <w:sz w:val="28"/>
          <w:szCs w:val="28"/>
        </w:rPr>
      </w:pPr>
      <w:r>
        <w:rPr>
          <w:rFonts w:hint="eastAsia" w:ascii="宋体" w:hAnsi="宋体"/>
          <w:b/>
          <w:sz w:val="28"/>
          <w:szCs w:val="28"/>
        </w:rPr>
        <w:t>【报价文件】包括（但不限于）下列部份</w:t>
      </w:r>
    </w:p>
    <w:p>
      <w:pPr>
        <w:numPr>
          <w:ilvl w:val="3"/>
          <w:numId w:val="21"/>
        </w:numPr>
        <w:snapToGrid w:val="0"/>
        <w:rPr>
          <w:rFonts w:hint="eastAsia" w:ascii="宋体" w:hAnsi="宋体"/>
          <w:sz w:val="28"/>
          <w:szCs w:val="28"/>
        </w:rPr>
      </w:pPr>
      <w:r>
        <w:rPr>
          <w:rFonts w:hint="eastAsia" w:ascii="宋体" w:hAnsi="宋体"/>
          <w:sz w:val="28"/>
          <w:szCs w:val="28"/>
        </w:rPr>
        <w:t xml:space="preserve">开标一览表，报价明细； </w:t>
      </w:r>
    </w:p>
    <w:p>
      <w:pPr>
        <w:numPr>
          <w:ilvl w:val="3"/>
          <w:numId w:val="21"/>
        </w:numPr>
        <w:snapToGrid w:val="0"/>
        <w:rPr>
          <w:rFonts w:hint="eastAsia" w:ascii="宋体" w:hAnsi="宋体"/>
          <w:sz w:val="28"/>
          <w:szCs w:val="28"/>
        </w:rPr>
      </w:pPr>
      <w:r>
        <w:rPr>
          <w:rFonts w:hint="eastAsia" w:ascii="宋体" w:hAnsi="宋体"/>
          <w:sz w:val="28"/>
          <w:szCs w:val="28"/>
        </w:rPr>
        <w:t>《小微企业声明函》（符合小微企业相关政策的投标人提供）；</w:t>
      </w:r>
    </w:p>
    <w:p>
      <w:pPr>
        <w:numPr>
          <w:ilvl w:val="3"/>
          <w:numId w:val="21"/>
        </w:numPr>
        <w:snapToGrid w:val="0"/>
        <w:rPr>
          <w:rFonts w:hint="eastAsia" w:ascii="宋体" w:hAnsi="宋体"/>
          <w:sz w:val="28"/>
          <w:szCs w:val="28"/>
        </w:rPr>
      </w:pPr>
      <w:r>
        <w:rPr>
          <w:rFonts w:hint="eastAsia" w:ascii="宋体" w:hAnsi="宋体"/>
          <w:sz w:val="28"/>
          <w:szCs w:val="28"/>
        </w:rPr>
        <w:t>监狱和戒毒企业应提供由省级以上监狱管理局、戒毒管理局（含新疆生产建设兵团）出具的属于监狱企业的证明文件。</w:t>
      </w:r>
    </w:p>
    <w:p>
      <w:pPr>
        <w:numPr>
          <w:ilvl w:val="3"/>
          <w:numId w:val="21"/>
        </w:numPr>
        <w:snapToGrid w:val="0"/>
        <w:rPr>
          <w:rFonts w:hint="eastAsia" w:ascii="宋体" w:hAnsi="宋体"/>
          <w:sz w:val="28"/>
          <w:szCs w:val="28"/>
        </w:rPr>
      </w:pPr>
      <w:r>
        <w:rPr>
          <w:rFonts w:hint="eastAsia" w:ascii="宋体" w:hAnsi="宋体"/>
          <w:bCs/>
          <w:sz w:val="28"/>
          <w:szCs w:val="28"/>
        </w:rPr>
        <w:t>残疾人福利性单位应提供残疾人福利性单位声明函。</w:t>
      </w:r>
    </w:p>
    <w:p>
      <w:pPr>
        <w:numPr>
          <w:ilvl w:val="1"/>
          <w:numId w:val="21"/>
        </w:numPr>
        <w:snapToGrid w:val="0"/>
        <w:rPr>
          <w:rFonts w:hint="eastAsia" w:ascii="宋体" w:hAnsi="宋体"/>
          <w:sz w:val="28"/>
          <w:szCs w:val="28"/>
        </w:rPr>
      </w:pPr>
      <w:r>
        <w:rPr>
          <w:rFonts w:hint="eastAsia" w:ascii="宋体" w:hAnsi="宋体"/>
          <w:sz w:val="28"/>
          <w:szCs w:val="28"/>
        </w:rPr>
        <w:t xml:space="preserve">投标文件内容填写说明 </w:t>
      </w:r>
    </w:p>
    <w:p>
      <w:pPr>
        <w:numPr>
          <w:ilvl w:val="2"/>
          <w:numId w:val="21"/>
        </w:numPr>
        <w:snapToGrid w:val="0"/>
        <w:rPr>
          <w:rFonts w:hint="eastAsia" w:ascii="宋体" w:hAnsi="宋体"/>
          <w:sz w:val="28"/>
          <w:szCs w:val="28"/>
        </w:rPr>
      </w:pPr>
      <w:r>
        <w:rPr>
          <w:rFonts w:hint="eastAsia" w:ascii="宋体" w:hAnsi="宋体"/>
          <w:sz w:val="28"/>
          <w:szCs w:val="28"/>
        </w:rPr>
        <w:t>投标人应按照招标文件的要求编制完整的投标文件。投标文件请按照招标文件中的统一格式填写，电子投标文件</w:t>
      </w:r>
      <w:r>
        <w:rPr>
          <w:rFonts w:hint="eastAsia" w:ascii="宋体" w:hAnsi="宋体"/>
          <w:bCs/>
          <w:sz w:val="28"/>
          <w:szCs w:val="28"/>
        </w:rPr>
        <w:t>按“政采云”平台“</w:t>
      </w:r>
      <w:r>
        <w:rPr>
          <w:rFonts w:hint="eastAsia" w:ascii="宋体" w:hAnsi="宋体"/>
          <w:sz w:val="28"/>
          <w:szCs w:val="28"/>
        </w:rPr>
        <w:t>政府采购项目电子交易管理操作指南-供应商”</w:t>
      </w:r>
      <w:r>
        <w:rPr>
          <w:rFonts w:hint="eastAsia" w:ascii="宋体" w:hAnsi="宋体"/>
          <w:bCs/>
          <w:sz w:val="28"/>
          <w:szCs w:val="28"/>
        </w:rPr>
        <w:t>（</w:t>
      </w:r>
      <w:r>
        <w:rPr>
          <w:rFonts w:hint="eastAsia" w:ascii="宋体" w:hAnsi="宋体"/>
          <w:sz w:val="28"/>
          <w:szCs w:val="28"/>
        </w:rPr>
        <w:t>请投标供应商登录</w:t>
      </w:r>
      <w:r>
        <w:rPr>
          <w:rFonts w:hint="eastAsia" w:ascii="宋体" w:hAnsi="宋体"/>
          <w:bCs/>
          <w:sz w:val="28"/>
          <w:szCs w:val="28"/>
        </w:rPr>
        <w:t>“政采云</w:t>
      </w:r>
      <w:r>
        <w:rPr>
          <w:rFonts w:ascii="宋体" w:hAnsi="宋体"/>
          <w:bCs/>
          <w:sz w:val="28"/>
          <w:szCs w:val="28"/>
        </w:rPr>
        <w:t>”</w:t>
      </w:r>
      <w:r>
        <w:rPr>
          <w:rFonts w:hint="eastAsia" w:ascii="宋体" w:hAnsi="宋体"/>
          <w:sz w:val="28"/>
          <w:szCs w:val="28"/>
        </w:rPr>
        <w:t>平台政府采购电子卖场后，点击链接https://service.zcygov.cn/#/knowledges/CW1EtGwBFdiHxlNd6I3m/6IMVAG0BFdiHxlNdQ8Na以获取最新操作指南</w:t>
      </w:r>
      <w:r>
        <w:rPr>
          <w:rFonts w:hint="eastAsia" w:ascii="宋体" w:hAnsi="宋体"/>
          <w:bCs/>
          <w:sz w:val="28"/>
          <w:szCs w:val="28"/>
        </w:rPr>
        <w:t>）</w:t>
      </w:r>
      <w:r>
        <w:rPr>
          <w:rFonts w:hint="eastAsia" w:ascii="宋体" w:hAnsi="宋体"/>
          <w:sz w:val="28"/>
          <w:szCs w:val="28"/>
        </w:rPr>
        <w:t>及本招标文件要求制作、加密。</w:t>
      </w:r>
    </w:p>
    <w:p>
      <w:pPr>
        <w:numPr>
          <w:ilvl w:val="2"/>
          <w:numId w:val="21"/>
        </w:numPr>
        <w:snapToGrid w:val="0"/>
        <w:rPr>
          <w:rFonts w:hint="eastAsia" w:ascii="宋体" w:hAnsi="宋体"/>
          <w:sz w:val="28"/>
          <w:szCs w:val="28"/>
        </w:rPr>
      </w:pPr>
      <w:r>
        <w:rPr>
          <w:rFonts w:hint="eastAsia" w:ascii="宋体" w:hAnsi="宋体"/>
          <w:sz w:val="28"/>
          <w:szCs w:val="28"/>
        </w:rPr>
        <w:t>《开标一览表》应要求按格式填写、统一规范，不得自行增减内容。</w:t>
      </w:r>
    </w:p>
    <w:p>
      <w:pPr>
        <w:numPr>
          <w:ilvl w:val="2"/>
          <w:numId w:val="21"/>
        </w:numPr>
        <w:snapToGrid w:val="0"/>
        <w:rPr>
          <w:rFonts w:hint="eastAsia" w:ascii="宋体" w:hAnsi="宋体"/>
          <w:sz w:val="28"/>
          <w:szCs w:val="28"/>
        </w:rPr>
      </w:pPr>
      <w:r>
        <w:rPr>
          <w:rFonts w:hint="eastAsia" w:ascii="宋体" w:hAnsi="宋体"/>
          <w:sz w:val="28"/>
          <w:szCs w:val="28"/>
        </w:rPr>
        <w:t>投标文件应对招标文件中的内容做出实质性的和完整的响应，否则其投标将被拒绝。如果投标文件的内容资料不详，将可能会导致投标被拒绝。</w:t>
      </w:r>
    </w:p>
    <w:p>
      <w:pPr>
        <w:numPr>
          <w:ilvl w:val="2"/>
          <w:numId w:val="21"/>
        </w:numPr>
        <w:snapToGrid w:val="0"/>
        <w:rPr>
          <w:rFonts w:hint="eastAsia" w:ascii="宋体" w:hAnsi="宋体"/>
          <w:sz w:val="28"/>
          <w:szCs w:val="28"/>
        </w:rPr>
      </w:pPr>
      <w:r>
        <w:rPr>
          <w:rFonts w:hint="eastAsia" w:ascii="宋体" w:hAnsi="宋体"/>
          <w:sz w:val="28"/>
          <w:szCs w:val="28"/>
        </w:rPr>
        <w:t>投标人应当在投标文件中予以特别说明，告知采购人可能影响采购项目实施或损害采购人利益的信息，否则，采购代理机构可以拒绝其投标文件。</w:t>
      </w:r>
    </w:p>
    <w:p>
      <w:pPr>
        <w:numPr>
          <w:ilvl w:val="2"/>
          <w:numId w:val="21"/>
        </w:numPr>
        <w:snapToGrid w:val="0"/>
        <w:rPr>
          <w:rFonts w:hint="eastAsia" w:ascii="宋体" w:hAnsi="宋体"/>
          <w:sz w:val="28"/>
          <w:szCs w:val="28"/>
        </w:rPr>
      </w:pPr>
      <w:r>
        <w:rPr>
          <w:rFonts w:hint="eastAsia" w:ascii="宋体" w:hAnsi="宋体"/>
          <w:sz w:val="28"/>
          <w:szCs w:val="28"/>
        </w:rPr>
        <w:t>投标文件不得涂改和增删，由于字迹模糊或表达不清引起的后果由投标人负责。</w:t>
      </w:r>
    </w:p>
    <w:p>
      <w:pPr>
        <w:numPr>
          <w:ilvl w:val="2"/>
          <w:numId w:val="21"/>
        </w:numPr>
        <w:snapToGrid w:val="0"/>
        <w:rPr>
          <w:rFonts w:hint="eastAsia" w:ascii="宋体" w:hAnsi="宋体"/>
          <w:b/>
          <w:bCs/>
          <w:sz w:val="28"/>
          <w:szCs w:val="28"/>
        </w:rPr>
      </w:pPr>
      <w:r>
        <w:rPr>
          <w:rFonts w:hint="eastAsia" w:ascii="宋体" w:hAnsi="宋体"/>
          <w:sz w:val="28"/>
          <w:szCs w:val="28"/>
        </w:rPr>
        <w:t>所投服务（货物）如与采购需求在规格、技术参数、性能、工艺、材料、质量等方面有偏离，请在《投标服务（货物）清单及偏离表》中注明</w:t>
      </w:r>
      <w:r>
        <w:rPr>
          <w:rFonts w:hint="eastAsia" w:ascii="宋体" w:hAnsi="宋体"/>
          <w:bCs/>
          <w:sz w:val="28"/>
          <w:szCs w:val="28"/>
        </w:rPr>
        <w:t>。</w:t>
      </w:r>
      <w:r>
        <w:rPr>
          <w:rFonts w:hint="eastAsia" w:ascii="宋体" w:hAnsi="宋体"/>
          <w:b/>
          <w:bCs/>
          <w:sz w:val="28"/>
          <w:szCs w:val="28"/>
        </w:rPr>
        <w:t>如有正偏离未在偏离表中写明的，将可能被视作无偏离。如有负偏离未在偏离表中写明的，将可能被视作无偏离</w:t>
      </w:r>
    </w:p>
    <w:p>
      <w:pPr>
        <w:numPr>
          <w:ilvl w:val="1"/>
          <w:numId w:val="21"/>
        </w:numPr>
        <w:snapToGrid w:val="0"/>
        <w:rPr>
          <w:rFonts w:hint="eastAsia" w:ascii="宋体" w:hAnsi="宋体"/>
          <w:sz w:val="28"/>
          <w:szCs w:val="28"/>
        </w:rPr>
      </w:pPr>
      <w:r>
        <w:rPr>
          <w:rFonts w:hint="eastAsia" w:ascii="宋体" w:hAnsi="宋体"/>
          <w:sz w:val="28"/>
          <w:szCs w:val="28"/>
        </w:rPr>
        <w:t>投标报价</w:t>
      </w:r>
    </w:p>
    <w:p>
      <w:pPr>
        <w:numPr>
          <w:ilvl w:val="2"/>
          <w:numId w:val="21"/>
        </w:numPr>
        <w:snapToGrid w:val="0"/>
        <w:rPr>
          <w:rFonts w:hint="eastAsia" w:ascii="宋体" w:hAnsi="宋体"/>
          <w:sz w:val="28"/>
          <w:szCs w:val="28"/>
        </w:rPr>
      </w:pPr>
      <w:r>
        <w:rPr>
          <w:rFonts w:hint="eastAsia" w:ascii="宋体" w:hAnsi="宋体"/>
          <w:sz w:val="28"/>
          <w:szCs w:val="28"/>
        </w:rPr>
        <w:t>投标报价请按招标文件中相关附表格式填写。</w:t>
      </w:r>
    </w:p>
    <w:p>
      <w:pPr>
        <w:numPr>
          <w:ilvl w:val="2"/>
          <w:numId w:val="21"/>
        </w:numPr>
        <w:snapToGrid w:val="0"/>
        <w:rPr>
          <w:rFonts w:hint="eastAsia" w:ascii="宋体" w:hAnsi="宋体"/>
          <w:sz w:val="28"/>
          <w:szCs w:val="28"/>
        </w:rPr>
      </w:pPr>
      <w:r>
        <w:rPr>
          <w:rFonts w:hint="eastAsia" w:ascii="宋体" w:hAnsi="宋体"/>
          <w:sz w:val="28"/>
          <w:szCs w:val="28"/>
        </w:rPr>
        <w:t>报价中必须包含货物及零配件的购置安装、运输保险、装卸、培训辅导、质保期售后服务、全额含税发票、雇员费用、合同实施过程中的应预见和不可预见费用、招标代理费等。</w:t>
      </w:r>
    </w:p>
    <w:p>
      <w:pPr>
        <w:numPr>
          <w:ilvl w:val="2"/>
          <w:numId w:val="21"/>
        </w:numPr>
        <w:snapToGrid w:val="0"/>
        <w:rPr>
          <w:rFonts w:hint="eastAsia" w:ascii="宋体" w:hAnsi="宋体"/>
          <w:b/>
          <w:sz w:val="28"/>
          <w:szCs w:val="28"/>
        </w:rPr>
      </w:pPr>
      <w:r>
        <w:rPr>
          <w:rFonts w:hint="eastAsia" w:ascii="宋体" w:hAnsi="宋体"/>
          <w:b/>
          <w:sz w:val="28"/>
          <w:szCs w:val="28"/>
        </w:rPr>
        <w:t>本项目招标代理服务费按收费标准*0.7计取（明细如下），由中标人在领取中标通知书时一次性向招标代理机构支付，投标人在投标报价中考虑此项费用。</w:t>
      </w:r>
    </w:p>
    <w:tbl>
      <w:tblPr>
        <w:tblStyle w:val="61"/>
        <w:tblW w:w="7698" w:type="dxa"/>
        <w:jc w:val="center"/>
        <w:tblLayout w:type="fixed"/>
        <w:tblCellMar>
          <w:top w:w="0" w:type="dxa"/>
          <w:left w:w="0" w:type="dxa"/>
          <w:bottom w:w="0" w:type="dxa"/>
          <w:right w:w="0" w:type="dxa"/>
        </w:tblCellMar>
      </w:tblPr>
      <w:tblGrid>
        <w:gridCol w:w="2780"/>
        <w:gridCol w:w="1231"/>
        <w:gridCol w:w="992"/>
        <w:gridCol w:w="1134"/>
        <w:gridCol w:w="1560"/>
      </w:tblGrid>
      <w:tr>
        <w:tblPrEx>
          <w:tblCellMar>
            <w:top w:w="0" w:type="dxa"/>
            <w:left w:w="0" w:type="dxa"/>
            <w:bottom w:w="0" w:type="dxa"/>
            <w:right w:w="0" w:type="dxa"/>
          </w:tblCellMar>
        </w:tblPrEx>
        <w:trPr>
          <w:wBefore w:w="0" w:type="dxa"/>
          <w:wAfter w:w="0" w:type="dxa"/>
          <w:trHeight w:val="1099" w:hRule="atLeast"/>
          <w:jc w:val="center"/>
        </w:trPr>
        <w:tc>
          <w:tcPr>
            <w:tcW w:w="2781" w:type="dxa"/>
            <w:tcBorders>
              <w:top w:val="single" w:color="auto" w:sz="6" w:space="0"/>
              <w:left w:val="single" w:color="auto" w:sz="6" w:space="0"/>
              <w:bottom w:val="single" w:color="auto" w:sz="6" w:space="0"/>
              <w:right w:val="single" w:color="auto" w:sz="6" w:space="0"/>
            </w:tcBorders>
            <w:noWrap w:val="0"/>
            <w:vAlign w:val="center"/>
          </w:tcPr>
          <w:p>
            <w:pPr>
              <w:spacing w:line="300" w:lineRule="atLeast"/>
              <w:ind w:firstLine="1680" w:firstLineChars="700"/>
              <w:rPr>
                <w:rFonts w:hint="eastAsia" w:ascii="宋体" w:hAnsi="宋体"/>
              </w:rPr>
            </w:pPr>
            <w:r>
              <w:rPr>
                <w:rFonts w:ascii="宋体" w:hAnsi="宋体"/>
                <w:lang/>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5715</wp:posOffset>
                      </wp:positionV>
                      <wp:extent cx="1714500" cy="792480"/>
                      <wp:effectExtent l="1905" t="4445" r="17145" b="22225"/>
                      <wp:wrapNone/>
                      <wp:docPr id="2" name="直线 113"/>
                      <wp:cNvGraphicFramePr/>
                      <a:graphic xmlns:a="http://schemas.openxmlformats.org/drawingml/2006/main">
                        <a:graphicData uri="http://schemas.microsoft.com/office/word/2010/wordprocessingShape">
                          <wps:wsp>
                            <wps:cNvSpPr/>
                            <wps:spPr>
                              <a:xfrm>
                                <a:off x="0" y="0"/>
                                <a:ext cx="171450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2.45pt;margin-top:0.45pt;height:62.4pt;width:135pt;z-index:251660288;mso-width-relative:page;mso-height-relative:page;" filled="f" stroked="t" coordsize="21600,21600" o:gfxdata="UEsDBAoAAAAAAIdO4kAAAAAAAAAAAAAAAAAEAAAAZHJzL1BLAwQUAAAACACHTuJAqbqE5NQAAAAG AQAADwAAAGRycy9kb3ducmV2LnhtbE2Oy07DMBBF90j8gzVIbKrWbngUQpwugOzYUKjYTuMhiYjH aew+4OuZrmAz0tU9unOK5dH3ak9j7AJbmM8MKOI6uI4bC+9v1fQOVEzIDvvAZOGbIizL87MCcxcO /Er7VWqUjHDM0UKb0pBrHeuWPMZZGIil+wyjxyRxbLQb8SDjvteZMbfaY8fyocWBHluqv1Y7byFW a9pWP5N6Yj6umkDZ9unlGa29vJibB1CJjukPhpO+qEMpTpuwYxdVb+H6XkALcqXMFqe4ESq7WYAu C/1fv/wFUEsDBBQAAAAIAIdO4kA0Mprx7wEAAOIDAAAOAAAAZHJzL2Uyb0RvYy54bWytU81y0zAQ vjPDO2h0J45DS1tPnB4I5cJAZ1oeYCPJtmb0N1olTp6F1+DEhcfpa7CSQwrlkgM+yCvt6tv9vl0t b/fWsJ2KqL1reT2bc6ac8FK7vuVfH+/eXHOGCZwE451q+UEhv129frUcQ6MWfvBGqsgIxGEzhpYP KYWmqlAMygLOfFCOnJ2PFhJtY1/JCCOhW1Mt5vN31eijDNELhUin68nJj4jxHEDfdVqotRdbq1ya UKMykIgSDjogX5Vqu06J9KXrUCVmWk5MU1kpCdmbvFarJTR9hDBocSwBzinhBScL2lHSE9QaErBt 1P9AWS2iR9+lmfC2mogURYhFPX+hzcMAQRUuJDWGk+j4/2DF5919ZFq2fMGZA0sNf/r2/enHT1bX b7M6Y8CGgh7CfTzukMxMdd9Fm/9Egu2LooeTomqfmKDD+qq+uJyT2IJ8VzeLi+siefV8O0RMH5W3 LBstN9plxtDA7hMmykihv0PysXFsbPnN5eKSMIHGr6O2k2kDUUDXl7vojZZ32ph8A2O/eW8i20Ee gfJlXoT7V1hOsgYcprjimoZjUCA/OMnSIZA4jt4EzyVYJTkzip5QtggQmgTanBNJqY2jCrK0k5jZ 2nh5oFZsQ9T9QErUpcrsodaXeo9jmmfrz31Ben6aq19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Cp uoTk1AAAAAYBAAAPAAAAAAAAAAEAIAAAACIAAABkcnMvZG93bnJldi54bWxQSwECFAAUAAAACACH TuJANDKa8e8BAADiAwAADgAAAAAAAAABACAAAAAjAQAAZHJzL2Uyb0RvYy54bWxQSwUGAAAAAAYA BgBZAQAAhAUAAAAA ">
                      <v:fill on="f" focussize="0,0"/>
                      <v:stroke color="#000000" joinstyle="round"/>
                      <v:imagedata o:title=""/>
                      <o:lock v:ext="edit" aspectratio="f"/>
                    </v:line>
                  </w:pict>
                </mc:Fallback>
              </mc:AlternateContent>
            </w:r>
            <w:r>
              <w:rPr>
                <w:rFonts w:ascii="宋体" w:hAnsi="宋体"/>
                <w:lang/>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707515" cy="393065"/>
                      <wp:effectExtent l="1270" t="4445" r="5715" b="21590"/>
                      <wp:wrapNone/>
                      <wp:docPr id="1" name="直线 112"/>
                      <wp:cNvGraphicFramePr/>
                      <a:graphic xmlns:a="http://schemas.openxmlformats.org/drawingml/2006/main">
                        <a:graphicData uri="http://schemas.microsoft.com/office/word/2010/wordprocessingShape">
                          <wps:wsp>
                            <wps:cNvSpPr/>
                            <wps:spPr>
                              <a:xfrm>
                                <a:off x="0" y="0"/>
                                <a:ext cx="1707515" cy="393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3pt;margin-top:0.7pt;height:30.95pt;width:134.45pt;z-index:251659264;mso-width-relative:page;mso-height-relative:page;" filled="f" stroked="t" coordsize="21600,21600" o:gfxdata="UEsDBAoAAAAAAIdO4kAAAAAAAAAAAAAAAAAEAAAAZHJzL1BLAwQUAAAACACHTuJAqRozLNQAAAAG AQAADwAAAGRycy9kb3ducmV2LnhtbE2PzU7DMBCE70i8g7VIXCpqN6kKhDg9ALlxoYC4buMliYjX aez+wNOznOA4M6uZb8v1yQ/qQFPsA1tYzA0o4ia4nlsLry/11Q2omJAdDoHJwhdFWFfnZyUWLhz5 mQ6b1Cop4VighS6lsdA6Nh15jPMwEkv2ESaPSeTUajfhUcr9oDNjVtpjz7LQ4Uj3HTWfm723EOs3 2tXfs2Zm3vM2ULZ7eHpEay8vFuYOVKJT+juGX3xBh0qYtmHPLqrBwko+SWIvQUmaXS9vQW3FznPQ Van/41c/UEsDBBQAAAAIAIdO4kDW4+4D7AEAAOIDAAAOAAAAZHJzL2Uyb0RvYy54bWytU0tu2zAQ 3RfoHQjua0kOnDSC5SzqppuiDZD2AGOKkgjwBw5t2WfpNbrqpsfJNTqkVKdNN15UC2rIeXyc9zhc 3x2NZgcZUDnb8GpRciatcK2yfcO/frl/85YzjGBb0M7Khp8k8rvN61fr0ddy6QanWxkYkVisR9/w IUZfFwWKQRrAhfPSUrJzwUCkaeiLNsBI7EYXy7K8LkYXWh+ckIi0up2SfGYMlxC6rlNCbp3YG2nj xBqkhkiScFAe+SZX23VSxM9dhzIy3XBSGvNIh1C8S2OxWUPdB/CDEnMJcEkJLzQZUJYOPVNtIQLb B/UPlVEiOHRdXAhniklIdoRUVOULbx4H8DJrIavRn03H/0crPh0eAlMtdQJnFgxd+NO3708/frKq WiZ3Ro81gR79Q5hnSGGSeuyCSX8SwY7Z0dPZUXmMTNBidVPerKoVZ4JyV7dX5fUqkRbPu33A+EE6 w1LQcK1sUgw1HD5inKC/IWlZWzY2/Ha1TJxA7dfRtVNoPElA2+e96LRq75XWaQeGfvdOB3aA1AL5 m0v4C5YO2QIOEy6nEgzqQUL73rYsnjyZY+lN8FSCkS1nWtITSlFGRlD6EiSp15ZMSNZOZqZo59oT XcXeB9UP5ESVq0wZuvps2dymqbf+nGem56e5+QV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AAAAAZHJzL1BLAQIUABQAAAAIAIdO4kCpGjMs 1AAAAAYBAAAPAAAAAAAAAAEAIAAAACIAAABkcnMvZG93bnJldi54bWxQSwECFAAUAAAACACHTuJA 1uPuA+wBAADiAwAADgAAAAAAAAABACAAAAAjAQAAZHJzL2Uyb0RvYy54bWxQSwUGAAAAAAYABgBZ AQAAgQUAAAAA ">
                      <v:fill on="f" focussize="0,0"/>
                      <v:stroke color="#000000" joinstyle="round"/>
                      <v:imagedata o:title=""/>
                      <o:lock v:ext="edit" aspectratio="f"/>
                    </v:line>
                  </w:pict>
                </mc:Fallback>
              </mc:AlternateContent>
            </w:r>
            <w:r>
              <w:rPr>
                <w:rFonts w:hint="eastAsia" w:ascii="宋体" w:hAnsi="宋体"/>
              </w:rPr>
              <w:t>服务类型</w:t>
            </w:r>
          </w:p>
          <w:p>
            <w:pPr>
              <w:spacing w:line="300" w:lineRule="atLeast"/>
              <w:ind w:firstLine="1920" w:firstLineChars="800"/>
              <w:rPr>
                <w:rFonts w:hint="eastAsia" w:ascii="宋体" w:hAnsi="宋体"/>
              </w:rPr>
            </w:pPr>
          </w:p>
          <w:p>
            <w:pPr>
              <w:spacing w:line="300" w:lineRule="atLeast"/>
              <w:ind w:firstLine="1920" w:firstLineChars="800"/>
              <w:rPr>
                <w:rFonts w:ascii="宋体" w:hAnsi="宋体"/>
              </w:rPr>
            </w:pPr>
            <w:r>
              <w:rPr>
                <w:rFonts w:hint="eastAsia" w:ascii="宋体" w:hAnsi="宋体"/>
              </w:rPr>
              <w:t>费率</w:t>
            </w:r>
          </w:p>
          <w:p>
            <w:pPr>
              <w:spacing w:line="300" w:lineRule="atLeast"/>
              <w:rPr>
                <w:rFonts w:ascii="宋体" w:hAnsi="宋体"/>
              </w:rPr>
            </w:pPr>
            <w:r>
              <w:rPr>
                <w:rFonts w:hint="eastAsia" w:ascii="宋体" w:hAnsi="宋体"/>
              </w:rPr>
              <w:t>金额（万元）</w:t>
            </w:r>
          </w:p>
        </w:tc>
        <w:tc>
          <w:tcPr>
            <w:tcW w:w="1231" w:type="dxa"/>
            <w:tcBorders>
              <w:top w:val="single" w:color="auto" w:sz="6" w:space="0"/>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货物招标</w:t>
            </w:r>
          </w:p>
        </w:tc>
        <w:tc>
          <w:tcPr>
            <w:tcW w:w="992" w:type="dxa"/>
            <w:tcBorders>
              <w:top w:val="single" w:color="auto" w:sz="6" w:space="0"/>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szCs w:val="26"/>
              </w:rPr>
              <w:t>服务招标</w:t>
            </w:r>
          </w:p>
        </w:tc>
        <w:tc>
          <w:tcPr>
            <w:tcW w:w="1134" w:type="dxa"/>
            <w:tcBorders>
              <w:top w:val="single" w:color="auto" w:sz="6" w:space="0"/>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工程招标</w:t>
            </w:r>
          </w:p>
        </w:tc>
        <w:tc>
          <w:tcPr>
            <w:tcW w:w="1560" w:type="dxa"/>
            <w:tcBorders>
              <w:top w:val="single" w:color="auto" w:sz="6" w:space="0"/>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累进费率</w:t>
            </w:r>
          </w:p>
        </w:tc>
      </w:tr>
      <w:tr>
        <w:tblPrEx>
          <w:tblCellMar>
            <w:top w:w="0" w:type="dxa"/>
            <w:left w:w="0" w:type="dxa"/>
            <w:bottom w:w="0" w:type="dxa"/>
            <w:right w:w="0" w:type="dxa"/>
          </w:tblCellMar>
        </w:tblPrEx>
        <w:trPr>
          <w:wBefore w:w="0" w:type="dxa"/>
          <w:wAfter w:w="0" w:type="dxa"/>
          <w:jc w:val="center"/>
        </w:trPr>
        <w:tc>
          <w:tcPr>
            <w:tcW w:w="2781" w:type="dxa"/>
            <w:tcBorders>
              <w:top w:val="nil"/>
              <w:left w:val="single" w:color="auto" w:sz="6" w:space="0"/>
              <w:bottom w:val="single" w:color="auto" w:sz="6" w:space="0"/>
              <w:right w:val="single" w:color="auto" w:sz="6" w:space="0"/>
            </w:tcBorders>
            <w:noWrap w:val="0"/>
            <w:vAlign w:val="center"/>
          </w:tcPr>
          <w:p>
            <w:pPr>
              <w:spacing w:line="300" w:lineRule="atLeast"/>
              <w:ind w:firstLine="255"/>
              <w:rPr>
                <w:rFonts w:ascii="宋体" w:hAnsi="宋体"/>
              </w:rPr>
            </w:pPr>
            <w:r>
              <w:rPr>
                <w:rFonts w:hint="eastAsia" w:ascii="宋体" w:hAnsi="宋体"/>
              </w:rPr>
              <w:t>100以下</w:t>
            </w:r>
          </w:p>
        </w:tc>
        <w:tc>
          <w:tcPr>
            <w:tcW w:w="1231"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szCs w:val="18"/>
              </w:rPr>
              <w:t>1.5％</w:t>
            </w:r>
          </w:p>
        </w:tc>
        <w:tc>
          <w:tcPr>
            <w:tcW w:w="992"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1.5％</w:t>
            </w:r>
          </w:p>
        </w:tc>
        <w:tc>
          <w:tcPr>
            <w:tcW w:w="1134"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1.0％</w:t>
            </w:r>
          </w:p>
        </w:tc>
        <w:tc>
          <w:tcPr>
            <w:tcW w:w="1560" w:type="dxa"/>
            <w:tcBorders>
              <w:top w:val="nil"/>
              <w:left w:val="nil"/>
              <w:bottom w:val="single" w:color="auto" w:sz="6" w:space="0"/>
              <w:right w:val="single" w:color="auto" w:sz="6" w:space="0"/>
            </w:tcBorders>
            <w:noWrap w:val="0"/>
            <w:vAlign w:val="top"/>
          </w:tcPr>
          <w:p>
            <w:pPr>
              <w:spacing w:line="300" w:lineRule="atLeast"/>
              <w:jc w:val="center"/>
              <w:rPr>
                <w:rFonts w:hint="eastAsia" w:ascii="宋体" w:hAnsi="宋体"/>
              </w:rPr>
            </w:pPr>
            <w:r>
              <w:rPr>
                <w:rFonts w:hint="eastAsia" w:ascii="宋体" w:hAnsi="宋体"/>
              </w:rPr>
              <w:t>1.0%</w:t>
            </w:r>
          </w:p>
        </w:tc>
      </w:tr>
      <w:tr>
        <w:tblPrEx>
          <w:tblCellMar>
            <w:top w:w="0" w:type="dxa"/>
            <w:left w:w="0" w:type="dxa"/>
            <w:bottom w:w="0" w:type="dxa"/>
            <w:right w:w="0" w:type="dxa"/>
          </w:tblCellMar>
        </w:tblPrEx>
        <w:trPr>
          <w:wBefore w:w="0" w:type="dxa"/>
          <w:wAfter w:w="0" w:type="dxa"/>
          <w:jc w:val="center"/>
        </w:trPr>
        <w:tc>
          <w:tcPr>
            <w:tcW w:w="2781" w:type="dxa"/>
            <w:tcBorders>
              <w:top w:val="nil"/>
              <w:left w:val="single" w:color="auto" w:sz="6" w:space="0"/>
              <w:bottom w:val="single" w:color="auto" w:sz="6" w:space="0"/>
              <w:right w:val="single" w:color="auto" w:sz="6" w:space="0"/>
            </w:tcBorders>
            <w:noWrap w:val="0"/>
            <w:vAlign w:val="center"/>
          </w:tcPr>
          <w:p>
            <w:pPr>
              <w:spacing w:line="300" w:lineRule="atLeast"/>
              <w:ind w:firstLine="255"/>
              <w:rPr>
                <w:rFonts w:ascii="宋体" w:hAnsi="宋体"/>
              </w:rPr>
            </w:pPr>
            <w:r>
              <w:rPr>
                <w:rFonts w:hint="eastAsia" w:ascii="宋体" w:hAnsi="宋体"/>
              </w:rPr>
              <w:t>100—500</w:t>
            </w:r>
          </w:p>
        </w:tc>
        <w:tc>
          <w:tcPr>
            <w:tcW w:w="1231"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1.l％</w:t>
            </w:r>
          </w:p>
        </w:tc>
        <w:tc>
          <w:tcPr>
            <w:tcW w:w="992"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0.8％</w:t>
            </w:r>
          </w:p>
        </w:tc>
        <w:tc>
          <w:tcPr>
            <w:tcW w:w="1134"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0.7％</w:t>
            </w:r>
          </w:p>
        </w:tc>
        <w:tc>
          <w:tcPr>
            <w:tcW w:w="1560" w:type="dxa"/>
            <w:tcBorders>
              <w:top w:val="nil"/>
              <w:left w:val="nil"/>
              <w:bottom w:val="single" w:color="auto" w:sz="6" w:space="0"/>
              <w:right w:val="single" w:color="auto" w:sz="6" w:space="0"/>
            </w:tcBorders>
            <w:noWrap w:val="0"/>
            <w:vAlign w:val="top"/>
          </w:tcPr>
          <w:p>
            <w:pPr>
              <w:spacing w:line="300" w:lineRule="atLeast"/>
              <w:jc w:val="center"/>
              <w:rPr>
                <w:rFonts w:hint="eastAsia" w:ascii="宋体" w:hAnsi="宋体"/>
              </w:rPr>
            </w:pPr>
            <w:r>
              <w:rPr>
                <w:rFonts w:hint="eastAsia" w:ascii="宋体" w:hAnsi="宋体"/>
              </w:rPr>
              <w:t>0.76%</w:t>
            </w:r>
          </w:p>
        </w:tc>
      </w:tr>
      <w:tr>
        <w:tblPrEx>
          <w:tblCellMar>
            <w:top w:w="0" w:type="dxa"/>
            <w:left w:w="0" w:type="dxa"/>
            <w:bottom w:w="0" w:type="dxa"/>
            <w:right w:w="0" w:type="dxa"/>
          </w:tblCellMar>
        </w:tblPrEx>
        <w:trPr>
          <w:wBefore w:w="0" w:type="dxa"/>
          <w:wAfter w:w="0" w:type="dxa"/>
          <w:jc w:val="center"/>
        </w:trPr>
        <w:tc>
          <w:tcPr>
            <w:tcW w:w="2781" w:type="dxa"/>
            <w:tcBorders>
              <w:top w:val="nil"/>
              <w:left w:val="single" w:color="auto" w:sz="6" w:space="0"/>
              <w:bottom w:val="single" w:color="auto" w:sz="6" w:space="0"/>
              <w:right w:val="single" w:color="auto" w:sz="6" w:space="0"/>
            </w:tcBorders>
            <w:noWrap w:val="0"/>
            <w:vAlign w:val="center"/>
          </w:tcPr>
          <w:p>
            <w:pPr>
              <w:spacing w:line="300" w:lineRule="atLeast"/>
              <w:ind w:firstLine="255"/>
              <w:rPr>
                <w:rFonts w:ascii="宋体" w:hAnsi="宋体"/>
              </w:rPr>
            </w:pPr>
            <w:r>
              <w:rPr>
                <w:rFonts w:hint="eastAsia" w:ascii="宋体" w:hAnsi="宋体"/>
              </w:rPr>
              <w:t>500—1000</w:t>
            </w:r>
          </w:p>
        </w:tc>
        <w:tc>
          <w:tcPr>
            <w:tcW w:w="1231"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0.8％</w:t>
            </w:r>
          </w:p>
        </w:tc>
        <w:tc>
          <w:tcPr>
            <w:tcW w:w="992"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0.45％</w:t>
            </w:r>
          </w:p>
        </w:tc>
        <w:tc>
          <w:tcPr>
            <w:tcW w:w="1134"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0.55％</w:t>
            </w:r>
          </w:p>
        </w:tc>
        <w:tc>
          <w:tcPr>
            <w:tcW w:w="1560" w:type="dxa"/>
            <w:tcBorders>
              <w:top w:val="nil"/>
              <w:left w:val="nil"/>
              <w:bottom w:val="single" w:color="auto" w:sz="6" w:space="0"/>
              <w:right w:val="single" w:color="auto" w:sz="6" w:space="0"/>
            </w:tcBorders>
            <w:noWrap w:val="0"/>
            <w:vAlign w:val="top"/>
          </w:tcPr>
          <w:p>
            <w:pPr>
              <w:spacing w:line="300" w:lineRule="atLeast"/>
              <w:jc w:val="center"/>
              <w:rPr>
                <w:rFonts w:hint="eastAsia" w:ascii="宋体" w:hAnsi="宋体"/>
              </w:rPr>
            </w:pPr>
            <w:r>
              <w:rPr>
                <w:rFonts w:hint="eastAsia" w:ascii="宋体" w:hAnsi="宋体"/>
              </w:rPr>
              <w:t>0.66%</w:t>
            </w:r>
          </w:p>
        </w:tc>
      </w:tr>
      <w:tr>
        <w:tblPrEx>
          <w:tblCellMar>
            <w:top w:w="0" w:type="dxa"/>
            <w:left w:w="0" w:type="dxa"/>
            <w:bottom w:w="0" w:type="dxa"/>
            <w:right w:w="0" w:type="dxa"/>
          </w:tblCellMar>
        </w:tblPrEx>
        <w:trPr>
          <w:wBefore w:w="0" w:type="dxa"/>
          <w:wAfter w:w="0" w:type="dxa"/>
          <w:jc w:val="center"/>
        </w:trPr>
        <w:tc>
          <w:tcPr>
            <w:tcW w:w="2781" w:type="dxa"/>
            <w:tcBorders>
              <w:top w:val="nil"/>
              <w:left w:val="single" w:color="auto" w:sz="6" w:space="0"/>
              <w:bottom w:val="single" w:color="auto" w:sz="6" w:space="0"/>
              <w:right w:val="single" w:color="auto" w:sz="6" w:space="0"/>
            </w:tcBorders>
            <w:noWrap w:val="0"/>
            <w:vAlign w:val="center"/>
          </w:tcPr>
          <w:p>
            <w:pPr>
              <w:spacing w:line="300" w:lineRule="atLeast"/>
              <w:ind w:firstLine="255"/>
              <w:rPr>
                <w:rFonts w:ascii="宋体" w:hAnsi="宋体"/>
              </w:rPr>
            </w:pPr>
            <w:r>
              <w:rPr>
                <w:rFonts w:hint="eastAsia" w:ascii="宋体" w:hAnsi="宋体"/>
              </w:rPr>
              <w:t>1000—5000</w:t>
            </w:r>
          </w:p>
        </w:tc>
        <w:tc>
          <w:tcPr>
            <w:tcW w:w="1231"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0.5％</w:t>
            </w:r>
          </w:p>
        </w:tc>
        <w:tc>
          <w:tcPr>
            <w:tcW w:w="992"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0.25％</w:t>
            </w:r>
          </w:p>
        </w:tc>
        <w:tc>
          <w:tcPr>
            <w:tcW w:w="1134"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0.35％</w:t>
            </w:r>
          </w:p>
        </w:tc>
        <w:tc>
          <w:tcPr>
            <w:tcW w:w="1560" w:type="dxa"/>
            <w:tcBorders>
              <w:top w:val="nil"/>
              <w:left w:val="nil"/>
              <w:bottom w:val="single" w:color="auto" w:sz="6" w:space="0"/>
              <w:right w:val="single" w:color="auto" w:sz="6" w:space="0"/>
            </w:tcBorders>
            <w:noWrap w:val="0"/>
            <w:vAlign w:val="top"/>
          </w:tcPr>
          <w:p>
            <w:pPr>
              <w:spacing w:line="300" w:lineRule="atLeast"/>
              <w:jc w:val="center"/>
              <w:rPr>
                <w:rFonts w:hint="eastAsia" w:ascii="宋体" w:hAnsi="宋体"/>
              </w:rPr>
            </w:pPr>
            <w:r>
              <w:rPr>
                <w:rFonts w:hint="eastAsia" w:ascii="宋体" w:hAnsi="宋体"/>
              </w:rPr>
              <w:t>0.41%</w:t>
            </w:r>
          </w:p>
        </w:tc>
      </w:tr>
      <w:tr>
        <w:tblPrEx>
          <w:tblCellMar>
            <w:top w:w="0" w:type="dxa"/>
            <w:left w:w="0" w:type="dxa"/>
            <w:bottom w:w="0" w:type="dxa"/>
            <w:right w:w="0" w:type="dxa"/>
          </w:tblCellMar>
        </w:tblPrEx>
        <w:trPr>
          <w:wBefore w:w="0" w:type="dxa"/>
          <w:wAfter w:w="0" w:type="dxa"/>
          <w:jc w:val="center"/>
        </w:trPr>
        <w:tc>
          <w:tcPr>
            <w:tcW w:w="2781" w:type="dxa"/>
            <w:tcBorders>
              <w:top w:val="nil"/>
              <w:left w:val="single" w:color="auto" w:sz="6" w:space="0"/>
              <w:bottom w:val="single" w:color="auto" w:sz="6" w:space="0"/>
              <w:right w:val="single" w:color="auto" w:sz="6" w:space="0"/>
            </w:tcBorders>
            <w:noWrap w:val="0"/>
            <w:vAlign w:val="center"/>
          </w:tcPr>
          <w:p>
            <w:pPr>
              <w:spacing w:line="300" w:lineRule="atLeast"/>
              <w:ind w:firstLine="255"/>
              <w:rPr>
                <w:rFonts w:ascii="宋体" w:hAnsi="宋体"/>
              </w:rPr>
            </w:pPr>
            <w:r>
              <w:rPr>
                <w:rFonts w:hint="eastAsia" w:ascii="宋体" w:hAnsi="宋体"/>
              </w:rPr>
              <w:t>5000—10000</w:t>
            </w:r>
          </w:p>
        </w:tc>
        <w:tc>
          <w:tcPr>
            <w:tcW w:w="1231"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0.25％</w:t>
            </w:r>
          </w:p>
        </w:tc>
        <w:tc>
          <w:tcPr>
            <w:tcW w:w="992"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0.1％</w:t>
            </w:r>
          </w:p>
        </w:tc>
        <w:tc>
          <w:tcPr>
            <w:tcW w:w="1134"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0.2％</w:t>
            </w:r>
          </w:p>
        </w:tc>
        <w:tc>
          <w:tcPr>
            <w:tcW w:w="1560" w:type="dxa"/>
            <w:tcBorders>
              <w:top w:val="nil"/>
              <w:left w:val="nil"/>
              <w:bottom w:val="single" w:color="auto" w:sz="6" w:space="0"/>
              <w:right w:val="single" w:color="auto" w:sz="6" w:space="0"/>
            </w:tcBorders>
            <w:noWrap w:val="0"/>
            <w:vAlign w:val="top"/>
          </w:tcPr>
          <w:p>
            <w:pPr>
              <w:spacing w:line="300" w:lineRule="atLeast"/>
              <w:jc w:val="center"/>
              <w:rPr>
                <w:rFonts w:hint="eastAsia" w:ascii="宋体" w:hAnsi="宋体"/>
              </w:rPr>
            </w:pPr>
            <w:r>
              <w:rPr>
                <w:rFonts w:hint="eastAsia" w:ascii="宋体" w:hAnsi="宋体"/>
              </w:rPr>
              <w:t>0.31%</w:t>
            </w:r>
          </w:p>
        </w:tc>
      </w:tr>
      <w:tr>
        <w:tblPrEx>
          <w:tblCellMar>
            <w:top w:w="0" w:type="dxa"/>
            <w:left w:w="0" w:type="dxa"/>
            <w:bottom w:w="0" w:type="dxa"/>
            <w:right w:w="0" w:type="dxa"/>
          </w:tblCellMar>
        </w:tblPrEx>
        <w:trPr>
          <w:wBefore w:w="0" w:type="dxa"/>
          <w:wAfter w:w="0" w:type="dxa"/>
          <w:jc w:val="center"/>
        </w:trPr>
        <w:tc>
          <w:tcPr>
            <w:tcW w:w="2781" w:type="dxa"/>
            <w:tcBorders>
              <w:top w:val="nil"/>
              <w:left w:val="single" w:color="auto" w:sz="6" w:space="0"/>
              <w:bottom w:val="single" w:color="auto" w:sz="6" w:space="0"/>
              <w:right w:val="single" w:color="auto" w:sz="6" w:space="0"/>
            </w:tcBorders>
            <w:noWrap w:val="0"/>
            <w:vAlign w:val="center"/>
          </w:tcPr>
          <w:p>
            <w:pPr>
              <w:spacing w:line="300" w:lineRule="atLeast"/>
              <w:ind w:firstLine="255"/>
              <w:rPr>
                <w:rFonts w:ascii="宋体" w:hAnsi="宋体"/>
              </w:rPr>
            </w:pPr>
            <w:r>
              <w:rPr>
                <w:rFonts w:hint="eastAsia" w:ascii="宋体" w:hAnsi="宋体"/>
              </w:rPr>
              <w:t>10000—100000</w:t>
            </w:r>
          </w:p>
        </w:tc>
        <w:tc>
          <w:tcPr>
            <w:tcW w:w="1231"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0.05％</w:t>
            </w:r>
          </w:p>
        </w:tc>
        <w:tc>
          <w:tcPr>
            <w:tcW w:w="992"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0.05％</w:t>
            </w:r>
          </w:p>
        </w:tc>
        <w:tc>
          <w:tcPr>
            <w:tcW w:w="1134"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0.05％</w:t>
            </w:r>
          </w:p>
        </w:tc>
        <w:tc>
          <w:tcPr>
            <w:tcW w:w="1560" w:type="dxa"/>
            <w:tcBorders>
              <w:top w:val="nil"/>
              <w:left w:val="nil"/>
              <w:bottom w:val="single" w:color="auto" w:sz="6" w:space="0"/>
              <w:right w:val="single" w:color="auto" w:sz="6" w:space="0"/>
            </w:tcBorders>
            <w:noWrap w:val="0"/>
            <w:vAlign w:val="top"/>
          </w:tcPr>
          <w:p>
            <w:pPr>
              <w:spacing w:line="300" w:lineRule="atLeast"/>
              <w:jc w:val="center"/>
              <w:rPr>
                <w:rFonts w:hint="eastAsia" w:ascii="宋体" w:hAnsi="宋体"/>
              </w:rPr>
            </w:pPr>
          </w:p>
        </w:tc>
      </w:tr>
      <w:tr>
        <w:tblPrEx>
          <w:tblCellMar>
            <w:top w:w="0" w:type="dxa"/>
            <w:left w:w="0" w:type="dxa"/>
            <w:bottom w:w="0" w:type="dxa"/>
            <w:right w:w="0" w:type="dxa"/>
          </w:tblCellMar>
        </w:tblPrEx>
        <w:trPr>
          <w:wBefore w:w="0" w:type="dxa"/>
          <w:wAfter w:w="0" w:type="dxa"/>
          <w:jc w:val="center"/>
        </w:trPr>
        <w:tc>
          <w:tcPr>
            <w:tcW w:w="2781" w:type="dxa"/>
            <w:tcBorders>
              <w:top w:val="nil"/>
              <w:left w:val="single" w:color="auto" w:sz="6" w:space="0"/>
              <w:bottom w:val="single" w:color="auto" w:sz="6" w:space="0"/>
              <w:right w:val="single" w:color="auto" w:sz="6" w:space="0"/>
            </w:tcBorders>
            <w:noWrap w:val="0"/>
            <w:vAlign w:val="center"/>
          </w:tcPr>
          <w:p>
            <w:pPr>
              <w:spacing w:line="300" w:lineRule="atLeast"/>
              <w:ind w:firstLine="255"/>
              <w:rPr>
                <w:rFonts w:ascii="宋体" w:hAnsi="宋体"/>
              </w:rPr>
            </w:pPr>
            <w:r>
              <w:rPr>
                <w:rFonts w:hint="eastAsia" w:ascii="宋体" w:hAnsi="宋体"/>
              </w:rPr>
              <w:t>1000000以上</w:t>
            </w:r>
          </w:p>
        </w:tc>
        <w:tc>
          <w:tcPr>
            <w:tcW w:w="1231"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0.01％</w:t>
            </w:r>
          </w:p>
        </w:tc>
        <w:tc>
          <w:tcPr>
            <w:tcW w:w="992"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0.01％</w:t>
            </w:r>
          </w:p>
        </w:tc>
        <w:tc>
          <w:tcPr>
            <w:tcW w:w="1134" w:type="dxa"/>
            <w:tcBorders>
              <w:top w:val="nil"/>
              <w:left w:val="nil"/>
              <w:bottom w:val="single" w:color="auto" w:sz="6" w:space="0"/>
              <w:right w:val="single" w:color="auto" w:sz="6" w:space="0"/>
            </w:tcBorders>
            <w:noWrap w:val="0"/>
            <w:vAlign w:val="center"/>
          </w:tcPr>
          <w:p>
            <w:pPr>
              <w:spacing w:line="300" w:lineRule="atLeast"/>
              <w:jc w:val="center"/>
              <w:rPr>
                <w:rFonts w:ascii="宋体" w:hAnsi="宋体"/>
              </w:rPr>
            </w:pPr>
            <w:r>
              <w:rPr>
                <w:rFonts w:hint="eastAsia" w:ascii="宋体" w:hAnsi="宋体"/>
              </w:rPr>
              <w:t>0.01％</w:t>
            </w:r>
          </w:p>
        </w:tc>
        <w:tc>
          <w:tcPr>
            <w:tcW w:w="1560" w:type="dxa"/>
            <w:tcBorders>
              <w:top w:val="nil"/>
              <w:left w:val="nil"/>
              <w:bottom w:val="single" w:color="auto" w:sz="6" w:space="0"/>
              <w:right w:val="single" w:color="auto" w:sz="6" w:space="0"/>
            </w:tcBorders>
            <w:noWrap w:val="0"/>
            <w:vAlign w:val="top"/>
          </w:tcPr>
          <w:p>
            <w:pPr>
              <w:spacing w:line="300" w:lineRule="atLeast"/>
              <w:jc w:val="center"/>
              <w:rPr>
                <w:rFonts w:hint="eastAsia" w:ascii="宋体" w:hAnsi="宋体"/>
              </w:rPr>
            </w:pPr>
          </w:p>
        </w:tc>
      </w:tr>
    </w:tbl>
    <w:p>
      <w:pPr>
        <w:spacing w:line="360" w:lineRule="auto"/>
        <w:ind w:left="567"/>
        <w:rPr>
          <w:rFonts w:hint="eastAsia" w:ascii="宋体" w:hAnsi="宋体" w:cs="宋体"/>
          <w:color w:val="000000"/>
          <w:sz w:val="28"/>
          <w:szCs w:val="28"/>
        </w:rPr>
      </w:pPr>
      <w:r>
        <w:rPr>
          <w:rFonts w:hint="eastAsia" w:ascii="宋体" w:hAnsi="宋体"/>
          <w:color w:val="000000"/>
          <w:sz w:val="28"/>
          <w:szCs w:val="28"/>
        </w:rPr>
        <w:t>注：1、</w:t>
      </w:r>
      <w:r>
        <w:rPr>
          <w:rFonts w:hint="eastAsia" w:ascii="宋体" w:hAnsi="宋体" w:cs="宋体"/>
          <w:color w:val="000000"/>
          <w:sz w:val="28"/>
          <w:szCs w:val="28"/>
        </w:rPr>
        <w:t>招标代理服务收费按差额定率累进法计算。例如：某工程招标代理业务工程暂估金额为4000万元，计算招标代理服务收费额如下：</w:t>
      </w:r>
    </w:p>
    <w:p>
      <w:pPr>
        <w:snapToGrid w:val="0"/>
        <w:ind w:left="567"/>
        <w:rPr>
          <w:rFonts w:hint="eastAsia" w:ascii="宋体" w:hAnsi="宋体"/>
          <w:b/>
          <w:sz w:val="28"/>
          <w:szCs w:val="28"/>
        </w:rPr>
      </w:pPr>
      <w:r>
        <w:rPr>
          <w:rFonts w:hint="eastAsia" w:ascii="宋体" w:hAnsi="宋体" w:cs="宋体"/>
          <w:color w:val="000000"/>
          <w:sz w:val="28"/>
          <w:szCs w:val="28"/>
        </w:rPr>
        <w:t>招标代理费=（100*1%+400*0.7%+500*0.55%+3000*0.35%）*0.7=11.935万</w:t>
      </w:r>
      <w:r>
        <w:rPr>
          <w:rFonts w:hint="eastAsia" w:ascii="宋体" w:hAnsi="宋体"/>
          <w:sz w:val="28"/>
          <w:szCs w:val="28"/>
        </w:rPr>
        <w:t>元</w:t>
      </w:r>
    </w:p>
    <w:p>
      <w:pPr>
        <w:snapToGrid w:val="0"/>
        <w:ind w:left="567"/>
        <w:rPr>
          <w:rFonts w:hint="eastAsia" w:ascii="宋体" w:hAnsi="宋体"/>
          <w:b/>
          <w:sz w:val="28"/>
          <w:szCs w:val="28"/>
        </w:rPr>
      </w:pPr>
      <w:r>
        <w:rPr>
          <w:rFonts w:hint="eastAsia" w:ascii="宋体" w:hAnsi="宋体"/>
          <w:b/>
          <w:sz w:val="28"/>
          <w:szCs w:val="28"/>
        </w:rPr>
        <w:t>2、招标代理服务费汇入以下帐户：</w:t>
      </w:r>
    </w:p>
    <w:p>
      <w:pPr>
        <w:snapToGrid w:val="0"/>
        <w:ind w:left="567"/>
        <w:rPr>
          <w:rFonts w:hint="eastAsia" w:ascii="宋体" w:hAnsi="宋体"/>
          <w:b/>
          <w:sz w:val="28"/>
          <w:szCs w:val="28"/>
        </w:rPr>
      </w:pPr>
      <w:r>
        <w:rPr>
          <w:rFonts w:hint="eastAsia" w:ascii="宋体" w:hAnsi="宋体"/>
          <w:b/>
          <w:sz w:val="28"/>
          <w:szCs w:val="28"/>
        </w:rPr>
        <w:t>户名：嘉兴诚欣工程咨询有限公司</w:t>
      </w:r>
    </w:p>
    <w:p>
      <w:pPr>
        <w:snapToGrid w:val="0"/>
        <w:ind w:left="567"/>
        <w:rPr>
          <w:rFonts w:hint="eastAsia" w:ascii="宋体" w:hAnsi="宋体"/>
          <w:b/>
          <w:sz w:val="28"/>
          <w:szCs w:val="28"/>
        </w:rPr>
      </w:pPr>
      <w:r>
        <w:rPr>
          <w:rFonts w:hint="eastAsia" w:ascii="宋体" w:hAnsi="宋体"/>
          <w:b/>
          <w:sz w:val="28"/>
          <w:szCs w:val="28"/>
        </w:rPr>
        <w:t>开户：浙江桐乡农村商业银行股份有限公司凤栖分理处</w:t>
      </w:r>
    </w:p>
    <w:p>
      <w:pPr>
        <w:snapToGrid w:val="0"/>
        <w:ind w:left="567"/>
        <w:rPr>
          <w:rFonts w:hint="eastAsia" w:ascii="宋体" w:hAnsi="宋体"/>
          <w:b/>
          <w:sz w:val="28"/>
          <w:szCs w:val="28"/>
        </w:rPr>
      </w:pPr>
      <w:r>
        <w:rPr>
          <w:rFonts w:hint="eastAsia" w:ascii="宋体" w:hAnsi="宋体"/>
          <w:b/>
          <w:sz w:val="28"/>
          <w:szCs w:val="28"/>
        </w:rPr>
        <w:t>账号：201000002693762</w:t>
      </w:r>
    </w:p>
    <w:p>
      <w:pPr>
        <w:numPr>
          <w:ilvl w:val="2"/>
          <w:numId w:val="21"/>
        </w:numPr>
        <w:snapToGrid w:val="0"/>
        <w:rPr>
          <w:rFonts w:hint="eastAsia" w:ascii="宋体" w:hAnsi="宋体"/>
          <w:sz w:val="28"/>
          <w:szCs w:val="28"/>
        </w:rPr>
      </w:pPr>
      <w:r>
        <w:rPr>
          <w:rFonts w:hint="eastAsia" w:ascii="宋体" w:hAnsi="宋体"/>
          <w:sz w:val="28"/>
          <w:szCs w:val="28"/>
        </w:rPr>
        <w:t>投标文件只允许有一个报价，有选择的或有条件的报价将不予接受。</w:t>
      </w:r>
    </w:p>
    <w:p>
      <w:pPr>
        <w:numPr>
          <w:ilvl w:val="1"/>
          <w:numId w:val="21"/>
        </w:numPr>
        <w:snapToGrid w:val="0"/>
        <w:rPr>
          <w:rFonts w:hint="eastAsia" w:ascii="宋体" w:hAnsi="宋体"/>
          <w:sz w:val="28"/>
          <w:szCs w:val="28"/>
        </w:rPr>
      </w:pPr>
      <w:r>
        <w:rPr>
          <w:rFonts w:hint="eastAsia" w:ascii="宋体" w:hAnsi="宋体"/>
          <w:sz w:val="28"/>
          <w:szCs w:val="28"/>
        </w:rPr>
        <w:t>投标有效期</w:t>
      </w:r>
    </w:p>
    <w:p>
      <w:pPr>
        <w:numPr>
          <w:ilvl w:val="2"/>
          <w:numId w:val="21"/>
        </w:numPr>
        <w:snapToGrid w:val="0"/>
        <w:rPr>
          <w:rFonts w:hint="eastAsia" w:ascii="宋体" w:hAnsi="宋体"/>
          <w:sz w:val="28"/>
          <w:szCs w:val="28"/>
        </w:rPr>
      </w:pPr>
      <w:r>
        <w:rPr>
          <w:rFonts w:hint="eastAsia" w:ascii="宋体" w:hAnsi="宋体"/>
          <w:sz w:val="28"/>
          <w:szCs w:val="28"/>
        </w:rPr>
        <w:t>投标文件从投标文件递交截止之日起，有效期为90天；</w:t>
      </w:r>
    </w:p>
    <w:p>
      <w:pPr>
        <w:numPr>
          <w:ilvl w:val="2"/>
          <w:numId w:val="21"/>
        </w:numPr>
        <w:snapToGrid w:val="0"/>
        <w:rPr>
          <w:rFonts w:hint="eastAsia" w:ascii="宋体" w:hAnsi="宋体"/>
          <w:sz w:val="28"/>
          <w:szCs w:val="28"/>
        </w:rPr>
      </w:pPr>
      <w:r>
        <w:rPr>
          <w:rFonts w:hint="eastAsia" w:ascii="宋体" w:hAnsi="宋体"/>
          <w:sz w:val="28"/>
          <w:szCs w:val="28"/>
        </w:rPr>
        <w:t>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pPr>
        <w:numPr>
          <w:ilvl w:val="0"/>
          <w:numId w:val="18"/>
        </w:numPr>
        <w:snapToGrid w:val="0"/>
        <w:outlineLvl w:val="1"/>
        <w:rPr>
          <w:rFonts w:hint="eastAsia" w:ascii="宋体" w:hAnsi="宋体"/>
          <w:b/>
          <w:sz w:val="28"/>
          <w:szCs w:val="28"/>
        </w:rPr>
      </w:pPr>
      <w:bookmarkStart w:id="24" w:name="_Toc359856801"/>
      <w:bookmarkStart w:id="25" w:name="_Toc356371436"/>
      <w:r>
        <w:rPr>
          <w:rFonts w:hint="eastAsia" w:ascii="宋体" w:hAnsi="宋体"/>
          <w:b/>
          <w:sz w:val="28"/>
          <w:szCs w:val="28"/>
        </w:rPr>
        <w:t>投标保证金</w:t>
      </w:r>
      <w:bookmarkEnd w:id="24"/>
      <w:bookmarkEnd w:id="25"/>
    </w:p>
    <w:p>
      <w:pPr>
        <w:snapToGrid w:val="0"/>
        <w:ind w:left="567"/>
        <w:rPr>
          <w:rFonts w:hint="eastAsia" w:ascii="宋体" w:hAnsi="宋体"/>
          <w:sz w:val="28"/>
          <w:szCs w:val="28"/>
        </w:rPr>
      </w:pPr>
      <w:r>
        <w:rPr>
          <w:rFonts w:hint="eastAsia" w:ascii="宋体" w:hAnsi="宋体" w:cs="宋体"/>
          <w:sz w:val="28"/>
          <w:szCs w:val="28"/>
        </w:rPr>
        <w:t>14本项目不收取投标保证金</w:t>
      </w:r>
    </w:p>
    <w:p>
      <w:pPr>
        <w:numPr>
          <w:ilvl w:val="0"/>
          <w:numId w:val="18"/>
        </w:numPr>
        <w:snapToGrid w:val="0"/>
        <w:outlineLvl w:val="1"/>
        <w:rPr>
          <w:rFonts w:hint="eastAsia" w:ascii="宋体" w:hAnsi="宋体"/>
          <w:b/>
          <w:sz w:val="28"/>
          <w:szCs w:val="28"/>
        </w:rPr>
      </w:pPr>
      <w:bookmarkStart w:id="26" w:name="_Toc359856802"/>
      <w:r>
        <w:rPr>
          <w:rFonts w:hint="eastAsia" w:ascii="宋体" w:hAnsi="宋体"/>
          <w:b/>
          <w:sz w:val="28"/>
          <w:szCs w:val="28"/>
        </w:rPr>
        <w:t>投标文件的签署及规定</w:t>
      </w:r>
      <w:bookmarkEnd w:id="26"/>
    </w:p>
    <w:p>
      <w:pPr>
        <w:snapToGrid w:val="0"/>
        <w:ind w:firstLine="560" w:firstLineChars="200"/>
        <w:outlineLvl w:val="1"/>
        <w:rPr>
          <w:rFonts w:hint="eastAsia" w:ascii="宋体" w:hAnsi="宋体"/>
          <w:bCs/>
          <w:sz w:val="28"/>
          <w:szCs w:val="28"/>
        </w:rPr>
      </w:pPr>
      <w:r>
        <w:rPr>
          <w:rFonts w:hint="eastAsia" w:ascii="宋体" w:hAnsi="宋体"/>
          <w:sz w:val="28"/>
          <w:szCs w:val="28"/>
        </w:rPr>
        <w:t>15电子投标文件</w:t>
      </w:r>
      <w:r>
        <w:rPr>
          <w:rFonts w:hint="eastAsia" w:ascii="宋体" w:hAnsi="宋体"/>
          <w:bCs/>
          <w:sz w:val="28"/>
          <w:szCs w:val="28"/>
        </w:rPr>
        <w:t>按“政采云”平台“</w:t>
      </w:r>
      <w:r>
        <w:rPr>
          <w:rFonts w:hint="eastAsia" w:ascii="宋体" w:hAnsi="宋体"/>
          <w:sz w:val="28"/>
          <w:szCs w:val="28"/>
        </w:rPr>
        <w:t>政府采购项目电子交易管理操作指南-供应商”</w:t>
      </w:r>
      <w:r>
        <w:rPr>
          <w:rFonts w:hint="eastAsia" w:ascii="宋体" w:hAnsi="宋体"/>
          <w:bCs/>
          <w:sz w:val="28"/>
          <w:szCs w:val="28"/>
        </w:rPr>
        <w:t>（请投标供应商登录“政采云</w:t>
      </w:r>
      <w:r>
        <w:rPr>
          <w:rFonts w:ascii="宋体" w:hAnsi="宋体"/>
          <w:bCs/>
          <w:sz w:val="28"/>
          <w:szCs w:val="28"/>
        </w:rPr>
        <w:t>”</w:t>
      </w:r>
      <w:r>
        <w:rPr>
          <w:rFonts w:hint="eastAsia" w:ascii="宋体" w:hAnsi="宋体"/>
          <w:bCs/>
          <w:sz w:val="28"/>
          <w:szCs w:val="28"/>
        </w:rPr>
        <w:t>平台政府采购电子卖场后，点击链接https://service.zcygov.cn/#/knowledges/CW1EtGwBFdiHxlNd6I3m/6IMVAG0BFdiHxlNdQ8Na以获取最新操作指南）及本招标文件规定的格式和顺序编制电子投标文件并进行关联定位。</w:t>
      </w:r>
    </w:p>
    <w:p>
      <w:pPr>
        <w:numPr>
          <w:ilvl w:val="0"/>
          <w:numId w:val="18"/>
        </w:numPr>
        <w:snapToGrid w:val="0"/>
        <w:outlineLvl w:val="1"/>
        <w:rPr>
          <w:rFonts w:hint="eastAsia" w:ascii="宋体" w:hAnsi="宋体"/>
          <w:b/>
          <w:sz w:val="28"/>
          <w:szCs w:val="28"/>
        </w:rPr>
      </w:pPr>
      <w:bookmarkStart w:id="27" w:name="_Toc356371437"/>
      <w:bookmarkStart w:id="28" w:name="_Toc359856803"/>
      <w:r>
        <w:rPr>
          <w:rFonts w:hint="eastAsia" w:ascii="宋体" w:hAnsi="宋体"/>
          <w:b/>
          <w:sz w:val="28"/>
          <w:szCs w:val="28"/>
        </w:rPr>
        <w:t>投标文件的递交</w:t>
      </w:r>
      <w:bookmarkEnd w:id="27"/>
      <w:bookmarkEnd w:id="28"/>
      <w:r>
        <w:rPr>
          <w:rFonts w:hint="eastAsia" w:ascii="宋体" w:hAnsi="宋体"/>
          <w:b/>
          <w:sz w:val="28"/>
          <w:szCs w:val="28"/>
        </w:rPr>
        <w:t>、修改和撤销</w:t>
      </w:r>
    </w:p>
    <w:p>
      <w:pPr>
        <w:numPr>
          <w:ilvl w:val="1"/>
          <w:numId w:val="22"/>
        </w:numPr>
        <w:snapToGrid w:val="0"/>
        <w:rPr>
          <w:rFonts w:hint="eastAsia" w:ascii="宋体" w:hAnsi="宋体"/>
          <w:sz w:val="28"/>
          <w:szCs w:val="28"/>
        </w:rPr>
      </w:pPr>
      <w:r>
        <w:rPr>
          <w:rFonts w:hint="eastAsia" w:ascii="宋体" w:hAnsi="宋体"/>
          <w:sz w:val="28"/>
          <w:szCs w:val="28"/>
        </w:rPr>
        <w:t>投标文件的递交：投标人应当在投标截止时间前完成电子投标文件的传输递交，投标截止时间前未完成传输的，视为撤回投标文件。投标截止时间后送达的投标、响应文件，将被拒收。</w:t>
      </w:r>
    </w:p>
    <w:p>
      <w:pPr>
        <w:numPr>
          <w:ilvl w:val="1"/>
          <w:numId w:val="22"/>
        </w:numPr>
        <w:snapToGrid w:val="0"/>
        <w:rPr>
          <w:rFonts w:hint="eastAsia" w:ascii="宋体" w:hAnsi="宋体"/>
          <w:sz w:val="28"/>
          <w:szCs w:val="28"/>
        </w:rPr>
      </w:pPr>
      <w:r>
        <w:rPr>
          <w:rFonts w:hint="eastAsia" w:ascii="宋体" w:hAnsi="宋体"/>
          <w:sz w:val="28"/>
          <w:szCs w:val="28"/>
        </w:rPr>
        <w:t>投标文件的修改和撤销：</w:t>
      </w:r>
    </w:p>
    <w:p>
      <w:pPr>
        <w:numPr>
          <w:ilvl w:val="2"/>
          <w:numId w:val="22"/>
        </w:numPr>
        <w:snapToGrid w:val="0"/>
        <w:rPr>
          <w:rFonts w:hint="eastAsia" w:ascii="宋体" w:hAnsi="宋体"/>
          <w:sz w:val="28"/>
          <w:szCs w:val="28"/>
        </w:rPr>
      </w:pPr>
      <w:r>
        <w:rPr>
          <w:rFonts w:hint="eastAsia" w:ascii="宋体" w:hAnsi="宋体"/>
          <w:sz w:val="28"/>
          <w:szCs w:val="28"/>
        </w:rPr>
        <w:t>投标人在递交投标文件后，可以修改或撤回其投标文件：递交投标文件截止时间之前补充或者修改电子投标文件的，应当先行撤回原文件，补充、修改后重新传输递交。</w:t>
      </w:r>
    </w:p>
    <w:p>
      <w:pPr>
        <w:numPr>
          <w:ilvl w:val="2"/>
          <w:numId w:val="22"/>
        </w:numPr>
        <w:snapToGrid w:val="0"/>
        <w:rPr>
          <w:rFonts w:hint="eastAsia" w:ascii="宋体" w:hAnsi="宋体"/>
          <w:sz w:val="28"/>
          <w:szCs w:val="28"/>
        </w:rPr>
      </w:pPr>
      <w:r>
        <w:rPr>
          <w:rFonts w:hint="eastAsia" w:ascii="宋体" w:hAnsi="宋体"/>
          <w:sz w:val="28"/>
          <w:szCs w:val="28"/>
        </w:rPr>
        <w:t>在递交投标文件截止期之后，投标人不得对其投标文件做任何修改。</w:t>
      </w:r>
    </w:p>
    <w:p>
      <w:pPr>
        <w:numPr>
          <w:ilvl w:val="2"/>
          <w:numId w:val="22"/>
        </w:numPr>
        <w:snapToGrid w:val="0"/>
        <w:rPr>
          <w:rFonts w:hint="eastAsia" w:ascii="宋体" w:hAnsi="宋体"/>
          <w:sz w:val="28"/>
          <w:szCs w:val="28"/>
        </w:rPr>
      </w:pPr>
      <w:r>
        <w:rPr>
          <w:rFonts w:hint="eastAsia" w:ascii="宋体" w:hAnsi="宋体"/>
          <w:sz w:val="28"/>
          <w:szCs w:val="28"/>
        </w:rPr>
        <w:t>递交投标文件截止期后，投标人不得撤回其投标文件。</w:t>
      </w:r>
    </w:p>
    <w:p>
      <w:pPr>
        <w:numPr>
          <w:ilvl w:val="2"/>
          <w:numId w:val="22"/>
        </w:numPr>
        <w:snapToGrid w:val="0"/>
        <w:rPr>
          <w:rFonts w:hint="eastAsia" w:ascii="宋体" w:hAnsi="宋体"/>
          <w:b/>
          <w:sz w:val="28"/>
          <w:szCs w:val="28"/>
        </w:rPr>
      </w:pPr>
      <w:r>
        <w:rPr>
          <w:rFonts w:hint="eastAsia" w:ascii="宋体" w:hAnsi="宋体"/>
          <w:sz w:val="28"/>
          <w:szCs w:val="28"/>
        </w:rPr>
        <w:t>实质上没有响应本文件要求的投标文件将被拒绝。投标人不得通过修正或撤销不合要求的偏离或保留从而使其投标文件成为实质上响应的文件。</w:t>
      </w:r>
    </w:p>
    <w:p>
      <w:pPr>
        <w:numPr>
          <w:ilvl w:val="0"/>
          <w:numId w:val="18"/>
        </w:numPr>
        <w:snapToGrid w:val="0"/>
        <w:outlineLvl w:val="1"/>
        <w:rPr>
          <w:rFonts w:hint="eastAsia" w:ascii="宋体" w:hAnsi="宋体"/>
          <w:b/>
          <w:sz w:val="28"/>
          <w:szCs w:val="28"/>
        </w:rPr>
      </w:pPr>
      <w:bookmarkStart w:id="29" w:name="_Toc356371439"/>
      <w:bookmarkStart w:id="30" w:name="_Toc359856806"/>
      <w:r>
        <w:rPr>
          <w:rFonts w:hint="eastAsia" w:ascii="宋体" w:hAnsi="宋体"/>
          <w:b/>
          <w:sz w:val="28"/>
          <w:szCs w:val="28"/>
        </w:rPr>
        <w:t>开标</w:t>
      </w:r>
      <w:bookmarkEnd w:id="29"/>
      <w:r>
        <w:rPr>
          <w:rFonts w:hint="eastAsia" w:ascii="宋体" w:hAnsi="宋体"/>
          <w:b/>
          <w:sz w:val="28"/>
          <w:szCs w:val="28"/>
        </w:rPr>
        <w:t>和评标</w:t>
      </w:r>
      <w:bookmarkEnd w:id="30"/>
    </w:p>
    <w:p>
      <w:pPr>
        <w:numPr>
          <w:ilvl w:val="1"/>
          <w:numId w:val="23"/>
        </w:numPr>
        <w:snapToGrid w:val="0"/>
        <w:rPr>
          <w:rFonts w:hint="eastAsia" w:ascii="宋体" w:hAnsi="宋体"/>
          <w:sz w:val="28"/>
          <w:szCs w:val="28"/>
        </w:rPr>
      </w:pPr>
      <w:r>
        <w:rPr>
          <w:rFonts w:hint="eastAsia" w:ascii="宋体" w:hAnsi="宋体"/>
          <w:sz w:val="28"/>
          <w:szCs w:val="28"/>
        </w:rPr>
        <w:t>开标</w:t>
      </w:r>
    </w:p>
    <w:p>
      <w:pPr>
        <w:numPr>
          <w:ilvl w:val="2"/>
          <w:numId w:val="23"/>
        </w:numPr>
        <w:snapToGrid w:val="0"/>
        <w:rPr>
          <w:rFonts w:hint="eastAsia" w:ascii="宋体" w:hAnsi="宋体"/>
          <w:sz w:val="28"/>
          <w:szCs w:val="28"/>
        </w:rPr>
      </w:pPr>
      <w:r>
        <w:rPr>
          <w:rFonts w:hint="eastAsia" w:ascii="宋体" w:hAnsi="宋体"/>
          <w:b/>
          <w:bCs/>
          <w:sz w:val="28"/>
          <w:szCs w:val="28"/>
        </w:rPr>
        <w:t>电子投标文件开标</w:t>
      </w:r>
    </w:p>
    <w:p>
      <w:pPr>
        <w:snapToGrid w:val="0"/>
        <w:ind w:firstLine="560" w:firstLineChars="200"/>
        <w:rPr>
          <w:rFonts w:hint="eastAsia" w:ascii="宋体" w:hAnsi="宋体" w:cs="Arial"/>
          <w:sz w:val="28"/>
          <w:szCs w:val="28"/>
        </w:rPr>
      </w:pPr>
      <w:r>
        <w:rPr>
          <w:rFonts w:hint="eastAsia" w:ascii="宋体" w:hAnsi="宋体"/>
          <w:bCs/>
          <w:sz w:val="28"/>
          <w:szCs w:val="28"/>
        </w:rPr>
        <w:t>（1）投标截止时间后，</w:t>
      </w:r>
      <w:r>
        <w:rPr>
          <w:rFonts w:hint="eastAsia" w:ascii="宋体" w:hAnsi="宋体" w:cs="Arial"/>
          <w:sz w:val="28"/>
          <w:szCs w:val="28"/>
        </w:rPr>
        <w:t>投标人登录</w:t>
      </w:r>
      <w:r>
        <w:rPr>
          <w:rFonts w:hint="eastAsia" w:ascii="宋体" w:hAnsi="宋体"/>
          <w:bCs/>
          <w:sz w:val="28"/>
          <w:szCs w:val="28"/>
        </w:rPr>
        <w:t>“政采云”</w:t>
      </w:r>
      <w:r>
        <w:rPr>
          <w:rFonts w:hint="eastAsia" w:ascii="宋体" w:hAnsi="宋体" w:cs="Arial"/>
          <w:sz w:val="28"/>
          <w:szCs w:val="28"/>
        </w:rPr>
        <w:t>平台，用“项目采购-开标评标”功能对电子投标文件进行在线解密。在线解密电子投标文件时间为开标时间起半个小时内。</w:t>
      </w:r>
    </w:p>
    <w:p>
      <w:pPr>
        <w:snapToGrid w:val="0"/>
        <w:ind w:firstLine="562" w:firstLineChars="201"/>
        <w:rPr>
          <w:rFonts w:hint="eastAsia" w:ascii="宋体" w:hAnsi="宋体"/>
          <w:bCs/>
          <w:sz w:val="28"/>
          <w:szCs w:val="28"/>
        </w:rPr>
      </w:pPr>
      <w:r>
        <w:rPr>
          <w:rFonts w:hint="eastAsia" w:ascii="宋体" w:hAnsi="宋体"/>
          <w:bCs/>
          <w:sz w:val="28"/>
          <w:szCs w:val="28"/>
        </w:rPr>
        <w:t>（2）由采购人代表或代理机构审核资格文件，若资格审查不符合招标文件要求，即终止其参与投标资格。</w:t>
      </w:r>
    </w:p>
    <w:p>
      <w:pPr>
        <w:snapToGrid w:val="0"/>
        <w:ind w:firstLine="562" w:firstLineChars="201"/>
        <w:rPr>
          <w:rFonts w:hint="eastAsia" w:ascii="宋体" w:hAnsi="宋体"/>
          <w:bCs/>
          <w:sz w:val="28"/>
          <w:szCs w:val="28"/>
        </w:rPr>
      </w:pPr>
      <w:r>
        <w:rPr>
          <w:rFonts w:hint="eastAsia" w:ascii="宋体" w:hAnsi="宋体"/>
          <w:bCs/>
          <w:sz w:val="28"/>
          <w:szCs w:val="28"/>
        </w:rPr>
        <w:t>（3）根据《关于在政府采购活动中查询及使用信用记录有关问题的通知》财库[2016]125号的规定：</w:t>
      </w:r>
    </w:p>
    <w:p>
      <w:pPr>
        <w:snapToGrid w:val="0"/>
        <w:ind w:left="566" w:leftChars="236"/>
        <w:rPr>
          <w:rFonts w:hint="eastAsia" w:ascii="宋体" w:hAnsi="宋体"/>
          <w:bCs/>
          <w:sz w:val="28"/>
          <w:szCs w:val="28"/>
        </w:rPr>
      </w:pPr>
      <w:r>
        <w:rPr>
          <w:rFonts w:hint="eastAsia" w:ascii="宋体" w:hAnsi="宋体"/>
          <w:bCs/>
          <w:sz w:val="28"/>
          <w:szCs w:val="28"/>
        </w:rPr>
        <w:t>1）采购人或采购代理机构将对本项目投标人的信用记录进行查询。查询渠道为信用中国网站（</w:t>
      </w:r>
      <w:r>
        <w:rPr>
          <w:rFonts w:hint="eastAsia" w:ascii="宋体" w:hAnsi="宋体"/>
          <w:bCs/>
          <w:sz w:val="28"/>
          <w:szCs w:val="28"/>
        </w:rPr>
        <w:fldChar w:fldCharType="begin"/>
      </w:r>
      <w:r>
        <w:rPr>
          <w:rFonts w:hint="eastAsia" w:ascii="宋体" w:hAnsi="宋体"/>
          <w:bCs/>
          <w:sz w:val="28"/>
          <w:szCs w:val="28"/>
        </w:rPr>
        <w:instrText xml:space="preserve"> HYPERLINK "http://www.creditchina.gov.cn" </w:instrText>
      </w:r>
      <w:r>
        <w:rPr>
          <w:rFonts w:hint="eastAsia" w:ascii="宋体" w:hAnsi="宋体"/>
          <w:bCs/>
          <w:sz w:val="28"/>
          <w:szCs w:val="28"/>
        </w:rPr>
        <w:fldChar w:fldCharType="separate"/>
      </w:r>
      <w:r>
        <w:rPr>
          <w:rFonts w:hint="eastAsia" w:ascii="宋体"/>
          <w:bCs/>
          <w:sz w:val="28"/>
          <w:szCs w:val="28"/>
        </w:rPr>
        <w:t>www.creditchina.gov.cn</w:t>
      </w:r>
      <w:r>
        <w:rPr>
          <w:rFonts w:hint="eastAsia" w:ascii="宋体" w:hAnsi="宋体"/>
          <w:bCs/>
          <w:sz w:val="28"/>
          <w:szCs w:val="28"/>
        </w:rPr>
        <w:fldChar w:fldCharType="end"/>
      </w:r>
      <w:r>
        <w:rPr>
          <w:rFonts w:hint="eastAsia" w:ascii="宋体" w:hAnsi="宋体"/>
          <w:bCs/>
          <w:sz w:val="28"/>
          <w:szCs w:val="28"/>
        </w:rPr>
        <w:t>）、中国政府采购网（</w:t>
      </w:r>
      <w:r>
        <w:rPr>
          <w:rFonts w:hint="eastAsia" w:ascii="宋体" w:hAnsi="宋体"/>
          <w:bCs/>
          <w:sz w:val="28"/>
          <w:szCs w:val="28"/>
        </w:rPr>
        <w:fldChar w:fldCharType="begin"/>
      </w:r>
      <w:r>
        <w:rPr>
          <w:rFonts w:hint="eastAsia" w:ascii="宋体" w:hAnsi="宋体"/>
          <w:bCs/>
          <w:sz w:val="28"/>
          <w:szCs w:val="28"/>
        </w:rPr>
        <w:instrText xml:space="preserve">HYPERLINK "http://www.ccgp.gov.cn"</w:instrText>
      </w:r>
      <w:r>
        <w:rPr>
          <w:rFonts w:hint="eastAsia" w:ascii="宋体" w:hAnsi="宋体"/>
          <w:bCs/>
          <w:sz w:val="28"/>
          <w:szCs w:val="28"/>
        </w:rPr>
        <w:fldChar w:fldCharType="separate"/>
      </w:r>
      <w:r>
        <w:rPr>
          <w:rFonts w:hint="eastAsia" w:ascii="宋体"/>
          <w:bCs/>
          <w:sz w:val="28"/>
          <w:szCs w:val="28"/>
        </w:rPr>
        <w:t>http://www.ccgp.gov.cn</w:t>
      </w:r>
      <w:r>
        <w:rPr>
          <w:rFonts w:hint="eastAsia" w:ascii="宋体" w:hAnsi="宋体"/>
          <w:bCs/>
          <w:sz w:val="28"/>
          <w:szCs w:val="28"/>
        </w:rPr>
        <w:fldChar w:fldCharType="end"/>
      </w:r>
      <w:r>
        <w:rPr>
          <w:rFonts w:hint="eastAsia" w:ascii="宋体" w:hAnsi="宋体"/>
          <w:bCs/>
          <w:sz w:val="28"/>
          <w:szCs w:val="28"/>
        </w:rPr>
        <w:t>）；</w:t>
      </w:r>
    </w:p>
    <w:p>
      <w:pPr>
        <w:snapToGrid w:val="0"/>
        <w:ind w:left="566" w:leftChars="236"/>
        <w:rPr>
          <w:rFonts w:hint="eastAsia" w:ascii="宋体" w:hAnsi="宋体"/>
          <w:bCs/>
          <w:sz w:val="28"/>
          <w:szCs w:val="28"/>
        </w:rPr>
      </w:pPr>
      <w:r>
        <w:rPr>
          <w:rFonts w:hint="eastAsia" w:ascii="宋体" w:hAnsi="宋体"/>
          <w:bCs/>
          <w:sz w:val="28"/>
          <w:szCs w:val="28"/>
        </w:rPr>
        <w:t>2）截止时点：投标截止时间前3年内；</w:t>
      </w:r>
    </w:p>
    <w:p>
      <w:pPr>
        <w:snapToGrid w:val="0"/>
        <w:ind w:left="566" w:leftChars="236"/>
        <w:rPr>
          <w:rFonts w:hint="eastAsia" w:ascii="宋体" w:hAnsi="宋体"/>
          <w:bCs/>
          <w:sz w:val="28"/>
          <w:szCs w:val="28"/>
        </w:rPr>
      </w:pPr>
      <w:r>
        <w:rPr>
          <w:rFonts w:hint="eastAsia" w:ascii="宋体" w:hAnsi="宋体"/>
          <w:bCs/>
          <w:sz w:val="28"/>
          <w:szCs w:val="28"/>
        </w:rPr>
        <w:t>3）查询记录和证据的留存：信用信息查询记录和证据以网页截图等方式留存。</w:t>
      </w:r>
    </w:p>
    <w:p>
      <w:pPr>
        <w:snapToGrid w:val="0"/>
        <w:ind w:left="566" w:leftChars="236"/>
        <w:rPr>
          <w:rFonts w:hint="eastAsia" w:ascii="宋体" w:hAnsi="宋体"/>
          <w:bCs/>
          <w:sz w:val="28"/>
          <w:szCs w:val="28"/>
        </w:rPr>
      </w:pPr>
      <w:r>
        <w:rPr>
          <w:rFonts w:hint="eastAsia" w:ascii="宋体" w:hAnsi="宋体"/>
          <w:bCs/>
          <w:sz w:val="28"/>
          <w:szCs w:val="28"/>
        </w:rPr>
        <w:t>4）使用规则：被列入失信被执行人、重大税收违法案件当事人名单、政府采购严重违法失信行为记录名单及其它不符合《中华人民共和国政府采购法》第二十二条规定条件的，其投标将被拒绝。</w:t>
      </w:r>
    </w:p>
    <w:p>
      <w:pPr>
        <w:snapToGrid w:val="0"/>
        <w:ind w:left="566" w:leftChars="236"/>
        <w:rPr>
          <w:rFonts w:hint="eastAsia" w:ascii="宋体" w:hAnsi="宋体"/>
          <w:bCs/>
          <w:sz w:val="28"/>
          <w:szCs w:val="28"/>
        </w:rPr>
      </w:pPr>
      <w:r>
        <w:rPr>
          <w:rFonts w:hint="eastAsia" w:ascii="宋体" w:hAnsi="宋体"/>
          <w:bCs/>
          <w:sz w:val="28"/>
          <w:szCs w:val="28"/>
        </w:rPr>
        <w:t>5）联合体成员任意一方存在不良信用记录的，视同联合体存在不良信用记录。</w:t>
      </w:r>
    </w:p>
    <w:p>
      <w:pPr>
        <w:numPr>
          <w:ilvl w:val="1"/>
          <w:numId w:val="23"/>
        </w:numPr>
        <w:snapToGrid w:val="0"/>
        <w:rPr>
          <w:rFonts w:hint="eastAsia" w:ascii="宋体" w:hAnsi="宋体"/>
          <w:sz w:val="28"/>
          <w:szCs w:val="28"/>
        </w:rPr>
      </w:pPr>
      <w:r>
        <w:rPr>
          <w:rFonts w:hint="eastAsia" w:ascii="宋体" w:hAnsi="宋体"/>
          <w:sz w:val="28"/>
          <w:szCs w:val="28"/>
        </w:rPr>
        <w:t>评标委员会</w:t>
      </w:r>
    </w:p>
    <w:p>
      <w:pPr>
        <w:numPr>
          <w:ilvl w:val="2"/>
          <w:numId w:val="23"/>
        </w:numPr>
        <w:snapToGrid w:val="0"/>
        <w:rPr>
          <w:rFonts w:hint="eastAsia" w:ascii="宋体" w:hAnsi="宋体"/>
          <w:sz w:val="28"/>
          <w:szCs w:val="28"/>
        </w:rPr>
      </w:pPr>
      <w:r>
        <w:rPr>
          <w:rFonts w:hint="eastAsia" w:ascii="宋体" w:hAnsi="宋体"/>
          <w:sz w:val="28"/>
          <w:szCs w:val="28"/>
        </w:rPr>
        <w:t>采购代理机构和采购人将根据采购货物的特点组建评标委员会,其成员由技术、经济等方面的专家和采购人代表组成。评标委员会对投标文件进行审查、询标、评议和推荐中标人。</w:t>
      </w:r>
    </w:p>
    <w:p>
      <w:pPr>
        <w:numPr>
          <w:ilvl w:val="2"/>
          <w:numId w:val="23"/>
        </w:numPr>
        <w:snapToGrid w:val="0"/>
        <w:rPr>
          <w:rFonts w:hint="eastAsia" w:ascii="宋体" w:hAnsi="宋体"/>
          <w:sz w:val="28"/>
          <w:szCs w:val="28"/>
        </w:rPr>
      </w:pPr>
      <w:r>
        <w:rPr>
          <w:rFonts w:hint="eastAsia" w:ascii="宋体" w:hAnsi="宋体"/>
          <w:sz w:val="28"/>
          <w:szCs w:val="28"/>
        </w:rPr>
        <w:t>在评标期间,投标人应安排代表值守，以便参加电子询标。</w:t>
      </w:r>
    </w:p>
    <w:p>
      <w:pPr>
        <w:numPr>
          <w:ilvl w:val="1"/>
          <w:numId w:val="23"/>
        </w:numPr>
        <w:snapToGrid w:val="0"/>
        <w:rPr>
          <w:rFonts w:hint="eastAsia" w:ascii="宋体" w:hAnsi="宋体"/>
          <w:sz w:val="28"/>
          <w:szCs w:val="28"/>
        </w:rPr>
      </w:pPr>
      <w:r>
        <w:rPr>
          <w:rFonts w:hint="eastAsia" w:ascii="宋体" w:hAnsi="宋体"/>
          <w:sz w:val="28"/>
          <w:szCs w:val="28"/>
        </w:rPr>
        <w:t>对投标文件的审查和响应性的确定</w:t>
      </w:r>
    </w:p>
    <w:p>
      <w:pPr>
        <w:numPr>
          <w:ilvl w:val="2"/>
          <w:numId w:val="23"/>
        </w:numPr>
        <w:snapToGrid w:val="0"/>
        <w:rPr>
          <w:rFonts w:hint="eastAsia" w:ascii="宋体" w:hAnsi="宋体"/>
          <w:sz w:val="28"/>
          <w:szCs w:val="28"/>
        </w:rPr>
      </w:pPr>
      <w:r>
        <w:rPr>
          <w:rFonts w:hint="eastAsia" w:ascii="宋体" w:hAnsi="宋体"/>
          <w:sz w:val="28"/>
          <w:szCs w:val="28"/>
        </w:rPr>
        <w:t>评标委员会将审查投标文件是否真实、完整,总体编排是否有序,文件签署是否正确,有无计算上的错误等。</w:t>
      </w:r>
    </w:p>
    <w:p>
      <w:pPr>
        <w:numPr>
          <w:ilvl w:val="2"/>
          <w:numId w:val="23"/>
        </w:numPr>
        <w:snapToGrid w:val="0"/>
        <w:rPr>
          <w:rFonts w:hint="eastAsia" w:ascii="宋体" w:hAnsi="宋体"/>
          <w:bCs/>
          <w:sz w:val="28"/>
          <w:szCs w:val="28"/>
        </w:rPr>
      </w:pPr>
      <w:r>
        <w:rPr>
          <w:rFonts w:hint="eastAsia" w:ascii="宋体" w:hAnsi="宋体"/>
          <w:sz w:val="28"/>
          <w:szCs w:val="28"/>
        </w:rPr>
        <w:t>算术错误应按以下方法更正:</w:t>
      </w:r>
      <w:r>
        <w:rPr>
          <w:rFonts w:hint="eastAsia" w:ascii="宋体" w:hAnsi="宋体"/>
          <w:bCs/>
          <w:sz w:val="28"/>
          <w:szCs w:val="28"/>
        </w:rPr>
        <w:t xml:space="preserve"> </w:t>
      </w:r>
    </w:p>
    <w:p>
      <w:pPr>
        <w:snapToGrid w:val="0"/>
        <w:ind w:firstLine="560" w:firstLineChars="200"/>
        <w:rPr>
          <w:rFonts w:hint="eastAsia" w:ascii="宋体" w:hAnsi="宋体"/>
          <w:bCs/>
          <w:sz w:val="28"/>
          <w:szCs w:val="28"/>
        </w:rPr>
      </w:pPr>
      <w:r>
        <w:rPr>
          <w:rFonts w:hint="eastAsia" w:ascii="宋体" w:hAnsi="宋体"/>
          <w:bCs/>
          <w:sz w:val="28"/>
          <w:szCs w:val="28"/>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pPr>
        <w:snapToGrid w:val="0"/>
        <w:ind w:firstLine="560" w:firstLineChars="200"/>
        <w:rPr>
          <w:rFonts w:hint="eastAsia" w:ascii="宋体" w:hAnsi="宋体"/>
          <w:bCs/>
          <w:sz w:val="28"/>
          <w:szCs w:val="28"/>
        </w:rPr>
      </w:pPr>
      <w:r>
        <w:rPr>
          <w:rFonts w:hint="eastAsia" w:ascii="宋体" w:hAnsi="宋体"/>
          <w:bCs/>
          <w:sz w:val="28"/>
          <w:szCs w:val="28"/>
        </w:rPr>
        <w:t>（2）电子投标流程中，客户端填写的报价与以pdf格式上传文件中的报价不一致的，应以Pdf格式上传文件中的报价为准。</w:t>
      </w:r>
    </w:p>
    <w:p>
      <w:pPr>
        <w:numPr>
          <w:ilvl w:val="1"/>
          <w:numId w:val="23"/>
        </w:numPr>
        <w:snapToGrid w:val="0"/>
        <w:rPr>
          <w:rFonts w:hint="eastAsia" w:ascii="宋体" w:hAnsi="宋体"/>
          <w:sz w:val="28"/>
          <w:szCs w:val="28"/>
        </w:rPr>
      </w:pPr>
      <w:r>
        <w:rPr>
          <w:rFonts w:hint="eastAsia" w:ascii="宋体" w:hAnsi="宋体"/>
          <w:bCs/>
          <w:sz w:val="28"/>
          <w:szCs w:val="28"/>
        </w:rPr>
        <w:t>评标</w:t>
      </w:r>
    </w:p>
    <w:p>
      <w:pPr>
        <w:numPr>
          <w:ilvl w:val="2"/>
          <w:numId w:val="23"/>
        </w:numPr>
        <w:snapToGrid w:val="0"/>
        <w:rPr>
          <w:rFonts w:hint="eastAsia" w:ascii="宋体" w:hAnsi="宋体"/>
          <w:sz w:val="28"/>
          <w:szCs w:val="28"/>
        </w:rPr>
      </w:pPr>
      <w:r>
        <w:rPr>
          <w:rFonts w:hint="eastAsia" w:ascii="宋体" w:hAnsi="宋体"/>
          <w:sz w:val="28"/>
          <w:szCs w:val="28"/>
        </w:rPr>
        <w:t>评标原则：根据符合采购需求、质量和服务等要求，综合评分确定中标人。</w:t>
      </w:r>
    </w:p>
    <w:p>
      <w:pPr>
        <w:numPr>
          <w:ilvl w:val="2"/>
          <w:numId w:val="23"/>
        </w:numPr>
        <w:snapToGrid w:val="0"/>
        <w:rPr>
          <w:rFonts w:hint="eastAsia" w:ascii="宋体" w:hAnsi="宋体"/>
          <w:sz w:val="28"/>
          <w:szCs w:val="28"/>
        </w:rPr>
      </w:pPr>
      <w:r>
        <w:rPr>
          <w:rFonts w:hint="eastAsia" w:ascii="宋体" w:hAnsi="宋体"/>
          <w:sz w:val="28"/>
          <w:szCs w:val="28"/>
        </w:rPr>
        <w:t>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pPr>
        <w:numPr>
          <w:ilvl w:val="2"/>
          <w:numId w:val="23"/>
        </w:numPr>
        <w:snapToGrid w:val="0"/>
        <w:rPr>
          <w:rFonts w:hint="eastAsia" w:ascii="宋体" w:hAnsi="宋体"/>
          <w:sz w:val="28"/>
          <w:szCs w:val="28"/>
        </w:rPr>
      </w:pPr>
      <w:r>
        <w:rPr>
          <w:rFonts w:hint="eastAsia" w:ascii="宋体" w:hAnsi="宋体"/>
          <w:sz w:val="28"/>
          <w:szCs w:val="28"/>
        </w:rPr>
        <w:t>评标报告：评标委员会完成评审后，向采购代理机构提交经各评标委员会成员签字的评审结果报告，并按评审办法推荐中标人。</w:t>
      </w:r>
    </w:p>
    <w:p>
      <w:pPr>
        <w:numPr>
          <w:ilvl w:val="1"/>
          <w:numId w:val="23"/>
        </w:numPr>
        <w:snapToGrid w:val="0"/>
        <w:rPr>
          <w:rFonts w:hint="eastAsia" w:ascii="宋体" w:hAnsi="宋体"/>
          <w:sz w:val="28"/>
          <w:szCs w:val="28"/>
        </w:rPr>
      </w:pPr>
      <w:r>
        <w:rPr>
          <w:rFonts w:hint="eastAsia" w:ascii="宋体" w:hAnsi="宋体"/>
          <w:sz w:val="28"/>
          <w:szCs w:val="28"/>
        </w:rPr>
        <w:t>保密</w:t>
      </w:r>
    </w:p>
    <w:p>
      <w:pPr>
        <w:numPr>
          <w:ilvl w:val="2"/>
          <w:numId w:val="23"/>
        </w:numPr>
        <w:snapToGrid w:val="0"/>
        <w:rPr>
          <w:rFonts w:hint="eastAsia" w:ascii="宋体" w:hAnsi="宋体"/>
          <w:sz w:val="28"/>
          <w:szCs w:val="28"/>
        </w:rPr>
      </w:pPr>
      <w:bookmarkStart w:id="31" w:name="_Toc356371440"/>
      <w:r>
        <w:rPr>
          <w:rFonts w:hint="eastAsia" w:ascii="宋体" w:hAnsi="宋体"/>
          <w:bCs/>
          <w:sz w:val="28"/>
          <w:szCs w:val="28"/>
        </w:rPr>
        <w:t>开标后直到宣布授予中标人合同为止,凡属于审查、澄清、评估和比较投标的有关资料且与授予合同有关的信息都不得向任何投标人或与上述评标过程无关的人员透露。</w:t>
      </w:r>
    </w:p>
    <w:p>
      <w:pPr>
        <w:numPr>
          <w:ilvl w:val="2"/>
          <w:numId w:val="23"/>
        </w:numPr>
        <w:snapToGrid w:val="0"/>
        <w:rPr>
          <w:rFonts w:hint="eastAsia" w:ascii="宋体" w:hAnsi="宋体"/>
        </w:rPr>
      </w:pPr>
      <w:r>
        <w:rPr>
          <w:rFonts w:hint="eastAsia" w:ascii="宋体" w:hAnsi="宋体"/>
          <w:sz w:val="28"/>
          <w:szCs w:val="28"/>
        </w:rPr>
        <w:t>投标人对评标、比较或授予合同决定的过程施加影响的企图和行为,都可能导致其投标被拒绝</w:t>
      </w:r>
      <w:r>
        <w:rPr>
          <w:rFonts w:hint="eastAsia" w:ascii="宋体" w:hAnsi="宋体"/>
        </w:rPr>
        <w:t>。</w:t>
      </w:r>
    </w:p>
    <w:p>
      <w:pPr>
        <w:numPr>
          <w:ilvl w:val="0"/>
          <w:numId w:val="18"/>
        </w:numPr>
        <w:snapToGrid w:val="0"/>
        <w:outlineLvl w:val="1"/>
        <w:rPr>
          <w:rFonts w:hint="eastAsia" w:ascii="宋体" w:hAnsi="宋体"/>
          <w:b/>
          <w:sz w:val="28"/>
          <w:szCs w:val="28"/>
        </w:rPr>
      </w:pPr>
      <w:bookmarkStart w:id="32" w:name="_Toc356371438"/>
      <w:bookmarkStart w:id="33" w:name="_Toc359856804"/>
      <w:bookmarkStart w:id="34" w:name="_Toc359856807"/>
      <w:r>
        <w:rPr>
          <w:rFonts w:hint="eastAsia" w:ascii="宋体" w:hAnsi="宋体"/>
          <w:b/>
          <w:sz w:val="28"/>
          <w:szCs w:val="28"/>
        </w:rPr>
        <w:t>投标无效的情形</w:t>
      </w:r>
      <w:bookmarkEnd w:id="32"/>
      <w:bookmarkEnd w:id="33"/>
    </w:p>
    <w:p>
      <w:pPr>
        <w:numPr>
          <w:ilvl w:val="1"/>
          <w:numId w:val="24"/>
        </w:numPr>
        <w:snapToGrid w:val="0"/>
        <w:rPr>
          <w:rFonts w:hint="eastAsia" w:ascii="宋体" w:hAnsi="宋体"/>
          <w:b/>
          <w:sz w:val="28"/>
          <w:szCs w:val="28"/>
        </w:rPr>
      </w:pPr>
      <w:r>
        <w:rPr>
          <w:rFonts w:hint="eastAsia" w:ascii="宋体" w:hAnsi="宋体"/>
          <w:b/>
          <w:sz w:val="28"/>
          <w:szCs w:val="28"/>
        </w:rPr>
        <w:t>如发生下列情况之一的，其投标视为无效：</w:t>
      </w:r>
    </w:p>
    <w:p>
      <w:pPr>
        <w:numPr>
          <w:ilvl w:val="2"/>
          <w:numId w:val="24"/>
        </w:numPr>
        <w:snapToGrid w:val="0"/>
        <w:rPr>
          <w:rFonts w:hint="eastAsia" w:ascii="宋体" w:hAnsi="宋体"/>
          <w:sz w:val="28"/>
          <w:szCs w:val="28"/>
        </w:rPr>
      </w:pPr>
      <w:r>
        <w:rPr>
          <w:rFonts w:hint="eastAsia" w:ascii="宋体" w:hAnsi="宋体"/>
          <w:b/>
          <w:sz w:val="28"/>
          <w:szCs w:val="28"/>
        </w:rPr>
        <w:t>投标人不具备招标文件中规定的资格要求的；</w:t>
      </w:r>
    </w:p>
    <w:p>
      <w:pPr>
        <w:numPr>
          <w:ilvl w:val="2"/>
          <w:numId w:val="24"/>
        </w:numPr>
        <w:snapToGrid w:val="0"/>
        <w:rPr>
          <w:rFonts w:hint="eastAsia" w:ascii="宋体" w:hAnsi="宋体"/>
          <w:sz w:val="28"/>
          <w:szCs w:val="28"/>
        </w:rPr>
      </w:pPr>
      <w:r>
        <w:rPr>
          <w:rFonts w:hint="eastAsia" w:ascii="宋体" w:hAnsi="宋体"/>
          <w:b/>
          <w:sz w:val="28"/>
          <w:szCs w:val="28"/>
        </w:rPr>
        <w:t>《法定代表人授权书》上无投标人盖章或无法定代表人签字的；</w:t>
      </w:r>
      <w:r>
        <w:rPr>
          <w:rFonts w:hint="eastAsia" w:ascii="宋体" w:hAnsi="宋体"/>
          <w:sz w:val="28"/>
          <w:szCs w:val="28"/>
        </w:rPr>
        <w:t xml:space="preserve"> </w:t>
      </w:r>
    </w:p>
    <w:p>
      <w:pPr>
        <w:numPr>
          <w:ilvl w:val="2"/>
          <w:numId w:val="24"/>
        </w:numPr>
        <w:snapToGrid w:val="0"/>
        <w:rPr>
          <w:rFonts w:hint="eastAsia" w:ascii="宋体" w:hAnsi="宋体"/>
          <w:sz w:val="28"/>
          <w:szCs w:val="28"/>
        </w:rPr>
      </w:pPr>
      <w:r>
        <w:rPr>
          <w:rFonts w:hint="eastAsia" w:ascii="宋体" w:hAnsi="宋体"/>
          <w:b/>
          <w:sz w:val="28"/>
          <w:szCs w:val="28"/>
        </w:rPr>
        <w:t>提供不确定的、有选择性的技术方案或有附加条件的技术方案的；</w:t>
      </w:r>
    </w:p>
    <w:p>
      <w:pPr>
        <w:numPr>
          <w:ilvl w:val="2"/>
          <w:numId w:val="24"/>
        </w:numPr>
        <w:snapToGrid w:val="0"/>
        <w:rPr>
          <w:rFonts w:hint="eastAsia" w:ascii="宋体" w:hAnsi="宋体"/>
          <w:sz w:val="28"/>
          <w:szCs w:val="28"/>
        </w:rPr>
      </w:pPr>
      <w:r>
        <w:rPr>
          <w:rFonts w:hint="eastAsia" w:ascii="宋体" w:hAnsi="宋体"/>
          <w:b/>
          <w:sz w:val="28"/>
          <w:szCs w:val="28"/>
        </w:rPr>
        <w:t>提供不确定的，有选择性的报价或有附加条件的报价的；</w:t>
      </w:r>
    </w:p>
    <w:p>
      <w:pPr>
        <w:numPr>
          <w:ilvl w:val="2"/>
          <w:numId w:val="24"/>
        </w:numPr>
        <w:snapToGrid w:val="0"/>
        <w:rPr>
          <w:rFonts w:hint="eastAsia" w:ascii="宋体" w:hAnsi="宋体"/>
          <w:sz w:val="28"/>
          <w:szCs w:val="28"/>
        </w:rPr>
      </w:pPr>
      <w:r>
        <w:rPr>
          <w:rFonts w:hint="eastAsia" w:ascii="宋体" w:hAnsi="宋体"/>
          <w:b/>
          <w:sz w:val="28"/>
          <w:szCs w:val="28"/>
        </w:rPr>
        <w:t>技术商务文件中出现报价文件或者其他能体现报价的描述；</w:t>
      </w:r>
    </w:p>
    <w:p>
      <w:pPr>
        <w:numPr>
          <w:ilvl w:val="2"/>
          <w:numId w:val="24"/>
        </w:numPr>
        <w:snapToGrid w:val="0"/>
        <w:rPr>
          <w:rFonts w:hint="eastAsia" w:ascii="宋体" w:hAnsi="宋体"/>
          <w:sz w:val="28"/>
          <w:szCs w:val="28"/>
        </w:rPr>
      </w:pPr>
      <w:r>
        <w:rPr>
          <w:rFonts w:hint="eastAsia" w:ascii="宋体" w:hAnsi="宋体"/>
          <w:b/>
          <w:sz w:val="28"/>
          <w:szCs w:val="28"/>
        </w:rPr>
        <w:t>技术商务文件未按规定提供投标货物清单（含品牌、型号、数量等）；</w:t>
      </w:r>
    </w:p>
    <w:p>
      <w:pPr>
        <w:numPr>
          <w:ilvl w:val="2"/>
          <w:numId w:val="24"/>
        </w:numPr>
        <w:snapToGrid w:val="0"/>
        <w:rPr>
          <w:rFonts w:hint="eastAsia" w:ascii="宋体" w:hAnsi="宋体"/>
          <w:sz w:val="28"/>
          <w:szCs w:val="28"/>
        </w:rPr>
      </w:pPr>
      <w:r>
        <w:rPr>
          <w:rFonts w:hint="eastAsia" w:ascii="宋体" w:hAnsi="宋体"/>
          <w:b/>
          <w:sz w:val="28"/>
          <w:szCs w:val="28"/>
        </w:rPr>
        <w:t>评标委员会认为投标人的报价明显低于其他通过符合性审查投标人的报价，有可能影响产品质量或者不能诚信履约的，要求其通过“政采云”平台在规定的时间内提供CA签章的材料，投标人不能证明其报价合理性的；</w:t>
      </w:r>
    </w:p>
    <w:p>
      <w:pPr>
        <w:numPr>
          <w:ilvl w:val="2"/>
          <w:numId w:val="24"/>
        </w:numPr>
        <w:snapToGrid w:val="0"/>
        <w:rPr>
          <w:rFonts w:hint="eastAsia" w:ascii="宋体" w:hAnsi="宋体"/>
          <w:sz w:val="28"/>
          <w:szCs w:val="28"/>
        </w:rPr>
      </w:pPr>
      <w:r>
        <w:rPr>
          <w:rFonts w:hint="eastAsia" w:ascii="宋体" w:hAnsi="宋体"/>
          <w:b/>
          <w:sz w:val="28"/>
          <w:szCs w:val="28"/>
        </w:rPr>
        <w:t>报价超过招标文件中规定的预算控制价的；</w:t>
      </w:r>
    </w:p>
    <w:p>
      <w:pPr>
        <w:numPr>
          <w:ilvl w:val="2"/>
          <w:numId w:val="24"/>
        </w:numPr>
        <w:snapToGrid w:val="0"/>
        <w:rPr>
          <w:rFonts w:hint="eastAsia" w:ascii="宋体" w:hAnsi="宋体"/>
          <w:sz w:val="28"/>
          <w:szCs w:val="28"/>
        </w:rPr>
      </w:pPr>
      <w:r>
        <w:rPr>
          <w:rFonts w:hint="eastAsia" w:ascii="宋体" w:hAnsi="宋体"/>
          <w:b/>
          <w:sz w:val="28"/>
          <w:szCs w:val="28"/>
        </w:rPr>
        <w:t>采购人拟采购的产品属于政府强制采购的节能产品品目清单范围的，投标人未按招标文件要求提供国家确定的认证机构出具的、处于有效期之内的节能产品认证信息的；</w:t>
      </w:r>
    </w:p>
    <w:p>
      <w:pPr>
        <w:numPr>
          <w:ilvl w:val="2"/>
          <w:numId w:val="24"/>
        </w:numPr>
        <w:snapToGrid w:val="0"/>
        <w:rPr>
          <w:rFonts w:hint="eastAsia" w:ascii="宋体" w:hAnsi="宋体"/>
          <w:sz w:val="28"/>
          <w:szCs w:val="28"/>
        </w:rPr>
      </w:pPr>
      <w:r>
        <w:rPr>
          <w:rFonts w:hint="eastAsia" w:ascii="宋体" w:hAnsi="宋体"/>
          <w:b/>
          <w:sz w:val="28"/>
          <w:szCs w:val="28"/>
        </w:rPr>
        <w:t>报价文件中的《投标（开标）一览表》填写不完整或字迹不能辨认或有漏项的；</w:t>
      </w:r>
    </w:p>
    <w:p>
      <w:pPr>
        <w:numPr>
          <w:ilvl w:val="2"/>
          <w:numId w:val="24"/>
        </w:numPr>
        <w:snapToGrid w:val="0"/>
        <w:rPr>
          <w:rFonts w:hint="eastAsia" w:ascii="宋体" w:hAnsi="宋体"/>
          <w:sz w:val="28"/>
          <w:szCs w:val="28"/>
        </w:rPr>
      </w:pPr>
      <w:r>
        <w:rPr>
          <w:rFonts w:hint="eastAsia" w:ascii="宋体" w:hAnsi="宋体"/>
          <w:b/>
          <w:sz w:val="28"/>
          <w:szCs w:val="28"/>
        </w:rPr>
        <w:t>投标人提供虚假材料投标的（包括但不限于以下情节）；</w:t>
      </w:r>
    </w:p>
    <w:p>
      <w:pPr>
        <w:numPr>
          <w:ilvl w:val="2"/>
          <w:numId w:val="24"/>
        </w:numPr>
        <w:snapToGrid w:val="0"/>
        <w:rPr>
          <w:rFonts w:hint="eastAsia" w:ascii="宋体" w:hAnsi="宋体"/>
          <w:sz w:val="28"/>
          <w:szCs w:val="28"/>
        </w:rPr>
      </w:pPr>
      <w:r>
        <w:rPr>
          <w:rFonts w:hint="eastAsia" w:ascii="宋体" w:hAnsi="宋体"/>
          <w:b/>
          <w:sz w:val="28"/>
          <w:szCs w:val="28"/>
        </w:rPr>
        <w:t>投标人串通投标的；</w:t>
      </w:r>
    </w:p>
    <w:p>
      <w:pPr>
        <w:numPr>
          <w:ilvl w:val="2"/>
          <w:numId w:val="24"/>
        </w:numPr>
        <w:snapToGrid w:val="0"/>
        <w:rPr>
          <w:rFonts w:hint="eastAsia" w:ascii="宋体" w:hAnsi="宋体"/>
          <w:sz w:val="28"/>
          <w:szCs w:val="28"/>
        </w:rPr>
      </w:pPr>
      <w:r>
        <w:rPr>
          <w:rFonts w:hint="eastAsia" w:ascii="宋体" w:hAnsi="宋体"/>
          <w:b/>
          <w:sz w:val="28"/>
          <w:szCs w:val="28"/>
        </w:rPr>
        <w:t>电子投标文件未按规定要求提供电子签章的；</w:t>
      </w:r>
    </w:p>
    <w:p>
      <w:pPr>
        <w:numPr>
          <w:ilvl w:val="2"/>
          <w:numId w:val="24"/>
        </w:numPr>
        <w:snapToGrid w:val="0"/>
        <w:rPr>
          <w:rFonts w:hint="eastAsia" w:ascii="宋体" w:hAnsi="宋体"/>
          <w:sz w:val="28"/>
          <w:szCs w:val="28"/>
        </w:rPr>
      </w:pPr>
      <w:r>
        <w:rPr>
          <w:rFonts w:hint="eastAsia" w:ascii="宋体" w:hAnsi="宋体"/>
          <w:b/>
          <w:sz w:val="28"/>
          <w:szCs w:val="28"/>
        </w:rPr>
        <w:t>评标委员会认定有重大偏差或实质性不响应招标文件要求的；</w:t>
      </w:r>
    </w:p>
    <w:p>
      <w:pPr>
        <w:numPr>
          <w:ilvl w:val="2"/>
          <w:numId w:val="24"/>
        </w:numPr>
        <w:snapToGrid w:val="0"/>
        <w:rPr>
          <w:rFonts w:hint="eastAsia" w:ascii="宋体" w:hAnsi="宋体"/>
          <w:sz w:val="28"/>
          <w:szCs w:val="28"/>
        </w:rPr>
      </w:pPr>
      <w:r>
        <w:rPr>
          <w:rFonts w:hint="eastAsia" w:ascii="宋体" w:hAnsi="宋体"/>
          <w:b/>
          <w:sz w:val="28"/>
          <w:szCs w:val="28"/>
        </w:rPr>
        <w:t>其他违反法律、法规的情形。</w:t>
      </w:r>
    </w:p>
    <w:p>
      <w:pPr>
        <w:numPr>
          <w:ilvl w:val="0"/>
          <w:numId w:val="18"/>
        </w:numPr>
        <w:snapToGrid w:val="0"/>
        <w:outlineLvl w:val="1"/>
        <w:rPr>
          <w:rFonts w:hint="eastAsia" w:ascii="宋体" w:hAnsi="宋体"/>
          <w:b/>
          <w:sz w:val="28"/>
          <w:szCs w:val="28"/>
        </w:rPr>
      </w:pPr>
      <w:bookmarkStart w:id="35" w:name="_Toc359592368"/>
      <w:bookmarkStart w:id="36" w:name="_Toc359856805"/>
      <w:bookmarkStart w:id="37" w:name="废标的情形"/>
      <w:r>
        <w:rPr>
          <w:rFonts w:hint="eastAsia" w:ascii="宋体" w:hAnsi="宋体"/>
          <w:b/>
          <w:sz w:val="28"/>
          <w:szCs w:val="28"/>
        </w:rPr>
        <w:t>废标的情形</w:t>
      </w:r>
      <w:bookmarkEnd w:id="35"/>
      <w:bookmarkEnd w:id="36"/>
      <w:bookmarkEnd w:id="37"/>
    </w:p>
    <w:p>
      <w:pPr>
        <w:numPr>
          <w:ilvl w:val="1"/>
          <w:numId w:val="25"/>
        </w:numPr>
        <w:snapToGrid w:val="0"/>
        <w:outlineLvl w:val="1"/>
        <w:rPr>
          <w:rFonts w:hint="eastAsia" w:ascii="宋体" w:hAnsi="宋体"/>
          <w:b/>
          <w:sz w:val="28"/>
          <w:szCs w:val="28"/>
        </w:rPr>
      </w:pPr>
      <w:r>
        <w:rPr>
          <w:rFonts w:hint="eastAsia" w:ascii="宋体" w:hAnsi="宋体"/>
          <w:sz w:val="28"/>
          <w:szCs w:val="28"/>
        </w:rPr>
        <w:t>采购中，出现下列情形之一的，应予废标，废标后，采购代理机构将废标理由通知所有投标人：</w:t>
      </w:r>
    </w:p>
    <w:p>
      <w:pPr>
        <w:numPr>
          <w:ilvl w:val="2"/>
          <w:numId w:val="25"/>
        </w:numPr>
        <w:snapToGrid w:val="0"/>
        <w:outlineLvl w:val="1"/>
        <w:rPr>
          <w:rFonts w:hint="eastAsia" w:ascii="宋体" w:hAnsi="宋体"/>
          <w:b/>
          <w:sz w:val="28"/>
          <w:szCs w:val="28"/>
        </w:rPr>
      </w:pPr>
      <w:r>
        <w:rPr>
          <w:rFonts w:hint="eastAsia" w:ascii="宋体" w:hAnsi="宋体"/>
          <w:sz w:val="28"/>
          <w:szCs w:val="28"/>
        </w:rPr>
        <w:t>符合专业条件的投标人或对招标文件作实质性响应的投标人不足三家的；</w:t>
      </w:r>
    </w:p>
    <w:p>
      <w:pPr>
        <w:numPr>
          <w:ilvl w:val="2"/>
          <w:numId w:val="25"/>
        </w:numPr>
        <w:snapToGrid w:val="0"/>
        <w:outlineLvl w:val="1"/>
        <w:rPr>
          <w:rFonts w:hint="eastAsia" w:ascii="宋体" w:hAnsi="宋体"/>
          <w:b/>
          <w:sz w:val="28"/>
          <w:szCs w:val="28"/>
        </w:rPr>
      </w:pPr>
      <w:r>
        <w:rPr>
          <w:rFonts w:hint="eastAsia" w:ascii="宋体" w:hAnsi="宋体"/>
          <w:sz w:val="28"/>
          <w:szCs w:val="28"/>
        </w:rPr>
        <w:t>出现影响采购公正的违法、违规行为的；</w:t>
      </w:r>
    </w:p>
    <w:p>
      <w:pPr>
        <w:numPr>
          <w:ilvl w:val="2"/>
          <w:numId w:val="25"/>
        </w:numPr>
        <w:snapToGrid w:val="0"/>
        <w:outlineLvl w:val="1"/>
        <w:rPr>
          <w:rFonts w:hint="eastAsia" w:ascii="宋体" w:hAnsi="宋体"/>
          <w:b/>
          <w:sz w:val="28"/>
          <w:szCs w:val="28"/>
        </w:rPr>
      </w:pPr>
      <w:r>
        <w:rPr>
          <w:rFonts w:hint="eastAsia" w:ascii="宋体" w:hAnsi="宋体"/>
          <w:sz w:val="28"/>
          <w:szCs w:val="28"/>
        </w:rPr>
        <w:t>投标人的报价均超过了预算控制价，采购人不能支付的；</w:t>
      </w:r>
    </w:p>
    <w:p>
      <w:pPr>
        <w:numPr>
          <w:ilvl w:val="2"/>
          <w:numId w:val="25"/>
        </w:numPr>
        <w:snapToGrid w:val="0"/>
        <w:outlineLvl w:val="1"/>
        <w:rPr>
          <w:rFonts w:hint="eastAsia" w:ascii="宋体" w:hAnsi="宋体"/>
          <w:b/>
          <w:sz w:val="28"/>
          <w:szCs w:val="28"/>
        </w:rPr>
      </w:pPr>
      <w:r>
        <w:rPr>
          <w:rFonts w:hint="eastAsia" w:ascii="宋体" w:hAnsi="宋体"/>
          <w:sz w:val="28"/>
          <w:szCs w:val="28"/>
        </w:rPr>
        <w:t>因重大变故，采购任务取消的。</w:t>
      </w:r>
    </w:p>
    <w:p>
      <w:pPr>
        <w:numPr>
          <w:ilvl w:val="0"/>
          <w:numId w:val="18"/>
        </w:numPr>
        <w:snapToGrid w:val="0"/>
        <w:outlineLvl w:val="1"/>
        <w:rPr>
          <w:rFonts w:hint="eastAsia" w:ascii="宋体" w:hAnsi="宋体"/>
          <w:b/>
          <w:sz w:val="28"/>
          <w:szCs w:val="28"/>
        </w:rPr>
      </w:pPr>
      <w:r>
        <w:rPr>
          <w:rFonts w:hint="eastAsia" w:ascii="宋体" w:hAnsi="宋体"/>
          <w:b/>
          <w:sz w:val="28"/>
          <w:szCs w:val="28"/>
        </w:rPr>
        <w:t>授予合同</w:t>
      </w:r>
      <w:bookmarkEnd w:id="31"/>
      <w:bookmarkEnd w:id="34"/>
    </w:p>
    <w:p>
      <w:pPr>
        <w:numPr>
          <w:ilvl w:val="1"/>
          <w:numId w:val="26"/>
        </w:numPr>
        <w:snapToGrid w:val="0"/>
        <w:rPr>
          <w:rFonts w:hint="eastAsia" w:ascii="宋体" w:hAnsi="宋体"/>
          <w:sz w:val="28"/>
          <w:szCs w:val="28"/>
        </w:rPr>
      </w:pPr>
      <w:r>
        <w:rPr>
          <w:rFonts w:hint="eastAsia" w:ascii="宋体" w:hAnsi="宋体"/>
          <w:sz w:val="28"/>
          <w:szCs w:val="28"/>
        </w:rPr>
        <w:t>中标通知和合同授予</w:t>
      </w:r>
    </w:p>
    <w:p>
      <w:pPr>
        <w:snapToGrid w:val="0"/>
        <w:ind w:firstLine="560" w:firstLineChars="200"/>
        <w:rPr>
          <w:rFonts w:hint="eastAsia" w:ascii="宋体" w:hAnsi="宋体"/>
          <w:bCs/>
          <w:sz w:val="28"/>
          <w:szCs w:val="28"/>
        </w:rPr>
      </w:pPr>
      <w:r>
        <w:rPr>
          <w:rFonts w:hint="eastAsia" w:ascii="宋体" w:hAnsi="宋体"/>
          <w:sz w:val="28"/>
          <w:szCs w:val="28"/>
        </w:rPr>
        <w:t>评审结果经采购人确定后，嘉兴诚欣工程咨询有限公司在中标人确定之日起2个工作日内通过 “政采云”平台发布采购结果公告，并同时签发中标通知书。</w:t>
      </w:r>
    </w:p>
    <w:p>
      <w:pPr>
        <w:numPr>
          <w:ilvl w:val="2"/>
          <w:numId w:val="26"/>
        </w:numPr>
        <w:snapToGrid w:val="0"/>
        <w:rPr>
          <w:rFonts w:hint="eastAsia" w:ascii="宋体" w:hAnsi="宋体"/>
          <w:sz w:val="28"/>
          <w:szCs w:val="28"/>
        </w:rPr>
      </w:pPr>
      <w:r>
        <w:rPr>
          <w:rFonts w:hint="eastAsia" w:ascii="宋体" w:hAnsi="宋体"/>
          <w:sz w:val="28"/>
          <w:szCs w:val="28"/>
        </w:rPr>
        <w:t>《中标通知书》一经发出即发生法律效力。采购代理机构无义务向未中标人解释落选原因，不退回投标文件。《中标通知书》将作为签订合同的依据。</w:t>
      </w:r>
    </w:p>
    <w:p>
      <w:pPr>
        <w:numPr>
          <w:ilvl w:val="2"/>
          <w:numId w:val="26"/>
        </w:numPr>
        <w:snapToGrid w:val="0"/>
        <w:rPr>
          <w:rFonts w:hint="eastAsia" w:ascii="宋体" w:hAnsi="宋体"/>
          <w:sz w:val="28"/>
          <w:szCs w:val="28"/>
        </w:rPr>
      </w:pPr>
      <w:r>
        <w:rPr>
          <w:rFonts w:hint="eastAsia" w:ascii="宋体" w:hAnsi="宋体"/>
          <w:sz w:val="28"/>
          <w:szCs w:val="28"/>
        </w:rPr>
        <w:t>中标人需在中标通知书发出之日起七个工作日内，邮寄送达我公司与电子投标文件内容一致的纸质投标文件（含资格文件、技术商务文件、报价文件，请加封面，格式见附件）各一正一副，邮寄公司统一采用EMS或顺丰，快递费用由投标供应商承担。</w:t>
      </w:r>
    </w:p>
    <w:p>
      <w:pPr>
        <w:numPr>
          <w:ilvl w:val="2"/>
          <w:numId w:val="26"/>
        </w:numPr>
        <w:snapToGrid w:val="0"/>
        <w:rPr>
          <w:rFonts w:hint="eastAsia" w:ascii="宋体" w:hAnsi="宋体"/>
          <w:sz w:val="28"/>
          <w:szCs w:val="28"/>
        </w:rPr>
      </w:pPr>
      <w:r>
        <w:rPr>
          <w:rFonts w:hint="eastAsia" w:ascii="宋体" w:hAnsi="宋体"/>
          <w:sz w:val="28"/>
          <w:szCs w:val="28"/>
        </w:rPr>
        <w:t>邮寄地址为（桐乡市梧桐街道王家门路262号金源大厦四楼,张超，15757816833）</w:t>
      </w:r>
    </w:p>
    <w:p>
      <w:pPr>
        <w:numPr>
          <w:ilvl w:val="2"/>
          <w:numId w:val="26"/>
        </w:numPr>
        <w:snapToGrid w:val="0"/>
        <w:rPr>
          <w:rFonts w:hint="eastAsia" w:ascii="宋体" w:hAnsi="宋体"/>
          <w:b/>
          <w:sz w:val="28"/>
          <w:szCs w:val="28"/>
        </w:rPr>
      </w:pPr>
      <w:r>
        <w:rPr>
          <w:rFonts w:hint="eastAsia" w:ascii="宋体" w:hAnsi="宋体"/>
          <w:b/>
          <w:sz w:val="28"/>
          <w:szCs w:val="28"/>
        </w:rPr>
        <w:t>本项目履约保证金：中标人通过电汇、转账、银行或保险公司出具履约保函向采购人交纳中标金额2%的履约保证金。</w:t>
      </w:r>
    </w:p>
    <w:p>
      <w:pPr>
        <w:numPr>
          <w:ilvl w:val="2"/>
          <w:numId w:val="26"/>
        </w:numPr>
        <w:snapToGrid w:val="0"/>
        <w:rPr>
          <w:rFonts w:hint="eastAsia" w:ascii="宋体" w:hAnsi="宋体"/>
          <w:sz w:val="28"/>
          <w:szCs w:val="28"/>
        </w:rPr>
      </w:pPr>
      <w:r>
        <w:rPr>
          <w:rFonts w:hint="eastAsia" w:ascii="宋体" w:hAnsi="宋体"/>
          <w:sz w:val="28"/>
          <w:szCs w:val="28"/>
        </w:rPr>
        <w:t>签订合同：中标人应按《中标通知书》的要求与采购人在中标通知书发出后三十日内签订合同（建议在采购结果质疑期满后签订），并经嘉兴诚欣工程咨询有限公司鉴证后生效。在有合理证据证明中标人在投标过程中承诺的内容不能实质响应的，采购人有权拒签合同。</w:t>
      </w:r>
    </w:p>
    <w:p>
      <w:pPr>
        <w:numPr>
          <w:ilvl w:val="2"/>
          <w:numId w:val="26"/>
        </w:numPr>
        <w:snapToGrid w:val="0"/>
        <w:rPr>
          <w:rFonts w:hint="eastAsia" w:ascii="宋体" w:hAnsi="宋体"/>
          <w:sz w:val="28"/>
          <w:szCs w:val="28"/>
        </w:rPr>
      </w:pPr>
      <w:r>
        <w:rPr>
          <w:rFonts w:hint="eastAsia" w:ascii="宋体" w:hAnsi="宋体"/>
          <w:sz w:val="28"/>
          <w:szCs w:val="28"/>
        </w:rPr>
        <w:t>招标文件、澄清文件、投标文件等，均为签订合同的依据。中标人接到中标通知书后在规定的时间内与采购人签订合同，并交嘉兴诚欣工程咨询有限公司鉴证。</w:t>
      </w:r>
    </w:p>
    <w:p>
      <w:pPr>
        <w:numPr>
          <w:ilvl w:val="2"/>
          <w:numId w:val="26"/>
        </w:numPr>
        <w:snapToGrid w:val="0"/>
        <w:rPr>
          <w:rFonts w:hint="eastAsia" w:ascii="宋体" w:hAnsi="宋体"/>
          <w:sz w:val="28"/>
          <w:szCs w:val="28"/>
        </w:rPr>
      </w:pPr>
      <w:r>
        <w:rPr>
          <w:rFonts w:hint="eastAsia" w:ascii="宋体" w:hAnsi="宋体"/>
          <w:sz w:val="28"/>
          <w:szCs w:val="28"/>
        </w:rPr>
        <w:t>中标人不遵守投标文件的要约、承诺，擅自修改投标文件的内容或在接到中标通知书规定的时间内，借故拖延、拒签合同者，采购人将取消该投标人的中标资格。</w:t>
      </w:r>
    </w:p>
    <w:p>
      <w:pPr>
        <w:numPr>
          <w:ilvl w:val="0"/>
          <w:numId w:val="18"/>
        </w:numPr>
        <w:snapToGrid w:val="0"/>
        <w:outlineLvl w:val="1"/>
        <w:rPr>
          <w:rFonts w:hint="eastAsia" w:ascii="宋体" w:hAnsi="宋体"/>
          <w:b/>
          <w:sz w:val="28"/>
          <w:szCs w:val="28"/>
        </w:rPr>
      </w:pPr>
      <w:bookmarkStart w:id="38" w:name="质疑与投诉"/>
      <w:bookmarkStart w:id="39" w:name="_Toc356371441"/>
      <w:bookmarkStart w:id="40" w:name="_Toc359856808"/>
      <w:r>
        <w:rPr>
          <w:rFonts w:hint="eastAsia" w:ascii="宋体" w:hAnsi="宋体"/>
          <w:b/>
          <w:sz w:val="28"/>
          <w:szCs w:val="28"/>
        </w:rPr>
        <w:t>质疑与投诉</w:t>
      </w:r>
      <w:bookmarkEnd w:id="38"/>
    </w:p>
    <w:p>
      <w:pPr>
        <w:snapToGrid w:val="0"/>
        <w:ind w:firstLine="560" w:firstLineChars="200"/>
        <w:outlineLvl w:val="1"/>
        <w:rPr>
          <w:rFonts w:hint="eastAsia" w:ascii="宋体" w:hAnsi="宋体"/>
          <w:sz w:val="28"/>
          <w:szCs w:val="28"/>
          <w:lang w:val="zh-CN"/>
        </w:rPr>
      </w:pPr>
      <w:r>
        <w:rPr>
          <w:rFonts w:hint="eastAsia" w:ascii="宋体" w:hAnsi="宋体"/>
          <w:sz w:val="28"/>
          <w:szCs w:val="28"/>
          <w:lang w:val="zh-CN"/>
        </w:rPr>
        <w:t>根据《中华人民共和国政府采购法》、《中华人民共和国政府采购法实施条例》、《政府采购质疑和投诉办法》(财政部令第94号)，政府采购供应商可以依法提起质疑和投诉。</w:t>
      </w:r>
    </w:p>
    <w:p>
      <w:pPr>
        <w:numPr>
          <w:ilvl w:val="1"/>
          <w:numId w:val="27"/>
        </w:numPr>
        <w:snapToGrid w:val="0"/>
        <w:rPr>
          <w:rFonts w:hint="eastAsia" w:ascii="宋体" w:hAnsi="宋体"/>
          <w:sz w:val="28"/>
          <w:szCs w:val="28"/>
        </w:rPr>
      </w:pPr>
      <w:r>
        <w:rPr>
          <w:rFonts w:hint="eastAsia" w:ascii="宋体" w:hAnsi="宋体"/>
          <w:b/>
          <w:sz w:val="28"/>
          <w:szCs w:val="28"/>
        </w:rPr>
        <w:t>供应商质疑</w:t>
      </w:r>
    </w:p>
    <w:p>
      <w:pPr>
        <w:numPr>
          <w:ilvl w:val="2"/>
          <w:numId w:val="27"/>
        </w:numPr>
        <w:snapToGrid w:val="0"/>
        <w:rPr>
          <w:rFonts w:hint="eastAsia" w:ascii="宋体" w:hAnsi="宋体"/>
          <w:sz w:val="28"/>
          <w:szCs w:val="28"/>
        </w:rPr>
      </w:pPr>
      <w:r>
        <w:rPr>
          <w:rFonts w:hint="eastAsia" w:ascii="宋体" w:hAnsi="宋体"/>
          <w:sz w:val="28"/>
          <w:szCs w:val="28"/>
        </w:rPr>
        <w:t>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pPr>
        <w:snapToGrid w:val="0"/>
        <w:ind w:left="566" w:leftChars="236"/>
        <w:rPr>
          <w:rFonts w:hint="eastAsia" w:ascii="宋体" w:hAnsi="宋体"/>
          <w:sz w:val="28"/>
          <w:szCs w:val="28"/>
        </w:rPr>
      </w:pPr>
      <w:r>
        <w:rPr>
          <w:rFonts w:hint="eastAsia" w:ascii="宋体" w:hAnsi="宋体"/>
          <w:sz w:val="28"/>
          <w:szCs w:val="28"/>
        </w:rPr>
        <w:t>（1）对采购公告信息（含供应商资格条件）提出质疑的，质疑期限为自采购公告发布之日起；</w:t>
      </w:r>
    </w:p>
    <w:p>
      <w:pPr>
        <w:snapToGrid w:val="0"/>
        <w:ind w:left="566" w:leftChars="236"/>
        <w:rPr>
          <w:rFonts w:hint="eastAsia" w:ascii="宋体" w:hAnsi="宋体"/>
          <w:sz w:val="28"/>
          <w:szCs w:val="28"/>
        </w:rPr>
      </w:pPr>
      <w:r>
        <w:rPr>
          <w:rFonts w:hint="eastAsia" w:ascii="宋体" w:hAnsi="宋体"/>
          <w:sz w:val="28"/>
          <w:szCs w:val="28"/>
        </w:rPr>
        <w:t>（2）对采购文件提出质疑的，质疑期限为获取采购文件或者采购文件公告期限届满之日起；</w:t>
      </w:r>
    </w:p>
    <w:p>
      <w:pPr>
        <w:snapToGrid w:val="0"/>
        <w:ind w:left="566" w:leftChars="236"/>
        <w:rPr>
          <w:rFonts w:hint="eastAsia" w:ascii="宋体" w:hAnsi="宋体"/>
          <w:sz w:val="28"/>
          <w:szCs w:val="28"/>
        </w:rPr>
      </w:pPr>
      <w:r>
        <w:rPr>
          <w:rFonts w:hint="eastAsia" w:ascii="宋体" w:hAnsi="宋体"/>
          <w:sz w:val="28"/>
          <w:szCs w:val="28"/>
        </w:rPr>
        <w:t>（3）对采购过程提出质疑的，为各采购程序环节结束之日起；</w:t>
      </w:r>
    </w:p>
    <w:p>
      <w:pPr>
        <w:snapToGrid w:val="0"/>
        <w:ind w:left="566" w:leftChars="236"/>
        <w:rPr>
          <w:rFonts w:hint="eastAsia" w:ascii="宋体" w:hAnsi="宋体"/>
          <w:sz w:val="28"/>
          <w:szCs w:val="28"/>
        </w:rPr>
      </w:pPr>
      <w:r>
        <w:rPr>
          <w:rFonts w:hint="eastAsia" w:ascii="宋体" w:hAnsi="宋体"/>
          <w:sz w:val="28"/>
          <w:szCs w:val="28"/>
        </w:rPr>
        <w:t>（4）对中标结果提出质疑的，为中标结果公告期限（为一个工作日）届满之日起。</w:t>
      </w:r>
    </w:p>
    <w:p>
      <w:pPr>
        <w:numPr>
          <w:ilvl w:val="2"/>
          <w:numId w:val="27"/>
        </w:numPr>
        <w:snapToGrid w:val="0"/>
        <w:rPr>
          <w:rFonts w:hint="eastAsia" w:ascii="宋体" w:hAnsi="宋体"/>
          <w:sz w:val="28"/>
          <w:szCs w:val="28"/>
        </w:rPr>
      </w:pPr>
      <w:r>
        <w:rPr>
          <w:rFonts w:hint="eastAsia" w:ascii="宋体" w:hAnsi="宋体"/>
          <w:bCs/>
          <w:sz w:val="28"/>
          <w:szCs w:val="28"/>
        </w:rPr>
        <w:t>供应商质疑应当有明确的请求和必要的证明材料。供应商提交的质疑书需一式三份，由法定代表人</w:t>
      </w:r>
      <w:r>
        <w:rPr>
          <w:rFonts w:hint="eastAsia" w:ascii="宋体" w:hAnsi="宋体"/>
          <w:sz w:val="28"/>
          <w:szCs w:val="28"/>
        </w:rPr>
        <w:t>（负责人）</w:t>
      </w:r>
      <w:r>
        <w:rPr>
          <w:rFonts w:hint="eastAsia" w:ascii="宋体" w:hAnsi="宋体"/>
          <w:bCs/>
          <w:sz w:val="28"/>
          <w:szCs w:val="28"/>
        </w:rPr>
        <w:t>签字（或盖章）并加盖单位公章。质疑书格式范本详见浙江政府采购网办事指南。</w:t>
      </w:r>
    </w:p>
    <w:p>
      <w:pPr>
        <w:numPr>
          <w:ilvl w:val="1"/>
          <w:numId w:val="28"/>
        </w:numPr>
        <w:snapToGrid w:val="0"/>
        <w:rPr>
          <w:rFonts w:hint="eastAsia" w:ascii="宋体" w:hAnsi="宋体"/>
          <w:sz w:val="28"/>
          <w:szCs w:val="28"/>
        </w:rPr>
      </w:pPr>
      <w:r>
        <w:rPr>
          <w:rFonts w:hint="eastAsia" w:ascii="宋体" w:hAnsi="宋体"/>
          <w:b/>
          <w:sz w:val="28"/>
          <w:szCs w:val="28"/>
        </w:rPr>
        <w:t>供应商投诉</w:t>
      </w:r>
    </w:p>
    <w:p>
      <w:pPr>
        <w:snapToGrid w:val="0"/>
        <w:ind w:firstLine="560" w:firstLineChars="200"/>
        <w:rPr>
          <w:rFonts w:hint="eastAsia" w:ascii="宋体" w:hAnsi="宋体"/>
          <w:sz w:val="28"/>
          <w:szCs w:val="28"/>
        </w:rPr>
      </w:pPr>
      <w:r>
        <w:rPr>
          <w:rFonts w:hint="eastAsia" w:ascii="宋体" w:hAnsi="宋体"/>
          <w:sz w:val="28"/>
          <w:szCs w:val="28"/>
        </w:rPr>
        <w:t>质疑供应商对采购人或采购代理机构的答复不满意，或者采购人或采购代理机构未在规定的时间内作出答复的，可以在答复期满后十五个工作日内向</w:t>
      </w:r>
      <w:r>
        <w:rPr>
          <w:rFonts w:hint="eastAsia" w:ascii="宋体" w:hAnsi="宋体"/>
          <w:bCs/>
          <w:sz w:val="28"/>
          <w:szCs w:val="28"/>
        </w:rPr>
        <w:t>同级政府采购监督管理部门</w:t>
      </w:r>
      <w:r>
        <w:rPr>
          <w:rFonts w:hint="eastAsia" w:ascii="宋体" w:hAnsi="宋体"/>
          <w:sz w:val="28"/>
          <w:szCs w:val="28"/>
        </w:rPr>
        <w:t>提出投诉。</w:t>
      </w:r>
    </w:p>
    <w:bookmarkEnd w:id="39"/>
    <w:bookmarkEnd w:id="40"/>
    <w:p>
      <w:pPr>
        <w:numPr>
          <w:ilvl w:val="0"/>
          <w:numId w:val="18"/>
        </w:numPr>
        <w:snapToGrid w:val="0"/>
        <w:outlineLvl w:val="1"/>
        <w:rPr>
          <w:rFonts w:hint="eastAsia" w:ascii="宋体" w:hAnsi="宋体"/>
          <w:b/>
          <w:sz w:val="28"/>
          <w:szCs w:val="28"/>
        </w:rPr>
      </w:pPr>
      <w:bookmarkStart w:id="41" w:name="_Toc356371442"/>
      <w:bookmarkStart w:id="42" w:name="_Toc359856809"/>
      <w:r>
        <w:rPr>
          <w:rFonts w:hint="eastAsia" w:ascii="宋体" w:hAnsi="宋体"/>
          <w:b/>
          <w:sz w:val="28"/>
          <w:szCs w:val="28"/>
        </w:rPr>
        <w:t>其他</w:t>
      </w:r>
      <w:bookmarkEnd w:id="41"/>
      <w:bookmarkEnd w:id="42"/>
    </w:p>
    <w:p>
      <w:pPr>
        <w:numPr>
          <w:ilvl w:val="1"/>
          <w:numId w:val="29"/>
        </w:numPr>
        <w:snapToGrid w:val="0"/>
        <w:rPr>
          <w:rFonts w:hint="eastAsia" w:ascii="宋体" w:hAnsi="宋体"/>
          <w:sz w:val="28"/>
          <w:szCs w:val="28"/>
        </w:rPr>
      </w:pPr>
      <w:r>
        <w:rPr>
          <w:rFonts w:hint="eastAsia" w:ascii="宋体" w:hAnsi="宋体"/>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pPr>
        <w:snapToGrid w:val="0"/>
        <w:ind w:firstLine="560" w:firstLineChars="200"/>
        <w:jc w:val="center"/>
        <w:outlineLvl w:val="0"/>
        <w:rPr>
          <w:rFonts w:hint="eastAsia" w:ascii="宋体" w:hAnsi="宋体"/>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p>
    <w:p>
      <w:pPr>
        <w:snapToGrid w:val="0"/>
        <w:jc w:val="center"/>
        <w:outlineLvl w:val="0"/>
        <w:rPr>
          <w:rFonts w:hint="eastAsia" w:ascii="宋体" w:hAnsi="宋体" w:cs="宋体"/>
          <w:b/>
          <w:sz w:val="32"/>
          <w:szCs w:val="32"/>
        </w:rPr>
      </w:pPr>
      <w:bookmarkStart w:id="43" w:name="_Toc354401531"/>
      <w:bookmarkStart w:id="44" w:name="_Toc322352983"/>
      <w:bookmarkStart w:id="45" w:name="_Toc359856810"/>
      <w:bookmarkStart w:id="46" w:name="_Toc350256314"/>
      <w:r>
        <w:rPr>
          <w:rFonts w:hint="eastAsia" w:ascii="宋体" w:hAnsi="宋体" w:cs="宋体"/>
          <w:b/>
          <w:sz w:val="32"/>
          <w:szCs w:val="32"/>
        </w:rPr>
        <w:t>第三章  采购内容及要求</w:t>
      </w:r>
      <w:bookmarkEnd w:id="43"/>
      <w:bookmarkEnd w:id="44"/>
      <w:bookmarkEnd w:id="45"/>
      <w:bookmarkEnd w:id="46"/>
    </w:p>
    <w:p>
      <w:pPr>
        <w:snapToGrid w:val="0"/>
        <w:jc w:val="center"/>
        <w:outlineLvl w:val="0"/>
        <w:rPr>
          <w:rFonts w:hint="eastAsia" w:ascii="宋体" w:hAnsi="宋体" w:cs="宋体"/>
          <w:b/>
          <w:sz w:val="32"/>
          <w:szCs w:val="32"/>
        </w:rPr>
      </w:pPr>
    </w:p>
    <w:p>
      <w:pPr>
        <w:snapToGrid w:val="0"/>
        <w:rPr>
          <w:rFonts w:hint="eastAsia" w:ascii="宋体" w:hAnsi="宋体" w:cs="宋体"/>
          <w:b/>
          <w:sz w:val="28"/>
          <w:szCs w:val="28"/>
        </w:rPr>
      </w:pPr>
      <w:bookmarkStart w:id="47" w:name="_Toc359856811"/>
      <w:bookmarkStart w:id="48" w:name="_Toc354401532"/>
      <w:r>
        <w:rPr>
          <w:rFonts w:hint="eastAsia" w:ascii="宋体" w:hAnsi="宋体" w:cs="宋体"/>
          <w:b/>
          <w:sz w:val="28"/>
          <w:szCs w:val="28"/>
        </w:rPr>
        <w:t>项目采购清单及具体要求（涉及到的证明材料，如无注明，均为投标时提供复印件）</w:t>
      </w:r>
    </w:p>
    <w:p>
      <w:pPr>
        <w:snapToGrid w:val="0"/>
        <w:rPr>
          <w:rFonts w:hint="eastAsia" w:ascii="宋体" w:hAnsi="宋体" w:cs="宋体"/>
          <w:b/>
          <w:sz w:val="28"/>
          <w:szCs w:val="28"/>
        </w:rPr>
      </w:pPr>
      <w:r>
        <w:rPr>
          <w:rFonts w:hint="eastAsia" w:ascii="微软雅黑" w:hAnsi="微软雅黑" w:eastAsia="微软雅黑" w:cs="宋体"/>
          <w:b/>
          <w:bCs/>
        </w:rPr>
        <w:t>1、软件平台参数</w:t>
      </w:r>
    </w:p>
    <w:bookmarkEnd w:id="47"/>
    <w:bookmarkEnd w:id="48"/>
    <w:tbl>
      <w:tblPr>
        <w:tblStyle w:val="61"/>
        <w:tblW w:w="9783" w:type="dxa"/>
        <w:jc w:val="center"/>
        <w:tblLayout w:type="autofit"/>
        <w:tblCellMar>
          <w:top w:w="0" w:type="dxa"/>
          <w:left w:w="108" w:type="dxa"/>
          <w:bottom w:w="0" w:type="dxa"/>
          <w:right w:w="108" w:type="dxa"/>
        </w:tblCellMar>
      </w:tblPr>
      <w:tblGrid>
        <w:gridCol w:w="495"/>
        <w:gridCol w:w="2285"/>
        <w:gridCol w:w="7003"/>
      </w:tblGrid>
      <w:tr>
        <w:tblPrEx>
          <w:tblCellMar>
            <w:top w:w="0" w:type="dxa"/>
            <w:left w:w="108" w:type="dxa"/>
            <w:bottom w:w="0" w:type="dxa"/>
            <w:right w:w="108" w:type="dxa"/>
          </w:tblCellMar>
        </w:tblPrEx>
        <w:trPr>
          <w:wBefore w:w="0" w:type="dxa"/>
          <w:wAfter w:w="0" w:type="dxa"/>
          <w:trHeight w:val="330" w:hRule="atLeast"/>
          <w:jc w:val="center"/>
        </w:trPr>
        <w:tc>
          <w:tcPr>
            <w:tcW w:w="4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微软雅黑" w:hAnsi="微软雅黑" w:eastAsia="微软雅黑" w:cs="宋体"/>
                <w:b/>
                <w:bCs/>
              </w:rPr>
            </w:pPr>
            <w:bookmarkStart w:id="49" w:name="_Toc350256315"/>
            <w:bookmarkStart w:id="50" w:name="_Toc322352984"/>
            <w:bookmarkStart w:id="51" w:name="_Toc354401534"/>
            <w:bookmarkStart w:id="52" w:name="_Toc359856816"/>
            <w:r>
              <w:rPr>
                <w:rFonts w:hint="eastAsia" w:ascii="微软雅黑" w:hAnsi="微软雅黑" w:eastAsia="微软雅黑" w:cs="宋体"/>
                <w:b/>
                <w:bCs/>
              </w:rPr>
              <w:t>序号</w:t>
            </w:r>
          </w:p>
        </w:tc>
        <w:tc>
          <w:tcPr>
            <w:tcW w:w="2285"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微软雅黑" w:hAnsi="微软雅黑" w:eastAsia="微软雅黑" w:cs="宋体"/>
                <w:b/>
                <w:bCs/>
              </w:rPr>
            </w:pPr>
            <w:r>
              <w:rPr>
                <w:rFonts w:hint="eastAsia" w:ascii="微软雅黑" w:hAnsi="微软雅黑" w:eastAsia="微软雅黑" w:cs="宋体"/>
                <w:b/>
                <w:bCs/>
              </w:rPr>
              <w:t>模块名称</w:t>
            </w:r>
          </w:p>
        </w:tc>
        <w:tc>
          <w:tcPr>
            <w:tcW w:w="7003"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微软雅黑" w:hAnsi="微软雅黑" w:eastAsia="微软雅黑" w:cs="宋体"/>
                <w:b/>
                <w:bCs/>
              </w:rPr>
            </w:pPr>
            <w:r>
              <w:rPr>
                <w:rFonts w:hint="eastAsia" w:ascii="微软雅黑" w:hAnsi="微软雅黑" w:eastAsia="微软雅黑" w:cs="宋体"/>
                <w:b/>
                <w:bCs/>
              </w:rPr>
              <w:t>技术参数</w:t>
            </w:r>
          </w:p>
        </w:tc>
      </w:tr>
      <w:tr>
        <w:tblPrEx>
          <w:tblCellMar>
            <w:top w:w="0" w:type="dxa"/>
            <w:left w:w="108" w:type="dxa"/>
            <w:bottom w:w="0" w:type="dxa"/>
            <w:right w:w="108" w:type="dxa"/>
          </w:tblCellMar>
        </w:tblPrEx>
        <w:trPr>
          <w:wBefore w:w="0" w:type="dxa"/>
          <w:wAfter w:w="0" w:type="dxa"/>
          <w:trHeight w:val="456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1</w:t>
            </w:r>
          </w:p>
        </w:tc>
        <w:tc>
          <w:tcPr>
            <w:tcW w:w="2285"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轻量级数据资源平台基础模块</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资源平台基础：基础模块提供应用中心、数据权限、统一认证、个人中心等功能，为平台提供基础支撑。</w:t>
            </w:r>
            <w:r>
              <w:rPr>
                <w:rFonts w:hint="eastAsia" w:ascii="宋体" w:hAnsi="宋体" w:cs="宋体"/>
              </w:rPr>
              <w:br w:type="textWrapping"/>
            </w:r>
            <w:r>
              <w:rPr>
                <w:rFonts w:hint="eastAsia" w:ascii="宋体" w:hAnsi="宋体" w:cs="宋体"/>
              </w:rPr>
              <w:t>数据标准：提供元数据标准、代码翻译标准、字段格式标准、业务模型标准定义和管理功能，实现数据标准化规范引用。</w:t>
            </w:r>
            <w:r>
              <w:rPr>
                <w:rFonts w:hint="eastAsia" w:ascii="宋体" w:hAnsi="宋体" w:cs="宋体"/>
              </w:rPr>
              <w:br w:type="textWrapping"/>
            </w:r>
            <w:r>
              <w:rPr>
                <w:rFonts w:hint="eastAsia" w:ascii="宋体" w:hAnsi="宋体" w:cs="宋体"/>
              </w:rPr>
              <w:t>数据资源目录：将需要对外提供的各类数据资源，按照一定的数据划分方式进行重新组织，对数据的资源进行分门别类和资源查找，并提供数据预览。</w:t>
            </w:r>
            <w:r>
              <w:rPr>
                <w:rFonts w:hint="eastAsia" w:ascii="宋体" w:hAnsi="宋体" w:cs="宋体"/>
              </w:rPr>
              <w:br w:type="textWrapping"/>
            </w:r>
            <w:r>
              <w:rPr>
                <w:rFonts w:hint="eastAsia" w:ascii="宋体" w:hAnsi="宋体" w:cs="宋体"/>
              </w:rPr>
              <w:t>数据汇聚：实现数据数据源抽取、加载的功能，完全支持图形化配置。支持零散数据上传功能。</w:t>
            </w:r>
            <w:r>
              <w:rPr>
                <w:rFonts w:hint="eastAsia" w:ascii="宋体" w:hAnsi="宋体" w:cs="宋体"/>
              </w:rPr>
              <w:br w:type="textWrapping"/>
            </w:r>
            <w:r>
              <w:rPr>
                <w:rFonts w:hint="eastAsia" w:ascii="宋体" w:hAnsi="宋体" w:cs="宋体"/>
              </w:rPr>
              <w:t>数据治理：通过可视化方式创建数据治理策略，基于汇聚的数据产生主题库、专题库、数仓库、搜索库。支持策略集中管理和统一调度，支持运行周期设置、作业命令设置、计算资源设置等操作；支持代码翻译、字段转换、地理信息编码与逆编码等专项数据治理。</w:t>
            </w:r>
            <w:r>
              <w:rPr>
                <w:rFonts w:hint="eastAsia" w:ascii="宋体" w:hAnsi="宋体" w:cs="宋体"/>
              </w:rPr>
              <w:br w:type="textWrapping"/>
            </w:r>
            <w:r>
              <w:rPr>
                <w:rFonts w:hint="eastAsia" w:ascii="宋体" w:hAnsi="宋体" w:cs="宋体"/>
              </w:rPr>
              <w:t>质量检测：接入平台数据存在的质量问题，支持内置函数和第三方函数校验方式，如提供身份证校验、空值校验、时间校验、字符串校验等数据质量校验规则，提供数据质量检测报表；提供感知数据的质量分析功能。</w:t>
            </w:r>
            <w:r>
              <w:rPr>
                <w:rFonts w:hint="eastAsia" w:ascii="宋体" w:hAnsi="宋体" w:cs="宋体"/>
              </w:rPr>
              <w:br w:type="textWrapping"/>
            </w:r>
            <w:r>
              <w:rPr>
                <w:rFonts w:hint="eastAsia" w:ascii="宋体" w:hAnsi="宋体" w:cs="宋体"/>
              </w:rPr>
              <w:t>接口配置：图形化方式完成接口配置和发布工作。统一提供数据服务接口配置，可自由定义数据源、输入参数、输出参数、条件参数进行接口配置，并且可以对外部接口进行封装。</w:t>
            </w:r>
            <w:r>
              <w:rPr>
                <w:rFonts w:hint="eastAsia" w:ascii="宋体" w:hAnsi="宋体" w:cs="宋体"/>
              </w:rPr>
              <w:br w:type="textWrapping"/>
            </w:r>
            <w:r>
              <w:rPr>
                <w:rFonts w:hint="eastAsia" w:ascii="宋体" w:hAnsi="宋体" w:cs="宋体"/>
              </w:rPr>
              <w:t>此外还包括数据运维中心、数据资源管理、数据开发者中心等软件模块。</w:t>
            </w:r>
          </w:p>
        </w:tc>
      </w:tr>
      <w:tr>
        <w:tblPrEx>
          <w:tblCellMar>
            <w:top w:w="0" w:type="dxa"/>
            <w:left w:w="108" w:type="dxa"/>
            <w:bottom w:w="0" w:type="dxa"/>
            <w:right w:w="108" w:type="dxa"/>
          </w:tblCellMar>
        </w:tblPrEx>
        <w:trPr>
          <w:wBefore w:w="0" w:type="dxa"/>
          <w:wAfter w:w="0" w:type="dxa"/>
          <w:trHeight w:val="48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2</w:t>
            </w:r>
          </w:p>
        </w:tc>
        <w:tc>
          <w:tcPr>
            <w:tcW w:w="2285"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设备治理软件模块</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设备治理包括监控点基础属性治理、经纬度治理、时间差检测、抓拍数据量异常检测和抓拍图片质量分析，确保设备信息准确与数据应用效果。</w:t>
            </w:r>
          </w:p>
        </w:tc>
      </w:tr>
      <w:tr>
        <w:tblPrEx>
          <w:tblCellMar>
            <w:top w:w="0" w:type="dxa"/>
            <w:left w:w="108" w:type="dxa"/>
            <w:bottom w:w="0" w:type="dxa"/>
            <w:right w:w="108" w:type="dxa"/>
          </w:tblCellMar>
        </w:tblPrEx>
        <w:trPr>
          <w:wBefore w:w="0" w:type="dxa"/>
          <w:wAfter w:w="0" w:type="dxa"/>
          <w:trHeight w:val="48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3</w:t>
            </w:r>
          </w:p>
        </w:tc>
        <w:tc>
          <w:tcPr>
            <w:tcW w:w="2285"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图片管理软件模块</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提供人脸、人体、车辆等物联采集图片数据的能力示范应用，包括图片的查询、管理和质量分析等功能。</w:t>
            </w:r>
          </w:p>
        </w:tc>
      </w:tr>
      <w:tr>
        <w:tblPrEx>
          <w:tblCellMar>
            <w:top w:w="0" w:type="dxa"/>
            <w:left w:w="108" w:type="dxa"/>
            <w:bottom w:w="0" w:type="dxa"/>
            <w:right w:w="108" w:type="dxa"/>
          </w:tblCellMar>
        </w:tblPrEx>
        <w:trPr>
          <w:wBefore w:w="0" w:type="dxa"/>
          <w:wAfter w:w="0" w:type="dxa"/>
          <w:trHeight w:val="48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4</w:t>
            </w:r>
          </w:p>
        </w:tc>
        <w:tc>
          <w:tcPr>
            <w:tcW w:w="2285"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名单治理软件模块</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通过名单管理组件获取应用平台下发的名单数据，借助名单数据可实现物联感知数据身份信息确认，人员信息关联分析以及名单数据治理。</w:t>
            </w:r>
          </w:p>
        </w:tc>
      </w:tr>
      <w:tr>
        <w:tblPrEx>
          <w:tblCellMar>
            <w:top w:w="0" w:type="dxa"/>
            <w:left w:w="108" w:type="dxa"/>
            <w:bottom w:w="0" w:type="dxa"/>
            <w:right w:w="108" w:type="dxa"/>
          </w:tblCellMar>
        </w:tblPrEx>
        <w:trPr>
          <w:wBefore w:w="0" w:type="dxa"/>
          <w:wAfter w:w="0" w:type="dxa"/>
          <w:trHeight w:val="72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5</w:t>
            </w:r>
          </w:p>
        </w:tc>
        <w:tc>
          <w:tcPr>
            <w:tcW w:w="2285"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数据开发工作台软件模块</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提供算子管理、专题任务开发及工作流任务开发服务。</w:t>
            </w:r>
          </w:p>
        </w:tc>
      </w:tr>
      <w:tr>
        <w:tblPrEx>
          <w:tblCellMar>
            <w:top w:w="0" w:type="dxa"/>
            <w:left w:w="108" w:type="dxa"/>
            <w:bottom w:w="0" w:type="dxa"/>
            <w:right w:w="108" w:type="dxa"/>
          </w:tblCellMar>
        </w:tblPrEx>
        <w:trPr>
          <w:wBefore w:w="0" w:type="dxa"/>
          <w:wAfter w:w="0" w:type="dxa"/>
          <w:trHeight w:val="416"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6</w:t>
            </w:r>
          </w:p>
        </w:tc>
        <w:tc>
          <w:tcPr>
            <w:tcW w:w="2285"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数据标签工厂软件模块</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支持自定义数据主题对象、配置生成标签数据功能，支持基础标签定义、组合标签定义等基础功能。支持通用的主题对象标签检索功能，可通过与、或、非自由组合方式，进行标签数据的检索，支持对象查询标签的统一接口服务。</w:t>
            </w:r>
          </w:p>
        </w:tc>
      </w:tr>
      <w:tr>
        <w:tblPrEx>
          <w:tblCellMar>
            <w:top w:w="0" w:type="dxa"/>
            <w:left w:w="108" w:type="dxa"/>
            <w:bottom w:w="0" w:type="dxa"/>
            <w:right w:w="108" w:type="dxa"/>
          </w:tblCellMar>
        </w:tblPrEx>
        <w:trPr>
          <w:wBefore w:w="0" w:type="dxa"/>
          <w:wAfter w:w="0" w:type="dxa"/>
          <w:trHeight w:val="96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7</w:t>
            </w:r>
          </w:p>
        </w:tc>
        <w:tc>
          <w:tcPr>
            <w:tcW w:w="2285"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智能搜索软件模块</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提供统一的数据搜索服务，支持关键字模糊匹配、定向检索、图像查询、文本批量查询等多种功能，实现数据融合检索应用 。</w:t>
            </w:r>
          </w:p>
        </w:tc>
      </w:tr>
      <w:tr>
        <w:tblPrEx>
          <w:tblCellMar>
            <w:top w:w="0" w:type="dxa"/>
            <w:left w:w="108" w:type="dxa"/>
            <w:bottom w:w="0" w:type="dxa"/>
            <w:right w:w="108" w:type="dxa"/>
          </w:tblCellMar>
        </w:tblPrEx>
        <w:trPr>
          <w:wBefore w:w="0" w:type="dxa"/>
          <w:wAfter w:w="0" w:type="dxa"/>
          <w:trHeight w:val="96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8</w:t>
            </w:r>
          </w:p>
        </w:tc>
        <w:tc>
          <w:tcPr>
            <w:tcW w:w="2285"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数据级联软件</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提供数据级联图形化配置功能，支持数据同网、跨网的级联；支持数据向上级联、向下级联；支持数据级联任务的调度和监控功能。</w:t>
            </w:r>
          </w:p>
        </w:tc>
      </w:tr>
      <w:tr>
        <w:tblPrEx>
          <w:tblCellMar>
            <w:top w:w="0" w:type="dxa"/>
            <w:left w:w="108" w:type="dxa"/>
            <w:bottom w:w="0" w:type="dxa"/>
            <w:right w:w="108" w:type="dxa"/>
          </w:tblCellMar>
        </w:tblPrEx>
        <w:trPr>
          <w:wBefore w:w="0" w:type="dxa"/>
          <w:wAfter w:w="0" w:type="dxa"/>
          <w:trHeight w:val="330" w:hRule="atLeast"/>
          <w:jc w:val="center"/>
        </w:trPr>
        <w:tc>
          <w:tcPr>
            <w:tcW w:w="978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微软雅黑" w:hAnsi="微软雅黑" w:eastAsia="微软雅黑" w:cs="宋体"/>
                <w:b/>
                <w:bCs/>
              </w:rPr>
            </w:pPr>
            <w:r>
              <w:rPr>
                <w:rFonts w:hint="eastAsia" w:ascii="微软雅黑" w:hAnsi="微软雅黑" w:eastAsia="微软雅黑" w:cs="宋体"/>
                <w:b/>
                <w:bCs/>
              </w:rPr>
              <w:t>二、数据工程实施服务</w:t>
            </w:r>
          </w:p>
        </w:tc>
      </w:tr>
      <w:tr>
        <w:tblPrEx>
          <w:tblCellMar>
            <w:top w:w="0" w:type="dxa"/>
            <w:left w:w="108" w:type="dxa"/>
            <w:bottom w:w="0" w:type="dxa"/>
            <w:right w:w="108" w:type="dxa"/>
          </w:tblCellMar>
        </w:tblPrEx>
        <w:trPr>
          <w:wBefore w:w="0" w:type="dxa"/>
          <w:wAfter w:w="0" w:type="dxa"/>
          <w:trHeight w:val="33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微软雅黑" w:hAnsi="微软雅黑" w:eastAsia="微软雅黑" w:cs="宋体"/>
                <w:b/>
                <w:bCs/>
              </w:rPr>
            </w:pPr>
            <w:r>
              <w:rPr>
                <w:rFonts w:hint="eastAsia" w:ascii="微软雅黑" w:hAnsi="微软雅黑" w:eastAsia="微软雅黑" w:cs="宋体"/>
                <w:b/>
                <w:bCs/>
              </w:rPr>
              <w:t>序号</w:t>
            </w:r>
          </w:p>
        </w:tc>
        <w:tc>
          <w:tcPr>
            <w:tcW w:w="2285" w:type="dxa"/>
            <w:tcBorders>
              <w:top w:val="nil"/>
              <w:left w:val="nil"/>
              <w:bottom w:val="single" w:color="auto" w:sz="4" w:space="0"/>
              <w:right w:val="single" w:color="auto" w:sz="4" w:space="0"/>
            </w:tcBorders>
            <w:shd w:val="clear" w:color="000000" w:fill="FFFFFF"/>
            <w:noWrap w:val="0"/>
            <w:vAlign w:val="center"/>
          </w:tcPr>
          <w:p>
            <w:pPr>
              <w:jc w:val="center"/>
              <w:rPr>
                <w:rFonts w:ascii="微软雅黑" w:hAnsi="微软雅黑" w:eastAsia="微软雅黑" w:cs="宋体"/>
                <w:b/>
                <w:bCs/>
              </w:rPr>
            </w:pPr>
            <w:r>
              <w:rPr>
                <w:rFonts w:hint="eastAsia" w:ascii="微软雅黑" w:hAnsi="微软雅黑" w:eastAsia="微软雅黑" w:cs="宋体"/>
                <w:b/>
                <w:bCs/>
              </w:rPr>
              <w:t>模块名称</w:t>
            </w:r>
          </w:p>
        </w:tc>
        <w:tc>
          <w:tcPr>
            <w:tcW w:w="7003" w:type="dxa"/>
            <w:tcBorders>
              <w:top w:val="nil"/>
              <w:left w:val="nil"/>
              <w:bottom w:val="single" w:color="auto" w:sz="4" w:space="0"/>
              <w:right w:val="single" w:color="auto" w:sz="4" w:space="0"/>
            </w:tcBorders>
            <w:shd w:val="clear" w:color="000000" w:fill="FFFFFF"/>
            <w:noWrap w:val="0"/>
            <w:vAlign w:val="center"/>
          </w:tcPr>
          <w:p>
            <w:pPr>
              <w:jc w:val="center"/>
              <w:rPr>
                <w:rFonts w:ascii="微软雅黑" w:hAnsi="微软雅黑" w:eastAsia="微软雅黑" w:cs="宋体"/>
                <w:b/>
                <w:bCs/>
              </w:rPr>
            </w:pPr>
            <w:r>
              <w:rPr>
                <w:rFonts w:hint="eastAsia" w:ascii="微软雅黑" w:hAnsi="微软雅黑" w:eastAsia="微软雅黑" w:cs="宋体"/>
                <w:b/>
                <w:bCs/>
              </w:rPr>
              <w:t>技术参数</w:t>
            </w:r>
          </w:p>
        </w:tc>
      </w:tr>
      <w:tr>
        <w:tblPrEx>
          <w:tblCellMar>
            <w:top w:w="0" w:type="dxa"/>
            <w:left w:w="108" w:type="dxa"/>
            <w:bottom w:w="0" w:type="dxa"/>
            <w:right w:w="108" w:type="dxa"/>
          </w:tblCellMar>
        </w:tblPrEx>
        <w:trPr>
          <w:wBefore w:w="0" w:type="dxa"/>
          <w:wAfter w:w="0" w:type="dxa"/>
          <w:trHeight w:val="48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cs="宋体"/>
                <w:color w:val="000000"/>
              </w:rPr>
            </w:pPr>
            <w:r>
              <w:rPr>
                <w:rFonts w:hint="eastAsia" w:ascii="宋体" w:hAnsi="宋体" w:cs="宋体"/>
                <w:color w:val="000000"/>
              </w:rPr>
              <w:t>1</w:t>
            </w:r>
          </w:p>
        </w:tc>
        <w:tc>
          <w:tcPr>
            <w:tcW w:w="228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cs="宋体"/>
              </w:rPr>
            </w:pPr>
            <w:r>
              <w:rPr>
                <w:rFonts w:hint="eastAsia" w:ascii="宋体" w:hAnsi="宋体" w:cs="宋体"/>
              </w:rPr>
              <w:t>数据工程实施服务</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各类数据资源的汇聚处理服务。</w:t>
            </w:r>
          </w:p>
        </w:tc>
      </w:tr>
      <w:tr>
        <w:tblPrEx>
          <w:tblCellMar>
            <w:top w:w="0" w:type="dxa"/>
            <w:left w:w="108" w:type="dxa"/>
            <w:bottom w:w="0" w:type="dxa"/>
            <w:right w:w="108" w:type="dxa"/>
          </w:tblCellMar>
        </w:tblPrEx>
        <w:trPr>
          <w:wBefore w:w="0" w:type="dxa"/>
          <w:wAfter w:w="0" w:type="dxa"/>
          <w:trHeight w:val="48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cs="宋体"/>
                <w:color w:val="000000"/>
              </w:rPr>
            </w:pPr>
            <w:r>
              <w:rPr>
                <w:rFonts w:hint="eastAsia" w:ascii="宋体" w:hAnsi="宋体" w:cs="宋体"/>
                <w:color w:val="000000"/>
              </w:rPr>
              <w:t>2</w:t>
            </w: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对已接入数据进行治理实施服务。</w:t>
            </w:r>
          </w:p>
        </w:tc>
      </w:tr>
      <w:tr>
        <w:tblPrEx>
          <w:tblCellMar>
            <w:top w:w="0" w:type="dxa"/>
            <w:left w:w="108" w:type="dxa"/>
            <w:bottom w:w="0" w:type="dxa"/>
            <w:right w:w="108" w:type="dxa"/>
          </w:tblCellMar>
        </w:tblPrEx>
        <w:trPr>
          <w:wBefore w:w="0" w:type="dxa"/>
          <w:wAfter w:w="0" w:type="dxa"/>
          <w:trHeight w:val="48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cs="宋体"/>
                <w:color w:val="000000"/>
              </w:rPr>
            </w:pPr>
            <w:r>
              <w:rPr>
                <w:rFonts w:hint="eastAsia" w:ascii="宋体" w:hAnsi="宋体" w:cs="宋体"/>
                <w:color w:val="000000"/>
              </w:rPr>
              <w:t>3</w:t>
            </w: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提供设备数据治理实施服务。</w:t>
            </w:r>
          </w:p>
        </w:tc>
      </w:tr>
      <w:tr>
        <w:tblPrEx>
          <w:tblCellMar>
            <w:top w:w="0" w:type="dxa"/>
            <w:left w:w="108" w:type="dxa"/>
            <w:bottom w:w="0" w:type="dxa"/>
            <w:right w:w="108" w:type="dxa"/>
          </w:tblCellMar>
        </w:tblPrEx>
        <w:trPr>
          <w:wBefore w:w="0" w:type="dxa"/>
          <w:wAfter w:w="0" w:type="dxa"/>
          <w:trHeight w:val="48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cs="宋体"/>
                <w:color w:val="000000"/>
              </w:rPr>
            </w:pPr>
            <w:r>
              <w:rPr>
                <w:rFonts w:hint="eastAsia" w:ascii="宋体" w:hAnsi="宋体" w:cs="宋体"/>
                <w:color w:val="000000"/>
              </w:rPr>
              <w:t>4</w:t>
            </w: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提供名单数据治理实施服务。</w:t>
            </w:r>
          </w:p>
        </w:tc>
      </w:tr>
      <w:tr>
        <w:tblPrEx>
          <w:tblCellMar>
            <w:top w:w="0" w:type="dxa"/>
            <w:left w:w="108" w:type="dxa"/>
            <w:bottom w:w="0" w:type="dxa"/>
            <w:right w:w="108" w:type="dxa"/>
          </w:tblCellMar>
        </w:tblPrEx>
        <w:trPr>
          <w:wBefore w:w="0" w:type="dxa"/>
          <w:wAfter w:w="0" w:type="dxa"/>
          <w:trHeight w:val="330" w:hRule="atLeast"/>
          <w:jc w:val="center"/>
        </w:trPr>
        <w:tc>
          <w:tcPr>
            <w:tcW w:w="978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微软雅黑" w:hAnsi="微软雅黑" w:eastAsia="微软雅黑" w:cs="宋体"/>
                <w:b/>
                <w:bCs/>
              </w:rPr>
            </w:pPr>
            <w:r>
              <w:rPr>
                <w:rFonts w:hint="eastAsia" w:ascii="微软雅黑" w:hAnsi="微软雅黑" w:eastAsia="微软雅黑" w:cs="宋体"/>
                <w:b/>
                <w:bCs/>
              </w:rPr>
              <w:t>三、数据对接开发服务</w:t>
            </w:r>
          </w:p>
        </w:tc>
      </w:tr>
      <w:tr>
        <w:tblPrEx>
          <w:tblCellMar>
            <w:top w:w="0" w:type="dxa"/>
            <w:left w:w="108" w:type="dxa"/>
            <w:bottom w:w="0" w:type="dxa"/>
            <w:right w:w="108" w:type="dxa"/>
          </w:tblCellMar>
        </w:tblPrEx>
        <w:trPr>
          <w:wBefore w:w="0" w:type="dxa"/>
          <w:wAfter w:w="0" w:type="dxa"/>
          <w:trHeight w:val="330" w:hRule="atLeast"/>
          <w:jc w:val="center"/>
        </w:trPr>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微软雅黑" w:hAnsi="微软雅黑" w:eastAsia="微软雅黑" w:cs="宋体"/>
                <w:b/>
                <w:bCs/>
              </w:rPr>
            </w:pPr>
            <w:r>
              <w:rPr>
                <w:rFonts w:hint="eastAsia" w:ascii="微软雅黑" w:hAnsi="微软雅黑" w:eastAsia="微软雅黑" w:cs="宋体"/>
                <w:b/>
                <w:bCs/>
              </w:rPr>
              <w:t>序号</w:t>
            </w:r>
          </w:p>
        </w:tc>
        <w:tc>
          <w:tcPr>
            <w:tcW w:w="2285" w:type="dxa"/>
            <w:tcBorders>
              <w:top w:val="nil"/>
              <w:left w:val="nil"/>
              <w:bottom w:val="single" w:color="auto" w:sz="4" w:space="0"/>
              <w:right w:val="single" w:color="auto" w:sz="4" w:space="0"/>
            </w:tcBorders>
            <w:shd w:val="clear" w:color="000000" w:fill="FFFFFF"/>
            <w:noWrap w:val="0"/>
            <w:vAlign w:val="center"/>
          </w:tcPr>
          <w:p>
            <w:pPr>
              <w:jc w:val="center"/>
              <w:rPr>
                <w:rFonts w:ascii="微软雅黑" w:hAnsi="微软雅黑" w:eastAsia="微软雅黑" w:cs="宋体"/>
                <w:b/>
                <w:bCs/>
              </w:rPr>
            </w:pPr>
            <w:r>
              <w:rPr>
                <w:rFonts w:hint="eastAsia" w:ascii="微软雅黑" w:hAnsi="微软雅黑" w:eastAsia="微软雅黑" w:cs="宋体"/>
                <w:b/>
                <w:bCs/>
              </w:rPr>
              <w:t>模块名称</w:t>
            </w:r>
          </w:p>
        </w:tc>
        <w:tc>
          <w:tcPr>
            <w:tcW w:w="7003" w:type="dxa"/>
            <w:tcBorders>
              <w:top w:val="nil"/>
              <w:left w:val="nil"/>
              <w:bottom w:val="single" w:color="auto" w:sz="4" w:space="0"/>
              <w:right w:val="single" w:color="auto" w:sz="4" w:space="0"/>
            </w:tcBorders>
            <w:shd w:val="clear" w:color="000000" w:fill="FFFFFF"/>
            <w:noWrap w:val="0"/>
            <w:vAlign w:val="center"/>
          </w:tcPr>
          <w:p>
            <w:pPr>
              <w:jc w:val="center"/>
              <w:rPr>
                <w:rFonts w:ascii="微软雅黑" w:hAnsi="微软雅黑" w:eastAsia="微软雅黑" w:cs="宋体"/>
                <w:b/>
                <w:bCs/>
              </w:rPr>
            </w:pPr>
            <w:r>
              <w:rPr>
                <w:rFonts w:hint="eastAsia" w:ascii="微软雅黑" w:hAnsi="微软雅黑" w:eastAsia="微软雅黑" w:cs="宋体"/>
                <w:b/>
                <w:bCs/>
              </w:rPr>
              <w:t>技术参数</w:t>
            </w:r>
          </w:p>
        </w:tc>
      </w:tr>
      <w:tr>
        <w:tblPrEx>
          <w:tblCellMar>
            <w:top w:w="0" w:type="dxa"/>
            <w:left w:w="108" w:type="dxa"/>
            <w:bottom w:w="0" w:type="dxa"/>
            <w:right w:w="108" w:type="dxa"/>
          </w:tblCellMar>
        </w:tblPrEx>
        <w:trPr>
          <w:wBefore w:w="0" w:type="dxa"/>
          <w:wAfter w:w="0" w:type="dxa"/>
          <w:trHeight w:val="480" w:hRule="atLeast"/>
          <w:jc w:val="center"/>
        </w:trPr>
        <w:tc>
          <w:tcPr>
            <w:tcW w:w="49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cs="宋体"/>
                <w:color w:val="000000"/>
              </w:rPr>
            </w:pPr>
            <w:r>
              <w:rPr>
                <w:rFonts w:hint="eastAsia" w:ascii="宋体" w:hAnsi="宋体" w:cs="宋体"/>
                <w:color w:val="000000"/>
              </w:rPr>
              <w:t>1</w:t>
            </w:r>
          </w:p>
        </w:tc>
        <w:tc>
          <w:tcPr>
            <w:tcW w:w="228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cs="宋体"/>
              </w:rPr>
            </w:pPr>
            <w:r>
              <w:rPr>
                <w:rFonts w:hint="eastAsia" w:ascii="宋体" w:hAnsi="宋体" w:cs="宋体"/>
              </w:rPr>
              <w:t>数据对接开发服务</w:t>
            </w: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桐行通系统数据对接开发</w:t>
            </w:r>
          </w:p>
        </w:tc>
      </w:tr>
      <w:tr>
        <w:tblPrEx>
          <w:tblCellMar>
            <w:top w:w="0" w:type="dxa"/>
            <w:left w:w="108" w:type="dxa"/>
            <w:bottom w:w="0" w:type="dxa"/>
            <w:right w:w="108" w:type="dxa"/>
          </w:tblCellMar>
        </w:tblPrEx>
        <w:trPr>
          <w:wBefore w:w="0" w:type="dxa"/>
          <w:wAfter w:w="0" w:type="dxa"/>
          <w:trHeight w:val="480" w:hRule="atLeast"/>
          <w:jc w:val="center"/>
        </w:trPr>
        <w:tc>
          <w:tcPr>
            <w:tcW w:w="49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rPr>
            </w:pP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桐乡健康码系统数据对接开发</w:t>
            </w:r>
          </w:p>
        </w:tc>
      </w:tr>
      <w:tr>
        <w:tblPrEx>
          <w:tblCellMar>
            <w:top w:w="0" w:type="dxa"/>
            <w:left w:w="108" w:type="dxa"/>
            <w:bottom w:w="0" w:type="dxa"/>
            <w:right w:w="108" w:type="dxa"/>
          </w:tblCellMar>
        </w:tblPrEx>
        <w:trPr>
          <w:wBefore w:w="0" w:type="dxa"/>
          <w:wAfter w:w="0" w:type="dxa"/>
          <w:trHeight w:val="480" w:hRule="atLeast"/>
          <w:jc w:val="center"/>
        </w:trPr>
        <w:tc>
          <w:tcPr>
            <w:tcW w:w="49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rPr>
            </w:pP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社区联网平台系统对接开发</w:t>
            </w:r>
          </w:p>
        </w:tc>
      </w:tr>
      <w:tr>
        <w:tblPrEx>
          <w:tblCellMar>
            <w:top w:w="0" w:type="dxa"/>
            <w:left w:w="108" w:type="dxa"/>
            <w:bottom w:w="0" w:type="dxa"/>
            <w:right w:w="108" w:type="dxa"/>
          </w:tblCellMar>
        </w:tblPrEx>
        <w:trPr>
          <w:wBefore w:w="0" w:type="dxa"/>
          <w:wAfter w:w="0" w:type="dxa"/>
          <w:trHeight w:val="560" w:hRule="atLeast"/>
          <w:jc w:val="center"/>
        </w:trPr>
        <w:tc>
          <w:tcPr>
            <w:tcW w:w="49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rPr>
            </w:pP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对接智控平台系统对接开发</w:t>
            </w:r>
          </w:p>
        </w:tc>
      </w:tr>
      <w:tr>
        <w:tblPrEx>
          <w:tblCellMar>
            <w:top w:w="0" w:type="dxa"/>
            <w:left w:w="108" w:type="dxa"/>
            <w:bottom w:w="0" w:type="dxa"/>
            <w:right w:w="108" w:type="dxa"/>
          </w:tblCellMar>
        </w:tblPrEx>
        <w:trPr>
          <w:wBefore w:w="0" w:type="dxa"/>
          <w:wAfter w:w="0" w:type="dxa"/>
          <w:trHeight w:val="568" w:hRule="atLeast"/>
          <w:jc w:val="center"/>
        </w:trPr>
        <w:tc>
          <w:tcPr>
            <w:tcW w:w="49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rPr>
            </w:pP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对接智安小区平台系统对接</w:t>
            </w:r>
          </w:p>
        </w:tc>
      </w:tr>
      <w:tr>
        <w:tblPrEx>
          <w:tblCellMar>
            <w:top w:w="0" w:type="dxa"/>
            <w:left w:w="108" w:type="dxa"/>
            <w:bottom w:w="0" w:type="dxa"/>
            <w:right w:w="108" w:type="dxa"/>
          </w:tblCellMar>
        </w:tblPrEx>
        <w:trPr>
          <w:wBefore w:w="0" w:type="dxa"/>
          <w:wAfter w:w="0" w:type="dxa"/>
          <w:trHeight w:val="484" w:hRule="atLeast"/>
          <w:jc w:val="center"/>
        </w:trPr>
        <w:tc>
          <w:tcPr>
            <w:tcW w:w="49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rPr>
            </w:pP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对接宇视设备平台，实现资源下发和数据同步</w:t>
            </w:r>
          </w:p>
        </w:tc>
      </w:tr>
      <w:tr>
        <w:tblPrEx>
          <w:tblCellMar>
            <w:top w:w="0" w:type="dxa"/>
            <w:left w:w="108" w:type="dxa"/>
            <w:bottom w:w="0" w:type="dxa"/>
            <w:right w:w="108" w:type="dxa"/>
          </w:tblCellMar>
        </w:tblPrEx>
        <w:trPr>
          <w:wBefore w:w="0" w:type="dxa"/>
          <w:wAfter w:w="0" w:type="dxa"/>
          <w:trHeight w:val="562" w:hRule="atLeast"/>
          <w:jc w:val="center"/>
        </w:trPr>
        <w:tc>
          <w:tcPr>
            <w:tcW w:w="49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rPr>
            </w:pP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对接社众传媒设备平台，实现资源下发和数据同步</w:t>
            </w:r>
          </w:p>
        </w:tc>
      </w:tr>
      <w:tr>
        <w:tblPrEx>
          <w:tblCellMar>
            <w:top w:w="0" w:type="dxa"/>
            <w:left w:w="108" w:type="dxa"/>
            <w:bottom w:w="0" w:type="dxa"/>
            <w:right w:w="108" w:type="dxa"/>
          </w:tblCellMar>
        </w:tblPrEx>
        <w:trPr>
          <w:wBefore w:w="0" w:type="dxa"/>
          <w:wAfter w:w="0" w:type="dxa"/>
          <w:trHeight w:val="480" w:hRule="atLeast"/>
          <w:jc w:val="center"/>
        </w:trPr>
        <w:tc>
          <w:tcPr>
            <w:tcW w:w="49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rPr>
            </w:pPr>
          </w:p>
        </w:tc>
        <w:tc>
          <w:tcPr>
            <w:tcW w:w="228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rPr>
            </w:pPr>
          </w:p>
        </w:tc>
        <w:tc>
          <w:tcPr>
            <w:tcW w:w="700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rPr>
            </w:pPr>
            <w:r>
              <w:rPr>
                <w:rFonts w:hint="eastAsia" w:ascii="宋体" w:hAnsi="宋体" w:cs="宋体"/>
              </w:rPr>
              <w:t>对接华数云衫业务平台，对党建引领、网格管理、小区管理、社区服务应用提供数据接口服务</w:t>
            </w:r>
          </w:p>
        </w:tc>
      </w:tr>
    </w:tbl>
    <w:p>
      <w:pPr>
        <w:rPr>
          <w:rFonts w:hint="eastAsia"/>
          <w:b/>
          <w:color w:val="FF0000"/>
          <w:sz w:val="28"/>
        </w:rPr>
      </w:pPr>
    </w:p>
    <w:p>
      <w:pPr>
        <w:rPr>
          <w:b/>
          <w:sz w:val="28"/>
        </w:rPr>
      </w:pPr>
      <w:r>
        <w:rPr>
          <w:rFonts w:hint="eastAsia"/>
          <w:b/>
          <w:sz w:val="28"/>
        </w:rPr>
        <w:t>2、平台硬件设备参数</w:t>
      </w:r>
    </w:p>
    <w:tbl>
      <w:tblPr>
        <w:tblStyle w:val="61"/>
        <w:tblW w:w="5000" w:type="pct"/>
        <w:tblInd w:w="0" w:type="dxa"/>
        <w:tblLayout w:type="autofit"/>
        <w:tblCellMar>
          <w:top w:w="0" w:type="dxa"/>
          <w:left w:w="108" w:type="dxa"/>
          <w:bottom w:w="0" w:type="dxa"/>
          <w:right w:w="108" w:type="dxa"/>
        </w:tblCellMar>
      </w:tblPr>
      <w:tblGrid>
        <w:gridCol w:w="469"/>
        <w:gridCol w:w="1284"/>
        <w:gridCol w:w="6515"/>
        <w:gridCol w:w="1076"/>
      </w:tblGrid>
      <w:tr>
        <w:tblPrEx>
          <w:tblCellMar>
            <w:top w:w="0" w:type="dxa"/>
            <w:left w:w="108" w:type="dxa"/>
            <w:bottom w:w="0" w:type="dxa"/>
            <w:right w:w="108" w:type="dxa"/>
          </w:tblCellMar>
        </w:tblPrEx>
        <w:trPr>
          <w:wBefore w:w="0" w:type="dxa"/>
          <w:trHeight w:val="471" w:hRule="atLeast"/>
        </w:trPr>
        <w:tc>
          <w:tcPr>
            <w:tcW w:w="5000" w:type="pct"/>
            <w:gridSpan w:val="4"/>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1、硬件设备</w:t>
            </w:r>
          </w:p>
        </w:tc>
      </w:tr>
      <w:tr>
        <w:tblPrEx>
          <w:tblCellMar>
            <w:top w:w="0" w:type="dxa"/>
            <w:left w:w="108" w:type="dxa"/>
            <w:bottom w:w="0" w:type="dxa"/>
            <w:right w:w="108" w:type="dxa"/>
          </w:tblCellMar>
        </w:tblPrEx>
        <w:trPr>
          <w:wBefore w:w="0" w:type="dxa"/>
          <w:trHeight w:val="471" w:hRule="atLeast"/>
        </w:trPr>
        <w:tc>
          <w:tcPr>
            <w:tcW w:w="5000" w:type="pct"/>
            <w:gridSpan w:val="4"/>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（一）前端硬件</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1</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bCs/>
              </w:rPr>
              <w:t>人证对比测温设备</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【测温、人脸识别】</w:t>
            </w:r>
          </w:p>
          <w:p>
            <w:pPr>
              <w:snapToGrid w:val="0"/>
              <w:spacing w:line="300" w:lineRule="exact"/>
              <w:rPr>
                <w:rFonts w:ascii="宋体" w:hAnsi="宋体" w:cs="宋体"/>
              </w:rPr>
            </w:pPr>
            <w:r>
              <w:rPr>
                <w:rFonts w:hint="eastAsia" w:ascii="宋体" w:hAnsi="宋体" w:cs="宋体"/>
              </w:rPr>
              <w:t>1、设备外观：采用7英寸触摸显示屏，200万像素双目摄像头，面部识别距离0.5m-1.5m；</w:t>
            </w:r>
          </w:p>
          <w:p>
            <w:pPr>
              <w:snapToGrid w:val="0"/>
              <w:spacing w:line="300" w:lineRule="exact"/>
              <w:rPr>
                <w:rFonts w:ascii="宋体" w:hAnsi="宋体" w:cs="宋体"/>
              </w:rPr>
            </w:pPr>
            <w:r>
              <w:rPr>
                <w:rFonts w:hint="eastAsia" w:ascii="宋体" w:hAnsi="宋体" w:cs="宋体"/>
              </w:rPr>
              <w:t>2、设备容量：支持5000张人脸白名单，6000张卡，50000条记录存储；</w:t>
            </w:r>
          </w:p>
          <w:p>
            <w:pPr>
              <w:snapToGrid w:val="0"/>
              <w:spacing w:line="300" w:lineRule="exact"/>
              <w:rPr>
                <w:rFonts w:ascii="宋体" w:hAnsi="宋体" w:cs="宋体"/>
              </w:rPr>
            </w:pPr>
            <w:r>
              <w:rPr>
                <w:rFonts w:hint="eastAsia" w:ascii="宋体" w:hAnsi="宋体" w:cs="宋体"/>
              </w:rPr>
              <w:t>3、体温测试：设备采用热成像测温，分辨率应为 120*160，支持热成像图像预览；支持垂直方向 0.3～2.0m 距离范围内非接触式自动人体测温（公安部检验报告证明）</w:t>
            </w:r>
          </w:p>
          <w:p>
            <w:pPr>
              <w:snapToGrid w:val="0"/>
              <w:spacing w:line="300" w:lineRule="exact"/>
              <w:rPr>
                <w:rFonts w:ascii="宋体" w:hAnsi="宋体" w:cs="宋体"/>
              </w:rPr>
            </w:pPr>
            <w:r>
              <w:rPr>
                <w:rFonts w:hint="eastAsia" w:ascii="宋体" w:hAnsi="宋体" w:cs="宋体"/>
              </w:rPr>
              <w:t>设备应支持自动准确定位并检测人脸额头温度，无需用户配合。支持人员身份核验及测温，支持上传中心管理平台，实现一人一温一档记录；支持快速测温模式，不需要注册人员信息即应实现测温业务，并能配置开门授权。（公安部检验报告证明）</w:t>
            </w:r>
          </w:p>
          <w:p>
            <w:pPr>
              <w:snapToGrid w:val="0"/>
              <w:spacing w:line="300" w:lineRule="exact"/>
              <w:rPr>
                <w:rFonts w:ascii="宋体" w:hAnsi="宋体" w:cs="宋体"/>
              </w:rPr>
            </w:pPr>
            <w:r>
              <w:rPr>
                <w:rFonts w:hint="eastAsia" w:ascii="宋体" w:hAnsi="宋体" w:cs="宋体"/>
              </w:rPr>
              <w:t>4、认证方式：支持人脸识别、刷卡、密码（超级密码）及组合认证方式，支持二维码识别，可外接身份证模块做人证比对，识别人员身份后获取该人员体温数据统一绑定；</w:t>
            </w:r>
          </w:p>
          <w:p>
            <w:pPr>
              <w:snapToGrid w:val="0"/>
              <w:spacing w:line="300" w:lineRule="exact"/>
              <w:rPr>
                <w:rFonts w:ascii="宋体" w:hAnsi="宋体" w:cs="宋体"/>
              </w:rPr>
            </w:pPr>
            <w:r>
              <w:rPr>
                <w:rFonts w:hint="eastAsia" w:ascii="宋体" w:hAnsi="宋体" w:cs="宋体"/>
              </w:rPr>
              <w:t>设备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公安部检验报告证明）</w:t>
            </w:r>
          </w:p>
          <w:p>
            <w:pPr>
              <w:snapToGrid w:val="0"/>
              <w:spacing w:line="300" w:lineRule="exact"/>
              <w:rPr>
                <w:rFonts w:ascii="宋体" w:hAnsi="宋体" w:cs="宋体"/>
              </w:rPr>
            </w:pPr>
            <w:r>
              <w:rPr>
                <w:rFonts w:hint="eastAsia" w:ascii="宋体" w:hAnsi="宋体" w:cs="宋体"/>
              </w:rPr>
              <w:t>5、通讯方式：有线网络；</w:t>
            </w:r>
          </w:p>
          <w:p>
            <w:pPr>
              <w:snapToGrid w:val="0"/>
              <w:spacing w:line="300" w:lineRule="exact"/>
              <w:rPr>
                <w:rFonts w:ascii="宋体" w:hAnsi="宋体" w:cs="宋体"/>
              </w:rPr>
            </w:pPr>
            <w:r>
              <w:rPr>
                <w:rFonts w:hint="eastAsia" w:ascii="宋体" w:hAnsi="宋体" w:cs="宋体"/>
              </w:rPr>
              <w:t>6、设备接口： LAN*1；RS485*1；韦根*1；USB *2；门磁*1、开门按钮*1、报警输入*2；电锁*1、报警输出*1；</w:t>
            </w:r>
          </w:p>
          <w:p>
            <w:pPr>
              <w:snapToGrid w:val="0"/>
              <w:spacing w:line="300" w:lineRule="exact"/>
              <w:rPr>
                <w:rFonts w:ascii="宋体" w:hAnsi="宋体" w:cs="宋体"/>
              </w:rPr>
            </w:pPr>
            <w:r>
              <w:rPr>
                <w:rFonts w:hint="eastAsia" w:ascii="宋体" w:hAnsi="宋体" w:cs="宋体"/>
              </w:rPr>
              <w:t>7、传感器类型：氧化钒(VOx)微测辐射热计（热成像测温）；</w:t>
            </w:r>
          </w:p>
          <w:p>
            <w:pPr>
              <w:snapToGrid w:val="0"/>
              <w:spacing w:line="300" w:lineRule="exact"/>
              <w:rPr>
                <w:rFonts w:ascii="宋体" w:hAnsi="宋体" w:cs="宋体"/>
              </w:rPr>
            </w:pPr>
            <w:r>
              <w:rPr>
                <w:rFonts w:hint="eastAsia" w:ascii="宋体" w:hAnsi="宋体" w:cs="宋体"/>
              </w:rPr>
              <w:t>8、工作电压：DC 12V/2A，不自带电源；</w:t>
            </w:r>
          </w:p>
          <w:p>
            <w:pPr>
              <w:snapToGrid w:val="0"/>
              <w:spacing w:line="300" w:lineRule="exact"/>
              <w:rPr>
                <w:rFonts w:ascii="宋体" w:hAnsi="宋体" w:cs="宋体"/>
              </w:rPr>
            </w:pPr>
            <w:r>
              <w:rPr>
                <w:rFonts w:hint="eastAsia" w:ascii="宋体" w:hAnsi="宋体" w:cs="宋体"/>
              </w:rPr>
              <w:t>设备支持不开启白光补光灯实现人脸识别；设备支持软硬件低功耗管理模式，设备运行功耗低于 8w。（公安部检验报告证明）</w:t>
            </w:r>
          </w:p>
          <w:p>
            <w:pPr>
              <w:snapToGrid w:val="0"/>
              <w:spacing w:line="300" w:lineRule="exact"/>
              <w:rPr>
                <w:rFonts w:ascii="宋体" w:hAnsi="宋体" w:cs="宋体"/>
              </w:rPr>
            </w:pPr>
            <w:r>
              <w:rPr>
                <w:rFonts w:hint="eastAsia" w:ascii="宋体" w:hAnsi="宋体" w:cs="宋体"/>
              </w:rPr>
              <w:t>9、使用环境：室内，无风环境；</w:t>
            </w:r>
          </w:p>
          <w:p>
            <w:pPr>
              <w:snapToGrid w:val="0"/>
              <w:spacing w:line="300" w:lineRule="exact"/>
              <w:rPr>
                <w:rFonts w:ascii="宋体" w:hAnsi="宋体" w:cs="宋体"/>
              </w:rPr>
            </w:pPr>
            <w:r>
              <w:rPr>
                <w:rFonts w:hint="eastAsia" w:ascii="宋体" w:hAnsi="宋体" w:cs="宋体"/>
              </w:rPr>
              <w:t>10、安装方式：标配金属安装挂板，支持明装、86底盒安装；</w:t>
            </w:r>
          </w:p>
          <w:p>
            <w:pPr>
              <w:snapToGrid w:val="0"/>
              <w:spacing w:line="300" w:lineRule="exact"/>
              <w:rPr>
                <w:rFonts w:ascii="宋体" w:hAnsi="宋体" w:cs="宋体"/>
              </w:rPr>
            </w:pPr>
            <w:r>
              <w:rPr>
                <w:rFonts w:hint="eastAsia" w:ascii="宋体" w:hAnsi="宋体" w:cs="宋体"/>
              </w:rPr>
              <w:t>11、工作温度：0℃-50℃。</w:t>
            </w:r>
          </w:p>
        </w:tc>
        <w:tc>
          <w:tcPr>
            <w:tcW w:w="574" w:type="pct"/>
            <w:tcBorders>
              <w:top w:val="single" w:color="000000" w:sz="4" w:space="0"/>
              <w:left w:val="single" w:color="000000" w:sz="4" w:space="0"/>
              <w:bottom w:val="single" w:color="000000" w:sz="4" w:space="0"/>
              <w:right w:val="single" w:color="auto" w:sz="4" w:space="0"/>
            </w:tcBorders>
            <w:noWrap w:val="0"/>
            <w:vAlign w:val="top"/>
          </w:tcPr>
          <w:p>
            <w:pPr>
              <w:pStyle w:val="20"/>
              <w:spacing w:line="300" w:lineRule="exact"/>
              <w:rPr>
                <w:rFonts w:ascii="宋体" w:hAnsi="宋体" w:cs="宋体"/>
                <w:sz w:val="24"/>
                <w:szCs w:val="24"/>
              </w:rPr>
            </w:pPr>
            <w:r>
              <w:rPr>
                <w:rFonts w:hint="eastAsia" w:ascii="宋体" w:hAnsi="宋体" w:cs="宋体"/>
                <w:color w:val="000000"/>
                <w:sz w:val="24"/>
                <w:szCs w:val="24"/>
              </w:rPr>
              <w:t>35台</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2</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bCs/>
              </w:rPr>
            </w:pPr>
            <w:r>
              <w:rPr>
                <w:rFonts w:hint="eastAsia" w:ascii="宋体" w:hAnsi="宋体" w:cs="宋体"/>
                <w:bCs/>
              </w:rPr>
              <w:t>测温设备配件1</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1、采用USB接口，搭配人证对比测温设备使用；</w:t>
            </w:r>
          </w:p>
          <w:p>
            <w:pPr>
              <w:snapToGrid w:val="0"/>
              <w:spacing w:line="300" w:lineRule="exact"/>
              <w:rPr>
                <w:rFonts w:ascii="宋体" w:hAnsi="宋体" w:cs="宋体"/>
              </w:rPr>
            </w:pPr>
            <w:r>
              <w:rPr>
                <w:rFonts w:hint="eastAsia" w:ascii="宋体" w:hAnsi="宋体" w:cs="宋体"/>
              </w:rPr>
              <w:t>2、可支持识别：身份证内容，IC卡，CPU卡卡号；</w:t>
            </w:r>
          </w:p>
        </w:tc>
        <w:tc>
          <w:tcPr>
            <w:tcW w:w="574" w:type="pct"/>
            <w:tcBorders>
              <w:top w:val="single" w:color="000000" w:sz="4" w:space="0"/>
              <w:left w:val="single" w:color="000000" w:sz="4" w:space="0"/>
              <w:bottom w:val="single" w:color="000000" w:sz="4" w:space="0"/>
              <w:right w:val="single" w:color="auto" w:sz="4" w:space="0"/>
            </w:tcBorders>
            <w:noWrap w:val="0"/>
            <w:vAlign w:val="top"/>
          </w:tcPr>
          <w:p>
            <w:pPr>
              <w:pStyle w:val="20"/>
              <w:spacing w:line="300" w:lineRule="exact"/>
              <w:rPr>
                <w:rFonts w:ascii="宋体" w:hAnsi="宋体" w:cs="宋体"/>
                <w:color w:val="000000"/>
                <w:sz w:val="24"/>
                <w:szCs w:val="24"/>
              </w:rPr>
            </w:pPr>
            <w:r>
              <w:rPr>
                <w:rFonts w:hint="eastAsia" w:ascii="宋体" w:hAnsi="宋体" w:cs="宋体"/>
                <w:color w:val="000000"/>
                <w:sz w:val="24"/>
                <w:szCs w:val="24"/>
              </w:rPr>
              <w:t>35台</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3</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bCs/>
              </w:rPr>
            </w:pPr>
            <w:r>
              <w:rPr>
                <w:rFonts w:hint="eastAsia" w:ascii="宋体" w:hAnsi="宋体" w:cs="宋体"/>
                <w:bCs/>
              </w:rPr>
              <w:t>测温设备配件2</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1、可搭配人证对比测温设备使用，室外使用需要加配该遮阳罩</w:t>
            </w:r>
          </w:p>
          <w:p>
            <w:pPr>
              <w:snapToGrid w:val="0"/>
              <w:spacing w:line="300" w:lineRule="exact"/>
              <w:rPr>
                <w:rFonts w:ascii="宋体" w:hAnsi="宋体" w:cs="宋体"/>
              </w:rPr>
            </w:pPr>
            <w:r>
              <w:rPr>
                <w:rFonts w:hint="eastAsia" w:ascii="宋体" w:hAnsi="宋体" w:cs="宋体"/>
              </w:rPr>
              <w:t>2、尺寸：133.17mm*80mm*250.48mm</w:t>
            </w:r>
          </w:p>
        </w:tc>
        <w:tc>
          <w:tcPr>
            <w:tcW w:w="574" w:type="pct"/>
            <w:tcBorders>
              <w:top w:val="single" w:color="000000" w:sz="4" w:space="0"/>
              <w:left w:val="single" w:color="000000" w:sz="4" w:space="0"/>
              <w:bottom w:val="single" w:color="000000" w:sz="4" w:space="0"/>
              <w:right w:val="single" w:color="auto" w:sz="4" w:space="0"/>
            </w:tcBorders>
            <w:noWrap w:val="0"/>
            <w:vAlign w:val="top"/>
          </w:tcPr>
          <w:p>
            <w:pPr>
              <w:pStyle w:val="20"/>
              <w:spacing w:line="300" w:lineRule="exact"/>
              <w:rPr>
                <w:rFonts w:ascii="宋体" w:hAnsi="宋体" w:cs="宋体"/>
                <w:color w:val="000000"/>
                <w:sz w:val="24"/>
                <w:szCs w:val="24"/>
              </w:rPr>
            </w:pPr>
            <w:r>
              <w:rPr>
                <w:rFonts w:hint="eastAsia" w:ascii="宋体" w:hAnsi="宋体" w:cs="宋体"/>
                <w:color w:val="000000"/>
                <w:sz w:val="24"/>
                <w:szCs w:val="24"/>
              </w:rPr>
              <w:t>35台</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4</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bCs/>
              </w:rPr>
            </w:pPr>
            <w:r>
              <w:rPr>
                <w:rFonts w:hint="eastAsia" w:ascii="宋体" w:hAnsi="宋体" w:cs="宋体"/>
                <w:bCs/>
              </w:rPr>
              <w:t>测温设备配件3</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1、立式支架，可搭配人证对比测温设备进行使用；同时支持86底盒孔位尺寸挂板的设备安装。</w:t>
            </w:r>
          </w:p>
          <w:p>
            <w:pPr>
              <w:snapToGrid w:val="0"/>
              <w:spacing w:line="300" w:lineRule="exact"/>
              <w:rPr>
                <w:rFonts w:ascii="宋体" w:hAnsi="宋体" w:cs="宋体"/>
              </w:rPr>
            </w:pPr>
            <w:r>
              <w:rPr>
                <w:rFonts w:hint="eastAsia" w:ascii="宋体" w:hAnsi="宋体" w:cs="宋体"/>
              </w:rPr>
              <w:t>2、支架采用钣金喷漆材质，适用于室内、室外场景。</w:t>
            </w:r>
          </w:p>
          <w:p>
            <w:pPr>
              <w:snapToGrid w:val="0"/>
              <w:spacing w:line="300" w:lineRule="exact"/>
              <w:rPr>
                <w:rFonts w:ascii="宋体" w:hAnsi="宋体" w:cs="宋体"/>
              </w:rPr>
            </w:pPr>
            <w:r>
              <w:rPr>
                <w:rFonts w:hint="eastAsia" w:ascii="宋体" w:hAnsi="宋体" w:cs="宋体"/>
              </w:rPr>
              <w:t>3、支架安装需要通过膨胀螺钉固定地面。</w:t>
            </w:r>
          </w:p>
          <w:p>
            <w:pPr>
              <w:snapToGrid w:val="0"/>
              <w:spacing w:line="300" w:lineRule="exact"/>
              <w:rPr>
                <w:rFonts w:ascii="宋体" w:hAnsi="宋体" w:cs="宋体"/>
              </w:rPr>
            </w:pPr>
            <w:r>
              <w:rPr>
                <w:rFonts w:hint="eastAsia" w:ascii="宋体" w:hAnsi="宋体" w:cs="宋体"/>
              </w:rPr>
              <w:t>4、支架内置电源线及信号延长线，不带开关电源。</w:t>
            </w:r>
          </w:p>
          <w:p>
            <w:pPr>
              <w:snapToGrid w:val="0"/>
              <w:spacing w:line="300" w:lineRule="exact"/>
              <w:rPr>
                <w:rFonts w:ascii="宋体" w:hAnsi="宋体" w:cs="宋体"/>
              </w:rPr>
            </w:pPr>
            <w:r>
              <w:rPr>
                <w:rFonts w:hint="eastAsia" w:ascii="宋体" w:hAnsi="宋体" w:cs="宋体"/>
              </w:rPr>
              <w:t>5、支持从底部或背面出线方式。</w:t>
            </w:r>
          </w:p>
          <w:p>
            <w:pPr>
              <w:snapToGrid w:val="0"/>
              <w:spacing w:line="300" w:lineRule="exact"/>
              <w:rPr>
                <w:rFonts w:ascii="宋体" w:hAnsi="宋体" w:cs="宋体"/>
              </w:rPr>
            </w:pPr>
            <w:r>
              <w:rPr>
                <w:rFonts w:hint="eastAsia" w:ascii="宋体" w:hAnsi="宋体" w:cs="宋体"/>
              </w:rPr>
              <w:t>6、外观尺寸：1342*98.5*225mm</w:t>
            </w:r>
          </w:p>
        </w:tc>
        <w:tc>
          <w:tcPr>
            <w:tcW w:w="574" w:type="pct"/>
            <w:tcBorders>
              <w:top w:val="single" w:color="000000" w:sz="4" w:space="0"/>
              <w:left w:val="single" w:color="000000" w:sz="4" w:space="0"/>
              <w:bottom w:val="single" w:color="000000" w:sz="4" w:space="0"/>
              <w:right w:val="single" w:color="auto" w:sz="4" w:space="0"/>
            </w:tcBorders>
            <w:noWrap w:val="0"/>
            <w:vAlign w:val="top"/>
          </w:tcPr>
          <w:p>
            <w:pPr>
              <w:pStyle w:val="20"/>
              <w:spacing w:line="300" w:lineRule="exact"/>
              <w:rPr>
                <w:rFonts w:ascii="宋体" w:hAnsi="宋体" w:cs="宋体"/>
                <w:color w:val="000000"/>
                <w:sz w:val="24"/>
                <w:szCs w:val="24"/>
              </w:rPr>
            </w:pPr>
            <w:r>
              <w:rPr>
                <w:rFonts w:hint="eastAsia" w:ascii="宋体" w:hAnsi="宋体" w:cs="宋体"/>
                <w:color w:val="000000"/>
                <w:sz w:val="24"/>
                <w:szCs w:val="24"/>
              </w:rPr>
              <w:t>35台</w:t>
            </w:r>
          </w:p>
        </w:tc>
      </w:tr>
      <w:tr>
        <w:tblPrEx>
          <w:tblCellMar>
            <w:top w:w="0" w:type="dxa"/>
            <w:left w:w="108" w:type="dxa"/>
            <w:bottom w:w="0" w:type="dxa"/>
            <w:right w:w="108" w:type="dxa"/>
          </w:tblCellMar>
        </w:tblPrEx>
        <w:trPr>
          <w:wBefore w:w="0" w:type="dxa"/>
          <w:trHeight w:val="471" w:hRule="atLeast"/>
        </w:trPr>
        <w:tc>
          <w:tcPr>
            <w:tcW w:w="5000" w:type="pct"/>
            <w:gridSpan w:val="4"/>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（二）软件功能</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1</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轻量级数据资源平台基础模块</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资源平台基础：基础模块提供应用中心、数据权限、统一认证、个人中心等功能，为平台提供基础支撑。</w:t>
            </w:r>
            <w:r>
              <w:rPr>
                <w:rFonts w:hint="eastAsia" w:ascii="宋体" w:hAnsi="宋体" w:cs="宋体"/>
              </w:rPr>
              <w:br w:type="textWrapping"/>
            </w:r>
            <w:r>
              <w:rPr>
                <w:rFonts w:hint="eastAsia" w:ascii="宋体" w:hAnsi="宋体" w:cs="宋体"/>
              </w:rPr>
              <w:t>数据标准：提供元数据标准、代码翻译标准、字段格式标准、业务模型标准定义和管理功能，实现数据标准化规范引用。</w:t>
            </w:r>
            <w:r>
              <w:rPr>
                <w:rFonts w:hint="eastAsia" w:ascii="宋体" w:hAnsi="宋体" w:cs="宋体"/>
              </w:rPr>
              <w:br w:type="textWrapping"/>
            </w:r>
            <w:r>
              <w:rPr>
                <w:rFonts w:hint="eastAsia" w:ascii="宋体" w:hAnsi="宋体" w:cs="宋体"/>
              </w:rPr>
              <w:t>数据资源目录：将需要对外提供的各类数据资源，按照一定的数据划分方式进行重新组织，对数据的资源进行分门别类和资源查找，并提供数据预览。</w:t>
            </w:r>
            <w:r>
              <w:rPr>
                <w:rFonts w:hint="eastAsia" w:ascii="宋体" w:hAnsi="宋体" w:cs="宋体"/>
              </w:rPr>
              <w:br w:type="textWrapping"/>
            </w:r>
            <w:r>
              <w:rPr>
                <w:rFonts w:hint="eastAsia" w:ascii="宋体" w:hAnsi="宋体" w:cs="宋体"/>
              </w:rPr>
              <w:t>数据汇聚：实现数据数据源抽取、加载的功能，完全支持图形化配置。支持零散数据上传功能。</w:t>
            </w:r>
            <w:r>
              <w:rPr>
                <w:rFonts w:hint="eastAsia" w:ascii="宋体" w:hAnsi="宋体" w:cs="宋体"/>
              </w:rPr>
              <w:br w:type="textWrapping"/>
            </w:r>
            <w:r>
              <w:rPr>
                <w:rFonts w:hint="eastAsia" w:ascii="宋体" w:hAnsi="宋体" w:cs="宋体"/>
              </w:rPr>
              <w:t>数据治理：通过可视化方式创建数据治理策略，基于汇聚的数据产生主题库、专题库、数仓库、搜索库。支持策略集中管理和统一调度，支持运行周期设置、作业命令设置、计算资源设置等操作；支持代码翻译、字段转换、地理信息编码与逆编码等专项数据治理。</w:t>
            </w:r>
            <w:r>
              <w:rPr>
                <w:rFonts w:hint="eastAsia" w:ascii="宋体" w:hAnsi="宋体" w:cs="宋体"/>
              </w:rPr>
              <w:br w:type="textWrapping"/>
            </w:r>
            <w:r>
              <w:rPr>
                <w:rFonts w:hint="eastAsia" w:ascii="宋体" w:hAnsi="宋体" w:cs="宋体"/>
              </w:rPr>
              <w:t>质量检测：接入平台数据存在的质量问题，支持内置函数和第三方函数校验方式，如提供身份证校验、空值校验、时间校验、字符串校验等数据质量校验规则，提供数据质量检测报表；提供感知数据的质量分析功能。</w:t>
            </w:r>
            <w:r>
              <w:rPr>
                <w:rFonts w:hint="eastAsia" w:ascii="宋体" w:hAnsi="宋体" w:cs="宋体"/>
              </w:rPr>
              <w:br w:type="textWrapping"/>
            </w:r>
            <w:r>
              <w:rPr>
                <w:rFonts w:hint="eastAsia" w:ascii="宋体" w:hAnsi="宋体" w:cs="宋体"/>
              </w:rPr>
              <w:t>接口配置：图形化方式完成接口配置和发布工作。统一提供数据服务接口配置，可自由定义数据源、输入参数、输出参数、条件参数进行接口配置，并且可以对外部接口进行封装。</w:t>
            </w:r>
            <w:r>
              <w:rPr>
                <w:rFonts w:hint="eastAsia" w:ascii="宋体" w:hAnsi="宋体" w:cs="宋体"/>
              </w:rPr>
              <w:br w:type="textWrapping"/>
            </w:r>
            <w:r>
              <w:rPr>
                <w:rFonts w:hint="eastAsia" w:ascii="宋体" w:hAnsi="宋体" w:cs="宋体"/>
              </w:rPr>
              <w:t>此外还包括数据运维中心、数据资源管理、数据开发者中心等软件模块。</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2</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设备治理软件模块</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设备治理包括监控点基础属性治理、经纬度治理、时间差检测、抓拍数据量异常检测和抓拍图片质量分析，确保设备信息准确与数据应用效果。</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3</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图片管理软件模块</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提供人脸、人体、车辆等物联采集图片数据的能力示范应用，包括图片的查询、管理和质量分析等功能。</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4</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名单治理软件模块</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通过名单管理组件获取应用平台下发的名单数据，借助名单数据可实现物联感知数据身份信息确认，人员信息关联分析以及名单数据治理。</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5</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数据开发工作台软件模块</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提供算子管理、专题任务开发及工作流任务开发服务。</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6</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数据标签工厂软件模块</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支持自定义数据主题对象、配置生成标签数据功能，支持基础标签定义、组合标签定义等基础功能。支持通用的主题对象标签检索功能，可通过与、或、非自由组合方式，进行标签数据的检索，支持对象查询标签的统一接口服务。</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7</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智能搜索软件模块</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提供统一的数据搜索服务，支持关键字模糊匹配、定向检索、图像查询、文本批量查询等多种功能，实现数据融合检索应用 。</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8</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数据级联软件</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提供数据级联图形化配置功能，支持数据同网、跨网的级联；支持数据向上级联、向下级联；支持数据级联任务的调度和监控功能。</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9</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数据汇聚实施服务</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各类数据资源的汇聚处理服务。</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10</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数据治理实施服务</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对已接入数据进行治理实施服务。</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11</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设备治理实施服务</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提供设备数据治理实施服务(含设备治理咨询服务)。</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12</w:t>
            </w:r>
          </w:p>
        </w:tc>
        <w:tc>
          <w:tcPr>
            <w:tcW w:w="687"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rPr>
            </w:pPr>
            <w:r>
              <w:rPr>
                <w:rFonts w:hint="eastAsia" w:ascii="宋体" w:hAnsi="宋体" w:cs="宋体"/>
              </w:rPr>
              <w:t>名单治理实施服务</w:t>
            </w:r>
          </w:p>
        </w:tc>
        <w:tc>
          <w:tcPr>
            <w:tcW w:w="3486" w:type="pct"/>
            <w:tcBorders>
              <w:top w:val="single" w:color="000000" w:sz="4" w:space="0"/>
              <w:left w:val="single" w:color="000000" w:sz="4" w:space="0"/>
              <w:bottom w:val="single" w:color="000000" w:sz="4" w:space="0"/>
              <w:right w:val="single" w:color="auto" w:sz="4" w:space="0"/>
            </w:tcBorders>
            <w:noWrap w:val="0"/>
            <w:vAlign w:val="center"/>
          </w:tcPr>
          <w:p>
            <w:pPr>
              <w:snapToGrid w:val="0"/>
              <w:spacing w:line="300" w:lineRule="exact"/>
              <w:rPr>
                <w:rFonts w:ascii="宋体" w:hAnsi="宋体" w:cs="宋体"/>
              </w:rPr>
            </w:pPr>
            <w:r>
              <w:rPr>
                <w:rFonts w:hint="eastAsia" w:ascii="宋体" w:hAnsi="宋体" w:cs="宋体"/>
              </w:rPr>
              <w:t>提供名单数据治理实施服务。</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1套</w:t>
            </w:r>
          </w:p>
        </w:tc>
      </w:tr>
      <w:tr>
        <w:tblPrEx>
          <w:tblCellMar>
            <w:top w:w="0" w:type="dxa"/>
            <w:left w:w="108" w:type="dxa"/>
            <w:bottom w:w="0" w:type="dxa"/>
            <w:right w:w="108" w:type="dxa"/>
          </w:tblCellMar>
        </w:tblPrEx>
        <w:trPr>
          <w:wBefore w:w="0" w:type="dxa"/>
          <w:trHeight w:val="471" w:hRule="atLeast"/>
        </w:trPr>
        <w:tc>
          <w:tcPr>
            <w:tcW w:w="5000" w:type="pct"/>
            <w:gridSpan w:val="4"/>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（三）数据中台实施开发</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1</w:t>
            </w:r>
          </w:p>
        </w:tc>
        <w:tc>
          <w:tcPr>
            <w:tcW w:w="687" w:type="pct"/>
            <w:tcBorders>
              <w:top w:val="single" w:color="000000" w:sz="4" w:space="0"/>
              <w:left w:val="single" w:color="000000" w:sz="4" w:space="0"/>
              <w:bottom w:val="single" w:color="000000" w:sz="4" w:space="0"/>
            </w:tcBorders>
            <w:noWrap w:val="0"/>
            <w:vAlign w:val="top"/>
          </w:tcPr>
          <w:p>
            <w:pPr>
              <w:adjustRightInd w:val="0"/>
              <w:snapToGrid w:val="0"/>
              <w:spacing w:line="260" w:lineRule="exact"/>
              <w:jc w:val="center"/>
              <w:rPr>
                <w:rFonts w:ascii="宋体" w:hAnsi="宋体" w:cs="宋体"/>
              </w:rPr>
            </w:pPr>
            <w:r>
              <w:rPr>
                <w:rFonts w:hint="eastAsia" w:ascii="宋体" w:hAnsi="宋体" w:cs="宋体"/>
              </w:rPr>
              <w:t>桐行通系统对接</w:t>
            </w:r>
          </w:p>
        </w:tc>
        <w:tc>
          <w:tcPr>
            <w:tcW w:w="3486" w:type="pct"/>
            <w:tcBorders>
              <w:top w:val="single" w:color="000000" w:sz="4" w:space="0"/>
              <w:left w:val="single" w:color="000000" w:sz="4" w:space="0"/>
              <w:bottom w:val="single" w:color="000000" w:sz="4" w:space="0"/>
              <w:right w:val="single" w:color="auto" w:sz="4" w:space="0"/>
            </w:tcBorders>
            <w:noWrap w:val="0"/>
            <w:vAlign w:val="top"/>
          </w:tcPr>
          <w:p>
            <w:pPr>
              <w:snapToGrid w:val="0"/>
              <w:spacing w:line="300" w:lineRule="exact"/>
              <w:rPr>
                <w:rFonts w:ascii="宋体" w:hAnsi="宋体" w:cs="宋体"/>
              </w:rPr>
            </w:pPr>
            <w:r>
              <w:rPr>
                <w:rFonts w:hint="eastAsia" w:ascii="宋体" w:hAnsi="宋体" w:cs="宋体"/>
              </w:rPr>
              <w:t>桐行通系统数据对接开发</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1次</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2</w:t>
            </w:r>
          </w:p>
        </w:tc>
        <w:tc>
          <w:tcPr>
            <w:tcW w:w="687" w:type="pct"/>
            <w:tcBorders>
              <w:top w:val="single" w:color="000000" w:sz="4" w:space="0"/>
              <w:left w:val="single" w:color="000000" w:sz="4" w:space="0"/>
              <w:bottom w:val="single" w:color="000000" w:sz="4" w:space="0"/>
            </w:tcBorders>
            <w:noWrap w:val="0"/>
            <w:vAlign w:val="top"/>
          </w:tcPr>
          <w:p>
            <w:pPr>
              <w:adjustRightInd w:val="0"/>
              <w:snapToGrid w:val="0"/>
              <w:spacing w:line="260" w:lineRule="exact"/>
              <w:jc w:val="center"/>
              <w:rPr>
                <w:rFonts w:ascii="宋体" w:hAnsi="宋体" w:cs="宋体"/>
              </w:rPr>
            </w:pPr>
            <w:r>
              <w:rPr>
                <w:rFonts w:hint="eastAsia" w:ascii="宋体" w:hAnsi="宋体" w:cs="宋体"/>
              </w:rPr>
              <w:t>桐乡健康码系统对接</w:t>
            </w:r>
          </w:p>
        </w:tc>
        <w:tc>
          <w:tcPr>
            <w:tcW w:w="3486" w:type="pct"/>
            <w:tcBorders>
              <w:top w:val="single" w:color="000000" w:sz="4" w:space="0"/>
              <w:left w:val="single" w:color="000000" w:sz="4" w:space="0"/>
              <w:bottom w:val="single" w:color="000000" w:sz="4" w:space="0"/>
              <w:right w:val="single" w:color="auto" w:sz="4" w:space="0"/>
            </w:tcBorders>
            <w:noWrap w:val="0"/>
            <w:vAlign w:val="top"/>
          </w:tcPr>
          <w:p>
            <w:pPr>
              <w:snapToGrid w:val="0"/>
              <w:spacing w:line="300" w:lineRule="exact"/>
              <w:rPr>
                <w:rFonts w:ascii="宋体" w:hAnsi="宋体" w:cs="宋体"/>
              </w:rPr>
            </w:pPr>
            <w:r>
              <w:rPr>
                <w:rFonts w:hint="eastAsia" w:ascii="宋体" w:hAnsi="宋体" w:cs="宋体"/>
              </w:rPr>
              <w:t>桐乡健康码系统数据对接开发</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1次</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3</w:t>
            </w:r>
          </w:p>
        </w:tc>
        <w:tc>
          <w:tcPr>
            <w:tcW w:w="687" w:type="pct"/>
            <w:tcBorders>
              <w:top w:val="single" w:color="000000" w:sz="4" w:space="0"/>
              <w:left w:val="single" w:color="000000" w:sz="4" w:space="0"/>
              <w:bottom w:val="single" w:color="000000" w:sz="4" w:space="0"/>
            </w:tcBorders>
            <w:noWrap w:val="0"/>
            <w:vAlign w:val="top"/>
          </w:tcPr>
          <w:p>
            <w:pPr>
              <w:adjustRightInd w:val="0"/>
              <w:snapToGrid w:val="0"/>
              <w:spacing w:line="260" w:lineRule="exact"/>
              <w:jc w:val="center"/>
              <w:rPr>
                <w:rFonts w:ascii="宋体" w:hAnsi="宋体" w:cs="宋体"/>
              </w:rPr>
            </w:pPr>
            <w:r>
              <w:rPr>
                <w:rFonts w:hint="eastAsia" w:ascii="宋体" w:hAnsi="宋体" w:cs="宋体"/>
              </w:rPr>
              <w:t>社区联网平台系统对接</w:t>
            </w:r>
          </w:p>
        </w:tc>
        <w:tc>
          <w:tcPr>
            <w:tcW w:w="3486" w:type="pct"/>
            <w:tcBorders>
              <w:top w:val="single" w:color="000000" w:sz="4" w:space="0"/>
              <w:left w:val="single" w:color="000000" w:sz="4" w:space="0"/>
              <w:bottom w:val="single" w:color="000000" w:sz="4" w:space="0"/>
              <w:right w:val="single" w:color="auto" w:sz="4" w:space="0"/>
            </w:tcBorders>
            <w:noWrap w:val="0"/>
            <w:vAlign w:val="top"/>
          </w:tcPr>
          <w:p>
            <w:pPr>
              <w:snapToGrid w:val="0"/>
              <w:spacing w:line="300" w:lineRule="exact"/>
              <w:rPr>
                <w:rFonts w:ascii="宋体" w:hAnsi="宋体" w:cs="宋体"/>
              </w:rPr>
            </w:pPr>
            <w:r>
              <w:rPr>
                <w:rFonts w:hint="eastAsia" w:ascii="宋体" w:hAnsi="宋体" w:cs="宋体"/>
              </w:rPr>
              <w:t>社区联网平台系统对接开发</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1次</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4</w:t>
            </w:r>
          </w:p>
        </w:tc>
        <w:tc>
          <w:tcPr>
            <w:tcW w:w="687" w:type="pct"/>
            <w:tcBorders>
              <w:top w:val="single" w:color="000000" w:sz="4" w:space="0"/>
              <w:left w:val="single" w:color="000000" w:sz="4" w:space="0"/>
              <w:bottom w:val="single" w:color="000000" w:sz="4" w:space="0"/>
            </w:tcBorders>
            <w:noWrap w:val="0"/>
            <w:vAlign w:val="top"/>
          </w:tcPr>
          <w:p>
            <w:pPr>
              <w:adjustRightInd w:val="0"/>
              <w:snapToGrid w:val="0"/>
              <w:spacing w:line="260" w:lineRule="exact"/>
              <w:jc w:val="center"/>
              <w:rPr>
                <w:rFonts w:ascii="宋体" w:hAnsi="宋体" w:cs="宋体"/>
              </w:rPr>
            </w:pPr>
            <w:r>
              <w:rPr>
                <w:rFonts w:hint="eastAsia" w:ascii="宋体" w:hAnsi="宋体" w:cs="宋体"/>
              </w:rPr>
              <w:t>智安智控平台系统对接</w:t>
            </w:r>
          </w:p>
        </w:tc>
        <w:tc>
          <w:tcPr>
            <w:tcW w:w="3486" w:type="pct"/>
            <w:tcBorders>
              <w:top w:val="single" w:color="000000" w:sz="4" w:space="0"/>
              <w:left w:val="single" w:color="000000" w:sz="4" w:space="0"/>
              <w:bottom w:val="single" w:color="000000" w:sz="4" w:space="0"/>
              <w:right w:val="single" w:color="auto" w:sz="4" w:space="0"/>
            </w:tcBorders>
            <w:noWrap w:val="0"/>
            <w:vAlign w:val="top"/>
          </w:tcPr>
          <w:p>
            <w:pPr>
              <w:snapToGrid w:val="0"/>
              <w:spacing w:line="300" w:lineRule="exact"/>
              <w:rPr>
                <w:rFonts w:ascii="宋体" w:hAnsi="宋体" w:cs="宋体"/>
              </w:rPr>
            </w:pPr>
            <w:r>
              <w:rPr>
                <w:rFonts w:hint="eastAsia" w:ascii="宋体" w:hAnsi="宋体" w:cs="宋体"/>
              </w:rPr>
              <w:t>对接智控平台系统对接开发</w:t>
            </w:r>
          </w:p>
          <w:p>
            <w:pPr>
              <w:snapToGrid w:val="0"/>
              <w:spacing w:line="300" w:lineRule="exact"/>
              <w:rPr>
                <w:rFonts w:ascii="宋体" w:hAnsi="宋体" w:cs="宋体"/>
              </w:rPr>
            </w:pPr>
            <w:r>
              <w:rPr>
                <w:rFonts w:hint="eastAsia" w:ascii="宋体" w:hAnsi="宋体" w:cs="宋体"/>
              </w:rPr>
              <w:t>对接智安小区平台系统对接</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1次</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5</w:t>
            </w:r>
          </w:p>
        </w:tc>
        <w:tc>
          <w:tcPr>
            <w:tcW w:w="687" w:type="pct"/>
            <w:tcBorders>
              <w:top w:val="single" w:color="000000" w:sz="4" w:space="0"/>
              <w:left w:val="single" w:color="000000" w:sz="4" w:space="0"/>
              <w:bottom w:val="single" w:color="000000" w:sz="4" w:space="0"/>
            </w:tcBorders>
            <w:noWrap w:val="0"/>
            <w:vAlign w:val="top"/>
          </w:tcPr>
          <w:p>
            <w:pPr>
              <w:adjustRightInd w:val="0"/>
              <w:snapToGrid w:val="0"/>
              <w:spacing w:line="260" w:lineRule="exact"/>
              <w:jc w:val="center"/>
              <w:rPr>
                <w:rFonts w:ascii="宋体" w:hAnsi="宋体" w:cs="宋体"/>
              </w:rPr>
            </w:pPr>
            <w:r>
              <w:rPr>
                <w:rFonts w:hint="eastAsia" w:ascii="宋体" w:hAnsi="宋体" w:cs="宋体"/>
              </w:rPr>
              <w:t>第三方设备平台系统对接</w:t>
            </w:r>
          </w:p>
        </w:tc>
        <w:tc>
          <w:tcPr>
            <w:tcW w:w="3486" w:type="pct"/>
            <w:tcBorders>
              <w:top w:val="single" w:color="000000" w:sz="4" w:space="0"/>
              <w:left w:val="single" w:color="000000" w:sz="4" w:space="0"/>
              <w:bottom w:val="single" w:color="000000" w:sz="4" w:space="0"/>
              <w:right w:val="single" w:color="auto" w:sz="4" w:space="0"/>
            </w:tcBorders>
            <w:noWrap w:val="0"/>
            <w:vAlign w:val="top"/>
          </w:tcPr>
          <w:p>
            <w:pPr>
              <w:snapToGrid w:val="0"/>
              <w:spacing w:line="300" w:lineRule="exact"/>
              <w:rPr>
                <w:rFonts w:ascii="宋体" w:hAnsi="宋体" w:cs="宋体"/>
              </w:rPr>
            </w:pPr>
            <w:r>
              <w:rPr>
                <w:rFonts w:hint="eastAsia" w:ascii="宋体" w:hAnsi="宋体" w:cs="宋体"/>
              </w:rPr>
              <w:t>对接宇视设备平台，实现资源下发和数据同步</w:t>
            </w:r>
          </w:p>
          <w:p>
            <w:pPr>
              <w:snapToGrid w:val="0"/>
              <w:spacing w:line="300" w:lineRule="exact"/>
              <w:rPr>
                <w:rFonts w:ascii="宋体" w:hAnsi="宋体" w:cs="宋体"/>
              </w:rPr>
            </w:pPr>
            <w:r>
              <w:rPr>
                <w:rFonts w:hint="eastAsia" w:ascii="宋体" w:hAnsi="宋体" w:cs="宋体"/>
              </w:rPr>
              <w:t>对接社众传媒设备平台，实现资源下发和数据同步</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1次</w:t>
            </w:r>
          </w:p>
        </w:tc>
      </w:tr>
      <w:tr>
        <w:tblPrEx>
          <w:tblCellMar>
            <w:top w:w="0" w:type="dxa"/>
            <w:left w:w="108" w:type="dxa"/>
            <w:bottom w:w="0" w:type="dxa"/>
            <w:right w:w="108" w:type="dxa"/>
          </w:tblCellMar>
        </w:tblPrEx>
        <w:trPr>
          <w:wBefore w:w="0" w:type="dxa"/>
          <w:trHeight w:val="471" w:hRule="atLeast"/>
        </w:trPr>
        <w:tc>
          <w:tcPr>
            <w:tcW w:w="251" w:type="pct"/>
            <w:tcBorders>
              <w:top w:val="single" w:color="000000" w:sz="4" w:space="0"/>
              <w:left w:val="single" w:color="000000" w:sz="4" w:space="0"/>
              <w:bottom w:val="single" w:color="000000" w:sz="4" w:space="0"/>
            </w:tcBorders>
            <w:noWrap w:val="0"/>
            <w:vAlign w:val="center"/>
          </w:tcPr>
          <w:p>
            <w:pPr>
              <w:adjustRightInd w:val="0"/>
              <w:snapToGrid w:val="0"/>
              <w:spacing w:line="260" w:lineRule="exact"/>
              <w:jc w:val="center"/>
              <w:rPr>
                <w:rFonts w:ascii="宋体" w:hAnsi="宋体" w:cs="宋体"/>
                <w:color w:val="000000"/>
              </w:rPr>
            </w:pPr>
            <w:r>
              <w:rPr>
                <w:rFonts w:hint="eastAsia" w:ascii="宋体" w:hAnsi="宋体" w:cs="宋体"/>
                <w:color w:val="000000"/>
              </w:rPr>
              <w:t>6</w:t>
            </w:r>
          </w:p>
        </w:tc>
        <w:tc>
          <w:tcPr>
            <w:tcW w:w="687" w:type="pct"/>
            <w:tcBorders>
              <w:top w:val="single" w:color="000000" w:sz="4" w:space="0"/>
              <w:left w:val="single" w:color="000000" w:sz="4" w:space="0"/>
              <w:bottom w:val="single" w:color="000000" w:sz="4" w:space="0"/>
            </w:tcBorders>
            <w:noWrap w:val="0"/>
            <w:vAlign w:val="top"/>
          </w:tcPr>
          <w:p>
            <w:pPr>
              <w:adjustRightInd w:val="0"/>
              <w:snapToGrid w:val="0"/>
              <w:spacing w:line="260" w:lineRule="exact"/>
              <w:jc w:val="center"/>
              <w:rPr>
                <w:rFonts w:ascii="宋体" w:hAnsi="宋体" w:cs="宋体"/>
              </w:rPr>
            </w:pPr>
            <w:r>
              <w:rPr>
                <w:rFonts w:hint="eastAsia" w:ascii="宋体" w:hAnsi="宋体" w:cs="宋体"/>
              </w:rPr>
              <w:t>云衫平台数据接口服务</w:t>
            </w:r>
          </w:p>
        </w:tc>
        <w:tc>
          <w:tcPr>
            <w:tcW w:w="3486" w:type="pct"/>
            <w:tcBorders>
              <w:top w:val="single" w:color="000000" w:sz="4" w:space="0"/>
              <w:left w:val="single" w:color="000000" w:sz="4" w:space="0"/>
              <w:bottom w:val="single" w:color="000000" w:sz="4" w:space="0"/>
              <w:right w:val="single" w:color="auto" w:sz="4" w:space="0"/>
            </w:tcBorders>
            <w:noWrap w:val="0"/>
            <w:vAlign w:val="top"/>
          </w:tcPr>
          <w:p>
            <w:pPr>
              <w:snapToGrid w:val="0"/>
              <w:spacing w:line="300" w:lineRule="exact"/>
              <w:rPr>
                <w:rFonts w:ascii="宋体" w:hAnsi="宋体" w:cs="宋体"/>
              </w:rPr>
            </w:pPr>
            <w:r>
              <w:rPr>
                <w:rFonts w:hint="eastAsia" w:ascii="宋体" w:hAnsi="宋体" w:cs="宋体"/>
              </w:rPr>
              <w:t>对接华数云衫业务平台，对党建引领、网格管理、小区管理、社区服务应用提供数据接口服务</w:t>
            </w:r>
          </w:p>
        </w:tc>
        <w:tc>
          <w:tcPr>
            <w:tcW w:w="574" w:type="pct"/>
            <w:tcBorders>
              <w:top w:val="single" w:color="000000" w:sz="4" w:space="0"/>
              <w:left w:val="single" w:color="000000" w:sz="4" w:space="0"/>
              <w:bottom w:val="single" w:color="000000" w:sz="4" w:space="0"/>
              <w:right w:val="single" w:color="auto" w:sz="4" w:space="0"/>
            </w:tcBorders>
            <w:noWrap w:val="0"/>
            <w:vAlign w:val="center"/>
          </w:tcPr>
          <w:p>
            <w:pPr>
              <w:pStyle w:val="20"/>
              <w:spacing w:line="300" w:lineRule="exact"/>
              <w:rPr>
                <w:rFonts w:ascii="宋体" w:hAnsi="宋体" w:cs="宋体"/>
                <w:sz w:val="24"/>
                <w:szCs w:val="24"/>
              </w:rPr>
            </w:pPr>
            <w:r>
              <w:rPr>
                <w:rFonts w:hint="eastAsia" w:ascii="宋体" w:hAnsi="宋体" w:cs="宋体"/>
                <w:sz w:val="24"/>
                <w:szCs w:val="24"/>
              </w:rPr>
              <w:t>1次</w:t>
            </w:r>
          </w:p>
        </w:tc>
      </w:tr>
    </w:tbl>
    <w:p>
      <w:pPr>
        <w:rPr>
          <w:rFonts w:hint="eastAsia"/>
          <w:b/>
          <w:color w:val="FF0000"/>
        </w:rPr>
      </w:pPr>
    </w:p>
    <w:p>
      <w:pPr>
        <w:rPr>
          <w:b/>
        </w:rPr>
      </w:pPr>
      <w:r>
        <w:rPr>
          <w:rFonts w:hint="eastAsia"/>
          <w:b/>
        </w:rPr>
        <w:t>3、人脸、测温设备参数</w:t>
      </w:r>
    </w:p>
    <w:tbl>
      <w:tblPr>
        <w:tblStyle w:val="61"/>
        <w:tblW w:w="10600" w:type="dxa"/>
        <w:jc w:val="center"/>
        <w:tblLayout w:type="autofit"/>
        <w:tblCellMar>
          <w:top w:w="0" w:type="dxa"/>
          <w:left w:w="108" w:type="dxa"/>
          <w:bottom w:w="0" w:type="dxa"/>
          <w:right w:w="108" w:type="dxa"/>
        </w:tblCellMar>
      </w:tblPr>
      <w:tblGrid>
        <w:gridCol w:w="580"/>
        <w:gridCol w:w="960"/>
        <w:gridCol w:w="6640"/>
        <w:gridCol w:w="620"/>
        <w:gridCol w:w="620"/>
        <w:gridCol w:w="1180"/>
      </w:tblGrid>
      <w:tr>
        <w:tblPrEx>
          <w:tblCellMar>
            <w:top w:w="0" w:type="dxa"/>
            <w:left w:w="108" w:type="dxa"/>
            <w:bottom w:w="0" w:type="dxa"/>
            <w:right w:w="108" w:type="dxa"/>
          </w:tblCellMar>
        </w:tblPrEx>
        <w:trPr>
          <w:wBefore w:w="0" w:type="dxa"/>
          <w:wAfter w:w="0" w:type="dxa"/>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rPr>
            </w:pPr>
            <w:r>
              <w:rPr>
                <w:rFonts w:hint="eastAsia" w:ascii="宋体" w:hAnsi="宋体" w:cs="宋体"/>
                <w:color w:val="000000"/>
              </w:rPr>
              <w:t>序号</w:t>
            </w:r>
          </w:p>
        </w:tc>
        <w:tc>
          <w:tcPr>
            <w:tcW w:w="960"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color w:val="000000"/>
              </w:rPr>
            </w:pPr>
            <w:r>
              <w:rPr>
                <w:rFonts w:hint="eastAsia" w:ascii="宋体" w:hAnsi="宋体" w:cs="宋体"/>
                <w:color w:val="000000"/>
              </w:rPr>
              <w:t>名称</w:t>
            </w:r>
          </w:p>
        </w:tc>
        <w:tc>
          <w:tcPr>
            <w:tcW w:w="6640"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color w:val="000000"/>
              </w:rPr>
            </w:pPr>
            <w:r>
              <w:rPr>
                <w:rFonts w:hint="eastAsia" w:ascii="宋体" w:hAnsi="宋体" w:cs="宋体"/>
                <w:color w:val="000000"/>
              </w:rPr>
              <w:t>参数</w:t>
            </w:r>
          </w:p>
        </w:tc>
        <w:tc>
          <w:tcPr>
            <w:tcW w:w="620"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color w:val="000000"/>
              </w:rPr>
            </w:pPr>
            <w:r>
              <w:rPr>
                <w:rFonts w:hint="eastAsia" w:ascii="宋体" w:hAnsi="宋体" w:cs="宋体"/>
                <w:color w:val="000000"/>
              </w:rPr>
              <w:t>单位</w:t>
            </w:r>
          </w:p>
        </w:tc>
        <w:tc>
          <w:tcPr>
            <w:tcW w:w="620"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color w:val="000000"/>
              </w:rPr>
            </w:pPr>
            <w:r>
              <w:rPr>
                <w:rFonts w:hint="eastAsia" w:ascii="宋体" w:hAnsi="宋体" w:cs="宋体"/>
                <w:color w:val="000000"/>
              </w:rPr>
              <w:t>数量</w:t>
            </w:r>
          </w:p>
        </w:tc>
        <w:tc>
          <w:tcPr>
            <w:tcW w:w="1180"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color w:val="000000"/>
              </w:rPr>
            </w:pPr>
            <w:r>
              <w:rPr>
                <w:rFonts w:hint="eastAsia" w:ascii="宋体" w:hAnsi="宋体" w:cs="宋体"/>
                <w:color w:val="000000"/>
              </w:rPr>
              <w:t>备注</w:t>
            </w:r>
          </w:p>
        </w:tc>
      </w:tr>
      <w:tr>
        <w:tblPrEx>
          <w:tblCellMar>
            <w:top w:w="0" w:type="dxa"/>
            <w:left w:w="108" w:type="dxa"/>
            <w:bottom w:w="0" w:type="dxa"/>
            <w:right w:w="108" w:type="dxa"/>
          </w:tblCellMar>
        </w:tblPrEx>
        <w:trPr>
          <w:wBefore w:w="0" w:type="dxa"/>
          <w:wAfter w:w="0" w:type="dxa"/>
          <w:trHeight w:val="5130" w:hRule="atLeast"/>
          <w:jc w:val="center"/>
        </w:trPr>
        <w:tc>
          <w:tcPr>
            <w:tcW w:w="58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rPr>
            </w:pPr>
            <w:r>
              <w:rPr>
                <w:rFonts w:hint="eastAsia" w:ascii="宋体" w:hAnsi="宋体" w:cs="宋体"/>
                <w:color w:val="000000"/>
              </w:rPr>
              <w:t>1</w:t>
            </w:r>
          </w:p>
        </w:tc>
        <w:tc>
          <w:tcPr>
            <w:tcW w:w="960"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rPr>
            </w:pPr>
            <w:r>
              <w:rPr>
                <w:rFonts w:hint="eastAsia" w:ascii="宋体" w:hAnsi="宋体" w:cs="宋体"/>
                <w:color w:val="000000"/>
              </w:rPr>
              <w:t>400万人脸摄像机</w:t>
            </w:r>
          </w:p>
        </w:tc>
        <w:tc>
          <w:tcPr>
            <w:tcW w:w="6640" w:type="dxa"/>
            <w:tcBorders>
              <w:top w:val="nil"/>
              <w:left w:val="nil"/>
              <w:bottom w:val="single" w:color="auto" w:sz="4" w:space="0"/>
              <w:right w:val="single" w:color="auto" w:sz="4" w:space="0"/>
            </w:tcBorders>
            <w:shd w:val="clear" w:color="000000" w:fill="FFFFFF"/>
            <w:noWrap w:val="0"/>
            <w:vAlign w:val="center"/>
          </w:tcPr>
          <w:p>
            <w:pPr>
              <w:rPr>
                <w:rFonts w:cs="宋体"/>
                <w:color w:val="000000"/>
              </w:rPr>
            </w:pPr>
            <w:r>
              <w:rPr>
                <w:rFonts w:cs="宋体"/>
                <w:color w:val="000000"/>
              </w:rPr>
              <w:t>1. 1/1.8 inch</w:t>
            </w:r>
            <w:r>
              <w:rPr>
                <w:rFonts w:hint="eastAsia" w:ascii="宋体" w:hAnsi="宋体" w:cs="宋体"/>
                <w:color w:val="000000"/>
              </w:rPr>
              <w:t>逐行扫描≥</w:t>
            </w:r>
            <w:r>
              <w:rPr>
                <w:rFonts w:cs="宋体"/>
                <w:color w:val="000000"/>
              </w:rPr>
              <w:t>400</w:t>
            </w:r>
            <w:r>
              <w:rPr>
                <w:rFonts w:hint="eastAsia" w:ascii="宋体" w:hAnsi="宋体" w:cs="宋体"/>
                <w:color w:val="000000"/>
              </w:rPr>
              <w:t>万像素</w:t>
            </w:r>
            <w:r>
              <w:rPr>
                <w:rFonts w:cs="宋体"/>
                <w:color w:val="000000"/>
              </w:rPr>
              <w:t>CMOS</w:t>
            </w:r>
            <w:r>
              <w:rPr>
                <w:rFonts w:hint="eastAsia" w:ascii="宋体" w:hAnsi="宋体" w:cs="宋体"/>
                <w:color w:val="000000"/>
              </w:rPr>
              <w:t>图像传感器；</w:t>
            </w:r>
            <w:r>
              <w:rPr>
                <w:rFonts w:hint="eastAsia" w:ascii="宋体" w:hAnsi="宋体" w:cs="宋体"/>
                <w:color w:val="000000"/>
              </w:rPr>
              <w:br w:type="textWrapping"/>
            </w:r>
            <w:r>
              <w:rPr>
                <w:rFonts w:cs="宋体"/>
                <w:color w:val="000000"/>
              </w:rPr>
              <w:t xml:space="preserve">2. </w:t>
            </w:r>
            <w:r>
              <w:rPr>
                <w:rFonts w:hint="eastAsia" w:ascii="宋体" w:hAnsi="宋体" w:cs="宋体"/>
                <w:color w:val="000000"/>
              </w:rPr>
              <w:t>像元尺寸要求（</w:t>
            </w:r>
            <w:r>
              <w:rPr>
                <w:rFonts w:cs="宋体"/>
                <w:color w:val="000000"/>
              </w:rPr>
              <w:t>3.0±0.1</w:t>
            </w:r>
            <w:r>
              <w:rPr>
                <w:rFonts w:hint="eastAsia" w:ascii="宋体" w:hAnsi="宋体" w:cs="宋体"/>
                <w:color w:val="000000"/>
              </w:rPr>
              <w:t>）</w:t>
            </w:r>
            <w:r>
              <w:rPr>
                <w:rFonts w:cs="宋体"/>
                <w:color w:val="000000"/>
              </w:rPr>
              <w:t>μm</w:t>
            </w:r>
            <w:r>
              <w:rPr>
                <w:rFonts w:hint="eastAsia" w:ascii="宋体" w:hAnsi="宋体" w:cs="宋体"/>
                <w:color w:val="000000"/>
              </w:rPr>
              <w:t>（</w:t>
            </w:r>
            <w:r>
              <w:rPr>
                <w:rFonts w:cs="宋体"/>
                <w:color w:val="000000"/>
              </w:rPr>
              <w:t>H</w:t>
            </w:r>
            <w:r>
              <w:rPr>
                <w:rFonts w:hint="eastAsia" w:ascii="宋体" w:hAnsi="宋体" w:cs="宋体"/>
                <w:color w:val="000000"/>
              </w:rPr>
              <w:t>）</w:t>
            </w:r>
            <w:r>
              <w:rPr>
                <w:rFonts w:cs="宋体"/>
                <w:color w:val="000000"/>
              </w:rPr>
              <w:t>×</w:t>
            </w:r>
            <w:r>
              <w:rPr>
                <w:rFonts w:hint="eastAsia" w:ascii="宋体" w:hAnsi="宋体" w:cs="宋体"/>
                <w:color w:val="000000"/>
              </w:rPr>
              <w:t>（</w:t>
            </w:r>
            <w:r>
              <w:rPr>
                <w:rFonts w:cs="宋体"/>
                <w:color w:val="000000"/>
              </w:rPr>
              <w:t>3.0±0.1</w:t>
            </w:r>
            <w:r>
              <w:rPr>
                <w:rFonts w:hint="eastAsia" w:ascii="宋体" w:hAnsi="宋体" w:cs="宋体"/>
                <w:color w:val="000000"/>
              </w:rPr>
              <w:t>）</w:t>
            </w:r>
            <w:r>
              <w:rPr>
                <w:rFonts w:cs="宋体"/>
                <w:color w:val="000000"/>
              </w:rPr>
              <w:t>μm</w:t>
            </w:r>
            <w:r>
              <w:rPr>
                <w:rFonts w:hint="eastAsia" w:ascii="宋体" w:hAnsi="宋体" w:cs="宋体"/>
                <w:color w:val="000000"/>
              </w:rPr>
              <w:t>（</w:t>
            </w:r>
            <w:r>
              <w:rPr>
                <w:rFonts w:cs="宋体"/>
                <w:color w:val="000000"/>
              </w:rPr>
              <w:t>V</w:t>
            </w:r>
            <w:r>
              <w:rPr>
                <w:rFonts w:hint="eastAsia" w:ascii="宋体" w:hAnsi="宋体" w:cs="宋体"/>
                <w:color w:val="000000"/>
              </w:rPr>
              <w:t>）（以公安部检测报告为准）</w:t>
            </w:r>
            <w:r>
              <w:rPr>
                <w:rFonts w:hint="eastAsia" w:ascii="宋体" w:hAnsi="宋体" w:cs="宋体"/>
                <w:color w:val="000000"/>
              </w:rPr>
              <w:br w:type="textWrapping"/>
            </w:r>
            <w:r>
              <w:rPr>
                <w:rFonts w:cs="宋体"/>
                <w:color w:val="000000"/>
              </w:rPr>
              <w:t xml:space="preserve">3. </w:t>
            </w:r>
            <w:r>
              <w:rPr>
                <w:rFonts w:hint="eastAsia" w:ascii="宋体" w:hAnsi="宋体" w:cs="宋体"/>
                <w:color w:val="000000"/>
              </w:rPr>
              <w:t>焦距范围：</w:t>
            </w:r>
            <w:r>
              <w:rPr>
                <w:rFonts w:cs="宋体"/>
                <w:color w:val="000000"/>
              </w:rPr>
              <w:t>2.8~12</w:t>
            </w:r>
            <w:r>
              <w:rPr>
                <w:rFonts w:hint="eastAsia" w:ascii="宋体" w:hAnsi="宋体" w:cs="宋体"/>
                <w:color w:val="000000"/>
              </w:rPr>
              <w:t>或</w:t>
            </w:r>
            <w:r>
              <w:rPr>
                <w:rFonts w:cs="宋体"/>
                <w:color w:val="000000"/>
              </w:rPr>
              <w:t>8~32mm</w:t>
            </w:r>
            <w:r>
              <w:rPr>
                <w:rFonts w:hint="eastAsia" w:ascii="宋体" w:hAnsi="宋体" w:cs="宋体"/>
                <w:color w:val="000000"/>
              </w:rPr>
              <w:t>，电动变焦；</w:t>
            </w:r>
            <w:r>
              <w:rPr>
                <w:rFonts w:hint="eastAsia" w:ascii="宋体" w:hAnsi="宋体" w:cs="宋体"/>
                <w:color w:val="000000"/>
              </w:rPr>
              <w:br w:type="textWrapping"/>
            </w:r>
            <w:r>
              <w:rPr>
                <w:rFonts w:cs="宋体"/>
                <w:color w:val="000000"/>
              </w:rPr>
              <w:t xml:space="preserve">4. </w:t>
            </w:r>
            <w:r>
              <w:rPr>
                <w:rFonts w:hint="eastAsia" w:ascii="宋体" w:hAnsi="宋体" w:cs="宋体"/>
                <w:color w:val="000000"/>
              </w:rPr>
              <w:t>样机可同时接入</w:t>
            </w:r>
            <w:r>
              <w:rPr>
                <w:rFonts w:cs="宋体"/>
                <w:color w:val="000000"/>
              </w:rPr>
              <w:t>2</w:t>
            </w:r>
            <w:r>
              <w:rPr>
                <w:rFonts w:hint="eastAsia" w:ascii="宋体" w:hAnsi="宋体" w:cs="宋体"/>
                <w:color w:val="000000"/>
              </w:rPr>
              <w:t>个智能平台服务器进行使用（以公安部检测报告为准）；</w:t>
            </w:r>
            <w:r>
              <w:rPr>
                <w:rFonts w:hint="eastAsia" w:ascii="宋体" w:hAnsi="宋体" w:cs="宋体"/>
                <w:color w:val="000000"/>
              </w:rPr>
              <w:br w:type="textWrapping"/>
            </w:r>
            <w:r>
              <w:rPr>
                <w:rFonts w:cs="宋体"/>
                <w:color w:val="000000"/>
              </w:rPr>
              <w:t xml:space="preserve">5. </w:t>
            </w:r>
            <w:r>
              <w:rPr>
                <w:rFonts w:hint="eastAsia" w:ascii="宋体" w:hAnsi="宋体" w:cs="宋体"/>
                <w:color w:val="000000"/>
              </w:rPr>
              <w:t>外壳防护等级</w:t>
            </w:r>
            <w:r>
              <w:rPr>
                <w:rFonts w:cs="宋体"/>
                <w:color w:val="000000"/>
              </w:rPr>
              <w:t>IP68</w:t>
            </w:r>
            <w:r>
              <w:rPr>
                <w:rFonts w:hint="eastAsia" w:ascii="宋体" w:hAnsi="宋体" w:cs="宋体"/>
                <w:color w:val="000000"/>
              </w:rPr>
              <w:t>；</w:t>
            </w:r>
            <w:r>
              <w:rPr>
                <w:rFonts w:hint="eastAsia" w:ascii="宋体" w:hAnsi="宋体" w:cs="宋体"/>
                <w:color w:val="000000"/>
              </w:rPr>
              <w:br w:type="textWrapping"/>
            </w:r>
            <w:r>
              <w:rPr>
                <w:rFonts w:cs="宋体"/>
                <w:color w:val="000000"/>
              </w:rPr>
              <w:t xml:space="preserve">6. </w:t>
            </w:r>
            <w:r>
              <w:rPr>
                <w:rFonts w:hint="eastAsia" w:ascii="宋体" w:hAnsi="宋体" w:cs="宋体"/>
                <w:color w:val="000000"/>
              </w:rPr>
              <w:t>最低照度：彩色</w:t>
            </w:r>
            <w:r>
              <w:rPr>
                <w:rFonts w:cs="宋体"/>
                <w:color w:val="000000"/>
              </w:rPr>
              <w:t>0.0005lx</w:t>
            </w:r>
            <w:r>
              <w:rPr>
                <w:rFonts w:hint="eastAsia" w:ascii="宋体" w:hAnsi="宋体" w:cs="宋体"/>
                <w:color w:val="000000"/>
              </w:rPr>
              <w:t>，黑白</w:t>
            </w:r>
            <w:r>
              <w:rPr>
                <w:rFonts w:cs="宋体"/>
                <w:color w:val="000000"/>
              </w:rPr>
              <w:t>0.0001lx</w:t>
            </w:r>
            <w:r>
              <w:rPr>
                <w:rFonts w:hint="eastAsia" w:ascii="宋体" w:hAnsi="宋体" w:cs="宋体"/>
                <w:color w:val="000000"/>
              </w:rPr>
              <w:t>（以公安部检测报告为准）；</w:t>
            </w:r>
            <w:r>
              <w:rPr>
                <w:rFonts w:hint="eastAsia" w:ascii="宋体" w:hAnsi="宋体" w:cs="宋体"/>
                <w:color w:val="000000"/>
              </w:rPr>
              <w:br w:type="textWrapping"/>
            </w:r>
            <w:r>
              <w:rPr>
                <w:rFonts w:cs="宋体"/>
                <w:color w:val="000000"/>
              </w:rPr>
              <w:t xml:space="preserve">7. </w:t>
            </w:r>
            <w:r>
              <w:rPr>
                <w:rFonts w:hint="eastAsia" w:ascii="宋体" w:hAnsi="宋体" w:cs="宋体"/>
                <w:color w:val="000000"/>
              </w:rPr>
              <w:t>支持同时检测监控场景内出现的不少于</w:t>
            </w:r>
            <w:r>
              <w:rPr>
                <w:rFonts w:cs="宋体"/>
                <w:color w:val="000000"/>
              </w:rPr>
              <w:t>40</w:t>
            </w:r>
            <w:r>
              <w:rPr>
                <w:rFonts w:hint="eastAsia" w:ascii="宋体" w:hAnsi="宋体" w:cs="宋体"/>
                <w:color w:val="000000"/>
              </w:rPr>
              <w:t>张人脸图片，并可进行抓拍机人脸跟踪（以公安部检测报告为准）；</w:t>
            </w:r>
            <w:r>
              <w:rPr>
                <w:rFonts w:hint="eastAsia" w:ascii="宋体" w:hAnsi="宋体" w:cs="宋体"/>
                <w:color w:val="000000"/>
              </w:rPr>
              <w:br w:type="textWrapping"/>
            </w:r>
            <w:r>
              <w:rPr>
                <w:rFonts w:cs="宋体"/>
                <w:color w:val="000000"/>
              </w:rPr>
              <w:t xml:space="preserve">8. </w:t>
            </w:r>
            <w:r>
              <w:rPr>
                <w:rFonts w:hint="eastAsia" w:ascii="宋体" w:hAnsi="宋体" w:cs="宋体"/>
                <w:color w:val="000000"/>
              </w:rPr>
              <w:t>样机支持</w:t>
            </w:r>
            <w:r>
              <w:rPr>
                <w:rFonts w:cs="宋体"/>
                <w:color w:val="000000"/>
              </w:rPr>
              <w:t>IPSAN</w:t>
            </w:r>
            <w:r>
              <w:rPr>
                <w:rFonts w:hint="eastAsia" w:ascii="宋体" w:hAnsi="宋体" w:cs="宋体"/>
                <w:color w:val="000000"/>
              </w:rPr>
              <w:t>或以</w:t>
            </w:r>
            <w:r>
              <w:rPr>
                <w:rFonts w:cs="宋体"/>
                <w:color w:val="000000"/>
              </w:rPr>
              <w:t>ISCSI</w:t>
            </w:r>
            <w:r>
              <w:rPr>
                <w:rFonts w:hint="eastAsia" w:ascii="宋体" w:hAnsi="宋体" w:cs="宋体"/>
                <w:color w:val="000000"/>
              </w:rPr>
              <w:t>直存方式进行双路传输数据（以公安部检测报告为准）</w:t>
            </w:r>
            <w:r>
              <w:rPr>
                <w:rFonts w:hint="eastAsia" w:ascii="宋体" w:hAnsi="宋体" w:cs="宋体"/>
                <w:color w:val="000000"/>
              </w:rPr>
              <w:br w:type="textWrapping"/>
            </w:r>
            <w:r>
              <w:rPr>
                <w:rFonts w:cs="宋体"/>
                <w:color w:val="000000"/>
              </w:rPr>
              <w:t>9. 1</w:t>
            </w:r>
            <w:r>
              <w:rPr>
                <w:rFonts w:hint="eastAsia" w:ascii="宋体" w:hAnsi="宋体" w:cs="宋体"/>
                <w:color w:val="000000"/>
              </w:rPr>
              <w:t>个</w:t>
            </w:r>
            <w:r>
              <w:rPr>
                <w:rFonts w:cs="宋体"/>
                <w:color w:val="000000"/>
              </w:rPr>
              <w:t>RJ45</w:t>
            </w:r>
            <w:r>
              <w:rPr>
                <w:rFonts w:hint="eastAsia" w:ascii="宋体" w:hAnsi="宋体" w:cs="宋体"/>
                <w:color w:val="000000"/>
              </w:rPr>
              <w:t>网络接口，</w:t>
            </w:r>
            <w:r>
              <w:rPr>
                <w:rFonts w:cs="宋体"/>
                <w:color w:val="000000"/>
              </w:rPr>
              <w:t>1</w:t>
            </w:r>
            <w:r>
              <w:rPr>
                <w:rFonts w:hint="eastAsia" w:ascii="宋体" w:hAnsi="宋体" w:cs="宋体"/>
                <w:color w:val="000000"/>
              </w:rPr>
              <w:t>个</w:t>
            </w:r>
            <w:r>
              <w:rPr>
                <w:rFonts w:cs="宋体"/>
                <w:color w:val="000000"/>
              </w:rPr>
              <w:t>RS485</w:t>
            </w:r>
            <w:r>
              <w:rPr>
                <w:rFonts w:hint="eastAsia" w:ascii="宋体" w:hAnsi="宋体" w:cs="宋体"/>
                <w:color w:val="000000"/>
              </w:rPr>
              <w:t>接口，</w:t>
            </w:r>
            <w:r>
              <w:rPr>
                <w:rFonts w:cs="宋体"/>
                <w:color w:val="000000"/>
              </w:rPr>
              <w:t>2</w:t>
            </w:r>
            <w:r>
              <w:rPr>
                <w:rFonts w:hint="eastAsia" w:ascii="宋体" w:hAnsi="宋体" w:cs="宋体"/>
                <w:color w:val="000000"/>
              </w:rPr>
              <w:t>路报警输入，</w:t>
            </w:r>
            <w:r>
              <w:rPr>
                <w:rFonts w:cs="宋体"/>
                <w:color w:val="000000"/>
              </w:rPr>
              <w:t>1</w:t>
            </w:r>
            <w:r>
              <w:rPr>
                <w:rFonts w:hint="eastAsia" w:ascii="宋体" w:hAnsi="宋体" w:cs="宋体"/>
                <w:color w:val="000000"/>
              </w:rPr>
              <w:t>路报警输出，</w:t>
            </w:r>
            <w:r>
              <w:rPr>
                <w:rFonts w:cs="宋体"/>
                <w:color w:val="000000"/>
              </w:rPr>
              <w:t>1</w:t>
            </w:r>
            <w:r>
              <w:rPr>
                <w:rFonts w:hint="eastAsia" w:ascii="宋体" w:hAnsi="宋体" w:cs="宋体"/>
                <w:color w:val="000000"/>
              </w:rPr>
              <w:t>路音频输入</w:t>
            </w:r>
            <w:r>
              <w:rPr>
                <w:rFonts w:cs="宋体"/>
                <w:color w:val="000000"/>
              </w:rPr>
              <w:t>/</w:t>
            </w:r>
            <w:r>
              <w:rPr>
                <w:rFonts w:hint="eastAsia" w:ascii="宋体" w:hAnsi="宋体" w:cs="宋体"/>
                <w:color w:val="000000"/>
              </w:rPr>
              <w:t>输出（以公安部检测报告为准）；</w:t>
            </w:r>
            <w:r>
              <w:rPr>
                <w:rFonts w:hint="eastAsia" w:ascii="宋体" w:hAnsi="宋体" w:cs="宋体"/>
                <w:color w:val="000000"/>
              </w:rPr>
              <w:br w:type="textWrapping"/>
            </w:r>
            <w:r>
              <w:rPr>
                <w:rFonts w:cs="宋体"/>
                <w:color w:val="000000"/>
              </w:rPr>
              <w:t xml:space="preserve">10. </w:t>
            </w:r>
            <w:r>
              <w:rPr>
                <w:rFonts w:hint="eastAsia" w:ascii="宋体" w:hAnsi="宋体" w:cs="宋体"/>
                <w:color w:val="000000"/>
              </w:rPr>
              <w:t>摄像机可配置启用或关闭视频内容保护功能，启用该功能时可对视频图像码流进行随机混淆处理</w:t>
            </w:r>
            <w:r>
              <w:rPr>
                <w:rFonts w:cs="宋体"/>
                <w:color w:val="000000"/>
              </w:rPr>
              <w:t xml:space="preserve">, </w:t>
            </w:r>
            <w:r>
              <w:rPr>
                <w:rFonts w:hint="eastAsia" w:ascii="宋体" w:hAnsi="宋体" w:cs="宋体"/>
                <w:color w:val="000000"/>
              </w:rPr>
              <w:t>可支持内置数字证书，并支持采用数字证书对解码秘钥进行加密；（以公安部检测报告为准）</w:t>
            </w:r>
            <w:r>
              <w:rPr>
                <w:rFonts w:hint="eastAsia" w:ascii="宋体" w:hAnsi="宋体" w:cs="宋体"/>
                <w:color w:val="000000"/>
              </w:rPr>
              <w:br w:type="textWrapping"/>
            </w:r>
            <w:r>
              <w:rPr>
                <w:rFonts w:cs="宋体"/>
                <w:color w:val="000000"/>
              </w:rPr>
              <w:t xml:space="preserve">11. </w:t>
            </w:r>
            <w:r>
              <w:rPr>
                <w:rFonts w:hint="eastAsia" w:ascii="宋体" w:hAnsi="宋体" w:cs="宋体"/>
                <w:color w:val="000000"/>
              </w:rPr>
              <w:t>友好密码功能</w:t>
            </w:r>
            <w:r>
              <w:rPr>
                <w:rFonts w:cs="宋体"/>
                <w:color w:val="000000"/>
              </w:rPr>
              <w:t>-</w:t>
            </w:r>
            <w:r>
              <w:rPr>
                <w:rFonts w:hint="eastAsia" w:ascii="宋体" w:hAnsi="宋体" w:cs="宋体"/>
                <w:color w:val="000000"/>
              </w:rPr>
              <w:t>启用策略时，与样机处于同一网段的地址可以使用样机出厂密码登录和访问样机，跨网段的地址只能使用复杂度为高的密码（至少</w:t>
            </w:r>
            <w:r>
              <w:rPr>
                <w:rFonts w:cs="宋体"/>
                <w:color w:val="000000"/>
              </w:rPr>
              <w:t>8</w:t>
            </w:r>
            <w:r>
              <w:rPr>
                <w:rFonts w:hint="eastAsia" w:ascii="宋体" w:hAnsi="宋体" w:cs="宋体"/>
                <w:color w:val="000000"/>
              </w:rPr>
              <w:t>位，由大小写字母、数字和特殊符号组成）登录和访问样机。关闭友好密码功能策略时，与样机处于同一网段的地址和跨网段的地址都只能使用复杂为高的密码（至少</w:t>
            </w:r>
            <w:r>
              <w:rPr>
                <w:rFonts w:cs="宋体"/>
                <w:color w:val="000000"/>
              </w:rPr>
              <w:t>8</w:t>
            </w:r>
            <w:r>
              <w:rPr>
                <w:rFonts w:hint="eastAsia" w:ascii="宋体" w:hAnsi="宋体" w:cs="宋体"/>
                <w:color w:val="000000"/>
              </w:rPr>
              <w:t>位，由大小写字母、数字和特殊符号组成）登录和访问样机。（以公安部检测报告为准）</w:t>
            </w:r>
            <w:r>
              <w:rPr>
                <w:rFonts w:hint="eastAsia" w:ascii="宋体" w:hAnsi="宋体" w:cs="宋体"/>
                <w:color w:val="000000"/>
              </w:rPr>
              <w:br w:type="textWrapping"/>
            </w:r>
            <w:r>
              <w:rPr>
                <w:rFonts w:cs="宋体"/>
                <w:color w:val="000000"/>
              </w:rPr>
              <w:t xml:space="preserve">12. </w:t>
            </w:r>
            <w:r>
              <w:rPr>
                <w:rFonts w:hint="eastAsia" w:ascii="宋体" w:hAnsi="宋体" w:cs="宋体"/>
                <w:color w:val="000000"/>
              </w:rPr>
              <w:t>高低温工作环境：低温</w:t>
            </w:r>
            <w:r>
              <w:rPr>
                <w:rFonts w:cs="宋体"/>
                <w:color w:val="000000"/>
              </w:rPr>
              <w:t>-40</w:t>
            </w:r>
            <w:r>
              <w:rPr>
                <w:rFonts w:hint="eastAsia" w:ascii="宋体" w:hAnsi="宋体" w:cs="宋体"/>
                <w:color w:val="000000"/>
              </w:rPr>
              <w:t>℃</w:t>
            </w:r>
            <w:r>
              <w:rPr>
                <w:rFonts w:cs="宋体"/>
                <w:color w:val="000000"/>
              </w:rPr>
              <w:t>±2</w:t>
            </w:r>
            <w:r>
              <w:rPr>
                <w:rFonts w:hint="eastAsia" w:ascii="宋体" w:hAnsi="宋体" w:cs="宋体"/>
                <w:color w:val="000000"/>
              </w:rPr>
              <w:t>℃，高温</w:t>
            </w:r>
            <w:r>
              <w:rPr>
                <w:rFonts w:cs="宋体"/>
                <w:color w:val="000000"/>
              </w:rPr>
              <w:t>70</w:t>
            </w:r>
            <w:r>
              <w:rPr>
                <w:rFonts w:hint="eastAsia" w:ascii="宋体" w:hAnsi="宋体" w:cs="宋体"/>
                <w:color w:val="000000"/>
              </w:rPr>
              <w:t>℃</w:t>
            </w:r>
            <w:r>
              <w:rPr>
                <w:rFonts w:cs="宋体"/>
                <w:color w:val="000000"/>
              </w:rPr>
              <w:t>±3</w:t>
            </w:r>
            <w:r>
              <w:rPr>
                <w:rFonts w:hint="eastAsia" w:ascii="宋体" w:hAnsi="宋体" w:cs="宋体"/>
                <w:color w:val="000000"/>
              </w:rPr>
              <w:t>℃，持续时间</w:t>
            </w:r>
            <w:r>
              <w:rPr>
                <w:rFonts w:cs="宋体"/>
                <w:color w:val="000000"/>
              </w:rPr>
              <w:t>2h</w:t>
            </w:r>
            <w:r>
              <w:rPr>
                <w:rFonts w:hint="eastAsia" w:ascii="宋体" w:hAnsi="宋体" w:cs="宋体"/>
                <w:color w:val="000000"/>
              </w:rPr>
              <w:t>；</w:t>
            </w:r>
            <w:r>
              <w:rPr>
                <w:rFonts w:hint="eastAsia" w:ascii="宋体" w:hAnsi="宋体" w:cs="宋体"/>
                <w:color w:val="000000"/>
              </w:rPr>
              <w:br w:type="textWrapping"/>
            </w:r>
            <w:r>
              <w:rPr>
                <w:rFonts w:cs="宋体"/>
                <w:color w:val="000000"/>
              </w:rPr>
              <w:t xml:space="preserve">13. </w:t>
            </w:r>
            <w:r>
              <w:rPr>
                <w:rFonts w:hint="eastAsia" w:ascii="宋体" w:hAnsi="宋体" w:cs="宋体"/>
                <w:color w:val="000000"/>
              </w:rPr>
              <w:t>设备厂家应具备较强的图像处理能力，如消除图像运动模糊、去马赛克、色彩诊断、自动白平衡校正等方面的专业技术。投标人可提供相关证明材料（如专利技术等）证明该能力。</w:t>
            </w:r>
            <w:r>
              <w:rPr>
                <w:rFonts w:hint="eastAsia" w:ascii="宋体" w:hAnsi="宋体" w:cs="宋体"/>
                <w:color w:val="000000"/>
              </w:rPr>
              <w:br w:type="textWrapping"/>
            </w:r>
            <w:r>
              <w:rPr>
                <w:rFonts w:cs="宋体"/>
                <w:color w:val="000000"/>
              </w:rPr>
              <w:t>14.</w:t>
            </w:r>
            <w:r>
              <w:rPr>
                <w:rFonts w:hint="eastAsia" w:ascii="宋体" w:hAnsi="宋体" w:cs="宋体"/>
                <w:color w:val="000000"/>
              </w:rPr>
              <w:t>至少支持以下智能模式切换：混行检测、人脸检测、人脸比对、人数统计</w:t>
            </w:r>
            <w:r>
              <w:rPr>
                <w:rFonts w:hint="eastAsia" w:ascii="宋体" w:hAnsi="宋体" w:cs="宋体"/>
                <w:color w:val="000000"/>
              </w:rPr>
              <w:br w:type="textWrapping"/>
            </w:r>
            <w:r>
              <w:rPr>
                <w:rFonts w:cs="宋体"/>
                <w:color w:val="000000"/>
              </w:rPr>
              <w:t>15.</w:t>
            </w:r>
            <w:r>
              <w:rPr>
                <w:rFonts w:hint="eastAsia" w:ascii="宋体" w:hAnsi="宋体" w:cs="宋体"/>
                <w:color w:val="000000"/>
              </w:rPr>
              <w:t>至少支持以下人脸检测：支持人脸检测抓拍及属性提取</w:t>
            </w:r>
            <w:r>
              <w:rPr>
                <w:rFonts w:hint="eastAsia" w:ascii="宋体" w:hAnsi="宋体" w:cs="宋体"/>
                <w:color w:val="000000"/>
              </w:rPr>
              <w:br w:type="textWrapping"/>
            </w:r>
            <w:r>
              <w:rPr>
                <w:rFonts w:cs="宋体"/>
                <w:color w:val="000000"/>
              </w:rPr>
              <w:t>16.</w:t>
            </w:r>
            <w:r>
              <w:rPr>
                <w:rFonts w:hint="eastAsia" w:ascii="宋体" w:hAnsi="宋体" w:cs="宋体"/>
                <w:color w:val="000000"/>
              </w:rPr>
              <w:t>支持前端人脸识别：至少</w:t>
            </w:r>
            <w:r>
              <w:rPr>
                <w:rFonts w:cs="宋体"/>
                <w:color w:val="000000"/>
              </w:rPr>
              <w:t>10</w:t>
            </w:r>
            <w:r>
              <w:rPr>
                <w:rFonts w:hint="eastAsia" w:ascii="宋体" w:hAnsi="宋体" w:cs="宋体"/>
                <w:color w:val="000000"/>
              </w:rPr>
              <w:t>个人脸库，</w:t>
            </w:r>
            <w:r>
              <w:rPr>
                <w:rFonts w:cs="宋体"/>
                <w:color w:val="000000"/>
              </w:rPr>
              <w:t>10K</w:t>
            </w:r>
            <w:r>
              <w:rPr>
                <w:rFonts w:hint="eastAsia" w:ascii="宋体" w:hAnsi="宋体" w:cs="宋体"/>
                <w:color w:val="000000"/>
              </w:rPr>
              <w:t>库容</w:t>
            </w:r>
            <w:r>
              <w:rPr>
                <w:rFonts w:hint="eastAsia" w:ascii="宋体" w:hAnsi="宋体" w:cs="宋体"/>
                <w:color w:val="000000"/>
              </w:rPr>
              <w:br w:type="textWrapping"/>
            </w:r>
            <w:r>
              <w:rPr>
                <w:rFonts w:cs="宋体"/>
                <w:color w:val="000000"/>
              </w:rPr>
              <w:t>17.</w:t>
            </w:r>
            <w:r>
              <w:rPr>
                <w:rFonts w:hint="eastAsia" w:ascii="宋体" w:hAnsi="宋体" w:cs="宋体"/>
                <w:color w:val="000000"/>
              </w:rPr>
              <w:t>深度周界至少支持：越界检测、进入区域、离开区域</w:t>
            </w:r>
            <w:r>
              <w:rPr>
                <w:rFonts w:hint="eastAsia" w:ascii="宋体" w:hAnsi="宋体" w:cs="宋体"/>
                <w:color w:val="000000"/>
              </w:rPr>
              <w:br w:type="textWrapping"/>
            </w:r>
            <w:r>
              <w:rPr>
                <w:rFonts w:cs="宋体"/>
                <w:color w:val="000000"/>
              </w:rPr>
              <w:t>18.</w:t>
            </w:r>
            <w:r>
              <w:rPr>
                <w:rFonts w:hint="eastAsia" w:ascii="宋体" w:hAnsi="宋体" w:cs="宋体"/>
                <w:color w:val="000000"/>
              </w:rPr>
              <w:t>人数统计至少支持：绊线人数统计</w:t>
            </w:r>
          </w:p>
        </w:tc>
        <w:tc>
          <w:tcPr>
            <w:tcW w:w="620"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rPr>
            </w:pPr>
            <w:r>
              <w:rPr>
                <w:rFonts w:hint="eastAsia" w:ascii="宋体" w:hAnsi="宋体" w:cs="宋体"/>
                <w:color w:val="000000"/>
              </w:rPr>
              <w:t>台</w:t>
            </w:r>
          </w:p>
        </w:tc>
        <w:tc>
          <w:tcPr>
            <w:tcW w:w="620" w:type="dxa"/>
            <w:tcBorders>
              <w:top w:val="nil"/>
              <w:left w:val="nil"/>
              <w:bottom w:val="single" w:color="auto" w:sz="4" w:space="0"/>
              <w:right w:val="single" w:color="auto" w:sz="4" w:space="0"/>
            </w:tcBorders>
            <w:shd w:val="clear" w:color="000000" w:fill="FFFFFF"/>
            <w:noWrap w:val="0"/>
            <w:vAlign w:val="center"/>
          </w:tcPr>
          <w:p>
            <w:pPr>
              <w:jc w:val="center"/>
              <w:rPr>
                <w:rFonts w:ascii="Arial" w:hAnsi="Arial" w:cs="Arial"/>
                <w:color w:val="000000"/>
              </w:rPr>
            </w:pPr>
            <w:r>
              <w:rPr>
                <w:rFonts w:ascii="Arial" w:hAnsi="Arial" w:cs="Arial"/>
                <w:color w:val="000000"/>
              </w:rPr>
              <w:t xml:space="preserve">99 </w:t>
            </w:r>
          </w:p>
        </w:tc>
        <w:tc>
          <w:tcPr>
            <w:tcW w:w="118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含三维可调支架、电源适配器</w:t>
            </w:r>
          </w:p>
        </w:tc>
      </w:tr>
      <w:tr>
        <w:tblPrEx>
          <w:tblCellMar>
            <w:top w:w="0" w:type="dxa"/>
            <w:left w:w="108" w:type="dxa"/>
            <w:bottom w:w="0" w:type="dxa"/>
            <w:right w:w="108" w:type="dxa"/>
          </w:tblCellMar>
        </w:tblPrEx>
        <w:trPr>
          <w:wBefore w:w="0" w:type="dxa"/>
          <w:wAfter w:w="0" w:type="dxa"/>
          <w:trHeight w:val="1408" w:hRule="atLeast"/>
          <w:jc w:val="center"/>
        </w:trPr>
        <w:tc>
          <w:tcPr>
            <w:tcW w:w="58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rPr>
            </w:pPr>
            <w:r>
              <w:rPr>
                <w:rFonts w:hint="eastAsia" w:ascii="宋体" w:hAnsi="宋体" w:cs="宋体"/>
                <w:color w:val="000000"/>
              </w:rPr>
              <w:t>2</w:t>
            </w:r>
          </w:p>
        </w:tc>
        <w:tc>
          <w:tcPr>
            <w:tcW w:w="960"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rPr>
            </w:pPr>
            <w:r>
              <w:rPr>
                <w:rFonts w:hint="eastAsia" w:ascii="宋体" w:hAnsi="宋体" w:cs="宋体"/>
                <w:color w:val="000000"/>
              </w:rPr>
              <w:t>300万深度智能卡口</w:t>
            </w:r>
          </w:p>
        </w:tc>
        <w:tc>
          <w:tcPr>
            <w:tcW w:w="6640" w:type="dxa"/>
            <w:tcBorders>
              <w:top w:val="nil"/>
              <w:left w:val="nil"/>
              <w:bottom w:val="single" w:color="auto" w:sz="4" w:space="0"/>
              <w:right w:val="single" w:color="auto" w:sz="4" w:space="0"/>
            </w:tcBorders>
            <w:shd w:val="clear" w:color="000000" w:fill="FFFFFF"/>
            <w:noWrap w:val="0"/>
            <w:vAlign w:val="center"/>
          </w:tcPr>
          <w:p>
            <w:pPr>
              <w:rPr>
                <w:rFonts w:cs="宋体"/>
                <w:color w:val="000000"/>
              </w:rPr>
            </w:pPr>
            <w:r>
              <w:rPr>
                <w:rFonts w:cs="宋体"/>
                <w:color w:val="000000"/>
              </w:rPr>
              <w:t>1. 300</w:t>
            </w:r>
            <w:r>
              <w:rPr>
                <w:rFonts w:hint="eastAsia" w:ascii="宋体" w:hAnsi="宋体" w:cs="宋体"/>
                <w:color w:val="000000"/>
              </w:rPr>
              <w:t>万像素图像传感器，靶面尺寸≥</w:t>
            </w:r>
            <w:r>
              <w:rPr>
                <w:rFonts w:cs="宋体"/>
                <w:color w:val="000000"/>
              </w:rPr>
              <w:t>1/1.8</w:t>
            </w:r>
            <w:r>
              <w:rPr>
                <w:rFonts w:hint="eastAsia" w:ascii="宋体" w:hAnsi="宋体" w:cs="宋体"/>
                <w:color w:val="000000"/>
              </w:rPr>
              <w:t>英寸</w:t>
            </w:r>
            <w:r>
              <w:rPr>
                <w:rFonts w:hint="eastAsia" w:ascii="宋体" w:hAnsi="宋体" w:cs="宋体"/>
                <w:color w:val="000000"/>
              </w:rPr>
              <w:br w:type="textWrapping"/>
            </w:r>
            <w:r>
              <w:rPr>
                <w:rFonts w:cs="宋体"/>
                <w:color w:val="000000"/>
              </w:rPr>
              <w:t xml:space="preserve">2. </w:t>
            </w:r>
            <w:r>
              <w:rPr>
                <w:rFonts w:hint="eastAsia" w:ascii="宋体" w:hAnsi="宋体" w:cs="宋体"/>
                <w:color w:val="000000"/>
              </w:rPr>
              <w:t>支持卡口监控、违法记录、车牌识别等多项智能业务</w:t>
            </w:r>
            <w:r>
              <w:rPr>
                <w:rFonts w:hint="eastAsia" w:ascii="宋体" w:hAnsi="宋体" w:cs="宋体"/>
                <w:color w:val="000000"/>
              </w:rPr>
              <w:br w:type="textWrapping"/>
            </w:r>
            <w:r>
              <w:rPr>
                <w:rFonts w:cs="宋体"/>
                <w:color w:val="000000"/>
              </w:rPr>
              <w:t xml:space="preserve">3. </w:t>
            </w:r>
            <w:r>
              <w:rPr>
                <w:rFonts w:hint="eastAsia" w:ascii="宋体" w:hAnsi="宋体" w:cs="宋体"/>
                <w:color w:val="000000"/>
              </w:rPr>
              <w:t>图像分辨率≥</w:t>
            </w:r>
            <w:r>
              <w:rPr>
                <w:rFonts w:cs="宋体"/>
                <w:color w:val="000000"/>
              </w:rPr>
              <w:t>2048×1536</w:t>
            </w:r>
            <w:r>
              <w:rPr>
                <w:rFonts w:hint="eastAsia" w:ascii="宋体" w:hAnsi="宋体" w:cs="宋体"/>
                <w:color w:val="000000"/>
              </w:rPr>
              <w:t>，分辨力≥</w:t>
            </w:r>
            <w:r>
              <w:rPr>
                <w:rFonts w:cs="宋体"/>
                <w:color w:val="000000"/>
              </w:rPr>
              <w:t>1500TVL</w:t>
            </w:r>
            <w:r>
              <w:rPr>
                <w:rFonts w:hint="eastAsia" w:ascii="宋体" w:hAnsi="宋体" w:cs="宋体"/>
                <w:color w:val="000000"/>
              </w:rPr>
              <w:t>，帧率</w:t>
            </w:r>
            <w:r>
              <w:rPr>
                <w:rFonts w:cs="宋体"/>
                <w:color w:val="000000"/>
              </w:rPr>
              <w:t>1-50</w:t>
            </w:r>
            <w:r>
              <w:rPr>
                <w:rFonts w:hint="eastAsia" w:ascii="宋体" w:hAnsi="宋体" w:cs="宋体"/>
                <w:color w:val="000000"/>
              </w:rPr>
              <w:t>帧可调</w:t>
            </w:r>
            <w:r>
              <w:rPr>
                <w:rFonts w:hint="eastAsia" w:ascii="宋体" w:hAnsi="宋体" w:cs="宋体"/>
                <w:color w:val="000000"/>
              </w:rPr>
              <w:br w:type="textWrapping"/>
            </w:r>
            <w:r>
              <w:rPr>
                <w:rFonts w:cs="宋体"/>
                <w:color w:val="000000"/>
              </w:rPr>
              <w:t>4.</w:t>
            </w:r>
            <w:r>
              <w:rPr>
                <w:rFonts w:hint="eastAsia" w:ascii="宋体" w:hAnsi="宋体" w:cs="宋体"/>
                <w:color w:val="000000"/>
              </w:rPr>
              <w:t>同步信号输出接口≥</w:t>
            </w:r>
            <w:r>
              <w:rPr>
                <w:rFonts w:cs="宋体"/>
                <w:color w:val="000000"/>
              </w:rPr>
              <w:t>4</w:t>
            </w:r>
            <w:r>
              <w:rPr>
                <w:rFonts w:hint="eastAsia" w:ascii="宋体" w:hAnsi="宋体" w:cs="宋体"/>
                <w:color w:val="000000"/>
              </w:rPr>
              <w:t>个，同步信号控制接口≥</w:t>
            </w:r>
            <w:r>
              <w:rPr>
                <w:rFonts w:cs="宋体"/>
                <w:color w:val="000000"/>
              </w:rPr>
              <w:t>6</w:t>
            </w:r>
            <w:r>
              <w:rPr>
                <w:rFonts w:hint="eastAsia" w:ascii="宋体" w:hAnsi="宋体" w:cs="宋体"/>
                <w:color w:val="000000"/>
              </w:rPr>
              <w:t>个，具备</w:t>
            </w:r>
            <w:r>
              <w:rPr>
                <w:rFonts w:cs="宋体"/>
                <w:color w:val="000000"/>
              </w:rPr>
              <w:t>4</w:t>
            </w:r>
            <w:r>
              <w:rPr>
                <w:rFonts w:hint="eastAsia" w:ascii="宋体" w:hAnsi="宋体" w:cs="宋体"/>
                <w:color w:val="000000"/>
              </w:rPr>
              <w:t>组RS485接口</w:t>
            </w:r>
            <w:r>
              <w:rPr>
                <w:rFonts w:hint="eastAsia" w:ascii="宋体" w:hAnsi="宋体" w:cs="宋体"/>
                <w:color w:val="000000"/>
              </w:rPr>
              <w:br w:type="textWrapping"/>
            </w:r>
            <w:r>
              <w:rPr>
                <w:rFonts w:cs="宋体"/>
                <w:color w:val="000000"/>
              </w:rPr>
              <w:t xml:space="preserve">5. </w:t>
            </w:r>
            <w:r>
              <w:rPr>
                <w:rFonts w:hint="eastAsia" w:ascii="宋体" w:hAnsi="宋体" w:cs="宋体"/>
                <w:color w:val="000000"/>
              </w:rPr>
              <w:t>前端抓拍设备支持网络串接，支持电口或者</w:t>
            </w:r>
            <w:r>
              <w:rPr>
                <w:rFonts w:cs="宋体"/>
                <w:color w:val="000000"/>
              </w:rPr>
              <w:t>SFP</w:t>
            </w:r>
            <w:r>
              <w:rPr>
                <w:rFonts w:hint="eastAsia" w:ascii="宋体" w:hAnsi="宋体" w:cs="宋体"/>
                <w:color w:val="000000"/>
              </w:rPr>
              <w:t>口接入网络（以公安部检测报告为准）</w:t>
            </w:r>
            <w:r>
              <w:rPr>
                <w:rFonts w:cs="宋体"/>
                <w:color w:val="000000"/>
              </w:rPr>
              <w:t xml:space="preserve"> </w:t>
            </w:r>
            <w:r>
              <w:rPr>
                <w:rFonts w:cs="宋体"/>
                <w:color w:val="000000"/>
              </w:rPr>
              <w:br w:type="textWrapping"/>
            </w:r>
            <w:r>
              <w:rPr>
                <w:rFonts w:cs="宋体"/>
                <w:color w:val="000000"/>
              </w:rPr>
              <w:t xml:space="preserve">6. </w:t>
            </w:r>
            <w:r>
              <w:rPr>
                <w:rFonts w:hint="eastAsia" w:ascii="宋体" w:hAnsi="宋体" w:cs="宋体"/>
                <w:color w:val="000000"/>
              </w:rPr>
              <w:t>具有本地存储功能，可将图像信息存储在</w:t>
            </w:r>
            <w:r>
              <w:rPr>
                <w:rFonts w:cs="宋体"/>
                <w:color w:val="000000"/>
              </w:rPr>
              <w:t>eMMC</w:t>
            </w:r>
            <w:r>
              <w:rPr>
                <w:rFonts w:hint="eastAsia" w:ascii="宋体" w:hAnsi="宋体" w:cs="宋体"/>
                <w:color w:val="000000"/>
              </w:rPr>
              <w:t>存储芯片上，存储空间≥</w:t>
            </w:r>
            <w:r>
              <w:rPr>
                <w:rFonts w:cs="宋体"/>
                <w:color w:val="000000"/>
              </w:rPr>
              <w:t>32G</w:t>
            </w:r>
            <w:r>
              <w:rPr>
                <w:rFonts w:hint="eastAsia" w:ascii="宋体" w:hAnsi="宋体" w:cs="宋体"/>
                <w:color w:val="000000"/>
              </w:rPr>
              <w:t>（以公安部检测报告为准）</w:t>
            </w:r>
            <w:r>
              <w:rPr>
                <w:rFonts w:cs="宋体"/>
                <w:color w:val="000000"/>
              </w:rPr>
              <w:t xml:space="preserve"> </w:t>
            </w:r>
            <w:r>
              <w:rPr>
                <w:rFonts w:cs="宋体"/>
                <w:color w:val="000000"/>
              </w:rPr>
              <w:br w:type="textWrapping"/>
            </w:r>
            <w:r>
              <w:rPr>
                <w:rFonts w:cs="宋体"/>
                <w:color w:val="000000"/>
              </w:rPr>
              <w:t xml:space="preserve">7. </w:t>
            </w:r>
            <w:r>
              <w:rPr>
                <w:rFonts w:hint="eastAsia" w:ascii="宋体" w:hAnsi="宋体" w:cs="宋体"/>
                <w:color w:val="000000"/>
              </w:rPr>
              <w:t>设备应支持白光爆闪、红外爆闪、白光频闪和常亮等补光模式，并具有自定义时间和自动切换功能</w:t>
            </w:r>
            <w:r>
              <w:rPr>
                <w:rFonts w:hint="eastAsia" w:ascii="宋体" w:hAnsi="宋体" w:cs="宋体"/>
                <w:color w:val="000000"/>
              </w:rPr>
              <w:br w:type="textWrapping"/>
            </w:r>
            <w:r>
              <w:rPr>
                <w:rFonts w:cs="宋体"/>
                <w:color w:val="000000"/>
              </w:rPr>
              <w:t xml:space="preserve">8. </w:t>
            </w:r>
            <w:r>
              <w:rPr>
                <w:rFonts w:hint="eastAsia" w:ascii="宋体" w:hAnsi="宋体" w:cs="宋体"/>
                <w:color w:val="000000"/>
              </w:rPr>
              <w:t>设备支持视频、地感线圈、雷达触发方式中的一种或多种，且可通过</w:t>
            </w:r>
            <w:r>
              <w:rPr>
                <w:rFonts w:cs="宋体"/>
                <w:color w:val="000000"/>
              </w:rPr>
              <w:t>WEB</w:t>
            </w:r>
            <w:r>
              <w:rPr>
                <w:rFonts w:hint="eastAsia" w:ascii="宋体" w:hAnsi="宋体" w:cs="宋体"/>
                <w:color w:val="000000"/>
              </w:rPr>
              <w:t>界面配置，同时支持视频与雷达、线圈检测自动切换功能。在以上触发方式下，白天和晚上的捕获率均≥</w:t>
            </w:r>
            <w:r>
              <w:rPr>
                <w:rFonts w:cs="宋体"/>
                <w:color w:val="000000"/>
              </w:rPr>
              <w:t>99.5%</w:t>
            </w:r>
            <w:r>
              <w:rPr>
                <w:rFonts w:cs="宋体"/>
                <w:color w:val="000000"/>
              </w:rPr>
              <w:br w:type="textWrapping"/>
            </w:r>
            <w:r>
              <w:rPr>
                <w:rFonts w:cs="宋体"/>
                <w:color w:val="000000"/>
              </w:rPr>
              <w:t xml:space="preserve">9. </w:t>
            </w:r>
            <w:r>
              <w:rPr>
                <w:rFonts w:hint="eastAsia" w:ascii="宋体" w:hAnsi="宋体" w:cs="宋体"/>
                <w:color w:val="000000"/>
              </w:rPr>
              <w:t>包含新能源车牌前提下</w:t>
            </w:r>
            <w:r>
              <w:rPr>
                <w:rFonts w:cs="宋体"/>
                <w:color w:val="000000"/>
              </w:rPr>
              <w:t>,</w:t>
            </w:r>
            <w:r>
              <w:rPr>
                <w:rFonts w:hint="eastAsia" w:ascii="宋体" w:hAnsi="宋体" w:cs="宋体"/>
                <w:color w:val="000000"/>
              </w:rPr>
              <w:t>车辆号牌白天、晚上识别准确率≥</w:t>
            </w:r>
            <w:r>
              <w:rPr>
                <w:rFonts w:cs="宋体"/>
                <w:color w:val="000000"/>
              </w:rPr>
              <w:t>99.5%</w:t>
            </w:r>
            <w:r>
              <w:rPr>
                <w:rFonts w:cs="宋体"/>
                <w:color w:val="000000"/>
              </w:rPr>
              <w:br w:type="textWrapping"/>
            </w:r>
            <w:r>
              <w:rPr>
                <w:rFonts w:cs="宋体"/>
                <w:color w:val="000000"/>
              </w:rPr>
              <w:t xml:space="preserve">10. </w:t>
            </w:r>
            <w:r>
              <w:rPr>
                <w:rFonts w:hint="eastAsia" w:ascii="宋体" w:hAnsi="宋体" w:cs="宋体"/>
                <w:color w:val="000000"/>
              </w:rPr>
              <w:t>支持调试</w:t>
            </w:r>
            <w:r>
              <w:rPr>
                <w:rFonts w:cs="宋体"/>
                <w:color w:val="000000"/>
              </w:rPr>
              <w:t>OSD</w:t>
            </w:r>
            <w:r>
              <w:rPr>
                <w:rFonts w:hint="eastAsia" w:ascii="宋体" w:hAnsi="宋体" w:cs="宋体"/>
                <w:color w:val="000000"/>
              </w:rPr>
              <w:t>、滚动</w:t>
            </w:r>
            <w:r>
              <w:rPr>
                <w:rFonts w:cs="宋体"/>
                <w:color w:val="000000"/>
              </w:rPr>
              <w:t>OSD</w:t>
            </w:r>
            <w:r>
              <w:rPr>
                <w:rFonts w:hint="eastAsia" w:ascii="宋体" w:hAnsi="宋体" w:cs="宋体"/>
                <w:color w:val="000000"/>
              </w:rPr>
              <w:t>、独立</w:t>
            </w:r>
            <w:r>
              <w:rPr>
                <w:rFonts w:cs="宋体"/>
                <w:color w:val="000000"/>
              </w:rPr>
              <w:t>OSD</w:t>
            </w:r>
            <w:r>
              <w:rPr>
                <w:rFonts w:hint="eastAsia" w:ascii="宋体" w:hAnsi="宋体" w:cs="宋体"/>
                <w:color w:val="000000"/>
              </w:rPr>
              <w:t>功能（以公安部检测报告为准）</w:t>
            </w:r>
            <w:r>
              <w:rPr>
                <w:rFonts w:cs="宋体"/>
                <w:color w:val="000000"/>
              </w:rPr>
              <w:t xml:space="preserve"> </w:t>
            </w:r>
            <w:r>
              <w:rPr>
                <w:rFonts w:cs="宋体"/>
                <w:color w:val="000000"/>
              </w:rPr>
              <w:br w:type="textWrapping"/>
            </w:r>
            <w:r>
              <w:rPr>
                <w:rFonts w:cs="宋体"/>
                <w:color w:val="000000"/>
              </w:rPr>
              <w:t xml:space="preserve">11. </w:t>
            </w:r>
            <w:r>
              <w:rPr>
                <w:rFonts w:hint="eastAsia" w:ascii="宋体" w:hAnsi="宋体" w:cs="宋体"/>
                <w:color w:val="000000"/>
              </w:rPr>
              <w:t>支持车窗内挂件识别、年检贴检测、危险品车检测、车身副颜色等多种检测识别功能</w:t>
            </w:r>
            <w:r>
              <w:rPr>
                <w:rFonts w:hint="eastAsia" w:ascii="宋体" w:hAnsi="宋体" w:cs="宋体"/>
                <w:color w:val="000000"/>
              </w:rPr>
              <w:br w:type="textWrapping"/>
            </w:r>
            <w:r>
              <w:rPr>
                <w:rFonts w:cs="宋体"/>
                <w:color w:val="000000"/>
              </w:rPr>
              <w:t xml:space="preserve">12. </w:t>
            </w:r>
            <w:r>
              <w:rPr>
                <w:rFonts w:hint="eastAsia" w:ascii="宋体" w:hAnsi="宋体" w:cs="宋体"/>
                <w:color w:val="000000"/>
              </w:rPr>
              <w:t>支持开车打电话检测功能，全天检出率≥</w:t>
            </w:r>
            <w:r>
              <w:rPr>
                <w:rFonts w:cs="宋体"/>
                <w:color w:val="000000"/>
              </w:rPr>
              <w:t>98</w:t>
            </w:r>
            <w:r>
              <w:rPr>
                <w:rFonts w:hint="eastAsia" w:ascii="宋体" w:hAnsi="宋体" w:cs="宋体"/>
                <w:color w:val="000000"/>
              </w:rPr>
              <w:t>％，误检率≤</w:t>
            </w:r>
            <w:r>
              <w:rPr>
                <w:rFonts w:cs="宋体"/>
                <w:color w:val="000000"/>
              </w:rPr>
              <w:t>2</w:t>
            </w:r>
            <w:r>
              <w:rPr>
                <w:rFonts w:hint="eastAsia" w:ascii="宋体" w:hAnsi="宋体" w:cs="宋体"/>
                <w:color w:val="000000"/>
              </w:rPr>
              <w:t>％</w:t>
            </w:r>
            <w:r>
              <w:rPr>
                <w:rFonts w:hint="eastAsia" w:ascii="宋体" w:hAnsi="宋体" w:cs="宋体"/>
                <w:color w:val="000000"/>
              </w:rPr>
              <w:br w:type="textWrapping"/>
            </w:r>
            <w:r>
              <w:rPr>
                <w:rFonts w:cs="宋体"/>
                <w:color w:val="000000"/>
              </w:rPr>
              <w:t xml:space="preserve">13. </w:t>
            </w:r>
            <w:r>
              <w:rPr>
                <w:rFonts w:hint="eastAsia" w:ascii="宋体" w:hAnsi="宋体" w:cs="宋体"/>
                <w:color w:val="000000"/>
              </w:rPr>
              <w:t>支持未系安全带检测功能，全天检出率≥</w:t>
            </w:r>
            <w:r>
              <w:rPr>
                <w:rFonts w:cs="宋体"/>
                <w:color w:val="000000"/>
              </w:rPr>
              <w:t>98</w:t>
            </w:r>
            <w:r>
              <w:rPr>
                <w:rFonts w:hint="eastAsia" w:ascii="宋体" w:hAnsi="宋体" w:cs="宋体"/>
                <w:color w:val="000000"/>
              </w:rPr>
              <w:t>％，误检率≤</w:t>
            </w:r>
            <w:r>
              <w:rPr>
                <w:rFonts w:cs="宋体"/>
                <w:color w:val="000000"/>
              </w:rPr>
              <w:t>2</w:t>
            </w:r>
            <w:r>
              <w:rPr>
                <w:rFonts w:hint="eastAsia" w:ascii="宋体" w:hAnsi="宋体" w:cs="宋体"/>
                <w:color w:val="000000"/>
              </w:rPr>
              <w:t>％</w:t>
            </w:r>
            <w:r>
              <w:rPr>
                <w:rFonts w:hint="eastAsia" w:ascii="宋体" w:hAnsi="宋体" w:cs="宋体"/>
                <w:color w:val="000000"/>
              </w:rPr>
              <w:br w:type="textWrapping"/>
            </w:r>
            <w:r>
              <w:rPr>
                <w:rFonts w:cs="宋体"/>
                <w:color w:val="000000"/>
              </w:rPr>
              <w:t xml:space="preserve">14. </w:t>
            </w:r>
            <w:r>
              <w:rPr>
                <w:rFonts w:hint="eastAsia" w:ascii="宋体" w:hAnsi="宋体" w:cs="宋体"/>
                <w:color w:val="000000"/>
              </w:rPr>
              <w:t>支持二轮车驾驶员、三轮车驾驶员、行人人脸捕获功能，捕获率≥</w:t>
            </w:r>
            <w:r>
              <w:rPr>
                <w:rFonts w:cs="宋体"/>
                <w:color w:val="000000"/>
              </w:rPr>
              <w:t>98</w:t>
            </w:r>
            <w:r>
              <w:rPr>
                <w:rFonts w:hint="eastAsia" w:ascii="宋体" w:hAnsi="宋体" w:cs="宋体"/>
                <w:color w:val="000000"/>
              </w:rPr>
              <w:t>％（以公安部检测报告为准）</w:t>
            </w:r>
            <w:r>
              <w:rPr>
                <w:rFonts w:cs="宋体"/>
                <w:color w:val="000000"/>
              </w:rPr>
              <w:t xml:space="preserve"> </w:t>
            </w:r>
            <w:r>
              <w:rPr>
                <w:rFonts w:cs="宋体"/>
                <w:color w:val="000000"/>
              </w:rPr>
              <w:br w:type="textWrapping"/>
            </w:r>
            <w:r>
              <w:rPr>
                <w:rFonts w:cs="宋体"/>
                <w:color w:val="000000"/>
              </w:rPr>
              <w:t xml:space="preserve">15. </w:t>
            </w:r>
            <w:r>
              <w:rPr>
                <w:rFonts w:hint="eastAsia" w:ascii="宋体" w:hAnsi="宋体" w:cs="宋体"/>
                <w:color w:val="000000"/>
              </w:rPr>
              <w:t>支持对二轮车驾驶员、三轮车驾驶员、行人的性别、是否佩戴眼镜识别，准确率≥</w:t>
            </w:r>
            <w:r>
              <w:rPr>
                <w:rFonts w:cs="宋体"/>
                <w:color w:val="000000"/>
              </w:rPr>
              <w:t>98</w:t>
            </w:r>
            <w:r>
              <w:rPr>
                <w:rFonts w:hint="eastAsia" w:ascii="宋体" w:hAnsi="宋体" w:cs="宋体"/>
                <w:color w:val="000000"/>
              </w:rPr>
              <w:t>％（以公安部检测报告为准）</w:t>
            </w:r>
            <w:r>
              <w:rPr>
                <w:rFonts w:cs="宋体"/>
                <w:color w:val="000000"/>
              </w:rPr>
              <w:t xml:space="preserve"> </w:t>
            </w:r>
            <w:r>
              <w:rPr>
                <w:rFonts w:cs="宋体"/>
                <w:color w:val="000000"/>
              </w:rPr>
              <w:br w:type="textWrapping"/>
            </w:r>
            <w:r>
              <w:rPr>
                <w:rFonts w:cs="宋体"/>
                <w:color w:val="000000"/>
              </w:rPr>
              <w:t xml:space="preserve">16. </w:t>
            </w:r>
            <w:r>
              <w:rPr>
                <w:rFonts w:hint="eastAsia" w:ascii="宋体" w:hAnsi="宋体" w:cs="宋体"/>
                <w:color w:val="000000"/>
              </w:rPr>
              <w:t>支持遮挡挂机动车号牌车辆捕获，记录有有效率≥</w:t>
            </w:r>
            <w:r>
              <w:rPr>
                <w:rFonts w:cs="宋体"/>
                <w:color w:val="000000"/>
              </w:rPr>
              <w:t>98</w:t>
            </w:r>
            <w:r>
              <w:rPr>
                <w:rFonts w:hint="eastAsia" w:ascii="宋体" w:hAnsi="宋体" w:cs="宋体"/>
                <w:color w:val="000000"/>
              </w:rPr>
              <w:t>％</w:t>
            </w:r>
            <w:r>
              <w:rPr>
                <w:rFonts w:hint="eastAsia" w:ascii="宋体" w:hAnsi="宋体" w:cs="宋体"/>
                <w:color w:val="000000"/>
              </w:rPr>
              <w:br w:type="textWrapping"/>
            </w:r>
            <w:r>
              <w:rPr>
                <w:rFonts w:cs="宋体"/>
                <w:color w:val="000000"/>
              </w:rPr>
              <w:t xml:space="preserve">17. </w:t>
            </w:r>
            <w:r>
              <w:rPr>
                <w:rFonts w:hint="eastAsia" w:ascii="宋体" w:hAnsi="宋体" w:cs="宋体"/>
                <w:color w:val="000000"/>
              </w:rPr>
              <w:t>支持车型识别，种类≥</w:t>
            </w:r>
            <w:r>
              <w:rPr>
                <w:rFonts w:cs="宋体"/>
                <w:color w:val="000000"/>
              </w:rPr>
              <w:t>26</w:t>
            </w:r>
            <w:r>
              <w:rPr>
                <w:rFonts w:hint="eastAsia" w:ascii="宋体" w:hAnsi="宋体" w:cs="宋体"/>
                <w:color w:val="000000"/>
              </w:rPr>
              <w:t>种</w:t>
            </w:r>
            <w:r>
              <w:rPr>
                <w:rFonts w:cs="宋体"/>
                <w:color w:val="000000"/>
              </w:rPr>
              <w:t xml:space="preserve"> </w:t>
            </w:r>
            <w:r>
              <w:rPr>
                <w:rFonts w:cs="宋体"/>
                <w:color w:val="000000"/>
              </w:rPr>
              <w:br w:type="textWrapping"/>
            </w:r>
            <w:r>
              <w:rPr>
                <w:rFonts w:cs="宋体"/>
                <w:color w:val="000000"/>
              </w:rPr>
              <w:t xml:space="preserve">18. </w:t>
            </w:r>
            <w:r>
              <w:rPr>
                <w:rFonts w:hint="eastAsia" w:ascii="宋体" w:hAnsi="宋体" w:cs="宋体"/>
                <w:color w:val="000000"/>
              </w:rPr>
              <w:t>支持识别车辆品牌，种类≥</w:t>
            </w:r>
            <w:r>
              <w:rPr>
                <w:rFonts w:cs="宋体"/>
                <w:color w:val="000000"/>
              </w:rPr>
              <w:t>350</w:t>
            </w:r>
            <w:r>
              <w:rPr>
                <w:rFonts w:hint="eastAsia" w:ascii="宋体" w:hAnsi="宋体" w:cs="宋体"/>
                <w:color w:val="000000"/>
              </w:rPr>
              <w:t>种</w:t>
            </w:r>
            <w:r>
              <w:rPr>
                <w:rFonts w:hint="eastAsia" w:ascii="宋体" w:hAnsi="宋体" w:cs="宋体"/>
                <w:color w:val="000000"/>
              </w:rPr>
              <w:br w:type="textWrapping"/>
            </w:r>
            <w:r>
              <w:rPr>
                <w:rFonts w:cs="宋体"/>
                <w:color w:val="000000"/>
              </w:rPr>
              <w:t xml:space="preserve">19. </w:t>
            </w:r>
            <w:r>
              <w:rPr>
                <w:rFonts w:hint="eastAsia" w:ascii="宋体" w:hAnsi="宋体" w:cs="宋体"/>
                <w:color w:val="000000"/>
              </w:rPr>
              <w:t>可外接</w:t>
            </w:r>
            <w:r>
              <w:rPr>
                <w:rFonts w:cs="宋体"/>
                <w:color w:val="000000"/>
              </w:rPr>
              <w:t>LED</w:t>
            </w:r>
            <w:r>
              <w:rPr>
                <w:rFonts w:hint="eastAsia" w:ascii="宋体" w:hAnsi="宋体" w:cs="宋体"/>
                <w:color w:val="000000"/>
              </w:rPr>
              <w:t>显示屏显示信息应包括提示信息、通过车辆信息和违法信息，显示机动车号牌信息时，车辆号牌最后一位以</w:t>
            </w:r>
            <w:r>
              <w:rPr>
                <w:rFonts w:cs="宋体"/>
                <w:color w:val="000000"/>
              </w:rPr>
              <w:t>“*”</w:t>
            </w:r>
            <w:r>
              <w:rPr>
                <w:rFonts w:hint="eastAsia" w:ascii="宋体" w:hAnsi="宋体" w:cs="宋体"/>
                <w:color w:val="000000"/>
              </w:rPr>
              <w:t>字符代替（以公安部检测报告为准）</w:t>
            </w:r>
            <w:r>
              <w:rPr>
                <w:rFonts w:cs="宋体"/>
                <w:color w:val="000000"/>
              </w:rPr>
              <w:t xml:space="preserve"> </w:t>
            </w:r>
            <w:r>
              <w:rPr>
                <w:rFonts w:cs="宋体"/>
                <w:color w:val="000000"/>
              </w:rPr>
              <w:br w:type="textWrapping"/>
            </w:r>
            <w:r>
              <w:rPr>
                <w:rFonts w:cs="宋体"/>
                <w:color w:val="000000"/>
              </w:rPr>
              <w:t xml:space="preserve">20. </w:t>
            </w:r>
            <w:r>
              <w:rPr>
                <w:rFonts w:hint="eastAsia" w:ascii="宋体" w:hAnsi="宋体" w:cs="宋体"/>
                <w:color w:val="000000"/>
              </w:rPr>
              <w:t>防护等级≥</w:t>
            </w:r>
            <w:r>
              <w:rPr>
                <w:rFonts w:cs="宋体"/>
                <w:color w:val="000000"/>
              </w:rPr>
              <w:t xml:space="preserve">IP67 </w:t>
            </w:r>
            <w:r>
              <w:rPr>
                <w:rFonts w:cs="宋体"/>
                <w:color w:val="000000"/>
              </w:rPr>
              <w:br w:type="textWrapping"/>
            </w:r>
            <w:r>
              <w:rPr>
                <w:rFonts w:cs="宋体"/>
                <w:color w:val="000000"/>
              </w:rPr>
              <w:t xml:space="preserve">21. </w:t>
            </w:r>
            <w:r>
              <w:rPr>
                <w:rFonts w:hint="eastAsia" w:ascii="宋体" w:hAnsi="宋体" w:cs="宋体"/>
                <w:color w:val="000000"/>
              </w:rPr>
              <w:t>设备护罩支持侧开方式（以公安部检测报告为准）</w:t>
            </w:r>
            <w:r>
              <w:rPr>
                <w:rFonts w:cs="宋体"/>
                <w:color w:val="000000"/>
              </w:rPr>
              <w:t xml:space="preserve"> </w:t>
            </w:r>
            <w:r>
              <w:rPr>
                <w:rFonts w:cs="宋体"/>
                <w:color w:val="000000"/>
              </w:rPr>
              <w:br w:type="textWrapping"/>
            </w:r>
            <w:r>
              <w:rPr>
                <w:rFonts w:cs="宋体"/>
                <w:color w:val="000000"/>
              </w:rPr>
              <w:t xml:space="preserve">22. </w:t>
            </w:r>
            <w:r>
              <w:rPr>
                <w:rFonts w:hint="eastAsia" w:ascii="宋体" w:hAnsi="宋体" w:cs="宋体"/>
                <w:color w:val="000000"/>
              </w:rPr>
              <w:t>工作温度</w:t>
            </w:r>
            <w:r>
              <w:rPr>
                <w:rFonts w:cs="宋体"/>
                <w:color w:val="000000"/>
              </w:rPr>
              <w:t>-40</w:t>
            </w:r>
            <w:r>
              <w:rPr>
                <w:rFonts w:hint="eastAsia" w:ascii="宋体" w:hAnsi="宋体" w:cs="宋体"/>
                <w:color w:val="000000"/>
              </w:rPr>
              <w:t>℃～</w:t>
            </w:r>
            <w:r>
              <w:rPr>
                <w:rFonts w:cs="宋体"/>
                <w:color w:val="000000"/>
              </w:rPr>
              <w:t>+85</w:t>
            </w:r>
            <w:r>
              <w:rPr>
                <w:rFonts w:hint="eastAsia" w:ascii="宋体" w:hAnsi="宋体" w:cs="宋体"/>
                <w:color w:val="000000"/>
              </w:rPr>
              <w:t>℃</w:t>
            </w:r>
            <w:r>
              <w:rPr>
                <w:rFonts w:hint="eastAsia" w:ascii="宋体" w:hAnsi="宋体" w:cs="宋体"/>
                <w:color w:val="000000"/>
              </w:rPr>
              <w:br w:type="textWrapping"/>
            </w:r>
            <w:r>
              <w:rPr>
                <w:rFonts w:cs="宋体"/>
                <w:color w:val="000000"/>
              </w:rPr>
              <w:t xml:space="preserve">23. </w:t>
            </w:r>
            <w:r>
              <w:rPr>
                <w:rFonts w:hint="eastAsia" w:ascii="宋体" w:hAnsi="宋体" w:cs="宋体"/>
                <w:color w:val="000000"/>
              </w:rPr>
              <w:t>正常工作电压范围≥</w:t>
            </w:r>
            <w:r>
              <w:rPr>
                <w:rFonts w:cs="宋体"/>
                <w:color w:val="000000"/>
              </w:rPr>
              <w:t>AC30V</w:t>
            </w:r>
            <w:r>
              <w:rPr>
                <w:rFonts w:hint="eastAsia" w:ascii="宋体" w:hAnsi="宋体" w:cs="宋体"/>
                <w:color w:val="000000"/>
              </w:rPr>
              <w:t>～</w:t>
            </w:r>
            <w:r>
              <w:rPr>
                <w:rFonts w:cs="宋体"/>
                <w:color w:val="000000"/>
              </w:rPr>
              <w:t xml:space="preserve">310V </w:t>
            </w:r>
            <w:r>
              <w:rPr>
                <w:rFonts w:cs="宋体"/>
                <w:color w:val="000000"/>
              </w:rPr>
              <w:br w:type="textWrapping"/>
            </w:r>
            <w:r>
              <w:rPr>
                <w:rFonts w:cs="宋体"/>
                <w:color w:val="000000"/>
              </w:rPr>
              <w:t xml:space="preserve">24. </w:t>
            </w:r>
            <w:r>
              <w:rPr>
                <w:rFonts w:hint="eastAsia" w:ascii="宋体" w:hAnsi="宋体" w:cs="宋体"/>
                <w:color w:val="000000"/>
              </w:rPr>
              <w:t>设备厂家应具备较强的图像处理能力，如消除图像运动模糊、去马赛克、色彩诊断、自动白平衡校正等方面的专业技术。投标人可提供相关证明材料（如专利技术等）证明该能力。</w:t>
            </w:r>
            <w:r>
              <w:rPr>
                <w:rFonts w:hint="eastAsia" w:ascii="宋体" w:hAnsi="宋体" w:cs="宋体"/>
                <w:color w:val="000000"/>
              </w:rPr>
              <w:br w:type="textWrapping"/>
            </w:r>
            <w:r>
              <w:rPr>
                <w:rFonts w:cs="宋体"/>
                <w:color w:val="000000"/>
              </w:rPr>
              <w:t>25.</w:t>
            </w:r>
            <w:r>
              <w:rPr>
                <w:rFonts w:hint="eastAsia" w:ascii="宋体" w:hAnsi="宋体" w:cs="宋体"/>
                <w:color w:val="000000"/>
              </w:rPr>
              <w:t>系统至少支持</w:t>
            </w:r>
            <w:r>
              <w:rPr>
                <w:rFonts w:cs="宋体"/>
                <w:color w:val="000000"/>
              </w:rPr>
              <w:t>eMMC</w:t>
            </w:r>
            <w:r>
              <w:rPr>
                <w:rFonts w:hint="eastAsia" w:ascii="宋体" w:hAnsi="宋体" w:cs="宋体"/>
                <w:color w:val="000000"/>
              </w:rPr>
              <w:t>或TF两种存储介质中的一种</w:t>
            </w:r>
            <w:r>
              <w:rPr>
                <w:rFonts w:hint="eastAsia" w:ascii="宋体" w:hAnsi="宋体" w:cs="宋体"/>
                <w:color w:val="000000"/>
              </w:rPr>
              <w:br w:type="textWrapping"/>
            </w:r>
            <w:r>
              <w:rPr>
                <w:rFonts w:hint="eastAsia" w:ascii="宋体" w:hAnsi="宋体" w:cs="宋体"/>
                <w:color w:val="000000"/>
              </w:rPr>
              <w:t>26.4组同步信号输出接口（开关量）</w:t>
            </w:r>
            <w:r>
              <w:rPr>
                <w:rFonts w:hint="eastAsia" w:ascii="宋体" w:hAnsi="宋体" w:cs="宋体"/>
                <w:color w:val="000000"/>
              </w:rPr>
              <w:br w:type="textWrapping"/>
            </w:r>
            <w:r>
              <w:rPr>
                <w:rFonts w:hint="eastAsia" w:ascii="宋体" w:hAnsi="宋体" w:cs="宋体"/>
                <w:color w:val="000000"/>
              </w:rPr>
              <w:t>27.6组同步信号输出接口（TTL）</w:t>
            </w:r>
            <w:r>
              <w:rPr>
                <w:rFonts w:hint="eastAsia" w:ascii="宋体" w:hAnsi="宋体" w:cs="宋体"/>
                <w:color w:val="000000"/>
              </w:rPr>
              <w:br w:type="textWrapping"/>
            </w:r>
            <w:r>
              <w:rPr>
                <w:rFonts w:hint="eastAsia" w:ascii="宋体" w:hAnsi="宋体" w:cs="宋体"/>
                <w:color w:val="000000"/>
              </w:rPr>
              <w:t>28.3组信号输入接口（开关量）</w:t>
            </w:r>
            <w:r>
              <w:rPr>
                <w:rFonts w:hint="eastAsia" w:ascii="宋体" w:hAnsi="宋体" w:cs="宋体"/>
                <w:color w:val="000000"/>
              </w:rPr>
              <w:br w:type="textWrapping"/>
            </w:r>
            <w:r>
              <w:rPr>
                <w:rFonts w:hint="eastAsia" w:ascii="宋体" w:hAnsi="宋体" w:cs="宋体"/>
                <w:color w:val="000000"/>
              </w:rPr>
              <w:t>29.控制接口：3组RS485、1组RS232</w:t>
            </w:r>
          </w:p>
        </w:tc>
        <w:tc>
          <w:tcPr>
            <w:tcW w:w="620"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cs="宋体"/>
                <w:color w:val="000000"/>
              </w:rPr>
            </w:pPr>
            <w:r>
              <w:rPr>
                <w:rFonts w:hint="eastAsia" w:ascii="宋体" w:hAnsi="宋体" w:cs="宋体"/>
                <w:color w:val="000000"/>
              </w:rPr>
              <w:t>台</w:t>
            </w:r>
          </w:p>
        </w:tc>
        <w:tc>
          <w:tcPr>
            <w:tcW w:w="620" w:type="dxa"/>
            <w:tcBorders>
              <w:top w:val="nil"/>
              <w:left w:val="nil"/>
              <w:bottom w:val="single" w:color="auto" w:sz="4" w:space="0"/>
              <w:right w:val="single" w:color="auto" w:sz="4" w:space="0"/>
            </w:tcBorders>
            <w:shd w:val="clear" w:color="000000" w:fill="FFFFFF"/>
            <w:noWrap w:val="0"/>
            <w:vAlign w:val="center"/>
          </w:tcPr>
          <w:p>
            <w:pPr>
              <w:jc w:val="center"/>
              <w:rPr>
                <w:rFonts w:ascii="Arial" w:hAnsi="Arial" w:cs="Arial"/>
                <w:color w:val="000000"/>
              </w:rPr>
            </w:pPr>
            <w:r>
              <w:rPr>
                <w:rFonts w:ascii="Arial" w:hAnsi="Arial" w:cs="Arial"/>
                <w:color w:val="000000"/>
              </w:rPr>
              <w:t xml:space="preserve">128 </w:t>
            </w:r>
          </w:p>
        </w:tc>
        <w:tc>
          <w:tcPr>
            <w:tcW w:w="1180"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rPr>
            </w:pPr>
            <w:r>
              <w:rPr>
                <w:rFonts w:hint="eastAsia" w:ascii="宋体" w:hAnsi="宋体" w:cs="宋体"/>
                <w:color w:val="000000"/>
              </w:rPr>
              <w:t>含三维可调支架、电源适配器</w:t>
            </w:r>
          </w:p>
        </w:tc>
      </w:tr>
    </w:tbl>
    <w:p>
      <w:pPr>
        <w:adjustRightInd w:val="0"/>
        <w:snapToGrid w:val="0"/>
        <w:spacing w:line="360" w:lineRule="auto"/>
        <w:rPr>
          <w:rFonts w:ascii="宋体" w:hAnsi="宋体"/>
          <w:b/>
        </w:rPr>
      </w:pPr>
      <w:r>
        <w:rPr>
          <w:rFonts w:hint="eastAsia" w:ascii="宋体" w:hAnsi="宋体"/>
          <w:b/>
        </w:rPr>
        <w:t>4、网络服务：</w:t>
      </w:r>
    </w:p>
    <w:tbl>
      <w:tblPr>
        <w:tblStyle w:val="61"/>
        <w:tblW w:w="7812" w:type="dxa"/>
        <w:tblInd w:w="93" w:type="dxa"/>
        <w:tblLayout w:type="autofit"/>
        <w:tblCellMar>
          <w:top w:w="0" w:type="dxa"/>
          <w:left w:w="108" w:type="dxa"/>
          <w:bottom w:w="0" w:type="dxa"/>
          <w:right w:w="108" w:type="dxa"/>
        </w:tblCellMar>
      </w:tblPr>
      <w:tblGrid>
        <w:gridCol w:w="1008"/>
        <w:gridCol w:w="2268"/>
        <w:gridCol w:w="1701"/>
        <w:gridCol w:w="1134"/>
        <w:gridCol w:w="1701"/>
      </w:tblGrid>
      <w:tr>
        <w:tblPrEx>
          <w:tblCellMar>
            <w:top w:w="0" w:type="dxa"/>
            <w:left w:w="108" w:type="dxa"/>
            <w:bottom w:w="0" w:type="dxa"/>
            <w:right w:w="108" w:type="dxa"/>
          </w:tblCellMar>
        </w:tblPrEx>
        <w:trPr>
          <w:wBefore w:w="0" w:type="dxa"/>
          <w:wAfter w:w="0" w:type="dxa"/>
          <w:trHeight w:val="27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序号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ascii="宋体" w:hAnsi="宋体" w:cs="宋体"/>
                <w:color w:val="000000"/>
                <w:sz w:val="22"/>
                <w:szCs w:val="22"/>
              </w:rPr>
              <w:t>参数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单位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数量</w:t>
            </w:r>
          </w:p>
        </w:tc>
      </w:tr>
      <w:tr>
        <w:tblPrEx>
          <w:tblCellMar>
            <w:top w:w="0" w:type="dxa"/>
            <w:left w:w="108" w:type="dxa"/>
            <w:bottom w:w="0" w:type="dxa"/>
            <w:right w:w="108" w:type="dxa"/>
          </w:tblCellMar>
        </w:tblPrEx>
        <w:trPr>
          <w:wBefore w:w="0" w:type="dxa"/>
          <w:wAfter w:w="0" w:type="dxa"/>
          <w:trHeight w:val="27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2268"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VPN专线</w:t>
            </w:r>
          </w:p>
        </w:tc>
        <w:tc>
          <w:tcPr>
            <w:tcW w:w="1701" w:type="dxa"/>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满足项目所需</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项</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r>
    </w:tbl>
    <w:p>
      <w:pPr>
        <w:adjustRightInd w:val="0"/>
        <w:snapToGrid w:val="0"/>
        <w:spacing w:line="360" w:lineRule="auto"/>
        <w:rPr>
          <w:rFonts w:ascii="宋体" w:hAnsi="宋体"/>
          <w:b/>
        </w:rPr>
      </w:pPr>
      <w:r>
        <w:rPr>
          <w:rFonts w:hint="eastAsia" w:ascii="宋体" w:hAnsi="宋体"/>
          <w:b/>
        </w:rPr>
        <w:t>5、质保要求：</w:t>
      </w:r>
    </w:p>
    <w:p>
      <w:pPr>
        <w:adjustRightInd w:val="0"/>
        <w:snapToGrid w:val="0"/>
        <w:spacing w:line="360" w:lineRule="auto"/>
        <w:ind w:firstLine="480" w:firstLineChars="200"/>
        <w:rPr>
          <w:rFonts w:ascii="宋体" w:hAnsi="宋体"/>
        </w:rPr>
      </w:pPr>
      <w:r>
        <w:rPr>
          <w:rFonts w:hint="eastAsia" w:ascii="宋体" w:hAnsi="宋体"/>
        </w:rPr>
        <w:t>1</w:t>
      </w:r>
      <w:r>
        <w:rPr>
          <w:rFonts w:ascii="宋体" w:hAnsi="宋体"/>
        </w:rPr>
        <w:t>)</w:t>
      </w:r>
      <w:r>
        <w:rPr>
          <w:rFonts w:hint="eastAsia" w:ascii="宋体" w:hAnsi="宋体"/>
        </w:rPr>
        <w:t>、投标人须为项目整体提供五年免费质保（含本次招标所有设备），质保期从工程竣工验收通过之日起计算。如有投标货物原厂免费质保期或投标人另行承诺的免费质保期超过五年的，以原厂免费质保期或投标人另行承诺的免费质保期为准。</w:t>
      </w:r>
    </w:p>
    <w:p>
      <w:pPr>
        <w:adjustRightInd w:val="0"/>
        <w:snapToGrid w:val="0"/>
        <w:spacing w:line="360" w:lineRule="auto"/>
        <w:ind w:firstLine="480" w:firstLineChars="200"/>
        <w:rPr>
          <w:rFonts w:ascii="宋体" w:hAnsi="宋体"/>
        </w:rPr>
      </w:pPr>
      <w:r>
        <w:rPr>
          <w:rFonts w:hint="eastAsia" w:ascii="宋体" w:hAnsi="宋体"/>
        </w:rPr>
        <w:t>2</w:t>
      </w:r>
      <w:r>
        <w:rPr>
          <w:rFonts w:ascii="宋体" w:hAnsi="宋体"/>
        </w:rPr>
        <w:t>)</w:t>
      </w:r>
      <w:r>
        <w:rPr>
          <w:rFonts w:hint="eastAsia" w:ascii="宋体" w:hAnsi="宋体"/>
        </w:rPr>
        <w:t>、质保期内非人为因素产生的各种费用全部免费保修；</w:t>
      </w:r>
    </w:p>
    <w:p>
      <w:pPr>
        <w:adjustRightInd w:val="0"/>
        <w:snapToGrid w:val="0"/>
        <w:spacing w:line="360" w:lineRule="auto"/>
        <w:ind w:firstLine="480" w:firstLineChars="200"/>
        <w:rPr>
          <w:rFonts w:ascii="宋体" w:hAnsi="宋体"/>
        </w:rPr>
      </w:pPr>
      <w:r>
        <w:rPr>
          <w:rFonts w:hint="eastAsia" w:ascii="宋体" w:hAnsi="宋体"/>
        </w:rPr>
        <w:t>3</w:t>
      </w:r>
      <w:r>
        <w:rPr>
          <w:rFonts w:ascii="宋体" w:hAnsi="宋体"/>
        </w:rPr>
        <w:t>)</w:t>
      </w:r>
      <w:r>
        <w:rPr>
          <w:rFonts w:hint="eastAsia" w:ascii="宋体" w:hAnsi="宋体"/>
        </w:rPr>
        <w:t>、在质保期内，接到故障报修，中标供应商应全天候回应，回应时间小于20分钟，中标供应商接到采购人通知后，应在2小时内到达故障现场，抵达现场后12个小时恢复设备正常工作，故障排除后应出具书面故障诊断报告备案。如不能修复应提供备品，以保证整个系统的正常运行，中标供应商有其它服务承诺的，一并履行。</w:t>
      </w:r>
    </w:p>
    <w:p>
      <w:pPr>
        <w:adjustRightInd w:val="0"/>
        <w:snapToGrid w:val="0"/>
        <w:spacing w:line="360" w:lineRule="auto"/>
        <w:ind w:firstLine="480" w:firstLineChars="200"/>
        <w:rPr>
          <w:rFonts w:ascii="宋体" w:hAnsi="宋体"/>
        </w:rPr>
      </w:pPr>
      <w:r>
        <w:rPr>
          <w:rFonts w:hint="eastAsia" w:ascii="宋体" w:hAnsi="宋体"/>
        </w:rPr>
        <w:t>4</w:t>
      </w:r>
      <w:r>
        <w:rPr>
          <w:rFonts w:ascii="宋体" w:hAnsi="宋体"/>
        </w:rPr>
        <w:t>)</w:t>
      </w:r>
      <w:r>
        <w:rPr>
          <w:rFonts w:hint="eastAsia" w:ascii="宋体" w:hAnsi="宋体"/>
        </w:rPr>
        <w:t>、出现故障后，中标供应商如未按上述要求进行响应，采购人可以采取必要的补救措施，由此产生的风险和费用将由中标供应商承担。</w:t>
      </w:r>
    </w:p>
    <w:p>
      <w:pPr>
        <w:ind w:firstLine="480" w:firstLineChars="200"/>
        <w:rPr>
          <w:rFonts w:hint="eastAsia" w:ascii="宋体" w:hAnsi="宋体"/>
        </w:rPr>
      </w:pPr>
      <w:r>
        <w:rPr>
          <w:rFonts w:hint="eastAsia" w:ascii="宋体" w:hAnsi="宋体"/>
        </w:rPr>
        <w:t>5</w:t>
      </w:r>
      <w:r>
        <w:rPr>
          <w:rFonts w:ascii="宋体" w:hAnsi="宋体"/>
        </w:rPr>
        <w:t>)</w:t>
      </w:r>
      <w:r>
        <w:rPr>
          <w:rFonts w:hint="eastAsia" w:ascii="宋体" w:hAnsi="宋体"/>
        </w:rPr>
        <w:t>、质保期后，维修只收取零配件成本费，免维修费。中标供应商应对提供的设备实行终身维。</w:t>
      </w:r>
    </w:p>
    <w:p>
      <w:pPr>
        <w:adjustRightInd w:val="0"/>
        <w:snapToGrid w:val="0"/>
        <w:spacing w:line="360" w:lineRule="auto"/>
        <w:rPr>
          <w:rFonts w:hint="eastAsia" w:ascii="宋体" w:hAnsi="宋体"/>
          <w:b/>
        </w:rPr>
      </w:pPr>
      <w:r>
        <w:rPr>
          <w:rFonts w:hint="eastAsia" w:ascii="宋体" w:hAnsi="宋体"/>
          <w:b/>
        </w:rPr>
        <w:t>6、工期要求：</w:t>
      </w:r>
    </w:p>
    <w:p>
      <w:pPr>
        <w:adjustRightInd w:val="0"/>
        <w:snapToGrid w:val="0"/>
        <w:spacing w:line="360" w:lineRule="auto"/>
        <w:ind w:firstLine="480" w:firstLineChars="200"/>
        <w:rPr>
          <w:rFonts w:hint="eastAsia" w:ascii="宋体" w:hAnsi="宋体"/>
        </w:rPr>
      </w:pPr>
      <w:r>
        <w:rPr>
          <w:rFonts w:hint="eastAsia" w:ascii="宋体" w:hAnsi="宋体"/>
        </w:rPr>
        <w:t>1）本项目要求2020年12月20日前全部完工。</w:t>
      </w:r>
    </w:p>
    <w:p>
      <w:pPr>
        <w:adjustRightInd w:val="0"/>
        <w:snapToGrid w:val="0"/>
        <w:spacing w:line="360" w:lineRule="auto"/>
        <w:rPr>
          <w:rFonts w:hint="eastAsia" w:ascii="宋体" w:hAnsi="宋体"/>
          <w:b/>
        </w:rPr>
      </w:pPr>
      <w:r>
        <w:rPr>
          <w:rFonts w:hint="eastAsia" w:ascii="宋体" w:hAnsi="宋体"/>
          <w:b/>
        </w:rPr>
        <w:t>7、付款方式：</w:t>
      </w:r>
      <w:r>
        <w:rPr>
          <w:rFonts w:hint="eastAsia" w:ascii="宋体" w:hAnsi="宋体"/>
        </w:rPr>
        <w:t>签订合同前由中标单位递交合同价的2%作为履约保证金，合同价分五年平均支付，在合同期满后无息退还履约保证金。</w:t>
      </w:r>
    </w:p>
    <w:p>
      <w:pPr>
        <w:adjustRightInd w:val="0"/>
        <w:snapToGrid w:val="0"/>
        <w:spacing w:line="360" w:lineRule="auto"/>
        <w:rPr>
          <w:rFonts w:hint="eastAsia" w:ascii="宋体" w:hAnsi="宋体" w:cs="宋体"/>
          <w:b/>
          <w:sz w:val="32"/>
          <w:szCs w:val="32"/>
        </w:rPr>
      </w:pPr>
      <w:r>
        <w:rPr>
          <w:rFonts w:ascii="宋体" w:hAnsi="宋体" w:cs="宋体"/>
          <w:b/>
          <w:sz w:val="32"/>
          <w:szCs w:val="32"/>
        </w:rPr>
        <w:br w:type="page"/>
      </w:r>
    </w:p>
    <w:p>
      <w:pPr>
        <w:snapToGrid w:val="0"/>
        <w:rPr>
          <w:rFonts w:hint="eastAsia" w:ascii="宋体" w:hAnsi="宋体" w:cs="宋体"/>
          <w:b/>
          <w:sz w:val="32"/>
          <w:szCs w:val="32"/>
        </w:rPr>
      </w:pPr>
      <w:r>
        <w:rPr>
          <w:rFonts w:hint="eastAsia" w:ascii="宋体" w:hAnsi="宋体" w:cs="宋体"/>
          <w:b/>
          <w:sz w:val="32"/>
          <w:szCs w:val="32"/>
        </w:rPr>
        <w:t xml:space="preserve">第四章  </w:t>
      </w:r>
      <w:bookmarkEnd w:id="49"/>
      <w:bookmarkEnd w:id="50"/>
      <w:bookmarkEnd w:id="51"/>
      <w:bookmarkEnd w:id="52"/>
      <w:bookmarkStart w:id="53" w:name="_Toc354491899"/>
      <w:bookmarkStart w:id="54" w:name="_Toc322352985"/>
      <w:bookmarkStart w:id="55" w:name="_Toc356371458"/>
      <w:bookmarkStart w:id="56" w:name="_Toc359856819"/>
      <w:r>
        <w:rPr>
          <w:rFonts w:hint="eastAsia" w:ascii="宋体" w:hAnsi="宋体" w:cs="宋体"/>
          <w:b/>
          <w:sz w:val="32"/>
          <w:szCs w:val="32"/>
        </w:rPr>
        <w:t>有关格式参考范例</w:t>
      </w:r>
      <w:bookmarkEnd w:id="53"/>
      <w:bookmarkEnd w:id="54"/>
      <w:bookmarkEnd w:id="55"/>
      <w:bookmarkEnd w:id="56"/>
    </w:p>
    <w:p>
      <w:pPr>
        <w:snapToGrid w:val="0"/>
        <w:ind w:firstLine="1600"/>
        <w:outlineLvl w:val="0"/>
        <w:rPr>
          <w:rFonts w:hint="eastAsia" w:ascii="宋体" w:hAnsi="宋体" w:cs="宋体"/>
          <w:b/>
          <w:sz w:val="32"/>
          <w:szCs w:val="32"/>
        </w:rPr>
      </w:pPr>
    </w:p>
    <w:p>
      <w:pPr>
        <w:snapToGrid w:val="0"/>
        <w:ind w:firstLine="1600"/>
        <w:outlineLvl w:val="0"/>
        <w:rPr>
          <w:rFonts w:hint="eastAsia" w:ascii="宋体" w:hAnsi="宋体" w:cs="宋体"/>
          <w:b/>
          <w:sz w:val="32"/>
          <w:szCs w:val="32"/>
        </w:rPr>
      </w:pPr>
    </w:p>
    <w:p>
      <w:pPr>
        <w:snapToGrid w:val="0"/>
        <w:ind w:firstLine="1600"/>
        <w:outlineLvl w:val="0"/>
        <w:rPr>
          <w:rFonts w:hint="eastAsia" w:ascii="宋体" w:hAnsi="宋体" w:cs="宋体"/>
          <w:b/>
          <w:sz w:val="32"/>
          <w:szCs w:val="32"/>
        </w:rPr>
      </w:pPr>
    </w:p>
    <w:p>
      <w:pPr>
        <w:snapToGrid w:val="0"/>
        <w:ind w:firstLine="2783" w:firstLineChars="990"/>
        <w:outlineLvl w:val="0"/>
        <w:rPr>
          <w:rFonts w:hint="eastAsia" w:ascii="宋体" w:hAnsi="宋体" w:cs="宋体"/>
          <w:b/>
          <w:sz w:val="32"/>
          <w:szCs w:val="32"/>
        </w:rPr>
      </w:pPr>
      <w:bookmarkStart w:id="57" w:name="_Toc359856820"/>
      <w:r>
        <w:rPr>
          <w:rStyle w:val="82"/>
          <w:rFonts w:hint="eastAsia" w:ascii="宋体" w:hAnsi="宋体"/>
          <w:i w:val="0"/>
        </w:rPr>
        <w:t>一、 投标文件封面</w:t>
      </w:r>
      <w:bookmarkEnd w:id="57"/>
    </w:p>
    <w:p>
      <w:pPr>
        <w:snapToGrid w:val="0"/>
        <w:ind w:left="2057" w:leftChars="857"/>
        <w:jc w:val="right"/>
        <w:rPr>
          <w:rFonts w:hint="eastAsia" w:ascii="宋体" w:hAnsi="宋体"/>
          <w:sz w:val="32"/>
          <w:szCs w:val="32"/>
        </w:rPr>
      </w:pPr>
    </w:p>
    <w:p>
      <w:pPr>
        <w:snapToGrid w:val="0"/>
        <w:rPr>
          <w:rFonts w:hint="eastAsia" w:ascii="宋体" w:hAnsi="宋体"/>
          <w:sz w:val="28"/>
          <w:szCs w:val="28"/>
        </w:rPr>
      </w:pPr>
      <w:r>
        <w:rPr>
          <w:rFonts w:hint="eastAsia" w:ascii="宋体" w:hAnsi="宋体"/>
          <w:sz w:val="28"/>
          <w:szCs w:val="28"/>
        </w:rPr>
        <w:t xml:space="preserve">                                                   正本（副本）</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ind w:firstLine="3251" w:firstLineChars="739"/>
        <w:rPr>
          <w:rFonts w:hint="eastAsia" w:ascii="宋体" w:hAnsi="宋体"/>
          <w:sz w:val="44"/>
          <w:szCs w:val="44"/>
        </w:rPr>
      </w:pPr>
      <w:r>
        <w:rPr>
          <w:rFonts w:hint="eastAsia" w:ascii="宋体" w:hAnsi="宋体"/>
          <w:sz w:val="44"/>
          <w:szCs w:val="44"/>
        </w:rPr>
        <w:t>资格文件</w:t>
      </w:r>
    </w:p>
    <w:p>
      <w:pPr>
        <w:snapToGrid w:val="0"/>
        <w:jc w:val="center"/>
        <w:rPr>
          <w:rFonts w:hint="eastAsia" w:ascii="宋体" w:hAnsi="宋体"/>
          <w:sz w:val="44"/>
          <w:szCs w:val="44"/>
        </w:rPr>
      </w:pPr>
      <w:bookmarkStart w:id="58" w:name="_Toc357410801"/>
      <w:r>
        <w:rPr>
          <w:rFonts w:hint="eastAsia" w:ascii="宋体" w:hAnsi="宋体"/>
          <w:sz w:val="44"/>
          <w:szCs w:val="44"/>
        </w:rPr>
        <w:t>（技术商务文件、报价文件）</w:t>
      </w:r>
      <w:bookmarkEnd w:id="58"/>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rPr>
          <w:rFonts w:hint="eastAsia" w:ascii="宋体" w:hAnsi="宋体"/>
          <w:sz w:val="28"/>
          <w:szCs w:val="28"/>
          <w:u w:val="single"/>
        </w:rPr>
      </w:pPr>
      <w:bookmarkStart w:id="59" w:name="_Toc357410802"/>
      <w:r>
        <w:rPr>
          <w:rFonts w:hint="eastAsia" w:ascii="宋体" w:hAnsi="宋体"/>
          <w:sz w:val="28"/>
          <w:szCs w:val="28"/>
        </w:rPr>
        <w:t>项目名称：</w:t>
      </w:r>
      <w:bookmarkEnd w:id="59"/>
      <w:r>
        <w:rPr>
          <w:rFonts w:hint="eastAsia" w:ascii="宋体" w:hAnsi="宋体"/>
          <w:sz w:val="28"/>
          <w:szCs w:val="28"/>
          <w:u w:val="single"/>
        </w:rPr>
        <w:t xml:space="preserve">                    </w:t>
      </w:r>
    </w:p>
    <w:p>
      <w:pPr>
        <w:snapToGrid w:val="0"/>
        <w:rPr>
          <w:rFonts w:hint="eastAsia" w:ascii="宋体" w:hAnsi="宋体"/>
          <w:sz w:val="28"/>
          <w:szCs w:val="28"/>
          <w:u w:val="single"/>
        </w:rPr>
      </w:pPr>
      <w:bookmarkStart w:id="60" w:name="_Toc357410803"/>
      <w:r>
        <w:rPr>
          <w:rFonts w:hint="eastAsia" w:ascii="宋体" w:hAnsi="宋体"/>
          <w:sz w:val="28"/>
          <w:szCs w:val="28"/>
        </w:rPr>
        <w:t>项目编号：</w:t>
      </w:r>
      <w:bookmarkEnd w:id="60"/>
      <w:r>
        <w:rPr>
          <w:rFonts w:hint="eastAsia" w:ascii="宋体" w:hAnsi="宋体"/>
          <w:sz w:val="28"/>
          <w:szCs w:val="28"/>
          <w:u w:val="single"/>
        </w:rPr>
        <w:t xml:space="preserve">                    </w:t>
      </w:r>
    </w:p>
    <w:p>
      <w:pPr>
        <w:snapToGrid w:val="0"/>
        <w:rPr>
          <w:rFonts w:hint="eastAsia" w:ascii="宋体" w:hAnsi="宋体"/>
          <w:sz w:val="28"/>
          <w:szCs w:val="28"/>
        </w:rPr>
      </w:pPr>
      <w:bookmarkStart w:id="61" w:name="_Toc357410804"/>
      <w:r>
        <w:rPr>
          <w:rFonts w:hint="eastAsia" w:ascii="宋体" w:hAnsi="宋体"/>
          <w:sz w:val="28"/>
          <w:szCs w:val="28"/>
        </w:rPr>
        <w:t>投标人：</w:t>
      </w:r>
      <w:r>
        <w:rPr>
          <w:rFonts w:hint="eastAsia" w:ascii="宋体" w:hAnsi="宋体"/>
          <w:sz w:val="28"/>
          <w:szCs w:val="28"/>
          <w:u w:val="single"/>
        </w:rPr>
        <w:t xml:space="preserve">                       （盖单位公章）</w:t>
      </w:r>
      <w:bookmarkEnd w:id="61"/>
    </w:p>
    <w:p>
      <w:pPr>
        <w:snapToGrid w:val="0"/>
        <w:rPr>
          <w:rFonts w:hint="eastAsia" w:ascii="宋体" w:hAnsi="宋体"/>
          <w:sz w:val="28"/>
          <w:szCs w:val="28"/>
        </w:rPr>
      </w:pPr>
      <w:bookmarkStart w:id="62" w:name="_Toc357410805"/>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bookmarkEnd w:id="62"/>
      <w:r>
        <w:rPr>
          <w:rFonts w:hint="eastAsia" w:ascii="宋体" w:hAnsi="宋体"/>
          <w:sz w:val="28"/>
          <w:szCs w:val="28"/>
        </w:rPr>
        <w:t xml:space="preserve">        </w:t>
      </w:r>
    </w:p>
    <w:p>
      <w:pPr>
        <w:snapToGrid w:val="0"/>
        <w:jc w:val="center"/>
        <w:outlineLvl w:val="0"/>
        <w:rPr>
          <w:rStyle w:val="82"/>
          <w:rFonts w:hint="eastAsia" w:ascii="宋体" w:hAnsi="宋体"/>
          <w:i w:val="0"/>
        </w:rPr>
      </w:pPr>
      <w:bookmarkStart w:id="63" w:name="_Toc359856821"/>
      <w:r>
        <w:rPr>
          <w:rFonts w:hint="eastAsia" w:ascii="宋体" w:hAnsi="宋体"/>
          <w:sz w:val="28"/>
          <w:szCs w:val="28"/>
        </w:rPr>
        <w:br w:type="page"/>
      </w:r>
      <w:r>
        <w:rPr>
          <w:rStyle w:val="82"/>
          <w:rFonts w:hint="eastAsia" w:ascii="宋体" w:hAnsi="宋体"/>
          <w:i w:val="0"/>
        </w:rPr>
        <w:t>二、</w:t>
      </w:r>
      <w:bookmarkStart w:id="64" w:name="资格审查文件"/>
      <w:r>
        <w:rPr>
          <w:rStyle w:val="82"/>
          <w:rFonts w:hint="eastAsia" w:ascii="宋体" w:hAnsi="宋体"/>
          <w:i w:val="0"/>
        </w:rPr>
        <w:t>资格文件</w:t>
      </w:r>
      <w:bookmarkEnd w:id="63"/>
      <w:bookmarkEnd w:id="64"/>
      <w:r>
        <w:rPr>
          <w:rStyle w:val="82"/>
          <w:rFonts w:hint="eastAsia" w:ascii="宋体" w:hAnsi="宋体"/>
          <w:i w:val="0"/>
        </w:rPr>
        <w:t>参考格式</w:t>
      </w:r>
    </w:p>
    <w:p>
      <w:pPr>
        <w:snapToGrid w:val="0"/>
        <w:jc w:val="center"/>
        <w:outlineLvl w:val="0"/>
        <w:rPr>
          <w:rStyle w:val="82"/>
          <w:rFonts w:hint="eastAsia" w:ascii="宋体" w:hAnsi="宋体"/>
          <w:i w:val="0"/>
        </w:rPr>
      </w:pPr>
    </w:p>
    <w:p>
      <w:pPr>
        <w:snapToGrid w:val="0"/>
        <w:jc w:val="center"/>
        <w:rPr>
          <w:rStyle w:val="82"/>
          <w:rFonts w:hint="eastAsia" w:ascii="宋体" w:hAnsi="宋体"/>
          <w:b w:val="0"/>
          <w:i w:val="0"/>
        </w:rPr>
      </w:pPr>
      <w:r>
        <w:rPr>
          <w:rStyle w:val="82"/>
          <w:rFonts w:hint="eastAsia" w:ascii="宋体" w:hAnsi="宋体"/>
          <w:b w:val="0"/>
          <w:i w:val="0"/>
        </w:rPr>
        <w:t>1 投标函</w:t>
      </w:r>
    </w:p>
    <w:p>
      <w:pPr>
        <w:snapToGrid w:val="0"/>
        <w:ind w:firstLine="392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 xml:space="preserve">致： </w:t>
      </w:r>
      <w:r>
        <w:rPr>
          <w:rFonts w:hint="eastAsia" w:ascii="宋体" w:hAnsi="宋体"/>
          <w:sz w:val="28"/>
          <w:szCs w:val="28"/>
          <w:u w:val="single"/>
        </w:rPr>
        <w:t xml:space="preserve"> 嘉兴诚欣工程咨询有限公司</w:t>
      </w:r>
      <w:r>
        <w:rPr>
          <w:rFonts w:hint="eastAsia" w:ascii="宋体" w:hAnsi="宋体"/>
          <w:sz w:val="28"/>
          <w:szCs w:val="28"/>
        </w:rPr>
        <w:t>：</w:t>
      </w:r>
    </w:p>
    <w:p>
      <w:pPr>
        <w:snapToGrid w:val="0"/>
        <w:ind w:firstLine="480"/>
        <w:rPr>
          <w:rFonts w:hint="eastAsia" w:ascii="宋体" w:hAnsi="宋体"/>
          <w:sz w:val="28"/>
          <w:szCs w:val="28"/>
        </w:rPr>
      </w:pPr>
      <w:r>
        <w:rPr>
          <w:rFonts w:hint="eastAsia" w:ascii="宋体" w:hAnsi="宋体"/>
          <w:sz w:val="28"/>
          <w:szCs w:val="28"/>
        </w:rPr>
        <w:t>根据贵方</w:t>
      </w:r>
      <w:r>
        <w:rPr>
          <w:rFonts w:hint="eastAsia" w:ascii="宋体" w:hAnsi="宋体"/>
          <w:sz w:val="28"/>
          <w:szCs w:val="28"/>
          <w:u w:val="single"/>
        </w:rPr>
        <w:t xml:space="preserve">                                 </w:t>
      </w:r>
      <w:r>
        <w:rPr>
          <w:rFonts w:hint="eastAsia" w:ascii="宋体" w:hAnsi="宋体"/>
          <w:sz w:val="28"/>
          <w:szCs w:val="28"/>
        </w:rPr>
        <w:t>项目的招标公告（项目编号：</w:t>
      </w:r>
      <w:r>
        <w:rPr>
          <w:rFonts w:hint="eastAsia" w:ascii="宋体" w:hAnsi="宋体"/>
          <w:sz w:val="28"/>
          <w:szCs w:val="28"/>
          <w:u w:val="single"/>
        </w:rPr>
        <w:t xml:space="preserve">             </w:t>
      </w:r>
      <w:r>
        <w:rPr>
          <w:rFonts w:hint="eastAsia" w:ascii="宋体" w:hAnsi="宋体"/>
          <w:sz w:val="28"/>
          <w:szCs w:val="28"/>
        </w:rPr>
        <w:t xml:space="preserve">），本人经正式授权并代表投标人 </w:t>
      </w:r>
      <w:r>
        <w:rPr>
          <w:rFonts w:hint="eastAsia" w:ascii="宋体" w:hAnsi="宋体"/>
          <w:sz w:val="28"/>
          <w:szCs w:val="28"/>
          <w:u w:val="single"/>
        </w:rPr>
        <w:t xml:space="preserve">                          </w:t>
      </w:r>
      <w:r>
        <w:rPr>
          <w:rFonts w:hint="eastAsia" w:ascii="宋体" w:hAnsi="宋体"/>
          <w:sz w:val="28"/>
          <w:szCs w:val="28"/>
        </w:rPr>
        <w:t>（投标人名称）提交资格文件、技术商务文件、报价文件。</w:t>
      </w:r>
    </w:p>
    <w:p>
      <w:pPr>
        <w:snapToGrid w:val="0"/>
        <w:ind w:firstLine="560" w:firstLineChars="200"/>
        <w:rPr>
          <w:rFonts w:hint="eastAsia" w:ascii="宋体" w:hAnsi="宋体"/>
          <w:sz w:val="28"/>
          <w:szCs w:val="28"/>
        </w:rPr>
      </w:pPr>
      <w:r>
        <w:rPr>
          <w:rFonts w:hint="eastAsia" w:ascii="宋体" w:hAnsi="宋体"/>
          <w:sz w:val="28"/>
          <w:szCs w:val="28"/>
        </w:rPr>
        <w:t>据此函，签字代表宣布同意如下：</w:t>
      </w:r>
    </w:p>
    <w:p>
      <w:pPr>
        <w:pStyle w:val="32"/>
        <w:snapToGrid w:val="0"/>
        <w:ind w:firstLine="560" w:firstLineChars="200"/>
        <w:rPr>
          <w:rFonts w:hint="eastAsia" w:hAnsi="宋体"/>
          <w:sz w:val="28"/>
          <w:szCs w:val="28"/>
        </w:rPr>
      </w:pPr>
      <w:r>
        <w:rPr>
          <w:rFonts w:hint="eastAsia" w:hAnsi="宋体"/>
          <w:sz w:val="28"/>
          <w:szCs w:val="28"/>
        </w:rPr>
        <w:t>1.我方向贵方提交的投标文件、资料都是准确的和真实的。</w:t>
      </w:r>
    </w:p>
    <w:p>
      <w:pPr>
        <w:snapToGrid w:val="0"/>
        <w:ind w:firstLine="560" w:firstLineChars="200"/>
        <w:rPr>
          <w:rFonts w:hint="eastAsia" w:ascii="宋体" w:hAnsi="宋体"/>
          <w:sz w:val="28"/>
          <w:szCs w:val="28"/>
        </w:rPr>
      </w:pPr>
      <w:r>
        <w:rPr>
          <w:rFonts w:hint="eastAsia" w:ascii="宋体" w:hAnsi="宋体"/>
          <w:sz w:val="28"/>
          <w:szCs w:val="28"/>
        </w:rPr>
        <w:t>2.我方已详细审查招标文件及其修改（如有），以及有关参考资料和附件，并已经了解我方对于招标文件、采购过程、采购结果有依法进行询问、质疑、投诉的权利及相关渠道和要求。</w:t>
      </w:r>
    </w:p>
    <w:p>
      <w:pPr>
        <w:snapToGrid w:val="0"/>
        <w:ind w:firstLine="560" w:firstLineChars="200"/>
        <w:rPr>
          <w:rFonts w:hint="eastAsia" w:ascii="宋体" w:hAnsi="宋体"/>
          <w:sz w:val="28"/>
          <w:szCs w:val="28"/>
        </w:rPr>
      </w:pPr>
      <w:r>
        <w:rPr>
          <w:rFonts w:hint="eastAsia" w:ascii="宋体" w:hAnsi="宋体"/>
          <w:sz w:val="28"/>
          <w:szCs w:val="28"/>
        </w:rPr>
        <w:t>3. 我方在投标之前已经与贵方进行了沟通，完全理解并接受招标文件的各项规定和要求，对招标文件的合理性、合法性无异议。</w:t>
      </w:r>
    </w:p>
    <w:p>
      <w:pPr>
        <w:snapToGrid w:val="0"/>
        <w:ind w:firstLine="560" w:firstLineChars="200"/>
        <w:rPr>
          <w:rFonts w:hint="eastAsia" w:ascii="宋体" w:hAnsi="宋体"/>
          <w:sz w:val="28"/>
          <w:szCs w:val="28"/>
        </w:rPr>
      </w:pPr>
      <w:r>
        <w:rPr>
          <w:rFonts w:hint="eastAsia" w:ascii="宋体" w:hAnsi="宋体"/>
          <w:sz w:val="28"/>
          <w:szCs w:val="28"/>
        </w:rPr>
        <w:t xml:space="preserve">4.本项目投标有效期自开标之日起 </w:t>
      </w:r>
      <w:r>
        <w:rPr>
          <w:rFonts w:hint="eastAsia" w:ascii="宋体" w:hAnsi="宋体"/>
          <w:sz w:val="28"/>
          <w:szCs w:val="28"/>
          <w:u w:val="single"/>
        </w:rPr>
        <w:t>90</w:t>
      </w:r>
      <w:r>
        <w:rPr>
          <w:rFonts w:hint="eastAsia" w:ascii="宋体" w:hAnsi="宋体"/>
          <w:sz w:val="28"/>
          <w:szCs w:val="28"/>
        </w:rPr>
        <w:t>日。</w:t>
      </w:r>
    </w:p>
    <w:p>
      <w:pPr>
        <w:snapToGrid w:val="0"/>
        <w:ind w:firstLine="560" w:firstLineChars="200"/>
        <w:rPr>
          <w:rFonts w:hint="eastAsia" w:ascii="宋体" w:hAnsi="宋体"/>
          <w:sz w:val="28"/>
          <w:szCs w:val="28"/>
        </w:rPr>
      </w:pPr>
      <w:r>
        <w:rPr>
          <w:rFonts w:hint="eastAsia" w:ascii="宋体" w:hAnsi="宋体"/>
          <w:sz w:val="28"/>
          <w:szCs w:val="28"/>
        </w:rPr>
        <w:t>5.如中标，我方将按招标文件、投标文件及政府采购法律、法规的规定履行合同责任和义务。</w:t>
      </w:r>
    </w:p>
    <w:p>
      <w:pPr>
        <w:snapToGrid w:val="0"/>
        <w:ind w:firstLine="560" w:firstLineChars="200"/>
        <w:rPr>
          <w:rFonts w:hint="eastAsia" w:ascii="宋体" w:hAnsi="宋体"/>
          <w:sz w:val="28"/>
          <w:szCs w:val="28"/>
        </w:rPr>
      </w:pPr>
      <w:r>
        <w:rPr>
          <w:rFonts w:hint="eastAsia" w:ascii="宋体" w:hAnsi="宋体"/>
          <w:sz w:val="28"/>
          <w:szCs w:val="28"/>
        </w:rPr>
        <w:t>6.我方同意按照贵方要求提供与投标有关的数据或资料。</w:t>
      </w:r>
    </w:p>
    <w:p>
      <w:pPr>
        <w:snapToGrid w:val="0"/>
        <w:ind w:firstLine="560" w:firstLineChars="200"/>
        <w:rPr>
          <w:rFonts w:hint="eastAsia" w:ascii="宋体" w:hAnsi="宋体"/>
          <w:sz w:val="28"/>
          <w:szCs w:val="28"/>
        </w:rPr>
      </w:pPr>
      <w:r>
        <w:rPr>
          <w:rFonts w:hint="eastAsia" w:ascii="宋体" w:hAnsi="宋体"/>
          <w:sz w:val="28"/>
          <w:szCs w:val="28"/>
        </w:rPr>
        <w:t>7.</w:t>
      </w:r>
      <w:r>
        <w:rPr>
          <w:rFonts w:hint="eastAsia" w:ascii="宋体" w:hAnsi="宋体"/>
          <w:b/>
          <w:sz w:val="28"/>
          <w:szCs w:val="28"/>
        </w:rPr>
        <w:t>我方参与本项目前三年内的经营活动中没有重大违法记录。</w:t>
      </w:r>
    </w:p>
    <w:p>
      <w:pPr>
        <w:snapToGrid w:val="0"/>
        <w:ind w:firstLine="560" w:firstLineChars="200"/>
        <w:rPr>
          <w:rFonts w:hint="eastAsia" w:ascii="宋体" w:hAnsi="宋体"/>
          <w:sz w:val="28"/>
          <w:szCs w:val="28"/>
        </w:rPr>
      </w:pPr>
      <w:r>
        <w:rPr>
          <w:rFonts w:hint="eastAsia" w:ascii="宋体" w:hAnsi="宋体"/>
          <w:sz w:val="28"/>
          <w:szCs w:val="28"/>
        </w:rPr>
        <w:t>8.与本项目投标有关的一切正式往来信函请寄：</w:t>
      </w:r>
    </w:p>
    <w:p>
      <w:pPr>
        <w:snapToGrid w:val="0"/>
        <w:rPr>
          <w:rFonts w:hint="eastAsia"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                                      </w:t>
      </w:r>
    </w:p>
    <w:p>
      <w:pPr>
        <w:snapToGrid w:val="0"/>
        <w:rPr>
          <w:rFonts w:hint="eastAsia" w:ascii="宋体" w:hAnsi="宋体"/>
          <w:sz w:val="28"/>
          <w:szCs w:val="28"/>
        </w:rPr>
      </w:pPr>
      <w:r>
        <w:rPr>
          <w:rFonts w:hint="eastAsia" w:ascii="宋体" w:hAnsi="宋体"/>
          <w:sz w:val="28"/>
          <w:szCs w:val="28"/>
        </w:rPr>
        <w:t>邮编：</w:t>
      </w:r>
      <w:r>
        <w:rPr>
          <w:rFonts w:hint="eastAsia" w:ascii="宋体" w:hAnsi="宋体"/>
          <w:sz w:val="28"/>
          <w:szCs w:val="28"/>
          <w:u w:val="single"/>
        </w:rPr>
        <w:t xml:space="preserve">             </w:t>
      </w:r>
    </w:p>
    <w:p>
      <w:pPr>
        <w:snapToGrid w:val="0"/>
        <w:rPr>
          <w:rFonts w:hint="eastAsia" w:ascii="宋体" w:hAnsi="宋体"/>
          <w:sz w:val="28"/>
          <w:szCs w:val="28"/>
          <w:u w:val="single"/>
        </w:rPr>
      </w:pPr>
      <w:r>
        <w:rPr>
          <w:rFonts w:hint="eastAsia" w:ascii="宋体" w:hAnsi="宋体"/>
          <w:sz w:val="28"/>
          <w:szCs w:val="28"/>
        </w:rPr>
        <w:t>电话：</w:t>
      </w:r>
      <w:r>
        <w:rPr>
          <w:rFonts w:hint="eastAsia" w:ascii="宋体" w:hAnsi="宋体"/>
          <w:sz w:val="28"/>
          <w:szCs w:val="28"/>
          <w:u w:val="single"/>
        </w:rPr>
        <w:t xml:space="preserve">             </w:t>
      </w:r>
    </w:p>
    <w:p>
      <w:pPr>
        <w:snapToGrid w:val="0"/>
        <w:rPr>
          <w:rFonts w:hint="eastAsia" w:ascii="宋体" w:hAnsi="宋体"/>
          <w:sz w:val="28"/>
          <w:szCs w:val="28"/>
        </w:rPr>
      </w:pPr>
      <w:r>
        <w:rPr>
          <w:rFonts w:hint="eastAsia" w:ascii="宋体" w:hAnsi="宋体"/>
          <w:sz w:val="28"/>
          <w:szCs w:val="28"/>
        </w:rPr>
        <w:t>传真：</w:t>
      </w:r>
      <w:r>
        <w:rPr>
          <w:rFonts w:hint="eastAsia" w:ascii="宋体" w:hAnsi="宋体"/>
          <w:sz w:val="28"/>
          <w:szCs w:val="28"/>
          <w:u w:val="single"/>
        </w:rPr>
        <w:t xml:space="preserve">             </w:t>
      </w:r>
    </w:p>
    <w:p>
      <w:pPr>
        <w:snapToGrid w:val="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p>
    <w:p>
      <w:pPr>
        <w:snapToGrid w:val="0"/>
        <w:rPr>
          <w:rFonts w:hint="eastAsia" w:ascii="宋体" w:hAnsi="宋体"/>
          <w:sz w:val="28"/>
          <w:szCs w:val="28"/>
        </w:rPr>
      </w:pPr>
      <w:r>
        <w:rPr>
          <w:rFonts w:hint="eastAsia" w:ascii="宋体" w:hAnsi="宋体"/>
          <w:sz w:val="28"/>
          <w:szCs w:val="28"/>
        </w:rPr>
        <w:t>银行帐号：</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ind w:firstLine="560" w:firstLineChars="200"/>
        <w:rPr>
          <w:rFonts w:hint="eastAsia" w:ascii="宋体" w:hAnsi="宋体"/>
          <w:sz w:val="28"/>
          <w:szCs w:val="28"/>
        </w:rPr>
        <w:sectPr>
          <w:headerReference r:id="rId6" w:type="first"/>
          <w:footerReference r:id="rId8" w:type="first"/>
          <w:headerReference r:id="rId5" w:type="even"/>
          <w:footerReference r:id="rId7" w:type="even"/>
          <w:pgSz w:w="11906" w:h="16838"/>
          <w:pgMar w:top="1389" w:right="1247" w:bottom="1389" w:left="1247" w:header="851" w:footer="992" w:gutter="284"/>
          <w:cols w:space="720" w:num="1"/>
          <w:docGrid w:linePitch="312" w:charSpace="0"/>
        </w:sectPr>
      </w:pPr>
    </w:p>
    <w:p>
      <w:pPr>
        <w:snapToGrid w:val="0"/>
        <w:jc w:val="center"/>
        <w:rPr>
          <w:rFonts w:hint="eastAsia" w:ascii="宋体" w:hAnsi="宋体"/>
          <w:bCs/>
          <w:sz w:val="28"/>
          <w:szCs w:val="28"/>
        </w:rPr>
      </w:pPr>
      <w:r>
        <w:rPr>
          <w:rFonts w:hint="eastAsia" w:ascii="宋体" w:hAnsi="宋体"/>
          <w:bCs/>
          <w:sz w:val="28"/>
          <w:szCs w:val="28"/>
        </w:rPr>
        <w:t>2 法定代表人（负责人）授权书</w:t>
      </w:r>
    </w:p>
    <w:p>
      <w:pPr>
        <w:snapToGrid w:val="0"/>
        <w:jc w:val="center"/>
        <w:rPr>
          <w:rFonts w:hint="eastAsia" w:ascii="宋体" w:hAnsi="宋体"/>
          <w:sz w:val="28"/>
          <w:szCs w:val="28"/>
        </w:rPr>
      </w:pPr>
    </w:p>
    <w:p>
      <w:pPr>
        <w:snapToGrid w:val="0"/>
        <w:rPr>
          <w:rFonts w:ascii="宋体" w:hAnsi="宋体"/>
          <w:b/>
          <w:bCs/>
          <w:sz w:val="28"/>
          <w:szCs w:val="28"/>
        </w:rPr>
      </w:pPr>
      <w:r>
        <w:rPr>
          <w:rFonts w:hint="eastAsia" w:ascii="宋体" w:hAnsi="宋体"/>
          <w:bCs/>
          <w:sz w:val="28"/>
          <w:szCs w:val="28"/>
        </w:rPr>
        <w:t>致</w:t>
      </w:r>
      <w:r>
        <w:rPr>
          <w:rFonts w:hint="eastAsia" w:ascii="宋体" w:hAnsi="宋体"/>
          <w:sz w:val="28"/>
          <w:szCs w:val="28"/>
          <w:u w:val="single"/>
        </w:rPr>
        <w:t>嘉兴诚欣工程咨询有限公司</w:t>
      </w:r>
      <w:r>
        <w:rPr>
          <w:rFonts w:hint="eastAsia" w:ascii="宋体" w:hAnsi="宋体"/>
          <w:sz w:val="28"/>
          <w:szCs w:val="28"/>
        </w:rPr>
        <w:t>：</w:t>
      </w:r>
    </w:p>
    <w:p>
      <w:pPr>
        <w:snapToGrid w:val="0"/>
        <w:ind w:firstLine="840" w:firstLineChars="300"/>
        <w:rPr>
          <w:rFonts w:ascii="宋体" w:hAnsi="宋体"/>
          <w:sz w:val="28"/>
          <w:szCs w:val="28"/>
        </w:rPr>
      </w:pPr>
      <w:r>
        <w:rPr>
          <w:rFonts w:hint="eastAsia" w:ascii="宋体" w:hAnsi="宋体"/>
          <w:sz w:val="28"/>
          <w:szCs w:val="28"/>
        </w:rPr>
        <w:t>我</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（供应商名称）的法定代表人，现授权委托</w:t>
      </w:r>
      <w:r>
        <w:rPr>
          <w:rFonts w:hint="eastAsia" w:ascii="宋体" w:hAnsi="宋体"/>
          <w:sz w:val="28"/>
          <w:szCs w:val="28"/>
          <w:u w:val="single"/>
        </w:rPr>
        <w:t xml:space="preserve">         </w:t>
      </w:r>
      <w:r>
        <w:rPr>
          <w:rFonts w:hint="eastAsia" w:ascii="宋体" w:hAnsi="宋体"/>
          <w:sz w:val="28"/>
          <w:szCs w:val="28"/>
        </w:rPr>
        <w:t>（姓名）以我方的名义参加</w:t>
      </w:r>
      <w:r>
        <w:rPr>
          <w:rFonts w:hint="eastAsia" w:ascii="宋体" w:hAnsi="宋体"/>
          <w:sz w:val="28"/>
          <w:szCs w:val="28"/>
          <w:u w:val="single"/>
        </w:rPr>
        <w:t xml:space="preserve">          （项目名称）</w:t>
      </w:r>
      <w:r>
        <w:rPr>
          <w:rFonts w:hint="eastAsia" w:ascii="宋体" w:hAnsi="宋体"/>
          <w:sz w:val="28"/>
          <w:szCs w:val="28"/>
        </w:rPr>
        <w:t>，</w:t>
      </w:r>
      <w:r>
        <w:rPr>
          <w:rFonts w:hint="eastAsia" w:ascii="宋体" w:hAnsi="宋体"/>
          <w:sz w:val="28"/>
          <w:szCs w:val="28"/>
          <w:u w:val="single"/>
        </w:rPr>
        <w:t xml:space="preserve">          （项目编号）</w:t>
      </w:r>
      <w:r>
        <w:rPr>
          <w:rFonts w:hint="eastAsia" w:ascii="宋体" w:hAnsi="宋体"/>
          <w:sz w:val="28"/>
          <w:szCs w:val="28"/>
        </w:rPr>
        <w:t>的采购活动，并代表我方全权办理针对上述项目的开标、评标、签约等相关具体事务和签署相关文件。</w:t>
      </w:r>
    </w:p>
    <w:p>
      <w:pPr>
        <w:snapToGrid w:val="0"/>
        <w:rPr>
          <w:rFonts w:ascii="宋体" w:hAnsi="宋体"/>
          <w:sz w:val="28"/>
          <w:szCs w:val="28"/>
        </w:rPr>
      </w:pPr>
      <w:r>
        <w:rPr>
          <w:rFonts w:hint="eastAsia" w:ascii="宋体" w:hAnsi="宋体"/>
          <w:sz w:val="28"/>
          <w:szCs w:val="28"/>
        </w:rPr>
        <w:t xml:space="preserve">    我方对被授权人的签字事项负全部责任。</w:t>
      </w:r>
    </w:p>
    <w:p>
      <w:pPr>
        <w:snapToGrid w:val="0"/>
        <w:ind w:firstLine="480"/>
        <w:rPr>
          <w:rFonts w:ascii="宋体" w:hAnsi="宋体"/>
          <w:sz w:val="28"/>
          <w:szCs w:val="28"/>
        </w:rPr>
      </w:pPr>
      <w:r>
        <w:rPr>
          <w:rFonts w:hint="eastAsia" w:ascii="宋体" w:hAnsi="宋体"/>
          <w:sz w:val="28"/>
          <w:szCs w:val="28"/>
          <w:u w:val="single"/>
        </w:rPr>
        <w:t>在撤销授权的书面通知以前，本授权书一直有效。</w:t>
      </w:r>
      <w:r>
        <w:rPr>
          <w:rFonts w:hint="eastAsia" w:ascii="宋体" w:hAnsi="宋体"/>
          <w:sz w:val="28"/>
          <w:szCs w:val="28"/>
        </w:rPr>
        <w:t>被授权人在授权书有效期内签署的所有文件不因授权的撤销而失效。</w:t>
      </w:r>
    </w:p>
    <w:p>
      <w:pPr>
        <w:snapToGrid w:val="0"/>
        <w:ind w:firstLine="480"/>
        <w:rPr>
          <w:rFonts w:ascii="宋体" w:hAnsi="宋体"/>
          <w:sz w:val="28"/>
          <w:szCs w:val="28"/>
        </w:rPr>
      </w:pPr>
      <w:r>
        <w:rPr>
          <w:rFonts w:hint="eastAsia" w:ascii="宋体" w:hAnsi="宋体"/>
          <w:sz w:val="28"/>
          <w:szCs w:val="28"/>
        </w:rPr>
        <w:t>被授权人无转委托权，特此委托。</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投标人公章：</w:t>
      </w:r>
    </w:p>
    <w:p>
      <w:pPr>
        <w:snapToGrid w:val="0"/>
        <w:rPr>
          <w:rFonts w:ascii="宋体" w:hAnsi="宋体"/>
          <w:sz w:val="28"/>
          <w:szCs w:val="28"/>
        </w:rPr>
      </w:pPr>
    </w:p>
    <w:p>
      <w:pPr>
        <w:snapToGrid w:val="0"/>
        <w:rPr>
          <w:rFonts w:ascii="宋体" w:hAnsi="宋体"/>
          <w:sz w:val="28"/>
          <w:szCs w:val="28"/>
          <w:u w:val="single"/>
        </w:rPr>
      </w:pPr>
      <w:r>
        <w:rPr>
          <w:rFonts w:hint="eastAsia" w:ascii="宋体" w:hAnsi="宋体"/>
          <w:sz w:val="28"/>
          <w:szCs w:val="28"/>
        </w:rPr>
        <w:t>法定代表人</w:t>
      </w:r>
      <w:r>
        <w:rPr>
          <w:rFonts w:hint="eastAsia" w:ascii="宋体" w:hAnsi="宋体"/>
          <w:b/>
          <w:sz w:val="28"/>
          <w:szCs w:val="28"/>
        </w:rPr>
        <w:t>签字</w:t>
      </w:r>
      <w:r>
        <w:rPr>
          <w:rFonts w:hint="eastAsia" w:ascii="宋体" w:hAnsi="宋体"/>
          <w:sz w:val="28"/>
          <w:szCs w:val="28"/>
        </w:rPr>
        <w:t>：</w:t>
      </w:r>
      <w:r>
        <w:rPr>
          <w:rFonts w:hint="eastAsia" w:ascii="宋体" w:hAnsi="宋体"/>
          <w:sz w:val="28"/>
          <w:szCs w:val="28"/>
          <w:u w:val="single"/>
        </w:rPr>
        <w:t xml:space="preserve">               </w:t>
      </w:r>
    </w:p>
    <w:p>
      <w:pPr>
        <w:snapToGrid w:val="0"/>
        <w:rPr>
          <w:rFonts w:ascii="宋体" w:hAnsi="宋体"/>
          <w:sz w:val="28"/>
          <w:szCs w:val="28"/>
          <w:u w:val="single"/>
        </w:rPr>
      </w:pPr>
    </w:p>
    <w:p>
      <w:pPr>
        <w:snapToGrid w:val="0"/>
        <w:rPr>
          <w:rFonts w:ascii="宋体" w:hAnsi="宋体"/>
          <w:sz w:val="28"/>
          <w:szCs w:val="28"/>
        </w:rPr>
      </w:pPr>
      <w:r>
        <w:rPr>
          <w:rFonts w:hint="eastAsia" w:ascii="宋体" w:hAnsi="宋体"/>
          <w:sz w:val="28"/>
          <w:szCs w:val="28"/>
        </w:rPr>
        <w:t xml:space="preserve">附：法定代表人身份证（正反面）      </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被授权人(代表)姓名：</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职务：</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联系电话：</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附：被授权人身份证（正反面）</w:t>
      </w:r>
    </w:p>
    <w:p>
      <w:pPr>
        <w:snapToGrid w:val="0"/>
        <w:rPr>
          <w:rFonts w:ascii="宋体" w:hAnsi="宋体"/>
          <w:sz w:val="28"/>
          <w:szCs w:val="28"/>
        </w:rPr>
      </w:pPr>
    </w:p>
    <w:p>
      <w:pPr>
        <w:snapToGrid w:val="0"/>
        <w:rPr>
          <w:rFonts w:ascii="宋体" w:hAnsi="宋体"/>
          <w:sz w:val="28"/>
          <w:szCs w:val="28"/>
        </w:rPr>
      </w:pPr>
    </w:p>
    <w:p>
      <w:pPr>
        <w:snapToGrid w:val="0"/>
        <w:jc w:val="right"/>
        <w:rPr>
          <w:rFonts w:ascii="宋体" w:hAnsi="宋体"/>
          <w:sz w:val="28"/>
          <w:szCs w:val="28"/>
        </w:rPr>
      </w:pPr>
      <w:r>
        <w:rPr>
          <w:rFonts w:hint="eastAsia" w:ascii="宋体" w:hAnsi="宋体"/>
          <w:sz w:val="28"/>
          <w:szCs w:val="28"/>
        </w:rPr>
        <w:t xml:space="preserve">                                        年    月    日</w:t>
      </w:r>
    </w:p>
    <w:p>
      <w:pPr>
        <w:snapToGrid w:val="0"/>
        <w:jc w:val="center"/>
        <w:rPr>
          <w:rFonts w:hint="eastAsia" w:ascii="宋体" w:hAnsi="宋体"/>
          <w:b/>
          <w:bCs/>
          <w:iCs/>
          <w:sz w:val="28"/>
          <w:szCs w:val="28"/>
        </w:rPr>
      </w:pPr>
      <w:r>
        <w:rPr>
          <w:rFonts w:hint="eastAsia" w:ascii="宋体" w:hAnsi="宋体"/>
          <w:sz w:val="28"/>
          <w:szCs w:val="28"/>
        </w:rPr>
        <w:br w:type="page"/>
      </w:r>
      <w:bookmarkStart w:id="65" w:name="_Toc354401539"/>
      <w:bookmarkStart w:id="66" w:name="_Toc359856824"/>
      <w:bookmarkStart w:id="67" w:name="_Toc316887628"/>
      <w:bookmarkStart w:id="68" w:name="_Toc322352986"/>
      <w:bookmarkStart w:id="69" w:name="_Toc350256317"/>
      <w:r>
        <w:rPr>
          <w:rStyle w:val="82"/>
          <w:rFonts w:hint="eastAsia" w:ascii="宋体" w:hAnsi="宋体"/>
          <w:i w:val="0"/>
        </w:rPr>
        <w:t>三、</w:t>
      </w:r>
      <w:bookmarkStart w:id="70" w:name="技术资信文件格式"/>
      <w:r>
        <w:rPr>
          <w:rStyle w:val="82"/>
          <w:rFonts w:hint="eastAsia" w:ascii="宋体" w:hAnsi="宋体"/>
          <w:i w:val="0"/>
        </w:rPr>
        <w:t>技术商务文件参考格式</w:t>
      </w:r>
      <w:bookmarkEnd w:id="70"/>
    </w:p>
    <w:p>
      <w:pPr>
        <w:pStyle w:val="93"/>
        <w:snapToGrid w:val="0"/>
        <w:spacing w:line="240" w:lineRule="auto"/>
        <w:ind w:firstLine="0" w:firstLineChars="0"/>
        <w:jc w:val="center"/>
        <w:rPr>
          <w:rFonts w:hint="eastAsia" w:ascii="宋体" w:eastAsia="宋体" w:cs="宋体"/>
          <w:sz w:val="28"/>
        </w:rPr>
      </w:pPr>
      <w:r>
        <w:rPr>
          <w:rFonts w:hint="eastAsia" w:ascii="宋体" w:eastAsia="宋体" w:cs="宋体"/>
          <w:sz w:val="28"/>
        </w:rPr>
        <w:t>1服务承诺书（投标人可自行编写）</w:t>
      </w:r>
    </w:p>
    <w:p>
      <w:pPr>
        <w:pStyle w:val="85"/>
        <w:keepNext w:val="0"/>
        <w:snapToGrid w:val="0"/>
        <w:spacing w:before="0" w:after="0" w:line="240" w:lineRule="auto"/>
        <w:jc w:val="both"/>
        <w:outlineLvl w:val="9"/>
        <w:rPr>
          <w:rFonts w:hint="eastAsia"/>
          <w:b w:val="0"/>
          <w:bCs w:val="0"/>
          <w:i w:val="0"/>
          <w:sz w:val="28"/>
          <w:szCs w:val="28"/>
          <w:lang w:eastAsia="zh-CN"/>
        </w:rPr>
      </w:pPr>
      <w:r>
        <w:rPr>
          <w:rFonts w:hint="eastAsia"/>
          <w:b w:val="0"/>
          <w:bCs w:val="0"/>
          <w:i w:val="0"/>
          <w:sz w:val="28"/>
          <w:szCs w:val="28"/>
        </w:rPr>
        <w:t xml:space="preserve"> </w:t>
      </w:r>
    </w:p>
    <w:tbl>
      <w:tblPr>
        <w:tblStyle w:val="61"/>
        <w:tblW w:w="9193" w:type="dxa"/>
        <w:jc w:val="center"/>
        <w:tblLayout w:type="autofit"/>
        <w:tblCellMar>
          <w:top w:w="0" w:type="dxa"/>
          <w:left w:w="0" w:type="dxa"/>
          <w:bottom w:w="0" w:type="dxa"/>
          <w:right w:w="0" w:type="dxa"/>
        </w:tblCellMar>
      </w:tblPr>
      <w:tblGrid>
        <w:gridCol w:w="740"/>
        <w:gridCol w:w="4106"/>
        <w:gridCol w:w="2547"/>
        <w:gridCol w:w="1800"/>
      </w:tblGrid>
      <w:tr>
        <w:tblPrEx>
          <w:tblCellMar>
            <w:top w:w="0" w:type="dxa"/>
            <w:left w:w="0" w:type="dxa"/>
            <w:bottom w:w="0" w:type="dxa"/>
            <w:right w:w="0" w:type="dxa"/>
          </w:tblCellMar>
        </w:tblPrEx>
        <w:trPr>
          <w:wBefore w:w="0" w:type="dxa"/>
          <w:wAfter w:w="0" w:type="dxa"/>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序号</w:t>
            </w:r>
          </w:p>
        </w:tc>
        <w:tc>
          <w:tcPr>
            <w:tcW w:w="4106" w:type="dxa"/>
            <w:tcBorders>
              <w:top w:val="single" w:color="auto" w:sz="8" w:space="0"/>
              <w:left w:val="nil"/>
              <w:bottom w:val="single" w:color="auto" w:sz="8" w:space="0"/>
              <w:right w:val="single" w:color="auto" w:sz="4"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服务内容</w:t>
            </w:r>
          </w:p>
        </w:tc>
        <w:tc>
          <w:tcPr>
            <w:tcW w:w="2547" w:type="dxa"/>
            <w:tcBorders>
              <w:top w:val="single" w:color="auto" w:sz="8" w:space="0"/>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承  诺</w:t>
            </w:r>
          </w:p>
        </w:tc>
        <w:tc>
          <w:tcPr>
            <w:tcW w:w="18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r>
              <w:rPr>
                <w:rFonts w:hint="eastAsia" w:ascii="宋体" w:hAnsi="宋体" w:cs="宋体"/>
                <w:sz w:val="28"/>
                <w:szCs w:val="28"/>
              </w:rPr>
              <w:t>备注</w:t>
            </w: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1</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textAlignment w:val="baseline"/>
              <w:rPr>
                <w:rFonts w:hint="eastAsia" w:ascii="宋体" w:hAnsi="宋体" w:cs="宋体"/>
                <w:sz w:val="28"/>
                <w:szCs w:val="28"/>
              </w:rPr>
            </w:pP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2</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nil"/>
              <w:left w:val="single" w:color="auto" w:sz="4" w:space="0"/>
              <w:bottom w:val="single" w:color="auto" w:sz="8" w:space="0"/>
              <w:right w:val="single" w:color="auto" w:sz="8" w:space="0"/>
            </w:tcBorders>
            <w:noWrap w:val="0"/>
            <w:vAlign w:val="center"/>
          </w:tcPr>
          <w:p>
            <w:pPr>
              <w:snapToGrid w:val="0"/>
              <w:rPr>
                <w:rFonts w:hint="eastAsia" w:ascii="宋体" w:hAnsi="宋体" w:cs="宋体"/>
                <w:sz w:val="28"/>
                <w:szCs w:val="28"/>
              </w:rPr>
            </w:pPr>
          </w:p>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3</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4</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5</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7</w:t>
            </w:r>
          </w:p>
        </w:tc>
        <w:tc>
          <w:tcPr>
            <w:tcW w:w="4106" w:type="dxa"/>
            <w:tcBorders>
              <w:top w:val="nil"/>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nil"/>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8</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9</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10</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11</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bl>
    <w:p>
      <w:pPr>
        <w:autoSpaceDE w:val="0"/>
        <w:autoSpaceDN w:val="0"/>
        <w:adjustRightInd w:val="0"/>
        <w:snapToGrid w:val="0"/>
        <w:rPr>
          <w:rFonts w:hint="eastAsia" w:ascii="宋体" w:hAnsi="宋体" w:cs="宋体"/>
          <w:sz w:val="28"/>
          <w:szCs w:val="28"/>
        </w:rPr>
      </w:pP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 xml:space="preserve">                                   </w:t>
      </w:r>
    </w:p>
    <w:p>
      <w:pPr>
        <w:autoSpaceDE w:val="0"/>
        <w:autoSpaceDN w:val="0"/>
        <w:adjustRightInd w:val="0"/>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93"/>
        <w:snapToGrid w:val="0"/>
        <w:spacing w:line="240" w:lineRule="auto"/>
        <w:ind w:firstLine="0" w:firstLineChars="0"/>
        <w:rPr>
          <w:rFonts w:hint="eastAsia" w:ascii="宋体" w:eastAsia="宋体"/>
          <w:sz w:val="28"/>
        </w:rPr>
      </w:pPr>
    </w:p>
    <w:p>
      <w:pPr>
        <w:pStyle w:val="93"/>
        <w:snapToGrid w:val="0"/>
        <w:spacing w:line="240" w:lineRule="auto"/>
        <w:ind w:firstLine="0" w:firstLineChars="0"/>
        <w:rPr>
          <w:rFonts w:hint="eastAsia" w:ascii="宋体" w:eastAsia="宋体"/>
          <w:sz w:val="28"/>
        </w:rPr>
      </w:pPr>
      <w:r>
        <w:rPr>
          <w:rFonts w:hint="eastAsia" w:ascii="宋体" w:eastAsia="宋体"/>
          <w:sz w:val="28"/>
        </w:rPr>
        <w:t xml:space="preserve"> </w:t>
      </w:r>
    </w:p>
    <w:p>
      <w:pPr>
        <w:pStyle w:val="93"/>
        <w:snapToGrid w:val="0"/>
        <w:spacing w:line="240" w:lineRule="auto"/>
        <w:ind w:firstLine="0" w:firstLineChars="0"/>
        <w:rPr>
          <w:rFonts w:hint="eastAsia" w:ascii="宋体" w:eastAsia="宋体"/>
          <w:sz w:val="28"/>
        </w:rPr>
      </w:pPr>
    </w:p>
    <w:p>
      <w:pPr>
        <w:pStyle w:val="93"/>
        <w:snapToGrid w:val="0"/>
        <w:spacing w:line="240" w:lineRule="auto"/>
        <w:ind w:firstLine="0" w:firstLineChars="0"/>
        <w:rPr>
          <w:rFonts w:hint="eastAsia" w:ascii="宋体" w:eastAsia="宋体"/>
          <w:sz w:val="28"/>
        </w:rPr>
      </w:pPr>
    </w:p>
    <w:p>
      <w:pPr>
        <w:pStyle w:val="93"/>
        <w:snapToGrid w:val="0"/>
        <w:spacing w:line="240" w:lineRule="auto"/>
        <w:ind w:firstLine="0" w:firstLineChars="0"/>
        <w:rPr>
          <w:rFonts w:hint="eastAsia" w:ascii="宋体" w:eastAsia="宋体"/>
          <w:sz w:val="28"/>
        </w:rPr>
      </w:pPr>
    </w:p>
    <w:p>
      <w:pPr>
        <w:pStyle w:val="93"/>
        <w:snapToGrid w:val="0"/>
        <w:spacing w:line="240" w:lineRule="auto"/>
        <w:ind w:firstLine="0" w:firstLineChars="0"/>
        <w:rPr>
          <w:rFonts w:hint="eastAsia" w:ascii="宋体" w:eastAsia="宋体"/>
          <w:sz w:val="28"/>
        </w:rPr>
      </w:pPr>
    </w:p>
    <w:p>
      <w:pPr>
        <w:pStyle w:val="93"/>
        <w:snapToGrid w:val="0"/>
        <w:spacing w:line="240" w:lineRule="auto"/>
        <w:ind w:firstLine="0" w:firstLineChars="0"/>
        <w:rPr>
          <w:rFonts w:hint="eastAsia" w:ascii="宋体" w:eastAsia="宋体"/>
          <w:sz w:val="28"/>
        </w:rPr>
      </w:pPr>
    </w:p>
    <w:p>
      <w:pPr>
        <w:pStyle w:val="93"/>
        <w:snapToGrid w:val="0"/>
        <w:spacing w:line="240" w:lineRule="auto"/>
        <w:ind w:firstLine="0" w:firstLineChars="0"/>
        <w:rPr>
          <w:rFonts w:ascii="宋体" w:eastAsia="宋体"/>
          <w:sz w:val="28"/>
        </w:rPr>
        <w:sectPr>
          <w:pgSz w:w="11906" w:h="16838"/>
          <w:pgMar w:top="1389" w:right="1247" w:bottom="1389" w:left="1247" w:header="851" w:footer="992" w:gutter="284"/>
          <w:cols w:space="720" w:num="1"/>
          <w:docGrid w:linePitch="326" w:charSpace="0"/>
        </w:sectPr>
      </w:pPr>
    </w:p>
    <w:p>
      <w:pPr>
        <w:pStyle w:val="93"/>
        <w:snapToGrid w:val="0"/>
        <w:spacing w:line="240" w:lineRule="auto"/>
        <w:ind w:firstLine="0" w:firstLineChars="0"/>
        <w:rPr>
          <w:rFonts w:hint="eastAsia" w:ascii="宋体" w:eastAsia="宋体"/>
          <w:sz w:val="28"/>
        </w:rPr>
      </w:pPr>
    </w:p>
    <w:p>
      <w:pPr>
        <w:pStyle w:val="93"/>
        <w:snapToGrid w:val="0"/>
        <w:spacing w:line="240" w:lineRule="auto"/>
        <w:ind w:firstLine="0" w:firstLineChars="0"/>
        <w:jc w:val="center"/>
        <w:rPr>
          <w:rFonts w:hint="eastAsia" w:ascii="宋体" w:eastAsia="宋体" w:cs="宋体"/>
          <w:sz w:val="28"/>
        </w:rPr>
      </w:pPr>
    </w:p>
    <w:p>
      <w:pPr>
        <w:pStyle w:val="93"/>
        <w:snapToGrid w:val="0"/>
        <w:spacing w:line="240" w:lineRule="auto"/>
        <w:ind w:firstLine="0" w:firstLineChars="0"/>
        <w:jc w:val="center"/>
        <w:rPr>
          <w:rFonts w:hint="eastAsia" w:ascii="宋体" w:eastAsia="宋体" w:cs="宋体"/>
          <w:sz w:val="28"/>
        </w:rPr>
      </w:pPr>
      <w:r>
        <w:rPr>
          <w:rFonts w:hint="eastAsia" w:ascii="宋体" w:eastAsia="宋体" w:cs="宋体"/>
          <w:sz w:val="28"/>
        </w:rPr>
        <w:t>2投标服务（货物）清单及偏离表</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417"/>
        <w:gridCol w:w="760"/>
        <w:gridCol w:w="759"/>
        <w:gridCol w:w="759"/>
        <w:gridCol w:w="759"/>
        <w:gridCol w:w="2267"/>
        <w:gridCol w:w="2267"/>
        <w:gridCol w:w="2267"/>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6" w:type="pct"/>
            <w:noWrap w:val="0"/>
            <w:vAlign w:val="center"/>
          </w:tcPr>
          <w:p>
            <w:pPr>
              <w:snapToGrid w:val="0"/>
              <w:jc w:val="both"/>
              <w:rPr>
                <w:rFonts w:hint="eastAsia" w:ascii="宋体" w:hAnsi="宋体"/>
              </w:rPr>
            </w:pPr>
            <w:r>
              <w:rPr>
                <w:rFonts w:hint="eastAsia" w:ascii="宋体" w:hAnsi="宋体"/>
              </w:rPr>
              <w:t>序号</w:t>
            </w:r>
          </w:p>
        </w:tc>
        <w:tc>
          <w:tcPr>
            <w:tcW w:w="496" w:type="pct"/>
            <w:noWrap w:val="0"/>
            <w:vAlign w:val="center"/>
          </w:tcPr>
          <w:p>
            <w:pPr>
              <w:snapToGrid w:val="0"/>
              <w:rPr>
                <w:rFonts w:hint="eastAsia" w:ascii="宋体" w:hAnsi="宋体"/>
              </w:rPr>
            </w:pPr>
            <w:r>
              <w:rPr>
                <w:rFonts w:hint="eastAsia" w:ascii="宋体" w:hAnsi="宋体"/>
              </w:rPr>
              <w:t>设备名称</w:t>
            </w:r>
          </w:p>
        </w:tc>
        <w:tc>
          <w:tcPr>
            <w:tcW w:w="266" w:type="pct"/>
            <w:noWrap w:val="0"/>
            <w:vAlign w:val="center"/>
          </w:tcPr>
          <w:p>
            <w:pPr>
              <w:snapToGrid w:val="0"/>
              <w:jc w:val="both"/>
              <w:rPr>
                <w:rFonts w:hint="eastAsia" w:ascii="宋体" w:hAnsi="宋体"/>
              </w:rPr>
            </w:pPr>
            <w:r>
              <w:rPr>
                <w:rFonts w:hint="eastAsia" w:ascii="宋体" w:hAnsi="宋体"/>
              </w:rPr>
              <w:t>品牌</w:t>
            </w:r>
          </w:p>
        </w:tc>
        <w:tc>
          <w:tcPr>
            <w:tcW w:w="266" w:type="pct"/>
            <w:noWrap w:val="0"/>
            <w:vAlign w:val="center"/>
          </w:tcPr>
          <w:p>
            <w:pPr>
              <w:snapToGrid w:val="0"/>
              <w:jc w:val="both"/>
              <w:rPr>
                <w:rFonts w:hint="eastAsia" w:ascii="宋体" w:hAnsi="宋体"/>
              </w:rPr>
            </w:pPr>
            <w:r>
              <w:rPr>
                <w:rFonts w:hint="eastAsia" w:ascii="宋体" w:hAnsi="宋体"/>
              </w:rPr>
              <w:t>型号</w:t>
            </w:r>
          </w:p>
        </w:tc>
        <w:tc>
          <w:tcPr>
            <w:tcW w:w="266" w:type="pct"/>
            <w:noWrap w:val="0"/>
            <w:vAlign w:val="center"/>
          </w:tcPr>
          <w:p>
            <w:pPr>
              <w:snapToGrid w:val="0"/>
              <w:jc w:val="both"/>
              <w:rPr>
                <w:rFonts w:hint="eastAsia" w:ascii="宋体" w:hAnsi="宋体"/>
              </w:rPr>
            </w:pPr>
            <w:r>
              <w:rPr>
                <w:rFonts w:hint="eastAsia" w:ascii="宋体" w:hAnsi="宋体"/>
              </w:rPr>
              <w:t>数量</w:t>
            </w:r>
          </w:p>
        </w:tc>
        <w:tc>
          <w:tcPr>
            <w:tcW w:w="266" w:type="pct"/>
            <w:noWrap w:val="0"/>
            <w:vAlign w:val="center"/>
          </w:tcPr>
          <w:p>
            <w:pPr>
              <w:snapToGrid w:val="0"/>
              <w:jc w:val="both"/>
              <w:rPr>
                <w:rFonts w:hint="eastAsia" w:ascii="宋体" w:hAnsi="宋体"/>
              </w:rPr>
            </w:pPr>
            <w:r>
              <w:rPr>
                <w:rFonts w:hint="eastAsia" w:ascii="宋体" w:hAnsi="宋体"/>
              </w:rPr>
              <w:t>单位</w:t>
            </w:r>
          </w:p>
        </w:tc>
        <w:tc>
          <w:tcPr>
            <w:tcW w:w="794" w:type="pct"/>
            <w:noWrap w:val="0"/>
            <w:vAlign w:val="bottom"/>
          </w:tcPr>
          <w:p>
            <w:pPr>
              <w:pStyle w:val="32"/>
              <w:snapToGrid w:val="0"/>
              <w:jc w:val="center"/>
              <w:rPr>
                <w:rFonts w:hint="eastAsia" w:hAnsi="宋体"/>
                <w:sz w:val="28"/>
              </w:rPr>
            </w:pPr>
            <w:r>
              <w:rPr>
                <w:rFonts w:hint="eastAsia" w:hAnsi="宋体"/>
                <w:sz w:val="28"/>
              </w:rPr>
              <w:t>招标要求</w:t>
            </w:r>
          </w:p>
        </w:tc>
        <w:tc>
          <w:tcPr>
            <w:tcW w:w="794" w:type="pct"/>
            <w:noWrap w:val="0"/>
            <w:vAlign w:val="bottom"/>
          </w:tcPr>
          <w:p>
            <w:pPr>
              <w:pStyle w:val="32"/>
              <w:snapToGrid w:val="0"/>
              <w:jc w:val="center"/>
              <w:rPr>
                <w:rFonts w:hint="eastAsia" w:hAnsi="宋体"/>
                <w:sz w:val="28"/>
              </w:rPr>
            </w:pPr>
            <w:r>
              <w:rPr>
                <w:rFonts w:hint="eastAsia" w:hAnsi="宋体"/>
                <w:sz w:val="28"/>
              </w:rPr>
              <w:t>投标响应</w:t>
            </w:r>
          </w:p>
        </w:tc>
        <w:tc>
          <w:tcPr>
            <w:tcW w:w="794" w:type="pct"/>
            <w:noWrap w:val="0"/>
            <w:vAlign w:val="center"/>
          </w:tcPr>
          <w:p>
            <w:pPr>
              <w:snapToGrid w:val="0"/>
              <w:jc w:val="center"/>
              <w:rPr>
                <w:rFonts w:hint="eastAsia" w:ascii="宋体" w:hAnsi="宋体"/>
                <w:sz w:val="28"/>
                <w:szCs w:val="28"/>
              </w:rPr>
            </w:pPr>
            <w:r>
              <w:rPr>
                <w:rFonts w:hint="eastAsia" w:ascii="宋体" w:hAnsi="宋体"/>
                <w:sz w:val="28"/>
                <w:szCs w:val="28"/>
              </w:rPr>
              <w:t>正/负偏离</w:t>
            </w:r>
          </w:p>
        </w:tc>
        <w:tc>
          <w:tcPr>
            <w:tcW w:w="794" w:type="pct"/>
            <w:noWrap w:val="0"/>
            <w:vAlign w:val="center"/>
          </w:tcPr>
          <w:p>
            <w:pPr>
              <w:snapToGrid w:val="0"/>
              <w:jc w:val="center"/>
              <w:rPr>
                <w:rFonts w:hint="eastAsia" w:ascii="宋体" w:hAnsi="宋体"/>
                <w:sz w:val="28"/>
                <w:szCs w:val="28"/>
              </w:rPr>
            </w:pPr>
            <w:r>
              <w:rPr>
                <w:rFonts w:hint="eastAsia" w:ascii="宋体" w:hAnsi="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6" w:type="pct"/>
            <w:noWrap w:val="0"/>
            <w:vAlign w:val="center"/>
          </w:tcPr>
          <w:p>
            <w:pPr>
              <w:snapToGrid w:val="0"/>
              <w:jc w:val="both"/>
              <w:rPr>
                <w:rFonts w:hint="eastAsia" w:ascii="宋体" w:hAnsi="宋体"/>
              </w:rPr>
            </w:pPr>
          </w:p>
        </w:tc>
        <w:tc>
          <w:tcPr>
            <w:tcW w:w="49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794" w:type="pct"/>
            <w:noWrap w:val="0"/>
            <w:vAlign w:val="bottom"/>
          </w:tcPr>
          <w:p>
            <w:pPr>
              <w:pStyle w:val="32"/>
              <w:snapToGrid w:val="0"/>
              <w:jc w:val="center"/>
              <w:rPr>
                <w:rFonts w:hint="eastAsia" w:hAnsi="宋体"/>
                <w:sz w:val="28"/>
              </w:rPr>
            </w:pPr>
          </w:p>
        </w:tc>
        <w:tc>
          <w:tcPr>
            <w:tcW w:w="794" w:type="pct"/>
            <w:noWrap w:val="0"/>
            <w:vAlign w:val="bottom"/>
          </w:tcPr>
          <w:p>
            <w:pPr>
              <w:pStyle w:val="32"/>
              <w:snapToGrid w:val="0"/>
              <w:jc w:val="center"/>
              <w:rPr>
                <w:rFonts w:hint="eastAsia" w:hAnsi="宋体"/>
                <w:sz w:val="28"/>
              </w:rPr>
            </w:pPr>
          </w:p>
        </w:tc>
        <w:tc>
          <w:tcPr>
            <w:tcW w:w="794" w:type="pct"/>
            <w:noWrap w:val="0"/>
            <w:vAlign w:val="center"/>
          </w:tcPr>
          <w:p>
            <w:pPr>
              <w:snapToGrid w:val="0"/>
              <w:jc w:val="center"/>
              <w:rPr>
                <w:rFonts w:hint="eastAsia" w:ascii="宋体" w:hAnsi="宋体"/>
                <w:sz w:val="28"/>
                <w:szCs w:val="28"/>
              </w:rPr>
            </w:pPr>
          </w:p>
        </w:tc>
        <w:tc>
          <w:tcPr>
            <w:tcW w:w="794" w:type="pct"/>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6" w:type="pct"/>
            <w:noWrap w:val="0"/>
            <w:vAlign w:val="center"/>
          </w:tcPr>
          <w:p>
            <w:pPr>
              <w:snapToGrid w:val="0"/>
              <w:jc w:val="both"/>
              <w:rPr>
                <w:rFonts w:hint="eastAsia" w:ascii="宋体" w:hAnsi="宋体"/>
              </w:rPr>
            </w:pPr>
          </w:p>
        </w:tc>
        <w:tc>
          <w:tcPr>
            <w:tcW w:w="49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794" w:type="pct"/>
            <w:noWrap w:val="0"/>
            <w:vAlign w:val="bottom"/>
          </w:tcPr>
          <w:p>
            <w:pPr>
              <w:pStyle w:val="32"/>
              <w:snapToGrid w:val="0"/>
              <w:jc w:val="center"/>
              <w:rPr>
                <w:rFonts w:hint="eastAsia" w:hAnsi="宋体"/>
                <w:sz w:val="28"/>
              </w:rPr>
            </w:pPr>
          </w:p>
        </w:tc>
        <w:tc>
          <w:tcPr>
            <w:tcW w:w="794" w:type="pct"/>
            <w:noWrap w:val="0"/>
            <w:vAlign w:val="bottom"/>
          </w:tcPr>
          <w:p>
            <w:pPr>
              <w:pStyle w:val="32"/>
              <w:snapToGrid w:val="0"/>
              <w:jc w:val="center"/>
              <w:rPr>
                <w:rFonts w:hint="eastAsia" w:hAnsi="宋体"/>
                <w:sz w:val="28"/>
              </w:rPr>
            </w:pPr>
          </w:p>
        </w:tc>
        <w:tc>
          <w:tcPr>
            <w:tcW w:w="794" w:type="pct"/>
            <w:noWrap w:val="0"/>
            <w:vAlign w:val="center"/>
          </w:tcPr>
          <w:p>
            <w:pPr>
              <w:snapToGrid w:val="0"/>
              <w:jc w:val="center"/>
              <w:rPr>
                <w:rFonts w:hint="eastAsia" w:ascii="宋体" w:hAnsi="宋体"/>
                <w:sz w:val="28"/>
                <w:szCs w:val="28"/>
              </w:rPr>
            </w:pPr>
          </w:p>
        </w:tc>
        <w:tc>
          <w:tcPr>
            <w:tcW w:w="794" w:type="pct"/>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6" w:type="pct"/>
            <w:noWrap w:val="0"/>
            <w:vAlign w:val="center"/>
          </w:tcPr>
          <w:p>
            <w:pPr>
              <w:snapToGrid w:val="0"/>
              <w:jc w:val="both"/>
              <w:rPr>
                <w:rFonts w:hint="eastAsia" w:ascii="宋体" w:hAnsi="宋体"/>
              </w:rPr>
            </w:pPr>
          </w:p>
        </w:tc>
        <w:tc>
          <w:tcPr>
            <w:tcW w:w="49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794" w:type="pct"/>
            <w:noWrap w:val="0"/>
            <w:vAlign w:val="bottom"/>
          </w:tcPr>
          <w:p>
            <w:pPr>
              <w:pStyle w:val="32"/>
              <w:snapToGrid w:val="0"/>
              <w:jc w:val="center"/>
              <w:rPr>
                <w:rFonts w:hint="eastAsia" w:hAnsi="宋体"/>
                <w:sz w:val="28"/>
              </w:rPr>
            </w:pPr>
          </w:p>
        </w:tc>
        <w:tc>
          <w:tcPr>
            <w:tcW w:w="794" w:type="pct"/>
            <w:noWrap w:val="0"/>
            <w:vAlign w:val="bottom"/>
          </w:tcPr>
          <w:p>
            <w:pPr>
              <w:pStyle w:val="32"/>
              <w:snapToGrid w:val="0"/>
              <w:jc w:val="center"/>
              <w:rPr>
                <w:rFonts w:hint="eastAsia" w:hAnsi="宋体"/>
                <w:sz w:val="28"/>
              </w:rPr>
            </w:pPr>
          </w:p>
        </w:tc>
        <w:tc>
          <w:tcPr>
            <w:tcW w:w="794" w:type="pct"/>
            <w:noWrap w:val="0"/>
            <w:vAlign w:val="center"/>
          </w:tcPr>
          <w:p>
            <w:pPr>
              <w:snapToGrid w:val="0"/>
              <w:jc w:val="center"/>
              <w:rPr>
                <w:rFonts w:hint="eastAsia" w:ascii="宋体" w:hAnsi="宋体"/>
                <w:sz w:val="28"/>
                <w:szCs w:val="28"/>
              </w:rPr>
            </w:pPr>
          </w:p>
        </w:tc>
        <w:tc>
          <w:tcPr>
            <w:tcW w:w="794" w:type="pct"/>
            <w:noWrap w:val="0"/>
            <w:vAlign w:val="center"/>
          </w:tcPr>
          <w:p>
            <w:pPr>
              <w:snapToGrid w:val="0"/>
              <w:jc w:val="center"/>
              <w:rPr>
                <w:rFonts w:hint="eastAsia" w:ascii="宋体" w:hAnsi="宋体"/>
                <w:sz w:val="28"/>
                <w:szCs w:val="28"/>
              </w:rPr>
            </w:pPr>
          </w:p>
        </w:tc>
      </w:tr>
    </w:tbl>
    <w:p>
      <w:pPr>
        <w:pStyle w:val="93"/>
        <w:snapToGrid w:val="0"/>
        <w:spacing w:line="240" w:lineRule="auto"/>
        <w:ind w:firstLine="0" w:firstLineChars="0"/>
        <w:jc w:val="center"/>
        <w:rPr>
          <w:rFonts w:hint="eastAsia" w:ascii="宋体" w:eastAsia="宋体" w:cs="宋体"/>
          <w:sz w:val="28"/>
        </w:rPr>
      </w:pPr>
    </w:p>
    <w:p>
      <w:pPr>
        <w:snapToGrid w:val="0"/>
        <w:rPr>
          <w:rFonts w:hint="eastAsia" w:ascii="宋体" w:hAnsi="宋体"/>
          <w:sz w:val="28"/>
          <w:szCs w:val="28"/>
        </w:rPr>
      </w:pPr>
      <w:r>
        <w:rPr>
          <w:rFonts w:hint="eastAsia" w:ascii="宋体" w:hAnsi="宋体" w:cs="宋体"/>
          <w:sz w:val="28"/>
          <w:szCs w:val="28"/>
        </w:rPr>
        <w:t>注：投标人递交的技术规格书中与招标文件的技术规格书中的要求有不同时，请逐条列在技术偏离表中并作出“正偏离/负偏离”。</w:t>
      </w:r>
    </w:p>
    <w:p>
      <w:pPr>
        <w:adjustRightInd w:val="0"/>
        <w:snapToGrid w:val="0"/>
        <w:rPr>
          <w:rFonts w:hint="eastAsia" w:ascii="宋体" w:hAnsi="宋体"/>
          <w:sz w:val="28"/>
          <w:szCs w:val="28"/>
        </w:rPr>
      </w:pPr>
    </w:p>
    <w:p>
      <w:pPr>
        <w:adjustRightInd w:val="0"/>
        <w:snapToGrid w:val="0"/>
        <w:ind w:left="482" w:hanging="482"/>
        <w:rPr>
          <w:rFonts w:hint="eastAsia" w:ascii="宋体" w:hAnsi="宋体"/>
          <w:sz w:val="28"/>
          <w:szCs w:val="28"/>
        </w:rPr>
      </w:pPr>
      <w:r>
        <w:rPr>
          <w:rFonts w:hint="eastAsia" w:ascii="宋体" w:hAnsi="宋体"/>
          <w:sz w:val="28"/>
          <w:szCs w:val="28"/>
        </w:rPr>
        <w:t>投标人（盖章）：</w:t>
      </w:r>
    </w:p>
    <w:p>
      <w:pPr>
        <w:adjustRightInd w:val="0"/>
        <w:snapToGrid w:val="0"/>
        <w:ind w:left="482" w:hanging="482"/>
        <w:rPr>
          <w:rFonts w:hint="eastAsia" w:ascii="宋体" w:hAnsi="宋体"/>
          <w:sz w:val="28"/>
          <w:szCs w:val="28"/>
        </w:rPr>
      </w:pPr>
    </w:p>
    <w:p>
      <w:pPr>
        <w:adjustRightInd w:val="0"/>
        <w:snapToGrid w:val="0"/>
        <w:ind w:left="482" w:hanging="482"/>
        <w:rPr>
          <w:rFonts w:hint="eastAsia" w:ascii="宋体" w:hAnsi="宋体"/>
          <w:sz w:val="28"/>
          <w:szCs w:val="28"/>
        </w:rPr>
      </w:pPr>
    </w:p>
    <w:p>
      <w:pPr>
        <w:snapToGrid w:val="0"/>
        <w:outlineLvl w:val="0"/>
        <w:rPr>
          <w:rFonts w:hint="eastAsia" w:ascii="宋体" w:hAnsi="宋体"/>
          <w:sz w:val="28"/>
          <w:szCs w:val="28"/>
        </w:rPr>
      </w:pPr>
      <w:r>
        <w:rPr>
          <w:rFonts w:hint="eastAsia" w:ascii="宋体" w:hAnsi="宋体"/>
          <w:sz w:val="28"/>
          <w:szCs w:val="28"/>
        </w:rPr>
        <w:t xml:space="preserve">日  </w:t>
      </w:r>
      <w:bookmarkStart w:id="71" w:name="_Toc359856823"/>
      <w:r>
        <w:rPr>
          <w:rFonts w:hint="eastAsia" w:ascii="宋体" w:hAnsi="宋体"/>
          <w:sz w:val="28"/>
          <w:szCs w:val="28"/>
        </w:rPr>
        <w:t>期</w:t>
      </w:r>
      <w:bookmarkEnd w:id="71"/>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outlineLvl w:val="0"/>
        <w:rPr>
          <w:rFonts w:hint="eastAsia" w:ascii="宋体" w:hAnsi="宋体"/>
          <w:sz w:val="28"/>
          <w:szCs w:val="28"/>
        </w:rPr>
      </w:pPr>
    </w:p>
    <w:p>
      <w:pPr>
        <w:pStyle w:val="93"/>
        <w:snapToGrid w:val="0"/>
        <w:spacing w:line="240" w:lineRule="auto"/>
        <w:ind w:firstLine="0" w:firstLineChars="0"/>
        <w:rPr>
          <w:rFonts w:hint="eastAsia" w:ascii="宋体" w:eastAsia="宋体"/>
          <w:sz w:val="28"/>
        </w:rPr>
      </w:pPr>
    </w:p>
    <w:p>
      <w:pPr>
        <w:pStyle w:val="93"/>
        <w:snapToGrid w:val="0"/>
        <w:spacing w:line="240" w:lineRule="auto"/>
        <w:ind w:firstLine="0" w:firstLineChars="0"/>
        <w:rPr>
          <w:rFonts w:hint="eastAsia" w:ascii="宋体" w:eastAsia="宋体"/>
          <w:sz w:val="28"/>
        </w:rPr>
      </w:pPr>
    </w:p>
    <w:p>
      <w:pPr>
        <w:pStyle w:val="93"/>
        <w:snapToGrid w:val="0"/>
        <w:spacing w:line="240" w:lineRule="auto"/>
        <w:ind w:firstLine="0" w:firstLineChars="0"/>
        <w:rPr>
          <w:rFonts w:ascii="宋体" w:eastAsia="宋体"/>
          <w:sz w:val="30"/>
          <w:szCs w:val="30"/>
        </w:rPr>
        <w:sectPr>
          <w:pgSz w:w="16838" w:h="11906" w:orient="landscape"/>
          <w:pgMar w:top="1247" w:right="1389" w:bottom="1247" w:left="1389" w:header="851" w:footer="992" w:gutter="284"/>
          <w:cols w:space="720" w:num="1"/>
          <w:docGrid w:linePitch="326" w:charSpace="0"/>
        </w:sectPr>
      </w:pPr>
    </w:p>
    <w:p>
      <w:pPr>
        <w:pStyle w:val="93"/>
        <w:snapToGrid w:val="0"/>
        <w:spacing w:line="240" w:lineRule="auto"/>
        <w:ind w:firstLine="0" w:firstLineChars="0"/>
        <w:rPr>
          <w:rFonts w:hint="eastAsia" w:ascii="宋体" w:eastAsia="宋体"/>
          <w:sz w:val="30"/>
          <w:szCs w:val="30"/>
        </w:rPr>
      </w:pPr>
    </w:p>
    <w:p>
      <w:pPr>
        <w:snapToGrid w:val="0"/>
        <w:jc w:val="center"/>
        <w:outlineLvl w:val="0"/>
        <w:rPr>
          <w:rStyle w:val="82"/>
          <w:rFonts w:hint="eastAsia" w:ascii="宋体" w:hAnsi="宋体"/>
          <w:i w:val="0"/>
        </w:rPr>
      </w:pPr>
      <w:r>
        <w:rPr>
          <w:rStyle w:val="82"/>
          <w:rFonts w:hint="eastAsia" w:ascii="宋体" w:hAnsi="宋体"/>
          <w:i w:val="0"/>
        </w:rPr>
        <w:t>四、报价文件参考格式</w:t>
      </w:r>
    </w:p>
    <w:p>
      <w:pPr>
        <w:snapToGrid w:val="0"/>
        <w:jc w:val="center"/>
        <w:outlineLvl w:val="0"/>
        <w:rPr>
          <w:rFonts w:hint="eastAsia" w:ascii="宋体" w:hAnsi="宋体"/>
          <w:b/>
          <w:bCs/>
          <w:iCs/>
          <w:sz w:val="28"/>
          <w:szCs w:val="28"/>
        </w:rPr>
      </w:pPr>
    </w:p>
    <w:p>
      <w:pPr>
        <w:snapToGrid w:val="0"/>
        <w:jc w:val="center"/>
        <w:rPr>
          <w:rFonts w:hint="eastAsia" w:ascii="宋体" w:hAnsi="宋体"/>
          <w:sz w:val="28"/>
          <w:szCs w:val="28"/>
        </w:rPr>
      </w:pPr>
      <w:r>
        <w:rPr>
          <w:rFonts w:hint="eastAsia" w:ascii="宋体" w:hAnsi="宋体"/>
          <w:sz w:val="28"/>
          <w:szCs w:val="28"/>
        </w:rPr>
        <w:t>1 开标一览表</w:t>
      </w:r>
    </w:p>
    <w:p>
      <w:pPr>
        <w:pStyle w:val="291"/>
        <w:snapToGrid w:val="0"/>
        <w:jc w:val="center"/>
        <w:rPr>
          <w:rFonts w:hint="eastAsia" w:ascii="宋体" w:hAnsi="宋体"/>
          <w:bCs/>
          <w:sz w:val="28"/>
          <w:szCs w:val="28"/>
        </w:rPr>
      </w:pPr>
      <w:r>
        <w:rPr>
          <w:rFonts w:hint="eastAsia" w:ascii="宋体" w:hAnsi="宋体"/>
          <w:bCs/>
          <w:sz w:val="28"/>
          <w:szCs w:val="28"/>
        </w:rPr>
        <w:t>（由投标人根据招标货物（服务）清单自行填写完整）</w:t>
      </w:r>
    </w:p>
    <w:tbl>
      <w:tblPr>
        <w:tblStyle w:val="6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2"/>
        <w:gridCol w:w="993"/>
        <w:gridCol w:w="992"/>
        <w:gridCol w:w="1276"/>
        <w:gridCol w:w="12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0" w:hRule="atLeast"/>
        </w:trPr>
        <w:tc>
          <w:tcPr>
            <w:tcW w:w="392" w:type="dxa"/>
            <w:noWrap w:val="0"/>
            <w:vAlign w:val="center"/>
          </w:tcPr>
          <w:p>
            <w:pPr>
              <w:jc w:val="center"/>
              <w:rPr>
                <w:rFonts w:hint="eastAsia" w:ascii="宋体" w:hAnsi="宋体"/>
                <w:b/>
                <w:spacing w:val="20"/>
              </w:rPr>
            </w:pPr>
            <w:r>
              <w:rPr>
                <w:rFonts w:hint="eastAsia" w:ascii="宋体" w:hAnsi="宋体"/>
                <w:b/>
                <w:spacing w:val="20"/>
              </w:rPr>
              <w:t>序号</w:t>
            </w:r>
          </w:p>
        </w:tc>
        <w:tc>
          <w:tcPr>
            <w:tcW w:w="4252" w:type="dxa"/>
            <w:noWrap w:val="0"/>
            <w:vAlign w:val="center"/>
          </w:tcPr>
          <w:p>
            <w:pPr>
              <w:adjustRightInd w:val="0"/>
              <w:snapToGrid w:val="0"/>
              <w:jc w:val="center"/>
              <w:rPr>
                <w:rFonts w:hint="eastAsia" w:ascii="宋体" w:hAnsi="宋体"/>
                <w:b/>
                <w:bCs/>
                <w:spacing w:val="20"/>
              </w:rPr>
            </w:pPr>
            <w:r>
              <w:rPr>
                <w:rFonts w:hint="eastAsia" w:ascii="宋体" w:hAnsi="宋体"/>
                <w:b/>
                <w:bCs/>
                <w:spacing w:val="20"/>
              </w:rPr>
              <w:t>采购内容</w:t>
            </w:r>
          </w:p>
        </w:tc>
        <w:tc>
          <w:tcPr>
            <w:tcW w:w="993" w:type="dxa"/>
            <w:noWrap w:val="0"/>
            <w:vAlign w:val="center"/>
          </w:tcPr>
          <w:p>
            <w:pPr>
              <w:adjustRightInd w:val="0"/>
              <w:snapToGrid w:val="0"/>
              <w:jc w:val="center"/>
              <w:rPr>
                <w:rFonts w:hint="eastAsia" w:ascii="宋体" w:hAnsi="宋体"/>
                <w:b/>
                <w:bCs/>
                <w:spacing w:val="20"/>
              </w:rPr>
            </w:pPr>
            <w:r>
              <w:rPr>
                <w:rFonts w:hint="eastAsia" w:ascii="宋体" w:hAnsi="宋体"/>
                <w:b/>
                <w:bCs/>
                <w:spacing w:val="20"/>
              </w:rPr>
              <w:t>数量</w:t>
            </w:r>
          </w:p>
        </w:tc>
        <w:tc>
          <w:tcPr>
            <w:tcW w:w="992" w:type="dxa"/>
            <w:tcBorders>
              <w:right w:val="single" w:color="auto" w:sz="8" w:space="0"/>
            </w:tcBorders>
            <w:noWrap w:val="0"/>
            <w:vAlign w:val="center"/>
          </w:tcPr>
          <w:p>
            <w:pPr>
              <w:adjustRightInd w:val="0"/>
              <w:snapToGrid w:val="0"/>
              <w:jc w:val="center"/>
              <w:rPr>
                <w:rFonts w:hint="eastAsia" w:ascii="宋体" w:hAnsi="宋体"/>
                <w:b/>
                <w:bCs/>
                <w:spacing w:val="20"/>
              </w:rPr>
            </w:pPr>
            <w:r>
              <w:rPr>
                <w:rFonts w:hint="eastAsia" w:ascii="宋体" w:hAnsi="宋体"/>
                <w:b/>
                <w:bCs/>
                <w:spacing w:val="20"/>
              </w:rPr>
              <w:t>单位</w:t>
            </w:r>
          </w:p>
        </w:tc>
        <w:tc>
          <w:tcPr>
            <w:tcW w:w="1276" w:type="dxa"/>
            <w:tcBorders>
              <w:left w:val="single" w:color="auto" w:sz="8" w:space="0"/>
            </w:tcBorders>
            <w:noWrap w:val="0"/>
            <w:vAlign w:val="center"/>
          </w:tcPr>
          <w:p>
            <w:pPr>
              <w:adjustRightInd w:val="0"/>
              <w:snapToGrid w:val="0"/>
              <w:jc w:val="center"/>
              <w:rPr>
                <w:rFonts w:hint="eastAsia" w:ascii="宋体" w:hAnsi="宋体"/>
                <w:b/>
                <w:bCs/>
                <w:spacing w:val="20"/>
              </w:rPr>
            </w:pPr>
            <w:r>
              <w:rPr>
                <w:rFonts w:hint="eastAsia" w:ascii="宋体" w:hAnsi="宋体"/>
                <w:b/>
                <w:bCs/>
                <w:spacing w:val="20"/>
              </w:rPr>
              <w:t>合计</w:t>
            </w:r>
          </w:p>
        </w:tc>
        <w:tc>
          <w:tcPr>
            <w:tcW w:w="1275" w:type="dxa"/>
            <w:noWrap w:val="0"/>
            <w:vAlign w:val="center"/>
          </w:tcPr>
          <w:p>
            <w:pPr>
              <w:jc w:val="center"/>
              <w:rPr>
                <w:rFonts w:hint="eastAsia" w:ascii="宋体" w:hAnsi="宋体"/>
                <w:b/>
                <w:spacing w:val="20"/>
              </w:rPr>
            </w:pPr>
            <w:r>
              <w:rPr>
                <w:rFonts w:hint="eastAsia" w:ascii="宋体" w:hAnsi="宋体"/>
                <w:b/>
                <w:spacing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01" w:hRule="atLeast"/>
        </w:trPr>
        <w:tc>
          <w:tcPr>
            <w:tcW w:w="392" w:type="dxa"/>
            <w:noWrap w:val="0"/>
            <w:vAlign w:val="center"/>
          </w:tcPr>
          <w:p>
            <w:pPr>
              <w:jc w:val="center"/>
              <w:rPr>
                <w:rFonts w:hint="eastAsia" w:ascii="宋体" w:hAnsi="宋体" w:cs="Arial Unicode MS"/>
                <w:sz w:val="20"/>
                <w:szCs w:val="20"/>
              </w:rPr>
            </w:pPr>
            <w:r>
              <w:rPr>
                <w:rFonts w:hint="eastAsia" w:ascii="宋体" w:hAnsi="宋体" w:cs="Arial Unicode MS"/>
                <w:sz w:val="20"/>
                <w:szCs w:val="20"/>
              </w:rPr>
              <w:t>1</w:t>
            </w:r>
          </w:p>
        </w:tc>
        <w:tc>
          <w:tcPr>
            <w:tcW w:w="4252" w:type="dxa"/>
            <w:noWrap w:val="0"/>
            <w:vAlign w:val="center"/>
          </w:tcPr>
          <w:p>
            <w:pPr>
              <w:adjustRightInd w:val="0"/>
              <w:snapToGrid w:val="0"/>
              <w:ind w:firstLine="140" w:firstLineChars="50"/>
              <w:jc w:val="center"/>
              <w:rPr>
                <w:rFonts w:hint="eastAsia" w:ascii="宋体" w:hAnsi="宋体"/>
              </w:rPr>
            </w:pPr>
            <w:r>
              <w:rPr>
                <w:rFonts w:hint="eastAsia" w:ascii="宋体" w:hAnsi="宋体"/>
                <w:b/>
                <w:bCs/>
                <w:spacing w:val="20"/>
              </w:rPr>
              <w:t>梧桐街道智慧安防小区建设（振东***辖区）</w:t>
            </w:r>
          </w:p>
        </w:tc>
        <w:tc>
          <w:tcPr>
            <w:tcW w:w="993" w:type="dxa"/>
            <w:noWrap w:val="0"/>
            <w:vAlign w:val="center"/>
          </w:tcPr>
          <w:p>
            <w:pPr>
              <w:adjustRightInd w:val="0"/>
              <w:snapToGrid w:val="0"/>
              <w:jc w:val="center"/>
              <w:rPr>
                <w:rFonts w:hint="eastAsia" w:ascii="宋体" w:hAnsi="宋体"/>
                <w:b/>
                <w:bCs/>
                <w:spacing w:val="20"/>
              </w:rPr>
            </w:pPr>
            <w:r>
              <w:rPr>
                <w:rFonts w:hint="eastAsia" w:ascii="宋体" w:hAnsi="宋体"/>
                <w:b/>
                <w:bCs/>
                <w:spacing w:val="20"/>
              </w:rPr>
              <w:t>1</w:t>
            </w:r>
          </w:p>
        </w:tc>
        <w:tc>
          <w:tcPr>
            <w:tcW w:w="992" w:type="dxa"/>
            <w:tcBorders>
              <w:right w:val="single" w:color="auto" w:sz="8" w:space="0"/>
            </w:tcBorders>
            <w:noWrap w:val="0"/>
            <w:vAlign w:val="center"/>
          </w:tcPr>
          <w:p>
            <w:pPr>
              <w:adjustRightInd w:val="0"/>
              <w:snapToGrid w:val="0"/>
              <w:ind w:firstLine="140" w:firstLineChars="50"/>
              <w:rPr>
                <w:rFonts w:hint="eastAsia" w:ascii="宋体" w:hAnsi="宋体"/>
                <w:b/>
                <w:bCs/>
                <w:spacing w:val="20"/>
              </w:rPr>
            </w:pPr>
            <w:r>
              <w:rPr>
                <w:rFonts w:hint="eastAsia" w:ascii="宋体" w:hAnsi="宋体"/>
                <w:b/>
                <w:bCs/>
                <w:spacing w:val="20"/>
              </w:rPr>
              <w:t>项</w:t>
            </w:r>
          </w:p>
        </w:tc>
        <w:tc>
          <w:tcPr>
            <w:tcW w:w="1276" w:type="dxa"/>
            <w:tcBorders>
              <w:left w:val="single" w:color="auto" w:sz="8" w:space="0"/>
            </w:tcBorders>
            <w:noWrap w:val="0"/>
            <w:vAlign w:val="center"/>
          </w:tcPr>
          <w:p>
            <w:pPr>
              <w:jc w:val="center"/>
              <w:rPr>
                <w:rFonts w:hint="eastAsia" w:ascii="宋体" w:hAnsi="宋体"/>
              </w:rPr>
            </w:pPr>
          </w:p>
        </w:tc>
        <w:tc>
          <w:tcPr>
            <w:tcW w:w="1275" w:type="dxa"/>
            <w:noWrap w:val="0"/>
            <w:vAlign w:val="center"/>
          </w:tcPr>
          <w:p>
            <w:pPr>
              <w:spacing w:line="480" w:lineRule="auto"/>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9180" w:type="dxa"/>
            <w:gridSpan w:val="6"/>
            <w:noWrap w:val="0"/>
            <w:vAlign w:val="center"/>
          </w:tcPr>
          <w:p>
            <w:pPr>
              <w:spacing w:line="480" w:lineRule="auto"/>
              <w:rPr>
                <w:rFonts w:ascii="宋体" w:hAnsi="宋体"/>
                <w:spacing w:val="20"/>
                <w:u w:val="single"/>
              </w:rPr>
            </w:pPr>
            <w:r>
              <w:rPr>
                <w:rFonts w:hint="eastAsia" w:ascii="宋体" w:hAnsi="宋体"/>
                <w:b/>
                <w:bCs/>
                <w:spacing w:val="20"/>
              </w:rPr>
              <w:t>总价（小写）：</w:t>
            </w:r>
            <w:r>
              <w:rPr>
                <w:rFonts w:hint="eastAsia" w:ascii="宋体" w:hAnsi="宋体"/>
                <w:b/>
                <w:bCs/>
                <w:spacing w:val="20"/>
                <w:u w:val="single"/>
              </w:rPr>
              <w:t xml:space="preserve">              </w:t>
            </w:r>
            <w:r>
              <w:rPr>
                <w:rFonts w:hint="eastAsia" w:ascii="宋体" w:hAnsi="宋体"/>
                <w:b/>
                <w:bCs/>
                <w:spacing w:val="20"/>
              </w:rPr>
              <w:t>大写：</w:t>
            </w:r>
            <w:r>
              <w:rPr>
                <w:rFonts w:hint="eastAsia" w:ascii="宋体" w:hAnsi="宋体"/>
                <w:b/>
                <w:bCs/>
                <w:spacing w:val="20"/>
                <w:u w:val="single"/>
              </w:rPr>
              <w:t xml:space="preserve">              </w:t>
            </w:r>
          </w:p>
        </w:tc>
      </w:tr>
    </w:tbl>
    <w:p>
      <w:pPr>
        <w:snapToGrid w:val="0"/>
        <w:rPr>
          <w:rFonts w:ascii="宋体" w:hAnsi="宋体"/>
          <w:bCs/>
          <w:color w:val="FF0000"/>
          <w:sz w:val="28"/>
          <w:szCs w:val="28"/>
        </w:rPr>
      </w:pPr>
    </w:p>
    <w:p>
      <w:pPr>
        <w:pStyle w:val="291"/>
        <w:snapToGrid w:val="0"/>
        <w:jc w:val="left"/>
        <w:rPr>
          <w:rFonts w:hint="eastAsia" w:ascii="宋体" w:hAnsi="宋体"/>
          <w:b/>
          <w:bCs/>
          <w:sz w:val="28"/>
          <w:szCs w:val="28"/>
        </w:rPr>
      </w:pPr>
      <w:r>
        <w:rPr>
          <w:rFonts w:hint="eastAsia" w:ascii="宋体" w:hAnsi="宋体"/>
          <w:b/>
          <w:bCs/>
          <w:sz w:val="28"/>
          <w:szCs w:val="28"/>
        </w:rPr>
        <w:t>注：投标总报价必须包含完成项目所需的一切相关税费及其他费用。</w:t>
      </w:r>
    </w:p>
    <w:p>
      <w:pPr>
        <w:pStyle w:val="291"/>
        <w:snapToGrid w:val="0"/>
        <w:jc w:val="left"/>
        <w:rPr>
          <w:rFonts w:hint="eastAsia" w:ascii="宋体" w:hAnsi="宋体"/>
          <w:bCs/>
          <w:sz w:val="28"/>
          <w:szCs w:val="28"/>
        </w:rPr>
      </w:pPr>
    </w:p>
    <w:p>
      <w:pPr>
        <w:pStyle w:val="291"/>
        <w:snapToGrid w:val="0"/>
        <w:jc w:val="left"/>
        <w:rPr>
          <w:rFonts w:hint="eastAsia" w:ascii="宋体" w:hAnsi="宋体"/>
          <w:bCs/>
          <w:sz w:val="28"/>
          <w:szCs w:val="28"/>
        </w:rPr>
      </w:pPr>
    </w:p>
    <w:p>
      <w:pPr>
        <w:pStyle w:val="291"/>
        <w:snapToGrid w:val="0"/>
        <w:jc w:val="left"/>
        <w:rPr>
          <w:rFonts w:hint="eastAsia" w:ascii="宋体" w:hAnsi="宋体"/>
          <w:sz w:val="28"/>
          <w:szCs w:val="28"/>
        </w:rPr>
      </w:pPr>
      <w:r>
        <w:rPr>
          <w:rFonts w:hint="eastAsia" w:ascii="宋体" w:hAnsi="宋体"/>
          <w:bCs/>
          <w:sz w:val="28"/>
          <w:szCs w:val="28"/>
        </w:rPr>
        <w:t>投标总报价：</w:t>
      </w:r>
      <w:r>
        <w:rPr>
          <w:rFonts w:hint="eastAsia" w:ascii="宋体" w:hAnsi="宋体"/>
          <w:sz w:val="28"/>
          <w:szCs w:val="28"/>
          <w:u w:val="single"/>
        </w:rPr>
        <w:t xml:space="preserve">（小写）                          </w:t>
      </w:r>
      <w:r>
        <w:rPr>
          <w:rFonts w:hint="eastAsia" w:ascii="宋体" w:hAnsi="宋体"/>
          <w:sz w:val="28"/>
          <w:szCs w:val="28"/>
        </w:rPr>
        <w:t>元整</w:t>
      </w:r>
    </w:p>
    <w:p>
      <w:pPr>
        <w:snapToGrid w:val="0"/>
        <w:rPr>
          <w:rFonts w:hint="eastAsia" w:ascii="宋体" w:hAnsi="宋体"/>
          <w:bCs/>
          <w:sz w:val="28"/>
          <w:szCs w:val="28"/>
        </w:rPr>
      </w:pPr>
    </w:p>
    <w:p>
      <w:pPr>
        <w:snapToGrid w:val="0"/>
        <w:ind w:firstLine="1680" w:firstLineChars="600"/>
        <w:rPr>
          <w:rFonts w:hint="eastAsia" w:ascii="宋体" w:hAnsi="宋体"/>
          <w:bCs/>
          <w:sz w:val="28"/>
          <w:szCs w:val="28"/>
        </w:rPr>
      </w:pPr>
      <w:r>
        <w:rPr>
          <w:rFonts w:hint="eastAsia" w:ascii="宋体" w:hAnsi="宋体"/>
          <w:bCs/>
          <w:sz w:val="28"/>
          <w:szCs w:val="28"/>
          <w:u w:val="single"/>
        </w:rPr>
        <w:t xml:space="preserve">（大写)                           </w:t>
      </w:r>
      <w:r>
        <w:rPr>
          <w:rFonts w:hint="eastAsia" w:ascii="宋体" w:hAnsi="宋体"/>
          <w:bCs/>
          <w:sz w:val="28"/>
          <w:szCs w:val="28"/>
        </w:rPr>
        <w:t xml:space="preserve">元整 </w:t>
      </w:r>
    </w:p>
    <w:p>
      <w:pPr>
        <w:snapToGrid w:val="0"/>
        <w:ind w:firstLine="1540" w:firstLineChars="550"/>
        <w:rPr>
          <w:rFonts w:hint="eastAsia" w:ascii="宋体" w:hAnsi="宋体"/>
          <w:bCs/>
          <w:sz w:val="28"/>
          <w:szCs w:val="28"/>
        </w:rPr>
      </w:pPr>
    </w:p>
    <w:p>
      <w:pPr>
        <w:snapToGrid w:val="0"/>
        <w:ind w:firstLine="1540" w:firstLineChars="550"/>
        <w:rPr>
          <w:rFonts w:ascii="宋体" w:hAnsi="宋体"/>
          <w:bCs/>
          <w:sz w:val="28"/>
          <w:szCs w:val="28"/>
        </w:rPr>
      </w:pPr>
    </w:p>
    <w:p>
      <w:pPr>
        <w:snapToGrid w:val="0"/>
        <w:rPr>
          <w:rFonts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ascii="宋体" w:hAnsi="宋体"/>
          <w:b/>
          <w:sz w:val="28"/>
          <w:szCs w:val="28"/>
        </w:rPr>
        <w:sectPr>
          <w:pgSz w:w="11906" w:h="16838"/>
          <w:pgMar w:top="1389" w:right="1247" w:bottom="1389" w:left="1247" w:header="851" w:footer="992" w:gutter="284"/>
          <w:cols w:space="720" w:num="1"/>
          <w:docGrid w:linePitch="326" w:charSpace="0"/>
        </w:sectPr>
      </w:pPr>
    </w:p>
    <w:p>
      <w:pPr>
        <w:snapToGrid w:val="0"/>
        <w:jc w:val="center"/>
        <w:rPr>
          <w:rFonts w:hint="eastAsia" w:ascii="宋体" w:hAnsi="宋体"/>
          <w:sz w:val="28"/>
          <w:szCs w:val="28"/>
        </w:rPr>
      </w:pPr>
    </w:p>
    <w:p>
      <w:pPr>
        <w:snapToGrid w:val="0"/>
        <w:jc w:val="center"/>
        <w:rPr>
          <w:rFonts w:hint="eastAsia" w:ascii="宋体" w:hAnsi="宋体"/>
          <w:sz w:val="28"/>
          <w:szCs w:val="28"/>
        </w:rPr>
      </w:pPr>
      <w:r>
        <w:rPr>
          <w:rFonts w:hint="eastAsia" w:ascii="宋体" w:hAnsi="宋体"/>
          <w:sz w:val="28"/>
          <w:szCs w:val="28"/>
        </w:rPr>
        <w:t>2.报价明细</w:t>
      </w:r>
    </w:p>
    <w:p>
      <w:pPr>
        <w:snapToGrid w:val="0"/>
        <w:jc w:val="center"/>
        <w:rPr>
          <w:rFonts w:hint="eastAsia" w:ascii="宋体" w:hAnsi="宋体"/>
          <w:sz w:val="28"/>
          <w:szCs w:val="28"/>
        </w:rPr>
      </w:pPr>
    </w:p>
    <w:p>
      <w:pPr>
        <w:snapToGrid w:val="0"/>
        <w:jc w:val="center"/>
        <w:rPr>
          <w:rFonts w:hint="eastAsia" w:ascii="宋体" w:hAnsi="宋体"/>
          <w:sz w:val="28"/>
          <w:szCs w:val="28"/>
        </w:rPr>
      </w:pPr>
      <w:r>
        <w:rPr>
          <w:rFonts w:hint="eastAsia" w:ascii="宋体" w:hAnsi="宋体"/>
          <w:sz w:val="28"/>
          <w:szCs w:val="28"/>
        </w:rPr>
        <w:t>格式自拟</w:t>
      </w:r>
    </w:p>
    <w:p>
      <w:pPr>
        <w:snapToGrid w:val="0"/>
        <w:jc w:val="center"/>
        <w:rPr>
          <w:rFonts w:hint="eastAsia" w:ascii="宋体" w:hAnsi="宋体"/>
          <w:sz w:val="28"/>
          <w:szCs w:val="28"/>
        </w:rPr>
      </w:pPr>
      <w:r>
        <w:rPr>
          <w:rFonts w:ascii="宋体" w:hAnsi="宋体"/>
          <w:sz w:val="28"/>
          <w:szCs w:val="28"/>
        </w:rPr>
        <w:br w:type="page"/>
      </w:r>
      <w:r>
        <w:rPr>
          <w:rFonts w:hint="eastAsia" w:ascii="宋体" w:hAnsi="宋体"/>
          <w:sz w:val="28"/>
          <w:szCs w:val="28"/>
        </w:rPr>
        <w:t>3、小微企业声明函</w:t>
      </w:r>
    </w:p>
    <w:p>
      <w:pPr>
        <w:snapToGrid w:val="0"/>
        <w:ind w:firstLine="584" w:firstLineChars="200"/>
        <w:rPr>
          <w:rFonts w:hint="eastAsia" w:ascii="宋体" w:hAnsi="宋体"/>
          <w:spacing w:val="6"/>
          <w:sz w:val="28"/>
          <w:szCs w:val="28"/>
        </w:rPr>
      </w:pPr>
      <w:r>
        <w:rPr>
          <w:rFonts w:hint="eastAsia" w:ascii="宋体" w:hAnsi="宋体"/>
          <w:spacing w:val="6"/>
          <w:sz w:val="28"/>
          <w:szCs w:val="28"/>
        </w:rPr>
        <w:t>本公司郑重声明，根据《政府采购促进中小企业发展暂行办法》（财库[2011]181号）的规定，本公司为</w:t>
      </w:r>
      <w:bookmarkStart w:id="72" w:name="OLE_LINK2"/>
      <w:bookmarkStart w:id="73" w:name="OLE_LINK5"/>
      <w:r>
        <w:rPr>
          <w:rFonts w:hint="eastAsia" w:ascii="宋体" w:hAnsi="宋体"/>
          <w:spacing w:val="6"/>
          <w:sz w:val="28"/>
          <w:szCs w:val="28"/>
        </w:rPr>
        <w:t>___________ （请填写：小型、微型）企业</w:t>
      </w:r>
      <w:bookmarkEnd w:id="72"/>
      <w:bookmarkEnd w:id="73"/>
      <w:r>
        <w:rPr>
          <w:rFonts w:hint="eastAsia" w:ascii="宋体" w:hAnsi="宋体"/>
          <w:spacing w:val="6"/>
          <w:sz w:val="28"/>
          <w:szCs w:val="28"/>
        </w:rPr>
        <w:t>。即，本公司同时满足以下条件：</w:t>
      </w:r>
    </w:p>
    <w:p>
      <w:pPr>
        <w:snapToGrid w:val="0"/>
        <w:ind w:firstLine="584" w:firstLineChars="200"/>
        <w:rPr>
          <w:rFonts w:hint="eastAsia" w:ascii="宋体" w:hAnsi="宋体"/>
          <w:spacing w:val="6"/>
          <w:sz w:val="28"/>
          <w:szCs w:val="28"/>
        </w:rPr>
      </w:pPr>
      <w:r>
        <w:rPr>
          <w:rFonts w:hint="eastAsia" w:ascii="宋体" w:hAnsi="宋体"/>
          <w:spacing w:val="6"/>
          <w:sz w:val="28"/>
          <w:szCs w:val="28"/>
        </w:rPr>
        <w:t>1.根据《工业和信息化部、国家统计局、国家发展和改革委员会、财政部关于印发中小企业划型标准规定的通知》（工信部联企业[2011]300号）规定的划分标准，本公司为______（请填写：小型、微型）企业。</w:t>
      </w:r>
    </w:p>
    <w:p>
      <w:pPr>
        <w:snapToGrid w:val="0"/>
        <w:ind w:firstLine="584" w:firstLineChars="200"/>
        <w:rPr>
          <w:rFonts w:hint="eastAsia" w:ascii="宋体" w:hAnsi="宋体"/>
          <w:spacing w:val="6"/>
          <w:sz w:val="28"/>
          <w:szCs w:val="28"/>
        </w:rPr>
      </w:pPr>
      <w:r>
        <w:rPr>
          <w:rFonts w:hint="eastAsia" w:ascii="宋体" w:hAnsi="宋体"/>
          <w:spacing w:val="6"/>
          <w:sz w:val="28"/>
          <w:szCs w:val="28"/>
        </w:rPr>
        <w:t>2.本公司参加______单位的______项目采购活动提供本企业制造的货物，由本企业承担工程、提供服务，或者提供其他______（请填写：小型、微型）企业制造的货物。本条所称货物不包括使用大型企业注册商标的货物。</w:t>
      </w:r>
    </w:p>
    <w:p>
      <w:pPr>
        <w:snapToGrid w:val="0"/>
        <w:ind w:firstLine="584" w:firstLineChars="200"/>
        <w:rPr>
          <w:rFonts w:hint="eastAsia" w:ascii="宋体" w:hAnsi="宋体"/>
          <w:spacing w:val="6"/>
          <w:sz w:val="28"/>
          <w:szCs w:val="28"/>
        </w:rPr>
      </w:pPr>
      <w:r>
        <w:rPr>
          <w:rFonts w:hint="eastAsia" w:ascii="宋体" w:hAnsi="宋体"/>
          <w:spacing w:val="6"/>
          <w:sz w:val="28"/>
          <w:szCs w:val="28"/>
        </w:rPr>
        <w:t>本公司对上述声明的真实性负责。如有虚假，将依法承担相应责任。</w:t>
      </w:r>
    </w:p>
    <w:p>
      <w:pPr>
        <w:snapToGrid w:val="0"/>
        <w:ind w:firstLine="584" w:firstLineChars="200"/>
        <w:rPr>
          <w:rFonts w:hint="eastAsia" w:ascii="宋体" w:hAnsi="宋体"/>
          <w:spacing w:val="6"/>
          <w:sz w:val="28"/>
          <w:szCs w:val="28"/>
        </w:rPr>
      </w:pPr>
    </w:p>
    <w:p>
      <w:pPr>
        <w:snapToGrid w:val="0"/>
        <w:ind w:firstLine="584" w:firstLineChars="200"/>
        <w:rPr>
          <w:rFonts w:hint="eastAsia" w:ascii="宋体" w:hAnsi="宋体"/>
          <w:spacing w:val="6"/>
          <w:sz w:val="28"/>
          <w:szCs w:val="28"/>
        </w:rPr>
      </w:pPr>
    </w:p>
    <w:p>
      <w:pPr>
        <w:snapToGrid w:val="0"/>
        <w:ind w:firstLine="584" w:firstLineChars="200"/>
        <w:rPr>
          <w:rFonts w:hint="eastAsia" w:ascii="宋体" w:hAnsi="宋体"/>
          <w:spacing w:val="6"/>
          <w:sz w:val="28"/>
          <w:szCs w:val="28"/>
        </w:rPr>
      </w:pPr>
    </w:p>
    <w:p>
      <w:pPr>
        <w:snapToGrid w:val="0"/>
        <w:rPr>
          <w:rFonts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p>
    <w:p>
      <w:pPr>
        <w:pStyle w:val="32"/>
        <w:snapToGrid w:val="0"/>
        <w:rPr>
          <w:rFonts w:hint="eastAsia"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32"/>
        <w:snapToGrid w:val="0"/>
        <w:jc w:val="center"/>
        <w:rPr>
          <w:rFonts w:hint="eastAsia" w:hAnsi="宋体"/>
          <w:sz w:val="28"/>
          <w:szCs w:val="28"/>
        </w:rPr>
      </w:pPr>
    </w:p>
    <w:p>
      <w:pPr>
        <w:pStyle w:val="93"/>
        <w:snapToGrid w:val="0"/>
        <w:spacing w:line="240" w:lineRule="auto"/>
        <w:ind w:firstLine="0" w:firstLineChars="0"/>
        <w:rPr>
          <w:rFonts w:hint="eastAsia" w:ascii="宋体" w:eastAsia="宋体"/>
          <w:b/>
          <w:bCs/>
          <w:sz w:val="28"/>
        </w:rPr>
      </w:pPr>
      <w:r>
        <w:rPr>
          <w:rFonts w:hint="eastAsia" w:ascii="宋体" w:eastAsia="宋体"/>
          <w:b/>
          <w:bCs/>
          <w:sz w:val="28"/>
        </w:rPr>
        <w:t>注：1.本函为小微企业提供。</w:t>
      </w: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93"/>
        <w:snapToGrid w:val="0"/>
        <w:spacing w:line="240" w:lineRule="auto"/>
        <w:ind w:firstLine="0" w:firstLineChars="0"/>
        <w:rPr>
          <w:rFonts w:hint="eastAsia" w:ascii="宋体" w:eastAsia="宋体"/>
          <w:b/>
          <w:bCs/>
          <w:sz w:val="28"/>
        </w:rPr>
      </w:pPr>
    </w:p>
    <w:p>
      <w:pPr>
        <w:pStyle w:val="291"/>
        <w:snapToGrid w:val="0"/>
        <w:rPr>
          <w:rFonts w:hint="eastAsia" w:ascii="宋体" w:hAnsi="宋体"/>
          <w:b/>
          <w:spacing w:val="6"/>
          <w:sz w:val="28"/>
          <w:szCs w:val="28"/>
        </w:rPr>
      </w:pPr>
    </w:p>
    <w:p>
      <w:pPr>
        <w:snapToGrid w:val="0"/>
        <w:jc w:val="center"/>
        <w:rPr>
          <w:rFonts w:hint="eastAsia" w:ascii="宋体" w:hAnsi="宋体"/>
          <w:sz w:val="28"/>
          <w:szCs w:val="28"/>
        </w:rPr>
      </w:pPr>
      <w:r>
        <w:rPr>
          <w:rFonts w:hint="eastAsia" w:ascii="宋体" w:hAnsi="宋体"/>
          <w:sz w:val="28"/>
          <w:szCs w:val="28"/>
        </w:rPr>
        <w:t>4、监狱和戒毒企业证明材料</w:t>
      </w:r>
    </w:p>
    <w:p>
      <w:pPr>
        <w:pStyle w:val="291"/>
        <w:snapToGrid w:val="0"/>
        <w:jc w:val="center"/>
        <w:rPr>
          <w:rFonts w:hint="eastAsia" w:ascii="宋体" w:hAnsi="宋体"/>
          <w:b/>
          <w:sz w:val="28"/>
          <w:szCs w:val="28"/>
          <w:lang w:val="en-GB"/>
        </w:rPr>
      </w:pPr>
    </w:p>
    <w:p>
      <w:pPr>
        <w:snapToGrid w:val="0"/>
        <w:ind w:firstLine="560" w:firstLineChars="200"/>
        <w:rPr>
          <w:rFonts w:hint="eastAsia" w:ascii="宋体" w:hAnsi="宋体"/>
          <w:sz w:val="28"/>
          <w:szCs w:val="28"/>
        </w:rPr>
      </w:pPr>
      <w:r>
        <w:rPr>
          <w:rFonts w:hint="eastAsia" w:ascii="宋体" w:hAnsi="宋体"/>
          <w:sz w:val="28"/>
          <w:szCs w:val="28"/>
        </w:rPr>
        <w:t>监狱和戒毒企业参加投标时应提供由省级以上监狱管理局、戒毒管理局（含新疆生产建设兵团）出具的属于监狱企业的证明文件。</w:t>
      </w: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jc w:val="center"/>
        <w:rPr>
          <w:rFonts w:hint="eastAsia" w:ascii="宋体" w:hAnsi="宋体"/>
          <w:b/>
          <w:spacing w:val="6"/>
          <w:sz w:val="28"/>
          <w:szCs w:val="28"/>
        </w:rPr>
      </w:pPr>
    </w:p>
    <w:p>
      <w:pPr>
        <w:snapToGrid w:val="0"/>
        <w:jc w:val="center"/>
        <w:rPr>
          <w:rFonts w:hint="eastAsia" w:ascii="宋体" w:hAnsi="宋体"/>
          <w:sz w:val="28"/>
          <w:szCs w:val="28"/>
        </w:rPr>
      </w:pPr>
      <w:r>
        <w:rPr>
          <w:rFonts w:hint="eastAsia" w:ascii="宋体" w:hAnsi="宋体"/>
          <w:sz w:val="28"/>
          <w:szCs w:val="28"/>
        </w:rPr>
        <w:t>5、残疾人福利性单位声明函</w:t>
      </w:r>
    </w:p>
    <w:p>
      <w:pPr>
        <w:snapToGrid w:val="0"/>
        <w:rPr>
          <w:rFonts w:hint="eastAsia" w:ascii="宋体" w:hAnsi="宋体"/>
          <w:b/>
          <w:spacing w:val="6"/>
          <w:sz w:val="28"/>
          <w:szCs w:val="28"/>
        </w:rPr>
      </w:pPr>
    </w:p>
    <w:p>
      <w:pPr>
        <w:snapToGrid w:val="0"/>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w:t>
      </w:r>
      <w:bookmarkStart w:id="74" w:name="_GoBack"/>
      <w:bookmarkEnd w:id="74"/>
      <w:r>
        <w:rPr>
          <w:rFonts w:hint="eastAsia" w:ascii="宋体" w:hAnsi="宋体"/>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p>
    <w:p>
      <w:pPr>
        <w:snapToGrid w:val="0"/>
        <w:outlineLvl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r>
        <w:rPr>
          <w:rFonts w:hint="eastAsia" w:ascii="宋体" w:hAnsi="宋体" w:cs="宋体"/>
          <w:b/>
          <w:sz w:val="32"/>
          <w:szCs w:val="32"/>
        </w:rPr>
        <w:t xml:space="preserve">第五章  </w:t>
      </w:r>
      <w:bookmarkStart w:id="75" w:name="评标办法及开标程序"/>
      <w:r>
        <w:rPr>
          <w:rFonts w:hint="eastAsia" w:ascii="宋体" w:hAnsi="宋体" w:cs="宋体"/>
          <w:b/>
          <w:sz w:val="32"/>
          <w:szCs w:val="32"/>
        </w:rPr>
        <w:t>评标办法及开标程序</w:t>
      </w:r>
      <w:bookmarkEnd w:id="65"/>
      <w:bookmarkEnd w:id="66"/>
      <w:bookmarkEnd w:id="67"/>
      <w:bookmarkEnd w:id="68"/>
      <w:bookmarkEnd w:id="69"/>
      <w:bookmarkEnd w:id="75"/>
    </w:p>
    <w:p>
      <w:pPr>
        <w:autoSpaceDE w:val="0"/>
        <w:autoSpaceDN w:val="0"/>
        <w:adjustRightInd w:val="0"/>
        <w:snapToGrid w:val="0"/>
        <w:jc w:val="center"/>
        <w:outlineLvl w:val="0"/>
        <w:rPr>
          <w:rFonts w:hint="eastAsia" w:ascii="宋体" w:hAnsi="宋体"/>
          <w:b/>
          <w:bCs/>
          <w:sz w:val="28"/>
          <w:szCs w:val="28"/>
        </w:rPr>
      </w:pPr>
    </w:p>
    <w:p>
      <w:pPr>
        <w:autoSpaceDE w:val="0"/>
        <w:autoSpaceDN w:val="0"/>
        <w:adjustRightInd w:val="0"/>
        <w:snapToGrid w:val="0"/>
        <w:ind w:left="425"/>
        <w:outlineLvl w:val="1"/>
        <w:rPr>
          <w:rFonts w:hint="eastAsia" w:ascii="宋体" w:hAnsi="宋体" w:cs="宋体"/>
          <w:b/>
          <w:bCs/>
          <w:sz w:val="28"/>
          <w:szCs w:val="28"/>
          <w:lang w:val="zh-CN"/>
        </w:rPr>
      </w:pPr>
      <w:bookmarkStart w:id="76" w:name="_Toc359856825"/>
      <w:r>
        <w:rPr>
          <w:rFonts w:hint="eastAsia" w:ascii="宋体" w:hAnsi="宋体" w:cs="宋体"/>
          <w:b/>
          <w:bCs/>
          <w:sz w:val="28"/>
          <w:szCs w:val="28"/>
          <w:lang w:val="zh-CN"/>
        </w:rPr>
        <w:t>一、评标委员会的组成</w:t>
      </w:r>
      <w:bookmarkEnd w:id="76"/>
    </w:p>
    <w:p>
      <w:pPr>
        <w:autoSpaceDE w:val="0"/>
        <w:autoSpaceDN w:val="0"/>
        <w:adjustRightInd w:val="0"/>
        <w:snapToGrid w:val="0"/>
        <w:ind w:firstLine="560" w:firstLineChars="200"/>
        <w:rPr>
          <w:rFonts w:hint="eastAsia" w:ascii="宋体" w:hAnsi="宋体"/>
          <w:sz w:val="28"/>
          <w:szCs w:val="28"/>
        </w:rPr>
      </w:pPr>
      <w:r>
        <w:rPr>
          <w:rFonts w:hint="eastAsia" w:ascii="宋体" w:hAnsi="宋体"/>
          <w:sz w:val="28"/>
          <w:szCs w:val="28"/>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从</w:t>
      </w:r>
      <w:r>
        <w:rPr>
          <w:rFonts w:hint="eastAsia" w:ascii="宋体" w:hAnsi="宋体"/>
          <w:bCs/>
          <w:sz w:val="28"/>
          <w:szCs w:val="28"/>
        </w:rPr>
        <w:t>“政采云”平台</w:t>
      </w:r>
      <w:r>
        <w:rPr>
          <w:rFonts w:hint="eastAsia" w:ascii="宋体" w:hAnsi="宋体"/>
          <w:sz w:val="28"/>
          <w:szCs w:val="28"/>
        </w:rPr>
        <w:t>专家库里随机抽取，采购人代表由采购单位推荐，代表采购单位负责对项目评审质量和结果的审查，但不得担任评标委员会负责人。</w:t>
      </w:r>
    </w:p>
    <w:p>
      <w:pPr>
        <w:autoSpaceDE w:val="0"/>
        <w:autoSpaceDN w:val="0"/>
        <w:adjustRightInd w:val="0"/>
        <w:snapToGrid w:val="0"/>
        <w:ind w:left="425"/>
        <w:outlineLvl w:val="1"/>
        <w:rPr>
          <w:rFonts w:hint="eastAsia" w:ascii="宋体" w:hAnsi="宋体" w:cs="宋体"/>
          <w:b/>
          <w:bCs/>
          <w:sz w:val="28"/>
          <w:szCs w:val="28"/>
          <w:lang w:val="zh-CN"/>
        </w:rPr>
      </w:pPr>
      <w:bookmarkStart w:id="77" w:name="_Toc359856826"/>
      <w:r>
        <w:rPr>
          <w:rFonts w:hint="eastAsia" w:ascii="宋体" w:hAnsi="宋体" w:cs="宋体"/>
          <w:b/>
          <w:bCs/>
          <w:sz w:val="28"/>
          <w:szCs w:val="28"/>
          <w:lang w:val="zh-CN"/>
        </w:rPr>
        <w:t>二、评标原则</w:t>
      </w:r>
      <w:bookmarkEnd w:id="77"/>
    </w:p>
    <w:p>
      <w:pPr>
        <w:snapToGrid w:val="0"/>
        <w:ind w:firstLine="560" w:firstLineChars="200"/>
        <w:rPr>
          <w:rFonts w:hint="eastAsia" w:ascii="宋体" w:hAnsi="宋体"/>
          <w:sz w:val="28"/>
          <w:szCs w:val="28"/>
        </w:rPr>
      </w:pPr>
      <w:r>
        <w:rPr>
          <w:rFonts w:hint="eastAsia" w:ascii="宋体" w:hAnsi="宋体"/>
          <w:sz w:val="28"/>
          <w:szCs w:val="28"/>
        </w:rPr>
        <w:t>2. 投标人得分由技术商务分和报价分合计组成,满分为100分。</w:t>
      </w:r>
    </w:p>
    <w:p>
      <w:pPr>
        <w:snapToGrid w:val="0"/>
        <w:ind w:firstLine="560" w:firstLineChars="200"/>
        <w:rPr>
          <w:rFonts w:hint="eastAsia" w:ascii="宋体" w:hAnsi="宋体"/>
          <w:sz w:val="28"/>
          <w:szCs w:val="28"/>
        </w:rPr>
      </w:pPr>
      <w:r>
        <w:rPr>
          <w:rFonts w:hint="eastAsia" w:ascii="宋体" w:hAnsi="宋体"/>
          <w:sz w:val="28"/>
          <w:szCs w:val="28"/>
        </w:rPr>
        <w:t>3.</w:t>
      </w:r>
      <w:r>
        <w:rPr>
          <w:rFonts w:hint="eastAsia" w:ascii="宋体" w:hAnsi="宋体"/>
          <w:b/>
          <w:color w:val="FF0000"/>
          <w:sz w:val="28"/>
          <w:szCs w:val="28"/>
        </w:rPr>
        <w:t xml:space="preserve"> </w:t>
      </w:r>
      <w:r>
        <w:rPr>
          <w:rFonts w:hint="eastAsia" w:ascii="宋体" w:hAnsi="宋体"/>
          <w:b/>
          <w:sz w:val="28"/>
          <w:szCs w:val="28"/>
        </w:rPr>
        <w:t>本项目采用综合评分法，在有效投标范围内以总得分最高者为本项目中标人。</w:t>
      </w:r>
      <w:r>
        <w:rPr>
          <w:rFonts w:hint="eastAsia" w:ascii="宋体" w:hAnsi="宋体"/>
          <w:sz w:val="28"/>
          <w:szCs w:val="28"/>
        </w:rPr>
        <w:t>总得分相同的，按照报价由低到高的顺序推荐。总得分且报价相同的，按照技术商务得分由高到低顺序推荐。</w:t>
      </w:r>
    </w:p>
    <w:p>
      <w:pPr>
        <w:snapToGrid w:val="0"/>
        <w:ind w:firstLine="560" w:firstLineChars="200"/>
        <w:rPr>
          <w:rFonts w:hint="eastAsia" w:ascii="宋体" w:hAnsi="宋体"/>
          <w:sz w:val="28"/>
          <w:szCs w:val="28"/>
        </w:rPr>
      </w:pPr>
      <w:r>
        <w:rPr>
          <w:rFonts w:hint="eastAsia" w:ascii="宋体" w:hAnsi="宋体"/>
          <w:sz w:val="28"/>
          <w:szCs w:val="28"/>
        </w:rPr>
        <w:t>4.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pPr>
        <w:snapToGrid w:val="0"/>
        <w:ind w:firstLine="560" w:firstLineChars="200"/>
        <w:rPr>
          <w:rFonts w:hint="eastAsia" w:ascii="宋体" w:hAnsi="宋体"/>
          <w:sz w:val="28"/>
          <w:szCs w:val="28"/>
        </w:rPr>
      </w:pPr>
      <w:r>
        <w:rPr>
          <w:rFonts w:hint="eastAsia" w:ascii="宋体" w:hAnsi="宋体"/>
          <w:sz w:val="28"/>
          <w:szCs w:val="28"/>
        </w:rPr>
        <w:t>5.评审结果经采购人确定后，嘉兴诚欣工程咨询有限公司在中标人确定之日起2个工作日内通过 “政采云”平台发布采购结果公告，并按期签发中标通知书。</w:t>
      </w:r>
    </w:p>
    <w:p>
      <w:pPr>
        <w:numPr>
          <w:ilvl w:val="0"/>
          <w:numId w:val="30"/>
        </w:numPr>
        <w:autoSpaceDE w:val="0"/>
        <w:autoSpaceDN w:val="0"/>
        <w:adjustRightInd w:val="0"/>
        <w:snapToGrid w:val="0"/>
        <w:outlineLvl w:val="1"/>
        <w:rPr>
          <w:rFonts w:hint="eastAsia" w:ascii="宋体" w:hAnsi="宋体" w:cs="宋体"/>
          <w:b/>
          <w:bCs/>
          <w:sz w:val="28"/>
          <w:szCs w:val="28"/>
          <w:lang w:val="zh-CN"/>
        </w:rPr>
      </w:pPr>
      <w:bookmarkStart w:id="78" w:name="_Toc359856827"/>
      <w:r>
        <w:rPr>
          <w:rFonts w:hint="eastAsia" w:ascii="宋体" w:hAnsi="宋体" w:cs="宋体"/>
          <w:b/>
          <w:bCs/>
          <w:sz w:val="28"/>
          <w:szCs w:val="28"/>
          <w:lang w:val="zh-CN"/>
        </w:rPr>
        <w:t>注意事项</w:t>
      </w:r>
      <w:bookmarkEnd w:id="78"/>
    </w:p>
    <w:p>
      <w:pPr>
        <w:snapToGrid w:val="0"/>
        <w:ind w:firstLine="560" w:firstLineChars="200"/>
        <w:rPr>
          <w:rFonts w:hint="eastAsia" w:ascii="宋体" w:hAnsi="宋体"/>
          <w:sz w:val="28"/>
          <w:szCs w:val="28"/>
        </w:rPr>
      </w:pPr>
      <w:r>
        <w:rPr>
          <w:rFonts w:hint="eastAsia" w:ascii="宋体" w:hAnsi="宋体"/>
          <w:sz w:val="28"/>
          <w:szCs w:val="28"/>
        </w:rPr>
        <w:t>6．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pPr>
        <w:snapToGrid w:val="0"/>
        <w:ind w:firstLine="560" w:firstLineChars="200"/>
        <w:rPr>
          <w:rFonts w:hint="eastAsia" w:ascii="宋体" w:hAnsi="宋体"/>
          <w:sz w:val="28"/>
          <w:szCs w:val="28"/>
        </w:rPr>
      </w:pPr>
      <w:r>
        <w:rPr>
          <w:rFonts w:hint="eastAsia" w:ascii="宋体" w:hAnsi="宋体"/>
          <w:sz w:val="28"/>
          <w:szCs w:val="28"/>
        </w:rPr>
        <w:t>7.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pPr>
        <w:autoSpaceDE w:val="0"/>
        <w:autoSpaceDN w:val="0"/>
        <w:adjustRightInd w:val="0"/>
        <w:snapToGrid w:val="0"/>
        <w:ind w:left="425"/>
        <w:outlineLvl w:val="1"/>
        <w:rPr>
          <w:rFonts w:hint="eastAsia" w:ascii="宋体" w:hAnsi="宋体" w:cs="宋体"/>
          <w:b/>
          <w:bCs/>
          <w:sz w:val="28"/>
          <w:szCs w:val="28"/>
          <w:lang w:val="zh-CN"/>
        </w:rPr>
      </w:pPr>
      <w:bookmarkStart w:id="79" w:name="_Toc359856828"/>
    </w:p>
    <w:p>
      <w:pPr>
        <w:autoSpaceDE w:val="0"/>
        <w:autoSpaceDN w:val="0"/>
        <w:adjustRightInd w:val="0"/>
        <w:snapToGrid w:val="0"/>
        <w:ind w:left="425"/>
        <w:outlineLvl w:val="1"/>
        <w:rPr>
          <w:rFonts w:hint="eastAsia" w:ascii="宋体" w:hAnsi="宋体" w:cs="宋体"/>
          <w:b/>
          <w:bCs/>
          <w:sz w:val="28"/>
          <w:szCs w:val="28"/>
          <w:lang w:val="zh-CN"/>
        </w:rPr>
      </w:pPr>
    </w:p>
    <w:p>
      <w:pPr>
        <w:autoSpaceDE w:val="0"/>
        <w:autoSpaceDN w:val="0"/>
        <w:adjustRightInd w:val="0"/>
        <w:snapToGrid w:val="0"/>
        <w:ind w:left="425"/>
        <w:outlineLvl w:val="1"/>
        <w:rPr>
          <w:rFonts w:hint="eastAsia" w:ascii="宋体" w:hAnsi="宋体" w:cs="宋体"/>
          <w:b/>
          <w:bCs/>
          <w:sz w:val="28"/>
          <w:szCs w:val="28"/>
          <w:lang w:val="zh-CN"/>
        </w:rPr>
      </w:pPr>
    </w:p>
    <w:p>
      <w:pPr>
        <w:autoSpaceDE w:val="0"/>
        <w:autoSpaceDN w:val="0"/>
        <w:adjustRightInd w:val="0"/>
        <w:snapToGrid w:val="0"/>
        <w:ind w:left="425"/>
        <w:outlineLvl w:val="1"/>
        <w:rPr>
          <w:rFonts w:hint="eastAsia" w:ascii="宋体" w:hAnsi="宋体" w:cs="宋体"/>
          <w:b/>
          <w:bCs/>
          <w:sz w:val="28"/>
          <w:szCs w:val="28"/>
          <w:lang w:val="zh-CN"/>
        </w:rPr>
      </w:pPr>
    </w:p>
    <w:p>
      <w:pPr>
        <w:autoSpaceDE w:val="0"/>
        <w:autoSpaceDN w:val="0"/>
        <w:adjustRightInd w:val="0"/>
        <w:snapToGrid w:val="0"/>
        <w:ind w:left="425"/>
        <w:outlineLvl w:val="1"/>
        <w:rPr>
          <w:rFonts w:hint="eastAsia" w:ascii="宋体" w:hAnsi="宋体" w:cs="宋体"/>
          <w:b/>
          <w:bCs/>
          <w:sz w:val="28"/>
          <w:szCs w:val="28"/>
          <w:lang w:val="zh-CN"/>
        </w:rPr>
      </w:pPr>
    </w:p>
    <w:p>
      <w:pPr>
        <w:autoSpaceDE w:val="0"/>
        <w:autoSpaceDN w:val="0"/>
        <w:adjustRightInd w:val="0"/>
        <w:snapToGrid w:val="0"/>
        <w:ind w:left="425"/>
        <w:outlineLvl w:val="1"/>
        <w:rPr>
          <w:rFonts w:hint="eastAsia" w:ascii="宋体" w:hAnsi="宋体" w:cs="宋体"/>
          <w:b/>
          <w:bCs/>
          <w:sz w:val="28"/>
          <w:szCs w:val="28"/>
          <w:lang w:val="zh-CN"/>
        </w:rPr>
      </w:pPr>
    </w:p>
    <w:p>
      <w:pPr>
        <w:autoSpaceDE w:val="0"/>
        <w:autoSpaceDN w:val="0"/>
        <w:adjustRightInd w:val="0"/>
        <w:snapToGrid w:val="0"/>
        <w:ind w:left="425"/>
        <w:outlineLvl w:val="1"/>
        <w:rPr>
          <w:rFonts w:hint="eastAsia" w:ascii="宋体" w:hAnsi="宋体" w:cs="宋体"/>
          <w:b/>
          <w:bCs/>
          <w:sz w:val="28"/>
          <w:szCs w:val="28"/>
          <w:lang w:val="zh-CN"/>
        </w:rPr>
      </w:pPr>
      <w:r>
        <w:rPr>
          <w:rFonts w:hint="eastAsia" w:ascii="宋体" w:hAnsi="宋体" w:cs="宋体"/>
          <w:b/>
          <w:bCs/>
          <w:sz w:val="28"/>
          <w:szCs w:val="28"/>
          <w:lang w:val="zh-CN"/>
        </w:rPr>
        <w:t>四、评分标准</w:t>
      </w:r>
      <w:bookmarkEnd w:id="79"/>
    </w:p>
    <w:tbl>
      <w:tblPr>
        <w:tblStyle w:val="61"/>
        <w:tblW w:w="9382" w:type="dxa"/>
        <w:jc w:val="center"/>
        <w:tblLayout w:type="autofit"/>
        <w:tblCellMar>
          <w:top w:w="0" w:type="dxa"/>
          <w:left w:w="108" w:type="dxa"/>
          <w:bottom w:w="0" w:type="dxa"/>
          <w:right w:w="108" w:type="dxa"/>
        </w:tblCellMar>
      </w:tblPr>
      <w:tblGrid>
        <w:gridCol w:w="1303"/>
        <w:gridCol w:w="850"/>
        <w:gridCol w:w="6237"/>
        <w:gridCol w:w="992"/>
      </w:tblGrid>
      <w:tr>
        <w:tblPrEx>
          <w:tblCellMar>
            <w:top w:w="0" w:type="dxa"/>
            <w:left w:w="108" w:type="dxa"/>
            <w:bottom w:w="0" w:type="dxa"/>
            <w:right w:w="108" w:type="dxa"/>
          </w:tblCellMar>
        </w:tblPrEx>
        <w:trPr>
          <w:wBefore w:w="0" w:type="dxa"/>
          <w:wAfter w:w="0" w:type="dxa"/>
          <w:trHeight w:val="285" w:hRule="atLeast"/>
          <w:jc w:val="center"/>
        </w:trPr>
        <w:tc>
          <w:tcPr>
            <w:tcW w:w="1303" w:type="dxa"/>
            <w:tcBorders>
              <w:top w:val="single" w:color="auto" w:sz="8" w:space="0"/>
              <w:left w:val="single" w:color="auto" w:sz="8" w:space="0"/>
              <w:bottom w:val="nil"/>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评分</w:t>
            </w:r>
          </w:p>
        </w:tc>
        <w:tc>
          <w:tcPr>
            <w:tcW w:w="850" w:type="dxa"/>
            <w:vMerge w:val="restart"/>
            <w:tcBorders>
              <w:top w:val="single" w:color="auto" w:sz="8" w:space="0"/>
              <w:left w:val="single" w:color="auto" w:sz="8" w:space="0"/>
              <w:bottom w:val="single" w:color="000000"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细则</w:t>
            </w:r>
          </w:p>
        </w:tc>
        <w:tc>
          <w:tcPr>
            <w:tcW w:w="6237" w:type="dxa"/>
            <w:vMerge w:val="restart"/>
            <w:tcBorders>
              <w:top w:val="single" w:color="auto" w:sz="8" w:space="0"/>
              <w:left w:val="single" w:color="auto" w:sz="8" w:space="0"/>
              <w:bottom w:val="single" w:color="000000"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细则内容</w:t>
            </w:r>
          </w:p>
        </w:tc>
        <w:tc>
          <w:tcPr>
            <w:tcW w:w="992" w:type="dxa"/>
            <w:vMerge w:val="restart"/>
            <w:tcBorders>
              <w:top w:val="single" w:color="auto" w:sz="8" w:space="0"/>
              <w:left w:val="single" w:color="auto" w:sz="8" w:space="0"/>
              <w:bottom w:val="single" w:color="000000"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分值</w:t>
            </w:r>
          </w:p>
        </w:tc>
      </w:tr>
      <w:tr>
        <w:tblPrEx>
          <w:tblCellMar>
            <w:top w:w="0" w:type="dxa"/>
            <w:left w:w="108" w:type="dxa"/>
            <w:bottom w:w="0" w:type="dxa"/>
            <w:right w:w="108" w:type="dxa"/>
          </w:tblCellMar>
        </w:tblPrEx>
        <w:trPr>
          <w:wBefore w:w="0" w:type="dxa"/>
          <w:wAfter w:w="0" w:type="dxa"/>
          <w:trHeight w:val="464" w:hRule="atLeast"/>
          <w:jc w:val="center"/>
        </w:trPr>
        <w:tc>
          <w:tcPr>
            <w:tcW w:w="1303" w:type="dxa"/>
            <w:tcBorders>
              <w:top w:val="nil"/>
              <w:left w:val="single" w:color="auto" w:sz="8" w:space="0"/>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内容</w:t>
            </w:r>
          </w:p>
        </w:tc>
        <w:tc>
          <w:tcPr>
            <w:tcW w:w="850" w:type="dxa"/>
            <w:vMerge w:val="continue"/>
            <w:tcBorders>
              <w:top w:val="single" w:color="auto" w:sz="8" w:space="0"/>
              <w:left w:val="single" w:color="auto" w:sz="8" w:space="0"/>
              <w:bottom w:val="single" w:color="000000" w:sz="8" w:space="0"/>
              <w:right w:val="single" w:color="auto" w:sz="8" w:space="0"/>
            </w:tcBorders>
            <w:noWrap w:val="0"/>
            <w:vAlign w:val="center"/>
          </w:tcPr>
          <w:p>
            <w:pPr>
              <w:rPr>
                <w:rFonts w:ascii="Times New Roman" w:hAnsi="Times New Roman"/>
                <w:color w:val="000000"/>
                <w:sz w:val="28"/>
                <w:szCs w:val="28"/>
              </w:rPr>
            </w:pPr>
          </w:p>
        </w:tc>
        <w:tc>
          <w:tcPr>
            <w:tcW w:w="6237" w:type="dxa"/>
            <w:vMerge w:val="continue"/>
            <w:tcBorders>
              <w:top w:val="single" w:color="auto" w:sz="8" w:space="0"/>
              <w:left w:val="single" w:color="auto" w:sz="8" w:space="0"/>
              <w:bottom w:val="single" w:color="000000" w:sz="8" w:space="0"/>
              <w:right w:val="single" w:color="auto" w:sz="8" w:space="0"/>
            </w:tcBorders>
            <w:noWrap w:val="0"/>
            <w:vAlign w:val="center"/>
          </w:tcPr>
          <w:p>
            <w:pPr>
              <w:rPr>
                <w:rFonts w:ascii="Times New Roman" w:hAnsi="Times New Roman"/>
                <w:color w:val="000000"/>
                <w:sz w:val="28"/>
                <w:szCs w:val="28"/>
              </w:rPr>
            </w:pPr>
          </w:p>
        </w:tc>
        <w:tc>
          <w:tcPr>
            <w:tcW w:w="992" w:type="dxa"/>
            <w:vMerge w:val="continue"/>
            <w:tcBorders>
              <w:top w:val="single" w:color="auto" w:sz="8" w:space="0"/>
              <w:left w:val="single" w:color="auto" w:sz="8" w:space="0"/>
              <w:bottom w:val="single" w:color="000000" w:sz="8" w:space="0"/>
              <w:right w:val="single" w:color="auto" w:sz="8" w:space="0"/>
            </w:tcBorders>
            <w:noWrap w:val="0"/>
            <w:vAlign w:val="center"/>
          </w:tcPr>
          <w:p>
            <w:pPr>
              <w:rPr>
                <w:rFonts w:ascii="Times New Roman" w:hAnsi="Times New Roman"/>
                <w:color w:val="000000"/>
                <w:sz w:val="28"/>
                <w:szCs w:val="28"/>
              </w:rPr>
            </w:pPr>
          </w:p>
        </w:tc>
      </w:tr>
      <w:tr>
        <w:tblPrEx>
          <w:tblCellMar>
            <w:top w:w="0" w:type="dxa"/>
            <w:left w:w="108" w:type="dxa"/>
            <w:bottom w:w="0" w:type="dxa"/>
            <w:right w:w="108" w:type="dxa"/>
          </w:tblCellMar>
        </w:tblPrEx>
        <w:trPr>
          <w:wBefore w:w="0" w:type="dxa"/>
          <w:wAfter w:w="0" w:type="dxa"/>
          <w:trHeight w:val="585" w:hRule="atLeast"/>
          <w:jc w:val="center"/>
        </w:trPr>
        <w:tc>
          <w:tcPr>
            <w:tcW w:w="1303" w:type="dxa"/>
            <w:vMerge w:val="restart"/>
            <w:tcBorders>
              <w:top w:val="nil"/>
              <w:left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hint="eastAsia" w:ascii="宋体" w:hAnsi="宋体"/>
                <w:sz w:val="28"/>
                <w:szCs w:val="28"/>
              </w:rPr>
              <w:t>技术商务分</w:t>
            </w:r>
          </w:p>
        </w:tc>
        <w:tc>
          <w:tcPr>
            <w:tcW w:w="8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项目</w:t>
            </w:r>
            <w:r>
              <w:rPr>
                <w:rFonts w:ascii="Times New Roman" w:hAnsi="Times New Roman"/>
                <w:color w:val="000000"/>
                <w:sz w:val="28"/>
                <w:szCs w:val="28"/>
              </w:rPr>
              <w:t>实施能力</w:t>
            </w:r>
          </w:p>
        </w:tc>
        <w:tc>
          <w:tcPr>
            <w:tcW w:w="6237" w:type="dxa"/>
            <w:tcBorders>
              <w:top w:val="nil"/>
              <w:left w:val="nil"/>
              <w:bottom w:val="single" w:color="auto" w:sz="8" w:space="0"/>
              <w:right w:val="single" w:color="auto" w:sz="8"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根据响应方提供的信誉、荣誉、知名度、市场形象、财务状况等相关证明材料情况，酌情打分。</w:t>
            </w:r>
          </w:p>
        </w:tc>
        <w:tc>
          <w:tcPr>
            <w:tcW w:w="992" w:type="dxa"/>
            <w:tcBorders>
              <w:top w:val="nil"/>
              <w:left w:val="nil"/>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2-8分</w:t>
            </w:r>
          </w:p>
        </w:tc>
      </w:tr>
      <w:tr>
        <w:tblPrEx>
          <w:tblCellMar>
            <w:top w:w="0" w:type="dxa"/>
            <w:left w:w="108" w:type="dxa"/>
            <w:bottom w:w="0" w:type="dxa"/>
            <w:right w:w="108" w:type="dxa"/>
          </w:tblCellMar>
        </w:tblPrEx>
        <w:trPr>
          <w:wBefore w:w="0" w:type="dxa"/>
          <w:wAfter w:w="0" w:type="dxa"/>
          <w:trHeight w:val="300" w:hRule="atLeast"/>
          <w:jc w:val="center"/>
        </w:trPr>
        <w:tc>
          <w:tcPr>
            <w:tcW w:w="1303" w:type="dxa"/>
            <w:vMerge w:val="continue"/>
            <w:tcBorders>
              <w:left w:val="single" w:color="auto" w:sz="8" w:space="0"/>
              <w:right w:val="single" w:color="auto" w:sz="8" w:space="0"/>
            </w:tcBorders>
            <w:shd w:val="clear" w:color="auto" w:fill="auto"/>
            <w:noWrap w:val="0"/>
            <w:vAlign w:val="center"/>
          </w:tcPr>
          <w:p>
            <w:pPr>
              <w:rPr>
                <w:rFonts w:ascii="Times New Roman" w:hAnsi="Times New Roman"/>
                <w:color w:val="000000"/>
                <w:sz w:val="28"/>
                <w:szCs w:val="28"/>
              </w:rPr>
            </w:pPr>
          </w:p>
        </w:tc>
        <w:tc>
          <w:tcPr>
            <w:tcW w:w="8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Times New Roman" w:hAnsi="Times New Roman"/>
                <w:color w:val="000000"/>
                <w:sz w:val="28"/>
                <w:szCs w:val="28"/>
              </w:rPr>
            </w:pPr>
          </w:p>
        </w:tc>
        <w:tc>
          <w:tcPr>
            <w:tcW w:w="6237" w:type="dxa"/>
            <w:tcBorders>
              <w:top w:val="nil"/>
              <w:left w:val="nil"/>
              <w:bottom w:val="single" w:color="auto" w:sz="8" w:space="0"/>
              <w:right w:val="single" w:color="auto" w:sz="8"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根据投标人有线及无线网络覆盖能力、运维方案综合打分</w:t>
            </w:r>
          </w:p>
        </w:tc>
        <w:tc>
          <w:tcPr>
            <w:tcW w:w="992" w:type="dxa"/>
            <w:tcBorders>
              <w:top w:val="nil"/>
              <w:left w:val="nil"/>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2-8分</w:t>
            </w:r>
          </w:p>
        </w:tc>
      </w:tr>
      <w:tr>
        <w:tblPrEx>
          <w:tblCellMar>
            <w:top w:w="0" w:type="dxa"/>
            <w:left w:w="108" w:type="dxa"/>
            <w:bottom w:w="0" w:type="dxa"/>
            <w:right w:w="108" w:type="dxa"/>
          </w:tblCellMar>
        </w:tblPrEx>
        <w:trPr>
          <w:wBefore w:w="0" w:type="dxa"/>
          <w:wAfter w:w="0" w:type="dxa"/>
          <w:trHeight w:val="870" w:hRule="atLeast"/>
          <w:jc w:val="center"/>
        </w:trPr>
        <w:tc>
          <w:tcPr>
            <w:tcW w:w="1303" w:type="dxa"/>
            <w:vMerge w:val="continue"/>
            <w:tcBorders>
              <w:left w:val="single" w:color="auto" w:sz="8" w:space="0"/>
              <w:right w:val="single" w:color="auto" w:sz="8" w:space="0"/>
            </w:tcBorders>
            <w:shd w:val="clear" w:color="auto" w:fill="auto"/>
            <w:noWrap w:val="0"/>
            <w:vAlign w:val="center"/>
          </w:tcPr>
          <w:p>
            <w:pPr>
              <w:rPr>
                <w:rFonts w:ascii="Times New Roman" w:hAnsi="Times New Roman"/>
                <w:color w:val="000000"/>
                <w:sz w:val="28"/>
                <w:szCs w:val="28"/>
              </w:rPr>
            </w:pPr>
          </w:p>
        </w:tc>
        <w:tc>
          <w:tcPr>
            <w:tcW w:w="8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售后服务</w:t>
            </w:r>
          </w:p>
        </w:tc>
        <w:tc>
          <w:tcPr>
            <w:tcW w:w="6237" w:type="dxa"/>
            <w:tcBorders>
              <w:top w:val="nil"/>
              <w:left w:val="nil"/>
              <w:bottom w:val="single" w:color="auto" w:sz="8" w:space="0"/>
              <w:right w:val="single" w:color="auto" w:sz="8"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响应方的售后服务体系及售后服务网点、售后服务团队、投入售后服务的资源；响应时间、针对本项目服务措施；根据响应方提供的有效厂家售后服务承诺证明材料及其他材料酌情打分驻场人员安排。</w:t>
            </w:r>
          </w:p>
        </w:tc>
        <w:tc>
          <w:tcPr>
            <w:tcW w:w="992" w:type="dxa"/>
            <w:tcBorders>
              <w:top w:val="nil"/>
              <w:left w:val="nil"/>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2-8分</w:t>
            </w:r>
          </w:p>
        </w:tc>
      </w:tr>
      <w:tr>
        <w:tblPrEx>
          <w:tblCellMar>
            <w:top w:w="0" w:type="dxa"/>
            <w:left w:w="108" w:type="dxa"/>
            <w:bottom w:w="0" w:type="dxa"/>
            <w:right w:w="108" w:type="dxa"/>
          </w:tblCellMar>
        </w:tblPrEx>
        <w:trPr>
          <w:wBefore w:w="0" w:type="dxa"/>
          <w:wAfter w:w="0" w:type="dxa"/>
          <w:trHeight w:val="300" w:hRule="atLeast"/>
          <w:jc w:val="center"/>
        </w:trPr>
        <w:tc>
          <w:tcPr>
            <w:tcW w:w="1303" w:type="dxa"/>
            <w:vMerge w:val="continue"/>
            <w:tcBorders>
              <w:left w:val="single" w:color="auto" w:sz="8" w:space="0"/>
              <w:right w:val="single" w:color="auto" w:sz="8" w:space="0"/>
            </w:tcBorders>
            <w:shd w:val="clear" w:color="auto" w:fill="auto"/>
            <w:noWrap w:val="0"/>
            <w:vAlign w:val="center"/>
          </w:tcPr>
          <w:p>
            <w:pPr>
              <w:rPr>
                <w:rFonts w:ascii="Times New Roman" w:hAnsi="Times New Roman"/>
                <w:color w:val="000000"/>
                <w:sz w:val="28"/>
                <w:szCs w:val="28"/>
              </w:rPr>
            </w:pPr>
          </w:p>
        </w:tc>
        <w:tc>
          <w:tcPr>
            <w:tcW w:w="8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Times New Roman" w:hAnsi="Times New Roman"/>
                <w:color w:val="000000"/>
                <w:sz w:val="28"/>
                <w:szCs w:val="28"/>
              </w:rPr>
            </w:pPr>
          </w:p>
        </w:tc>
        <w:tc>
          <w:tcPr>
            <w:tcW w:w="6237" w:type="dxa"/>
            <w:tcBorders>
              <w:top w:val="nil"/>
              <w:left w:val="nil"/>
              <w:bottom w:val="single" w:color="auto" w:sz="8" w:space="0"/>
              <w:right w:val="single" w:color="auto" w:sz="8"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备品备件情况，需提供备品备件清单，未提供不得分。</w:t>
            </w:r>
          </w:p>
        </w:tc>
        <w:tc>
          <w:tcPr>
            <w:tcW w:w="992" w:type="dxa"/>
            <w:tcBorders>
              <w:top w:val="nil"/>
              <w:left w:val="nil"/>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0-</w:t>
            </w:r>
            <w:r>
              <w:rPr>
                <w:rFonts w:hint="eastAsia" w:ascii="Times New Roman" w:hAnsi="Times New Roman"/>
                <w:color w:val="000000"/>
                <w:sz w:val="28"/>
                <w:szCs w:val="28"/>
              </w:rPr>
              <w:t>2</w:t>
            </w:r>
            <w:r>
              <w:rPr>
                <w:rFonts w:ascii="Times New Roman" w:hAnsi="Times New Roman"/>
                <w:color w:val="000000"/>
                <w:sz w:val="28"/>
                <w:szCs w:val="28"/>
              </w:rPr>
              <w:t>分</w:t>
            </w:r>
          </w:p>
        </w:tc>
      </w:tr>
      <w:tr>
        <w:tblPrEx>
          <w:tblCellMar>
            <w:top w:w="0" w:type="dxa"/>
            <w:left w:w="108" w:type="dxa"/>
            <w:bottom w:w="0" w:type="dxa"/>
            <w:right w:w="108" w:type="dxa"/>
          </w:tblCellMar>
        </w:tblPrEx>
        <w:trPr>
          <w:wBefore w:w="0" w:type="dxa"/>
          <w:wAfter w:w="0" w:type="dxa"/>
          <w:trHeight w:val="870" w:hRule="atLeast"/>
          <w:jc w:val="center"/>
        </w:trPr>
        <w:tc>
          <w:tcPr>
            <w:tcW w:w="1303" w:type="dxa"/>
            <w:vMerge w:val="continue"/>
            <w:tcBorders>
              <w:left w:val="single" w:color="auto" w:sz="8" w:space="0"/>
              <w:right w:val="single" w:color="auto" w:sz="8" w:space="0"/>
            </w:tcBorders>
            <w:shd w:val="clear" w:color="auto" w:fill="auto"/>
            <w:noWrap w:val="0"/>
            <w:vAlign w:val="center"/>
          </w:tcPr>
          <w:p>
            <w:pPr>
              <w:rPr>
                <w:rFonts w:ascii="Times New Roman" w:hAnsi="Times New Roman"/>
                <w:color w:val="000000"/>
                <w:sz w:val="28"/>
                <w:szCs w:val="28"/>
              </w:rPr>
            </w:pPr>
          </w:p>
        </w:tc>
        <w:tc>
          <w:tcPr>
            <w:tcW w:w="850" w:type="dxa"/>
            <w:tcBorders>
              <w:top w:val="nil"/>
              <w:left w:val="nil"/>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合同履约能力</w:t>
            </w:r>
          </w:p>
        </w:tc>
        <w:tc>
          <w:tcPr>
            <w:tcW w:w="6237" w:type="dxa"/>
            <w:tcBorders>
              <w:top w:val="nil"/>
              <w:left w:val="nil"/>
              <w:bottom w:val="single" w:color="auto" w:sz="8" w:space="0"/>
              <w:right w:val="single" w:color="auto" w:sz="8"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根据</w:t>
            </w:r>
            <w:r>
              <w:rPr>
                <w:rFonts w:hint="eastAsia" w:ascii="Times New Roman" w:hAnsi="Times New Roman"/>
                <w:color w:val="000000"/>
                <w:sz w:val="28"/>
                <w:szCs w:val="28"/>
              </w:rPr>
              <w:t>投标</w:t>
            </w:r>
            <w:r>
              <w:rPr>
                <w:rFonts w:ascii="Times New Roman" w:hAnsi="Times New Roman"/>
                <w:color w:val="000000"/>
                <w:sz w:val="28"/>
                <w:szCs w:val="28"/>
              </w:rPr>
              <w:t>人自</w:t>
            </w:r>
            <w:r>
              <w:rPr>
                <w:rFonts w:hint="eastAsia" w:ascii="Times New Roman" w:hAnsi="Times New Roman"/>
                <w:color w:val="000000"/>
                <w:sz w:val="28"/>
                <w:szCs w:val="28"/>
              </w:rPr>
              <w:t>2017年以来至今承接过</w:t>
            </w:r>
            <w:r>
              <w:rPr>
                <w:rFonts w:ascii="Times New Roman" w:hAnsi="Times New Roman"/>
                <w:color w:val="000000"/>
                <w:sz w:val="28"/>
                <w:szCs w:val="28"/>
              </w:rPr>
              <w:t>类似项目业绩（业绩可以是合同协议书复印件或中标通知书复印件等）酌情打分。</w:t>
            </w:r>
          </w:p>
        </w:tc>
        <w:tc>
          <w:tcPr>
            <w:tcW w:w="992" w:type="dxa"/>
            <w:tcBorders>
              <w:top w:val="nil"/>
              <w:left w:val="nil"/>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0-</w:t>
            </w:r>
            <w:r>
              <w:rPr>
                <w:rFonts w:hint="eastAsia" w:ascii="Times New Roman" w:hAnsi="Times New Roman"/>
                <w:color w:val="000000"/>
                <w:sz w:val="28"/>
                <w:szCs w:val="28"/>
              </w:rPr>
              <w:t>5</w:t>
            </w:r>
            <w:r>
              <w:rPr>
                <w:rFonts w:ascii="Times New Roman" w:hAnsi="Times New Roman"/>
                <w:color w:val="000000"/>
                <w:sz w:val="28"/>
                <w:szCs w:val="28"/>
              </w:rPr>
              <w:t>分</w:t>
            </w:r>
          </w:p>
        </w:tc>
      </w:tr>
      <w:tr>
        <w:tblPrEx>
          <w:tblCellMar>
            <w:top w:w="0" w:type="dxa"/>
            <w:left w:w="108" w:type="dxa"/>
            <w:bottom w:w="0" w:type="dxa"/>
            <w:right w:w="108" w:type="dxa"/>
          </w:tblCellMar>
        </w:tblPrEx>
        <w:trPr>
          <w:wBefore w:w="0" w:type="dxa"/>
          <w:wAfter w:w="0" w:type="dxa"/>
          <w:trHeight w:val="870" w:hRule="atLeast"/>
          <w:jc w:val="center"/>
        </w:trPr>
        <w:tc>
          <w:tcPr>
            <w:tcW w:w="1303" w:type="dxa"/>
            <w:vMerge w:val="continue"/>
            <w:tcBorders>
              <w:left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p>
        </w:tc>
        <w:tc>
          <w:tcPr>
            <w:tcW w:w="850" w:type="dxa"/>
            <w:tcBorders>
              <w:top w:val="single" w:color="auto" w:sz="8" w:space="0"/>
              <w:left w:val="single" w:color="auto" w:sz="8" w:space="0"/>
              <w:bottom w:val="single" w:color="auto" w:sz="4"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实施方案</w:t>
            </w:r>
          </w:p>
        </w:tc>
        <w:tc>
          <w:tcPr>
            <w:tcW w:w="6237" w:type="dxa"/>
            <w:tcBorders>
              <w:top w:val="single" w:color="auto" w:sz="8" w:space="0"/>
              <w:left w:val="nil"/>
              <w:bottom w:val="single" w:color="auto" w:sz="4" w:space="0"/>
              <w:right w:val="single" w:color="auto" w:sz="8"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根据响应方技术方案的科学性、先进性、完整性，以及项目管理、安装、调试、验收、培训的方案和措施等情况，重点对用户需求的理解程度和合理化建议，酌情打分。</w:t>
            </w:r>
          </w:p>
        </w:tc>
        <w:tc>
          <w:tcPr>
            <w:tcW w:w="992" w:type="dxa"/>
            <w:tcBorders>
              <w:top w:val="single" w:color="auto" w:sz="8" w:space="0"/>
              <w:left w:val="nil"/>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2-1</w:t>
            </w:r>
            <w:r>
              <w:rPr>
                <w:rFonts w:hint="eastAsia" w:ascii="Times New Roman" w:hAnsi="Times New Roman"/>
                <w:color w:val="000000"/>
                <w:sz w:val="28"/>
                <w:szCs w:val="28"/>
              </w:rPr>
              <w:t>2</w:t>
            </w:r>
            <w:r>
              <w:rPr>
                <w:rFonts w:ascii="Times New Roman" w:hAnsi="Times New Roman"/>
                <w:color w:val="000000"/>
                <w:sz w:val="28"/>
                <w:szCs w:val="28"/>
              </w:rPr>
              <w:t>分</w:t>
            </w:r>
          </w:p>
        </w:tc>
      </w:tr>
      <w:tr>
        <w:tblPrEx>
          <w:tblCellMar>
            <w:top w:w="0" w:type="dxa"/>
            <w:left w:w="108" w:type="dxa"/>
            <w:bottom w:w="0" w:type="dxa"/>
            <w:right w:w="108" w:type="dxa"/>
          </w:tblCellMar>
        </w:tblPrEx>
        <w:trPr>
          <w:wBefore w:w="0" w:type="dxa"/>
          <w:wAfter w:w="0" w:type="dxa"/>
          <w:trHeight w:val="585" w:hRule="atLeast"/>
          <w:jc w:val="center"/>
        </w:trPr>
        <w:tc>
          <w:tcPr>
            <w:tcW w:w="1303" w:type="dxa"/>
            <w:vMerge w:val="continue"/>
            <w:tcBorders>
              <w:left w:val="single" w:color="auto" w:sz="8" w:space="0"/>
              <w:right w:val="single" w:color="auto" w:sz="8" w:space="0"/>
            </w:tcBorders>
            <w:shd w:val="clear" w:color="auto" w:fill="auto"/>
            <w:noWrap w:val="0"/>
            <w:vAlign w:val="center"/>
          </w:tcPr>
          <w:p>
            <w:pPr>
              <w:rPr>
                <w:rFonts w:ascii="Times New Roman" w:hAnsi="Times New Roman"/>
                <w:color w:val="000000"/>
                <w:sz w:val="28"/>
                <w:szCs w:val="28"/>
              </w:rPr>
            </w:pPr>
          </w:p>
        </w:tc>
        <w:tc>
          <w:tcPr>
            <w:tcW w:w="850" w:type="dxa"/>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拟投入设备的性能及技术指标</w:t>
            </w:r>
          </w:p>
        </w:tc>
        <w:tc>
          <w:tcPr>
            <w:tcW w:w="62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投入的硬件设备和系统平台的技术参数、性能、配置、用途；选型的符合性，合理性，整体性,统一性等酌情打分</w:t>
            </w:r>
          </w:p>
        </w:tc>
        <w:tc>
          <w:tcPr>
            <w:tcW w:w="992" w:type="dxa"/>
            <w:tcBorders>
              <w:top w:val="nil"/>
              <w:left w:val="single" w:color="auto" w:sz="4" w:space="0"/>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2-10分</w:t>
            </w:r>
          </w:p>
        </w:tc>
      </w:tr>
      <w:tr>
        <w:tblPrEx>
          <w:tblCellMar>
            <w:top w:w="0" w:type="dxa"/>
            <w:left w:w="108" w:type="dxa"/>
            <w:bottom w:w="0" w:type="dxa"/>
            <w:right w:w="108" w:type="dxa"/>
          </w:tblCellMar>
        </w:tblPrEx>
        <w:trPr>
          <w:wBefore w:w="0" w:type="dxa"/>
          <w:wAfter w:w="0" w:type="dxa"/>
          <w:trHeight w:val="300" w:hRule="atLeast"/>
          <w:jc w:val="center"/>
        </w:trPr>
        <w:tc>
          <w:tcPr>
            <w:tcW w:w="1303" w:type="dxa"/>
            <w:vMerge w:val="continue"/>
            <w:tcBorders>
              <w:left w:val="single" w:color="auto" w:sz="8" w:space="0"/>
              <w:right w:val="single" w:color="auto" w:sz="8" w:space="0"/>
            </w:tcBorders>
            <w:shd w:val="clear" w:color="auto" w:fill="auto"/>
            <w:noWrap w:val="0"/>
            <w:vAlign w:val="center"/>
          </w:tcPr>
          <w:p>
            <w:pPr>
              <w:rPr>
                <w:rFonts w:ascii="Times New Roman" w:hAnsi="Times New Roman"/>
                <w:color w:val="000000"/>
                <w:sz w:val="28"/>
                <w:szCs w:val="28"/>
              </w:rPr>
            </w:pPr>
          </w:p>
        </w:tc>
        <w:tc>
          <w:tcPr>
            <w:tcW w:w="85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rPr>
                <w:rFonts w:ascii="Times New Roman" w:hAnsi="Times New Roman"/>
                <w:color w:val="000000"/>
                <w:sz w:val="28"/>
                <w:szCs w:val="28"/>
              </w:rPr>
            </w:pPr>
          </w:p>
        </w:tc>
        <w:tc>
          <w:tcPr>
            <w:tcW w:w="62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根据投保人投标设备高于基本配置及设备偏离点，每点得2分。</w:t>
            </w:r>
          </w:p>
        </w:tc>
        <w:tc>
          <w:tcPr>
            <w:tcW w:w="992" w:type="dxa"/>
            <w:tcBorders>
              <w:top w:val="nil"/>
              <w:left w:val="single" w:color="auto" w:sz="4" w:space="0"/>
              <w:bottom w:val="single" w:color="auto" w:sz="8"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0-10分</w:t>
            </w:r>
          </w:p>
        </w:tc>
      </w:tr>
      <w:tr>
        <w:tblPrEx>
          <w:tblCellMar>
            <w:top w:w="0" w:type="dxa"/>
            <w:left w:w="108" w:type="dxa"/>
            <w:bottom w:w="0" w:type="dxa"/>
            <w:right w:w="108" w:type="dxa"/>
          </w:tblCellMar>
        </w:tblPrEx>
        <w:trPr>
          <w:wBefore w:w="0" w:type="dxa"/>
          <w:wAfter w:w="0" w:type="dxa"/>
          <w:trHeight w:val="1155" w:hRule="atLeast"/>
          <w:jc w:val="center"/>
        </w:trPr>
        <w:tc>
          <w:tcPr>
            <w:tcW w:w="1303" w:type="dxa"/>
            <w:vMerge w:val="continue"/>
            <w:tcBorders>
              <w:left w:val="single" w:color="auto" w:sz="8" w:space="0"/>
              <w:right w:val="single" w:color="auto" w:sz="8" w:space="0"/>
            </w:tcBorders>
            <w:shd w:val="clear" w:color="auto" w:fill="auto"/>
            <w:noWrap w:val="0"/>
            <w:vAlign w:val="center"/>
          </w:tcPr>
          <w:p>
            <w:pPr>
              <w:rPr>
                <w:rFonts w:ascii="Times New Roman" w:hAnsi="Times New Roman"/>
                <w:color w:val="000000"/>
                <w:sz w:val="28"/>
                <w:szCs w:val="28"/>
              </w:rPr>
            </w:pPr>
          </w:p>
        </w:tc>
        <w:tc>
          <w:tcPr>
            <w:tcW w:w="850" w:type="dxa"/>
            <w:tcBorders>
              <w:top w:val="single" w:color="auto" w:sz="4" w:space="0"/>
              <w:left w:val="single" w:color="auto" w:sz="8" w:space="0"/>
              <w:bottom w:val="single" w:color="auto" w:sz="4"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投入本项目的人员</w:t>
            </w:r>
          </w:p>
        </w:tc>
        <w:tc>
          <w:tcPr>
            <w:tcW w:w="6237" w:type="dxa"/>
            <w:tcBorders>
              <w:top w:val="single" w:color="auto" w:sz="4" w:space="0"/>
              <w:left w:val="nil"/>
              <w:bottom w:val="single" w:color="auto" w:sz="4" w:space="0"/>
              <w:right w:val="single" w:color="auto" w:sz="8"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根据投入本项目管理组人员具有的项目管理、电子工程高级工程师、计算机软件高级工程师、通信工程师、一级建造师等相关资质证书情况酌情打分，要求提供资质证书，不提供不得分，上述人员必须为投标人单位自有员工，提供社保证明或劳动合同（不提供不得分）。</w:t>
            </w:r>
          </w:p>
        </w:tc>
        <w:tc>
          <w:tcPr>
            <w:tcW w:w="992" w:type="dxa"/>
            <w:tcBorders>
              <w:top w:val="nil"/>
              <w:left w:val="nil"/>
              <w:bottom w:val="single" w:color="auto" w:sz="4"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1-5分</w:t>
            </w:r>
          </w:p>
        </w:tc>
      </w:tr>
      <w:tr>
        <w:tblPrEx>
          <w:tblCellMar>
            <w:top w:w="0" w:type="dxa"/>
            <w:left w:w="108" w:type="dxa"/>
            <w:bottom w:w="0" w:type="dxa"/>
            <w:right w:w="108" w:type="dxa"/>
          </w:tblCellMar>
        </w:tblPrEx>
        <w:trPr>
          <w:wBefore w:w="0" w:type="dxa"/>
          <w:wAfter w:w="0" w:type="dxa"/>
          <w:trHeight w:val="756" w:hRule="atLeast"/>
          <w:jc w:val="center"/>
        </w:trPr>
        <w:tc>
          <w:tcPr>
            <w:tcW w:w="1303" w:type="dxa"/>
            <w:vMerge w:val="continue"/>
            <w:tcBorders>
              <w:left w:val="single" w:color="auto" w:sz="8" w:space="0"/>
              <w:bottom w:val="single" w:color="auto" w:sz="4" w:space="0"/>
              <w:right w:val="single" w:color="auto" w:sz="8" w:space="0"/>
            </w:tcBorders>
            <w:shd w:val="clear" w:color="auto" w:fill="auto"/>
            <w:noWrap w:val="0"/>
            <w:vAlign w:val="center"/>
          </w:tcPr>
          <w:p>
            <w:pPr>
              <w:rPr>
                <w:rFonts w:ascii="Times New Roman" w:hAnsi="Times New Roman"/>
                <w:color w:val="000000"/>
                <w:sz w:val="28"/>
                <w:szCs w:val="28"/>
              </w:rPr>
            </w:pPr>
          </w:p>
        </w:tc>
        <w:tc>
          <w:tcPr>
            <w:tcW w:w="850" w:type="dxa"/>
            <w:tcBorders>
              <w:top w:val="single" w:color="auto" w:sz="4" w:space="0"/>
              <w:left w:val="single" w:color="auto" w:sz="8" w:space="0"/>
              <w:bottom w:val="single" w:color="auto" w:sz="4"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其他</w:t>
            </w:r>
          </w:p>
        </w:tc>
        <w:tc>
          <w:tcPr>
            <w:tcW w:w="6237" w:type="dxa"/>
            <w:tcBorders>
              <w:top w:val="single" w:color="auto" w:sz="4" w:space="0"/>
              <w:left w:val="nil"/>
              <w:bottom w:val="single" w:color="auto" w:sz="4" w:space="0"/>
              <w:right w:val="single" w:color="auto" w:sz="8" w:space="0"/>
            </w:tcBorders>
            <w:shd w:val="clear" w:color="000000" w:fill="FFFFFF"/>
            <w:noWrap w:val="0"/>
            <w:vAlign w:val="center"/>
          </w:tcPr>
          <w:p>
            <w:pPr>
              <w:rPr>
                <w:rFonts w:ascii="Times New Roman" w:hAnsi="Times New Roman"/>
                <w:color w:val="000000"/>
                <w:sz w:val="28"/>
                <w:szCs w:val="28"/>
              </w:rPr>
            </w:pPr>
            <w:r>
              <w:rPr>
                <w:rFonts w:ascii="Times New Roman" w:hAnsi="Times New Roman"/>
                <w:color w:val="000000"/>
                <w:sz w:val="28"/>
                <w:szCs w:val="28"/>
              </w:rPr>
              <w:t>其它优惠和承诺等。</w:t>
            </w:r>
          </w:p>
        </w:tc>
        <w:tc>
          <w:tcPr>
            <w:tcW w:w="992" w:type="dxa"/>
            <w:tcBorders>
              <w:top w:val="nil"/>
              <w:left w:val="nil"/>
              <w:bottom w:val="single" w:color="auto" w:sz="4" w:space="0"/>
              <w:right w:val="single" w:color="auto" w:sz="8" w:space="0"/>
            </w:tcBorders>
            <w:shd w:val="clear" w:color="000000" w:fill="FFFFFF"/>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0-2分</w:t>
            </w:r>
          </w:p>
        </w:tc>
      </w:tr>
      <w:tr>
        <w:tblPrEx>
          <w:tblCellMar>
            <w:top w:w="0" w:type="dxa"/>
            <w:left w:w="108" w:type="dxa"/>
            <w:bottom w:w="0" w:type="dxa"/>
            <w:right w:w="108" w:type="dxa"/>
          </w:tblCellMar>
        </w:tblPrEx>
        <w:trPr>
          <w:wBefore w:w="0" w:type="dxa"/>
          <w:wAfter w:w="0" w:type="dxa"/>
          <w:trHeight w:val="2330"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Times New Roman" w:hAnsi="Times New Roman"/>
                <w:color w:val="000000"/>
                <w:sz w:val="28"/>
                <w:szCs w:val="28"/>
              </w:rPr>
            </w:pPr>
            <w:r>
              <w:rPr>
                <w:rFonts w:hint="eastAsia" w:ascii="宋体" w:hAnsi="宋体"/>
                <w:sz w:val="28"/>
                <w:szCs w:val="28"/>
              </w:rPr>
              <w:t>报价分</w:t>
            </w:r>
          </w:p>
        </w:tc>
        <w:tc>
          <w:tcPr>
            <w:tcW w:w="7087"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Times New Roman" w:hAnsi="Times New Roman"/>
                <w:color w:val="000000"/>
                <w:sz w:val="28"/>
                <w:szCs w:val="28"/>
              </w:rPr>
            </w:pPr>
            <w:r>
              <w:rPr>
                <w:rFonts w:hint="eastAsia" w:ascii="宋体" w:hAnsi="宋体"/>
                <w:sz w:val="28"/>
                <w:szCs w:val="28"/>
              </w:rPr>
              <w:t>本项目预算价：人民币</w:t>
            </w:r>
            <w:r>
              <w:rPr>
                <w:rFonts w:hint="eastAsia" w:ascii="宋体" w:hAnsi="宋体"/>
                <w:kern w:val="2"/>
                <w:sz w:val="28"/>
                <w:szCs w:val="28"/>
              </w:rPr>
              <w:t>620</w:t>
            </w:r>
            <w:r>
              <w:rPr>
                <w:rFonts w:hint="eastAsia" w:ascii="宋体" w:hAnsi="宋体"/>
                <w:sz w:val="28"/>
                <w:szCs w:val="28"/>
              </w:rPr>
              <w:t>万元，基准价为满足评标要求且投标价格最低的投标报价，投标报价得分=(基准价／投标报价)×30，四舍五入，保留两位小数。报价高于预算价（最高限价）的，为无效投标文件。（注：对于小型和微型企业（监狱和戒毒企业、</w:t>
            </w:r>
            <w:r>
              <w:rPr>
                <w:rFonts w:hint="eastAsia" w:ascii="宋体" w:hAnsi="宋体"/>
                <w:bCs/>
                <w:sz w:val="28"/>
                <w:szCs w:val="28"/>
              </w:rPr>
              <w:t>残疾人福利性单位</w:t>
            </w:r>
            <w:r>
              <w:rPr>
                <w:rFonts w:hint="eastAsia" w:ascii="宋体" w:hAnsi="宋体"/>
                <w:sz w:val="28"/>
                <w:szCs w:val="28"/>
              </w:rPr>
              <w:t>）的报价给予6%的扣除，用扣除后的价格参与评审。小型和微型企业应提供《中小企业声明函》；监狱企业应提供监狱企业证明材料；残疾人福利性单位应提供残疾人福利性单位声明函。以上材料未提供不享受报价优惠）。</w:t>
            </w:r>
          </w:p>
        </w:tc>
        <w:tc>
          <w:tcPr>
            <w:tcW w:w="99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0-30分</w:t>
            </w:r>
          </w:p>
        </w:tc>
      </w:tr>
    </w:tbl>
    <w:p>
      <w:pPr>
        <w:autoSpaceDE w:val="0"/>
        <w:autoSpaceDN w:val="0"/>
        <w:adjustRightInd w:val="0"/>
        <w:snapToGrid w:val="0"/>
        <w:ind w:left="425"/>
        <w:outlineLvl w:val="1"/>
        <w:rPr>
          <w:rFonts w:hint="eastAsia" w:ascii="宋体" w:hAnsi="宋体" w:cs="宋体"/>
          <w:b/>
          <w:bCs/>
          <w:sz w:val="28"/>
          <w:szCs w:val="28"/>
          <w:lang w:val="zh-CN"/>
        </w:rPr>
      </w:pPr>
    </w:p>
    <w:p>
      <w:pPr>
        <w:autoSpaceDE w:val="0"/>
        <w:autoSpaceDN w:val="0"/>
        <w:adjustRightInd w:val="0"/>
        <w:snapToGrid w:val="0"/>
        <w:ind w:left="425"/>
        <w:outlineLvl w:val="1"/>
        <w:rPr>
          <w:rFonts w:hint="eastAsia" w:ascii="宋体" w:hAnsi="宋体" w:cs="宋体"/>
          <w:b/>
          <w:bCs/>
          <w:sz w:val="28"/>
          <w:szCs w:val="28"/>
        </w:rPr>
      </w:pPr>
    </w:p>
    <w:p>
      <w:pPr>
        <w:autoSpaceDE w:val="0"/>
        <w:autoSpaceDN w:val="0"/>
        <w:adjustRightInd w:val="0"/>
        <w:snapToGrid w:val="0"/>
        <w:outlineLvl w:val="1"/>
        <w:rPr>
          <w:rFonts w:hint="eastAsia" w:ascii="宋体" w:hAnsi="宋体" w:cs="宋体"/>
          <w:b/>
          <w:bCs/>
          <w:sz w:val="28"/>
          <w:szCs w:val="28"/>
          <w:lang w:val="zh-CN"/>
        </w:rPr>
      </w:pPr>
      <w:bookmarkStart w:id="80" w:name="_Toc356371476"/>
      <w:bookmarkStart w:id="81" w:name="_Toc359856829"/>
      <w:r>
        <w:rPr>
          <w:rFonts w:hint="eastAsia" w:ascii="宋体" w:hAnsi="宋体" w:cs="宋体"/>
          <w:b/>
          <w:bCs/>
          <w:sz w:val="28"/>
          <w:szCs w:val="28"/>
          <w:lang w:val="zh-CN"/>
        </w:rPr>
        <w:t>五、</w:t>
      </w:r>
      <w:bookmarkStart w:id="82" w:name="开评标程序"/>
      <w:r>
        <w:rPr>
          <w:rFonts w:hint="eastAsia" w:ascii="宋体" w:hAnsi="宋体" w:cs="宋体"/>
          <w:b/>
          <w:bCs/>
          <w:sz w:val="28"/>
          <w:szCs w:val="28"/>
          <w:lang w:val="zh-CN"/>
        </w:rPr>
        <w:t>开评标程序</w:t>
      </w:r>
      <w:bookmarkEnd w:id="80"/>
      <w:bookmarkEnd w:id="81"/>
      <w:bookmarkEnd w:id="82"/>
    </w:p>
    <w:p>
      <w:pPr>
        <w:pStyle w:val="32"/>
        <w:snapToGrid w:val="0"/>
        <w:ind w:firstLine="548" w:firstLineChars="196"/>
        <w:rPr>
          <w:rFonts w:hint="eastAsia" w:hAnsi="宋体"/>
          <w:bCs/>
          <w:sz w:val="28"/>
          <w:szCs w:val="28"/>
        </w:rPr>
      </w:pPr>
      <w:r>
        <w:rPr>
          <w:rFonts w:hint="eastAsia" w:hAnsi="宋体"/>
          <w:bCs/>
          <w:sz w:val="28"/>
          <w:szCs w:val="28"/>
        </w:rPr>
        <w:t>8.电子投标开标及评审程序</w:t>
      </w:r>
    </w:p>
    <w:p>
      <w:pPr>
        <w:snapToGrid w:val="0"/>
        <w:ind w:firstLine="560" w:firstLineChars="200"/>
        <w:rPr>
          <w:rFonts w:hint="eastAsia" w:ascii="宋体" w:hAnsi="宋体" w:cs="Arial"/>
          <w:sz w:val="28"/>
          <w:szCs w:val="28"/>
        </w:rPr>
      </w:pPr>
      <w:r>
        <w:rPr>
          <w:rFonts w:hint="eastAsia" w:ascii="宋体" w:hAnsi="宋体"/>
          <w:bCs/>
          <w:sz w:val="28"/>
          <w:szCs w:val="28"/>
        </w:rPr>
        <w:t>（1）投标截止时间后，</w:t>
      </w:r>
      <w:r>
        <w:rPr>
          <w:rFonts w:hint="eastAsia" w:ascii="宋体" w:hAnsi="宋体" w:cs="Arial"/>
          <w:sz w:val="28"/>
          <w:szCs w:val="28"/>
        </w:rPr>
        <w:t>投标人登录</w:t>
      </w:r>
      <w:r>
        <w:rPr>
          <w:rFonts w:hint="eastAsia" w:ascii="宋体" w:hAnsi="宋体"/>
          <w:bCs/>
          <w:sz w:val="28"/>
          <w:szCs w:val="28"/>
        </w:rPr>
        <w:t>“政采云”</w:t>
      </w:r>
      <w:r>
        <w:rPr>
          <w:rFonts w:hint="eastAsia" w:ascii="宋体" w:hAnsi="宋体" w:cs="Arial"/>
          <w:sz w:val="28"/>
          <w:szCs w:val="28"/>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snapToGrid w:val="0"/>
        <w:ind w:firstLine="560" w:firstLineChars="200"/>
        <w:rPr>
          <w:rFonts w:hint="eastAsia" w:ascii="宋体" w:hAnsi="宋体"/>
          <w:bCs/>
          <w:sz w:val="28"/>
          <w:szCs w:val="28"/>
        </w:rPr>
      </w:pPr>
      <w:r>
        <w:rPr>
          <w:rFonts w:hint="eastAsia" w:ascii="宋体" w:hAnsi="宋体"/>
          <w:bCs/>
          <w:sz w:val="28"/>
          <w:szCs w:val="28"/>
        </w:rPr>
        <w:t>（2）由采购人代表对资格文件进行审核，评标委员会对技术商务文件进行评审；</w:t>
      </w:r>
    </w:p>
    <w:p>
      <w:pPr>
        <w:snapToGrid w:val="0"/>
        <w:ind w:firstLine="560" w:firstLineChars="200"/>
        <w:rPr>
          <w:rFonts w:hint="eastAsia" w:ascii="宋体" w:hAnsi="宋体"/>
          <w:bCs/>
          <w:sz w:val="28"/>
          <w:szCs w:val="28"/>
        </w:rPr>
      </w:pPr>
      <w:r>
        <w:rPr>
          <w:rFonts w:hint="eastAsia" w:ascii="宋体" w:hAnsi="宋体"/>
          <w:bCs/>
          <w:sz w:val="28"/>
          <w:szCs w:val="28"/>
        </w:rPr>
        <w:t>（3）在系统上公开资格审查和技术商务评审结果及无效（废）投标情形；</w:t>
      </w:r>
    </w:p>
    <w:p>
      <w:pPr>
        <w:snapToGrid w:val="0"/>
        <w:ind w:firstLine="560" w:firstLineChars="200"/>
        <w:rPr>
          <w:rFonts w:hint="eastAsia" w:ascii="宋体" w:hAnsi="宋体"/>
          <w:bCs/>
          <w:color w:val="FF0000"/>
          <w:sz w:val="28"/>
          <w:szCs w:val="28"/>
        </w:rPr>
      </w:pPr>
      <w:r>
        <w:rPr>
          <w:rFonts w:hint="eastAsia" w:ascii="宋体" w:hAnsi="宋体"/>
          <w:bCs/>
          <w:sz w:val="28"/>
          <w:szCs w:val="28"/>
        </w:rPr>
        <w:t>（4）在系统上公开各投标人的投标报价；</w:t>
      </w:r>
    </w:p>
    <w:p>
      <w:pPr>
        <w:snapToGrid w:val="0"/>
        <w:ind w:firstLine="560" w:firstLineChars="200"/>
        <w:rPr>
          <w:rFonts w:hint="eastAsia" w:ascii="宋体" w:hAnsi="宋体"/>
          <w:bCs/>
          <w:sz w:val="28"/>
          <w:szCs w:val="28"/>
        </w:rPr>
      </w:pPr>
      <w:r>
        <w:rPr>
          <w:rFonts w:hint="eastAsia" w:ascii="宋体" w:hAnsi="宋体"/>
          <w:bCs/>
          <w:sz w:val="28"/>
          <w:szCs w:val="28"/>
        </w:rPr>
        <w:t>（5）评标委员会对报价文件进行评审，核准投标报价及计算报价分后，汇总技术商务分、报价分；</w:t>
      </w:r>
    </w:p>
    <w:p>
      <w:pPr>
        <w:snapToGrid w:val="0"/>
        <w:ind w:firstLine="560" w:firstLineChars="200"/>
        <w:rPr>
          <w:rFonts w:hint="eastAsia" w:ascii="宋体" w:hAnsi="宋体"/>
          <w:bCs/>
          <w:sz w:val="28"/>
          <w:szCs w:val="28"/>
        </w:rPr>
      </w:pPr>
      <w:r>
        <w:rPr>
          <w:rFonts w:hint="eastAsia" w:ascii="宋体" w:hAnsi="宋体"/>
          <w:bCs/>
          <w:sz w:val="28"/>
          <w:szCs w:val="28"/>
        </w:rPr>
        <w:t>（6）在系统上公布评审结果，根据总分排序确定中标人。</w:t>
      </w:r>
    </w:p>
    <w:p>
      <w:pPr>
        <w:snapToGrid w:val="0"/>
        <w:ind w:firstLine="560" w:firstLineChars="200"/>
        <w:rPr>
          <w:rFonts w:hint="eastAsia" w:ascii="宋体" w:hAnsi="宋体"/>
          <w:bCs/>
          <w:sz w:val="28"/>
          <w:szCs w:val="28"/>
        </w:rPr>
      </w:pPr>
      <w:r>
        <w:rPr>
          <w:rFonts w:hint="eastAsia" w:ascii="宋体" w:hAnsi="宋体"/>
          <w:bCs/>
          <w:sz w:val="28"/>
          <w:szCs w:val="28"/>
        </w:rPr>
        <w:t>特别说明：政采云公司如对电子化开标及评审程序有调整的，按调整后的程序操作。</w:t>
      </w:r>
    </w:p>
    <w:p>
      <w:pPr>
        <w:autoSpaceDE w:val="0"/>
        <w:autoSpaceDN w:val="0"/>
        <w:adjustRightInd w:val="0"/>
        <w:snapToGrid w:val="0"/>
        <w:ind w:firstLine="560" w:firstLineChars="200"/>
        <w:rPr>
          <w:rFonts w:hint="eastAsia" w:ascii="宋体" w:hAnsi="宋体"/>
          <w:sz w:val="28"/>
          <w:szCs w:val="28"/>
        </w:rPr>
      </w:pPr>
    </w:p>
    <w:sectPr>
      <w:headerReference r:id="rId10" w:type="first"/>
      <w:footerReference r:id="rId12" w:type="first"/>
      <w:headerReference r:id="rId9" w:type="even"/>
      <w:footerReference r:id="rId11" w:type="even"/>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20007A87" w:usb1="80000000" w:usb2="00000008" w:usb3="00000000" w:csb0="000001FF" w:csb1="00000000"/>
  </w:font>
  <w:font w:name="Univers">
    <w:altName w:val="Arial"/>
    <w:panose1 w:val="00000000000000000000"/>
    <w:charset w:val="00"/>
    <w:family w:val="swiss"/>
    <w:pitch w:val="default"/>
    <w:sig w:usb0="80000287" w:usb1="00000000" w:usb2="00000000" w:usb3="00000000" w:csb0="0000000F" w:csb1="00000000"/>
  </w:font>
  <w:font w:name="Arial Unicode MS">
    <w:altName w:val="宋体"/>
    <w:panose1 w:val="020B0604020202020204"/>
    <w:charset w:val="86"/>
    <w:family w:val="swiss"/>
    <w:pitch w:val="default"/>
    <w:sig w:usb0="F7FFAFFF" w:usb1="E9DFFFFF" w:usb2="0000003F" w:usb3="00000000" w:csb0="003F01FF" w:csb1="00000000"/>
  </w:font>
  <w:font w:name="FuturaA Bk BT">
    <w:altName w:val="Arial"/>
    <w:panose1 w:val="020B0502020204020303"/>
    <w:charset w:val="00"/>
    <w:family w:val="swiss"/>
    <w:pitch w:val="default"/>
    <w:sig w:usb0="00000087"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roman"/>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ڌ墻">
    <w:altName w:val="宋体"/>
    <w:panose1 w:val="020B0604020202020204"/>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Style w:val="68"/>
      </w:rPr>
    </w:pPr>
    <w:r>
      <w:rPr>
        <w:rFonts w:hint="eastAsia"/>
      </w:rPr>
      <w:t>第</w:t>
    </w:r>
    <w:r>
      <w:rPr>
        <w:rStyle w:val="68"/>
      </w:rPr>
      <w:fldChar w:fldCharType="begin"/>
    </w:r>
    <w:r>
      <w:rPr>
        <w:rStyle w:val="68"/>
      </w:rPr>
      <w:instrText xml:space="preserve"> PAGE </w:instrText>
    </w:r>
    <w:r>
      <w:rPr>
        <w:rStyle w:val="68"/>
      </w:rPr>
      <w:fldChar w:fldCharType="separate"/>
    </w:r>
    <w:r>
      <w:rPr>
        <w:rStyle w:val="68"/>
        <w:lang/>
      </w:rPr>
      <w:t>34</w:t>
    </w:r>
    <w:r>
      <w:rPr>
        <w:rStyle w:val="68"/>
      </w:rPr>
      <w:fldChar w:fldCharType="end"/>
    </w:r>
    <w:r>
      <w:rPr>
        <w:rStyle w:val="68"/>
        <w:rFonts w:hint="eastAsia"/>
      </w:rPr>
      <w:t>页 共</w:t>
    </w:r>
    <w:r>
      <w:rPr>
        <w:rStyle w:val="68"/>
      </w:rPr>
      <w:fldChar w:fldCharType="begin"/>
    </w:r>
    <w:r>
      <w:rPr>
        <w:rStyle w:val="68"/>
      </w:rPr>
      <w:instrText xml:space="preserve"> NUMPAGES </w:instrText>
    </w:r>
    <w:r>
      <w:rPr>
        <w:rStyle w:val="68"/>
      </w:rPr>
      <w:fldChar w:fldCharType="separate"/>
    </w:r>
    <w:r>
      <w:rPr>
        <w:rStyle w:val="68"/>
        <w:lang/>
      </w:rPr>
      <w:t>34</w:t>
    </w:r>
    <w:r>
      <w:rPr>
        <w:rStyle w:val="68"/>
      </w:rPr>
      <w:fldChar w:fldCharType="end"/>
    </w:r>
    <w:r>
      <w:rPr>
        <w:rStyle w:val="68"/>
        <w:rFonts w:hint="eastAsia"/>
      </w:rPr>
      <w:t>页</w:t>
    </w:r>
  </w:p>
  <w:p>
    <w:pPr>
      <w:pStyle w:val="39"/>
      <w:pBdr>
        <w:top w:val="single" w:color="auto" w:sz="4" w:space="1"/>
      </w:pBdr>
      <w:tabs>
        <w:tab w:val="center" w:pos="4564"/>
      </w:tabs>
    </w:pPr>
    <w:r>
      <w:tab/>
    </w:r>
    <w:r>
      <w:rPr>
        <w:rFonts w:hint="eastAsia"/>
      </w:rPr>
      <w:t xml:space="preserve">  嘉兴诚欣工程咨询有限公司                          电话：0573-88036288 传真：0573-88039897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8"/>
      </w:rPr>
    </w:pPr>
    <w:r>
      <w:rPr>
        <w:rStyle w:val="68"/>
      </w:rPr>
      <w:fldChar w:fldCharType="begin"/>
    </w:r>
    <w:r>
      <w:rPr>
        <w:rStyle w:val="68"/>
      </w:rPr>
      <w:instrText xml:space="preserve">PAGE  </w:instrText>
    </w:r>
    <w:r>
      <w:rPr>
        <w:rStyle w:val="68"/>
      </w:rPr>
      <w:fldChar w:fldCharType="separate"/>
    </w:r>
    <w:r>
      <w:rPr>
        <w:rStyle w:val="68"/>
        <w:lang/>
      </w:rPr>
      <w:t>1</w:t>
    </w:r>
    <w:r>
      <w:rPr>
        <w:rStyle w:val="68"/>
      </w:rP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ind w:firstLine="180" w:firstLineChars="100"/>
      <w:rPr>
        <w:u w:val="single"/>
      </w:rPr>
    </w:pPr>
    <w:r>
      <w:rPr>
        <w:rFonts w:hint="eastAsia"/>
        <w:u w:val="single"/>
      </w:rPr>
      <w:t>梧桐街道智慧安防小区建设（振东派出所辖区）招标文件</w:t>
    </w:r>
    <w:r>
      <w:rPr>
        <w:u w:val="single"/>
      </w:rPr>
      <w:t xml:space="preserve">  </w:t>
    </w:r>
    <w:r>
      <w:rPr>
        <w:rFonts w:hint="eastAsia"/>
        <w:u w:val="single"/>
      </w:rPr>
      <w:t xml:space="preserve">              项目编号：JXCXZFCG2020-069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5"/>
      <w:lvlText w:val="%1."/>
      <w:lvlJc w:val="left"/>
      <w:pPr>
        <w:tabs>
          <w:tab w:val="left" w:pos="1200"/>
        </w:tabs>
        <w:ind w:left="1200" w:leftChars="400" w:hanging="360" w:hangingChars="200"/>
      </w:pPr>
    </w:lvl>
  </w:abstractNum>
  <w:abstractNum w:abstractNumId="1">
    <w:nsid w:val="0000000A"/>
    <w:multiLevelType w:val="multilevel"/>
    <w:tmpl w:val="0000000A"/>
    <w:lvl w:ilvl="0" w:tentative="0">
      <w:start w:val="1"/>
      <w:numFmt w:val="none"/>
      <w:pStyle w:val="189"/>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304"/>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19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231"/>
      <w:lvlText w:val="%1．"/>
      <w:lvlJc w:val="left"/>
      <w:pPr>
        <w:tabs>
          <w:tab w:val="left" w:pos="360"/>
        </w:tabs>
        <w:ind w:left="245" w:hanging="245"/>
      </w:pPr>
      <w:rPr>
        <w:rFonts w:ascii="Times New Roman" w:hAnsi="Times New Roman" w:eastAsia="Times New Roman" w:cs="Times New Roman"/>
      </w:rPr>
    </w:lvl>
  </w:abstractNum>
  <w:abstractNum w:abstractNumId="5">
    <w:nsid w:val="00000016"/>
    <w:multiLevelType w:val="multilevel"/>
    <w:tmpl w:val="00000016"/>
    <w:lvl w:ilvl="0" w:tentative="0">
      <w:start w:val="1"/>
      <w:numFmt w:val="decimal"/>
      <w:pStyle w:val="201"/>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17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A"/>
    <w:multiLevelType w:val="multilevel"/>
    <w:tmpl w:val="0000001A"/>
    <w:lvl w:ilvl="0" w:tentative="0">
      <w:start w:val="1"/>
      <w:numFmt w:val="decimal"/>
      <w:pStyle w:val="194"/>
      <w:lvlText w:val="%1."/>
      <w:lvlJc w:val="left"/>
      <w:pPr>
        <w:tabs>
          <w:tab w:val="left" w:pos="720"/>
        </w:tabs>
        <w:ind w:left="720" w:hanging="720"/>
      </w:pPr>
      <w:rPr>
        <w:rFonts w:hint="default"/>
      </w:rPr>
    </w:lvl>
    <w:lvl w:ilvl="1" w:tentative="0">
      <w:start w:val="1"/>
      <w:numFmt w:val="decimal"/>
      <w:pStyle w:val="302"/>
      <w:lvlText w:val="%2."/>
      <w:lvlJc w:val="left"/>
      <w:pPr>
        <w:tabs>
          <w:tab w:val="left" w:pos="720"/>
        </w:tabs>
        <w:ind w:left="720" w:hanging="720"/>
      </w:pPr>
      <w:rPr>
        <w:rFonts w:hint="default" w:ascii="Arial (W1)" w:hAnsi="Arial (W1)"/>
        <w:b/>
        <w:i w:val="0"/>
        <w:sz w:val="28"/>
      </w:rPr>
    </w:lvl>
    <w:lvl w:ilvl="2" w:tentative="0">
      <w:start w:val="1"/>
      <w:numFmt w:val="decimal"/>
      <w:pStyle w:val="308"/>
      <w:lvlText w:val="%1.%3."/>
      <w:lvlJc w:val="left"/>
      <w:pPr>
        <w:tabs>
          <w:tab w:val="left" w:pos="720"/>
        </w:tabs>
        <w:ind w:left="720" w:hanging="720"/>
      </w:pPr>
      <w:rPr>
        <w:rFonts w:hint="default"/>
      </w:rPr>
    </w:lvl>
    <w:lvl w:ilvl="3" w:tentative="0">
      <w:start w:val="1"/>
      <w:numFmt w:val="decimal"/>
      <w:pStyle w:val="310"/>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35"/>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13"/>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159"/>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DE6819"/>
    <w:multiLevelType w:val="multilevel"/>
    <w:tmpl w:val="08DE6819"/>
    <w:lvl w:ilvl="0" w:tentative="0">
      <w:start w:val="9"/>
      <w:numFmt w:val="chineseCountingThousand"/>
      <w:suff w:val="space"/>
      <w:lvlText w:val="%1、"/>
      <w:lvlJc w:val="left"/>
      <w:pPr>
        <w:ind w:left="425" w:firstLine="142"/>
      </w:pPr>
      <w:rPr>
        <w:rFonts w:hint="eastAsia"/>
      </w:rPr>
    </w:lvl>
    <w:lvl w:ilvl="1" w:tentative="0">
      <w:start w:val="2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1AA728CC"/>
    <w:multiLevelType w:val="multilevel"/>
    <w:tmpl w:val="1AA728CC"/>
    <w:lvl w:ilvl="0" w:tentative="0">
      <w:start w:val="1"/>
      <w:numFmt w:val="lowerLetter"/>
      <w:lvlText w:val="%1)"/>
      <w:lvlJc w:val="left"/>
      <w:pPr>
        <w:ind w:left="420" w:hanging="420"/>
      </w:pPr>
    </w:lvl>
    <w:lvl w:ilvl="1" w:tentative="0">
      <w:start w:val="1"/>
      <w:numFmt w:val="lowerLetter"/>
      <w:pStyle w:val="171"/>
      <w:lvlText w:val="%2)"/>
      <w:lvlJc w:val="left"/>
      <w:pPr>
        <w:ind w:left="840" w:hanging="420"/>
      </w:pPr>
    </w:lvl>
    <w:lvl w:ilvl="2" w:tentative="0">
      <w:start w:val="1"/>
      <w:numFmt w:val="lowerRoman"/>
      <w:pStyle w:val="236"/>
      <w:lvlText w:val="%3."/>
      <w:lvlJc w:val="right"/>
      <w:pPr>
        <w:ind w:left="1260" w:hanging="420"/>
      </w:pPr>
    </w:lvl>
    <w:lvl w:ilvl="3" w:tentative="0">
      <w:start w:val="1"/>
      <w:numFmt w:val="decimal"/>
      <w:pStyle w:val="210"/>
      <w:lvlText w:val="%4."/>
      <w:lvlJc w:val="left"/>
      <w:pPr>
        <w:ind w:left="1680" w:hanging="420"/>
      </w:pPr>
    </w:lvl>
    <w:lvl w:ilvl="4" w:tentative="0">
      <w:start w:val="1"/>
      <w:numFmt w:val="lowerLetter"/>
      <w:pStyle w:val="178"/>
      <w:lvlText w:val="%5)"/>
      <w:lvlJc w:val="left"/>
      <w:pPr>
        <w:ind w:left="2100" w:hanging="420"/>
      </w:pPr>
    </w:lvl>
    <w:lvl w:ilvl="5" w:tentative="0">
      <w:start w:val="1"/>
      <w:numFmt w:val="lowerRoman"/>
      <w:pStyle w:val="188"/>
      <w:lvlText w:val="%6."/>
      <w:lvlJc w:val="right"/>
      <w:pPr>
        <w:ind w:left="2520" w:hanging="420"/>
      </w:pPr>
    </w:lvl>
    <w:lvl w:ilvl="6" w:tentative="0">
      <w:start w:val="1"/>
      <w:numFmt w:val="decimal"/>
      <w:pStyle w:val="190"/>
      <w:lvlText w:val="%7."/>
      <w:lvlJc w:val="left"/>
      <w:pPr>
        <w:ind w:left="2940" w:hanging="420"/>
      </w:pPr>
    </w:lvl>
    <w:lvl w:ilvl="7" w:tentative="0">
      <w:start w:val="1"/>
      <w:numFmt w:val="lowerLetter"/>
      <w:pStyle w:val="232"/>
      <w:lvlText w:val="%8)"/>
      <w:lvlJc w:val="left"/>
      <w:pPr>
        <w:ind w:left="3360" w:hanging="420"/>
      </w:pPr>
    </w:lvl>
    <w:lvl w:ilvl="8" w:tentative="0">
      <w:start w:val="1"/>
      <w:numFmt w:val="lowerRoman"/>
      <w:pStyle w:val="184"/>
      <w:lvlText w:val="%9."/>
      <w:lvlJc w:val="right"/>
      <w:pPr>
        <w:ind w:left="3780" w:hanging="420"/>
      </w:pPr>
    </w:lvl>
  </w:abstractNum>
  <w:abstractNum w:abstractNumId="13">
    <w:nsid w:val="1CB876BB"/>
    <w:multiLevelType w:val="multilevel"/>
    <w:tmpl w:val="1CB876BB"/>
    <w:lvl w:ilvl="0" w:tentative="0">
      <w:start w:val="6"/>
      <w:numFmt w:val="chineseCountingThousand"/>
      <w:suff w:val="space"/>
      <w:lvlText w:val="%1"/>
      <w:lvlJc w:val="left"/>
      <w:pPr>
        <w:ind w:left="425" w:firstLine="142"/>
      </w:pPr>
      <w:rPr>
        <w:rFonts w:hint="eastAsia"/>
      </w:rPr>
    </w:lvl>
    <w:lvl w:ilvl="1" w:tentative="0">
      <w:start w:val="23"/>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1CC200E2"/>
    <w:multiLevelType w:val="multilevel"/>
    <w:tmpl w:val="1CC200E2"/>
    <w:lvl w:ilvl="0" w:tentative="0">
      <w:start w:val="1"/>
      <w:numFmt w:val="chineseCountingThousand"/>
      <w:lvlText w:val="%1、"/>
      <w:lvlJc w:val="left"/>
      <w:pPr>
        <w:ind w:left="420" w:hanging="420"/>
      </w:pPr>
      <w:rPr>
        <w:lang w:val="en-US"/>
      </w:rPr>
    </w:lvl>
    <w:lvl w:ilvl="1" w:tentative="0">
      <w:start w:val="1"/>
      <w:numFmt w:val="decimal"/>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9C1ADA"/>
    <w:multiLevelType w:val="multilevel"/>
    <w:tmpl w:val="1D9C1ADA"/>
    <w:lvl w:ilvl="0" w:tentative="0">
      <w:start w:val="13"/>
      <w:numFmt w:val="chineseCountingThousand"/>
      <w:suff w:val="space"/>
      <w:lvlText w:val="%1、"/>
      <w:lvlJc w:val="left"/>
      <w:pPr>
        <w:ind w:left="425" w:firstLine="142"/>
      </w:pPr>
      <w:rPr>
        <w:rFonts w:hint="eastAsia"/>
      </w:rPr>
    </w:lvl>
    <w:lvl w:ilvl="1" w:tentative="0">
      <w:start w:val="2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F4131A0"/>
    <w:multiLevelType w:val="multilevel"/>
    <w:tmpl w:val="1F4131A0"/>
    <w:lvl w:ilvl="0" w:tentative="0">
      <w:start w:val="1"/>
      <w:numFmt w:val="decimal"/>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208A7ABE"/>
    <w:multiLevelType w:val="multilevel"/>
    <w:tmpl w:val="208A7ABE"/>
    <w:lvl w:ilvl="0" w:tentative="0">
      <w:start w:val="1"/>
      <w:numFmt w:val="decimal"/>
      <w:pStyle w:val="618"/>
      <w:suff w:val="space"/>
      <w:lvlText w:val="表%1"/>
      <w:lvlJc w:val="left"/>
      <w:pPr>
        <w:ind w:left="424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37D65536"/>
    <w:multiLevelType w:val="multilevel"/>
    <w:tmpl w:val="37D65536"/>
    <w:lvl w:ilvl="0" w:tentative="0">
      <w:start w:val="9"/>
      <w:numFmt w:val="chineseCountingThousand"/>
      <w:suff w:val="space"/>
      <w:lvlText w:val="%1、"/>
      <w:lvlJc w:val="left"/>
      <w:pPr>
        <w:ind w:left="425" w:firstLine="142"/>
      </w:pPr>
      <w:rPr>
        <w:rFonts w:hint="eastAsia"/>
      </w:rPr>
    </w:lvl>
    <w:lvl w:ilvl="1" w:tentative="0">
      <w:start w:val="2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2">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CA75A52"/>
    <w:multiLevelType w:val="multilevel"/>
    <w:tmpl w:val="4CA75A52"/>
    <w:lvl w:ilvl="0" w:tentative="0">
      <w:start w:val="1"/>
      <w:numFmt w:val="decimal"/>
      <w:pStyle w:val="600"/>
      <w:suff w:val="nothing"/>
      <w:lvlText w:val="（%1）"/>
      <w:lvlJc w:val="left"/>
      <w:pPr>
        <w:ind w:left="42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25">
    <w:nsid w:val="515C03AC"/>
    <w:multiLevelType w:val="multilevel"/>
    <w:tmpl w:val="515C03AC"/>
    <w:lvl w:ilvl="0" w:tentative="0">
      <w:start w:val="27"/>
      <w:numFmt w:val="chineseCountingThousand"/>
      <w:suff w:val="space"/>
      <w:lvlText w:val="%1、"/>
      <w:lvlJc w:val="left"/>
      <w:pPr>
        <w:ind w:left="425" w:firstLine="142"/>
      </w:pPr>
      <w:rPr>
        <w:rFonts w:hint="eastAsia"/>
      </w:rPr>
    </w:lvl>
    <w:lvl w:ilvl="1" w:tentative="0">
      <w:start w:val="1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350366A"/>
    <w:multiLevelType w:val="multilevel"/>
    <w:tmpl w:val="6350366A"/>
    <w:lvl w:ilvl="0" w:tentative="0">
      <w:start w:val="1"/>
      <w:numFmt w:val="none"/>
      <w:pStyle w:val="47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74704FD3"/>
    <w:multiLevelType w:val="multilevel"/>
    <w:tmpl w:val="74704FD3"/>
    <w:lvl w:ilvl="0" w:tentative="0">
      <w:start w:val="9"/>
      <w:numFmt w:val="chineseCountingThousand"/>
      <w:suff w:val="space"/>
      <w:lvlText w:val="%1、"/>
      <w:lvlJc w:val="left"/>
      <w:pPr>
        <w:ind w:left="-142" w:firstLine="142"/>
      </w:pPr>
      <w:rPr>
        <w:rFonts w:hint="eastAsia"/>
      </w:rPr>
    </w:lvl>
    <w:lvl w:ilvl="1" w:tentative="0">
      <w:start w:val="2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76933334"/>
    <w:multiLevelType w:val="multilevel"/>
    <w:tmpl w:val="76933334"/>
    <w:lvl w:ilvl="0" w:tentative="0">
      <w:start w:val="1"/>
      <w:numFmt w:val="none"/>
      <w:pStyle w:val="470"/>
      <w:lvlText w:val="%1——"/>
      <w:lvlJc w:val="left"/>
      <w:pPr>
        <w:tabs>
          <w:tab w:val="left" w:pos="11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70F4738"/>
    <w:multiLevelType w:val="multilevel"/>
    <w:tmpl w:val="770F4738"/>
    <w:lvl w:ilvl="0" w:tentative="0">
      <w:start w:val="27"/>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0"/>
  </w:num>
  <w:num w:numId="4">
    <w:abstractNumId w:val="12"/>
  </w:num>
  <w:num w:numId="5">
    <w:abstractNumId w:val="6"/>
  </w:num>
  <w:num w:numId="6">
    <w:abstractNumId w:val="1"/>
  </w:num>
  <w:num w:numId="7">
    <w:abstractNumId w:val="7"/>
  </w:num>
  <w:num w:numId="8">
    <w:abstractNumId w:val="3"/>
  </w:num>
  <w:num w:numId="9">
    <w:abstractNumId w:val="5"/>
  </w:num>
  <w:num w:numId="10">
    <w:abstractNumId w:val="9"/>
  </w:num>
  <w:num w:numId="11">
    <w:abstractNumId w:val="4"/>
  </w:num>
  <w:num w:numId="12">
    <w:abstractNumId w:val="8"/>
  </w:num>
  <w:num w:numId="13">
    <w:abstractNumId w:val="28"/>
  </w:num>
  <w:num w:numId="14">
    <w:abstractNumId w:val="26"/>
  </w:num>
  <w:num w:numId="15">
    <w:abstractNumId w:val="24"/>
  </w:num>
  <w:num w:numId="16">
    <w:abstractNumId w:val="17"/>
  </w:num>
  <w:num w:numId="17">
    <w:abstractNumId w:val="14"/>
  </w:num>
  <w:num w:numId="18">
    <w:abstractNumId w:val="23"/>
  </w:num>
  <w:num w:numId="19">
    <w:abstractNumId w:val="16"/>
  </w:num>
  <w:num w:numId="20">
    <w:abstractNumId w:val="22"/>
  </w:num>
  <w:num w:numId="21">
    <w:abstractNumId w:val="19"/>
  </w:num>
  <w:num w:numId="22">
    <w:abstractNumId w:val="18"/>
  </w:num>
  <w:num w:numId="23">
    <w:abstractNumId w:val="25"/>
  </w:num>
  <w:num w:numId="24">
    <w:abstractNumId w:val="13"/>
  </w:num>
  <w:num w:numId="25">
    <w:abstractNumId w:val="27"/>
  </w:num>
  <w:num w:numId="26">
    <w:abstractNumId w:val="29"/>
  </w:num>
  <w:num w:numId="27">
    <w:abstractNumId w:val="20"/>
  </w:num>
  <w:num w:numId="28">
    <w:abstractNumId w:val="15"/>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3F"/>
    <w:rsid w:val="00001368"/>
    <w:rsid w:val="000019B9"/>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513"/>
    <w:rsid w:val="00012E6D"/>
    <w:rsid w:val="000141D1"/>
    <w:rsid w:val="000144DC"/>
    <w:rsid w:val="00016DEF"/>
    <w:rsid w:val="00016FE2"/>
    <w:rsid w:val="0002128C"/>
    <w:rsid w:val="0002186A"/>
    <w:rsid w:val="000227A9"/>
    <w:rsid w:val="000232D0"/>
    <w:rsid w:val="00024BCF"/>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ABD"/>
    <w:rsid w:val="00042BDC"/>
    <w:rsid w:val="00044EFC"/>
    <w:rsid w:val="00045E9D"/>
    <w:rsid w:val="0004606F"/>
    <w:rsid w:val="000461A7"/>
    <w:rsid w:val="00046646"/>
    <w:rsid w:val="00046CC7"/>
    <w:rsid w:val="0004706F"/>
    <w:rsid w:val="00051168"/>
    <w:rsid w:val="00051872"/>
    <w:rsid w:val="000523C3"/>
    <w:rsid w:val="0005274F"/>
    <w:rsid w:val="00052825"/>
    <w:rsid w:val="00052ED3"/>
    <w:rsid w:val="000533EF"/>
    <w:rsid w:val="00053570"/>
    <w:rsid w:val="000552F1"/>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66F"/>
    <w:rsid w:val="000662D5"/>
    <w:rsid w:val="00066F33"/>
    <w:rsid w:val="00071707"/>
    <w:rsid w:val="00071829"/>
    <w:rsid w:val="000720A2"/>
    <w:rsid w:val="00073011"/>
    <w:rsid w:val="00073189"/>
    <w:rsid w:val="00073511"/>
    <w:rsid w:val="0007419F"/>
    <w:rsid w:val="000747D9"/>
    <w:rsid w:val="00075C0A"/>
    <w:rsid w:val="00080346"/>
    <w:rsid w:val="000805B2"/>
    <w:rsid w:val="00080609"/>
    <w:rsid w:val="000808D4"/>
    <w:rsid w:val="000813FA"/>
    <w:rsid w:val="00082DFD"/>
    <w:rsid w:val="00082ECF"/>
    <w:rsid w:val="00083823"/>
    <w:rsid w:val="0008440C"/>
    <w:rsid w:val="000844D5"/>
    <w:rsid w:val="00087119"/>
    <w:rsid w:val="0009020B"/>
    <w:rsid w:val="0009031B"/>
    <w:rsid w:val="00092744"/>
    <w:rsid w:val="000927BA"/>
    <w:rsid w:val="00092B61"/>
    <w:rsid w:val="000930E1"/>
    <w:rsid w:val="00093407"/>
    <w:rsid w:val="00093559"/>
    <w:rsid w:val="00093AB1"/>
    <w:rsid w:val="000954B3"/>
    <w:rsid w:val="00095EA6"/>
    <w:rsid w:val="00096AD3"/>
    <w:rsid w:val="00097418"/>
    <w:rsid w:val="000A03AF"/>
    <w:rsid w:val="000A0A3A"/>
    <w:rsid w:val="000A0B2B"/>
    <w:rsid w:val="000A1A2A"/>
    <w:rsid w:val="000A1ABD"/>
    <w:rsid w:val="000A2B29"/>
    <w:rsid w:val="000A2CF3"/>
    <w:rsid w:val="000A33B9"/>
    <w:rsid w:val="000A33C9"/>
    <w:rsid w:val="000A403E"/>
    <w:rsid w:val="000A4CF0"/>
    <w:rsid w:val="000A52D1"/>
    <w:rsid w:val="000A5789"/>
    <w:rsid w:val="000A5F39"/>
    <w:rsid w:val="000A6922"/>
    <w:rsid w:val="000A6ECD"/>
    <w:rsid w:val="000A7298"/>
    <w:rsid w:val="000A7EA9"/>
    <w:rsid w:val="000B012E"/>
    <w:rsid w:val="000B0802"/>
    <w:rsid w:val="000B083C"/>
    <w:rsid w:val="000B118B"/>
    <w:rsid w:val="000B198C"/>
    <w:rsid w:val="000B1CBE"/>
    <w:rsid w:val="000B238C"/>
    <w:rsid w:val="000B2E81"/>
    <w:rsid w:val="000B3E8A"/>
    <w:rsid w:val="000B596F"/>
    <w:rsid w:val="000B5EB6"/>
    <w:rsid w:val="000B63D7"/>
    <w:rsid w:val="000B65FD"/>
    <w:rsid w:val="000B70E4"/>
    <w:rsid w:val="000B797B"/>
    <w:rsid w:val="000B7C70"/>
    <w:rsid w:val="000C0902"/>
    <w:rsid w:val="000C169E"/>
    <w:rsid w:val="000C32CC"/>
    <w:rsid w:val="000C3372"/>
    <w:rsid w:val="000C4B43"/>
    <w:rsid w:val="000C4EC4"/>
    <w:rsid w:val="000C65ED"/>
    <w:rsid w:val="000C68CB"/>
    <w:rsid w:val="000C69BF"/>
    <w:rsid w:val="000C6E4A"/>
    <w:rsid w:val="000C7F0D"/>
    <w:rsid w:val="000D03A1"/>
    <w:rsid w:val="000D0627"/>
    <w:rsid w:val="000D07C3"/>
    <w:rsid w:val="000D28D5"/>
    <w:rsid w:val="000D3366"/>
    <w:rsid w:val="000D4B1F"/>
    <w:rsid w:val="000D4DA7"/>
    <w:rsid w:val="000D55DC"/>
    <w:rsid w:val="000D57E2"/>
    <w:rsid w:val="000D6D60"/>
    <w:rsid w:val="000D72E2"/>
    <w:rsid w:val="000E12CA"/>
    <w:rsid w:val="000E1CFF"/>
    <w:rsid w:val="000E61C3"/>
    <w:rsid w:val="000E7E59"/>
    <w:rsid w:val="000E7EF6"/>
    <w:rsid w:val="000F038E"/>
    <w:rsid w:val="000F1C8B"/>
    <w:rsid w:val="000F2651"/>
    <w:rsid w:val="000F27C9"/>
    <w:rsid w:val="000F326C"/>
    <w:rsid w:val="000F3830"/>
    <w:rsid w:val="000F3AED"/>
    <w:rsid w:val="000F3D25"/>
    <w:rsid w:val="000F441D"/>
    <w:rsid w:val="000F6BE1"/>
    <w:rsid w:val="000F6F5E"/>
    <w:rsid w:val="0010006B"/>
    <w:rsid w:val="0010038C"/>
    <w:rsid w:val="00101030"/>
    <w:rsid w:val="00101124"/>
    <w:rsid w:val="001011F6"/>
    <w:rsid w:val="00101D2C"/>
    <w:rsid w:val="00102C76"/>
    <w:rsid w:val="00102D4D"/>
    <w:rsid w:val="0010334F"/>
    <w:rsid w:val="00103527"/>
    <w:rsid w:val="00103EF4"/>
    <w:rsid w:val="00105E2B"/>
    <w:rsid w:val="00105E66"/>
    <w:rsid w:val="00105EE8"/>
    <w:rsid w:val="001076D4"/>
    <w:rsid w:val="00107FF8"/>
    <w:rsid w:val="00110345"/>
    <w:rsid w:val="00110D74"/>
    <w:rsid w:val="001128A5"/>
    <w:rsid w:val="0011354F"/>
    <w:rsid w:val="001148E5"/>
    <w:rsid w:val="00114D60"/>
    <w:rsid w:val="00116AF1"/>
    <w:rsid w:val="00117C63"/>
    <w:rsid w:val="00120B7A"/>
    <w:rsid w:val="00120EA3"/>
    <w:rsid w:val="00121DC7"/>
    <w:rsid w:val="00121F62"/>
    <w:rsid w:val="001220DB"/>
    <w:rsid w:val="00122756"/>
    <w:rsid w:val="00122D07"/>
    <w:rsid w:val="00122E14"/>
    <w:rsid w:val="00123C25"/>
    <w:rsid w:val="001241FA"/>
    <w:rsid w:val="001243E3"/>
    <w:rsid w:val="00124508"/>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516A"/>
    <w:rsid w:val="00137BCB"/>
    <w:rsid w:val="001400CA"/>
    <w:rsid w:val="00140178"/>
    <w:rsid w:val="00140995"/>
    <w:rsid w:val="001410D2"/>
    <w:rsid w:val="00141659"/>
    <w:rsid w:val="001439A4"/>
    <w:rsid w:val="00143D8A"/>
    <w:rsid w:val="001441DD"/>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B10"/>
    <w:rsid w:val="00160DB6"/>
    <w:rsid w:val="00160F51"/>
    <w:rsid w:val="00161135"/>
    <w:rsid w:val="00161146"/>
    <w:rsid w:val="00162D87"/>
    <w:rsid w:val="00163244"/>
    <w:rsid w:val="001632A0"/>
    <w:rsid w:val="00163388"/>
    <w:rsid w:val="001650B8"/>
    <w:rsid w:val="001669B5"/>
    <w:rsid w:val="00167310"/>
    <w:rsid w:val="00170980"/>
    <w:rsid w:val="00170F02"/>
    <w:rsid w:val="001712BD"/>
    <w:rsid w:val="00171CB5"/>
    <w:rsid w:val="001722EF"/>
    <w:rsid w:val="00172A27"/>
    <w:rsid w:val="00172AC6"/>
    <w:rsid w:val="001736A4"/>
    <w:rsid w:val="00173C6F"/>
    <w:rsid w:val="00173E25"/>
    <w:rsid w:val="0017550E"/>
    <w:rsid w:val="001761DE"/>
    <w:rsid w:val="00176468"/>
    <w:rsid w:val="001765DF"/>
    <w:rsid w:val="00176BD0"/>
    <w:rsid w:val="00177414"/>
    <w:rsid w:val="0017789C"/>
    <w:rsid w:val="00180851"/>
    <w:rsid w:val="00180BBE"/>
    <w:rsid w:val="00181833"/>
    <w:rsid w:val="0018246D"/>
    <w:rsid w:val="00182D88"/>
    <w:rsid w:val="00182DBB"/>
    <w:rsid w:val="001848C9"/>
    <w:rsid w:val="00184F84"/>
    <w:rsid w:val="001869E8"/>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7339"/>
    <w:rsid w:val="001A7C7F"/>
    <w:rsid w:val="001A7E0F"/>
    <w:rsid w:val="001B2375"/>
    <w:rsid w:val="001B2D1C"/>
    <w:rsid w:val="001B3F56"/>
    <w:rsid w:val="001B48C9"/>
    <w:rsid w:val="001B5253"/>
    <w:rsid w:val="001B5634"/>
    <w:rsid w:val="001B7105"/>
    <w:rsid w:val="001B7422"/>
    <w:rsid w:val="001C114E"/>
    <w:rsid w:val="001C39A6"/>
    <w:rsid w:val="001C5365"/>
    <w:rsid w:val="001C6217"/>
    <w:rsid w:val="001C6CE5"/>
    <w:rsid w:val="001C74D0"/>
    <w:rsid w:val="001C7931"/>
    <w:rsid w:val="001C7A6E"/>
    <w:rsid w:val="001D1340"/>
    <w:rsid w:val="001D2438"/>
    <w:rsid w:val="001D24DC"/>
    <w:rsid w:val="001D2AF5"/>
    <w:rsid w:val="001D3557"/>
    <w:rsid w:val="001D3EA5"/>
    <w:rsid w:val="001D420C"/>
    <w:rsid w:val="001D4215"/>
    <w:rsid w:val="001D4F84"/>
    <w:rsid w:val="001D678F"/>
    <w:rsid w:val="001E03CA"/>
    <w:rsid w:val="001E104C"/>
    <w:rsid w:val="001E192B"/>
    <w:rsid w:val="001E2AC8"/>
    <w:rsid w:val="001E413D"/>
    <w:rsid w:val="001E671D"/>
    <w:rsid w:val="001E6DEA"/>
    <w:rsid w:val="001E6FAA"/>
    <w:rsid w:val="001E7257"/>
    <w:rsid w:val="001F2110"/>
    <w:rsid w:val="001F2338"/>
    <w:rsid w:val="001F2B7D"/>
    <w:rsid w:val="001F36B3"/>
    <w:rsid w:val="001F3915"/>
    <w:rsid w:val="001F4529"/>
    <w:rsid w:val="001F549F"/>
    <w:rsid w:val="001F5D25"/>
    <w:rsid w:val="001F7AAD"/>
    <w:rsid w:val="001F7D7F"/>
    <w:rsid w:val="001F7E5F"/>
    <w:rsid w:val="00200B91"/>
    <w:rsid w:val="002015C6"/>
    <w:rsid w:val="002024D4"/>
    <w:rsid w:val="0020367B"/>
    <w:rsid w:val="00203AC4"/>
    <w:rsid w:val="00203FAA"/>
    <w:rsid w:val="0020439D"/>
    <w:rsid w:val="00204AF9"/>
    <w:rsid w:val="00205458"/>
    <w:rsid w:val="00206B54"/>
    <w:rsid w:val="002103C8"/>
    <w:rsid w:val="00210450"/>
    <w:rsid w:val="002120F8"/>
    <w:rsid w:val="0021267F"/>
    <w:rsid w:val="00212F49"/>
    <w:rsid w:val="00213B47"/>
    <w:rsid w:val="00214DD1"/>
    <w:rsid w:val="00214FB5"/>
    <w:rsid w:val="0021572F"/>
    <w:rsid w:val="00215982"/>
    <w:rsid w:val="00215EFE"/>
    <w:rsid w:val="0021696E"/>
    <w:rsid w:val="0021767C"/>
    <w:rsid w:val="00220410"/>
    <w:rsid w:val="00220826"/>
    <w:rsid w:val="002220B0"/>
    <w:rsid w:val="002226BA"/>
    <w:rsid w:val="00224393"/>
    <w:rsid w:val="0022463A"/>
    <w:rsid w:val="0022563D"/>
    <w:rsid w:val="00226AE7"/>
    <w:rsid w:val="002272D2"/>
    <w:rsid w:val="002276AE"/>
    <w:rsid w:val="00227A3B"/>
    <w:rsid w:val="00227FBD"/>
    <w:rsid w:val="00230697"/>
    <w:rsid w:val="00230C9D"/>
    <w:rsid w:val="00231E10"/>
    <w:rsid w:val="00233A18"/>
    <w:rsid w:val="00234573"/>
    <w:rsid w:val="002346E6"/>
    <w:rsid w:val="00234D43"/>
    <w:rsid w:val="00236124"/>
    <w:rsid w:val="002374D5"/>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C76"/>
    <w:rsid w:val="00250DCC"/>
    <w:rsid w:val="002526A6"/>
    <w:rsid w:val="002543E1"/>
    <w:rsid w:val="00254CDB"/>
    <w:rsid w:val="00255204"/>
    <w:rsid w:val="00256CD1"/>
    <w:rsid w:val="002574BC"/>
    <w:rsid w:val="00257A8A"/>
    <w:rsid w:val="00260B9D"/>
    <w:rsid w:val="002627B4"/>
    <w:rsid w:val="0026303D"/>
    <w:rsid w:val="002631A2"/>
    <w:rsid w:val="0026396C"/>
    <w:rsid w:val="002641DB"/>
    <w:rsid w:val="0026443F"/>
    <w:rsid w:val="0026458E"/>
    <w:rsid w:val="002648E7"/>
    <w:rsid w:val="00264CF3"/>
    <w:rsid w:val="00265C1B"/>
    <w:rsid w:val="00265E0D"/>
    <w:rsid w:val="00266441"/>
    <w:rsid w:val="00267392"/>
    <w:rsid w:val="0027001B"/>
    <w:rsid w:val="00270061"/>
    <w:rsid w:val="0027018D"/>
    <w:rsid w:val="00271BEF"/>
    <w:rsid w:val="0027275F"/>
    <w:rsid w:val="002736F3"/>
    <w:rsid w:val="00273D8B"/>
    <w:rsid w:val="002749CC"/>
    <w:rsid w:val="00275B8F"/>
    <w:rsid w:val="00276865"/>
    <w:rsid w:val="00276E0D"/>
    <w:rsid w:val="00277845"/>
    <w:rsid w:val="00277A29"/>
    <w:rsid w:val="002815DC"/>
    <w:rsid w:val="002821F0"/>
    <w:rsid w:val="002822CE"/>
    <w:rsid w:val="0028290C"/>
    <w:rsid w:val="00284A17"/>
    <w:rsid w:val="00286199"/>
    <w:rsid w:val="00286F22"/>
    <w:rsid w:val="002904EA"/>
    <w:rsid w:val="0029097C"/>
    <w:rsid w:val="00290EFF"/>
    <w:rsid w:val="0029199D"/>
    <w:rsid w:val="00294A0E"/>
    <w:rsid w:val="00294AE2"/>
    <w:rsid w:val="00296EC7"/>
    <w:rsid w:val="00296F06"/>
    <w:rsid w:val="00297364"/>
    <w:rsid w:val="002A0415"/>
    <w:rsid w:val="002A06FB"/>
    <w:rsid w:val="002A2AD4"/>
    <w:rsid w:val="002A34F4"/>
    <w:rsid w:val="002A3D3F"/>
    <w:rsid w:val="002A4571"/>
    <w:rsid w:val="002A52D2"/>
    <w:rsid w:val="002A5D19"/>
    <w:rsid w:val="002B08DA"/>
    <w:rsid w:val="002B19B9"/>
    <w:rsid w:val="002B1B2F"/>
    <w:rsid w:val="002B2419"/>
    <w:rsid w:val="002B2730"/>
    <w:rsid w:val="002B318B"/>
    <w:rsid w:val="002B3450"/>
    <w:rsid w:val="002B4036"/>
    <w:rsid w:val="002B5B4F"/>
    <w:rsid w:val="002B5EC4"/>
    <w:rsid w:val="002C0BF6"/>
    <w:rsid w:val="002C1F7E"/>
    <w:rsid w:val="002C22EC"/>
    <w:rsid w:val="002C26CE"/>
    <w:rsid w:val="002C2B78"/>
    <w:rsid w:val="002C321C"/>
    <w:rsid w:val="002C35A2"/>
    <w:rsid w:val="002C3959"/>
    <w:rsid w:val="002C3DCA"/>
    <w:rsid w:val="002C4265"/>
    <w:rsid w:val="002C493A"/>
    <w:rsid w:val="002C4C5C"/>
    <w:rsid w:val="002C5AC3"/>
    <w:rsid w:val="002C76EA"/>
    <w:rsid w:val="002C772E"/>
    <w:rsid w:val="002D0794"/>
    <w:rsid w:val="002D0D06"/>
    <w:rsid w:val="002D0D26"/>
    <w:rsid w:val="002D1A52"/>
    <w:rsid w:val="002D1D6A"/>
    <w:rsid w:val="002D2407"/>
    <w:rsid w:val="002D3CBC"/>
    <w:rsid w:val="002D4199"/>
    <w:rsid w:val="002D50CE"/>
    <w:rsid w:val="002D5774"/>
    <w:rsid w:val="002D6492"/>
    <w:rsid w:val="002D64AB"/>
    <w:rsid w:val="002D690D"/>
    <w:rsid w:val="002E1BB3"/>
    <w:rsid w:val="002E27B4"/>
    <w:rsid w:val="002E2A8C"/>
    <w:rsid w:val="002E334D"/>
    <w:rsid w:val="002E5BBB"/>
    <w:rsid w:val="002E650E"/>
    <w:rsid w:val="002E6F83"/>
    <w:rsid w:val="002E76CA"/>
    <w:rsid w:val="002F0489"/>
    <w:rsid w:val="002F286E"/>
    <w:rsid w:val="002F2AEA"/>
    <w:rsid w:val="002F36F9"/>
    <w:rsid w:val="002F3DCE"/>
    <w:rsid w:val="002F4218"/>
    <w:rsid w:val="002F425B"/>
    <w:rsid w:val="002F435F"/>
    <w:rsid w:val="002F497F"/>
    <w:rsid w:val="002F55C3"/>
    <w:rsid w:val="002F7823"/>
    <w:rsid w:val="00302494"/>
    <w:rsid w:val="00303165"/>
    <w:rsid w:val="00303B8A"/>
    <w:rsid w:val="00304C4F"/>
    <w:rsid w:val="00304DAB"/>
    <w:rsid w:val="00304E2D"/>
    <w:rsid w:val="0030604E"/>
    <w:rsid w:val="00306149"/>
    <w:rsid w:val="003069EF"/>
    <w:rsid w:val="00306A53"/>
    <w:rsid w:val="003074BE"/>
    <w:rsid w:val="00307C81"/>
    <w:rsid w:val="00310FC7"/>
    <w:rsid w:val="00311E49"/>
    <w:rsid w:val="00311E60"/>
    <w:rsid w:val="00314E11"/>
    <w:rsid w:val="003151CC"/>
    <w:rsid w:val="003156B6"/>
    <w:rsid w:val="00315FF6"/>
    <w:rsid w:val="003163D1"/>
    <w:rsid w:val="00316674"/>
    <w:rsid w:val="00320758"/>
    <w:rsid w:val="003210AE"/>
    <w:rsid w:val="00324D93"/>
    <w:rsid w:val="003259B2"/>
    <w:rsid w:val="0032662E"/>
    <w:rsid w:val="003267B1"/>
    <w:rsid w:val="0032684B"/>
    <w:rsid w:val="00326DE3"/>
    <w:rsid w:val="003274D7"/>
    <w:rsid w:val="003303E7"/>
    <w:rsid w:val="00330D3E"/>
    <w:rsid w:val="00331906"/>
    <w:rsid w:val="003323DC"/>
    <w:rsid w:val="00335AB2"/>
    <w:rsid w:val="00335BA2"/>
    <w:rsid w:val="00336357"/>
    <w:rsid w:val="00336404"/>
    <w:rsid w:val="0033646D"/>
    <w:rsid w:val="0033649B"/>
    <w:rsid w:val="003366AD"/>
    <w:rsid w:val="00337297"/>
    <w:rsid w:val="00337851"/>
    <w:rsid w:val="0034020D"/>
    <w:rsid w:val="00340820"/>
    <w:rsid w:val="00341CA2"/>
    <w:rsid w:val="00341E35"/>
    <w:rsid w:val="00342CBB"/>
    <w:rsid w:val="003434B3"/>
    <w:rsid w:val="00344151"/>
    <w:rsid w:val="003448BE"/>
    <w:rsid w:val="00344B7A"/>
    <w:rsid w:val="003456BD"/>
    <w:rsid w:val="0034597A"/>
    <w:rsid w:val="0034637F"/>
    <w:rsid w:val="00346614"/>
    <w:rsid w:val="00346A1F"/>
    <w:rsid w:val="00346CE9"/>
    <w:rsid w:val="00347BF9"/>
    <w:rsid w:val="00347C43"/>
    <w:rsid w:val="00347DB1"/>
    <w:rsid w:val="0035188E"/>
    <w:rsid w:val="003518D9"/>
    <w:rsid w:val="00351B64"/>
    <w:rsid w:val="00353755"/>
    <w:rsid w:val="00354624"/>
    <w:rsid w:val="003550F1"/>
    <w:rsid w:val="003565B6"/>
    <w:rsid w:val="00356F8E"/>
    <w:rsid w:val="0035713C"/>
    <w:rsid w:val="0035763B"/>
    <w:rsid w:val="00360149"/>
    <w:rsid w:val="00360A5B"/>
    <w:rsid w:val="00361D75"/>
    <w:rsid w:val="00362CBB"/>
    <w:rsid w:val="00363332"/>
    <w:rsid w:val="00364B87"/>
    <w:rsid w:val="003655FC"/>
    <w:rsid w:val="00366A37"/>
    <w:rsid w:val="00370097"/>
    <w:rsid w:val="00370EE3"/>
    <w:rsid w:val="00371B75"/>
    <w:rsid w:val="0037468D"/>
    <w:rsid w:val="00375582"/>
    <w:rsid w:val="003760A6"/>
    <w:rsid w:val="00376283"/>
    <w:rsid w:val="00380052"/>
    <w:rsid w:val="003803E1"/>
    <w:rsid w:val="00380C99"/>
    <w:rsid w:val="00380DC5"/>
    <w:rsid w:val="00382178"/>
    <w:rsid w:val="00382293"/>
    <w:rsid w:val="003854BA"/>
    <w:rsid w:val="00385574"/>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DBD"/>
    <w:rsid w:val="003A34C2"/>
    <w:rsid w:val="003A3631"/>
    <w:rsid w:val="003A3CAA"/>
    <w:rsid w:val="003A6996"/>
    <w:rsid w:val="003A6CE6"/>
    <w:rsid w:val="003A70BD"/>
    <w:rsid w:val="003B09FA"/>
    <w:rsid w:val="003B0F79"/>
    <w:rsid w:val="003B149B"/>
    <w:rsid w:val="003B1846"/>
    <w:rsid w:val="003B1B30"/>
    <w:rsid w:val="003B20EA"/>
    <w:rsid w:val="003B2458"/>
    <w:rsid w:val="003B2FCA"/>
    <w:rsid w:val="003B2FE1"/>
    <w:rsid w:val="003B36BC"/>
    <w:rsid w:val="003B3B75"/>
    <w:rsid w:val="003B4027"/>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1A43"/>
    <w:rsid w:val="003D1DDC"/>
    <w:rsid w:val="003D2104"/>
    <w:rsid w:val="003D2D9E"/>
    <w:rsid w:val="003D3A87"/>
    <w:rsid w:val="003D4A13"/>
    <w:rsid w:val="003D680B"/>
    <w:rsid w:val="003D6AAE"/>
    <w:rsid w:val="003D702F"/>
    <w:rsid w:val="003E03B5"/>
    <w:rsid w:val="003E04E3"/>
    <w:rsid w:val="003E0BEE"/>
    <w:rsid w:val="003E1435"/>
    <w:rsid w:val="003E15DE"/>
    <w:rsid w:val="003E19E2"/>
    <w:rsid w:val="003E568D"/>
    <w:rsid w:val="003E56E5"/>
    <w:rsid w:val="003E6112"/>
    <w:rsid w:val="003E61B4"/>
    <w:rsid w:val="003E6F6E"/>
    <w:rsid w:val="003E7E98"/>
    <w:rsid w:val="003F13A0"/>
    <w:rsid w:val="003F14F8"/>
    <w:rsid w:val="003F1540"/>
    <w:rsid w:val="003F21BE"/>
    <w:rsid w:val="003F22A9"/>
    <w:rsid w:val="003F3011"/>
    <w:rsid w:val="003F3483"/>
    <w:rsid w:val="003F395C"/>
    <w:rsid w:val="003F3A15"/>
    <w:rsid w:val="003F3E63"/>
    <w:rsid w:val="003F53B2"/>
    <w:rsid w:val="003F5437"/>
    <w:rsid w:val="003F5C04"/>
    <w:rsid w:val="003F6989"/>
    <w:rsid w:val="003F6F66"/>
    <w:rsid w:val="003F7595"/>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7462"/>
    <w:rsid w:val="00407814"/>
    <w:rsid w:val="00407A46"/>
    <w:rsid w:val="0041026B"/>
    <w:rsid w:val="004104BB"/>
    <w:rsid w:val="00410E7A"/>
    <w:rsid w:val="0041149D"/>
    <w:rsid w:val="00413879"/>
    <w:rsid w:val="004138E3"/>
    <w:rsid w:val="00414158"/>
    <w:rsid w:val="004143CB"/>
    <w:rsid w:val="00414440"/>
    <w:rsid w:val="00414EDF"/>
    <w:rsid w:val="004150B5"/>
    <w:rsid w:val="00415216"/>
    <w:rsid w:val="00415730"/>
    <w:rsid w:val="00417192"/>
    <w:rsid w:val="00417F46"/>
    <w:rsid w:val="00420230"/>
    <w:rsid w:val="00420910"/>
    <w:rsid w:val="00420E8C"/>
    <w:rsid w:val="00421EF3"/>
    <w:rsid w:val="004220F0"/>
    <w:rsid w:val="00423390"/>
    <w:rsid w:val="00423B7A"/>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07A4"/>
    <w:rsid w:val="0045179E"/>
    <w:rsid w:val="00454B38"/>
    <w:rsid w:val="00454FDA"/>
    <w:rsid w:val="004573C1"/>
    <w:rsid w:val="004573DA"/>
    <w:rsid w:val="00461324"/>
    <w:rsid w:val="004616DB"/>
    <w:rsid w:val="00462394"/>
    <w:rsid w:val="004626A6"/>
    <w:rsid w:val="00463870"/>
    <w:rsid w:val="00463958"/>
    <w:rsid w:val="00463B8D"/>
    <w:rsid w:val="00463D24"/>
    <w:rsid w:val="004653D7"/>
    <w:rsid w:val="0046584B"/>
    <w:rsid w:val="00466DBD"/>
    <w:rsid w:val="00470F85"/>
    <w:rsid w:val="00471D94"/>
    <w:rsid w:val="00471E40"/>
    <w:rsid w:val="00472F89"/>
    <w:rsid w:val="0047431C"/>
    <w:rsid w:val="0047489C"/>
    <w:rsid w:val="00474E03"/>
    <w:rsid w:val="004763D1"/>
    <w:rsid w:val="00476823"/>
    <w:rsid w:val="004771EE"/>
    <w:rsid w:val="004775F5"/>
    <w:rsid w:val="0048187E"/>
    <w:rsid w:val="00481954"/>
    <w:rsid w:val="00481F1C"/>
    <w:rsid w:val="004829E4"/>
    <w:rsid w:val="004837EA"/>
    <w:rsid w:val="004838BE"/>
    <w:rsid w:val="0048528A"/>
    <w:rsid w:val="0048622C"/>
    <w:rsid w:val="00486895"/>
    <w:rsid w:val="004868AE"/>
    <w:rsid w:val="00486CFF"/>
    <w:rsid w:val="00486D37"/>
    <w:rsid w:val="00487242"/>
    <w:rsid w:val="00487E2A"/>
    <w:rsid w:val="004918AF"/>
    <w:rsid w:val="00491AF4"/>
    <w:rsid w:val="004920FE"/>
    <w:rsid w:val="004926E0"/>
    <w:rsid w:val="00492F6C"/>
    <w:rsid w:val="0049455E"/>
    <w:rsid w:val="0049490A"/>
    <w:rsid w:val="00494C23"/>
    <w:rsid w:val="00495104"/>
    <w:rsid w:val="0049624A"/>
    <w:rsid w:val="004A1047"/>
    <w:rsid w:val="004A1079"/>
    <w:rsid w:val="004A289B"/>
    <w:rsid w:val="004A31D3"/>
    <w:rsid w:val="004A4060"/>
    <w:rsid w:val="004A4462"/>
    <w:rsid w:val="004A4650"/>
    <w:rsid w:val="004A471E"/>
    <w:rsid w:val="004A4877"/>
    <w:rsid w:val="004A4AC6"/>
    <w:rsid w:val="004A63B1"/>
    <w:rsid w:val="004A769F"/>
    <w:rsid w:val="004A7827"/>
    <w:rsid w:val="004B09B9"/>
    <w:rsid w:val="004B0D0A"/>
    <w:rsid w:val="004B1C43"/>
    <w:rsid w:val="004B20DA"/>
    <w:rsid w:val="004B218D"/>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53A"/>
    <w:rsid w:val="004C7F6C"/>
    <w:rsid w:val="004C7FB8"/>
    <w:rsid w:val="004D02A8"/>
    <w:rsid w:val="004D056A"/>
    <w:rsid w:val="004D0840"/>
    <w:rsid w:val="004D1BE6"/>
    <w:rsid w:val="004D27F7"/>
    <w:rsid w:val="004D2CF5"/>
    <w:rsid w:val="004D3350"/>
    <w:rsid w:val="004D372F"/>
    <w:rsid w:val="004D386D"/>
    <w:rsid w:val="004D3897"/>
    <w:rsid w:val="004D3D00"/>
    <w:rsid w:val="004D5071"/>
    <w:rsid w:val="004D645B"/>
    <w:rsid w:val="004D6D99"/>
    <w:rsid w:val="004D78B1"/>
    <w:rsid w:val="004E0DAB"/>
    <w:rsid w:val="004E106F"/>
    <w:rsid w:val="004E1262"/>
    <w:rsid w:val="004E2997"/>
    <w:rsid w:val="004E43C0"/>
    <w:rsid w:val="004E4448"/>
    <w:rsid w:val="004E4C97"/>
    <w:rsid w:val="004E4E02"/>
    <w:rsid w:val="004E59BC"/>
    <w:rsid w:val="004E6214"/>
    <w:rsid w:val="004E626F"/>
    <w:rsid w:val="004E6F38"/>
    <w:rsid w:val="004E7E48"/>
    <w:rsid w:val="004F0318"/>
    <w:rsid w:val="004F04DE"/>
    <w:rsid w:val="004F0844"/>
    <w:rsid w:val="004F2355"/>
    <w:rsid w:val="004F2CBF"/>
    <w:rsid w:val="004F36C4"/>
    <w:rsid w:val="004F5021"/>
    <w:rsid w:val="004F53E8"/>
    <w:rsid w:val="004F5AEF"/>
    <w:rsid w:val="004F65E3"/>
    <w:rsid w:val="00503407"/>
    <w:rsid w:val="00503575"/>
    <w:rsid w:val="00503907"/>
    <w:rsid w:val="00503F22"/>
    <w:rsid w:val="0050405D"/>
    <w:rsid w:val="0050426C"/>
    <w:rsid w:val="00504671"/>
    <w:rsid w:val="00504B14"/>
    <w:rsid w:val="00505AF7"/>
    <w:rsid w:val="00507222"/>
    <w:rsid w:val="00507945"/>
    <w:rsid w:val="00510212"/>
    <w:rsid w:val="00510240"/>
    <w:rsid w:val="00510AF8"/>
    <w:rsid w:val="00510BA5"/>
    <w:rsid w:val="00512204"/>
    <w:rsid w:val="00512269"/>
    <w:rsid w:val="0051564E"/>
    <w:rsid w:val="005156E3"/>
    <w:rsid w:val="00517361"/>
    <w:rsid w:val="005202D6"/>
    <w:rsid w:val="005204DC"/>
    <w:rsid w:val="0052180B"/>
    <w:rsid w:val="00521C90"/>
    <w:rsid w:val="00521E3D"/>
    <w:rsid w:val="0052308B"/>
    <w:rsid w:val="00523334"/>
    <w:rsid w:val="0052371C"/>
    <w:rsid w:val="00523A4F"/>
    <w:rsid w:val="00523D21"/>
    <w:rsid w:val="00523E69"/>
    <w:rsid w:val="005255E4"/>
    <w:rsid w:val="00525AF5"/>
    <w:rsid w:val="00530B23"/>
    <w:rsid w:val="00530D02"/>
    <w:rsid w:val="00531868"/>
    <w:rsid w:val="00531D78"/>
    <w:rsid w:val="0053208C"/>
    <w:rsid w:val="00532298"/>
    <w:rsid w:val="00533480"/>
    <w:rsid w:val="00534504"/>
    <w:rsid w:val="00534C54"/>
    <w:rsid w:val="00534ED3"/>
    <w:rsid w:val="005351BE"/>
    <w:rsid w:val="00535260"/>
    <w:rsid w:val="00535323"/>
    <w:rsid w:val="005358AC"/>
    <w:rsid w:val="00535CBE"/>
    <w:rsid w:val="00536431"/>
    <w:rsid w:val="00536B06"/>
    <w:rsid w:val="00537166"/>
    <w:rsid w:val="005378E3"/>
    <w:rsid w:val="00537FF5"/>
    <w:rsid w:val="00540734"/>
    <w:rsid w:val="00540CCB"/>
    <w:rsid w:val="00541F81"/>
    <w:rsid w:val="005426F8"/>
    <w:rsid w:val="0054275B"/>
    <w:rsid w:val="00542C37"/>
    <w:rsid w:val="00542CBD"/>
    <w:rsid w:val="005434FA"/>
    <w:rsid w:val="00544175"/>
    <w:rsid w:val="005441EF"/>
    <w:rsid w:val="00544958"/>
    <w:rsid w:val="00544B84"/>
    <w:rsid w:val="00544D61"/>
    <w:rsid w:val="0054510A"/>
    <w:rsid w:val="00546146"/>
    <w:rsid w:val="00547FE8"/>
    <w:rsid w:val="0055039F"/>
    <w:rsid w:val="005506D7"/>
    <w:rsid w:val="00551310"/>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1F4A"/>
    <w:rsid w:val="00572579"/>
    <w:rsid w:val="00572EF1"/>
    <w:rsid w:val="00573726"/>
    <w:rsid w:val="0057376D"/>
    <w:rsid w:val="00574D45"/>
    <w:rsid w:val="00574E5F"/>
    <w:rsid w:val="00575A72"/>
    <w:rsid w:val="00576092"/>
    <w:rsid w:val="00576F88"/>
    <w:rsid w:val="00580C77"/>
    <w:rsid w:val="00580E94"/>
    <w:rsid w:val="00580F24"/>
    <w:rsid w:val="00581D39"/>
    <w:rsid w:val="00582B1B"/>
    <w:rsid w:val="00582BA8"/>
    <w:rsid w:val="005840BF"/>
    <w:rsid w:val="00584D63"/>
    <w:rsid w:val="00585685"/>
    <w:rsid w:val="0058699C"/>
    <w:rsid w:val="00587AF6"/>
    <w:rsid w:val="00587C08"/>
    <w:rsid w:val="005901FB"/>
    <w:rsid w:val="005918C1"/>
    <w:rsid w:val="00592508"/>
    <w:rsid w:val="00592E74"/>
    <w:rsid w:val="0059540B"/>
    <w:rsid w:val="00595427"/>
    <w:rsid w:val="005955C0"/>
    <w:rsid w:val="0059632D"/>
    <w:rsid w:val="0059694E"/>
    <w:rsid w:val="005972FB"/>
    <w:rsid w:val="005976C9"/>
    <w:rsid w:val="005A0C9C"/>
    <w:rsid w:val="005A1986"/>
    <w:rsid w:val="005A1B45"/>
    <w:rsid w:val="005A2C4C"/>
    <w:rsid w:val="005A3E0B"/>
    <w:rsid w:val="005A542B"/>
    <w:rsid w:val="005A59F3"/>
    <w:rsid w:val="005A60CE"/>
    <w:rsid w:val="005A6357"/>
    <w:rsid w:val="005A6E8A"/>
    <w:rsid w:val="005A71F6"/>
    <w:rsid w:val="005A74A5"/>
    <w:rsid w:val="005B1300"/>
    <w:rsid w:val="005B1665"/>
    <w:rsid w:val="005B3057"/>
    <w:rsid w:val="005B48E4"/>
    <w:rsid w:val="005B4AC8"/>
    <w:rsid w:val="005B5A3E"/>
    <w:rsid w:val="005B6A22"/>
    <w:rsid w:val="005B71C6"/>
    <w:rsid w:val="005B7A1C"/>
    <w:rsid w:val="005B7AD2"/>
    <w:rsid w:val="005C0A5F"/>
    <w:rsid w:val="005C185C"/>
    <w:rsid w:val="005C1CE8"/>
    <w:rsid w:val="005C2391"/>
    <w:rsid w:val="005C28D0"/>
    <w:rsid w:val="005C2F7F"/>
    <w:rsid w:val="005C548C"/>
    <w:rsid w:val="005C6B18"/>
    <w:rsid w:val="005D0329"/>
    <w:rsid w:val="005D0839"/>
    <w:rsid w:val="005D133B"/>
    <w:rsid w:val="005D16A6"/>
    <w:rsid w:val="005D1E14"/>
    <w:rsid w:val="005D204C"/>
    <w:rsid w:val="005D263B"/>
    <w:rsid w:val="005D26C5"/>
    <w:rsid w:val="005D2B5A"/>
    <w:rsid w:val="005D354F"/>
    <w:rsid w:val="005D3CE5"/>
    <w:rsid w:val="005D6A7D"/>
    <w:rsid w:val="005D7961"/>
    <w:rsid w:val="005E05A1"/>
    <w:rsid w:val="005E13D4"/>
    <w:rsid w:val="005E1DB4"/>
    <w:rsid w:val="005E2FC6"/>
    <w:rsid w:val="005E3337"/>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BF5"/>
    <w:rsid w:val="005F3D8C"/>
    <w:rsid w:val="005F3DA1"/>
    <w:rsid w:val="005F5DBE"/>
    <w:rsid w:val="005F6C00"/>
    <w:rsid w:val="005F6E63"/>
    <w:rsid w:val="005F7A95"/>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3A79"/>
    <w:rsid w:val="0061593E"/>
    <w:rsid w:val="00617473"/>
    <w:rsid w:val="006174DF"/>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793"/>
    <w:rsid w:val="006370C1"/>
    <w:rsid w:val="006371FD"/>
    <w:rsid w:val="00640002"/>
    <w:rsid w:val="006407B1"/>
    <w:rsid w:val="00640943"/>
    <w:rsid w:val="0064210C"/>
    <w:rsid w:val="00642BCE"/>
    <w:rsid w:val="00644168"/>
    <w:rsid w:val="00644773"/>
    <w:rsid w:val="006473D5"/>
    <w:rsid w:val="00647F78"/>
    <w:rsid w:val="0065094B"/>
    <w:rsid w:val="006521E3"/>
    <w:rsid w:val="0065268F"/>
    <w:rsid w:val="0065309F"/>
    <w:rsid w:val="006530C8"/>
    <w:rsid w:val="0065350D"/>
    <w:rsid w:val="006537AC"/>
    <w:rsid w:val="00653886"/>
    <w:rsid w:val="00654609"/>
    <w:rsid w:val="00655572"/>
    <w:rsid w:val="006556FD"/>
    <w:rsid w:val="00655893"/>
    <w:rsid w:val="00655C16"/>
    <w:rsid w:val="00662666"/>
    <w:rsid w:val="00662AAD"/>
    <w:rsid w:val="00662D0A"/>
    <w:rsid w:val="006633DD"/>
    <w:rsid w:val="0066358D"/>
    <w:rsid w:val="00664DA8"/>
    <w:rsid w:val="006651AE"/>
    <w:rsid w:val="00665D69"/>
    <w:rsid w:val="006665A3"/>
    <w:rsid w:val="00666B3F"/>
    <w:rsid w:val="00666D0C"/>
    <w:rsid w:val="00667EA6"/>
    <w:rsid w:val="00672F6F"/>
    <w:rsid w:val="0067456C"/>
    <w:rsid w:val="00674590"/>
    <w:rsid w:val="00674A9A"/>
    <w:rsid w:val="00674D53"/>
    <w:rsid w:val="00674F3A"/>
    <w:rsid w:val="006752A4"/>
    <w:rsid w:val="00675BBA"/>
    <w:rsid w:val="00675D30"/>
    <w:rsid w:val="006769D6"/>
    <w:rsid w:val="00676E85"/>
    <w:rsid w:val="00677352"/>
    <w:rsid w:val="0067761A"/>
    <w:rsid w:val="00680AA9"/>
    <w:rsid w:val="00680BE0"/>
    <w:rsid w:val="00680F0F"/>
    <w:rsid w:val="0068124E"/>
    <w:rsid w:val="00681FC2"/>
    <w:rsid w:val="00682BEF"/>
    <w:rsid w:val="00683143"/>
    <w:rsid w:val="006836D0"/>
    <w:rsid w:val="00684309"/>
    <w:rsid w:val="00684A39"/>
    <w:rsid w:val="00684D09"/>
    <w:rsid w:val="00685BF2"/>
    <w:rsid w:val="0068777F"/>
    <w:rsid w:val="006939FE"/>
    <w:rsid w:val="00693F10"/>
    <w:rsid w:val="0069562A"/>
    <w:rsid w:val="00695D5C"/>
    <w:rsid w:val="00696700"/>
    <w:rsid w:val="00696F89"/>
    <w:rsid w:val="00697A36"/>
    <w:rsid w:val="00697D9E"/>
    <w:rsid w:val="006A0AFE"/>
    <w:rsid w:val="006A119A"/>
    <w:rsid w:val="006A1850"/>
    <w:rsid w:val="006A1C41"/>
    <w:rsid w:val="006A293A"/>
    <w:rsid w:val="006A2BC4"/>
    <w:rsid w:val="006A4298"/>
    <w:rsid w:val="006A5122"/>
    <w:rsid w:val="006A51D4"/>
    <w:rsid w:val="006A548E"/>
    <w:rsid w:val="006A561C"/>
    <w:rsid w:val="006A5702"/>
    <w:rsid w:val="006A7782"/>
    <w:rsid w:val="006B2383"/>
    <w:rsid w:val="006B2580"/>
    <w:rsid w:val="006B2B75"/>
    <w:rsid w:val="006B457E"/>
    <w:rsid w:val="006B5301"/>
    <w:rsid w:val="006B5AFC"/>
    <w:rsid w:val="006B72D7"/>
    <w:rsid w:val="006B782C"/>
    <w:rsid w:val="006B7D23"/>
    <w:rsid w:val="006C05C6"/>
    <w:rsid w:val="006C06EA"/>
    <w:rsid w:val="006C0A30"/>
    <w:rsid w:val="006C0E31"/>
    <w:rsid w:val="006C153E"/>
    <w:rsid w:val="006C20A7"/>
    <w:rsid w:val="006C2BD2"/>
    <w:rsid w:val="006C2F47"/>
    <w:rsid w:val="006C3E97"/>
    <w:rsid w:val="006C4A90"/>
    <w:rsid w:val="006C4BA4"/>
    <w:rsid w:val="006C4C19"/>
    <w:rsid w:val="006C64D3"/>
    <w:rsid w:val="006D023B"/>
    <w:rsid w:val="006D090E"/>
    <w:rsid w:val="006D0D97"/>
    <w:rsid w:val="006D207C"/>
    <w:rsid w:val="006D325A"/>
    <w:rsid w:val="006D4A2C"/>
    <w:rsid w:val="006D51EE"/>
    <w:rsid w:val="006D579E"/>
    <w:rsid w:val="006D5A67"/>
    <w:rsid w:val="006D5FE1"/>
    <w:rsid w:val="006D642A"/>
    <w:rsid w:val="006D795F"/>
    <w:rsid w:val="006D7BBD"/>
    <w:rsid w:val="006E184C"/>
    <w:rsid w:val="006E1860"/>
    <w:rsid w:val="006E2849"/>
    <w:rsid w:val="006E391F"/>
    <w:rsid w:val="006E4663"/>
    <w:rsid w:val="006E4EA2"/>
    <w:rsid w:val="006E5217"/>
    <w:rsid w:val="006E524C"/>
    <w:rsid w:val="006E53D0"/>
    <w:rsid w:val="006E693E"/>
    <w:rsid w:val="006F04D4"/>
    <w:rsid w:val="006F10D9"/>
    <w:rsid w:val="006F240C"/>
    <w:rsid w:val="006F2649"/>
    <w:rsid w:val="006F2CB0"/>
    <w:rsid w:val="006F3630"/>
    <w:rsid w:val="006F38AC"/>
    <w:rsid w:val="006F498A"/>
    <w:rsid w:val="006F5448"/>
    <w:rsid w:val="006F6E68"/>
    <w:rsid w:val="006F7A51"/>
    <w:rsid w:val="00700BAD"/>
    <w:rsid w:val="00701AE0"/>
    <w:rsid w:val="00702714"/>
    <w:rsid w:val="00703344"/>
    <w:rsid w:val="007034B0"/>
    <w:rsid w:val="007036EA"/>
    <w:rsid w:val="00703CC1"/>
    <w:rsid w:val="00704574"/>
    <w:rsid w:val="007047C3"/>
    <w:rsid w:val="00705CFB"/>
    <w:rsid w:val="007062A8"/>
    <w:rsid w:val="007069F3"/>
    <w:rsid w:val="00706C65"/>
    <w:rsid w:val="00710A83"/>
    <w:rsid w:val="00711814"/>
    <w:rsid w:val="0071212C"/>
    <w:rsid w:val="00713305"/>
    <w:rsid w:val="007133A5"/>
    <w:rsid w:val="00713571"/>
    <w:rsid w:val="00714738"/>
    <w:rsid w:val="007168B6"/>
    <w:rsid w:val="007168ED"/>
    <w:rsid w:val="007179D0"/>
    <w:rsid w:val="00720354"/>
    <w:rsid w:val="007204A5"/>
    <w:rsid w:val="00720A42"/>
    <w:rsid w:val="0072255B"/>
    <w:rsid w:val="0072279C"/>
    <w:rsid w:val="00723F4B"/>
    <w:rsid w:val="007240C8"/>
    <w:rsid w:val="007251C2"/>
    <w:rsid w:val="00731D1D"/>
    <w:rsid w:val="0073237A"/>
    <w:rsid w:val="00732480"/>
    <w:rsid w:val="00732BA8"/>
    <w:rsid w:val="00733943"/>
    <w:rsid w:val="00733DB0"/>
    <w:rsid w:val="007357AF"/>
    <w:rsid w:val="00735BE4"/>
    <w:rsid w:val="007365A2"/>
    <w:rsid w:val="0073675E"/>
    <w:rsid w:val="00737B15"/>
    <w:rsid w:val="007407C4"/>
    <w:rsid w:val="007415EA"/>
    <w:rsid w:val="00741C59"/>
    <w:rsid w:val="00741FF1"/>
    <w:rsid w:val="00742625"/>
    <w:rsid w:val="007435C2"/>
    <w:rsid w:val="00743E8C"/>
    <w:rsid w:val="00743F16"/>
    <w:rsid w:val="0074466D"/>
    <w:rsid w:val="00744CEA"/>
    <w:rsid w:val="00747B72"/>
    <w:rsid w:val="00750134"/>
    <w:rsid w:val="0075088B"/>
    <w:rsid w:val="00752149"/>
    <w:rsid w:val="00752661"/>
    <w:rsid w:val="00753958"/>
    <w:rsid w:val="007559EA"/>
    <w:rsid w:val="00755B17"/>
    <w:rsid w:val="00755D2B"/>
    <w:rsid w:val="00756427"/>
    <w:rsid w:val="00756AD7"/>
    <w:rsid w:val="007572D6"/>
    <w:rsid w:val="00757A8C"/>
    <w:rsid w:val="00761978"/>
    <w:rsid w:val="00763BF5"/>
    <w:rsid w:val="007641F4"/>
    <w:rsid w:val="0076426D"/>
    <w:rsid w:val="007645F0"/>
    <w:rsid w:val="00764C62"/>
    <w:rsid w:val="00765022"/>
    <w:rsid w:val="007657AC"/>
    <w:rsid w:val="00765C3C"/>
    <w:rsid w:val="0076749F"/>
    <w:rsid w:val="00767E3A"/>
    <w:rsid w:val="00772613"/>
    <w:rsid w:val="0077423A"/>
    <w:rsid w:val="0077432E"/>
    <w:rsid w:val="00774609"/>
    <w:rsid w:val="0077533E"/>
    <w:rsid w:val="007755F2"/>
    <w:rsid w:val="0077699D"/>
    <w:rsid w:val="007817CD"/>
    <w:rsid w:val="00781F92"/>
    <w:rsid w:val="00781FD1"/>
    <w:rsid w:val="0078332B"/>
    <w:rsid w:val="00783F9B"/>
    <w:rsid w:val="00786B8E"/>
    <w:rsid w:val="00787335"/>
    <w:rsid w:val="00790C07"/>
    <w:rsid w:val="00790C4B"/>
    <w:rsid w:val="00791AD5"/>
    <w:rsid w:val="00791E4C"/>
    <w:rsid w:val="00792A8F"/>
    <w:rsid w:val="00792FB6"/>
    <w:rsid w:val="007937AE"/>
    <w:rsid w:val="007944FA"/>
    <w:rsid w:val="0079592B"/>
    <w:rsid w:val="00795957"/>
    <w:rsid w:val="00795E7B"/>
    <w:rsid w:val="00796CAA"/>
    <w:rsid w:val="00796FE9"/>
    <w:rsid w:val="007970DA"/>
    <w:rsid w:val="007A03AD"/>
    <w:rsid w:val="007A15D0"/>
    <w:rsid w:val="007A211C"/>
    <w:rsid w:val="007A24C0"/>
    <w:rsid w:val="007A2AD1"/>
    <w:rsid w:val="007A2CEE"/>
    <w:rsid w:val="007A30DC"/>
    <w:rsid w:val="007A3BF6"/>
    <w:rsid w:val="007A465B"/>
    <w:rsid w:val="007A49A7"/>
    <w:rsid w:val="007A5BCB"/>
    <w:rsid w:val="007A719A"/>
    <w:rsid w:val="007A7BDE"/>
    <w:rsid w:val="007B06B8"/>
    <w:rsid w:val="007B0CAA"/>
    <w:rsid w:val="007B3918"/>
    <w:rsid w:val="007B3B06"/>
    <w:rsid w:val="007B518B"/>
    <w:rsid w:val="007B5BE8"/>
    <w:rsid w:val="007B71EE"/>
    <w:rsid w:val="007B7705"/>
    <w:rsid w:val="007C04E9"/>
    <w:rsid w:val="007C097F"/>
    <w:rsid w:val="007C14F7"/>
    <w:rsid w:val="007C1770"/>
    <w:rsid w:val="007C2047"/>
    <w:rsid w:val="007C29E9"/>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312"/>
    <w:rsid w:val="007E3654"/>
    <w:rsid w:val="007E75FA"/>
    <w:rsid w:val="007E7D40"/>
    <w:rsid w:val="007F0232"/>
    <w:rsid w:val="007F066F"/>
    <w:rsid w:val="007F355A"/>
    <w:rsid w:val="007F35AA"/>
    <w:rsid w:val="007F39C2"/>
    <w:rsid w:val="007F5A30"/>
    <w:rsid w:val="008000B1"/>
    <w:rsid w:val="008016F8"/>
    <w:rsid w:val="008017AA"/>
    <w:rsid w:val="00802B62"/>
    <w:rsid w:val="0080304B"/>
    <w:rsid w:val="00803C9E"/>
    <w:rsid w:val="008044D4"/>
    <w:rsid w:val="008047CE"/>
    <w:rsid w:val="008048D9"/>
    <w:rsid w:val="00810902"/>
    <w:rsid w:val="008118AF"/>
    <w:rsid w:val="00811B5E"/>
    <w:rsid w:val="00811BD9"/>
    <w:rsid w:val="00811D91"/>
    <w:rsid w:val="008122F7"/>
    <w:rsid w:val="0081230E"/>
    <w:rsid w:val="00812D0E"/>
    <w:rsid w:val="00813AB4"/>
    <w:rsid w:val="00814659"/>
    <w:rsid w:val="0081584E"/>
    <w:rsid w:val="008159EB"/>
    <w:rsid w:val="008165BC"/>
    <w:rsid w:val="00817FE3"/>
    <w:rsid w:val="00821439"/>
    <w:rsid w:val="00821C53"/>
    <w:rsid w:val="00822FE5"/>
    <w:rsid w:val="00823598"/>
    <w:rsid w:val="00823B3B"/>
    <w:rsid w:val="00823BED"/>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256"/>
    <w:rsid w:val="00846874"/>
    <w:rsid w:val="0085018C"/>
    <w:rsid w:val="008508EC"/>
    <w:rsid w:val="00850DF4"/>
    <w:rsid w:val="008516EA"/>
    <w:rsid w:val="00852292"/>
    <w:rsid w:val="00852432"/>
    <w:rsid w:val="008526D1"/>
    <w:rsid w:val="00853085"/>
    <w:rsid w:val="00853568"/>
    <w:rsid w:val="00855012"/>
    <w:rsid w:val="00855302"/>
    <w:rsid w:val="00856F02"/>
    <w:rsid w:val="00860373"/>
    <w:rsid w:val="008624FA"/>
    <w:rsid w:val="0086389E"/>
    <w:rsid w:val="008669E8"/>
    <w:rsid w:val="00866AD4"/>
    <w:rsid w:val="00866C03"/>
    <w:rsid w:val="00866C7B"/>
    <w:rsid w:val="00867967"/>
    <w:rsid w:val="00867C0A"/>
    <w:rsid w:val="008708ED"/>
    <w:rsid w:val="00870C62"/>
    <w:rsid w:val="00870C74"/>
    <w:rsid w:val="008712C4"/>
    <w:rsid w:val="0087189A"/>
    <w:rsid w:val="008725E1"/>
    <w:rsid w:val="00872601"/>
    <w:rsid w:val="00873124"/>
    <w:rsid w:val="0087411E"/>
    <w:rsid w:val="0087415B"/>
    <w:rsid w:val="008750DB"/>
    <w:rsid w:val="00875271"/>
    <w:rsid w:val="00875A6D"/>
    <w:rsid w:val="00876654"/>
    <w:rsid w:val="00877345"/>
    <w:rsid w:val="0087782B"/>
    <w:rsid w:val="00880BB4"/>
    <w:rsid w:val="00881920"/>
    <w:rsid w:val="00882452"/>
    <w:rsid w:val="0088329D"/>
    <w:rsid w:val="0088361C"/>
    <w:rsid w:val="0088389A"/>
    <w:rsid w:val="00887F85"/>
    <w:rsid w:val="0089052D"/>
    <w:rsid w:val="008906E6"/>
    <w:rsid w:val="00890D52"/>
    <w:rsid w:val="00890F77"/>
    <w:rsid w:val="008915C9"/>
    <w:rsid w:val="00892B35"/>
    <w:rsid w:val="0089318F"/>
    <w:rsid w:val="0089616A"/>
    <w:rsid w:val="0089628E"/>
    <w:rsid w:val="00896F4E"/>
    <w:rsid w:val="00897597"/>
    <w:rsid w:val="00897BA5"/>
    <w:rsid w:val="008A0B50"/>
    <w:rsid w:val="008A1ECC"/>
    <w:rsid w:val="008A20C1"/>
    <w:rsid w:val="008A287C"/>
    <w:rsid w:val="008A3611"/>
    <w:rsid w:val="008A4072"/>
    <w:rsid w:val="008A41C3"/>
    <w:rsid w:val="008A560A"/>
    <w:rsid w:val="008A61F2"/>
    <w:rsid w:val="008A74B5"/>
    <w:rsid w:val="008A7B13"/>
    <w:rsid w:val="008A7F6C"/>
    <w:rsid w:val="008B0B98"/>
    <w:rsid w:val="008B186E"/>
    <w:rsid w:val="008B2523"/>
    <w:rsid w:val="008B3B3F"/>
    <w:rsid w:val="008B441C"/>
    <w:rsid w:val="008B4AA9"/>
    <w:rsid w:val="008B60B9"/>
    <w:rsid w:val="008B64CC"/>
    <w:rsid w:val="008B68A6"/>
    <w:rsid w:val="008C1325"/>
    <w:rsid w:val="008C1791"/>
    <w:rsid w:val="008C3B02"/>
    <w:rsid w:val="008C3C1B"/>
    <w:rsid w:val="008C58F9"/>
    <w:rsid w:val="008C5CEB"/>
    <w:rsid w:val="008C6CAE"/>
    <w:rsid w:val="008C7316"/>
    <w:rsid w:val="008C7B1D"/>
    <w:rsid w:val="008C7D3E"/>
    <w:rsid w:val="008D0711"/>
    <w:rsid w:val="008D0C66"/>
    <w:rsid w:val="008D0C84"/>
    <w:rsid w:val="008D0EAA"/>
    <w:rsid w:val="008D0F3E"/>
    <w:rsid w:val="008D16FD"/>
    <w:rsid w:val="008D221C"/>
    <w:rsid w:val="008D3328"/>
    <w:rsid w:val="008D52BE"/>
    <w:rsid w:val="008D71D0"/>
    <w:rsid w:val="008D7F62"/>
    <w:rsid w:val="008E00BC"/>
    <w:rsid w:val="008E0D61"/>
    <w:rsid w:val="008E0E1F"/>
    <w:rsid w:val="008E13AD"/>
    <w:rsid w:val="008E433B"/>
    <w:rsid w:val="008E435A"/>
    <w:rsid w:val="008E57A9"/>
    <w:rsid w:val="008E624F"/>
    <w:rsid w:val="008E6325"/>
    <w:rsid w:val="008E6BEC"/>
    <w:rsid w:val="008E6D76"/>
    <w:rsid w:val="008E7168"/>
    <w:rsid w:val="008E7CBF"/>
    <w:rsid w:val="008F0197"/>
    <w:rsid w:val="008F0617"/>
    <w:rsid w:val="008F2742"/>
    <w:rsid w:val="008F299F"/>
    <w:rsid w:val="008F4BA3"/>
    <w:rsid w:val="008F4E6D"/>
    <w:rsid w:val="008F6DAF"/>
    <w:rsid w:val="008F6EDD"/>
    <w:rsid w:val="008F7123"/>
    <w:rsid w:val="008F74C6"/>
    <w:rsid w:val="008F769E"/>
    <w:rsid w:val="008F7FBD"/>
    <w:rsid w:val="0090073E"/>
    <w:rsid w:val="00901E4E"/>
    <w:rsid w:val="00904271"/>
    <w:rsid w:val="009043B6"/>
    <w:rsid w:val="00904742"/>
    <w:rsid w:val="0090497E"/>
    <w:rsid w:val="009050A2"/>
    <w:rsid w:val="00907FA7"/>
    <w:rsid w:val="00910B78"/>
    <w:rsid w:val="00911C72"/>
    <w:rsid w:val="00912793"/>
    <w:rsid w:val="009127FB"/>
    <w:rsid w:val="00913FC2"/>
    <w:rsid w:val="00914528"/>
    <w:rsid w:val="009146A1"/>
    <w:rsid w:val="0091474B"/>
    <w:rsid w:val="0091610A"/>
    <w:rsid w:val="009166F6"/>
    <w:rsid w:val="00916D24"/>
    <w:rsid w:val="009204BD"/>
    <w:rsid w:val="00920BDD"/>
    <w:rsid w:val="00920C1F"/>
    <w:rsid w:val="00921FD9"/>
    <w:rsid w:val="00922BC5"/>
    <w:rsid w:val="00922E2C"/>
    <w:rsid w:val="009234FD"/>
    <w:rsid w:val="00923FB2"/>
    <w:rsid w:val="009250C3"/>
    <w:rsid w:val="0092664D"/>
    <w:rsid w:val="00926D14"/>
    <w:rsid w:val="00927A89"/>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7F6C"/>
    <w:rsid w:val="00950857"/>
    <w:rsid w:val="00950DC6"/>
    <w:rsid w:val="00951856"/>
    <w:rsid w:val="00951ABA"/>
    <w:rsid w:val="00951F8A"/>
    <w:rsid w:val="0095228E"/>
    <w:rsid w:val="0095261A"/>
    <w:rsid w:val="0095281D"/>
    <w:rsid w:val="00954861"/>
    <w:rsid w:val="0095489B"/>
    <w:rsid w:val="00954947"/>
    <w:rsid w:val="00954D82"/>
    <w:rsid w:val="00955062"/>
    <w:rsid w:val="009555A6"/>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7794"/>
    <w:rsid w:val="00967AB5"/>
    <w:rsid w:val="00967C1D"/>
    <w:rsid w:val="00970229"/>
    <w:rsid w:val="009703E8"/>
    <w:rsid w:val="00970F1C"/>
    <w:rsid w:val="00971D5C"/>
    <w:rsid w:val="0097251D"/>
    <w:rsid w:val="00972629"/>
    <w:rsid w:val="00972F0C"/>
    <w:rsid w:val="00973629"/>
    <w:rsid w:val="00973887"/>
    <w:rsid w:val="009745B6"/>
    <w:rsid w:val="009745B9"/>
    <w:rsid w:val="00974C2C"/>
    <w:rsid w:val="00975108"/>
    <w:rsid w:val="00975B61"/>
    <w:rsid w:val="00977270"/>
    <w:rsid w:val="00980521"/>
    <w:rsid w:val="00980F85"/>
    <w:rsid w:val="0098243B"/>
    <w:rsid w:val="00982536"/>
    <w:rsid w:val="00985626"/>
    <w:rsid w:val="009861A1"/>
    <w:rsid w:val="009861AB"/>
    <w:rsid w:val="00986E67"/>
    <w:rsid w:val="00986F03"/>
    <w:rsid w:val="00987A03"/>
    <w:rsid w:val="00990D5F"/>
    <w:rsid w:val="009913CD"/>
    <w:rsid w:val="00993121"/>
    <w:rsid w:val="0099352B"/>
    <w:rsid w:val="00994E63"/>
    <w:rsid w:val="00995AA8"/>
    <w:rsid w:val="00995F9A"/>
    <w:rsid w:val="00997534"/>
    <w:rsid w:val="0099756B"/>
    <w:rsid w:val="0099758F"/>
    <w:rsid w:val="00997708"/>
    <w:rsid w:val="009A09DF"/>
    <w:rsid w:val="009A10EA"/>
    <w:rsid w:val="009A2768"/>
    <w:rsid w:val="009A2ED8"/>
    <w:rsid w:val="009A324C"/>
    <w:rsid w:val="009A3691"/>
    <w:rsid w:val="009A3A21"/>
    <w:rsid w:val="009A49E6"/>
    <w:rsid w:val="009A53BC"/>
    <w:rsid w:val="009A58A0"/>
    <w:rsid w:val="009A5F97"/>
    <w:rsid w:val="009A7CE3"/>
    <w:rsid w:val="009B0D0E"/>
    <w:rsid w:val="009B11DC"/>
    <w:rsid w:val="009B48C1"/>
    <w:rsid w:val="009B518F"/>
    <w:rsid w:val="009B52CE"/>
    <w:rsid w:val="009B554E"/>
    <w:rsid w:val="009B5894"/>
    <w:rsid w:val="009B594D"/>
    <w:rsid w:val="009B65B9"/>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479E"/>
    <w:rsid w:val="009E5DF3"/>
    <w:rsid w:val="009E6B1C"/>
    <w:rsid w:val="009E70FD"/>
    <w:rsid w:val="009F02B6"/>
    <w:rsid w:val="009F064F"/>
    <w:rsid w:val="009F1D19"/>
    <w:rsid w:val="009F294A"/>
    <w:rsid w:val="009F327C"/>
    <w:rsid w:val="009F3F49"/>
    <w:rsid w:val="009F4FDC"/>
    <w:rsid w:val="009F5A47"/>
    <w:rsid w:val="009F601B"/>
    <w:rsid w:val="009F6614"/>
    <w:rsid w:val="009F75F9"/>
    <w:rsid w:val="009F7FB4"/>
    <w:rsid w:val="009F7FF9"/>
    <w:rsid w:val="00A0000A"/>
    <w:rsid w:val="00A00E82"/>
    <w:rsid w:val="00A011DF"/>
    <w:rsid w:val="00A0149C"/>
    <w:rsid w:val="00A0167C"/>
    <w:rsid w:val="00A0249B"/>
    <w:rsid w:val="00A025F9"/>
    <w:rsid w:val="00A02B3F"/>
    <w:rsid w:val="00A02C63"/>
    <w:rsid w:val="00A03570"/>
    <w:rsid w:val="00A03580"/>
    <w:rsid w:val="00A03EFB"/>
    <w:rsid w:val="00A045CD"/>
    <w:rsid w:val="00A05272"/>
    <w:rsid w:val="00A06010"/>
    <w:rsid w:val="00A105B4"/>
    <w:rsid w:val="00A10944"/>
    <w:rsid w:val="00A111A8"/>
    <w:rsid w:val="00A11546"/>
    <w:rsid w:val="00A1199F"/>
    <w:rsid w:val="00A11C68"/>
    <w:rsid w:val="00A1272B"/>
    <w:rsid w:val="00A128B5"/>
    <w:rsid w:val="00A1322E"/>
    <w:rsid w:val="00A13BAB"/>
    <w:rsid w:val="00A140D0"/>
    <w:rsid w:val="00A150C2"/>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30E"/>
    <w:rsid w:val="00A27532"/>
    <w:rsid w:val="00A30409"/>
    <w:rsid w:val="00A30699"/>
    <w:rsid w:val="00A3156B"/>
    <w:rsid w:val="00A31C17"/>
    <w:rsid w:val="00A32B9D"/>
    <w:rsid w:val="00A32C22"/>
    <w:rsid w:val="00A33168"/>
    <w:rsid w:val="00A34675"/>
    <w:rsid w:val="00A347C4"/>
    <w:rsid w:val="00A349AC"/>
    <w:rsid w:val="00A35F50"/>
    <w:rsid w:val="00A35FF5"/>
    <w:rsid w:val="00A370C4"/>
    <w:rsid w:val="00A371AF"/>
    <w:rsid w:val="00A42505"/>
    <w:rsid w:val="00A43E5B"/>
    <w:rsid w:val="00A44FFE"/>
    <w:rsid w:val="00A46979"/>
    <w:rsid w:val="00A46A5D"/>
    <w:rsid w:val="00A46DDC"/>
    <w:rsid w:val="00A47562"/>
    <w:rsid w:val="00A50072"/>
    <w:rsid w:val="00A507D9"/>
    <w:rsid w:val="00A53E79"/>
    <w:rsid w:val="00A540E3"/>
    <w:rsid w:val="00A547A5"/>
    <w:rsid w:val="00A54D48"/>
    <w:rsid w:val="00A54DAF"/>
    <w:rsid w:val="00A5572F"/>
    <w:rsid w:val="00A56177"/>
    <w:rsid w:val="00A56267"/>
    <w:rsid w:val="00A57027"/>
    <w:rsid w:val="00A5737B"/>
    <w:rsid w:val="00A57498"/>
    <w:rsid w:val="00A57A95"/>
    <w:rsid w:val="00A6013E"/>
    <w:rsid w:val="00A60696"/>
    <w:rsid w:val="00A61D6E"/>
    <w:rsid w:val="00A6242C"/>
    <w:rsid w:val="00A62CB1"/>
    <w:rsid w:val="00A62F09"/>
    <w:rsid w:val="00A63382"/>
    <w:rsid w:val="00A6345F"/>
    <w:rsid w:val="00A63B0B"/>
    <w:rsid w:val="00A64362"/>
    <w:rsid w:val="00A668C9"/>
    <w:rsid w:val="00A675E1"/>
    <w:rsid w:val="00A67BFF"/>
    <w:rsid w:val="00A711FF"/>
    <w:rsid w:val="00A71E64"/>
    <w:rsid w:val="00A72675"/>
    <w:rsid w:val="00A73B34"/>
    <w:rsid w:val="00A74A0D"/>
    <w:rsid w:val="00A74E36"/>
    <w:rsid w:val="00A752B0"/>
    <w:rsid w:val="00A75F7A"/>
    <w:rsid w:val="00A763E9"/>
    <w:rsid w:val="00A771D7"/>
    <w:rsid w:val="00A779D0"/>
    <w:rsid w:val="00A77D52"/>
    <w:rsid w:val="00A80A17"/>
    <w:rsid w:val="00A80DBE"/>
    <w:rsid w:val="00A822EE"/>
    <w:rsid w:val="00A841EF"/>
    <w:rsid w:val="00A8497C"/>
    <w:rsid w:val="00A85E1C"/>
    <w:rsid w:val="00A86762"/>
    <w:rsid w:val="00A90125"/>
    <w:rsid w:val="00A902D2"/>
    <w:rsid w:val="00A90E30"/>
    <w:rsid w:val="00A92490"/>
    <w:rsid w:val="00A92896"/>
    <w:rsid w:val="00A9309A"/>
    <w:rsid w:val="00A93BF8"/>
    <w:rsid w:val="00A941B8"/>
    <w:rsid w:val="00A945FD"/>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3AE9"/>
    <w:rsid w:val="00AB44CA"/>
    <w:rsid w:val="00AB4F10"/>
    <w:rsid w:val="00AB51D5"/>
    <w:rsid w:val="00AB56AF"/>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D06C6"/>
    <w:rsid w:val="00AD0932"/>
    <w:rsid w:val="00AD1C5D"/>
    <w:rsid w:val="00AD2357"/>
    <w:rsid w:val="00AD274E"/>
    <w:rsid w:val="00AD2808"/>
    <w:rsid w:val="00AD291E"/>
    <w:rsid w:val="00AD2CBF"/>
    <w:rsid w:val="00AD3A89"/>
    <w:rsid w:val="00AD3E0D"/>
    <w:rsid w:val="00AD555C"/>
    <w:rsid w:val="00AD5A60"/>
    <w:rsid w:val="00AD5F4C"/>
    <w:rsid w:val="00AD7298"/>
    <w:rsid w:val="00AD76BB"/>
    <w:rsid w:val="00AE0888"/>
    <w:rsid w:val="00AE0D90"/>
    <w:rsid w:val="00AE2121"/>
    <w:rsid w:val="00AE21E7"/>
    <w:rsid w:val="00AE40F9"/>
    <w:rsid w:val="00AE4DBA"/>
    <w:rsid w:val="00AE5C76"/>
    <w:rsid w:val="00AF01D8"/>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D1"/>
    <w:rsid w:val="00B053EC"/>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44A6"/>
    <w:rsid w:val="00B245B2"/>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6ABD"/>
    <w:rsid w:val="00B37A8C"/>
    <w:rsid w:val="00B40387"/>
    <w:rsid w:val="00B40885"/>
    <w:rsid w:val="00B41AD8"/>
    <w:rsid w:val="00B41AF7"/>
    <w:rsid w:val="00B41FD3"/>
    <w:rsid w:val="00B423F0"/>
    <w:rsid w:val="00B42877"/>
    <w:rsid w:val="00B429A3"/>
    <w:rsid w:val="00B43731"/>
    <w:rsid w:val="00B44567"/>
    <w:rsid w:val="00B44AFA"/>
    <w:rsid w:val="00B45322"/>
    <w:rsid w:val="00B47F51"/>
    <w:rsid w:val="00B50117"/>
    <w:rsid w:val="00B508D2"/>
    <w:rsid w:val="00B5138F"/>
    <w:rsid w:val="00B514A7"/>
    <w:rsid w:val="00B516C2"/>
    <w:rsid w:val="00B51941"/>
    <w:rsid w:val="00B52F88"/>
    <w:rsid w:val="00B53282"/>
    <w:rsid w:val="00B532AA"/>
    <w:rsid w:val="00B540CC"/>
    <w:rsid w:val="00B546FC"/>
    <w:rsid w:val="00B567B2"/>
    <w:rsid w:val="00B569B4"/>
    <w:rsid w:val="00B56FD7"/>
    <w:rsid w:val="00B57385"/>
    <w:rsid w:val="00B57F14"/>
    <w:rsid w:val="00B60AF4"/>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807"/>
    <w:rsid w:val="00B77857"/>
    <w:rsid w:val="00B77F03"/>
    <w:rsid w:val="00B80A1B"/>
    <w:rsid w:val="00B80C7E"/>
    <w:rsid w:val="00B816D1"/>
    <w:rsid w:val="00B81C1A"/>
    <w:rsid w:val="00B83302"/>
    <w:rsid w:val="00B83B63"/>
    <w:rsid w:val="00B83C2E"/>
    <w:rsid w:val="00B84A96"/>
    <w:rsid w:val="00B84BE9"/>
    <w:rsid w:val="00B85677"/>
    <w:rsid w:val="00B85C3D"/>
    <w:rsid w:val="00B86B12"/>
    <w:rsid w:val="00B87126"/>
    <w:rsid w:val="00B87758"/>
    <w:rsid w:val="00B91450"/>
    <w:rsid w:val="00B91CBD"/>
    <w:rsid w:val="00B91E78"/>
    <w:rsid w:val="00B92933"/>
    <w:rsid w:val="00B92EE8"/>
    <w:rsid w:val="00B93C0A"/>
    <w:rsid w:val="00B944C4"/>
    <w:rsid w:val="00B95242"/>
    <w:rsid w:val="00B958BF"/>
    <w:rsid w:val="00B963D1"/>
    <w:rsid w:val="00B967DA"/>
    <w:rsid w:val="00B97547"/>
    <w:rsid w:val="00BA0009"/>
    <w:rsid w:val="00BA1504"/>
    <w:rsid w:val="00BA21E2"/>
    <w:rsid w:val="00BA2205"/>
    <w:rsid w:val="00BA2A73"/>
    <w:rsid w:val="00BA35A8"/>
    <w:rsid w:val="00BA4F0A"/>
    <w:rsid w:val="00BA4F13"/>
    <w:rsid w:val="00BA515C"/>
    <w:rsid w:val="00BA51EA"/>
    <w:rsid w:val="00BA6B39"/>
    <w:rsid w:val="00BA74F6"/>
    <w:rsid w:val="00BA750F"/>
    <w:rsid w:val="00BA7D2B"/>
    <w:rsid w:val="00BB0A38"/>
    <w:rsid w:val="00BB184C"/>
    <w:rsid w:val="00BB25B0"/>
    <w:rsid w:val="00BB3409"/>
    <w:rsid w:val="00BB349E"/>
    <w:rsid w:val="00BB3874"/>
    <w:rsid w:val="00BB3C60"/>
    <w:rsid w:val="00BB4017"/>
    <w:rsid w:val="00BB4744"/>
    <w:rsid w:val="00BB58A2"/>
    <w:rsid w:val="00BB63E9"/>
    <w:rsid w:val="00BB727F"/>
    <w:rsid w:val="00BC1465"/>
    <w:rsid w:val="00BC1B99"/>
    <w:rsid w:val="00BC407C"/>
    <w:rsid w:val="00BC4179"/>
    <w:rsid w:val="00BC476E"/>
    <w:rsid w:val="00BD030F"/>
    <w:rsid w:val="00BD0951"/>
    <w:rsid w:val="00BD1423"/>
    <w:rsid w:val="00BD1AD0"/>
    <w:rsid w:val="00BD2449"/>
    <w:rsid w:val="00BD24B4"/>
    <w:rsid w:val="00BD2FD3"/>
    <w:rsid w:val="00BD3ABA"/>
    <w:rsid w:val="00BD46FC"/>
    <w:rsid w:val="00BD549A"/>
    <w:rsid w:val="00BD5577"/>
    <w:rsid w:val="00BD5762"/>
    <w:rsid w:val="00BD5D12"/>
    <w:rsid w:val="00BD7A0F"/>
    <w:rsid w:val="00BE026E"/>
    <w:rsid w:val="00BE05D1"/>
    <w:rsid w:val="00BE0C7F"/>
    <w:rsid w:val="00BE0EA6"/>
    <w:rsid w:val="00BE2407"/>
    <w:rsid w:val="00BE28D0"/>
    <w:rsid w:val="00BE476F"/>
    <w:rsid w:val="00BE5416"/>
    <w:rsid w:val="00BE5578"/>
    <w:rsid w:val="00BE5B1D"/>
    <w:rsid w:val="00BE6705"/>
    <w:rsid w:val="00BE7522"/>
    <w:rsid w:val="00BE7B05"/>
    <w:rsid w:val="00BF02D1"/>
    <w:rsid w:val="00BF05CE"/>
    <w:rsid w:val="00BF127E"/>
    <w:rsid w:val="00BF29A1"/>
    <w:rsid w:val="00BF29EC"/>
    <w:rsid w:val="00BF4333"/>
    <w:rsid w:val="00BF599F"/>
    <w:rsid w:val="00BF63CB"/>
    <w:rsid w:val="00BF6C09"/>
    <w:rsid w:val="00C00136"/>
    <w:rsid w:val="00C0167F"/>
    <w:rsid w:val="00C023C9"/>
    <w:rsid w:val="00C024E0"/>
    <w:rsid w:val="00C0541E"/>
    <w:rsid w:val="00C0645F"/>
    <w:rsid w:val="00C110BD"/>
    <w:rsid w:val="00C1152B"/>
    <w:rsid w:val="00C11C0E"/>
    <w:rsid w:val="00C12ED8"/>
    <w:rsid w:val="00C134D4"/>
    <w:rsid w:val="00C142C5"/>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ECE"/>
    <w:rsid w:val="00C408F4"/>
    <w:rsid w:val="00C40995"/>
    <w:rsid w:val="00C417C1"/>
    <w:rsid w:val="00C41BBB"/>
    <w:rsid w:val="00C42899"/>
    <w:rsid w:val="00C42B14"/>
    <w:rsid w:val="00C44433"/>
    <w:rsid w:val="00C450FF"/>
    <w:rsid w:val="00C45682"/>
    <w:rsid w:val="00C456D6"/>
    <w:rsid w:val="00C471ED"/>
    <w:rsid w:val="00C4735F"/>
    <w:rsid w:val="00C50349"/>
    <w:rsid w:val="00C50E1B"/>
    <w:rsid w:val="00C51077"/>
    <w:rsid w:val="00C510E2"/>
    <w:rsid w:val="00C52B1D"/>
    <w:rsid w:val="00C5313B"/>
    <w:rsid w:val="00C53F0C"/>
    <w:rsid w:val="00C553C4"/>
    <w:rsid w:val="00C5600F"/>
    <w:rsid w:val="00C56B44"/>
    <w:rsid w:val="00C57847"/>
    <w:rsid w:val="00C57C36"/>
    <w:rsid w:val="00C60085"/>
    <w:rsid w:val="00C606D3"/>
    <w:rsid w:val="00C60B53"/>
    <w:rsid w:val="00C60F42"/>
    <w:rsid w:val="00C610E5"/>
    <w:rsid w:val="00C6141D"/>
    <w:rsid w:val="00C621D8"/>
    <w:rsid w:val="00C62CE8"/>
    <w:rsid w:val="00C62D41"/>
    <w:rsid w:val="00C64233"/>
    <w:rsid w:val="00C65FF8"/>
    <w:rsid w:val="00C665FE"/>
    <w:rsid w:val="00C66FA5"/>
    <w:rsid w:val="00C67982"/>
    <w:rsid w:val="00C67CF1"/>
    <w:rsid w:val="00C67F66"/>
    <w:rsid w:val="00C70049"/>
    <w:rsid w:val="00C716DC"/>
    <w:rsid w:val="00C72A50"/>
    <w:rsid w:val="00C73E81"/>
    <w:rsid w:val="00C758EC"/>
    <w:rsid w:val="00C76A9D"/>
    <w:rsid w:val="00C76DAC"/>
    <w:rsid w:val="00C81C60"/>
    <w:rsid w:val="00C827B4"/>
    <w:rsid w:val="00C84AEF"/>
    <w:rsid w:val="00C851A5"/>
    <w:rsid w:val="00C90821"/>
    <w:rsid w:val="00C9127C"/>
    <w:rsid w:val="00C91BA2"/>
    <w:rsid w:val="00C92833"/>
    <w:rsid w:val="00C94350"/>
    <w:rsid w:val="00C9623C"/>
    <w:rsid w:val="00C96E4C"/>
    <w:rsid w:val="00CA1932"/>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4CDA"/>
    <w:rsid w:val="00CB514D"/>
    <w:rsid w:val="00CB531F"/>
    <w:rsid w:val="00CB5341"/>
    <w:rsid w:val="00CB6111"/>
    <w:rsid w:val="00CB6246"/>
    <w:rsid w:val="00CB6351"/>
    <w:rsid w:val="00CB6FC8"/>
    <w:rsid w:val="00CB746D"/>
    <w:rsid w:val="00CC12C4"/>
    <w:rsid w:val="00CC150D"/>
    <w:rsid w:val="00CC1C53"/>
    <w:rsid w:val="00CC1E8E"/>
    <w:rsid w:val="00CC22E7"/>
    <w:rsid w:val="00CC237B"/>
    <w:rsid w:val="00CC2983"/>
    <w:rsid w:val="00CC38FD"/>
    <w:rsid w:val="00CC3C2A"/>
    <w:rsid w:val="00CC3FC2"/>
    <w:rsid w:val="00CC46D1"/>
    <w:rsid w:val="00CC49DD"/>
    <w:rsid w:val="00CC50C7"/>
    <w:rsid w:val="00CC52E4"/>
    <w:rsid w:val="00CC5426"/>
    <w:rsid w:val="00CC5622"/>
    <w:rsid w:val="00CC5690"/>
    <w:rsid w:val="00CC5E0A"/>
    <w:rsid w:val="00CC7830"/>
    <w:rsid w:val="00CD11E7"/>
    <w:rsid w:val="00CD1452"/>
    <w:rsid w:val="00CD1672"/>
    <w:rsid w:val="00CD1C21"/>
    <w:rsid w:val="00CD3300"/>
    <w:rsid w:val="00CD33BA"/>
    <w:rsid w:val="00CD56E1"/>
    <w:rsid w:val="00CD6AE7"/>
    <w:rsid w:val="00CD7084"/>
    <w:rsid w:val="00CD78A6"/>
    <w:rsid w:val="00CE069C"/>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205D"/>
    <w:rsid w:val="00CF2A31"/>
    <w:rsid w:val="00CF2CD9"/>
    <w:rsid w:val="00CF3A32"/>
    <w:rsid w:val="00CF3D18"/>
    <w:rsid w:val="00CF45E8"/>
    <w:rsid w:val="00CF47FB"/>
    <w:rsid w:val="00CF54D5"/>
    <w:rsid w:val="00CF5B14"/>
    <w:rsid w:val="00CF7AE8"/>
    <w:rsid w:val="00D001BC"/>
    <w:rsid w:val="00D01AF5"/>
    <w:rsid w:val="00D02A5B"/>
    <w:rsid w:val="00D02BAE"/>
    <w:rsid w:val="00D02C41"/>
    <w:rsid w:val="00D02DB5"/>
    <w:rsid w:val="00D038DF"/>
    <w:rsid w:val="00D03F49"/>
    <w:rsid w:val="00D04DF7"/>
    <w:rsid w:val="00D04F2E"/>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F0"/>
    <w:rsid w:val="00D16BB4"/>
    <w:rsid w:val="00D17B8B"/>
    <w:rsid w:val="00D17CC4"/>
    <w:rsid w:val="00D17F68"/>
    <w:rsid w:val="00D20D77"/>
    <w:rsid w:val="00D2106F"/>
    <w:rsid w:val="00D213D0"/>
    <w:rsid w:val="00D21A9A"/>
    <w:rsid w:val="00D22077"/>
    <w:rsid w:val="00D2246F"/>
    <w:rsid w:val="00D25881"/>
    <w:rsid w:val="00D25A6D"/>
    <w:rsid w:val="00D25CCD"/>
    <w:rsid w:val="00D25F6E"/>
    <w:rsid w:val="00D25FAA"/>
    <w:rsid w:val="00D27053"/>
    <w:rsid w:val="00D278D5"/>
    <w:rsid w:val="00D27FF9"/>
    <w:rsid w:val="00D311C1"/>
    <w:rsid w:val="00D31910"/>
    <w:rsid w:val="00D32821"/>
    <w:rsid w:val="00D3371D"/>
    <w:rsid w:val="00D339EF"/>
    <w:rsid w:val="00D33BA5"/>
    <w:rsid w:val="00D355CB"/>
    <w:rsid w:val="00D35E5C"/>
    <w:rsid w:val="00D3620F"/>
    <w:rsid w:val="00D406FA"/>
    <w:rsid w:val="00D41DEE"/>
    <w:rsid w:val="00D42143"/>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CD2"/>
    <w:rsid w:val="00D600F2"/>
    <w:rsid w:val="00D6075C"/>
    <w:rsid w:val="00D60868"/>
    <w:rsid w:val="00D608A5"/>
    <w:rsid w:val="00D63832"/>
    <w:rsid w:val="00D63AF4"/>
    <w:rsid w:val="00D64ACF"/>
    <w:rsid w:val="00D651BD"/>
    <w:rsid w:val="00D6539E"/>
    <w:rsid w:val="00D65746"/>
    <w:rsid w:val="00D65B82"/>
    <w:rsid w:val="00D66DC6"/>
    <w:rsid w:val="00D670C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80153"/>
    <w:rsid w:val="00D81086"/>
    <w:rsid w:val="00D82442"/>
    <w:rsid w:val="00D82A29"/>
    <w:rsid w:val="00D835E3"/>
    <w:rsid w:val="00D83B5A"/>
    <w:rsid w:val="00D85F37"/>
    <w:rsid w:val="00D867F5"/>
    <w:rsid w:val="00D87272"/>
    <w:rsid w:val="00D87B32"/>
    <w:rsid w:val="00D90AE6"/>
    <w:rsid w:val="00D90CC4"/>
    <w:rsid w:val="00D911AF"/>
    <w:rsid w:val="00D9173E"/>
    <w:rsid w:val="00D91EA6"/>
    <w:rsid w:val="00D921E0"/>
    <w:rsid w:val="00D922D4"/>
    <w:rsid w:val="00D93627"/>
    <w:rsid w:val="00D93912"/>
    <w:rsid w:val="00D95EFE"/>
    <w:rsid w:val="00D971B0"/>
    <w:rsid w:val="00D973E0"/>
    <w:rsid w:val="00D975EB"/>
    <w:rsid w:val="00D976F9"/>
    <w:rsid w:val="00DA197E"/>
    <w:rsid w:val="00DA4169"/>
    <w:rsid w:val="00DA53CC"/>
    <w:rsid w:val="00DA5834"/>
    <w:rsid w:val="00DA5A2F"/>
    <w:rsid w:val="00DA6588"/>
    <w:rsid w:val="00DA66E9"/>
    <w:rsid w:val="00DA67DE"/>
    <w:rsid w:val="00DA6E1E"/>
    <w:rsid w:val="00DB0A00"/>
    <w:rsid w:val="00DB18F4"/>
    <w:rsid w:val="00DB297A"/>
    <w:rsid w:val="00DB34F6"/>
    <w:rsid w:val="00DB39E8"/>
    <w:rsid w:val="00DB3FA8"/>
    <w:rsid w:val="00DB4BC6"/>
    <w:rsid w:val="00DB5BFA"/>
    <w:rsid w:val="00DB6BE7"/>
    <w:rsid w:val="00DB6E15"/>
    <w:rsid w:val="00DB6FA9"/>
    <w:rsid w:val="00DB7091"/>
    <w:rsid w:val="00DB7DC3"/>
    <w:rsid w:val="00DC0C1A"/>
    <w:rsid w:val="00DC1177"/>
    <w:rsid w:val="00DC12C3"/>
    <w:rsid w:val="00DC2106"/>
    <w:rsid w:val="00DC3990"/>
    <w:rsid w:val="00DC4B86"/>
    <w:rsid w:val="00DC4D44"/>
    <w:rsid w:val="00DC5F8A"/>
    <w:rsid w:val="00DC6A8E"/>
    <w:rsid w:val="00DC7F94"/>
    <w:rsid w:val="00DD019C"/>
    <w:rsid w:val="00DD02A6"/>
    <w:rsid w:val="00DD1C87"/>
    <w:rsid w:val="00DD2483"/>
    <w:rsid w:val="00DD34F8"/>
    <w:rsid w:val="00DD3FCE"/>
    <w:rsid w:val="00DD4135"/>
    <w:rsid w:val="00DD512C"/>
    <w:rsid w:val="00DD5491"/>
    <w:rsid w:val="00DD615D"/>
    <w:rsid w:val="00DD65D6"/>
    <w:rsid w:val="00DD6B8A"/>
    <w:rsid w:val="00DD7399"/>
    <w:rsid w:val="00DD7AC5"/>
    <w:rsid w:val="00DD7C18"/>
    <w:rsid w:val="00DE00E8"/>
    <w:rsid w:val="00DE1534"/>
    <w:rsid w:val="00DE191E"/>
    <w:rsid w:val="00DE3C58"/>
    <w:rsid w:val="00DE3DA5"/>
    <w:rsid w:val="00DE3E17"/>
    <w:rsid w:val="00DE6230"/>
    <w:rsid w:val="00DE675A"/>
    <w:rsid w:val="00DE7D0E"/>
    <w:rsid w:val="00DF0055"/>
    <w:rsid w:val="00DF0B05"/>
    <w:rsid w:val="00DF0BF6"/>
    <w:rsid w:val="00DF1B80"/>
    <w:rsid w:val="00DF1F11"/>
    <w:rsid w:val="00DF1F75"/>
    <w:rsid w:val="00DF216C"/>
    <w:rsid w:val="00DF21BC"/>
    <w:rsid w:val="00DF2B71"/>
    <w:rsid w:val="00DF37CB"/>
    <w:rsid w:val="00DF636E"/>
    <w:rsid w:val="00E004CC"/>
    <w:rsid w:val="00E00598"/>
    <w:rsid w:val="00E01FB7"/>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E4"/>
    <w:rsid w:val="00E171BA"/>
    <w:rsid w:val="00E171EA"/>
    <w:rsid w:val="00E17623"/>
    <w:rsid w:val="00E179A4"/>
    <w:rsid w:val="00E207BE"/>
    <w:rsid w:val="00E211D2"/>
    <w:rsid w:val="00E230A5"/>
    <w:rsid w:val="00E23437"/>
    <w:rsid w:val="00E23760"/>
    <w:rsid w:val="00E246ED"/>
    <w:rsid w:val="00E249F5"/>
    <w:rsid w:val="00E24FE2"/>
    <w:rsid w:val="00E26A6D"/>
    <w:rsid w:val="00E26B0E"/>
    <w:rsid w:val="00E27098"/>
    <w:rsid w:val="00E30021"/>
    <w:rsid w:val="00E319AD"/>
    <w:rsid w:val="00E322C1"/>
    <w:rsid w:val="00E34228"/>
    <w:rsid w:val="00E35D8E"/>
    <w:rsid w:val="00E40312"/>
    <w:rsid w:val="00E408E6"/>
    <w:rsid w:val="00E41CA8"/>
    <w:rsid w:val="00E42382"/>
    <w:rsid w:val="00E42932"/>
    <w:rsid w:val="00E44E53"/>
    <w:rsid w:val="00E4569D"/>
    <w:rsid w:val="00E46833"/>
    <w:rsid w:val="00E50599"/>
    <w:rsid w:val="00E5110A"/>
    <w:rsid w:val="00E51687"/>
    <w:rsid w:val="00E51C5B"/>
    <w:rsid w:val="00E522E8"/>
    <w:rsid w:val="00E524FA"/>
    <w:rsid w:val="00E52C03"/>
    <w:rsid w:val="00E52C89"/>
    <w:rsid w:val="00E53230"/>
    <w:rsid w:val="00E5361E"/>
    <w:rsid w:val="00E53BF0"/>
    <w:rsid w:val="00E53CD0"/>
    <w:rsid w:val="00E545BD"/>
    <w:rsid w:val="00E5475E"/>
    <w:rsid w:val="00E54F0E"/>
    <w:rsid w:val="00E54FC8"/>
    <w:rsid w:val="00E5648A"/>
    <w:rsid w:val="00E56E4C"/>
    <w:rsid w:val="00E5770F"/>
    <w:rsid w:val="00E578E0"/>
    <w:rsid w:val="00E57AFD"/>
    <w:rsid w:val="00E601D8"/>
    <w:rsid w:val="00E6022B"/>
    <w:rsid w:val="00E6078B"/>
    <w:rsid w:val="00E612EF"/>
    <w:rsid w:val="00E61B27"/>
    <w:rsid w:val="00E62133"/>
    <w:rsid w:val="00E62C57"/>
    <w:rsid w:val="00E637FD"/>
    <w:rsid w:val="00E63968"/>
    <w:rsid w:val="00E63B2D"/>
    <w:rsid w:val="00E64021"/>
    <w:rsid w:val="00E64B68"/>
    <w:rsid w:val="00E64D1A"/>
    <w:rsid w:val="00E64FFE"/>
    <w:rsid w:val="00E67E7E"/>
    <w:rsid w:val="00E67EE6"/>
    <w:rsid w:val="00E67EF4"/>
    <w:rsid w:val="00E7046A"/>
    <w:rsid w:val="00E70758"/>
    <w:rsid w:val="00E70F57"/>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4459"/>
    <w:rsid w:val="00E97C3B"/>
    <w:rsid w:val="00EA17CD"/>
    <w:rsid w:val="00EA3D83"/>
    <w:rsid w:val="00EA4069"/>
    <w:rsid w:val="00EA4636"/>
    <w:rsid w:val="00EA64CC"/>
    <w:rsid w:val="00EB0AED"/>
    <w:rsid w:val="00EB1333"/>
    <w:rsid w:val="00EB3C27"/>
    <w:rsid w:val="00EB5790"/>
    <w:rsid w:val="00EB5A7D"/>
    <w:rsid w:val="00EB6BF4"/>
    <w:rsid w:val="00EB72B4"/>
    <w:rsid w:val="00EB74C7"/>
    <w:rsid w:val="00EB759B"/>
    <w:rsid w:val="00EC0034"/>
    <w:rsid w:val="00EC0299"/>
    <w:rsid w:val="00EC0529"/>
    <w:rsid w:val="00EC0EDF"/>
    <w:rsid w:val="00EC17DF"/>
    <w:rsid w:val="00EC1F24"/>
    <w:rsid w:val="00EC228A"/>
    <w:rsid w:val="00EC2624"/>
    <w:rsid w:val="00EC3979"/>
    <w:rsid w:val="00EC4F02"/>
    <w:rsid w:val="00EC5F96"/>
    <w:rsid w:val="00EC6500"/>
    <w:rsid w:val="00ED1066"/>
    <w:rsid w:val="00ED253D"/>
    <w:rsid w:val="00ED316F"/>
    <w:rsid w:val="00ED3307"/>
    <w:rsid w:val="00ED4DA9"/>
    <w:rsid w:val="00ED5613"/>
    <w:rsid w:val="00ED5A45"/>
    <w:rsid w:val="00ED660C"/>
    <w:rsid w:val="00ED723A"/>
    <w:rsid w:val="00ED7C6A"/>
    <w:rsid w:val="00EE0A14"/>
    <w:rsid w:val="00EE301D"/>
    <w:rsid w:val="00EE47AA"/>
    <w:rsid w:val="00EE4D89"/>
    <w:rsid w:val="00EE513C"/>
    <w:rsid w:val="00EE5CFC"/>
    <w:rsid w:val="00EE717F"/>
    <w:rsid w:val="00EE7888"/>
    <w:rsid w:val="00EF0399"/>
    <w:rsid w:val="00EF165C"/>
    <w:rsid w:val="00EF1D41"/>
    <w:rsid w:val="00EF241C"/>
    <w:rsid w:val="00EF2ACC"/>
    <w:rsid w:val="00EF42D8"/>
    <w:rsid w:val="00EF52D7"/>
    <w:rsid w:val="00EF68E3"/>
    <w:rsid w:val="00EF741C"/>
    <w:rsid w:val="00F0197F"/>
    <w:rsid w:val="00F02F5C"/>
    <w:rsid w:val="00F036D0"/>
    <w:rsid w:val="00F03764"/>
    <w:rsid w:val="00F038AE"/>
    <w:rsid w:val="00F03FFD"/>
    <w:rsid w:val="00F040DD"/>
    <w:rsid w:val="00F04202"/>
    <w:rsid w:val="00F047DA"/>
    <w:rsid w:val="00F05374"/>
    <w:rsid w:val="00F062B5"/>
    <w:rsid w:val="00F0634B"/>
    <w:rsid w:val="00F06ED7"/>
    <w:rsid w:val="00F10040"/>
    <w:rsid w:val="00F1056A"/>
    <w:rsid w:val="00F108FD"/>
    <w:rsid w:val="00F116D4"/>
    <w:rsid w:val="00F12F45"/>
    <w:rsid w:val="00F13139"/>
    <w:rsid w:val="00F14BD7"/>
    <w:rsid w:val="00F154AA"/>
    <w:rsid w:val="00F15D1B"/>
    <w:rsid w:val="00F16407"/>
    <w:rsid w:val="00F2117B"/>
    <w:rsid w:val="00F21C6C"/>
    <w:rsid w:val="00F22522"/>
    <w:rsid w:val="00F2272D"/>
    <w:rsid w:val="00F2398B"/>
    <w:rsid w:val="00F23BFA"/>
    <w:rsid w:val="00F23C8A"/>
    <w:rsid w:val="00F24009"/>
    <w:rsid w:val="00F242C1"/>
    <w:rsid w:val="00F243E1"/>
    <w:rsid w:val="00F246ED"/>
    <w:rsid w:val="00F2472D"/>
    <w:rsid w:val="00F270EE"/>
    <w:rsid w:val="00F2733B"/>
    <w:rsid w:val="00F274A6"/>
    <w:rsid w:val="00F30014"/>
    <w:rsid w:val="00F301F6"/>
    <w:rsid w:val="00F32B40"/>
    <w:rsid w:val="00F3385F"/>
    <w:rsid w:val="00F3386F"/>
    <w:rsid w:val="00F344D5"/>
    <w:rsid w:val="00F347CA"/>
    <w:rsid w:val="00F35C34"/>
    <w:rsid w:val="00F35CD1"/>
    <w:rsid w:val="00F36C4F"/>
    <w:rsid w:val="00F37361"/>
    <w:rsid w:val="00F3785F"/>
    <w:rsid w:val="00F402E9"/>
    <w:rsid w:val="00F4072A"/>
    <w:rsid w:val="00F40F2D"/>
    <w:rsid w:val="00F41A96"/>
    <w:rsid w:val="00F41D0E"/>
    <w:rsid w:val="00F4224D"/>
    <w:rsid w:val="00F42EF8"/>
    <w:rsid w:val="00F44C8E"/>
    <w:rsid w:val="00F4625F"/>
    <w:rsid w:val="00F47530"/>
    <w:rsid w:val="00F47DB5"/>
    <w:rsid w:val="00F47FA4"/>
    <w:rsid w:val="00F53E0A"/>
    <w:rsid w:val="00F5416B"/>
    <w:rsid w:val="00F54D34"/>
    <w:rsid w:val="00F55586"/>
    <w:rsid w:val="00F55F73"/>
    <w:rsid w:val="00F56987"/>
    <w:rsid w:val="00F5789B"/>
    <w:rsid w:val="00F61F6B"/>
    <w:rsid w:val="00F6327A"/>
    <w:rsid w:val="00F63593"/>
    <w:rsid w:val="00F64EC9"/>
    <w:rsid w:val="00F658AD"/>
    <w:rsid w:val="00F6594A"/>
    <w:rsid w:val="00F65BC0"/>
    <w:rsid w:val="00F66C6B"/>
    <w:rsid w:val="00F67B9F"/>
    <w:rsid w:val="00F67E7A"/>
    <w:rsid w:val="00F7103B"/>
    <w:rsid w:val="00F72DE7"/>
    <w:rsid w:val="00F7348B"/>
    <w:rsid w:val="00F74D92"/>
    <w:rsid w:val="00F74FD1"/>
    <w:rsid w:val="00F7518B"/>
    <w:rsid w:val="00F7658A"/>
    <w:rsid w:val="00F7725D"/>
    <w:rsid w:val="00F77822"/>
    <w:rsid w:val="00F7799C"/>
    <w:rsid w:val="00F800AA"/>
    <w:rsid w:val="00F81200"/>
    <w:rsid w:val="00F8313C"/>
    <w:rsid w:val="00F83A46"/>
    <w:rsid w:val="00F84343"/>
    <w:rsid w:val="00F8488F"/>
    <w:rsid w:val="00F85A67"/>
    <w:rsid w:val="00F85D2D"/>
    <w:rsid w:val="00F86571"/>
    <w:rsid w:val="00F86D6A"/>
    <w:rsid w:val="00F90897"/>
    <w:rsid w:val="00F90FB8"/>
    <w:rsid w:val="00F91257"/>
    <w:rsid w:val="00F912CB"/>
    <w:rsid w:val="00F91CFF"/>
    <w:rsid w:val="00F93C56"/>
    <w:rsid w:val="00F9420E"/>
    <w:rsid w:val="00F94A06"/>
    <w:rsid w:val="00F94D5D"/>
    <w:rsid w:val="00F94EA7"/>
    <w:rsid w:val="00F95AAF"/>
    <w:rsid w:val="00F96592"/>
    <w:rsid w:val="00F96768"/>
    <w:rsid w:val="00F96C0A"/>
    <w:rsid w:val="00F96C0F"/>
    <w:rsid w:val="00F96CA8"/>
    <w:rsid w:val="00F97075"/>
    <w:rsid w:val="00FA07FF"/>
    <w:rsid w:val="00FA0999"/>
    <w:rsid w:val="00FA1E95"/>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50D0"/>
    <w:rsid w:val="00FB5F5E"/>
    <w:rsid w:val="00FB5FF4"/>
    <w:rsid w:val="00FC03B4"/>
    <w:rsid w:val="00FC3388"/>
    <w:rsid w:val="00FC4598"/>
    <w:rsid w:val="00FC4BFB"/>
    <w:rsid w:val="00FC631A"/>
    <w:rsid w:val="00FC6DD6"/>
    <w:rsid w:val="00FC6ED4"/>
    <w:rsid w:val="00FC71DD"/>
    <w:rsid w:val="00FC7635"/>
    <w:rsid w:val="00FD0B59"/>
    <w:rsid w:val="00FD1947"/>
    <w:rsid w:val="00FD1C54"/>
    <w:rsid w:val="00FD2769"/>
    <w:rsid w:val="00FD4D82"/>
    <w:rsid w:val="00FD633C"/>
    <w:rsid w:val="00FD757B"/>
    <w:rsid w:val="00FE0B0D"/>
    <w:rsid w:val="00FE24DC"/>
    <w:rsid w:val="00FE33A6"/>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5C54"/>
    <w:rsid w:val="00FF5F3B"/>
    <w:rsid w:val="00FF6DC8"/>
    <w:rsid w:val="00FF75B6"/>
    <w:rsid w:val="051833FB"/>
    <w:rsid w:val="186078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qFormat="1" w:uiPriority="0" w:semiHidden="0" w:name="HTML Address"/>
    <w:lsdException w:unhideWhenUsed="0" w:uiPriority="0" w:semiHidden="0" w:name="HTML Cite"/>
    <w:lsdException w:qFormat="1" w:uiPriority="0" w:semiHidden="0" w:name="HTML Code"/>
    <w:lsdException w:unhideWhenUsed="0"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zh-CN" w:bidi="ar-SA"/>
    </w:rPr>
  </w:style>
  <w:style w:type="paragraph" w:styleId="2">
    <w:name w:val="heading 1"/>
    <w:basedOn w:val="1"/>
    <w:next w:val="1"/>
    <w:link w:val="108"/>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82"/>
    <w:qFormat/>
    <w:uiPriority w:val="0"/>
    <w:pPr>
      <w:keepNext/>
      <w:spacing w:before="240" w:after="60"/>
      <w:outlineLvl w:val="1"/>
    </w:pPr>
    <w:rPr>
      <w:rFonts w:ascii="Cambria" w:hAnsi="Cambria"/>
      <w:b/>
      <w:bCs/>
      <w:i/>
      <w:iCs/>
      <w:sz w:val="28"/>
      <w:szCs w:val="28"/>
    </w:rPr>
  </w:style>
  <w:style w:type="paragraph" w:styleId="4">
    <w:name w:val="heading 3"/>
    <w:basedOn w:val="1"/>
    <w:next w:val="1"/>
    <w:link w:val="110"/>
    <w:qFormat/>
    <w:uiPriority w:val="0"/>
    <w:pPr>
      <w:keepNext/>
      <w:spacing w:before="240" w:after="60"/>
      <w:outlineLvl w:val="2"/>
    </w:pPr>
    <w:rPr>
      <w:rFonts w:ascii="Cambria" w:hAnsi="Cambria"/>
      <w:b/>
      <w:bCs/>
      <w:sz w:val="26"/>
      <w:szCs w:val="26"/>
    </w:rPr>
  </w:style>
  <w:style w:type="paragraph" w:styleId="5">
    <w:name w:val="heading 4"/>
    <w:basedOn w:val="1"/>
    <w:next w:val="1"/>
    <w:link w:val="111"/>
    <w:qFormat/>
    <w:uiPriority w:val="9"/>
    <w:pPr>
      <w:keepNext/>
      <w:spacing w:before="240" w:after="60"/>
      <w:outlineLvl w:val="3"/>
    </w:pPr>
    <w:rPr>
      <w:b/>
      <w:bCs/>
      <w:sz w:val="28"/>
      <w:szCs w:val="28"/>
    </w:rPr>
  </w:style>
  <w:style w:type="paragraph" w:styleId="6">
    <w:name w:val="heading 5"/>
    <w:basedOn w:val="1"/>
    <w:next w:val="1"/>
    <w:link w:val="112"/>
    <w:qFormat/>
    <w:uiPriority w:val="9"/>
    <w:pPr>
      <w:spacing w:before="240" w:after="60"/>
      <w:outlineLvl w:val="4"/>
    </w:pPr>
    <w:rPr>
      <w:b/>
      <w:bCs/>
      <w:i/>
      <w:iCs/>
      <w:sz w:val="26"/>
      <w:szCs w:val="26"/>
    </w:rPr>
  </w:style>
  <w:style w:type="paragraph" w:styleId="7">
    <w:name w:val="heading 6"/>
    <w:basedOn w:val="1"/>
    <w:next w:val="1"/>
    <w:link w:val="100"/>
    <w:qFormat/>
    <w:uiPriority w:val="9"/>
    <w:pPr>
      <w:spacing w:before="240" w:after="60"/>
      <w:outlineLvl w:val="5"/>
    </w:pPr>
    <w:rPr>
      <w:b/>
      <w:bCs/>
      <w:sz w:val="20"/>
      <w:szCs w:val="20"/>
    </w:rPr>
  </w:style>
  <w:style w:type="paragraph" w:styleId="8">
    <w:name w:val="heading 7"/>
    <w:basedOn w:val="1"/>
    <w:next w:val="1"/>
    <w:link w:val="114"/>
    <w:qFormat/>
    <w:uiPriority w:val="9"/>
    <w:pPr>
      <w:spacing w:before="240" w:after="60"/>
      <w:outlineLvl w:val="6"/>
    </w:pPr>
  </w:style>
  <w:style w:type="paragraph" w:styleId="9">
    <w:name w:val="heading 8"/>
    <w:basedOn w:val="1"/>
    <w:next w:val="1"/>
    <w:link w:val="115"/>
    <w:qFormat/>
    <w:uiPriority w:val="9"/>
    <w:pPr>
      <w:spacing w:before="240" w:after="60"/>
      <w:outlineLvl w:val="7"/>
    </w:pPr>
    <w:rPr>
      <w:i/>
      <w:iCs/>
    </w:rPr>
  </w:style>
  <w:style w:type="paragraph" w:styleId="10">
    <w:name w:val="heading 9"/>
    <w:basedOn w:val="1"/>
    <w:next w:val="1"/>
    <w:link w:val="116"/>
    <w:qFormat/>
    <w:uiPriority w:val="9"/>
    <w:pPr>
      <w:spacing w:before="240" w:after="60"/>
      <w:outlineLvl w:val="8"/>
    </w:pPr>
    <w:rPr>
      <w:rFonts w:ascii="Cambria" w:hAnsi="Cambria"/>
      <w:sz w:val="20"/>
      <w:szCs w:val="20"/>
    </w:rPr>
  </w:style>
  <w:style w:type="character" w:default="1" w:styleId="65">
    <w:name w:val="Default Paragraph Font"/>
    <w:unhideWhenUsed/>
    <w:uiPriority w:val="1"/>
  </w:style>
  <w:style w:type="table" w:default="1" w:styleId="61">
    <w:name w:val="Normal Table"/>
    <w:semiHidden/>
    <w:unhideWhenUsed/>
    <w:qFormat/>
    <w:uiPriority w:val="99"/>
    <w:tblPr>
      <w:tblStyle w:val="61"/>
      <w:tblCellMar>
        <w:top w:w="0" w:type="dxa"/>
        <w:left w:w="108" w:type="dxa"/>
        <w:bottom w:w="0" w:type="dxa"/>
        <w:right w:w="108" w:type="dxa"/>
      </w:tblCellMar>
    </w:tblPr>
    <w:trPr>
      <w:wBefore w:w="0" w:type="dxa"/>
    </w:trPr>
  </w:style>
  <w:style w:type="paragraph" w:styleId="11">
    <w:name w:val="List 3"/>
    <w:basedOn w:val="1"/>
    <w:unhideWhenUsed/>
    <w:uiPriority w:val="0"/>
    <w:pPr>
      <w:ind w:left="100" w:leftChars="400" w:hanging="200" w:hangingChars="200"/>
    </w:pPr>
  </w:style>
  <w:style w:type="paragraph" w:styleId="12">
    <w:name w:val="toc 7"/>
    <w:basedOn w:val="1"/>
    <w:next w:val="1"/>
    <w:uiPriority w:val="0"/>
    <w:pPr>
      <w:ind w:left="1260"/>
    </w:pPr>
    <w:rPr>
      <w:rFonts w:ascii="仿宋_GB2312" w:eastAsia="仿宋_GB2312"/>
      <w:sz w:val="18"/>
      <w:szCs w:val="18"/>
    </w:rPr>
  </w:style>
  <w:style w:type="paragraph" w:styleId="13">
    <w:name w:val="index 8"/>
    <w:basedOn w:val="1"/>
    <w:next w:val="1"/>
    <w:uiPriority w:val="0"/>
    <w:pPr>
      <w:ind w:left="1920" w:hanging="240"/>
    </w:pPr>
    <w:rPr>
      <w:rFonts w:ascii="仿宋_GB2312" w:eastAsia="仿宋_GB2312"/>
      <w:szCs w:val="28"/>
    </w:rPr>
  </w:style>
  <w:style w:type="paragraph" w:styleId="14">
    <w:name w:val="Normal Indent"/>
    <w:basedOn w:val="1"/>
    <w:link w:val="121"/>
    <w:qFormat/>
    <w:uiPriority w:val="0"/>
    <w:pPr>
      <w:adjustRightInd w:val="0"/>
      <w:snapToGrid w:val="0"/>
      <w:spacing w:line="480" w:lineRule="exact"/>
      <w:ind w:firstLine="567"/>
    </w:pPr>
    <w:rPr>
      <w:rFonts w:ascii="宋体"/>
      <w:snapToGrid w:val="0"/>
      <w:color w:val="000000"/>
      <w:kern w:val="28"/>
      <w:sz w:val="28"/>
      <w:szCs w:val="20"/>
    </w:rPr>
  </w:style>
  <w:style w:type="paragraph" w:styleId="15">
    <w:name w:val="caption"/>
    <w:basedOn w:val="1"/>
    <w:next w:val="1"/>
    <w:link w:val="620"/>
    <w:qFormat/>
    <w:uiPriority w:val="0"/>
    <w:pPr>
      <w:spacing w:after="480"/>
    </w:pPr>
    <w:rPr>
      <w:b/>
      <w:bCs/>
      <w:color w:val="4F81BD"/>
      <w:sz w:val="18"/>
      <w:szCs w:val="18"/>
      <w:lang w:eastAsia="en-US" w:bidi="en-US"/>
    </w:rPr>
  </w:style>
  <w:style w:type="paragraph" w:styleId="16">
    <w:name w:val="index 5"/>
    <w:basedOn w:val="1"/>
    <w:next w:val="1"/>
    <w:uiPriority w:val="0"/>
    <w:pPr>
      <w:ind w:left="1200" w:hanging="240"/>
    </w:pPr>
    <w:rPr>
      <w:rFonts w:ascii="仿宋_GB2312" w:eastAsia="仿宋_GB2312"/>
      <w:szCs w:val="28"/>
    </w:rPr>
  </w:style>
  <w:style w:type="paragraph" w:styleId="17">
    <w:name w:val="List Bullet"/>
    <w:basedOn w:val="18"/>
    <w:uiPriority w:val="0"/>
    <w:pPr>
      <w:numPr>
        <w:ilvl w:val="0"/>
        <w:numId w:val="1"/>
      </w:numPr>
      <w:tabs>
        <w:tab w:val="left" w:pos="840"/>
      </w:tabs>
      <w:spacing w:line="360" w:lineRule="auto"/>
      <w:ind w:right="720" w:firstLine="0" w:firstLineChars="0"/>
    </w:pPr>
    <w:rPr>
      <w:sz w:val="24"/>
      <w:szCs w:val="20"/>
    </w:rPr>
  </w:style>
  <w:style w:type="paragraph" w:styleId="18">
    <w:name w:val="List"/>
    <w:basedOn w:val="1"/>
    <w:uiPriority w:val="0"/>
    <w:pPr>
      <w:ind w:left="200" w:hanging="200" w:hangingChars="200"/>
    </w:pPr>
    <w:rPr>
      <w:rFonts w:ascii="仿宋_GB2312" w:eastAsia="仿宋_GB2312"/>
      <w:sz w:val="28"/>
      <w:szCs w:val="28"/>
    </w:rPr>
  </w:style>
  <w:style w:type="paragraph" w:styleId="19">
    <w:name w:val="Document Map"/>
    <w:basedOn w:val="1"/>
    <w:link w:val="133"/>
    <w:qFormat/>
    <w:uiPriority w:val="99"/>
    <w:pPr>
      <w:shd w:val="clear" w:color="auto" w:fill="000080"/>
    </w:pPr>
    <w:rPr>
      <w:sz w:val="20"/>
      <w:shd w:val="clear" w:color="auto" w:fill="000080"/>
    </w:rPr>
  </w:style>
  <w:style w:type="paragraph" w:styleId="20">
    <w:name w:val="annotation text"/>
    <w:basedOn w:val="1"/>
    <w:link w:val="164"/>
    <w:unhideWhenUsed/>
    <w:qFormat/>
    <w:uiPriority w:val="0"/>
    <w:rPr>
      <w:rFonts w:ascii="仿宋_GB2312" w:eastAsia="仿宋_GB2312"/>
      <w:kern w:val="2"/>
      <w:sz w:val="28"/>
      <w:szCs w:val="28"/>
    </w:rPr>
  </w:style>
  <w:style w:type="paragraph" w:styleId="21">
    <w:name w:val="index 6"/>
    <w:basedOn w:val="1"/>
    <w:next w:val="1"/>
    <w:uiPriority w:val="0"/>
    <w:pPr>
      <w:ind w:left="1440" w:hanging="240"/>
    </w:pPr>
    <w:rPr>
      <w:rFonts w:ascii="仿宋_GB2312" w:eastAsia="仿宋_GB2312"/>
      <w:szCs w:val="28"/>
    </w:rPr>
  </w:style>
  <w:style w:type="paragraph" w:styleId="22">
    <w:name w:val="Body Text 3"/>
    <w:basedOn w:val="1"/>
    <w:link w:val="118"/>
    <w:uiPriority w:val="0"/>
    <w:rPr>
      <w:rFonts w:ascii="宋体" w:hAnsi="宋体"/>
      <w:b/>
      <w:bCs/>
      <w:kern w:val="2"/>
    </w:rPr>
  </w:style>
  <w:style w:type="paragraph" w:styleId="23">
    <w:name w:val="Body Text"/>
    <w:basedOn w:val="1"/>
    <w:link w:val="106"/>
    <w:qFormat/>
    <w:uiPriority w:val="0"/>
    <w:rPr>
      <w:rFonts w:eastAsia="黑体"/>
      <w:b/>
      <w:bCs/>
      <w:spacing w:val="20"/>
      <w:kern w:val="52"/>
      <w:sz w:val="56"/>
    </w:rPr>
  </w:style>
  <w:style w:type="paragraph" w:styleId="24">
    <w:name w:val="Body Text Indent"/>
    <w:basedOn w:val="1"/>
    <w:link w:val="141"/>
    <w:qFormat/>
    <w:uiPriority w:val="0"/>
    <w:pPr>
      <w:spacing w:line="360" w:lineRule="auto"/>
      <w:ind w:firstLine="435"/>
    </w:pPr>
    <w:rPr>
      <w:kern w:val="2"/>
      <w:sz w:val="28"/>
    </w:rPr>
  </w:style>
  <w:style w:type="paragraph" w:styleId="25">
    <w:name w:val="List Number 3"/>
    <w:basedOn w:val="1"/>
    <w:uiPriority w:val="0"/>
    <w:pPr>
      <w:numPr>
        <w:ilvl w:val="0"/>
        <w:numId w:val="2"/>
      </w:numPr>
      <w:contextualSpacing/>
    </w:pPr>
    <w:rPr>
      <w:rFonts w:ascii="仿宋_GB2312" w:eastAsia="仿宋_GB2312"/>
      <w:sz w:val="28"/>
      <w:szCs w:val="28"/>
    </w:rPr>
  </w:style>
  <w:style w:type="paragraph" w:styleId="26">
    <w:name w:val="List 2"/>
    <w:basedOn w:val="18"/>
    <w:uiPriority w:val="0"/>
    <w:pPr>
      <w:spacing w:after="120" w:line="400" w:lineRule="exact"/>
      <w:ind w:left="0" w:firstLine="0" w:firstLineChars="0"/>
    </w:pPr>
    <w:rPr>
      <w:sz w:val="24"/>
      <w:szCs w:val="20"/>
    </w:rPr>
  </w:style>
  <w:style w:type="paragraph" w:styleId="27">
    <w:name w:val="List Bullet 2"/>
    <w:basedOn w:val="1"/>
    <w:uiPriority w:val="0"/>
    <w:pPr>
      <w:tabs>
        <w:tab w:val="left" w:pos="1440"/>
      </w:tabs>
      <w:ind w:left="1440" w:hanging="720"/>
    </w:pPr>
    <w:rPr>
      <w:rFonts w:ascii="Tahoma" w:hAnsi="Tahoma" w:eastAsia="仿宋_GB2312" w:cs="Tahoma"/>
      <w:szCs w:val="28"/>
      <w:lang w:val="en-US" w:eastAsia="en-US"/>
    </w:rPr>
  </w:style>
  <w:style w:type="paragraph" w:styleId="28">
    <w:name w:val="HTML Address"/>
    <w:basedOn w:val="1"/>
    <w:link w:val="429"/>
    <w:unhideWhenUsed/>
    <w:qFormat/>
    <w:uiPriority w:val="0"/>
    <w:rPr>
      <w:i/>
      <w:iCs/>
    </w:rPr>
  </w:style>
  <w:style w:type="paragraph" w:styleId="29">
    <w:name w:val="index 4"/>
    <w:basedOn w:val="1"/>
    <w:next w:val="1"/>
    <w:uiPriority w:val="0"/>
    <w:pPr>
      <w:ind w:left="960" w:hanging="240"/>
    </w:pPr>
    <w:rPr>
      <w:rFonts w:ascii="仿宋_GB2312" w:eastAsia="仿宋_GB2312"/>
      <w:szCs w:val="28"/>
    </w:rPr>
  </w:style>
  <w:style w:type="paragraph" w:styleId="30">
    <w:name w:val="toc 5"/>
    <w:basedOn w:val="1"/>
    <w:next w:val="1"/>
    <w:uiPriority w:val="0"/>
    <w:pPr>
      <w:ind w:left="840"/>
    </w:pPr>
    <w:rPr>
      <w:rFonts w:ascii="仿宋_GB2312" w:eastAsia="仿宋_GB2312"/>
      <w:sz w:val="18"/>
      <w:szCs w:val="18"/>
    </w:rPr>
  </w:style>
  <w:style w:type="paragraph" w:styleId="31">
    <w:name w:val="toc 3"/>
    <w:basedOn w:val="1"/>
    <w:next w:val="1"/>
    <w:qFormat/>
    <w:uiPriority w:val="39"/>
    <w:pPr>
      <w:ind w:left="420"/>
    </w:pPr>
    <w:rPr>
      <w:rFonts w:ascii="仿宋_GB2312" w:eastAsia="仿宋_GB2312"/>
      <w:i/>
      <w:iCs/>
      <w:sz w:val="20"/>
    </w:rPr>
  </w:style>
  <w:style w:type="paragraph" w:styleId="32">
    <w:name w:val="Plain Text"/>
    <w:basedOn w:val="1"/>
    <w:link w:val="87"/>
    <w:qFormat/>
    <w:uiPriority w:val="0"/>
    <w:rPr>
      <w:rFonts w:ascii="宋体" w:hAnsi="Courier New"/>
      <w:kern w:val="2"/>
      <w:sz w:val="21"/>
      <w:szCs w:val="20"/>
    </w:rPr>
  </w:style>
  <w:style w:type="paragraph" w:styleId="33">
    <w:name w:val="toc 8"/>
    <w:basedOn w:val="1"/>
    <w:next w:val="1"/>
    <w:uiPriority w:val="0"/>
    <w:pPr>
      <w:ind w:left="1470"/>
    </w:pPr>
    <w:rPr>
      <w:rFonts w:ascii="仿宋_GB2312" w:eastAsia="仿宋_GB2312"/>
      <w:sz w:val="18"/>
      <w:szCs w:val="18"/>
    </w:rPr>
  </w:style>
  <w:style w:type="paragraph" w:styleId="34">
    <w:name w:val="index 3"/>
    <w:basedOn w:val="1"/>
    <w:next w:val="1"/>
    <w:uiPriority w:val="0"/>
    <w:pPr>
      <w:ind w:left="720" w:hanging="240"/>
    </w:pPr>
    <w:rPr>
      <w:rFonts w:ascii="仿宋_GB2312" w:eastAsia="仿宋_GB2312"/>
      <w:szCs w:val="28"/>
    </w:rPr>
  </w:style>
  <w:style w:type="paragraph" w:styleId="35">
    <w:name w:val="Date"/>
    <w:basedOn w:val="1"/>
    <w:next w:val="1"/>
    <w:link w:val="137"/>
    <w:qFormat/>
    <w:uiPriority w:val="99"/>
    <w:pPr>
      <w:ind w:left="100" w:leftChars="2500"/>
    </w:pPr>
    <w:rPr>
      <w:kern w:val="2"/>
      <w:sz w:val="21"/>
      <w:szCs w:val="20"/>
    </w:rPr>
  </w:style>
  <w:style w:type="paragraph" w:styleId="36">
    <w:name w:val="Body Text Indent 2"/>
    <w:basedOn w:val="1"/>
    <w:link w:val="152"/>
    <w:uiPriority w:val="0"/>
    <w:pPr>
      <w:spacing w:line="432" w:lineRule="auto"/>
      <w:ind w:firstLine="480" w:firstLineChars="200"/>
    </w:pPr>
    <w:rPr>
      <w:kern w:val="2"/>
      <w:szCs w:val="21"/>
    </w:rPr>
  </w:style>
  <w:style w:type="paragraph" w:styleId="37">
    <w:name w:val="endnote text"/>
    <w:basedOn w:val="1"/>
    <w:link w:val="187"/>
    <w:uiPriority w:val="0"/>
    <w:pPr>
      <w:snapToGrid w:val="0"/>
    </w:pPr>
    <w:rPr>
      <w:rFonts w:ascii="仿宋_GB2312" w:eastAsia="仿宋_GB2312"/>
      <w:kern w:val="2"/>
      <w:sz w:val="28"/>
      <w:szCs w:val="28"/>
    </w:rPr>
  </w:style>
  <w:style w:type="paragraph" w:styleId="38">
    <w:name w:val="Balloon Text"/>
    <w:basedOn w:val="1"/>
    <w:link w:val="244"/>
    <w:semiHidden/>
    <w:qFormat/>
    <w:uiPriority w:val="99"/>
    <w:rPr>
      <w:kern w:val="2"/>
      <w:sz w:val="18"/>
      <w:szCs w:val="18"/>
    </w:rPr>
  </w:style>
  <w:style w:type="paragraph" w:styleId="39">
    <w:name w:val="footer"/>
    <w:basedOn w:val="1"/>
    <w:link w:val="125"/>
    <w:qFormat/>
    <w:uiPriority w:val="99"/>
    <w:pPr>
      <w:tabs>
        <w:tab w:val="center" w:pos="4153"/>
        <w:tab w:val="right" w:pos="8306"/>
      </w:tabs>
      <w:snapToGrid w:val="0"/>
    </w:pPr>
    <w:rPr>
      <w:kern w:val="2"/>
      <w:sz w:val="18"/>
      <w:szCs w:val="18"/>
    </w:rPr>
  </w:style>
  <w:style w:type="paragraph" w:styleId="40">
    <w:name w:val="header"/>
    <w:basedOn w:val="1"/>
    <w:link w:val="17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1">
    <w:name w:val="toc 1"/>
    <w:basedOn w:val="1"/>
    <w:next w:val="1"/>
    <w:qFormat/>
    <w:uiPriority w:val="39"/>
    <w:pPr>
      <w:spacing w:line="360" w:lineRule="auto"/>
    </w:pPr>
    <w:rPr>
      <w:rFonts w:eastAsia="仿宋_GB2312"/>
      <w:sz w:val="32"/>
    </w:rPr>
  </w:style>
  <w:style w:type="paragraph" w:styleId="42">
    <w:name w:val="toc 4"/>
    <w:basedOn w:val="1"/>
    <w:next w:val="1"/>
    <w:uiPriority w:val="0"/>
    <w:pPr>
      <w:ind w:left="630"/>
    </w:pPr>
    <w:rPr>
      <w:rFonts w:ascii="仿宋_GB2312" w:eastAsia="仿宋_GB2312"/>
      <w:sz w:val="18"/>
      <w:szCs w:val="18"/>
    </w:rPr>
  </w:style>
  <w:style w:type="paragraph" w:styleId="43">
    <w:name w:val="index heading"/>
    <w:basedOn w:val="1"/>
    <w:next w:val="44"/>
    <w:uiPriority w:val="0"/>
    <w:rPr>
      <w:rFonts w:ascii="仿宋_GB2312" w:eastAsia="仿宋_GB2312"/>
      <w:szCs w:val="28"/>
    </w:rPr>
  </w:style>
  <w:style w:type="paragraph" w:styleId="44">
    <w:name w:val="index 1"/>
    <w:basedOn w:val="1"/>
    <w:next w:val="1"/>
    <w:uiPriority w:val="0"/>
    <w:pPr>
      <w:spacing w:line="360" w:lineRule="auto"/>
      <w:ind w:left="240" w:hanging="240"/>
    </w:pPr>
    <w:rPr>
      <w:rFonts w:ascii="Arial" w:hAnsi="Arial" w:eastAsia="仿宋_GB2312" w:cs="Arial"/>
      <w:sz w:val="28"/>
      <w:szCs w:val="21"/>
    </w:rPr>
  </w:style>
  <w:style w:type="paragraph" w:styleId="45">
    <w:name w:val="Subtitle"/>
    <w:basedOn w:val="1"/>
    <w:next w:val="1"/>
    <w:link w:val="295"/>
    <w:qFormat/>
    <w:uiPriority w:val="11"/>
    <w:pPr>
      <w:spacing w:after="60"/>
      <w:jc w:val="center"/>
      <w:outlineLvl w:val="1"/>
    </w:pPr>
    <w:rPr>
      <w:rFonts w:ascii="Cambria" w:hAnsi="Cambria"/>
    </w:rPr>
  </w:style>
  <w:style w:type="paragraph" w:styleId="46">
    <w:name w:val="footnote text"/>
    <w:basedOn w:val="1"/>
    <w:link w:val="243"/>
    <w:qFormat/>
    <w:uiPriority w:val="0"/>
    <w:pPr>
      <w:snapToGrid w:val="0"/>
    </w:pPr>
    <w:rPr>
      <w:rFonts w:ascii="仿宋_GB2312" w:eastAsia="仿宋_GB2312"/>
      <w:kern w:val="2"/>
      <w:sz w:val="18"/>
      <w:szCs w:val="18"/>
    </w:rPr>
  </w:style>
  <w:style w:type="paragraph" w:styleId="47">
    <w:name w:val="toc 6"/>
    <w:basedOn w:val="1"/>
    <w:next w:val="1"/>
    <w:uiPriority w:val="0"/>
    <w:pPr>
      <w:ind w:left="1050"/>
    </w:pPr>
    <w:rPr>
      <w:rFonts w:ascii="仿宋_GB2312" w:eastAsia="仿宋_GB2312"/>
      <w:sz w:val="18"/>
      <w:szCs w:val="18"/>
    </w:rPr>
  </w:style>
  <w:style w:type="paragraph" w:styleId="48">
    <w:name w:val="Body Text Indent 3"/>
    <w:basedOn w:val="1"/>
    <w:link w:val="150"/>
    <w:uiPriority w:val="0"/>
    <w:pPr>
      <w:spacing w:line="540" w:lineRule="exact"/>
      <w:ind w:left="479" w:leftChars="228"/>
    </w:pPr>
    <w:rPr>
      <w:rFonts w:ascii="隶书" w:hAnsi="宋体" w:eastAsia="隶书"/>
      <w:kern w:val="2"/>
      <w:sz w:val="21"/>
    </w:rPr>
  </w:style>
  <w:style w:type="paragraph" w:styleId="49">
    <w:name w:val="index 7"/>
    <w:basedOn w:val="1"/>
    <w:next w:val="1"/>
    <w:uiPriority w:val="0"/>
    <w:pPr>
      <w:ind w:left="1680" w:hanging="240"/>
    </w:pPr>
    <w:rPr>
      <w:rFonts w:ascii="仿宋_GB2312" w:eastAsia="仿宋_GB2312"/>
      <w:szCs w:val="28"/>
    </w:rPr>
  </w:style>
  <w:style w:type="paragraph" w:styleId="50">
    <w:name w:val="index 9"/>
    <w:basedOn w:val="1"/>
    <w:next w:val="1"/>
    <w:uiPriority w:val="0"/>
    <w:pPr>
      <w:ind w:left="2160" w:hanging="240"/>
    </w:pPr>
    <w:rPr>
      <w:rFonts w:ascii="仿宋_GB2312" w:eastAsia="仿宋_GB2312"/>
      <w:szCs w:val="28"/>
    </w:rPr>
  </w:style>
  <w:style w:type="paragraph" w:styleId="51">
    <w:name w:val="table of figures"/>
    <w:basedOn w:val="1"/>
    <w:next w:val="1"/>
    <w:uiPriority w:val="0"/>
    <w:pPr>
      <w:ind w:left="480" w:hanging="480"/>
    </w:pPr>
    <w:rPr>
      <w:rFonts w:ascii="仿宋_GB2312" w:eastAsia="仿宋_GB2312"/>
      <w:szCs w:val="28"/>
    </w:rPr>
  </w:style>
  <w:style w:type="paragraph" w:styleId="52">
    <w:name w:val="toc 2"/>
    <w:basedOn w:val="1"/>
    <w:next w:val="1"/>
    <w:qFormat/>
    <w:uiPriority w:val="39"/>
    <w:pPr>
      <w:ind w:left="210"/>
    </w:pPr>
    <w:rPr>
      <w:rFonts w:ascii="仿宋_GB2312" w:eastAsia="仿宋_GB2312"/>
      <w:smallCaps/>
      <w:sz w:val="20"/>
    </w:rPr>
  </w:style>
  <w:style w:type="paragraph" w:styleId="53">
    <w:name w:val="toc 9"/>
    <w:basedOn w:val="1"/>
    <w:next w:val="1"/>
    <w:uiPriority w:val="0"/>
    <w:pPr>
      <w:ind w:left="1680"/>
    </w:pPr>
    <w:rPr>
      <w:rFonts w:ascii="仿宋_GB2312" w:eastAsia="仿宋_GB2312"/>
      <w:sz w:val="18"/>
      <w:szCs w:val="18"/>
    </w:rPr>
  </w:style>
  <w:style w:type="paragraph" w:styleId="54">
    <w:name w:val="Body Text 2"/>
    <w:basedOn w:val="1"/>
    <w:link w:val="126"/>
    <w:uiPriority w:val="0"/>
    <w:pPr>
      <w:spacing w:line="360" w:lineRule="auto"/>
    </w:pPr>
    <w:rPr>
      <w:kern w:val="2"/>
    </w:rPr>
  </w:style>
  <w:style w:type="paragraph" w:styleId="55">
    <w:name w:val="HTML Preformatted"/>
    <w:basedOn w:val="1"/>
    <w:link w:val="32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6">
    <w:name w:val="Normal (Web)"/>
    <w:basedOn w:val="1"/>
    <w:uiPriority w:val="99"/>
    <w:pPr>
      <w:spacing w:before="100" w:beforeAutospacing="1" w:after="100" w:afterAutospacing="1"/>
    </w:pPr>
    <w:rPr>
      <w:rFonts w:ascii="宋体" w:hAnsi="宋体"/>
    </w:rPr>
  </w:style>
  <w:style w:type="paragraph" w:styleId="57">
    <w:name w:val="index 2"/>
    <w:basedOn w:val="1"/>
    <w:next w:val="1"/>
    <w:uiPriority w:val="0"/>
    <w:pPr>
      <w:ind w:left="480" w:hanging="240"/>
    </w:pPr>
    <w:rPr>
      <w:rFonts w:ascii="仿宋_GB2312" w:eastAsia="仿宋_GB2312"/>
      <w:szCs w:val="28"/>
    </w:rPr>
  </w:style>
  <w:style w:type="paragraph" w:styleId="58">
    <w:name w:val="Title"/>
    <w:basedOn w:val="1"/>
    <w:next w:val="1"/>
    <w:link w:val="147"/>
    <w:qFormat/>
    <w:uiPriority w:val="10"/>
    <w:pPr>
      <w:spacing w:before="240" w:after="60"/>
      <w:jc w:val="center"/>
      <w:outlineLvl w:val="0"/>
    </w:pPr>
    <w:rPr>
      <w:rFonts w:ascii="Cambria" w:hAnsi="Cambria"/>
      <w:b/>
      <w:bCs/>
      <w:kern w:val="28"/>
      <w:sz w:val="32"/>
      <w:szCs w:val="32"/>
    </w:rPr>
  </w:style>
  <w:style w:type="paragraph" w:styleId="59">
    <w:name w:val="annotation subject"/>
    <w:basedOn w:val="20"/>
    <w:next w:val="20"/>
    <w:link w:val="145"/>
    <w:qFormat/>
    <w:uiPriority w:val="99"/>
    <w:rPr>
      <w:rFonts w:ascii="Calibri" w:eastAsia="宋体"/>
      <w:b/>
      <w:bCs/>
      <w:sz w:val="21"/>
      <w:szCs w:val="24"/>
    </w:rPr>
  </w:style>
  <w:style w:type="paragraph" w:styleId="60">
    <w:name w:val="Body Text First Indent"/>
    <w:basedOn w:val="23"/>
    <w:link w:val="134"/>
    <w:qFormat/>
    <w:uiPriority w:val="0"/>
    <w:pPr>
      <w:adjustRightInd w:val="0"/>
      <w:spacing w:after="120" w:line="360" w:lineRule="auto"/>
      <w:ind w:firstLine="420"/>
      <w:textAlignment w:val="baseline"/>
    </w:pPr>
    <w:rPr>
      <w:rFonts w:eastAsia="楷体_GB2312"/>
      <w:b w:val="0"/>
      <w:bCs w:val="0"/>
      <w:spacing w:val="0"/>
      <w:kern w:val="0"/>
      <w:sz w:val="24"/>
      <w:szCs w:val="20"/>
    </w:rPr>
  </w:style>
  <w:style w:type="table" w:styleId="62">
    <w:name w:val="Table Grid"/>
    <w:basedOn w:val="61"/>
    <w:qFormat/>
    <w:uiPriority w:val="59"/>
    <w:pPr>
      <w:widowControl w:val="0"/>
      <w:jc w:val="both"/>
    </w:p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1"/>
    <w:uiPriority w:val="0"/>
    <w:pPr>
      <w:widowControl w:val="0"/>
      <w:jc w:val="both"/>
    </w:pPr>
    <w:tblPr>
      <w:tblStyle w:val="6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1"/>
      </w:tblPr>
      <w:tcPr>
        <w:tcBorders>
          <w:tl2br w:val="nil"/>
          <w:tr2bl w:val="nil"/>
        </w:tcBorders>
      </w:tcPr>
    </w:tblStylePr>
  </w:style>
  <w:style w:type="table" w:styleId="64">
    <w:name w:val="Table Classic 1"/>
    <w:basedOn w:val="61"/>
    <w:uiPriority w:val="0"/>
    <w:pPr>
      <w:widowControl w:val="0"/>
      <w:jc w:val="both"/>
    </w:pPr>
    <w:tblPr>
      <w:tblStyle w:val="61"/>
      <w:tblBorders>
        <w:top w:val="single" w:color="000000" w:sz="12" w:space="0"/>
        <w:bottom w:val="single" w:color="000000" w:sz="12" w:space="0"/>
      </w:tblBorders>
    </w:tblPr>
    <w:tcPr>
      <w:shd w:val="clear" w:color="auto" w:fill="auto"/>
    </w:tcPr>
    <w:tblStylePr w:type="firstRow">
      <w:rPr>
        <w:i/>
        <w:iCs/>
      </w:rPr>
      <w:tblPr>
        <w:tblStyle w:val="61"/>
      </w:tblPr>
      <w:tcPr>
        <w:tcBorders>
          <w:left w:val="single" w:color="000000" w:sz="6" w:space="0"/>
          <w:tl2br w:val="nil"/>
          <w:tr2bl w:val="nil"/>
        </w:tcBorders>
      </w:tcPr>
    </w:tblStylePr>
    <w:tblStylePr w:type="lastRow">
      <w:rPr>
        <w:color w:val="auto"/>
      </w:rPr>
      <w:tblPr>
        <w:tblStyle w:val="61"/>
      </w:tblPr>
      <w:tcPr>
        <w:tcBorders>
          <w:top w:val="single" w:color="000000" w:sz="6" w:space="0"/>
          <w:tl2br w:val="nil"/>
          <w:tr2bl w:val="nil"/>
        </w:tcBorders>
      </w:tcPr>
    </w:tblStylePr>
    <w:tblStylePr w:type="firstCol">
      <w:tblPr>
        <w:tblStyle w:val="61"/>
      </w:tblPr>
      <w:tcPr>
        <w:tcBorders>
          <w:right w:val="single" w:color="000000" w:sz="6" w:space="0"/>
          <w:tl2br w:val="nil"/>
          <w:tr2bl w:val="nil"/>
        </w:tcBorders>
      </w:tcPr>
    </w:tblStylePr>
    <w:tblStylePr w:type="neCell">
      <w:rPr>
        <w:b/>
        <w:bCs/>
        <w:i w:val="0"/>
        <w:iCs w:val="0"/>
      </w:rPr>
      <w:tblPr>
        <w:tblStyle w:val="61"/>
      </w:tblPr>
      <w:tcPr>
        <w:tcBorders>
          <w:tl2br w:val="nil"/>
          <w:tr2bl w:val="nil"/>
        </w:tcBorders>
      </w:tcPr>
    </w:tblStylePr>
    <w:tblStylePr w:type="swCell">
      <w:rPr>
        <w:b/>
        <w:bCs/>
      </w:rPr>
      <w:tblPr>
        <w:tblStyle w:val="61"/>
      </w:tblPr>
      <w:tcPr>
        <w:tcBorders>
          <w:tl2br w:val="nil"/>
          <w:tr2bl w:val="nil"/>
        </w:tcBorders>
      </w:tcPr>
    </w:tblStylePr>
  </w:style>
  <w:style w:type="character" w:styleId="66">
    <w:name w:val="Strong"/>
    <w:qFormat/>
    <w:uiPriority w:val="22"/>
    <w:rPr>
      <w:b/>
      <w:bCs/>
    </w:rPr>
  </w:style>
  <w:style w:type="character" w:styleId="67">
    <w:name w:val="endnote reference"/>
    <w:uiPriority w:val="0"/>
    <w:rPr>
      <w:vertAlign w:val="superscript"/>
    </w:rPr>
  </w:style>
  <w:style w:type="character" w:styleId="68">
    <w:name w:val="page number"/>
    <w:basedOn w:val="65"/>
    <w:qFormat/>
    <w:uiPriority w:val="0"/>
  </w:style>
  <w:style w:type="character" w:styleId="69">
    <w:name w:val="FollowedHyperlink"/>
    <w:uiPriority w:val="99"/>
    <w:rPr>
      <w:color w:val="800080"/>
      <w:u w:val="single"/>
    </w:rPr>
  </w:style>
  <w:style w:type="character" w:styleId="70">
    <w:name w:val="Emphasis"/>
    <w:qFormat/>
    <w:uiPriority w:val="20"/>
    <w:rPr>
      <w:rFonts w:ascii="Calibri" w:hAnsi="Calibri"/>
      <w:b/>
      <w:i/>
      <w:iCs/>
    </w:rPr>
  </w:style>
  <w:style w:type="character" w:styleId="71">
    <w:name w:val="HTML Typewriter"/>
    <w:unhideWhenUsed/>
    <w:qFormat/>
    <w:uiPriority w:val="0"/>
    <w:rPr>
      <w:rFonts w:hint="default" w:ascii="Courier New" w:hAnsi="Courier New" w:eastAsia="Times New Roman" w:cs="Times New Roman"/>
      <w:sz w:val="24"/>
      <w:szCs w:val="24"/>
    </w:rPr>
  </w:style>
  <w:style w:type="character" w:styleId="72">
    <w:name w:val="Hyperlink"/>
    <w:qFormat/>
    <w:uiPriority w:val="99"/>
    <w:rPr>
      <w:color w:val="0000FF"/>
      <w:u w:val="single"/>
    </w:rPr>
  </w:style>
  <w:style w:type="character" w:styleId="73">
    <w:name w:val="HTML Code"/>
    <w:unhideWhenUsed/>
    <w:qFormat/>
    <w:uiPriority w:val="0"/>
    <w:rPr>
      <w:rFonts w:hint="default" w:ascii="Courier New" w:hAnsi="Courier New" w:eastAsia="Times New Roman" w:cs="Times New Roman"/>
      <w:sz w:val="24"/>
      <w:szCs w:val="24"/>
    </w:rPr>
  </w:style>
  <w:style w:type="character" w:styleId="74">
    <w:name w:val="annotation reference"/>
    <w:qFormat/>
    <w:uiPriority w:val="99"/>
    <w:rPr>
      <w:sz w:val="21"/>
      <w:szCs w:val="21"/>
    </w:rPr>
  </w:style>
  <w:style w:type="character" w:styleId="75">
    <w:name w:val="footnote reference"/>
    <w:uiPriority w:val="0"/>
    <w:rPr>
      <w:vertAlign w:val="superscript"/>
    </w:rPr>
  </w:style>
  <w:style w:type="character" w:styleId="76">
    <w:name w:val="HTML Keyboard"/>
    <w:unhideWhenUsed/>
    <w:qFormat/>
    <w:uiPriority w:val="0"/>
    <w:rPr>
      <w:rFonts w:hint="default" w:ascii="Courier New" w:hAnsi="Courier New" w:eastAsia="Times New Roman" w:cs="Times New Roman"/>
      <w:sz w:val="24"/>
      <w:szCs w:val="24"/>
    </w:rPr>
  </w:style>
  <w:style w:type="character" w:styleId="77">
    <w:name w:val="HTML Sample"/>
    <w:unhideWhenUsed/>
    <w:qFormat/>
    <w:uiPriority w:val="0"/>
    <w:rPr>
      <w:rFonts w:hint="default" w:ascii="Courier New" w:hAnsi="Courier New" w:eastAsia="Times New Roman" w:cs="Times New Roman"/>
    </w:rPr>
  </w:style>
  <w:style w:type="character" w:customStyle="1" w:styleId="78">
    <w:name w:val="访问过的超链接"/>
    <w:qFormat/>
    <w:uiPriority w:val="99"/>
    <w:rPr>
      <w:color w:val="800080"/>
      <w:u w:val="single"/>
    </w:rPr>
  </w:style>
  <w:style w:type="paragraph" w:customStyle="1" w:styleId="79">
    <w:name w:val="Char"/>
    <w:basedOn w:val="1"/>
    <w:uiPriority w:val="0"/>
    <w:rPr>
      <w:rFonts w:ascii="仿宋_GB2312" w:eastAsia="仿宋_GB2312"/>
      <w:b/>
      <w:sz w:val="32"/>
      <w:szCs w:val="32"/>
    </w:rPr>
  </w:style>
  <w:style w:type="character" w:customStyle="1" w:styleId="80">
    <w:name w:val="large1"/>
    <w:uiPriority w:val="0"/>
    <w:rPr>
      <w:rFonts w:hint="eastAsia" w:ascii="宋体" w:hAnsi="宋体" w:eastAsia="宋体"/>
      <w:sz w:val="21"/>
      <w:szCs w:val="21"/>
    </w:rPr>
  </w:style>
  <w:style w:type="paragraph" w:customStyle="1" w:styleId="81">
    <w:name w:val="p0"/>
    <w:basedOn w:val="1"/>
    <w:uiPriority w:val="0"/>
    <w:rPr>
      <w:rFonts w:ascii="仿宋_GB2312" w:hAnsi="宋体" w:eastAsia="仿宋_GB2312" w:cs="宋体"/>
      <w:sz w:val="28"/>
      <w:szCs w:val="28"/>
    </w:rPr>
  </w:style>
  <w:style w:type="character" w:customStyle="1" w:styleId="82">
    <w:name w:val="标题 2 Char"/>
    <w:aliases w:val="Heading 2 Hidden Char3,Heading 2 CCBS Char3,heading 2 Char3,H2 Char3,h2 Char3,Heading 2 Hidden1 Char3,Heading 2 Hidden2 Char3,Heading 2 Hidden3 Char3,Heading 2 Hidden4 Char3,Heading 2 Hidden5 Char3,Heading 2 Hidden11 Char3,Heading Char,2 Char1"/>
    <w:link w:val="3"/>
    <w:qFormat/>
    <w:uiPriority w:val="0"/>
    <w:rPr>
      <w:rFonts w:ascii="Cambria" w:hAnsi="Cambria" w:eastAsia="宋体"/>
      <w:b/>
      <w:bCs/>
      <w:i/>
      <w:iCs/>
      <w:sz w:val="28"/>
      <w:szCs w:val="28"/>
    </w:rPr>
  </w:style>
  <w:style w:type="character" w:customStyle="1" w:styleId="83">
    <w:name w:val="font11"/>
    <w:uiPriority w:val="0"/>
    <w:rPr>
      <w:rFonts w:hint="eastAsia" w:ascii="楷体_GB2312" w:eastAsia="楷体_GB2312"/>
      <w:color w:val="000000"/>
      <w:sz w:val="21"/>
      <w:szCs w:val="21"/>
      <w:u w:val="none"/>
    </w:rPr>
  </w:style>
  <w:style w:type="character" w:customStyle="1" w:styleId="84">
    <w:name w:val="font21"/>
    <w:qFormat/>
    <w:uiPriority w:val="99"/>
    <w:rPr>
      <w:rFonts w:hint="eastAsia" w:ascii="楷体_GB2312" w:eastAsia="楷体_GB2312"/>
      <w:color w:val="000000"/>
      <w:sz w:val="21"/>
      <w:szCs w:val="21"/>
      <w:u w:val="single"/>
    </w:rPr>
  </w:style>
  <w:style w:type="paragraph" w:customStyle="1" w:styleId="85">
    <w:name w:val="样式1"/>
    <w:basedOn w:val="3"/>
    <w:uiPriority w:val="0"/>
    <w:pPr>
      <w:spacing w:line="415" w:lineRule="auto"/>
      <w:jc w:val="center"/>
    </w:pPr>
    <w:rPr>
      <w:rFonts w:ascii="宋体" w:hAnsi="宋体"/>
      <w:sz w:val="36"/>
      <w:szCs w:val="36"/>
    </w:rPr>
  </w:style>
  <w:style w:type="paragraph" w:customStyle="1" w:styleId="86">
    <w:name w:val="p18"/>
    <w:basedOn w:val="1"/>
    <w:uiPriority w:val="0"/>
    <w:pPr>
      <w:spacing w:before="156" w:after="156" w:line="400" w:lineRule="atLeast"/>
    </w:pPr>
    <w:rPr>
      <w:rFonts w:ascii="宋体" w:hAnsi="宋体" w:cs="宋体"/>
    </w:rPr>
  </w:style>
  <w:style w:type="character" w:customStyle="1" w:styleId="87">
    <w:name w:val="纯文本 Char2"/>
    <w:aliases w:val="普通文字 Char Char1,纯文本 Char Char Char,纯文本 Char Char1,普通文字 Char Char Char1,普通文字 Char Char Char Char1,普通文字 Char Char Char Char Char,普通文字 Char1,0921 Char,Texte Char,小 Char,正 文 1 Char,Plain Text Char,普通文字1 Char,普通文字2 Char,普通文字3 Char,普通文字4 Char,普通文 Ch"/>
    <w:link w:val="32"/>
    <w:locked/>
    <w:uiPriority w:val="0"/>
    <w:rPr>
      <w:rFonts w:ascii="宋体" w:hAnsi="Courier New" w:eastAsia="宋体"/>
      <w:kern w:val="2"/>
      <w:sz w:val="21"/>
      <w:lang w:val="en-US" w:eastAsia="zh-CN" w:bidi="ar-SA"/>
    </w:rPr>
  </w:style>
  <w:style w:type="paragraph" w:customStyle="1" w:styleId="88">
    <w:name w:val="Char1"/>
    <w:basedOn w:val="1"/>
    <w:uiPriority w:val="0"/>
    <w:rPr>
      <w:rFonts w:ascii="仿宋_GB2312" w:eastAsia="仿宋_GB2312"/>
      <w:b/>
      <w:sz w:val="32"/>
      <w:szCs w:val="32"/>
    </w:rPr>
  </w:style>
  <w:style w:type="paragraph" w:customStyle="1" w:styleId="89">
    <w:name w:val="样式 样式1 + 加粗 行距: 固定值 20 磅"/>
    <w:basedOn w:val="85"/>
    <w:uiPriority w:val="0"/>
    <w:pPr>
      <w:keepNext w:val="0"/>
      <w:adjustRightInd w:val="0"/>
      <w:spacing w:before="0" w:after="0" w:line="400" w:lineRule="exact"/>
      <w:jc w:val="both"/>
      <w:textAlignment w:val="baseline"/>
    </w:pPr>
    <w:rPr>
      <w:sz w:val="21"/>
      <w:szCs w:val="20"/>
    </w:rPr>
  </w:style>
  <w:style w:type="paragraph" w:customStyle="1" w:styleId="90">
    <w:name w:val="正文文本 21"/>
    <w:basedOn w:val="1"/>
    <w:uiPriority w:val="0"/>
    <w:pPr>
      <w:adjustRightInd w:val="0"/>
      <w:spacing w:line="300" w:lineRule="auto"/>
      <w:jc w:val="center"/>
    </w:pPr>
    <w:rPr>
      <w:rFonts w:hint="eastAsia" w:ascii="宋体" w:hAnsi="宋体"/>
    </w:rPr>
  </w:style>
  <w:style w:type="paragraph" w:customStyle="1" w:styleId="91">
    <w:name w:val="标题6"/>
    <w:basedOn w:val="1"/>
    <w:next w:val="2"/>
    <w:uiPriority w:val="0"/>
    <w:pPr>
      <w:snapToGrid w:val="0"/>
      <w:spacing w:beforeLines="50" w:afterLines="50" w:line="520" w:lineRule="atLeast"/>
      <w:ind w:firstLine="200" w:firstLineChars="200"/>
    </w:pPr>
    <w:rPr>
      <w:rFonts w:cs="Arial"/>
      <w:b/>
    </w:rPr>
  </w:style>
  <w:style w:type="paragraph" w:customStyle="1" w:styleId="92">
    <w:name w:val="PDGInstructions"/>
    <w:basedOn w:val="1"/>
    <w:uiPriority w:val="0"/>
    <w:pPr>
      <w:spacing w:before="60" w:after="60"/>
      <w:ind w:right="360"/>
    </w:pPr>
    <w:rPr>
      <w:rFonts w:ascii="Garamond" w:hAnsi="Garamond"/>
      <w:color w:val="FF0000"/>
      <w:lang w:eastAsia="en-US"/>
    </w:rPr>
  </w:style>
  <w:style w:type="paragraph" w:customStyle="1" w:styleId="93">
    <w:name w:val="正文缩进2格"/>
    <w:basedOn w:val="1"/>
    <w:uiPriority w:val="0"/>
    <w:pPr>
      <w:spacing w:line="600" w:lineRule="exact"/>
      <w:ind w:firstLine="639" w:firstLineChars="206"/>
    </w:pPr>
    <w:rPr>
      <w:rFonts w:ascii="仿宋_GB2312" w:hAnsi="宋体" w:eastAsia="仿宋_GB2312"/>
      <w:sz w:val="31"/>
      <w:szCs w:val="28"/>
    </w:rPr>
  </w:style>
  <w:style w:type="character" w:customStyle="1" w:styleId="94">
    <w:name w:val="Char Char14"/>
    <w:uiPriority w:val="0"/>
    <w:rPr>
      <w:rFonts w:ascii="宋体" w:hAnsi="Courier New" w:eastAsia="宋体"/>
      <w:sz w:val="21"/>
      <w:lang w:val="en-US" w:eastAsia="zh-CN" w:bidi="ar-SA"/>
    </w:rPr>
  </w:style>
  <w:style w:type="character" w:customStyle="1" w:styleId="95">
    <w:name w:val="标题 2 Char1"/>
    <w:aliases w:val="Heading 2 Hidden Char,Heading 2 CCBS Char,heading 2 Char,H2 Char,h2 Char,Heading 2 Hidden1 Char,Heading 2 Hidden2 Char,Heading 2 Hidden3 Char,Heading 2 Hidden4 Char,Heading 2 Hidden5 Char,Heading 2 Hidden11 Char,Heading 2 Hidden21 Char,2 Char"/>
    <w:uiPriority w:val="0"/>
    <w:rPr>
      <w:rFonts w:ascii="Arial" w:hAnsi="Arial" w:eastAsia="黑体"/>
      <w:b/>
      <w:bCs/>
      <w:kern w:val="2"/>
      <w:sz w:val="32"/>
      <w:szCs w:val="32"/>
      <w:lang w:val="en-US" w:eastAsia="zh-CN" w:bidi="ar-SA"/>
    </w:rPr>
  </w:style>
  <w:style w:type="paragraph" w:customStyle="1" w:styleId="96">
    <w:name w:val="彩色列表 - 强调文字颜色 11"/>
    <w:basedOn w:val="1"/>
    <w:qFormat/>
    <w:uiPriority w:val="34"/>
    <w:pPr>
      <w:ind w:left="720"/>
      <w:contextualSpacing/>
    </w:pPr>
  </w:style>
  <w:style w:type="paragraph" w:customStyle="1" w:styleId="97">
    <w:name w:val="标题3"/>
    <w:basedOn w:val="1"/>
    <w:next w:val="1"/>
    <w:uiPriority w:val="0"/>
    <w:pPr>
      <w:keepNext/>
      <w:keepLines/>
      <w:spacing w:beforeLines="50" w:afterLines="50" w:line="360" w:lineRule="auto"/>
      <w:outlineLvl w:val="2"/>
    </w:pPr>
    <w:rPr>
      <w:rFonts w:ascii="仿宋_GB2312" w:eastAsia="仿宋_GB2312"/>
      <w:b/>
      <w:sz w:val="28"/>
      <w:szCs w:val="28"/>
    </w:rPr>
  </w:style>
  <w:style w:type="paragraph" w:customStyle="1" w:styleId="98">
    <w:name w:val="标书正文格式"/>
    <w:link w:val="99"/>
    <w:uiPriority w:val="0"/>
    <w:pPr>
      <w:spacing w:line="360" w:lineRule="auto"/>
      <w:ind w:firstLine="480" w:firstLineChars="200"/>
    </w:pPr>
    <w:rPr>
      <w:rFonts w:ascii="楷体_GB2312" w:eastAsia="楷体_GB2312"/>
      <w:color w:val="000000"/>
      <w:kern w:val="2"/>
      <w:sz w:val="24"/>
      <w:szCs w:val="24"/>
      <w:lang w:val="en-US" w:eastAsia="zh-CN" w:bidi="ar-SA"/>
    </w:rPr>
  </w:style>
  <w:style w:type="character" w:customStyle="1" w:styleId="99">
    <w:name w:val="标书正文格式 Char"/>
    <w:link w:val="98"/>
    <w:uiPriority w:val="0"/>
    <w:rPr>
      <w:rFonts w:ascii="楷体_GB2312" w:eastAsia="楷体_GB2312"/>
      <w:color w:val="000000"/>
      <w:kern w:val="2"/>
      <w:sz w:val="24"/>
      <w:szCs w:val="24"/>
      <w:lang w:val="en-US" w:eastAsia="zh-CN" w:bidi="ar-SA"/>
    </w:rPr>
  </w:style>
  <w:style w:type="character" w:customStyle="1" w:styleId="100">
    <w:name w:val="标题 6 Char"/>
    <w:aliases w:val="H6 Char,Bullet (Single Lines) Char,PIM 6 Char,L6 Char,1 Char,h6 Char,Third Subheading Char,DO NOT USE_h6 Char,HIK标题 6 Char,. (a.) Char,BOD 4 Char,Bullet list Char,正文六级标题 Char,标题 6(ALT+6) Char,第五层条 Char,heading 6 Char,Heading6 Char,l6 Char"/>
    <w:link w:val="7"/>
    <w:qFormat/>
    <w:uiPriority w:val="9"/>
    <w:rPr>
      <w:b/>
      <w:bCs/>
    </w:rPr>
  </w:style>
  <w:style w:type="character" w:customStyle="1" w:styleId="101">
    <w:name w:val="普通文字 Char Char6"/>
    <w:aliases w:val="纯文本 Char Char Char3,普通文字 Char Char Char4,普通文字 Char Char Char Char4,普通文字 Char Char Char Char Char2,小 Char2,普通文字 Char Char7"/>
    <w:uiPriority w:val="0"/>
    <w:rPr>
      <w:rFonts w:ascii="宋体" w:hAnsi="Courier New" w:eastAsia="仿宋_GB2312" w:cs="Times New Roman"/>
      <w:kern w:val="0"/>
      <w:sz w:val="28"/>
      <w:szCs w:val="20"/>
      <w:lang/>
    </w:rPr>
  </w:style>
  <w:style w:type="character" w:customStyle="1" w:styleId="102">
    <w:name w:val="maincontenttable1"/>
    <w:uiPriority w:val="0"/>
    <w:rPr>
      <w:sz w:val="18"/>
      <w:szCs w:val="18"/>
    </w:rPr>
  </w:style>
  <w:style w:type="character" w:customStyle="1" w:styleId="103">
    <w:name w:val="Char Char"/>
    <w:uiPriority w:val="0"/>
    <w:rPr>
      <w:rFonts w:ascii="宋体" w:hAnsi="宋体" w:eastAsia="宋体"/>
      <w:sz w:val="24"/>
      <w:szCs w:val="24"/>
      <w:lang w:val="en-US" w:eastAsia="zh-CN" w:bidi="ar-SA"/>
    </w:rPr>
  </w:style>
  <w:style w:type="paragraph" w:customStyle="1" w:styleId="104">
    <w:name w:val="Char Char Char Char Char Char Char Char Char Char"/>
    <w:basedOn w:val="1"/>
    <w:uiPriority w:val="0"/>
    <w:rPr>
      <w:rFonts w:ascii="Tahoma" w:hAnsi="Tahoma"/>
    </w:rPr>
  </w:style>
  <w:style w:type="paragraph" w:customStyle="1" w:styleId="105">
    <w:name w:val="p23"/>
    <w:basedOn w:val="1"/>
    <w:uiPriority w:val="0"/>
    <w:pPr>
      <w:spacing w:before="100" w:beforeAutospacing="1" w:after="100" w:afterAutospacing="1"/>
    </w:pPr>
    <w:rPr>
      <w:rFonts w:ascii="宋体" w:hAnsi="宋体" w:cs="宋体"/>
    </w:rPr>
  </w:style>
  <w:style w:type="character" w:customStyle="1" w:styleId="106">
    <w:name w:val="正文文本 Char2"/>
    <w:aliases w:val="EHPT Char5,Body Text2 Char2"/>
    <w:link w:val="23"/>
    <w:uiPriority w:val="0"/>
    <w:rPr>
      <w:rFonts w:eastAsia="黑体"/>
      <w:b/>
      <w:bCs/>
      <w:spacing w:val="20"/>
      <w:kern w:val="52"/>
      <w:sz w:val="56"/>
      <w:szCs w:val="24"/>
      <w:lang w:val="en-US" w:eastAsia="zh-CN" w:bidi="ar-SA"/>
    </w:rPr>
  </w:style>
  <w:style w:type="character" w:customStyle="1" w:styleId="107">
    <w:name w:val="普通文字 Char Char8"/>
    <w:aliases w:val="纯文本 Char Char Char4,普通文字 Char Char Char5,普通文字 Char Char Char Char5,普通文字 Char Char Char Char Char3,小 Char3,普通文字 Char Char9,纯文本 Char Char Char5,普通文字 Char Char Char6,普通文字 Char Char Char Char6,普通文字 Char Char Char Char Char4,小 Char4"/>
    <w:uiPriority w:val="0"/>
    <w:rPr>
      <w:rFonts w:ascii="宋体" w:hAnsi="Courier New" w:eastAsia="宋体"/>
    </w:rPr>
  </w:style>
  <w:style w:type="character" w:customStyle="1" w:styleId="108">
    <w:name w:val="标题 1 Char"/>
    <w:aliases w:val="h1 Char1,Main Heading Char1,标题 1 1 Char1,标书1 Char1,H1 Char1,1st level Char1,Section Head Char1,l1 Char1,标题一 Char1,Heading 0 Char1,PIM 1 Char1,Heading apps Char1,合同标题 Char1,Header1 Char1,卷标题 Char1,Datasheet title Char1,H11 Char1,H12 Char1"/>
    <w:link w:val="2"/>
    <w:qFormat/>
    <w:uiPriority w:val="0"/>
    <w:rPr>
      <w:rFonts w:ascii="Cambria" w:hAnsi="Cambria" w:eastAsia="宋体"/>
      <w:b/>
      <w:bCs/>
      <w:kern w:val="32"/>
      <w:sz w:val="32"/>
      <w:szCs w:val="32"/>
    </w:rPr>
  </w:style>
  <w:style w:type="character" w:customStyle="1" w:styleId="109">
    <w:name w:val="Heading 2 Hidden Char1"/>
    <w:aliases w:val="Heading 2 CCBS Char1,heading 2 Char1,H2 Char1,h2 Char1,Heading 2 Hidden1 Char1,Heading 2 Hidden2 Char1,Heading 2 Hidden3 Char1,Heading 2 Hidden4 Char1,Heading 2 Hidden5 Char1,Heading 2 Hidden11 Char1,Heading 2 Hidden21 Char1"/>
    <w:uiPriority w:val="0"/>
    <w:rPr>
      <w:rFonts w:ascii="Arial" w:hAnsi="Arial" w:eastAsia="黑体"/>
      <w:b/>
      <w:bCs/>
      <w:kern w:val="2"/>
      <w:sz w:val="32"/>
      <w:szCs w:val="32"/>
    </w:rPr>
  </w:style>
  <w:style w:type="character" w:customStyle="1" w:styleId="110">
    <w:name w:val="标题 3 Char"/>
    <w:aliases w:val="Heading 3 - old Char1,BOD 0 Char1,3 Char1,Sub Heading Char1,H3 Char1,h3 Char1,Level 3 Topic Heading Char1,Bold Head Char1,bh Char1,标题 3 Char Char Char Char Char Char1,Level 3 Head Char1,sect1.2.3 Char1,Head3 Char1,l3 Char1,level_3 Char1,h Char"/>
    <w:link w:val="4"/>
    <w:qFormat/>
    <w:uiPriority w:val="0"/>
    <w:rPr>
      <w:rFonts w:ascii="Cambria" w:hAnsi="Cambria" w:eastAsia="宋体"/>
      <w:b/>
      <w:bCs/>
      <w:sz w:val="26"/>
      <w:szCs w:val="26"/>
    </w:rPr>
  </w:style>
  <w:style w:type="character" w:customStyle="1" w:styleId="111">
    <w:name w:val="标题 4 Char"/>
    <w:aliases w:val="bullet Char1,bl Char1,bb Char1,H4 Char1,Ref Heading 1 Char1,rh1 Char1,Heading sql Char1,sect 1.2.3.4 Char1,标题 4台湾省 Char1,PIM 4 Char1,h4 Char1,Titre4 Char1,4th level Char1,h41 Char1,h42 Char1,h43 Char1,h411 Char1,h44 Char1,h412 Char1,h45 Char1"/>
    <w:link w:val="5"/>
    <w:qFormat/>
    <w:uiPriority w:val="9"/>
    <w:rPr>
      <w:b/>
      <w:bCs/>
      <w:sz w:val="28"/>
      <w:szCs w:val="28"/>
    </w:rPr>
  </w:style>
  <w:style w:type="character" w:customStyle="1" w:styleId="112">
    <w:name w:val="标题 5 Char"/>
    <w:aliases w:val="H5 Char1,dash Char1,ds Char1,dd Char1,h5 Char1,PIM 5 Char1,口 Char1,一 Char1,heading 5 Char1,Second Subheading Char1,小段 Char1,小段1 Char1,小段2 Char1,小段3 Char1,小段4 Char1,小段5 Char1,小段6 Char1,小段7 Char1,小段8 Char1,小段9 Char1,小段11 Char1,小段21 Char1,h51 Char"/>
    <w:link w:val="6"/>
    <w:qFormat/>
    <w:uiPriority w:val="9"/>
    <w:rPr>
      <w:b/>
      <w:bCs/>
      <w:i/>
      <w:iCs/>
      <w:sz w:val="26"/>
      <w:szCs w:val="26"/>
    </w:rPr>
  </w:style>
  <w:style w:type="character" w:customStyle="1" w:styleId="113">
    <w:name w:val="H6 Char1"/>
    <w:aliases w:val="Bullet (Single Lines) Char1,PIM 6 Char1,L6 Char1,1 Char1,h6 Char1,Third Subheading Char1,DO NOT USE_h6 Char Char1"/>
    <w:uiPriority w:val="0"/>
    <w:rPr>
      <w:rFonts w:ascii="Arial" w:hAnsi="Arial" w:eastAsia="宋体" w:cs="Times New Roman"/>
      <w:i/>
      <w:sz w:val="22"/>
      <w:szCs w:val="28"/>
    </w:rPr>
  </w:style>
  <w:style w:type="character" w:customStyle="1" w:styleId="114">
    <w:name w:val="标题 7 Char"/>
    <w:link w:val="8"/>
    <w:qFormat/>
    <w:uiPriority w:val="9"/>
    <w:rPr>
      <w:sz w:val="24"/>
      <w:szCs w:val="24"/>
    </w:rPr>
  </w:style>
  <w:style w:type="character" w:customStyle="1" w:styleId="115">
    <w:name w:val="标题 8 Char"/>
    <w:link w:val="9"/>
    <w:qFormat/>
    <w:uiPriority w:val="9"/>
    <w:rPr>
      <w:i/>
      <w:iCs/>
      <w:sz w:val="24"/>
      <w:szCs w:val="24"/>
    </w:rPr>
  </w:style>
  <w:style w:type="character" w:customStyle="1" w:styleId="116">
    <w:name w:val="标题 9 Char"/>
    <w:link w:val="10"/>
    <w:qFormat/>
    <w:uiPriority w:val="9"/>
    <w:rPr>
      <w:rFonts w:ascii="Cambria" w:hAnsi="Cambria" w:eastAsia="宋体"/>
    </w:rPr>
  </w:style>
  <w:style w:type="character" w:customStyle="1" w:styleId="117">
    <w:name w:val="style321"/>
    <w:uiPriority w:val="0"/>
    <w:rPr>
      <w:b/>
      <w:bCs/>
      <w:color w:val="FF9900"/>
      <w:sz w:val="23"/>
      <w:szCs w:val="23"/>
    </w:rPr>
  </w:style>
  <w:style w:type="character" w:customStyle="1" w:styleId="118">
    <w:name w:val="正文文本 3 Char"/>
    <w:link w:val="22"/>
    <w:uiPriority w:val="0"/>
    <w:rPr>
      <w:rFonts w:ascii="宋体" w:hAnsi="宋体" w:eastAsia="宋体"/>
      <w:b/>
      <w:bCs/>
      <w:kern w:val="2"/>
      <w:sz w:val="24"/>
      <w:szCs w:val="24"/>
      <w:lang w:val="en-US" w:eastAsia="zh-CN" w:bidi="ar-SA"/>
    </w:rPr>
  </w:style>
  <w:style w:type="character" w:customStyle="1" w:styleId="119">
    <w:name w:val="www序号1) Char"/>
    <w:link w:val="120"/>
    <w:uiPriority w:val="0"/>
    <w:rPr>
      <w:rFonts w:eastAsia="宋体"/>
      <w:sz w:val="24"/>
      <w:szCs w:val="24"/>
      <w:lang w:bidi="ar-SA"/>
    </w:rPr>
  </w:style>
  <w:style w:type="paragraph" w:customStyle="1" w:styleId="120">
    <w:name w:val="www序号1)"/>
    <w:basedOn w:val="1"/>
    <w:link w:val="119"/>
    <w:uiPriority w:val="0"/>
    <w:pPr>
      <w:tabs>
        <w:tab w:val="left" w:pos="2160"/>
      </w:tabs>
      <w:ind w:left="2160" w:hanging="420"/>
    </w:pPr>
  </w:style>
  <w:style w:type="character" w:customStyle="1" w:styleId="121">
    <w:name w:val="正文缩进 Char"/>
    <w:aliases w:val="表正文 Char1,正文非缩进 Char1,正文不缩进 Char1,特点 Char1,段1 Char,标题4 Char,特点标题 Char4,ALT+Z Char1,四号 Char,缩进 Char,正文（段落文字） Char,正文编号 Char,Justified Char,plain paragraph Char,pp Char,Block text Char,t Char,BODY TEXT Char,text Char,sp Char,sbs Char,bt4 Char"/>
    <w:link w:val="14"/>
    <w:uiPriority w:val="0"/>
    <w:rPr>
      <w:rFonts w:ascii="宋体" w:eastAsia="宋体"/>
      <w:snapToGrid w:val="0"/>
      <w:color w:val="000000"/>
      <w:kern w:val="28"/>
      <w:sz w:val="28"/>
      <w:lang w:val="en-US" w:eastAsia="zh-CN" w:bidi="ar-SA"/>
    </w:rPr>
  </w:style>
  <w:style w:type="character" w:customStyle="1" w:styleId="122">
    <w:name w:val="Char Char4"/>
    <w:uiPriority w:val="0"/>
    <w:rPr>
      <w:rFonts w:ascii="仿宋_GB2312" w:eastAsia="仿宋_GB2312"/>
      <w:kern w:val="2"/>
      <w:sz w:val="28"/>
      <w:szCs w:val="28"/>
      <w:lang w:val="zh-CN" w:eastAsia="zh-CN" w:bidi="ar-SA"/>
    </w:rPr>
  </w:style>
  <w:style w:type="character" w:customStyle="1" w:styleId="123">
    <w:name w:val="文字 Char"/>
    <w:link w:val="124"/>
    <w:uiPriority w:val="0"/>
    <w:rPr>
      <w:rFonts w:ascii="宋体" w:hAnsi="宋体" w:eastAsia="宋体"/>
      <w:sz w:val="28"/>
      <w:lang w:bidi="ar-SA"/>
    </w:rPr>
  </w:style>
  <w:style w:type="paragraph" w:customStyle="1" w:styleId="124">
    <w:name w:val="文字"/>
    <w:basedOn w:val="1"/>
    <w:link w:val="123"/>
    <w:uiPriority w:val="0"/>
    <w:pPr>
      <w:tabs>
        <w:tab w:val="left" w:pos="8520"/>
      </w:tabs>
      <w:spacing w:line="312" w:lineRule="auto"/>
      <w:ind w:right="-210" w:firstLine="556"/>
    </w:pPr>
    <w:rPr>
      <w:rFonts w:ascii="宋体" w:hAnsi="宋体"/>
      <w:sz w:val="28"/>
      <w:szCs w:val="20"/>
    </w:rPr>
  </w:style>
  <w:style w:type="character" w:customStyle="1" w:styleId="125">
    <w:name w:val="页脚 Char"/>
    <w:link w:val="39"/>
    <w:qFormat/>
    <w:uiPriority w:val="99"/>
    <w:rPr>
      <w:rFonts w:eastAsia="宋体"/>
      <w:kern w:val="2"/>
      <w:sz w:val="18"/>
      <w:szCs w:val="18"/>
      <w:lang w:val="en-US" w:eastAsia="zh-CN" w:bidi="ar-SA"/>
    </w:rPr>
  </w:style>
  <w:style w:type="character" w:customStyle="1" w:styleId="126">
    <w:name w:val="正文文本 2 Char"/>
    <w:link w:val="54"/>
    <w:uiPriority w:val="0"/>
    <w:rPr>
      <w:rFonts w:eastAsia="宋体"/>
      <w:kern w:val="2"/>
      <w:sz w:val="24"/>
      <w:szCs w:val="24"/>
      <w:lang w:val="en-US" w:eastAsia="zh-CN" w:bidi="ar-SA"/>
    </w:rPr>
  </w:style>
  <w:style w:type="character" w:customStyle="1" w:styleId="127">
    <w:name w:val="14normal1"/>
    <w:uiPriority w:val="0"/>
    <w:rPr>
      <w:rFonts w:hint="default" w:ascii="ˎ̥" w:hAnsi="ˎ̥"/>
      <w:color w:val="000000"/>
      <w:sz w:val="21"/>
      <w:szCs w:val="21"/>
    </w:rPr>
  </w:style>
  <w:style w:type="character" w:customStyle="1" w:styleId="128">
    <w:name w:val="PI Char2"/>
    <w:aliases w:val="特点标题 Char2,HD正文1 Char2,正文小标题 Char2,正文文本缩进 Char Char Char2"/>
    <w:uiPriority w:val="0"/>
    <w:rPr>
      <w:rFonts w:ascii="仿宋_GB2312" w:eastAsia="仿宋_GB2312"/>
      <w:kern w:val="2"/>
      <w:sz w:val="28"/>
      <w:szCs w:val="28"/>
      <w:lang w:val="zh-CN" w:eastAsia="zh-CN" w:bidi="ar-SA"/>
    </w:rPr>
  </w:style>
  <w:style w:type="character" w:customStyle="1" w:styleId="129">
    <w:name w:val="bei2"/>
    <w:basedOn w:val="65"/>
    <w:uiPriority w:val="0"/>
  </w:style>
  <w:style w:type="character" w:customStyle="1" w:styleId="130">
    <w:name w:val="表格 Char Char"/>
    <w:link w:val="131"/>
    <w:uiPriority w:val="0"/>
    <w:rPr>
      <w:rFonts w:ascii="宋体" w:hAnsi="宋体"/>
      <w:lang w:bidi="ar-SA"/>
    </w:rPr>
  </w:style>
  <w:style w:type="paragraph" w:customStyle="1" w:styleId="131">
    <w:name w:val="表格"/>
    <w:basedOn w:val="1"/>
    <w:link w:val="130"/>
    <w:uiPriority w:val="0"/>
    <w:pPr>
      <w:snapToGrid w:val="0"/>
      <w:ind w:firstLine="42" w:firstLineChars="21"/>
    </w:pPr>
    <w:rPr>
      <w:rFonts w:ascii="宋体" w:hAnsi="宋体"/>
      <w:sz w:val="20"/>
      <w:szCs w:val="20"/>
    </w:rPr>
  </w:style>
  <w:style w:type="character" w:customStyle="1" w:styleId="132">
    <w:name w:val="PI Char1"/>
    <w:aliases w:val="特点标题 Char1,HD正文1 Char1,正文小标题 Char1,正文文本缩进 Char Char Char1"/>
    <w:uiPriority w:val="0"/>
    <w:rPr>
      <w:rFonts w:ascii="仿宋_GB2312" w:eastAsia="仿宋_GB2312"/>
      <w:kern w:val="2"/>
      <w:sz w:val="28"/>
      <w:szCs w:val="28"/>
      <w:lang w:val="zh-CN" w:eastAsia="zh-CN" w:bidi="ar-SA"/>
    </w:rPr>
  </w:style>
  <w:style w:type="character" w:customStyle="1" w:styleId="133">
    <w:name w:val="文档结构图 Char"/>
    <w:link w:val="19"/>
    <w:qFormat/>
    <w:uiPriority w:val="99"/>
    <w:rPr>
      <w:rFonts w:eastAsia="宋体"/>
      <w:szCs w:val="24"/>
      <w:shd w:val="clear" w:color="auto" w:fill="000080"/>
      <w:lang w:bidi="ar-SA"/>
    </w:rPr>
  </w:style>
  <w:style w:type="character" w:customStyle="1" w:styleId="134">
    <w:name w:val="正文首行缩进 Char"/>
    <w:link w:val="60"/>
    <w:qFormat/>
    <w:uiPriority w:val="0"/>
    <w:rPr>
      <w:rFonts w:ascii="Calibri" w:hAnsi="Calibri" w:eastAsia="楷体_GB2312"/>
      <w:sz w:val="24"/>
      <w:lang w:bidi="ar-SA"/>
    </w:rPr>
  </w:style>
  <w:style w:type="character" w:customStyle="1" w:styleId="135">
    <w:name w:val="EHPT Char1"/>
    <w:aliases w:val="Body Text2 Char1,正文文本 Char Char Char1"/>
    <w:uiPriority w:val="0"/>
    <w:rPr>
      <w:rFonts w:ascii="Calibri" w:hAnsi="Calibri" w:eastAsia="宋体"/>
      <w:kern w:val="2"/>
      <w:sz w:val="21"/>
      <w:szCs w:val="22"/>
      <w:lang w:val="en-US" w:eastAsia="zh-CN" w:bidi="ar-SA"/>
    </w:rPr>
  </w:style>
  <w:style w:type="character" w:customStyle="1" w:styleId="136">
    <w:name w:val="番茄花园"/>
    <w:uiPriority w:val="0"/>
    <w:rPr>
      <w:rFonts w:ascii="Arial" w:hAnsi="Arial" w:eastAsia="宋体" w:cs="Arial"/>
      <w:color w:val="000080"/>
      <w:sz w:val="18"/>
      <w:szCs w:val="20"/>
    </w:rPr>
  </w:style>
  <w:style w:type="character" w:customStyle="1" w:styleId="137">
    <w:name w:val="日期 Char"/>
    <w:link w:val="35"/>
    <w:qFormat/>
    <w:uiPriority w:val="99"/>
    <w:rPr>
      <w:rFonts w:eastAsia="宋体"/>
      <w:kern w:val="2"/>
      <w:sz w:val="21"/>
      <w:lang w:val="en-US" w:eastAsia="zh-CN" w:bidi="ar-SA"/>
    </w:rPr>
  </w:style>
  <w:style w:type="character" w:customStyle="1" w:styleId="138">
    <w:name w:val="EHPT Char3"/>
    <w:aliases w:val="Body Text2 Char Char1"/>
    <w:uiPriority w:val="0"/>
    <w:rPr>
      <w:rFonts w:ascii="Calibri" w:hAnsi="Calibri" w:eastAsia="宋体"/>
    </w:rPr>
  </w:style>
  <w:style w:type="character" w:customStyle="1" w:styleId="139">
    <w:name w:val="PI Char"/>
    <w:aliases w:val="特点标题 Char,HD正文1 Char,正文小标题 Char,正文文本缩进 Char Char Char"/>
    <w:uiPriority w:val="0"/>
    <w:rPr>
      <w:rFonts w:ascii="仿宋_GB2312" w:eastAsia="仿宋_GB2312"/>
      <w:kern w:val="2"/>
      <w:sz w:val="28"/>
      <w:szCs w:val="28"/>
      <w:lang w:val="zh-CN" w:eastAsia="zh-CN" w:bidi="ar-SA"/>
    </w:rPr>
  </w:style>
  <w:style w:type="character" w:customStyle="1" w:styleId="140">
    <w:name w:val="批注文字 Char"/>
    <w:uiPriority w:val="0"/>
    <w:rPr>
      <w:rFonts w:eastAsia="宋体"/>
      <w:kern w:val="2"/>
      <w:sz w:val="21"/>
      <w:szCs w:val="24"/>
      <w:lang w:val="en-US" w:eastAsia="zh-CN" w:bidi="ar-SA"/>
    </w:rPr>
  </w:style>
  <w:style w:type="character" w:customStyle="1" w:styleId="141">
    <w:name w:val="正文文本缩进 Char2"/>
    <w:aliases w:val="PI Char4,HD正文1 Char4,正文小标题 Char3"/>
    <w:link w:val="24"/>
    <w:uiPriority w:val="0"/>
    <w:rPr>
      <w:rFonts w:eastAsia="宋体"/>
      <w:kern w:val="2"/>
      <w:sz w:val="28"/>
      <w:szCs w:val="24"/>
      <w:lang w:val="en-US" w:eastAsia="zh-CN" w:bidi="ar-SA"/>
    </w:rPr>
  </w:style>
  <w:style w:type="character" w:customStyle="1" w:styleId="142">
    <w:name w:val="bulletintext1"/>
    <w:uiPriority w:val="0"/>
    <w:rPr>
      <w:color w:val="000000"/>
      <w:sz w:val="18"/>
      <w:szCs w:val="18"/>
    </w:rPr>
  </w:style>
  <w:style w:type="character" w:customStyle="1" w:styleId="143">
    <w:name w:val="标题 3 Char Char"/>
    <w:uiPriority w:val="0"/>
    <w:rPr>
      <w:rFonts w:ascii="宋体" w:hAnsi="宋体" w:eastAsia="宋体"/>
      <w:color w:val="666666"/>
      <w:kern w:val="2"/>
      <w:sz w:val="28"/>
      <w:szCs w:val="28"/>
      <w:lang w:val="en-US" w:eastAsia="zh-CN" w:bidi="ar-SA"/>
    </w:rPr>
  </w:style>
  <w:style w:type="character" w:customStyle="1" w:styleId="144">
    <w:name w:val="EHPT Char"/>
    <w:aliases w:val="Body Text2 Char,正文文本 Char Char Char"/>
    <w:uiPriority w:val="0"/>
    <w:rPr>
      <w:rFonts w:ascii="Calibri" w:hAnsi="Calibri" w:eastAsia="宋体"/>
      <w:kern w:val="2"/>
      <w:sz w:val="21"/>
      <w:szCs w:val="22"/>
      <w:lang w:val="en-US" w:eastAsia="zh-CN" w:bidi="ar-SA"/>
    </w:rPr>
  </w:style>
  <w:style w:type="character" w:customStyle="1" w:styleId="145">
    <w:name w:val="批注主题 Char"/>
    <w:link w:val="59"/>
    <w:qFormat/>
    <w:uiPriority w:val="99"/>
    <w:rPr>
      <w:rFonts w:eastAsia="宋体"/>
      <w:b/>
      <w:bCs/>
      <w:kern w:val="2"/>
      <w:sz w:val="21"/>
      <w:szCs w:val="24"/>
      <w:lang w:val="en-US" w:eastAsia="zh-CN" w:bidi="ar-SA"/>
    </w:rPr>
  </w:style>
  <w:style w:type="character" w:customStyle="1" w:styleId="146">
    <w:name w:val="unnamed11"/>
    <w:uiPriority w:val="0"/>
    <w:rPr>
      <w:sz w:val="18"/>
      <w:szCs w:val="18"/>
    </w:rPr>
  </w:style>
  <w:style w:type="character" w:customStyle="1" w:styleId="147">
    <w:name w:val="标题 Char"/>
    <w:link w:val="58"/>
    <w:qFormat/>
    <w:uiPriority w:val="10"/>
    <w:rPr>
      <w:rFonts w:ascii="Cambria" w:hAnsi="Cambria" w:eastAsia="宋体"/>
      <w:b/>
      <w:bCs/>
      <w:kern w:val="28"/>
      <w:sz w:val="32"/>
      <w:szCs w:val="32"/>
    </w:rPr>
  </w:style>
  <w:style w:type="character" w:customStyle="1" w:styleId="148">
    <w:name w:val="普通文字 Char Char4"/>
    <w:aliases w:val="纯文本 Char Char Char2,纯文本 Char Char3,普通文字 Char Char Char3,普通文字 Char Char Char Char3,普通文字 Char Char Char Char Char1,小 Char1,普通文字 Char Char5,普通文字 Char Char3,普通文字 Char3,Texte Char2,正 文 1 Char2,0921 Char2,普通文字1 Char1,普通文字2 Char1,普通文字3 Char1"/>
    <w:qFormat/>
    <w:uiPriority w:val="0"/>
    <w:rPr>
      <w:rFonts w:ascii="宋体" w:hAnsi="Courier New" w:eastAsia="宋体"/>
      <w:sz w:val="21"/>
      <w:lang w:val="en-US" w:eastAsia="zh-CN" w:bidi="ar-SA"/>
    </w:rPr>
  </w:style>
  <w:style w:type="character" w:customStyle="1" w:styleId="149">
    <w:name w:val="text1"/>
    <w:uiPriority w:val="0"/>
    <w:rPr>
      <w:rFonts w:hint="eastAsia" w:ascii="宋体" w:hAnsi="宋体" w:eastAsia="宋体"/>
      <w:color w:val="000099"/>
      <w:sz w:val="18"/>
      <w:szCs w:val="18"/>
    </w:rPr>
  </w:style>
  <w:style w:type="character" w:customStyle="1" w:styleId="150">
    <w:name w:val="正文文本缩进 3 Char"/>
    <w:link w:val="48"/>
    <w:uiPriority w:val="0"/>
    <w:rPr>
      <w:rFonts w:ascii="隶书" w:hAnsi="宋体" w:eastAsia="隶书"/>
      <w:kern w:val="2"/>
      <w:sz w:val="21"/>
      <w:szCs w:val="24"/>
      <w:lang w:val="en-US" w:eastAsia="zh-CN" w:bidi="ar-SA"/>
    </w:rPr>
  </w:style>
  <w:style w:type="character" w:customStyle="1" w:styleId="151">
    <w:name w:val="font1"/>
    <w:uiPriority w:val="0"/>
    <w:rPr>
      <w:color w:val="333333"/>
      <w:sz w:val="18"/>
      <w:szCs w:val="18"/>
      <w:u w:val="none"/>
    </w:rPr>
  </w:style>
  <w:style w:type="character" w:customStyle="1" w:styleId="152">
    <w:name w:val="正文文本缩进 2 Char"/>
    <w:link w:val="36"/>
    <w:semiHidden/>
    <w:uiPriority w:val="0"/>
    <w:rPr>
      <w:rFonts w:eastAsia="宋体"/>
      <w:kern w:val="2"/>
      <w:sz w:val="24"/>
      <w:szCs w:val="21"/>
      <w:lang w:val="en-US" w:eastAsia="zh-CN" w:bidi="ar-SA"/>
    </w:rPr>
  </w:style>
  <w:style w:type="paragraph" w:customStyle="1" w:styleId="153">
    <w:name w:val="RFI Heading 4th Level"/>
    <w:basedOn w:val="154"/>
    <w:uiPriority w:val="0"/>
    <w:pPr>
      <w:tabs>
        <w:tab w:val="left" w:pos="1152"/>
      </w:tabs>
      <w:spacing w:before="240" w:after="160"/>
      <w:ind w:left="1152" w:hanging="1152"/>
      <w:jc w:val="both"/>
      <w:outlineLvl w:val="2"/>
    </w:pPr>
    <w:rPr>
      <w:rFonts w:eastAsia="Times New Roman"/>
      <w:bCs/>
      <w:color w:val="auto"/>
    </w:rPr>
  </w:style>
  <w:style w:type="paragraph" w:customStyle="1" w:styleId="154">
    <w:name w:val="RFI Heading 3rd Level"/>
    <w:basedOn w:val="1"/>
    <w:uiPriority w:val="0"/>
    <w:pPr>
      <w:tabs>
        <w:tab w:val="left" w:pos="720"/>
      </w:tabs>
      <w:ind w:left="420" w:hanging="420"/>
    </w:pPr>
    <w:rPr>
      <w:rFonts w:ascii="Arial (W1)" w:hAnsi="Arial (W1)" w:eastAsia="仿宋_GB2312"/>
      <w:color w:val="000000"/>
      <w:szCs w:val="28"/>
      <w:lang w:val="en-GB" w:eastAsia="en-US"/>
    </w:rPr>
  </w:style>
  <w:style w:type="paragraph" w:customStyle="1" w:styleId="155">
    <w:name w:val="Normal 0.51"/>
    <w:basedOn w:val="1"/>
    <w:uiPriority w:val="0"/>
    <w:pPr>
      <w:keepNext/>
      <w:keepLines/>
      <w:spacing w:before="180" w:after="120"/>
      <w:ind w:left="720"/>
    </w:pPr>
    <w:rPr>
      <w:rFonts w:ascii="仿宋_GB2312" w:eastAsia="仿宋_GB2312"/>
      <w:lang w:val="en-GB" w:eastAsia="en-US"/>
    </w:rPr>
  </w:style>
  <w:style w:type="paragraph" w:customStyle="1" w:styleId="156">
    <w:name w:val="正文无缩进"/>
    <w:basedOn w:val="93"/>
    <w:uiPriority w:val="0"/>
    <w:pPr>
      <w:ind w:firstLine="0" w:firstLineChars="0"/>
    </w:pPr>
  </w:style>
  <w:style w:type="paragraph" w:customStyle="1" w:styleId="157">
    <w:name w:val="RFI List 1"/>
    <w:basedOn w:val="154"/>
    <w:uiPriority w:val="0"/>
    <w:pPr>
      <w:tabs>
        <w:tab w:val="left" w:pos="360"/>
        <w:tab w:val="left" w:pos="1800"/>
      </w:tabs>
      <w:spacing w:before="240" w:after="160"/>
      <w:ind w:left="720" w:hanging="720"/>
      <w:outlineLvl w:val="0"/>
    </w:pPr>
    <w:rPr>
      <w:b/>
      <w:color w:val="auto"/>
    </w:rPr>
  </w:style>
  <w:style w:type="paragraph" w:customStyle="1" w:styleId="158">
    <w:name w:val="方案正文-样式 小四 行距: 1.5 倍行距"/>
    <w:basedOn w:val="1"/>
    <w:uiPriority w:val="0"/>
    <w:pPr>
      <w:spacing w:line="360" w:lineRule="auto"/>
      <w:ind w:firstLine="480" w:firstLineChars="200"/>
    </w:pPr>
    <w:rPr>
      <w:rFonts w:ascii="仿宋_GB2312" w:eastAsia="仿宋_GB2312"/>
      <w:szCs w:val="28"/>
    </w:rPr>
  </w:style>
  <w:style w:type="paragraph" w:customStyle="1" w:styleId="159">
    <w:name w:val="项目1"/>
    <w:basedOn w:val="14"/>
    <w:next w:val="14"/>
    <w:uiPriority w:val="0"/>
    <w:pPr>
      <w:widowControl w:val="0"/>
      <w:numPr>
        <w:ilvl w:val="3"/>
        <w:numId w:val="3"/>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160">
    <w:name w:val="RFI text from 2nd Level"/>
    <w:basedOn w:val="154"/>
    <w:uiPriority w:val="0"/>
    <w:pPr>
      <w:tabs>
        <w:tab w:val="left" w:pos="360"/>
      </w:tabs>
      <w:ind w:left="720"/>
    </w:pPr>
    <w:rPr>
      <w:b/>
      <w:bCs/>
      <w:color w:val="auto"/>
    </w:rPr>
  </w:style>
  <w:style w:type="paragraph" w:customStyle="1" w:styleId="161">
    <w:name w:val="列表内容"/>
    <w:basedOn w:val="1"/>
    <w:next w:val="1"/>
    <w:uiPriority w:val="0"/>
    <w:pPr>
      <w:tabs>
        <w:tab w:val="left" w:pos="840"/>
      </w:tabs>
      <w:ind w:left="420" w:hanging="420"/>
    </w:pPr>
    <w:rPr>
      <w:rFonts w:ascii="仿宋_GB2312" w:eastAsia="仿宋_GB2312"/>
      <w:sz w:val="18"/>
      <w:szCs w:val="28"/>
    </w:rPr>
  </w:style>
  <w:style w:type="paragraph" w:customStyle="1" w:styleId="162">
    <w:name w:val="RFI Heading 1st Level"/>
    <w:basedOn w:val="1"/>
    <w:uiPriority w:val="0"/>
    <w:pPr>
      <w:spacing w:before="120" w:after="240"/>
    </w:pPr>
    <w:rPr>
      <w:rFonts w:ascii="Arial (W1)" w:hAnsi="Arial (W1)" w:eastAsia="仿宋_GB2312"/>
      <w:b/>
      <w:bCs/>
      <w:color w:val="0000FF"/>
      <w:sz w:val="32"/>
      <w:szCs w:val="28"/>
      <w:lang w:val="en-GB"/>
    </w:rPr>
  </w:style>
  <w:style w:type="character" w:customStyle="1" w:styleId="163">
    <w:name w:val="标题 Char1"/>
    <w:uiPriority w:val="0"/>
    <w:rPr>
      <w:rFonts w:ascii="Cambria" w:hAnsi="Cambria" w:eastAsia="宋体" w:cs="Times New Roman"/>
      <w:b/>
      <w:bCs/>
      <w:sz w:val="32"/>
      <w:szCs w:val="32"/>
    </w:rPr>
  </w:style>
  <w:style w:type="character" w:customStyle="1" w:styleId="164">
    <w:name w:val="批注文字 Char1"/>
    <w:link w:val="20"/>
    <w:qFormat/>
    <w:uiPriority w:val="0"/>
    <w:rPr>
      <w:rFonts w:ascii="仿宋_GB2312" w:eastAsia="仿宋_GB2312"/>
      <w:kern w:val="2"/>
      <w:sz w:val="28"/>
      <w:szCs w:val="28"/>
      <w:lang w:val="en-US" w:eastAsia="zh-CN" w:bidi="ar-SA"/>
    </w:rPr>
  </w:style>
  <w:style w:type="character" w:customStyle="1" w:styleId="165">
    <w:name w:val="批注主题 Char1"/>
    <w:semiHidden/>
    <w:uiPriority w:val="99"/>
    <w:rPr>
      <w:rFonts w:ascii="仿宋_GB2312" w:eastAsia="仿宋_GB2312"/>
      <w:b/>
      <w:bCs/>
      <w:kern w:val="2"/>
      <w:sz w:val="28"/>
      <w:szCs w:val="28"/>
      <w:lang w:val="en-US" w:eastAsia="zh-CN" w:bidi="ar-SA"/>
    </w:rPr>
  </w:style>
  <w:style w:type="paragraph" w:customStyle="1" w:styleId="166">
    <w:name w:val="Char3"/>
    <w:basedOn w:val="1"/>
    <w:uiPriority w:val="0"/>
    <w:rPr>
      <w:rFonts w:ascii="仿宋_GB2312" w:eastAsia="仿宋_GB2312"/>
      <w:sz w:val="28"/>
      <w:szCs w:val="28"/>
    </w:rPr>
  </w:style>
  <w:style w:type="paragraph" w:customStyle="1" w:styleId="167">
    <w:name w:val="RFI Heading 2nd Level Char"/>
    <w:basedOn w:val="1"/>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168">
    <w:name w:val="规范正文"/>
    <w:basedOn w:val="1"/>
    <w:uiPriority w:val="0"/>
    <w:pPr>
      <w:adjustRightInd w:val="0"/>
      <w:spacing w:line="360" w:lineRule="auto"/>
      <w:ind w:left="480"/>
      <w:textAlignment w:val="baseline"/>
    </w:pPr>
    <w:rPr>
      <w:rFonts w:ascii="仿宋_GB2312" w:eastAsia="仿宋_GB2312"/>
    </w:rPr>
  </w:style>
  <w:style w:type="paragraph" w:customStyle="1" w:styleId="169">
    <w:name w:val="TOC 标题1"/>
    <w:basedOn w:val="2"/>
    <w:next w:val="1"/>
    <w:unhideWhenUsed/>
    <w:qFormat/>
    <w:uiPriority w:val="39"/>
    <w:pPr>
      <w:outlineLvl w:val="9"/>
    </w:pPr>
  </w:style>
  <w:style w:type="paragraph" w:customStyle="1" w:styleId="170">
    <w:name w:val="正文缩进4格"/>
    <w:basedOn w:val="93"/>
    <w:uiPriority w:val="0"/>
    <w:pPr>
      <w:ind w:left="651" w:leftChars="310" w:firstLine="608" w:firstLineChars="196"/>
    </w:pPr>
    <w:rPr>
      <w:color w:val="000000"/>
    </w:rPr>
  </w:style>
  <w:style w:type="paragraph" w:customStyle="1" w:styleId="171">
    <w:name w:val="Head1"/>
    <w:uiPriority w:val="0"/>
    <w:pPr>
      <w:numPr>
        <w:ilvl w:val="1"/>
        <w:numId w:val="4"/>
      </w:numPr>
      <w:pBdr>
        <w:top w:val="single" w:color="auto" w:sz="6" w:space="1"/>
      </w:pBdr>
      <w:tabs>
        <w:tab w:val="left" w:pos="576"/>
      </w:tabs>
      <w:spacing w:before="28" w:after="28"/>
      <w:outlineLvl w:val="1"/>
    </w:pPr>
    <w:rPr>
      <w:rFonts w:ascii="Arial" w:hAnsi="Arial"/>
      <w:b/>
      <w:sz w:val="22"/>
      <w:szCs w:val="22"/>
      <w:lang w:val="en-US" w:eastAsia="en-US" w:bidi="ar-SA"/>
    </w:rPr>
  </w:style>
  <w:style w:type="paragraph" w:customStyle="1" w:styleId="172">
    <w:name w:val="Body"/>
    <w:uiPriority w:val="0"/>
    <w:pPr>
      <w:spacing w:before="130" w:after="130" w:line="260" w:lineRule="exact"/>
    </w:pPr>
    <w:rPr>
      <w:rFonts w:ascii="Univers" w:hAnsi="Univers"/>
      <w:color w:val="000000"/>
      <w:sz w:val="22"/>
      <w:szCs w:val="22"/>
      <w:lang w:val="en-US" w:eastAsia="en-US" w:bidi="ar-SA"/>
    </w:rPr>
  </w:style>
  <w:style w:type="character" w:customStyle="1" w:styleId="173">
    <w:name w:val="纯文本 Char1"/>
    <w:aliases w:val="普通文字5 Char,普通文字6 Char,普通文字11 Char,普通文字21 Char,普通文字31 Char,普通文字41 Char,普通文字7 Char,标 Char"/>
    <w:uiPriority w:val="0"/>
    <w:rPr>
      <w:rFonts w:ascii="宋体" w:hAnsi="Courier New" w:eastAsia="宋体" w:cs="Courier New"/>
      <w:szCs w:val="21"/>
    </w:rPr>
  </w:style>
  <w:style w:type="character" w:customStyle="1" w:styleId="174">
    <w:name w:val="页眉 Char"/>
    <w:link w:val="40"/>
    <w:qFormat/>
    <w:uiPriority w:val="99"/>
    <w:rPr>
      <w:rFonts w:eastAsia="宋体"/>
      <w:kern w:val="2"/>
      <w:sz w:val="18"/>
      <w:lang w:val="en-US" w:eastAsia="zh-CN" w:bidi="ar-SA"/>
    </w:rPr>
  </w:style>
  <w:style w:type="character" w:customStyle="1" w:styleId="175">
    <w:name w:val="正文文本 Char"/>
    <w:qFormat/>
    <w:uiPriority w:val="0"/>
    <w:rPr>
      <w:rFonts w:ascii="仿宋_GB2312" w:hAnsi="Times New Roman" w:eastAsia="仿宋_GB2312" w:cs="Times New Roman"/>
      <w:sz w:val="28"/>
      <w:szCs w:val="28"/>
    </w:rPr>
  </w:style>
  <w:style w:type="character" w:customStyle="1" w:styleId="176">
    <w:name w:val="正文文本 Char1"/>
    <w:semiHidden/>
    <w:uiPriority w:val="0"/>
    <w:rPr>
      <w:rFonts w:ascii="仿宋_GB2312" w:hAnsi="Times New Roman" w:eastAsia="仿宋_GB2312" w:cs="Times New Roman"/>
      <w:sz w:val="28"/>
      <w:szCs w:val="28"/>
    </w:rPr>
  </w:style>
  <w:style w:type="paragraph" w:customStyle="1" w:styleId="177">
    <w:name w:val="图"/>
    <w:basedOn w:val="1"/>
    <w:uiPriority w:val="0"/>
    <w:pPr>
      <w:keepNext/>
      <w:adjustRightInd w:val="0"/>
      <w:spacing w:before="60" w:after="60" w:line="300" w:lineRule="auto"/>
      <w:jc w:val="center"/>
      <w:textAlignment w:val="center"/>
    </w:pPr>
    <w:rPr>
      <w:rFonts w:ascii="仿宋_GB2312" w:eastAsia="仿宋_GB2312"/>
      <w:snapToGrid w:val="0"/>
      <w:spacing w:val="20"/>
      <w:lang w:val="en-US" w:eastAsia="zh-CN"/>
    </w:rPr>
  </w:style>
  <w:style w:type="paragraph" w:customStyle="1" w:styleId="178">
    <w:name w:val="Level 2: 1."/>
    <w:uiPriority w:val="0"/>
    <w:pPr>
      <w:numPr>
        <w:ilvl w:val="4"/>
        <w:numId w:val="4"/>
      </w:numPr>
      <w:tabs>
        <w:tab w:val="left" w:pos="720"/>
      </w:tabs>
      <w:spacing w:before="72" w:after="72"/>
      <w:jc w:val="both"/>
      <w:outlineLvl w:val="4"/>
    </w:pPr>
    <w:rPr>
      <w:rFonts w:ascii="Arial" w:hAnsi="Arial"/>
      <w:sz w:val="22"/>
      <w:szCs w:val="22"/>
      <w:lang w:val="en-US" w:eastAsia="en-US" w:bidi="ar-SA"/>
    </w:rPr>
  </w:style>
  <w:style w:type="paragraph" w:customStyle="1" w:styleId="179">
    <w:name w:val="Achievement"/>
    <w:basedOn w:val="23"/>
    <w:uiPriority w:val="0"/>
    <w:pPr>
      <w:numPr>
        <w:ilvl w:val="0"/>
        <w:numId w:val="5"/>
      </w:numPr>
      <w:spacing w:after="60" w:line="220" w:lineRule="atLeast"/>
    </w:pPr>
    <w:rPr>
      <w:rFonts w:ascii="Arial" w:hAnsi="Arial" w:eastAsia="宋体"/>
      <w:b w:val="0"/>
      <w:bCs w:val="0"/>
      <w:spacing w:val="-5"/>
      <w:kern w:val="0"/>
      <w:sz w:val="20"/>
      <w:szCs w:val="20"/>
    </w:rPr>
  </w:style>
  <w:style w:type="paragraph" w:customStyle="1" w:styleId="180">
    <w:name w:val="正文（缩进）"/>
    <w:basedOn w:val="1"/>
    <w:uiPriority w:val="0"/>
    <w:pPr>
      <w:spacing w:beforeLines="50" w:afterLines="50" w:line="360" w:lineRule="auto"/>
      <w:ind w:firstLine="480" w:firstLineChars="200"/>
    </w:pPr>
    <w:rPr>
      <w:rFonts w:ascii="仿宋_GB2312" w:eastAsia="仿宋_GB2312"/>
      <w:szCs w:val="28"/>
    </w:rPr>
  </w:style>
  <w:style w:type="paragraph" w:customStyle="1" w:styleId="181">
    <w:name w:val="文档正文"/>
    <w:basedOn w:val="1"/>
    <w:uiPriority w:val="0"/>
    <w:rPr>
      <w:rFonts w:ascii="Arial" w:hAnsi="Arial" w:eastAsia="仿宋_GB2312" w:cs="Arial"/>
      <w:bCs/>
      <w:szCs w:val="28"/>
    </w:rPr>
  </w:style>
  <w:style w:type="paragraph" w:customStyle="1" w:styleId="182">
    <w:name w:val="RFI Bullet 1st Level"/>
    <w:basedOn w:val="1"/>
    <w:uiPriority w:val="0"/>
    <w:pPr>
      <w:spacing w:before="60" w:after="60"/>
      <w:ind w:left="1440" w:hanging="360"/>
    </w:pPr>
    <w:rPr>
      <w:rFonts w:ascii="Arial (W1)" w:hAnsi="Arial (W1)" w:eastAsia="仿宋_GB2312"/>
      <w:szCs w:val="28"/>
      <w:lang w:val="en-GB" w:eastAsia="en-US"/>
    </w:rPr>
  </w:style>
  <w:style w:type="paragraph" w:customStyle="1" w:styleId="183">
    <w:name w:val="标题 3.1"/>
    <w:basedOn w:val="4"/>
    <w:uiPriority w:val="0"/>
    <w:pPr>
      <w:tabs>
        <w:tab w:val="left" w:pos="5614"/>
      </w:tabs>
      <w:spacing w:line="600" w:lineRule="exact"/>
    </w:pPr>
    <w:rPr>
      <w:rFonts w:ascii="仿宋_GB2312"/>
      <w:sz w:val="36"/>
    </w:rPr>
  </w:style>
  <w:style w:type="paragraph" w:customStyle="1" w:styleId="184">
    <w:name w:val="Level 6: (i)"/>
    <w:basedOn w:val="1"/>
    <w:uiPriority w:val="0"/>
    <w:pPr>
      <w:numPr>
        <w:ilvl w:val="8"/>
        <w:numId w:val="4"/>
      </w:numPr>
      <w:tabs>
        <w:tab w:val="left" w:pos="2160"/>
      </w:tabs>
      <w:spacing w:before="72" w:after="72"/>
      <w:outlineLvl w:val="8"/>
    </w:pPr>
    <w:rPr>
      <w:rFonts w:ascii="Arial" w:hAnsi="Arial" w:eastAsia="仿宋_GB2312"/>
      <w:sz w:val="20"/>
      <w:lang w:val="en-US" w:eastAsia="en-US"/>
    </w:rPr>
  </w:style>
  <w:style w:type="paragraph" w:customStyle="1" w:styleId="185">
    <w:name w:val="1 Char Char Char Char"/>
    <w:basedOn w:val="1"/>
    <w:uiPriority w:val="0"/>
    <w:rPr>
      <w:rFonts w:ascii="Tahoma" w:hAnsi="Tahoma"/>
    </w:rPr>
  </w:style>
  <w:style w:type="paragraph" w:customStyle="1" w:styleId="186">
    <w:name w:val="Style Body Text Indent 2 + 11 pt Line spacing:  1.5 lines"/>
    <w:basedOn w:val="36"/>
    <w:uiPriority w:val="0"/>
    <w:pPr>
      <w:tabs>
        <w:tab w:val="left" w:pos="900"/>
      </w:tabs>
      <w:spacing w:line="360" w:lineRule="auto"/>
      <w:ind w:firstLine="0" w:firstLineChars="0"/>
    </w:pPr>
    <w:rPr>
      <w:rFonts w:ascii="宋体" w:hAnsi="宋体"/>
      <w:kern w:val="0"/>
      <w:sz w:val="22"/>
      <w:szCs w:val="20"/>
      <w:lang w:val="en-GB"/>
    </w:rPr>
  </w:style>
  <w:style w:type="character" w:customStyle="1" w:styleId="187">
    <w:name w:val="尾注文本 Char"/>
    <w:link w:val="37"/>
    <w:uiPriority w:val="0"/>
    <w:rPr>
      <w:rFonts w:ascii="仿宋_GB2312" w:eastAsia="仿宋_GB2312"/>
      <w:kern w:val="2"/>
      <w:sz w:val="28"/>
      <w:szCs w:val="28"/>
      <w:lang w:val="en-US" w:eastAsia="zh-CN" w:bidi="ar-SA"/>
    </w:rPr>
  </w:style>
  <w:style w:type="paragraph" w:customStyle="1" w:styleId="188">
    <w:name w:val="Level 3: (a)"/>
    <w:basedOn w:val="1"/>
    <w:uiPriority w:val="0"/>
    <w:pPr>
      <w:numPr>
        <w:ilvl w:val="5"/>
        <w:numId w:val="4"/>
      </w:numPr>
      <w:tabs>
        <w:tab w:val="left" w:pos="1080"/>
      </w:tabs>
      <w:spacing w:before="72" w:after="72"/>
      <w:outlineLvl w:val="5"/>
    </w:pPr>
    <w:rPr>
      <w:rFonts w:ascii="Arial" w:hAnsi="Arial" w:eastAsia="仿宋_GB2312"/>
      <w:sz w:val="20"/>
      <w:lang w:val="en-US" w:eastAsia="en-US"/>
    </w:rPr>
  </w:style>
  <w:style w:type="paragraph" w:customStyle="1" w:styleId="189">
    <w:name w:val="RFI List 2"/>
    <w:basedOn w:val="157"/>
    <w:uiPriority w:val="0"/>
    <w:pPr>
      <w:numPr>
        <w:ilvl w:val="0"/>
        <w:numId w:val="6"/>
      </w:numPr>
      <w:tabs>
        <w:tab w:val="clear" w:pos="360"/>
        <w:tab w:val="clear" w:pos="1800"/>
      </w:tabs>
      <w:ind w:left="720" w:hanging="720"/>
    </w:pPr>
    <w:rPr>
      <w:rFonts w:eastAsia="Times New Roman"/>
      <w:b w:val="0"/>
      <w:bCs/>
    </w:rPr>
  </w:style>
  <w:style w:type="paragraph" w:customStyle="1" w:styleId="190">
    <w:name w:val="Level 4: (i)"/>
    <w:basedOn w:val="1"/>
    <w:uiPriority w:val="0"/>
    <w:pPr>
      <w:numPr>
        <w:ilvl w:val="6"/>
        <w:numId w:val="4"/>
      </w:numPr>
      <w:tabs>
        <w:tab w:val="left" w:pos="1440"/>
      </w:tabs>
      <w:spacing w:before="72" w:after="72"/>
      <w:outlineLvl w:val="6"/>
    </w:pPr>
    <w:rPr>
      <w:rFonts w:ascii="Arial" w:hAnsi="Arial" w:eastAsia="仿宋_GB2312"/>
      <w:sz w:val="20"/>
      <w:lang w:val="en-US" w:eastAsia="en-US"/>
    </w:rPr>
  </w:style>
  <w:style w:type="paragraph" w:customStyle="1" w:styleId="191">
    <w:name w:val="xl48"/>
    <w:basedOn w:val="1"/>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192">
    <w:name w:val="Style Heading 3 + 11 pt Line spacing:  1.5 lines"/>
    <w:basedOn w:val="4"/>
    <w:uiPriority w:val="0"/>
    <w:pPr>
      <w:tabs>
        <w:tab w:val="left" w:pos="1260"/>
      </w:tabs>
      <w:spacing w:before="0" w:after="0" w:line="360" w:lineRule="auto"/>
      <w:ind w:left="236" w:leftChars="236"/>
    </w:pPr>
    <w:rPr>
      <w:rFonts w:ascii="仿宋_GB2312" w:eastAsia="黑体"/>
      <w:b w:val="0"/>
      <w:sz w:val="28"/>
      <w:szCs w:val="28"/>
    </w:rPr>
  </w:style>
  <w:style w:type="paragraph" w:customStyle="1" w:styleId="193">
    <w:name w:val="kx"/>
    <w:basedOn w:val="1"/>
    <w:uiPriority w:val="0"/>
    <w:pPr>
      <w:spacing w:before="100" w:beforeAutospacing="1" w:after="100" w:afterAutospacing="1"/>
    </w:pPr>
    <w:rPr>
      <w:rFonts w:ascii="宋体" w:hAnsi="宋体"/>
    </w:rPr>
  </w:style>
  <w:style w:type="paragraph" w:customStyle="1" w:styleId="194">
    <w:name w:val="项目"/>
    <w:basedOn w:val="23"/>
    <w:next w:val="23"/>
    <w:uiPriority w:val="0"/>
    <w:pPr>
      <w:numPr>
        <w:ilvl w:val="0"/>
        <w:numId w:val="7"/>
      </w:numPr>
      <w:tabs>
        <w:tab w:val="left" w:pos="420"/>
      </w:tabs>
      <w:spacing w:line="360" w:lineRule="auto"/>
      <w:ind w:left="420"/>
    </w:pPr>
    <w:rPr>
      <w:rFonts w:eastAsia="宋体"/>
      <w:b w:val="0"/>
      <w:bCs w:val="0"/>
      <w:spacing w:val="0"/>
      <w:kern w:val="0"/>
      <w:sz w:val="24"/>
      <w:szCs w:val="20"/>
    </w:rPr>
  </w:style>
  <w:style w:type="paragraph" w:customStyle="1" w:styleId="195">
    <w:name w:val="Style Heading 3 + Line spacing:  1.5 lines"/>
    <w:basedOn w:val="4"/>
    <w:uiPriority w:val="0"/>
    <w:pPr>
      <w:numPr>
        <w:ilvl w:val="2"/>
        <w:numId w:val="8"/>
      </w:numPr>
      <w:tabs>
        <w:tab w:val="left" w:pos="1152"/>
        <w:tab w:val="left" w:pos="1680"/>
      </w:tabs>
      <w:spacing w:before="0" w:after="0" w:line="360" w:lineRule="auto"/>
      <w:ind w:left="236" w:leftChars="236"/>
    </w:pPr>
    <w:rPr>
      <w:rFonts w:ascii="仿宋_GB2312" w:eastAsia="黑体"/>
      <w:sz w:val="28"/>
      <w:szCs w:val="28"/>
    </w:rPr>
  </w:style>
  <w:style w:type="paragraph" w:customStyle="1" w:styleId="196">
    <w:name w:val="www正文"/>
    <w:basedOn w:val="1"/>
    <w:uiPriority w:val="0"/>
    <w:pPr>
      <w:ind w:firstLine="480" w:firstLineChars="200"/>
    </w:pPr>
    <w:rPr>
      <w:rFonts w:ascii="仿宋_GB2312" w:eastAsia="仿宋_GB2312"/>
      <w:szCs w:val="28"/>
    </w:rPr>
  </w:style>
  <w:style w:type="paragraph" w:customStyle="1" w:styleId="197">
    <w:name w:val="Bullet 1"/>
    <w:basedOn w:val="1"/>
    <w:uiPriority w:val="0"/>
    <w:rPr>
      <w:rFonts w:ascii="Tahoma" w:hAnsi="Tahoma" w:eastAsia="仿宋_GB2312" w:cs="Tahoma"/>
      <w:szCs w:val="28"/>
      <w:lang w:val="en-US" w:eastAsia="en-US"/>
    </w:rPr>
  </w:style>
  <w:style w:type="paragraph" w:customStyle="1" w:styleId="198">
    <w:name w:val="日期右"/>
    <w:basedOn w:val="35"/>
    <w:uiPriority w:val="0"/>
    <w:pPr>
      <w:spacing w:line="600" w:lineRule="exact"/>
      <w:ind w:left="0" w:leftChars="0"/>
      <w:jc w:val="right"/>
    </w:pPr>
    <w:rPr>
      <w:rFonts w:eastAsia="仿宋_GB2312"/>
      <w:sz w:val="31"/>
      <w:szCs w:val="24"/>
    </w:rPr>
  </w:style>
  <w:style w:type="paragraph" w:customStyle="1" w:styleId="199">
    <w:name w:val="项目符号2"/>
    <w:basedOn w:val="1"/>
    <w:uiPriority w:val="0"/>
    <w:pPr>
      <w:tabs>
        <w:tab w:val="left" w:pos="2591"/>
      </w:tabs>
      <w:snapToGrid w:val="0"/>
      <w:spacing w:line="300" w:lineRule="auto"/>
      <w:ind w:left="2155" w:hanging="284"/>
    </w:pPr>
    <w:rPr>
      <w:rFonts w:ascii="宋体" w:eastAsia="仿宋_GB2312"/>
    </w:rPr>
  </w:style>
  <w:style w:type="character" w:customStyle="1" w:styleId="200">
    <w:name w:val="正文首行缩进 Char1"/>
    <w:basedOn w:val="175"/>
    <w:semiHidden/>
    <w:uiPriority w:val="0"/>
  </w:style>
  <w:style w:type="paragraph" w:customStyle="1" w:styleId="201">
    <w:name w:val="条目2"/>
    <w:basedOn w:val="32"/>
    <w:uiPriority w:val="0"/>
    <w:pPr>
      <w:numPr>
        <w:ilvl w:val="0"/>
        <w:numId w:val="9"/>
      </w:numPr>
      <w:tabs>
        <w:tab w:val="left" w:pos="420"/>
      </w:tabs>
      <w:spacing w:line="360" w:lineRule="auto"/>
    </w:pPr>
    <w:rPr>
      <w:rFonts w:cs="Courier New"/>
      <w:color w:val="000000"/>
      <w:sz w:val="24"/>
      <w:szCs w:val="21"/>
    </w:rPr>
  </w:style>
  <w:style w:type="paragraph" w:customStyle="1" w:styleId="202">
    <w:name w:val="Char1 Char Char Char"/>
    <w:basedOn w:val="1"/>
    <w:uiPriority w:val="0"/>
    <w:pPr>
      <w:ind w:left="420" w:hanging="420"/>
    </w:pPr>
    <w:rPr>
      <w:rFonts w:ascii="仿宋_GB2312" w:eastAsia="仿宋_GB2312"/>
      <w:szCs w:val="28"/>
    </w:rPr>
  </w:style>
  <w:style w:type="paragraph" w:customStyle="1" w:styleId="203">
    <w:name w:val="Reset levels"/>
    <w:basedOn w:val="1"/>
    <w:uiPriority w:val="0"/>
    <w:pPr>
      <w:ind w:left="420" w:hanging="420"/>
    </w:pPr>
    <w:rPr>
      <w:rFonts w:ascii="Arial" w:hAnsi="Arial" w:eastAsia="仿宋_GB2312"/>
      <w:b/>
      <w:lang w:val="en-US" w:eastAsia="en-US"/>
    </w:rPr>
  </w:style>
  <w:style w:type="paragraph" w:customStyle="1" w:styleId="204">
    <w:name w:val="默认段落字体 Para Char"/>
    <w:basedOn w:val="1"/>
    <w:uiPriority w:val="0"/>
    <w:pPr>
      <w:spacing w:line="360" w:lineRule="auto"/>
      <w:ind w:firstLine="200" w:firstLineChars="200"/>
    </w:pPr>
    <w:rPr>
      <w:rFonts w:ascii="宋体" w:hAnsi="宋体" w:eastAsia="仿宋_GB2312" w:cs="宋体"/>
      <w:szCs w:val="28"/>
    </w:rPr>
  </w:style>
  <w:style w:type="character" w:customStyle="1" w:styleId="205">
    <w:name w:val="日期 Char1"/>
    <w:semiHidden/>
    <w:uiPriority w:val="0"/>
    <w:rPr>
      <w:rFonts w:ascii="仿宋_GB2312" w:hAnsi="Times New Roman" w:eastAsia="仿宋_GB2312" w:cs="Times New Roman"/>
      <w:sz w:val="28"/>
      <w:szCs w:val="28"/>
    </w:rPr>
  </w:style>
  <w:style w:type="character" w:customStyle="1" w:styleId="206">
    <w:name w:val="正文文本 3 Char1"/>
    <w:semiHidden/>
    <w:uiPriority w:val="0"/>
    <w:rPr>
      <w:rFonts w:ascii="仿宋_GB2312" w:hAnsi="Times New Roman" w:eastAsia="仿宋_GB2312" w:cs="Times New Roman"/>
      <w:sz w:val="16"/>
      <w:szCs w:val="16"/>
    </w:rPr>
  </w:style>
  <w:style w:type="character" w:customStyle="1" w:styleId="207">
    <w:name w:val="正文文本缩进 3 Char1"/>
    <w:semiHidden/>
    <w:uiPriority w:val="0"/>
    <w:rPr>
      <w:rFonts w:ascii="仿宋_GB2312" w:hAnsi="Times New Roman" w:eastAsia="仿宋_GB2312" w:cs="Times New Roman"/>
      <w:sz w:val="16"/>
      <w:szCs w:val="16"/>
    </w:rPr>
  </w:style>
  <w:style w:type="paragraph" w:customStyle="1" w:styleId="208">
    <w:name w:val="Normal 1.0"/>
    <w:basedOn w:val="1"/>
    <w:uiPriority w:val="0"/>
    <w:pPr>
      <w:keepLines/>
      <w:spacing w:before="180" w:after="120"/>
      <w:ind w:left="1440"/>
    </w:pPr>
    <w:rPr>
      <w:rFonts w:ascii="仿宋_GB2312" w:eastAsia="仿宋_GB2312"/>
      <w:szCs w:val="28"/>
      <w:lang w:val="en-GB" w:eastAsia="en-US"/>
    </w:rPr>
  </w:style>
  <w:style w:type="paragraph" w:customStyle="1" w:styleId="209">
    <w:name w:val="BodyText"/>
    <w:basedOn w:val="1"/>
    <w:uiPriority w:val="0"/>
    <w:pPr>
      <w:spacing w:after="120"/>
    </w:pPr>
    <w:rPr>
      <w:rFonts w:ascii="FuturaA Bk BT" w:hAnsi="FuturaA Bk BT" w:eastAsia="仿宋_GB2312"/>
      <w:sz w:val="20"/>
    </w:rPr>
  </w:style>
  <w:style w:type="paragraph" w:customStyle="1" w:styleId="210">
    <w:name w:val="Level 1: a."/>
    <w:uiPriority w:val="0"/>
    <w:pPr>
      <w:numPr>
        <w:ilvl w:val="3"/>
        <w:numId w:val="4"/>
      </w:numPr>
      <w:tabs>
        <w:tab w:val="left" w:pos="360"/>
      </w:tabs>
      <w:spacing w:before="72" w:after="72"/>
      <w:jc w:val="both"/>
      <w:outlineLvl w:val="3"/>
    </w:pPr>
    <w:rPr>
      <w:rFonts w:ascii="Arial" w:hAnsi="Arial"/>
      <w:sz w:val="22"/>
      <w:szCs w:val="22"/>
      <w:lang w:val="en-US" w:eastAsia="en-US" w:bidi="ar-SA"/>
    </w:rPr>
  </w:style>
  <w:style w:type="paragraph" w:customStyle="1" w:styleId="211">
    <w:name w:val="水印"/>
    <w:basedOn w:val="1"/>
    <w:uiPriority w:val="0"/>
    <w:pPr>
      <w:adjustRightInd w:val="0"/>
      <w:spacing w:line="240" w:lineRule="atLeast"/>
      <w:textAlignment w:val="baseline"/>
    </w:pPr>
    <w:rPr>
      <w:rFonts w:ascii="仿宋_GB2312" w:eastAsia="仿宋_GB2312"/>
      <w:sz w:val="28"/>
    </w:rPr>
  </w:style>
  <w:style w:type="paragraph" w:customStyle="1" w:styleId="212">
    <w:name w:val="RFI text from 3rd Level"/>
    <w:basedOn w:val="160"/>
    <w:uiPriority w:val="0"/>
    <w:pPr>
      <w:tabs>
        <w:tab w:val="left" w:pos="1080"/>
        <w:tab w:val="clear" w:pos="360"/>
      </w:tabs>
    </w:pPr>
    <w:rPr>
      <w:b w:val="0"/>
      <w:lang w:eastAsia="zh-CN"/>
    </w:rPr>
  </w:style>
  <w:style w:type="paragraph" w:customStyle="1" w:styleId="213">
    <w:name w:val="1.1.1Head2"/>
    <w:uiPriority w:val="0"/>
    <w:pPr>
      <w:numPr>
        <w:ilvl w:val="2"/>
        <w:numId w:val="10"/>
      </w:numPr>
      <w:tabs>
        <w:tab w:val="left" w:pos="2880"/>
      </w:tabs>
      <w:spacing w:before="28" w:after="28"/>
      <w:outlineLvl w:val="2"/>
    </w:pPr>
    <w:rPr>
      <w:rFonts w:ascii="Arial" w:hAnsi="Arial"/>
      <w:b/>
      <w:sz w:val="22"/>
      <w:szCs w:val="22"/>
      <w:lang w:val="en-US" w:eastAsia="en-US" w:bidi="ar-SA"/>
    </w:rPr>
  </w:style>
  <w:style w:type="paragraph" w:customStyle="1" w:styleId="214">
    <w:name w:val="Char Char Char Char Char Char Char Char1 Char"/>
    <w:basedOn w:val="1"/>
    <w:uiPriority w:val="0"/>
    <w:rPr>
      <w:rFonts w:ascii="仿宋_GB2312" w:eastAsia="仿宋_GB2312"/>
      <w:sz w:val="28"/>
    </w:rPr>
  </w:style>
  <w:style w:type="paragraph" w:customStyle="1" w:styleId="215">
    <w:name w:val="批注框文本1"/>
    <w:basedOn w:val="1"/>
    <w:uiPriority w:val="0"/>
    <w:pPr>
      <w:spacing w:before="120" w:line="360" w:lineRule="auto"/>
    </w:pPr>
    <w:rPr>
      <w:rFonts w:ascii="Tahoma" w:hAnsi="Tahoma" w:eastAsia="仿宋_GB2312" w:cs="Tahoma"/>
      <w:sz w:val="16"/>
      <w:szCs w:val="16"/>
      <w:lang w:val="en-GB" w:eastAsia="en-US"/>
    </w:rPr>
  </w:style>
  <w:style w:type="paragraph" w:customStyle="1" w:styleId="216">
    <w:name w:val="标题 3.5"/>
    <w:basedOn w:val="4"/>
    <w:uiPriority w:val="0"/>
    <w:pPr>
      <w:keepNext w:val="0"/>
      <w:spacing w:before="0" w:after="0" w:line="600" w:lineRule="exact"/>
      <w:outlineLvl w:val="9"/>
    </w:pPr>
    <w:rPr>
      <w:rFonts w:ascii="仿宋_GB2312" w:eastAsia="仿宋_GB2312"/>
      <w:b w:val="0"/>
      <w:bCs w:val="0"/>
      <w:sz w:val="31"/>
      <w:szCs w:val="24"/>
    </w:rPr>
  </w:style>
  <w:style w:type="paragraph" w:customStyle="1" w:styleId="217">
    <w:name w:val="1.1 Header2"/>
    <w:basedOn w:val="1"/>
    <w:uiPriority w:val="0"/>
    <w:rPr>
      <w:rFonts w:ascii="宋体" w:hAnsi="宋体" w:eastAsia="仿宋_GB2312"/>
      <w:color w:val="000000"/>
      <w:szCs w:val="21"/>
    </w:rPr>
  </w:style>
  <w:style w:type="paragraph" w:customStyle="1" w:styleId="218">
    <w:name w:val="Content Bullet"/>
    <w:basedOn w:val="1"/>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219">
    <w:name w:val="RFI Heading 2nd Level"/>
    <w:basedOn w:val="1"/>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220">
    <w:name w:val="Char Char Char Char"/>
    <w:basedOn w:val="1"/>
    <w:uiPriority w:val="0"/>
    <w:pPr>
      <w:spacing w:line="400" w:lineRule="exact"/>
      <w:jc w:val="center"/>
    </w:pPr>
    <w:rPr>
      <w:rFonts w:ascii="Verdana" w:hAnsi="Verdana" w:eastAsia="仿宋_GB2312"/>
      <w:sz w:val="28"/>
      <w:lang w:eastAsia="en-US"/>
    </w:rPr>
  </w:style>
  <w:style w:type="character" w:customStyle="1" w:styleId="221">
    <w:name w:val="正文文本缩进 Char"/>
    <w:uiPriority w:val="0"/>
    <w:rPr>
      <w:rFonts w:ascii="仿宋_GB2312" w:hAnsi="Times New Roman" w:eastAsia="仿宋_GB2312" w:cs="Times New Roman"/>
      <w:sz w:val="28"/>
      <w:szCs w:val="28"/>
    </w:rPr>
  </w:style>
  <w:style w:type="character" w:customStyle="1" w:styleId="222">
    <w:name w:val="正文文本缩进 Char1"/>
    <w:semiHidden/>
    <w:uiPriority w:val="0"/>
    <w:rPr>
      <w:rFonts w:ascii="仿宋_GB2312" w:hAnsi="Times New Roman" w:eastAsia="仿宋_GB2312" w:cs="Times New Roman"/>
      <w:sz w:val="28"/>
      <w:szCs w:val="28"/>
    </w:rPr>
  </w:style>
  <w:style w:type="character" w:customStyle="1" w:styleId="223">
    <w:name w:val="页脚 Char1"/>
    <w:semiHidden/>
    <w:uiPriority w:val="0"/>
    <w:rPr>
      <w:rFonts w:ascii="仿宋_GB2312" w:hAnsi="Times New Roman" w:eastAsia="仿宋_GB2312" w:cs="Times New Roman"/>
      <w:sz w:val="18"/>
      <w:szCs w:val="18"/>
    </w:rPr>
  </w:style>
  <w:style w:type="paragraph" w:customStyle="1" w:styleId="224">
    <w:name w:val="Style Left:  0.81&quot; First line:  0&quot; Line spacing:  1.5 lines Char"/>
    <w:basedOn w:val="1"/>
    <w:uiPriority w:val="0"/>
    <w:pPr>
      <w:spacing w:line="360" w:lineRule="auto"/>
      <w:ind w:left="1152"/>
    </w:pPr>
    <w:rPr>
      <w:rFonts w:ascii="仿宋_GB2312" w:eastAsia="仿宋_GB2312"/>
      <w:lang w:eastAsia="en-US"/>
    </w:rPr>
  </w:style>
  <w:style w:type="paragraph" w:customStyle="1" w:styleId="225">
    <w:name w:val="Proposals body"/>
    <w:basedOn w:val="1"/>
    <w:next w:val="1"/>
    <w:uiPriority w:val="0"/>
    <w:pPr>
      <w:spacing w:line="360" w:lineRule="auto"/>
    </w:pPr>
    <w:rPr>
      <w:rFonts w:ascii="宋体" w:eastAsia="仿宋_GB2312"/>
      <w:snapToGrid w:val="0"/>
      <w:color w:val="000000"/>
    </w:rPr>
  </w:style>
  <w:style w:type="paragraph" w:customStyle="1" w:styleId="226">
    <w:name w:val="Default Text:1"/>
    <w:basedOn w:val="1"/>
    <w:uiPriority w:val="0"/>
    <w:rPr>
      <w:rFonts w:ascii="Tahoma" w:hAnsi="Tahoma" w:eastAsia="仿宋_GB2312" w:cs="Tahoma"/>
      <w:szCs w:val="28"/>
      <w:lang w:val="en-US" w:eastAsia="en-US"/>
    </w:rPr>
  </w:style>
  <w:style w:type="paragraph" w:customStyle="1" w:styleId="227">
    <w:name w:val="简单回函地址"/>
    <w:basedOn w:val="1"/>
    <w:uiPriority w:val="0"/>
    <w:rPr>
      <w:rFonts w:ascii="宋体" w:hAnsi="宋体" w:eastAsia="仿宋_GB2312"/>
      <w:color w:val="000000"/>
      <w:sz w:val="28"/>
      <w:szCs w:val="21"/>
    </w:rPr>
  </w:style>
  <w:style w:type="paragraph" w:customStyle="1" w:styleId="228">
    <w:name w:val="xl32"/>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229">
    <w:name w:val="小条目 Char Char"/>
    <w:basedOn w:val="1"/>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230">
    <w:name w:val="kp"/>
    <w:basedOn w:val="1"/>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31">
    <w:name w:val="RFI abc 1st Level"/>
    <w:basedOn w:val="1"/>
    <w:uiPriority w:val="0"/>
    <w:pPr>
      <w:numPr>
        <w:ilvl w:val="0"/>
        <w:numId w:val="11"/>
      </w:numPr>
      <w:tabs>
        <w:tab w:val="left" w:pos="1440"/>
      </w:tabs>
      <w:ind w:left="1440"/>
    </w:pPr>
    <w:rPr>
      <w:rFonts w:ascii="Arial (W1)" w:hAnsi="Arial (W1)" w:eastAsia="仿宋_GB2312"/>
      <w:szCs w:val="28"/>
      <w:lang w:val="en-GB" w:eastAsia="en-US"/>
    </w:rPr>
  </w:style>
  <w:style w:type="paragraph" w:customStyle="1" w:styleId="232">
    <w:name w:val="Level 5: (1)"/>
    <w:basedOn w:val="1"/>
    <w:uiPriority w:val="0"/>
    <w:pPr>
      <w:numPr>
        <w:ilvl w:val="7"/>
        <w:numId w:val="4"/>
      </w:numPr>
      <w:tabs>
        <w:tab w:val="left" w:pos="1800"/>
      </w:tabs>
      <w:spacing w:before="72" w:after="72"/>
      <w:outlineLvl w:val="7"/>
    </w:pPr>
    <w:rPr>
      <w:rFonts w:ascii="Arial" w:hAnsi="Arial" w:eastAsia="仿宋_GB2312"/>
      <w:sz w:val="20"/>
      <w:lang w:val="en-US" w:eastAsia="en-US"/>
    </w:rPr>
  </w:style>
  <w:style w:type="paragraph" w:customStyle="1" w:styleId="233">
    <w:name w:val="Default Text"/>
    <w:basedOn w:val="1"/>
    <w:uiPriority w:val="0"/>
    <w:rPr>
      <w:rFonts w:ascii="Tahoma" w:hAnsi="Tahoma" w:eastAsia="仿宋_GB2312" w:cs="Tahoma"/>
      <w:szCs w:val="28"/>
      <w:lang w:val="en-US" w:eastAsia="en-US"/>
    </w:rPr>
  </w:style>
  <w:style w:type="paragraph" w:customStyle="1" w:styleId="234">
    <w:name w:val="tabletextchar"/>
    <w:basedOn w:val="1"/>
    <w:uiPriority w:val="0"/>
    <w:pPr>
      <w:spacing w:before="100" w:beforeAutospacing="1" w:after="100" w:afterAutospacing="1" w:line="240" w:lineRule="atLeast"/>
    </w:pPr>
    <w:rPr>
      <w:rFonts w:ascii="宋体" w:hAnsi="宋体" w:eastAsia="仿宋_GB2312" w:cs="宋体"/>
      <w:sz w:val="18"/>
      <w:szCs w:val="18"/>
    </w:rPr>
  </w:style>
  <w:style w:type="paragraph" w:customStyle="1" w:styleId="235">
    <w:name w:val="1.1.1.1Heading3"/>
    <w:basedOn w:val="4"/>
    <w:uiPriority w:val="0"/>
    <w:pPr>
      <w:numPr>
        <w:ilvl w:val="2"/>
        <w:numId w:val="12"/>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236">
    <w:name w:val="Head2"/>
    <w:uiPriority w:val="0"/>
    <w:pPr>
      <w:numPr>
        <w:ilvl w:val="2"/>
        <w:numId w:val="4"/>
      </w:numPr>
      <w:tabs>
        <w:tab w:val="left" w:pos="576"/>
      </w:tabs>
      <w:spacing w:before="28" w:after="28"/>
      <w:outlineLvl w:val="2"/>
    </w:pPr>
    <w:rPr>
      <w:rFonts w:ascii="Arial" w:hAnsi="Arial"/>
      <w:b/>
      <w:sz w:val="22"/>
      <w:szCs w:val="22"/>
      <w:lang w:val="en-US" w:eastAsia="en-US" w:bidi="ar-SA"/>
    </w:rPr>
  </w:style>
  <w:style w:type="paragraph" w:customStyle="1" w:styleId="237">
    <w:name w:val="Char2"/>
    <w:basedOn w:val="1"/>
    <w:uiPriority w:val="0"/>
    <w:rPr>
      <w:rFonts w:ascii="仿宋_GB2312" w:eastAsia="仿宋_GB2312"/>
      <w:b/>
      <w:sz w:val="32"/>
      <w:szCs w:val="32"/>
    </w:rPr>
  </w:style>
  <w:style w:type="paragraph" w:customStyle="1" w:styleId="238">
    <w:name w:val="Tabletext"/>
    <w:basedOn w:val="1"/>
    <w:uiPriority w:val="0"/>
    <w:pPr>
      <w:keepLines/>
      <w:spacing w:after="120" w:line="240" w:lineRule="atLeast"/>
    </w:pPr>
    <w:rPr>
      <w:rFonts w:ascii="仿宋_GB2312" w:eastAsia="仿宋_GB2312"/>
      <w:lang w:eastAsia="en-US"/>
    </w:rPr>
  </w:style>
  <w:style w:type="paragraph" w:customStyle="1" w:styleId="239">
    <w:name w:val="正文缩进6格"/>
    <w:basedOn w:val="170"/>
    <w:uiPriority w:val="0"/>
    <w:pPr>
      <w:ind w:left="1758" w:leftChars="854"/>
    </w:pPr>
  </w:style>
  <w:style w:type="paragraph" w:customStyle="1" w:styleId="240">
    <w:name w:val="xl26"/>
    <w:basedOn w:val="1"/>
    <w:uiPriority w:val="0"/>
    <w:pPr>
      <w:spacing w:before="100" w:beforeAutospacing="1" w:after="100" w:afterAutospacing="1"/>
      <w:jc w:val="center"/>
    </w:pPr>
    <w:rPr>
      <w:rFonts w:hint="eastAsia" w:ascii="仿宋_GB2312" w:hAnsi="宋体" w:eastAsia="仿宋_GB2312"/>
      <w:szCs w:val="28"/>
    </w:rPr>
  </w:style>
  <w:style w:type="character" w:customStyle="1" w:styleId="241">
    <w:name w:val="文档结构图 Char1"/>
    <w:semiHidden/>
    <w:uiPriority w:val="99"/>
    <w:rPr>
      <w:rFonts w:ascii="宋体" w:hAnsi="Times New Roman" w:eastAsia="宋体" w:cs="Times New Roman"/>
      <w:sz w:val="18"/>
      <w:szCs w:val="18"/>
    </w:rPr>
  </w:style>
  <w:style w:type="character" w:customStyle="1" w:styleId="242">
    <w:name w:val="正文文本 2 Char1"/>
    <w:semiHidden/>
    <w:uiPriority w:val="0"/>
    <w:rPr>
      <w:rFonts w:ascii="仿宋_GB2312" w:hAnsi="Times New Roman" w:eastAsia="仿宋_GB2312" w:cs="Times New Roman"/>
      <w:sz w:val="28"/>
      <w:szCs w:val="28"/>
    </w:rPr>
  </w:style>
  <w:style w:type="character" w:customStyle="1" w:styleId="243">
    <w:name w:val="脚注文本 Char"/>
    <w:link w:val="46"/>
    <w:qFormat/>
    <w:uiPriority w:val="0"/>
    <w:rPr>
      <w:rFonts w:ascii="仿宋_GB2312" w:eastAsia="仿宋_GB2312"/>
      <w:kern w:val="2"/>
      <w:sz w:val="18"/>
      <w:szCs w:val="18"/>
      <w:lang w:val="en-US" w:eastAsia="zh-CN" w:bidi="ar-SA"/>
    </w:rPr>
  </w:style>
  <w:style w:type="character" w:customStyle="1" w:styleId="244">
    <w:name w:val="批注框文本 Char"/>
    <w:link w:val="38"/>
    <w:semiHidden/>
    <w:qFormat/>
    <w:uiPriority w:val="99"/>
    <w:rPr>
      <w:rFonts w:eastAsia="宋体"/>
      <w:kern w:val="2"/>
      <w:sz w:val="18"/>
      <w:szCs w:val="18"/>
      <w:lang w:val="en-US" w:eastAsia="zh-CN" w:bidi="ar-SA"/>
    </w:rPr>
  </w:style>
  <w:style w:type="paragraph" w:customStyle="1" w:styleId="245">
    <w:name w:val="列出段落1"/>
    <w:basedOn w:val="1"/>
    <w:qFormat/>
    <w:uiPriority w:val="34"/>
    <w:pPr>
      <w:ind w:firstLine="420" w:firstLineChars="200"/>
    </w:pPr>
  </w:style>
  <w:style w:type="character" w:customStyle="1" w:styleId="246">
    <w:name w:val="h1 Char"/>
    <w:aliases w:val="Main Heading Char,标题 1 1 Char,标书1 Char,H1 Char,1st level Char,Section Head Char,l1 Char,标题一 Char,Heading 0 Char,PIM 1 Char,Heading apps Char,合同标题 Char,Header1 Char,卷标题 Char,Datasheet title Char,H11 Char,H12 Char,H13 Char,H14 Char,H15 Char"/>
    <w:uiPriority w:val="0"/>
    <w:rPr>
      <w:rFonts w:ascii="Calibri" w:hAnsi="Calibri"/>
      <w:b/>
      <w:bCs/>
      <w:kern w:val="44"/>
      <w:sz w:val="44"/>
      <w:szCs w:val="44"/>
    </w:rPr>
  </w:style>
  <w:style w:type="character" w:customStyle="1" w:styleId="247">
    <w:name w:val="Heading 3 - old Char"/>
    <w:aliases w:val="BOD 0 Char,3 Char,Sub Heading Char,H3 Char,h3 Char,Level 3 Topic Heading Char,Bold Head Char,bh Char,标题 3 Char Char Char Char Char Char,Level 3 Head Char,sect1.2.3 Char,Head3 Char,l3 Char,level_3 Char,PIM 3 Char,sect1.2.31 Char"/>
    <w:uiPriority w:val="0"/>
    <w:rPr>
      <w:rFonts w:ascii="Calibri" w:hAnsi="Calibri"/>
      <w:b/>
      <w:bCs/>
      <w:kern w:val="2"/>
      <w:sz w:val="32"/>
      <w:szCs w:val="32"/>
    </w:rPr>
  </w:style>
  <w:style w:type="character" w:customStyle="1" w:styleId="248">
    <w:name w:val="bullet Char"/>
    <w:aliases w:val="bl Char,bb Char,H4 Char,Ref Heading 1 Char,rh1 Char,Heading sql Char,sect 1.2.3.4 Char,标题 4台湾省 Char,PIM 4 Char,h4 Char,Titre4 Char,4th level Char,h41 Char,h42 Char,h43 Char,h411 Char,h44 Char,h412 Char,h45 Char,h413 Char,h46 Char,h414 Char"/>
    <w:uiPriority w:val="0"/>
    <w:rPr>
      <w:b/>
      <w:i/>
      <w:sz w:val="24"/>
    </w:rPr>
  </w:style>
  <w:style w:type="character" w:customStyle="1" w:styleId="249">
    <w:name w:val="H5 Char"/>
    <w:aliases w:val="dash Char,ds Char,dd Char,h5 Char,PIM 5 Char,口 Char,一 Char,heading 5 Char,Second Subheading Char,小段 Char,小段1 Char,小段2 Char,小段3 Char,小段4 Char,小段5 Char,小段6 Char,小段7 Char,小段8 Char,小段9 Char,小段11 Char,小段21 Char,小段31 Char,小段41 Char,小段51 Char,小段61 Char"/>
    <w:uiPriority w:val="0"/>
    <w:rPr>
      <w:rFonts w:ascii="Arial" w:hAnsi="Arial"/>
      <w:sz w:val="22"/>
    </w:rPr>
  </w:style>
  <w:style w:type="character" w:customStyle="1" w:styleId="250">
    <w:name w:val="PI Char3"/>
    <w:aliases w:val="特点标题 Char3,HD正文1 Char3,正文小标题 Char Char"/>
    <w:uiPriority w:val="0"/>
    <w:rPr>
      <w:rFonts w:ascii="仿宋_GB2312" w:eastAsia="仿宋_GB2312"/>
      <w:kern w:val="2"/>
      <w:sz w:val="28"/>
      <w:szCs w:val="28"/>
      <w:lang w:val="zh-CN"/>
    </w:rPr>
  </w:style>
  <w:style w:type="character" w:customStyle="1" w:styleId="251">
    <w:name w:val="表正文 Char"/>
    <w:aliases w:val="正文非缩进 Char,水上软件 Char,特点 Char,ALT+Z Char,body text Char,鋘drad Char,???änd Char,Body Text(ch) Char,正文不缩进 Char,正文（首行缩进两字） Char Char,正文（首行缩进两字） Char Char Char Char Char Char,正文（首行缩进两字） Char Char Char Char1,正文（首行缩进两字） Char Char Char Char Char1"/>
    <w:uiPriority w:val="0"/>
    <w:rPr>
      <w:rFonts w:ascii="仿宋_GB2312" w:eastAsia="仿宋_GB2312"/>
      <w:kern w:val="2"/>
      <w:sz w:val="28"/>
    </w:rPr>
  </w:style>
  <w:style w:type="paragraph" w:customStyle="1" w:styleId="252">
    <w:name w:val="正文段"/>
    <w:basedOn w:val="1"/>
    <w:uiPriority w:val="0"/>
    <w:pPr>
      <w:snapToGrid w:val="0"/>
      <w:spacing w:afterLines="50"/>
      <w:ind w:firstLine="200" w:firstLineChars="200"/>
    </w:pPr>
  </w:style>
  <w:style w:type="character" w:customStyle="1" w:styleId="253">
    <w:name w:val="EHPT Char2"/>
    <w:aliases w:val="Body Text2 Char Char"/>
    <w:uiPriority w:val="0"/>
    <w:rPr>
      <w:rFonts w:ascii="Calibri" w:hAnsi="Calibri"/>
      <w:kern w:val="2"/>
      <w:sz w:val="21"/>
      <w:szCs w:val="22"/>
    </w:rPr>
  </w:style>
  <w:style w:type="paragraph" w:customStyle="1" w:styleId="254">
    <w:name w:val="Char12"/>
    <w:basedOn w:val="1"/>
    <w:uiPriority w:val="0"/>
    <w:rPr>
      <w:rFonts w:ascii="Tahoma" w:hAnsi="Tahoma" w:eastAsia="仿宋_GB2312"/>
    </w:rPr>
  </w:style>
  <w:style w:type="character" w:customStyle="1" w:styleId="255">
    <w:name w:val="访问过的超链接1"/>
    <w:uiPriority w:val="0"/>
    <w:rPr>
      <w:color w:val="800080"/>
      <w:u w:val="single"/>
    </w:rPr>
  </w:style>
  <w:style w:type="paragraph" w:customStyle="1" w:styleId="256">
    <w:name w:val="Char1 Char Char Char2"/>
    <w:basedOn w:val="1"/>
    <w:uiPriority w:val="0"/>
    <w:pPr>
      <w:ind w:left="420" w:hanging="420"/>
    </w:pPr>
    <w:rPr>
      <w:rFonts w:ascii="仿宋_GB2312" w:eastAsia="仿宋_GB2312"/>
      <w:szCs w:val="28"/>
    </w:rPr>
  </w:style>
  <w:style w:type="paragraph" w:customStyle="1" w:styleId="257">
    <w:name w:val="Char Char Char Char Char Char Char Char1 Char2"/>
    <w:basedOn w:val="1"/>
    <w:uiPriority w:val="0"/>
    <w:rPr>
      <w:rFonts w:ascii="仿宋_GB2312" w:eastAsia="仿宋_GB2312"/>
      <w:sz w:val="28"/>
    </w:rPr>
  </w:style>
  <w:style w:type="paragraph" w:customStyle="1" w:styleId="258">
    <w:name w:val="Char23"/>
    <w:basedOn w:val="1"/>
    <w:uiPriority w:val="0"/>
    <w:rPr>
      <w:rFonts w:ascii="仿宋_GB2312" w:eastAsia="仿宋_GB2312"/>
      <w:b/>
      <w:sz w:val="32"/>
      <w:szCs w:val="32"/>
    </w:rPr>
  </w:style>
  <w:style w:type="character" w:customStyle="1" w:styleId="259">
    <w:name w:val="EmailStyle191"/>
    <w:semiHidden/>
    <w:uiPriority w:val="0"/>
    <w:rPr>
      <w:rFonts w:ascii="Arial" w:hAnsi="Arial" w:eastAsia="宋体" w:cs="Arial"/>
      <w:color w:val="000080"/>
      <w:sz w:val="18"/>
      <w:szCs w:val="20"/>
    </w:rPr>
  </w:style>
  <w:style w:type="paragraph" w:customStyle="1" w:styleId="260">
    <w:name w:val="Char Char1 Char Char"/>
    <w:basedOn w:val="1"/>
    <w:semiHidden/>
    <w:uiPriority w:val="0"/>
    <w:rPr>
      <w:rFonts w:ascii="仿宋_GB2312" w:eastAsia="仿宋_GB2312"/>
      <w:sz w:val="28"/>
      <w:szCs w:val="28"/>
    </w:rPr>
  </w:style>
  <w:style w:type="paragraph" w:customStyle="1" w:styleId="261">
    <w:name w:val="Table Text"/>
    <w:basedOn w:val="1"/>
    <w:uiPriority w:val="0"/>
    <w:pPr>
      <w:spacing w:before="60" w:after="60"/>
    </w:pPr>
  </w:style>
  <w:style w:type="paragraph" w:customStyle="1" w:styleId="262">
    <w:name w:val="Char1 Char Char Char Char Char Char Char Char Char Char Char Char Char Char Char"/>
    <w:basedOn w:val="1"/>
    <w:uiPriority w:val="0"/>
  </w:style>
  <w:style w:type="paragraph" w:customStyle="1" w:styleId="263">
    <w:name w:val="金保标题正文"/>
    <w:uiPriority w:val="0"/>
    <w:pPr>
      <w:spacing w:line="360" w:lineRule="auto"/>
      <w:ind w:firstLine="200" w:firstLineChars="200"/>
    </w:pPr>
    <w:rPr>
      <w:kern w:val="2"/>
      <w:sz w:val="24"/>
      <w:szCs w:val="22"/>
      <w:lang w:val="en-US" w:eastAsia="zh-CN" w:bidi="ar-SA"/>
    </w:rPr>
  </w:style>
  <w:style w:type="paragraph" w:customStyle="1" w:styleId="264">
    <w:name w:val="Char1 Char Char Char Char Char Char"/>
    <w:basedOn w:val="1"/>
    <w:uiPriority w:val="0"/>
    <w:pPr>
      <w:adjustRightInd w:val="0"/>
    </w:pPr>
    <w:rPr>
      <w:rFonts w:ascii="Tahoma" w:hAnsi="Tahoma"/>
    </w:rPr>
  </w:style>
  <w:style w:type="character" w:customStyle="1" w:styleId="265">
    <w:name w:val="g1"/>
    <w:uiPriority w:val="0"/>
    <w:rPr>
      <w:color w:val="008000"/>
    </w:rPr>
  </w:style>
  <w:style w:type="paragraph" w:customStyle="1" w:styleId="266">
    <w:name w:val="标题2正文"/>
    <w:basedOn w:val="1"/>
    <w:uiPriority w:val="0"/>
    <w:pPr>
      <w:snapToGrid w:val="0"/>
      <w:spacing w:line="360" w:lineRule="auto"/>
      <w:ind w:firstLine="480" w:firstLineChars="200"/>
    </w:pPr>
  </w:style>
  <w:style w:type="paragraph" w:customStyle="1" w:styleId="267">
    <w:name w:val="小四缩进"/>
    <w:basedOn w:val="1"/>
    <w:uiPriority w:val="0"/>
    <w:pPr>
      <w:spacing w:line="360" w:lineRule="auto"/>
      <w:ind w:firstLine="480" w:firstLineChars="200"/>
    </w:pPr>
  </w:style>
  <w:style w:type="paragraph" w:customStyle="1" w:styleId="268">
    <w:name w:val="标题2正文 Char"/>
    <w:basedOn w:val="1"/>
    <w:uiPriority w:val="0"/>
    <w:pPr>
      <w:snapToGrid w:val="0"/>
      <w:spacing w:line="360" w:lineRule="auto"/>
      <w:ind w:firstLine="480" w:firstLineChars="200"/>
    </w:pPr>
  </w:style>
  <w:style w:type="paragraph" w:customStyle="1" w:styleId="269">
    <w:name w:val="标题3正文"/>
    <w:basedOn w:val="1"/>
    <w:uiPriority w:val="0"/>
    <w:pPr>
      <w:snapToGrid w:val="0"/>
      <w:spacing w:line="360" w:lineRule="auto"/>
      <w:ind w:firstLine="480" w:firstLineChars="200"/>
    </w:pPr>
  </w:style>
  <w:style w:type="paragraph" w:customStyle="1" w:styleId="270">
    <w:name w:val="标题四正文"/>
    <w:basedOn w:val="1"/>
    <w:uiPriority w:val="0"/>
    <w:pPr>
      <w:snapToGrid w:val="0"/>
      <w:spacing w:line="360" w:lineRule="auto"/>
      <w:ind w:firstLine="480" w:firstLineChars="200"/>
    </w:pPr>
    <w:rPr>
      <w:rFonts w:ascii="宋体" w:hAnsi="宋体"/>
    </w:rPr>
  </w:style>
  <w:style w:type="character" w:customStyle="1" w:styleId="271">
    <w:name w:val="text9"/>
    <w:basedOn w:val="65"/>
    <w:uiPriority w:val="0"/>
  </w:style>
  <w:style w:type="character" w:customStyle="1" w:styleId="272">
    <w:name w:val="Heading 2 Hidden Char2"/>
    <w:aliases w:val="Heading 2 CCBS Char2,heading 2 Char2,H2 Char2,h2 Char2,Heading 2 Hidden1 Char2,Heading 2 Hidden2 Char2,Heading 2 Hidden3 Char2,Heading 2 Hidden4 Char2,Heading 2 Hidden5 Char2,Heading 2 Hidden11 Char2,Heading 2 Hidden21 Char2"/>
    <w:uiPriority w:val="0"/>
    <w:rPr>
      <w:rFonts w:ascii="Cambria" w:hAnsi="Cambria" w:eastAsia="宋体" w:cs="Times New Roman"/>
      <w:b/>
      <w:bCs/>
      <w:color w:val="4F81BD"/>
      <w:sz w:val="26"/>
      <w:szCs w:val="26"/>
    </w:rPr>
  </w:style>
  <w:style w:type="character" w:customStyle="1" w:styleId="273">
    <w:name w:val="EHPT Char4"/>
    <w:aliases w:val="Body Text2 Char Char2"/>
    <w:uiPriority w:val="0"/>
    <w:rPr>
      <w:rFonts w:eastAsia="黑体"/>
      <w:b/>
      <w:bCs/>
      <w:spacing w:val="20"/>
      <w:kern w:val="52"/>
      <w:sz w:val="56"/>
      <w:szCs w:val="24"/>
      <w:lang w:val="en-US" w:eastAsia="zh-CN" w:bidi="ar-SA"/>
    </w:rPr>
  </w:style>
  <w:style w:type="character" w:customStyle="1" w:styleId="274">
    <w:name w:val="Char Char20"/>
    <w:uiPriority w:val="0"/>
    <w:rPr>
      <w:rFonts w:ascii="Cambria" w:hAnsi="Cambria" w:eastAsia="宋体" w:cs="Times New Roman"/>
      <w:i/>
      <w:iCs/>
      <w:color w:val="404040"/>
    </w:rPr>
  </w:style>
  <w:style w:type="character" w:customStyle="1" w:styleId="275">
    <w:name w:val="Char Char19"/>
    <w:uiPriority w:val="0"/>
    <w:rPr>
      <w:rFonts w:ascii="Cambria" w:hAnsi="Cambria" w:eastAsia="宋体" w:cs="Times New Roman"/>
      <w:color w:val="4F81BD"/>
      <w:sz w:val="20"/>
      <w:szCs w:val="20"/>
    </w:rPr>
  </w:style>
  <w:style w:type="character" w:customStyle="1" w:styleId="276">
    <w:name w:val="Char Char18"/>
    <w:uiPriority w:val="0"/>
    <w:rPr>
      <w:rFonts w:ascii="Cambria" w:hAnsi="Cambria" w:eastAsia="宋体" w:cs="Times New Roman"/>
      <w:i/>
      <w:iCs/>
      <w:color w:val="404040"/>
      <w:sz w:val="20"/>
      <w:szCs w:val="20"/>
    </w:rPr>
  </w:style>
  <w:style w:type="paragraph" w:customStyle="1" w:styleId="277">
    <w:name w:val="中等深浅网格 21"/>
    <w:basedOn w:val="1"/>
    <w:qFormat/>
    <w:uiPriority w:val="1"/>
    <w:rPr>
      <w:szCs w:val="32"/>
    </w:rPr>
  </w:style>
  <w:style w:type="paragraph" w:customStyle="1" w:styleId="278">
    <w:name w:val="彩色网格 - 强调文字颜色 11"/>
    <w:basedOn w:val="1"/>
    <w:next w:val="1"/>
    <w:link w:val="279"/>
    <w:qFormat/>
    <w:uiPriority w:val="29"/>
    <w:rPr>
      <w:i/>
    </w:rPr>
  </w:style>
  <w:style w:type="character" w:customStyle="1" w:styleId="279">
    <w:name w:val="彩色网格 - 强调文字颜色 1 Char"/>
    <w:link w:val="278"/>
    <w:uiPriority w:val="29"/>
    <w:rPr>
      <w:i/>
      <w:sz w:val="24"/>
      <w:szCs w:val="24"/>
    </w:rPr>
  </w:style>
  <w:style w:type="paragraph" w:customStyle="1" w:styleId="280">
    <w:name w:val="浅色底纹 - 强调文字颜色 21"/>
    <w:basedOn w:val="1"/>
    <w:next w:val="1"/>
    <w:link w:val="281"/>
    <w:qFormat/>
    <w:uiPriority w:val="30"/>
    <w:pPr>
      <w:ind w:left="720" w:right="720"/>
    </w:pPr>
    <w:rPr>
      <w:b/>
      <w:i/>
      <w:szCs w:val="20"/>
    </w:rPr>
  </w:style>
  <w:style w:type="character" w:customStyle="1" w:styleId="281">
    <w:name w:val="浅色底纹 - 强调文字颜色 2 Char"/>
    <w:link w:val="280"/>
    <w:uiPriority w:val="30"/>
    <w:rPr>
      <w:b/>
      <w:i/>
      <w:sz w:val="24"/>
    </w:rPr>
  </w:style>
  <w:style w:type="character" w:customStyle="1" w:styleId="282">
    <w:name w:val="不明显强调1"/>
    <w:qFormat/>
    <w:uiPriority w:val="19"/>
    <w:rPr>
      <w:i/>
      <w:color w:val="5A5A5A"/>
    </w:rPr>
  </w:style>
  <w:style w:type="character" w:customStyle="1" w:styleId="283">
    <w:name w:val="明显强调1"/>
    <w:qFormat/>
    <w:uiPriority w:val="21"/>
    <w:rPr>
      <w:b/>
      <w:i/>
      <w:sz w:val="24"/>
      <w:szCs w:val="24"/>
      <w:u w:val="single"/>
    </w:rPr>
  </w:style>
  <w:style w:type="character" w:customStyle="1" w:styleId="284">
    <w:name w:val="不明显参考1"/>
    <w:qFormat/>
    <w:uiPriority w:val="31"/>
    <w:rPr>
      <w:sz w:val="24"/>
      <w:szCs w:val="24"/>
      <w:u w:val="single"/>
    </w:rPr>
  </w:style>
  <w:style w:type="character" w:customStyle="1" w:styleId="285">
    <w:name w:val="明显参考1"/>
    <w:qFormat/>
    <w:uiPriority w:val="32"/>
    <w:rPr>
      <w:b/>
      <w:sz w:val="24"/>
      <w:u w:val="single"/>
    </w:rPr>
  </w:style>
  <w:style w:type="character" w:customStyle="1" w:styleId="286">
    <w:name w:val="书籍标题1"/>
    <w:qFormat/>
    <w:uiPriority w:val="33"/>
    <w:rPr>
      <w:rFonts w:ascii="Cambria" w:hAnsi="Cambria" w:eastAsia="宋体"/>
      <w:b/>
      <w:i/>
      <w:sz w:val="24"/>
      <w:szCs w:val="24"/>
    </w:rPr>
  </w:style>
  <w:style w:type="character" w:customStyle="1" w:styleId="287">
    <w:name w:val="ca-3"/>
    <w:basedOn w:val="65"/>
    <w:uiPriority w:val="0"/>
  </w:style>
  <w:style w:type="character" w:customStyle="1" w:styleId="288">
    <w:name w:val="ca-9"/>
    <w:basedOn w:val="65"/>
    <w:uiPriority w:val="0"/>
  </w:style>
  <w:style w:type="character" w:customStyle="1" w:styleId="289">
    <w:name w:val="ca-10"/>
    <w:basedOn w:val="65"/>
    <w:uiPriority w:val="0"/>
  </w:style>
  <w:style w:type="character" w:customStyle="1" w:styleId="290">
    <w:name w:val="apple-converted-space"/>
    <w:basedOn w:val="65"/>
    <w:uiPriority w:val="0"/>
  </w:style>
  <w:style w:type="paragraph" w:customStyle="1" w:styleId="291">
    <w:name w:val="正文_17"/>
    <w:qFormat/>
    <w:uiPriority w:val="0"/>
    <w:pPr>
      <w:widowControl w:val="0"/>
      <w:jc w:val="both"/>
    </w:pPr>
    <w:rPr>
      <w:kern w:val="2"/>
      <w:sz w:val="21"/>
      <w:szCs w:val="24"/>
      <w:lang w:val="en-US" w:eastAsia="zh-CN" w:bidi="ar-SA"/>
    </w:rPr>
  </w:style>
  <w:style w:type="paragraph" w:customStyle="1" w:styleId="292">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character" w:customStyle="1" w:styleId="293">
    <w:name w:val="正文2 Char Char"/>
    <w:link w:val="294"/>
    <w:uiPriority w:val="0"/>
    <w:rPr>
      <w:kern w:val="2"/>
      <w:sz w:val="24"/>
    </w:rPr>
  </w:style>
  <w:style w:type="paragraph" w:customStyle="1" w:styleId="294">
    <w:name w:val="正文2"/>
    <w:basedOn w:val="1"/>
    <w:link w:val="293"/>
    <w:uiPriority w:val="0"/>
    <w:pPr>
      <w:adjustRightInd w:val="0"/>
      <w:spacing w:before="156" w:line="360" w:lineRule="auto"/>
      <w:ind w:firstLine="510" w:firstLineChars="200"/>
    </w:pPr>
    <w:rPr>
      <w:kern w:val="2"/>
      <w:szCs w:val="20"/>
    </w:rPr>
  </w:style>
  <w:style w:type="character" w:customStyle="1" w:styleId="295">
    <w:name w:val="副标题 Char"/>
    <w:link w:val="45"/>
    <w:qFormat/>
    <w:uiPriority w:val="11"/>
    <w:rPr>
      <w:rFonts w:ascii="Cambria" w:hAnsi="Cambria" w:eastAsia="宋体"/>
      <w:sz w:val="24"/>
      <w:szCs w:val="24"/>
    </w:rPr>
  </w:style>
  <w:style w:type="paragraph" w:styleId="296">
    <w:name w:val="List Paragraph"/>
    <w:basedOn w:val="1"/>
    <w:link w:val="297"/>
    <w:qFormat/>
    <w:uiPriority w:val="34"/>
    <w:pPr>
      <w:ind w:firstLine="420" w:firstLineChars="200"/>
    </w:pPr>
  </w:style>
  <w:style w:type="character" w:customStyle="1" w:styleId="297">
    <w:name w:val="列出段落 Char"/>
    <w:link w:val="296"/>
    <w:qFormat/>
    <w:locked/>
    <w:uiPriority w:val="34"/>
    <w:rPr>
      <w:sz w:val="24"/>
      <w:szCs w:val="24"/>
    </w:rPr>
  </w:style>
  <w:style w:type="character" w:customStyle="1" w:styleId="298">
    <w:name w:val="wenzi1"/>
    <w:uiPriority w:val="0"/>
    <w:rPr>
      <w:rFonts w:ascii="Times New Roman" w:hAnsi="Times New Roman" w:eastAsia="宋体" w:cs="Times New Roman"/>
      <w:color w:val="000000"/>
      <w:sz w:val="18"/>
      <w:szCs w:val="18"/>
    </w:rPr>
  </w:style>
  <w:style w:type="character" w:customStyle="1" w:styleId="299">
    <w:name w:val="样式2 Char Char"/>
    <w:link w:val="300"/>
    <w:qFormat/>
    <w:uiPriority w:val="0"/>
    <w:rPr>
      <w:rFonts w:eastAsia="微软雅黑"/>
      <w:b/>
      <w:color w:val="FF6600"/>
      <w:sz w:val="24"/>
    </w:rPr>
  </w:style>
  <w:style w:type="paragraph" w:customStyle="1" w:styleId="300">
    <w:name w:val="样式2"/>
    <w:basedOn w:val="1"/>
    <w:link w:val="299"/>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301">
    <w:name w:val="2级标题 Char"/>
    <w:link w:val="302"/>
    <w:qFormat/>
    <w:uiPriority w:val="0"/>
    <w:rPr>
      <w:rFonts w:ascii="黑体" w:hAnsi="黑体" w:eastAsia="黑体"/>
      <w:sz w:val="32"/>
      <w:szCs w:val="36"/>
      <w:lang w:eastAsia="en-US" w:bidi="en-US"/>
    </w:rPr>
  </w:style>
  <w:style w:type="paragraph" w:customStyle="1" w:styleId="302">
    <w:name w:val="2级标题"/>
    <w:basedOn w:val="296"/>
    <w:link w:val="301"/>
    <w:qFormat/>
    <w:uiPriority w:val="0"/>
    <w:pPr>
      <w:keepLines/>
      <w:widowControl w:val="0"/>
      <w:numPr>
        <w:ilvl w:val="1"/>
        <w:numId w:val="7"/>
      </w:numPr>
      <w:spacing w:before="240" w:after="120" w:line="360" w:lineRule="auto"/>
      <w:ind w:firstLineChars="0"/>
      <w:contextualSpacing/>
      <w:outlineLvl w:val="1"/>
    </w:pPr>
    <w:rPr>
      <w:rFonts w:ascii="黑体" w:hAnsi="黑体" w:eastAsia="黑体"/>
      <w:sz w:val="32"/>
      <w:szCs w:val="36"/>
      <w:lang w:eastAsia="en-US" w:bidi="en-US"/>
    </w:rPr>
  </w:style>
  <w:style w:type="character" w:customStyle="1" w:styleId="303">
    <w:name w:val="样式3 Char Char"/>
    <w:link w:val="304"/>
    <w:qFormat/>
    <w:uiPriority w:val="0"/>
    <w:rPr>
      <w:rFonts w:eastAsia="微软雅黑"/>
      <w:color w:val="808080"/>
      <w:lang w:val="zh-CN"/>
    </w:rPr>
  </w:style>
  <w:style w:type="paragraph" w:customStyle="1" w:styleId="304">
    <w:name w:val="样式3"/>
    <w:basedOn w:val="1"/>
    <w:link w:val="303"/>
    <w:qFormat/>
    <w:uiPriority w:val="0"/>
    <w:pPr>
      <w:widowControl w:val="0"/>
      <w:numPr>
        <w:ilvl w:val="0"/>
        <w:numId w:val="8"/>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305">
    <w:name w:val="SANGFOR_6_正文 Char"/>
    <w:link w:val="306"/>
    <w:qFormat/>
    <w:uiPriority w:val="0"/>
    <w:rPr>
      <w:rFonts w:ascii="华文中宋" w:hAnsi="华文中宋" w:eastAsia="华文中宋"/>
      <w:color w:val="000000"/>
      <w:szCs w:val="24"/>
    </w:rPr>
  </w:style>
  <w:style w:type="paragraph" w:customStyle="1" w:styleId="306">
    <w:name w:val="SANGFOR_6_正文"/>
    <w:basedOn w:val="1"/>
    <w:link w:val="305"/>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307">
    <w:name w:val="3级标题 Char"/>
    <w:link w:val="308"/>
    <w:qFormat/>
    <w:uiPriority w:val="0"/>
    <w:rPr>
      <w:rFonts w:ascii="黑体" w:hAnsi="黑体" w:eastAsia="黑体"/>
      <w:sz w:val="28"/>
      <w:szCs w:val="36"/>
      <w:lang w:eastAsia="en-US" w:bidi="en-US"/>
    </w:rPr>
  </w:style>
  <w:style w:type="paragraph" w:customStyle="1" w:styleId="308">
    <w:name w:val="3级标题"/>
    <w:basedOn w:val="296"/>
    <w:link w:val="307"/>
    <w:qFormat/>
    <w:uiPriority w:val="0"/>
    <w:pPr>
      <w:keepLines/>
      <w:widowControl w:val="0"/>
      <w:numPr>
        <w:ilvl w:val="2"/>
        <w:numId w:val="7"/>
      </w:numPr>
      <w:spacing w:before="120" w:after="120" w:line="360" w:lineRule="auto"/>
      <w:ind w:left="1146" w:firstLineChars="0"/>
      <w:contextualSpacing/>
      <w:outlineLvl w:val="2"/>
    </w:pPr>
    <w:rPr>
      <w:rFonts w:ascii="黑体" w:hAnsi="黑体" w:eastAsia="黑体"/>
      <w:sz w:val="28"/>
      <w:szCs w:val="36"/>
      <w:lang w:eastAsia="en-US" w:bidi="en-US"/>
    </w:rPr>
  </w:style>
  <w:style w:type="paragraph" w:customStyle="1" w:styleId="309">
    <w:name w:val="样式 首行缩进:  0 字符"/>
    <w:basedOn w:val="1"/>
    <w:qFormat/>
    <w:uiPriority w:val="0"/>
    <w:pPr>
      <w:widowControl w:val="0"/>
      <w:spacing w:line="360" w:lineRule="auto"/>
      <w:ind w:firstLine="200" w:firstLineChars="200"/>
      <w:jc w:val="both"/>
    </w:pPr>
    <w:rPr>
      <w:rFonts w:ascii="Times New Roman" w:hAnsi="Times New Roman" w:cs="宋体"/>
      <w:kern w:val="2"/>
      <w:szCs w:val="20"/>
    </w:rPr>
  </w:style>
  <w:style w:type="paragraph" w:customStyle="1" w:styleId="310">
    <w:name w:val="4级标题"/>
    <w:basedOn w:val="296"/>
    <w:qFormat/>
    <w:uiPriority w:val="0"/>
    <w:pPr>
      <w:keepLines/>
      <w:widowControl w:val="0"/>
      <w:numPr>
        <w:ilvl w:val="3"/>
        <w:numId w:val="7"/>
      </w:numPr>
      <w:spacing w:line="360" w:lineRule="auto"/>
      <w:ind w:firstLineChars="0"/>
      <w:contextualSpacing/>
      <w:outlineLvl w:val="3"/>
    </w:pPr>
    <w:rPr>
      <w:rFonts w:ascii="黑体" w:hAnsi="黑体" w:eastAsia="黑体"/>
      <w:lang w:val="en-US" w:eastAsia="en-US" w:bidi="en-US"/>
    </w:rPr>
  </w:style>
  <w:style w:type="paragraph" w:customStyle="1" w:styleId="311">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character" w:customStyle="1" w:styleId="312">
    <w:name w:val="fontstyle01"/>
    <w:uiPriority w:val="0"/>
    <w:rPr>
      <w:rFonts w:hint="eastAsia" w:ascii="仿宋_GB2312" w:eastAsia="仿宋_GB2312"/>
      <w:color w:val="000000"/>
      <w:sz w:val="28"/>
      <w:szCs w:val="28"/>
    </w:rPr>
  </w:style>
  <w:style w:type="character" w:customStyle="1" w:styleId="313">
    <w:name w:val="font01"/>
    <w:uiPriority w:val="0"/>
    <w:rPr>
      <w:rFonts w:ascii="宋体" w:hAnsi="宋体" w:eastAsia="宋体" w:cs="宋体"/>
      <w:color w:val="000000"/>
      <w:sz w:val="24"/>
      <w:szCs w:val="24"/>
      <w:u w:val="none"/>
    </w:rPr>
  </w:style>
  <w:style w:type="character" w:customStyle="1" w:styleId="314">
    <w:name w:val="font51"/>
    <w:uiPriority w:val="0"/>
    <w:rPr>
      <w:rFonts w:hint="default" w:ascii="仿宋_GB2312" w:eastAsia="仿宋_GB2312" w:cs="仿宋_GB2312"/>
      <w:color w:val="000000"/>
      <w:sz w:val="30"/>
      <w:szCs w:val="30"/>
      <w:u w:val="none"/>
    </w:rPr>
  </w:style>
  <w:style w:type="character" w:customStyle="1" w:styleId="315">
    <w:name w:val="font31"/>
    <w:qFormat/>
    <w:uiPriority w:val="0"/>
    <w:rPr>
      <w:rFonts w:hint="default" w:ascii="仿宋_GB2312" w:eastAsia="仿宋_GB2312" w:cs="仿宋_GB2312"/>
      <w:color w:val="FF0000"/>
      <w:sz w:val="24"/>
      <w:szCs w:val="24"/>
      <w:u w:val="none"/>
    </w:rPr>
  </w:style>
  <w:style w:type="character" w:customStyle="1" w:styleId="316">
    <w:name w:val="font41"/>
    <w:uiPriority w:val="0"/>
    <w:rPr>
      <w:rFonts w:hint="default" w:ascii="仿宋_GB2312" w:eastAsia="仿宋_GB2312" w:cs="仿宋_GB2312"/>
      <w:color w:val="000000"/>
      <w:sz w:val="24"/>
      <w:szCs w:val="24"/>
      <w:u w:val="none"/>
    </w:rPr>
  </w:style>
  <w:style w:type="paragraph" w:customStyle="1" w:styleId="317">
    <w:name w:val="Char1 Char Char Char1"/>
    <w:basedOn w:val="1"/>
    <w:uiPriority w:val="0"/>
    <w:pPr>
      <w:ind w:left="420" w:hanging="420"/>
    </w:pPr>
    <w:rPr>
      <w:rFonts w:ascii="仿宋_GB2312" w:hAnsi="Times New Roman" w:eastAsia="仿宋_GB2312"/>
      <w:szCs w:val="28"/>
    </w:rPr>
  </w:style>
  <w:style w:type="paragraph" w:customStyle="1" w:styleId="318">
    <w:name w:val="Char11"/>
    <w:basedOn w:val="1"/>
    <w:uiPriority w:val="0"/>
    <w:rPr>
      <w:rFonts w:ascii="Tahoma" w:hAnsi="Tahoma" w:eastAsia="仿宋_GB2312"/>
    </w:rPr>
  </w:style>
  <w:style w:type="paragraph" w:customStyle="1" w:styleId="319">
    <w:name w:val="Char22"/>
    <w:basedOn w:val="1"/>
    <w:uiPriority w:val="0"/>
    <w:rPr>
      <w:rFonts w:ascii="仿宋_GB2312" w:hAnsi="Times New Roman" w:eastAsia="仿宋_GB2312"/>
      <w:b/>
      <w:sz w:val="32"/>
      <w:szCs w:val="32"/>
    </w:rPr>
  </w:style>
  <w:style w:type="paragraph" w:customStyle="1" w:styleId="320">
    <w:name w:val="Char21"/>
    <w:basedOn w:val="1"/>
    <w:uiPriority w:val="0"/>
    <w:rPr>
      <w:rFonts w:ascii="仿宋_GB2312" w:hAnsi="Times New Roman" w:eastAsia="仿宋_GB2312"/>
      <w:sz w:val="28"/>
      <w:szCs w:val="28"/>
    </w:rPr>
  </w:style>
  <w:style w:type="paragraph" w:customStyle="1" w:styleId="321">
    <w:name w:val="Char Char Char Char Char Char Char Char1 Char1"/>
    <w:basedOn w:val="1"/>
    <w:uiPriority w:val="0"/>
    <w:rPr>
      <w:rFonts w:ascii="仿宋_GB2312" w:hAnsi="Times New Roman" w:eastAsia="仿宋_GB2312"/>
      <w:sz w:val="28"/>
    </w:rPr>
  </w:style>
  <w:style w:type="paragraph" w:customStyle="1" w:styleId="3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23">
    <w:name w:val="*正文"/>
    <w:basedOn w:val="1"/>
    <w:link w:val="324"/>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324">
    <w:name w:val="*正文 Char"/>
    <w:link w:val="323"/>
    <w:qFormat/>
    <w:uiPriority w:val="0"/>
    <w:rPr>
      <w:rFonts w:ascii="宋体" w:hAnsi="宋体" w:eastAsia="宋体"/>
      <w:sz w:val="24"/>
      <w:szCs w:val="24"/>
    </w:rPr>
  </w:style>
  <w:style w:type="character" w:customStyle="1" w:styleId="325">
    <w:name w:val="标书正文 Char"/>
    <w:link w:val="326"/>
    <w:uiPriority w:val="0"/>
    <w:rPr>
      <w:rFonts w:ascii="宋体" w:hAnsi="宋体"/>
      <w:color w:val="000000"/>
      <w:sz w:val="24"/>
      <w:szCs w:val="24"/>
    </w:rPr>
  </w:style>
  <w:style w:type="paragraph" w:customStyle="1" w:styleId="326">
    <w:name w:val="标书正文"/>
    <w:basedOn w:val="1"/>
    <w:link w:val="325"/>
    <w:qFormat/>
    <w:uiPriority w:val="0"/>
    <w:pPr>
      <w:spacing w:line="360" w:lineRule="auto"/>
      <w:ind w:firstLine="200" w:firstLineChars="200"/>
      <w:jc w:val="both"/>
    </w:pPr>
    <w:rPr>
      <w:rFonts w:ascii="宋体" w:hAnsi="宋体"/>
      <w:color w:val="000000"/>
    </w:rPr>
  </w:style>
  <w:style w:type="character" w:customStyle="1" w:styleId="327">
    <w:name w:val="HTML 预设格式 Char"/>
    <w:link w:val="55"/>
    <w:qFormat/>
    <w:uiPriority w:val="0"/>
    <w:rPr>
      <w:rFonts w:ascii="宋体" w:hAnsi="宋体" w:cs="宋体"/>
      <w:sz w:val="24"/>
      <w:szCs w:val="24"/>
    </w:rPr>
  </w:style>
  <w:style w:type="paragraph" w:styleId="328">
    <w:name w:val="No Spacing"/>
    <w:link w:val="431"/>
    <w:qFormat/>
    <w:uiPriority w:val="1"/>
    <w:pPr>
      <w:widowControl w:val="0"/>
      <w:jc w:val="both"/>
    </w:pPr>
    <w:rPr>
      <w:kern w:val="2"/>
      <w:sz w:val="21"/>
      <w:szCs w:val="22"/>
      <w:lang w:val="en-US" w:eastAsia="zh-CN" w:bidi="ar-SA"/>
    </w:rPr>
  </w:style>
  <w:style w:type="character" w:customStyle="1" w:styleId="329">
    <w:name w:val="段 Char Char"/>
    <w:link w:val="330"/>
    <w:qFormat/>
    <w:uiPriority w:val="0"/>
    <w:rPr>
      <w:rFonts w:ascii="宋体" w:hAnsi="Times New Roman"/>
      <w:lang w:val="en-US" w:eastAsia="zh-CN" w:bidi="ar-SA"/>
    </w:rPr>
  </w:style>
  <w:style w:type="paragraph" w:customStyle="1" w:styleId="330">
    <w:name w:val="段"/>
    <w:link w:val="329"/>
    <w:qFormat/>
    <w:uiPriority w:val="0"/>
    <w:pPr>
      <w:tabs>
        <w:tab w:val="center" w:pos="4201"/>
        <w:tab w:val="right" w:leader="dot" w:pos="9298"/>
      </w:tabs>
      <w:autoSpaceDE w:val="0"/>
      <w:autoSpaceDN w:val="0"/>
      <w:ind w:firstLine="420" w:firstLineChars="200"/>
      <w:jc w:val="both"/>
    </w:pPr>
    <w:rPr>
      <w:rFonts w:ascii="宋体" w:hAnsi="Times New Roman"/>
      <w:lang w:val="en-US" w:eastAsia="zh-CN" w:bidi="ar-SA"/>
    </w:rPr>
  </w:style>
  <w:style w:type="paragraph" w:customStyle="1" w:styleId="331">
    <w:name w:val="正文-1"/>
    <w:basedOn w:val="1"/>
    <w:link w:val="332"/>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332">
    <w:name w:val="正文-1 Char"/>
    <w:link w:val="331"/>
    <w:qFormat/>
    <w:uiPriority w:val="0"/>
    <w:rPr>
      <w:rFonts w:ascii="宋体" w:hAnsi="宋体"/>
      <w:sz w:val="21"/>
      <w:szCs w:val="21"/>
    </w:rPr>
  </w:style>
  <w:style w:type="paragraph" w:customStyle="1" w:styleId="333">
    <w:name w:val="正文（首行缩进2字符）"/>
    <w:basedOn w:val="1"/>
    <w:qFormat/>
    <w:uiPriority w:val="0"/>
    <w:pPr>
      <w:widowControl w:val="0"/>
      <w:ind w:left="420" w:firstLine="420"/>
      <w:jc w:val="both"/>
    </w:pPr>
    <w:rPr>
      <w:rFonts w:ascii="Calibri" w:hAnsi="Calibri" w:eastAsia="宋体" w:cs="Times New Roman"/>
      <w:kern w:val="2"/>
      <w:sz w:val="21"/>
      <w:szCs w:val="21"/>
    </w:rPr>
  </w:style>
  <w:style w:type="paragraph" w:customStyle="1" w:styleId="334">
    <w:name w:val="列出段落2"/>
    <w:basedOn w:val="1"/>
    <w:qFormat/>
    <w:uiPriority w:val="34"/>
    <w:pPr>
      <w:widowControl w:val="0"/>
      <w:ind w:firstLine="420"/>
      <w:jc w:val="both"/>
    </w:pPr>
    <w:rPr>
      <w:rFonts w:eastAsia="宋体" w:cs="Times New Roman"/>
      <w:kern w:val="2"/>
      <w:sz w:val="21"/>
      <w:szCs w:val="22"/>
    </w:rPr>
  </w:style>
  <w:style w:type="paragraph" w:customStyle="1" w:styleId="335">
    <w:name w:val="msonormal"/>
    <w:basedOn w:val="1"/>
    <w:uiPriority w:val="0"/>
    <w:pPr>
      <w:spacing w:before="100" w:beforeAutospacing="1" w:after="100" w:afterAutospacing="1"/>
    </w:pPr>
    <w:rPr>
      <w:rFonts w:ascii="宋体" w:hAnsi="宋体" w:cs="宋体"/>
    </w:rPr>
  </w:style>
  <w:style w:type="paragraph" w:customStyle="1" w:styleId="336">
    <w:name w:val="font5"/>
    <w:basedOn w:val="1"/>
    <w:uiPriority w:val="0"/>
    <w:pPr>
      <w:spacing w:before="100" w:beforeAutospacing="1" w:after="100" w:afterAutospacing="1"/>
    </w:pPr>
    <w:rPr>
      <w:rFonts w:ascii="宋体" w:hAnsi="宋体" w:cs="宋体"/>
      <w:sz w:val="18"/>
      <w:szCs w:val="18"/>
    </w:rPr>
  </w:style>
  <w:style w:type="paragraph" w:customStyle="1" w:styleId="337">
    <w:name w:val="font6"/>
    <w:basedOn w:val="1"/>
    <w:uiPriority w:val="0"/>
    <w:pPr>
      <w:spacing w:before="100" w:beforeAutospacing="1" w:after="100" w:afterAutospacing="1"/>
    </w:pPr>
    <w:rPr>
      <w:rFonts w:ascii="宋体" w:hAnsi="宋体" w:cs="宋体"/>
      <w:sz w:val="18"/>
      <w:szCs w:val="18"/>
    </w:rPr>
  </w:style>
  <w:style w:type="paragraph" w:customStyle="1" w:styleId="338">
    <w:name w:val="xl2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39">
    <w:name w:val="xl2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0">
    <w:name w:val="xl2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41">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42">
    <w:name w:val="xl269"/>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3">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44">
    <w:name w:val="xl27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5">
    <w:name w:val="xl272"/>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46">
    <w:name w:val="xl273"/>
    <w:basedOn w:val="1"/>
    <w:uiPriority w:val="0"/>
    <w:pPr>
      <w:spacing w:before="100" w:beforeAutospacing="1" w:after="100" w:afterAutospacing="1"/>
    </w:pPr>
    <w:rPr>
      <w:rFonts w:ascii="宋体" w:hAnsi="宋体" w:cs="宋体"/>
      <w:color w:val="0D0D0D"/>
      <w:sz w:val="20"/>
      <w:szCs w:val="20"/>
    </w:rPr>
  </w:style>
  <w:style w:type="paragraph" w:customStyle="1" w:styleId="347">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48">
    <w:name w:val="xl2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49">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0">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1">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52">
    <w:name w:val="xl2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3">
    <w:name w:val="xl2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4">
    <w:name w:val="xl2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55">
    <w:name w:val="xl2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6">
    <w:name w:val="xl2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7">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8">
    <w:name w:val="xl2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59">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60">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61">
    <w:name w:val="xl2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62">
    <w:name w:val="xl2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3">
    <w:name w:val="xl2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4">
    <w:name w:val="xl2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5">
    <w:name w:val="xl2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6">
    <w:name w:val="xl2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7">
    <w:name w:val="xl2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8">
    <w:name w:val="xl2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69">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70">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71">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72">
    <w:name w:val="xl2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73">
    <w:name w:val="xl3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4">
    <w:name w:val="xl3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5">
    <w:name w:val="xl3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6">
    <w:name w:val="xl3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7">
    <w:name w:val="xl3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8">
    <w:name w:val="xl3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79">
    <w:name w:val="xl3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80">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1">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82">
    <w:name w:val="xl3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3">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4">
    <w:name w:val="xl3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85">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6">
    <w:name w:val="xl313"/>
    <w:basedOn w:val="1"/>
    <w:uiPriority w:val="0"/>
    <w:pPr>
      <w:spacing w:before="100" w:beforeAutospacing="1" w:after="100" w:afterAutospacing="1"/>
    </w:pPr>
    <w:rPr>
      <w:rFonts w:ascii="宋体" w:hAnsi="宋体" w:cs="宋体"/>
      <w:b/>
      <w:bCs/>
      <w:color w:val="0D0D0D"/>
      <w:sz w:val="20"/>
      <w:szCs w:val="20"/>
    </w:rPr>
  </w:style>
  <w:style w:type="paragraph" w:customStyle="1" w:styleId="387">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88">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89">
    <w:name w:val="xl3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390">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91">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2">
    <w:name w:val="xl319"/>
    <w:basedOn w:val="1"/>
    <w:uiPriority w:val="0"/>
    <w:pPr>
      <w:spacing w:before="100" w:beforeAutospacing="1" w:after="100" w:afterAutospacing="1"/>
      <w:jc w:val="center"/>
    </w:pPr>
    <w:rPr>
      <w:rFonts w:ascii="宋体" w:hAnsi="宋体" w:cs="宋体"/>
      <w:color w:val="0D0D0D"/>
      <w:sz w:val="20"/>
      <w:szCs w:val="20"/>
    </w:rPr>
  </w:style>
  <w:style w:type="paragraph" w:customStyle="1" w:styleId="393">
    <w:name w:val="xl320"/>
    <w:basedOn w:val="1"/>
    <w:uiPriority w:val="0"/>
    <w:pPr>
      <w:spacing w:before="100" w:beforeAutospacing="1" w:after="100" w:afterAutospacing="1"/>
    </w:pPr>
    <w:rPr>
      <w:rFonts w:ascii="宋体" w:hAnsi="宋体" w:cs="宋体"/>
      <w:color w:val="0D0D0D"/>
      <w:sz w:val="20"/>
      <w:szCs w:val="20"/>
    </w:rPr>
  </w:style>
  <w:style w:type="paragraph" w:customStyle="1" w:styleId="394">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5">
    <w:name w:val="xl3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96">
    <w:name w:val="xl3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97">
    <w:name w:val="xl32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98">
    <w:name w:val="xl32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399">
    <w:name w:val="xl3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0">
    <w:name w:val="xl32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01">
    <w:name w:val="xl3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402">
    <w:name w:val="xl3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403">
    <w:name w:val="xl3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404">
    <w:name w:val="xl331"/>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5">
    <w:name w:val="xl332"/>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6">
    <w:name w:val="xl333"/>
    <w:basedOn w:val="1"/>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407">
    <w:name w:val="xl334"/>
    <w:basedOn w:val="1"/>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408">
    <w:name w:val="xl33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09">
    <w:name w:val="xl33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10">
    <w:name w:val="xl33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11">
    <w:name w:val="xl33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12">
    <w:name w:val="xl339"/>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13">
    <w:name w:val="xl34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414">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415">
    <w:name w:val="xl342"/>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416">
    <w:name w:val="xl34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17">
    <w:name w:val="xl3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8">
    <w:name w:val="xl3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9">
    <w:name w:val="xl3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20">
    <w:name w:val="xl3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21">
    <w:name w:val="xl348"/>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422">
    <w:name w:val="xl349"/>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23">
    <w:name w:val="xl3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24">
    <w:name w:val="xl3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character" w:customStyle="1" w:styleId="425">
    <w:name w:val="标题 1 字符"/>
    <w:qFormat/>
    <w:uiPriority w:val="9"/>
    <w:rPr>
      <w:b/>
      <w:bCs/>
      <w:kern w:val="44"/>
      <w:sz w:val="44"/>
      <w:szCs w:val="44"/>
    </w:rPr>
  </w:style>
  <w:style w:type="character" w:customStyle="1" w:styleId="426">
    <w:name w:val="标题 2 字符"/>
    <w:semiHidden/>
    <w:qFormat/>
    <w:uiPriority w:val="0"/>
    <w:rPr>
      <w:rFonts w:ascii="等线 Light" w:hAnsi="等线 Light" w:eastAsia="等线 Light" w:cs="Times New Roman"/>
      <w:b/>
      <w:bCs/>
      <w:sz w:val="32"/>
      <w:szCs w:val="32"/>
    </w:rPr>
  </w:style>
  <w:style w:type="character" w:customStyle="1" w:styleId="427">
    <w:name w:val="标题 3 字符"/>
    <w:semiHidden/>
    <w:qFormat/>
    <w:uiPriority w:val="0"/>
    <w:rPr>
      <w:b/>
      <w:bCs/>
      <w:sz w:val="32"/>
      <w:szCs w:val="32"/>
    </w:rPr>
  </w:style>
  <w:style w:type="paragraph" w:customStyle="1" w:styleId="428">
    <w:name w:val="样式 正文缩进 + 首行缩进:  2 字符"/>
    <w:basedOn w:val="14"/>
    <w:qFormat/>
    <w:uiPriority w:val="0"/>
    <w:pPr>
      <w:widowControl w:val="0"/>
      <w:adjustRightInd/>
      <w:snapToGrid/>
      <w:spacing w:line="360" w:lineRule="auto"/>
      <w:ind w:firstLine="200" w:firstLineChars="200"/>
      <w:jc w:val="both"/>
    </w:pPr>
    <w:rPr>
      <w:rFonts w:ascii="Times New Roman" w:hAnsi="Times New Roman"/>
      <w:snapToGrid/>
      <w:color w:val="auto"/>
      <w:kern w:val="2"/>
      <w:sz w:val="24"/>
    </w:rPr>
  </w:style>
  <w:style w:type="character" w:customStyle="1" w:styleId="429">
    <w:name w:val="HTML 地址 Char"/>
    <w:link w:val="28"/>
    <w:qFormat/>
    <w:uiPriority w:val="0"/>
    <w:rPr>
      <w:rFonts w:cs="宋体"/>
      <w:i/>
      <w:iCs/>
      <w:sz w:val="24"/>
      <w:szCs w:val="24"/>
    </w:rPr>
  </w:style>
  <w:style w:type="character" w:customStyle="1" w:styleId="430">
    <w:name w:val="页眉 字符"/>
    <w:uiPriority w:val="99"/>
    <w:rPr>
      <w:sz w:val="18"/>
      <w:szCs w:val="18"/>
    </w:rPr>
  </w:style>
  <w:style w:type="character" w:customStyle="1" w:styleId="431">
    <w:name w:val="无间隔 Char"/>
    <w:link w:val="328"/>
    <w:qFormat/>
    <w:locked/>
    <w:uiPriority w:val="1"/>
    <w:rPr>
      <w:kern w:val="2"/>
      <w:sz w:val="21"/>
      <w:szCs w:val="22"/>
      <w:lang w:bidi="ar-SA"/>
    </w:rPr>
  </w:style>
  <w:style w:type="paragraph" w:customStyle="1" w:styleId="432">
    <w:name w:val="修订1"/>
    <w:semiHidden/>
    <w:qFormat/>
    <w:uiPriority w:val="99"/>
    <w:rPr>
      <w:rFonts w:ascii="Arial" w:hAnsi="Arial" w:cs="Arial"/>
      <w:color w:val="000000"/>
      <w:sz w:val="24"/>
      <w:szCs w:val="24"/>
      <w:lang w:val="en-US" w:eastAsia="zh-CN" w:bidi="ar-SA"/>
    </w:rPr>
  </w:style>
  <w:style w:type="paragraph" w:styleId="433">
    <w:name w:val="Quote"/>
    <w:basedOn w:val="1"/>
    <w:next w:val="1"/>
    <w:link w:val="434"/>
    <w:qFormat/>
    <w:uiPriority w:val="29"/>
    <w:rPr>
      <w:i/>
    </w:rPr>
  </w:style>
  <w:style w:type="character" w:customStyle="1" w:styleId="434">
    <w:name w:val="引用 Char"/>
    <w:link w:val="433"/>
    <w:qFormat/>
    <w:uiPriority w:val="29"/>
    <w:rPr>
      <w:i/>
      <w:sz w:val="24"/>
      <w:szCs w:val="24"/>
    </w:rPr>
  </w:style>
  <w:style w:type="paragraph" w:styleId="435">
    <w:name w:val="Intense Quote"/>
    <w:basedOn w:val="1"/>
    <w:next w:val="1"/>
    <w:link w:val="436"/>
    <w:qFormat/>
    <w:uiPriority w:val="30"/>
    <w:pPr>
      <w:ind w:left="720" w:right="720"/>
    </w:pPr>
    <w:rPr>
      <w:b/>
      <w:i/>
      <w:szCs w:val="20"/>
    </w:rPr>
  </w:style>
  <w:style w:type="character" w:customStyle="1" w:styleId="436">
    <w:name w:val="明显引用 Char"/>
    <w:link w:val="435"/>
    <w:uiPriority w:val="30"/>
    <w:rPr>
      <w:b/>
      <w:i/>
      <w:sz w:val="24"/>
    </w:rPr>
  </w:style>
  <w:style w:type="paragraph" w:customStyle="1" w:styleId="437">
    <w:name w:val="标准标志"/>
    <w:next w:val="1"/>
    <w:qFormat/>
    <w:uiPriority w:val="0"/>
    <w:pPr>
      <w:framePr w:w="2268" w:h="1392" w:wrap="around" w:vAnchor="margin" w:hAnchor="margin" w:x="6748" w:y="171" w:anchorLock="1"/>
      <w:shd w:val="solid" w:color="FFFFFF" w:fill="FFFFFF"/>
      <w:spacing w:line="0" w:lineRule="atLeast"/>
      <w:jc w:val="right"/>
    </w:pPr>
    <w:rPr>
      <w:b/>
      <w:w w:val="130"/>
      <w:sz w:val="96"/>
      <w:szCs w:val="22"/>
      <w:lang w:val="en-US" w:eastAsia="zh-CN" w:bidi="ar-SA"/>
    </w:rPr>
  </w:style>
  <w:style w:type="paragraph" w:customStyle="1" w:styleId="438">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szCs w:val="22"/>
      <w:lang w:val="en-US" w:eastAsia="zh-CN" w:bidi="ar-SA"/>
    </w:rPr>
  </w:style>
  <w:style w:type="paragraph" w:customStyle="1" w:styleId="439">
    <w:name w:val="标准书脚_偶数页"/>
    <w:qFormat/>
    <w:uiPriority w:val="0"/>
    <w:pPr>
      <w:spacing w:before="120"/>
    </w:pPr>
    <w:rPr>
      <w:sz w:val="18"/>
      <w:szCs w:val="22"/>
      <w:lang w:val="en-US" w:eastAsia="zh-CN" w:bidi="ar-SA"/>
    </w:rPr>
  </w:style>
  <w:style w:type="paragraph" w:customStyle="1" w:styleId="440">
    <w:name w:val="标准书脚_奇数页"/>
    <w:qFormat/>
    <w:uiPriority w:val="0"/>
    <w:pPr>
      <w:spacing w:before="120"/>
      <w:jc w:val="right"/>
    </w:pPr>
    <w:rPr>
      <w:sz w:val="18"/>
      <w:szCs w:val="22"/>
      <w:lang w:val="en-US" w:eastAsia="zh-CN" w:bidi="ar-SA"/>
    </w:rPr>
  </w:style>
  <w:style w:type="paragraph" w:customStyle="1" w:styleId="441">
    <w:name w:val="标准书眉_奇数页"/>
    <w:next w:val="1"/>
    <w:qFormat/>
    <w:uiPriority w:val="0"/>
    <w:pPr>
      <w:tabs>
        <w:tab w:val="center" w:pos="4154"/>
        <w:tab w:val="right" w:pos="8306"/>
      </w:tabs>
      <w:spacing w:after="120"/>
      <w:jc w:val="right"/>
    </w:pPr>
    <w:rPr>
      <w:sz w:val="21"/>
      <w:szCs w:val="22"/>
      <w:lang w:val="en-US" w:eastAsia="zh-CN" w:bidi="ar-SA"/>
    </w:rPr>
  </w:style>
  <w:style w:type="paragraph" w:customStyle="1" w:styleId="442">
    <w:name w:val="标准书眉_偶数页"/>
    <w:basedOn w:val="441"/>
    <w:next w:val="1"/>
    <w:qFormat/>
    <w:uiPriority w:val="0"/>
    <w:pPr>
      <w:jc w:val="left"/>
    </w:pPr>
  </w:style>
  <w:style w:type="paragraph" w:customStyle="1" w:styleId="443">
    <w:name w:val="标准书眉一"/>
    <w:qFormat/>
    <w:uiPriority w:val="0"/>
    <w:pPr>
      <w:jc w:val="both"/>
    </w:pPr>
    <w:rPr>
      <w:sz w:val="22"/>
      <w:szCs w:val="22"/>
      <w:lang w:val="en-US" w:eastAsia="zh-CN" w:bidi="ar-SA"/>
    </w:rPr>
  </w:style>
  <w:style w:type="paragraph" w:customStyle="1" w:styleId="444">
    <w:name w:val="前言、引言标题"/>
    <w:next w:val="1"/>
    <w:uiPriority w:val="0"/>
    <w:pPr>
      <w:shd w:val="clear" w:color="auto" w:fill="FFFFFF"/>
      <w:tabs>
        <w:tab w:val="left" w:pos="1140"/>
      </w:tabs>
      <w:spacing w:before="640" w:after="560"/>
      <w:ind w:left="840" w:hanging="420"/>
      <w:jc w:val="center"/>
      <w:outlineLvl w:val="0"/>
    </w:pPr>
    <w:rPr>
      <w:rFonts w:ascii="黑体" w:eastAsia="黑体"/>
      <w:sz w:val="32"/>
      <w:szCs w:val="22"/>
      <w:lang w:val="en-US" w:eastAsia="zh-CN" w:bidi="ar-SA"/>
    </w:rPr>
  </w:style>
  <w:style w:type="paragraph" w:customStyle="1" w:styleId="445">
    <w:name w:val="参考文献、索引标题"/>
    <w:basedOn w:val="444"/>
    <w:next w:val="1"/>
    <w:qFormat/>
    <w:uiPriority w:val="0"/>
    <w:pPr>
      <w:tabs>
        <w:tab w:val="clear" w:pos="1140"/>
      </w:tabs>
      <w:spacing w:after="200"/>
      <w:ind w:left="0" w:firstLine="0"/>
    </w:pPr>
    <w:rPr>
      <w:sz w:val="21"/>
    </w:rPr>
  </w:style>
  <w:style w:type="character" w:customStyle="1" w:styleId="446">
    <w:name w:val="段 Char"/>
    <w:qFormat/>
    <w:locked/>
    <w:uiPriority w:val="0"/>
    <w:rPr>
      <w:rFonts w:ascii="宋体" w:hAnsi="宋体" w:eastAsia="宋体"/>
    </w:rPr>
  </w:style>
  <w:style w:type="paragraph" w:customStyle="1" w:styleId="447">
    <w:name w:val="章标题"/>
    <w:next w:val="330"/>
    <w:qFormat/>
    <w:uiPriority w:val="0"/>
    <w:pPr>
      <w:tabs>
        <w:tab w:val="left" w:pos="840"/>
      </w:tabs>
      <w:spacing w:beforeLines="50"/>
      <w:ind w:left="840" w:hanging="420"/>
      <w:jc w:val="both"/>
      <w:outlineLvl w:val="1"/>
    </w:pPr>
    <w:rPr>
      <w:rFonts w:ascii="黑体" w:eastAsia="黑体"/>
      <w:sz w:val="21"/>
      <w:szCs w:val="22"/>
      <w:lang w:val="en-US" w:eastAsia="zh-CN" w:bidi="ar-SA"/>
    </w:rPr>
  </w:style>
  <w:style w:type="paragraph" w:customStyle="1" w:styleId="448">
    <w:name w:val="一级条标题"/>
    <w:next w:val="330"/>
    <w:qFormat/>
    <w:uiPriority w:val="0"/>
    <w:pPr>
      <w:tabs>
        <w:tab w:val="left" w:pos="1260"/>
      </w:tabs>
      <w:ind w:left="1260" w:hanging="420"/>
      <w:outlineLvl w:val="2"/>
    </w:pPr>
    <w:rPr>
      <w:rFonts w:eastAsia="黑体"/>
      <w:sz w:val="21"/>
      <w:szCs w:val="22"/>
      <w:lang w:val="en-US" w:eastAsia="zh-CN" w:bidi="ar-SA"/>
    </w:rPr>
  </w:style>
  <w:style w:type="paragraph" w:customStyle="1" w:styleId="449">
    <w:name w:val="二级条标题"/>
    <w:basedOn w:val="448"/>
    <w:next w:val="330"/>
    <w:qFormat/>
    <w:uiPriority w:val="0"/>
    <w:pPr>
      <w:outlineLvl w:val="3"/>
    </w:pPr>
  </w:style>
  <w:style w:type="paragraph" w:customStyle="1" w:styleId="450">
    <w:name w:val="发布部门"/>
    <w:next w:val="330"/>
    <w:uiPriority w:val="0"/>
    <w:pPr>
      <w:framePr w:w="7433" w:h="585" w:hSpace="180" w:vSpace="180" w:wrap="around" w:vAnchor="margin" w:hAnchor="margin" w:xAlign="center" w:y="14401" w:anchorLock="1"/>
      <w:jc w:val="center"/>
    </w:pPr>
    <w:rPr>
      <w:rFonts w:ascii="宋体"/>
      <w:b/>
      <w:spacing w:val="20"/>
      <w:w w:val="135"/>
      <w:sz w:val="36"/>
      <w:szCs w:val="22"/>
      <w:lang w:val="en-US" w:eastAsia="zh-CN" w:bidi="ar-SA"/>
    </w:rPr>
  </w:style>
  <w:style w:type="paragraph" w:customStyle="1" w:styleId="451">
    <w:name w:val="发布日期"/>
    <w:qFormat/>
    <w:uiPriority w:val="0"/>
    <w:pPr>
      <w:framePr w:w="4000" w:h="473" w:hSpace="180" w:vSpace="180" w:wrap="around" w:vAnchor="margin" w:hAnchor="margin" w:y="13511" w:anchorLock="1"/>
    </w:pPr>
    <w:rPr>
      <w:rFonts w:eastAsia="黑体"/>
      <w:sz w:val="28"/>
      <w:szCs w:val="22"/>
      <w:lang w:val="en-US" w:eastAsia="zh-CN" w:bidi="ar-SA"/>
    </w:rPr>
  </w:style>
  <w:style w:type="paragraph" w:customStyle="1" w:styleId="452">
    <w:name w:val="封面标准号1"/>
    <w:qFormat/>
    <w:uiPriority w:val="0"/>
    <w:pPr>
      <w:widowControl w:val="0"/>
      <w:kinsoku w:val="0"/>
      <w:overflowPunct w:val="0"/>
      <w:autoSpaceDE w:val="0"/>
      <w:autoSpaceDN w:val="0"/>
      <w:spacing w:before="308"/>
      <w:jc w:val="right"/>
    </w:pPr>
    <w:rPr>
      <w:sz w:val="28"/>
      <w:szCs w:val="22"/>
      <w:lang w:val="en-US" w:eastAsia="zh-CN" w:bidi="ar-SA"/>
    </w:rPr>
  </w:style>
  <w:style w:type="paragraph" w:customStyle="1" w:styleId="453">
    <w:name w:val="封面标准号2"/>
    <w:basedOn w:val="452"/>
    <w:qFormat/>
    <w:uiPriority w:val="0"/>
    <w:pPr>
      <w:framePr w:w="9138" w:h="1244" w:wrap="around" w:vAnchor="page" w:hAnchor="margin" w:y="2908"/>
      <w:adjustRightInd w:val="0"/>
      <w:spacing w:before="357" w:line="280" w:lineRule="exact"/>
    </w:pPr>
  </w:style>
  <w:style w:type="paragraph" w:customStyle="1" w:styleId="454">
    <w:name w:val="封面标准代替信息"/>
    <w:basedOn w:val="453"/>
    <w:qFormat/>
    <w:uiPriority w:val="0"/>
    <w:pPr>
      <w:spacing w:before="57"/>
    </w:pPr>
    <w:rPr>
      <w:rFonts w:ascii="宋体"/>
      <w:sz w:val="21"/>
    </w:rPr>
  </w:style>
  <w:style w:type="paragraph" w:customStyle="1" w:styleId="455">
    <w:name w:val="封面标准名称"/>
    <w:qFormat/>
    <w:uiPriority w:val="0"/>
    <w:pPr>
      <w:framePr w:w="9638" w:h="6917" w:wrap="around" w:vAnchor="margin" w:hAnchor="margin" w:xAlign="center" w:y="5955" w:anchorLock="1"/>
      <w:widowControl w:val="0"/>
      <w:spacing w:line="680" w:lineRule="exact"/>
      <w:jc w:val="center"/>
    </w:pPr>
    <w:rPr>
      <w:rFonts w:ascii="黑体" w:eastAsia="黑体"/>
      <w:sz w:val="52"/>
      <w:szCs w:val="22"/>
      <w:lang w:val="en-US" w:eastAsia="zh-CN" w:bidi="ar-SA"/>
    </w:rPr>
  </w:style>
  <w:style w:type="paragraph" w:customStyle="1" w:styleId="456">
    <w:name w:val="封面标准文稿编辑信息"/>
    <w:qFormat/>
    <w:uiPriority w:val="0"/>
    <w:pPr>
      <w:spacing w:before="180" w:line="180" w:lineRule="exact"/>
      <w:jc w:val="center"/>
    </w:pPr>
    <w:rPr>
      <w:rFonts w:ascii="宋体"/>
      <w:sz w:val="21"/>
      <w:szCs w:val="22"/>
      <w:lang w:val="en-US" w:eastAsia="zh-CN" w:bidi="ar-SA"/>
    </w:rPr>
  </w:style>
  <w:style w:type="paragraph" w:customStyle="1" w:styleId="457">
    <w:name w:val="封面标准文稿类别"/>
    <w:uiPriority w:val="0"/>
    <w:pPr>
      <w:spacing w:before="440" w:line="400" w:lineRule="exact"/>
      <w:jc w:val="center"/>
    </w:pPr>
    <w:rPr>
      <w:rFonts w:ascii="宋体"/>
      <w:sz w:val="24"/>
      <w:szCs w:val="22"/>
      <w:lang w:val="en-US" w:eastAsia="zh-CN" w:bidi="ar-SA"/>
    </w:rPr>
  </w:style>
  <w:style w:type="paragraph" w:customStyle="1" w:styleId="458">
    <w:name w:val="封面标准英文名称"/>
    <w:uiPriority w:val="0"/>
    <w:pPr>
      <w:widowControl w:val="0"/>
      <w:spacing w:before="370" w:line="400" w:lineRule="exact"/>
      <w:jc w:val="center"/>
    </w:pPr>
    <w:rPr>
      <w:sz w:val="28"/>
      <w:szCs w:val="22"/>
      <w:lang w:val="en-US" w:eastAsia="zh-CN" w:bidi="ar-SA"/>
    </w:rPr>
  </w:style>
  <w:style w:type="paragraph" w:customStyle="1" w:styleId="459">
    <w:name w:val="封面一致性程度标识"/>
    <w:uiPriority w:val="0"/>
    <w:pPr>
      <w:spacing w:before="440" w:line="400" w:lineRule="exact"/>
      <w:jc w:val="center"/>
    </w:pPr>
    <w:rPr>
      <w:rFonts w:ascii="宋体"/>
      <w:sz w:val="28"/>
      <w:szCs w:val="22"/>
      <w:lang w:val="en-US" w:eastAsia="zh-CN" w:bidi="ar-SA"/>
    </w:rPr>
  </w:style>
  <w:style w:type="paragraph" w:customStyle="1" w:styleId="460">
    <w:name w:val="封面正文"/>
    <w:uiPriority w:val="0"/>
    <w:pPr>
      <w:jc w:val="both"/>
    </w:pPr>
    <w:rPr>
      <w:sz w:val="22"/>
      <w:szCs w:val="22"/>
      <w:lang w:val="en-US" w:eastAsia="zh-CN" w:bidi="ar-SA"/>
    </w:rPr>
  </w:style>
  <w:style w:type="paragraph" w:customStyle="1" w:styleId="461">
    <w:name w:val="附录标识"/>
    <w:basedOn w:val="444"/>
    <w:uiPriority w:val="0"/>
    <w:pPr>
      <w:tabs>
        <w:tab w:val="left" w:pos="760"/>
        <w:tab w:val="left" w:pos="6405"/>
        <w:tab w:val="clear" w:pos="1140"/>
      </w:tabs>
      <w:spacing w:after="200"/>
      <w:ind w:left="717" w:hanging="317"/>
    </w:pPr>
    <w:rPr>
      <w:sz w:val="21"/>
    </w:rPr>
  </w:style>
  <w:style w:type="paragraph" w:customStyle="1" w:styleId="462">
    <w:name w:val="附录表标题"/>
    <w:next w:val="330"/>
    <w:uiPriority w:val="0"/>
    <w:pPr>
      <w:tabs>
        <w:tab w:val="left" w:pos="360"/>
      </w:tabs>
      <w:jc w:val="center"/>
    </w:pPr>
    <w:rPr>
      <w:rFonts w:ascii="黑体" w:eastAsia="黑体"/>
      <w:kern w:val="21"/>
      <w:sz w:val="21"/>
      <w:szCs w:val="22"/>
      <w:lang w:val="en-US" w:eastAsia="zh-CN" w:bidi="ar-SA"/>
    </w:rPr>
  </w:style>
  <w:style w:type="paragraph" w:customStyle="1" w:styleId="463">
    <w:name w:val="附录章标题"/>
    <w:next w:val="330"/>
    <w:uiPriority w:val="0"/>
    <w:pPr>
      <w:wordWrap w:val="0"/>
      <w:overflowPunct w:val="0"/>
      <w:autoSpaceDE w:val="0"/>
      <w:spacing w:beforeLines="50"/>
      <w:jc w:val="both"/>
      <w:outlineLvl w:val="1"/>
    </w:pPr>
    <w:rPr>
      <w:rFonts w:ascii="黑体" w:eastAsia="黑体"/>
      <w:kern w:val="21"/>
      <w:sz w:val="21"/>
      <w:szCs w:val="22"/>
      <w:lang w:val="en-US" w:eastAsia="zh-CN" w:bidi="ar-SA"/>
    </w:rPr>
  </w:style>
  <w:style w:type="paragraph" w:customStyle="1" w:styleId="464">
    <w:name w:val="附录一级条标题"/>
    <w:basedOn w:val="463"/>
    <w:next w:val="330"/>
    <w:uiPriority w:val="0"/>
    <w:pPr>
      <w:autoSpaceDN w:val="0"/>
      <w:spacing w:beforeLines="0"/>
      <w:outlineLvl w:val="2"/>
    </w:pPr>
  </w:style>
  <w:style w:type="paragraph" w:customStyle="1" w:styleId="465">
    <w:name w:val="附录二级条标题"/>
    <w:basedOn w:val="464"/>
    <w:next w:val="330"/>
    <w:uiPriority w:val="0"/>
    <w:pPr>
      <w:outlineLvl w:val="3"/>
    </w:pPr>
  </w:style>
  <w:style w:type="paragraph" w:customStyle="1" w:styleId="466">
    <w:name w:val="附录三级条标题"/>
    <w:basedOn w:val="465"/>
    <w:next w:val="330"/>
    <w:uiPriority w:val="0"/>
    <w:pPr>
      <w:outlineLvl w:val="4"/>
    </w:pPr>
  </w:style>
  <w:style w:type="paragraph" w:customStyle="1" w:styleId="467">
    <w:name w:val="附录四级条标题"/>
    <w:basedOn w:val="466"/>
    <w:next w:val="330"/>
    <w:uiPriority w:val="0"/>
    <w:pPr>
      <w:outlineLvl w:val="5"/>
    </w:pPr>
  </w:style>
  <w:style w:type="paragraph" w:customStyle="1" w:styleId="468">
    <w:name w:val="附录图标题"/>
    <w:next w:val="330"/>
    <w:uiPriority w:val="0"/>
    <w:pPr>
      <w:tabs>
        <w:tab w:val="left" w:pos="360"/>
      </w:tabs>
      <w:jc w:val="center"/>
    </w:pPr>
    <w:rPr>
      <w:rFonts w:ascii="黑体" w:eastAsia="黑体"/>
      <w:sz w:val="21"/>
      <w:szCs w:val="22"/>
      <w:lang w:val="en-US" w:eastAsia="zh-CN" w:bidi="ar-SA"/>
    </w:rPr>
  </w:style>
  <w:style w:type="paragraph" w:customStyle="1" w:styleId="469">
    <w:name w:val="附录五级条标题"/>
    <w:basedOn w:val="467"/>
    <w:next w:val="330"/>
    <w:uiPriority w:val="0"/>
    <w:pPr>
      <w:tabs>
        <w:tab w:val="left" w:pos="2940"/>
      </w:tabs>
      <w:ind w:left="2940" w:hanging="420"/>
      <w:outlineLvl w:val="6"/>
    </w:pPr>
  </w:style>
  <w:style w:type="paragraph" w:customStyle="1" w:styleId="470">
    <w:name w:val="列项——（一级）"/>
    <w:uiPriority w:val="0"/>
    <w:pPr>
      <w:widowControl w:val="0"/>
      <w:numPr>
        <w:ilvl w:val="0"/>
        <w:numId w:val="13"/>
      </w:numPr>
      <w:tabs>
        <w:tab w:val="left" w:pos="854"/>
      </w:tabs>
      <w:ind w:left="200" w:leftChars="200" w:hanging="200" w:hangingChars="200"/>
      <w:jc w:val="both"/>
    </w:pPr>
    <w:rPr>
      <w:rFonts w:ascii="宋体"/>
      <w:sz w:val="21"/>
      <w:szCs w:val="22"/>
      <w:lang w:val="en-US" w:eastAsia="zh-CN" w:bidi="ar-SA"/>
    </w:rPr>
  </w:style>
  <w:style w:type="paragraph" w:customStyle="1" w:styleId="471">
    <w:name w:val="列项●（二级）"/>
    <w:uiPriority w:val="0"/>
    <w:pPr>
      <w:numPr>
        <w:ilvl w:val="0"/>
        <w:numId w:val="14"/>
      </w:numPr>
      <w:tabs>
        <w:tab w:val="left" w:pos="840"/>
      </w:tabs>
      <w:ind w:left="600" w:leftChars="400" w:hanging="200" w:hangingChars="200"/>
      <w:jc w:val="both"/>
    </w:pPr>
    <w:rPr>
      <w:rFonts w:ascii="宋体"/>
      <w:sz w:val="21"/>
      <w:szCs w:val="22"/>
      <w:lang w:val="en-US" w:eastAsia="zh-CN" w:bidi="ar-SA"/>
    </w:rPr>
  </w:style>
  <w:style w:type="paragraph" w:customStyle="1" w:styleId="472">
    <w:name w:val="目次、标准名称标题"/>
    <w:basedOn w:val="444"/>
    <w:next w:val="330"/>
    <w:uiPriority w:val="0"/>
    <w:pPr>
      <w:tabs>
        <w:tab w:val="clear" w:pos="1140"/>
      </w:tabs>
      <w:spacing w:line="460" w:lineRule="exact"/>
      <w:ind w:left="0" w:firstLine="0"/>
    </w:pPr>
  </w:style>
  <w:style w:type="paragraph" w:customStyle="1" w:styleId="473">
    <w:name w:val="目次、索引正文"/>
    <w:uiPriority w:val="0"/>
    <w:pPr>
      <w:spacing w:line="320" w:lineRule="exact"/>
      <w:jc w:val="both"/>
    </w:pPr>
    <w:rPr>
      <w:rFonts w:ascii="宋体"/>
      <w:sz w:val="21"/>
      <w:szCs w:val="22"/>
      <w:lang w:val="en-US" w:eastAsia="zh-CN" w:bidi="ar-SA"/>
    </w:rPr>
  </w:style>
  <w:style w:type="paragraph" w:customStyle="1" w:styleId="474">
    <w:name w:val="其他标准称谓"/>
    <w:uiPriority w:val="0"/>
    <w:pPr>
      <w:spacing w:line="0" w:lineRule="atLeast"/>
      <w:jc w:val="distribute"/>
    </w:pPr>
    <w:rPr>
      <w:rFonts w:ascii="黑体" w:hAnsi="宋体" w:eastAsia="黑体"/>
      <w:sz w:val="52"/>
      <w:szCs w:val="22"/>
      <w:lang w:val="en-US" w:eastAsia="zh-CN" w:bidi="ar-SA"/>
    </w:rPr>
  </w:style>
  <w:style w:type="paragraph" w:customStyle="1" w:styleId="475">
    <w:name w:val="其他发布部门"/>
    <w:basedOn w:val="450"/>
    <w:uiPriority w:val="0"/>
    <w:pPr>
      <w:spacing w:line="0" w:lineRule="atLeast"/>
    </w:pPr>
    <w:rPr>
      <w:rFonts w:ascii="黑体" w:eastAsia="黑体"/>
      <w:b w:val="0"/>
    </w:rPr>
  </w:style>
  <w:style w:type="paragraph" w:customStyle="1" w:styleId="476">
    <w:name w:val="三级条标题"/>
    <w:basedOn w:val="449"/>
    <w:next w:val="330"/>
    <w:uiPriority w:val="0"/>
    <w:pPr>
      <w:tabs>
        <w:tab w:val="clear" w:pos="1260"/>
      </w:tabs>
      <w:ind w:left="0" w:firstLine="0"/>
      <w:outlineLvl w:val="4"/>
    </w:pPr>
  </w:style>
  <w:style w:type="paragraph" w:customStyle="1" w:styleId="477">
    <w:name w:val="实施日期"/>
    <w:basedOn w:val="451"/>
    <w:uiPriority w:val="0"/>
    <w:pPr>
      <w:framePr w:hSpace="0" w:xAlign="right"/>
      <w:tabs>
        <w:tab w:val="left" w:pos="2100"/>
      </w:tabs>
      <w:ind w:left="2100" w:hanging="420"/>
      <w:jc w:val="right"/>
    </w:pPr>
  </w:style>
  <w:style w:type="paragraph" w:customStyle="1" w:styleId="478">
    <w:name w:val="示例"/>
    <w:next w:val="330"/>
    <w:uiPriority w:val="0"/>
    <w:pPr>
      <w:tabs>
        <w:tab w:val="left" w:pos="816"/>
      </w:tabs>
      <w:ind w:left="820" w:firstLine="419" w:firstLineChars="233"/>
      <w:jc w:val="both"/>
    </w:pPr>
    <w:rPr>
      <w:rFonts w:ascii="宋体"/>
      <w:sz w:val="18"/>
      <w:szCs w:val="22"/>
      <w:lang w:val="en-US" w:eastAsia="zh-CN" w:bidi="ar-SA"/>
    </w:rPr>
  </w:style>
  <w:style w:type="paragraph" w:customStyle="1" w:styleId="479">
    <w:name w:val="数字编号列项（二级）"/>
    <w:uiPriority w:val="0"/>
    <w:pPr>
      <w:ind w:left="1260" w:leftChars="400" w:hanging="420" w:hangingChars="200"/>
      <w:jc w:val="both"/>
    </w:pPr>
    <w:rPr>
      <w:rFonts w:ascii="宋体"/>
      <w:sz w:val="21"/>
      <w:szCs w:val="22"/>
      <w:lang w:val="en-US" w:eastAsia="zh-CN" w:bidi="ar-SA"/>
    </w:rPr>
  </w:style>
  <w:style w:type="paragraph" w:customStyle="1" w:styleId="480">
    <w:name w:val="四级条标题"/>
    <w:basedOn w:val="476"/>
    <w:next w:val="330"/>
    <w:uiPriority w:val="0"/>
    <w:pPr>
      <w:outlineLvl w:val="5"/>
    </w:pPr>
  </w:style>
  <w:style w:type="paragraph" w:customStyle="1" w:styleId="481">
    <w:name w:val="条文脚注"/>
    <w:basedOn w:val="46"/>
    <w:uiPriority w:val="0"/>
    <w:pPr>
      <w:ind w:left="780" w:leftChars="200" w:hanging="360" w:hangingChars="200"/>
      <w:jc w:val="both"/>
    </w:pPr>
    <w:rPr>
      <w:rFonts w:ascii="宋体" w:eastAsia="宋体"/>
      <w:kern w:val="0"/>
    </w:rPr>
  </w:style>
  <w:style w:type="paragraph" w:customStyle="1" w:styleId="482">
    <w:name w:val="图表脚注"/>
    <w:next w:val="330"/>
    <w:uiPriority w:val="0"/>
    <w:pPr>
      <w:tabs>
        <w:tab w:val="left" w:pos="2520"/>
      </w:tabs>
      <w:ind w:left="300" w:leftChars="200" w:hanging="100" w:hangingChars="100"/>
      <w:jc w:val="both"/>
    </w:pPr>
    <w:rPr>
      <w:rFonts w:ascii="宋体"/>
      <w:sz w:val="18"/>
      <w:szCs w:val="22"/>
      <w:lang w:val="en-US" w:eastAsia="zh-CN" w:bidi="ar-SA"/>
    </w:rPr>
  </w:style>
  <w:style w:type="paragraph" w:customStyle="1" w:styleId="483">
    <w:name w:val="文献分类号"/>
    <w:uiPriority w:val="0"/>
    <w:pPr>
      <w:framePr w:hSpace="180" w:vSpace="180" w:wrap="around" w:vAnchor="margin" w:hAnchor="margin" w:y="1" w:anchorLock="1"/>
      <w:widowControl w:val="0"/>
    </w:pPr>
    <w:rPr>
      <w:rFonts w:eastAsia="黑体"/>
      <w:sz w:val="21"/>
      <w:szCs w:val="22"/>
      <w:lang w:val="en-US" w:eastAsia="zh-CN" w:bidi="ar-SA"/>
    </w:rPr>
  </w:style>
  <w:style w:type="paragraph" w:customStyle="1" w:styleId="484">
    <w:name w:val="五级条标题"/>
    <w:basedOn w:val="480"/>
    <w:next w:val="330"/>
    <w:uiPriority w:val="0"/>
    <w:pPr>
      <w:tabs>
        <w:tab w:val="left" w:pos="2940"/>
      </w:tabs>
      <w:ind w:left="2940" w:hanging="420"/>
      <w:outlineLvl w:val="6"/>
    </w:pPr>
  </w:style>
  <w:style w:type="paragraph" w:customStyle="1" w:styleId="485">
    <w:name w:val="正文表标题"/>
    <w:next w:val="330"/>
    <w:uiPriority w:val="0"/>
    <w:pPr>
      <w:tabs>
        <w:tab w:val="left" w:pos="560"/>
      </w:tabs>
      <w:ind w:left="517" w:hanging="317"/>
      <w:jc w:val="center"/>
    </w:pPr>
    <w:rPr>
      <w:rFonts w:ascii="黑体" w:eastAsia="黑体"/>
      <w:sz w:val="21"/>
      <w:szCs w:val="22"/>
      <w:lang w:val="en-US" w:eastAsia="zh-CN" w:bidi="ar-SA"/>
    </w:rPr>
  </w:style>
  <w:style w:type="paragraph" w:customStyle="1" w:styleId="486">
    <w:name w:val="正文图标题"/>
    <w:next w:val="330"/>
    <w:uiPriority w:val="0"/>
    <w:pPr>
      <w:tabs>
        <w:tab w:val="left" w:pos="1140"/>
      </w:tabs>
      <w:ind w:left="840" w:hanging="420"/>
      <w:jc w:val="center"/>
    </w:pPr>
    <w:rPr>
      <w:rFonts w:ascii="黑体" w:eastAsia="黑体"/>
      <w:sz w:val="21"/>
      <w:szCs w:val="22"/>
      <w:lang w:val="en-US" w:eastAsia="zh-CN" w:bidi="ar-SA"/>
    </w:rPr>
  </w:style>
  <w:style w:type="paragraph" w:customStyle="1" w:styleId="487">
    <w:name w:val="注："/>
    <w:next w:val="330"/>
    <w:uiPriority w:val="0"/>
    <w:pPr>
      <w:widowControl w:val="0"/>
      <w:autoSpaceDE w:val="0"/>
      <w:autoSpaceDN w:val="0"/>
      <w:ind w:left="420" w:hanging="420"/>
      <w:jc w:val="both"/>
    </w:pPr>
    <w:rPr>
      <w:rFonts w:ascii="宋体"/>
      <w:sz w:val="18"/>
      <w:szCs w:val="22"/>
      <w:lang w:val="en-US" w:eastAsia="zh-CN" w:bidi="ar-SA"/>
    </w:rPr>
  </w:style>
  <w:style w:type="paragraph" w:customStyle="1" w:styleId="488">
    <w:name w:val="注×："/>
    <w:uiPriority w:val="0"/>
    <w:pPr>
      <w:widowControl w:val="0"/>
      <w:tabs>
        <w:tab w:val="left" w:pos="630"/>
      </w:tabs>
      <w:autoSpaceDE w:val="0"/>
      <w:autoSpaceDN w:val="0"/>
      <w:ind w:left="425" w:hanging="425"/>
      <w:jc w:val="both"/>
    </w:pPr>
    <w:rPr>
      <w:rFonts w:ascii="宋体"/>
      <w:sz w:val="18"/>
      <w:szCs w:val="22"/>
      <w:lang w:val="en-US" w:eastAsia="zh-CN" w:bidi="ar-SA"/>
    </w:rPr>
  </w:style>
  <w:style w:type="paragraph" w:customStyle="1" w:styleId="489">
    <w:name w:val="字母编号列项（一级）"/>
    <w:uiPriority w:val="0"/>
    <w:pPr>
      <w:ind w:left="840" w:leftChars="200" w:hanging="420" w:hangingChars="200"/>
      <w:jc w:val="both"/>
    </w:pPr>
    <w:rPr>
      <w:rFonts w:ascii="宋体"/>
      <w:sz w:val="21"/>
      <w:szCs w:val="22"/>
      <w:lang w:val="en-US" w:eastAsia="zh-CN" w:bidi="ar-SA"/>
    </w:rPr>
  </w:style>
  <w:style w:type="paragraph" w:customStyle="1" w:styleId="490">
    <w:name w:val="列项◆（三级）"/>
    <w:uiPriority w:val="0"/>
    <w:pPr>
      <w:tabs>
        <w:tab w:val="left" w:pos="960"/>
      </w:tabs>
      <w:ind w:left="800" w:leftChars="600" w:hanging="200" w:hangingChars="200"/>
    </w:pPr>
    <w:rPr>
      <w:rFonts w:ascii="宋体"/>
      <w:sz w:val="21"/>
      <w:szCs w:val="22"/>
      <w:lang w:val="en-US" w:eastAsia="zh-CN" w:bidi="ar-SA"/>
    </w:rPr>
  </w:style>
  <w:style w:type="paragraph" w:customStyle="1" w:styleId="491">
    <w:name w:val="编号列项（三级）"/>
    <w:uiPriority w:val="0"/>
    <w:pPr>
      <w:ind w:left="800" w:leftChars="600" w:hanging="200" w:hangingChars="200"/>
    </w:pPr>
    <w:rPr>
      <w:rFonts w:ascii="宋体"/>
      <w:sz w:val="21"/>
      <w:szCs w:val="22"/>
      <w:lang w:val="en-US" w:eastAsia="zh-CN" w:bidi="ar-SA"/>
    </w:rPr>
  </w:style>
  <w:style w:type="paragraph" w:customStyle="1" w:styleId="492">
    <w:name w:val="Char Char1 Char Char Char Char Char Char Char Char Char Char Char Char Char Char Char Char Char Char Char1 Char Char"/>
    <w:basedOn w:val="1"/>
    <w:next w:val="60"/>
    <w:qFormat/>
    <w:uiPriority w:val="0"/>
    <w:rPr>
      <w:rFonts w:ascii="Verdana" w:hAnsi="Verdana"/>
      <w:szCs w:val="21"/>
      <w:lang w:eastAsia="en-US"/>
    </w:rPr>
  </w:style>
  <w:style w:type="paragraph" w:customStyle="1" w:styleId="493">
    <w:name w:val="无标题条"/>
    <w:next w:val="330"/>
    <w:uiPriority w:val="0"/>
    <w:pPr>
      <w:jc w:val="both"/>
    </w:pPr>
    <w:rPr>
      <w:sz w:val="21"/>
      <w:szCs w:val="22"/>
      <w:lang w:val="en-US" w:eastAsia="zh-CN" w:bidi="ar-SA"/>
    </w:rPr>
  </w:style>
  <w:style w:type="paragraph" w:customStyle="1" w:styleId="494">
    <w:name w:val="font7"/>
    <w:basedOn w:val="1"/>
    <w:uiPriority w:val="0"/>
    <w:pPr>
      <w:spacing w:before="100" w:beforeAutospacing="1" w:after="100" w:afterAutospacing="1"/>
    </w:pPr>
    <w:rPr>
      <w:rFonts w:ascii="宋体" w:hAnsi="宋体" w:cs="宋体"/>
      <w:b/>
      <w:bCs/>
      <w:color w:val="000000"/>
      <w:sz w:val="20"/>
      <w:szCs w:val="20"/>
    </w:rPr>
  </w:style>
  <w:style w:type="paragraph" w:customStyle="1" w:styleId="495">
    <w:name w:val="font8"/>
    <w:basedOn w:val="1"/>
    <w:uiPriority w:val="0"/>
    <w:pPr>
      <w:spacing w:before="100" w:beforeAutospacing="1" w:after="100" w:afterAutospacing="1"/>
    </w:pPr>
    <w:rPr>
      <w:rFonts w:ascii="宋体" w:hAnsi="宋体" w:cs="宋体"/>
      <w:color w:val="000000"/>
      <w:sz w:val="20"/>
      <w:szCs w:val="20"/>
    </w:rPr>
  </w:style>
  <w:style w:type="paragraph" w:customStyle="1" w:styleId="496">
    <w:name w:val="font9"/>
    <w:basedOn w:val="1"/>
    <w:uiPriority w:val="0"/>
    <w:pPr>
      <w:spacing w:before="100" w:beforeAutospacing="1" w:after="100" w:afterAutospacing="1"/>
    </w:pPr>
    <w:rPr>
      <w:rFonts w:ascii="宋体" w:hAnsi="宋体" w:cs="宋体"/>
      <w:color w:val="FF0000"/>
      <w:sz w:val="20"/>
      <w:szCs w:val="20"/>
    </w:rPr>
  </w:style>
  <w:style w:type="paragraph" w:customStyle="1" w:styleId="497">
    <w:name w:val="font10"/>
    <w:basedOn w:val="1"/>
    <w:uiPriority w:val="0"/>
    <w:pPr>
      <w:spacing w:before="100" w:beforeAutospacing="1" w:after="100" w:afterAutospacing="1"/>
    </w:pPr>
    <w:rPr>
      <w:rFonts w:ascii="宋体" w:hAnsi="宋体" w:cs="宋体"/>
      <w:color w:val="000000"/>
      <w:sz w:val="20"/>
      <w:szCs w:val="20"/>
    </w:rPr>
  </w:style>
  <w:style w:type="paragraph" w:customStyle="1" w:styleId="498">
    <w:name w:val="font12"/>
    <w:basedOn w:val="1"/>
    <w:uiPriority w:val="0"/>
    <w:pPr>
      <w:spacing w:before="100" w:beforeAutospacing="1" w:after="100" w:afterAutospacing="1"/>
    </w:pPr>
    <w:rPr>
      <w:rFonts w:ascii="宋体" w:hAnsi="宋体" w:cs="宋体"/>
      <w:b/>
      <w:bCs/>
      <w:color w:val="000000"/>
      <w:sz w:val="20"/>
      <w:szCs w:val="20"/>
    </w:rPr>
  </w:style>
  <w:style w:type="paragraph" w:customStyle="1" w:styleId="499">
    <w:name w:val="font13"/>
    <w:basedOn w:val="1"/>
    <w:uiPriority w:val="0"/>
    <w:pPr>
      <w:spacing w:before="100" w:beforeAutospacing="1" w:after="100" w:afterAutospacing="1"/>
    </w:pPr>
    <w:rPr>
      <w:rFonts w:ascii="宋体" w:hAnsi="宋体" w:cs="宋体"/>
      <w:b/>
      <w:bCs/>
      <w:color w:val="FF0000"/>
      <w:sz w:val="20"/>
      <w:szCs w:val="20"/>
    </w:rPr>
  </w:style>
  <w:style w:type="paragraph" w:customStyle="1" w:styleId="500">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01">
    <w:name w:val="xl95"/>
    <w:basedOn w:val="1"/>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pPr>
    <w:rPr>
      <w:rFonts w:ascii="华文宋体" w:hAnsi="华文宋体" w:eastAsia="华文宋体" w:cs="宋体"/>
      <w:sz w:val="20"/>
      <w:szCs w:val="20"/>
    </w:rPr>
  </w:style>
  <w:style w:type="paragraph" w:customStyle="1" w:styleId="502">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sz w:val="20"/>
      <w:szCs w:val="20"/>
    </w:rPr>
  </w:style>
  <w:style w:type="paragraph" w:customStyle="1" w:styleId="503">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sz w:val="20"/>
      <w:szCs w:val="20"/>
    </w:rPr>
  </w:style>
  <w:style w:type="paragraph" w:customStyle="1" w:styleId="504">
    <w:name w:val="xl98"/>
    <w:basedOn w:val="1"/>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rFonts w:ascii="宋体" w:hAnsi="宋体" w:cs="宋体"/>
      <w:b/>
      <w:bCs/>
      <w:sz w:val="20"/>
      <w:szCs w:val="20"/>
    </w:rPr>
  </w:style>
  <w:style w:type="paragraph" w:customStyle="1" w:styleId="505">
    <w:name w:val="xl99"/>
    <w:basedOn w:val="1"/>
    <w:uiPriority w:val="0"/>
    <w:pPr>
      <w:pBdr>
        <w:top w:val="single" w:color="auto" w:sz="4" w:space="0"/>
        <w:left w:val="single" w:color="auto" w:sz="4" w:space="0"/>
        <w:bottom w:val="single" w:color="auto" w:sz="4" w:space="0"/>
        <w:right w:val="single" w:color="auto" w:sz="4" w:space="0"/>
      </w:pBdr>
      <w:shd w:val="clear" w:color="auto" w:fill="FDE9D9"/>
      <w:spacing w:before="100" w:beforeAutospacing="1" w:after="100" w:afterAutospacing="1"/>
    </w:pPr>
    <w:rPr>
      <w:rFonts w:ascii="宋体" w:hAnsi="宋体" w:cs="宋体"/>
      <w:b/>
      <w:bCs/>
      <w:sz w:val="20"/>
      <w:szCs w:val="20"/>
    </w:rPr>
  </w:style>
  <w:style w:type="paragraph" w:customStyle="1" w:styleId="506">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507">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20"/>
      <w:szCs w:val="20"/>
    </w:rPr>
  </w:style>
  <w:style w:type="paragraph" w:customStyle="1" w:styleId="508">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color w:val="000000"/>
      <w:sz w:val="20"/>
      <w:szCs w:val="20"/>
    </w:rPr>
  </w:style>
  <w:style w:type="paragraph" w:customStyle="1" w:styleId="509">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10">
    <w:name w:val="xl104"/>
    <w:basedOn w:val="1"/>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pPr>
    <w:rPr>
      <w:rFonts w:ascii="宋体" w:hAnsi="宋体" w:cs="宋体"/>
      <w:sz w:val="20"/>
      <w:szCs w:val="20"/>
    </w:rPr>
  </w:style>
  <w:style w:type="paragraph" w:customStyle="1" w:styleId="511">
    <w:name w:val="xl105"/>
    <w:basedOn w:val="1"/>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both"/>
    </w:pPr>
    <w:rPr>
      <w:rFonts w:ascii="宋体" w:hAnsi="宋体" w:cs="宋体"/>
      <w:color w:val="000000"/>
      <w:sz w:val="20"/>
      <w:szCs w:val="20"/>
    </w:rPr>
  </w:style>
  <w:style w:type="paragraph" w:customStyle="1" w:styleId="512">
    <w:name w:val="xl106"/>
    <w:basedOn w:val="1"/>
    <w:uiPriority w:val="0"/>
    <w:pPr>
      <w:pBdr>
        <w:top w:val="single" w:color="auto" w:sz="4" w:space="0"/>
        <w:left w:val="single" w:color="auto" w:sz="4" w:space="0"/>
        <w:bottom w:val="single" w:color="auto" w:sz="4" w:space="0"/>
        <w:right w:val="single" w:color="auto" w:sz="4" w:space="0"/>
      </w:pBdr>
      <w:shd w:val="clear" w:color="auto" w:fill="FDE9D9"/>
      <w:spacing w:before="100" w:beforeAutospacing="1" w:after="100" w:afterAutospacing="1"/>
      <w:jc w:val="both"/>
    </w:pPr>
    <w:rPr>
      <w:rFonts w:ascii="宋体" w:hAnsi="宋体" w:cs="宋体"/>
      <w:sz w:val="20"/>
      <w:szCs w:val="20"/>
    </w:rPr>
  </w:style>
  <w:style w:type="paragraph" w:customStyle="1" w:styleId="513">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color w:val="FF0000"/>
      <w:sz w:val="20"/>
      <w:szCs w:val="20"/>
    </w:rPr>
  </w:style>
  <w:style w:type="paragraph" w:customStyle="1" w:styleId="514">
    <w:name w:val="xl108"/>
    <w:basedOn w:val="1"/>
    <w:uiPriority w:val="0"/>
    <w:pPr>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both"/>
    </w:pPr>
    <w:rPr>
      <w:rFonts w:ascii="宋体" w:hAnsi="宋体" w:cs="宋体"/>
      <w:color w:val="000000"/>
      <w:sz w:val="20"/>
      <w:szCs w:val="20"/>
    </w:rPr>
  </w:style>
  <w:style w:type="paragraph" w:customStyle="1" w:styleId="515">
    <w:name w:val="xl109"/>
    <w:basedOn w:val="1"/>
    <w:uiPriority w:val="0"/>
    <w:pPr>
      <w:pBdr>
        <w:top w:val="single" w:color="auto" w:sz="4" w:space="0"/>
        <w:left w:val="single" w:color="auto" w:sz="4" w:space="0"/>
        <w:bottom w:val="single" w:color="auto" w:sz="4" w:space="0"/>
        <w:right w:val="single" w:color="auto" w:sz="4" w:space="0"/>
      </w:pBdr>
      <w:shd w:val="clear" w:color="auto" w:fill="FDE9D9"/>
      <w:spacing w:before="100" w:beforeAutospacing="1" w:after="100" w:afterAutospacing="1"/>
      <w:jc w:val="both"/>
    </w:pPr>
    <w:rPr>
      <w:rFonts w:ascii="宋体" w:hAnsi="宋体" w:cs="宋体"/>
      <w:color w:val="0070C0"/>
      <w:sz w:val="20"/>
      <w:szCs w:val="20"/>
    </w:rPr>
  </w:style>
  <w:style w:type="paragraph" w:customStyle="1" w:styleId="516">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color w:val="00B0F0"/>
      <w:sz w:val="20"/>
      <w:szCs w:val="20"/>
    </w:rPr>
  </w:style>
  <w:style w:type="paragraph" w:customStyle="1" w:styleId="517">
    <w:name w:val="xl111"/>
    <w:basedOn w:val="1"/>
    <w:uiPriority w:val="0"/>
    <w:pPr>
      <w:pBdr>
        <w:top w:val="single" w:color="auto" w:sz="4" w:space="0"/>
        <w:left w:val="single" w:color="auto" w:sz="4" w:space="0"/>
        <w:bottom w:val="single" w:color="auto" w:sz="4" w:space="0"/>
        <w:right w:val="single" w:color="auto" w:sz="4" w:space="0"/>
      </w:pBdr>
      <w:shd w:val="clear" w:color="auto" w:fill="BFBFBF"/>
      <w:spacing w:before="100" w:beforeAutospacing="1" w:after="100" w:afterAutospacing="1"/>
      <w:jc w:val="both"/>
    </w:pPr>
    <w:rPr>
      <w:rFonts w:ascii="宋体" w:hAnsi="宋体" w:cs="宋体"/>
      <w:sz w:val="20"/>
      <w:szCs w:val="20"/>
    </w:rPr>
  </w:style>
  <w:style w:type="paragraph" w:customStyle="1" w:styleId="518">
    <w:name w:val="xl1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color w:val="0000FF"/>
      <w:sz w:val="20"/>
      <w:szCs w:val="20"/>
      <w:u w:val="single"/>
    </w:rPr>
  </w:style>
  <w:style w:type="paragraph" w:customStyle="1" w:styleId="519">
    <w:name w:val="xl113"/>
    <w:basedOn w:val="1"/>
    <w:uiPriority w:val="0"/>
    <w:pPr>
      <w:pBdr>
        <w:top w:val="single" w:color="auto" w:sz="4" w:space="0"/>
        <w:left w:val="single" w:color="auto" w:sz="4" w:space="0"/>
        <w:bottom w:val="single" w:color="auto" w:sz="4" w:space="0"/>
        <w:right w:val="single" w:color="auto" w:sz="4" w:space="0"/>
      </w:pBdr>
      <w:shd w:val="clear" w:color="auto" w:fill="E26B0A"/>
      <w:spacing w:before="100" w:beforeAutospacing="1" w:after="100" w:afterAutospacing="1"/>
      <w:jc w:val="both"/>
    </w:pPr>
    <w:rPr>
      <w:rFonts w:ascii="宋体" w:hAnsi="宋体" w:cs="宋体"/>
      <w:sz w:val="20"/>
      <w:szCs w:val="20"/>
    </w:rPr>
  </w:style>
  <w:style w:type="paragraph" w:customStyle="1" w:styleId="520">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20"/>
      <w:szCs w:val="20"/>
    </w:rPr>
  </w:style>
  <w:style w:type="paragraph" w:customStyle="1" w:styleId="521">
    <w:name w:val="xl11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both"/>
    </w:pPr>
    <w:rPr>
      <w:rFonts w:ascii="宋体" w:hAnsi="宋体" w:cs="宋体"/>
      <w:color w:val="FF0000"/>
      <w:sz w:val="20"/>
      <w:szCs w:val="20"/>
    </w:rPr>
  </w:style>
  <w:style w:type="paragraph" w:customStyle="1" w:styleId="522">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B0F0"/>
      <w:sz w:val="20"/>
      <w:szCs w:val="20"/>
    </w:rPr>
  </w:style>
  <w:style w:type="paragraph" w:customStyle="1" w:styleId="523">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24">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color w:val="000000"/>
      <w:sz w:val="20"/>
      <w:szCs w:val="20"/>
    </w:rPr>
  </w:style>
  <w:style w:type="paragraph" w:customStyle="1" w:styleId="525">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FF"/>
      <w:sz w:val="20"/>
      <w:szCs w:val="20"/>
      <w:u w:val="single"/>
    </w:rPr>
  </w:style>
  <w:style w:type="paragraph" w:customStyle="1" w:styleId="526">
    <w:name w:val="xl1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color w:val="FFFF00"/>
      <w:sz w:val="20"/>
      <w:szCs w:val="20"/>
    </w:rPr>
  </w:style>
  <w:style w:type="paragraph" w:customStyle="1" w:styleId="527">
    <w:name w:val="xl121"/>
    <w:basedOn w:val="1"/>
    <w:uiPriority w:val="0"/>
    <w:pPr>
      <w:pBdr>
        <w:top w:val="single" w:color="auto" w:sz="4" w:space="0"/>
        <w:left w:val="single" w:color="auto" w:sz="4" w:space="0"/>
        <w:bottom w:val="single" w:color="auto" w:sz="4" w:space="0"/>
        <w:right w:val="single" w:color="auto" w:sz="4" w:space="0"/>
      </w:pBdr>
      <w:shd w:val="clear" w:color="auto" w:fill="BFBFBF"/>
      <w:spacing w:before="100" w:beforeAutospacing="1" w:after="100" w:afterAutospacing="1"/>
      <w:jc w:val="both"/>
    </w:pPr>
    <w:rPr>
      <w:rFonts w:ascii="宋体" w:hAnsi="宋体" w:cs="宋体"/>
      <w:color w:val="000000"/>
      <w:sz w:val="20"/>
      <w:szCs w:val="20"/>
    </w:rPr>
  </w:style>
  <w:style w:type="paragraph" w:customStyle="1" w:styleId="528">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B0F0"/>
      <w:sz w:val="20"/>
      <w:szCs w:val="20"/>
    </w:rPr>
  </w:style>
  <w:style w:type="paragraph" w:customStyle="1" w:styleId="529">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color w:val="C45911"/>
      <w:sz w:val="20"/>
      <w:szCs w:val="20"/>
    </w:rPr>
  </w:style>
  <w:style w:type="paragraph" w:customStyle="1" w:styleId="530">
    <w:name w:val="xl12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华文宋体" w:hAnsi="华文宋体" w:eastAsia="华文宋体" w:cs="宋体"/>
      <w:sz w:val="18"/>
      <w:szCs w:val="18"/>
    </w:rPr>
  </w:style>
  <w:style w:type="paragraph" w:customStyle="1" w:styleId="531">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532">
    <w:name w:val="xl126"/>
    <w:basedOn w:val="1"/>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rFonts w:ascii="宋体" w:hAnsi="宋体" w:cs="宋体"/>
      <w:b/>
      <w:bCs/>
      <w:sz w:val="20"/>
      <w:szCs w:val="20"/>
    </w:rPr>
  </w:style>
  <w:style w:type="paragraph" w:customStyle="1" w:styleId="533">
    <w:name w:val="xl127"/>
    <w:basedOn w:val="1"/>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pPr>
    <w:rPr>
      <w:rFonts w:ascii="宋体" w:hAnsi="宋体" w:cs="宋体"/>
      <w:sz w:val="20"/>
      <w:szCs w:val="20"/>
    </w:rPr>
  </w:style>
  <w:style w:type="paragraph" w:customStyle="1" w:styleId="534">
    <w:name w:val="xl128"/>
    <w:basedOn w:val="1"/>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pPr>
    <w:rPr>
      <w:rFonts w:ascii="宋体" w:hAnsi="宋体" w:cs="宋体"/>
      <w:color w:val="FF0000"/>
      <w:sz w:val="20"/>
      <w:szCs w:val="20"/>
    </w:rPr>
  </w:style>
  <w:style w:type="paragraph" w:customStyle="1" w:styleId="535">
    <w:name w:val="xl129"/>
    <w:basedOn w:val="1"/>
    <w:uiPriority w:val="0"/>
    <w:pPr>
      <w:pBdr>
        <w:top w:val="single" w:color="auto" w:sz="4" w:space="0"/>
        <w:left w:val="single" w:color="auto" w:sz="4" w:space="0"/>
        <w:bottom w:val="single" w:color="auto" w:sz="4" w:space="0"/>
        <w:right w:val="single" w:color="auto" w:sz="4" w:space="0"/>
      </w:pBdr>
      <w:shd w:val="clear" w:color="auto" w:fill="FCD5B4"/>
      <w:spacing w:before="100" w:beforeAutospacing="1" w:after="100" w:afterAutospacing="1"/>
    </w:pPr>
    <w:rPr>
      <w:rFonts w:ascii="宋体" w:hAnsi="宋体" w:cs="宋体"/>
      <w:sz w:val="20"/>
      <w:szCs w:val="20"/>
    </w:rPr>
  </w:style>
  <w:style w:type="paragraph" w:customStyle="1" w:styleId="536">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color w:val="FF0000"/>
      <w:sz w:val="20"/>
      <w:szCs w:val="20"/>
      <w:u w:val="single"/>
    </w:rPr>
  </w:style>
  <w:style w:type="paragraph" w:customStyle="1" w:styleId="537">
    <w:name w:val="xl1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C00000"/>
      <w:sz w:val="20"/>
      <w:szCs w:val="20"/>
    </w:rPr>
  </w:style>
  <w:style w:type="paragraph" w:customStyle="1" w:styleId="538">
    <w:name w:val="xl1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39">
    <w:name w:val="xl133"/>
    <w:basedOn w:val="1"/>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pPr>
    <w:rPr>
      <w:rFonts w:ascii="宋体" w:hAnsi="宋体" w:cs="宋体"/>
      <w:sz w:val="20"/>
      <w:szCs w:val="20"/>
    </w:rPr>
  </w:style>
  <w:style w:type="paragraph" w:customStyle="1" w:styleId="540">
    <w:name w:val="xl134"/>
    <w:basedOn w:val="1"/>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sz w:val="20"/>
      <w:szCs w:val="20"/>
    </w:rPr>
  </w:style>
  <w:style w:type="paragraph" w:customStyle="1" w:styleId="541">
    <w:name w:val="xl135"/>
    <w:basedOn w:val="1"/>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both"/>
    </w:pPr>
    <w:rPr>
      <w:rFonts w:ascii="宋体" w:hAnsi="宋体" w:cs="宋体"/>
      <w:color w:val="000000"/>
      <w:sz w:val="20"/>
      <w:szCs w:val="20"/>
    </w:rPr>
  </w:style>
  <w:style w:type="paragraph" w:customStyle="1" w:styleId="542">
    <w:name w:val="xl136"/>
    <w:basedOn w:val="1"/>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pPr>
    <w:rPr>
      <w:rFonts w:ascii="宋体" w:hAnsi="宋体" w:cs="宋体"/>
      <w:color w:val="000000"/>
      <w:sz w:val="20"/>
      <w:szCs w:val="20"/>
    </w:rPr>
  </w:style>
  <w:style w:type="paragraph" w:customStyle="1" w:styleId="543">
    <w:name w:val="xl137"/>
    <w:basedOn w:val="1"/>
    <w:uiPriority w:val="0"/>
    <w:pPr>
      <w:pBdr>
        <w:top w:val="single" w:color="auto" w:sz="4" w:space="0"/>
        <w:left w:val="single" w:color="auto" w:sz="4" w:space="0"/>
        <w:bottom w:val="single" w:color="auto" w:sz="4" w:space="0"/>
        <w:right w:val="single" w:color="auto" w:sz="8" w:space="0"/>
      </w:pBdr>
      <w:shd w:val="clear" w:color="auto" w:fill="808080"/>
      <w:spacing w:before="100" w:beforeAutospacing="1" w:after="100" w:afterAutospacing="1"/>
    </w:pPr>
    <w:rPr>
      <w:rFonts w:ascii="宋体" w:hAnsi="宋体" w:cs="宋体"/>
      <w:color w:val="000000"/>
      <w:sz w:val="20"/>
      <w:szCs w:val="20"/>
    </w:rPr>
  </w:style>
  <w:style w:type="paragraph" w:customStyle="1" w:styleId="544">
    <w:name w:val="xl13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color w:val="000000"/>
      <w:sz w:val="20"/>
      <w:szCs w:val="20"/>
    </w:rPr>
  </w:style>
  <w:style w:type="paragraph" w:customStyle="1" w:styleId="545">
    <w:name w:val="xl139"/>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color w:val="000000"/>
      <w:sz w:val="20"/>
      <w:szCs w:val="20"/>
    </w:rPr>
  </w:style>
  <w:style w:type="paragraph" w:customStyle="1" w:styleId="546">
    <w:name w:val="xl140"/>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color w:val="000000"/>
      <w:sz w:val="20"/>
      <w:szCs w:val="20"/>
    </w:rPr>
  </w:style>
  <w:style w:type="paragraph" w:customStyle="1" w:styleId="547">
    <w:name w:val="xl141"/>
    <w:basedOn w:val="1"/>
    <w:uiPriority w:val="0"/>
    <w:pPr>
      <w:pBdr>
        <w:top w:val="single" w:color="auto" w:sz="4" w:space="0"/>
        <w:left w:val="single" w:color="auto" w:sz="4" w:space="0"/>
        <w:bottom w:val="single" w:color="auto" w:sz="8" w:space="0"/>
        <w:right w:val="single" w:color="auto" w:sz="4" w:space="0"/>
      </w:pBdr>
      <w:shd w:val="clear" w:color="auto" w:fill="C5D9F1"/>
      <w:spacing w:before="100" w:beforeAutospacing="1" w:after="100" w:afterAutospacing="1"/>
    </w:pPr>
    <w:rPr>
      <w:rFonts w:ascii="宋体" w:hAnsi="宋体" w:cs="宋体"/>
      <w:color w:val="000000"/>
      <w:sz w:val="20"/>
      <w:szCs w:val="20"/>
    </w:rPr>
  </w:style>
  <w:style w:type="paragraph" w:customStyle="1" w:styleId="548">
    <w:name w:val="xl142"/>
    <w:basedOn w:val="1"/>
    <w:uiPriority w:val="0"/>
    <w:pPr>
      <w:pBdr>
        <w:top w:val="single" w:color="auto" w:sz="4" w:space="0"/>
        <w:left w:val="single" w:color="auto" w:sz="4" w:space="0"/>
        <w:bottom w:val="single" w:color="auto" w:sz="8" w:space="0"/>
        <w:right w:val="single" w:color="auto" w:sz="4" w:space="0"/>
      </w:pBdr>
      <w:shd w:val="clear" w:color="auto" w:fill="FDE9D9"/>
      <w:spacing w:before="100" w:beforeAutospacing="1" w:after="100" w:afterAutospacing="1"/>
    </w:pPr>
    <w:rPr>
      <w:rFonts w:ascii="宋体" w:hAnsi="宋体" w:cs="宋体"/>
      <w:sz w:val="20"/>
      <w:szCs w:val="20"/>
    </w:rPr>
  </w:style>
  <w:style w:type="paragraph" w:customStyle="1" w:styleId="549">
    <w:name w:val="xl143"/>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color w:val="FF0000"/>
      <w:sz w:val="20"/>
      <w:szCs w:val="20"/>
    </w:rPr>
  </w:style>
  <w:style w:type="paragraph" w:customStyle="1" w:styleId="550">
    <w:name w:val="xl144"/>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color w:val="000000"/>
      <w:sz w:val="20"/>
      <w:szCs w:val="20"/>
    </w:rPr>
  </w:style>
  <w:style w:type="paragraph" w:customStyle="1" w:styleId="551">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20"/>
      <w:szCs w:val="20"/>
    </w:rPr>
  </w:style>
  <w:style w:type="paragraph" w:customStyle="1" w:styleId="552">
    <w:name w:val="font14"/>
    <w:basedOn w:val="1"/>
    <w:uiPriority w:val="0"/>
    <w:pPr>
      <w:spacing w:before="100" w:beforeAutospacing="1" w:after="100" w:afterAutospacing="1"/>
    </w:pPr>
    <w:rPr>
      <w:rFonts w:ascii="宋体" w:hAnsi="宋体" w:cs="宋体"/>
      <w:color w:val="00B0F0"/>
      <w:sz w:val="20"/>
      <w:szCs w:val="20"/>
    </w:rPr>
  </w:style>
  <w:style w:type="character" w:styleId="553">
    <w:name w:val="Placeholder Text"/>
    <w:semiHidden/>
    <w:uiPriority w:val="99"/>
    <w:rPr>
      <w:color w:val="808080"/>
    </w:rPr>
  </w:style>
  <w:style w:type="character" w:customStyle="1" w:styleId="554">
    <w:name w:val="style201"/>
    <w:uiPriority w:val="0"/>
    <w:rPr>
      <w:rFonts w:hint="eastAsia" w:ascii="ڌ墻" w:eastAsia="ڌ墻"/>
      <w:color w:val="163964"/>
      <w:sz w:val="24"/>
    </w:rPr>
  </w:style>
  <w:style w:type="character" w:customStyle="1" w:styleId="555">
    <w:name w:val="发布"/>
    <w:uiPriority w:val="0"/>
    <w:rPr>
      <w:rFonts w:hint="eastAsia" w:ascii="黑体" w:hAnsi="黑体" w:eastAsia="黑体"/>
      <w:spacing w:val="22"/>
      <w:w w:val="100"/>
      <w:position w:val="3"/>
      <w:sz w:val="28"/>
    </w:rPr>
  </w:style>
  <w:style w:type="character" w:customStyle="1" w:styleId="556">
    <w:name w:val="个人答复风格"/>
    <w:uiPriority w:val="0"/>
    <w:rPr>
      <w:rFonts w:hint="default" w:ascii="Arial" w:hAnsi="Arial" w:eastAsia="宋体" w:cs="Arial"/>
      <w:color w:val="auto"/>
      <w:sz w:val="20"/>
    </w:rPr>
  </w:style>
  <w:style w:type="character" w:customStyle="1" w:styleId="557">
    <w:name w:val="个人撰写风格"/>
    <w:uiPriority w:val="0"/>
    <w:rPr>
      <w:rFonts w:hint="default" w:ascii="Arial" w:hAnsi="Arial" w:eastAsia="宋体" w:cs="Arial"/>
      <w:color w:val="auto"/>
      <w:sz w:val="20"/>
    </w:rPr>
  </w:style>
  <w:style w:type="paragraph" w:customStyle="1" w:styleId="558">
    <w:name w:val="xl199"/>
    <w:basedOn w:val="1"/>
    <w:uiPriority w:val="0"/>
    <w:pPr>
      <w:spacing w:before="100" w:beforeAutospacing="1" w:after="100" w:afterAutospacing="1"/>
      <w:jc w:val="center"/>
    </w:pPr>
    <w:rPr>
      <w:rFonts w:ascii="宋体" w:hAnsi="宋体" w:cs="宋体"/>
      <w:b/>
      <w:bCs/>
    </w:rPr>
  </w:style>
  <w:style w:type="paragraph" w:customStyle="1" w:styleId="559">
    <w:name w:val="xl200"/>
    <w:basedOn w:val="1"/>
    <w:uiPriority w:val="0"/>
    <w:pPr>
      <w:spacing w:before="100" w:beforeAutospacing="1" w:after="100" w:afterAutospacing="1"/>
    </w:pPr>
    <w:rPr>
      <w:rFonts w:ascii="宋体" w:hAnsi="宋体" w:cs="宋体"/>
      <w:sz w:val="20"/>
      <w:szCs w:val="20"/>
    </w:rPr>
  </w:style>
  <w:style w:type="paragraph" w:customStyle="1" w:styleId="560">
    <w:name w:val="xl201"/>
    <w:basedOn w:val="1"/>
    <w:uiPriority w:val="0"/>
    <w:pPr>
      <w:shd w:val="clear" w:color="000000" w:fill="FFFF00"/>
      <w:spacing w:before="100" w:beforeAutospacing="1" w:after="100" w:afterAutospacing="1"/>
    </w:pPr>
    <w:rPr>
      <w:rFonts w:ascii="宋体" w:hAnsi="宋体" w:cs="宋体"/>
      <w:sz w:val="20"/>
      <w:szCs w:val="20"/>
    </w:rPr>
  </w:style>
  <w:style w:type="paragraph" w:customStyle="1" w:styleId="561">
    <w:name w:val="xl202"/>
    <w:basedOn w:val="1"/>
    <w:uiPriority w:val="0"/>
    <w:pPr>
      <w:shd w:val="clear" w:color="000000" w:fill="FFFF00"/>
      <w:spacing w:before="100" w:beforeAutospacing="1" w:after="100" w:afterAutospacing="1"/>
      <w:textAlignment w:val="bottom"/>
    </w:pPr>
    <w:rPr>
      <w:rFonts w:ascii="宋体" w:hAnsi="宋体" w:cs="宋体"/>
      <w:sz w:val="20"/>
      <w:szCs w:val="20"/>
    </w:rPr>
  </w:style>
  <w:style w:type="paragraph" w:customStyle="1" w:styleId="562">
    <w:name w:val="xl203"/>
    <w:basedOn w:val="1"/>
    <w:uiPriority w:val="0"/>
    <w:pPr>
      <w:spacing w:before="100" w:beforeAutospacing="1" w:after="100" w:afterAutospacing="1"/>
      <w:jc w:val="center"/>
      <w:textAlignment w:val="bottom"/>
    </w:pPr>
    <w:rPr>
      <w:rFonts w:ascii="宋体" w:hAnsi="宋体" w:cs="宋体"/>
      <w:sz w:val="20"/>
      <w:szCs w:val="20"/>
    </w:rPr>
  </w:style>
  <w:style w:type="paragraph" w:customStyle="1" w:styleId="563">
    <w:name w:val="xl204"/>
    <w:basedOn w:val="1"/>
    <w:uiPriority w:val="0"/>
    <w:pPr>
      <w:spacing w:before="100" w:beforeAutospacing="1" w:after="100" w:afterAutospacing="1"/>
      <w:textAlignment w:val="bottom"/>
    </w:pPr>
    <w:rPr>
      <w:rFonts w:ascii="宋体" w:hAnsi="宋体" w:cs="宋体"/>
      <w:sz w:val="20"/>
      <w:szCs w:val="20"/>
    </w:rPr>
  </w:style>
  <w:style w:type="paragraph" w:customStyle="1" w:styleId="564">
    <w:name w:val="xl205"/>
    <w:basedOn w:val="1"/>
    <w:uiPriority w:val="0"/>
    <w:pPr>
      <w:spacing w:before="100" w:beforeAutospacing="1" w:after="100" w:afterAutospacing="1"/>
    </w:pPr>
    <w:rPr>
      <w:rFonts w:ascii="宋体" w:hAnsi="宋体" w:cs="宋体"/>
      <w:sz w:val="20"/>
      <w:szCs w:val="20"/>
    </w:rPr>
  </w:style>
  <w:style w:type="paragraph" w:customStyle="1" w:styleId="565">
    <w:name w:val="xl2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566">
    <w:name w:val="xl2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567">
    <w:name w:val="xl2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8">
    <w:name w:val="xl2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9">
    <w:name w:val="xl2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70">
    <w:name w:val="xl2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71">
    <w:name w:val="xl2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72">
    <w:name w:val="xl2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u w:val="single"/>
    </w:rPr>
  </w:style>
  <w:style w:type="paragraph" w:customStyle="1" w:styleId="573">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0"/>
      <w:szCs w:val="20"/>
    </w:rPr>
  </w:style>
  <w:style w:type="paragraph" w:customStyle="1" w:styleId="574">
    <w:name w:val="xl215"/>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Arial" w:hAnsi="Arial" w:cs="Arial"/>
      <w:sz w:val="20"/>
      <w:szCs w:val="20"/>
    </w:rPr>
  </w:style>
  <w:style w:type="paragraph" w:customStyle="1" w:styleId="575">
    <w:name w:val="xl21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sz w:val="20"/>
      <w:szCs w:val="20"/>
    </w:rPr>
  </w:style>
  <w:style w:type="paragraph" w:customStyle="1" w:styleId="576">
    <w:name w:val="xl21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sz w:val="20"/>
      <w:szCs w:val="20"/>
    </w:rPr>
  </w:style>
  <w:style w:type="paragraph" w:customStyle="1" w:styleId="577">
    <w:name w:val="xl218"/>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sz w:val="20"/>
      <w:szCs w:val="20"/>
    </w:rPr>
  </w:style>
  <w:style w:type="paragraph" w:customStyle="1" w:styleId="578">
    <w:name w:val="xl219"/>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sz w:val="20"/>
      <w:szCs w:val="20"/>
      <w:u w:val="single"/>
    </w:rPr>
  </w:style>
  <w:style w:type="paragraph" w:customStyle="1" w:styleId="579">
    <w:name w:val="xl220"/>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sz w:val="20"/>
      <w:szCs w:val="20"/>
    </w:rPr>
  </w:style>
  <w:style w:type="paragraph" w:customStyle="1" w:styleId="580">
    <w:name w:val="xl221"/>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color w:val="800080"/>
      <w:sz w:val="22"/>
      <w:szCs w:val="22"/>
      <w:u w:val="single"/>
    </w:rPr>
  </w:style>
  <w:style w:type="paragraph" w:customStyle="1" w:styleId="581">
    <w:name w:val="xl2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FF"/>
      <w:sz w:val="22"/>
      <w:szCs w:val="22"/>
      <w:u w:val="single"/>
    </w:rPr>
  </w:style>
  <w:style w:type="paragraph" w:customStyle="1" w:styleId="582">
    <w:name w:val="xl2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u w:val="single"/>
    </w:rPr>
  </w:style>
  <w:style w:type="paragraph" w:customStyle="1" w:styleId="583">
    <w:name w:val="xl2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584">
    <w:name w:val="xl2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5">
    <w:name w:val="xl22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sz w:val="20"/>
      <w:szCs w:val="20"/>
    </w:rPr>
  </w:style>
  <w:style w:type="paragraph" w:customStyle="1" w:styleId="586">
    <w:name w:val="xl22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sz w:val="22"/>
      <w:szCs w:val="22"/>
      <w:u w:val="single"/>
    </w:rPr>
  </w:style>
  <w:style w:type="paragraph" w:customStyle="1" w:styleId="587">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sz w:val="20"/>
      <w:szCs w:val="20"/>
    </w:rPr>
  </w:style>
  <w:style w:type="paragraph" w:customStyle="1" w:styleId="588">
    <w:name w:val="xl2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2" w:hAnsi="Wingdings 2" w:cs="宋体"/>
      <w:sz w:val="20"/>
      <w:szCs w:val="20"/>
    </w:rPr>
  </w:style>
  <w:style w:type="paragraph" w:customStyle="1" w:styleId="589">
    <w:name w:val="xl230"/>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sz w:val="22"/>
      <w:szCs w:val="22"/>
    </w:rPr>
  </w:style>
  <w:style w:type="paragraph" w:customStyle="1" w:styleId="590">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2"/>
      <w:szCs w:val="22"/>
    </w:rPr>
  </w:style>
  <w:style w:type="paragraph" w:customStyle="1" w:styleId="591">
    <w:name w:val="xl23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bottom"/>
    </w:pPr>
    <w:rPr>
      <w:rFonts w:ascii="宋体" w:hAnsi="宋体" w:cs="宋体"/>
      <w:sz w:val="20"/>
      <w:szCs w:val="20"/>
    </w:rPr>
  </w:style>
  <w:style w:type="paragraph" w:customStyle="1" w:styleId="592">
    <w:name w:val="xl233"/>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color w:val="0000FF"/>
      <w:sz w:val="22"/>
      <w:szCs w:val="22"/>
      <w:u w:val="single"/>
    </w:rPr>
  </w:style>
  <w:style w:type="paragraph" w:customStyle="1" w:styleId="593">
    <w:name w:val="xl234"/>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color w:val="000000"/>
      <w:sz w:val="20"/>
      <w:szCs w:val="20"/>
    </w:rPr>
  </w:style>
  <w:style w:type="paragraph" w:customStyle="1" w:styleId="594">
    <w:name w:val="xl235"/>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sz w:val="20"/>
      <w:szCs w:val="20"/>
      <w:u w:val="single"/>
    </w:rPr>
  </w:style>
  <w:style w:type="paragraph" w:customStyle="1" w:styleId="595">
    <w:name w:val="xl23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color w:val="000000"/>
      <w:sz w:val="22"/>
      <w:szCs w:val="22"/>
    </w:rPr>
  </w:style>
  <w:style w:type="paragraph" w:customStyle="1" w:styleId="596">
    <w:name w:val="xl23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color w:val="000000"/>
      <w:sz w:val="22"/>
      <w:szCs w:val="22"/>
    </w:rPr>
  </w:style>
  <w:style w:type="paragraph" w:customStyle="1" w:styleId="597">
    <w:name w:val="xl238"/>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bottom"/>
    </w:pPr>
    <w:rPr>
      <w:rFonts w:ascii="宋体" w:hAnsi="宋体" w:cs="宋体"/>
      <w:color w:val="800080"/>
      <w:sz w:val="22"/>
      <w:szCs w:val="22"/>
      <w:u w:val="single"/>
    </w:rPr>
  </w:style>
  <w:style w:type="paragraph" w:customStyle="1" w:styleId="598">
    <w:name w:val="xl239"/>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bottom"/>
    </w:pPr>
    <w:rPr>
      <w:rFonts w:ascii="宋体" w:hAnsi="宋体" w:cs="宋体"/>
      <w:sz w:val="20"/>
      <w:szCs w:val="20"/>
    </w:rPr>
  </w:style>
  <w:style w:type="character" w:customStyle="1" w:styleId="599">
    <w:name w:val="Unresolved Mention"/>
    <w:uiPriority w:val="99"/>
    <w:rPr>
      <w:color w:val="605E5C"/>
      <w:shd w:val="clear" w:color="auto" w:fill="E1DFDD"/>
    </w:rPr>
  </w:style>
  <w:style w:type="paragraph" w:customStyle="1" w:styleId="600">
    <w:name w:val="正文（1）"/>
    <w:basedOn w:val="1"/>
    <w:link w:val="601"/>
    <w:qFormat/>
    <w:uiPriority w:val="0"/>
    <w:pPr>
      <w:widowControl w:val="0"/>
      <w:numPr>
        <w:ilvl w:val="0"/>
        <w:numId w:val="15"/>
      </w:numPr>
      <w:spacing w:line="360" w:lineRule="auto"/>
      <w:jc w:val="both"/>
    </w:pPr>
    <w:rPr>
      <w:rFonts w:ascii="Times New Roman" w:hAnsi="Times New Roman"/>
      <w:kern w:val="2"/>
      <w:szCs w:val="21"/>
    </w:rPr>
  </w:style>
  <w:style w:type="character" w:customStyle="1" w:styleId="601">
    <w:name w:val="正文（1） Char"/>
    <w:link w:val="600"/>
    <w:uiPriority w:val="0"/>
    <w:rPr>
      <w:rFonts w:ascii="Times New Roman" w:hAnsi="Times New Roman"/>
      <w:kern w:val="2"/>
      <w:sz w:val="24"/>
      <w:szCs w:val="21"/>
    </w:rPr>
  </w:style>
  <w:style w:type="paragraph" w:customStyle="1" w:styleId="602">
    <w:name w:val="xl65"/>
    <w:basedOn w:val="1"/>
    <w:uiPriority w:val="0"/>
    <w:pPr>
      <w:spacing w:before="100" w:beforeAutospacing="1" w:after="100" w:afterAutospacing="1"/>
      <w:jc w:val="center"/>
    </w:pPr>
    <w:rPr>
      <w:rFonts w:ascii="宋体" w:hAnsi="宋体" w:cs="宋体"/>
    </w:rPr>
  </w:style>
  <w:style w:type="paragraph" w:customStyle="1" w:styleId="603">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rPr>
  </w:style>
  <w:style w:type="paragraph" w:customStyle="1" w:styleId="604">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05">
    <w:name w:val="xl68"/>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both"/>
    </w:pPr>
    <w:rPr>
      <w:rFonts w:ascii="宋体" w:hAnsi="宋体" w:cs="宋体"/>
    </w:rPr>
  </w:style>
  <w:style w:type="paragraph" w:customStyle="1" w:styleId="606">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rPr>
  </w:style>
  <w:style w:type="paragraph" w:customStyle="1" w:styleId="607">
    <w:name w:val="xl70"/>
    <w:basedOn w:val="1"/>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both"/>
    </w:pPr>
    <w:rPr>
      <w:rFonts w:ascii="宋体" w:hAnsi="宋体" w:cs="宋体"/>
    </w:rPr>
  </w:style>
  <w:style w:type="paragraph" w:customStyle="1" w:styleId="608">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rPr>
  </w:style>
  <w:style w:type="paragraph" w:customStyle="1" w:styleId="609">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0">
    <w:name w:val="xl73"/>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rPr>
  </w:style>
  <w:style w:type="paragraph" w:customStyle="1" w:styleId="611">
    <w:name w:val="xl74"/>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top"/>
    </w:pPr>
    <w:rPr>
      <w:rFonts w:ascii="宋体" w:hAnsi="宋体" w:cs="宋体"/>
    </w:rPr>
  </w:style>
  <w:style w:type="paragraph" w:customStyle="1" w:styleId="612">
    <w:name w:val="xl75"/>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rPr>
  </w:style>
  <w:style w:type="paragraph" w:customStyle="1" w:styleId="613">
    <w:name w:val="xl76"/>
    <w:basedOn w:val="1"/>
    <w:uiPriority w:val="0"/>
    <w:pPr>
      <w:spacing w:before="100" w:beforeAutospacing="1" w:after="100" w:afterAutospacing="1"/>
      <w:jc w:val="center"/>
    </w:pPr>
    <w:rPr>
      <w:rFonts w:ascii="宋体" w:hAnsi="宋体" w:cs="宋体"/>
      <w:b/>
      <w:bCs/>
      <w:sz w:val="32"/>
      <w:szCs w:val="32"/>
    </w:rPr>
  </w:style>
  <w:style w:type="paragraph" w:customStyle="1" w:styleId="614">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rPr>
  </w:style>
  <w:style w:type="paragraph" w:customStyle="1" w:styleId="615">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6">
    <w:name w:val="表格表头"/>
    <w:basedOn w:val="1"/>
    <w:qFormat/>
    <w:uiPriority w:val="0"/>
    <w:pPr>
      <w:widowControl w:val="0"/>
      <w:jc w:val="center"/>
    </w:pPr>
    <w:rPr>
      <w:rFonts w:ascii="Times New Roman" w:hAnsi="Times New Roman" w:eastAsia="黑体" w:cs="Times New Roman"/>
      <w:kern w:val="2"/>
      <w:szCs w:val="21"/>
      <w:lang/>
    </w:rPr>
  </w:style>
  <w:style w:type="paragraph" w:customStyle="1" w:styleId="617">
    <w:name w:val="表格正文"/>
    <w:basedOn w:val="1"/>
    <w:link w:val="619"/>
    <w:qFormat/>
    <w:uiPriority w:val="0"/>
    <w:pPr>
      <w:widowControl w:val="0"/>
    </w:pPr>
    <w:rPr>
      <w:rFonts w:ascii="Times New Roman" w:hAnsi="Times New Roman"/>
      <w:kern w:val="2"/>
      <w:sz w:val="21"/>
      <w:szCs w:val="21"/>
    </w:rPr>
  </w:style>
  <w:style w:type="paragraph" w:customStyle="1" w:styleId="618">
    <w:name w:val="表注"/>
    <w:basedOn w:val="1"/>
    <w:qFormat/>
    <w:uiPriority w:val="0"/>
    <w:pPr>
      <w:widowControl w:val="0"/>
      <w:numPr>
        <w:ilvl w:val="0"/>
        <w:numId w:val="16"/>
      </w:numPr>
      <w:tabs>
        <w:tab w:val="left" w:pos="840"/>
      </w:tabs>
      <w:spacing w:line="360" w:lineRule="auto"/>
      <w:ind w:left="0" w:firstLine="0"/>
      <w:jc w:val="center"/>
    </w:pPr>
    <w:rPr>
      <w:rFonts w:ascii="Times New Roman" w:hAnsi="Times New Roman" w:cs="Times New Roman"/>
      <w:kern w:val="2"/>
      <w:sz w:val="21"/>
      <w:szCs w:val="21"/>
    </w:rPr>
  </w:style>
  <w:style w:type="character" w:customStyle="1" w:styleId="619">
    <w:name w:val="表格正文 Char"/>
    <w:link w:val="617"/>
    <w:uiPriority w:val="0"/>
    <w:rPr>
      <w:rFonts w:ascii="Times New Roman" w:hAnsi="Times New Roman"/>
      <w:kern w:val="2"/>
      <w:sz w:val="21"/>
      <w:szCs w:val="21"/>
    </w:rPr>
  </w:style>
  <w:style w:type="character" w:customStyle="1" w:styleId="620">
    <w:name w:val="题注 Char1"/>
    <w:aliases w:val="图注 Char,题注(表) Char,题注 Char Char,Caption Table Char,Fig &amp; Table Title Char,信息主题 Char1,题注(图注) Char1,题注(图注) + 居中 Char1,BB Char1,题注-QBPT Char,Char Char Char Char Char Char,CaptionDHI Char,Caption Char Char2,Char2 Char"/>
    <w:link w:val="15"/>
    <w:qFormat/>
    <w:locked/>
    <w:uiPriority w:val="0"/>
    <w:rPr>
      <w:b/>
      <w:bCs/>
      <w:color w:val="4F81BD"/>
      <w:sz w:val="18"/>
      <w:szCs w:val="18"/>
      <w:lang w:eastAsia="en-US" w:bidi="en-US"/>
    </w:rPr>
  </w:style>
  <w:style w:type="character" w:customStyle="1" w:styleId="621">
    <w:name w:val="图片 Char"/>
    <w:aliases w:val="题注 Char Char Char Char Char,题注 Char1 Char,题注 Char Char Char,信息主题 Char Char Char,图2 Char,图3 Char,图4 Char,图5 Char,图6 Char,图7 Char,图8 Char,图9 Char,图10 Char,图11 Char,图12 Char,图13 Char,图14 Char,题注(图注) Char,题注(图注) + 居中 Char,BB Char,信息主题 Char"/>
    <w:link w:val="622"/>
    <w:qFormat/>
    <w:locked/>
    <w:uiPriority w:val="0"/>
    <w:rPr>
      <w:rFonts w:ascii="等线" w:hAnsi="等线"/>
      <w:sz w:val="24"/>
      <w:szCs w:val="24"/>
    </w:rPr>
  </w:style>
  <w:style w:type="paragraph" w:customStyle="1" w:styleId="622">
    <w:name w:val="图片"/>
    <w:basedOn w:val="1"/>
    <w:link w:val="621"/>
    <w:qFormat/>
    <w:uiPriority w:val="0"/>
    <w:pPr>
      <w:widowControl w:val="0"/>
      <w:spacing w:line="360" w:lineRule="auto"/>
      <w:jc w:val="center"/>
    </w:pPr>
    <w:rPr>
      <w:rFonts w:ascii="等线" w:hAnsi="等线"/>
    </w:rPr>
  </w:style>
  <w:style w:type="table" w:customStyle="1" w:styleId="623">
    <w:name w:val="List Table 4 Accent 5"/>
    <w:basedOn w:val="61"/>
    <w:uiPriority w:val="49"/>
    <w:tblPr>
      <w:tblStyle w:val="61"/>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blPr>
        <w:tblStyle w:val="61"/>
      </w:tbl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blPr>
        <w:tblStyle w:val="61"/>
      </w:tblPr>
      <w:tcPr>
        <w:tcBorders>
          <w:top w:val="double" w:color="9CC2E5" w:sz="4" w:space="0"/>
        </w:tcBorders>
      </w:tcPr>
    </w:tblStylePr>
    <w:tblStylePr w:type="firstCol">
      <w:rPr>
        <w:b/>
        <w:bCs/>
      </w:rPr>
    </w:tblStylePr>
    <w:tblStylePr w:type="lastCol">
      <w:rPr>
        <w:b/>
        <w:bCs/>
      </w:rPr>
    </w:tblStylePr>
    <w:tblStylePr w:type="band1Vert">
      <w:tblPr>
        <w:tblStyle w:val="61"/>
      </w:tblPr>
      <w:tcPr>
        <w:shd w:val="clear" w:color="auto" w:fill="DEEAF6"/>
      </w:tcPr>
    </w:tblStylePr>
    <w:tblStylePr w:type="band1Horz">
      <w:tblPr>
        <w:tblStyle w:val="61"/>
      </w:tblPr>
      <w:tcPr>
        <w:shd w:val="clear" w:color="auto" w:fill="DEEAF6"/>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3486</Words>
  <Characters>19874</Characters>
  <Lines>165</Lines>
  <Paragraphs>46</Paragraphs>
  <TotalTime>0</TotalTime>
  <ScaleCrop>false</ScaleCrop>
  <LinksUpToDate>false</LinksUpToDate>
  <CharactersWithSpaces>23314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2020-09-30T09:25:00Z</dcterms:created>
  <dc:creator>W</dc:creator>
  <cp:lastModifiedBy>WPS_1701756769</cp:lastModifiedBy>
  <cp:lastPrinted>2020-06-30T00:46:00Z</cp:lastPrinted>
  <dcterms:modified xsi:type="dcterms:W3CDTF">2024-02-22T11:09:53Z</dcterms:modified>
  <cp:revision>2</cp:revision>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60D7DE6D5A1C4A84B56DA772079B8A0C_13</vt:lpwstr>
  </property>
</Properties>
</file>