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bCs/>
          <w:spacing w:val="-10"/>
          <w:sz w:val="48"/>
          <w:szCs w:val="48"/>
        </w:rPr>
      </w:pPr>
    </w:p>
    <w:p>
      <w:pPr>
        <w:spacing w:line="360" w:lineRule="auto"/>
        <w:jc w:val="center"/>
        <w:rPr>
          <w:rFonts w:eastAsia="黑体"/>
          <w:b/>
          <w:bCs/>
          <w:spacing w:val="-10"/>
          <w:sz w:val="48"/>
          <w:szCs w:val="48"/>
        </w:rPr>
      </w:pPr>
      <w:r>
        <w:rPr>
          <w:rFonts w:hint="eastAsia" w:eastAsia="黑体"/>
          <w:b/>
          <w:bCs/>
          <w:spacing w:val="-10"/>
          <w:sz w:val="48"/>
          <w:szCs w:val="48"/>
        </w:rPr>
        <w:t>嘉兴港区综合公共服务</w:t>
      </w:r>
    </w:p>
    <w:p>
      <w:pPr>
        <w:pStyle w:val="4"/>
        <w:spacing w:line="276" w:lineRule="auto"/>
      </w:pPr>
      <w:bookmarkStart w:id="51" w:name="_GoBack"/>
      <w:bookmarkEnd w:id="51"/>
    </w:p>
    <w:p>
      <w:pPr>
        <w:pStyle w:val="4"/>
        <w:spacing w:line="276" w:lineRule="auto"/>
        <w:rPr>
          <w:rFonts w:ascii="微软雅黑" w:hAnsi="微软雅黑" w:eastAsia="微软雅黑"/>
          <w:b w:val="0"/>
          <w:bCs/>
          <w:spacing w:val="-4"/>
          <w:sz w:val="21"/>
          <w:szCs w:val="21"/>
        </w:rPr>
      </w:pPr>
      <w:r>
        <w:rPr>
          <w:rFonts w:hint="eastAsia"/>
        </w:rPr>
        <w:t>（线上电子招投标）</w:t>
      </w:r>
    </w:p>
    <w:p>
      <w:pPr>
        <w:spacing w:line="360" w:lineRule="auto"/>
        <w:jc w:val="center"/>
        <w:rPr>
          <w:b/>
          <w:sz w:val="36"/>
          <w:szCs w:val="36"/>
        </w:rPr>
      </w:pPr>
    </w:p>
    <w:p>
      <w:pPr>
        <w:pStyle w:val="4"/>
      </w:pPr>
    </w:p>
    <w:p>
      <w:pPr>
        <w:spacing w:line="360" w:lineRule="auto"/>
        <w:jc w:val="center"/>
        <w:rPr>
          <w:b/>
          <w:sz w:val="36"/>
          <w:szCs w:val="36"/>
        </w:rPr>
      </w:pPr>
      <w:r>
        <w:rPr>
          <w:rFonts w:hint="eastAsia"/>
          <w:b/>
          <w:sz w:val="36"/>
          <w:szCs w:val="36"/>
        </w:rPr>
        <w:t>（公开招标）</w:t>
      </w:r>
    </w:p>
    <w:p>
      <w:pPr>
        <w:spacing w:line="360" w:lineRule="auto"/>
        <w:jc w:val="center"/>
        <w:rPr>
          <w:b/>
          <w:sz w:val="72"/>
          <w:szCs w:val="72"/>
        </w:rPr>
      </w:pPr>
    </w:p>
    <w:p>
      <w:pPr>
        <w:spacing w:line="360" w:lineRule="auto"/>
        <w:jc w:val="center"/>
        <w:rPr>
          <w:b/>
          <w:sz w:val="72"/>
          <w:szCs w:val="72"/>
        </w:rPr>
      </w:pPr>
      <w:r>
        <w:rPr>
          <w:rFonts w:hint="eastAsia"/>
          <w:b/>
          <w:sz w:val="72"/>
          <w:szCs w:val="72"/>
        </w:rPr>
        <w:t>招</w:t>
      </w:r>
      <w:r>
        <w:rPr>
          <w:b/>
          <w:sz w:val="72"/>
          <w:szCs w:val="72"/>
        </w:rPr>
        <w:t xml:space="preserve">  </w:t>
      </w:r>
      <w:r>
        <w:rPr>
          <w:rFonts w:hint="eastAsia"/>
          <w:b/>
          <w:sz w:val="72"/>
          <w:szCs w:val="72"/>
        </w:rPr>
        <w:t>标</w:t>
      </w:r>
      <w:r>
        <w:rPr>
          <w:b/>
          <w:sz w:val="72"/>
          <w:szCs w:val="72"/>
        </w:rPr>
        <w:t xml:space="preserve">  </w:t>
      </w:r>
      <w:r>
        <w:rPr>
          <w:rFonts w:hint="eastAsia"/>
          <w:b/>
          <w:sz w:val="72"/>
          <w:szCs w:val="72"/>
        </w:rPr>
        <w:t>文</w:t>
      </w:r>
      <w:r>
        <w:rPr>
          <w:b/>
          <w:sz w:val="72"/>
          <w:szCs w:val="72"/>
        </w:rPr>
        <w:t xml:space="preserve">  </w:t>
      </w:r>
      <w:r>
        <w:rPr>
          <w:rFonts w:hint="eastAsia"/>
          <w:b/>
          <w:sz w:val="72"/>
          <w:szCs w:val="72"/>
        </w:rPr>
        <w:t>件</w:t>
      </w:r>
    </w:p>
    <w:p>
      <w:pPr>
        <w:spacing w:line="360" w:lineRule="auto"/>
        <w:jc w:val="left"/>
        <w:rPr>
          <w:rFonts w:ascii="宋体"/>
          <w:b/>
          <w:bCs/>
          <w:sz w:val="32"/>
          <w:szCs w:val="32"/>
        </w:rPr>
      </w:pPr>
    </w:p>
    <w:p>
      <w:pPr>
        <w:spacing w:line="360" w:lineRule="auto"/>
        <w:jc w:val="left"/>
        <w:rPr>
          <w:rFonts w:ascii="宋体"/>
          <w:b/>
          <w:bCs/>
          <w:sz w:val="32"/>
          <w:szCs w:val="32"/>
        </w:rPr>
      </w:pPr>
    </w:p>
    <w:p>
      <w:pPr>
        <w:spacing w:line="360" w:lineRule="auto"/>
        <w:jc w:val="left"/>
        <w:rPr>
          <w:rFonts w:ascii="宋体"/>
          <w:b/>
          <w:bCs/>
          <w:sz w:val="32"/>
          <w:szCs w:val="32"/>
        </w:rPr>
      </w:pPr>
    </w:p>
    <w:p>
      <w:pPr>
        <w:spacing w:line="360" w:lineRule="auto"/>
        <w:jc w:val="left"/>
        <w:rPr>
          <w:rFonts w:ascii="宋体"/>
          <w:b/>
          <w:bCs/>
          <w:sz w:val="32"/>
          <w:szCs w:val="32"/>
        </w:rPr>
      </w:pPr>
    </w:p>
    <w:p>
      <w:pPr>
        <w:spacing w:line="360" w:lineRule="auto"/>
        <w:ind w:firstLine="803" w:firstLineChars="250"/>
        <w:jc w:val="left"/>
        <w:rPr>
          <w:rFonts w:hint="eastAsia" w:ascii="宋体" w:eastAsia="宋体"/>
          <w:b/>
          <w:bCs/>
          <w:sz w:val="32"/>
          <w:szCs w:val="32"/>
          <w:lang w:eastAsia="zh-CN"/>
        </w:rPr>
      </w:pPr>
      <w:r>
        <w:rPr>
          <w:rFonts w:hint="eastAsia" w:ascii="宋体"/>
          <w:b/>
          <w:bCs/>
          <w:sz w:val="32"/>
          <w:szCs w:val="32"/>
        </w:rPr>
        <w:t>项目编号：</w:t>
      </w:r>
      <w:r>
        <w:rPr>
          <w:rFonts w:hint="eastAsia" w:ascii="宋体"/>
          <w:b/>
          <w:bCs/>
          <w:sz w:val="32"/>
          <w:szCs w:val="32"/>
          <w:lang w:eastAsia="zh-CN"/>
        </w:rPr>
        <w:t>2022005-ZJJY</w:t>
      </w:r>
    </w:p>
    <w:p>
      <w:pPr>
        <w:spacing w:line="360" w:lineRule="auto"/>
        <w:ind w:firstLine="803" w:firstLineChars="250"/>
        <w:jc w:val="left"/>
        <w:rPr>
          <w:rFonts w:hAnsi="宋体"/>
          <w:b/>
          <w:bCs/>
          <w:sz w:val="30"/>
          <w:szCs w:val="30"/>
        </w:rPr>
      </w:pPr>
      <w:r>
        <w:rPr>
          <w:rFonts w:hint="eastAsia" w:ascii="宋体"/>
          <w:b/>
          <w:bCs/>
          <w:sz w:val="32"/>
          <w:szCs w:val="32"/>
        </w:rPr>
        <w:t>采购单位：</w:t>
      </w:r>
      <w:r>
        <w:rPr>
          <w:rFonts w:hint="eastAsia" w:hAnsi="宋体"/>
          <w:b/>
          <w:bCs/>
          <w:sz w:val="30"/>
          <w:szCs w:val="30"/>
        </w:rPr>
        <w:t>嘉兴港区（综合保税区）综合行政执法队</w:t>
      </w:r>
    </w:p>
    <w:p>
      <w:pPr>
        <w:spacing w:line="360" w:lineRule="auto"/>
        <w:ind w:firstLine="803" w:firstLineChars="250"/>
        <w:jc w:val="left"/>
        <w:rPr>
          <w:rFonts w:ascii="宋体"/>
          <w:b/>
          <w:bCs/>
          <w:sz w:val="32"/>
          <w:szCs w:val="32"/>
        </w:rPr>
      </w:pPr>
      <w:r>
        <w:rPr>
          <w:rFonts w:hint="eastAsia" w:ascii="宋体"/>
          <w:b/>
          <w:bCs/>
          <w:sz w:val="32"/>
          <w:szCs w:val="32"/>
        </w:rPr>
        <w:t>代理机构：浙江建业工程管理有限公司</w:t>
      </w:r>
    </w:p>
    <w:p>
      <w:pPr>
        <w:pStyle w:val="15"/>
        <w:spacing w:line="360" w:lineRule="auto"/>
        <w:ind w:firstLine="790" w:firstLineChars="246"/>
        <w:rPr>
          <w:b/>
          <w:sz w:val="32"/>
          <w:szCs w:val="32"/>
        </w:rPr>
      </w:pPr>
      <w:r>
        <w:rPr>
          <w:rFonts w:hint="eastAsia"/>
          <w:b/>
          <w:bCs/>
          <w:sz w:val="32"/>
          <w:szCs w:val="32"/>
        </w:rPr>
        <w:t>编制日期：</w:t>
      </w:r>
      <w:r>
        <w:rPr>
          <w:b/>
          <w:bCs/>
          <w:sz w:val="32"/>
          <w:szCs w:val="32"/>
        </w:rPr>
        <w:t>2022</w:t>
      </w:r>
      <w:r>
        <w:rPr>
          <w:rFonts w:hint="eastAsia"/>
          <w:b/>
          <w:bCs/>
          <w:sz w:val="32"/>
          <w:szCs w:val="32"/>
        </w:rPr>
        <w:t>年</w:t>
      </w:r>
      <w:r>
        <w:rPr>
          <w:b/>
          <w:bCs/>
          <w:sz w:val="32"/>
          <w:szCs w:val="32"/>
        </w:rPr>
        <w:t>9</w:t>
      </w:r>
      <w:r>
        <w:rPr>
          <w:rFonts w:hint="eastAsia"/>
          <w:b/>
          <w:bCs/>
          <w:sz w:val="32"/>
          <w:szCs w:val="32"/>
        </w:rPr>
        <w:t>月</w:t>
      </w:r>
    </w:p>
    <w:p>
      <w:pPr>
        <w:pStyle w:val="15"/>
        <w:spacing w:line="360" w:lineRule="auto"/>
        <w:ind w:firstLine="3349" w:firstLineChars="695"/>
        <w:rPr>
          <w:b/>
          <w:sz w:val="48"/>
          <w:szCs w:val="48"/>
        </w:rPr>
      </w:pPr>
    </w:p>
    <w:p>
      <w:pPr>
        <w:pStyle w:val="15"/>
        <w:spacing w:line="360" w:lineRule="auto"/>
        <w:ind w:firstLine="3349" w:firstLineChars="695"/>
        <w:rPr>
          <w:b/>
          <w:sz w:val="48"/>
          <w:szCs w:val="48"/>
        </w:rPr>
      </w:pPr>
    </w:p>
    <w:p>
      <w:pPr>
        <w:rPr>
          <w:b/>
          <w:sz w:val="48"/>
          <w:szCs w:val="48"/>
        </w:rPr>
      </w:pPr>
      <w:r>
        <w:rPr>
          <w:b/>
          <w:sz w:val="48"/>
          <w:szCs w:val="48"/>
        </w:rPr>
        <w:br w:type="page"/>
      </w:r>
    </w:p>
    <w:p>
      <w:pPr>
        <w:pStyle w:val="15"/>
        <w:spacing w:line="360" w:lineRule="auto"/>
        <w:ind w:firstLine="3349" w:firstLineChars="695"/>
        <w:rPr>
          <w:b/>
          <w:sz w:val="48"/>
          <w:szCs w:val="48"/>
        </w:rPr>
      </w:pPr>
      <w:r>
        <w:rPr>
          <w:rFonts w:hint="eastAsia"/>
          <w:b/>
          <w:sz w:val="48"/>
          <w:szCs w:val="48"/>
        </w:rPr>
        <w:t>目</w:t>
      </w:r>
      <w:r>
        <w:rPr>
          <w:b/>
          <w:sz w:val="48"/>
          <w:szCs w:val="48"/>
        </w:rPr>
        <w:t xml:space="preserve">  </w:t>
      </w:r>
      <w:r>
        <w:rPr>
          <w:rFonts w:hint="eastAsia"/>
          <w:b/>
          <w:sz w:val="48"/>
          <w:szCs w:val="48"/>
        </w:rPr>
        <w:t>录</w:t>
      </w:r>
    </w:p>
    <w:p>
      <w:pPr>
        <w:jc w:val="center"/>
      </w:pPr>
    </w:p>
    <w:p>
      <w:pPr>
        <w:pStyle w:val="118"/>
        <w:tabs>
          <w:tab w:val="right" w:leader="dot" w:pos="8312"/>
        </w:tabs>
        <w:adjustRightInd w:val="0"/>
        <w:snapToGrid w:val="0"/>
        <w:spacing w:line="480" w:lineRule="auto"/>
        <w:rPr>
          <w:sz w:val="24"/>
          <w:szCs w:val="24"/>
        </w:rPr>
      </w:pPr>
      <w:r>
        <w:rPr>
          <w:sz w:val="24"/>
          <w:szCs w:val="24"/>
        </w:rPr>
        <w:fldChar w:fldCharType="begin"/>
      </w:r>
      <w:r>
        <w:rPr>
          <w:sz w:val="24"/>
          <w:szCs w:val="24"/>
        </w:rPr>
        <w:instrText xml:space="preserve">TOC \o "1-1" \h \u </w:instrText>
      </w:r>
      <w:r>
        <w:rPr>
          <w:sz w:val="24"/>
          <w:szCs w:val="24"/>
        </w:rPr>
        <w:fldChar w:fldCharType="separate"/>
      </w:r>
      <w:r>
        <w:fldChar w:fldCharType="begin"/>
      </w:r>
      <w:r>
        <w:instrText xml:space="preserve"> HYPERLINK \l "_Toc26739" </w:instrText>
      </w:r>
      <w:r>
        <w:fldChar w:fldCharType="separate"/>
      </w:r>
      <w:r>
        <w:rPr>
          <w:rFonts w:hint="eastAsia"/>
          <w:sz w:val="24"/>
          <w:szCs w:val="24"/>
        </w:rPr>
        <w:t>第一章</w:t>
      </w:r>
      <w:r>
        <w:rPr>
          <w:sz w:val="24"/>
          <w:szCs w:val="24"/>
        </w:rPr>
        <w:t xml:space="preserve">  </w:t>
      </w:r>
      <w:r>
        <w:rPr>
          <w:rFonts w:hint="eastAsia"/>
          <w:sz w:val="24"/>
          <w:szCs w:val="24"/>
        </w:rPr>
        <w:t>公开招标采购公告</w:t>
      </w:r>
      <w:r>
        <w:rPr>
          <w:sz w:val="24"/>
          <w:szCs w:val="24"/>
        </w:rPr>
        <w:tab/>
      </w:r>
      <w:r>
        <w:rPr>
          <w:sz w:val="24"/>
          <w:szCs w:val="24"/>
        </w:rPr>
        <w:fldChar w:fldCharType="begin"/>
      </w:r>
      <w:r>
        <w:rPr>
          <w:sz w:val="24"/>
          <w:szCs w:val="24"/>
        </w:rPr>
        <w:instrText xml:space="preserve"> PAGEREF _Toc26739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18"/>
        <w:tabs>
          <w:tab w:val="right" w:leader="dot" w:pos="8312"/>
        </w:tabs>
        <w:adjustRightInd w:val="0"/>
        <w:snapToGrid w:val="0"/>
        <w:spacing w:line="480" w:lineRule="auto"/>
        <w:rPr>
          <w:sz w:val="24"/>
          <w:szCs w:val="24"/>
        </w:rPr>
      </w:pPr>
      <w:r>
        <w:fldChar w:fldCharType="begin"/>
      </w:r>
      <w:r>
        <w:instrText xml:space="preserve"> HYPERLINK \l "_Toc28815" </w:instrText>
      </w:r>
      <w:r>
        <w:fldChar w:fldCharType="separate"/>
      </w:r>
      <w:r>
        <w:rPr>
          <w:rFonts w:hint="eastAsia"/>
          <w:sz w:val="24"/>
          <w:szCs w:val="24"/>
        </w:rPr>
        <w:t>第二章</w:t>
      </w:r>
      <w:r>
        <w:rPr>
          <w:sz w:val="24"/>
          <w:szCs w:val="24"/>
        </w:rPr>
        <w:t xml:space="preserve">  </w:t>
      </w:r>
      <w:r>
        <w:rPr>
          <w:rFonts w:hint="eastAsia"/>
          <w:sz w:val="24"/>
          <w:szCs w:val="24"/>
        </w:rPr>
        <w:t>投标人须知</w:t>
      </w:r>
      <w:r>
        <w:rPr>
          <w:sz w:val="24"/>
          <w:szCs w:val="24"/>
        </w:rPr>
        <w:tab/>
      </w:r>
      <w:r>
        <w:rPr>
          <w:sz w:val="24"/>
          <w:szCs w:val="24"/>
        </w:rPr>
        <w:fldChar w:fldCharType="begin"/>
      </w:r>
      <w:r>
        <w:rPr>
          <w:sz w:val="24"/>
          <w:szCs w:val="24"/>
        </w:rPr>
        <w:instrText xml:space="preserve"> PAGEREF _Toc28815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118"/>
        <w:tabs>
          <w:tab w:val="right" w:leader="dot" w:pos="8312"/>
        </w:tabs>
        <w:adjustRightInd w:val="0"/>
        <w:snapToGrid w:val="0"/>
        <w:spacing w:line="480" w:lineRule="auto"/>
        <w:rPr>
          <w:sz w:val="24"/>
          <w:szCs w:val="24"/>
        </w:rPr>
      </w:pPr>
      <w:r>
        <w:fldChar w:fldCharType="begin"/>
      </w:r>
      <w:r>
        <w:instrText xml:space="preserve"> HYPERLINK \l "_Toc32737" </w:instrText>
      </w:r>
      <w:r>
        <w:fldChar w:fldCharType="separate"/>
      </w:r>
      <w:r>
        <w:rPr>
          <w:rFonts w:hint="eastAsia" w:ascii="宋体"/>
          <w:sz w:val="24"/>
          <w:szCs w:val="24"/>
        </w:rPr>
        <w:t>第三章</w:t>
      </w:r>
      <w:r>
        <w:rPr>
          <w:rFonts w:ascii="宋体"/>
          <w:sz w:val="24"/>
          <w:szCs w:val="24"/>
        </w:rPr>
        <w:t xml:space="preserve">  </w:t>
      </w:r>
      <w:r>
        <w:rPr>
          <w:rFonts w:hint="eastAsia" w:ascii="宋体"/>
          <w:sz w:val="24"/>
          <w:szCs w:val="24"/>
        </w:rPr>
        <w:t>招标项目需求</w:t>
      </w:r>
      <w:r>
        <w:rPr>
          <w:sz w:val="24"/>
          <w:szCs w:val="24"/>
        </w:rPr>
        <w:tab/>
      </w:r>
      <w:r>
        <w:rPr>
          <w:sz w:val="24"/>
          <w:szCs w:val="24"/>
        </w:rPr>
        <w:fldChar w:fldCharType="begin"/>
      </w:r>
      <w:r>
        <w:rPr>
          <w:sz w:val="24"/>
          <w:szCs w:val="24"/>
        </w:rPr>
        <w:instrText xml:space="preserve"> PAGEREF _Toc32737 \h </w:instrText>
      </w:r>
      <w:r>
        <w:rPr>
          <w:sz w:val="24"/>
          <w:szCs w:val="24"/>
        </w:rPr>
        <w:fldChar w:fldCharType="separate"/>
      </w:r>
      <w:r>
        <w:rPr>
          <w:sz w:val="24"/>
          <w:szCs w:val="24"/>
        </w:rPr>
        <w:t>24</w:t>
      </w:r>
      <w:r>
        <w:rPr>
          <w:sz w:val="24"/>
          <w:szCs w:val="24"/>
        </w:rPr>
        <w:fldChar w:fldCharType="end"/>
      </w:r>
      <w:r>
        <w:rPr>
          <w:sz w:val="24"/>
          <w:szCs w:val="24"/>
        </w:rPr>
        <w:fldChar w:fldCharType="end"/>
      </w:r>
    </w:p>
    <w:p>
      <w:pPr>
        <w:pStyle w:val="118"/>
        <w:tabs>
          <w:tab w:val="right" w:leader="dot" w:pos="8312"/>
        </w:tabs>
        <w:adjustRightInd w:val="0"/>
        <w:snapToGrid w:val="0"/>
        <w:spacing w:line="480" w:lineRule="auto"/>
        <w:rPr>
          <w:sz w:val="24"/>
          <w:szCs w:val="24"/>
        </w:rPr>
      </w:pPr>
      <w:r>
        <w:fldChar w:fldCharType="begin"/>
      </w:r>
      <w:r>
        <w:instrText xml:space="preserve"> HYPERLINK \l "_Toc18793" </w:instrText>
      </w:r>
      <w:r>
        <w:fldChar w:fldCharType="separate"/>
      </w:r>
      <w:r>
        <w:rPr>
          <w:rFonts w:hint="eastAsia" w:ascii="宋体"/>
          <w:sz w:val="24"/>
          <w:szCs w:val="24"/>
        </w:rPr>
        <w:t>第四章</w:t>
      </w:r>
      <w:r>
        <w:rPr>
          <w:rFonts w:ascii="宋体"/>
          <w:sz w:val="24"/>
          <w:szCs w:val="24"/>
        </w:rPr>
        <w:t xml:space="preserve">  </w:t>
      </w:r>
      <w:r>
        <w:rPr>
          <w:rFonts w:hint="eastAsia" w:ascii="宋体"/>
          <w:sz w:val="24"/>
          <w:szCs w:val="24"/>
        </w:rPr>
        <w:t>采购合同主要条款</w:t>
      </w:r>
      <w:r>
        <w:rPr>
          <w:sz w:val="24"/>
          <w:szCs w:val="24"/>
        </w:rPr>
        <w:tab/>
      </w:r>
      <w:r>
        <w:rPr>
          <w:sz w:val="24"/>
          <w:szCs w:val="24"/>
        </w:rPr>
        <w:fldChar w:fldCharType="begin"/>
      </w:r>
      <w:r>
        <w:rPr>
          <w:sz w:val="24"/>
          <w:szCs w:val="24"/>
        </w:rPr>
        <w:instrText xml:space="preserve"> PAGEREF _Toc18793 \h </w:instrText>
      </w:r>
      <w:r>
        <w:rPr>
          <w:sz w:val="24"/>
          <w:szCs w:val="24"/>
        </w:rPr>
        <w:fldChar w:fldCharType="separate"/>
      </w:r>
      <w:r>
        <w:rPr>
          <w:sz w:val="24"/>
          <w:szCs w:val="24"/>
        </w:rPr>
        <w:t>30</w:t>
      </w:r>
      <w:r>
        <w:rPr>
          <w:sz w:val="24"/>
          <w:szCs w:val="24"/>
        </w:rPr>
        <w:fldChar w:fldCharType="end"/>
      </w:r>
      <w:r>
        <w:rPr>
          <w:sz w:val="24"/>
          <w:szCs w:val="24"/>
        </w:rPr>
        <w:fldChar w:fldCharType="end"/>
      </w:r>
    </w:p>
    <w:p>
      <w:pPr>
        <w:pStyle w:val="118"/>
        <w:tabs>
          <w:tab w:val="right" w:leader="dot" w:pos="8312"/>
        </w:tabs>
        <w:adjustRightInd w:val="0"/>
        <w:snapToGrid w:val="0"/>
        <w:spacing w:line="480" w:lineRule="auto"/>
        <w:rPr>
          <w:sz w:val="24"/>
          <w:szCs w:val="24"/>
        </w:rPr>
      </w:pPr>
      <w:r>
        <w:fldChar w:fldCharType="begin"/>
      </w:r>
      <w:r>
        <w:instrText xml:space="preserve"> HYPERLINK \l "_Toc11901" </w:instrText>
      </w:r>
      <w:r>
        <w:fldChar w:fldCharType="separate"/>
      </w:r>
      <w:r>
        <w:rPr>
          <w:rFonts w:hint="eastAsia"/>
          <w:sz w:val="24"/>
          <w:szCs w:val="24"/>
        </w:rPr>
        <w:t>第五章</w:t>
      </w:r>
      <w:r>
        <w:rPr>
          <w:sz w:val="24"/>
          <w:szCs w:val="24"/>
        </w:rPr>
        <w:t xml:space="preserve">  </w:t>
      </w:r>
      <w:r>
        <w:rPr>
          <w:rFonts w:hint="eastAsia"/>
          <w:sz w:val="24"/>
          <w:szCs w:val="24"/>
        </w:rPr>
        <w:t>评标办法</w:t>
      </w:r>
      <w:r>
        <w:rPr>
          <w:sz w:val="24"/>
          <w:szCs w:val="24"/>
        </w:rPr>
        <w:tab/>
      </w:r>
      <w:r>
        <w:rPr>
          <w:sz w:val="24"/>
          <w:szCs w:val="24"/>
        </w:rPr>
        <w:fldChar w:fldCharType="begin"/>
      </w:r>
      <w:r>
        <w:rPr>
          <w:sz w:val="24"/>
          <w:szCs w:val="24"/>
        </w:rPr>
        <w:instrText xml:space="preserve"> PAGEREF _Toc11901 \h </w:instrText>
      </w:r>
      <w:r>
        <w:rPr>
          <w:sz w:val="24"/>
          <w:szCs w:val="24"/>
        </w:rPr>
        <w:fldChar w:fldCharType="separate"/>
      </w:r>
      <w:r>
        <w:rPr>
          <w:sz w:val="24"/>
          <w:szCs w:val="24"/>
        </w:rPr>
        <w:t>35</w:t>
      </w:r>
      <w:r>
        <w:rPr>
          <w:sz w:val="24"/>
          <w:szCs w:val="24"/>
        </w:rPr>
        <w:fldChar w:fldCharType="end"/>
      </w:r>
      <w:r>
        <w:rPr>
          <w:sz w:val="24"/>
          <w:szCs w:val="24"/>
        </w:rPr>
        <w:fldChar w:fldCharType="end"/>
      </w:r>
    </w:p>
    <w:p>
      <w:pPr>
        <w:pStyle w:val="118"/>
        <w:tabs>
          <w:tab w:val="right" w:leader="dot" w:pos="8312"/>
        </w:tabs>
        <w:adjustRightInd w:val="0"/>
        <w:snapToGrid w:val="0"/>
        <w:spacing w:line="480" w:lineRule="auto"/>
        <w:rPr>
          <w:sz w:val="24"/>
          <w:szCs w:val="24"/>
        </w:rPr>
      </w:pPr>
      <w:r>
        <w:fldChar w:fldCharType="begin"/>
      </w:r>
      <w:r>
        <w:instrText xml:space="preserve"> HYPERLINK \l "_Toc20142" </w:instrText>
      </w:r>
      <w:r>
        <w:fldChar w:fldCharType="separate"/>
      </w:r>
      <w:r>
        <w:rPr>
          <w:rFonts w:hint="eastAsia"/>
          <w:sz w:val="24"/>
          <w:szCs w:val="24"/>
        </w:rPr>
        <w:t>第六章</w:t>
      </w:r>
      <w:r>
        <w:rPr>
          <w:sz w:val="24"/>
          <w:szCs w:val="24"/>
        </w:rPr>
        <w:t xml:space="preserve">  </w:t>
      </w:r>
      <w:r>
        <w:rPr>
          <w:rFonts w:hint="eastAsia"/>
          <w:sz w:val="24"/>
          <w:szCs w:val="24"/>
        </w:rPr>
        <w:t>投标相关文件格式</w:t>
      </w:r>
      <w:r>
        <w:rPr>
          <w:sz w:val="24"/>
          <w:szCs w:val="24"/>
        </w:rPr>
        <w:tab/>
      </w:r>
      <w:r>
        <w:rPr>
          <w:sz w:val="24"/>
          <w:szCs w:val="24"/>
        </w:rPr>
        <w:fldChar w:fldCharType="begin"/>
      </w:r>
      <w:r>
        <w:rPr>
          <w:sz w:val="24"/>
          <w:szCs w:val="24"/>
        </w:rPr>
        <w:instrText xml:space="preserve"> PAGEREF _Toc20142 \h </w:instrText>
      </w:r>
      <w:r>
        <w:rPr>
          <w:sz w:val="24"/>
          <w:szCs w:val="24"/>
        </w:rPr>
        <w:fldChar w:fldCharType="separate"/>
      </w:r>
      <w:r>
        <w:rPr>
          <w:sz w:val="24"/>
          <w:szCs w:val="24"/>
        </w:rPr>
        <w:t>38</w:t>
      </w:r>
      <w:r>
        <w:rPr>
          <w:sz w:val="24"/>
          <w:szCs w:val="24"/>
        </w:rPr>
        <w:fldChar w:fldCharType="end"/>
      </w:r>
      <w:r>
        <w:rPr>
          <w:sz w:val="24"/>
          <w:szCs w:val="24"/>
        </w:rPr>
        <w:fldChar w:fldCharType="end"/>
      </w:r>
    </w:p>
    <w:p>
      <w:pPr>
        <w:widowControl/>
        <w:adjustRightInd w:val="0"/>
        <w:snapToGrid w:val="0"/>
        <w:spacing w:line="480" w:lineRule="auto"/>
        <w:rPr>
          <w:sz w:val="24"/>
        </w:rPr>
      </w:pPr>
      <w:r>
        <w:rPr>
          <w:sz w:val="24"/>
        </w:rPr>
        <w:fldChar w:fldCharType="end"/>
      </w:r>
    </w:p>
    <w:p>
      <w:pPr>
        <w:pStyle w:val="15"/>
        <w:spacing w:line="480" w:lineRule="auto"/>
        <w:jc w:val="center"/>
        <w:outlineLvl w:val="0"/>
        <w:rPr>
          <w:b/>
          <w:sz w:val="24"/>
          <w:szCs w:val="24"/>
        </w:rPr>
      </w:pPr>
      <w:r>
        <w:rPr>
          <w:sz w:val="24"/>
          <w:szCs w:val="24"/>
        </w:rPr>
        <w:br w:type="page"/>
      </w:r>
      <w:bookmarkStart w:id="0" w:name="_Toc26739"/>
      <w:r>
        <w:rPr>
          <w:rFonts w:hint="eastAsia"/>
          <w:b/>
          <w:sz w:val="24"/>
          <w:szCs w:val="24"/>
        </w:rPr>
        <w:t>第一章</w:t>
      </w:r>
      <w:r>
        <w:rPr>
          <w:b/>
          <w:sz w:val="24"/>
          <w:szCs w:val="24"/>
        </w:rPr>
        <w:t xml:space="preserve">  </w:t>
      </w:r>
      <w:r>
        <w:rPr>
          <w:rFonts w:hint="eastAsia"/>
          <w:b/>
          <w:sz w:val="24"/>
          <w:szCs w:val="24"/>
        </w:rPr>
        <w:t>公开招标采购公告</w:t>
      </w:r>
      <w:bookmarkEnd w:id="0"/>
    </w:p>
    <w:p>
      <w:pPr>
        <w:pStyle w:val="15"/>
        <w:spacing w:line="480" w:lineRule="auto"/>
        <w:jc w:val="center"/>
        <w:rPr>
          <w:rFonts w:hAnsi="宋体" w:cs="宋体"/>
          <w:b/>
          <w:sz w:val="21"/>
          <w:szCs w:val="21"/>
          <w:highlight w:val="none"/>
        </w:rPr>
      </w:pPr>
    </w:p>
    <w:p>
      <w:pPr>
        <w:pBdr>
          <w:top w:val="single" w:color="auto" w:sz="4" w:space="1"/>
          <w:left w:val="single" w:color="auto" w:sz="4" w:space="4"/>
          <w:bottom w:val="single" w:color="auto" w:sz="4" w:space="1"/>
          <w:right w:val="single" w:color="auto" w:sz="4" w:space="4"/>
        </w:pBdr>
        <w:spacing w:line="360" w:lineRule="auto"/>
        <w:rPr>
          <w:rFonts w:ascii="宋体" w:cs="宋体"/>
          <w:szCs w:val="21"/>
          <w:highlight w:val="none"/>
          <w:u w:val="single"/>
        </w:rPr>
      </w:pPr>
      <w:r>
        <w:rPr>
          <w:rFonts w:hint="eastAsia" w:ascii="宋体" w:hAnsi="宋体" w:cs="宋体"/>
          <w:szCs w:val="21"/>
          <w:highlight w:val="none"/>
        </w:rPr>
        <w:t>项目概况：</w:t>
      </w:r>
      <w:r>
        <w:rPr>
          <w:rFonts w:hint="eastAsia" w:ascii="宋体" w:hAnsi="宋体" w:cs="宋体"/>
          <w:szCs w:val="21"/>
          <w:highlight w:val="none"/>
          <w:u w:val="single"/>
        </w:rPr>
        <w:t>（嘉兴港区综合公共服务项目）</w:t>
      </w:r>
      <w:r>
        <w:rPr>
          <w:rFonts w:hint="eastAsia" w:ascii="宋体" w:hAnsi="宋体" w:cs="宋体"/>
          <w:szCs w:val="21"/>
          <w:highlight w:val="none"/>
        </w:rPr>
        <w:t>招标项目的潜在投标人应在政采云平台（</w:t>
      </w:r>
      <w:r>
        <w:rPr>
          <w:rFonts w:ascii="宋体" w:hAnsi="宋体" w:cs="宋体"/>
          <w:szCs w:val="21"/>
          <w:highlight w:val="none"/>
        </w:rPr>
        <w:t>https://www.zcygov.cn/</w:t>
      </w:r>
      <w:r>
        <w:rPr>
          <w:rFonts w:hint="eastAsia" w:ascii="宋体" w:hAnsi="宋体" w:cs="宋体"/>
          <w:szCs w:val="21"/>
          <w:highlight w:val="none"/>
        </w:rPr>
        <w:t>）获取（下载）招标文件，并于</w:t>
      </w:r>
      <w:r>
        <w:rPr>
          <w:rFonts w:ascii="宋体" w:hAnsi="宋体" w:cs="宋体"/>
          <w:szCs w:val="21"/>
          <w:highlight w:val="none"/>
        </w:rPr>
        <w:t>2022</w:t>
      </w:r>
      <w:r>
        <w:rPr>
          <w:rFonts w:hint="eastAsia" w:ascii="宋体" w:hAnsi="宋体" w:cs="宋体"/>
          <w:szCs w:val="21"/>
          <w:highlight w:val="none"/>
        </w:rPr>
        <w:t>年</w:t>
      </w:r>
      <w:r>
        <w:rPr>
          <w:rFonts w:hint="eastAsia" w:ascii="宋体" w:hAnsi="宋体" w:cs="宋体"/>
          <w:szCs w:val="21"/>
          <w:highlight w:val="none"/>
          <w:lang w:eastAsia="zh-CN"/>
        </w:rPr>
        <w:t>10月17日09:30时</w:t>
      </w:r>
      <w:r>
        <w:rPr>
          <w:rFonts w:hint="eastAsia" w:ascii="宋体" w:hAnsi="宋体" w:cs="宋体"/>
          <w:szCs w:val="21"/>
          <w:highlight w:val="none"/>
        </w:rPr>
        <w:t>（北京时间）前递交（上传）投标文件。</w:t>
      </w:r>
    </w:p>
    <w:p>
      <w:pPr>
        <w:spacing w:line="360" w:lineRule="auto"/>
        <w:rPr>
          <w:rFonts w:ascii="宋体" w:cs="宋体"/>
          <w:b/>
          <w:szCs w:val="21"/>
        </w:rPr>
      </w:pPr>
      <w:r>
        <w:rPr>
          <w:rFonts w:hint="eastAsia" w:ascii="宋体" w:hAnsi="宋体" w:cs="宋体"/>
          <w:b/>
          <w:szCs w:val="21"/>
        </w:rPr>
        <w:t>一、项目基本情况</w:t>
      </w:r>
      <w:r>
        <w:rPr>
          <w:rFonts w:ascii="宋体" w:hAnsi="宋体" w:cs="宋体"/>
          <w:b/>
          <w:szCs w:val="21"/>
        </w:rPr>
        <w:t xml:space="preserve">                                            </w:t>
      </w:r>
    </w:p>
    <w:p>
      <w:pPr>
        <w:spacing w:line="360" w:lineRule="auto"/>
        <w:rPr>
          <w:rFonts w:hint="eastAsia" w:ascii="宋体" w:eastAsia="宋体" w:cs="宋体"/>
          <w:szCs w:val="21"/>
          <w:highlight w:val="none"/>
          <w:lang w:eastAsia="zh-CN"/>
        </w:rPr>
      </w:pPr>
      <w:r>
        <w:rPr>
          <w:rFonts w:ascii="宋体" w:hAnsi="宋体" w:cs="宋体"/>
          <w:szCs w:val="21"/>
        </w:rPr>
        <w:t xml:space="preserve">    </w:t>
      </w:r>
      <w:r>
        <w:rPr>
          <w:rFonts w:hint="eastAsia" w:ascii="宋体" w:hAnsi="宋体" w:cs="宋体"/>
          <w:b/>
          <w:szCs w:val="21"/>
        </w:rPr>
        <w:t>项目编号：</w:t>
      </w:r>
      <w:r>
        <w:rPr>
          <w:rFonts w:hint="eastAsia" w:ascii="宋体" w:hAnsi="宋体" w:cs="宋体"/>
          <w:szCs w:val="21"/>
          <w:lang w:eastAsia="zh-CN"/>
        </w:rPr>
        <w:t>2022005-ZJJY</w:t>
      </w:r>
    </w:p>
    <w:p>
      <w:pPr>
        <w:spacing w:line="360" w:lineRule="auto"/>
        <w:rPr>
          <w:rFonts w:ascii="宋体" w:cs="宋体"/>
          <w:szCs w:val="21"/>
          <w:highlight w:val="none"/>
        </w:rPr>
      </w:pPr>
      <w:r>
        <w:rPr>
          <w:rFonts w:ascii="宋体" w:hAnsi="宋体" w:cs="宋体"/>
          <w:szCs w:val="21"/>
          <w:highlight w:val="none"/>
        </w:rPr>
        <w:t xml:space="preserve">   </w:t>
      </w:r>
      <w:r>
        <w:rPr>
          <w:rFonts w:ascii="宋体" w:hAnsi="宋体" w:cs="宋体"/>
          <w:b/>
          <w:szCs w:val="21"/>
          <w:highlight w:val="none"/>
        </w:rPr>
        <w:t xml:space="preserve"> </w:t>
      </w:r>
      <w:r>
        <w:rPr>
          <w:rFonts w:hint="eastAsia" w:ascii="宋体" w:hAnsi="宋体" w:cs="宋体"/>
          <w:b/>
          <w:szCs w:val="21"/>
          <w:highlight w:val="none"/>
        </w:rPr>
        <w:t>项目名称：</w:t>
      </w:r>
      <w:r>
        <w:rPr>
          <w:rFonts w:hint="eastAsia" w:ascii="宋体" w:hAnsi="宋体" w:cs="宋体"/>
          <w:szCs w:val="21"/>
          <w:highlight w:val="none"/>
        </w:rPr>
        <w:t>嘉兴港区综合公共服务项目</w:t>
      </w:r>
    </w:p>
    <w:p>
      <w:pPr>
        <w:spacing w:line="360" w:lineRule="auto"/>
        <w:rPr>
          <w:rFonts w:ascii="宋体" w:cs="宋体"/>
          <w:szCs w:val="21"/>
          <w:highlight w:val="none"/>
        </w:rPr>
      </w:pPr>
      <w:r>
        <w:rPr>
          <w:rFonts w:ascii="宋体" w:hAnsi="宋体" w:cs="宋体"/>
          <w:szCs w:val="21"/>
          <w:highlight w:val="none"/>
        </w:rPr>
        <w:t xml:space="preserve">   </w:t>
      </w:r>
      <w:r>
        <w:rPr>
          <w:rFonts w:ascii="宋体" w:hAnsi="宋体" w:cs="宋体"/>
          <w:b/>
          <w:szCs w:val="21"/>
          <w:highlight w:val="none"/>
        </w:rPr>
        <w:t xml:space="preserve"> </w:t>
      </w:r>
      <w:r>
        <w:rPr>
          <w:rFonts w:hint="eastAsia" w:ascii="宋体" w:hAnsi="宋体" w:cs="宋体"/>
          <w:b/>
          <w:szCs w:val="21"/>
          <w:highlight w:val="none"/>
        </w:rPr>
        <w:t>预算金额（元）：</w:t>
      </w:r>
      <w:r>
        <w:rPr>
          <w:rFonts w:hint="eastAsia" w:ascii="宋体" w:hAnsi="宋体" w:cs="宋体"/>
          <w:szCs w:val="21"/>
          <w:highlight w:val="none"/>
        </w:rPr>
        <w:t>人民币</w:t>
      </w:r>
      <w:r>
        <w:rPr>
          <w:rFonts w:ascii="宋体" w:hAnsi="宋体" w:cs="宋体"/>
          <w:szCs w:val="21"/>
          <w:highlight w:val="none"/>
        </w:rPr>
        <w:t>510</w:t>
      </w:r>
      <w:r>
        <w:rPr>
          <w:rFonts w:hint="eastAsia" w:ascii="宋体" w:hAnsi="宋体" w:cs="宋体"/>
          <w:szCs w:val="21"/>
          <w:highlight w:val="none"/>
        </w:rPr>
        <w:t>万元</w:t>
      </w:r>
    </w:p>
    <w:p>
      <w:pPr>
        <w:spacing w:line="360" w:lineRule="auto"/>
        <w:ind w:firstLine="480"/>
        <w:rPr>
          <w:rFonts w:ascii="宋体" w:cs="宋体"/>
          <w:szCs w:val="21"/>
          <w:highlight w:val="none"/>
        </w:rPr>
      </w:pPr>
      <w:r>
        <w:rPr>
          <w:rFonts w:hint="eastAsia" w:ascii="宋体" w:hAnsi="宋体" w:cs="宋体"/>
          <w:b/>
          <w:szCs w:val="21"/>
          <w:highlight w:val="none"/>
        </w:rPr>
        <w:t>最高限价（元）：</w:t>
      </w:r>
      <w:r>
        <w:rPr>
          <w:rFonts w:hint="eastAsia" w:ascii="宋体" w:hAnsi="宋体" w:cs="宋体"/>
          <w:szCs w:val="21"/>
          <w:highlight w:val="none"/>
        </w:rPr>
        <w:t>人民币</w:t>
      </w:r>
      <w:r>
        <w:rPr>
          <w:rFonts w:ascii="宋体" w:hAnsi="宋体" w:cs="宋体"/>
          <w:szCs w:val="21"/>
          <w:highlight w:val="none"/>
        </w:rPr>
        <w:t>510</w:t>
      </w:r>
      <w:r>
        <w:rPr>
          <w:rFonts w:hint="eastAsia" w:ascii="宋体" w:hAnsi="宋体" w:cs="宋体"/>
          <w:szCs w:val="21"/>
          <w:highlight w:val="none"/>
        </w:rPr>
        <w:t>万元（分两个标段，每个标段</w:t>
      </w:r>
      <w:r>
        <w:rPr>
          <w:rFonts w:hint="eastAsia" w:ascii="宋体" w:hAnsi="宋体" w:cs="宋体"/>
          <w:szCs w:val="21"/>
          <w:highlight w:val="none"/>
          <w:lang w:val="en-US" w:eastAsia="zh-CN"/>
        </w:rPr>
        <w:t>最高限价</w:t>
      </w:r>
      <w:r>
        <w:rPr>
          <w:rFonts w:hint="eastAsia" w:ascii="宋体" w:hAnsi="宋体" w:cs="宋体"/>
          <w:szCs w:val="21"/>
          <w:highlight w:val="none"/>
        </w:rPr>
        <w:t>人民币</w:t>
      </w:r>
      <w:r>
        <w:rPr>
          <w:rFonts w:ascii="宋体" w:hAnsi="宋体" w:cs="宋体"/>
          <w:szCs w:val="21"/>
          <w:highlight w:val="none"/>
        </w:rPr>
        <w:t>255</w:t>
      </w:r>
      <w:r>
        <w:rPr>
          <w:rFonts w:hint="eastAsia" w:ascii="宋体" w:hAnsi="宋体" w:cs="宋体"/>
          <w:szCs w:val="21"/>
          <w:highlight w:val="none"/>
        </w:rPr>
        <w:t>万元）</w:t>
      </w:r>
    </w:p>
    <w:p>
      <w:pPr>
        <w:pStyle w:val="6"/>
        <w:spacing w:line="360" w:lineRule="auto"/>
        <w:ind w:firstLine="480"/>
        <w:rPr>
          <w:rFonts w:ascii="宋体" w:cs="宋体"/>
          <w:kern w:val="2"/>
          <w:sz w:val="21"/>
          <w:szCs w:val="21"/>
          <w:highlight w:val="none"/>
        </w:rPr>
      </w:pPr>
      <w:r>
        <w:rPr>
          <w:rFonts w:hint="eastAsia" w:ascii="宋体" w:hAnsi="宋体" w:cs="宋体"/>
          <w:b/>
          <w:sz w:val="21"/>
          <w:szCs w:val="21"/>
          <w:highlight w:val="none"/>
        </w:rPr>
        <w:t>采购内容及数量：</w:t>
      </w:r>
      <w:r>
        <w:rPr>
          <w:rFonts w:hint="eastAsia" w:ascii="宋体" w:hAnsi="宋体" w:cs="宋体"/>
          <w:bCs/>
          <w:kern w:val="2"/>
          <w:sz w:val="21"/>
          <w:szCs w:val="21"/>
          <w:highlight w:val="none"/>
        </w:rPr>
        <w:t>（项目名称）主要</w:t>
      </w:r>
      <w:r>
        <w:rPr>
          <w:rFonts w:hint="eastAsia" w:ascii="宋体" w:hAnsi="宋体" w:cs="宋体"/>
          <w:kern w:val="2"/>
          <w:sz w:val="21"/>
          <w:szCs w:val="21"/>
          <w:highlight w:val="none"/>
        </w:rPr>
        <w:t>内容：港区建成区范围（东至九龙山大道，西至平海路，北至市场路，南至海岸线）以及招标单位要求的其他范围的综合公共服务外包项目。</w:t>
      </w:r>
    </w:p>
    <w:p>
      <w:pPr>
        <w:spacing w:line="360" w:lineRule="auto"/>
        <w:ind w:firstLine="420" w:firstLineChars="200"/>
        <w:rPr>
          <w:rFonts w:ascii="宋体"/>
          <w:color w:val="000000"/>
          <w:szCs w:val="21"/>
          <w:highlight w:val="none"/>
        </w:rPr>
      </w:pPr>
      <w:r>
        <w:rPr>
          <w:rFonts w:hint="eastAsia" w:ascii="宋体" w:hAnsi="宋体"/>
          <w:color w:val="000000"/>
          <w:szCs w:val="21"/>
          <w:highlight w:val="none"/>
        </w:rPr>
        <w:t>综合公共服务人员每天开展道路巡查，协助劝导制止无证流动摊贩、排档、沿街店面占道经营；协助劝导制止清理乱张贴、乱悬挂、乱堆放、乱搭建等城市“十乱”行为；对门店生活污水及乱堆装潢建筑垃圾加强劝导管理；劝导管理服务区机动车停放入“位”，规范非机动车停放有序（白天），协助开展文明创建、处理各类投诉等工作，具体内容及要求详见招标文件第三章《招标项目要求》。</w:t>
      </w:r>
    </w:p>
    <w:p>
      <w:pPr>
        <w:wordWrap w:val="0"/>
        <w:spacing w:line="360" w:lineRule="auto"/>
        <w:ind w:firstLine="420" w:firstLineChars="200"/>
        <w:rPr>
          <w:rFonts w:ascii="微软雅黑" w:hAnsi="微软雅黑" w:eastAsia="微软雅黑"/>
          <w:b/>
          <w:szCs w:val="21"/>
          <w:highlight w:val="none"/>
        </w:rPr>
      </w:pPr>
      <w:r>
        <w:rPr>
          <w:rFonts w:hint="eastAsia" w:ascii="微软雅黑" w:hAnsi="微软雅黑" w:eastAsia="微软雅黑"/>
          <w:b/>
          <w:szCs w:val="21"/>
          <w:highlight w:val="none"/>
        </w:rPr>
        <w:t>标段划分如下：</w:t>
      </w:r>
    </w:p>
    <w:tbl>
      <w:tblPr>
        <w:tblStyle w:val="29"/>
        <w:tblW w:w="10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3"/>
        <w:gridCol w:w="724"/>
        <w:gridCol w:w="1683"/>
        <w:gridCol w:w="2083"/>
        <w:gridCol w:w="1050"/>
        <w:gridCol w:w="1850"/>
        <w:gridCol w:w="1067"/>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473" w:type="dxa"/>
            <w:vAlign w:val="center"/>
          </w:tcPr>
          <w:p>
            <w:pPr>
              <w:spacing w:line="240"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标段</w:t>
            </w:r>
          </w:p>
        </w:tc>
        <w:tc>
          <w:tcPr>
            <w:tcW w:w="724" w:type="dxa"/>
            <w:vAlign w:val="center"/>
          </w:tcPr>
          <w:p>
            <w:pPr>
              <w:spacing w:line="240"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乡镇街道</w:t>
            </w:r>
          </w:p>
        </w:tc>
        <w:tc>
          <w:tcPr>
            <w:tcW w:w="1683" w:type="dxa"/>
            <w:vAlign w:val="center"/>
          </w:tcPr>
          <w:p>
            <w:pPr>
              <w:spacing w:line="240"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路名</w:t>
            </w:r>
          </w:p>
        </w:tc>
        <w:tc>
          <w:tcPr>
            <w:tcW w:w="2083" w:type="dxa"/>
            <w:vAlign w:val="center"/>
          </w:tcPr>
          <w:p>
            <w:pPr>
              <w:spacing w:line="240"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起止</w:t>
            </w:r>
          </w:p>
        </w:tc>
        <w:tc>
          <w:tcPr>
            <w:tcW w:w="1050" w:type="dxa"/>
            <w:vAlign w:val="center"/>
          </w:tcPr>
          <w:p>
            <w:pPr>
              <w:spacing w:line="240"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长度（米）</w:t>
            </w:r>
          </w:p>
        </w:tc>
        <w:tc>
          <w:tcPr>
            <w:tcW w:w="1850" w:type="dxa"/>
            <w:vAlign w:val="center"/>
          </w:tcPr>
          <w:p>
            <w:pPr>
              <w:spacing w:line="240"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管控时间</w:t>
            </w:r>
          </w:p>
        </w:tc>
        <w:tc>
          <w:tcPr>
            <w:tcW w:w="1067" w:type="dxa"/>
            <w:vAlign w:val="center"/>
          </w:tcPr>
          <w:p>
            <w:pPr>
              <w:spacing w:line="240"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路面最少见员数</w:t>
            </w:r>
          </w:p>
        </w:tc>
        <w:tc>
          <w:tcPr>
            <w:tcW w:w="1089" w:type="dxa"/>
            <w:vAlign w:val="center"/>
          </w:tcPr>
          <w:p>
            <w:pPr>
              <w:spacing w:line="240"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最高限价</w:t>
            </w:r>
          </w:p>
          <w:p>
            <w:pPr>
              <w:spacing w:line="240"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473" w:type="dxa"/>
            <w:vMerge w:val="restart"/>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一标段</w:t>
            </w:r>
          </w:p>
        </w:tc>
        <w:tc>
          <w:tcPr>
            <w:tcW w:w="724" w:type="dxa"/>
            <w:vMerge w:val="restart"/>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乍浦镇</w:t>
            </w:r>
          </w:p>
        </w:tc>
        <w:tc>
          <w:tcPr>
            <w:tcW w:w="1683" w:type="dxa"/>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中山路（南）</w:t>
            </w:r>
          </w:p>
        </w:tc>
        <w:tc>
          <w:tcPr>
            <w:tcW w:w="2083" w:type="dxa"/>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建港路-黄山路</w:t>
            </w:r>
          </w:p>
        </w:tc>
        <w:tc>
          <w:tcPr>
            <w:tcW w:w="1050" w:type="dxa"/>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2200</w:t>
            </w:r>
          </w:p>
        </w:tc>
        <w:tc>
          <w:tcPr>
            <w:tcW w:w="1850" w:type="dxa"/>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8:30—17:30</w:t>
            </w:r>
          </w:p>
        </w:tc>
        <w:tc>
          <w:tcPr>
            <w:tcW w:w="1067" w:type="dxa"/>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3</w:t>
            </w:r>
          </w:p>
        </w:tc>
        <w:tc>
          <w:tcPr>
            <w:tcW w:w="1089" w:type="dxa"/>
            <w:vMerge w:val="restart"/>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73" w:type="dxa"/>
            <w:vMerge w:val="continue"/>
          </w:tcPr>
          <w:p>
            <w:pPr>
              <w:spacing w:line="240" w:lineRule="auto"/>
              <w:jc w:val="center"/>
              <w:rPr>
                <w:rFonts w:hint="eastAsia" w:ascii="宋体" w:hAnsi="宋体" w:eastAsia="宋体" w:cs="宋体"/>
                <w:bCs/>
                <w:szCs w:val="21"/>
                <w:highlight w:val="none"/>
              </w:rPr>
            </w:pPr>
          </w:p>
        </w:tc>
        <w:tc>
          <w:tcPr>
            <w:tcW w:w="724" w:type="dxa"/>
            <w:vMerge w:val="continue"/>
            <w:vAlign w:val="center"/>
          </w:tcPr>
          <w:p>
            <w:pPr>
              <w:spacing w:line="240" w:lineRule="auto"/>
              <w:jc w:val="center"/>
              <w:rPr>
                <w:rFonts w:hint="eastAsia" w:ascii="宋体" w:hAnsi="宋体" w:eastAsia="宋体" w:cs="宋体"/>
                <w:bCs/>
                <w:szCs w:val="21"/>
                <w:highlight w:val="none"/>
              </w:rPr>
            </w:pPr>
          </w:p>
        </w:tc>
        <w:tc>
          <w:tcPr>
            <w:tcW w:w="1683" w:type="dxa"/>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雅山路</w:t>
            </w:r>
          </w:p>
        </w:tc>
        <w:tc>
          <w:tcPr>
            <w:tcW w:w="2083" w:type="dxa"/>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建港路-黄山路</w:t>
            </w:r>
          </w:p>
        </w:tc>
        <w:tc>
          <w:tcPr>
            <w:tcW w:w="1050" w:type="dxa"/>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2400</w:t>
            </w:r>
          </w:p>
        </w:tc>
        <w:tc>
          <w:tcPr>
            <w:tcW w:w="1850" w:type="dxa"/>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9：00-21：00</w:t>
            </w:r>
          </w:p>
        </w:tc>
        <w:tc>
          <w:tcPr>
            <w:tcW w:w="1067" w:type="dxa"/>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6</w:t>
            </w:r>
          </w:p>
        </w:tc>
        <w:tc>
          <w:tcPr>
            <w:tcW w:w="1089" w:type="dxa"/>
            <w:vMerge w:val="continue"/>
          </w:tcPr>
          <w:p>
            <w:pPr>
              <w:spacing w:line="240" w:lineRule="auto"/>
              <w:jc w:val="center"/>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73" w:type="dxa"/>
            <w:vMerge w:val="continue"/>
          </w:tcPr>
          <w:p>
            <w:pPr>
              <w:spacing w:line="240" w:lineRule="auto"/>
              <w:jc w:val="center"/>
              <w:rPr>
                <w:rFonts w:hint="eastAsia" w:ascii="宋体" w:hAnsi="宋体" w:eastAsia="宋体" w:cs="宋体"/>
                <w:bCs/>
                <w:szCs w:val="21"/>
                <w:highlight w:val="none"/>
              </w:rPr>
            </w:pPr>
          </w:p>
        </w:tc>
        <w:tc>
          <w:tcPr>
            <w:tcW w:w="724" w:type="dxa"/>
            <w:vMerge w:val="continue"/>
            <w:vAlign w:val="center"/>
          </w:tcPr>
          <w:p>
            <w:pPr>
              <w:spacing w:line="240" w:lineRule="auto"/>
              <w:jc w:val="center"/>
              <w:rPr>
                <w:rFonts w:hint="eastAsia" w:ascii="宋体" w:hAnsi="宋体" w:eastAsia="宋体" w:cs="宋体"/>
                <w:bCs/>
                <w:szCs w:val="21"/>
                <w:highlight w:val="none"/>
              </w:rPr>
            </w:pPr>
          </w:p>
        </w:tc>
        <w:tc>
          <w:tcPr>
            <w:tcW w:w="1683" w:type="dxa"/>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滨海大道</w:t>
            </w:r>
          </w:p>
        </w:tc>
        <w:tc>
          <w:tcPr>
            <w:tcW w:w="2083" w:type="dxa"/>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建港路-黄山路</w:t>
            </w:r>
          </w:p>
        </w:tc>
        <w:tc>
          <w:tcPr>
            <w:tcW w:w="1050" w:type="dxa"/>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2500</w:t>
            </w:r>
          </w:p>
        </w:tc>
        <w:tc>
          <w:tcPr>
            <w:tcW w:w="1850" w:type="dxa"/>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8:30—17:30</w:t>
            </w:r>
          </w:p>
        </w:tc>
        <w:tc>
          <w:tcPr>
            <w:tcW w:w="1067" w:type="dxa"/>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2</w:t>
            </w:r>
          </w:p>
        </w:tc>
        <w:tc>
          <w:tcPr>
            <w:tcW w:w="1089" w:type="dxa"/>
            <w:vMerge w:val="continue"/>
          </w:tcPr>
          <w:p>
            <w:pPr>
              <w:spacing w:line="240" w:lineRule="auto"/>
              <w:jc w:val="center"/>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73" w:type="dxa"/>
            <w:vMerge w:val="continue"/>
          </w:tcPr>
          <w:p>
            <w:pPr>
              <w:spacing w:line="240" w:lineRule="auto"/>
              <w:jc w:val="center"/>
              <w:rPr>
                <w:rFonts w:hint="eastAsia" w:ascii="宋体" w:hAnsi="宋体" w:eastAsia="宋体" w:cs="宋体"/>
                <w:bCs/>
                <w:szCs w:val="21"/>
                <w:highlight w:val="none"/>
              </w:rPr>
            </w:pPr>
          </w:p>
        </w:tc>
        <w:tc>
          <w:tcPr>
            <w:tcW w:w="724" w:type="dxa"/>
            <w:vMerge w:val="continue"/>
            <w:vAlign w:val="center"/>
          </w:tcPr>
          <w:p>
            <w:pPr>
              <w:spacing w:line="240" w:lineRule="auto"/>
              <w:jc w:val="center"/>
              <w:rPr>
                <w:rFonts w:hint="eastAsia" w:ascii="宋体" w:hAnsi="宋体" w:eastAsia="宋体" w:cs="宋体"/>
                <w:bCs/>
                <w:szCs w:val="21"/>
                <w:highlight w:val="none"/>
              </w:rPr>
            </w:pPr>
          </w:p>
        </w:tc>
        <w:tc>
          <w:tcPr>
            <w:tcW w:w="1683" w:type="dxa"/>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陈山路</w:t>
            </w:r>
          </w:p>
        </w:tc>
        <w:tc>
          <w:tcPr>
            <w:tcW w:w="2083" w:type="dxa"/>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滨海大道-中山路</w:t>
            </w:r>
          </w:p>
        </w:tc>
        <w:tc>
          <w:tcPr>
            <w:tcW w:w="1050" w:type="dxa"/>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900</w:t>
            </w:r>
          </w:p>
        </w:tc>
        <w:tc>
          <w:tcPr>
            <w:tcW w:w="1850" w:type="dxa"/>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8:30—17:30</w:t>
            </w:r>
          </w:p>
        </w:tc>
        <w:tc>
          <w:tcPr>
            <w:tcW w:w="1067" w:type="dxa"/>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1</w:t>
            </w:r>
          </w:p>
        </w:tc>
        <w:tc>
          <w:tcPr>
            <w:tcW w:w="1089" w:type="dxa"/>
            <w:vMerge w:val="continue"/>
          </w:tcPr>
          <w:p>
            <w:pPr>
              <w:spacing w:line="240" w:lineRule="auto"/>
              <w:jc w:val="center"/>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73" w:type="dxa"/>
            <w:vMerge w:val="continue"/>
          </w:tcPr>
          <w:p>
            <w:pPr>
              <w:spacing w:line="240" w:lineRule="auto"/>
              <w:jc w:val="center"/>
              <w:rPr>
                <w:rFonts w:hint="eastAsia" w:ascii="宋体" w:hAnsi="宋体" w:eastAsia="宋体" w:cs="宋体"/>
                <w:bCs/>
                <w:szCs w:val="21"/>
                <w:highlight w:val="none"/>
              </w:rPr>
            </w:pPr>
          </w:p>
        </w:tc>
        <w:tc>
          <w:tcPr>
            <w:tcW w:w="724" w:type="dxa"/>
            <w:vMerge w:val="continue"/>
            <w:vAlign w:val="center"/>
          </w:tcPr>
          <w:p>
            <w:pPr>
              <w:spacing w:line="240" w:lineRule="auto"/>
              <w:jc w:val="center"/>
              <w:rPr>
                <w:rFonts w:hint="eastAsia" w:ascii="宋体" w:hAnsi="宋体" w:eastAsia="宋体" w:cs="宋体"/>
                <w:bCs/>
                <w:szCs w:val="21"/>
                <w:highlight w:val="none"/>
              </w:rPr>
            </w:pPr>
          </w:p>
        </w:tc>
        <w:tc>
          <w:tcPr>
            <w:tcW w:w="1683" w:type="dxa"/>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南湾路</w:t>
            </w:r>
          </w:p>
        </w:tc>
        <w:tc>
          <w:tcPr>
            <w:tcW w:w="2083" w:type="dxa"/>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汤山东路-中山路</w:t>
            </w:r>
          </w:p>
        </w:tc>
        <w:tc>
          <w:tcPr>
            <w:tcW w:w="1050" w:type="dxa"/>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1600</w:t>
            </w:r>
          </w:p>
        </w:tc>
        <w:tc>
          <w:tcPr>
            <w:tcW w:w="1850" w:type="dxa"/>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8:30—17:30</w:t>
            </w:r>
          </w:p>
        </w:tc>
        <w:tc>
          <w:tcPr>
            <w:tcW w:w="1067" w:type="dxa"/>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3</w:t>
            </w:r>
          </w:p>
        </w:tc>
        <w:tc>
          <w:tcPr>
            <w:tcW w:w="1089" w:type="dxa"/>
            <w:vMerge w:val="continue"/>
          </w:tcPr>
          <w:p>
            <w:pPr>
              <w:spacing w:line="240" w:lineRule="auto"/>
              <w:jc w:val="center"/>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73" w:type="dxa"/>
            <w:vMerge w:val="continue"/>
          </w:tcPr>
          <w:p>
            <w:pPr>
              <w:spacing w:line="240" w:lineRule="auto"/>
              <w:jc w:val="center"/>
              <w:rPr>
                <w:rFonts w:hint="eastAsia" w:ascii="宋体" w:hAnsi="宋体" w:eastAsia="宋体" w:cs="宋体"/>
                <w:bCs/>
                <w:szCs w:val="21"/>
                <w:highlight w:val="none"/>
              </w:rPr>
            </w:pPr>
          </w:p>
        </w:tc>
        <w:tc>
          <w:tcPr>
            <w:tcW w:w="724" w:type="dxa"/>
            <w:vMerge w:val="continue"/>
            <w:vAlign w:val="center"/>
          </w:tcPr>
          <w:p>
            <w:pPr>
              <w:spacing w:line="240" w:lineRule="auto"/>
              <w:jc w:val="center"/>
              <w:rPr>
                <w:rFonts w:hint="eastAsia" w:ascii="宋体" w:hAnsi="宋体" w:eastAsia="宋体" w:cs="宋体"/>
                <w:bCs/>
                <w:szCs w:val="21"/>
                <w:highlight w:val="none"/>
              </w:rPr>
            </w:pPr>
          </w:p>
        </w:tc>
        <w:tc>
          <w:tcPr>
            <w:tcW w:w="1683" w:type="dxa"/>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天妃路</w:t>
            </w:r>
          </w:p>
        </w:tc>
        <w:tc>
          <w:tcPr>
            <w:tcW w:w="2083" w:type="dxa"/>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滨海大道-中山路</w:t>
            </w:r>
          </w:p>
        </w:tc>
        <w:tc>
          <w:tcPr>
            <w:tcW w:w="1050" w:type="dxa"/>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1000</w:t>
            </w:r>
          </w:p>
        </w:tc>
        <w:tc>
          <w:tcPr>
            <w:tcW w:w="1850" w:type="dxa"/>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9：00—21：00</w:t>
            </w:r>
          </w:p>
        </w:tc>
        <w:tc>
          <w:tcPr>
            <w:tcW w:w="1067" w:type="dxa"/>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6</w:t>
            </w:r>
          </w:p>
        </w:tc>
        <w:tc>
          <w:tcPr>
            <w:tcW w:w="1089" w:type="dxa"/>
            <w:vMerge w:val="continue"/>
          </w:tcPr>
          <w:p>
            <w:pPr>
              <w:spacing w:line="240" w:lineRule="auto"/>
              <w:jc w:val="center"/>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73" w:type="dxa"/>
            <w:vMerge w:val="continue"/>
          </w:tcPr>
          <w:p>
            <w:pPr>
              <w:spacing w:line="240" w:lineRule="auto"/>
              <w:jc w:val="center"/>
              <w:rPr>
                <w:rFonts w:hint="eastAsia" w:ascii="宋体" w:hAnsi="宋体" w:eastAsia="宋体" w:cs="宋体"/>
                <w:bCs/>
                <w:szCs w:val="21"/>
                <w:highlight w:val="none"/>
              </w:rPr>
            </w:pPr>
          </w:p>
        </w:tc>
        <w:tc>
          <w:tcPr>
            <w:tcW w:w="724" w:type="dxa"/>
            <w:vMerge w:val="continue"/>
            <w:vAlign w:val="center"/>
          </w:tcPr>
          <w:p>
            <w:pPr>
              <w:spacing w:line="240" w:lineRule="auto"/>
              <w:jc w:val="center"/>
              <w:rPr>
                <w:rFonts w:hint="eastAsia" w:ascii="宋体" w:hAnsi="宋体" w:eastAsia="宋体" w:cs="宋体"/>
                <w:bCs/>
                <w:szCs w:val="21"/>
                <w:highlight w:val="none"/>
              </w:rPr>
            </w:pPr>
          </w:p>
        </w:tc>
        <w:tc>
          <w:tcPr>
            <w:tcW w:w="1683" w:type="dxa"/>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建港路</w:t>
            </w:r>
          </w:p>
        </w:tc>
        <w:tc>
          <w:tcPr>
            <w:tcW w:w="2083" w:type="dxa"/>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滨海大道-中山路</w:t>
            </w:r>
          </w:p>
        </w:tc>
        <w:tc>
          <w:tcPr>
            <w:tcW w:w="1050" w:type="dxa"/>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1100</w:t>
            </w:r>
          </w:p>
        </w:tc>
        <w:tc>
          <w:tcPr>
            <w:tcW w:w="1850" w:type="dxa"/>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8:30—17:30</w:t>
            </w:r>
          </w:p>
        </w:tc>
        <w:tc>
          <w:tcPr>
            <w:tcW w:w="1067" w:type="dxa"/>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2</w:t>
            </w:r>
          </w:p>
        </w:tc>
        <w:tc>
          <w:tcPr>
            <w:tcW w:w="1089" w:type="dxa"/>
            <w:vMerge w:val="continue"/>
          </w:tcPr>
          <w:p>
            <w:pPr>
              <w:spacing w:line="240" w:lineRule="auto"/>
              <w:jc w:val="center"/>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73" w:type="dxa"/>
            <w:vMerge w:val="continue"/>
          </w:tcPr>
          <w:p>
            <w:pPr>
              <w:spacing w:line="240" w:lineRule="auto"/>
              <w:jc w:val="center"/>
              <w:rPr>
                <w:rFonts w:hint="eastAsia" w:ascii="宋体" w:hAnsi="宋体" w:eastAsia="宋体" w:cs="宋体"/>
                <w:bCs/>
                <w:szCs w:val="21"/>
                <w:highlight w:val="none"/>
              </w:rPr>
            </w:pPr>
          </w:p>
        </w:tc>
        <w:tc>
          <w:tcPr>
            <w:tcW w:w="724" w:type="dxa"/>
            <w:vMerge w:val="continue"/>
            <w:vAlign w:val="center"/>
          </w:tcPr>
          <w:p>
            <w:pPr>
              <w:spacing w:line="240" w:lineRule="auto"/>
              <w:jc w:val="center"/>
              <w:rPr>
                <w:rFonts w:hint="eastAsia" w:ascii="宋体" w:hAnsi="宋体" w:eastAsia="宋体" w:cs="宋体"/>
                <w:bCs/>
                <w:szCs w:val="21"/>
                <w:highlight w:val="none"/>
              </w:rPr>
            </w:pPr>
          </w:p>
        </w:tc>
        <w:tc>
          <w:tcPr>
            <w:tcW w:w="1683" w:type="dxa"/>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南大街</w:t>
            </w:r>
          </w:p>
        </w:tc>
        <w:tc>
          <w:tcPr>
            <w:tcW w:w="2083" w:type="dxa"/>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滨海大道-雅山路</w:t>
            </w:r>
          </w:p>
        </w:tc>
        <w:tc>
          <w:tcPr>
            <w:tcW w:w="1050" w:type="dxa"/>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500</w:t>
            </w:r>
          </w:p>
        </w:tc>
        <w:tc>
          <w:tcPr>
            <w:tcW w:w="1850" w:type="dxa"/>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9：00—21：00</w:t>
            </w:r>
          </w:p>
        </w:tc>
        <w:tc>
          <w:tcPr>
            <w:tcW w:w="1067" w:type="dxa"/>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1</w:t>
            </w:r>
          </w:p>
        </w:tc>
        <w:tc>
          <w:tcPr>
            <w:tcW w:w="1089" w:type="dxa"/>
            <w:vMerge w:val="continue"/>
          </w:tcPr>
          <w:p>
            <w:pPr>
              <w:spacing w:line="240" w:lineRule="auto"/>
              <w:jc w:val="center"/>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473" w:type="dxa"/>
            <w:vMerge w:val="continue"/>
          </w:tcPr>
          <w:p>
            <w:pPr>
              <w:spacing w:line="240" w:lineRule="auto"/>
              <w:jc w:val="center"/>
              <w:rPr>
                <w:rFonts w:hint="eastAsia" w:ascii="宋体" w:hAnsi="宋体" w:eastAsia="宋体" w:cs="宋体"/>
                <w:bCs/>
                <w:szCs w:val="21"/>
                <w:highlight w:val="none"/>
              </w:rPr>
            </w:pPr>
          </w:p>
        </w:tc>
        <w:tc>
          <w:tcPr>
            <w:tcW w:w="724" w:type="dxa"/>
            <w:vMerge w:val="continue"/>
            <w:vAlign w:val="center"/>
          </w:tcPr>
          <w:p>
            <w:pPr>
              <w:spacing w:line="240" w:lineRule="auto"/>
              <w:jc w:val="center"/>
              <w:rPr>
                <w:rFonts w:hint="eastAsia" w:ascii="宋体" w:hAnsi="宋体" w:eastAsia="宋体" w:cs="宋体"/>
                <w:bCs/>
                <w:szCs w:val="21"/>
                <w:highlight w:val="none"/>
              </w:rPr>
            </w:pPr>
          </w:p>
        </w:tc>
        <w:tc>
          <w:tcPr>
            <w:tcW w:w="1683" w:type="dxa"/>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乍浦镇农贸市场周边</w:t>
            </w:r>
          </w:p>
        </w:tc>
        <w:tc>
          <w:tcPr>
            <w:tcW w:w="2083" w:type="dxa"/>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包含南司弄、农贸西弄等</w:t>
            </w:r>
          </w:p>
        </w:tc>
        <w:tc>
          <w:tcPr>
            <w:tcW w:w="1050" w:type="dxa"/>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500</w:t>
            </w:r>
          </w:p>
        </w:tc>
        <w:tc>
          <w:tcPr>
            <w:tcW w:w="1850" w:type="dxa"/>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6:00—18:00</w:t>
            </w:r>
          </w:p>
        </w:tc>
        <w:tc>
          <w:tcPr>
            <w:tcW w:w="1067" w:type="dxa"/>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2</w:t>
            </w:r>
          </w:p>
        </w:tc>
        <w:tc>
          <w:tcPr>
            <w:tcW w:w="1089" w:type="dxa"/>
            <w:vMerge w:val="continue"/>
          </w:tcPr>
          <w:p>
            <w:pPr>
              <w:spacing w:line="240" w:lineRule="auto"/>
              <w:jc w:val="center"/>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473" w:type="dxa"/>
            <w:vMerge w:val="continue"/>
          </w:tcPr>
          <w:p>
            <w:pPr>
              <w:spacing w:line="240" w:lineRule="auto"/>
              <w:jc w:val="center"/>
              <w:rPr>
                <w:rFonts w:hint="eastAsia" w:ascii="宋体" w:hAnsi="宋体" w:eastAsia="宋体" w:cs="宋体"/>
                <w:bCs/>
                <w:szCs w:val="21"/>
                <w:highlight w:val="none"/>
              </w:rPr>
            </w:pPr>
          </w:p>
        </w:tc>
        <w:tc>
          <w:tcPr>
            <w:tcW w:w="724" w:type="dxa"/>
            <w:vMerge w:val="continue"/>
            <w:vAlign w:val="center"/>
          </w:tcPr>
          <w:p>
            <w:pPr>
              <w:spacing w:line="240" w:lineRule="auto"/>
              <w:jc w:val="center"/>
              <w:rPr>
                <w:rFonts w:hint="eastAsia" w:ascii="宋体" w:hAnsi="宋体" w:eastAsia="宋体" w:cs="宋体"/>
                <w:bCs/>
                <w:szCs w:val="21"/>
                <w:highlight w:val="none"/>
              </w:rPr>
            </w:pPr>
          </w:p>
        </w:tc>
        <w:tc>
          <w:tcPr>
            <w:tcW w:w="4816" w:type="dxa"/>
            <w:gridSpan w:val="3"/>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每天安排4名人员参与局晚间集中巡查行动</w:t>
            </w:r>
          </w:p>
        </w:tc>
        <w:tc>
          <w:tcPr>
            <w:tcW w:w="1850" w:type="dxa"/>
            <w:vAlign w:val="center"/>
          </w:tcPr>
          <w:p>
            <w:pPr>
              <w:spacing w:line="240" w:lineRule="auto"/>
              <w:rPr>
                <w:rFonts w:hint="eastAsia" w:ascii="宋体" w:hAnsi="宋体" w:eastAsia="宋体" w:cs="宋体"/>
                <w:bCs/>
                <w:szCs w:val="21"/>
                <w:highlight w:val="none"/>
              </w:rPr>
            </w:pPr>
            <w:r>
              <w:rPr>
                <w:rFonts w:hint="eastAsia" w:ascii="宋体" w:hAnsi="宋体" w:eastAsia="宋体" w:cs="宋体"/>
                <w:bCs/>
                <w:szCs w:val="21"/>
                <w:highlight w:val="none"/>
              </w:rPr>
              <w:t>17：30-21：30</w:t>
            </w:r>
          </w:p>
        </w:tc>
        <w:tc>
          <w:tcPr>
            <w:tcW w:w="1067" w:type="dxa"/>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4</w:t>
            </w:r>
          </w:p>
        </w:tc>
        <w:tc>
          <w:tcPr>
            <w:tcW w:w="1089" w:type="dxa"/>
            <w:vMerge w:val="continue"/>
          </w:tcPr>
          <w:p>
            <w:pPr>
              <w:spacing w:line="240" w:lineRule="auto"/>
              <w:jc w:val="center"/>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473" w:type="dxa"/>
            <w:vMerge w:val="continue"/>
          </w:tcPr>
          <w:p>
            <w:pPr>
              <w:spacing w:line="240" w:lineRule="auto"/>
              <w:jc w:val="center"/>
              <w:rPr>
                <w:rFonts w:hint="eastAsia" w:ascii="宋体" w:hAnsi="宋体" w:eastAsia="宋体" w:cs="宋体"/>
                <w:bCs/>
                <w:szCs w:val="21"/>
                <w:highlight w:val="none"/>
              </w:rPr>
            </w:pPr>
          </w:p>
        </w:tc>
        <w:tc>
          <w:tcPr>
            <w:tcW w:w="8457" w:type="dxa"/>
            <w:gridSpan w:val="6"/>
            <w:vAlign w:val="center"/>
          </w:tcPr>
          <w:p>
            <w:pPr>
              <w:spacing w:line="240"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合计30人，需</w:t>
            </w:r>
            <w:r>
              <w:rPr>
                <w:rFonts w:hint="eastAsia" w:ascii="宋体" w:hAnsi="宋体" w:eastAsia="宋体" w:cs="宋体"/>
                <w:highlight w:val="none"/>
                <w:lang w:val="en-US" w:eastAsia="zh-CN"/>
              </w:rPr>
              <w:t>设立市容秩序维护服务片区队长1人，片区班长2人</w:t>
            </w:r>
          </w:p>
        </w:tc>
        <w:tc>
          <w:tcPr>
            <w:tcW w:w="1089" w:type="dxa"/>
            <w:vMerge w:val="continue"/>
          </w:tcPr>
          <w:p>
            <w:pPr>
              <w:spacing w:line="240" w:lineRule="auto"/>
              <w:jc w:val="center"/>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73" w:type="dxa"/>
            <w:vMerge w:val="restart"/>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二标段</w:t>
            </w:r>
          </w:p>
        </w:tc>
        <w:tc>
          <w:tcPr>
            <w:tcW w:w="724" w:type="dxa"/>
            <w:vMerge w:val="restart"/>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乍浦镇</w:t>
            </w:r>
          </w:p>
        </w:tc>
        <w:tc>
          <w:tcPr>
            <w:tcW w:w="1683" w:type="dxa"/>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南湾路</w:t>
            </w:r>
          </w:p>
        </w:tc>
        <w:tc>
          <w:tcPr>
            <w:tcW w:w="2083" w:type="dxa"/>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中山路-市场路</w:t>
            </w:r>
          </w:p>
        </w:tc>
        <w:tc>
          <w:tcPr>
            <w:tcW w:w="1050" w:type="dxa"/>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800</w:t>
            </w:r>
          </w:p>
        </w:tc>
        <w:tc>
          <w:tcPr>
            <w:tcW w:w="1850" w:type="dxa"/>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8:30—17:30</w:t>
            </w:r>
          </w:p>
        </w:tc>
        <w:tc>
          <w:tcPr>
            <w:tcW w:w="1067" w:type="dxa"/>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2</w:t>
            </w:r>
          </w:p>
        </w:tc>
        <w:tc>
          <w:tcPr>
            <w:tcW w:w="1089" w:type="dxa"/>
            <w:vMerge w:val="restart"/>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73" w:type="dxa"/>
            <w:vMerge w:val="continue"/>
          </w:tcPr>
          <w:p>
            <w:pPr>
              <w:spacing w:line="240" w:lineRule="auto"/>
              <w:jc w:val="center"/>
              <w:rPr>
                <w:rFonts w:hint="eastAsia" w:ascii="宋体" w:hAnsi="宋体" w:eastAsia="宋体" w:cs="宋体"/>
                <w:bCs/>
                <w:szCs w:val="21"/>
                <w:highlight w:val="none"/>
              </w:rPr>
            </w:pPr>
          </w:p>
        </w:tc>
        <w:tc>
          <w:tcPr>
            <w:tcW w:w="724" w:type="dxa"/>
            <w:vMerge w:val="continue"/>
            <w:vAlign w:val="center"/>
          </w:tcPr>
          <w:p>
            <w:pPr>
              <w:spacing w:line="240" w:lineRule="auto"/>
              <w:jc w:val="center"/>
              <w:rPr>
                <w:rFonts w:hint="eastAsia" w:ascii="宋体" w:hAnsi="宋体" w:eastAsia="宋体" w:cs="宋体"/>
                <w:bCs/>
                <w:szCs w:val="21"/>
                <w:highlight w:val="none"/>
              </w:rPr>
            </w:pPr>
          </w:p>
        </w:tc>
        <w:tc>
          <w:tcPr>
            <w:tcW w:w="1683" w:type="dxa"/>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龙湫路</w:t>
            </w:r>
          </w:p>
        </w:tc>
        <w:tc>
          <w:tcPr>
            <w:tcW w:w="2083" w:type="dxa"/>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南湾路-天妃路</w:t>
            </w:r>
          </w:p>
        </w:tc>
        <w:tc>
          <w:tcPr>
            <w:tcW w:w="1050" w:type="dxa"/>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700</w:t>
            </w:r>
          </w:p>
        </w:tc>
        <w:tc>
          <w:tcPr>
            <w:tcW w:w="1850" w:type="dxa"/>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9：00-21：00</w:t>
            </w:r>
          </w:p>
        </w:tc>
        <w:tc>
          <w:tcPr>
            <w:tcW w:w="1067" w:type="dxa"/>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3</w:t>
            </w:r>
          </w:p>
        </w:tc>
        <w:tc>
          <w:tcPr>
            <w:tcW w:w="1089" w:type="dxa"/>
            <w:vMerge w:val="continue"/>
          </w:tcPr>
          <w:p>
            <w:pPr>
              <w:spacing w:line="240" w:lineRule="auto"/>
              <w:jc w:val="center"/>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73" w:type="dxa"/>
            <w:vMerge w:val="continue"/>
          </w:tcPr>
          <w:p>
            <w:pPr>
              <w:spacing w:line="240" w:lineRule="auto"/>
              <w:jc w:val="center"/>
              <w:rPr>
                <w:rFonts w:hint="eastAsia" w:ascii="宋体" w:hAnsi="宋体" w:eastAsia="宋体" w:cs="宋体"/>
                <w:bCs/>
                <w:szCs w:val="21"/>
                <w:highlight w:val="none"/>
              </w:rPr>
            </w:pPr>
          </w:p>
        </w:tc>
        <w:tc>
          <w:tcPr>
            <w:tcW w:w="724" w:type="dxa"/>
            <w:vMerge w:val="continue"/>
            <w:vAlign w:val="center"/>
          </w:tcPr>
          <w:p>
            <w:pPr>
              <w:spacing w:line="240" w:lineRule="auto"/>
              <w:jc w:val="center"/>
              <w:rPr>
                <w:rFonts w:hint="eastAsia" w:ascii="宋体" w:hAnsi="宋体" w:eastAsia="宋体" w:cs="宋体"/>
                <w:bCs/>
                <w:szCs w:val="21"/>
                <w:highlight w:val="none"/>
              </w:rPr>
            </w:pPr>
          </w:p>
        </w:tc>
        <w:tc>
          <w:tcPr>
            <w:tcW w:w="1683" w:type="dxa"/>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东风路</w:t>
            </w:r>
          </w:p>
        </w:tc>
        <w:tc>
          <w:tcPr>
            <w:tcW w:w="2083" w:type="dxa"/>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龙湫路-外环路</w:t>
            </w:r>
          </w:p>
        </w:tc>
        <w:tc>
          <w:tcPr>
            <w:tcW w:w="1050" w:type="dxa"/>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200</w:t>
            </w:r>
          </w:p>
        </w:tc>
        <w:tc>
          <w:tcPr>
            <w:tcW w:w="1850" w:type="dxa"/>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9：00-21：00</w:t>
            </w:r>
          </w:p>
        </w:tc>
        <w:tc>
          <w:tcPr>
            <w:tcW w:w="1067" w:type="dxa"/>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3</w:t>
            </w:r>
          </w:p>
        </w:tc>
        <w:tc>
          <w:tcPr>
            <w:tcW w:w="1089" w:type="dxa"/>
            <w:vMerge w:val="continue"/>
          </w:tcPr>
          <w:p>
            <w:pPr>
              <w:spacing w:line="240" w:lineRule="auto"/>
              <w:jc w:val="center"/>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73" w:type="dxa"/>
            <w:vMerge w:val="continue"/>
          </w:tcPr>
          <w:p>
            <w:pPr>
              <w:spacing w:line="240" w:lineRule="auto"/>
              <w:jc w:val="center"/>
              <w:rPr>
                <w:rFonts w:hint="eastAsia" w:ascii="宋体" w:hAnsi="宋体" w:eastAsia="宋体" w:cs="宋体"/>
                <w:bCs/>
                <w:szCs w:val="21"/>
                <w:highlight w:val="none"/>
              </w:rPr>
            </w:pPr>
          </w:p>
        </w:tc>
        <w:tc>
          <w:tcPr>
            <w:tcW w:w="724" w:type="dxa"/>
            <w:vMerge w:val="continue"/>
            <w:vAlign w:val="center"/>
          </w:tcPr>
          <w:p>
            <w:pPr>
              <w:spacing w:line="240" w:lineRule="auto"/>
              <w:jc w:val="center"/>
              <w:rPr>
                <w:rFonts w:hint="eastAsia" w:ascii="宋体" w:hAnsi="宋体" w:eastAsia="宋体" w:cs="宋体"/>
                <w:bCs/>
                <w:szCs w:val="21"/>
                <w:highlight w:val="none"/>
              </w:rPr>
            </w:pPr>
          </w:p>
        </w:tc>
        <w:tc>
          <w:tcPr>
            <w:tcW w:w="1683" w:type="dxa"/>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天妃路</w:t>
            </w:r>
          </w:p>
        </w:tc>
        <w:tc>
          <w:tcPr>
            <w:tcW w:w="2083" w:type="dxa"/>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中山路-市场路</w:t>
            </w:r>
          </w:p>
        </w:tc>
        <w:tc>
          <w:tcPr>
            <w:tcW w:w="1050" w:type="dxa"/>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1700</w:t>
            </w:r>
          </w:p>
        </w:tc>
        <w:tc>
          <w:tcPr>
            <w:tcW w:w="1850" w:type="dxa"/>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8:30—17:30</w:t>
            </w:r>
          </w:p>
        </w:tc>
        <w:tc>
          <w:tcPr>
            <w:tcW w:w="1067" w:type="dxa"/>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4</w:t>
            </w:r>
          </w:p>
        </w:tc>
        <w:tc>
          <w:tcPr>
            <w:tcW w:w="1089" w:type="dxa"/>
            <w:vMerge w:val="continue"/>
          </w:tcPr>
          <w:p>
            <w:pPr>
              <w:spacing w:line="240" w:lineRule="auto"/>
              <w:jc w:val="center"/>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73" w:type="dxa"/>
            <w:vMerge w:val="continue"/>
          </w:tcPr>
          <w:p>
            <w:pPr>
              <w:spacing w:line="240" w:lineRule="auto"/>
              <w:jc w:val="center"/>
              <w:rPr>
                <w:rFonts w:hint="eastAsia" w:ascii="宋体" w:hAnsi="宋体" w:eastAsia="宋体" w:cs="宋体"/>
                <w:bCs/>
                <w:szCs w:val="21"/>
                <w:highlight w:val="none"/>
              </w:rPr>
            </w:pPr>
          </w:p>
        </w:tc>
        <w:tc>
          <w:tcPr>
            <w:tcW w:w="724" w:type="dxa"/>
            <w:vMerge w:val="continue"/>
            <w:vAlign w:val="center"/>
          </w:tcPr>
          <w:p>
            <w:pPr>
              <w:spacing w:line="240" w:lineRule="auto"/>
              <w:jc w:val="center"/>
              <w:rPr>
                <w:rFonts w:hint="eastAsia" w:ascii="宋体" w:hAnsi="宋体" w:eastAsia="宋体" w:cs="宋体"/>
                <w:bCs/>
                <w:szCs w:val="21"/>
                <w:highlight w:val="none"/>
              </w:rPr>
            </w:pPr>
          </w:p>
        </w:tc>
        <w:tc>
          <w:tcPr>
            <w:tcW w:w="1683" w:type="dxa"/>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外环路</w:t>
            </w:r>
          </w:p>
        </w:tc>
        <w:tc>
          <w:tcPr>
            <w:tcW w:w="2083" w:type="dxa"/>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建港路-九龙山大道</w:t>
            </w:r>
          </w:p>
        </w:tc>
        <w:tc>
          <w:tcPr>
            <w:tcW w:w="1050" w:type="dxa"/>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2200</w:t>
            </w:r>
          </w:p>
        </w:tc>
        <w:tc>
          <w:tcPr>
            <w:tcW w:w="1850" w:type="dxa"/>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9：00-21：00</w:t>
            </w:r>
          </w:p>
        </w:tc>
        <w:tc>
          <w:tcPr>
            <w:tcW w:w="1067" w:type="dxa"/>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4</w:t>
            </w:r>
          </w:p>
        </w:tc>
        <w:tc>
          <w:tcPr>
            <w:tcW w:w="1089" w:type="dxa"/>
            <w:vMerge w:val="continue"/>
          </w:tcPr>
          <w:p>
            <w:pPr>
              <w:spacing w:line="240" w:lineRule="auto"/>
              <w:jc w:val="center"/>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73" w:type="dxa"/>
            <w:vMerge w:val="continue"/>
          </w:tcPr>
          <w:p>
            <w:pPr>
              <w:spacing w:line="240" w:lineRule="auto"/>
              <w:jc w:val="center"/>
              <w:rPr>
                <w:rFonts w:hint="eastAsia" w:ascii="宋体" w:hAnsi="宋体" w:eastAsia="宋体" w:cs="宋体"/>
                <w:bCs/>
                <w:szCs w:val="21"/>
                <w:highlight w:val="none"/>
              </w:rPr>
            </w:pPr>
          </w:p>
        </w:tc>
        <w:tc>
          <w:tcPr>
            <w:tcW w:w="724" w:type="dxa"/>
            <w:vMerge w:val="continue"/>
            <w:vAlign w:val="center"/>
          </w:tcPr>
          <w:p>
            <w:pPr>
              <w:spacing w:line="240" w:lineRule="auto"/>
              <w:jc w:val="center"/>
              <w:rPr>
                <w:rFonts w:hint="eastAsia" w:ascii="宋体" w:hAnsi="宋体" w:eastAsia="宋体" w:cs="宋体"/>
                <w:bCs/>
                <w:szCs w:val="21"/>
                <w:highlight w:val="none"/>
              </w:rPr>
            </w:pPr>
          </w:p>
        </w:tc>
        <w:tc>
          <w:tcPr>
            <w:tcW w:w="1683" w:type="dxa"/>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建港路</w:t>
            </w:r>
          </w:p>
        </w:tc>
        <w:tc>
          <w:tcPr>
            <w:tcW w:w="2083" w:type="dxa"/>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中山路-市场路</w:t>
            </w:r>
          </w:p>
        </w:tc>
        <w:tc>
          <w:tcPr>
            <w:tcW w:w="1050" w:type="dxa"/>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1700</w:t>
            </w:r>
          </w:p>
        </w:tc>
        <w:tc>
          <w:tcPr>
            <w:tcW w:w="1850" w:type="dxa"/>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8:30—17:30</w:t>
            </w:r>
          </w:p>
        </w:tc>
        <w:tc>
          <w:tcPr>
            <w:tcW w:w="1067" w:type="dxa"/>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4</w:t>
            </w:r>
          </w:p>
        </w:tc>
        <w:tc>
          <w:tcPr>
            <w:tcW w:w="1089" w:type="dxa"/>
            <w:vMerge w:val="continue"/>
          </w:tcPr>
          <w:p>
            <w:pPr>
              <w:spacing w:line="240" w:lineRule="auto"/>
              <w:jc w:val="center"/>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73" w:type="dxa"/>
            <w:vMerge w:val="continue"/>
          </w:tcPr>
          <w:p>
            <w:pPr>
              <w:spacing w:line="240" w:lineRule="auto"/>
              <w:jc w:val="center"/>
              <w:rPr>
                <w:rFonts w:hint="eastAsia" w:ascii="宋体" w:hAnsi="宋体" w:eastAsia="宋体" w:cs="宋体"/>
                <w:bCs/>
                <w:szCs w:val="21"/>
                <w:highlight w:val="none"/>
              </w:rPr>
            </w:pPr>
          </w:p>
        </w:tc>
        <w:tc>
          <w:tcPr>
            <w:tcW w:w="724" w:type="dxa"/>
            <w:vMerge w:val="continue"/>
            <w:vAlign w:val="center"/>
          </w:tcPr>
          <w:p>
            <w:pPr>
              <w:spacing w:line="240" w:lineRule="auto"/>
              <w:jc w:val="center"/>
              <w:rPr>
                <w:rFonts w:hint="eastAsia" w:ascii="宋体" w:hAnsi="宋体" w:eastAsia="宋体" w:cs="宋体"/>
                <w:bCs/>
                <w:szCs w:val="21"/>
                <w:highlight w:val="none"/>
              </w:rPr>
            </w:pPr>
          </w:p>
        </w:tc>
        <w:tc>
          <w:tcPr>
            <w:tcW w:w="4816" w:type="dxa"/>
            <w:gridSpan w:val="3"/>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每天安排5名人员参与局早间集中巡查行动</w:t>
            </w:r>
          </w:p>
        </w:tc>
        <w:tc>
          <w:tcPr>
            <w:tcW w:w="1850" w:type="dxa"/>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 xml:space="preserve">3:30—9:00  </w:t>
            </w:r>
          </w:p>
        </w:tc>
        <w:tc>
          <w:tcPr>
            <w:tcW w:w="1067" w:type="dxa"/>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5</w:t>
            </w:r>
          </w:p>
        </w:tc>
        <w:tc>
          <w:tcPr>
            <w:tcW w:w="1089" w:type="dxa"/>
            <w:vMerge w:val="continue"/>
          </w:tcPr>
          <w:p>
            <w:pPr>
              <w:spacing w:line="240" w:lineRule="auto"/>
              <w:jc w:val="center"/>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73" w:type="dxa"/>
            <w:vMerge w:val="continue"/>
          </w:tcPr>
          <w:p>
            <w:pPr>
              <w:spacing w:line="240" w:lineRule="auto"/>
              <w:jc w:val="center"/>
              <w:rPr>
                <w:rFonts w:hint="eastAsia" w:ascii="宋体" w:hAnsi="宋体" w:eastAsia="宋体" w:cs="宋体"/>
                <w:bCs/>
                <w:szCs w:val="21"/>
                <w:highlight w:val="none"/>
              </w:rPr>
            </w:pPr>
          </w:p>
        </w:tc>
        <w:tc>
          <w:tcPr>
            <w:tcW w:w="724" w:type="dxa"/>
            <w:vMerge w:val="continue"/>
            <w:vAlign w:val="center"/>
          </w:tcPr>
          <w:p>
            <w:pPr>
              <w:spacing w:line="240" w:lineRule="auto"/>
              <w:jc w:val="center"/>
              <w:rPr>
                <w:rFonts w:hint="eastAsia" w:ascii="宋体" w:hAnsi="宋体" w:eastAsia="宋体" w:cs="宋体"/>
                <w:bCs/>
                <w:szCs w:val="21"/>
                <w:highlight w:val="none"/>
              </w:rPr>
            </w:pPr>
          </w:p>
        </w:tc>
        <w:tc>
          <w:tcPr>
            <w:tcW w:w="4816" w:type="dxa"/>
            <w:gridSpan w:val="3"/>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每天安排5名人员参与局晚间集中巡查行动</w:t>
            </w:r>
          </w:p>
        </w:tc>
        <w:tc>
          <w:tcPr>
            <w:tcW w:w="1850" w:type="dxa"/>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16:30—21:30</w:t>
            </w:r>
          </w:p>
        </w:tc>
        <w:tc>
          <w:tcPr>
            <w:tcW w:w="1067" w:type="dxa"/>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5</w:t>
            </w:r>
          </w:p>
        </w:tc>
        <w:tc>
          <w:tcPr>
            <w:tcW w:w="1089" w:type="dxa"/>
            <w:vMerge w:val="continue"/>
          </w:tcPr>
          <w:p>
            <w:pPr>
              <w:spacing w:line="240" w:lineRule="auto"/>
              <w:jc w:val="center"/>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73" w:type="dxa"/>
            <w:vMerge w:val="continue"/>
          </w:tcPr>
          <w:p>
            <w:pPr>
              <w:spacing w:line="240" w:lineRule="auto"/>
              <w:jc w:val="center"/>
              <w:rPr>
                <w:rFonts w:hint="eastAsia" w:ascii="宋体" w:hAnsi="宋体" w:eastAsia="宋体" w:cs="宋体"/>
                <w:bCs/>
                <w:szCs w:val="21"/>
                <w:highlight w:val="none"/>
              </w:rPr>
            </w:pPr>
          </w:p>
        </w:tc>
        <w:tc>
          <w:tcPr>
            <w:tcW w:w="8457" w:type="dxa"/>
            <w:gridSpan w:val="6"/>
            <w:vAlign w:val="center"/>
          </w:tcPr>
          <w:p>
            <w:pPr>
              <w:spacing w:line="240" w:lineRule="auto"/>
              <w:jc w:val="center"/>
              <w:rPr>
                <w:rFonts w:hint="eastAsia" w:ascii="宋体" w:hAnsi="宋体" w:eastAsia="宋体" w:cs="宋体"/>
                <w:bCs/>
                <w:szCs w:val="21"/>
                <w:highlight w:val="none"/>
              </w:rPr>
            </w:pPr>
            <w:r>
              <w:rPr>
                <w:rFonts w:hint="eastAsia" w:ascii="宋体" w:hAnsi="宋体" w:eastAsia="宋体" w:cs="宋体"/>
                <w:bCs/>
                <w:szCs w:val="21"/>
                <w:highlight w:val="none"/>
                <w:lang w:val="en-US" w:eastAsia="zh-CN"/>
              </w:rPr>
              <w:t>合计30人，需</w:t>
            </w:r>
            <w:r>
              <w:rPr>
                <w:rFonts w:hint="eastAsia" w:ascii="宋体" w:hAnsi="宋体" w:eastAsia="宋体" w:cs="宋体"/>
                <w:highlight w:val="none"/>
                <w:lang w:val="en-US" w:eastAsia="zh-CN"/>
              </w:rPr>
              <w:t>设立市容秩序维护服务片区队长1人，片区班长2人</w:t>
            </w:r>
          </w:p>
        </w:tc>
        <w:tc>
          <w:tcPr>
            <w:tcW w:w="1089" w:type="dxa"/>
            <w:vMerge w:val="continue"/>
          </w:tcPr>
          <w:p>
            <w:pPr>
              <w:spacing w:line="240" w:lineRule="auto"/>
              <w:jc w:val="center"/>
              <w:rPr>
                <w:rFonts w:hint="eastAsia" w:ascii="宋体" w:hAnsi="宋体" w:eastAsia="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930" w:type="dxa"/>
            <w:gridSpan w:val="7"/>
          </w:tcPr>
          <w:p>
            <w:pPr>
              <w:spacing w:line="240"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合计</w:t>
            </w:r>
          </w:p>
        </w:tc>
        <w:tc>
          <w:tcPr>
            <w:tcW w:w="1089" w:type="dxa"/>
          </w:tcPr>
          <w:p>
            <w:pPr>
              <w:spacing w:line="240"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510</w:t>
            </w:r>
          </w:p>
        </w:tc>
      </w:tr>
    </w:tbl>
    <w:p>
      <w:pPr>
        <w:wordWrap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备注：本项目分为2个标段，允许投标人投一个或二个标段，先开一标段，后开二标段，采用中一退一的方式。招标人可根据工作实际对路段及人员进行适当调整。</w:t>
      </w:r>
    </w:p>
    <w:p>
      <w:pPr>
        <w:pStyle w:val="115"/>
        <w:ind w:firstLine="422"/>
        <w:outlineLvl w:val="2"/>
        <w:rPr>
          <w:rFonts w:ascii="宋体" w:cs="宋体"/>
          <w:sz w:val="21"/>
          <w:szCs w:val="21"/>
        </w:rPr>
      </w:pPr>
      <w:r>
        <w:rPr>
          <w:rFonts w:hint="eastAsia" w:ascii="宋体" w:hAnsi="宋体" w:cs="宋体"/>
          <w:b/>
          <w:sz w:val="21"/>
          <w:szCs w:val="21"/>
          <w:highlight w:val="none"/>
        </w:rPr>
        <w:t>合同履约期限：</w:t>
      </w:r>
      <w:r>
        <w:rPr>
          <w:rFonts w:hint="eastAsia" w:ascii="宋体" w:hAnsi="宋体" w:cs="宋体"/>
          <w:sz w:val="21"/>
          <w:szCs w:val="21"/>
          <w:highlight w:val="none"/>
          <w:u w:val="single"/>
        </w:rPr>
        <w:t>一年。招标单位有权制订相应考核办法，对投标单位的工作进行考核，投标单位必须无条件予以接受。在第一年合同期满前一个月，采购单位将对中标人在合同期内的工作表现做出综合评价以决定是否续约。如中标人达到采购单位各项考核标准，双方协商，经财政部门批准后，合同承包期限可顺延一年（费用与上一年一致，不作调整），续签最长不超过</w:t>
      </w:r>
      <w:r>
        <w:rPr>
          <w:rFonts w:ascii="宋体" w:hAnsi="宋体" w:cs="宋体"/>
          <w:sz w:val="21"/>
          <w:szCs w:val="21"/>
          <w:highlight w:val="none"/>
          <w:u w:val="single"/>
        </w:rPr>
        <w:t>2</w:t>
      </w:r>
      <w:r>
        <w:rPr>
          <w:rFonts w:hint="eastAsia" w:ascii="宋体" w:hAnsi="宋体" w:cs="宋体"/>
          <w:sz w:val="21"/>
          <w:szCs w:val="21"/>
          <w:highlight w:val="none"/>
          <w:u w:val="single"/>
        </w:rPr>
        <w:t>次。</w:t>
      </w:r>
    </w:p>
    <w:p>
      <w:pPr>
        <w:pStyle w:val="6"/>
        <w:spacing w:line="360" w:lineRule="auto"/>
        <w:ind w:firstLine="480"/>
        <w:rPr>
          <w:rFonts w:ascii="宋体" w:cs="宋体"/>
          <w:b/>
          <w:sz w:val="21"/>
          <w:szCs w:val="21"/>
        </w:rPr>
      </w:pPr>
      <w:r>
        <w:rPr>
          <w:rFonts w:hint="eastAsia" w:ascii="宋体" w:hAnsi="宋体" w:cs="宋体"/>
          <w:b/>
          <w:sz w:val="21"/>
          <w:szCs w:val="21"/>
        </w:rPr>
        <w:t>本项目接受联合体投标：否</w:t>
      </w:r>
      <w:r>
        <w:rPr>
          <w:rFonts w:hint="eastAsia" w:ascii="宋体" w:hAnsi="宋体" w:cs="宋体"/>
          <w:sz w:val="21"/>
          <w:szCs w:val="21"/>
        </w:rPr>
        <w:t>。</w:t>
      </w:r>
    </w:p>
    <w:p>
      <w:pPr>
        <w:spacing w:line="360" w:lineRule="auto"/>
        <w:rPr>
          <w:rFonts w:ascii="宋体" w:cs="宋体"/>
          <w:b/>
          <w:szCs w:val="21"/>
        </w:rPr>
      </w:pPr>
      <w:r>
        <w:rPr>
          <w:rFonts w:hint="eastAsia" w:ascii="宋体" w:hAnsi="宋体" w:cs="宋体"/>
          <w:b/>
          <w:szCs w:val="21"/>
        </w:rPr>
        <w:t>二、申请人的资格要求：</w:t>
      </w:r>
    </w:p>
    <w:p>
      <w:pPr>
        <w:spacing w:line="360" w:lineRule="auto"/>
        <w:ind w:firstLine="480"/>
        <w:rPr>
          <w:rFonts w:ascii="宋体" w:cs="宋体"/>
          <w:snapToGrid w:val="0"/>
          <w:kern w:val="28"/>
          <w:szCs w:val="21"/>
        </w:rPr>
      </w:pPr>
      <w:r>
        <w:rPr>
          <w:rFonts w:ascii="宋体" w:hAnsi="宋体" w:cs="宋体"/>
          <w:snapToGrid w:val="0"/>
          <w:kern w:val="28"/>
          <w:szCs w:val="21"/>
        </w:rPr>
        <w:t xml:space="preserve">1. </w:t>
      </w:r>
      <w:r>
        <w:rPr>
          <w:rFonts w:hint="eastAsia" w:ascii="宋体" w:hAnsi="宋体" w:cs="宋体"/>
          <w:snapToGrid w:val="0"/>
          <w:kern w:val="28"/>
          <w:szCs w:val="21"/>
        </w:rPr>
        <w:t>满足《中华人民共和国政府采购法》第二十二条规定；未被“信用中国”（</w:t>
      </w:r>
      <w:r>
        <w:rPr>
          <w:rFonts w:ascii="宋体" w:hAnsi="宋体" w:cs="宋体"/>
          <w:snapToGrid w:val="0"/>
          <w:kern w:val="28"/>
          <w:szCs w:val="21"/>
        </w:rPr>
        <w:t>www.creditchina.gov.cn)</w:t>
      </w:r>
      <w:r>
        <w:rPr>
          <w:rFonts w:hint="eastAsia" w:ascii="宋体" w:hAnsi="宋体" w:cs="宋体"/>
          <w:snapToGrid w:val="0"/>
          <w:kern w:val="28"/>
          <w:szCs w:val="21"/>
        </w:rPr>
        <w:t>、中国政府采购网（</w:t>
      </w:r>
      <w:r>
        <w:rPr>
          <w:rFonts w:ascii="宋体" w:hAnsi="宋体" w:cs="宋体"/>
          <w:snapToGrid w:val="0"/>
          <w:kern w:val="28"/>
          <w:szCs w:val="21"/>
        </w:rPr>
        <w:t>www.ccgp.gov.cn</w:t>
      </w:r>
      <w:r>
        <w:rPr>
          <w:rFonts w:hint="eastAsia" w:ascii="宋体" w:hAnsi="宋体" w:cs="宋体"/>
          <w:snapToGrid w:val="0"/>
          <w:kern w:val="28"/>
          <w:szCs w:val="21"/>
        </w:rPr>
        <w:t>）列入失信被执行人、重大税收违法案件当事人名单、政府采购严重违法失信行为记录名单；</w:t>
      </w:r>
    </w:p>
    <w:p>
      <w:pPr>
        <w:spacing w:line="360" w:lineRule="auto"/>
        <w:rPr>
          <w:rFonts w:ascii="宋体" w:cs="宋体"/>
          <w:snapToGrid w:val="0"/>
          <w:kern w:val="28"/>
          <w:szCs w:val="21"/>
        </w:rPr>
      </w:pPr>
      <w:r>
        <w:rPr>
          <w:rFonts w:ascii="宋体" w:hAnsi="宋体" w:cs="宋体"/>
          <w:snapToGrid w:val="0"/>
          <w:kern w:val="28"/>
          <w:szCs w:val="21"/>
        </w:rPr>
        <w:t xml:space="preserve">    2.</w:t>
      </w:r>
      <w:r>
        <w:rPr>
          <w:rFonts w:hint="eastAsia" w:ascii="宋体" w:hAnsi="宋体" w:cs="宋体"/>
          <w:snapToGrid w:val="0"/>
          <w:kern w:val="28"/>
          <w:szCs w:val="21"/>
        </w:rPr>
        <w:t>落实政府采购政策需满足的资格要求：</w:t>
      </w:r>
    </w:p>
    <w:p>
      <w:pPr>
        <w:spacing w:line="360" w:lineRule="auto"/>
        <w:ind w:firstLine="420" w:firstLineChars="200"/>
        <w:rPr>
          <w:rFonts w:ascii="宋体" w:cs="宋体"/>
          <w:szCs w:val="21"/>
        </w:rPr>
      </w:pPr>
      <w:r>
        <w:rPr>
          <w:rFonts w:hint="eastAsia" w:ascii="宋体" w:hAnsi="Wingdings" w:cs="宋体"/>
          <w:kern w:val="0"/>
          <w:szCs w:val="20"/>
        </w:rPr>
        <w:sym w:font="Wingdings" w:char="00A8"/>
      </w:r>
      <w:r>
        <w:rPr>
          <w:rFonts w:hint="eastAsia" w:ascii="宋体" w:hAnsi="宋体" w:cs="宋体"/>
          <w:szCs w:val="21"/>
        </w:rPr>
        <w:t>无；</w:t>
      </w:r>
    </w:p>
    <w:p>
      <w:pPr>
        <w:spacing w:line="360" w:lineRule="auto"/>
        <w:ind w:firstLine="420" w:firstLineChars="200"/>
        <w:rPr>
          <w:rFonts w:ascii="宋体" w:cs="宋体"/>
          <w:szCs w:val="21"/>
        </w:rPr>
      </w:pPr>
      <w:r>
        <w:rPr>
          <w:rFonts w:hint="eastAsia" w:ascii="宋体" w:hAnsi="Wingdings" w:cs="宋体"/>
          <w:kern w:val="0"/>
          <w:szCs w:val="20"/>
        </w:rPr>
        <w:sym w:font="Wingdings" w:char="00FE"/>
      </w:r>
      <w:r>
        <w:rPr>
          <w:rFonts w:hint="eastAsia" w:ascii="宋体" w:hAnsi="宋体" w:cs="宋体"/>
          <w:kern w:val="0"/>
          <w:szCs w:val="21"/>
        </w:rPr>
        <w:t>专</w:t>
      </w:r>
      <w:r>
        <w:rPr>
          <w:rFonts w:hint="eastAsia" w:ascii="宋体" w:hAnsi="宋体" w:cs="宋体"/>
          <w:szCs w:val="21"/>
        </w:rPr>
        <w:t>门面向中小企业</w:t>
      </w:r>
    </w:p>
    <w:p>
      <w:pPr>
        <w:spacing w:line="360" w:lineRule="auto"/>
        <w:ind w:firstLine="785" w:firstLineChars="374"/>
        <w:rPr>
          <w:rFonts w:ascii="宋体" w:cs="宋体"/>
          <w:szCs w:val="21"/>
          <w:u w:val="single"/>
        </w:rPr>
      </w:pPr>
      <w:r>
        <w:rPr>
          <w:rFonts w:hint="eastAsia" w:ascii="MS Mincho" w:hAnsi="MS Mincho" w:eastAsia="MS Mincho" w:cs="MS Mincho"/>
          <w:kern w:val="0"/>
          <w:szCs w:val="21"/>
        </w:rPr>
        <w:t>☐</w:t>
      </w:r>
      <w:r>
        <w:rPr>
          <w:rFonts w:hint="eastAsia" w:ascii="宋体" w:hAnsi="宋体" w:cs="宋体"/>
          <w:szCs w:val="21"/>
        </w:rPr>
        <w:t>货物全部由符合政策要求的中小企业制造，提供中小企业声明函；</w:t>
      </w:r>
    </w:p>
    <w:p>
      <w:pPr>
        <w:spacing w:line="360" w:lineRule="auto"/>
        <w:ind w:firstLine="785" w:firstLineChars="374"/>
        <w:rPr>
          <w:rFonts w:ascii="宋体" w:cs="宋体"/>
          <w:szCs w:val="21"/>
        </w:rPr>
      </w:pPr>
      <w:r>
        <w:rPr>
          <w:rFonts w:hint="eastAsia" w:ascii="MS Mincho" w:hAnsi="MS Mincho" w:eastAsia="MS Mincho" w:cs="MS Mincho"/>
          <w:kern w:val="0"/>
          <w:szCs w:val="21"/>
        </w:rPr>
        <w:t>☐</w:t>
      </w:r>
      <w:r>
        <w:rPr>
          <w:rFonts w:hint="eastAsia" w:ascii="宋体" w:hAnsi="宋体" w:cs="宋体"/>
          <w:szCs w:val="21"/>
        </w:rPr>
        <w:t>货物全部由符合政策要求的小微企业制造，提供中小企业声明函；</w:t>
      </w:r>
    </w:p>
    <w:p>
      <w:pPr>
        <w:spacing w:line="360" w:lineRule="auto"/>
        <w:ind w:firstLine="785" w:firstLineChars="374"/>
        <w:rPr>
          <w:rFonts w:ascii="宋体" w:cs="宋体"/>
          <w:szCs w:val="21"/>
        </w:rPr>
      </w:pPr>
      <w:r>
        <w:rPr>
          <w:rFonts w:hint="eastAsia" w:ascii="宋体" w:hAnsi="Wingdings" w:cs="宋体"/>
          <w:kern w:val="0"/>
          <w:szCs w:val="20"/>
        </w:rPr>
        <w:sym w:font="Wingdings" w:char="00FE"/>
      </w:r>
      <w:r>
        <w:rPr>
          <w:rFonts w:hint="eastAsia" w:ascii="宋体" w:hAnsi="宋体" w:cs="宋体"/>
          <w:szCs w:val="21"/>
        </w:rPr>
        <w:t>服务全部由符合政策要求的中小企业承接，提供中小企业声明函；</w:t>
      </w:r>
    </w:p>
    <w:p>
      <w:pPr>
        <w:spacing w:line="360" w:lineRule="auto"/>
        <w:ind w:firstLine="785" w:firstLineChars="374"/>
        <w:rPr>
          <w:rFonts w:ascii="宋体" w:cs="宋体"/>
          <w:szCs w:val="21"/>
        </w:rPr>
      </w:pPr>
      <w:r>
        <w:rPr>
          <w:rFonts w:hint="eastAsia" w:ascii="宋体" w:hAnsi="Wingdings" w:cs="宋体"/>
          <w:kern w:val="0"/>
          <w:szCs w:val="20"/>
        </w:rPr>
        <w:sym w:font="Wingdings" w:char="00FE"/>
      </w:r>
      <w:r>
        <w:rPr>
          <w:rFonts w:hint="eastAsia" w:ascii="宋体" w:hAnsi="宋体" w:cs="宋体"/>
          <w:szCs w:val="21"/>
        </w:rPr>
        <w:t>服务全部由符合政策要求的小微企业承接，提供中小企业声明函；</w:t>
      </w:r>
    </w:p>
    <w:p>
      <w:pPr>
        <w:rPr>
          <w:rFonts w:ascii="宋体" w:cs="宋体"/>
          <w:szCs w:val="21"/>
        </w:rPr>
      </w:pPr>
    </w:p>
    <w:p>
      <w:pPr>
        <w:spacing w:line="360" w:lineRule="auto"/>
        <w:ind w:firstLine="420" w:firstLineChars="200"/>
        <w:rPr>
          <w:rFonts w:ascii="宋体" w:cs="宋体"/>
          <w:szCs w:val="21"/>
        </w:rPr>
      </w:pPr>
      <w:r>
        <w:rPr>
          <w:rFonts w:hint="eastAsia" w:ascii="MS Mincho" w:hAnsi="MS Mincho" w:eastAsia="MS Mincho" w:cs="MS Mincho"/>
          <w:kern w:val="0"/>
          <w:szCs w:val="21"/>
        </w:rPr>
        <w:t>☐</w:t>
      </w:r>
      <w:r>
        <w:rPr>
          <w:rFonts w:hint="eastAsia" w:ascii="宋体" w:hAnsi="宋体" w:cs="宋体"/>
          <w:szCs w:val="21"/>
        </w:rPr>
        <w:t>要求以联合体形式参加，提供联合协议和中小企业声明函，联合协议中中小企业合同金额应当达到</w:t>
      </w:r>
      <w:r>
        <w:rPr>
          <w:rFonts w:ascii="宋体" w:hAnsi="宋体" w:cs="宋体"/>
          <w:szCs w:val="21"/>
          <w:u w:val="single"/>
        </w:rPr>
        <w:t xml:space="preserve">  </w:t>
      </w:r>
      <w:r>
        <w:rPr>
          <w:rFonts w:ascii="宋体" w:hAnsi="宋体" w:cs="宋体"/>
          <w:szCs w:val="21"/>
        </w:rPr>
        <w:t>%</w:t>
      </w:r>
      <w:r>
        <w:rPr>
          <w:rFonts w:hint="eastAsia" w:ascii="宋体" w:hAnsi="宋体" w:cs="宋体"/>
          <w:szCs w:val="21"/>
        </w:rPr>
        <w:t>，小微企业合同金额应当达到</w:t>
      </w:r>
      <w:r>
        <w:rPr>
          <w:rFonts w:ascii="宋体" w:hAnsi="宋体" w:cs="宋体"/>
          <w:szCs w:val="21"/>
          <w:u w:val="single"/>
        </w:rPr>
        <w:t xml:space="preserve"> </w:t>
      </w:r>
      <w:r>
        <w:rPr>
          <w:rFonts w:ascii="宋体" w:hAnsi="宋体" w:cs="宋体"/>
          <w:szCs w:val="21"/>
        </w:rPr>
        <w:t>%;</w:t>
      </w:r>
      <w:r>
        <w:rPr>
          <w:rFonts w:hint="eastAsia" w:ascii="宋体" w:hAnsi="宋体" w:cs="宋体"/>
          <w:spacing w:val="8"/>
          <w:kern w:val="0"/>
          <w:szCs w:val="21"/>
        </w:rPr>
        <w:t>如果供应商本身提供所有标的均由中小企业制造、承建或承接，视同符合了资格条件，无需再与其他中小企业组成联合体参加政府采购活动，无需提供联合协议</w:t>
      </w:r>
      <w:r>
        <w:rPr>
          <w:rFonts w:hint="eastAsia" w:ascii="宋体" w:hAnsi="宋体" w:cs="宋体"/>
          <w:szCs w:val="21"/>
        </w:rPr>
        <w:t>；</w:t>
      </w:r>
    </w:p>
    <w:p>
      <w:pPr>
        <w:spacing w:line="360" w:lineRule="auto"/>
        <w:ind w:firstLine="420" w:firstLineChars="200"/>
        <w:rPr>
          <w:rFonts w:ascii="宋体" w:cs="宋体"/>
          <w:szCs w:val="21"/>
        </w:rPr>
      </w:pPr>
      <w:r>
        <w:rPr>
          <w:rFonts w:hint="eastAsia" w:ascii="MS Mincho" w:hAnsi="MS Mincho" w:eastAsia="MS Mincho" w:cs="MS Mincho"/>
          <w:kern w:val="0"/>
          <w:szCs w:val="21"/>
        </w:rPr>
        <w:t>☐</w:t>
      </w:r>
      <w:r>
        <w:rPr>
          <w:rFonts w:hint="eastAsia" w:ascii="宋体" w:hAnsi="宋体" w:cs="宋体"/>
          <w:szCs w:val="21"/>
        </w:rPr>
        <w:t>要求合同分包，提供分包意向协议和中小企业声明函，分包意向协议中中小企业合同金额应当达到达到</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，小微企业合同金额应当达到</w:t>
      </w:r>
      <w:r>
        <w:rPr>
          <w:rFonts w:ascii="宋体" w:hAnsi="宋体" w:cs="宋体"/>
          <w:szCs w:val="21"/>
          <w:u w:val="single"/>
        </w:rPr>
        <w:t xml:space="preserve"> </w:t>
      </w:r>
      <w:r>
        <w:rPr>
          <w:rFonts w:ascii="宋体" w:hAnsi="宋体" w:cs="宋体"/>
          <w:szCs w:val="21"/>
        </w:rPr>
        <w:t>% ;</w:t>
      </w:r>
      <w:r>
        <w:rPr>
          <w:rFonts w:hint="eastAsia" w:ascii="宋体" w:hAnsi="宋体" w:cs="宋体"/>
          <w:spacing w:val="8"/>
          <w:kern w:val="0"/>
          <w:szCs w:val="21"/>
        </w:rPr>
        <w:t>如果供应商本身提供所有标的均由中小企业制造、承建或承接，视同符合了资格条件，无需再向中小企业分包，无需提供分包意向协议</w:t>
      </w:r>
      <w:r>
        <w:rPr>
          <w:rFonts w:hint="eastAsia" w:ascii="宋体" w:hAnsi="宋体" w:cs="宋体"/>
          <w:szCs w:val="21"/>
        </w:rPr>
        <w:t>；</w:t>
      </w:r>
    </w:p>
    <w:p>
      <w:pPr>
        <w:spacing w:line="360" w:lineRule="auto"/>
        <w:ind w:firstLine="420" w:firstLineChars="200"/>
        <w:rPr>
          <w:rFonts w:ascii="宋体" w:cs="宋体"/>
          <w:szCs w:val="21"/>
          <w:highlight w:val="none"/>
        </w:rPr>
      </w:pPr>
      <w:r>
        <w:rPr>
          <w:rFonts w:ascii="宋体" w:hAnsi="宋体" w:cs="宋体"/>
          <w:szCs w:val="21"/>
        </w:rPr>
        <w:t>3.</w:t>
      </w:r>
      <w:r>
        <w:rPr>
          <w:rFonts w:hint="eastAsia" w:ascii="宋体" w:hAnsi="宋体" w:cs="宋体"/>
          <w:szCs w:val="21"/>
        </w:rPr>
        <w:t>本项目的特定资</w:t>
      </w:r>
      <w:r>
        <w:rPr>
          <w:rFonts w:hint="eastAsia" w:ascii="宋体" w:hAnsi="宋体" w:cs="宋体"/>
          <w:szCs w:val="21"/>
          <w:highlight w:val="none"/>
        </w:rPr>
        <w:t>格要求：</w:t>
      </w:r>
      <w:r>
        <w:rPr>
          <w:rFonts w:hint="eastAsia" w:ascii="宋体" w:hAnsi="宋体" w:cs="宋体"/>
          <w:szCs w:val="21"/>
          <w:highlight w:val="none"/>
          <w:u w:val="single"/>
        </w:rPr>
        <w:t>无；</w:t>
      </w:r>
    </w:p>
    <w:p>
      <w:pPr>
        <w:snapToGrid w:val="0"/>
        <w:spacing w:line="360" w:lineRule="auto"/>
        <w:ind w:firstLine="420" w:firstLineChars="200"/>
        <w:rPr>
          <w:rFonts w:ascii="宋体" w:cs="宋体"/>
          <w:szCs w:val="21"/>
        </w:rPr>
      </w:pPr>
      <w:r>
        <w:rPr>
          <w:rFonts w:ascii="宋体" w:hAnsi="宋体" w:cs="宋体"/>
          <w:szCs w:val="21"/>
          <w:highlight w:val="none"/>
        </w:rPr>
        <w:t>4.</w:t>
      </w:r>
      <w:r>
        <w:rPr>
          <w:rFonts w:hint="eastAsia" w:ascii="宋体" w:hAnsi="宋体" w:cs="宋体"/>
          <w:szCs w:val="21"/>
          <w:highlight w:val="none"/>
        </w:rPr>
        <w:t>单位负责人为同一人或者存在直接控股、管理关系的不同供应商，不得参加同一合同项下的政府采购活动；为采购项</w:t>
      </w:r>
      <w:r>
        <w:rPr>
          <w:rFonts w:hint="eastAsia" w:ascii="宋体" w:hAnsi="宋体" w:cs="宋体"/>
          <w:szCs w:val="21"/>
        </w:rPr>
        <w:t>目提供整体设计、规范编制或者项目管理、监理、检测等服务后不得再参加该采购项目的其他采购活动。</w:t>
      </w:r>
    </w:p>
    <w:p>
      <w:pPr>
        <w:spacing w:line="360" w:lineRule="auto"/>
        <w:rPr>
          <w:rFonts w:ascii="宋体" w:cs="宋体"/>
          <w:b/>
          <w:szCs w:val="21"/>
        </w:rPr>
      </w:pPr>
      <w:r>
        <w:rPr>
          <w:rFonts w:hint="eastAsia" w:ascii="宋体" w:hAnsi="宋体" w:cs="宋体"/>
          <w:b/>
          <w:szCs w:val="21"/>
        </w:rPr>
        <w:t>三、获取招标文件</w:t>
      </w:r>
      <w:r>
        <w:rPr>
          <w:rFonts w:ascii="宋体" w:hAnsi="宋体" w:cs="宋体"/>
          <w:b/>
          <w:szCs w:val="21"/>
        </w:rPr>
        <w:t xml:space="preserve"> </w:t>
      </w:r>
    </w:p>
    <w:p>
      <w:pPr>
        <w:spacing w:line="360" w:lineRule="auto"/>
        <w:ind w:firstLine="422" w:firstLineChars="200"/>
        <w:rPr>
          <w:rFonts w:ascii="宋体" w:cs="宋体"/>
          <w:szCs w:val="21"/>
        </w:rPr>
      </w:pPr>
      <w:r>
        <w:rPr>
          <w:rFonts w:hint="eastAsia" w:ascii="宋体" w:hAnsi="宋体" w:cs="宋体"/>
          <w:b/>
          <w:szCs w:val="21"/>
        </w:rPr>
        <w:t>时间：</w:t>
      </w:r>
      <w:r>
        <w:rPr>
          <w:rFonts w:ascii="宋体" w:hAnsi="宋体" w:cs="宋体"/>
          <w:szCs w:val="21"/>
        </w:rPr>
        <w:t>/</w:t>
      </w:r>
      <w:r>
        <w:rPr>
          <w:rFonts w:hint="eastAsia" w:ascii="宋体" w:hAnsi="宋体" w:cs="宋体"/>
          <w:szCs w:val="21"/>
        </w:rPr>
        <w:t>至</w:t>
      </w:r>
      <w:r>
        <w:rPr>
          <w:rFonts w:ascii="宋体" w:hAnsi="宋体" w:cs="宋体"/>
          <w:szCs w:val="21"/>
        </w:rPr>
        <w:t>2022</w:t>
      </w:r>
      <w:r>
        <w:rPr>
          <w:rFonts w:hint="eastAsia" w:ascii="宋体" w:hAnsi="宋体" w:cs="宋体"/>
          <w:szCs w:val="21"/>
        </w:rPr>
        <w:t>年</w:t>
      </w:r>
      <w:r>
        <w:rPr>
          <w:rFonts w:hint="eastAsia" w:ascii="宋体" w:hAnsi="宋体" w:cs="宋体"/>
          <w:szCs w:val="21"/>
          <w:lang w:eastAsia="zh-CN"/>
        </w:rPr>
        <w:t>10月17日</w:t>
      </w:r>
      <w:r>
        <w:rPr>
          <w:rFonts w:hint="eastAsia" w:ascii="宋体" w:hAnsi="宋体" w:cs="宋体"/>
          <w:szCs w:val="21"/>
        </w:rPr>
        <w:t>，每天上午</w:t>
      </w:r>
      <w:r>
        <w:rPr>
          <w:rFonts w:ascii="宋体" w:hAnsi="宋体" w:cs="宋体"/>
          <w:szCs w:val="21"/>
        </w:rPr>
        <w:t>00:00</w:t>
      </w:r>
      <w:r>
        <w:rPr>
          <w:rFonts w:hint="eastAsia" w:ascii="宋体" w:hAnsi="宋体" w:cs="宋体"/>
          <w:szCs w:val="21"/>
        </w:rPr>
        <w:t>至</w:t>
      </w:r>
      <w:r>
        <w:rPr>
          <w:rFonts w:ascii="宋体" w:hAnsi="宋体" w:cs="宋体"/>
          <w:szCs w:val="21"/>
        </w:rPr>
        <w:t xml:space="preserve">12:00 </w:t>
      </w:r>
      <w:r>
        <w:rPr>
          <w:rFonts w:hint="eastAsia" w:ascii="宋体" w:hAnsi="宋体" w:cs="宋体"/>
          <w:szCs w:val="21"/>
        </w:rPr>
        <w:t>，下午</w:t>
      </w:r>
      <w:r>
        <w:rPr>
          <w:rFonts w:ascii="宋体" w:hAnsi="宋体" w:cs="宋体"/>
          <w:szCs w:val="21"/>
        </w:rPr>
        <w:t>12:00</w:t>
      </w:r>
      <w:r>
        <w:rPr>
          <w:rFonts w:hint="eastAsia" w:ascii="宋体" w:hAnsi="宋体" w:cs="宋体"/>
          <w:szCs w:val="21"/>
        </w:rPr>
        <w:t>至</w:t>
      </w:r>
      <w:r>
        <w:rPr>
          <w:rFonts w:ascii="宋体" w:hAnsi="宋体" w:cs="宋体"/>
          <w:szCs w:val="21"/>
        </w:rPr>
        <w:t>23:59</w:t>
      </w:r>
      <w:r>
        <w:rPr>
          <w:rFonts w:hint="eastAsia" w:ascii="宋体" w:hAnsi="宋体" w:cs="宋体"/>
          <w:szCs w:val="21"/>
        </w:rPr>
        <w:t>（北京时间，线上获取法定节假日均可，线下获取文件法定节假日除外）</w:t>
      </w:r>
    </w:p>
    <w:p>
      <w:pPr>
        <w:spacing w:line="360" w:lineRule="auto"/>
        <w:ind w:firstLine="422" w:firstLineChars="200"/>
        <w:rPr>
          <w:rFonts w:ascii="宋体" w:cs="宋体"/>
          <w:szCs w:val="21"/>
        </w:rPr>
      </w:pPr>
      <w:r>
        <w:rPr>
          <w:rFonts w:hint="eastAsia" w:ascii="宋体" w:hAnsi="宋体" w:cs="宋体"/>
          <w:b/>
          <w:szCs w:val="21"/>
        </w:rPr>
        <w:t>地点（网址）：</w:t>
      </w:r>
      <w:r>
        <w:rPr>
          <w:rFonts w:hint="eastAsia" w:ascii="宋体" w:hAnsi="宋体" w:cs="宋体"/>
          <w:szCs w:val="21"/>
        </w:rPr>
        <w:t>政采云平台（</w:t>
      </w:r>
      <w:r>
        <w:rPr>
          <w:rFonts w:ascii="宋体" w:hAnsi="宋体" w:cs="宋体"/>
          <w:szCs w:val="21"/>
        </w:rPr>
        <w:t>https://www.zcygov.cn/</w:t>
      </w:r>
      <w:r>
        <w:rPr>
          <w:rFonts w:hint="eastAsia" w:ascii="宋体" w:hAnsi="宋体" w:cs="宋体"/>
          <w:szCs w:val="21"/>
        </w:rPr>
        <w:t>）</w:t>
      </w:r>
      <w:r>
        <w:rPr>
          <w:rFonts w:ascii="宋体" w:hAnsi="宋体" w:cs="宋体"/>
          <w:szCs w:val="21"/>
        </w:rPr>
        <w:t xml:space="preserve"> </w:t>
      </w:r>
    </w:p>
    <w:p>
      <w:pPr>
        <w:spacing w:line="360" w:lineRule="auto"/>
        <w:ind w:firstLine="422" w:firstLineChars="200"/>
        <w:rPr>
          <w:rFonts w:ascii="宋体" w:cs="宋体"/>
          <w:szCs w:val="21"/>
        </w:rPr>
      </w:pPr>
      <w:r>
        <w:rPr>
          <w:rFonts w:hint="eastAsia" w:ascii="宋体" w:hAnsi="宋体" w:cs="宋体"/>
          <w:b/>
          <w:szCs w:val="21"/>
        </w:rPr>
        <w:t>方式：</w:t>
      </w:r>
      <w:r>
        <w:rPr>
          <w:rFonts w:hint="eastAsia" w:ascii="宋体" w:hAnsi="宋体" w:cs="宋体"/>
          <w:szCs w:val="21"/>
        </w:rPr>
        <w:t>供应商登录政采云平台</w:t>
      </w:r>
      <w:r>
        <w:rPr>
          <w:rFonts w:ascii="宋体" w:hAnsi="宋体" w:cs="宋体"/>
          <w:szCs w:val="21"/>
        </w:rPr>
        <w:t>https://www.zcygov.cn/</w:t>
      </w:r>
      <w:r>
        <w:rPr>
          <w:rFonts w:hint="eastAsia" w:ascii="宋体" w:hAnsi="宋体" w:cs="宋体"/>
          <w:szCs w:val="21"/>
        </w:rPr>
        <w:t>在线申请获取采购文件（进入“项目采购”应用，在获取采购文件菜单中选择项目，申请获取采购文件）。</w:t>
      </w:r>
      <w:r>
        <w:rPr>
          <w:rFonts w:ascii="宋体" w:hAnsi="宋体" w:cs="宋体"/>
          <w:szCs w:val="21"/>
        </w:rPr>
        <w:t xml:space="preserve"> </w:t>
      </w:r>
    </w:p>
    <w:p>
      <w:pPr>
        <w:spacing w:line="360" w:lineRule="auto"/>
        <w:ind w:firstLine="422" w:firstLineChars="200"/>
        <w:rPr>
          <w:rFonts w:ascii="宋体" w:cs="宋体"/>
          <w:szCs w:val="21"/>
        </w:rPr>
      </w:pPr>
      <w:r>
        <w:rPr>
          <w:rFonts w:hint="eastAsia" w:ascii="宋体" w:hAnsi="宋体" w:cs="宋体"/>
          <w:b/>
          <w:szCs w:val="21"/>
        </w:rPr>
        <w:t>售价（元）：</w:t>
      </w:r>
      <w:r>
        <w:rPr>
          <w:rFonts w:ascii="宋体" w:hAnsi="宋体" w:cs="宋体"/>
          <w:szCs w:val="21"/>
        </w:rPr>
        <w:t xml:space="preserve">0 </w:t>
      </w:r>
      <w:r>
        <w:rPr>
          <w:rFonts w:ascii="宋体" w:hAnsi="宋体" w:cs="宋体"/>
          <w:szCs w:val="21"/>
        </w:rPr>
        <w:tab/>
      </w:r>
    </w:p>
    <w:p>
      <w:pPr>
        <w:spacing w:line="360" w:lineRule="auto"/>
        <w:rPr>
          <w:rFonts w:ascii="宋体" w:cs="宋体"/>
          <w:b/>
          <w:szCs w:val="21"/>
        </w:rPr>
      </w:pPr>
      <w:r>
        <w:rPr>
          <w:rFonts w:hint="eastAsia" w:ascii="宋体" w:hAnsi="宋体" w:cs="宋体"/>
          <w:b/>
          <w:szCs w:val="21"/>
        </w:rPr>
        <w:t>四、提交投标文件截止时间、开标时间和地点</w:t>
      </w:r>
    </w:p>
    <w:p>
      <w:pPr>
        <w:spacing w:line="360" w:lineRule="auto"/>
        <w:ind w:firstLine="422" w:firstLineChars="200"/>
        <w:rPr>
          <w:rFonts w:ascii="宋体" w:cs="宋体"/>
          <w:szCs w:val="21"/>
        </w:rPr>
      </w:pPr>
      <w:r>
        <w:rPr>
          <w:rFonts w:hint="eastAsia" w:ascii="宋体" w:hAnsi="宋体" w:cs="宋体"/>
          <w:b/>
          <w:szCs w:val="21"/>
        </w:rPr>
        <w:t>提交投标文件截止时间：</w:t>
      </w:r>
      <w:r>
        <w:rPr>
          <w:rFonts w:ascii="宋体" w:hAnsi="宋体" w:cs="宋体"/>
          <w:szCs w:val="21"/>
        </w:rPr>
        <w:t>2022</w:t>
      </w:r>
      <w:r>
        <w:rPr>
          <w:rFonts w:hint="eastAsia" w:ascii="宋体" w:hAnsi="宋体" w:cs="宋体"/>
          <w:szCs w:val="21"/>
        </w:rPr>
        <w:t>年</w:t>
      </w:r>
      <w:r>
        <w:rPr>
          <w:rFonts w:hint="eastAsia" w:ascii="宋体" w:hAnsi="宋体" w:cs="宋体"/>
          <w:szCs w:val="21"/>
          <w:lang w:eastAsia="zh-CN"/>
        </w:rPr>
        <w:t>10月17日09:30时</w:t>
      </w:r>
      <w:r>
        <w:rPr>
          <w:rFonts w:hint="eastAsia" w:ascii="宋体" w:hAnsi="宋体" w:cs="宋体"/>
          <w:szCs w:val="21"/>
        </w:rPr>
        <w:t>（北京时间）</w:t>
      </w:r>
    </w:p>
    <w:p>
      <w:pPr>
        <w:spacing w:line="360" w:lineRule="auto"/>
        <w:ind w:firstLine="422" w:firstLineChars="200"/>
        <w:rPr>
          <w:rFonts w:ascii="宋体" w:cs="宋体"/>
          <w:b/>
          <w:szCs w:val="21"/>
        </w:rPr>
      </w:pPr>
      <w:r>
        <w:rPr>
          <w:rFonts w:hint="eastAsia" w:ascii="宋体" w:hAnsi="宋体" w:cs="宋体"/>
          <w:b/>
          <w:szCs w:val="21"/>
        </w:rPr>
        <w:t>投标地点（网址）：</w:t>
      </w:r>
      <w:r>
        <w:rPr>
          <w:rFonts w:hint="eastAsia" w:ascii="宋体" w:hAnsi="宋体" w:cs="宋体"/>
          <w:szCs w:val="21"/>
        </w:rPr>
        <w:t>政采云平台（</w:t>
      </w:r>
      <w:r>
        <w:rPr>
          <w:rFonts w:ascii="宋体" w:hAnsi="宋体" w:cs="宋体"/>
          <w:szCs w:val="21"/>
        </w:rPr>
        <w:t>https://www.zcygov.cn/</w:t>
      </w:r>
      <w:r>
        <w:rPr>
          <w:rFonts w:hint="eastAsia" w:ascii="宋体" w:hAnsi="宋体" w:cs="宋体"/>
          <w:szCs w:val="21"/>
        </w:rPr>
        <w:t>）</w:t>
      </w:r>
      <w:r>
        <w:rPr>
          <w:rFonts w:ascii="宋体" w:hAnsi="宋体" w:cs="宋体"/>
          <w:szCs w:val="21"/>
        </w:rPr>
        <w:t xml:space="preserve"> </w:t>
      </w:r>
    </w:p>
    <w:p>
      <w:pPr>
        <w:spacing w:line="360" w:lineRule="auto"/>
        <w:ind w:firstLine="422" w:firstLineChars="200"/>
        <w:rPr>
          <w:rFonts w:hint="eastAsia" w:ascii="宋体" w:eastAsia="宋体" w:cs="宋体"/>
          <w:bCs/>
          <w:szCs w:val="21"/>
          <w:u w:val="single"/>
          <w:lang w:eastAsia="zh-CN"/>
        </w:rPr>
      </w:pPr>
      <w:r>
        <w:rPr>
          <w:rFonts w:hint="eastAsia" w:ascii="宋体" w:hAnsi="宋体" w:cs="宋体"/>
          <w:b/>
          <w:szCs w:val="21"/>
        </w:rPr>
        <w:t>开标时间：</w:t>
      </w:r>
      <w:r>
        <w:rPr>
          <w:rFonts w:ascii="宋体" w:hAnsi="宋体" w:cs="宋体"/>
          <w:szCs w:val="21"/>
        </w:rPr>
        <w:t>2022</w:t>
      </w:r>
      <w:r>
        <w:rPr>
          <w:rFonts w:hint="eastAsia" w:ascii="宋体" w:hAnsi="宋体" w:cs="宋体"/>
          <w:szCs w:val="21"/>
        </w:rPr>
        <w:t>年</w:t>
      </w:r>
      <w:r>
        <w:rPr>
          <w:rFonts w:hint="eastAsia" w:ascii="宋体" w:hAnsi="宋体" w:cs="宋体"/>
          <w:szCs w:val="21"/>
          <w:lang w:eastAsia="zh-CN"/>
        </w:rPr>
        <w:t>10月17日09:30时</w:t>
      </w:r>
    </w:p>
    <w:p>
      <w:pPr>
        <w:spacing w:line="360" w:lineRule="auto"/>
        <w:ind w:firstLine="422" w:firstLineChars="200"/>
        <w:rPr>
          <w:rFonts w:ascii="宋体" w:cs="宋体"/>
          <w:szCs w:val="21"/>
        </w:rPr>
      </w:pPr>
      <w:r>
        <w:rPr>
          <w:rFonts w:hint="eastAsia" w:ascii="宋体" w:hAnsi="宋体" w:cs="宋体"/>
          <w:b/>
          <w:szCs w:val="21"/>
        </w:rPr>
        <w:t>开标地点（网址）：</w:t>
      </w:r>
      <w:r>
        <w:rPr>
          <w:rFonts w:hint="eastAsia" w:ascii="宋体" w:hAnsi="宋体" w:cs="宋体"/>
          <w:szCs w:val="21"/>
        </w:rPr>
        <w:t>政采云平台（</w:t>
      </w:r>
      <w:r>
        <w:rPr>
          <w:rFonts w:ascii="宋体" w:hAnsi="宋体" w:cs="宋体"/>
          <w:szCs w:val="21"/>
        </w:rPr>
        <w:t>https://www.zcygov.cn/</w:t>
      </w:r>
      <w:r>
        <w:rPr>
          <w:rFonts w:hint="eastAsia" w:ascii="宋体" w:hAnsi="宋体" w:cs="宋体"/>
          <w:szCs w:val="21"/>
        </w:rPr>
        <w:t>）</w:t>
      </w:r>
    </w:p>
    <w:p>
      <w:pPr>
        <w:spacing w:line="360" w:lineRule="auto"/>
        <w:rPr>
          <w:rFonts w:ascii="宋体" w:cs="宋体"/>
          <w:szCs w:val="21"/>
        </w:rPr>
      </w:pPr>
      <w:r>
        <w:rPr>
          <w:rFonts w:hint="eastAsia" w:ascii="宋体" w:hAnsi="宋体" w:cs="宋体"/>
          <w:b/>
          <w:szCs w:val="21"/>
        </w:rPr>
        <w:t>五、公告期限</w:t>
      </w:r>
      <w:r>
        <w:rPr>
          <w:rFonts w:ascii="宋体" w:hAnsi="宋体" w:cs="宋体"/>
          <w:b/>
          <w:szCs w:val="21"/>
        </w:rPr>
        <w:t xml:space="preserve"> </w:t>
      </w:r>
    </w:p>
    <w:p>
      <w:pPr>
        <w:spacing w:line="360" w:lineRule="auto"/>
        <w:ind w:firstLine="420" w:firstLineChars="200"/>
        <w:rPr>
          <w:rFonts w:ascii="宋体" w:cs="宋体"/>
          <w:szCs w:val="21"/>
        </w:rPr>
      </w:pPr>
      <w:r>
        <w:rPr>
          <w:rFonts w:hint="eastAsia" w:ascii="宋体" w:hAnsi="宋体" w:cs="宋体"/>
          <w:szCs w:val="21"/>
        </w:rPr>
        <w:t>自本公告发布之日起</w:t>
      </w:r>
      <w:r>
        <w:rPr>
          <w:rFonts w:ascii="宋体" w:hAnsi="宋体" w:cs="宋体"/>
          <w:szCs w:val="21"/>
        </w:rPr>
        <w:t>5</w:t>
      </w:r>
      <w:r>
        <w:rPr>
          <w:rFonts w:hint="eastAsia" w:ascii="宋体" w:hAnsi="宋体" w:cs="宋体"/>
          <w:szCs w:val="21"/>
        </w:rPr>
        <w:t>个工作日。</w:t>
      </w:r>
    </w:p>
    <w:p>
      <w:pPr>
        <w:spacing w:line="360" w:lineRule="auto"/>
        <w:rPr>
          <w:rFonts w:ascii="宋体" w:cs="宋体"/>
          <w:b/>
          <w:szCs w:val="21"/>
        </w:rPr>
      </w:pPr>
      <w:r>
        <w:rPr>
          <w:rFonts w:hint="eastAsia" w:ascii="宋体" w:hAnsi="宋体" w:cs="宋体"/>
          <w:b/>
          <w:szCs w:val="21"/>
        </w:rPr>
        <w:t>六、其他补充事宜</w:t>
      </w:r>
    </w:p>
    <w:p>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供应商认为招标文件使自己的权益受到损害的，可以自获取招标文件之日或者招标文件公告期限届满之日（公告期限届满后获取招标文件的，以公告期限届满之日为准）起</w:t>
      </w:r>
      <w:r>
        <w:rPr>
          <w:rFonts w:ascii="宋体" w:hAnsi="宋体" w:cs="宋体"/>
          <w:szCs w:val="21"/>
        </w:rPr>
        <w:t>7</w:t>
      </w:r>
      <w:r>
        <w:rPr>
          <w:rFonts w:hint="eastAsia" w:ascii="宋体" w:hAnsi="宋体" w:cs="宋体"/>
          <w:szCs w:val="21"/>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其他事项：（</w:t>
      </w:r>
      <w:r>
        <w:rPr>
          <w:rFonts w:ascii="宋体" w:hAnsi="宋体" w:cs="宋体"/>
          <w:szCs w:val="21"/>
        </w:rPr>
        <w:t>1</w:t>
      </w:r>
      <w:r>
        <w:rPr>
          <w:rFonts w:hint="eastAsia" w:ascii="宋体" w:hAnsi="宋体" w:cs="宋体"/>
          <w:szCs w:val="21"/>
        </w:rPr>
        <w:t>）需要落实的政府采购政策：包括节约资源、保护环境、支持创新、促进中小企业发展等。详见招标文件的第二部分总则。（</w:t>
      </w:r>
      <w:r>
        <w:rPr>
          <w:rFonts w:ascii="宋体" w:hAnsi="宋体" w:cs="宋体"/>
          <w:szCs w:val="21"/>
        </w:rPr>
        <w:t>2</w:t>
      </w:r>
      <w:r>
        <w:rPr>
          <w:rFonts w:hint="eastAsia" w:ascii="宋体" w:hAnsi="宋体" w:cs="宋体"/>
          <w:szCs w:val="21"/>
        </w:rPr>
        <w:t>）电子招投标的说明：①电子招投标：本项目以数据电文形式，依托“政府采购云平台（</w:t>
      </w:r>
      <w:r>
        <w:rPr>
          <w:rFonts w:ascii="宋体" w:hAnsi="宋体" w:cs="宋体"/>
          <w:szCs w:val="21"/>
        </w:rPr>
        <w:t>www.zcygov.cn</w:t>
      </w:r>
      <w:r>
        <w:rPr>
          <w:rFonts w:hint="eastAsia" w:ascii="宋体" w:hAnsi="宋体" w:cs="宋体"/>
          <w:szCs w:val="21"/>
        </w:rPr>
        <w:t>）”进行招投标活动，不接受纸质投标文件；②投标准备：注册账号</w:t>
      </w:r>
      <w:r>
        <w:rPr>
          <w:rFonts w:ascii="宋体" w:cs="宋体"/>
          <w:szCs w:val="21"/>
        </w:rPr>
        <w:t>--</w:t>
      </w:r>
      <w:r>
        <w:rPr>
          <w:rFonts w:hint="eastAsia" w:ascii="宋体" w:hAnsi="宋体" w:cs="宋体"/>
          <w:szCs w:val="21"/>
        </w:rPr>
        <w:t>点击“商家入驻”，进行政府采购供应商资料填写；申领</w:t>
      </w:r>
      <w:r>
        <w:rPr>
          <w:rFonts w:ascii="宋体" w:hAnsi="宋体" w:cs="宋体"/>
          <w:szCs w:val="21"/>
        </w:rPr>
        <w:t>CA</w:t>
      </w:r>
      <w:r>
        <w:rPr>
          <w:rFonts w:hint="eastAsia" w:ascii="宋体" w:hAnsi="宋体" w:cs="宋体"/>
          <w:szCs w:val="21"/>
        </w:rPr>
        <w:t>数字证书</w:t>
      </w:r>
      <w:r>
        <w:rPr>
          <w:rFonts w:ascii="宋体" w:cs="宋体"/>
          <w:szCs w:val="21"/>
        </w:rPr>
        <w:t>---</w:t>
      </w:r>
      <w:r>
        <w:rPr>
          <w:rFonts w:hint="eastAsia" w:ascii="宋体" w:hAnsi="宋体" w:cs="宋体"/>
          <w:szCs w:val="21"/>
        </w:rPr>
        <w:t>申领流程详见“浙江政府采购网</w:t>
      </w:r>
      <w:r>
        <w:rPr>
          <w:rFonts w:ascii="宋体" w:cs="宋体"/>
          <w:szCs w:val="21"/>
        </w:rPr>
        <w:t>-</w:t>
      </w:r>
      <w:r>
        <w:rPr>
          <w:rFonts w:hint="eastAsia" w:ascii="宋体" w:hAnsi="宋体" w:cs="宋体"/>
          <w:szCs w:val="21"/>
        </w:rPr>
        <w:t>下载专区</w:t>
      </w:r>
      <w:r>
        <w:rPr>
          <w:rFonts w:ascii="宋体" w:cs="宋体"/>
          <w:szCs w:val="21"/>
        </w:rPr>
        <w:t>-</w:t>
      </w:r>
      <w:r>
        <w:rPr>
          <w:rFonts w:hint="eastAsia" w:ascii="宋体" w:hAnsi="宋体" w:cs="宋体"/>
          <w:szCs w:val="21"/>
        </w:rPr>
        <w:t>电子交易客户端</w:t>
      </w:r>
      <w:r>
        <w:rPr>
          <w:rFonts w:ascii="宋体" w:hAnsi="宋体" w:cs="宋体"/>
          <w:szCs w:val="21"/>
        </w:rPr>
        <w:t>-CA</w:t>
      </w:r>
      <w:r>
        <w:rPr>
          <w:rFonts w:hint="eastAsia" w:ascii="宋体" w:hAnsi="宋体" w:cs="宋体"/>
          <w:szCs w:val="21"/>
        </w:rPr>
        <w:t>驱动和申领流程”；安装“政采云电子交易客户端”</w:t>
      </w:r>
      <w:r>
        <w:rPr>
          <w:rFonts w:ascii="宋体" w:cs="宋体"/>
          <w:szCs w:val="21"/>
        </w:rPr>
        <w:t>----</w:t>
      </w:r>
      <w:r>
        <w:rPr>
          <w:rFonts w:hint="eastAsia" w:ascii="宋体" w:hAnsi="宋体" w:cs="宋体"/>
          <w:szCs w:val="21"/>
        </w:rPr>
        <w:t>前往“浙江政府采购网</w:t>
      </w:r>
      <w:r>
        <w:rPr>
          <w:rFonts w:ascii="宋体" w:cs="宋体"/>
          <w:szCs w:val="21"/>
        </w:rPr>
        <w:t>-</w:t>
      </w:r>
      <w:r>
        <w:rPr>
          <w:rFonts w:hint="eastAsia" w:ascii="宋体" w:hAnsi="宋体" w:cs="宋体"/>
          <w:szCs w:val="21"/>
        </w:rPr>
        <w:t>下载专区</w:t>
      </w:r>
      <w:r>
        <w:rPr>
          <w:rFonts w:ascii="宋体" w:cs="宋体"/>
          <w:szCs w:val="21"/>
        </w:rPr>
        <w:t>-</w:t>
      </w:r>
      <w:r>
        <w:rPr>
          <w:rFonts w:hint="eastAsia" w:ascii="宋体" w:hAnsi="宋体" w:cs="宋体"/>
          <w:szCs w:val="21"/>
        </w:rPr>
        <w:t>电子交易客户端”进行下载并安装；③招标文件的获取：使用账号登录或者使用</w:t>
      </w:r>
      <w:r>
        <w:rPr>
          <w:rFonts w:ascii="宋体" w:hAnsi="宋体" w:cs="宋体"/>
          <w:szCs w:val="21"/>
        </w:rPr>
        <w:t>CA</w:t>
      </w:r>
      <w:r>
        <w:rPr>
          <w:rFonts w:hint="eastAsia" w:ascii="宋体" w:hAnsi="宋体" w:cs="宋体"/>
          <w:szCs w:val="21"/>
        </w:rPr>
        <w:t>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w:t>
      </w:r>
      <w:r>
        <w:rPr>
          <w:rFonts w:ascii="宋体" w:hAnsi="宋体" w:cs="宋体"/>
          <w:szCs w:val="21"/>
        </w:rPr>
        <w:t xml:space="preserve"> </w:t>
      </w:r>
      <w:r>
        <w:rPr>
          <w:rFonts w:hint="eastAsia" w:ascii="宋体" w:hAnsi="宋体" w:cs="宋体"/>
          <w:szCs w:val="21"/>
        </w:rPr>
        <w:t>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w:t>
      </w:r>
      <w:r>
        <w:rPr>
          <w:rFonts w:ascii="宋体" w:hAnsi="宋体" w:cs="宋体"/>
          <w:szCs w:val="21"/>
        </w:rPr>
        <w:t>1</w:t>
      </w:r>
      <w:r>
        <w:rPr>
          <w:rFonts w:hint="eastAsia" w:ascii="宋体" w:hAnsi="宋体" w:cs="宋体"/>
          <w:szCs w:val="21"/>
        </w:rPr>
        <w:t>份。备份投标文件的制作、存储、密封详见招标文件第二部分第</w:t>
      </w:r>
      <w:r>
        <w:rPr>
          <w:rFonts w:ascii="宋体" w:hAnsi="宋体" w:cs="宋体"/>
          <w:szCs w:val="21"/>
        </w:rPr>
        <w:t>15</w:t>
      </w:r>
      <w:r>
        <w:rPr>
          <w:rFonts w:hint="eastAsia" w:ascii="宋体" w:hAnsi="宋体" w:cs="宋体"/>
          <w:szCs w:val="21"/>
        </w:rPr>
        <w:t>点</w:t>
      </w:r>
      <w:r>
        <w:rPr>
          <w:rFonts w:ascii="宋体" w:hAnsi="宋体" w:cs="宋体"/>
          <w:szCs w:val="21"/>
        </w:rPr>
        <w:t>—</w:t>
      </w:r>
      <w:r>
        <w:rPr>
          <w:rFonts w:hint="eastAsia" w:ascii="宋体" w:hAnsi="宋体" w:cs="宋体"/>
          <w:szCs w:val="21"/>
        </w:rPr>
        <w:t>“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w:t>
      </w:r>
      <w:r>
        <w:rPr>
          <w:rFonts w:ascii="宋体" w:cs="宋体"/>
          <w:szCs w:val="21"/>
        </w:rPr>
        <w:t>-</w:t>
      </w:r>
      <w:r>
        <w:rPr>
          <w:rFonts w:hint="eastAsia" w:ascii="宋体" w:hAnsi="宋体" w:cs="宋体"/>
          <w:szCs w:val="21"/>
        </w:rPr>
        <w:t>帮助文档</w:t>
      </w:r>
      <w:r>
        <w:rPr>
          <w:rFonts w:ascii="宋体" w:cs="宋体"/>
          <w:szCs w:val="21"/>
        </w:rPr>
        <w:t>-</w:t>
      </w:r>
      <w:r>
        <w:rPr>
          <w:rFonts w:hint="eastAsia" w:ascii="宋体" w:hAnsi="宋体" w:cs="宋体"/>
          <w:szCs w:val="21"/>
        </w:rPr>
        <w:t>项目采购</w:t>
      </w:r>
      <w:r>
        <w:rPr>
          <w:rFonts w:ascii="宋体" w:cs="宋体"/>
          <w:szCs w:val="21"/>
        </w:rPr>
        <w:t>-</w:t>
      </w:r>
      <w:r>
        <w:rPr>
          <w:rFonts w:hint="eastAsia" w:ascii="宋体" w:hAnsi="宋体" w:cs="宋体"/>
          <w:szCs w:val="21"/>
        </w:rPr>
        <w:t>操作流程</w:t>
      </w:r>
      <w:r>
        <w:rPr>
          <w:rFonts w:ascii="宋体" w:cs="宋体"/>
          <w:szCs w:val="21"/>
        </w:rPr>
        <w:t>-</w:t>
      </w:r>
      <w:r>
        <w:rPr>
          <w:rFonts w:hint="eastAsia" w:ascii="宋体" w:hAnsi="宋体" w:cs="宋体"/>
          <w:szCs w:val="21"/>
        </w:rPr>
        <w:t>电子招投标</w:t>
      </w:r>
      <w:r>
        <w:rPr>
          <w:rFonts w:ascii="宋体" w:cs="宋体"/>
          <w:szCs w:val="21"/>
        </w:rPr>
        <w:t>-</w:t>
      </w:r>
      <w:r>
        <w:rPr>
          <w:rFonts w:hint="eastAsia" w:ascii="宋体" w:hAnsi="宋体" w:cs="宋体"/>
          <w:szCs w:val="21"/>
        </w:rPr>
        <w:t>政府采购项目电子交易管理操作指南</w:t>
      </w:r>
      <w:r>
        <w:rPr>
          <w:rFonts w:ascii="宋体" w:cs="宋体"/>
          <w:szCs w:val="21"/>
        </w:rPr>
        <w:t>-</w:t>
      </w:r>
      <w:r>
        <w:rPr>
          <w:rFonts w:hint="eastAsia" w:ascii="宋体" w:hAnsi="宋体" w:cs="宋体"/>
          <w:szCs w:val="21"/>
        </w:rPr>
        <w:t>供应商”。</w:t>
      </w:r>
    </w:p>
    <w:p>
      <w:pPr>
        <w:spacing w:line="360" w:lineRule="auto"/>
        <w:rPr>
          <w:rFonts w:ascii="宋体" w:cs="宋体"/>
          <w:b/>
          <w:szCs w:val="21"/>
        </w:rPr>
      </w:pPr>
      <w:r>
        <w:rPr>
          <w:rFonts w:hint="eastAsia" w:ascii="宋体" w:hAnsi="宋体" w:cs="宋体"/>
          <w:b/>
          <w:szCs w:val="21"/>
        </w:rPr>
        <w:t>七、对本次采购提出询问、质疑、投诉，请按以下方式联系</w:t>
      </w:r>
    </w:p>
    <w:p>
      <w:pPr>
        <w:spacing w:line="360" w:lineRule="auto"/>
        <w:rPr>
          <w:rFonts w:ascii="宋体" w:cs="宋体"/>
          <w:szCs w:val="21"/>
        </w:rPr>
      </w:pPr>
      <w:r>
        <w:rPr>
          <w:rFonts w:ascii="宋体" w:hAnsi="宋体" w:cs="宋体"/>
          <w:szCs w:val="21"/>
        </w:rPr>
        <w:t xml:space="preserve">    1.</w:t>
      </w:r>
      <w:r>
        <w:rPr>
          <w:rFonts w:hint="eastAsia" w:ascii="宋体" w:hAnsi="宋体" w:cs="宋体"/>
          <w:szCs w:val="21"/>
        </w:rPr>
        <w:t>采购人信息</w:t>
      </w:r>
    </w:p>
    <w:p>
      <w:pPr>
        <w:spacing w:line="360" w:lineRule="auto"/>
        <w:rPr>
          <w:rFonts w:ascii="宋体" w:cs="宋体"/>
          <w:szCs w:val="21"/>
        </w:rPr>
      </w:pPr>
      <w:r>
        <w:rPr>
          <w:rFonts w:ascii="宋体" w:hAnsi="宋体" w:cs="宋体"/>
          <w:szCs w:val="21"/>
        </w:rPr>
        <w:t xml:space="preserve">    </w:t>
      </w:r>
      <w:r>
        <w:rPr>
          <w:rFonts w:hint="eastAsia" w:ascii="宋体" w:hAnsi="宋体" w:cs="宋体"/>
          <w:szCs w:val="21"/>
        </w:rPr>
        <w:t>名</w:t>
      </w:r>
      <w:r>
        <w:rPr>
          <w:rFonts w:ascii="宋体" w:hAnsi="宋体" w:cs="宋体"/>
          <w:szCs w:val="21"/>
        </w:rPr>
        <w:t xml:space="preserve">    </w:t>
      </w:r>
      <w:r>
        <w:rPr>
          <w:rFonts w:hint="eastAsia" w:ascii="宋体" w:hAnsi="宋体" w:cs="宋体"/>
          <w:szCs w:val="21"/>
        </w:rPr>
        <w:t>称：嘉兴港区（综合保税区）综合行政执法队</w:t>
      </w:r>
    </w:p>
    <w:p>
      <w:pPr>
        <w:spacing w:line="360" w:lineRule="auto"/>
        <w:rPr>
          <w:rFonts w:ascii="宋体" w:cs="宋体"/>
          <w:szCs w:val="21"/>
        </w:rPr>
      </w:pPr>
      <w:r>
        <w:rPr>
          <w:rFonts w:ascii="宋体" w:hAnsi="宋体" w:cs="宋体"/>
          <w:szCs w:val="21"/>
        </w:rPr>
        <w:t xml:space="preserve">    </w:t>
      </w:r>
      <w:r>
        <w:rPr>
          <w:rFonts w:hint="eastAsia" w:ascii="宋体" w:hAnsi="宋体" w:cs="宋体"/>
          <w:szCs w:val="21"/>
        </w:rPr>
        <w:t>地</w:t>
      </w:r>
      <w:r>
        <w:rPr>
          <w:rFonts w:ascii="宋体" w:hAnsi="宋体" w:cs="宋体"/>
          <w:szCs w:val="21"/>
        </w:rPr>
        <w:t xml:space="preserve">    </w:t>
      </w:r>
      <w:r>
        <w:rPr>
          <w:rFonts w:hint="eastAsia" w:ascii="宋体" w:hAnsi="宋体" w:cs="宋体"/>
          <w:szCs w:val="21"/>
        </w:rPr>
        <w:t>址：乍浦镇天妃路</w:t>
      </w:r>
      <w:r>
        <w:rPr>
          <w:rFonts w:ascii="宋体" w:hAnsi="宋体" w:cs="宋体"/>
          <w:szCs w:val="21"/>
        </w:rPr>
        <w:t>1079</w:t>
      </w:r>
      <w:r>
        <w:rPr>
          <w:rFonts w:hint="eastAsia" w:ascii="宋体" w:hAnsi="宋体" w:cs="宋体"/>
          <w:szCs w:val="21"/>
        </w:rPr>
        <w:t>号</w:t>
      </w:r>
    </w:p>
    <w:p>
      <w:pPr>
        <w:spacing w:line="360" w:lineRule="auto"/>
        <w:ind w:firstLine="480"/>
        <w:rPr>
          <w:rFonts w:ascii="宋体" w:cs="宋体"/>
          <w:szCs w:val="21"/>
        </w:rPr>
      </w:pPr>
      <w:r>
        <w:rPr>
          <w:rFonts w:hint="eastAsia" w:ascii="宋体" w:hAnsi="宋体" w:cs="宋体"/>
          <w:szCs w:val="21"/>
        </w:rPr>
        <w:t>传</w:t>
      </w:r>
      <w:r>
        <w:rPr>
          <w:rFonts w:ascii="宋体" w:hAnsi="宋体" w:cs="宋体"/>
          <w:szCs w:val="21"/>
        </w:rPr>
        <w:t xml:space="preserve">    </w:t>
      </w:r>
      <w:r>
        <w:rPr>
          <w:rFonts w:hint="eastAsia" w:ascii="宋体" w:hAnsi="宋体" w:cs="宋体"/>
          <w:szCs w:val="21"/>
        </w:rPr>
        <w:t>真：</w:t>
      </w:r>
      <w:r>
        <w:rPr>
          <w:rFonts w:ascii="宋体" w:hAnsi="宋体" w:cs="宋体"/>
          <w:szCs w:val="21"/>
        </w:rPr>
        <w:t xml:space="preserve"> /</w:t>
      </w:r>
    </w:p>
    <w:p>
      <w:pPr>
        <w:spacing w:line="360" w:lineRule="auto"/>
        <w:ind w:firstLine="480"/>
        <w:rPr>
          <w:rFonts w:ascii="宋体" w:cs="宋体"/>
          <w:szCs w:val="21"/>
        </w:rPr>
      </w:pPr>
      <w:r>
        <w:rPr>
          <w:rFonts w:hint="eastAsia" w:ascii="宋体" w:hAnsi="宋体" w:cs="宋体"/>
          <w:szCs w:val="21"/>
        </w:rPr>
        <w:t>项目联系人（询问）：殷凤</w:t>
      </w:r>
    </w:p>
    <w:p>
      <w:pPr>
        <w:spacing w:line="360" w:lineRule="auto"/>
        <w:rPr>
          <w:rFonts w:ascii="宋体" w:cs="宋体"/>
          <w:szCs w:val="21"/>
        </w:rPr>
      </w:pPr>
      <w:r>
        <w:rPr>
          <w:rFonts w:ascii="宋体" w:hAnsi="宋体" w:cs="宋体"/>
          <w:szCs w:val="21"/>
        </w:rPr>
        <w:t xml:space="preserve">    </w:t>
      </w:r>
      <w:r>
        <w:rPr>
          <w:rFonts w:hint="eastAsia" w:ascii="宋体" w:hAnsi="宋体" w:cs="宋体"/>
          <w:szCs w:val="21"/>
        </w:rPr>
        <w:t>项目联系方式（询问）：</w:t>
      </w:r>
      <w:r>
        <w:rPr>
          <w:rFonts w:ascii="宋体" w:hAnsi="宋体" w:cs="宋体"/>
          <w:szCs w:val="21"/>
        </w:rPr>
        <w:t>0573-85530523</w:t>
      </w:r>
    </w:p>
    <w:p>
      <w:pPr>
        <w:spacing w:line="360" w:lineRule="auto"/>
        <w:rPr>
          <w:rFonts w:ascii="宋体" w:cs="宋体"/>
          <w:szCs w:val="21"/>
        </w:rPr>
      </w:pPr>
      <w:r>
        <w:rPr>
          <w:rFonts w:ascii="宋体" w:hAnsi="宋体" w:cs="宋体"/>
          <w:szCs w:val="21"/>
        </w:rPr>
        <w:t xml:space="preserve">    </w:t>
      </w:r>
      <w:r>
        <w:rPr>
          <w:rFonts w:hint="eastAsia" w:ascii="宋体" w:hAnsi="宋体" w:cs="宋体"/>
          <w:szCs w:val="21"/>
        </w:rPr>
        <w:t>质疑联系人：张军</w:t>
      </w:r>
    </w:p>
    <w:p>
      <w:pPr>
        <w:spacing w:line="360" w:lineRule="auto"/>
        <w:rPr>
          <w:rFonts w:ascii="宋体" w:cs="宋体"/>
          <w:szCs w:val="21"/>
        </w:rPr>
      </w:pPr>
      <w:r>
        <w:rPr>
          <w:rFonts w:ascii="宋体" w:hAnsi="宋体" w:cs="宋体"/>
          <w:szCs w:val="21"/>
        </w:rPr>
        <w:t xml:space="preserve">    </w:t>
      </w:r>
      <w:r>
        <w:rPr>
          <w:rFonts w:hint="eastAsia" w:ascii="宋体" w:hAnsi="宋体" w:cs="宋体"/>
          <w:szCs w:val="21"/>
        </w:rPr>
        <w:t>质疑联系方式：</w:t>
      </w:r>
      <w:r>
        <w:rPr>
          <w:rFonts w:ascii="宋体" w:hAnsi="宋体" w:cs="宋体"/>
          <w:szCs w:val="21"/>
        </w:rPr>
        <w:t>18257356282</w:t>
      </w:r>
    </w:p>
    <w:p>
      <w:pPr>
        <w:spacing w:line="360" w:lineRule="auto"/>
        <w:rPr>
          <w:rFonts w:ascii="宋体" w:cs="宋体"/>
          <w:szCs w:val="21"/>
        </w:rPr>
      </w:pPr>
      <w:r>
        <w:rPr>
          <w:rFonts w:ascii="宋体" w:hAnsi="宋体" w:cs="宋体"/>
          <w:szCs w:val="21"/>
        </w:rPr>
        <w:t xml:space="preserve">    2.</w:t>
      </w:r>
      <w:r>
        <w:rPr>
          <w:rFonts w:hint="eastAsia" w:ascii="宋体" w:hAnsi="宋体" w:cs="宋体"/>
          <w:szCs w:val="21"/>
        </w:rPr>
        <w:t>采购代理机构信息</w:t>
      </w:r>
      <w:r>
        <w:rPr>
          <w:rFonts w:ascii="宋体" w:hAnsi="宋体" w:cs="宋体"/>
          <w:szCs w:val="21"/>
        </w:rPr>
        <w:t xml:space="preserve">            </w:t>
      </w:r>
    </w:p>
    <w:p>
      <w:pPr>
        <w:spacing w:line="360" w:lineRule="auto"/>
        <w:ind w:firstLine="480"/>
        <w:rPr>
          <w:rFonts w:ascii="宋体" w:cs="宋体"/>
          <w:szCs w:val="21"/>
        </w:rPr>
      </w:pPr>
      <w:r>
        <w:rPr>
          <w:rFonts w:hint="eastAsia" w:ascii="宋体" w:hAnsi="宋体" w:cs="宋体"/>
          <w:szCs w:val="21"/>
        </w:rPr>
        <w:t>名</w:t>
      </w:r>
      <w:r>
        <w:rPr>
          <w:rFonts w:ascii="宋体" w:hAnsi="宋体" w:cs="宋体"/>
          <w:szCs w:val="21"/>
        </w:rPr>
        <w:t xml:space="preserve">    </w:t>
      </w:r>
      <w:r>
        <w:rPr>
          <w:rFonts w:hint="eastAsia" w:ascii="宋体" w:hAnsi="宋体" w:cs="宋体"/>
          <w:szCs w:val="21"/>
        </w:rPr>
        <w:t>称：浙江建业工程管理有限公司</w:t>
      </w:r>
    </w:p>
    <w:p>
      <w:pPr>
        <w:spacing w:line="360" w:lineRule="auto"/>
        <w:ind w:firstLine="480"/>
        <w:rPr>
          <w:rFonts w:ascii="宋体" w:cs="宋体"/>
          <w:szCs w:val="21"/>
        </w:rPr>
      </w:pPr>
      <w:r>
        <w:rPr>
          <w:rFonts w:hint="eastAsia" w:ascii="宋体" w:hAnsi="宋体" w:cs="宋体"/>
          <w:szCs w:val="21"/>
        </w:rPr>
        <w:t>地</w:t>
      </w:r>
      <w:r>
        <w:rPr>
          <w:rFonts w:ascii="宋体" w:hAnsi="宋体" w:cs="宋体"/>
          <w:szCs w:val="21"/>
        </w:rPr>
        <w:t xml:space="preserve">    </w:t>
      </w:r>
      <w:r>
        <w:rPr>
          <w:rFonts w:hint="eastAsia" w:ascii="宋体" w:hAnsi="宋体" w:cs="宋体"/>
          <w:szCs w:val="21"/>
        </w:rPr>
        <w:t>址：嘉兴市南湖区马塘路</w:t>
      </w:r>
      <w:r>
        <w:rPr>
          <w:rFonts w:ascii="宋体" w:hAnsi="宋体" w:cs="宋体"/>
          <w:szCs w:val="21"/>
        </w:rPr>
        <w:t>500</w:t>
      </w:r>
      <w:r>
        <w:rPr>
          <w:rFonts w:hint="eastAsia" w:ascii="宋体" w:hAnsi="宋体" w:cs="宋体"/>
          <w:szCs w:val="21"/>
        </w:rPr>
        <w:t>号晶晖广场</w:t>
      </w:r>
      <w:r>
        <w:rPr>
          <w:rFonts w:ascii="宋体" w:hAnsi="宋体" w:cs="宋体"/>
          <w:szCs w:val="21"/>
        </w:rPr>
        <w:t>13</w:t>
      </w:r>
      <w:r>
        <w:rPr>
          <w:rFonts w:hint="eastAsia" w:ascii="宋体" w:hAnsi="宋体" w:cs="宋体"/>
          <w:szCs w:val="21"/>
        </w:rPr>
        <w:t>楼</w:t>
      </w:r>
    </w:p>
    <w:p>
      <w:pPr>
        <w:spacing w:line="360" w:lineRule="auto"/>
        <w:rPr>
          <w:rFonts w:ascii="宋体" w:cs="宋体"/>
          <w:szCs w:val="21"/>
        </w:rPr>
      </w:pPr>
      <w:r>
        <w:rPr>
          <w:rFonts w:ascii="宋体" w:hAnsi="宋体" w:cs="宋体"/>
          <w:szCs w:val="21"/>
        </w:rPr>
        <w:t xml:space="preserve">    </w:t>
      </w:r>
      <w:r>
        <w:rPr>
          <w:rFonts w:hint="eastAsia" w:ascii="宋体" w:hAnsi="宋体" w:cs="宋体"/>
          <w:szCs w:val="21"/>
        </w:rPr>
        <w:t>传</w:t>
      </w:r>
      <w:r>
        <w:rPr>
          <w:rFonts w:ascii="宋体" w:hAnsi="宋体" w:cs="宋体"/>
          <w:szCs w:val="21"/>
        </w:rPr>
        <w:t xml:space="preserve">    </w:t>
      </w:r>
      <w:r>
        <w:rPr>
          <w:rFonts w:hint="eastAsia" w:ascii="宋体" w:hAnsi="宋体" w:cs="宋体"/>
          <w:szCs w:val="21"/>
        </w:rPr>
        <w:t>真：</w:t>
      </w:r>
      <w:r>
        <w:rPr>
          <w:rFonts w:ascii="宋体" w:hAnsi="宋体" w:cs="宋体"/>
          <w:szCs w:val="21"/>
        </w:rPr>
        <w:t xml:space="preserve">/             </w:t>
      </w:r>
    </w:p>
    <w:p>
      <w:pPr>
        <w:spacing w:line="360" w:lineRule="auto"/>
        <w:rPr>
          <w:rFonts w:ascii="宋体" w:cs="宋体"/>
          <w:szCs w:val="21"/>
        </w:rPr>
      </w:pPr>
      <w:r>
        <w:rPr>
          <w:rFonts w:ascii="宋体" w:hAnsi="宋体" w:cs="宋体"/>
          <w:szCs w:val="21"/>
        </w:rPr>
        <w:t xml:space="preserve">    </w:t>
      </w:r>
      <w:r>
        <w:rPr>
          <w:rFonts w:hint="eastAsia" w:ascii="宋体" w:hAnsi="宋体" w:cs="宋体"/>
          <w:szCs w:val="21"/>
        </w:rPr>
        <w:t>项目联系人（询问）：张嘉诚</w:t>
      </w:r>
    </w:p>
    <w:p>
      <w:pPr>
        <w:spacing w:line="360" w:lineRule="auto"/>
        <w:rPr>
          <w:rFonts w:ascii="宋体" w:cs="宋体"/>
          <w:szCs w:val="21"/>
        </w:rPr>
      </w:pPr>
      <w:r>
        <w:rPr>
          <w:rFonts w:ascii="宋体" w:hAnsi="宋体" w:cs="宋体"/>
          <w:szCs w:val="21"/>
        </w:rPr>
        <w:t xml:space="preserve">    </w:t>
      </w:r>
      <w:r>
        <w:rPr>
          <w:rFonts w:hint="eastAsia" w:ascii="宋体" w:hAnsi="宋体" w:cs="宋体"/>
          <w:szCs w:val="21"/>
        </w:rPr>
        <w:t>项目联系方式（询问）：</w:t>
      </w:r>
      <w:r>
        <w:rPr>
          <w:rFonts w:ascii="宋体" w:hAnsi="宋体" w:cs="宋体"/>
          <w:szCs w:val="21"/>
        </w:rPr>
        <w:t>0573-82080503</w:t>
      </w:r>
    </w:p>
    <w:p>
      <w:pPr>
        <w:spacing w:line="360" w:lineRule="auto"/>
        <w:rPr>
          <w:rFonts w:ascii="宋体" w:cs="宋体"/>
          <w:szCs w:val="21"/>
        </w:rPr>
      </w:pPr>
      <w:r>
        <w:rPr>
          <w:rFonts w:ascii="宋体" w:hAnsi="宋体" w:cs="宋体"/>
          <w:szCs w:val="21"/>
        </w:rPr>
        <w:t xml:space="preserve">    </w:t>
      </w:r>
      <w:r>
        <w:rPr>
          <w:rFonts w:hint="eastAsia" w:ascii="宋体" w:hAnsi="宋体" w:cs="宋体"/>
          <w:szCs w:val="21"/>
        </w:rPr>
        <w:t>质疑联系人：浙江建业</w:t>
      </w:r>
    </w:p>
    <w:p>
      <w:pPr>
        <w:spacing w:line="360" w:lineRule="auto"/>
        <w:rPr>
          <w:rFonts w:ascii="宋体" w:cs="宋体"/>
          <w:szCs w:val="21"/>
        </w:rPr>
      </w:pPr>
      <w:r>
        <w:rPr>
          <w:rFonts w:ascii="宋体" w:hAnsi="宋体" w:cs="宋体"/>
          <w:szCs w:val="21"/>
        </w:rPr>
        <w:t xml:space="preserve">    </w:t>
      </w:r>
      <w:r>
        <w:rPr>
          <w:rFonts w:hint="eastAsia" w:ascii="宋体" w:hAnsi="宋体" w:cs="宋体"/>
          <w:szCs w:val="21"/>
        </w:rPr>
        <w:t>质疑联系方式：</w:t>
      </w:r>
      <w:r>
        <w:rPr>
          <w:rFonts w:ascii="宋体" w:hAnsi="宋体" w:cs="宋体"/>
          <w:szCs w:val="21"/>
        </w:rPr>
        <w:t>13221336476</w:t>
      </w:r>
    </w:p>
    <w:p>
      <w:pPr>
        <w:spacing w:line="360" w:lineRule="auto"/>
        <w:rPr>
          <w:rFonts w:ascii="宋体" w:cs="宋体"/>
          <w:szCs w:val="21"/>
        </w:rPr>
      </w:pPr>
      <w:r>
        <w:rPr>
          <w:rFonts w:ascii="宋体" w:hAnsi="宋体" w:cs="宋体"/>
          <w:szCs w:val="21"/>
        </w:rPr>
        <w:t xml:space="preserve">    3.</w:t>
      </w:r>
      <w:r>
        <w:rPr>
          <w:rFonts w:hint="eastAsia" w:ascii="宋体" w:hAnsi="宋体" w:cs="宋体"/>
          <w:szCs w:val="21"/>
        </w:rPr>
        <w:t>同级政府采购监督管理部门</w:t>
      </w:r>
      <w:r>
        <w:rPr>
          <w:rFonts w:ascii="宋体" w:hAnsi="宋体" w:cs="宋体"/>
          <w:szCs w:val="21"/>
        </w:rPr>
        <w:t xml:space="preserve">            </w:t>
      </w:r>
    </w:p>
    <w:p>
      <w:pPr>
        <w:spacing w:line="360" w:lineRule="auto"/>
        <w:rPr>
          <w:rFonts w:ascii="宋体" w:cs="宋体"/>
          <w:szCs w:val="21"/>
        </w:rPr>
      </w:pPr>
      <w:r>
        <w:rPr>
          <w:rFonts w:ascii="宋体" w:hAnsi="宋体" w:cs="宋体"/>
          <w:szCs w:val="21"/>
        </w:rPr>
        <w:t xml:space="preserve">    </w:t>
      </w:r>
      <w:r>
        <w:rPr>
          <w:rFonts w:hint="eastAsia" w:ascii="宋体" w:hAnsi="宋体" w:cs="宋体"/>
          <w:szCs w:val="21"/>
        </w:rPr>
        <w:t>名</w:t>
      </w:r>
      <w:r>
        <w:rPr>
          <w:rFonts w:ascii="宋体" w:hAnsi="宋体" w:cs="宋体"/>
          <w:szCs w:val="21"/>
        </w:rPr>
        <w:t xml:space="preserve">    </w:t>
      </w:r>
      <w:r>
        <w:rPr>
          <w:rFonts w:hint="eastAsia" w:ascii="宋体" w:hAnsi="宋体" w:cs="宋体"/>
          <w:szCs w:val="21"/>
        </w:rPr>
        <w:t>称：嘉兴港区财政局</w:t>
      </w:r>
    </w:p>
    <w:p>
      <w:pPr>
        <w:spacing w:line="360" w:lineRule="auto"/>
        <w:rPr>
          <w:rFonts w:ascii="宋体" w:cs="宋体"/>
          <w:szCs w:val="21"/>
        </w:rPr>
      </w:pPr>
      <w:r>
        <w:rPr>
          <w:rFonts w:ascii="宋体" w:hAnsi="宋体" w:cs="宋体"/>
          <w:szCs w:val="21"/>
        </w:rPr>
        <w:t xml:space="preserve">    </w:t>
      </w:r>
      <w:r>
        <w:rPr>
          <w:rFonts w:hint="eastAsia" w:ascii="宋体" w:hAnsi="宋体" w:cs="宋体"/>
          <w:szCs w:val="21"/>
        </w:rPr>
        <w:t>地</w:t>
      </w:r>
      <w:r>
        <w:rPr>
          <w:rFonts w:ascii="宋体" w:hAnsi="宋体" w:cs="宋体"/>
          <w:szCs w:val="21"/>
        </w:rPr>
        <w:t xml:space="preserve">    </w:t>
      </w:r>
      <w:r>
        <w:rPr>
          <w:rFonts w:hint="eastAsia" w:ascii="宋体" w:hAnsi="宋体" w:cs="宋体"/>
          <w:szCs w:val="21"/>
        </w:rPr>
        <w:t>址：</w:t>
      </w:r>
      <w:r>
        <w:rPr>
          <w:rFonts w:ascii="宋体" w:hAnsi="宋体" w:cs="宋体"/>
          <w:szCs w:val="21"/>
        </w:rPr>
        <w:t xml:space="preserve">/ </w:t>
      </w:r>
    </w:p>
    <w:p>
      <w:pPr>
        <w:spacing w:line="360" w:lineRule="auto"/>
        <w:ind w:firstLine="210" w:firstLineChars="100"/>
        <w:rPr>
          <w:rFonts w:ascii="宋体" w:cs="宋体"/>
          <w:szCs w:val="21"/>
        </w:rPr>
      </w:pPr>
      <w:r>
        <w:rPr>
          <w:rFonts w:ascii="宋体" w:hAnsi="宋体" w:cs="宋体"/>
          <w:szCs w:val="21"/>
        </w:rPr>
        <w:t xml:space="preserve">  </w:t>
      </w:r>
      <w:r>
        <w:rPr>
          <w:rFonts w:hint="eastAsia" w:ascii="宋体" w:hAnsi="宋体" w:cs="宋体"/>
          <w:szCs w:val="21"/>
        </w:rPr>
        <w:t>传</w:t>
      </w:r>
      <w:r>
        <w:rPr>
          <w:rFonts w:ascii="宋体" w:hAnsi="宋体" w:cs="宋体"/>
          <w:szCs w:val="21"/>
        </w:rPr>
        <w:t xml:space="preserve">    </w:t>
      </w:r>
      <w:r>
        <w:rPr>
          <w:rFonts w:hint="eastAsia" w:ascii="宋体" w:hAnsi="宋体" w:cs="宋体"/>
          <w:szCs w:val="21"/>
        </w:rPr>
        <w:t>真：</w:t>
      </w:r>
      <w:r>
        <w:rPr>
          <w:rFonts w:ascii="宋体" w:hAnsi="宋体" w:cs="宋体"/>
          <w:szCs w:val="21"/>
        </w:rPr>
        <w:t xml:space="preserve">/ </w:t>
      </w:r>
    </w:p>
    <w:p>
      <w:pPr>
        <w:spacing w:line="360" w:lineRule="auto"/>
        <w:rPr>
          <w:rFonts w:ascii="宋体" w:cs="宋体"/>
          <w:szCs w:val="21"/>
        </w:rPr>
      </w:pPr>
      <w:r>
        <w:rPr>
          <w:rFonts w:ascii="宋体" w:hAnsi="宋体" w:cs="宋体"/>
          <w:szCs w:val="21"/>
        </w:rPr>
        <w:t xml:space="preserve">    </w:t>
      </w:r>
      <w:r>
        <w:rPr>
          <w:rFonts w:hint="eastAsia" w:ascii="宋体" w:hAnsi="宋体" w:cs="宋体"/>
          <w:szCs w:val="21"/>
        </w:rPr>
        <w:t>联系人</w:t>
      </w:r>
      <w:r>
        <w:rPr>
          <w:rFonts w:ascii="宋体" w:hAnsi="宋体" w:cs="宋体"/>
          <w:szCs w:val="21"/>
        </w:rPr>
        <w:t xml:space="preserve"> </w:t>
      </w:r>
      <w:r>
        <w:rPr>
          <w:rFonts w:hint="eastAsia" w:ascii="宋体" w:hAnsi="宋体" w:cs="宋体"/>
          <w:szCs w:val="21"/>
        </w:rPr>
        <w:t>：嘉兴港区财政局</w:t>
      </w:r>
      <w:r>
        <w:rPr>
          <w:rFonts w:ascii="宋体" w:hAnsi="宋体" w:cs="宋体"/>
          <w:szCs w:val="21"/>
        </w:rPr>
        <w:t xml:space="preserve">    </w:t>
      </w:r>
    </w:p>
    <w:p>
      <w:pPr>
        <w:spacing w:line="360" w:lineRule="auto"/>
        <w:ind w:firstLine="480"/>
        <w:rPr>
          <w:rFonts w:ascii="宋体" w:cs="宋体"/>
          <w:szCs w:val="21"/>
        </w:rPr>
      </w:pPr>
      <w:r>
        <w:rPr>
          <w:rFonts w:hint="eastAsia" w:ascii="宋体" w:hAnsi="宋体" w:cs="宋体"/>
          <w:szCs w:val="21"/>
        </w:rPr>
        <w:t>监督投诉电话：</w:t>
      </w:r>
      <w:r>
        <w:rPr>
          <w:rFonts w:ascii="宋体" w:hAnsi="宋体" w:cs="宋体"/>
          <w:szCs w:val="21"/>
        </w:rPr>
        <w:t>0573-85522024</w:t>
      </w:r>
    </w:p>
    <w:p>
      <w:pPr>
        <w:spacing w:line="360" w:lineRule="auto"/>
        <w:ind w:firstLine="420" w:firstLineChars="200"/>
        <w:rPr>
          <w:rFonts w:ascii="宋体" w:cs="宋体"/>
          <w:szCs w:val="21"/>
        </w:rPr>
      </w:pPr>
      <w:r>
        <w:rPr>
          <w:rFonts w:hint="eastAsia" w:ascii="宋体" w:hAnsi="宋体" w:cs="宋体"/>
          <w:szCs w:val="21"/>
        </w:rPr>
        <w:t>若对项目采购电子交易系统操作有疑问，可登录政采云（</w:t>
      </w:r>
      <w:r>
        <w:rPr>
          <w:rFonts w:ascii="宋体" w:hAnsi="宋体" w:cs="宋体"/>
          <w:szCs w:val="21"/>
        </w:rPr>
        <w:t>https://www.zcygov.cn/</w:t>
      </w:r>
      <w:r>
        <w:rPr>
          <w:rFonts w:hint="eastAsia" w:ascii="宋体" w:hAnsi="宋体" w:cs="宋体"/>
          <w:szCs w:val="21"/>
        </w:rPr>
        <w:t>），点击右侧咨询小采，获取采小蜜智能服务管家帮助，或拨打政采云服务热线</w:t>
      </w:r>
      <w:r>
        <w:rPr>
          <w:rFonts w:ascii="宋体" w:hAnsi="宋体" w:cs="宋体"/>
          <w:szCs w:val="21"/>
        </w:rPr>
        <w:t>400-881-7190</w:t>
      </w:r>
      <w:r>
        <w:rPr>
          <w:rFonts w:hint="eastAsia" w:ascii="宋体" w:hAnsi="宋体" w:cs="宋体"/>
          <w:szCs w:val="21"/>
        </w:rPr>
        <w:t>获取热线服务帮助。</w:t>
      </w:r>
    </w:p>
    <w:p>
      <w:pPr>
        <w:spacing w:line="360" w:lineRule="auto"/>
        <w:ind w:firstLine="420" w:firstLineChars="200"/>
        <w:rPr>
          <w:rFonts w:ascii="宋体" w:cs="宋体"/>
          <w:szCs w:val="21"/>
        </w:rPr>
      </w:pPr>
      <w:r>
        <w:rPr>
          <w:rFonts w:ascii="宋体" w:hAnsi="宋体" w:cs="宋体"/>
          <w:szCs w:val="21"/>
        </w:rPr>
        <w:t>CA</w:t>
      </w:r>
      <w:r>
        <w:rPr>
          <w:rFonts w:hint="eastAsia" w:ascii="宋体" w:hAnsi="宋体" w:cs="宋体"/>
          <w:szCs w:val="21"/>
        </w:rPr>
        <w:t>问题联系电话（人工）：汇信</w:t>
      </w:r>
      <w:r>
        <w:rPr>
          <w:rFonts w:ascii="宋体" w:hAnsi="宋体" w:cs="宋体"/>
          <w:szCs w:val="21"/>
        </w:rPr>
        <w:t>CA 400-888-4636</w:t>
      </w:r>
      <w:r>
        <w:rPr>
          <w:rFonts w:hint="eastAsia" w:ascii="宋体" w:hAnsi="宋体" w:cs="宋体"/>
          <w:szCs w:val="21"/>
        </w:rPr>
        <w:t>；天谷</w:t>
      </w:r>
      <w:r>
        <w:rPr>
          <w:rFonts w:ascii="宋体" w:hAnsi="宋体" w:cs="宋体"/>
          <w:szCs w:val="21"/>
        </w:rPr>
        <w:t>CA 400-087-8198</w:t>
      </w:r>
      <w:r>
        <w:rPr>
          <w:rFonts w:hint="eastAsia" w:ascii="宋体" w:hAnsi="宋体" w:cs="宋体"/>
          <w:szCs w:val="21"/>
        </w:rPr>
        <w:t>。</w:t>
      </w:r>
    </w:p>
    <w:p>
      <w:pPr>
        <w:pStyle w:val="15"/>
        <w:spacing w:line="480" w:lineRule="auto"/>
        <w:jc w:val="center"/>
        <w:outlineLvl w:val="0"/>
        <w:rPr>
          <w:b/>
          <w:sz w:val="24"/>
          <w:szCs w:val="24"/>
        </w:rPr>
      </w:pPr>
      <w:r>
        <w:rPr>
          <w:sz w:val="24"/>
        </w:rPr>
        <w:br w:type="page"/>
      </w:r>
      <w:bookmarkStart w:id="1" w:name="_Toc28815"/>
      <w:r>
        <w:rPr>
          <w:rFonts w:hint="eastAsia"/>
          <w:b/>
          <w:sz w:val="24"/>
          <w:szCs w:val="24"/>
        </w:rPr>
        <w:t>第二章</w:t>
      </w:r>
      <w:r>
        <w:rPr>
          <w:b/>
          <w:sz w:val="24"/>
          <w:szCs w:val="24"/>
        </w:rPr>
        <w:t xml:space="preserve">  </w:t>
      </w:r>
      <w:r>
        <w:rPr>
          <w:rFonts w:hint="eastAsia"/>
          <w:b/>
          <w:sz w:val="24"/>
          <w:szCs w:val="24"/>
        </w:rPr>
        <w:t>投标人须知</w:t>
      </w:r>
      <w:bookmarkEnd w:id="1"/>
    </w:p>
    <w:p>
      <w:pPr>
        <w:spacing w:line="360" w:lineRule="auto"/>
        <w:ind w:left="238"/>
        <w:jc w:val="center"/>
        <w:outlineLvl w:val="1"/>
        <w:rPr>
          <w:rFonts w:ascii="宋体"/>
          <w:b/>
          <w:sz w:val="28"/>
          <w:szCs w:val="28"/>
        </w:rPr>
      </w:pPr>
      <w:bookmarkStart w:id="2" w:name="_Toc177870535"/>
      <w:r>
        <w:rPr>
          <w:rFonts w:hint="eastAsia" w:ascii="宋体"/>
          <w:b/>
          <w:sz w:val="28"/>
          <w:szCs w:val="28"/>
        </w:rPr>
        <w:t>前附表</w:t>
      </w:r>
      <w:bookmarkEnd w:id="2"/>
    </w:p>
    <w:tbl>
      <w:tblPr>
        <w:tblStyle w:val="29"/>
        <w:tblW w:w="94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85" w:type="dxa"/>
          <w:bottom w:w="0" w:type="dxa"/>
          <w:right w:w="28" w:type="dxa"/>
        </w:tblCellMar>
      </w:tblPr>
      <w:tblGrid>
        <w:gridCol w:w="784"/>
        <w:gridCol w:w="86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47" w:hRule="atLeast"/>
          <w:tblHeader/>
          <w:jc w:val="center"/>
        </w:trPr>
        <w:tc>
          <w:tcPr>
            <w:tcW w:w="784" w:type="dxa"/>
            <w:tcBorders>
              <w:top w:val="single" w:color="000000" w:sz="8" w:space="0"/>
              <w:left w:val="single" w:color="000000" w:sz="8" w:space="0"/>
              <w:bottom w:val="single" w:color="000000" w:sz="2" w:space="0"/>
              <w:right w:val="single" w:color="000000" w:sz="2" w:space="0"/>
            </w:tcBorders>
            <w:noWrap/>
            <w:vAlign w:val="center"/>
          </w:tcPr>
          <w:p>
            <w:pPr>
              <w:adjustRightInd w:val="0"/>
              <w:snapToGrid w:val="0"/>
              <w:jc w:val="center"/>
              <w:rPr>
                <w:rFonts w:ascii="宋体" w:cs="宋体"/>
                <w:szCs w:val="21"/>
              </w:rPr>
            </w:pPr>
            <w:r>
              <w:rPr>
                <w:rFonts w:hint="eastAsia" w:ascii="宋体" w:hAnsi="宋体" w:cs="宋体"/>
                <w:szCs w:val="21"/>
              </w:rPr>
              <w:t>条款</w:t>
            </w:r>
          </w:p>
        </w:tc>
        <w:tc>
          <w:tcPr>
            <w:tcW w:w="8673" w:type="dxa"/>
            <w:tcBorders>
              <w:top w:val="single" w:color="000000" w:sz="8" w:space="0"/>
              <w:left w:val="single" w:color="000000" w:sz="2" w:space="0"/>
              <w:bottom w:val="single" w:color="000000" w:sz="2" w:space="0"/>
              <w:right w:val="single" w:color="000000" w:sz="8" w:space="0"/>
            </w:tcBorders>
            <w:noWrap/>
            <w:vAlign w:val="center"/>
          </w:tcPr>
          <w:p>
            <w:pPr>
              <w:adjustRightInd w:val="0"/>
              <w:snapToGrid w:val="0"/>
              <w:jc w:val="center"/>
              <w:rPr>
                <w:rFonts w:ascii="宋体" w:cs="宋体"/>
                <w:szCs w:val="21"/>
              </w:rPr>
            </w:pPr>
            <w:r>
              <w:rPr>
                <w:rFonts w:hint="eastAsia" w:ascii="宋体" w:hAnsi="宋体" w:cs="宋体"/>
                <w:szCs w:val="21"/>
              </w:rPr>
              <w:t>内容规定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3274"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pPr>
              <w:adjustRightInd w:val="0"/>
              <w:snapToGrid w:val="0"/>
              <w:jc w:val="center"/>
              <w:rPr>
                <w:rFonts w:ascii="宋体" w:cs="宋体"/>
                <w:szCs w:val="21"/>
              </w:rPr>
            </w:pPr>
            <w:r>
              <w:rPr>
                <w:rFonts w:ascii="宋体" w:hAnsi="宋体" w:cs="宋体"/>
                <w:szCs w:val="21"/>
              </w:rPr>
              <w:t>1</w:t>
            </w:r>
          </w:p>
        </w:tc>
        <w:tc>
          <w:tcPr>
            <w:tcW w:w="8673" w:type="dxa"/>
            <w:tcBorders>
              <w:top w:val="single" w:color="000000" w:sz="2" w:space="0"/>
              <w:left w:val="single" w:color="000000" w:sz="2" w:space="0"/>
              <w:bottom w:val="single" w:color="000000" w:sz="2" w:space="0"/>
              <w:right w:val="single" w:color="000000" w:sz="8" w:space="0"/>
            </w:tcBorders>
            <w:noWrap/>
            <w:vAlign w:val="center"/>
          </w:tcPr>
          <w:p>
            <w:pPr>
              <w:adjustRightInd w:val="0"/>
              <w:snapToGrid w:val="0"/>
              <w:jc w:val="center"/>
              <w:rPr>
                <w:rFonts w:ascii="宋体" w:cs="宋体"/>
                <w:szCs w:val="21"/>
              </w:rPr>
            </w:pPr>
            <w:r>
              <w:rPr>
                <w:rFonts w:hint="eastAsia" w:ascii="宋体" w:hAnsi="宋体" w:cs="宋体"/>
                <w:szCs w:val="21"/>
              </w:rPr>
              <w:t>项目说明</w:t>
            </w:r>
          </w:p>
          <w:p>
            <w:pPr>
              <w:adjustRightInd w:val="0"/>
              <w:snapToGrid w:val="0"/>
              <w:jc w:val="left"/>
              <w:rPr>
                <w:rFonts w:ascii="宋体" w:cs="宋体"/>
                <w:szCs w:val="21"/>
              </w:rPr>
            </w:pPr>
            <w:r>
              <w:rPr>
                <w:rFonts w:hint="eastAsia" w:ascii="宋体" w:hAnsi="宋体" w:cs="宋体"/>
                <w:szCs w:val="21"/>
              </w:rPr>
              <w:t>一、项目名称：嘉兴港区综合公共服务项目。</w:t>
            </w:r>
          </w:p>
          <w:p>
            <w:pPr>
              <w:adjustRightInd w:val="0"/>
              <w:snapToGrid w:val="0"/>
              <w:jc w:val="left"/>
              <w:rPr>
                <w:rFonts w:ascii="宋体" w:cs="宋体"/>
                <w:szCs w:val="21"/>
              </w:rPr>
            </w:pPr>
            <w:bookmarkStart w:id="3" w:name="_Hlt75139851"/>
            <w:bookmarkEnd w:id="3"/>
            <w:r>
              <w:rPr>
                <w:rFonts w:hint="eastAsia" w:ascii="宋体" w:hAnsi="宋体" w:cs="宋体"/>
                <w:szCs w:val="21"/>
              </w:rPr>
              <w:t>二、采购内容：具体详见采购需求。</w:t>
            </w:r>
          </w:p>
          <w:p>
            <w:pPr>
              <w:adjustRightInd w:val="0"/>
              <w:snapToGrid w:val="0"/>
              <w:jc w:val="left"/>
              <w:rPr>
                <w:rFonts w:ascii="宋体" w:cs="宋体"/>
                <w:szCs w:val="21"/>
              </w:rPr>
            </w:pPr>
            <w:r>
              <w:rPr>
                <w:rFonts w:hint="eastAsia" w:ascii="宋体" w:hAnsi="宋体" w:cs="宋体"/>
                <w:szCs w:val="21"/>
              </w:rPr>
              <w:t>三、项目实施地点：采购人指定地点。</w:t>
            </w:r>
          </w:p>
          <w:p>
            <w:pPr>
              <w:adjustRightInd w:val="0"/>
              <w:snapToGrid w:val="0"/>
              <w:jc w:val="left"/>
              <w:rPr>
                <w:rFonts w:ascii="宋体" w:cs="宋体"/>
                <w:szCs w:val="21"/>
              </w:rPr>
            </w:pPr>
            <w:r>
              <w:rPr>
                <w:rFonts w:hint="eastAsia" w:ascii="宋体" w:hAnsi="宋体" w:cs="宋体"/>
                <w:szCs w:val="21"/>
              </w:rPr>
              <w:t>四、采购需求：详见采购文件第三章。</w:t>
            </w:r>
          </w:p>
          <w:p>
            <w:pPr>
              <w:adjustRightInd w:val="0"/>
              <w:snapToGrid w:val="0"/>
              <w:jc w:val="left"/>
              <w:rPr>
                <w:rFonts w:ascii="宋体" w:cs="宋体"/>
                <w:szCs w:val="21"/>
              </w:rPr>
            </w:pPr>
            <w:r>
              <w:rPr>
                <w:rFonts w:hint="eastAsia" w:ascii="宋体" w:hAnsi="宋体" w:cs="宋体"/>
                <w:szCs w:val="21"/>
              </w:rPr>
              <w:t>五、服务期：一年。招标单位有权制订相应考核办法，对投标单位的工作进行考核，投标单位必须无条件予以接受。在第一年合同期满前一个月，采购单位将对中标人在合同期内的工作表现做出评价以决定是否续约。如中标人达到采购单位各项考核标准，双方协商，经财政部门批准后，合同承包期限可顺延一年（费用与上一年一致，不作调整），续签最长不超过</w:t>
            </w:r>
            <w:r>
              <w:rPr>
                <w:rFonts w:ascii="宋体" w:hAnsi="宋体" w:cs="宋体"/>
                <w:szCs w:val="21"/>
              </w:rPr>
              <w:t>2</w:t>
            </w:r>
            <w:r>
              <w:rPr>
                <w:rFonts w:hint="eastAsia" w:ascii="宋体" w:hAnsi="宋体" w:cs="宋体"/>
                <w:szCs w:val="21"/>
              </w:rPr>
              <w:t>次。</w:t>
            </w:r>
          </w:p>
          <w:p>
            <w:pPr>
              <w:adjustRightInd w:val="0"/>
              <w:snapToGrid w:val="0"/>
              <w:jc w:val="left"/>
              <w:rPr>
                <w:rFonts w:ascii="宋体" w:cs="宋体"/>
                <w:szCs w:val="21"/>
              </w:rPr>
            </w:pPr>
            <w:r>
              <w:rPr>
                <w:rFonts w:hint="eastAsia" w:ascii="宋体" w:hAnsi="宋体" w:cs="宋体"/>
                <w:szCs w:val="21"/>
              </w:rPr>
              <w:t>六、预算金额：人民币：</w:t>
            </w:r>
            <w:r>
              <w:rPr>
                <w:rFonts w:hint="eastAsia" w:ascii="宋体" w:hAnsi="宋体" w:cs="宋体"/>
                <w:szCs w:val="21"/>
                <w:lang w:val="en-US" w:eastAsia="zh-CN"/>
              </w:rPr>
              <w:t>510</w:t>
            </w:r>
            <w:r>
              <w:rPr>
                <w:rFonts w:hint="eastAsia" w:ascii="宋体" w:hAnsi="宋体" w:cs="宋体"/>
                <w:szCs w:val="21"/>
              </w:rPr>
              <w:t>万元（一年）。</w:t>
            </w:r>
          </w:p>
          <w:p>
            <w:pPr>
              <w:adjustRightInd w:val="0"/>
              <w:snapToGrid w:val="0"/>
              <w:jc w:val="left"/>
              <w:rPr>
                <w:rFonts w:ascii="微软雅黑" w:hAnsi="微软雅黑" w:eastAsia="微软雅黑"/>
                <w:szCs w:val="21"/>
              </w:rPr>
            </w:pPr>
            <w:r>
              <w:rPr>
                <w:rFonts w:hint="eastAsia" w:ascii="宋体" w:cs="Arial"/>
                <w:b/>
                <w:sz w:val="24"/>
              </w:rPr>
              <w:t>预算价为最高限价，投标单位报价超过最高限价的为无效标。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538"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pPr>
              <w:adjustRightInd w:val="0"/>
              <w:snapToGrid w:val="0"/>
              <w:jc w:val="center"/>
              <w:rPr>
                <w:rFonts w:ascii="宋体" w:cs="宋体"/>
                <w:szCs w:val="21"/>
              </w:rPr>
            </w:pPr>
            <w:r>
              <w:rPr>
                <w:rFonts w:ascii="宋体" w:hAnsi="宋体" w:cs="宋体"/>
                <w:szCs w:val="21"/>
              </w:rPr>
              <w:t>2</w:t>
            </w:r>
          </w:p>
        </w:tc>
        <w:tc>
          <w:tcPr>
            <w:tcW w:w="8673" w:type="dxa"/>
            <w:tcBorders>
              <w:top w:val="single" w:color="000000" w:sz="2" w:space="0"/>
              <w:left w:val="single" w:color="000000" w:sz="2" w:space="0"/>
              <w:bottom w:val="single" w:color="000000" w:sz="2" w:space="0"/>
              <w:right w:val="single" w:color="000000" w:sz="8" w:space="0"/>
            </w:tcBorders>
            <w:noWrap/>
            <w:vAlign w:val="center"/>
          </w:tcPr>
          <w:p>
            <w:pPr>
              <w:adjustRightInd w:val="0"/>
              <w:snapToGrid w:val="0"/>
              <w:jc w:val="left"/>
              <w:rPr>
                <w:rFonts w:ascii="宋体" w:cs="宋体"/>
                <w:szCs w:val="21"/>
              </w:rPr>
            </w:pPr>
            <w:r>
              <w:rPr>
                <w:rFonts w:hint="eastAsia" w:ascii="宋体" w:hAnsi="宋体" w:cs="宋体"/>
                <w:szCs w:val="21"/>
                <w:lang w:val="zh-CN"/>
              </w:rPr>
              <w:t>投标</w:t>
            </w:r>
            <w:r>
              <w:rPr>
                <w:rFonts w:hint="eastAsia" w:ascii="宋体" w:hAnsi="宋体" w:cs="宋体"/>
                <w:szCs w:val="21"/>
              </w:rPr>
              <w:t>有效期：自投标截止日起</w:t>
            </w:r>
            <w:r>
              <w:rPr>
                <w:rFonts w:ascii="宋体" w:hAnsi="宋体" w:cs="宋体"/>
                <w:szCs w:val="21"/>
              </w:rPr>
              <w:t>90</w:t>
            </w:r>
            <w:r>
              <w:rPr>
                <w:rFonts w:hint="eastAsia" w:ascii="宋体" w:hAnsi="宋体" w:cs="宋体"/>
                <w:szCs w:val="21"/>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511"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pPr>
              <w:adjustRightInd w:val="0"/>
              <w:snapToGrid w:val="0"/>
              <w:jc w:val="center"/>
              <w:rPr>
                <w:rFonts w:ascii="宋体" w:cs="宋体"/>
                <w:szCs w:val="21"/>
              </w:rPr>
            </w:pPr>
            <w:r>
              <w:rPr>
                <w:rFonts w:ascii="宋体" w:hAnsi="宋体" w:cs="宋体"/>
                <w:szCs w:val="21"/>
              </w:rPr>
              <w:t>3</w:t>
            </w:r>
          </w:p>
        </w:tc>
        <w:tc>
          <w:tcPr>
            <w:tcW w:w="8673" w:type="dxa"/>
            <w:tcBorders>
              <w:top w:val="single" w:color="000000" w:sz="2" w:space="0"/>
              <w:left w:val="single" w:color="000000" w:sz="2" w:space="0"/>
              <w:bottom w:val="single" w:color="000000" w:sz="2" w:space="0"/>
              <w:right w:val="single" w:color="000000" w:sz="8" w:space="0"/>
            </w:tcBorders>
            <w:noWrap/>
            <w:vAlign w:val="center"/>
          </w:tcPr>
          <w:p>
            <w:pPr>
              <w:adjustRightInd w:val="0"/>
              <w:snapToGrid w:val="0"/>
              <w:jc w:val="left"/>
              <w:rPr>
                <w:rFonts w:ascii="宋体" w:cs="宋体"/>
                <w:szCs w:val="21"/>
              </w:rPr>
            </w:pPr>
            <w:r>
              <w:rPr>
                <w:rFonts w:hint="eastAsia" w:ascii="宋体" w:hAnsi="宋体" w:cs="宋体"/>
                <w:szCs w:val="21"/>
              </w:rPr>
              <w:t>投标保证金数额：无。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1030"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pPr>
              <w:adjustRightInd w:val="0"/>
              <w:snapToGrid w:val="0"/>
              <w:jc w:val="center"/>
              <w:rPr>
                <w:rFonts w:ascii="宋体" w:cs="宋体"/>
                <w:szCs w:val="21"/>
              </w:rPr>
            </w:pPr>
            <w:r>
              <w:rPr>
                <w:rFonts w:ascii="宋体" w:hAnsi="宋体" w:cs="宋体"/>
                <w:szCs w:val="21"/>
              </w:rPr>
              <w:t>4</w:t>
            </w:r>
          </w:p>
        </w:tc>
        <w:tc>
          <w:tcPr>
            <w:tcW w:w="8673" w:type="dxa"/>
            <w:tcBorders>
              <w:top w:val="single" w:color="000000" w:sz="2" w:space="0"/>
              <w:left w:val="single" w:color="000000" w:sz="2" w:space="0"/>
              <w:bottom w:val="single" w:color="000000" w:sz="2" w:space="0"/>
              <w:right w:val="single" w:color="000000" w:sz="8" w:space="0"/>
            </w:tcBorders>
            <w:noWrap/>
            <w:vAlign w:val="center"/>
          </w:tcPr>
          <w:p>
            <w:pPr>
              <w:adjustRightInd w:val="0"/>
              <w:snapToGrid w:val="0"/>
              <w:jc w:val="left"/>
              <w:rPr>
                <w:rFonts w:ascii="宋体" w:cs="宋体"/>
                <w:szCs w:val="21"/>
              </w:rPr>
            </w:pPr>
            <w:r>
              <w:rPr>
                <w:rFonts w:hint="eastAsia" w:ascii="宋体" w:hAnsi="宋体" w:cs="宋体"/>
                <w:szCs w:val="21"/>
              </w:rPr>
              <w:t>招标服务费：本次代理服务费由中标人支付，代理服务费按照国家计委印发的《招标代理服务收费管理暂行办法》计价格</w:t>
            </w:r>
            <w:r>
              <w:rPr>
                <w:rFonts w:ascii="宋体" w:hAnsi="宋体" w:cs="宋体"/>
                <w:szCs w:val="21"/>
              </w:rPr>
              <w:t>[2002]1980</w:t>
            </w:r>
            <w:r>
              <w:rPr>
                <w:rFonts w:hint="eastAsia" w:ascii="宋体" w:hAnsi="宋体" w:cs="宋体"/>
                <w:szCs w:val="21"/>
              </w:rPr>
              <w:t>号规定收费。由中标人在领取中标通知书前支付给招标代理机构，各投标人应在投标报价中予以考虑。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pPr>
              <w:adjustRightInd w:val="0"/>
              <w:snapToGrid w:val="0"/>
              <w:jc w:val="center"/>
              <w:rPr>
                <w:rFonts w:ascii="宋体" w:cs="宋体"/>
                <w:szCs w:val="21"/>
              </w:rPr>
            </w:pPr>
            <w:r>
              <w:rPr>
                <w:rFonts w:ascii="宋体" w:hAnsi="宋体" w:cs="宋体"/>
                <w:szCs w:val="21"/>
              </w:rPr>
              <w:t>5</w:t>
            </w:r>
          </w:p>
        </w:tc>
        <w:tc>
          <w:tcPr>
            <w:tcW w:w="8673" w:type="dxa"/>
            <w:tcBorders>
              <w:top w:val="single" w:color="000000" w:sz="2" w:space="0"/>
              <w:left w:val="single" w:color="000000" w:sz="2" w:space="0"/>
              <w:bottom w:val="single" w:color="000000" w:sz="2" w:space="0"/>
              <w:right w:val="single" w:color="000000" w:sz="8" w:space="0"/>
            </w:tcBorders>
            <w:noWrap/>
            <w:vAlign w:val="center"/>
          </w:tcPr>
          <w:p>
            <w:pPr>
              <w:adjustRightInd w:val="0"/>
              <w:snapToGrid w:val="0"/>
              <w:jc w:val="left"/>
              <w:rPr>
                <w:rFonts w:ascii="宋体" w:cs="宋体"/>
                <w:szCs w:val="21"/>
              </w:rPr>
            </w:pPr>
            <w:r>
              <w:rPr>
                <w:rFonts w:hint="eastAsia" w:ascii="宋体" w:hAnsi="宋体" w:cs="宋体"/>
                <w:szCs w:val="21"/>
              </w:rPr>
              <w:t>投标文件的组成：完整的《投标文件》由“资格文件”、“资信商务及技术文件”和“投标报价文件”三个部分组成。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pPr>
              <w:adjustRightInd w:val="0"/>
              <w:snapToGrid w:val="0"/>
              <w:jc w:val="center"/>
              <w:rPr>
                <w:rFonts w:ascii="宋体" w:cs="宋体"/>
                <w:szCs w:val="21"/>
              </w:rPr>
            </w:pPr>
            <w:r>
              <w:rPr>
                <w:rFonts w:ascii="宋体" w:hAnsi="宋体" w:cs="宋体"/>
                <w:szCs w:val="21"/>
              </w:rPr>
              <w:t>6</w:t>
            </w:r>
          </w:p>
        </w:tc>
        <w:tc>
          <w:tcPr>
            <w:tcW w:w="8673" w:type="dxa"/>
            <w:tcBorders>
              <w:top w:val="single" w:color="000000" w:sz="2" w:space="0"/>
              <w:left w:val="single" w:color="000000" w:sz="2" w:space="0"/>
              <w:bottom w:val="single" w:color="000000" w:sz="2" w:space="0"/>
              <w:right w:val="single" w:color="000000" w:sz="8" w:space="0"/>
            </w:tcBorders>
            <w:noWrap/>
            <w:vAlign w:val="center"/>
          </w:tcPr>
          <w:p>
            <w:pPr>
              <w:adjustRightInd w:val="0"/>
              <w:snapToGrid w:val="0"/>
              <w:jc w:val="left"/>
              <w:rPr>
                <w:rFonts w:ascii="宋体" w:cs="宋体"/>
                <w:szCs w:val="21"/>
              </w:rPr>
            </w:pPr>
            <w:r>
              <w:rPr>
                <w:rFonts w:hint="eastAsia" w:ascii="宋体" w:hAnsi="宋体" w:cs="宋体"/>
                <w:szCs w:val="21"/>
              </w:rPr>
              <w:t>投标文件的编制：供应商应先安装“政采云电子交易客户端”，并按照本招标文件和“政采云平台”的要求，通过“政采云电子交易客户端”编制并加密投标文件。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pPr>
              <w:adjustRightInd w:val="0"/>
              <w:snapToGrid w:val="0"/>
              <w:jc w:val="center"/>
              <w:rPr>
                <w:rFonts w:ascii="宋体" w:cs="宋体"/>
                <w:szCs w:val="21"/>
              </w:rPr>
            </w:pPr>
            <w:r>
              <w:rPr>
                <w:rFonts w:ascii="宋体" w:hAnsi="宋体" w:cs="宋体"/>
                <w:szCs w:val="21"/>
              </w:rPr>
              <w:t>7</w:t>
            </w:r>
          </w:p>
        </w:tc>
        <w:tc>
          <w:tcPr>
            <w:tcW w:w="8673" w:type="dxa"/>
            <w:tcBorders>
              <w:top w:val="single" w:color="000000" w:sz="2" w:space="0"/>
              <w:left w:val="single" w:color="000000" w:sz="2" w:space="0"/>
              <w:bottom w:val="single" w:color="000000" w:sz="2" w:space="0"/>
              <w:right w:val="single" w:color="000000" w:sz="8" w:space="0"/>
            </w:tcBorders>
            <w:noWrap/>
            <w:vAlign w:val="center"/>
          </w:tcPr>
          <w:p>
            <w:pPr>
              <w:adjustRightInd w:val="0"/>
              <w:snapToGrid w:val="0"/>
              <w:jc w:val="left"/>
              <w:rPr>
                <w:rFonts w:ascii="宋体" w:cs="宋体"/>
                <w:szCs w:val="21"/>
              </w:rPr>
            </w:pPr>
            <w:r>
              <w:rPr>
                <w:rFonts w:hint="eastAsia" w:ascii="宋体" w:hAnsi="宋体" w:cs="宋体"/>
                <w:szCs w:val="21"/>
              </w:rPr>
              <w:t>投标文件的签章：电子签章（公章）。其中法定代表人和授权代表签字或盖章可书面签订或盖章后扫描至电子投标文件中上传；凡投标格式文件明确有签字盖章处均应符合。</w:t>
            </w:r>
            <w:r>
              <w:rPr>
                <w:rFonts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1842"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pPr>
              <w:adjustRightInd w:val="0"/>
              <w:snapToGrid w:val="0"/>
              <w:jc w:val="center"/>
              <w:rPr>
                <w:rFonts w:ascii="宋体" w:cs="宋体"/>
                <w:szCs w:val="21"/>
              </w:rPr>
            </w:pPr>
            <w:r>
              <w:rPr>
                <w:rFonts w:ascii="宋体" w:hAnsi="宋体" w:cs="宋体"/>
                <w:szCs w:val="21"/>
              </w:rPr>
              <w:t>8</w:t>
            </w:r>
          </w:p>
        </w:tc>
        <w:tc>
          <w:tcPr>
            <w:tcW w:w="8673" w:type="dxa"/>
            <w:tcBorders>
              <w:top w:val="single" w:color="000000" w:sz="2" w:space="0"/>
              <w:left w:val="single" w:color="000000" w:sz="2" w:space="0"/>
              <w:bottom w:val="single" w:color="000000" w:sz="2" w:space="0"/>
              <w:right w:val="single" w:color="000000" w:sz="8" w:space="0"/>
            </w:tcBorders>
            <w:noWrap/>
            <w:vAlign w:val="center"/>
          </w:tcPr>
          <w:p>
            <w:pPr>
              <w:adjustRightInd w:val="0"/>
              <w:snapToGrid w:val="0"/>
              <w:jc w:val="left"/>
              <w:rPr>
                <w:rFonts w:ascii="宋体" w:cs="宋体"/>
                <w:szCs w:val="21"/>
              </w:rPr>
            </w:pPr>
            <w:r>
              <w:rPr>
                <w:rFonts w:hint="eastAsia" w:ascii="宋体" w:hAnsi="宋体" w:cs="宋体"/>
                <w:szCs w:val="21"/>
              </w:rPr>
              <w:t>投标文件的形式：</w:t>
            </w:r>
            <w:r>
              <w:rPr>
                <w:rFonts w:hint="eastAsia" w:ascii="MS Mincho" w:hAnsi="MS Mincho" w:eastAsia="MS Mincho" w:cs="MS Mincho"/>
                <w:szCs w:val="21"/>
              </w:rPr>
              <w:t>☑</w:t>
            </w:r>
            <w:r>
              <w:rPr>
                <w:rFonts w:hint="eastAsia" w:ascii="宋体" w:hAnsi="宋体" w:cs="宋体"/>
                <w:szCs w:val="21"/>
              </w:rPr>
              <w:t>电子投标文件（包括“电子加密投标文件”和“备份投标文件”，在投标文件编制完成后同时生成）。</w:t>
            </w:r>
          </w:p>
          <w:p>
            <w:pPr>
              <w:adjustRightInd w:val="0"/>
              <w:snapToGrid w:val="0"/>
              <w:jc w:val="left"/>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）“电子加密投标文件”是指通过“政采云电子交易客户端”完成投标文件编制后生成并加密的数据电文形式的投标文件。</w:t>
            </w:r>
          </w:p>
          <w:p>
            <w:pPr>
              <w:adjustRightInd w:val="0"/>
              <w:snapToGrid w:val="0"/>
              <w:jc w:val="left"/>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1411"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pPr>
              <w:adjustRightInd w:val="0"/>
              <w:snapToGrid w:val="0"/>
              <w:jc w:val="center"/>
              <w:rPr>
                <w:rFonts w:ascii="宋体" w:cs="宋体"/>
                <w:b/>
                <w:bCs/>
                <w:szCs w:val="21"/>
              </w:rPr>
            </w:pPr>
            <w:r>
              <w:rPr>
                <w:rFonts w:ascii="宋体" w:hAnsi="宋体" w:cs="宋体"/>
                <w:szCs w:val="21"/>
              </w:rPr>
              <w:t>9</w:t>
            </w:r>
          </w:p>
        </w:tc>
        <w:tc>
          <w:tcPr>
            <w:tcW w:w="8673" w:type="dxa"/>
            <w:tcBorders>
              <w:top w:val="single" w:color="000000" w:sz="2" w:space="0"/>
              <w:left w:val="single" w:color="000000" w:sz="2" w:space="0"/>
              <w:bottom w:val="single" w:color="000000" w:sz="2" w:space="0"/>
              <w:right w:val="single" w:color="000000" w:sz="8" w:space="0"/>
            </w:tcBorders>
            <w:noWrap/>
            <w:vAlign w:val="center"/>
          </w:tcPr>
          <w:p>
            <w:pPr>
              <w:adjustRightInd w:val="0"/>
              <w:snapToGrid w:val="0"/>
              <w:jc w:val="left"/>
              <w:rPr>
                <w:rFonts w:ascii="宋体" w:cs="宋体"/>
                <w:szCs w:val="21"/>
              </w:rPr>
            </w:pPr>
            <w:r>
              <w:rPr>
                <w:rFonts w:hint="eastAsia" w:ascii="宋体" w:hAnsi="宋体" w:cs="宋体"/>
                <w:szCs w:val="21"/>
              </w:rPr>
              <w:t>投标文件份数：（</w:t>
            </w:r>
            <w:r>
              <w:rPr>
                <w:rFonts w:ascii="宋体" w:hAnsi="宋体" w:cs="宋体"/>
                <w:szCs w:val="21"/>
              </w:rPr>
              <w:t>1</w:t>
            </w:r>
            <w:r>
              <w:rPr>
                <w:rFonts w:hint="eastAsia" w:ascii="宋体" w:hAnsi="宋体" w:cs="宋体"/>
                <w:szCs w:val="21"/>
              </w:rPr>
              <w:t>）“电子加密投标文件”：在线上传递交、一份。（</w:t>
            </w:r>
            <w:r>
              <w:rPr>
                <w:rFonts w:ascii="宋体" w:hAnsi="宋体" w:cs="宋体"/>
                <w:szCs w:val="21"/>
              </w:rPr>
              <w:t>2</w:t>
            </w:r>
            <w:r>
              <w:rPr>
                <w:rFonts w:hint="eastAsia" w:ascii="宋体" w:hAnsi="宋体" w:cs="宋体"/>
                <w:szCs w:val="21"/>
              </w:rPr>
              <w:t>）“备份投标文件”：密封包装后（采用</w:t>
            </w:r>
            <w:r>
              <w:rPr>
                <w:rFonts w:ascii="宋体" w:hAnsi="宋体" w:cs="宋体"/>
                <w:szCs w:val="21"/>
              </w:rPr>
              <w:t>EMS</w:t>
            </w:r>
            <w:r>
              <w:rPr>
                <w:rFonts w:hint="eastAsia" w:ascii="宋体" w:hAnsi="宋体" w:cs="宋体"/>
                <w:szCs w:val="21"/>
              </w:rPr>
              <w:t>邮寄形式或者直接送达至采购代理公司）投标截止时间前递交、一份（邮寄（或直接送达）地址：浙江建业工程管理有限公司（浙江建业工程管理有限公司），联系人：张先生，联系电话：</w:t>
            </w:r>
            <w:r>
              <w:rPr>
                <w:rFonts w:ascii="宋体" w:hAnsi="宋体" w:cs="宋体"/>
                <w:szCs w:val="21"/>
              </w:rPr>
              <w:t>0573-82080503</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pPr>
              <w:adjustRightInd w:val="0"/>
              <w:snapToGrid w:val="0"/>
              <w:jc w:val="center"/>
              <w:rPr>
                <w:rFonts w:ascii="宋体" w:cs="宋体"/>
                <w:szCs w:val="21"/>
              </w:rPr>
            </w:pPr>
            <w:r>
              <w:rPr>
                <w:rFonts w:ascii="宋体" w:hAnsi="宋体" w:cs="宋体"/>
                <w:b/>
                <w:bCs/>
                <w:szCs w:val="21"/>
              </w:rPr>
              <w:t>10</w:t>
            </w:r>
          </w:p>
        </w:tc>
        <w:tc>
          <w:tcPr>
            <w:tcW w:w="8673" w:type="dxa"/>
            <w:tcBorders>
              <w:top w:val="single" w:color="000000" w:sz="2" w:space="0"/>
              <w:left w:val="single" w:color="000000" w:sz="2" w:space="0"/>
              <w:bottom w:val="single" w:color="000000" w:sz="2" w:space="0"/>
              <w:right w:val="single" w:color="000000" w:sz="8" w:space="0"/>
            </w:tcBorders>
            <w:noWrap/>
            <w:vAlign w:val="center"/>
          </w:tcPr>
          <w:p>
            <w:pPr>
              <w:adjustRightInd w:val="0"/>
              <w:snapToGrid w:val="0"/>
              <w:jc w:val="left"/>
              <w:rPr>
                <w:rFonts w:ascii="宋体" w:cs="宋体"/>
                <w:szCs w:val="21"/>
              </w:rPr>
            </w:pPr>
            <w:r>
              <w:rPr>
                <w:rFonts w:hint="eastAsia" w:ascii="宋体" w:hAnsi="宋体" w:cs="宋体"/>
                <w:szCs w:val="21"/>
              </w:rPr>
              <w:t>投标文件的上传和递交：</w:t>
            </w:r>
          </w:p>
          <w:p>
            <w:pPr>
              <w:adjustRightInd w:val="0"/>
              <w:snapToGrid w:val="0"/>
              <w:jc w:val="left"/>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）“电子加密投标文件”的上传、递交：</w:t>
            </w:r>
          </w:p>
          <w:p>
            <w:pPr>
              <w:adjustRightInd w:val="0"/>
              <w:snapToGrid w:val="0"/>
              <w:jc w:val="left"/>
              <w:rPr>
                <w:rFonts w:ascii="宋体" w:cs="宋体"/>
                <w:szCs w:val="21"/>
              </w:rPr>
            </w:pPr>
            <w:r>
              <w:rPr>
                <w:rFonts w:ascii="宋体" w:hAnsi="宋体" w:cs="宋体"/>
                <w:szCs w:val="21"/>
              </w:rPr>
              <w:t>a.</w:t>
            </w:r>
            <w:r>
              <w:rPr>
                <w:rFonts w:hint="eastAsia" w:ascii="宋体" w:hAnsi="宋体" w:cs="宋体"/>
                <w:szCs w:val="21"/>
              </w:rPr>
              <w:t>投标供应商应在投标截止时间前将“电子加密投标文件”成功上传递交至“政采云平台”，否则投标无效。</w:t>
            </w:r>
          </w:p>
          <w:p>
            <w:pPr>
              <w:adjustRightInd w:val="0"/>
              <w:snapToGrid w:val="0"/>
              <w:jc w:val="left"/>
              <w:rPr>
                <w:rFonts w:ascii="宋体" w:cs="宋体"/>
                <w:szCs w:val="21"/>
              </w:rPr>
            </w:pPr>
            <w:r>
              <w:rPr>
                <w:rFonts w:ascii="宋体" w:hAnsi="宋体" w:cs="宋体"/>
                <w:szCs w:val="21"/>
              </w:rPr>
              <w:t>b.</w:t>
            </w:r>
            <w:r>
              <w:rPr>
                <w:rFonts w:hint="eastAsia" w:ascii="宋体" w:hAnsi="宋体" w:cs="宋体"/>
                <w:szCs w:val="21"/>
              </w:rPr>
              <w:t>“电子加密投标文件”成功上传递交后，供应商可自行打印投标文件接收回执。</w:t>
            </w:r>
          </w:p>
          <w:p>
            <w:pPr>
              <w:adjustRightInd w:val="0"/>
              <w:snapToGrid w:val="0"/>
              <w:jc w:val="left"/>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）“备份投标文件”的密封包装、递交：</w:t>
            </w:r>
          </w:p>
          <w:p>
            <w:pPr>
              <w:adjustRightInd w:val="0"/>
              <w:snapToGrid w:val="0"/>
              <w:jc w:val="left"/>
              <w:rPr>
                <w:rFonts w:ascii="宋体" w:cs="宋体"/>
                <w:szCs w:val="21"/>
              </w:rPr>
            </w:pPr>
            <w:r>
              <w:rPr>
                <w:rFonts w:ascii="宋体" w:hAnsi="宋体" w:cs="宋体"/>
                <w:szCs w:val="21"/>
              </w:rPr>
              <w:t>a.</w:t>
            </w:r>
            <w:r>
              <w:rPr>
                <w:rFonts w:hint="eastAsia" w:ascii="宋体" w:hAnsi="宋体" w:cs="宋体"/>
                <w:szCs w:val="21"/>
              </w:rPr>
              <w:t>投标供应商在“政府采购云平台”完成“电子加密投标文件”的上传递交后，还可以（</w:t>
            </w:r>
            <w:r>
              <w:rPr>
                <w:rFonts w:ascii="宋体" w:hAnsi="宋体" w:cs="宋体"/>
                <w:szCs w:val="21"/>
              </w:rPr>
              <w:t>EMS</w:t>
            </w:r>
            <w:r>
              <w:rPr>
                <w:rFonts w:hint="eastAsia" w:ascii="宋体" w:hAnsi="宋体" w:cs="宋体"/>
                <w:szCs w:val="21"/>
              </w:rPr>
              <w:t>邮寄形式（或者直接送达方式）在投标截止时间前递交以介质（</w:t>
            </w:r>
            <w:r>
              <w:rPr>
                <w:rFonts w:ascii="宋体" w:hAnsi="宋体" w:cs="宋体"/>
                <w:szCs w:val="21"/>
              </w:rPr>
              <w:t>U</w:t>
            </w:r>
            <w:r>
              <w:rPr>
                <w:rFonts w:hint="eastAsia" w:ascii="宋体" w:hAnsi="宋体" w:cs="宋体"/>
                <w:szCs w:val="21"/>
              </w:rPr>
              <w:t>盘）存储的</w:t>
            </w:r>
            <w:r>
              <w:rPr>
                <w:rFonts w:ascii="宋体" w:hAnsi="宋体" w:cs="宋体"/>
                <w:szCs w:val="21"/>
              </w:rPr>
              <w:t xml:space="preserve"> </w:t>
            </w:r>
            <w:r>
              <w:rPr>
                <w:rFonts w:hint="eastAsia" w:ascii="宋体" w:hAnsi="宋体" w:cs="宋体"/>
                <w:szCs w:val="21"/>
              </w:rPr>
              <w:t>“备份投标文件”（一份）。</w:t>
            </w:r>
          </w:p>
          <w:p>
            <w:pPr>
              <w:adjustRightInd w:val="0"/>
              <w:snapToGrid w:val="0"/>
              <w:jc w:val="left"/>
              <w:rPr>
                <w:rFonts w:ascii="宋体" w:cs="宋体"/>
                <w:szCs w:val="21"/>
              </w:rPr>
            </w:pPr>
            <w:r>
              <w:rPr>
                <w:rFonts w:ascii="宋体" w:hAnsi="宋体" w:cs="宋体"/>
                <w:szCs w:val="21"/>
              </w:rPr>
              <w:t>b.</w:t>
            </w:r>
            <w:r>
              <w:rPr>
                <w:rFonts w:hint="eastAsia" w:ascii="宋体" w:hAnsi="宋体" w:cs="宋体"/>
                <w:szCs w:val="21"/>
              </w:rPr>
              <w:t>“备份投标文件”应当密封包装，并在包装上标注投标项目名称、投标单位名称并加盖公章。没有密封包装或者逾期邮寄或者逾期送达至投标地点的“备份投标文件”将不予接收；（备注：包裹外包装上请注明项目名称备份投标文件）。</w:t>
            </w:r>
          </w:p>
          <w:p>
            <w:pPr>
              <w:adjustRightInd w:val="0"/>
              <w:snapToGrid w:val="0"/>
              <w:jc w:val="left"/>
              <w:rPr>
                <w:rFonts w:ascii="宋体" w:cs="宋体"/>
                <w:szCs w:val="21"/>
              </w:rPr>
            </w:pPr>
            <w:r>
              <w:rPr>
                <w:rFonts w:ascii="宋体" w:hAnsi="宋体" w:cs="宋体"/>
                <w:szCs w:val="21"/>
              </w:rPr>
              <w:t>c.</w:t>
            </w:r>
            <w:r>
              <w:rPr>
                <w:rFonts w:hint="eastAsia" w:ascii="宋体" w:hAnsi="宋体" w:cs="宋体"/>
                <w:szCs w:val="21"/>
              </w:rPr>
              <w:t>通过“政采云平台”成功上传递交的“电子加密投标文件”已按时解密的，“备份投标文件”自动失效。投标截止时间前，投标供应商仅递交了“备份投标文件”而未将“电子加密投标文件”成功上传至“政府采购云平台”的，投标无效。</w:t>
            </w:r>
          </w:p>
          <w:p>
            <w:pPr>
              <w:adjustRightInd w:val="0"/>
              <w:snapToGrid w:val="0"/>
              <w:jc w:val="left"/>
              <w:rPr>
                <w:rFonts w:hAnsi="宋体" w:cs="宋体"/>
                <w:szCs w:val="21"/>
              </w:rPr>
            </w:pPr>
            <w:r>
              <w:rPr>
                <w:rFonts w:hAnsi="宋体" w:cs="宋体"/>
                <w:szCs w:val="21"/>
              </w:rPr>
              <w:t>d.</w:t>
            </w:r>
            <w:r>
              <w:rPr>
                <w:rFonts w:hint="eastAsia" w:hAnsi="宋体" w:cs="宋体"/>
                <w:szCs w:val="21"/>
              </w:rPr>
              <w:t>如在开标过程中出现解密失败情况，以备份文件作为替代投标文件，如投标人未按照规定时间及要求提供有效备份文件，同时政采云上投标文件解密失败的，将导致投标无效。</w:t>
            </w:r>
          </w:p>
          <w:p>
            <w:pPr>
              <w:adjustRightInd w:val="0"/>
              <w:snapToGrid w:val="0"/>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2895"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pPr>
              <w:adjustRightInd w:val="0"/>
              <w:snapToGrid w:val="0"/>
              <w:jc w:val="center"/>
              <w:rPr>
                <w:rFonts w:ascii="宋体" w:cs="宋体"/>
                <w:szCs w:val="21"/>
              </w:rPr>
            </w:pPr>
            <w:r>
              <w:rPr>
                <w:rFonts w:ascii="宋体" w:hAnsi="宋体" w:cs="宋体"/>
                <w:szCs w:val="21"/>
              </w:rPr>
              <w:t>11</w:t>
            </w:r>
          </w:p>
        </w:tc>
        <w:tc>
          <w:tcPr>
            <w:tcW w:w="8673" w:type="dxa"/>
            <w:tcBorders>
              <w:top w:val="single" w:color="000000" w:sz="2" w:space="0"/>
              <w:left w:val="single" w:color="000000" w:sz="2" w:space="0"/>
              <w:bottom w:val="single" w:color="000000" w:sz="2" w:space="0"/>
              <w:right w:val="single" w:color="000000" w:sz="8" w:space="0"/>
            </w:tcBorders>
            <w:noWrap/>
            <w:vAlign w:val="center"/>
          </w:tcPr>
          <w:p>
            <w:pPr>
              <w:adjustRightInd w:val="0"/>
              <w:snapToGrid w:val="0"/>
              <w:jc w:val="left"/>
              <w:rPr>
                <w:rFonts w:ascii="宋体" w:cs="宋体"/>
                <w:szCs w:val="21"/>
              </w:rPr>
            </w:pPr>
            <w:r>
              <w:rPr>
                <w:rFonts w:hint="eastAsia" w:ascii="宋体" w:hAnsi="宋体" w:cs="宋体"/>
                <w:szCs w:val="21"/>
              </w:rPr>
              <w:t>电子加密投标文件的解密和异常情况处理：</w:t>
            </w:r>
          </w:p>
          <w:p>
            <w:pPr>
              <w:adjustRightInd w:val="0"/>
              <w:snapToGrid w:val="0"/>
              <w:jc w:val="left"/>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）开标后，采购组织机构将向各投标供应商发出“电子加密投标文件”的解密通知，各投标供应商代表应当在接到解密通知后</w:t>
            </w:r>
            <w:r>
              <w:rPr>
                <w:rFonts w:ascii="宋体" w:hAnsi="宋体" w:cs="宋体"/>
                <w:szCs w:val="21"/>
              </w:rPr>
              <w:t>30</w:t>
            </w:r>
            <w:r>
              <w:rPr>
                <w:rFonts w:hint="eastAsia" w:ascii="宋体" w:hAnsi="宋体" w:cs="宋体"/>
                <w:szCs w:val="21"/>
              </w:rPr>
              <w:t>分钟内自行完成“电子加密投标文件”的在线解密。</w:t>
            </w:r>
          </w:p>
          <w:p>
            <w:pPr>
              <w:adjustRightInd w:val="0"/>
              <w:snapToGrid w:val="0"/>
              <w:jc w:val="left"/>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通过“政采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adjustRightInd w:val="0"/>
              <w:snapToGrid w:val="0"/>
              <w:jc w:val="left"/>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）投标截止时间前，投标供应商仅递交了“备份投标文件”而未将电子加密投标文件上传至“政府采购云平台”的，投标无效。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440"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pPr>
              <w:adjustRightInd w:val="0"/>
              <w:snapToGrid w:val="0"/>
              <w:jc w:val="center"/>
              <w:rPr>
                <w:rFonts w:ascii="宋体" w:cs="宋体"/>
                <w:szCs w:val="21"/>
              </w:rPr>
            </w:pPr>
            <w:r>
              <w:rPr>
                <w:rFonts w:ascii="宋体" w:hAnsi="宋体" w:cs="宋体"/>
                <w:szCs w:val="21"/>
              </w:rPr>
              <w:t>12</w:t>
            </w:r>
          </w:p>
        </w:tc>
        <w:tc>
          <w:tcPr>
            <w:tcW w:w="8673" w:type="dxa"/>
            <w:tcBorders>
              <w:top w:val="single" w:color="000000" w:sz="2" w:space="0"/>
              <w:left w:val="single" w:color="000000" w:sz="2" w:space="0"/>
              <w:bottom w:val="single" w:color="000000" w:sz="2" w:space="0"/>
              <w:right w:val="single" w:color="000000" w:sz="8" w:space="0"/>
            </w:tcBorders>
            <w:noWrap/>
            <w:vAlign w:val="center"/>
          </w:tcPr>
          <w:p>
            <w:pPr>
              <w:adjustRightInd w:val="0"/>
              <w:snapToGrid w:val="0"/>
              <w:rPr>
                <w:rFonts w:ascii="宋体" w:cs="宋体"/>
                <w:szCs w:val="21"/>
              </w:rPr>
            </w:pPr>
            <w:r>
              <w:rPr>
                <w:rFonts w:hint="eastAsia" w:ascii="宋体" w:hAnsi="宋体" w:cs="宋体"/>
                <w:szCs w:val="21"/>
              </w:rPr>
              <w:t>投标截止时间：</w:t>
            </w:r>
            <w:r>
              <w:rPr>
                <w:rFonts w:hint="eastAsia" w:ascii="宋体" w:hAnsi="宋体" w:cs="宋体"/>
                <w:kern w:val="0"/>
                <w:szCs w:val="21"/>
              </w:rPr>
              <w:t>详见公告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408"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pPr>
              <w:adjustRightInd w:val="0"/>
              <w:snapToGrid w:val="0"/>
              <w:jc w:val="center"/>
              <w:rPr>
                <w:rFonts w:ascii="宋体" w:cs="宋体"/>
                <w:szCs w:val="21"/>
              </w:rPr>
            </w:pPr>
            <w:r>
              <w:rPr>
                <w:rFonts w:ascii="宋体" w:hAnsi="宋体" w:cs="宋体"/>
                <w:szCs w:val="21"/>
              </w:rPr>
              <w:t>13</w:t>
            </w:r>
          </w:p>
        </w:tc>
        <w:tc>
          <w:tcPr>
            <w:tcW w:w="8673" w:type="dxa"/>
            <w:tcBorders>
              <w:top w:val="single" w:color="000000" w:sz="2" w:space="0"/>
              <w:left w:val="single" w:color="000000" w:sz="2" w:space="0"/>
              <w:bottom w:val="single" w:color="000000" w:sz="2" w:space="0"/>
              <w:right w:val="single" w:color="000000" w:sz="8" w:space="0"/>
            </w:tcBorders>
            <w:noWrap/>
            <w:vAlign w:val="center"/>
          </w:tcPr>
          <w:p>
            <w:pPr>
              <w:adjustRightInd w:val="0"/>
              <w:snapToGrid w:val="0"/>
              <w:rPr>
                <w:rFonts w:ascii="宋体" w:cs="宋体"/>
                <w:szCs w:val="21"/>
              </w:rPr>
            </w:pPr>
            <w:r>
              <w:rPr>
                <w:rFonts w:hint="eastAsia" w:ascii="宋体" w:hAnsi="宋体" w:cs="宋体"/>
                <w:szCs w:val="21"/>
              </w:rPr>
              <w:t>投标地点：</w:t>
            </w:r>
            <w:r>
              <w:rPr>
                <w:rFonts w:hint="eastAsia" w:ascii="宋体" w:hAnsi="宋体" w:cs="宋体"/>
                <w:kern w:val="0"/>
                <w:szCs w:val="21"/>
              </w:rPr>
              <w:t>详见公告</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468" w:hRule="atLeast"/>
          <w:jc w:val="center"/>
        </w:trPr>
        <w:tc>
          <w:tcPr>
            <w:tcW w:w="784" w:type="dxa"/>
            <w:tcBorders>
              <w:top w:val="single" w:color="000000" w:sz="2" w:space="0"/>
              <w:left w:val="single" w:color="000000" w:sz="8" w:space="0"/>
              <w:bottom w:val="single" w:color="auto" w:sz="4" w:space="0"/>
              <w:right w:val="single" w:color="000000" w:sz="2" w:space="0"/>
            </w:tcBorders>
            <w:noWrap/>
            <w:vAlign w:val="center"/>
          </w:tcPr>
          <w:p>
            <w:pPr>
              <w:adjustRightInd w:val="0"/>
              <w:snapToGrid w:val="0"/>
              <w:jc w:val="center"/>
              <w:rPr>
                <w:rFonts w:ascii="宋体" w:cs="宋体"/>
                <w:szCs w:val="21"/>
              </w:rPr>
            </w:pPr>
            <w:r>
              <w:rPr>
                <w:rFonts w:ascii="宋体" w:hAnsi="宋体" w:cs="宋体"/>
                <w:szCs w:val="21"/>
              </w:rPr>
              <w:t>14</w:t>
            </w:r>
          </w:p>
        </w:tc>
        <w:tc>
          <w:tcPr>
            <w:tcW w:w="8673" w:type="dxa"/>
            <w:tcBorders>
              <w:top w:val="single" w:color="000000" w:sz="2" w:space="0"/>
              <w:left w:val="single" w:color="000000" w:sz="2" w:space="0"/>
              <w:bottom w:val="single" w:color="auto" w:sz="4" w:space="0"/>
              <w:right w:val="single" w:color="000000" w:sz="8" w:space="0"/>
            </w:tcBorders>
            <w:noWrap/>
            <w:vAlign w:val="center"/>
          </w:tcPr>
          <w:p>
            <w:pPr>
              <w:adjustRightInd w:val="0"/>
              <w:snapToGrid w:val="0"/>
              <w:jc w:val="left"/>
              <w:rPr>
                <w:rFonts w:ascii="宋体" w:cs="宋体"/>
                <w:szCs w:val="21"/>
              </w:rPr>
            </w:pPr>
            <w:r>
              <w:rPr>
                <w:rFonts w:hint="eastAsia" w:ascii="宋体" w:hAnsi="宋体" w:cs="宋体"/>
                <w:szCs w:val="21"/>
              </w:rPr>
              <w:t>开标时间和地点：同投标截止时间与地点。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597" w:hRule="atLeast"/>
          <w:jc w:val="center"/>
        </w:trPr>
        <w:tc>
          <w:tcPr>
            <w:tcW w:w="784" w:type="dxa"/>
            <w:tcBorders>
              <w:top w:val="single" w:color="auto" w:sz="4" w:space="0"/>
              <w:left w:val="single" w:color="000000" w:sz="8" w:space="0"/>
              <w:bottom w:val="single" w:color="auto" w:sz="4" w:space="0"/>
              <w:right w:val="single" w:color="000000" w:sz="2" w:space="0"/>
            </w:tcBorders>
            <w:noWrap/>
            <w:vAlign w:val="center"/>
          </w:tcPr>
          <w:p>
            <w:pPr>
              <w:adjustRightInd w:val="0"/>
              <w:snapToGrid w:val="0"/>
              <w:jc w:val="center"/>
              <w:rPr>
                <w:rFonts w:ascii="宋体" w:cs="宋体"/>
                <w:szCs w:val="21"/>
              </w:rPr>
            </w:pPr>
            <w:r>
              <w:rPr>
                <w:rFonts w:ascii="宋体" w:hAnsi="宋体" w:cs="宋体"/>
                <w:szCs w:val="21"/>
              </w:rPr>
              <w:t>15</w:t>
            </w:r>
          </w:p>
        </w:tc>
        <w:tc>
          <w:tcPr>
            <w:tcW w:w="8673" w:type="dxa"/>
            <w:tcBorders>
              <w:top w:val="single" w:color="auto" w:sz="4" w:space="0"/>
              <w:left w:val="single" w:color="000000" w:sz="2" w:space="0"/>
              <w:bottom w:val="single" w:color="auto" w:sz="4" w:space="0"/>
              <w:right w:val="single" w:color="000000" w:sz="8" w:space="0"/>
            </w:tcBorders>
            <w:noWrap/>
            <w:vAlign w:val="center"/>
          </w:tcPr>
          <w:p>
            <w:pPr>
              <w:adjustRightInd w:val="0"/>
              <w:snapToGrid w:val="0"/>
              <w:jc w:val="left"/>
              <w:rPr>
                <w:rFonts w:ascii="宋体" w:cs="宋体"/>
                <w:szCs w:val="21"/>
              </w:rPr>
            </w:pPr>
            <w:r>
              <w:rPr>
                <w:rFonts w:hint="eastAsia" w:ascii="宋体" w:hAnsi="宋体" w:cs="宋体"/>
                <w:szCs w:val="21"/>
              </w:rPr>
              <w:t>带“▲”条款系指实质性要求条款。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943" w:hRule="atLeast"/>
          <w:jc w:val="center"/>
        </w:trPr>
        <w:tc>
          <w:tcPr>
            <w:tcW w:w="784" w:type="dxa"/>
            <w:tcBorders>
              <w:top w:val="single" w:color="auto" w:sz="4" w:space="0"/>
              <w:left w:val="single" w:color="000000" w:sz="8" w:space="0"/>
              <w:bottom w:val="single" w:color="auto" w:sz="4" w:space="0"/>
              <w:right w:val="single" w:color="000000" w:sz="2" w:space="0"/>
            </w:tcBorders>
            <w:noWrap/>
            <w:vAlign w:val="center"/>
          </w:tcPr>
          <w:p>
            <w:pPr>
              <w:adjustRightInd w:val="0"/>
              <w:snapToGrid w:val="0"/>
              <w:jc w:val="center"/>
              <w:rPr>
                <w:rFonts w:ascii="宋体" w:cs="宋体"/>
                <w:szCs w:val="21"/>
              </w:rPr>
            </w:pPr>
            <w:r>
              <w:rPr>
                <w:rFonts w:ascii="宋体" w:hAnsi="宋体" w:cs="宋体"/>
                <w:szCs w:val="21"/>
              </w:rPr>
              <w:t>16</w:t>
            </w:r>
          </w:p>
        </w:tc>
        <w:tc>
          <w:tcPr>
            <w:tcW w:w="8673" w:type="dxa"/>
            <w:tcBorders>
              <w:top w:val="single" w:color="auto" w:sz="4" w:space="0"/>
              <w:left w:val="single" w:color="000000" w:sz="2" w:space="0"/>
              <w:bottom w:val="single" w:color="auto" w:sz="4" w:space="0"/>
              <w:right w:val="single" w:color="000000" w:sz="8" w:space="0"/>
            </w:tcBorders>
            <w:noWrap/>
            <w:vAlign w:val="center"/>
          </w:tcPr>
          <w:p>
            <w:pPr>
              <w:adjustRightInd w:val="0"/>
              <w:snapToGrid w:val="0"/>
              <w:jc w:val="left"/>
              <w:rPr>
                <w:rFonts w:ascii="宋体"/>
                <w:szCs w:val="21"/>
              </w:rPr>
            </w:pPr>
            <w:r>
              <w:rPr>
                <w:rFonts w:hint="eastAsia" w:ascii="宋体" w:hAnsi="宋体"/>
                <w:b/>
                <w:szCs w:val="21"/>
              </w:rPr>
              <w:t>中标结果公告：</w:t>
            </w:r>
            <w:r>
              <w:rPr>
                <w:rFonts w:hint="eastAsia" w:ascii="宋体" w:hAnsi="宋体"/>
                <w:szCs w:val="21"/>
              </w:rPr>
              <w:t>自中标、成交供应商确定之日起</w:t>
            </w:r>
            <w:r>
              <w:rPr>
                <w:rFonts w:ascii="宋体" w:hAnsi="宋体"/>
                <w:szCs w:val="21"/>
              </w:rPr>
              <w:t>2</w:t>
            </w:r>
            <w:r>
              <w:rPr>
                <w:rFonts w:hint="eastAsia" w:ascii="宋体" w:hAnsi="宋体"/>
                <w:szCs w:val="21"/>
              </w:rPr>
              <w:t>个工作日内结果公告于浙江政府采购网</w:t>
            </w:r>
            <w:r>
              <w:rPr>
                <w:rFonts w:ascii="宋体" w:hAnsi="宋体"/>
                <w:szCs w:val="21"/>
              </w:rPr>
              <w:t>(</w:t>
            </w:r>
            <w:r>
              <w:fldChar w:fldCharType="begin"/>
            </w:r>
            <w:r>
              <w:instrText xml:space="preserve"> HYPERLINK "http://www.zjzfcg.gov.cn/" </w:instrText>
            </w:r>
            <w:r>
              <w:fldChar w:fldCharType="separate"/>
            </w:r>
            <w:r>
              <w:rPr>
                <w:rFonts w:ascii="宋体"/>
                <w:szCs w:val="21"/>
              </w:rPr>
              <w:t>http://www.zjzfcg.gov.cn</w:t>
            </w:r>
            <w:r>
              <w:rPr>
                <w:rFonts w:ascii="宋体"/>
                <w:szCs w:val="21"/>
              </w:rPr>
              <w:fldChar w:fldCharType="end"/>
            </w:r>
            <w:r>
              <w:rPr>
                <w:rFonts w:ascii="宋体" w:hAnsi="宋体"/>
                <w:szCs w:val="21"/>
              </w:rPr>
              <w:t>)</w:t>
            </w:r>
            <w:r>
              <w:rPr>
                <w:rFonts w:hint="eastAsia" w:ascii="宋体" w:hAnsi="宋体"/>
                <w:szCs w:val="21"/>
              </w:rPr>
              <w:t>等网站或媒体。中标公告期限为</w:t>
            </w:r>
            <w:r>
              <w:rPr>
                <w:rFonts w:ascii="宋体" w:hAnsi="宋体"/>
                <w:szCs w:val="21"/>
              </w:rPr>
              <w:t>1</w:t>
            </w:r>
            <w:r>
              <w:rPr>
                <w:rFonts w:hint="eastAsia" w:ascii="宋体" w:hAnsi="宋体"/>
                <w:szCs w:val="21"/>
              </w:rPr>
              <w:t>个工作日。</w:t>
            </w:r>
          </w:p>
          <w:p>
            <w:pPr>
              <w:adjustRightInd w:val="0"/>
              <w:snapToGrid w:val="0"/>
              <w:jc w:val="left"/>
              <w:rPr>
                <w:rFonts w:ascii="宋体" w:cs="宋体"/>
                <w:szCs w:val="21"/>
              </w:rPr>
            </w:pPr>
            <w:r>
              <w:rPr>
                <w:rFonts w:hint="eastAsia" w:ascii="宋体" w:hAnsi="宋体"/>
                <w:b/>
                <w:szCs w:val="21"/>
              </w:rPr>
              <w:t>中标通知书</w:t>
            </w:r>
            <w:r>
              <w:rPr>
                <w:rFonts w:hint="eastAsia" w:ascii="仿宋_GB2312" w:hAnsi="宋体" w:eastAsia="仿宋_GB2312"/>
                <w:b/>
                <w:bCs/>
                <w:sz w:val="22"/>
                <w:szCs w:val="22"/>
              </w:rPr>
              <w:t>：</w:t>
            </w:r>
            <w:r>
              <w:rPr>
                <w:rFonts w:hint="eastAsia" w:ascii="宋体" w:hAnsi="宋体"/>
                <w:szCs w:val="21"/>
              </w:rPr>
              <w:t>在发布中标结果公告的同时向中标人发出中标通知书。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762"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pPr>
              <w:adjustRightInd w:val="0"/>
              <w:snapToGrid w:val="0"/>
              <w:jc w:val="center"/>
              <w:rPr>
                <w:rFonts w:ascii="宋体" w:cs="宋体"/>
                <w:szCs w:val="21"/>
              </w:rPr>
            </w:pPr>
            <w:r>
              <w:rPr>
                <w:rFonts w:ascii="宋体" w:hAnsi="宋体" w:cs="宋体"/>
                <w:szCs w:val="21"/>
              </w:rPr>
              <w:t>17</w:t>
            </w:r>
          </w:p>
        </w:tc>
        <w:tc>
          <w:tcPr>
            <w:tcW w:w="8673" w:type="dxa"/>
            <w:tcBorders>
              <w:top w:val="single" w:color="000000" w:sz="2" w:space="0"/>
              <w:left w:val="single" w:color="000000" w:sz="2" w:space="0"/>
              <w:bottom w:val="single" w:color="000000" w:sz="2" w:space="0"/>
              <w:right w:val="single" w:color="000000" w:sz="8" w:space="0"/>
            </w:tcBorders>
            <w:noWrap/>
            <w:vAlign w:val="center"/>
          </w:tcPr>
          <w:p>
            <w:pPr>
              <w:adjustRightInd w:val="0"/>
              <w:snapToGrid w:val="0"/>
              <w:jc w:val="left"/>
              <w:rPr>
                <w:rFonts w:ascii="宋体" w:cs="宋体"/>
                <w:szCs w:val="21"/>
              </w:rPr>
            </w:pPr>
            <w:r>
              <w:rPr>
                <w:rFonts w:hint="eastAsia" w:ascii="宋体" w:hAnsi="宋体" w:cs="宋体"/>
                <w:szCs w:val="21"/>
              </w:rPr>
              <w:t>潜在供应商需在浙江政府采购网</w:t>
            </w:r>
            <w:r>
              <w:rPr>
                <w:rFonts w:ascii="宋体" w:hAnsi="宋体" w:cs="宋体"/>
                <w:szCs w:val="21"/>
              </w:rPr>
              <w:t>http://www.ccgp-zhejiang.gov.cn/</w:t>
            </w:r>
            <w:r>
              <w:rPr>
                <w:rFonts w:hint="eastAsia" w:ascii="宋体" w:hAnsi="宋体" w:cs="宋体"/>
                <w:szCs w:val="21"/>
              </w:rPr>
              <w:t>进行免费注册，具体详见浙江政府采购网供应商注册要求。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pPr>
              <w:adjustRightInd w:val="0"/>
              <w:snapToGrid w:val="0"/>
              <w:jc w:val="center"/>
              <w:rPr>
                <w:rFonts w:ascii="宋体" w:cs="宋体"/>
                <w:szCs w:val="21"/>
              </w:rPr>
            </w:pPr>
            <w:r>
              <w:rPr>
                <w:rFonts w:ascii="宋体" w:hAnsi="宋体" w:cs="宋体"/>
                <w:szCs w:val="21"/>
              </w:rPr>
              <w:t>18</w:t>
            </w:r>
          </w:p>
        </w:tc>
        <w:tc>
          <w:tcPr>
            <w:tcW w:w="8673" w:type="dxa"/>
            <w:tcBorders>
              <w:top w:val="single" w:color="000000" w:sz="2" w:space="0"/>
              <w:left w:val="single" w:color="000000" w:sz="2" w:space="0"/>
              <w:bottom w:val="single" w:color="000000" w:sz="2" w:space="0"/>
              <w:right w:val="single" w:color="000000" w:sz="8" w:space="0"/>
            </w:tcBorders>
            <w:noWrap/>
            <w:vAlign w:val="center"/>
          </w:tcPr>
          <w:p>
            <w:pPr>
              <w:adjustRightInd w:val="0"/>
              <w:snapToGrid w:val="0"/>
              <w:rPr>
                <w:rFonts w:ascii="宋体"/>
                <w:b/>
                <w:bCs/>
                <w:szCs w:val="21"/>
                <w:highlight w:val="none"/>
              </w:rPr>
            </w:pPr>
            <w:r>
              <w:rPr>
                <w:rFonts w:hint="eastAsia" w:ascii="宋体" w:hAnsi="宋体"/>
                <w:b/>
                <w:bCs/>
                <w:szCs w:val="21"/>
                <w:highlight w:val="none"/>
              </w:rPr>
              <w:t>一、说明</w:t>
            </w:r>
          </w:p>
          <w:p>
            <w:pPr>
              <w:adjustRightInd w:val="0"/>
              <w:snapToGrid w:val="0"/>
              <w:ind w:firstLine="422" w:firstLineChars="200"/>
              <w:rPr>
                <w:rFonts w:ascii="宋体"/>
                <w:b/>
                <w:bCs/>
                <w:szCs w:val="21"/>
                <w:highlight w:val="none"/>
              </w:rPr>
            </w:pPr>
            <w:r>
              <w:rPr>
                <w:rFonts w:hint="eastAsia" w:ascii="宋体" w:hAnsi="宋体"/>
                <w:b/>
                <w:bCs/>
                <w:szCs w:val="21"/>
                <w:highlight w:val="none"/>
              </w:rPr>
              <w:t>中小企业</w:t>
            </w:r>
          </w:p>
          <w:p>
            <w:pPr>
              <w:adjustRightInd w:val="0"/>
              <w:snapToGrid w:val="0"/>
              <w:ind w:firstLine="420" w:firstLineChars="200"/>
              <w:rPr>
                <w:rFonts w:ascii="宋体"/>
                <w:szCs w:val="21"/>
                <w:highlight w:val="none"/>
              </w:rPr>
            </w:pPr>
            <w:r>
              <w:rPr>
                <w:rFonts w:hint="eastAsia" w:ascii="宋体" w:hAnsi="宋体"/>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ind w:firstLine="420" w:firstLineChars="200"/>
              <w:rPr>
                <w:rFonts w:ascii="宋体"/>
                <w:szCs w:val="21"/>
                <w:highlight w:val="none"/>
              </w:rPr>
            </w:pPr>
            <w:r>
              <w:rPr>
                <w:rFonts w:hint="eastAsia" w:ascii="宋体" w:hAnsi="宋体"/>
                <w:szCs w:val="21"/>
                <w:highlight w:val="none"/>
              </w:rPr>
              <w:t>符合中小企业划分标准的个体工商户，在政府采购活动中视同中小企业。</w:t>
            </w:r>
          </w:p>
          <w:p>
            <w:pPr>
              <w:adjustRightInd w:val="0"/>
              <w:snapToGrid w:val="0"/>
              <w:ind w:firstLine="420" w:firstLineChars="200"/>
              <w:rPr>
                <w:rFonts w:ascii="宋体"/>
                <w:bCs/>
                <w:szCs w:val="21"/>
                <w:highlight w:val="none"/>
              </w:rPr>
            </w:pPr>
            <w:r>
              <w:rPr>
                <w:rFonts w:hint="eastAsia" w:ascii="宋体" w:hAnsi="宋体"/>
                <w:bCs/>
                <w:szCs w:val="21"/>
                <w:highlight w:val="none"/>
              </w:rPr>
              <w:t>在政府采购活动中，供应商提供的货物、工程或者服务符合下列情形的，享受本办法规定的中小企业扶持政策：</w:t>
            </w:r>
          </w:p>
          <w:p>
            <w:pPr>
              <w:adjustRightInd w:val="0"/>
              <w:snapToGrid w:val="0"/>
              <w:ind w:firstLine="420" w:firstLineChars="200"/>
              <w:rPr>
                <w:rFonts w:ascii="宋体"/>
                <w:bCs/>
                <w:szCs w:val="21"/>
                <w:highlight w:val="none"/>
              </w:rPr>
            </w:pPr>
            <w:r>
              <w:rPr>
                <w:rFonts w:ascii="宋体" w:hAnsi="宋体"/>
                <w:bCs/>
                <w:szCs w:val="21"/>
                <w:highlight w:val="none"/>
              </w:rPr>
              <w:t>(</w:t>
            </w:r>
            <w:r>
              <w:rPr>
                <w:rFonts w:hint="eastAsia" w:ascii="宋体" w:hAnsi="宋体"/>
                <w:bCs/>
                <w:szCs w:val="21"/>
                <w:highlight w:val="none"/>
              </w:rPr>
              <w:t>一</w:t>
            </w:r>
            <w:r>
              <w:rPr>
                <w:rFonts w:ascii="宋体" w:hAnsi="宋体"/>
                <w:bCs/>
                <w:szCs w:val="21"/>
                <w:highlight w:val="none"/>
              </w:rPr>
              <w:t>)</w:t>
            </w:r>
            <w:r>
              <w:rPr>
                <w:rFonts w:hint="eastAsia" w:ascii="宋体" w:hAnsi="宋体"/>
                <w:bCs/>
                <w:szCs w:val="21"/>
                <w:highlight w:val="none"/>
              </w:rPr>
              <w:t>在货物采购项目中，货物由中小企业制造，即货物由中小企业生产且使用该中小企业商号或者注册商标；</w:t>
            </w:r>
          </w:p>
          <w:p>
            <w:pPr>
              <w:adjustRightInd w:val="0"/>
              <w:snapToGrid w:val="0"/>
              <w:ind w:firstLine="420" w:firstLineChars="200"/>
              <w:rPr>
                <w:rFonts w:ascii="宋体"/>
                <w:bCs/>
                <w:szCs w:val="21"/>
                <w:highlight w:val="none"/>
              </w:rPr>
            </w:pPr>
            <w:r>
              <w:rPr>
                <w:rFonts w:ascii="宋体" w:hAnsi="宋体"/>
                <w:bCs/>
                <w:szCs w:val="21"/>
                <w:highlight w:val="none"/>
              </w:rPr>
              <w:t>(</w:t>
            </w:r>
            <w:r>
              <w:rPr>
                <w:rFonts w:hint="eastAsia" w:ascii="宋体" w:hAnsi="宋体"/>
                <w:bCs/>
                <w:szCs w:val="21"/>
                <w:highlight w:val="none"/>
              </w:rPr>
              <w:t>二</w:t>
            </w:r>
            <w:r>
              <w:rPr>
                <w:rFonts w:ascii="宋体" w:hAnsi="宋体"/>
                <w:bCs/>
                <w:szCs w:val="21"/>
                <w:highlight w:val="none"/>
              </w:rPr>
              <w:t>)</w:t>
            </w:r>
            <w:r>
              <w:rPr>
                <w:rFonts w:hint="eastAsia" w:ascii="宋体" w:hAnsi="宋体"/>
                <w:bCs/>
                <w:szCs w:val="21"/>
                <w:highlight w:val="none"/>
              </w:rPr>
              <w:t>在工程采购项目中，工程由中小企业承建，即工程施工单位为中小企业；</w:t>
            </w:r>
          </w:p>
          <w:p>
            <w:pPr>
              <w:adjustRightInd w:val="0"/>
              <w:snapToGrid w:val="0"/>
              <w:ind w:firstLine="420" w:firstLineChars="200"/>
              <w:rPr>
                <w:rFonts w:ascii="宋体"/>
                <w:bCs/>
                <w:szCs w:val="21"/>
                <w:highlight w:val="none"/>
              </w:rPr>
            </w:pPr>
            <w:r>
              <w:rPr>
                <w:rFonts w:ascii="宋体" w:hAnsi="宋体"/>
                <w:bCs/>
                <w:szCs w:val="21"/>
                <w:highlight w:val="none"/>
              </w:rPr>
              <w:t>(</w:t>
            </w:r>
            <w:r>
              <w:rPr>
                <w:rFonts w:hint="eastAsia" w:ascii="宋体" w:hAnsi="宋体"/>
                <w:bCs/>
                <w:szCs w:val="21"/>
                <w:highlight w:val="none"/>
              </w:rPr>
              <w:t>三</w:t>
            </w:r>
            <w:r>
              <w:rPr>
                <w:rFonts w:ascii="宋体" w:hAnsi="宋体"/>
                <w:bCs/>
                <w:szCs w:val="21"/>
                <w:highlight w:val="none"/>
              </w:rPr>
              <w:t>)</w:t>
            </w:r>
            <w:r>
              <w:rPr>
                <w:rFonts w:hint="eastAsia" w:ascii="宋体" w:hAnsi="宋体"/>
                <w:bCs/>
                <w:szCs w:val="21"/>
                <w:highlight w:val="none"/>
              </w:rPr>
              <w:t>在服务采购项目中，服务由中小企业承接，即提供服务的人员为中小企业依照《中华人民共和国劳动合同法》订立劳动合同的从业人员。</w:t>
            </w:r>
          </w:p>
          <w:p>
            <w:pPr>
              <w:adjustRightInd w:val="0"/>
              <w:snapToGrid w:val="0"/>
              <w:ind w:firstLine="420" w:firstLineChars="200"/>
              <w:rPr>
                <w:rFonts w:ascii="宋体"/>
                <w:bCs/>
                <w:szCs w:val="21"/>
                <w:highlight w:val="none"/>
              </w:rPr>
            </w:pPr>
            <w:r>
              <w:rPr>
                <w:rFonts w:hint="eastAsia" w:ascii="宋体" w:hAnsi="宋体"/>
                <w:bCs/>
                <w:szCs w:val="21"/>
                <w:highlight w:val="none"/>
              </w:rPr>
              <w:t>在货物采购项目中，供应商提供的货物既有中小企业制造货物，也有大型企业制造货物的，不享受本办法规定的中小企业扶持政策。</w:t>
            </w:r>
          </w:p>
          <w:p>
            <w:pPr>
              <w:adjustRightInd w:val="0"/>
              <w:snapToGrid w:val="0"/>
              <w:ind w:firstLine="420" w:firstLineChars="200"/>
              <w:rPr>
                <w:rFonts w:ascii="宋体"/>
                <w:bCs/>
                <w:szCs w:val="21"/>
                <w:highlight w:val="none"/>
              </w:rPr>
            </w:pPr>
            <w:r>
              <w:rPr>
                <w:rFonts w:hint="eastAsia" w:ascii="宋体" w:hAnsi="宋体"/>
                <w:bCs/>
                <w:szCs w:val="21"/>
                <w:highlight w:val="none"/>
              </w:rPr>
              <w:t>以联合体形式参加政府采购活动，联合体各方均为中小企业的，联合体视同中小企业。其中，联合体各方均为小微企业的，联合体视同小微企业。</w:t>
            </w:r>
          </w:p>
          <w:p>
            <w:pPr>
              <w:adjustRightInd w:val="0"/>
              <w:snapToGrid w:val="0"/>
              <w:ind w:firstLine="422" w:firstLineChars="200"/>
              <w:rPr>
                <w:rFonts w:ascii="宋体"/>
                <w:b/>
                <w:bCs/>
                <w:szCs w:val="21"/>
                <w:highlight w:val="none"/>
              </w:rPr>
            </w:pPr>
            <w:r>
              <w:rPr>
                <w:rFonts w:hint="eastAsia" w:ascii="宋体" w:hAnsi="宋体"/>
                <w:b/>
                <w:bCs/>
                <w:szCs w:val="21"/>
                <w:highlight w:val="none"/>
              </w:rPr>
              <w:t>残疾人福利性单位</w:t>
            </w:r>
          </w:p>
          <w:p>
            <w:pPr>
              <w:adjustRightInd w:val="0"/>
              <w:snapToGrid w:val="0"/>
              <w:ind w:firstLine="420" w:firstLineChars="200"/>
              <w:rPr>
                <w:rFonts w:ascii="宋体"/>
                <w:szCs w:val="21"/>
                <w:highlight w:val="none"/>
              </w:rPr>
            </w:pPr>
            <w:r>
              <w:rPr>
                <w:rFonts w:hint="eastAsia" w:ascii="宋体" w:hAnsi="宋体"/>
                <w:szCs w:val="21"/>
                <w:highlight w:val="none"/>
              </w:rPr>
              <w:t>符合《关于促进残疾人就业政府采购政策的通知》（财库〔</w:t>
            </w:r>
            <w:r>
              <w:rPr>
                <w:rFonts w:ascii="宋体" w:hAnsi="宋体"/>
                <w:szCs w:val="21"/>
                <w:highlight w:val="none"/>
              </w:rPr>
              <w:t>2017</w:t>
            </w:r>
            <w:r>
              <w:rPr>
                <w:rFonts w:hint="eastAsia" w:ascii="宋体" w:hAnsi="宋体"/>
                <w:szCs w:val="21"/>
                <w:highlight w:val="none"/>
              </w:rPr>
              <w:t>〕</w:t>
            </w:r>
            <w:r>
              <w:rPr>
                <w:rFonts w:ascii="宋体" w:hAnsi="宋体"/>
                <w:szCs w:val="21"/>
                <w:highlight w:val="none"/>
              </w:rPr>
              <w:t>141</w:t>
            </w:r>
            <w:r>
              <w:rPr>
                <w:rFonts w:hint="eastAsia" w:ascii="宋体" w:hAnsi="宋体"/>
                <w:szCs w:val="21"/>
                <w:highlight w:val="none"/>
              </w:rPr>
              <w:t>号）规定的条件并提供提供《残疾人福利性单位声明函》的残疾人福利性单位视同小型、微型企业，享受预留份额、评审中价格扣除等政府采购促进中小企业发展的政府采购政策。</w:t>
            </w:r>
          </w:p>
          <w:p>
            <w:pPr>
              <w:adjustRightInd w:val="0"/>
              <w:snapToGrid w:val="0"/>
              <w:ind w:firstLine="422" w:firstLineChars="200"/>
              <w:rPr>
                <w:rFonts w:ascii="宋体"/>
                <w:b/>
                <w:bCs/>
                <w:szCs w:val="21"/>
                <w:highlight w:val="none"/>
              </w:rPr>
            </w:pPr>
            <w:r>
              <w:rPr>
                <w:rFonts w:hint="eastAsia" w:ascii="宋体" w:hAnsi="宋体"/>
                <w:b/>
                <w:bCs/>
                <w:szCs w:val="21"/>
                <w:highlight w:val="none"/>
              </w:rPr>
              <w:t>监狱企业</w:t>
            </w:r>
          </w:p>
          <w:p>
            <w:pPr>
              <w:adjustRightInd w:val="0"/>
              <w:snapToGrid w:val="0"/>
              <w:ind w:firstLine="420" w:firstLineChars="200"/>
              <w:rPr>
                <w:rFonts w:ascii="宋体"/>
                <w:szCs w:val="21"/>
                <w:highlight w:val="none"/>
              </w:rPr>
            </w:pPr>
            <w:r>
              <w:rPr>
                <w:rFonts w:hint="eastAsia" w:ascii="宋体" w:hAnsi="宋体"/>
                <w:szCs w:val="21"/>
                <w:highlight w:val="none"/>
              </w:rPr>
              <w:t>根据《关于政府采购支持监狱企业发展有关问题的通知》（财库</w:t>
            </w:r>
            <w:r>
              <w:rPr>
                <w:rFonts w:ascii="宋体" w:hAnsi="宋体"/>
                <w:szCs w:val="21"/>
                <w:highlight w:val="none"/>
              </w:rPr>
              <w:t>[2014]68</w:t>
            </w:r>
            <w:r>
              <w:rPr>
                <w:rFonts w:hint="eastAsia" w:ascii="宋体" w:hAnsi="宋体"/>
                <w:szCs w:val="21"/>
                <w:highlight w:val="none"/>
              </w:rPr>
              <w:t>号）的规定，投标人提供由省级以上监狱管理局、戒毒管理局（含新疆生产建设兵团）出具的属于监狱企业证明文件的，视同为小型和微型企业，享受预留份额、评审中价格扣除等政府采购促进中小企业发展的政府采购政策。</w:t>
            </w:r>
          </w:p>
          <w:p>
            <w:pPr>
              <w:adjustRightInd w:val="0"/>
              <w:snapToGrid w:val="0"/>
              <w:rPr>
                <w:rFonts w:ascii="宋体"/>
                <w:b/>
                <w:bCs/>
                <w:szCs w:val="21"/>
                <w:highlight w:val="none"/>
              </w:rPr>
            </w:pPr>
            <w:r>
              <w:rPr>
                <w:rFonts w:hint="eastAsia" w:ascii="宋体" w:hAnsi="宋体"/>
                <w:b/>
                <w:bCs/>
                <w:szCs w:val="21"/>
                <w:highlight w:val="none"/>
              </w:rPr>
              <w:t>二、针对本项目的相关规定</w:t>
            </w:r>
          </w:p>
          <w:p>
            <w:pPr>
              <w:adjustRightInd w:val="0"/>
              <w:snapToGrid w:val="0"/>
              <w:rPr>
                <w:rFonts w:ascii="宋体"/>
                <w:b/>
                <w:bCs/>
                <w:szCs w:val="21"/>
                <w:highlight w:val="none"/>
              </w:rPr>
            </w:pPr>
            <w:r>
              <w:rPr>
                <w:rFonts w:ascii="宋体" w:hAnsi="宋体"/>
                <w:b/>
                <w:bCs/>
                <w:szCs w:val="21"/>
                <w:highlight w:val="none"/>
              </w:rPr>
              <w:t>1.</w:t>
            </w:r>
            <w:r>
              <w:rPr>
                <w:rFonts w:hint="eastAsia" w:ascii="宋体" w:hAnsi="宋体"/>
                <w:b/>
                <w:bCs/>
                <w:szCs w:val="21"/>
                <w:highlight w:val="none"/>
              </w:rPr>
              <w:t>本项目属于预留份额专门面向中小企业采购的项目。</w:t>
            </w:r>
          </w:p>
          <w:p>
            <w:pPr>
              <w:adjustRightInd w:val="0"/>
              <w:snapToGrid w:val="0"/>
              <w:jc w:val="left"/>
              <w:rPr>
                <w:rFonts w:ascii="宋体"/>
                <w:b/>
                <w:bCs/>
                <w:szCs w:val="21"/>
                <w:highlight w:val="none"/>
              </w:rPr>
            </w:pPr>
            <w:r>
              <w:rPr>
                <w:rFonts w:ascii="宋体" w:hAnsi="宋体"/>
                <w:b/>
                <w:bCs/>
                <w:szCs w:val="21"/>
                <w:highlight w:val="none"/>
              </w:rPr>
              <w:t>2.</w:t>
            </w:r>
            <w:r>
              <w:rPr>
                <w:rFonts w:hint="eastAsia" w:ascii="宋体" w:hAnsi="宋体"/>
                <w:b/>
                <w:bCs/>
                <w:szCs w:val="21"/>
                <w:highlight w:val="none"/>
              </w:rPr>
              <w:t>本项目采购标的对应的中小企业计划分标准所属行业为：租赁和商务服务业。</w:t>
            </w:r>
          </w:p>
          <w:p>
            <w:pPr>
              <w:adjustRightInd w:val="0"/>
              <w:snapToGrid w:val="0"/>
              <w:jc w:val="left"/>
              <w:rPr>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1316"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pPr>
              <w:adjustRightInd w:val="0"/>
              <w:snapToGrid w:val="0"/>
              <w:jc w:val="center"/>
              <w:rPr>
                <w:rFonts w:ascii="宋体" w:cs="宋体"/>
                <w:szCs w:val="21"/>
              </w:rPr>
            </w:pPr>
            <w:r>
              <w:rPr>
                <w:rFonts w:ascii="宋体" w:hAnsi="宋体" w:cs="宋体"/>
                <w:szCs w:val="21"/>
              </w:rPr>
              <w:t>19</w:t>
            </w:r>
          </w:p>
        </w:tc>
        <w:tc>
          <w:tcPr>
            <w:tcW w:w="8673" w:type="dxa"/>
            <w:tcBorders>
              <w:top w:val="single" w:color="000000" w:sz="2" w:space="0"/>
              <w:left w:val="single" w:color="000000" w:sz="2" w:space="0"/>
              <w:bottom w:val="single" w:color="000000" w:sz="2" w:space="0"/>
              <w:right w:val="single" w:color="000000" w:sz="8" w:space="0"/>
            </w:tcBorders>
            <w:noWrap/>
            <w:vAlign w:val="center"/>
          </w:tcPr>
          <w:p>
            <w:pPr>
              <w:adjustRightInd w:val="0"/>
              <w:snapToGrid w:val="0"/>
              <w:jc w:val="left"/>
              <w:rPr>
                <w:rFonts w:ascii="宋体" w:cs="宋体"/>
                <w:szCs w:val="21"/>
              </w:rPr>
            </w:pPr>
            <w:r>
              <w:rPr>
                <w:rFonts w:hint="eastAsia" w:ascii="宋体" w:hAnsi="宋体"/>
                <w:szCs w:val="21"/>
              </w:rPr>
              <w:t>信用记录：根据财库</w:t>
            </w:r>
            <w:r>
              <w:rPr>
                <w:rFonts w:ascii="宋体" w:hAnsi="宋体"/>
                <w:szCs w:val="21"/>
              </w:rPr>
              <w:t>[2016]125</w:t>
            </w:r>
            <w:r>
              <w:rPr>
                <w:rFonts w:hint="eastAsia" w:ascii="宋体" w:hAnsi="宋体"/>
                <w:szCs w:val="21"/>
              </w:rPr>
              <w:t>号文件，通过“信用中国”网站（</w:t>
            </w:r>
            <w:r>
              <w:rPr>
                <w:rFonts w:ascii="宋体" w:hAnsi="宋体"/>
                <w:szCs w:val="21"/>
              </w:rPr>
              <w:t>www.creditchina.gov.cn</w:t>
            </w:r>
            <w:r>
              <w:rPr>
                <w:rFonts w:hint="eastAsia" w:ascii="宋体" w:hAnsi="宋体"/>
                <w:szCs w:val="21"/>
              </w:rPr>
              <w:t>）、中国政府采购网（</w:t>
            </w:r>
            <w:r>
              <w:rPr>
                <w:rFonts w:ascii="宋体" w:hAnsi="宋体"/>
                <w:szCs w:val="21"/>
              </w:rPr>
              <w:t>www.ccgp.gov.cn</w:t>
            </w:r>
            <w:r>
              <w:rPr>
                <w:rFonts w:hint="eastAsia" w:ascii="宋体" w:hAnsi="宋体"/>
                <w:szCs w:val="21"/>
              </w:rPr>
              <w:t>），以开标当日网页查询记录为准。对列入失信被执行人、重大税收违法案件当事人名单、政府采购严重违法失信行为记录名单的供应商，其投标将作无效标处理。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pPr>
              <w:adjustRightInd w:val="0"/>
              <w:snapToGrid w:val="0"/>
              <w:jc w:val="center"/>
              <w:rPr>
                <w:rFonts w:ascii="宋体"/>
                <w:szCs w:val="21"/>
              </w:rPr>
            </w:pPr>
            <w:r>
              <w:rPr>
                <w:rFonts w:ascii="宋体" w:hAnsi="宋体" w:cs="宋体"/>
                <w:szCs w:val="21"/>
              </w:rPr>
              <w:t>20</w:t>
            </w:r>
          </w:p>
        </w:tc>
        <w:tc>
          <w:tcPr>
            <w:tcW w:w="8673" w:type="dxa"/>
            <w:tcBorders>
              <w:top w:val="single" w:color="000000" w:sz="2" w:space="0"/>
              <w:left w:val="single" w:color="000000" w:sz="2" w:space="0"/>
              <w:bottom w:val="single" w:color="000000" w:sz="2" w:space="0"/>
              <w:right w:val="single" w:color="000000" w:sz="8" w:space="0"/>
            </w:tcBorders>
            <w:noWrap/>
            <w:vAlign w:val="center"/>
          </w:tcPr>
          <w:p>
            <w:pPr>
              <w:pStyle w:val="15"/>
              <w:adjustRightInd w:val="0"/>
              <w:snapToGrid w:val="0"/>
              <w:outlineLvl w:val="0"/>
              <w:rPr>
                <w:rFonts w:hAnsi="宋体"/>
                <w:kern w:val="2"/>
                <w:sz w:val="21"/>
                <w:szCs w:val="21"/>
              </w:rPr>
            </w:pPr>
            <w:bookmarkStart w:id="4" w:name="_Toc17120"/>
            <w:r>
              <w:rPr>
                <w:rFonts w:hint="eastAsia" w:hAnsi="宋体"/>
                <w:kern w:val="2"/>
                <w:sz w:val="21"/>
                <w:szCs w:val="21"/>
              </w:rPr>
              <w:t>履约保证金的收取</w:t>
            </w:r>
            <w:r>
              <w:rPr>
                <w:rFonts w:hAnsi="宋体"/>
                <w:kern w:val="2"/>
                <w:sz w:val="21"/>
                <w:szCs w:val="21"/>
              </w:rPr>
              <w:t xml:space="preserve">: </w:t>
            </w:r>
            <w:r>
              <w:rPr>
                <w:rFonts w:hint="eastAsia" w:hAnsi="宋体"/>
                <w:kern w:val="2"/>
                <w:sz w:val="21"/>
                <w:szCs w:val="21"/>
              </w:rPr>
              <w:t>本项目不设履约保证金。</w:t>
            </w:r>
            <w:bookmarkEnd w:id="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pPr>
              <w:adjustRightInd w:val="0"/>
              <w:snapToGrid w:val="0"/>
              <w:jc w:val="center"/>
              <w:rPr>
                <w:rFonts w:ascii="宋体" w:cs="宋体"/>
                <w:szCs w:val="21"/>
              </w:rPr>
            </w:pPr>
            <w:r>
              <w:rPr>
                <w:rFonts w:ascii="宋体" w:hAnsi="宋体"/>
                <w:szCs w:val="21"/>
              </w:rPr>
              <w:t xml:space="preserve"> 21</w:t>
            </w:r>
          </w:p>
        </w:tc>
        <w:tc>
          <w:tcPr>
            <w:tcW w:w="8673" w:type="dxa"/>
            <w:tcBorders>
              <w:top w:val="single" w:color="000000" w:sz="2" w:space="0"/>
              <w:left w:val="single" w:color="000000" w:sz="2" w:space="0"/>
              <w:bottom w:val="single" w:color="000000" w:sz="2" w:space="0"/>
              <w:right w:val="single" w:color="000000" w:sz="8" w:space="0"/>
            </w:tcBorders>
            <w:noWrap/>
            <w:vAlign w:val="center"/>
          </w:tcPr>
          <w:p>
            <w:pPr>
              <w:adjustRightInd w:val="0"/>
              <w:snapToGrid w:val="0"/>
              <w:jc w:val="left"/>
              <w:rPr>
                <w:rFonts w:ascii="宋体" w:cs="宋体"/>
                <w:szCs w:val="21"/>
              </w:rPr>
            </w:pPr>
            <w:r>
              <w:rPr>
                <w:rFonts w:hint="eastAsia" w:ascii="宋体" w:hAnsi="宋体" w:cs="宋体"/>
                <w:szCs w:val="21"/>
              </w:rPr>
              <w:t>中标单位在中标公示结束后再递交与电子加密投标文件内容一致的书面投标文件（正本一份，副本四份）。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pPr>
              <w:adjustRightInd w:val="0"/>
              <w:snapToGrid w:val="0"/>
              <w:jc w:val="center"/>
              <w:rPr>
                <w:rFonts w:ascii="宋体" w:cs="宋体"/>
                <w:szCs w:val="21"/>
              </w:rPr>
            </w:pPr>
            <w:r>
              <w:rPr>
                <w:rFonts w:ascii="宋体" w:hAnsi="宋体" w:cs="宋体"/>
                <w:szCs w:val="21"/>
              </w:rPr>
              <w:t>22</w:t>
            </w:r>
          </w:p>
        </w:tc>
        <w:tc>
          <w:tcPr>
            <w:tcW w:w="8673" w:type="dxa"/>
            <w:tcBorders>
              <w:top w:val="single" w:color="000000" w:sz="2" w:space="0"/>
              <w:left w:val="single" w:color="000000" w:sz="2" w:space="0"/>
              <w:bottom w:val="single" w:color="000000" w:sz="2" w:space="0"/>
              <w:right w:val="single" w:color="000000" w:sz="8" w:space="0"/>
            </w:tcBorders>
            <w:noWrap/>
            <w:vAlign w:val="center"/>
          </w:tcPr>
          <w:p>
            <w:pPr>
              <w:adjustRightInd w:val="0"/>
              <w:snapToGrid w:val="0"/>
              <w:jc w:val="left"/>
              <w:rPr>
                <w:rFonts w:ascii="宋体" w:cs="宋体"/>
                <w:szCs w:val="21"/>
              </w:rPr>
            </w:pPr>
            <w:r>
              <w:rPr>
                <w:rFonts w:hint="eastAsia" w:ascii="宋体" w:hAnsi="宋体" w:cs="宋体"/>
                <w:szCs w:val="21"/>
              </w:rPr>
              <w:t>解释：本招标文件的解释权属于招标采购单位。</w:t>
            </w:r>
          </w:p>
        </w:tc>
      </w:tr>
    </w:tbl>
    <w:p>
      <w:pPr>
        <w:spacing w:line="360" w:lineRule="auto"/>
        <w:ind w:left="238"/>
        <w:jc w:val="center"/>
        <w:rPr>
          <w:rFonts w:ascii="宋体"/>
          <w:b/>
          <w:sz w:val="28"/>
          <w:szCs w:val="28"/>
        </w:rPr>
      </w:pPr>
    </w:p>
    <w:p>
      <w:pPr>
        <w:snapToGrid w:val="0"/>
        <w:spacing w:line="360" w:lineRule="auto"/>
        <w:jc w:val="center"/>
        <w:rPr>
          <w:rFonts w:ascii="宋体"/>
          <w:b/>
          <w:sz w:val="28"/>
          <w:szCs w:val="28"/>
        </w:rPr>
      </w:pPr>
      <w:r>
        <w:rPr>
          <w:rFonts w:ascii="宋体"/>
          <w:b/>
          <w:sz w:val="28"/>
          <w:szCs w:val="28"/>
        </w:rPr>
        <w:br w:type="page"/>
      </w:r>
      <w:r>
        <w:rPr>
          <w:rFonts w:hint="eastAsia" w:ascii="宋体"/>
          <w:b/>
          <w:sz w:val="28"/>
          <w:szCs w:val="28"/>
        </w:rPr>
        <w:t>一、总则</w:t>
      </w:r>
    </w:p>
    <w:p>
      <w:pPr>
        <w:snapToGrid w:val="0"/>
        <w:spacing w:line="460" w:lineRule="exact"/>
        <w:jc w:val="left"/>
        <w:outlineLvl w:val="1"/>
        <w:rPr>
          <w:rFonts w:ascii="宋体"/>
          <w:b/>
          <w:szCs w:val="21"/>
        </w:rPr>
      </w:pPr>
      <w:r>
        <w:rPr>
          <w:rFonts w:ascii="宋体"/>
          <w:b/>
          <w:szCs w:val="21"/>
        </w:rPr>
        <w:t xml:space="preserve">1. </w:t>
      </w:r>
      <w:r>
        <w:rPr>
          <w:rFonts w:hint="eastAsia" w:ascii="宋体"/>
          <w:b/>
          <w:szCs w:val="21"/>
        </w:rPr>
        <w:t>适用范围</w:t>
      </w:r>
    </w:p>
    <w:p>
      <w:pPr>
        <w:snapToGrid w:val="0"/>
        <w:spacing w:line="460" w:lineRule="exact"/>
        <w:ind w:firstLine="420" w:firstLineChars="200"/>
        <w:jc w:val="left"/>
        <w:rPr>
          <w:rFonts w:ascii="宋体"/>
          <w:szCs w:val="21"/>
        </w:rPr>
      </w:pPr>
      <w:r>
        <w:rPr>
          <w:rFonts w:ascii="宋体"/>
          <w:szCs w:val="21"/>
        </w:rPr>
        <w:t xml:space="preserve">1.1 </w:t>
      </w:r>
      <w:r>
        <w:rPr>
          <w:rFonts w:hint="eastAsia" w:ascii="宋体"/>
          <w:szCs w:val="21"/>
        </w:rPr>
        <w:t>本招标文件适用于本次所述项目的招标。</w:t>
      </w:r>
    </w:p>
    <w:p>
      <w:pPr>
        <w:snapToGrid w:val="0"/>
        <w:spacing w:line="460" w:lineRule="exact"/>
        <w:jc w:val="left"/>
        <w:rPr>
          <w:rFonts w:ascii="宋体"/>
          <w:b/>
          <w:szCs w:val="21"/>
        </w:rPr>
      </w:pPr>
      <w:r>
        <w:rPr>
          <w:rFonts w:ascii="宋体"/>
          <w:b/>
          <w:szCs w:val="21"/>
        </w:rPr>
        <w:t>2.</w:t>
      </w:r>
      <w:r>
        <w:rPr>
          <w:rFonts w:hint="eastAsia" w:ascii="宋体"/>
          <w:b/>
          <w:szCs w:val="21"/>
        </w:rPr>
        <w:t>相关名词说明</w:t>
      </w:r>
    </w:p>
    <w:p>
      <w:pPr>
        <w:snapToGrid w:val="0"/>
        <w:spacing w:line="460" w:lineRule="exact"/>
        <w:ind w:firstLine="420" w:firstLineChars="200"/>
        <w:jc w:val="left"/>
        <w:rPr>
          <w:rFonts w:ascii="宋体"/>
          <w:szCs w:val="21"/>
        </w:rPr>
      </w:pPr>
      <w:r>
        <w:rPr>
          <w:rFonts w:ascii="宋体"/>
          <w:szCs w:val="21"/>
        </w:rPr>
        <w:t xml:space="preserve">2.1 </w:t>
      </w:r>
      <w:r>
        <w:rPr>
          <w:rFonts w:hint="eastAsia" w:ascii="宋体"/>
          <w:szCs w:val="21"/>
        </w:rPr>
        <w:t>潜在投标人领取招标文件后</w:t>
      </w:r>
      <w:r>
        <w:rPr>
          <w:rFonts w:ascii="宋体"/>
          <w:szCs w:val="21"/>
        </w:rPr>
        <w:t>,</w:t>
      </w:r>
      <w:r>
        <w:rPr>
          <w:rFonts w:hint="eastAsia" w:ascii="宋体"/>
          <w:szCs w:val="21"/>
        </w:rPr>
        <w:t>必须按国家《保密法》以及保密工作的相关规定，对招标文件内容应承担保密义务，维护采购人的权益，发生窃、泄密事件潜在投标人应承担相应的法律责任。</w:t>
      </w:r>
    </w:p>
    <w:p>
      <w:pPr>
        <w:snapToGrid w:val="0"/>
        <w:spacing w:line="460" w:lineRule="exact"/>
        <w:ind w:firstLine="420" w:firstLineChars="200"/>
        <w:jc w:val="left"/>
        <w:rPr>
          <w:rFonts w:ascii="宋体"/>
          <w:szCs w:val="21"/>
        </w:rPr>
      </w:pPr>
      <w:r>
        <w:rPr>
          <w:rFonts w:ascii="宋体"/>
          <w:szCs w:val="21"/>
        </w:rPr>
        <w:t xml:space="preserve">2.2 </w:t>
      </w:r>
      <w:r>
        <w:rPr>
          <w:rFonts w:hint="eastAsia" w:ascii="宋体"/>
          <w:szCs w:val="21"/>
        </w:rPr>
        <w:t>投标人一旦参与本次采购活动，即被视为接受了本招标文件的所有内容，如有任何异议，均需在答疑截止时间以书面形式提出。</w:t>
      </w:r>
    </w:p>
    <w:p>
      <w:pPr>
        <w:snapToGrid w:val="0"/>
        <w:spacing w:line="460" w:lineRule="exact"/>
        <w:jc w:val="left"/>
        <w:outlineLvl w:val="1"/>
        <w:rPr>
          <w:rFonts w:ascii="宋体"/>
          <w:b/>
          <w:szCs w:val="21"/>
        </w:rPr>
      </w:pPr>
      <w:r>
        <w:rPr>
          <w:rFonts w:ascii="宋体"/>
          <w:b/>
          <w:szCs w:val="21"/>
        </w:rPr>
        <w:t>3.</w:t>
      </w:r>
      <w:r>
        <w:rPr>
          <w:rFonts w:hint="eastAsia" w:ascii="宋体"/>
          <w:b/>
          <w:szCs w:val="21"/>
        </w:rPr>
        <w:t>定义</w:t>
      </w:r>
    </w:p>
    <w:p>
      <w:pPr>
        <w:snapToGrid w:val="0"/>
        <w:spacing w:line="460" w:lineRule="exact"/>
        <w:ind w:firstLine="420" w:firstLineChars="200"/>
        <w:jc w:val="left"/>
        <w:rPr>
          <w:rFonts w:ascii="宋体"/>
          <w:szCs w:val="21"/>
        </w:rPr>
      </w:pPr>
      <w:r>
        <w:rPr>
          <w:rFonts w:ascii="宋体"/>
          <w:szCs w:val="21"/>
        </w:rPr>
        <w:t xml:space="preserve">3.1 </w:t>
      </w:r>
      <w:r>
        <w:rPr>
          <w:rFonts w:hint="eastAsia" w:ascii="宋体"/>
          <w:szCs w:val="21"/>
        </w:rPr>
        <w:t>“招标人”指</w:t>
      </w:r>
      <w:r>
        <w:rPr>
          <w:rFonts w:hint="eastAsia" w:ascii="宋体" w:hAnsi="宋体" w:cs="Arial"/>
          <w:b/>
          <w:szCs w:val="21"/>
          <w:u w:val="single"/>
        </w:rPr>
        <w:t>嘉兴港区（综合保税区）综合行政执法队</w:t>
      </w:r>
      <w:r>
        <w:rPr>
          <w:rFonts w:hint="eastAsia" w:ascii="宋体"/>
          <w:szCs w:val="21"/>
        </w:rPr>
        <w:t>。</w:t>
      </w:r>
    </w:p>
    <w:p>
      <w:pPr>
        <w:snapToGrid w:val="0"/>
        <w:spacing w:line="460" w:lineRule="exact"/>
        <w:ind w:firstLine="420" w:firstLineChars="200"/>
        <w:jc w:val="left"/>
        <w:rPr>
          <w:rFonts w:ascii="宋体"/>
          <w:szCs w:val="21"/>
        </w:rPr>
      </w:pPr>
      <w:r>
        <w:rPr>
          <w:rFonts w:ascii="宋体" w:hAnsi="宋体"/>
          <w:szCs w:val="21"/>
        </w:rPr>
        <w:t>3.2</w:t>
      </w:r>
      <w:r>
        <w:rPr>
          <w:rFonts w:hint="eastAsia" w:ascii="宋体" w:hAnsi="宋体"/>
          <w:szCs w:val="21"/>
        </w:rPr>
        <w:t>“投标人</w:t>
      </w:r>
      <w:r>
        <w:rPr>
          <w:rFonts w:hint="eastAsia" w:ascii="宋体"/>
          <w:szCs w:val="21"/>
        </w:rPr>
        <w:t>”</w:t>
      </w:r>
      <w:r>
        <w:rPr>
          <w:rFonts w:hint="eastAsia" w:ascii="宋体" w:hAnsi="宋体"/>
          <w:szCs w:val="21"/>
        </w:rPr>
        <w:t>系指向招标方提交投标文件的单位或个人。</w:t>
      </w:r>
    </w:p>
    <w:p>
      <w:pPr>
        <w:snapToGrid w:val="0"/>
        <w:spacing w:line="460" w:lineRule="exact"/>
        <w:ind w:firstLine="420" w:firstLineChars="200"/>
        <w:jc w:val="left"/>
        <w:rPr>
          <w:rFonts w:ascii="宋体"/>
          <w:szCs w:val="21"/>
        </w:rPr>
      </w:pPr>
      <w:r>
        <w:rPr>
          <w:rFonts w:ascii="宋体" w:hAnsi="宋体"/>
          <w:szCs w:val="21"/>
        </w:rPr>
        <w:t>3.3</w:t>
      </w:r>
      <w:r>
        <w:rPr>
          <w:rFonts w:hint="eastAsia" w:ascii="宋体" w:hAnsi="宋体"/>
          <w:szCs w:val="21"/>
        </w:rPr>
        <w:t>“产品</w:t>
      </w:r>
      <w:r>
        <w:rPr>
          <w:rFonts w:hint="eastAsia" w:ascii="宋体"/>
          <w:szCs w:val="21"/>
        </w:rPr>
        <w:t>”</w:t>
      </w:r>
      <w:r>
        <w:rPr>
          <w:rFonts w:hint="eastAsia" w:ascii="宋体" w:hAnsi="宋体"/>
          <w:szCs w:val="21"/>
        </w:rPr>
        <w:t>系指供方按招标文件规定，须向采购人提供的一切设备、保险、税金、备品备件、工具、手册及其它有关技术资料和材料。</w:t>
      </w:r>
    </w:p>
    <w:p>
      <w:pPr>
        <w:snapToGrid w:val="0"/>
        <w:spacing w:line="460" w:lineRule="exact"/>
        <w:ind w:firstLine="420" w:firstLineChars="200"/>
        <w:jc w:val="left"/>
        <w:rPr>
          <w:rFonts w:ascii="宋体"/>
          <w:szCs w:val="21"/>
        </w:rPr>
      </w:pPr>
      <w:r>
        <w:rPr>
          <w:rFonts w:ascii="宋体" w:hAnsi="宋体"/>
          <w:szCs w:val="21"/>
        </w:rPr>
        <w:t>3.4</w:t>
      </w:r>
      <w:r>
        <w:rPr>
          <w:rFonts w:hint="eastAsia" w:ascii="宋体" w:hAnsi="宋体"/>
          <w:szCs w:val="21"/>
        </w:rPr>
        <w:t>“服务</w:t>
      </w:r>
      <w:r>
        <w:rPr>
          <w:rFonts w:hint="eastAsia" w:ascii="宋体"/>
          <w:szCs w:val="21"/>
        </w:rPr>
        <w:t>”</w:t>
      </w:r>
      <w:r>
        <w:rPr>
          <w:rFonts w:hint="eastAsia" w:ascii="宋体" w:hAnsi="宋体"/>
          <w:szCs w:val="21"/>
        </w:rPr>
        <w:t>系指招标文件规定投标人须承担的安装、调试、技术协助、校准、培训、技术指导以及其他类似的义务。</w:t>
      </w:r>
    </w:p>
    <w:p>
      <w:pPr>
        <w:snapToGrid w:val="0"/>
        <w:spacing w:line="460" w:lineRule="exact"/>
        <w:ind w:firstLine="420" w:firstLineChars="200"/>
        <w:jc w:val="left"/>
        <w:rPr>
          <w:rFonts w:ascii="宋体"/>
          <w:szCs w:val="21"/>
        </w:rPr>
      </w:pPr>
      <w:r>
        <w:rPr>
          <w:rFonts w:ascii="宋体" w:hAnsi="宋体"/>
          <w:szCs w:val="21"/>
        </w:rPr>
        <w:t>3.5</w:t>
      </w:r>
      <w:r>
        <w:rPr>
          <w:rFonts w:hint="eastAsia" w:ascii="宋体" w:hAnsi="宋体"/>
          <w:szCs w:val="21"/>
        </w:rPr>
        <w:t>“项目</w:t>
      </w:r>
      <w:r>
        <w:rPr>
          <w:rFonts w:hint="eastAsia" w:ascii="宋体"/>
          <w:szCs w:val="21"/>
        </w:rPr>
        <w:t>”</w:t>
      </w:r>
      <w:r>
        <w:rPr>
          <w:rFonts w:hint="eastAsia" w:ascii="宋体" w:hAnsi="宋体"/>
          <w:szCs w:val="21"/>
        </w:rPr>
        <w:t>系指投标人按招标文件规定向采购人提供的产品和服务。</w:t>
      </w:r>
    </w:p>
    <w:p>
      <w:pPr>
        <w:snapToGrid w:val="0"/>
        <w:spacing w:line="460" w:lineRule="exact"/>
        <w:ind w:firstLine="420" w:firstLineChars="200"/>
        <w:jc w:val="left"/>
        <w:rPr>
          <w:rFonts w:ascii="宋体"/>
          <w:szCs w:val="21"/>
        </w:rPr>
      </w:pPr>
      <w:r>
        <w:rPr>
          <w:rFonts w:ascii="宋体" w:hAnsi="宋体"/>
          <w:szCs w:val="21"/>
        </w:rPr>
        <w:t>3.6</w:t>
      </w:r>
      <w:r>
        <w:rPr>
          <w:rFonts w:hint="eastAsia" w:ascii="宋体" w:hAnsi="宋体"/>
          <w:szCs w:val="21"/>
        </w:rPr>
        <w:t>“书面形式</w:t>
      </w:r>
      <w:r>
        <w:rPr>
          <w:rFonts w:hint="eastAsia" w:ascii="宋体"/>
          <w:szCs w:val="21"/>
        </w:rPr>
        <w:t>”</w:t>
      </w:r>
      <w:r>
        <w:rPr>
          <w:rFonts w:hint="eastAsia" w:ascii="宋体" w:hAnsi="宋体"/>
          <w:szCs w:val="21"/>
        </w:rPr>
        <w:t>包括信函、传真、电报等。</w:t>
      </w:r>
    </w:p>
    <w:p>
      <w:pPr>
        <w:snapToGrid w:val="0"/>
        <w:spacing w:line="460" w:lineRule="exact"/>
        <w:ind w:firstLine="420" w:firstLineChars="200"/>
        <w:jc w:val="left"/>
        <w:rPr>
          <w:rFonts w:ascii="宋体"/>
          <w:szCs w:val="21"/>
        </w:rPr>
      </w:pPr>
      <w:r>
        <w:rPr>
          <w:rFonts w:ascii="宋体" w:hAnsi="宋体"/>
          <w:szCs w:val="21"/>
        </w:rPr>
        <w:t>3.7</w:t>
      </w:r>
      <w:r>
        <w:rPr>
          <w:rFonts w:hint="eastAsia" w:ascii="宋体" w:hAnsi="宋体"/>
          <w:szCs w:val="21"/>
        </w:rPr>
        <w:t>“▲”系指实质性要求条款，不满足实行性要求条款的投标文件无效。</w:t>
      </w:r>
      <w:r>
        <w:rPr>
          <w:rFonts w:ascii="宋体" w:hAnsi="宋体"/>
          <w:szCs w:val="21"/>
        </w:rPr>
        <w:t xml:space="preserve"> </w:t>
      </w:r>
    </w:p>
    <w:p>
      <w:pPr>
        <w:snapToGrid w:val="0"/>
        <w:spacing w:line="460" w:lineRule="exact"/>
        <w:jc w:val="left"/>
        <w:outlineLvl w:val="1"/>
        <w:rPr>
          <w:rFonts w:ascii="宋体"/>
          <w:b/>
          <w:szCs w:val="21"/>
        </w:rPr>
      </w:pPr>
      <w:r>
        <w:rPr>
          <w:rFonts w:ascii="宋体"/>
          <w:b/>
          <w:szCs w:val="21"/>
        </w:rPr>
        <w:t>4.</w:t>
      </w:r>
      <w:r>
        <w:rPr>
          <w:rFonts w:hint="eastAsia" w:ascii="宋体"/>
          <w:b/>
          <w:szCs w:val="21"/>
        </w:rPr>
        <w:t>招标方式</w:t>
      </w:r>
    </w:p>
    <w:p>
      <w:pPr>
        <w:snapToGrid w:val="0"/>
        <w:spacing w:line="460" w:lineRule="exact"/>
        <w:ind w:firstLine="420" w:firstLineChars="200"/>
        <w:jc w:val="left"/>
        <w:rPr>
          <w:rFonts w:ascii="宋体"/>
          <w:szCs w:val="21"/>
        </w:rPr>
      </w:pPr>
      <w:r>
        <w:rPr>
          <w:rFonts w:ascii="宋体"/>
          <w:szCs w:val="21"/>
        </w:rPr>
        <w:t xml:space="preserve">4.1 </w:t>
      </w:r>
      <w:r>
        <w:rPr>
          <w:rFonts w:hint="eastAsia" w:ascii="宋体"/>
          <w:szCs w:val="21"/>
        </w:rPr>
        <w:t>本次招标采用公开招标方式进行。</w:t>
      </w:r>
    </w:p>
    <w:p>
      <w:pPr>
        <w:snapToGrid w:val="0"/>
        <w:spacing w:line="460" w:lineRule="exact"/>
        <w:jc w:val="left"/>
        <w:outlineLvl w:val="1"/>
        <w:rPr>
          <w:rFonts w:ascii="宋体"/>
          <w:b/>
          <w:szCs w:val="21"/>
        </w:rPr>
      </w:pPr>
      <w:r>
        <w:rPr>
          <w:rFonts w:ascii="宋体"/>
          <w:b/>
          <w:szCs w:val="21"/>
        </w:rPr>
        <w:t>5.</w:t>
      </w:r>
      <w:r>
        <w:rPr>
          <w:rFonts w:hint="eastAsia" w:ascii="宋体"/>
          <w:b/>
          <w:szCs w:val="21"/>
        </w:rPr>
        <w:t>投标委托</w:t>
      </w:r>
    </w:p>
    <w:p>
      <w:pPr>
        <w:pStyle w:val="12"/>
        <w:snapToGrid w:val="0"/>
        <w:spacing w:line="460" w:lineRule="exact"/>
        <w:ind w:firstLine="404" w:firstLineChars="200"/>
        <w:jc w:val="left"/>
        <w:rPr>
          <w:sz w:val="21"/>
          <w:szCs w:val="21"/>
        </w:rPr>
      </w:pPr>
      <w:r>
        <w:rPr>
          <w:rFonts w:hint="eastAsia"/>
          <w:sz w:val="21"/>
          <w:szCs w:val="21"/>
        </w:rPr>
        <w:t>如投标人代表不是法定代表人，须有法定代表人出具的授权委托书。</w:t>
      </w:r>
      <w:r>
        <w:rPr>
          <w:sz w:val="21"/>
          <w:szCs w:val="21"/>
        </w:rPr>
        <w:t>(</w:t>
      </w:r>
      <w:r>
        <w:rPr>
          <w:rFonts w:hint="eastAsia"/>
          <w:sz w:val="21"/>
          <w:szCs w:val="21"/>
        </w:rPr>
        <w:t>格式见第六部分）。</w:t>
      </w:r>
    </w:p>
    <w:p>
      <w:pPr>
        <w:snapToGrid w:val="0"/>
        <w:spacing w:line="460" w:lineRule="exact"/>
        <w:jc w:val="left"/>
        <w:rPr>
          <w:rFonts w:ascii="宋体"/>
          <w:b/>
          <w:szCs w:val="21"/>
        </w:rPr>
      </w:pPr>
      <w:r>
        <w:rPr>
          <w:rFonts w:ascii="宋体"/>
          <w:b/>
          <w:szCs w:val="21"/>
        </w:rPr>
        <w:t xml:space="preserve">6. </w:t>
      </w:r>
      <w:r>
        <w:rPr>
          <w:rFonts w:hint="eastAsia" w:ascii="宋体"/>
          <w:b/>
          <w:szCs w:val="21"/>
        </w:rPr>
        <w:t>投标费用</w:t>
      </w:r>
    </w:p>
    <w:p>
      <w:pPr>
        <w:snapToGrid w:val="0"/>
        <w:spacing w:line="460" w:lineRule="exact"/>
        <w:ind w:firstLine="420" w:firstLineChars="200"/>
        <w:jc w:val="left"/>
        <w:rPr>
          <w:rFonts w:ascii="宋体"/>
          <w:szCs w:val="21"/>
        </w:rPr>
      </w:pPr>
      <w:r>
        <w:rPr>
          <w:rFonts w:hint="eastAsia" w:ascii="宋体"/>
          <w:szCs w:val="21"/>
        </w:rPr>
        <w:t>不论投标结果如何，投标人均应自行承担所有与投标有关的全部费用。</w:t>
      </w:r>
    </w:p>
    <w:p>
      <w:pPr>
        <w:snapToGrid w:val="0"/>
        <w:spacing w:line="460" w:lineRule="exact"/>
        <w:jc w:val="left"/>
        <w:rPr>
          <w:rFonts w:ascii="宋体"/>
          <w:b/>
          <w:szCs w:val="21"/>
        </w:rPr>
      </w:pPr>
      <w:r>
        <w:rPr>
          <w:rFonts w:ascii="宋体"/>
          <w:b/>
          <w:szCs w:val="21"/>
        </w:rPr>
        <w:t>7.</w:t>
      </w:r>
      <w:r>
        <w:rPr>
          <w:rFonts w:hint="eastAsia" w:ascii="宋体"/>
          <w:b/>
          <w:szCs w:val="21"/>
        </w:rPr>
        <w:t>质疑和投诉</w:t>
      </w:r>
    </w:p>
    <w:p>
      <w:pPr>
        <w:snapToGrid w:val="0"/>
        <w:spacing w:line="460" w:lineRule="exact"/>
        <w:ind w:firstLine="420" w:firstLineChars="200"/>
        <w:jc w:val="left"/>
        <w:rPr>
          <w:rFonts w:ascii="宋体"/>
          <w:b/>
          <w:szCs w:val="21"/>
        </w:rPr>
      </w:pPr>
      <w:r>
        <w:rPr>
          <w:rFonts w:ascii="宋体" w:hAnsi="宋体"/>
        </w:rPr>
        <w:t>7.1</w:t>
      </w:r>
      <w:r>
        <w:rPr>
          <w:rFonts w:hint="eastAsia" w:ascii="宋体" w:hAnsi="宋体"/>
        </w:rPr>
        <w:t>根据《中华人民共和国政府采购法》、《中华人民共和国政府采购法实施条例》《财政部关于加强政府采购供应商投诉受理审查工作的通知》</w:t>
      </w:r>
      <w:r>
        <w:rPr>
          <w:rFonts w:ascii="宋体" w:hAnsi="宋体"/>
        </w:rPr>
        <w:t>(</w:t>
      </w:r>
      <w:r>
        <w:rPr>
          <w:rFonts w:hint="eastAsia" w:ascii="宋体" w:hAnsi="宋体"/>
        </w:rPr>
        <w:t>财库〔</w:t>
      </w:r>
      <w:r>
        <w:rPr>
          <w:rFonts w:ascii="宋体" w:hAnsi="宋体"/>
        </w:rPr>
        <w:t>2007</w:t>
      </w:r>
      <w:r>
        <w:rPr>
          <w:rFonts w:hint="eastAsia" w:ascii="宋体" w:hAnsi="宋体"/>
        </w:rPr>
        <w:t>〕</w:t>
      </w:r>
      <w:r>
        <w:rPr>
          <w:rFonts w:ascii="宋体" w:hAnsi="宋体"/>
        </w:rPr>
        <w:t>1</w:t>
      </w:r>
      <w:r>
        <w:rPr>
          <w:rFonts w:hint="eastAsia" w:ascii="宋体" w:hAnsi="宋体"/>
        </w:rPr>
        <w:t>号</w:t>
      </w:r>
      <w:r>
        <w:rPr>
          <w:rFonts w:ascii="宋体" w:hAnsi="宋体"/>
        </w:rPr>
        <w:t>)</w:t>
      </w:r>
      <w:r>
        <w:rPr>
          <w:rFonts w:hint="eastAsia" w:ascii="宋体" w:hAnsi="宋体"/>
        </w:rPr>
        <w:t>、《政府采购质疑和投诉办法》（第</w:t>
      </w:r>
      <w:r>
        <w:rPr>
          <w:rFonts w:ascii="宋体" w:hAnsi="宋体"/>
        </w:rPr>
        <w:t>94</w:t>
      </w:r>
      <w:r>
        <w:rPr>
          <w:rFonts w:hint="eastAsia" w:ascii="宋体" w:hAnsi="宋体"/>
        </w:rPr>
        <w:t>号令）和《浙江省政府采购供应商质疑处理办法》（浙财采监</w:t>
      </w:r>
      <w:r>
        <w:rPr>
          <w:rFonts w:ascii="宋体" w:hAnsi="宋体"/>
        </w:rPr>
        <w:t>[2012]18</w:t>
      </w:r>
      <w:r>
        <w:rPr>
          <w:rFonts w:hint="eastAsia" w:ascii="宋体" w:hAnsi="宋体"/>
        </w:rPr>
        <w:t>号）等规定，政府采购供应商可以依法提起质疑和投诉。</w:t>
      </w:r>
    </w:p>
    <w:p>
      <w:pPr>
        <w:pStyle w:val="15"/>
        <w:snapToGrid w:val="0"/>
        <w:spacing w:line="460" w:lineRule="exact"/>
        <w:ind w:firstLine="420" w:firstLineChars="200"/>
        <w:rPr>
          <w:kern w:val="2"/>
          <w:sz w:val="21"/>
          <w:szCs w:val="21"/>
        </w:rPr>
      </w:pPr>
      <w:r>
        <w:rPr>
          <w:kern w:val="2"/>
          <w:sz w:val="21"/>
          <w:szCs w:val="21"/>
        </w:rPr>
        <w:t>7.2</w:t>
      </w:r>
      <w:r>
        <w:rPr>
          <w:rFonts w:hint="eastAsia"/>
          <w:kern w:val="2"/>
          <w:sz w:val="21"/>
          <w:szCs w:val="21"/>
        </w:rPr>
        <w:t>供应商认为采购文件、采购过程、中标或者成交结果使自己的权益受到损害的，可以在知道或者应知其权益受到损害之日起</w:t>
      </w:r>
      <w:r>
        <w:rPr>
          <w:kern w:val="2"/>
          <w:sz w:val="21"/>
          <w:szCs w:val="21"/>
        </w:rPr>
        <w:t>7</w:t>
      </w:r>
      <w:r>
        <w:rPr>
          <w:rFonts w:hint="eastAsia"/>
          <w:kern w:val="2"/>
          <w:sz w:val="21"/>
          <w:szCs w:val="21"/>
        </w:rPr>
        <w:t>个工作日内，以书面形式一次性向采购人、采购代理机构提出针对同一采购程序环节的质疑。质疑供应商对采购人、采购代理机构的答复不满意，或者采购人、采购代理机构未在规定时间内作出答复的，可以在答复期满后</w:t>
      </w:r>
      <w:r>
        <w:rPr>
          <w:kern w:val="2"/>
          <w:sz w:val="21"/>
          <w:szCs w:val="21"/>
        </w:rPr>
        <w:t>15</w:t>
      </w:r>
      <w:r>
        <w:rPr>
          <w:rFonts w:hint="eastAsia"/>
          <w:kern w:val="2"/>
          <w:sz w:val="21"/>
          <w:szCs w:val="21"/>
        </w:rPr>
        <w:t>个工作日内向规定的财政部门提起投诉。</w:t>
      </w:r>
    </w:p>
    <w:p>
      <w:pPr>
        <w:pStyle w:val="15"/>
        <w:snapToGrid w:val="0"/>
        <w:spacing w:line="460" w:lineRule="exact"/>
        <w:ind w:firstLine="420" w:firstLineChars="200"/>
        <w:rPr>
          <w:kern w:val="2"/>
          <w:sz w:val="21"/>
          <w:szCs w:val="21"/>
        </w:rPr>
      </w:pPr>
      <w:r>
        <w:rPr>
          <w:kern w:val="2"/>
          <w:sz w:val="21"/>
          <w:szCs w:val="21"/>
        </w:rPr>
        <w:t>7.3</w:t>
      </w:r>
      <w:r>
        <w:rPr>
          <w:rFonts w:hint="eastAsia"/>
          <w:kern w:val="2"/>
          <w:sz w:val="21"/>
          <w:szCs w:val="21"/>
        </w:rPr>
        <w:t>质疑和投诉应当满足《政府采购质疑和投诉办法》（中华人民共和国财政部令第</w:t>
      </w:r>
      <w:r>
        <w:rPr>
          <w:kern w:val="2"/>
          <w:sz w:val="21"/>
          <w:szCs w:val="21"/>
        </w:rPr>
        <w:t>94</w:t>
      </w:r>
      <w:r>
        <w:rPr>
          <w:rFonts w:hint="eastAsia"/>
          <w:kern w:val="2"/>
          <w:sz w:val="21"/>
          <w:szCs w:val="21"/>
        </w:rPr>
        <w:t>号）要求。</w:t>
      </w:r>
    </w:p>
    <w:p>
      <w:pPr>
        <w:snapToGrid w:val="0"/>
        <w:spacing w:line="460" w:lineRule="exact"/>
        <w:ind w:firstLine="411" w:firstLineChars="196"/>
        <w:jc w:val="left"/>
        <w:outlineLvl w:val="1"/>
        <w:rPr>
          <w:rFonts w:ascii="宋体"/>
          <w:b/>
          <w:szCs w:val="21"/>
        </w:rPr>
      </w:pPr>
      <w:r>
        <w:rPr>
          <w:rFonts w:hint="eastAsia" w:ascii="宋体"/>
          <w:szCs w:val="21"/>
        </w:rPr>
        <w:t>▲</w:t>
      </w:r>
      <w:r>
        <w:rPr>
          <w:rFonts w:ascii="宋体" w:hAnsi="宋体"/>
          <w:b/>
          <w:szCs w:val="21"/>
        </w:rPr>
        <w:t>8.</w:t>
      </w:r>
      <w:r>
        <w:rPr>
          <w:rFonts w:hint="eastAsia" w:ascii="宋体" w:hAnsi="宋体"/>
          <w:b/>
          <w:szCs w:val="21"/>
        </w:rPr>
        <w:t>特别说明</w:t>
      </w:r>
    </w:p>
    <w:p>
      <w:pPr>
        <w:pStyle w:val="15"/>
        <w:snapToGrid w:val="0"/>
        <w:spacing w:line="460" w:lineRule="exact"/>
        <w:ind w:left="2" w:leftChars="1" w:firstLine="420" w:firstLineChars="200"/>
        <w:rPr>
          <w:kern w:val="2"/>
          <w:sz w:val="21"/>
          <w:szCs w:val="21"/>
        </w:rPr>
      </w:pPr>
      <w:r>
        <w:rPr>
          <w:kern w:val="2"/>
          <w:sz w:val="21"/>
          <w:szCs w:val="21"/>
        </w:rPr>
        <w:t>8.1</w:t>
      </w:r>
      <w:r>
        <w:rPr>
          <w:rFonts w:hint="eastAsia"/>
          <w:kern w:val="2"/>
          <w:sz w:val="21"/>
          <w:szCs w:val="21"/>
        </w:rPr>
        <w:t>采用最低评标价法的采购项目，提供相同品牌产品的不同投标人参加同一合同项下投标的，以其中通过资格审查、符合性审查且报价最低的参加评标</w:t>
      </w:r>
      <w:r>
        <w:rPr>
          <w:kern w:val="2"/>
          <w:sz w:val="21"/>
          <w:szCs w:val="21"/>
        </w:rPr>
        <w:t>;</w:t>
      </w:r>
      <w:r>
        <w:rPr>
          <w:rFonts w:hint="eastAsia"/>
          <w:kern w:val="2"/>
          <w:sz w:val="21"/>
          <w:szCs w:val="21"/>
        </w:rPr>
        <w:t>报价相同的，由采购人或者采购人委托评标委员会按照招标文件规定的方式确定一个参加评标的投标人，招标文件未规定的采取随机抽取方式确定，其他投标无效。</w:t>
      </w:r>
    </w:p>
    <w:p>
      <w:pPr>
        <w:pStyle w:val="15"/>
        <w:snapToGrid w:val="0"/>
        <w:spacing w:line="460" w:lineRule="exact"/>
        <w:ind w:left="2" w:leftChars="1" w:firstLine="420" w:firstLineChars="200"/>
        <w:rPr>
          <w:kern w:val="2"/>
          <w:sz w:val="21"/>
          <w:szCs w:val="21"/>
        </w:rPr>
      </w:pPr>
      <w:r>
        <w:rPr>
          <w:rFonts w:hint="eastAsia"/>
          <w:kern w:val="2"/>
          <w:sz w:val="21"/>
          <w:szCs w:val="21"/>
        </w:rPr>
        <w:t>使用综合评分法的采购项目，提供相同品牌产品且通过资格审查、符合性审查的不同投标人参加同一合同项下投标的，按一家投标人计算，评审后得分最高的同品牌投标人获得中标人推荐资格</w:t>
      </w:r>
      <w:r>
        <w:rPr>
          <w:kern w:val="2"/>
          <w:sz w:val="21"/>
          <w:szCs w:val="21"/>
        </w:rPr>
        <w:t>;</w:t>
      </w:r>
      <w:r>
        <w:rPr>
          <w:rFonts w:hint="eastAsia"/>
          <w:kern w:val="2"/>
          <w:sz w:val="21"/>
          <w:szCs w:val="21"/>
        </w:rPr>
        <w:t>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5"/>
        <w:snapToGrid w:val="0"/>
        <w:spacing w:line="460" w:lineRule="exact"/>
        <w:ind w:left="2" w:leftChars="1" w:firstLine="420" w:firstLineChars="200"/>
        <w:rPr>
          <w:kern w:val="2"/>
          <w:sz w:val="21"/>
          <w:szCs w:val="21"/>
        </w:rPr>
      </w:pPr>
      <w:r>
        <w:rPr>
          <w:rFonts w:hint="eastAsia"/>
          <w:kern w:val="2"/>
          <w:sz w:val="21"/>
          <w:szCs w:val="21"/>
        </w:rPr>
        <w:t>非单一产品采购项目，采购人应当根据采购项目技术构成、产品价格比重等合理确定核心产品，并在招标文件中载明。多家投标人提供的核心产品品牌相同的，按前两款规定处理。</w:t>
      </w:r>
    </w:p>
    <w:p>
      <w:pPr>
        <w:pStyle w:val="15"/>
        <w:snapToGrid w:val="0"/>
        <w:spacing w:line="460" w:lineRule="exact"/>
        <w:ind w:left="2" w:leftChars="1" w:firstLine="420" w:firstLineChars="200"/>
        <w:rPr>
          <w:kern w:val="2"/>
          <w:sz w:val="21"/>
          <w:szCs w:val="21"/>
        </w:rPr>
      </w:pPr>
      <w:r>
        <w:rPr>
          <w:kern w:val="2"/>
          <w:sz w:val="21"/>
          <w:szCs w:val="21"/>
        </w:rPr>
        <w:t>8.2</w:t>
      </w:r>
      <w:r>
        <w:rPr>
          <w:rFonts w:hint="eastAsia"/>
          <w:kern w:val="2"/>
          <w:sz w:val="21"/>
          <w:szCs w:val="21"/>
        </w:rPr>
        <w:t>投标人投标所使用的资格、信誉、荣誉、业绩与企业认证必须为本法人所拥有。投标人投标所使用的采购项目实施人员必须为本法人员工。</w:t>
      </w:r>
    </w:p>
    <w:p>
      <w:pPr>
        <w:pStyle w:val="15"/>
        <w:snapToGrid w:val="0"/>
        <w:spacing w:line="460" w:lineRule="exact"/>
        <w:ind w:left="2" w:leftChars="1" w:firstLine="420" w:firstLineChars="200"/>
        <w:rPr>
          <w:kern w:val="2"/>
          <w:sz w:val="21"/>
          <w:szCs w:val="21"/>
        </w:rPr>
      </w:pPr>
      <w:r>
        <w:rPr>
          <w:kern w:val="2"/>
          <w:sz w:val="21"/>
          <w:szCs w:val="21"/>
        </w:rPr>
        <w:t>8.3</w:t>
      </w:r>
      <w:r>
        <w:rPr>
          <w:rFonts w:hint="eastAsia"/>
          <w:kern w:val="2"/>
          <w:sz w:val="21"/>
          <w:szCs w:val="21"/>
        </w:rPr>
        <w:t>投标人应仔细阅读招标文件的所有内容，按照招标文件的要求提交投标文件，并对所提供的全部资料的真实性承担法律责任。</w:t>
      </w:r>
    </w:p>
    <w:p>
      <w:pPr>
        <w:pStyle w:val="15"/>
        <w:snapToGrid w:val="0"/>
        <w:spacing w:line="460" w:lineRule="exact"/>
        <w:ind w:left="2" w:leftChars="1" w:firstLine="420" w:firstLineChars="200"/>
        <w:rPr>
          <w:kern w:val="2"/>
          <w:sz w:val="21"/>
          <w:szCs w:val="21"/>
        </w:rPr>
      </w:pPr>
      <w:r>
        <w:rPr>
          <w:kern w:val="2"/>
          <w:sz w:val="21"/>
          <w:szCs w:val="21"/>
        </w:rPr>
        <w:t>8.4</w:t>
      </w:r>
      <w:r>
        <w:rPr>
          <w:rFonts w:hint="eastAsia"/>
          <w:kern w:val="2"/>
          <w:sz w:val="21"/>
          <w:szCs w:val="21"/>
        </w:rPr>
        <w:t>投标人在投标活动中提供任何虚假材料</w:t>
      </w:r>
      <w:r>
        <w:rPr>
          <w:kern w:val="2"/>
          <w:sz w:val="21"/>
          <w:szCs w:val="21"/>
        </w:rPr>
        <w:t>,</w:t>
      </w:r>
      <w:r>
        <w:rPr>
          <w:rFonts w:hint="eastAsia"/>
          <w:kern w:val="2"/>
          <w:sz w:val="21"/>
          <w:szCs w:val="21"/>
        </w:rPr>
        <w:t>其投标无效，并报监管部门查处；中标后发现的</w:t>
      </w:r>
      <w:r>
        <w:rPr>
          <w:kern w:val="2"/>
          <w:sz w:val="21"/>
          <w:szCs w:val="21"/>
        </w:rPr>
        <w:t>,</w:t>
      </w:r>
      <w:r>
        <w:rPr>
          <w:rFonts w:hint="eastAsia"/>
          <w:kern w:val="2"/>
          <w:sz w:val="21"/>
          <w:szCs w:val="21"/>
        </w:rPr>
        <w:t>中标人须依照《中华人民共和国消费者权益保护法》第</w:t>
      </w:r>
      <w:r>
        <w:rPr>
          <w:kern w:val="2"/>
          <w:sz w:val="21"/>
          <w:szCs w:val="21"/>
        </w:rPr>
        <w:t>49</w:t>
      </w:r>
      <w:r>
        <w:rPr>
          <w:rFonts w:hint="eastAsia"/>
          <w:kern w:val="2"/>
          <w:sz w:val="21"/>
          <w:szCs w:val="21"/>
        </w:rPr>
        <w:t>条之规定双倍赔偿采购人，且民事赔偿并不免除违法投标人的行政与刑事责任。</w:t>
      </w:r>
    </w:p>
    <w:p/>
    <w:p>
      <w:pPr>
        <w:pStyle w:val="15"/>
        <w:spacing w:line="360" w:lineRule="auto"/>
        <w:jc w:val="center"/>
        <w:outlineLvl w:val="0"/>
        <w:rPr>
          <w:b/>
          <w:sz w:val="28"/>
          <w:szCs w:val="28"/>
        </w:rPr>
      </w:pPr>
      <w:bookmarkStart w:id="5" w:name="_Toc10542"/>
      <w:r>
        <w:rPr>
          <w:rFonts w:hint="eastAsia"/>
          <w:b/>
          <w:sz w:val="28"/>
          <w:szCs w:val="28"/>
        </w:rPr>
        <w:t>二、招标文件</w:t>
      </w:r>
      <w:bookmarkEnd w:id="5"/>
    </w:p>
    <w:p>
      <w:pPr>
        <w:spacing w:line="440" w:lineRule="exact"/>
        <w:ind w:firstLine="422" w:firstLineChars="200"/>
        <w:jc w:val="left"/>
        <w:rPr>
          <w:rFonts w:ascii="宋体"/>
          <w:b/>
          <w:szCs w:val="21"/>
        </w:rPr>
      </w:pPr>
      <w:r>
        <w:rPr>
          <w:rFonts w:ascii="宋体"/>
          <w:b/>
          <w:szCs w:val="21"/>
        </w:rPr>
        <w:t>1.</w:t>
      </w:r>
      <w:r>
        <w:rPr>
          <w:rFonts w:hint="eastAsia" w:ascii="宋体"/>
          <w:b/>
          <w:szCs w:val="21"/>
        </w:rPr>
        <w:t>招标文件的构成</w:t>
      </w:r>
    </w:p>
    <w:p>
      <w:pPr>
        <w:spacing w:line="440" w:lineRule="exact"/>
        <w:ind w:firstLine="420" w:firstLineChars="200"/>
        <w:jc w:val="left"/>
        <w:rPr>
          <w:rFonts w:ascii="宋体"/>
          <w:szCs w:val="21"/>
        </w:rPr>
      </w:pPr>
      <w:r>
        <w:rPr>
          <w:rFonts w:ascii="宋体"/>
          <w:szCs w:val="21"/>
        </w:rPr>
        <w:t>1.1</w:t>
      </w:r>
      <w:r>
        <w:rPr>
          <w:rFonts w:hint="eastAsia" w:ascii="宋体"/>
          <w:szCs w:val="21"/>
        </w:rPr>
        <w:t>招标公告</w:t>
      </w:r>
    </w:p>
    <w:p>
      <w:pPr>
        <w:spacing w:line="440" w:lineRule="exact"/>
        <w:ind w:firstLine="420" w:firstLineChars="200"/>
        <w:jc w:val="left"/>
        <w:rPr>
          <w:rFonts w:ascii="宋体"/>
          <w:szCs w:val="21"/>
        </w:rPr>
      </w:pPr>
      <w:r>
        <w:rPr>
          <w:rFonts w:ascii="宋体"/>
          <w:szCs w:val="21"/>
        </w:rPr>
        <w:t>1.2</w:t>
      </w:r>
      <w:r>
        <w:rPr>
          <w:rFonts w:hint="eastAsia" w:ascii="宋体"/>
          <w:szCs w:val="21"/>
        </w:rPr>
        <w:t>投标人须知</w:t>
      </w:r>
    </w:p>
    <w:p>
      <w:pPr>
        <w:spacing w:line="440" w:lineRule="exact"/>
        <w:ind w:firstLine="420" w:firstLineChars="200"/>
        <w:jc w:val="left"/>
        <w:rPr>
          <w:rFonts w:ascii="宋体"/>
          <w:szCs w:val="21"/>
        </w:rPr>
      </w:pPr>
      <w:r>
        <w:rPr>
          <w:rFonts w:ascii="宋体"/>
          <w:szCs w:val="21"/>
        </w:rPr>
        <w:t>1.3</w:t>
      </w:r>
      <w:r>
        <w:rPr>
          <w:rFonts w:hint="eastAsia" w:ascii="宋体"/>
          <w:szCs w:val="21"/>
        </w:rPr>
        <w:t>服务项目需求</w:t>
      </w:r>
    </w:p>
    <w:p>
      <w:pPr>
        <w:spacing w:line="440" w:lineRule="exact"/>
        <w:ind w:firstLine="420" w:firstLineChars="200"/>
        <w:jc w:val="left"/>
        <w:rPr>
          <w:rFonts w:ascii="宋体"/>
          <w:szCs w:val="21"/>
        </w:rPr>
      </w:pPr>
      <w:r>
        <w:rPr>
          <w:rFonts w:ascii="宋体"/>
          <w:szCs w:val="21"/>
        </w:rPr>
        <w:t>1.4</w:t>
      </w:r>
      <w:r>
        <w:rPr>
          <w:rFonts w:hint="eastAsia" w:ascii="宋体"/>
          <w:szCs w:val="21"/>
        </w:rPr>
        <w:t>合同主要条款</w:t>
      </w:r>
    </w:p>
    <w:p>
      <w:pPr>
        <w:spacing w:line="440" w:lineRule="exact"/>
        <w:ind w:firstLine="420" w:firstLineChars="200"/>
        <w:jc w:val="left"/>
        <w:rPr>
          <w:rFonts w:ascii="宋体"/>
          <w:szCs w:val="21"/>
        </w:rPr>
      </w:pPr>
      <w:r>
        <w:rPr>
          <w:rFonts w:ascii="宋体"/>
          <w:szCs w:val="21"/>
        </w:rPr>
        <w:t>1.5</w:t>
      </w:r>
      <w:r>
        <w:rPr>
          <w:rFonts w:hint="eastAsia" w:ascii="宋体"/>
          <w:szCs w:val="21"/>
        </w:rPr>
        <w:t>评标办法及标准</w:t>
      </w:r>
    </w:p>
    <w:p>
      <w:pPr>
        <w:spacing w:line="440" w:lineRule="exact"/>
        <w:ind w:firstLine="420" w:firstLineChars="200"/>
        <w:jc w:val="left"/>
        <w:rPr>
          <w:rFonts w:ascii="宋体"/>
          <w:szCs w:val="21"/>
        </w:rPr>
      </w:pPr>
      <w:r>
        <w:rPr>
          <w:rFonts w:ascii="宋体"/>
          <w:szCs w:val="21"/>
        </w:rPr>
        <w:t>1.6</w:t>
      </w:r>
      <w:r>
        <w:rPr>
          <w:rFonts w:hint="eastAsia" w:ascii="宋体"/>
          <w:szCs w:val="21"/>
        </w:rPr>
        <w:t>投标文件相关文件格式</w:t>
      </w:r>
    </w:p>
    <w:p>
      <w:pPr>
        <w:spacing w:line="440" w:lineRule="exact"/>
        <w:ind w:firstLine="420" w:firstLineChars="200"/>
        <w:jc w:val="left"/>
        <w:rPr>
          <w:rFonts w:ascii="宋体"/>
          <w:szCs w:val="21"/>
        </w:rPr>
      </w:pPr>
      <w:r>
        <w:rPr>
          <w:rFonts w:ascii="宋体"/>
          <w:szCs w:val="21"/>
        </w:rPr>
        <w:t>1.7</w:t>
      </w:r>
      <w:r>
        <w:rPr>
          <w:rFonts w:hint="eastAsia" w:ascii="宋体"/>
          <w:szCs w:val="21"/>
        </w:rPr>
        <w:t>本项目招标文件的澄清、答复、修改、补充的内容</w:t>
      </w:r>
    </w:p>
    <w:p>
      <w:pPr>
        <w:pStyle w:val="7"/>
        <w:widowControl w:val="0"/>
        <w:tabs>
          <w:tab w:val="clear" w:pos="454"/>
        </w:tabs>
        <w:snapToGrid w:val="0"/>
        <w:spacing w:afterLines="0" w:line="460" w:lineRule="exact"/>
        <w:ind w:left="279" w:leftChars="133" w:firstLine="422" w:firstLineChars="200"/>
        <w:rPr>
          <w:rFonts w:ascii="宋体"/>
          <w:b/>
          <w:sz w:val="21"/>
          <w:szCs w:val="21"/>
        </w:rPr>
      </w:pPr>
      <w:r>
        <w:rPr>
          <w:rFonts w:ascii="宋体" w:hAnsi="宋体"/>
          <w:b/>
          <w:sz w:val="21"/>
          <w:szCs w:val="21"/>
        </w:rPr>
        <w:t>2.</w:t>
      </w:r>
      <w:r>
        <w:rPr>
          <w:rFonts w:hint="eastAsia" w:ascii="宋体" w:hAnsi="宋体"/>
          <w:b/>
          <w:sz w:val="21"/>
          <w:szCs w:val="21"/>
        </w:rPr>
        <w:t>招标文件的澄清与修改</w:t>
      </w:r>
    </w:p>
    <w:p>
      <w:pPr>
        <w:pStyle w:val="15"/>
        <w:snapToGrid w:val="0"/>
        <w:spacing w:line="460" w:lineRule="exact"/>
        <w:ind w:firstLine="420" w:firstLineChars="200"/>
        <w:rPr>
          <w:kern w:val="2"/>
          <w:sz w:val="21"/>
          <w:szCs w:val="21"/>
        </w:rPr>
      </w:pPr>
      <w:r>
        <w:rPr>
          <w:kern w:val="2"/>
          <w:sz w:val="21"/>
          <w:szCs w:val="21"/>
        </w:rPr>
        <w:t>2.1</w:t>
      </w:r>
      <w:r>
        <w:rPr>
          <w:rFonts w:hint="eastAsia"/>
          <w:kern w:val="2"/>
          <w:sz w:val="21"/>
          <w:szCs w:val="21"/>
        </w:rPr>
        <w:t>投标人应认真阅读本招标文件，发现其中有误或有不合理要求的，可要求招标采购单位澄清。招标采购单位对已发出的招标文件进行必要澄清或者修改的，应当在招标文件要求提交投标文件截止十五日前，在财政部门指定的政府采购信息发布媒体上发布更正公告，投标人应及时注意网站相关公告，否则后果自负。</w:t>
      </w:r>
    </w:p>
    <w:p>
      <w:pPr>
        <w:pStyle w:val="15"/>
        <w:snapToGrid w:val="0"/>
        <w:spacing w:line="460" w:lineRule="exact"/>
        <w:ind w:firstLine="420" w:firstLineChars="200"/>
        <w:rPr>
          <w:kern w:val="2"/>
          <w:sz w:val="21"/>
          <w:szCs w:val="21"/>
        </w:rPr>
      </w:pPr>
      <w:r>
        <w:rPr>
          <w:kern w:val="2"/>
          <w:sz w:val="21"/>
          <w:szCs w:val="21"/>
        </w:rPr>
        <w:t>2.2</w:t>
      </w:r>
      <w:r>
        <w:rPr>
          <w:rFonts w:hint="eastAsia"/>
          <w:kern w:val="2"/>
          <w:sz w:val="21"/>
          <w:szCs w:val="21"/>
        </w:rPr>
        <w:t>招标文件澄清或者修改的内容为招标文件的组成部分。当招标文件与澄清或者修改就同一内容的表述不一致时，以最后发出的电子文档文件为准。</w:t>
      </w:r>
    </w:p>
    <w:p>
      <w:pPr>
        <w:pStyle w:val="15"/>
        <w:spacing w:line="460" w:lineRule="exact"/>
        <w:ind w:firstLine="420" w:firstLineChars="200"/>
        <w:outlineLvl w:val="1"/>
        <w:rPr>
          <w:kern w:val="2"/>
          <w:sz w:val="21"/>
          <w:szCs w:val="21"/>
        </w:rPr>
      </w:pPr>
      <w:r>
        <w:rPr>
          <w:kern w:val="2"/>
          <w:sz w:val="21"/>
          <w:szCs w:val="21"/>
        </w:rPr>
        <w:t>2.3</w:t>
      </w:r>
      <w:r>
        <w:rPr>
          <w:rFonts w:hint="eastAsia"/>
          <w:kern w:val="2"/>
          <w:sz w:val="21"/>
          <w:szCs w:val="21"/>
        </w:rPr>
        <w:t>对招标文件的澄清、答复、修改或补充都应该通过代理机构以法定形式发布，采购人非通过本机构，不得擅自澄清、答复、修改或补充招标文件。</w:t>
      </w:r>
    </w:p>
    <w:p/>
    <w:p>
      <w:pPr>
        <w:pStyle w:val="15"/>
        <w:spacing w:line="460" w:lineRule="exact"/>
        <w:ind w:firstLine="562" w:firstLineChars="200"/>
        <w:jc w:val="center"/>
        <w:outlineLvl w:val="1"/>
        <w:rPr>
          <w:b/>
          <w:sz w:val="28"/>
          <w:szCs w:val="28"/>
        </w:rPr>
      </w:pPr>
      <w:r>
        <w:rPr>
          <w:rFonts w:hint="eastAsia"/>
          <w:b/>
          <w:sz w:val="28"/>
          <w:szCs w:val="28"/>
        </w:rPr>
        <w:t>三、投标文件的编制</w:t>
      </w:r>
    </w:p>
    <w:p>
      <w:pPr>
        <w:pStyle w:val="15"/>
        <w:snapToGrid w:val="0"/>
        <w:spacing w:line="460" w:lineRule="exact"/>
        <w:ind w:firstLine="422" w:firstLineChars="200"/>
        <w:outlineLvl w:val="1"/>
        <w:rPr>
          <w:rFonts w:hAnsi="宋体" w:cs="宋体"/>
          <w:b/>
          <w:sz w:val="21"/>
          <w:szCs w:val="21"/>
        </w:rPr>
      </w:pPr>
      <w:bookmarkStart w:id="6" w:name="_Toc33535356"/>
      <w:r>
        <w:rPr>
          <w:rFonts w:hint="eastAsia" w:hAnsi="宋体" w:cs="宋体"/>
          <w:b/>
          <w:sz w:val="21"/>
          <w:szCs w:val="21"/>
        </w:rPr>
        <w:t>本项目所涉投标文件格式请详见第六章，未给出的格式请自拟。资信商务及技术文件中不得出现报价，否则投标文件将被视为无效。</w:t>
      </w:r>
      <w:bookmarkEnd w:id="6"/>
    </w:p>
    <w:p>
      <w:pPr>
        <w:pStyle w:val="15"/>
        <w:snapToGrid w:val="0"/>
        <w:spacing w:line="460" w:lineRule="exact"/>
        <w:ind w:firstLine="422" w:firstLineChars="200"/>
        <w:outlineLvl w:val="1"/>
        <w:rPr>
          <w:rFonts w:hAnsi="宋体" w:cs="宋体"/>
          <w:b/>
          <w:sz w:val="21"/>
          <w:szCs w:val="21"/>
        </w:rPr>
      </w:pPr>
      <w:bookmarkStart w:id="7" w:name="_Toc33535357"/>
      <w:r>
        <w:rPr>
          <w:rFonts w:hint="eastAsia" w:hAnsi="宋体" w:cs="宋体"/>
          <w:b/>
          <w:sz w:val="21"/>
          <w:szCs w:val="21"/>
        </w:rPr>
        <w:t>总体要求：</w:t>
      </w:r>
      <w:bookmarkEnd w:id="7"/>
    </w:p>
    <w:p>
      <w:pPr>
        <w:spacing w:line="460" w:lineRule="exact"/>
        <w:ind w:firstLine="420" w:firstLineChars="200"/>
        <w:rPr>
          <w:rFonts w:ascii="宋体"/>
          <w:szCs w:val="21"/>
        </w:rPr>
      </w:pPr>
      <w:r>
        <w:rPr>
          <w:rFonts w:ascii="宋体" w:hAnsi="宋体"/>
          <w:szCs w:val="21"/>
        </w:rPr>
        <w:t>1.</w:t>
      </w:r>
      <w:r>
        <w:rPr>
          <w:rFonts w:hint="eastAsia" w:ascii="宋体" w:hAnsi="宋体"/>
          <w:szCs w:val="21"/>
        </w:rPr>
        <w:t>供应商应仔细阅读招标文件的所有内容，按本文件的要求提供投标文件，并保证所提供的全部资料的真实性，以使其投标文件对招标文件作出实质性响应，否则，投标文件可能视为无效投标文件。</w:t>
      </w:r>
      <w:r>
        <w:rPr>
          <w:rFonts w:ascii="宋体" w:hAnsi="宋体"/>
          <w:szCs w:val="21"/>
        </w:rPr>
        <w:t xml:space="preserve"> </w:t>
      </w:r>
    </w:p>
    <w:p>
      <w:pPr>
        <w:spacing w:line="460" w:lineRule="exact"/>
        <w:ind w:firstLine="420" w:firstLineChars="200"/>
        <w:rPr>
          <w:rFonts w:ascii="宋体"/>
          <w:szCs w:val="21"/>
        </w:rPr>
      </w:pPr>
      <w:r>
        <w:rPr>
          <w:rFonts w:ascii="宋体" w:hAnsi="宋体"/>
          <w:szCs w:val="21"/>
        </w:rPr>
        <w:t>2.</w:t>
      </w:r>
      <w:r>
        <w:rPr>
          <w:rFonts w:hint="eastAsia" w:ascii="宋体" w:hAnsi="宋体"/>
          <w:szCs w:val="21"/>
        </w:rPr>
        <w:t>投标文件及供应商与采购有关的来往通知，函件和文件均应使用中文。</w:t>
      </w:r>
    </w:p>
    <w:p>
      <w:pPr>
        <w:spacing w:line="460" w:lineRule="exact"/>
        <w:ind w:firstLine="420" w:firstLineChars="200"/>
        <w:rPr>
          <w:rFonts w:ascii="宋体"/>
          <w:szCs w:val="21"/>
        </w:rPr>
      </w:pPr>
      <w:r>
        <w:rPr>
          <w:rFonts w:ascii="宋体" w:hAnsi="宋体"/>
          <w:szCs w:val="21"/>
        </w:rPr>
        <w:t>3.</w:t>
      </w:r>
      <w:r>
        <w:rPr>
          <w:rFonts w:hint="eastAsia" w:ascii="宋体" w:hAnsi="宋体"/>
          <w:szCs w:val="21"/>
        </w:rPr>
        <w:t>供应商应按本文件中提供的文件格式、内容和要求制作投标文件。</w:t>
      </w:r>
    </w:p>
    <w:p>
      <w:pPr>
        <w:spacing w:line="460" w:lineRule="exact"/>
        <w:ind w:firstLine="207" w:firstLineChars="98"/>
        <w:jc w:val="left"/>
        <w:rPr>
          <w:rFonts w:ascii="宋体" w:cs="宋体"/>
          <w:bCs/>
          <w:szCs w:val="21"/>
        </w:rPr>
      </w:pPr>
      <w:r>
        <w:rPr>
          <w:rFonts w:ascii="宋体" w:hAnsi="宋体"/>
          <w:b/>
          <w:szCs w:val="21"/>
        </w:rPr>
        <w:t xml:space="preserve">  4.</w:t>
      </w:r>
      <w:r>
        <w:rPr>
          <w:rFonts w:hint="eastAsia" w:ascii="宋体" w:hAnsi="宋体"/>
          <w:b/>
          <w:szCs w:val="21"/>
        </w:rPr>
        <w:t>投标文件的效力：投标文件的启用，按先后顺位分别为电子投标文件、电子</w:t>
      </w:r>
      <w:r>
        <w:rPr>
          <w:rFonts w:hint="eastAsia" w:ascii="宋体" w:hAnsi="宋体" w:cs="宋体"/>
          <w:bCs/>
          <w:szCs w:val="21"/>
        </w:rPr>
        <w:t>备份投标文件</w:t>
      </w:r>
      <w:r>
        <w:rPr>
          <w:rFonts w:hint="eastAsia" w:ascii="宋体" w:hAnsi="宋体"/>
          <w:b/>
          <w:szCs w:val="21"/>
        </w:rPr>
        <w:t>。</w:t>
      </w:r>
      <w:r>
        <w:rPr>
          <w:rFonts w:hint="eastAsia" w:ascii="宋体" w:hAnsi="宋体" w:cs="宋体"/>
          <w:bCs/>
          <w:szCs w:val="21"/>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460" w:lineRule="exact"/>
        <w:ind w:firstLine="422" w:firstLineChars="200"/>
        <w:jc w:val="left"/>
        <w:rPr>
          <w:rFonts w:ascii="宋体"/>
          <w:b/>
          <w:szCs w:val="21"/>
        </w:rPr>
      </w:pPr>
      <w:r>
        <w:rPr>
          <w:rFonts w:ascii="宋体" w:hAnsi="宋体"/>
          <w:b/>
          <w:szCs w:val="21"/>
        </w:rPr>
        <w:t>5</w:t>
      </w:r>
      <w:r>
        <w:rPr>
          <w:rFonts w:hint="eastAsia" w:ascii="宋体" w:hAnsi="宋体"/>
          <w:b/>
          <w:szCs w:val="21"/>
        </w:rPr>
        <w:t>．投标文件的组成</w:t>
      </w:r>
    </w:p>
    <w:p>
      <w:pPr>
        <w:snapToGrid w:val="0"/>
        <w:spacing w:line="460" w:lineRule="exact"/>
        <w:ind w:firstLine="422" w:firstLineChars="200"/>
        <w:jc w:val="left"/>
        <w:rPr>
          <w:rFonts w:ascii="宋体"/>
          <w:b/>
          <w:szCs w:val="21"/>
        </w:rPr>
      </w:pPr>
      <w:r>
        <w:rPr>
          <w:rFonts w:hint="eastAsia" w:ascii="宋体" w:hAnsi="宋体"/>
          <w:b/>
          <w:szCs w:val="21"/>
        </w:rPr>
        <w:t>包括电子投标文件和电子备份投标文件（选送），均由“资格文件”、“资信商务及技术文件”和“投标报价文件”三个部分组成。其中电子投标文件中所须加盖公章部分均采用</w:t>
      </w:r>
      <w:r>
        <w:rPr>
          <w:rFonts w:ascii="宋体" w:hAnsi="宋体"/>
          <w:b/>
          <w:szCs w:val="21"/>
        </w:rPr>
        <w:t>CA</w:t>
      </w:r>
      <w:r>
        <w:rPr>
          <w:rFonts w:hint="eastAsia" w:ascii="宋体" w:hAnsi="宋体"/>
          <w:b/>
          <w:szCs w:val="21"/>
        </w:rPr>
        <w:t>签章。</w:t>
      </w:r>
    </w:p>
    <w:p>
      <w:pPr>
        <w:snapToGrid w:val="0"/>
        <w:spacing w:line="460" w:lineRule="exact"/>
        <w:ind w:firstLine="422" w:firstLineChars="200"/>
        <w:jc w:val="left"/>
        <w:rPr>
          <w:rFonts w:ascii="宋体"/>
          <w:b/>
          <w:szCs w:val="21"/>
        </w:rPr>
      </w:pPr>
      <w:r>
        <w:rPr>
          <w:rFonts w:hint="eastAsia" w:ascii="宋体" w:hAnsi="宋体"/>
          <w:b/>
          <w:szCs w:val="21"/>
        </w:rPr>
        <w:t>电子投标文件投标人应根据“政采云供应商项目采购</w:t>
      </w:r>
      <w:r>
        <w:rPr>
          <w:rFonts w:ascii="宋体"/>
          <w:b/>
          <w:szCs w:val="21"/>
        </w:rPr>
        <w:t>-</w:t>
      </w:r>
      <w:r>
        <w:rPr>
          <w:rFonts w:hint="eastAsia" w:ascii="宋体" w:hAnsi="宋体"/>
          <w:b/>
          <w:szCs w:val="21"/>
        </w:rPr>
        <w:t>电子招投标操作指南”及本招标文件规定的格式和顺序编制电子投标文件并进行关联定位。未设置关联点而导致失分或无效投标处理的风险由投标人承担。</w:t>
      </w:r>
    </w:p>
    <w:p>
      <w:pPr>
        <w:snapToGrid w:val="0"/>
        <w:spacing w:line="440" w:lineRule="exact"/>
        <w:jc w:val="left"/>
        <w:rPr>
          <w:rFonts w:hAnsi="宋体" w:cs="宋体"/>
          <w:b/>
        </w:rPr>
      </w:pPr>
      <w:r>
        <w:rPr>
          <w:rFonts w:hAnsi="宋体" w:cs="宋体"/>
          <w:b/>
        </w:rPr>
        <w:t>5.1</w:t>
      </w:r>
      <w:r>
        <w:rPr>
          <w:rFonts w:hint="eastAsia" w:hAnsi="宋体" w:cs="宋体"/>
          <w:b/>
        </w:rPr>
        <w:t>资格文件</w:t>
      </w:r>
      <w:r>
        <w:rPr>
          <w:rFonts w:hAnsi="宋体" w:cs="宋体"/>
          <w:b/>
        </w:rPr>
        <w:t>(</w:t>
      </w:r>
      <w:r>
        <w:rPr>
          <w:rFonts w:hint="eastAsia" w:hAnsi="宋体" w:cs="宋体"/>
          <w:b/>
        </w:rPr>
        <w:t>封面详见后附</w:t>
      </w:r>
      <w:r>
        <w:rPr>
          <w:rFonts w:hAnsi="宋体" w:cs="宋体"/>
          <w:b/>
        </w:rPr>
        <w:t>)</w:t>
      </w:r>
    </w:p>
    <w:p>
      <w:pPr>
        <w:autoSpaceDE w:val="0"/>
        <w:autoSpaceDN w:val="0"/>
        <w:adjustRightInd w:val="0"/>
        <w:snapToGrid w:val="0"/>
        <w:spacing w:line="440" w:lineRule="exact"/>
        <w:textAlignment w:val="bottom"/>
        <w:rPr>
          <w:rFonts w:ascii="宋体" w:cs="宋体"/>
          <w:bCs/>
          <w:szCs w:val="21"/>
        </w:rPr>
      </w:pPr>
      <w:r>
        <w:rPr>
          <w:rFonts w:ascii="宋体" w:hAnsi="宋体" w:cs="宋体"/>
          <w:bCs/>
          <w:szCs w:val="21"/>
        </w:rPr>
        <w:t>5.1.1</w:t>
      </w:r>
      <w:r>
        <w:rPr>
          <w:rFonts w:hint="eastAsia" w:ascii="宋体" w:hAnsi="宋体" w:cs="宋体"/>
          <w:bCs/>
          <w:szCs w:val="21"/>
        </w:rPr>
        <w:t>基本资格条件证明材料：</w:t>
      </w:r>
    </w:p>
    <w:p>
      <w:pPr>
        <w:autoSpaceDE w:val="0"/>
        <w:autoSpaceDN w:val="0"/>
        <w:adjustRightInd w:val="0"/>
        <w:snapToGrid w:val="0"/>
        <w:spacing w:line="440" w:lineRule="exact"/>
        <w:textAlignment w:val="bottom"/>
        <w:rPr>
          <w:rFonts w:ascii="宋体" w:cs="宋体"/>
          <w:bCs/>
          <w:szCs w:val="21"/>
        </w:rPr>
      </w:pPr>
      <w:r>
        <w:rPr>
          <w:rFonts w:hint="eastAsia" w:ascii="宋体" w:hAnsi="宋体" w:cs="宋体"/>
          <w:bCs/>
          <w:szCs w:val="21"/>
        </w:rPr>
        <w:t>（以下</w:t>
      </w:r>
      <w:r>
        <w:rPr>
          <w:rFonts w:ascii="宋体" w:hAnsi="宋体" w:cs="宋体"/>
          <w:bCs/>
          <w:szCs w:val="21"/>
        </w:rPr>
        <w:t>a~e</w:t>
      </w:r>
      <w:r>
        <w:rPr>
          <w:rFonts w:hint="eastAsia" w:ascii="宋体" w:hAnsi="宋体" w:cs="宋体"/>
          <w:bCs/>
          <w:szCs w:val="21"/>
        </w:rPr>
        <w:t>项是基本资格条件对应证明材料的具体内容，各供应商须在响应文件中出具对应证明材料）</w:t>
      </w:r>
    </w:p>
    <w:p>
      <w:pPr>
        <w:autoSpaceDE w:val="0"/>
        <w:autoSpaceDN w:val="0"/>
        <w:adjustRightInd w:val="0"/>
        <w:snapToGrid w:val="0"/>
        <w:spacing w:line="440" w:lineRule="exact"/>
        <w:textAlignment w:val="bottom"/>
        <w:rPr>
          <w:rFonts w:ascii="宋体" w:cs="宋体"/>
          <w:bCs/>
          <w:szCs w:val="21"/>
        </w:rPr>
      </w:pPr>
      <w:r>
        <w:rPr>
          <w:rFonts w:ascii="宋体" w:hAnsi="宋体" w:cs="宋体"/>
          <w:bCs/>
          <w:szCs w:val="21"/>
        </w:rPr>
        <w:t>a.</w:t>
      </w:r>
      <w:r>
        <w:rPr>
          <w:rFonts w:hint="eastAsia" w:ascii="宋体" w:hAnsi="宋体" w:cs="宋体"/>
          <w:bCs/>
          <w:szCs w:val="21"/>
        </w:rPr>
        <w:t>具有独立承担民事责任的能力：</w:t>
      </w:r>
    </w:p>
    <w:p>
      <w:pPr>
        <w:autoSpaceDE w:val="0"/>
        <w:autoSpaceDN w:val="0"/>
        <w:adjustRightInd w:val="0"/>
        <w:snapToGrid w:val="0"/>
        <w:spacing w:line="440" w:lineRule="exact"/>
        <w:textAlignment w:val="bottom"/>
        <w:rPr>
          <w:rFonts w:ascii="宋体" w:cs="宋体"/>
          <w:bCs/>
          <w:szCs w:val="21"/>
        </w:rPr>
      </w:pPr>
      <w:r>
        <w:rPr>
          <w:rFonts w:hint="eastAsia" w:ascii="宋体" w:hAnsi="宋体" w:cs="宋体"/>
          <w:bCs/>
          <w:szCs w:val="21"/>
        </w:rPr>
        <w:t>供应商须在响应文件中出具符合以下情况的证明材料复印件（五选一）：</w:t>
      </w:r>
    </w:p>
    <w:p>
      <w:pPr>
        <w:autoSpaceDE w:val="0"/>
        <w:autoSpaceDN w:val="0"/>
        <w:adjustRightInd w:val="0"/>
        <w:snapToGrid w:val="0"/>
        <w:spacing w:line="440" w:lineRule="exact"/>
        <w:textAlignment w:val="bottom"/>
        <w:rPr>
          <w:rFonts w:ascii="宋体" w:cs="宋体"/>
          <w:bCs/>
          <w:szCs w:val="21"/>
        </w:rPr>
      </w:pPr>
      <w:r>
        <w:rPr>
          <w:rFonts w:hint="eastAsia" w:ascii="宋体" w:hAnsi="宋体" w:cs="宋体"/>
          <w:bCs/>
          <w:szCs w:val="21"/>
        </w:rPr>
        <w:t>①如供应商是企业（包括合伙企业），提供在工商部门注册的有效“企业法人营业执照”或“营业执照”；</w:t>
      </w:r>
    </w:p>
    <w:p>
      <w:pPr>
        <w:autoSpaceDE w:val="0"/>
        <w:autoSpaceDN w:val="0"/>
        <w:adjustRightInd w:val="0"/>
        <w:snapToGrid w:val="0"/>
        <w:spacing w:line="440" w:lineRule="exact"/>
        <w:textAlignment w:val="bottom"/>
        <w:rPr>
          <w:rFonts w:ascii="宋体" w:cs="宋体"/>
          <w:bCs/>
          <w:szCs w:val="21"/>
        </w:rPr>
      </w:pPr>
      <w:r>
        <w:rPr>
          <w:rFonts w:hint="eastAsia" w:ascii="宋体" w:hAnsi="宋体" w:cs="宋体"/>
          <w:bCs/>
          <w:szCs w:val="21"/>
        </w:rPr>
        <w:t>②如供应商是事业单位，提供有效的“事业单位法人证书”；</w:t>
      </w:r>
    </w:p>
    <w:p>
      <w:pPr>
        <w:autoSpaceDE w:val="0"/>
        <w:autoSpaceDN w:val="0"/>
        <w:adjustRightInd w:val="0"/>
        <w:snapToGrid w:val="0"/>
        <w:spacing w:line="440" w:lineRule="exact"/>
        <w:textAlignment w:val="bottom"/>
        <w:rPr>
          <w:rFonts w:ascii="宋体" w:cs="宋体"/>
          <w:bCs/>
          <w:szCs w:val="21"/>
        </w:rPr>
      </w:pPr>
      <w:r>
        <w:rPr>
          <w:rFonts w:hint="eastAsia" w:ascii="宋体" w:hAnsi="宋体" w:cs="宋体"/>
          <w:bCs/>
          <w:szCs w:val="21"/>
        </w:rPr>
        <w:t>③如供应商是非企业专业服务机构的，提供执业许可证等证明文件；</w:t>
      </w:r>
    </w:p>
    <w:p>
      <w:pPr>
        <w:autoSpaceDE w:val="0"/>
        <w:autoSpaceDN w:val="0"/>
        <w:adjustRightInd w:val="0"/>
        <w:snapToGrid w:val="0"/>
        <w:spacing w:line="440" w:lineRule="exact"/>
        <w:textAlignment w:val="bottom"/>
        <w:rPr>
          <w:rFonts w:ascii="宋体" w:cs="宋体"/>
          <w:bCs/>
          <w:szCs w:val="21"/>
        </w:rPr>
      </w:pPr>
      <w:r>
        <w:rPr>
          <w:rFonts w:hint="eastAsia" w:ascii="宋体" w:hAnsi="宋体" w:cs="宋体"/>
          <w:bCs/>
          <w:szCs w:val="21"/>
        </w:rPr>
        <w:t>④如供应商是个体工商户，提供有效的“个体工商户营业执照”；</w:t>
      </w:r>
    </w:p>
    <w:p>
      <w:pPr>
        <w:autoSpaceDE w:val="0"/>
        <w:autoSpaceDN w:val="0"/>
        <w:adjustRightInd w:val="0"/>
        <w:snapToGrid w:val="0"/>
        <w:spacing w:line="440" w:lineRule="exact"/>
        <w:textAlignment w:val="bottom"/>
        <w:rPr>
          <w:rFonts w:ascii="宋体" w:cs="宋体"/>
          <w:bCs/>
          <w:szCs w:val="21"/>
        </w:rPr>
      </w:pPr>
      <w:r>
        <w:rPr>
          <w:rFonts w:hint="eastAsia" w:ascii="宋体" w:hAnsi="宋体" w:cs="宋体"/>
          <w:bCs/>
          <w:szCs w:val="21"/>
        </w:rPr>
        <w:t>⑤如供应商是自然人，提供有效的自然人身份证明（居民身份证正反面或公安机关出具的临时居民身份证正反面或港澳台胞证或护照）。</w:t>
      </w:r>
    </w:p>
    <w:p>
      <w:pPr>
        <w:autoSpaceDE w:val="0"/>
        <w:autoSpaceDN w:val="0"/>
        <w:adjustRightInd w:val="0"/>
        <w:snapToGrid w:val="0"/>
        <w:spacing w:line="440" w:lineRule="exact"/>
        <w:textAlignment w:val="bottom"/>
        <w:rPr>
          <w:rFonts w:ascii="宋体" w:cs="宋体"/>
          <w:bCs/>
          <w:szCs w:val="21"/>
        </w:rPr>
      </w:pPr>
      <w:r>
        <w:rPr>
          <w:rFonts w:ascii="宋体" w:hAnsi="宋体" w:cs="宋体"/>
          <w:bCs/>
          <w:szCs w:val="21"/>
        </w:rPr>
        <w:t>b.</w:t>
      </w:r>
      <w:r>
        <w:rPr>
          <w:rFonts w:hint="eastAsia" w:ascii="宋体" w:hAnsi="宋体" w:cs="宋体"/>
          <w:bCs/>
          <w:szCs w:val="21"/>
        </w:rPr>
        <w:t>具有良好的商业信誉和健全的财务会计制度的证明材料：</w:t>
      </w:r>
    </w:p>
    <w:p>
      <w:pPr>
        <w:autoSpaceDE w:val="0"/>
        <w:autoSpaceDN w:val="0"/>
        <w:adjustRightInd w:val="0"/>
        <w:snapToGrid w:val="0"/>
        <w:spacing w:line="440" w:lineRule="exact"/>
        <w:textAlignment w:val="bottom"/>
        <w:rPr>
          <w:rFonts w:ascii="宋体" w:cs="宋体"/>
          <w:bCs/>
          <w:szCs w:val="21"/>
        </w:rPr>
      </w:pPr>
      <w:r>
        <w:rPr>
          <w:rFonts w:hint="eastAsia" w:ascii="宋体" w:hAnsi="宋体" w:cs="宋体"/>
          <w:bCs/>
          <w:szCs w:val="21"/>
        </w:rPr>
        <w:t>①良好的商业信誉：</w:t>
      </w:r>
    </w:p>
    <w:p>
      <w:pPr>
        <w:autoSpaceDE w:val="0"/>
        <w:autoSpaceDN w:val="0"/>
        <w:adjustRightInd w:val="0"/>
        <w:snapToGrid w:val="0"/>
        <w:spacing w:line="440" w:lineRule="exact"/>
        <w:textAlignment w:val="bottom"/>
        <w:rPr>
          <w:rFonts w:ascii="宋体" w:cs="宋体"/>
          <w:bCs/>
          <w:szCs w:val="21"/>
        </w:rPr>
      </w:pPr>
      <w:r>
        <w:rPr>
          <w:rFonts w:hint="eastAsia" w:ascii="宋体" w:hAnsi="宋体" w:cs="宋体"/>
          <w:bCs/>
          <w:szCs w:val="21"/>
        </w:rPr>
        <w:t>至本项目投标截止时间止未列入失信被执行人、重大税收违法案件当事人名单、政府采购严重违法失信行为记录名单。（代理机构以开标当日在“信用中国”网站（</w:t>
      </w:r>
      <w:r>
        <w:rPr>
          <w:rFonts w:ascii="宋体" w:hAnsi="宋体" w:cs="宋体"/>
          <w:bCs/>
          <w:szCs w:val="21"/>
        </w:rPr>
        <w:t>www.creditchina.gov.cn</w:t>
      </w:r>
      <w:r>
        <w:rPr>
          <w:rFonts w:hint="eastAsia" w:ascii="宋体" w:hAnsi="宋体" w:cs="宋体"/>
          <w:bCs/>
          <w:szCs w:val="21"/>
        </w:rPr>
        <w:t>）、中国政府采购网（</w:t>
      </w:r>
      <w:r>
        <w:rPr>
          <w:rFonts w:ascii="宋体" w:hAnsi="宋体" w:cs="宋体"/>
          <w:bCs/>
          <w:szCs w:val="21"/>
        </w:rPr>
        <w:t>www.ccgp.gov.cn</w:t>
      </w:r>
      <w:r>
        <w:rPr>
          <w:rFonts w:hint="eastAsia" w:ascii="宋体" w:hAnsi="宋体" w:cs="宋体"/>
          <w:bCs/>
          <w:szCs w:val="21"/>
        </w:rPr>
        <w:t>）网页查询记录为准）</w:t>
      </w:r>
    </w:p>
    <w:p>
      <w:pPr>
        <w:autoSpaceDE w:val="0"/>
        <w:autoSpaceDN w:val="0"/>
        <w:adjustRightInd w:val="0"/>
        <w:snapToGrid w:val="0"/>
        <w:spacing w:line="440" w:lineRule="exact"/>
        <w:textAlignment w:val="bottom"/>
        <w:rPr>
          <w:rFonts w:ascii="宋体" w:cs="宋体"/>
          <w:bCs/>
          <w:szCs w:val="21"/>
        </w:rPr>
      </w:pPr>
      <w:r>
        <w:rPr>
          <w:rFonts w:hint="eastAsia" w:ascii="宋体" w:hAnsi="宋体" w:cs="宋体"/>
          <w:bCs/>
          <w:szCs w:val="21"/>
        </w:rPr>
        <w:t>对列入失信被执行人、重大税收违法案件当事人名单、政府采购严重违法失信行为记录名单的供应商，其投标将作无效标处理。</w:t>
      </w:r>
    </w:p>
    <w:p>
      <w:pPr>
        <w:autoSpaceDE w:val="0"/>
        <w:autoSpaceDN w:val="0"/>
        <w:adjustRightInd w:val="0"/>
        <w:snapToGrid w:val="0"/>
        <w:spacing w:line="440" w:lineRule="exact"/>
        <w:textAlignment w:val="bottom"/>
        <w:rPr>
          <w:rFonts w:ascii="宋体" w:cs="宋体"/>
          <w:bCs/>
          <w:szCs w:val="21"/>
        </w:rPr>
      </w:pPr>
      <w:r>
        <w:rPr>
          <w:rFonts w:hint="eastAsia" w:ascii="宋体" w:hAnsi="宋体" w:cs="宋体"/>
          <w:bCs/>
          <w:szCs w:val="21"/>
        </w:rPr>
        <w:t>②健全的财务会计制度：</w:t>
      </w:r>
    </w:p>
    <w:p>
      <w:pPr>
        <w:autoSpaceDE w:val="0"/>
        <w:autoSpaceDN w:val="0"/>
        <w:adjustRightInd w:val="0"/>
        <w:snapToGrid w:val="0"/>
        <w:spacing w:line="440" w:lineRule="exact"/>
        <w:textAlignment w:val="bottom"/>
        <w:rPr>
          <w:rFonts w:ascii="宋体" w:cs="宋体"/>
          <w:bCs/>
          <w:szCs w:val="21"/>
        </w:rPr>
      </w:pPr>
      <w:r>
        <w:rPr>
          <w:rFonts w:hint="eastAsia" w:ascii="宋体" w:hAnsi="宋体" w:cs="宋体"/>
          <w:bCs/>
          <w:szCs w:val="21"/>
        </w:rPr>
        <w:t>供应商须在响应文件中出具符合以下情况的证明材料复印件（三选一）：</w:t>
      </w:r>
    </w:p>
    <w:p>
      <w:pPr>
        <w:autoSpaceDE w:val="0"/>
        <w:autoSpaceDN w:val="0"/>
        <w:adjustRightInd w:val="0"/>
        <w:snapToGrid w:val="0"/>
        <w:spacing w:line="440" w:lineRule="exact"/>
        <w:textAlignment w:val="bottom"/>
        <w:rPr>
          <w:rFonts w:ascii="宋体" w:cs="宋体"/>
          <w:bCs/>
          <w:szCs w:val="21"/>
        </w:rPr>
      </w:pPr>
      <w:r>
        <w:rPr>
          <w:rFonts w:ascii="宋体" w:hAnsi="宋体" w:cs="宋体"/>
          <w:bCs/>
          <w:szCs w:val="21"/>
        </w:rPr>
        <w:t>1)</w:t>
      </w:r>
      <w:r>
        <w:rPr>
          <w:rFonts w:hint="eastAsia" w:ascii="宋体" w:hAnsi="宋体" w:cs="宋体"/>
          <w:bCs/>
          <w:szCs w:val="21"/>
        </w:rPr>
        <w:t>供应商是法人的，应提供最近一个年度经审计的财务报告，包括资产负债表、利润表、现金流量表</w:t>
      </w:r>
      <w:r>
        <w:rPr>
          <w:rFonts w:ascii="宋体" w:hAnsi="宋体" w:cs="宋体"/>
          <w:bCs/>
          <w:szCs w:val="21"/>
        </w:rPr>
        <w:t>(</w:t>
      </w:r>
      <w:r>
        <w:rPr>
          <w:rFonts w:hint="eastAsia" w:ascii="宋体" w:hAnsi="宋体" w:cs="宋体"/>
          <w:bCs/>
          <w:szCs w:val="21"/>
        </w:rPr>
        <w:t>执行《小企业会计准则》的提供资产负债表和利润表两张基本报表），未经审计的，提供资产负债表、利润表或损益表；</w:t>
      </w:r>
    </w:p>
    <w:p>
      <w:pPr>
        <w:autoSpaceDE w:val="0"/>
        <w:autoSpaceDN w:val="0"/>
        <w:adjustRightInd w:val="0"/>
        <w:snapToGrid w:val="0"/>
        <w:spacing w:line="440" w:lineRule="exact"/>
        <w:textAlignment w:val="bottom"/>
        <w:rPr>
          <w:rFonts w:ascii="宋体" w:cs="宋体"/>
          <w:bCs/>
          <w:szCs w:val="21"/>
        </w:rPr>
      </w:pPr>
      <w:r>
        <w:rPr>
          <w:rFonts w:ascii="宋体" w:hAnsi="宋体" w:cs="宋体"/>
          <w:bCs/>
          <w:szCs w:val="21"/>
        </w:rPr>
        <w:t>2)</w:t>
      </w:r>
      <w:r>
        <w:rPr>
          <w:rFonts w:hint="eastAsia" w:ascii="宋体" w:hAnsi="宋体" w:cs="宋体"/>
          <w:bCs/>
          <w:szCs w:val="21"/>
        </w:rPr>
        <w:t>其他组织和自然人如没有经审计的财务报告的，可以提供资产负债表、利润表、现金流量表；</w:t>
      </w:r>
    </w:p>
    <w:p>
      <w:pPr>
        <w:autoSpaceDE w:val="0"/>
        <w:autoSpaceDN w:val="0"/>
        <w:adjustRightInd w:val="0"/>
        <w:snapToGrid w:val="0"/>
        <w:spacing w:line="440" w:lineRule="exact"/>
        <w:textAlignment w:val="bottom"/>
        <w:rPr>
          <w:rFonts w:ascii="宋体" w:cs="宋体"/>
          <w:bCs/>
          <w:szCs w:val="21"/>
        </w:rPr>
      </w:pPr>
      <w:r>
        <w:rPr>
          <w:rFonts w:ascii="宋体" w:hAnsi="宋体" w:cs="宋体"/>
          <w:bCs/>
          <w:szCs w:val="21"/>
        </w:rPr>
        <w:t>3)</w:t>
      </w:r>
      <w:r>
        <w:rPr>
          <w:rFonts w:hint="eastAsia" w:ascii="宋体" w:hAnsi="宋体" w:cs="宋体"/>
          <w:bCs/>
          <w:szCs w:val="21"/>
        </w:rPr>
        <w:t>新成立不足一年的公司须出具情况说明。</w:t>
      </w:r>
    </w:p>
    <w:p>
      <w:pPr>
        <w:autoSpaceDE w:val="0"/>
        <w:autoSpaceDN w:val="0"/>
        <w:adjustRightInd w:val="0"/>
        <w:snapToGrid w:val="0"/>
        <w:spacing w:line="440" w:lineRule="exact"/>
        <w:textAlignment w:val="bottom"/>
        <w:rPr>
          <w:rFonts w:ascii="宋体" w:cs="宋体"/>
          <w:bCs/>
          <w:szCs w:val="21"/>
        </w:rPr>
      </w:pPr>
      <w:r>
        <w:rPr>
          <w:rFonts w:ascii="宋体" w:hAnsi="宋体" w:cs="宋体"/>
          <w:bCs/>
          <w:szCs w:val="21"/>
        </w:rPr>
        <w:t>c.</w:t>
      </w:r>
      <w:r>
        <w:rPr>
          <w:rFonts w:hint="eastAsia" w:ascii="宋体" w:hAnsi="宋体" w:cs="宋体"/>
          <w:bCs/>
          <w:szCs w:val="21"/>
        </w:rPr>
        <w:t>具有履行合同所必需的设备和专业技术能力：</w:t>
      </w:r>
    </w:p>
    <w:p>
      <w:pPr>
        <w:autoSpaceDE w:val="0"/>
        <w:autoSpaceDN w:val="0"/>
        <w:adjustRightInd w:val="0"/>
        <w:snapToGrid w:val="0"/>
        <w:spacing w:line="440" w:lineRule="exact"/>
        <w:textAlignment w:val="bottom"/>
        <w:rPr>
          <w:rFonts w:ascii="宋体" w:cs="宋体"/>
          <w:bCs/>
          <w:szCs w:val="21"/>
        </w:rPr>
      </w:pPr>
      <w:r>
        <w:rPr>
          <w:rFonts w:hint="eastAsia" w:ascii="宋体" w:hAnsi="宋体" w:cs="宋体"/>
          <w:bCs/>
          <w:szCs w:val="21"/>
        </w:rPr>
        <w:t>供应商须在响应文件中出具具有履行合同所必需的设备和专业技术能力的《承诺函》。（由供应商根据本项目行拟定承诺函）</w:t>
      </w:r>
    </w:p>
    <w:p>
      <w:pPr>
        <w:autoSpaceDE w:val="0"/>
        <w:autoSpaceDN w:val="0"/>
        <w:adjustRightInd w:val="0"/>
        <w:snapToGrid w:val="0"/>
        <w:spacing w:line="440" w:lineRule="exact"/>
        <w:textAlignment w:val="bottom"/>
        <w:rPr>
          <w:rFonts w:ascii="宋体" w:cs="宋体"/>
          <w:bCs/>
          <w:szCs w:val="21"/>
        </w:rPr>
      </w:pPr>
      <w:r>
        <w:rPr>
          <w:rFonts w:ascii="宋体" w:hAnsi="宋体" w:cs="宋体"/>
          <w:bCs/>
          <w:szCs w:val="21"/>
        </w:rPr>
        <w:t>d.</w:t>
      </w:r>
      <w:r>
        <w:rPr>
          <w:rFonts w:hint="eastAsia" w:ascii="宋体" w:hAnsi="宋体" w:cs="宋体"/>
          <w:bCs/>
          <w:szCs w:val="21"/>
        </w:rPr>
        <w:t>有依法缴纳税收和社会保障资金的良好记录：</w:t>
      </w:r>
    </w:p>
    <w:p>
      <w:pPr>
        <w:autoSpaceDE w:val="0"/>
        <w:autoSpaceDN w:val="0"/>
        <w:adjustRightInd w:val="0"/>
        <w:snapToGrid w:val="0"/>
        <w:spacing w:line="440" w:lineRule="exact"/>
        <w:textAlignment w:val="bottom"/>
        <w:rPr>
          <w:rFonts w:ascii="宋体" w:cs="宋体"/>
          <w:bCs/>
          <w:szCs w:val="21"/>
        </w:rPr>
      </w:pPr>
      <w:r>
        <w:rPr>
          <w:rFonts w:hint="eastAsia" w:ascii="宋体" w:hAnsi="宋体" w:cs="宋体"/>
          <w:bCs/>
          <w:szCs w:val="21"/>
        </w:rPr>
        <w:t>供应商须在响应文件中同时出具满足以下要求的证明材料复印件：</w:t>
      </w:r>
    </w:p>
    <w:p>
      <w:pPr>
        <w:autoSpaceDE w:val="0"/>
        <w:autoSpaceDN w:val="0"/>
        <w:adjustRightInd w:val="0"/>
        <w:snapToGrid w:val="0"/>
        <w:spacing w:line="440" w:lineRule="exact"/>
        <w:textAlignment w:val="bottom"/>
        <w:rPr>
          <w:rFonts w:ascii="宋体" w:cs="宋体"/>
          <w:bCs/>
          <w:szCs w:val="21"/>
        </w:rPr>
      </w:pPr>
      <w:r>
        <w:rPr>
          <w:rFonts w:hint="eastAsia" w:ascii="宋体" w:hAnsi="宋体" w:cs="宋体"/>
          <w:bCs/>
          <w:szCs w:val="21"/>
        </w:rPr>
        <w:t>①供应商须提供最近三个月内</w:t>
      </w:r>
      <w:r>
        <w:rPr>
          <w:rFonts w:hint="eastAsia" w:cs="宋体"/>
          <w:bCs/>
          <w:szCs w:val="21"/>
        </w:rPr>
        <w:t>任一时间</w:t>
      </w:r>
      <w:r>
        <w:rPr>
          <w:rFonts w:hint="eastAsia" w:ascii="宋体" w:hAnsi="宋体" w:cs="宋体"/>
          <w:bCs/>
          <w:szCs w:val="21"/>
        </w:rPr>
        <w:t>的纳税证明；</w:t>
      </w:r>
    </w:p>
    <w:p>
      <w:pPr>
        <w:autoSpaceDE w:val="0"/>
        <w:autoSpaceDN w:val="0"/>
        <w:adjustRightInd w:val="0"/>
        <w:snapToGrid w:val="0"/>
        <w:spacing w:line="440" w:lineRule="exact"/>
        <w:textAlignment w:val="bottom"/>
        <w:rPr>
          <w:rFonts w:ascii="宋体" w:cs="宋体"/>
          <w:bCs/>
          <w:szCs w:val="21"/>
        </w:rPr>
      </w:pPr>
      <w:r>
        <w:rPr>
          <w:rFonts w:hint="eastAsia" w:ascii="宋体" w:hAnsi="宋体" w:cs="宋体"/>
          <w:bCs/>
          <w:szCs w:val="21"/>
        </w:rPr>
        <w:t>②供应商须提供最近三个月内</w:t>
      </w:r>
      <w:r>
        <w:rPr>
          <w:rFonts w:hint="eastAsia" w:cs="宋体"/>
          <w:bCs/>
          <w:szCs w:val="21"/>
        </w:rPr>
        <w:t>任一时间</w:t>
      </w:r>
      <w:r>
        <w:rPr>
          <w:rFonts w:hint="eastAsia" w:ascii="宋体" w:hAnsi="宋体" w:cs="宋体"/>
          <w:bCs/>
          <w:szCs w:val="21"/>
        </w:rPr>
        <w:t>缴纳社会保险的凭据（缴税付款凭证或社会保险缴纳证明）；</w:t>
      </w:r>
    </w:p>
    <w:p>
      <w:pPr>
        <w:autoSpaceDE w:val="0"/>
        <w:autoSpaceDN w:val="0"/>
        <w:adjustRightInd w:val="0"/>
        <w:snapToGrid w:val="0"/>
        <w:spacing w:line="440" w:lineRule="exact"/>
        <w:textAlignment w:val="bottom"/>
        <w:rPr>
          <w:rFonts w:ascii="宋体" w:cs="宋体"/>
          <w:bCs/>
          <w:szCs w:val="21"/>
          <w:highlight w:val="none"/>
        </w:rPr>
      </w:pPr>
      <w:r>
        <w:rPr>
          <w:rFonts w:hint="eastAsia" w:ascii="宋体" w:hAnsi="宋体" w:cs="宋体"/>
          <w:bCs/>
          <w:szCs w:val="21"/>
        </w:rPr>
        <w:t>依法免税或不需要缴纳社会保障资金的供应商，应提供相应文件证明其依法免税或不需要缴纳社会保障资金。</w:t>
      </w:r>
    </w:p>
    <w:p>
      <w:pPr>
        <w:autoSpaceDE w:val="0"/>
        <w:autoSpaceDN w:val="0"/>
        <w:adjustRightInd w:val="0"/>
        <w:snapToGrid w:val="0"/>
        <w:spacing w:line="440" w:lineRule="exact"/>
        <w:textAlignment w:val="bottom"/>
        <w:rPr>
          <w:rFonts w:ascii="宋体" w:cs="宋体"/>
          <w:bCs/>
          <w:szCs w:val="21"/>
          <w:highlight w:val="none"/>
        </w:rPr>
      </w:pPr>
      <w:r>
        <w:rPr>
          <w:rFonts w:ascii="宋体" w:hAnsi="宋体" w:cs="宋体"/>
          <w:bCs/>
          <w:szCs w:val="21"/>
          <w:highlight w:val="none"/>
        </w:rPr>
        <w:t>e.</w:t>
      </w:r>
      <w:r>
        <w:rPr>
          <w:rFonts w:hint="eastAsia" w:ascii="宋体" w:hAnsi="宋体" w:cs="宋体"/>
          <w:bCs/>
          <w:szCs w:val="21"/>
          <w:highlight w:val="none"/>
        </w:rPr>
        <w:t>参加政府采购活动前三年内，在经营活动中没有重大违法记录（提供承诺）。</w:t>
      </w:r>
    </w:p>
    <w:p>
      <w:pPr>
        <w:autoSpaceDE w:val="0"/>
        <w:autoSpaceDN w:val="0"/>
        <w:adjustRightInd w:val="0"/>
        <w:snapToGrid w:val="0"/>
        <w:spacing w:line="440" w:lineRule="exact"/>
        <w:textAlignment w:val="bottom"/>
        <w:rPr>
          <w:rFonts w:ascii="宋体" w:cs="宋体"/>
          <w:b/>
          <w:szCs w:val="21"/>
          <w:highlight w:val="none"/>
        </w:rPr>
      </w:pPr>
      <w:r>
        <w:rPr>
          <w:rFonts w:ascii="宋体" w:hAnsi="宋体" w:cs="宋体"/>
          <w:bCs/>
          <w:szCs w:val="21"/>
          <w:highlight w:val="none"/>
        </w:rPr>
        <w:t>5.1.2</w:t>
      </w:r>
      <w:r>
        <w:rPr>
          <w:rFonts w:hint="eastAsia" w:ascii="宋体" w:hAnsi="宋体" w:cs="宋体"/>
          <w:bCs/>
          <w:szCs w:val="21"/>
          <w:highlight w:val="none"/>
        </w:rPr>
        <w:t>落实政府采购政策需满足的资格要求：</w:t>
      </w:r>
      <w:r>
        <w:rPr>
          <w:rFonts w:hint="eastAsia" w:ascii="宋体" w:hAnsi="宋体"/>
          <w:b/>
          <w:bCs/>
          <w:szCs w:val="21"/>
        </w:rPr>
        <w:t>预留份额专门面向中小企业采购</w:t>
      </w:r>
      <w:r>
        <w:rPr>
          <w:rFonts w:hint="eastAsia" w:ascii="宋体" w:hAnsi="宋体" w:cs="宋体"/>
          <w:b/>
          <w:szCs w:val="21"/>
          <w:highlight w:val="none"/>
        </w:rPr>
        <w:t>。</w:t>
      </w:r>
    </w:p>
    <w:p>
      <w:pPr>
        <w:autoSpaceDE w:val="0"/>
        <w:autoSpaceDN w:val="0"/>
        <w:adjustRightInd w:val="0"/>
        <w:snapToGrid w:val="0"/>
        <w:spacing w:line="440" w:lineRule="exact"/>
        <w:textAlignment w:val="bottom"/>
        <w:rPr>
          <w:rFonts w:cs="宋体"/>
          <w:b/>
          <w:sz w:val="21"/>
          <w:szCs w:val="21"/>
          <w:highlight w:val="none"/>
        </w:rPr>
      </w:pPr>
      <w:r>
        <w:rPr>
          <w:rFonts w:ascii="宋体" w:hAnsi="宋体" w:cs="宋体"/>
          <w:bCs/>
          <w:szCs w:val="21"/>
          <w:highlight w:val="none"/>
        </w:rPr>
        <w:t>5.1.3</w:t>
      </w:r>
      <w:r>
        <w:rPr>
          <w:rFonts w:hint="eastAsia" w:ascii="宋体" w:hAnsi="宋体" w:cs="宋体"/>
          <w:bCs/>
          <w:szCs w:val="21"/>
          <w:highlight w:val="none"/>
        </w:rPr>
        <w:t>特定资格要求的相关证明材料（具体要求详见公告）</w:t>
      </w:r>
      <w:r>
        <w:rPr>
          <w:rFonts w:hint="eastAsia" w:cs="宋体"/>
          <w:b/>
          <w:sz w:val="21"/>
          <w:szCs w:val="21"/>
          <w:highlight w:val="none"/>
        </w:rPr>
        <w:t>无；</w:t>
      </w:r>
    </w:p>
    <w:p>
      <w:pPr>
        <w:snapToGrid w:val="0"/>
        <w:spacing w:line="440" w:lineRule="exact"/>
        <w:jc w:val="left"/>
        <w:rPr>
          <w:rFonts w:ascii="宋体"/>
          <w:szCs w:val="21"/>
          <w:highlight w:val="none"/>
        </w:rPr>
      </w:pPr>
      <w:r>
        <w:rPr>
          <w:rFonts w:hint="eastAsia" w:ascii="宋体" w:hAnsi="宋体" w:cs="宋体"/>
          <w:bCs/>
          <w:szCs w:val="21"/>
          <w:highlight w:val="none"/>
        </w:rPr>
        <w:t>上述资格证明文件是对供应商资格进行合格性审查的评审依据，供应商应上传上述资料。未按要求出具上述证明材料或出具的证明材料不完整的，资格性审查均不予通过。</w:t>
      </w:r>
    </w:p>
    <w:p>
      <w:pPr>
        <w:snapToGrid w:val="0"/>
        <w:spacing w:line="460" w:lineRule="exact"/>
        <w:jc w:val="left"/>
        <w:rPr>
          <w:rFonts w:ascii="宋体"/>
          <w:b/>
          <w:szCs w:val="21"/>
          <w:highlight w:val="none"/>
        </w:rPr>
      </w:pPr>
      <w:r>
        <w:rPr>
          <w:rFonts w:ascii="宋体" w:hAnsi="宋体"/>
          <w:b/>
          <w:szCs w:val="21"/>
          <w:highlight w:val="none"/>
        </w:rPr>
        <w:t>5.2</w:t>
      </w:r>
      <w:r>
        <w:rPr>
          <w:rFonts w:hint="eastAsia" w:ascii="宋体" w:hAnsi="宋体"/>
          <w:b/>
          <w:szCs w:val="21"/>
          <w:highlight w:val="none"/>
        </w:rPr>
        <w:t>资信商务及技术文件：</w:t>
      </w:r>
    </w:p>
    <w:p>
      <w:pPr>
        <w:spacing w:line="460" w:lineRule="exact"/>
        <w:ind w:firstLine="420" w:firstLineChars="200"/>
        <w:rPr>
          <w:rFonts w:ascii="宋体"/>
          <w:szCs w:val="21"/>
        </w:rPr>
      </w:pPr>
      <w:r>
        <w:rPr>
          <w:rFonts w:ascii="宋体" w:hAnsi="宋体"/>
          <w:szCs w:val="21"/>
        </w:rPr>
        <w:t>5.2.1</w:t>
      </w:r>
      <w:r>
        <w:rPr>
          <w:rFonts w:hint="eastAsia" w:ascii="宋体" w:hAnsi="宋体"/>
          <w:szCs w:val="21"/>
        </w:rPr>
        <w:t>投标声明书；</w:t>
      </w:r>
    </w:p>
    <w:p>
      <w:pPr>
        <w:spacing w:line="460" w:lineRule="exact"/>
        <w:ind w:firstLine="420" w:firstLineChars="200"/>
        <w:rPr>
          <w:rFonts w:ascii="宋体"/>
          <w:szCs w:val="21"/>
        </w:rPr>
      </w:pPr>
      <w:r>
        <w:rPr>
          <w:rFonts w:ascii="宋体" w:hAnsi="宋体"/>
          <w:szCs w:val="21"/>
        </w:rPr>
        <w:t>5.2.2</w:t>
      </w:r>
      <w:r>
        <w:rPr>
          <w:rFonts w:hint="eastAsia" w:ascii="宋体" w:hAnsi="宋体"/>
          <w:szCs w:val="21"/>
        </w:rPr>
        <w:t>法定代表人授权委托书；</w:t>
      </w:r>
    </w:p>
    <w:p>
      <w:pPr>
        <w:spacing w:line="460" w:lineRule="exact"/>
        <w:ind w:firstLine="420" w:firstLineChars="200"/>
        <w:rPr>
          <w:rFonts w:ascii="宋体"/>
          <w:szCs w:val="21"/>
        </w:rPr>
      </w:pPr>
      <w:r>
        <w:rPr>
          <w:rFonts w:ascii="宋体" w:hAnsi="宋体"/>
          <w:szCs w:val="21"/>
        </w:rPr>
        <w:t>5.2.3</w:t>
      </w:r>
      <w:r>
        <w:rPr>
          <w:rFonts w:hint="eastAsia" w:ascii="宋体" w:hAnsi="宋体"/>
          <w:szCs w:val="21"/>
        </w:rPr>
        <w:t>关于资格的声明函；</w:t>
      </w:r>
    </w:p>
    <w:p>
      <w:pPr>
        <w:spacing w:line="460" w:lineRule="exact"/>
        <w:ind w:firstLine="420" w:firstLineChars="200"/>
        <w:rPr>
          <w:rFonts w:ascii="宋体"/>
          <w:szCs w:val="21"/>
        </w:rPr>
      </w:pPr>
      <w:r>
        <w:rPr>
          <w:rFonts w:ascii="宋体" w:hAnsi="宋体"/>
          <w:szCs w:val="21"/>
        </w:rPr>
        <w:t>5.2.4</w:t>
      </w:r>
      <w:r>
        <w:rPr>
          <w:rFonts w:hint="eastAsia" w:ascii="宋体" w:hAnsi="宋体"/>
          <w:szCs w:val="21"/>
        </w:rPr>
        <w:t>类似案例成功的业绩一览表；</w:t>
      </w:r>
    </w:p>
    <w:p>
      <w:pPr>
        <w:spacing w:line="460" w:lineRule="exact"/>
        <w:ind w:firstLine="420" w:firstLineChars="200"/>
        <w:rPr>
          <w:rFonts w:ascii="宋体"/>
          <w:szCs w:val="21"/>
        </w:rPr>
      </w:pPr>
      <w:r>
        <w:rPr>
          <w:rFonts w:ascii="宋体" w:hAnsi="宋体"/>
          <w:szCs w:val="21"/>
        </w:rPr>
        <w:t>5.2.5</w:t>
      </w:r>
      <w:r>
        <w:rPr>
          <w:rFonts w:hint="eastAsia" w:ascii="宋体" w:hAnsi="宋体"/>
          <w:szCs w:val="21"/>
        </w:rPr>
        <w:t>与本项目实施相关的投标人各类资质证书、认证证书、许可证等（如信誉荣誉、本地化服务等。提供复印件）；</w:t>
      </w:r>
    </w:p>
    <w:p>
      <w:pPr>
        <w:spacing w:line="460" w:lineRule="exact"/>
        <w:ind w:firstLine="420" w:firstLineChars="200"/>
        <w:rPr>
          <w:rFonts w:ascii="宋体"/>
          <w:szCs w:val="21"/>
        </w:rPr>
      </w:pPr>
      <w:r>
        <w:rPr>
          <w:rFonts w:ascii="宋体" w:hAnsi="宋体"/>
          <w:szCs w:val="21"/>
        </w:rPr>
        <w:t>5.2.6</w:t>
      </w:r>
      <w:r>
        <w:rPr>
          <w:rFonts w:hint="eastAsia" w:ascii="宋体" w:hAnsi="宋体"/>
          <w:szCs w:val="21"/>
        </w:rPr>
        <w:t>投标人情况介绍；</w:t>
      </w:r>
    </w:p>
    <w:p>
      <w:pPr>
        <w:spacing w:line="460" w:lineRule="exact"/>
        <w:ind w:firstLine="420" w:firstLineChars="200"/>
        <w:rPr>
          <w:rFonts w:ascii="宋体"/>
          <w:szCs w:val="21"/>
        </w:rPr>
      </w:pPr>
      <w:r>
        <w:rPr>
          <w:rFonts w:ascii="宋体" w:hAnsi="宋体"/>
          <w:szCs w:val="21"/>
        </w:rPr>
        <w:t>5.2.7</w:t>
      </w:r>
      <w:r>
        <w:rPr>
          <w:rFonts w:hint="eastAsia" w:ascii="宋体" w:hAnsi="宋体"/>
          <w:szCs w:val="21"/>
        </w:rPr>
        <w:t>商务响应表；</w:t>
      </w:r>
    </w:p>
    <w:p>
      <w:pPr>
        <w:spacing w:line="460" w:lineRule="exact"/>
        <w:ind w:firstLine="420" w:firstLineChars="200"/>
        <w:rPr>
          <w:rFonts w:ascii="宋体"/>
          <w:szCs w:val="21"/>
        </w:rPr>
      </w:pPr>
      <w:r>
        <w:rPr>
          <w:rFonts w:ascii="宋体" w:hAnsi="宋体"/>
          <w:szCs w:val="21"/>
        </w:rPr>
        <w:t>5.2.8</w:t>
      </w:r>
      <w:r>
        <w:rPr>
          <w:rFonts w:hint="eastAsia" w:ascii="宋体" w:hAnsi="宋体"/>
          <w:szCs w:val="21"/>
        </w:rPr>
        <w:t>投标单位截止投标时间前三年内的奖惩情况说明，格式自拟；</w:t>
      </w:r>
    </w:p>
    <w:p>
      <w:pPr>
        <w:spacing w:line="460" w:lineRule="exact"/>
        <w:ind w:firstLine="420" w:firstLineChars="200"/>
        <w:rPr>
          <w:rFonts w:ascii="宋体"/>
          <w:szCs w:val="21"/>
        </w:rPr>
      </w:pPr>
      <w:r>
        <w:rPr>
          <w:rFonts w:ascii="宋体" w:hAnsi="宋体"/>
          <w:szCs w:val="21"/>
        </w:rPr>
        <w:t>5.2.9</w:t>
      </w:r>
      <w:r>
        <w:rPr>
          <w:rFonts w:hint="eastAsia" w:ascii="宋体" w:hAnsi="宋体"/>
          <w:szCs w:val="21"/>
        </w:rPr>
        <w:t>对本项目系统总体要求的理解、对本项目工作重点难点分析；</w:t>
      </w:r>
    </w:p>
    <w:p>
      <w:pPr>
        <w:spacing w:line="460" w:lineRule="exact"/>
        <w:ind w:firstLine="420" w:firstLineChars="200"/>
        <w:rPr>
          <w:rFonts w:ascii="宋体"/>
          <w:szCs w:val="21"/>
        </w:rPr>
      </w:pPr>
      <w:r>
        <w:rPr>
          <w:rFonts w:ascii="宋体" w:hAnsi="宋体"/>
          <w:szCs w:val="21"/>
        </w:rPr>
        <w:t>5.2.10</w:t>
      </w:r>
      <w:r>
        <w:rPr>
          <w:rFonts w:hint="eastAsia" w:ascii="宋体" w:hAnsi="宋体"/>
          <w:szCs w:val="21"/>
        </w:rPr>
        <w:t>项目实施方案：项目服务理念、组织架构及管理制度情况；</w:t>
      </w:r>
      <w:r>
        <w:rPr>
          <w:rFonts w:ascii="宋体" w:hAnsi="宋体"/>
          <w:szCs w:val="21"/>
        </w:rPr>
        <w:t xml:space="preserve"> </w:t>
      </w:r>
    </w:p>
    <w:p>
      <w:pPr>
        <w:spacing w:line="460" w:lineRule="exact"/>
        <w:ind w:firstLine="420" w:firstLineChars="200"/>
        <w:rPr>
          <w:rFonts w:ascii="宋体"/>
          <w:szCs w:val="21"/>
        </w:rPr>
      </w:pPr>
      <w:r>
        <w:rPr>
          <w:rFonts w:ascii="宋体" w:hAnsi="宋体"/>
          <w:szCs w:val="21"/>
        </w:rPr>
        <w:t>5.2.11</w:t>
      </w:r>
      <w:r>
        <w:rPr>
          <w:rFonts w:hint="eastAsia" w:ascii="宋体" w:hAnsi="宋体"/>
          <w:szCs w:val="21"/>
        </w:rPr>
        <w:t>服务承诺：本项目的服务承诺及保证措施，本项目服务队伍的技术及管理水平实力，劳动力保证制度等；</w:t>
      </w:r>
      <w:r>
        <w:rPr>
          <w:rFonts w:ascii="宋体" w:hAnsi="宋体"/>
          <w:szCs w:val="21"/>
        </w:rPr>
        <w:t xml:space="preserve"> </w:t>
      </w:r>
    </w:p>
    <w:p>
      <w:pPr>
        <w:spacing w:line="460" w:lineRule="exact"/>
        <w:ind w:firstLine="420" w:firstLineChars="200"/>
        <w:rPr>
          <w:rFonts w:ascii="宋体"/>
          <w:szCs w:val="21"/>
        </w:rPr>
      </w:pPr>
      <w:r>
        <w:rPr>
          <w:rFonts w:ascii="宋体" w:hAnsi="宋体"/>
          <w:szCs w:val="21"/>
        </w:rPr>
        <w:t>5.2.12</w:t>
      </w:r>
      <w:r>
        <w:rPr>
          <w:rFonts w:hint="eastAsia" w:ascii="宋体" w:hAnsi="宋体"/>
          <w:szCs w:val="21"/>
        </w:rPr>
        <w:t>服务方案：管理各实施计划的服务方案和突发事件的应急处理预案；</w:t>
      </w:r>
    </w:p>
    <w:p>
      <w:pPr>
        <w:spacing w:line="460" w:lineRule="exact"/>
        <w:ind w:firstLine="420" w:firstLineChars="200"/>
        <w:rPr>
          <w:rFonts w:ascii="宋体"/>
          <w:szCs w:val="21"/>
        </w:rPr>
      </w:pPr>
      <w:r>
        <w:rPr>
          <w:rFonts w:ascii="宋体" w:hAnsi="宋体"/>
          <w:szCs w:val="21"/>
        </w:rPr>
        <w:t>5.2.13</w:t>
      </w:r>
      <w:r>
        <w:rPr>
          <w:rFonts w:hint="eastAsia" w:ascii="宋体" w:hAnsi="宋体"/>
          <w:szCs w:val="21"/>
        </w:rPr>
        <w:t>项目实施人员一览表；</w:t>
      </w:r>
    </w:p>
    <w:p>
      <w:pPr>
        <w:spacing w:line="460" w:lineRule="exact"/>
        <w:ind w:firstLine="420" w:firstLineChars="200"/>
        <w:rPr>
          <w:rFonts w:ascii="宋体"/>
          <w:szCs w:val="21"/>
        </w:rPr>
      </w:pPr>
      <w:r>
        <w:rPr>
          <w:rFonts w:ascii="宋体" w:hAnsi="宋体"/>
          <w:szCs w:val="21"/>
        </w:rPr>
        <w:t>5.2.14</w:t>
      </w:r>
      <w:r>
        <w:rPr>
          <w:rFonts w:hint="eastAsia" w:ascii="宋体" w:hAnsi="宋体"/>
          <w:szCs w:val="21"/>
        </w:rPr>
        <w:t>项目负责人情况介绍；</w:t>
      </w:r>
    </w:p>
    <w:p>
      <w:pPr>
        <w:spacing w:line="460" w:lineRule="exact"/>
        <w:ind w:firstLine="420" w:firstLineChars="200"/>
        <w:rPr>
          <w:rFonts w:ascii="宋体"/>
          <w:szCs w:val="21"/>
        </w:rPr>
      </w:pPr>
      <w:r>
        <w:rPr>
          <w:rFonts w:ascii="宋体" w:hAnsi="宋体"/>
          <w:szCs w:val="21"/>
        </w:rPr>
        <w:t>5.2.15</w:t>
      </w:r>
      <w:r>
        <w:rPr>
          <w:rFonts w:hint="eastAsia" w:ascii="宋体" w:hAnsi="宋体"/>
          <w:szCs w:val="21"/>
        </w:rPr>
        <w:t>拟投入设备一览表（格式见附件）</w:t>
      </w:r>
    </w:p>
    <w:p>
      <w:pPr>
        <w:spacing w:line="460" w:lineRule="exact"/>
        <w:ind w:firstLine="420" w:firstLineChars="200"/>
        <w:rPr>
          <w:rFonts w:ascii="宋体"/>
          <w:szCs w:val="21"/>
        </w:rPr>
      </w:pPr>
      <w:r>
        <w:rPr>
          <w:rFonts w:ascii="宋体" w:hAnsi="宋体"/>
          <w:szCs w:val="21"/>
        </w:rPr>
        <w:t xml:space="preserve">5.2.16 </w:t>
      </w:r>
      <w:r>
        <w:rPr>
          <w:rFonts w:hint="eastAsia" w:ascii="宋体" w:hAnsi="宋体"/>
          <w:szCs w:val="21"/>
        </w:rPr>
        <w:t>投标人对本项目的合理化建议和改进措施；</w:t>
      </w:r>
    </w:p>
    <w:p>
      <w:pPr>
        <w:spacing w:line="460" w:lineRule="exact"/>
        <w:ind w:firstLine="420" w:firstLineChars="200"/>
        <w:rPr>
          <w:rFonts w:ascii="宋体"/>
          <w:szCs w:val="21"/>
        </w:rPr>
      </w:pPr>
      <w:r>
        <w:rPr>
          <w:rFonts w:ascii="宋体" w:hAnsi="宋体"/>
          <w:szCs w:val="21"/>
        </w:rPr>
        <w:t>5.2.17</w:t>
      </w:r>
      <w:r>
        <w:rPr>
          <w:rFonts w:hint="eastAsia" w:ascii="宋体" w:hAnsi="宋体"/>
          <w:szCs w:val="21"/>
        </w:rPr>
        <w:t>投标人认为需要提供的其他文件及资料（格式自拟）。</w:t>
      </w:r>
    </w:p>
    <w:p>
      <w:pPr>
        <w:spacing w:line="460" w:lineRule="exact"/>
        <w:ind w:firstLine="422" w:firstLineChars="200"/>
        <w:rPr>
          <w:rFonts w:ascii="宋体"/>
          <w:b/>
          <w:szCs w:val="21"/>
        </w:rPr>
      </w:pPr>
      <w:r>
        <w:rPr>
          <w:rFonts w:ascii="宋体" w:hAnsi="宋体"/>
          <w:b/>
          <w:szCs w:val="21"/>
        </w:rPr>
        <w:t xml:space="preserve">5.3 </w:t>
      </w:r>
      <w:r>
        <w:rPr>
          <w:rFonts w:hint="eastAsia" w:ascii="宋体" w:hAnsi="宋体"/>
          <w:b/>
          <w:szCs w:val="21"/>
        </w:rPr>
        <w:t>报价文件：</w:t>
      </w:r>
    </w:p>
    <w:p>
      <w:pPr>
        <w:widowControl/>
        <w:snapToGrid w:val="0"/>
        <w:spacing w:line="360" w:lineRule="auto"/>
        <w:ind w:firstLine="420" w:firstLineChars="200"/>
        <w:jc w:val="left"/>
        <w:rPr>
          <w:rFonts w:ascii="宋体"/>
          <w:szCs w:val="21"/>
        </w:rPr>
      </w:pPr>
      <w:r>
        <w:rPr>
          <w:rFonts w:ascii="宋体"/>
          <w:szCs w:val="21"/>
        </w:rPr>
        <w:t>5.3.1</w:t>
      </w:r>
      <w:r>
        <w:rPr>
          <w:rFonts w:hint="eastAsia" w:ascii="宋体"/>
          <w:szCs w:val="21"/>
        </w:rPr>
        <w:t>投标函；</w:t>
      </w:r>
    </w:p>
    <w:p>
      <w:pPr>
        <w:widowControl/>
        <w:snapToGrid w:val="0"/>
        <w:spacing w:line="360" w:lineRule="auto"/>
        <w:ind w:firstLine="420" w:firstLineChars="200"/>
        <w:jc w:val="left"/>
        <w:rPr>
          <w:rFonts w:ascii="宋体"/>
          <w:szCs w:val="21"/>
        </w:rPr>
      </w:pPr>
      <w:r>
        <w:rPr>
          <w:rFonts w:ascii="宋体"/>
          <w:szCs w:val="21"/>
        </w:rPr>
        <w:t>5.3.2</w:t>
      </w:r>
      <w:r>
        <w:rPr>
          <w:rFonts w:hint="eastAsia" w:ascii="宋体"/>
          <w:szCs w:val="21"/>
        </w:rPr>
        <w:t>开标一览表；</w:t>
      </w:r>
    </w:p>
    <w:p>
      <w:pPr>
        <w:widowControl/>
        <w:snapToGrid w:val="0"/>
        <w:spacing w:line="360" w:lineRule="auto"/>
        <w:ind w:firstLine="420" w:firstLineChars="200"/>
        <w:jc w:val="left"/>
        <w:rPr>
          <w:rFonts w:ascii="宋体"/>
          <w:szCs w:val="21"/>
        </w:rPr>
      </w:pPr>
      <w:r>
        <w:rPr>
          <w:rFonts w:ascii="宋体"/>
          <w:szCs w:val="21"/>
        </w:rPr>
        <w:t>5.3.3</w:t>
      </w:r>
      <w:r>
        <w:rPr>
          <w:rFonts w:hint="eastAsia" w:ascii="宋体"/>
          <w:szCs w:val="21"/>
        </w:rPr>
        <w:t>报价明细表；</w:t>
      </w:r>
      <w:r>
        <w:rPr>
          <w:rFonts w:ascii="宋体"/>
          <w:szCs w:val="21"/>
        </w:rPr>
        <w:t xml:space="preserve"> </w:t>
      </w:r>
    </w:p>
    <w:p>
      <w:pPr>
        <w:widowControl/>
        <w:snapToGrid w:val="0"/>
        <w:spacing w:line="360" w:lineRule="auto"/>
        <w:ind w:firstLine="420" w:firstLineChars="200"/>
        <w:jc w:val="left"/>
        <w:rPr>
          <w:rFonts w:ascii="宋体"/>
          <w:szCs w:val="21"/>
        </w:rPr>
      </w:pPr>
      <w:r>
        <w:rPr>
          <w:rFonts w:ascii="宋体"/>
          <w:szCs w:val="21"/>
        </w:rPr>
        <w:t>5.3.4</w:t>
      </w:r>
      <w:r>
        <w:rPr>
          <w:rFonts w:hint="eastAsia" w:ascii="宋体"/>
          <w:szCs w:val="21"/>
        </w:rPr>
        <w:t>投标人需要说明的其他文件和说明（格式自拟）。</w:t>
      </w:r>
    </w:p>
    <w:p>
      <w:pPr>
        <w:snapToGrid w:val="0"/>
        <w:spacing w:line="460" w:lineRule="exact"/>
        <w:ind w:firstLine="422" w:firstLineChars="200"/>
        <w:jc w:val="left"/>
        <w:outlineLvl w:val="0"/>
        <w:rPr>
          <w:rFonts w:ascii="宋体"/>
          <w:b/>
          <w:szCs w:val="21"/>
        </w:rPr>
      </w:pPr>
      <w:bookmarkStart w:id="8" w:name="_Toc18164"/>
      <w:r>
        <w:rPr>
          <w:rFonts w:ascii="宋体"/>
          <w:b/>
          <w:szCs w:val="21"/>
        </w:rPr>
        <w:t>6.</w:t>
      </w:r>
      <w:r>
        <w:rPr>
          <w:rFonts w:hint="eastAsia" w:ascii="宋体"/>
          <w:b/>
          <w:szCs w:val="21"/>
        </w:rPr>
        <w:t>投标文件的语言及计量</w:t>
      </w:r>
      <w:bookmarkEnd w:id="8"/>
    </w:p>
    <w:p>
      <w:pPr>
        <w:snapToGrid w:val="0"/>
        <w:spacing w:line="460" w:lineRule="exact"/>
        <w:ind w:firstLine="420" w:firstLineChars="200"/>
        <w:jc w:val="left"/>
        <w:rPr>
          <w:rFonts w:ascii="宋体"/>
          <w:szCs w:val="21"/>
        </w:rPr>
      </w:pPr>
      <w:r>
        <w:rPr>
          <w:rFonts w:ascii="宋体"/>
          <w:szCs w:val="21"/>
        </w:rPr>
        <w:t>6.1</w:t>
      </w:r>
      <w:r>
        <w:rPr>
          <w:rFonts w:hint="eastAsia" w:ascii="宋体"/>
          <w:szCs w:val="21"/>
        </w:rPr>
        <w:t>投标文件以及投标方与招标方就有关投标事宜的所有来往函电，均应以中文书写。</w:t>
      </w:r>
    </w:p>
    <w:p>
      <w:pPr>
        <w:snapToGrid w:val="0"/>
        <w:spacing w:line="460" w:lineRule="exact"/>
        <w:ind w:firstLine="420" w:firstLineChars="200"/>
        <w:jc w:val="left"/>
        <w:rPr>
          <w:rFonts w:ascii="宋体"/>
          <w:szCs w:val="21"/>
        </w:rPr>
      </w:pPr>
      <w:r>
        <w:rPr>
          <w:rFonts w:ascii="宋体"/>
          <w:szCs w:val="21"/>
        </w:rPr>
        <w:t>6.2</w:t>
      </w:r>
      <w:r>
        <w:rPr>
          <w:rFonts w:hint="eastAsia" w:ascii="宋体"/>
          <w:szCs w:val="21"/>
        </w:rPr>
        <w:t>投标计量单位，除招标文件中有特殊要求外，应采用中华人民共和国法定计量单位，货币单位：人民币元。</w:t>
      </w:r>
    </w:p>
    <w:p>
      <w:pPr>
        <w:spacing w:line="460" w:lineRule="exact"/>
        <w:ind w:firstLine="422" w:firstLineChars="200"/>
        <w:jc w:val="left"/>
        <w:outlineLvl w:val="0"/>
        <w:rPr>
          <w:rFonts w:ascii="宋体"/>
          <w:b/>
          <w:szCs w:val="21"/>
        </w:rPr>
      </w:pPr>
      <w:bookmarkStart w:id="9" w:name="_Toc574"/>
      <w:r>
        <w:rPr>
          <w:rFonts w:ascii="宋体"/>
          <w:b/>
          <w:szCs w:val="21"/>
        </w:rPr>
        <w:t xml:space="preserve">7. </w:t>
      </w:r>
      <w:r>
        <w:rPr>
          <w:rFonts w:hint="eastAsia" w:ascii="宋体"/>
          <w:b/>
          <w:szCs w:val="21"/>
        </w:rPr>
        <w:t>投标报价</w:t>
      </w:r>
      <w:bookmarkEnd w:id="9"/>
    </w:p>
    <w:p>
      <w:pPr>
        <w:pStyle w:val="6"/>
        <w:spacing w:line="360" w:lineRule="auto"/>
        <w:ind w:firstLineChars="200"/>
        <w:rPr>
          <w:rFonts w:ascii="宋体"/>
          <w:sz w:val="21"/>
          <w:szCs w:val="21"/>
        </w:rPr>
      </w:pPr>
      <w:r>
        <w:rPr>
          <w:rFonts w:ascii="宋体"/>
          <w:sz w:val="21"/>
          <w:szCs w:val="21"/>
        </w:rPr>
        <w:t>7.1</w:t>
      </w:r>
      <w:r>
        <w:rPr>
          <w:rFonts w:hint="eastAsia" w:ascii="宋体"/>
          <w:sz w:val="21"/>
          <w:szCs w:val="21"/>
        </w:rPr>
        <w:t>报价和结算均以人民币为单位。</w:t>
      </w:r>
    </w:p>
    <w:p>
      <w:pPr>
        <w:pStyle w:val="6"/>
        <w:spacing w:line="360" w:lineRule="auto"/>
        <w:ind w:firstLineChars="200"/>
        <w:rPr>
          <w:rFonts w:ascii="宋体"/>
          <w:sz w:val="21"/>
          <w:szCs w:val="21"/>
        </w:rPr>
      </w:pPr>
      <w:r>
        <w:rPr>
          <w:rFonts w:ascii="宋体"/>
          <w:sz w:val="21"/>
          <w:szCs w:val="21"/>
        </w:rPr>
        <w:t>7.2</w:t>
      </w:r>
      <w:r>
        <w:rPr>
          <w:rFonts w:hint="eastAsia" w:ascii="宋体"/>
          <w:sz w:val="21"/>
          <w:szCs w:val="21"/>
        </w:rPr>
        <w:t>投标人应按招标文件提供的投标报价表格式填写报价，报价表中相应内容的报价必须计算正确（如单价与总价）。</w:t>
      </w:r>
    </w:p>
    <w:p>
      <w:pPr>
        <w:pStyle w:val="6"/>
        <w:spacing w:line="360" w:lineRule="auto"/>
        <w:ind w:firstLineChars="200"/>
        <w:rPr>
          <w:rFonts w:ascii="宋体"/>
          <w:sz w:val="21"/>
          <w:szCs w:val="21"/>
        </w:rPr>
      </w:pPr>
      <w:r>
        <w:rPr>
          <w:rFonts w:ascii="宋体"/>
          <w:sz w:val="21"/>
          <w:szCs w:val="21"/>
        </w:rPr>
        <w:t>7.3</w:t>
      </w:r>
      <w:r>
        <w:rPr>
          <w:rFonts w:hint="eastAsia" w:ascii="宋体"/>
          <w:sz w:val="21"/>
          <w:szCs w:val="21"/>
        </w:rPr>
        <w:t>投标人的报价必须是唯一的，多报、漏报均视为无效投标。</w:t>
      </w:r>
    </w:p>
    <w:p>
      <w:pPr>
        <w:pStyle w:val="6"/>
        <w:spacing w:line="360" w:lineRule="auto"/>
        <w:ind w:firstLineChars="200"/>
        <w:rPr>
          <w:rFonts w:ascii="宋体"/>
          <w:b/>
          <w:bCs/>
          <w:sz w:val="21"/>
          <w:szCs w:val="21"/>
        </w:rPr>
      </w:pPr>
      <w:r>
        <w:rPr>
          <w:rFonts w:ascii="宋体"/>
          <w:sz w:val="21"/>
          <w:szCs w:val="21"/>
        </w:rPr>
        <w:t>7.4</w:t>
      </w:r>
      <w:r>
        <w:rPr>
          <w:rFonts w:hint="eastAsia" w:ascii="宋体"/>
          <w:sz w:val="21"/>
          <w:szCs w:val="21"/>
        </w:rPr>
        <w:t>报价表中的报价项目如投标人的报价出现数字</w:t>
      </w:r>
      <w:r>
        <w:rPr>
          <w:rFonts w:ascii="宋体"/>
          <w:sz w:val="21"/>
          <w:szCs w:val="21"/>
        </w:rPr>
        <w:t>0</w:t>
      </w:r>
      <w:r>
        <w:rPr>
          <w:rFonts w:hint="eastAsia" w:ascii="宋体"/>
          <w:sz w:val="21"/>
          <w:szCs w:val="21"/>
        </w:rPr>
        <w:t>，视报价为零，即免费。如出现空白，视为未响应并作无效投标处理。</w:t>
      </w:r>
    </w:p>
    <w:p>
      <w:pPr>
        <w:pStyle w:val="6"/>
        <w:spacing w:line="360" w:lineRule="auto"/>
        <w:ind w:firstLineChars="200"/>
        <w:rPr>
          <w:rFonts w:ascii="宋体"/>
          <w:sz w:val="21"/>
          <w:szCs w:val="21"/>
        </w:rPr>
      </w:pPr>
      <w:r>
        <w:rPr>
          <w:rFonts w:ascii="宋体"/>
          <w:sz w:val="21"/>
          <w:szCs w:val="21"/>
        </w:rPr>
        <w:t>7.5</w:t>
      </w:r>
      <w:r>
        <w:rPr>
          <w:rFonts w:hint="eastAsia" w:ascii="宋体"/>
          <w:sz w:val="21"/>
          <w:szCs w:val="21"/>
        </w:rPr>
        <w:t>报价采用单价核定法，如总报价发生计算错误，将按单价核定总报价，如投标人不接受修正后的价格，其投标则被视为无效投标。</w:t>
      </w:r>
    </w:p>
    <w:p>
      <w:pPr>
        <w:pStyle w:val="6"/>
        <w:spacing w:line="360" w:lineRule="auto"/>
        <w:ind w:firstLineChars="200"/>
        <w:rPr>
          <w:rFonts w:ascii="宋体"/>
          <w:sz w:val="21"/>
          <w:szCs w:val="21"/>
        </w:rPr>
      </w:pPr>
      <w:r>
        <w:rPr>
          <w:rFonts w:ascii="宋体"/>
          <w:sz w:val="21"/>
          <w:szCs w:val="21"/>
        </w:rPr>
        <w:t>7.6</w:t>
      </w:r>
      <w:r>
        <w:rPr>
          <w:rFonts w:hint="eastAsia" w:ascii="宋体"/>
          <w:sz w:val="21"/>
          <w:szCs w:val="21"/>
        </w:rPr>
        <w:t>投标人的报价为投标人按采购要求完成本项目的一切费用之和（含本次招标代理费等）。</w:t>
      </w:r>
    </w:p>
    <w:p>
      <w:pPr>
        <w:pStyle w:val="6"/>
        <w:spacing w:line="360" w:lineRule="auto"/>
        <w:ind w:firstLineChars="200"/>
        <w:rPr>
          <w:rFonts w:ascii="宋体"/>
          <w:sz w:val="21"/>
          <w:szCs w:val="21"/>
        </w:rPr>
      </w:pPr>
      <w:r>
        <w:rPr>
          <w:rFonts w:ascii="宋体"/>
          <w:sz w:val="21"/>
          <w:szCs w:val="21"/>
        </w:rPr>
        <w:t>7.7</w:t>
      </w:r>
      <w:r>
        <w:rPr>
          <w:rFonts w:hint="eastAsia" w:ascii="宋体"/>
          <w:sz w:val="21"/>
          <w:szCs w:val="21"/>
        </w:rPr>
        <w:t>投标人的报价被视为投标人的最后报价或成交价，投标报价应为完成本项目所发生的各项费用之和，应包括在承包区域内提供综合公共服务所需的一切人员工资、奖金、各种加班费、夜餐费、各种社会保险（基本养老保险、基本医疗保险、工伤保险、失业保险）、食宿与交通、高温补偿费、设备及工具、器材、消耗材料、服装、安全、仓储、运输、维修、管理费用、税费、利润、完成合同所需的一切本身和不可或缺的所有工作开支、政策性文件规定及合同包含的所有风险、责任、招标代理费用等各项全部费用并承担一切风险责任。</w:t>
      </w:r>
    </w:p>
    <w:p>
      <w:pPr>
        <w:pStyle w:val="6"/>
        <w:spacing w:line="360" w:lineRule="auto"/>
        <w:ind w:firstLineChars="200"/>
        <w:rPr>
          <w:rFonts w:ascii="宋体"/>
          <w:b/>
          <w:sz w:val="21"/>
          <w:szCs w:val="21"/>
          <w:u w:val="single"/>
        </w:rPr>
      </w:pPr>
      <w:r>
        <w:rPr>
          <w:rFonts w:ascii="宋体"/>
          <w:sz w:val="21"/>
          <w:szCs w:val="21"/>
        </w:rPr>
        <w:t>7.8</w:t>
      </w:r>
      <w:r>
        <w:rPr>
          <w:rFonts w:hint="eastAsia" w:ascii="宋体"/>
          <w:sz w:val="21"/>
          <w:szCs w:val="21"/>
        </w:rPr>
        <w:t>投标人所报的投标价在合同执行期间是固定不变的，不得以任何理由予以变更。投标文件以可调整价格提交的报价将作为非响应性投标而予以拒绝。</w:t>
      </w:r>
    </w:p>
    <w:p>
      <w:pPr>
        <w:pStyle w:val="6"/>
        <w:spacing w:line="360" w:lineRule="auto"/>
        <w:ind w:firstLineChars="200"/>
        <w:rPr>
          <w:rFonts w:ascii="宋体"/>
          <w:sz w:val="21"/>
          <w:szCs w:val="21"/>
        </w:rPr>
      </w:pPr>
      <w:r>
        <w:rPr>
          <w:rFonts w:ascii="宋体"/>
          <w:sz w:val="21"/>
          <w:szCs w:val="21"/>
        </w:rPr>
        <w:t>7.9</w:t>
      </w:r>
      <w:r>
        <w:rPr>
          <w:rFonts w:hint="eastAsia" w:ascii="宋体"/>
          <w:sz w:val="21"/>
          <w:szCs w:val="21"/>
        </w:rPr>
        <w:t>最低报价不能作为中标的保证。</w:t>
      </w:r>
    </w:p>
    <w:p>
      <w:pPr>
        <w:pStyle w:val="7"/>
        <w:tabs>
          <w:tab w:val="clear" w:pos="454"/>
        </w:tabs>
        <w:spacing w:afterLines="0" w:line="460" w:lineRule="exact"/>
        <w:ind w:left="0" w:firstLine="422" w:firstLineChars="200"/>
        <w:rPr>
          <w:rFonts w:ascii="宋体"/>
          <w:b/>
          <w:kern w:val="2"/>
          <w:sz w:val="21"/>
          <w:szCs w:val="21"/>
        </w:rPr>
      </w:pPr>
      <w:r>
        <w:rPr>
          <w:rFonts w:ascii="宋体"/>
          <w:b/>
          <w:kern w:val="2"/>
          <w:sz w:val="21"/>
          <w:szCs w:val="21"/>
        </w:rPr>
        <w:t xml:space="preserve">8. </w:t>
      </w:r>
      <w:r>
        <w:rPr>
          <w:rFonts w:hint="eastAsia" w:ascii="宋体"/>
          <w:b/>
          <w:kern w:val="2"/>
          <w:sz w:val="21"/>
          <w:szCs w:val="21"/>
        </w:rPr>
        <w:t>投标文件的有效期</w:t>
      </w:r>
    </w:p>
    <w:p>
      <w:pPr>
        <w:pStyle w:val="7"/>
        <w:tabs>
          <w:tab w:val="clear" w:pos="454"/>
        </w:tabs>
        <w:spacing w:afterLines="0" w:line="460" w:lineRule="exact"/>
        <w:ind w:left="0" w:firstLine="420" w:firstLineChars="200"/>
        <w:rPr>
          <w:rFonts w:ascii="宋体"/>
          <w:sz w:val="21"/>
          <w:szCs w:val="21"/>
        </w:rPr>
      </w:pPr>
      <w:r>
        <w:rPr>
          <w:rFonts w:ascii="宋体"/>
          <w:sz w:val="21"/>
          <w:szCs w:val="21"/>
        </w:rPr>
        <w:t>8.1</w:t>
      </w:r>
      <w:r>
        <w:rPr>
          <w:rFonts w:hint="eastAsia" w:ascii="宋体"/>
          <w:sz w:val="21"/>
          <w:szCs w:val="21"/>
        </w:rPr>
        <w:t>投标文件合格投递后，在本须知前附表第</w:t>
      </w:r>
      <w:r>
        <w:rPr>
          <w:rFonts w:ascii="宋体"/>
          <w:sz w:val="21"/>
          <w:szCs w:val="21"/>
        </w:rPr>
        <w:t>3</w:t>
      </w:r>
      <w:r>
        <w:rPr>
          <w:rFonts w:hint="eastAsia" w:ascii="宋体"/>
          <w:sz w:val="21"/>
          <w:szCs w:val="21"/>
        </w:rPr>
        <w:t>项规定的日期内有效。</w:t>
      </w:r>
    </w:p>
    <w:p>
      <w:pPr>
        <w:pStyle w:val="7"/>
        <w:tabs>
          <w:tab w:val="clear" w:pos="454"/>
        </w:tabs>
        <w:spacing w:afterLines="0" w:line="460" w:lineRule="exact"/>
        <w:ind w:left="0" w:firstLine="420" w:firstLineChars="200"/>
        <w:rPr>
          <w:rFonts w:ascii="宋体"/>
          <w:sz w:val="21"/>
          <w:szCs w:val="21"/>
        </w:rPr>
      </w:pPr>
      <w:r>
        <w:rPr>
          <w:rFonts w:ascii="宋体"/>
          <w:sz w:val="21"/>
          <w:szCs w:val="21"/>
        </w:rPr>
        <w:t>8.2</w:t>
      </w:r>
      <w:r>
        <w:rPr>
          <w:rFonts w:hint="eastAsia" w:ascii="宋体"/>
          <w:sz w:val="21"/>
          <w:szCs w:val="21"/>
        </w:rPr>
        <w:t>在原定投标有效期之前，如果出现特殊情况，采购代理机构可以以书面形式通知投标人延长投标有效期。</w:t>
      </w:r>
    </w:p>
    <w:p>
      <w:pPr>
        <w:snapToGrid w:val="0"/>
        <w:spacing w:line="460" w:lineRule="exact"/>
        <w:ind w:firstLine="422" w:firstLineChars="200"/>
        <w:jc w:val="left"/>
        <w:outlineLvl w:val="0"/>
        <w:rPr>
          <w:rFonts w:ascii="宋体"/>
          <w:b/>
          <w:szCs w:val="21"/>
        </w:rPr>
      </w:pPr>
      <w:bookmarkStart w:id="10" w:name="_Toc16002"/>
      <w:r>
        <w:rPr>
          <w:rFonts w:ascii="宋体"/>
          <w:b/>
          <w:szCs w:val="21"/>
        </w:rPr>
        <w:t>9.</w:t>
      </w:r>
      <w:r>
        <w:rPr>
          <w:rFonts w:hint="eastAsia" w:ascii="宋体" w:hAnsi="宋体"/>
          <w:b/>
          <w:szCs w:val="21"/>
        </w:rPr>
        <w:t>投标保证金</w:t>
      </w:r>
      <w:bookmarkEnd w:id="10"/>
    </w:p>
    <w:p>
      <w:pPr>
        <w:snapToGrid w:val="0"/>
        <w:spacing w:line="460" w:lineRule="exact"/>
        <w:ind w:firstLine="420" w:firstLineChars="200"/>
        <w:jc w:val="left"/>
        <w:outlineLvl w:val="0"/>
        <w:rPr>
          <w:rFonts w:ascii="宋体"/>
          <w:szCs w:val="21"/>
        </w:rPr>
      </w:pPr>
      <w:bookmarkStart w:id="11" w:name="_Toc31617"/>
      <w:r>
        <w:rPr>
          <w:rFonts w:hint="eastAsia" w:ascii="宋体" w:hAnsi="宋体"/>
          <w:szCs w:val="21"/>
        </w:rPr>
        <w:t>无。</w:t>
      </w:r>
      <w:bookmarkEnd w:id="11"/>
    </w:p>
    <w:p>
      <w:pPr>
        <w:snapToGrid w:val="0"/>
        <w:spacing w:line="460" w:lineRule="exact"/>
        <w:ind w:firstLine="422" w:firstLineChars="200"/>
        <w:jc w:val="left"/>
        <w:outlineLvl w:val="0"/>
        <w:rPr>
          <w:rFonts w:ascii="宋体"/>
          <w:b/>
          <w:szCs w:val="21"/>
        </w:rPr>
      </w:pPr>
      <w:bookmarkStart w:id="12" w:name="_Toc31376"/>
      <w:r>
        <w:rPr>
          <w:rFonts w:ascii="宋体" w:hAnsi="宋体"/>
          <w:b/>
          <w:szCs w:val="21"/>
        </w:rPr>
        <w:t>10.</w:t>
      </w:r>
      <w:r>
        <w:rPr>
          <w:rFonts w:hint="eastAsia" w:ascii="宋体" w:hAnsi="宋体"/>
          <w:b/>
          <w:szCs w:val="21"/>
        </w:rPr>
        <w:t>投标文件的签署和份数</w:t>
      </w:r>
      <w:bookmarkEnd w:id="12"/>
    </w:p>
    <w:p>
      <w:pPr>
        <w:snapToGrid w:val="0"/>
        <w:spacing w:line="460" w:lineRule="exact"/>
        <w:ind w:firstLine="420" w:firstLineChars="200"/>
        <w:jc w:val="left"/>
        <w:outlineLvl w:val="0"/>
        <w:rPr>
          <w:rFonts w:ascii="宋体" w:cs="宋体"/>
          <w:szCs w:val="21"/>
        </w:rPr>
      </w:pPr>
      <w:bookmarkStart w:id="13" w:name="_Toc30960"/>
      <w:bookmarkStart w:id="14" w:name="_Toc178650929"/>
      <w:r>
        <w:rPr>
          <w:rFonts w:hint="eastAsia" w:ascii="宋体" w:hAnsi="宋体" w:cs="宋体"/>
          <w:szCs w:val="21"/>
        </w:rPr>
        <w:t>投标文件的形式：</w:t>
      </w:r>
      <w:r>
        <w:rPr>
          <w:rFonts w:hint="eastAsia" w:ascii="MS Mincho" w:hAnsi="MS Mincho" w:eastAsia="MS Mincho" w:cs="MS Mincho"/>
          <w:szCs w:val="21"/>
        </w:rPr>
        <w:t>☑</w:t>
      </w:r>
      <w:r>
        <w:rPr>
          <w:rFonts w:hint="eastAsia" w:ascii="宋体" w:hAnsi="宋体" w:cs="宋体"/>
          <w:szCs w:val="21"/>
        </w:rPr>
        <w:t>电子投标文件（包括“电子加密投标文件”和“备份投标文件”，在投标文件</w:t>
      </w:r>
      <w:bookmarkEnd w:id="13"/>
      <w:bookmarkStart w:id="15" w:name="_Toc29210"/>
      <w:r>
        <w:rPr>
          <w:rFonts w:hint="eastAsia" w:ascii="宋体" w:hAnsi="宋体" w:cs="宋体"/>
          <w:szCs w:val="21"/>
        </w:rPr>
        <w:t>编制完成后同时生成）。</w:t>
      </w:r>
      <w:bookmarkEnd w:id="15"/>
    </w:p>
    <w:p>
      <w:pPr>
        <w:spacing w:line="460" w:lineRule="exact"/>
        <w:ind w:firstLine="420" w:firstLineChars="200"/>
        <w:jc w:val="left"/>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）“电子加密投标文件”是指通过“政采云电子交易客户端”完成投标文件编制后生成并加密的数据电文形式的投标文件。</w:t>
      </w:r>
    </w:p>
    <w:p>
      <w:pPr>
        <w:snapToGrid w:val="0"/>
        <w:spacing w:line="460" w:lineRule="exact"/>
        <w:ind w:firstLine="420" w:firstLineChars="200"/>
        <w:jc w:val="left"/>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）“备份投标文件”是指与“电子加密投标文件”同时生成的数据电文形式的电子文件（备份标书），其他方式编制的备份投标文件视为无效备份投标文件。</w:t>
      </w:r>
    </w:p>
    <w:p>
      <w:pPr>
        <w:snapToGrid w:val="0"/>
        <w:spacing w:line="460" w:lineRule="exact"/>
        <w:ind w:firstLine="420" w:firstLineChars="200"/>
        <w:jc w:val="left"/>
        <w:rPr>
          <w:rFonts w:ascii="宋体" w:cs="宋体"/>
          <w:szCs w:val="21"/>
        </w:rPr>
      </w:pPr>
      <w:r>
        <w:rPr>
          <w:rFonts w:ascii="宋体" w:hAnsi="宋体" w:cs="宋体"/>
          <w:szCs w:val="21"/>
        </w:rPr>
        <w:t>11.</w:t>
      </w:r>
      <w:r>
        <w:rPr>
          <w:rFonts w:hint="eastAsia" w:ascii="宋体" w:hAnsi="宋体" w:cs="宋体"/>
          <w:szCs w:val="21"/>
        </w:rPr>
        <w:t>投标文件的上传和递交</w:t>
      </w:r>
    </w:p>
    <w:p>
      <w:pPr>
        <w:snapToGrid w:val="0"/>
        <w:spacing w:line="460" w:lineRule="exact"/>
        <w:ind w:firstLine="420" w:firstLineChars="200"/>
        <w:jc w:val="left"/>
        <w:rPr>
          <w:rFonts w:ascii="宋体" w:cs="宋体"/>
          <w:szCs w:val="21"/>
        </w:rPr>
      </w:pPr>
      <w:r>
        <w:rPr>
          <w:rFonts w:ascii="宋体" w:hAnsi="宋体" w:cs="宋体"/>
          <w:szCs w:val="21"/>
        </w:rPr>
        <w:t>1</w:t>
      </w:r>
      <w:r>
        <w:rPr>
          <w:rFonts w:hint="eastAsia" w:ascii="宋体" w:hAnsi="宋体" w:cs="宋体"/>
          <w:szCs w:val="21"/>
        </w:rPr>
        <w:t>）“电子加密投标文件”的上传、递交：</w:t>
      </w:r>
    </w:p>
    <w:p>
      <w:pPr>
        <w:snapToGrid w:val="0"/>
        <w:spacing w:line="460" w:lineRule="exact"/>
        <w:ind w:firstLine="420" w:firstLineChars="200"/>
        <w:jc w:val="left"/>
        <w:rPr>
          <w:rFonts w:ascii="宋体" w:cs="宋体"/>
          <w:szCs w:val="21"/>
        </w:rPr>
      </w:pPr>
      <w:r>
        <w:rPr>
          <w:rFonts w:ascii="宋体" w:hAnsi="宋体" w:cs="宋体"/>
          <w:szCs w:val="21"/>
        </w:rPr>
        <w:t>a.</w:t>
      </w:r>
      <w:r>
        <w:rPr>
          <w:rFonts w:hint="eastAsia" w:ascii="宋体" w:hAnsi="宋体" w:cs="宋体"/>
          <w:szCs w:val="21"/>
        </w:rPr>
        <w:t>投标供应商应在投标截止时间前将“电子加密投标文件”成功上传递交至“政府采购云平台”，否则投标无效；</w:t>
      </w:r>
    </w:p>
    <w:p>
      <w:pPr>
        <w:snapToGrid w:val="0"/>
        <w:spacing w:line="460" w:lineRule="exact"/>
        <w:ind w:firstLine="420" w:firstLineChars="200"/>
        <w:jc w:val="left"/>
        <w:rPr>
          <w:rFonts w:ascii="宋体" w:cs="宋体"/>
          <w:szCs w:val="21"/>
        </w:rPr>
      </w:pPr>
      <w:r>
        <w:rPr>
          <w:rFonts w:ascii="宋体" w:hAnsi="宋体" w:cs="宋体"/>
          <w:szCs w:val="21"/>
        </w:rPr>
        <w:t>b.</w:t>
      </w:r>
      <w:r>
        <w:rPr>
          <w:rFonts w:hint="eastAsia" w:ascii="宋体" w:hAnsi="宋体" w:cs="宋体"/>
          <w:szCs w:val="21"/>
        </w:rPr>
        <w:t>“电子加密投标文件”成功上传递交后，供应商可自行打印投标文件接收回执。</w:t>
      </w:r>
    </w:p>
    <w:p>
      <w:pPr>
        <w:snapToGrid w:val="0"/>
        <w:spacing w:line="460" w:lineRule="exact"/>
        <w:ind w:firstLine="420" w:firstLineChars="200"/>
        <w:jc w:val="left"/>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）“备份投标文件”的密封包装、递交：</w:t>
      </w:r>
    </w:p>
    <w:p>
      <w:pPr>
        <w:snapToGrid w:val="0"/>
        <w:spacing w:line="460" w:lineRule="exact"/>
        <w:ind w:firstLine="420" w:firstLineChars="200"/>
        <w:jc w:val="left"/>
        <w:rPr>
          <w:rFonts w:ascii="宋体" w:cs="宋体"/>
          <w:szCs w:val="21"/>
        </w:rPr>
      </w:pPr>
      <w:r>
        <w:rPr>
          <w:rFonts w:ascii="宋体" w:hAnsi="宋体" w:cs="宋体"/>
          <w:szCs w:val="21"/>
        </w:rPr>
        <w:t>a.</w:t>
      </w:r>
      <w:r>
        <w:rPr>
          <w:rFonts w:hint="eastAsia" w:ascii="宋体" w:hAnsi="宋体" w:cs="宋体"/>
          <w:szCs w:val="21"/>
        </w:rPr>
        <w:t>投标供应商在“政府采购云平台”完成“电子加密投标文件”的上传递交后，还可以（邮寄形式）在投标截止时间前递交以介质（</w:t>
      </w:r>
      <w:r>
        <w:rPr>
          <w:rFonts w:ascii="宋体" w:hAnsi="宋体" w:cs="宋体"/>
          <w:szCs w:val="21"/>
        </w:rPr>
        <w:t>U</w:t>
      </w:r>
      <w:r>
        <w:rPr>
          <w:rFonts w:hint="eastAsia" w:ascii="宋体" w:hAnsi="宋体" w:cs="宋体"/>
          <w:szCs w:val="21"/>
        </w:rPr>
        <w:t>盘）存储的</w:t>
      </w:r>
      <w:r>
        <w:rPr>
          <w:rFonts w:ascii="宋体" w:hAnsi="宋体" w:cs="宋体"/>
          <w:szCs w:val="21"/>
        </w:rPr>
        <w:t xml:space="preserve"> </w:t>
      </w:r>
      <w:r>
        <w:rPr>
          <w:rFonts w:hint="eastAsia" w:ascii="宋体" w:hAnsi="宋体" w:cs="宋体"/>
          <w:szCs w:val="21"/>
        </w:rPr>
        <w:t>“备份投标文件”（一份）；</w:t>
      </w:r>
    </w:p>
    <w:p>
      <w:pPr>
        <w:snapToGrid w:val="0"/>
        <w:spacing w:line="460" w:lineRule="exact"/>
        <w:ind w:firstLine="420" w:firstLineChars="200"/>
        <w:jc w:val="left"/>
        <w:rPr>
          <w:rFonts w:ascii="宋体" w:cs="宋体"/>
          <w:szCs w:val="21"/>
        </w:rPr>
      </w:pPr>
      <w:r>
        <w:rPr>
          <w:rFonts w:ascii="宋体" w:hAnsi="宋体" w:cs="宋体"/>
          <w:szCs w:val="21"/>
        </w:rPr>
        <w:t>b.</w:t>
      </w:r>
      <w:r>
        <w:rPr>
          <w:rFonts w:hint="eastAsia" w:ascii="宋体" w:hAnsi="宋体" w:cs="宋体"/>
          <w:szCs w:val="21"/>
        </w:rPr>
        <w:t>“备份投标文件”应当密封包装，并在包装上标注投标项目名称、投标单位名称并加盖公章。没有密封包装或者逾期邮寄送达至邮寄接收地点或者逾期送达至指定地点的“备份投标文件”将不予接收；（包裹外包装上请注明项目名称</w:t>
      </w:r>
      <w:r>
        <w:rPr>
          <w:rFonts w:hint="eastAsia" w:ascii="宋体" w:hAnsi="宋体"/>
          <w:szCs w:val="21"/>
        </w:rPr>
        <w:t>备份投标文件）</w:t>
      </w:r>
    </w:p>
    <w:p>
      <w:pPr>
        <w:snapToGrid w:val="0"/>
        <w:spacing w:line="460" w:lineRule="exact"/>
        <w:ind w:firstLine="420" w:firstLineChars="200"/>
        <w:outlineLvl w:val="2"/>
        <w:rPr>
          <w:rFonts w:ascii="宋体" w:cs="宋体"/>
          <w:szCs w:val="21"/>
        </w:rPr>
      </w:pPr>
      <w:r>
        <w:rPr>
          <w:rFonts w:ascii="宋体" w:hAnsi="宋体" w:cs="宋体"/>
          <w:szCs w:val="21"/>
        </w:rPr>
        <w:t>c.</w:t>
      </w:r>
      <w:r>
        <w:rPr>
          <w:rFonts w:hint="eastAsia" w:ascii="宋体" w:hAnsi="宋体" w:cs="宋体"/>
          <w:szCs w:val="21"/>
        </w:rPr>
        <w:t>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bookmarkEnd w:id="14"/>
    <w:p>
      <w:pPr>
        <w:pStyle w:val="12"/>
        <w:adjustRightInd w:val="0"/>
        <w:snapToGrid w:val="0"/>
        <w:spacing w:line="360" w:lineRule="auto"/>
        <w:ind w:firstLine="0"/>
        <w:jc w:val="center"/>
        <w:rPr>
          <w:rFonts w:hAnsi="宋体"/>
          <w:spacing w:val="0"/>
          <w:sz w:val="24"/>
          <w:szCs w:val="24"/>
        </w:rPr>
      </w:pPr>
      <w:bookmarkStart w:id="16" w:name="_Toc177870553"/>
      <w:bookmarkStart w:id="17" w:name="_Toc170792769"/>
      <w:bookmarkStart w:id="18" w:name="_Toc107820050"/>
    </w:p>
    <w:p>
      <w:pPr>
        <w:pStyle w:val="12"/>
        <w:adjustRightInd w:val="0"/>
        <w:snapToGrid w:val="0"/>
        <w:spacing w:line="360" w:lineRule="auto"/>
        <w:ind w:firstLine="0"/>
        <w:jc w:val="center"/>
        <w:outlineLvl w:val="1"/>
        <w:rPr>
          <w:rFonts w:hAnsi="宋体"/>
          <w:b/>
          <w:spacing w:val="0"/>
          <w:sz w:val="28"/>
          <w:szCs w:val="28"/>
        </w:rPr>
      </w:pPr>
      <w:r>
        <w:rPr>
          <w:rFonts w:hint="eastAsia" w:hAnsi="宋体"/>
          <w:b/>
          <w:spacing w:val="0"/>
          <w:sz w:val="28"/>
          <w:szCs w:val="28"/>
        </w:rPr>
        <w:t>四、开标</w:t>
      </w:r>
      <w:bookmarkEnd w:id="16"/>
      <w:bookmarkEnd w:id="17"/>
      <w:bookmarkEnd w:id="18"/>
    </w:p>
    <w:p>
      <w:pPr>
        <w:pStyle w:val="15"/>
        <w:snapToGrid w:val="0"/>
        <w:spacing w:line="460" w:lineRule="exact"/>
        <w:ind w:firstLine="422" w:firstLineChars="200"/>
        <w:rPr>
          <w:rFonts w:hAnsi="宋体"/>
          <w:b/>
          <w:bCs/>
          <w:sz w:val="21"/>
          <w:szCs w:val="21"/>
        </w:rPr>
      </w:pPr>
      <w:bookmarkStart w:id="19" w:name="_Toc177870554"/>
      <w:r>
        <w:rPr>
          <w:rFonts w:hint="eastAsia" w:hAnsi="宋体"/>
          <w:b/>
          <w:bCs/>
          <w:sz w:val="21"/>
          <w:szCs w:val="21"/>
        </w:rPr>
        <w:t>（一）开标准备</w:t>
      </w:r>
    </w:p>
    <w:p>
      <w:pPr>
        <w:pStyle w:val="15"/>
        <w:snapToGrid w:val="0"/>
        <w:spacing w:line="460" w:lineRule="exact"/>
        <w:ind w:firstLine="420" w:firstLineChars="200"/>
        <w:rPr>
          <w:rFonts w:hAnsi="宋体"/>
          <w:bCs/>
          <w:sz w:val="21"/>
          <w:szCs w:val="21"/>
        </w:rPr>
      </w:pPr>
      <w:r>
        <w:rPr>
          <w:rFonts w:hAnsi="宋体"/>
          <w:bCs/>
          <w:sz w:val="21"/>
          <w:szCs w:val="21"/>
        </w:rPr>
        <w:t>1.</w:t>
      </w:r>
      <w:r>
        <w:rPr>
          <w:rFonts w:hint="eastAsia" w:hAnsi="宋体"/>
          <w:bCs/>
          <w:sz w:val="21"/>
          <w:szCs w:val="21"/>
        </w:rPr>
        <w:t>开标的准备工作由采购组织机构负责落实；</w:t>
      </w:r>
    </w:p>
    <w:p>
      <w:pPr>
        <w:pStyle w:val="15"/>
        <w:snapToGrid w:val="0"/>
        <w:spacing w:line="460" w:lineRule="exact"/>
        <w:ind w:firstLine="420" w:firstLineChars="200"/>
        <w:rPr>
          <w:rFonts w:hAnsi="宋体"/>
          <w:bCs/>
          <w:sz w:val="21"/>
          <w:szCs w:val="21"/>
        </w:rPr>
      </w:pPr>
      <w:r>
        <w:rPr>
          <w:rFonts w:hAnsi="宋体"/>
          <w:bCs/>
          <w:sz w:val="21"/>
          <w:szCs w:val="21"/>
        </w:rPr>
        <w:t>2.</w:t>
      </w:r>
      <w:r>
        <w:rPr>
          <w:rFonts w:hint="eastAsia" w:hAnsi="宋体"/>
          <w:bCs/>
          <w:sz w:val="21"/>
          <w:szCs w:val="21"/>
        </w:rPr>
        <w:t>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pPr>
        <w:pStyle w:val="15"/>
        <w:snapToGrid w:val="0"/>
        <w:spacing w:line="460" w:lineRule="exact"/>
        <w:ind w:firstLine="422" w:firstLineChars="200"/>
        <w:rPr>
          <w:rFonts w:hAnsi="宋体"/>
          <w:b/>
          <w:sz w:val="21"/>
          <w:szCs w:val="21"/>
        </w:rPr>
      </w:pPr>
      <w:r>
        <w:rPr>
          <w:rFonts w:hAnsi="宋体"/>
          <w:b/>
          <w:sz w:val="21"/>
          <w:szCs w:val="21"/>
        </w:rPr>
        <w:t>(</w:t>
      </w:r>
      <w:r>
        <w:rPr>
          <w:rFonts w:hint="eastAsia" w:hAnsi="宋体"/>
          <w:b/>
          <w:sz w:val="21"/>
          <w:szCs w:val="21"/>
        </w:rPr>
        <w:t>二</w:t>
      </w:r>
      <w:r>
        <w:rPr>
          <w:rFonts w:hAnsi="宋体"/>
          <w:b/>
          <w:sz w:val="21"/>
          <w:szCs w:val="21"/>
        </w:rPr>
        <w:t xml:space="preserve"> ) </w:t>
      </w:r>
      <w:r>
        <w:rPr>
          <w:rFonts w:hint="eastAsia" w:hAnsi="宋体"/>
          <w:b/>
          <w:sz w:val="21"/>
          <w:szCs w:val="21"/>
        </w:rPr>
        <w:t>采购人或者采购代理机构职责</w:t>
      </w:r>
    </w:p>
    <w:p>
      <w:pPr>
        <w:pStyle w:val="15"/>
        <w:snapToGrid w:val="0"/>
        <w:spacing w:line="460" w:lineRule="exact"/>
        <w:ind w:firstLine="420" w:firstLineChars="200"/>
        <w:rPr>
          <w:rFonts w:hAnsi="宋体"/>
          <w:bCs/>
          <w:sz w:val="21"/>
          <w:szCs w:val="21"/>
        </w:rPr>
      </w:pPr>
      <w:r>
        <w:rPr>
          <w:rFonts w:hint="eastAsia" w:hAnsi="宋体"/>
          <w:bCs/>
          <w:sz w:val="21"/>
          <w:szCs w:val="21"/>
        </w:rPr>
        <w:t>采购人或者采购代理机构负责组织评标工作，并履行下列职责：</w:t>
      </w:r>
    </w:p>
    <w:p>
      <w:pPr>
        <w:pStyle w:val="15"/>
        <w:snapToGrid w:val="0"/>
        <w:spacing w:line="460" w:lineRule="exact"/>
        <w:ind w:firstLine="420" w:firstLineChars="200"/>
        <w:rPr>
          <w:rFonts w:hAnsi="宋体"/>
          <w:bCs/>
          <w:sz w:val="21"/>
          <w:szCs w:val="21"/>
        </w:rPr>
      </w:pPr>
      <w:r>
        <w:rPr>
          <w:rFonts w:hAnsi="宋体"/>
          <w:bCs/>
          <w:sz w:val="21"/>
          <w:szCs w:val="21"/>
        </w:rPr>
        <w:t>1.</w:t>
      </w:r>
      <w:r>
        <w:rPr>
          <w:rFonts w:hint="eastAsia" w:hAnsi="宋体"/>
          <w:bCs/>
          <w:sz w:val="21"/>
          <w:szCs w:val="21"/>
        </w:rPr>
        <w:t>核对评审专家身份和采购人代表授权函，对评审专家在政府采购活动中的职责履行情况予以记录，并及时将有关违法违规行为向财政部门报告；</w:t>
      </w:r>
    </w:p>
    <w:p>
      <w:pPr>
        <w:pStyle w:val="15"/>
        <w:snapToGrid w:val="0"/>
        <w:spacing w:line="460" w:lineRule="exact"/>
        <w:ind w:firstLine="420" w:firstLineChars="200"/>
        <w:rPr>
          <w:rFonts w:hAnsi="宋体"/>
          <w:bCs/>
          <w:sz w:val="21"/>
          <w:szCs w:val="21"/>
        </w:rPr>
      </w:pPr>
      <w:r>
        <w:rPr>
          <w:rFonts w:hAnsi="宋体"/>
          <w:bCs/>
          <w:sz w:val="21"/>
          <w:szCs w:val="21"/>
        </w:rPr>
        <w:t>2.</w:t>
      </w:r>
      <w:r>
        <w:rPr>
          <w:rFonts w:hint="eastAsia" w:hAnsi="宋体"/>
          <w:bCs/>
          <w:sz w:val="21"/>
          <w:szCs w:val="21"/>
        </w:rPr>
        <w:t>宣布评标纪律；</w:t>
      </w:r>
    </w:p>
    <w:p>
      <w:pPr>
        <w:pStyle w:val="15"/>
        <w:snapToGrid w:val="0"/>
        <w:spacing w:line="460" w:lineRule="exact"/>
        <w:ind w:firstLine="420" w:firstLineChars="200"/>
        <w:rPr>
          <w:rFonts w:hAnsi="宋体"/>
          <w:bCs/>
          <w:sz w:val="21"/>
          <w:szCs w:val="21"/>
        </w:rPr>
      </w:pPr>
      <w:r>
        <w:rPr>
          <w:rFonts w:hAnsi="宋体"/>
          <w:bCs/>
          <w:sz w:val="21"/>
          <w:szCs w:val="21"/>
        </w:rPr>
        <w:t>3.</w:t>
      </w:r>
      <w:r>
        <w:rPr>
          <w:rFonts w:hint="eastAsia" w:hAnsi="宋体"/>
          <w:bCs/>
          <w:sz w:val="21"/>
          <w:szCs w:val="21"/>
        </w:rPr>
        <w:t>公布供应商名单，告知评审专家应当回避的情形；</w:t>
      </w:r>
    </w:p>
    <w:p>
      <w:pPr>
        <w:pStyle w:val="15"/>
        <w:snapToGrid w:val="0"/>
        <w:spacing w:line="460" w:lineRule="exact"/>
        <w:ind w:firstLine="420" w:firstLineChars="200"/>
        <w:rPr>
          <w:rFonts w:hAnsi="宋体"/>
          <w:bCs/>
          <w:sz w:val="21"/>
          <w:szCs w:val="21"/>
        </w:rPr>
      </w:pPr>
      <w:r>
        <w:rPr>
          <w:rFonts w:hAnsi="宋体"/>
          <w:bCs/>
          <w:sz w:val="21"/>
          <w:szCs w:val="21"/>
        </w:rPr>
        <w:t>4.</w:t>
      </w:r>
      <w:r>
        <w:rPr>
          <w:rFonts w:hint="eastAsia" w:hAnsi="宋体"/>
          <w:bCs/>
          <w:sz w:val="21"/>
          <w:szCs w:val="21"/>
        </w:rPr>
        <w:t>组织评标委员会推选评标组长，采购人代表不得担任组长；</w:t>
      </w:r>
    </w:p>
    <w:p>
      <w:pPr>
        <w:pStyle w:val="15"/>
        <w:snapToGrid w:val="0"/>
        <w:spacing w:line="460" w:lineRule="exact"/>
        <w:ind w:firstLine="420" w:firstLineChars="200"/>
        <w:rPr>
          <w:rFonts w:hAnsi="宋体"/>
          <w:bCs/>
          <w:sz w:val="21"/>
          <w:szCs w:val="21"/>
        </w:rPr>
      </w:pPr>
      <w:r>
        <w:rPr>
          <w:rFonts w:hAnsi="宋体"/>
          <w:bCs/>
          <w:sz w:val="21"/>
          <w:szCs w:val="21"/>
        </w:rPr>
        <w:t>5.</w:t>
      </w:r>
      <w:r>
        <w:rPr>
          <w:rFonts w:hint="eastAsia" w:hAnsi="宋体"/>
          <w:bCs/>
          <w:sz w:val="21"/>
          <w:szCs w:val="21"/>
        </w:rPr>
        <w:t>在评标期间采取必要的通讯管理措施，保证评标活动不受外界干扰；</w:t>
      </w:r>
    </w:p>
    <w:p>
      <w:pPr>
        <w:pStyle w:val="15"/>
        <w:snapToGrid w:val="0"/>
        <w:spacing w:line="460" w:lineRule="exact"/>
        <w:ind w:firstLine="420" w:firstLineChars="200"/>
        <w:rPr>
          <w:rFonts w:hAnsi="宋体"/>
          <w:bCs/>
          <w:sz w:val="21"/>
          <w:szCs w:val="21"/>
        </w:rPr>
      </w:pPr>
      <w:r>
        <w:rPr>
          <w:rFonts w:hAnsi="宋体"/>
          <w:bCs/>
          <w:sz w:val="21"/>
          <w:szCs w:val="21"/>
        </w:rPr>
        <w:t>6.</w:t>
      </w:r>
      <w:r>
        <w:rPr>
          <w:rFonts w:hint="eastAsia" w:hAnsi="宋体"/>
          <w:bCs/>
          <w:sz w:val="21"/>
          <w:szCs w:val="21"/>
        </w:rPr>
        <w:t>根据评标委员会的要求介绍政府采购相关政策法规、招标文件；</w:t>
      </w:r>
    </w:p>
    <w:p>
      <w:pPr>
        <w:pStyle w:val="15"/>
        <w:snapToGrid w:val="0"/>
        <w:spacing w:line="460" w:lineRule="exact"/>
        <w:ind w:firstLine="420" w:firstLineChars="200"/>
        <w:rPr>
          <w:rFonts w:hAnsi="宋体"/>
          <w:bCs/>
          <w:sz w:val="21"/>
          <w:szCs w:val="21"/>
        </w:rPr>
      </w:pPr>
      <w:r>
        <w:rPr>
          <w:rFonts w:hAnsi="宋体"/>
          <w:bCs/>
          <w:sz w:val="21"/>
          <w:szCs w:val="21"/>
        </w:rPr>
        <w:t>7.</w:t>
      </w:r>
      <w:r>
        <w:rPr>
          <w:rFonts w:hint="eastAsia" w:hAnsi="宋体"/>
          <w:bCs/>
          <w:sz w:val="21"/>
          <w:szCs w:val="21"/>
        </w:rPr>
        <w:t>维护评标秩序，监督评标委员会依照招标文件规定的评标程序、方法和标准进行独立评审，及时制止和纠正采购人代表、评审专家的倾向性言论或者违法违规行为；</w:t>
      </w:r>
    </w:p>
    <w:p>
      <w:pPr>
        <w:pStyle w:val="15"/>
        <w:snapToGrid w:val="0"/>
        <w:spacing w:line="460" w:lineRule="exact"/>
        <w:ind w:firstLine="420" w:firstLineChars="200"/>
        <w:rPr>
          <w:rFonts w:hAnsi="宋体"/>
          <w:bCs/>
          <w:sz w:val="21"/>
          <w:szCs w:val="21"/>
        </w:rPr>
      </w:pPr>
      <w:r>
        <w:rPr>
          <w:rFonts w:hAnsi="宋体"/>
          <w:bCs/>
          <w:sz w:val="21"/>
          <w:szCs w:val="21"/>
        </w:rPr>
        <w:t>8.</w:t>
      </w:r>
      <w:r>
        <w:rPr>
          <w:rFonts w:hint="eastAsia" w:hAnsi="宋体"/>
          <w:bCs/>
          <w:sz w:val="21"/>
          <w:szCs w:val="21"/>
        </w:rPr>
        <w:t>核对评标结果，根据《政府采购货物和服务招标投标管理办法》，如有第六十四条规定情形的，要求评标委员会复核或者书面说明理由，评标委员会拒绝的，应予记录并向本级财政部门报告；</w:t>
      </w:r>
    </w:p>
    <w:p>
      <w:pPr>
        <w:pStyle w:val="15"/>
        <w:snapToGrid w:val="0"/>
        <w:spacing w:line="460" w:lineRule="exact"/>
        <w:ind w:firstLine="420" w:firstLineChars="200"/>
        <w:rPr>
          <w:rFonts w:hAnsi="宋体"/>
          <w:bCs/>
          <w:sz w:val="21"/>
          <w:szCs w:val="21"/>
        </w:rPr>
      </w:pPr>
      <w:r>
        <w:rPr>
          <w:rFonts w:hAnsi="宋体"/>
          <w:bCs/>
          <w:sz w:val="21"/>
          <w:szCs w:val="21"/>
        </w:rPr>
        <w:t>9.</w:t>
      </w:r>
      <w:r>
        <w:rPr>
          <w:rFonts w:hint="eastAsia" w:hAnsi="宋体"/>
          <w:bCs/>
          <w:sz w:val="21"/>
          <w:szCs w:val="21"/>
        </w:rPr>
        <w:t>评审工作完成后，按照规定向评审专家支付劳务报酬和异地评审差旅费，不得向评审专家以外的其他人员支付评审劳务报酬；</w:t>
      </w:r>
    </w:p>
    <w:p>
      <w:pPr>
        <w:pStyle w:val="15"/>
        <w:snapToGrid w:val="0"/>
        <w:spacing w:line="460" w:lineRule="exact"/>
        <w:ind w:firstLine="420" w:firstLineChars="200"/>
        <w:rPr>
          <w:rFonts w:hAnsi="宋体"/>
          <w:bCs/>
          <w:sz w:val="21"/>
          <w:szCs w:val="21"/>
        </w:rPr>
      </w:pPr>
      <w:r>
        <w:rPr>
          <w:rFonts w:hAnsi="宋体"/>
          <w:bCs/>
          <w:sz w:val="21"/>
          <w:szCs w:val="21"/>
        </w:rPr>
        <w:t>10.</w:t>
      </w:r>
      <w:r>
        <w:rPr>
          <w:rFonts w:hint="eastAsia" w:hAnsi="宋体"/>
          <w:bCs/>
          <w:sz w:val="21"/>
          <w:szCs w:val="21"/>
        </w:rPr>
        <w:t>处理与评标有关的其他事项。</w:t>
      </w:r>
    </w:p>
    <w:p>
      <w:pPr>
        <w:pStyle w:val="5"/>
        <w:spacing w:before="0" w:after="0" w:line="460" w:lineRule="exact"/>
        <w:ind w:firstLine="422"/>
        <w:rPr>
          <w:rFonts w:ascii="宋体" w:hAnsi="宋体" w:eastAsia="宋体"/>
          <w:sz w:val="21"/>
          <w:szCs w:val="21"/>
        </w:rPr>
      </w:pPr>
      <w:r>
        <w:rPr>
          <w:rFonts w:hint="eastAsia" w:ascii="宋体" w:hAnsi="宋体" w:eastAsia="宋体"/>
          <w:sz w:val="21"/>
          <w:szCs w:val="21"/>
        </w:rPr>
        <w:t>（三）开标流程（两阶段）</w:t>
      </w:r>
    </w:p>
    <w:p>
      <w:pPr>
        <w:spacing w:line="460" w:lineRule="exact"/>
        <w:ind w:firstLine="422" w:firstLineChars="200"/>
        <w:jc w:val="left"/>
        <w:rPr>
          <w:rFonts w:ascii="宋体"/>
          <w:b/>
          <w:bCs/>
          <w:kern w:val="0"/>
          <w:szCs w:val="21"/>
        </w:rPr>
      </w:pPr>
      <w:r>
        <w:rPr>
          <w:rFonts w:ascii="宋体" w:hAnsi="宋体"/>
          <w:b/>
          <w:bCs/>
          <w:kern w:val="0"/>
          <w:szCs w:val="21"/>
        </w:rPr>
        <w:t>3.1</w:t>
      </w:r>
      <w:r>
        <w:rPr>
          <w:rFonts w:hint="eastAsia" w:ascii="宋体" w:hAnsi="宋体"/>
          <w:b/>
          <w:bCs/>
          <w:kern w:val="0"/>
          <w:szCs w:val="21"/>
        </w:rPr>
        <w:t>开标第一阶段</w:t>
      </w:r>
    </w:p>
    <w:p>
      <w:pPr>
        <w:spacing w:line="460" w:lineRule="exact"/>
        <w:ind w:firstLine="420" w:firstLineChars="200"/>
        <w:jc w:val="left"/>
        <w:rPr>
          <w:rFonts w:ascii="宋体"/>
          <w:bCs/>
          <w:kern w:val="0"/>
          <w:szCs w:val="21"/>
        </w:rPr>
      </w:pPr>
      <w:r>
        <w:rPr>
          <w:rFonts w:hint="eastAsia" w:ascii="宋体" w:hAnsi="宋体"/>
          <w:bCs/>
          <w:kern w:val="0"/>
          <w:szCs w:val="21"/>
        </w:rPr>
        <w:t>（</w:t>
      </w:r>
      <w:r>
        <w:rPr>
          <w:rFonts w:ascii="宋体" w:hAnsi="宋体"/>
          <w:bCs/>
          <w:kern w:val="0"/>
          <w:szCs w:val="21"/>
        </w:rPr>
        <w:t>1</w:t>
      </w:r>
      <w:r>
        <w:rPr>
          <w:rFonts w:hint="eastAsia" w:ascii="宋体" w:hAnsi="宋体"/>
          <w:bCs/>
          <w:kern w:val="0"/>
          <w:szCs w:val="21"/>
        </w:rPr>
        <w:t>）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pacing w:line="460" w:lineRule="exact"/>
        <w:ind w:firstLine="420" w:firstLineChars="200"/>
        <w:jc w:val="left"/>
        <w:rPr>
          <w:rFonts w:ascii="宋体"/>
          <w:bCs/>
          <w:kern w:val="0"/>
          <w:szCs w:val="21"/>
        </w:rPr>
      </w:pPr>
      <w:r>
        <w:rPr>
          <w:rFonts w:hint="eastAsia" w:ascii="宋体" w:hAnsi="宋体"/>
          <w:bCs/>
          <w:kern w:val="0"/>
          <w:szCs w:val="21"/>
        </w:rPr>
        <w:t>（</w:t>
      </w:r>
      <w:r>
        <w:rPr>
          <w:rFonts w:ascii="宋体" w:hAnsi="宋体"/>
          <w:bCs/>
          <w:kern w:val="0"/>
          <w:szCs w:val="21"/>
        </w:rPr>
        <w:t>2</w:t>
      </w:r>
      <w:r>
        <w:rPr>
          <w:rFonts w:hint="eastAsia" w:ascii="宋体" w:hAnsi="宋体"/>
          <w:bCs/>
          <w:kern w:val="0"/>
          <w:szCs w:val="21"/>
        </w:rPr>
        <w:t>）开启投标文件，进入资格审查；</w:t>
      </w:r>
    </w:p>
    <w:p>
      <w:pPr>
        <w:spacing w:line="460" w:lineRule="exact"/>
        <w:ind w:firstLine="420" w:firstLineChars="200"/>
        <w:jc w:val="left"/>
        <w:rPr>
          <w:rFonts w:ascii="宋体"/>
          <w:bCs/>
          <w:kern w:val="0"/>
          <w:szCs w:val="21"/>
        </w:rPr>
      </w:pPr>
      <w:r>
        <w:rPr>
          <w:rFonts w:hint="eastAsia" w:ascii="宋体" w:hAnsi="宋体"/>
          <w:bCs/>
          <w:kern w:val="0"/>
          <w:szCs w:val="21"/>
        </w:rPr>
        <w:t>（</w:t>
      </w:r>
      <w:r>
        <w:rPr>
          <w:rFonts w:ascii="宋体" w:hAnsi="宋体"/>
          <w:bCs/>
          <w:kern w:val="0"/>
          <w:szCs w:val="21"/>
        </w:rPr>
        <w:t>3</w:t>
      </w:r>
      <w:r>
        <w:rPr>
          <w:rFonts w:hint="eastAsia" w:ascii="宋体" w:hAnsi="宋体"/>
          <w:bCs/>
          <w:kern w:val="0"/>
          <w:szCs w:val="21"/>
        </w:rPr>
        <w:t>）开启资格审查通过的投标供应商的商务技术文件进入符合性审查、商务技术评审；</w:t>
      </w:r>
    </w:p>
    <w:p>
      <w:pPr>
        <w:spacing w:line="460" w:lineRule="exact"/>
        <w:ind w:firstLine="420" w:firstLineChars="200"/>
        <w:jc w:val="left"/>
        <w:rPr>
          <w:rFonts w:ascii="宋体"/>
          <w:bCs/>
          <w:kern w:val="0"/>
          <w:szCs w:val="21"/>
        </w:rPr>
      </w:pPr>
      <w:r>
        <w:rPr>
          <w:rFonts w:hint="eastAsia" w:ascii="宋体" w:hAnsi="宋体"/>
          <w:bCs/>
          <w:kern w:val="0"/>
          <w:szCs w:val="21"/>
        </w:rPr>
        <w:t>（</w:t>
      </w:r>
      <w:r>
        <w:rPr>
          <w:rFonts w:ascii="宋体" w:hAnsi="宋体"/>
          <w:bCs/>
          <w:kern w:val="0"/>
          <w:szCs w:val="21"/>
        </w:rPr>
        <w:t>4</w:t>
      </w:r>
      <w:r>
        <w:rPr>
          <w:rFonts w:hint="eastAsia" w:ascii="宋体" w:hAnsi="宋体"/>
          <w:bCs/>
          <w:kern w:val="0"/>
          <w:szCs w:val="21"/>
        </w:rPr>
        <w:t>）第一阶段开标结束。</w:t>
      </w:r>
    </w:p>
    <w:p>
      <w:pPr>
        <w:spacing w:line="460" w:lineRule="exact"/>
        <w:ind w:firstLine="422" w:firstLineChars="200"/>
        <w:jc w:val="left"/>
        <w:rPr>
          <w:rFonts w:ascii="宋体"/>
          <w:b/>
          <w:bCs/>
          <w:kern w:val="0"/>
          <w:szCs w:val="21"/>
        </w:rPr>
      </w:pPr>
      <w:r>
        <w:rPr>
          <w:rFonts w:hint="eastAsia" w:ascii="宋体" w:hAnsi="宋体"/>
          <w:b/>
          <w:bCs/>
          <w:kern w:val="0"/>
          <w:szCs w:val="21"/>
        </w:rPr>
        <w:t>备注：开标大会的第一阶段结束后，采购人或采购代理机构将对依法对投标供应商的资格进行审查，资格审查结束后进入符合性审查和商务技术的评审工作，具体见本章节“投标供应商资格审查”相关规定。</w:t>
      </w:r>
    </w:p>
    <w:p>
      <w:pPr>
        <w:spacing w:line="460" w:lineRule="exact"/>
        <w:ind w:firstLine="422" w:firstLineChars="200"/>
        <w:jc w:val="left"/>
        <w:rPr>
          <w:rFonts w:ascii="宋体"/>
          <w:b/>
          <w:bCs/>
          <w:kern w:val="0"/>
          <w:szCs w:val="21"/>
        </w:rPr>
      </w:pPr>
      <w:r>
        <w:rPr>
          <w:rFonts w:ascii="宋体" w:hAnsi="宋体"/>
          <w:b/>
          <w:bCs/>
          <w:kern w:val="0"/>
          <w:szCs w:val="21"/>
        </w:rPr>
        <w:t>3.2</w:t>
      </w:r>
      <w:r>
        <w:rPr>
          <w:rFonts w:hint="eastAsia" w:ascii="宋体" w:hAnsi="宋体"/>
          <w:b/>
          <w:bCs/>
          <w:kern w:val="0"/>
          <w:szCs w:val="21"/>
        </w:rPr>
        <w:t>开标第二阶段</w:t>
      </w:r>
    </w:p>
    <w:p>
      <w:pPr>
        <w:spacing w:line="460" w:lineRule="exact"/>
        <w:ind w:firstLine="420" w:firstLineChars="200"/>
        <w:jc w:val="left"/>
        <w:rPr>
          <w:rFonts w:ascii="宋体"/>
          <w:bCs/>
          <w:kern w:val="0"/>
          <w:szCs w:val="21"/>
        </w:rPr>
      </w:pPr>
      <w:r>
        <w:rPr>
          <w:rFonts w:hint="eastAsia" w:ascii="宋体" w:hAnsi="宋体"/>
          <w:bCs/>
          <w:kern w:val="0"/>
          <w:szCs w:val="21"/>
        </w:rPr>
        <w:t>（</w:t>
      </w:r>
      <w:r>
        <w:rPr>
          <w:rFonts w:ascii="宋体" w:hAnsi="宋体"/>
          <w:bCs/>
          <w:kern w:val="0"/>
          <w:szCs w:val="21"/>
        </w:rPr>
        <w:t>1</w:t>
      </w:r>
      <w:r>
        <w:rPr>
          <w:rFonts w:hint="eastAsia" w:ascii="宋体" w:hAnsi="宋体"/>
          <w:bCs/>
          <w:kern w:val="0"/>
          <w:szCs w:val="21"/>
        </w:rPr>
        <w:t>）符合性审查、商务技术评审结束后，举行开标大会第二阶段会议。首先公布符合性审查、商务技术评审无效供应商名称及理由；公布经商务技术评审后有效投标供应商的名单，同时公布其商务技术部分得分情况。</w:t>
      </w:r>
    </w:p>
    <w:p>
      <w:pPr>
        <w:spacing w:line="460" w:lineRule="exact"/>
        <w:ind w:firstLine="420" w:firstLineChars="200"/>
        <w:jc w:val="left"/>
        <w:rPr>
          <w:rFonts w:ascii="宋体"/>
          <w:bCs/>
          <w:kern w:val="0"/>
          <w:szCs w:val="21"/>
        </w:rPr>
      </w:pPr>
      <w:r>
        <w:rPr>
          <w:rFonts w:hint="eastAsia" w:ascii="宋体" w:hAnsi="宋体"/>
          <w:bCs/>
          <w:kern w:val="0"/>
          <w:szCs w:val="21"/>
        </w:rPr>
        <w:t>（</w:t>
      </w:r>
      <w:r>
        <w:rPr>
          <w:rFonts w:ascii="宋体" w:hAnsi="宋体"/>
          <w:bCs/>
          <w:kern w:val="0"/>
          <w:szCs w:val="21"/>
        </w:rPr>
        <w:t>2</w:t>
      </w:r>
      <w:r>
        <w:rPr>
          <w:rFonts w:hint="eastAsia" w:ascii="宋体" w:hAnsi="宋体"/>
          <w:bCs/>
          <w:kern w:val="0"/>
          <w:szCs w:val="21"/>
        </w:rPr>
        <w:t>）开启符合性审查、商务技术评审有效投标供应商的《报价文件》，公布开标一览表有关内容，同时当场制作开标记录表，并可通过在线方式或者其他方式对报价进行确认（不予确认的应说明理由，否则视为无异议）。唱标结束后，由评标委员会对报价的合理性、准确性等进行审查核实。</w:t>
      </w:r>
    </w:p>
    <w:p>
      <w:pPr>
        <w:spacing w:line="460" w:lineRule="exact"/>
        <w:ind w:firstLine="420" w:firstLineChars="200"/>
        <w:jc w:val="left"/>
        <w:rPr>
          <w:rFonts w:ascii="宋体"/>
          <w:bCs/>
          <w:kern w:val="0"/>
          <w:szCs w:val="21"/>
        </w:rPr>
      </w:pPr>
      <w:r>
        <w:rPr>
          <w:rFonts w:hint="eastAsia" w:ascii="宋体" w:hAnsi="宋体"/>
          <w:bCs/>
          <w:kern w:val="0"/>
          <w:szCs w:val="21"/>
        </w:rPr>
        <w:t>（</w:t>
      </w:r>
      <w:r>
        <w:rPr>
          <w:rFonts w:ascii="宋体" w:hAnsi="宋体"/>
          <w:bCs/>
          <w:kern w:val="0"/>
          <w:szCs w:val="21"/>
        </w:rPr>
        <w:t>3</w:t>
      </w:r>
      <w:r>
        <w:rPr>
          <w:rFonts w:hint="eastAsia" w:ascii="宋体" w:hAnsi="宋体"/>
          <w:bCs/>
          <w:kern w:val="0"/>
          <w:szCs w:val="21"/>
        </w:rPr>
        <w:t>）评审结束后，公布最终评审结果得分。</w:t>
      </w:r>
    </w:p>
    <w:p>
      <w:pPr>
        <w:spacing w:line="460" w:lineRule="exact"/>
        <w:ind w:firstLine="420" w:firstLineChars="200"/>
        <w:jc w:val="left"/>
        <w:rPr>
          <w:rFonts w:ascii="宋体"/>
          <w:bCs/>
          <w:kern w:val="0"/>
          <w:szCs w:val="21"/>
        </w:rPr>
      </w:pPr>
      <w:r>
        <w:rPr>
          <w:rFonts w:hint="eastAsia" w:ascii="宋体" w:hAnsi="宋体"/>
          <w:bCs/>
          <w:kern w:val="0"/>
          <w:szCs w:val="21"/>
        </w:rPr>
        <w:t>特别说明：如遇“政府采购云平台”电子化开标或评审程序调整的，按调整后程序执行。</w:t>
      </w:r>
    </w:p>
    <w:p>
      <w:pPr>
        <w:pStyle w:val="4"/>
      </w:pPr>
    </w:p>
    <w:p>
      <w:pPr>
        <w:pStyle w:val="4"/>
        <w:tabs>
          <w:tab w:val="left" w:pos="1110"/>
        </w:tabs>
        <w:spacing w:line="600" w:lineRule="exact"/>
        <w:rPr>
          <w:rFonts w:ascii="宋体" w:hAnsi="宋体" w:eastAsia="宋体"/>
          <w:bCs/>
          <w:sz w:val="28"/>
          <w:szCs w:val="28"/>
        </w:rPr>
      </w:pPr>
      <w:bookmarkStart w:id="20" w:name="_Toc33194393"/>
      <w:bookmarkStart w:id="21" w:name="_Toc24550037"/>
      <w:r>
        <w:rPr>
          <w:rFonts w:hint="eastAsia" w:ascii="宋体" w:hAnsi="宋体" w:eastAsia="宋体"/>
          <w:bCs/>
          <w:sz w:val="28"/>
          <w:szCs w:val="28"/>
        </w:rPr>
        <w:t>（四）投标供应商资格审查</w:t>
      </w:r>
      <w:bookmarkEnd w:id="20"/>
      <w:bookmarkEnd w:id="21"/>
    </w:p>
    <w:p>
      <w:pPr>
        <w:spacing w:line="460" w:lineRule="exact"/>
        <w:ind w:firstLine="420" w:firstLineChars="200"/>
        <w:rPr>
          <w:rFonts w:ascii="宋体"/>
          <w:bCs/>
          <w:kern w:val="0"/>
          <w:szCs w:val="21"/>
        </w:rPr>
      </w:pPr>
      <w:r>
        <w:rPr>
          <w:rFonts w:ascii="宋体" w:hAnsi="宋体"/>
          <w:bCs/>
          <w:kern w:val="0"/>
          <w:szCs w:val="21"/>
        </w:rPr>
        <w:t>4.1</w:t>
      </w:r>
      <w:r>
        <w:rPr>
          <w:rFonts w:hint="eastAsia" w:ascii="宋体" w:hAnsi="宋体"/>
          <w:bCs/>
          <w:kern w:val="0"/>
          <w:szCs w:val="21"/>
        </w:rPr>
        <w:t>开标第一阶段结束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pPr>
        <w:spacing w:line="460" w:lineRule="exact"/>
        <w:ind w:firstLine="420" w:firstLineChars="200"/>
        <w:rPr>
          <w:rFonts w:ascii="宋体"/>
          <w:bCs/>
          <w:kern w:val="0"/>
          <w:szCs w:val="21"/>
        </w:rPr>
      </w:pPr>
      <w:r>
        <w:rPr>
          <w:rFonts w:ascii="宋体" w:hAnsi="宋体"/>
          <w:bCs/>
          <w:kern w:val="0"/>
          <w:szCs w:val="21"/>
        </w:rPr>
        <w:t>4.2</w:t>
      </w:r>
      <w:r>
        <w:rPr>
          <w:rFonts w:hint="eastAsia" w:ascii="宋体" w:hAnsi="宋体"/>
          <w:bCs/>
          <w:kern w:val="0"/>
          <w:szCs w:val="21"/>
        </w:rPr>
        <w:t>投标供应商提交的资格证明材料无法证明其符合招标文件规定的“投标供应商资格要求”的，采购人或采购代理机构将对其作资格审查不通过处理（无效投标），并不再将其投标提交评标委员会进行后续评审。</w:t>
      </w:r>
    </w:p>
    <w:p>
      <w:pPr>
        <w:spacing w:line="460" w:lineRule="exact"/>
        <w:ind w:firstLine="420" w:firstLineChars="200"/>
        <w:rPr>
          <w:rFonts w:ascii="宋体"/>
          <w:bCs/>
          <w:kern w:val="0"/>
          <w:szCs w:val="21"/>
        </w:rPr>
      </w:pPr>
      <w:r>
        <w:rPr>
          <w:rFonts w:ascii="宋体" w:hAnsi="宋体"/>
          <w:bCs/>
          <w:kern w:val="0"/>
          <w:szCs w:val="21"/>
        </w:rPr>
        <w:t>4.3</w:t>
      </w:r>
      <w:r>
        <w:rPr>
          <w:rFonts w:hint="eastAsia" w:ascii="宋体" w:hAnsi="宋体"/>
          <w:bCs/>
          <w:kern w:val="0"/>
          <w:szCs w:val="21"/>
        </w:rPr>
        <w:t>单位负责人为同一人或者存在直接控股、管理关系的不同供应商参加同一合同项下的政府采购活动的，相关投标供应商均作资格无效处理。</w:t>
      </w:r>
    </w:p>
    <w:p>
      <w:pPr>
        <w:pStyle w:val="15"/>
        <w:spacing w:line="360" w:lineRule="auto"/>
        <w:ind w:left="723" w:hanging="723" w:hangingChars="300"/>
        <w:jc w:val="center"/>
        <w:rPr>
          <w:rFonts w:hAnsi="宋体"/>
          <w:b/>
          <w:sz w:val="24"/>
          <w:szCs w:val="24"/>
        </w:rPr>
      </w:pPr>
    </w:p>
    <w:p>
      <w:pPr>
        <w:pStyle w:val="15"/>
        <w:spacing w:line="360" w:lineRule="auto"/>
        <w:ind w:left="843" w:hanging="843" w:hangingChars="300"/>
        <w:jc w:val="center"/>
        <w:outlineLvl w:val="1"/>
        <w:rPr>
          <w:rFonts w:hAnsi="宋体"/>
          <w:b/>
          <w:bCs/>
          <w:sz w:val="28"/>
          <w:szCs w:val="28"/>
        </w:rPr>
      </w:pPr>
      <w:r>
        <w:rPr>
          <w:rFonts w:hint="eastAsia" w:hAnsi="宋体"/>
          <w:b/>
          <w:bCs/>
          <w:sz w:val="28"/>
          <w:szCs w:val="28"/>
        </w:rPr>
        <w:t>五、评标</w:t>
      </w:r>
      <w:bookmarkEnd w:id="19"/>
    </w:p>
    <w:p>
      <w:pPr>
        <w:pStyle w:val="15"/>
        <w:spacing w:line="440" w:lineRule="exact"/>
        <w:ind w:firstLine="413" w:firstLineChars="196"/>
        <w:jc w:val="left"/>
        <w:rPr>
          <w:rFonts w:hAnsi="宋体"/>
          <w:b/>
          <w:sz w:val="21"/>
          <w:szCs w:val="21"/>
        </w:rPr>
      </w:pPr>
      <w:r>
        <w:rPr>
          <w:rFonts w:hAnsi="宋体"/>
          <w:b/>
          <w:sz w:val="21"/>
          <w:szCs w:val="21"/>
        </w:rPr>
        <w:t>5.1</w:t>
      </w:r>
      <w:r>
        <w:rPr>
          <w:rFonts w:hint="eastAsia" w:hAnsi="宋体"/>
          <w:b/>
          <w:sz w:val="21"/>
          <w:szCs w:val="21"/>
        </w:rPr>
        <w:t>专家抽取</w:t>
      </w:r>
    </w:p>
    <w:p>
      <w:pPr>
        <w:pStyle w:val="15"/>
        <w:spacing w:line="440" w:lineRule="exact"/>
        <w:ind w:firstLine="420" w:firstLineChars="200"/>
        <w:jc w:val="left"/>
        <w:rPr>
          <w:rFonts w:hAnsi="宋体"/>
          <w:bCs/>
          <w:sz w:val="21"/>
          <w:szCs w:val="21"/>
        </w:rPr>
      </w:pPr>
      <w:r>
        <w:rPr>
          <w:rFonts w:hint="eastAsia" w:hAnsi="宋体"/>
          <w:bCs/>
          <w:sz w:val="21"/>
          <w:szCs w:val="21"/>
        </w:rPr>
        <w:t>根据采购项目的特点，在政采云专家库中随机抽取</w:t>
      </w:r>
      <w:r>
        <w:rPr>
          <w:rFonts w:hAnsi="宋体"/>
          <w:bCs/>
          <w:sz w:val="21"/>
          <w:szCs w:val="21"/>
        </w:rPr>
        <w:t>4</w:t>
      </w:r>
      <w:r>
        <w:rPr>
          <w:rFonts w:hint="eastAsia" w:hAnsi="宋体"/>
          <w:bCs/>
          <w:sz w:val="21"/>
          <w:szCs w:val="21"/>
        </w:rPr>
        <w:t>名和业主代表</w:t>
      </w:r>
      <w:r>
        <w:rPr>
          <w:rFonts w:hAnsi="宋体"/>
          <w:bCs/>
          <w:sz w:val="21"/>
          <w:szCs w:val="21"/>
        </w:rPr>
        <w:t>1</w:t>
      </w:r>
      <w:r>
        <w:rPr>
          <w:rFonts w:hint="eastAsia" w:hAnsi="宋体"/>
          <w:bCs/>
          <w:sz w:val="21"/>
          <w:szCs w:val="21"/>
        </w:rPr>
        <w:t>名共</w:t>
      </w:r>
      <w:r>
        <w:rPr>
          <w:rFonts w:hAnsi="宋体"/>
          <w:bCs/>
          <w:sz w:val="21"/>
          <w:szCs w:val="21"/>
        </w:rPr>
        <w:t>5</w:t>
      </w:r>
      <w:r>
        <w:rPr>
          <w:rFonts w:hint="eastAsia" w:hAnsi="宋体"/>
          <w:bCs/>
          <w:sz w:val="21"/>
          <w:szCs w:val="21"/>
        </w:rPr>
        <w:t>人组成评审专家组。</w:t>
      </w:r>
    </w:p>
    <w:p>
      <w:pPr>
        <w:pStyle w:val="15"/>
        <w:spacing w:line="440" w:lineRule="exact"/>
        <w:ind w:firstLine="310" w:firstLineChars="147"/>
        <w:jc w:val="left"/>
        <w:rPr>
          <w:rFonts w:hAnsi="宋体"/>
          <w:b/>
          <w:sz w:val="21"/>
          <w:szCs w:val="21"/>
        </w:rPr>
      </w:pPr>
      <w:r>
        <w:rPr>
          <w:rFonts w:hAnsi="宋体"/>
          <w:b/>
          <w:sz w:val="21"/>
          <w:szCs w:val="21"/>
        </w:rPr>
        <w:t>5.2</w:t>
      </w:r>
      <w:r>
        <w:rPr>
          <w:rFonts w:hint="eastAsia" w:hAnsi="宋体"/>
          <w:b/>
          <w:sz w:val="21"/>
          <w:szCs w:val="21"/>
        </w:rPr>
        <w:t>评标的方式</w:t>
      </w:r>
    </w:p>
    <w:p>
      <w:pPr>
        <w:pStyle w:val="15"/>
        <w:spacing w:line="440" w:lineRule="exact"/>
        <w:ind w:firstLine="315" w:firstLineChars="150"/>
        <w:jc w:val="left"/>
        <w:rPr>
          <w:rFonts w:hAnsi="宋体"/>
          <w:sz w:val="21"/>
          <w:szCs w:val="21"/>
        </w:rPr>
      </w:pPr>
      <w:r>
        <w:rPr>
          <w:rFonts w:hint="eastAsia" w:hAnsi="宋体"/>
          <w:sz w:val="21"/>
          <w:szCs w:val="21"/>
        </w:rPr>
        <w:t>本采购项目采用不公开方式评标，评标的依据为招标文件和投标文件。</w:t>
      </w:r>
    </w:p>
    <w:p>
      <w:pPr>
        <w:pStyle w:val="15"/>
        <w:spacing w:line="440" w:lineRule="exact"/>
        <w:ind w:firstLine="413" w:firstLineChars="196"/>
        <w:jc w:val="left"/>
        <w:rPr>
          <w:rFonts w:hAnsi="宋体"/>
          <w:b/>
          <w:sz w:val="21"/>
          <w:szCs w:val="21"/>
        </w:rPr>
      </w:pPr>
      <w:r>
        <w:rPr>
          <w:rFonts w:hAnsi="宋体"/>
          <w:b/>
          <w:sz w:val="21"/>
          <w:szCs w:val="21"/>
        </w:rPr>
        <w:t>5.3</w:t>
      </w:r>
      <w:r>
        <w:rPr>
          <w:rFonts w:hint="eastAsia" w:hAnsi="宋体"/>
          <w:b/>
          <w:bCs/>
          <w:sz w:val="21"/>
          <w:szCs w:val="21"/>
        </w:rPr>
        <w:t>评标程序</w:t>
      </w:r>
    </w:p>
    <w:p>
      <w:pPr>
        <w:spacing w:line="440" w:lineRule="exact"/>
        <w:ind w:firstLine="420" w:firstLineChars="200"/>
        <w:jc w:val="left"/>
        <w:rPr>
          <w:rFonts w:ascii="宋体"/>
          <w:szCs w:val="21"/>
        </w:rPr>
      </w:pPr>
      <w:r>
        <w:rPr>
          <w:rFonts w:ascii="宋体" w:hAnsi="宋体"/>
          <w:szCs w:val="21"/>
        </w:rPr>
        <w:t>5.3.1</w:t>
      </w:r>
      <w:r>
        <w:rPr>
          <w:rFonts w:hint="eastAsia" w:ascii="宋体" w:hAnsi="宋体"/>
          <w:szCs w:val="21"/>
        </w:rPr>
        <w:t>形式审查</w:t>
      </w:r>
      <w:r>
        <w:rPr>
          <w:rFonts w:ascii="宋体" w:hAnsi="宋体"/>
          <w:szCs w:val="21"/>
        </w:rPr>
        <w:t>:</w:t>
      </w:r>
      <w:r>
        <w:rPr>
          <w:rFonts w:hint="eastAsia" w:ascii="宋体" w:hAnsi="宋体"/>
          <w:szCs w:val="21"/>
        </w:rPr>
        <w:t>评标委员会将审查投标文件是否真实、完整，总体编排是否有序，文件签署是否正确等。</w:t>
      </w:r>
    </w:p>
    <w:p>
      <w:pPr>
        <w:spacing w:line="440" w:lineRule="exact"/>
        <w:ind w:firstLine="420" w:firstLineChars="200"/>
        <w:jc w:val="left"/>
        <w:rPr>
          <w:rFonts w:ascii="宋体"/>
          <w:szCs w:val="21"/>
        </w:rPr>
      </w:pPr>
      <w:r>
        <w:rPr>
          <w:rFonts w:ascii="宋体" w:hAnsi="宋体"/>
          <w:szCs w:val="21"/>
        </w:rPr>
        <w:t>5.3.2</w:t>
      </w:r>
      <w:r>
        <w:rPr>
          <w:rFonts w:hint="eastAsia" w:ascii="宋体" w:hAnsi="宋体"/>
          <w:szCs w:val="21"/>
        </w:rPr>
        <w:t>实质审查与比较。</w:t>
      </w:r>
    </w:p>
    <w:p>
      <w:pPr>
        <w:spacing w:line="440" w:lineRule="exact"/>
        <w:ind w:firstLine="420" w:firstLineChars="200"/>
        <w:rPr>
          <w:rFonts w:ascii="宋体"/>
          <w:szCs w:val="21"/>
        </w:rPr>
      </w:pPr>
      <w:r>
        <w:rPr>
          <w:rFonts w:ascii="宋体" w:hAnsi="宋体"/>
          <w:szCs w:val="21"/>
        </w:rPr>
        <w:t>5.3.2.1</w:t>
      </w:r>
      <w:r>
        <w:rPr>
          <w:rFonts w:hint="eastAsia" w:ascii="宋体" w:hAnsi="宋体"/>
          <w:szCs w:val="21"/>
        </w:rPr>
        <w:t>评标委员会审查投标文件的实质性内容是否符合招标文件的实质性要求。</w:t>
      </w:r>
    </w:p>
    <w:p>
      <w:pPr>
        <w:spacing w:line="440" w:lineRule="exact"/>
        <w:ind w:firstLine="420" w:firstLineChars="200"/>
        <w:rPr>
          <w:rFonts w:ascii="宋体"/>
          <w:szCs w:val="21"/>
        </w:rPr>
      </w:pPr>
      <w:r>
        <w:rPr>
          <w:rFonts w:ascii="宋体" w:hAnsi="宋体"/>
          <w:szCs w:val="21"/>
        </w:rPr>
        <w:t>5.3.2.2</w:t>
      </w:r>
      <w:r>
        <w:rPr>
          <w:rFonts w:hint="eastAsia" w:ascii="宋体" w:hAnsi="宋体"/>
          <w:szCs w:val="21"/>
        </w:rPr>
        <w:t>评标委员会将根据投标人的资信商务及技术文件进行审查、核对，如有疑问，将对投标人进行询标，投标人要向评标委员会澄清有关问题，并最终以书面形式</w:t>
      </w:r>
      <w:r>
        <w:rPr>
          <w:rFonts w:hint="eastAsia" w:ascii="宋体" w:hAnsi="宋体" w:cs="宋体"/>
          <w:kern w:val="0"/>
          <w:szCs w:val="21"/>
        </w:rPr>
        <w:t>（或通过“政府采购云平台”在线答复）</w:t>
      </w:r>
      <w:r>
        <w:rPr>
          <w:rFonts w:hint="eastAsia" w:ascii="宋体" w:hAnsi="宋体"/>
          <w:szCs w:val="21"/>
        </w:rPr>
        <w:t>进行答复。评委打分可保留一位小数，各投标人的资信商务、技术文件得分为所有评委的有效评分的算术平均数。由指定专人进行计算复核。</w:t>
      </w:r>
    </w:p>
    <w:p>
      <w:pPr>
        <w:spacing w:line="440" w:lineRule="exact"/>
        <w:ind w:firstLine="420" w:firstLineChars="200"/>
        <w:rPr>
          <w:rFonts w:ascii="宋体"/>
          <w:szCs w:val="21"/>
        </w:rPr>
      </w:pPr>
      <w:r>
        <w:rPr>
          <w:rFonts w:ascii="宋体" w:hAnsi="宋体"/>
          <w:szCs w:val="21"/>
        </w:rPr>
        <w:t>5.3.3</w:t>
      </w:r>
      <w:r>
        <w:rPr>
          <w:rFonts w:hint="eastAsia" w:ascii="宋体" w:hAnsi="宋体"/>
          <w:szCs w:val="21"/>
        </w:rPr>
        <w:t>评标委员会将根据投标人的报价文件进行审查、核对，如有疑问，将对投标人进行询标，投标人要向评标委员会澄清有关问题，并最终以书面形式</w:t>
      </w:r>
      <w:r>
        <w:rPr>
          <w:rFonts w:hint="eastAsia" w:ascii="宋体" w:hAnsi="宋体" w:cs="宋体"/>
          <w:kern w:val="0"/>
          <w:szCs w:val="21"/>
        </w:rPr>
        <w:t>（或通过“政府采购云平台”在线答复）</w:t>
      </w:r>
      <w:r>
        <w:rPr>
          <w:rFonts w:hint="eastAsia" w:ascii="宋体" w:hAnsi="宋体"/>
          <w:szCs w:val="21"/>
        </w:rPr>
        <w:t>进行答复。</w:t>
      </w:r>
    </w:p>
    <w:p>
      <w:pPr>
        <w:spacing w:line="440" w:lineRule="exact"/>
        <w:ind w:firstLine="420" w:firstLineChars="200"/>
        <w:jc w:val="left"/>
        <w:rPr>
          <w:rFonts w:ascii="宋体"/>
          <w:szCs w:val="21"/>
        </w:rPr>
      </w:pPr>
      <w:r>
        <w:rPr>
          <w:rFonts w:hint="eastAsia" w:ascii="宋体" w:hAnsi="宋体"/>
          <w:szCs w:val="21"/>
        </w:rPr>
        <w:t>招标代理工作人员协助评标委员会根据本项目的评分标准操作政府采购业务系统，由系统计算各投标人的商务报价得分。</w:t>
      </w:r>
    </w:p>
    <w:p>
      <w:pPr>
        <w:spacing w:line="440" w:lineRule="exact"/>
        <w:ind w:firstLine="420" w:firstLineChars="200"/>
        <w:jc w:val="left"/>
        <w:rPr>
          <w:rFonts w:ascii="宋体"/>
          <w:szCs w:val="21"/>
        </w:rPr>
      </w:pPr>
      <w:r>
        <w:rPr>
          <w:rFonts w:ascii="宋体" w:hAnsi="宋体"/>
          <w:szCs w:val="21"/>
        </w:rPr>
        <w:t>5.3.4</w:t>
      </w:r>
      <w:r>
        <w:rPr>
          <w:rFonts w:hint="eastAsia" w:ascii="宋体" w:hAnsi="宋体"/>
          <w:szCs w:val="21"/>
        </w:rPr>
        <w:t>评标委员会完成评标后，评委对各部分得分汇总，得出本项目最终得分，评标委员会按评标原则推荐中标候选人同时起草评标报告。</w:t>
      </w:r>
    </w:p>
    <w:p>
      <w:pPr>
        <w:spacing w:line="440" w:lineRule="exact"/>
        <w:ind w:firstLine="422" w:firstLineChars="200"/>
        <w:jc w:val="left"/>
        <w:rPr>
          <w:rFonts w:ascii="宋体"/>
          <w:b/>
          <w:szCs w:val="21"/>
        </w:rPr>
      </w:pPr>
      <w:r>
        <w:rPr>
          <w:rFonts w:ascii="宋体" w:hAnsi="宋体"/>
          <w:b/>
          <w:szCs w:val="21"/>
        </w:rPr>
        <w:t>5.4</w:t>
      </w:r>
      <w:r>
        <w:rPr>
          <w:rFonts w:hint="eastAsia" w:ascii="宋体" w:hAnsi="宋体"/>
          <w:b/>
          <w:szCs w:val="21"/>
        </w:rPr>
        <w:t>澄清问题的形式</w:t>
      </w:r>
    </w:p>
    <w:p>
      <w:pPr>
        <w:spacing w:line="440" w:lineRule="exact"/>
        <w:ind w:firstLine="420" w:firstLineChars="200"/>
        <w:jc w:val="left"/>
        <w:rPr>
          <w:rFonts w:ascii="宋体"/>
          <w:szCs w:val="21"/>
        </w:rPr>
      </w:pPr>
      <w:r>
        <w:rPr>
          <w:rFonts w:hint="eastAsia" w:ascii="宋体" w:hAnsi="宋体"/>
          <w:szCs w:val="21"/>
        </w:rPr>
        <w:t>对投标文件中含义不明确、同类问题表述不一致或者有明显文字和计算错误的内容，评标委员会可以书面形式</w:t>
      </w:r>
      <w:r>
        <w:rPr>
          <w:rFonts w:hint="eastAsia" w:ascii="宋体" w:hAnsi="宋体" w:cs="宋体"/>
          <w:kern w:val="0"/>
          <w:szCs w:val="21"/>
        </w:rPr>
        <w:t>（或通过“政府采购云平台”在线询标）</w:t>
      </w:r>
      <w:r>
        <w:rPr>
          <w:rFonts w:hint="eastAsia" w:ascii="宋体" w:hAnsi="宋体"/>
          <w:szCs w:val="21"/>
        </w:rPr>
        <w:t>要</w:t>
      </w:r>
      <w:r>
        <w:rPr>
          <w:rFonts w:hint="eastAsia" w:ascii="宋体"/>
          <w:szCs w:val="21"/>
        </w:rPr>
        <w:t>求投标人作出必要的澄清、说明或者纠正。投标人的澄清、说明或者补正应当采用书面形式</w:t>
      </w:r>
      <w:r>
        <w:rPr>
          <w:rFonts w:hint="eastAsia" w:ascii="宋体" w:hAnsi="宋体" w:cs="宋体"/>
          <w:kern w:val="0"/>
          <w:szCs w:val="21"/>
        </w:rPr>
        <w:t>（或通过“政府采购云平台”在线答复）</w:t>
      </w:r>
      <w:r>
        <w:rPr>
          <w:rFonts w:hint="eastAsia" w:ascii="宋体"/>
          <w:szCs w:val="21"/>
        </w:rPr>
        <w:t>，由其法定代表人或委托代理人签字或盖章确认，并不得超出投标文件的范围或者改变投标文件的实质性内容。</w:t>
      </w:r>
    </w:p>
    <w:p>
      <w:pPr>
        <w:snapToGrid w:val="0"/>
        <w:spacing w:line="440" w:lineRule="exact"/>
        <w:ind w:firstLine="413" w:firstLineChars="196"/>
        <w:jc w:val="left"/>
        <w:outlineLvl w:val="0"/>
        <w:rPr>
          <w:rFonts w:ascii="宋体"/>
          <w:b/>
          <w:szCs w:val="21"/>
        </w:rPr>
      </w:pPr>
      <w:bookmarkStart w:id="22" w:name="_Toc13551"/>
      <w:r>
        <w:rPr>
          <w:rFonts w:ascii="宋体" w:hAnsi="宋体"/>
          <w:b/>
          <w:szCs w:val="21"/>
        </w:rPr>
        <w:t>5.5</w:t>
      </w:r>
      <w:r>
        <w:rPr>
          <w:rFonts w:hint="eastAsia" w:ascii="宋体" w:hAnsi="宋体"/>
          <w:b/>
          <w:szCs w:val="21"/>
        </w:rPr>
        <w:t>错误修正</w:t>
      </w:r>
      <w:bookmarkEnd w:id="22"/>
    </w:p>
    <w:p>
      <w:pPr>
        <w:pStyle w:val="15"/>
        <w:snapToGrid w:val="0"/>
        <w:spacing w:line="440" w:lineRule="exact"/>
        <w:ind w:firstLine="420" w:firstLineChars="200"/>
        <w:rPr>
          <w:rFonts w:hAnsi="宋体"/>
          <w:bCs/>
          <w:sz w:val="21"/>
          <w:szCs w:val="21"/>
        </w:rPr>
      </w:pPr>
      <w:r>
        <w:rPr>
          <w:rFonts w:hint="eastAsia" w:hAnsi="宋体"/>
          <w:bCs/>
          <w:sz w:val="21"/>
          <w:szCs w:val="21"/>
        </w:rPr>
        <w:t>投标文件如果出现计算或表达上的错误，修正错误的原则如下：</w:t>
      </w:r>
    </w:p>
    <w:p>
      <w:pPr>
        <w:pStyle w:val="15"/>
        <w:snapToGrid w:val="0"/>
        <w:spacing w:line="440" w:lineRule="exact"/>
        <w:ind w:firstLine="420" w:firstLineChars="200"/>
        <w:rPr>
          <w:rFonts w:hAnsi="宋体"/>
          <w:bCs/>
          <w:sz w:val="21"/>
          <w:szCs w:val="21"/>
        </w:rPr>
      </w:pPr>
      <w:r>
        <w:rPr>
          <w:rFonts w:hAnsi="宋体"/>
          <w:bCs/>
          <w:sz w:val="21"/>
          <w:szCs w:val="21"/>
        </w:rPr>
        <w:t>5.5.1</w:t>
      </w:r>
      <w:r>
        <w:rPr>
          <w:rFonts w:hint="eastAsia" w:hAnsi="宋体"/>
          <w:bCs/>
          <w:sz w:val="21"/>
          <w:szCs w:val="21"/>
        </w:rPr>
        <w:t>开标一览表总价与投标报价明细表汇总数不一致的，以开标一览表为准；</w:t>
      </w:r>
    </w:p>
    <w:p>
      <w:pPr>
        <w:pStyle w:val="15"/>
        <w:snapToGrid w:val="0"/>
        <w:spacing w:line="440" w:lineRule="exact"/>
        <w:ind w:firstLine="420" w:firstLineChars="200"/>
        <w:rPr>
          <w:rFonts w:hAnsi="宋体"/>
          <w:bCs/>
          <w:sz w:val="21"/>
          <w:szCs w:val="21"/>
        </w:rPr>
      </w:pPr>
      <w:r>
        <w:rPr>
          <w:rFonts w:hAnsi="宋体"/>
          <w:bCs/>
          <w:sz w:val="21"/>
          <w:szCs w:val="21"/>
        </w:rPr>
        <w:t>5.5.2</w:t>
      </w:r>
      <w:r>
        <w:rPr>
          <w:rFonts w:hint="eastAsia" w:hAnsi="宋体"/>
          <w:bCs/>
          <w:sz w:val="21"/>
          <w:szCs w:val="21"/>
        </w:rPr>
        <w:t>投标文件的大写金额和小写金额不一致的，以大写金额为准；</w:t>
      </w:r>
    </w:p>
    <w:p>
      <w:pPr>
        <w:pStyle w:val="15"/>
        <w:snapToGrid w:val="0"/>
        <w:spacing w:line="440" w:lineRule="exact"/>
        <w:ind w:firstLine="420" w:firstLineChars="200"/>
        <w:rPr>
          <w:rFonts w:hAnsi="宋体"/>
          <w:bCs/>
          <w:sz w:val="21"/>
          <w:szCs w:val="21"/>
        </w:rPr>
      </w:pPr>
      <w:r>
        <w:rPr>
          <w:rFonts w:hAnsi="宋体"/>
          <w:bCs/>
          <w:sz w:val="21"/>
          <w:szCs w:val="21"/>
        </w:rPr>
        <w:t>5.5.3</w:t>
      </w:r>
      <w:r>
        <w:rPr>
          <w:rFonts w:hint="eastAsia" w:hAnsi="宋体"/>
          <w:bCs/>
          <w:sz w:val="21"/>
          <w:szCs w:val="21"/>
        </w:rPr>
        <w:t>总价金额与按单价汇总金额不一致的，以单价金额计算结果为准；</w:t>
      </w:r>
    </w:p>
    <w:p>
      <w:pPr>
        <w:pStyle w:val="15"/>
        <w:snapToGrid w:val="0"/>
        <w:spacing w:line="440" w:lineRule="exact"/>
        <w:ind w:firstLine="420" w:firstLineChars="200"/>
        <w:rPr>
          <w:rFonts w:hAnsi="宋体"/>
          <w:bCs/>
          <w:sz w:val="21"/>
          <w:szCs w:val="21"/>
        </w:rPr>
      </w:pPr>
      <w:r>
        <w:rPr>
          <w:rFonts w:hAnsi="宋体"/>
          <w:bCs/>
          <w:sz w:val="21"/>
          <w:szCs w:val="21"/>
        </w:rPr>
        <w:t>5.5.4</w:t>
      </w:r>
      <w:r>
        <w:rPr>
          <w:rFonts w:hint="eastAsia" w:hAnsi="宋体"/>
          <w:bCs/>
          <w:sz w:val="21"/>
          <w:szCs w:val="21"/>
        </w:rPr>
        <w:t>对不同文字文本投标文件的解释发生异议的，以中文文本为准。</w:t>
      </w:r>
    </w:p>
    <w:p>
      <w:pPr>
        <w:pStyle w:val="15"/>
        <w:snapToGrid w:val="0"/>
        <w:spacing w:line="440" w:lineRule="exact"/>
        <w:ind w:firstLine="420" w:firstLineChars="200"/>
        <w:rPr>
          <w:rFonts w:hAnsi="宋体"/>
          <w:bCs/>
          <w:sz w:val="21"/>
          <w:szCs w:val="21"/>
        </w:rPr>
      </w:pPr>
      <w:r>
        <w:rPr>
          <w:rFonts w:hAnsi="宋体"/>
          <w:bCs/>
          <w:sz w:val="21"/>
          <w:szCs w:val="21"/>
        </w:rPr>
        <w:t>5.5.5</w:t>
      </w:r>
      <w:r>
        <w:rPr>
          <w:rFonts w:hint="eastAsia" w:hAnsi="宋体" w:cs="宋体"/>
          <w:b/>
          <w:sz w:val="21"/>
          <w:szCs w:val="21"/>
        </w:rPr>
        <w:t>客户端填写的报价与以</w:t>
      </w:r>
      <w:r>
        <w:rPr>
          <w:rFonts w:hAnsi="宋体" w:cs="宋体"/>
          <w:b/>
          <w:sz w:val="21"/>
          <w:szCs w:val="21"/>
        </w:rPr>
        <w:t>pdf</w:t>
      </w:r>
      <w:r>
        <w:rPr>
          <w:rFonts w:hint="eastAsia" w:hAnsi="宋体" w:cs="宋体"/>
          <w:b/>
          <w:sz w:val="21"/>
          <w:szCs w:val="21"/>
        </w:rPr>
        <w:t>格式上传文件中的报价不一致的，应以</w:t>
      </w:r>
      <w:r>
        <w:rPr>
          <w:rFonts w:hAnsi="宋体" w:cs="宋体"/>
          <w:b/>
          <w:sz w:val="21"/>
          <w:szCs w:val="21"/>
        </w:rPr>
        <w:t>Pdf</w:t>
      </w:r>
      <w:r>
        <w:rPr>
          <w:rFonts w:hint="eastAsia" w:hAnsi="宋体" w:cs="宋体"/>
          <w:b/>
          <w:sz w:val="21"/>
          <w:szCs w:val="21"/>
        </w:rPr>
        <w:t>格式上传文件中的报价为准。</w:t>
      </w:r>
    </w:p>
    <w:p>
      <w:pPr>
        <w:pStyle w:val="15"/>
        <w:snapToGrid w:val="0"/>
        <w:spacing w:line="440" w:lineRule="exact"/>
        <w:ind w:firstLine="420" w:firstLineChars="200"/>
        <w:rPr>
          <w:rFonts w:hAnsi="宋体"/>
          <w:bCs/>
          <w:sz w:val="21"/>
          <w:szCs w:val="21"/>
        </w:rPr>
      </w:pPr>
      <w:r>
        <w:rPr>
          <w:rFonts w:hint="eastAsia" w:hAnsi="宋体"/>
          <w:bCs/>
          <w:sz w:val="21"/>
          <w:szCs w:val="21"/>
        </w:rPr>
        <w:t>按上述修正错误的原则及方法调整或修正投标文件的投标报价，投标人同意并签字确认后，调整后的投标报价对投标人具有约束作用。如果投标人不接受修正后的报价，则其投标将作为无效投标处理。</w:t>
      </w:r>
    </w:p>
    <w:p>
      <w:pPr>
        <w:pStyle w:val="15"/>
        <w:spacing w:line="440" w:lineRule="exact"/>
        <w:ind w:firstLine="422" w:firstLineChars="200"/>
        <w:jc w:val="left"/>
        <w:rPr>
          <w:b/>
          <w:sz w:val="21"/>
          <w:szCs w:val="21"/>
        </w:rPr>
      </w:pPr>
      <w:r>
        <w:rPr>
          <w:b/>
          <w:sz w:val="21"/>
          <w:szCs w:val="21"/>
        </w:rPr>
        <w:t>5.6.</w:t>
      </w:r>
      <w:r>
        <w:rPr>
          <w:rFonts w:hint="eastAsia"/>
          <w:b/>
          <w:sz w:val="21"/>
          <w:szCs w:val="21"/>
        </w:rPr>
        <w:t>评标过程的保密性</w:t>
      </w:r>
    </w:p>
    <w:p>
      <w:pPr>
        <w:pStyle w:val="15"/>
        <w:spacing w:line="440" w:lineRule="exact"/>
        <w:ind w:firstLine="420" w:firstLineChars="200"/>
        <w:jc w:val="left"/>
        <w:rPr>
          <w:sz w:val="21"/>
          <w:szCs w:val="21"/>
        </w:rPr>
      </w:pPr>
      <w:r>
        <w:rPr>
          <w:rFonts w:hint="eastAsia"/>
          <w:sz w:val="21"/>
          <w:szCs w:val="21"/>
        </w:rPr>
        <w:t>凡是属于审查、澄清、评审和比较的有关资料以及授标建议，任何人均不得向投标人或其他无关的人员透露。投标人在评标过程中，所进行的力图影响评标结果的不公正活动，可能导致其投标被拒绝。</w:t>
      </w:r>
    </w:p>
    <w:p>
      <w:pPr>
        <w:shd w:val="clear" w:color="auto" w:fill="FFFFFF"/>
        <w:snapToGrid w:val="0"/>
        <w:spacing w:line="440" w:lineRule="exact"/>
        <w:ind w:firstLine="422" w:firstLineChars="200"/>
        <w:rPr>
          <w:rFonts w:ascii="宋体"/>
          <w:b/>
          <w:kern w:val="0"/>
          <w:szCs w:val="21"/>
        </w:rPr>
      </w:pPr>
      <w:r>
        <w:rPr>
          <w:rFonts w:ascii="宋体"/>
          <w:b/>
          <w:kern w:val="0"/>
          <w:szCs w:val="21"/>
        </w:rPr>
        <w:t>5.7</w:t>
      </w:r>
      <w:r>
        <w:rPr>
          <w:rFonts w:hint="eastAsia" w:ascii="宋体"/>
          <w:b/>
          <w:kern w:val="0"/>
          <w:szCs w:val="21"/>
        </w:rPr>
        <w:t>废标</w:t>
      </w:r>
    </w:p>
    <w:p>
      <w:pPr>
        <w:shd w:val="clear" w:color="auto" w:fill="FFFFFF"/>
        <w:snapToGrid w:val="0"/>
        <w:spacing w:line="440" w:lineRule="exact"/>
        <w:ind w:firstLine="422" w:firstLineChars="200"/>
        <w:rPr>
          <w:rFonts w:ascii="宋体"/>
          <w:b/>
          <w:kern w:val="0"/>
          <w:szCs w:val="21"/>
        </w:rPr>
      </w:pPr>
      <w:r>
        <w:rPr>
          <w:rFonts w:hint="eastAsia" w:ascii="宋体"/>
          <w:b/>
          <w:kern w:val="0"/>
          <w:szCs w:val="21"/>
        </w:rPr>
        <w:t>在采购中，出现下列情形之一的，应予废标：</w:t>
      </w:r>
    </w:p>
    <w:p>
      <w:pPr>
        <w:pStyle w:val="12"/>
        <w:snapToGrid w:val="0"/>
        <w:spacing w:line="440" w:lineRule="exact"/>
        <w:ind w:firstLine="406" w:firstLineChars="200"/>
        <w:rPr>
          <w:rFonts w:hAnsi="宋体" w:cs="宋体"/>
          <w:b/>
          <w:sz w:val="21"/>
          <w:szCs w:val="21"/>
        </w:rPr>
      </w:pPr>
      <w:r>
        <w:rPr>
          <w:rFonts w:hAnsi="宋体" w:cs="宋体"/>
          <w:b/>
          <w:sz w:val="21"/>
          <w:szCs w:val="21"/>
        </w:rPr>
        <w:t>(1)</w:t>
      </w:r>
      <w:r>
        <w:rPr>
          <w:rFonts w:hint="eastAsia" w:hAnsi="宋体" w:cs="宋体"/>
          <w:b/>
          <w:sz w:val="21"/>
          <w:szCs w:val="21"/>
        </w:rPr>
        <w:t>出现影响采购公正的违法、违规行为的；</w:t>
      </w:r>
    </w:p>
    <w:p>
      <w:pPr>
        <w:pStyle w:val="12"/>
        <w:snapToGrid w:val="0"/>
        <w:spacing w:line="440" w:lineRule="exact"/>
        <w:ind w:firstLine="406" w:firstLineChars="200"/>
        <w:rPr>
          <w:rFonts w:hAnsi="宋体" w:cs="宋体"/>
          <w:b/>
          <w:sz w:val="21"/>
          <w:szCs w:val="21"/>
        </w:rPr>
      </w:pPr>
      <w:r>
        <w:rPr>
          <w:rFonts w:hAnsi="宋体" w:cs="宋体"/>
          <w:b/>
          <w:sz w:val="21"/>
          <w:szCs w:val="21"/>
        </w:rPr>
        <w:t>(2)</w:t>
      </w:r>
      <w:r>
        <w:rPr>
          <w:rFonts w:hint="eastAsia" w:hAnsi="宋体" w:cs="宋体"/>
          <w:b/>
          <w:sz w:val="21"/>
          <w:szCs w:val="21"/>
        </w:rPr>
        <w:t>报价均超过最高限价，不能支付的；</w:t>
      </w:r>
    </w:p>
    <w:p>
      <w:pPr>
        <w:pStyle w:val="12"/>
        <w:snapToGrid w:val="0"/>
        <w:spacing w:line="440" w:lineRule="exact"/>
        <w:ind w:firstLine="300" w:firstLineChars="148"/>
        <w:rPr>
          <w:rFonts w:hAnsi="宋体" w:cs="宋体"/>
          <w:b/>
          <w:sz w:val="21"/>
          <w:szCs w:val="21"/>
        </w:rPr>
      </w:pPr>
      <w:r>
        <w:rPr>
          <w:rFonts w:hint="eastAsia" w:hAnsi="宋体" w:cs="宋体"/>
          <w:b/>
          <w:sz w:val="21"/>
          <w:szCs w:val="21"/>
        </w:rPr>
        <w:t>（</w:t>
      </w:r>
      <w:r>
        <w:rPr>
          <w:rFonts w:hAnsi="宋体" w:cs="宋体"/>
          <w:b/>
          <w:sz w:val="21"/>
          <w:szCs w:val="21"/>
        </w:rPr>
        <w:t>3</w:t>
      </w:r>
      <w:r>
        <w:rPr>
          <w:rFonts w:hint="eastAsia" w:hAnsi="宋体" w:cs="宋体"/>
          <w:b/>
          <w:sz w:val="21"/>
          <w:szCs w:val="21"/>
        </w:rPr>
        <w:t>）有效供应商少于</w:t>
      </w:r>
      <w:r>
        <w:rPr>
          <w:rFonts w:hAnsi="宋体" w:cs="宋体"/>
          <w:b/>
          <w:sz w:val="21"/>
          <w:szCs w:val="21"/>
        </w:rPr>
        <w:t>3</w:t>
      </w:r>
      <w:r>
        <w:rPr>
          <w:rFonts w:hint="eastAsia" w:hAnsi="宋体" w:cs="宋体"/>
          <w:b/>
          <w:sz w:val="21"/>
          <w:szCs w:val="21"/>
        </w:rPr>
        <w:t>家的；</w:t>
      </w:r>
    </w:p>
    <w:p>
      <w:pPr>
        <w:shd w:val="clear" w:color="auto" w:fill="FFFFFF"/>
        <w:snapToGrid w:val="0"/>
        <w:spacing w:line="440" w:lineRule="exact"/>
        <w:ind w:firstLine="422" w:firstLineChars="200"/>
        <w:rPr>
          <w:rFonts w:ascii="宋体" w:cs="宋体"/>
          <w:b/>
          <w:bCs/>
          <w:szCs w:val="21"/>
        </w:rPr>
      </w:pPr>
      <w:r>
        <w:rPr>
          <w:rFonts w:ascii="宋体" w:hAnsi="宋体" w:cs="宋体"/>
          <w:b/>
          <w:szCs w:val="21"/>
        </w:rPr>
        <w:t>(4)</w:t>
      </w:r>
      <w:r>
        <w:rPr>
          <w:rFonts w:hint="eastAsia" w:ascii="宋体" w:hAnsi="宋体" w:cs="宋体"/>
          <w:b/>
          <w:szCs w:val="21"/>
        </w:rPr>
        <w:t>因重大变故，采购任务取消的。</w:t>
      </w:r>
    </w:p>
    <w:p>
      <w:pPr>
        <w:pStyle w:val="5"/>
        <w:spacing w:before="0" w:after="0" w:line="440" w:lineRule="exact"/>
        <w:ind w:firstLine="422"/>
        <w:rPr>
          <w:rFonts w:ascii="宋体" w:hAnsi="宋体" w:eastAsia="宋体" w:cs="宋体"/>
          <w:sz w:val="21"/>
          <w:szCs w:val="21"/>
        </w:rPr>
      </w:pPr>
      <w:r>
        <w:rPr>
          <w:rFonts w:ascii="宋体" w:hAnsi="宋体" w:eastAsia="宋体" w:cs="宋体"/>
          <w:sz w:val="21"/>
          <w:szCs w:val="21"/>
        </w:rPr>
        <w:t>5.8</w:t>
      </w:r>
      <w:r>
        <w:rPr>
          <w:rFonts w:hint="eastAsia" w:ascii="宋体" w:hAnsi="宋体" w:eastAsia="宋体" w:cs="宋体"/>
          <w:sz w:val="21"/>
          <w:szCs w:val="21"/>
        </w:rPr>
        <w:t>可中止电子交易活动的情形</w:t>
      </w:r>
    </w:p>
    <w:p>
      <w:pPr>
        <w:spacing w:line="440" w:lineRule="exact"/>
        <w:ind w:firstLine="422" w:firstLineChars="200"/>
        <w:rPr>
          <w:rFonts w:ascii="宋体" w:cs="宋体"/>
          <w:szCs w:val="21"/>
        </w:rPr>
      </w:pPr>
      <w:r>
        <w:rPr>
          <w:rFonts w:hint="eastAsia" w:ascii="宋体" w:hAnsi="宋体" w:cs="宋体"/>
          <w:b/>
          <w:szCs w:val="21"/>
        </w:rPr>
        <w:t>采购过程中出现以下情形，导致电子交易平台无法正常运行，或者无法保证电子交易的公平、公正和安全时，采购组织机构可中止电子交易活动：</w:t>
      </w:r>
    </w:p>
    <w:p>
      <w:pPr>
        <w:spacing w:line="440" w:lineRule="exact"/>
        <w:ind w:firstLine="420" w:firstLineChars="200"/>
        <w:rPr>
          <w:rFonts w:ascii="宋体" w:cs="宋体"/>
          <w:szCs w:val="21"/>
        </w:rPr>
      </w:pPr>
      <w:r>
        <w:rPr>
          <w:rFonts w:ascii="宋体" w:hAnsi="宋体" w:cs="宋体"/>
          <w:szCs w:val="21"/>
        </w:rPr>
        <w:t>5.8.1</w:t>
      </w:r>
      <w:r>
        <w:rPr>
          <w:rFonts w:hint="eastAsia" w:ascii="宋体" w:hAnsi="宋体" w:cs="宋体"/>
          <w:szCs w:val="21"/>
        </w:rPr>
        <w:t>电子交易平台发生故障而无法登录访问的；</w:t>
      </w:r>
    </w:p>
    <w:p>
      <w:pPr>
        <w:spacing w:line="440" w:lineRule="exact"/>
        <w:ind w:firstLine="420" w:firstLineChars="200"/>
        <w:rPr>
          <w:rFonts w:ascii="宋体" w:cs="宋体"/>
          <w:szCs w:val="21"/>
        </w:rPr>
      </w:pPr>
      <w:r>
        <w:rPr>
          <w:rFonts w:ascii="宋体" w:hAnsi="宋体" w:cs="宋体"/>
          <w:szCs w:val="21"/>
        </w:rPr>
        <w:t>5.8.2</w:t>
      </w:r>
      <w:r>
        <w:rPr>
          <w:rFonts w:hint="eastAsia" w:ascii="宋体" w:hAnsi="宋体" w:cs="宋体"/>
          <w:szCs w:val="21"/>
        </w:rPr>
        <w:t>电子交易平台应用或数据库出现错误，不能进行正常操作的；</w:t>
      </w:r>
    </w:p>
    <w:p>
      <w:pPr>
        <w:spacing w:line="440" w:lineRule="exact"/>
        <w:ind w:firstLine="420" w:firstLineChars="200"/>
        <w:rPr>
          <w:rFonts w:ascii="宋体" w:cs="宋体"/>
          <w:szCs w:val="21"/>
        </w:rPr>
      </w:pPr>
      <w:r>
        <w:rPr>
          <w:rFonts w:ascii="宋体" w:hAnsi="宋体" w:cs="宋体"/>
          <w:szCs w:val="21"/>
        </w:rPr>
        <w:t>5.8.3</w:t>
      </w:r>
      <w:r>
        <w:rPr>
          <w:rFonts w:hint="eastAsia" w:ascii="宋体" w:hAnsi="宋体" w:cs="宋体"/>
          <w:szCs w:val="21"/>
        </w:rPr>
        <w:t>电子交易平台发现严重安全漏洞，有潜在泄密危险的；</w:t>
      </w:r>
    </w:p>
    <w:p>
      <w:pPr>
        <w:spacing w:line="440" w:lineRule="exact"/>
        <w:ind w:firstLine="420" w:firstLineChars="200"/>
        <w:rPr>
          <w:rFonts w:ascii="宋体" w:cs="宋体"/>
          <w:szCs w:val="21"/>
        </w:rPr>
      </w:pPr>
      <w:r>
        <w:rPr>
          <w:rFonts w:ascii="宋体" w:hAnsi="宋体" w:cs="宋体"/>
          <w:szCs w:val="21"/>
        </w:rPr>
        <w:t>5.8.4</w:t>
      </w:r>
      <w:r>
        <w:rPr>
          <w:rFonts w:hint="eastAsia" w:ascii="宋体" w:hAnsi="宋体" w:cs="宋体"/>
          <w:szCs w:val="21"/>
        </w:rPr>
        <w:t>病毒发作导致不能进行正常操作的；</w:t>
      </w:r>
    </w:p>
    <w:p>
      <w:pPr>
        <w:spacing w:line="440" w:lineRule="exact"/>
        <w:ind w:firstLine="420" w:firstLineChars="200"/>
        <w:rPr>
          <w:rFonts w:ascii="宋体" w:cs="宋体"/>
          <w:szCs w:val="21"/>
        </w:rPr>
      </w:pPr>
      <w:r>
        <w:rPr>
          <w:rFonts w:ascii="宋体" w:hAnsi="宋体" w:cs="宋体"/>
          <w:szCs w:val="21"/>
        </w:rPr>
        <w:t>5.8.5</w:t>
      </w:r>
      <w:r>
        <w:rPr>
          <w:rFonts w:hint="eastAsia" w:ascii="宋体" w:hAnsi="宋体" w:cs="宋体"/>
          <w:szCs w:val="21"/>
        </w:rPr>
        <w:t>其他无法保证电子交易的公平、公正和安全的情况。</w:t>
      </w:r>
    </w:p>
    <w:p>
      <w:pPr>
        <w:spacing w:line="440" w:lineRule="exact"/>
        <w:ind w:firstLine="422" w:firstLineChars="200"/>
        <w:rPr>
          <w:rFonts w:ascii="宋体" w:cs="宋体"/>
          <w:b/>
          <w:szCs w:val="21"/>
        </w:rPr>
      </w:pPr>
      <w:r>
        <w:rPr>
          <w:rFonts w:hint="eastAsia" w:ascii="宋体" w:hAnsi="宋体" w:cs="宋体"/>
          <w:b/>
          <w:szCs w:val="21"/>
        </w:rPr>
        <w:t>出现前款规定情形，不影响采购公平、公正性的，采购组织机构可以待上述情形消除后继续组织电子交易活动；影响或可能影响采购公平、公正性的，应当重新采购。</w:t>
      </w:r>
    </w:p>
    <w:p>
      <w:pPr>
        <w:spacing w:line="440" w:lineRule="exact"/>
        <w:ind w:firstLine="422" w:firstLineChars="200"/>
        <w:rPr>
          <w:b/>
          <w:szCs w:val="21"/>
        </w:rPr>
      </w:pPr>
      <w:r>
        <w:rPr>
          <w:b/>
          <w:szCs w:val="21"/>
        </w:rPr>
        <w:t>5.9.</w:t>
      </w:r>
      <w:r>
        <w:rPr>
          <w:rFonts w:hint="eastAsia"/>
          <w:b/>
          <w:szCs w:val="21"/>
        </w:rPr>
        <w:t>无效标条款</w:t>
      </w:r>
    </w:p>
    <w:p>
      <w:pPr>
        <w:snapToGrid w:val="0"/>
        <w:spacing w:line="440" w:lineRule="exact"/>
        <w:ind w:firstLine="420" w:firstLineChars="200"/>
        <w:jc w:val="left"/>
        <w:rPr>
          <w:rFonts w:ascii="宋体"/>
          <w:szCs w:val="21"/>
        </w:rPr>
      </w:pPr>
      <w:r>
        <w:rPr>
          <w:rFonts w:ascii="宋体" w:hAnsi="宋体"/>
          <w:szCs w:val="21"/>
        </w:rPr>
        <w:t>5.9.1</w:t>
      </w:r>
      <w:r>
        <w:rPr>
          <w:rFonts w:hint="eastAsia" w:ascii="宋体" w:hAnsi="宋体"/>
          <w:szCs w:val="21"/>
        </w:rPr>
        <w:t>根据《政府采购货物和服务招标投标管理办法》有下列情形之一的，视为投标人串通投标，其投标无效：</w:t>
      </w:r>
    </w:p>
    <w:p>
      <w:pPr>
        <w:snapToGrid w:val="0"/>
        <w:spacing w:line="440" w:lineRule="exact"/>
        <w:ind w:firstLine="420" w:firstLineChars="200"/>
        <w:jc w:val="left"/>
        <w:rPr>
          <w:rFonts w:ascii="宋体"/>
          <w:szCs w:val="21"/>
        </w:rPr>
      </w:pPr>
      <w:r>
        <w:rPr>
          <w:rFonts w:ascii="宋体" w:hAnsi="宋体"/>
          <w:szCs w:val="21"/>
        </w:rPr>
        <w:t>(</w:t>
      </w:r>
      <w:r>
        <w:rPr>
          <w:rFonts w:hint="eastAsia" w:ascii="宋体" w:hAnsi="宋体"/>
          <w:szCs w:val="21"/>
        </w:rPr>
        <w:t>一</w:t>
      </w:r>
      <w:r>
        <w:rPr>
          <w:rFonts w:ascii="宋体" w:hAnsi="宋体"/>
          <w:szCs w:val="21"/>
        </w:rPr>
        <w:t>)</w:t>
      </w:r>
      <w:r>
        <w:rPr>
          <w:rFonts w:hint="eastAsia" w:ascii="宋体" w:hAnsi="宋体"/>
          <w:szCs w:val="21"/>
        </w:rPr>
        <w:t>不同投标人的投标文件由同一单位或者个人编制</w:t>
      </w:r>
      <w:r>
        <w:rPr>
          <w:rFonts w:ascii="宋体" w:hAnsi="宋体"/>
          <w:szCs w:val="21"/>
        </w:rPr>
        <w:t>;</w:t>
      </w:r>
    </w:p>
    <w:p>
      <w:pPr>
        <w:snapToGrid w:val="0"/>
        <w:spacing w:line="440" w:lineRule="exact"/>
        <w:ind w:firstLine="420" w:firstLineChars="200"/>
        <w:jc w:val="left"/>
        <w:rPr>
          <w:rFonts w:ascii="宋体"/>
          <w:szCs w:val="21"/>
        </w:rPr>
      </w:pPr>
      <w:r>
        <w:rPr>
          <w:rFonts w:ascii="宋体" w:hAnsi="宋体"/>
          <w:szCs w:val="21"/>
        </w:rPr>
        <w:t>(</w:t>
      </w:r>
      <w:r>
        <w:rPr>
          <w:rFonts w:hint="eastAsia" w:ascii="宋体" w:hAnsi="宋体"/>
          <w:szCs w:val="21"/>
        </w:rPr>
        <w:t>二</w:t>
      </w:r>
      <w:r>
        <w:rPr>
          <w:rFonts w:ascii="宋体" w:hAnsi="宋体"/>
          <w:szCs w:val="21"/>
        </w:rPr>
        <w:t>)</w:t>
      </w:r>
      <w:r>
        <w:rPr>
          <w:rFonts w:hint="eastAsia" w:ascii="宋体" w:hAnsi="宋体"/>
          <w:szCs w:val="21"/>
        </w:rPr>
        <w:t>不同投标人委托同一单位或者个人办理投标事宜</w:t>
      </w:r>
      <w:r>
        <w:rPr>
          <w:rFonts w:ascii="宋体" w:hAnsi="宋体"/>
          <w:szCs w:val="21"/>
        </w:rPr>
        <w:t>;</w:t>
      </w:r>
    </w:p>
    <w:p>
      <w:pPr>
        <w:snapToGrid w:val="0"/>
        <w:spacing w:line="440" w:lineRule="exact"/>
        <w:ind w:firstLine="420" w:firstLineChars="200"/>
        <w:jc w:val="left"/>
        <w:rPr>
          <w:rFonts w:ascii="宋体"/>
          <w:szCs w:val="21"/>
        </w:rPr>
      </w:pPr>
      <w:r>
        <w:rPr>
          <w:rFonts w:ascii="宋体" w:hAnsi="宋体"/>
          <w:szCs w:val="21"/>
        </w:rPr>
        <w:t>(</w:t>
      </w:r>
      <w:r>
        <w:rPr>
          <w:rFonts w:hint="eastAsia" w:ascii="宋体" w:hAnsi="宋体"/>
          <w:szCs w:val="21"/>
        </w:rPr>
        <w:t>三</w:t>
      </w:r>
      <w:r>
        <w:rPr>
          <w:rFonts w:ascii="宋体" w:hAnsi="宋体"/>
          <w:szCs w:val="21"/>
        </w:rPr>
        <w:t>)</w:t>
      </w:r>
      <w:r>
        <w:rPr>
          <w:rFonts w:hint="eastAsia" w:ascii="宋体" w:hAnsi="宋体"/>
          <w:szCs w:val="21"/>
        </w:rPr>
        <w:t>不同投标人的投标文件载明的项目管理成员或者联系人员为同一人</w:t>
      </w:r>
      <w:r>
        <w:rPr>
          <w:rFonts w:ascii="宋体" w:hAnsi="宋体"/>
          <w:szCs w:val="21"/>
        </w:rPr>
        <w:t>;</w:t>
      </w:r>
    </w:p>
    <w:p>
      <w:pPr>
        <w:snapToGrid w:val="0"/>
        <w:spacing w:line="440" w:lineRule="exact"/>
        <w:ind w:firstLine="420" w:firstLineChars="200"/>
        <w:jc w:val="left"/>
        <w:rPr>
          <w:rFonts w:ascii="宋体"/>
          <w:szCs w:val="21"/>
        </w:rPr>
      </w:pPr>
      <w:r>
        <w:rPr>
          <w:rFonts w:ascii="宋体" w:hAnsi="宋体"/>
          <w:szCs w:val="21"/>
        </w:rPr>
        <w:t>(</w:t>
      </w:r>
      <w:r>
        <w:rPr>
          <w:rFonts w:hint="eastAsia" w:ascii="宋体" w:hAnsi="宋体"/>
          <w:szCs w:val="21"/>
        </w:rPr>
        <w:t>四</w:t>
      </w:r>
      <w:r>
        <w:rPr>
          <w:rFonts w:ascii="宋体" w:hAnsi="宋体"/>
          <w:szCs w:val="21"/>
        </w:rPr>
        <w:t>)</w:t>
      </w:r>
      <w:r>
        <w:rPr>
          <w:rFonts w:hint="eastAsia" w:ascii="宋体" w:hAnsi="宋体"/>
          <w:szCs w:val="21"/>
        </w:rPr>
        <w:t>不同投标人的投标文件异常一致或者投标报价呈规律性差异</w:t>
      </w:r>
      <w:r>
        <w:rPr>
          <w:rFonts w:ascii="宋体" w:hAnsi="宋体"/>
          <w:szCs w:val="21"/>
        </w:rPr>
        <w:t>;</w:t>
      </w:r>
    </w:p>
    <w:p>
      <w:pPr>
        <w:snapToGrid w:val="0"/>
        <w:spacing w:line="440" w:lineRule="exact"/>
        <w:ind w:firstLine="420" w:firstLineChars="200"/>
        <w:jc w:val="left"/>
        <w:rPr>
          <w:rFonts w:ascii="宋体"/>
          <w:szCs w:val="21"/>
        </w:rPr>
      </w:pPr>
      <w:r>
        <w:rPr>
          <w:rFonts w:ascii="宋体" w:hAnsi="宋体"/>
          <w:szCs w:val="21"/>
        </w:rPr>
        <w:t>(</w:t>
      </w:r>
      <w:r>
        <w:rPr>
          <w:rFonts w:hint="eastAsia" w:ascii="宋体" w:hAnsi="宋体"/>
          <w:szCs w:val="21"/>
        </w:rPr>
        <w:t>五</w:t>
      </w:r>
      <w:r>
        <w:rPr>
          <w:rFonts w:ascii="宋体" w:hAnsi="宋体"/>
          <w:szCs w:val="21"/>
        </w:rPr>
        <w:t>)</w:t>
      </w:r>
      <w:r>
        <w:rPr>
          <w:rFonts w:hint="eastAsia" w:ascii="宋体" w:hAnsi="宋体"/>
          <w:szCs w:val="21"/>
        </w:rPr>
        <w:t>不同投标人的投标文件相互混装</w:t>
      </w:r>
      <w:r>
        <w:rPr>
          <w:rFonts w:ascii="宋体" w:hAnsi="宋体"/>
          <w:szCs w:val="21"/>
        </w:rPr>
        <w:t>;</w:t>
      </w:r>
    </w:p>
    <w:p>
      <w:pPr>
        <w:pStyle w:val="15"/>
        <w:spacing w:line="440" w:lineRule="exact"/>
        <w:ind w:firstLine="420" w:firstLineChars="200"/>
        <w:jc w:val="left"/>
        <w:rPr>
          <w:sz w:val="21"/>
          <w:szCs w:val="21"/>
        </w:rPr>
      </w:pPr>
      <w:r>
        <w:rPr>
          <w:sz w:val="21"/>
          <w:szCs w:val="21"/>
        </w:rPr>
        <w:t>5.9.2</w:t>
      </w:r>
      <w:r>
        <w:rPr>
          <w:rFonts w:hint="eastAsia"/>
          <w:sz w:val="21"/>
          <w:szCs w:val="21"/>
        </w:rPr>
        <w:t>实质上没有响应招标文件要求的投标将被拒绝。投标人不得通过修正或撤消不合要求的偏离或保留从而使其投标成为实质上响应的投标，但经评标委员会认定属于投标人疏忽、笔误所造成的差错，应当允许其在评标结束之前进行修改或者补正（可以是复印件、传真件等，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spacing w:line="440" w:lineRule="exact"/>
        <w:ind w:firstLine="422" w:firstLineChars="200"/>
        <w:rPr>
          <w:rFonts w:ascii="宋体"/>
          <w:b/>
          <w:bCs/>
          <w:szCs w:val="21"/>
        </w:rPr>
      </w:pPr>
      <w:r>
        <w:rPr>
          <w:rFonts w:hint="eastAsia" w:ascii="宋体" w:hAnsi="宋体"/>
          <w:b/>
          <w:bCs/>
          <w:szCs w:val="21"/>
        </w:rPr>
        <w:t>没有通过资格审查的，投标文件将被视为无效。</w:t>
      </w:r>
    </w:p>
    <w:p>
      <w:pPr>
        <w:pStyle w:val="12"/>
        <w:adjustRightInd w:val="0"/>
        <w:snapToGrid w:val="0"/>
        <w:spacing w:line="440" w:lineRule="exact"/>
        <w:ind w:firstLine="422" w:firstLineChars="200"/>
        <w:rPr>
          <w:b/>
          <w:spacing w:val="0"/>
          <w:sz w:val="21"/>
          <w:szCs w:val="21"/>
        </w:rPr>
      </w:pPr>
      <w:r>
        <w:rPr>
          <w:b/>
          <w:spacing w:val="0"/>
          <w:sz w:val="21"/>
          <w:szCs w:val="21"/>
        </w:rPr>
        <w:t>5.9.3</w:t>
      </w:r>
      <w:r>
        <w:rPr>
          <w:rFonts w:hint="eastAsia"/>
          <w:b/>
          <w:spacing w:val="0"/>
          <w:sz w:val="21"/>
          <w:szCs w:val="21"/>
        </w:rPr>
        <w:t>在符合性审查和商务评审时，如发现下列情形之一的，投标文件将被视为无效：</w:t>
      </w:r>
    </w:p>
    <w:p>
      <w:pPr>
        <w:pStyle w:val="12"/>
        <w:adjustRightInd w:val="0"/>
        <w:snapToGrid w:val="0"/>
        <w:spacing w:line="440" w:lineRule="exact"/>
        <w:ind w:firstLine="420" w:firstLineChars="200"/>
        <w:rPr>
          <w:spacing w:val="0"/>
          <w:sz w:val="21"/>
          <w:szCs w:val="21"/>
        </w:rPr>
      </w:pPr>
      <w:r>
        <w:rPr>
          <w:spacing w:val="0"/>
          <w:sz w:val="21"/>
          <w:szCs w:val="21"/>
        </w:rPr>
        <w:t>a</w:t>
      </w:r>
      <w:r>
        <w:rPr>
          <w:rFonts w:hint="eastAsia"/>
          <w:spacing w:val="0"/>
          <w:sz w:val="21"/>
          <w:szCs w:val="21"/>
        </w:rPr>
        <w:t>、资格证明文件不全的，或者不符合招标文件标明的资格要求的；</w:t>
      </w:r>
    </w:p>
    <w:p>
      <w:pPr>
        <w:pStyle w:val="12"/>
        <w:adjustRightInd w:val="0"/>
        <w:snapToGrid w:val="0"/>
        <w:spacing w:line="440" w:lineRule="exact"/>
        <w:ind w:firstLine="420" w:firstLineChars="200"/>
        <w:rPr>
          <w:spacing w:val="0"/>
          <w:sz w:val="21"/>
          <w:szCs w:val="21"/>
        </w:rPr>
      </w:pPr>
      <w:r>
        <w:rPr>
          <w:spacing w:val="0"/>
          <w:sz w:val="21"/>
          <w:szCs w:val="21"/>
        </w:rPr>
        <w:t>b</w:t>
      </w:r>
      <w:r>
        <w:rPr>
          <w:rFonts w:hint="eastAsia"/>
          <w:spacing w:val="0"/>
          <w:sz w:val="21"/>
          <w:szCs w:val="21"/>
        </w:rPr>
        <w:t>、投标文件无法定代表人（或委托代理人）签字</w:t>
      </w:r>
      <w:r>
        <w:rPr>
          <w:spacing w:val="0"/>
          <w:sz w:val="21"/>
          <w:szCs w:val="21"/>
        </w:rPr>
        <w:t>,</w:t>
      </w:r>
      <w:r>
        <w:rPr>
          <w:rFonts w:hint="eastAsia"/>
          <w:spacing w:val="0"/>
          <w:sz w:val="21"/>
          <w:szCs w:val="21"/>
        </w:rPr>
        <w:t>或未提供法定代表人授权委托书、投标声明书或者填写项目不齐全的；</w:t>
      </w:r>
    </w:p>
    <w:p>
      <w:pPr>
        <w:pStyle w:val="12"/>
        <w:adjustRightInd w:val="0"/>
        <w:snapToGrid w:val="0"/>
        <w:spacing w:line="440" w:lineRule="exact"/>
        <w:ind w:firstLine="420" w:firstLineChars="200"/>
        <w:rPr>
          <w:spacing w:val="0"/>
          <w:sz w:val="21"/>
          <w:szCs w:val="21"/>
        </w:rPr>
      </w:pPr>
      <w:r>
        <w:rPr>
          <w:spacing w:val="0"/>
          <w:sz w:val="21"/>
          <w:szCs w:val="21"/>
        </w:rPr>
        <w:t>c</w:t>
      </w:r>
      <w:r>
        <w:rPr>
          <w:rFonts w:hint="eastAsia"/>
          <w:spacing w:val="0"/>
          <w:sz w:val="21"/>
          <w:szCs w:val="21"/>
        </w:rPr>
        <w:t>、投标代表人未能出具身份证明或与法定代表人授权委托人身份不符的；</w:t>
      </w:r>
      <w:r>
        <w:rPr>
          <w:spacing w:val="0"/>
          <w:sz w:val="21"/>
          <w:szCs w:val="21"/>
        </w:rPr>
        <w:t xml:space="preserve"> </w:t>
      </w:r>
    </w:p>
    <w:p>
      <w:pPr>
        <w:pStyle w:val="12"/>
        <w:adjustRightInd w:val="0"/>
        <w:snapToGrid w:val="0"/>
        <w:spacing w:line="440" w:lineRule="exact"/>
        <w:ind w:firstLine="420" w:firstLineChars="200"/>
        <w:rPr>
          <w:spacing w:val="0"/>
          <w:sz w:val="21"/>
          <w:szCs w:val="21"/>
        </w:rPr>
      </w:pPr>
      <w:r>
        <w:rPr>
          <w:spacing w:val="0"/>
          <w:sz w:val="21"/>
          <w:szCs w:val="21"/>
        </w:rPr>
        <w:t>d</w:t>
      </w:r>
      <w:r>
        <w:rPr>
          <w:rFonts w:hint="eastAsia"/>
          <w:spacing w:val="0"/>
          <w:sz w:val="21"/>
          <w:szCs w:val="21"/>
        </w:rPr>
        <w:t>、</w:t>
      </w:r>
      <w:r>
        <w:rPr>
          <w:rFonts w:hint="eastAsia" w:hAnsi="宋体"/>
          <w:snapToGrid w:val="0"/>
          <w:sz w:val="21"/>
          <w:szCs w:val="21"/>
        </w:rPr>
        <w:t>投标有效期、交货时间、质保期等商务条款不能满足招标文件要求的；</w:t>
      </w:r>
    </w:p>
    <w:p>
      <w:pPr>
        <w:pStyle w:val="12"/>
        <w:adjustRightInd w:val="0"/>
        <w:snapToGrid w:val="0"/>
        <w:spacing w:line="440" w:lineRule="exact"/>
        <w:ind w:firstLine="420" w:firstLineChars="200"/>
        <w:rPr>
          <w:spacing w:val="0"/>
          <w:sz w:val="21"/>
          <w:szCs w:val="21"/>
        </w:rPr>
      </w:pPr>
      <w:r>
        <w:rPr>
          <w:spacing w:val="0"/>
          <w:sz w:val="21"/>
          <w:szCs w:val="21"/>
        </w:rPr>
        <w:t>e</w:t>
      </w:r>
      <w:r>
        <w:rPr>
          <w:rFonts w:hint="eastAsia"/>
          <w:spacing w:val="0"/>
          <w:sz w:val="21"/>
          <w:szCs w:val="21"/>
        </w:rPr>
        <w:t>、投标文件组成漏项或未按规定的格式编制，内容不全或内容字迹模糊辨认不清的；</w:t>
      </w:r>
    </w:p>
    <w:p>
      <w:pPr>
        <w:pStyle w:val="12"/>
        <w:adjustRightInd w:val="0"/>
        <w:snapToGrid w:val="0"/>
        <w:spacing w:line="440" w:lineRule="exact"/>
        <w:ind w:firstLine="420" w:firstLineChars="200"/>
        <w:rPr>
          <w:spacing w:val="0"/>
          <w:sz w:val="21"/>
          <w:szCs w:val="21"/>
        </w:rPr>
      </w:pPr>
      <w:r>
        <w:rPr>
          <w:spacing w:val="0"/>
          <w:sz w:val="21"/>
          <w:szCs w:val="21"/>
        </w:rPr>
        <w:t>f</w:t>
      </w:r>
      <w:r>
        <w:rPr>
          <w:rFonts w:hint="eastAsia"/>
          <w:spacing w:val="0"/>
          <w:sz w:val="21"/>
          <w:szCs w:val="21"/>
        </w:rPr>
        <w:t>、未实质性响应招标文件要求或者投标文件有招标人不能接受的附加条件的。</w:t>
      </w:r>
    </w:p>
    <w:p>
      <w:pPr>
        <w:pStyle w:val="12"/>
        <w:adjustRightInd w:val="0"/>
        <w:snapToGrid w:val="0"/>
        <w:spacing w:line="440" w:lineRule="exact"/>
        <w:ind w:firstLine="422" w:firstLineChars="200"/>
        <w:rPr>
          <w:b/>
          <w:spacing w:val="0"/>
          <w:sz w:val="21"/>
          <w:szCs w:val="21"/>
        </w:rPr>
      </w:pPr>
      <w:r>
        <w:rPr>
          <w:b/>
          <w:spacing w:val="0"/>
          <w:sz w:val="21"/>
          <w:szCs w:val="21"/>
        </w:rPr>
        <w:t>5.9.4</w:t>
      </w:r>
      <w:r>
        <w:rPr>
          <w:rFonts w:hint="eastAsia"/>
          <w:b/>
          <w:spacing w:val="0"/>
          <w:sz w:val="21"/>
          <w:szCs w:val="21"/>
        </w:rPr>
        <w:t>在技术评审时，如发现下列情形之一的，投标文件将被视为无效：</w:t>
      </w:r>
    </w:p>
    <w:p>
      <w:pPr>
        <w:pStyle w:val="12"/>
        <w:adjustRightInd w:val="0"/>
        <w:snapToGrid w:val="0"/>
        <w:spacing w:line="440" w:lineRule="exact"/>
        <w:ind w:firstLine="420" w:firstLineChars="200"/>
        <w:rPr>
          <w:spacing w:val="0"/>
          <w:sz w:val="21"/>
          <w:szCs w:val="21"/>
        </w:rPr>
      </w:pPr>
      <w:r>
        <w:rPr>
          <w:spacing w:val="0"/>
          <w:sz w:val="21"/>
          <w:szCs w:val="21"/>
        </w:rPr>
        <w:t>a</w:t>
      </w:r>
      <w:r>
        <w:rPr>
          <w:rFonts w:hint="eastAsia"/>
          <w:spacing w:val="0"/>
          <w:sz w:val="21"/>
          <w:szCs w:val="21"/>
        </w:rPr>
        <w:t>、投标文件标明的响应或偏离与事实不符或虚假投标的；</w:t>
      </w:r>
    </w:p>
    <w:p>
      <w:pPr>
        <w:pStyle w:val="12"/>
        <w:adjustRightInd w:val="0"/>
        <w:snapToGrid w:val="0"/>
        <w:spacing w:line="440" w:lineRule="exact"/>
        <w:ind w:firstLine="420" w:firstLineChars="200"/>
        <w:rPr>
          <w:spacing w:val="0"/>
          <w:sz w:val="21"/>
          <w:szCs w:val="21"/>
        </w:rPr>
      </w:pPr>
      <w:r>
        <w:rPr>
          <w:spacing w:val="0"/>
          <w:sz w:val="21"/>
          <w:szCs w:val="21"/>
        </w:rPr>
        <w:t>b</w:t>
      </w:r>
      <w:r>
        <w:rPr>
          <w:rFonts w:hint="eastAsia"/>
          <w:spacing w:val="0"/>
          <w:sz w:val="21"/>
          <w:szCs w:val="21"/>
        </w:rPr>
        <w:t>、明显不符合招标文件要求的服务内容，或者与招标文件中标“▲”的服务需求、主要功能项目发生实质性偏离的；</w:t>
      </w:r>
    </w:p>
    <w:p>
      <w:pPr>
        <w:pStyle w:val="12"/>
        <w:adjustRightInd w:val="0"/>
        <w:snapToGrid w:val="0"/>
        <w:spacing w:line="440" w:lineRule="exact"/>
        <w:ind w:firstLine="420" w:firstLineChars="200"/>
        <w:rPr>
          <w:spacing w:val="0"/>
          <w:sz w:val="21"/>
          <w:szCs w:val="21"/>
        </w:rPr>
      </w:pPr>
      <w:r>
        <w:rPr>
          <w:spacing w:val="0"/>
          <w:sz w:val="21"/>
          <w:szCs w:val="21"/>
        </w:rPr>
        <w:t>c</w:t>
      </w:r>
      <w:r>
        <w:rPr>
          <w:rFonts w:hint="eastAsia"/>
          <w:spacing w:val="0"/>
          <w:sz w:val="21"/>
          <w:szCs w:val="21"/>
        </w:rPr>
        <w:t>、投标技术方案不明确，存在一个或一个以上备选（替代）投标方案的；</w:t>
      </w:r>
    </w:p>
    <w:p>
      <w:pPr>
        <w:pStyle w:val="12"/>
        <w:adjustRightInd w:val="0"/>
        <w:snapToGrid w:val="0"/>
        <w:spacing w:line="440" w:lineRule="exact"/>
        <w:ind w:firstLine="420" w:firstLineChars="200"/>
        <w:rPr>
          <w:spacing w:val="0"/>
          <w:sz w:val="21"/>
          <w:szCs w:val="21"/>
        </w:rPr>
      </w:pPr>
      <w:r>
        <w:rPr>
          <w:spacing w:val="0"/>
          <w:sz w:val="21"/>
          <w:szCs w:val="21"/>
        </w:rPr>
        <w:t>d</w:t>
      </w:r>
      <w:r>
        <w:rPr>
          <w:rFonts w:hint="eastAsia"/>
          <w:spacing w:val="0"/>
          <w:sz w:val="21"/>
          <w:szCs w:val="21"/>
        </w:rPr>
        <w:t>、与其他参加本次投标供应商的投标文件（技术文件）的文字表述内容相同连续</w:t>
      </w:r>
      <w:r>
        <w:rPr>
          <w:spacing w:val="0"/>
          <w:sz w:val="21"/>
          <w:szCs w:val="21"/>
        </w:rPr>
        <w:t>20</w:t>
      </w:r>
      <w:r>
        <w:rPr>
          <w:rFonts w:hint="eastAsia"/>
          <w:spacing w:val="0"/>
          <w:sz w:val="21"/>
          <w:szCs w:val="21"/>
        </w:rPr>
        <w:t>行以上或者差错相同</w:t>
      </w:r>
      <w:r>
        <w:rPr>
          <w:spacing w:val="0"/>
          <w:sz w:val="21"/>
          <w:szCs w:val="21"/>
        </w:rPr>
        <w:t>2</w:t>
      </w:r>
      <w:r>
        <w:rPr>
          <w:rFonts w:hint="eastAsia"/>
          <w:spacing w:val="0"/>
          <w:sz w:val="21"/>
          <w:szCs w:val="21"/>
        </w:rPr>
        <w:t>处以上的。</w:t>
      </w:r>
    </w:p>
    <w:p>
      <w:pPr>
        <w:spacing w:line="440" w:lineRule="exact"/>
        <w:ind w:firstLine="420" w:firstLineChars="200"/>
        <w:rPr>
          <w:rFonts w:ascii="宋体" w:cs="宋体"/>
          <w:b/>
          <w:szCs w:val="21"/>
        </w:rPr>
      </w:pPr>
      <w:r>
        <w:rPr>
          <w:szCs w:val="21"/>
        </w:rPr>
        <w:t>e</w:t>
      </w:r>
      <w:r>
        <w:rPr>
          <w:rFonts w:hint="eastAsia"/>
          <w:szCs w:val="21"/>
        </w:rPr>
        <w:t>、</w:t>
      </w:r>
      <w:r>
        <w:rPr>
          <w:rFonts w:hint="eastAsia" w:ascii="宋体" w:hAnsi="宋体" w:cs="宋体"/>
          <w:b/>
          <w:szCs w:val="21"/>
        </w:rPr>
        <w:t>仅提交“备份投标文件”的；</w:t>
      </w:r>
    </w:p>
    <w:p>
      <w:pPr>
        <w:pStyle w:val="12"/>
        <w:adjustRightInd w:val="0"/>
        <w:snapToGrid w:val="0"/>
        <w:spacing w:line="440" w:lineRule="exact"/>
        <w:ind w:firstLine="422" w:firstLineChars="200"/>
        <w:rPr>
          <w:b/>
          <w:spacing w:val="0"/>
          <w:sz w:val="21"/>
          <w:szCs w:val="21"/>
        </w:rPr>
      </w:pPr>
      <w:r>
        <w:rPr>
          <w:b/>
          <w:spacing w:val="0"/>
          <w:sz w:val="21"/>
          <w:szCs w:val="21"/>
        </w:rPr>
        <w:t>5.9.5</w:t>
      </w:r>
      <w:r>
        <w:rPr>
          <w:rFonts w:hint="eastAsia"/>
          <w:b/>
          <w:spacing w:val="0"/>
          <w:sz w:val="21"/>
          <w:szCs w:val="21"/>
        </w:rPr>
        <w:t>在报价评审时，如发现下列情形之一的，投标文件将被视为无效：</w:t>
      </w:r>
    </w:p>
    <w:p>
      <w:pPr>
        <w:pStyle w:val="12"/>
        <w:adjustRightInd w:val="0"/>
        <w:snapToGrid w:val="0"/>
        <w:spacing w:line="440" w:lineRule="exact"/>
        <w:ind w:firstLine="420" w:firstLineChars="200"/>
        <w:rPr>
          <w:spacing w:val="0"/>
          <w:sz w:val="21"/>
          <w:szCs w:val="21"/>
        </w:rPr>
      </w:pPr>
      <w:r>
        <w:rPr>
          <w:spacing w:val="0"/>
          <w:sz w:val="21"/>
          <w:szCs w:val="21"/>
        </w:rPr>
        <w:t>a</w:t>
      </w:r>
      <w:r>
        <w:rPr>
          <w:rFonts w:hint="eastAsia"/>
          <w:spacing w:val="0"/>
          <w:sz w:val="21"/>
          <w:szCs w:val="21"/>
        </w:rPr>
        <w:t>、投标报价具有选择性，开标价格与投标文件承诺的优惠（折扣）价格不一致的。</w:t>
      </w:r>
    </w:p>
    <w:p>
      <w:pPr>
        <w:pStyle w:val="12"/>
        <w:adjustRightInd w:val="0"/>
        <w:snapToGrid w:val="0"/>
        <w:spacing w:line="440" w:lineRule="exact"/>
        <w:ind w:firstLine="420" w:firstLineChars="200"/>
        <w:rPr>
          <w:spacing w:val="0"/>
          <w:sz w:val="21"/>
          <w:szCs w:val="21"/>
        </w:rPr>
      </w:pPr>
      <w:r>
        <w:rPr>
          <w:spacing w:val="0"/>
          <w:sz w:val="21"/>
          <w:szCs w:val="21"/>
        </w:rPr>
        <w:t>b</w:t>
      </w:r>
      <w:r>
        <w:rPr>
          <w:rFonts w:hint="eastAsia"/>
          <w:spacing w:val="0"/>
          <w:sz w:val="21"/>
          <w:szCs w:val="21"/>
        </w:rPr>
        <w:t>、开标一览表和投标报价明细清单填写不完整或字迹不能辨认的；</w:t>
      </w:r>
    </w:p>
    <w:p>
      <w:pPr>
        <w:spacing w:line="440" w:lineRule="exact"/>
        <w:ind w:firstLine="420" w:firstLineChars="200"/>
        <w:rPr>
          <w:rFonts w:ascii="宋体"/>
          <w:kern w:val="0"/>
          <w:szCs w:val="21"/>
        </w:rPr>
      </w:pPr>
      <w:r>
        <w:rPr>
          <w:rFonts w:ascii="宋体"/>
          <w:kern w:val="0"/>
          <w:szCs w:val="21"/>
        </w:rPr>
        <w:t>c</w:t>
      </w:r>
      <w:r>
        <w:rPr>
          <w:rFonts w:hint="eastAsia" w:ascii="宋体"/>
          <w:kern w:val="0"/>
          <w:szCs w:val="21"/>
        </w:rPr>
        <w:t>、仅提交“备份投标文件”的；</w:t>
      </w:r>
    </w:p>
    <w:p>
      <w:pPr>
        <w:pStyle w:val="12"/>
        <w:adjustRightInd w:val="0"/>
        <w:snapToGrid w:val="0"/>
        <w:spacing w:line="440" w:lineRule="exact"/>
        <w:ind w:firstLine="422" w:firstLineChars="200"/>
        <w:rPr>
          <w:b/>
          <w:spacing w:val="0"/>
          <w:sz w:val="21"/>
          <w:szCs w:val="21"/>
        </w:rPr>
      </w:pPr>
      <w:r>
        <w:rPr>
          <w:b/>
          <w:spacing w:val="0"/>
          <w:sz w:val="21"/>
          <w:szCs w:val="21"/>
        </w:rPr>
        <w:t>5.9.6</w:t>
      </w:r>
      <w:r>
        <w:rPr>
          <w:rFonts w:hint="eastAsia"/>
          <w:b/>
          <w:spacing w:val="0"/>
          <w:sz w:val="21"/>
          <w:szCs w:val="21"/>
        </w:rPr>
        <w:t>符合招标文件明确规定的其他无效投标条款的。</w:t>
      </w:r>
    </w:p>
    <w:p>
      <w:pPr>
        <w:pStyle w:val="15"/>
        <w:tabs>
          <w:tab w:val="left" w:pos="630"/>
        </w:tabs>
        <w:spacing w:line="440" w:lineRule="exact"/>
        <w:ind w:firstLine="422" w:firstLineChars="200"/>
        <w:jc w:val="left"/>
        <w:rPr>
          <w:b/>
          <w:sz w:val="21"/>
          <w:szCs w:val="21"/>
        </w:rPr>
      </w:pPr>
      <w:r>
        <w:rPr>
          <w:b/>
          <w:sz w:val="21"/>
          <w:szCs w:val="21"/>
        </w:rPr>
        <w:t xml:space="preserve">5.10. </w:t>
      </w:r>
      <w:r>
        <w:rPr>
          <w:rFonts w:hint="eastAsia"/>
          <w:b/>
          <w:sz w:val="21"/>
          <w:szCs w:val="21"/>
        </w:rPr>
        <w:t>评标原则和评标办法</w:t>
      </w:r>
    </w:p>
    <w:p>
      <w:pPr>
        <w:pStyle w:val="15"/>
        <w:spacing w:line="440" w:lineRule="exact"/>
        <w:ind w:firstLine="420" w:firstLineChars="200"/>
        <w:jc w:val="left"/>
        <w:rPr>
          <w:sz w:val="21"/>
          <w:szCs w:val="21"/>
        </w:rPr>
      </w:pPr>
      <w:r>
        <w:rPr>
          <w:sz w:val="21"/>
          <w:szCs w:val="21"/>
        </w:rPr>
        <w:t xml:space="preserve">5.10.1 </w:t>
      </w:r>
      <w:r>
        <w:rPr>
          <w:rFonts w:hint="eastAsia"/>
          <w:sz w:val="21"/>
          <w:szCs w:val="21"/>
        </w:rPr>
        <w:t>评标原则。评标委员会必须做到公平、公正、客观，不带任何倾向性和启发性；不得向外界透露任何与评标有关的内容；任何单位和个人不得干扰、影响评标的正常进行；评标委员会及有关工作人员不得私下与供应商接触。</w:t>
      </w:r>
    </w:p>
    <w:p>
      <w:pPr>
        <w:pStyle w:val="15"/>
        <w:spacing w:line="440" w:lineRule="exact"/>
        <w:ind w:firstLine="420" w:firstLineChars="200"/>
        <w:jc w:val="left"/>
        <w:rPr>
          <w:sz w:val="21"/>
          <w:szCs w:val="21"/>
        </w:rPr>
      </w:pPr>
      <w:r>
        <w:rPr>
          <w:sz w:val="21"/>
          <w:szCs w:val="21"/>
        </w:rPr>
        <w:t xml:space="preserve">5.10.2 </w:t>
      </w:r>
      <w:r>
        <w:rPr>
          <w:rFonts w:hint="eastAsia"/>
          <w:sz w:val="21"/>
          <w:szCs w:val="21"/>
        </w:rPr>
        <w:t>评标办法。本项目的具体评标办法详见第五章的《评标办法》。</w:t>
      </w:r>
    </w:p>
    <w:p>
      <w:pPr>
        <w:pStyle w:val="4"/>
      </w:pPr>
    </w:p>
    <w:p>
      <w:pPr>
        <w:pStyle w:val="15"/>
        <w:spacing w:line="360" w:lineRule="auto"/>
        <w:jc w:val="center"/>
        <w:outlineLvl w:val="1"/>
        <w:rPr>
          <w:b/>
          <w:sz w:val="24"/>
          <w:szCs w:val="24"/>
        </w:rPr>
      </w:pPr>
      <w:r>
        <w:rPr>
          <w:rFonts w:hint="eastAsia"/>
          <w:b/>
          <w:sz w:val="24"/>
          <w:szCs w:val="24"/>
        </w:rPr>
        <w:t>六、定标</w:t>
      </w:r>
    </w:p>
    <w:p>
      <w:pPr>
        <w:pStyle w:val="6"/>
        <w:spacing w:line="460" w:lineRule="exact"/>
        <w:ind w:firstLine="422" w:firstLineChars="200"/>
        <w:rPr>
          <w:rFonts w:ascii="宋体"/>
          <w:b/>
          <w:sz w:val="21"/>
          <w:szCs w:val="21"/>
        </w:rPr>
      </w:pPr>
      <w:r>
        <w:rPr>
          <w:rFonts w:ascii="宋体"/>
          <w:b/>
          <w:sz w:val="21"/>
          <w:szCs w:val="21"/>
        </w:rPr>
        <w:t>6.</w:t>
      </w:r>
      <w:r>
        <w:rPr>
          <w:rFonts w:hint="eastAsia" w:ascii="宋体"/>
          <w:b/>
          <w:sz w:val="21"/>
          <w:szCs w:val="21"/>
        </w:rPr>
        <w:t>中标人确定</w:t>
      </w:r>
    </w:p>
    <w:p>
      <w:pPr>
        <w:spacing w:line="460" w:lineRule="exact"/>
        <w:ind w:firstLine="420" w:firstLineChars="200"/>
        <w:rPr>
          <w:rFonts w:ascii="宋体"/>
          <w:szCs w:val="21"/>
        </w:rPr>
      </w:pPr>
      <w:r>
        <w:rPr>
          <w:rFonts w:ascii="宋体"/>
          <w:szCs w:val="21"/>
        </w:rPr>
        <w:t>6.1</w:t>
      </w:r>
      <w:r>
        <w:rPr>
          <w:rFonts w:hint="eastAsia" w:ascii="宋体"/>
          <w:szCs w:val="21"/>
        </w:rPr>
        <w:t>采购单位事先授权评标小组直接确定中标人的，评标小组可直接确定预中标人。</w:t>
      </w:r>
    </w:p>
    <w:p>
      <w:pPr>
        <w:spacing w:line="460" w:lineRule="exact"/>
        <w:ind w:firstLine="420" w:firstLineChars="200"/>
        <w:rPr>
          <w:rFonts w:ascii="宋体"/>
          <w:szCs w:val="21"/>
        </w:rPr>
      </w:pPr>
      <w:r>
        <w:rPr>
          <w:rFonts w:ascii="宋体"/>
          <w:szCs w:val="21"/>
        </w:rPr>
        <w:t>6.2</w:t>
      </w:r>
      <w:r>
        <w:rPr>
          <w:rFonts w:hint="eastAsia" w:ascii="宋体"/>
          <w:szCs w:val="21"/>
        </w:rPr>
        <w:t>没有事先授权的，采购代理机构在评标结束后</w:t>
      </w:r>
      <w:r>
        <w:rPr>
          <w:rFonts w:ascii="宋体"/>
          <w:szCs w:val="21"/>
        </w:rPr>
        <w:t>2</w:t>
      </w:r>
      <w:r>
        <w:rPr>
          <w:rFonts w:hint="eastAsia" w:ascii="宋体"/>
          <w:szCs w:val="21"/>
        </w:rPr>
        <w:t>个工作日内将评标结果交采购人确认。采购人应在收到后</w:t>
      </w:r>
      <w:r>
        <w:rPr>
          <w:rFonts w:ascii="宋体"/>
          <w:szCs w:val="21"/>
        </w:rPr>
        <w:t>5</w:t>
      </w:r>
      <w:r>
        <w:rPr>
          <w:rFonts w:hint="eastAsia" w:ascii="宋体"/>
          <w:szCs w:val="21"/>
        </w:rPr>
        <w:t>个工作日内对评标结果进行确认。</w:t>
      </w:r>
    </w:p>
    <w:p>
      <w:pPr>
        <w:spacing w:line="460" w:lineRule="exact"/>
        <w:ind w:firstLine="420" w:firstLineChars="200"/>
        <w:rPr>
          <w:rFonts w:ascii="宋体"/>
          <w:szCs w:val="21"/>
        </w:rPr>
      </w:pPr>
      <w:r>
        <w:rPr>
          <w:rFonts w:ascii="宋体"/>
          <w:szCs w:val="21"/>
        </w:rPr>
        <w:t xml:space="preserve">6.3 </w:t>
      </w:r>
      <w:r>
        <w:rPr>
          <w:rFonts w:hint="eastAsia" w:ascii="宋体"/>
          <w:szCs w:val="21"/>
        </w:rPr>
        <w:t>中标公告期限为公告</w:t>
      </w:r>
      <w:r>
        <w:rPr>
          <w:rFonts w:ascii="宋体"/>
          <w:szCs w:val="21"/>
        </w:rPr>
        <w:t>1</w:t>
      </w:r>
      <w:r>
        <w:rPr>
          <w:rFonts w:hint="eastAsia" w:ascii="宋体"/>
          <w:szCs w:val="21"/>
        </w:rPr>
        <w:t>个工作日。</w:t>
      </w:r>
    </w:p>
    <w:p>
      <w:pPr>
        <w:spacing w:line="460" w:lineRule="exact"/>
        <w:ind w:firstLine="420" w:firstLineChars="200"/>
        <w:rPr>
          <w:rFonts w:ascii="宋体"/>
          <w:szCs w:val="21"/>
        </w:rPr>
      </w:pPr>
      <w:r>
        <w:rPr>
          <w:rFonts w:ascii="宋体"/>
          <w:szCs w:val="21"/>
        </w:rPr>
        <w:t>6.4</w:t>
      </w:r>
      <w:r>
        <w:rPr>
          <w:rFonts w:hint="eastAsia" w:ascii="宋体"/>
          <w:szCs w:val="21"/>
        </w:rPr>
        <w:t>此次招投标实行资格后审。对于投标人有行贿、违规违法经营等行为的，一经发现查实，取消该投标人的中标资格。</w:t>
      </w:r>
    </w:p>
    <w:p>
      <w:pPr>
        <w:spacing w:line="460" w:lineRule="exact"/>
        <w:ind w:firstLine="420" w:firstLineChars="200"/>
        <w:rPr>
          <w:rFonts w:ascii="宋体"/>
          <w:szCs w:val="21"/>
        </w:rPr>
      </w:pPr>
      <w:r>
        <w:rPr>
          <w:rFonts w:ascii="宋体"/>
          <w:szCs w:val="21"/>
        </w:rPr>
        <w:t>6.5</w:t>
      </w:r>
      <w:r>
        <w:rPr>
          <w:rFonts w:hint="eastAsia" w:ascii="宋体"/>
          <w:szCs w:val="21"/>
        </w:rPr>
        <w:t>中标公告及中标通知书</w:t>
      </w:r>
    </w:p>
    <w:p>
      <w:pPr>
        <w:spacing w:line="460" w:lineRule="exact"/>
        <w:ind w:firstLine="420" w:firstLineChars="200"/>
        <w:rPr>
          <w:rFonts w:ascii="宋体"/>
          <w:szCs w:val="21"/>
        </w:rPr>
      </w:pPr>
      <w:r>
        <w:rPr>
          <w:rFonts w:ascii="宋体"/>
          <w:szCs w:val="21"/>
        </w:rPr>
        <w:t>6.5.1</w:t>
      </w:r>
      <w:r>
        <w:rPr>
          <w:rFonts w:hint="eastAsia" w:ascii="宋体"/>
          <w:szCs w:val="21"/>
        </w:rPr>
        <w:t>在公告中标结果的同时，采购代理机构向中标人发出中标通知书。</w:t>
      </w:r>
    </w:p>
    <w:p>
      <w:pPr>
        <w:spacing w:line="360" w:lineRule="auto"/>
        <w:jc w:val="center"/>
        <w:rPr>
          <w:rFonts w:ascii="宋体"/>
          <w:b/>
          <w:sz w:val="24"/>
        </w:rPr>
      </w:pPr>
    </w:p>
    <w:p>
      <w:pPr>
        <w:spacing w:line="360" w:lineRule="auto"/>
        <w:jc w:val="center"/>
        <w:outlineLvl w:val="1"/>
        <w:rPr>
          <w:rFonts w:ascii="宋体"/>
          <w:b/>
          <w:sz w:val="24"/>
        </w:rPr>
      </w:pPr>
      <w:r>
        <w:rPr>
          <w:rFonts w:hint="eastAsia" w:ascii="宋体"/>
          <w:b/>
          <w:sz w:val="24"/>
        </w:rPr>
        <w:t>七、合同授予</w:t>
      </w:r>
    </w:p>
    <w:p>
      <w:pPr>
        <w:spacing w:line="360" w:lineRule="auto"/>
        <w:ind w:firstLine="420" w:firstLineChars="200"/>
        <w:rPr>
          <w:rFonts w:ascii="宋体"/>
          <w:szCs w:val="21"/>
        </w:rPr>
      </w:pPr>
      <w:r>
        <w:rPr>
          <w:rFonts w:ascii="宋体" w:hAnsi="宋体"/>
          <w:szCs w:val="21"/>
        </w:rPr>
        <w:t>7.1</w:t>
      </w:r>
      <w:r>
        <w:rPr>
          <w:rFonts w:hint="eastAsia" w:ascii="宋体" w:hAnsi="宋体"/>
          <w:szCs w:val="21"/>
        </w:rPr>
        <w:t>采购人与中标人应当在《中标通知书》发出之日起</w:t>
      </w:r>
      <w:r>
        <w:rPr>
          <w:rFonts w:ascii="宋体" w:hAnsi="宋体"/>
          <w:szCs w:val="21"/>
        </w:rPr>
        <w:t>30</w:t>
      </w:r>
      <w:r>
        <w:rPr>
          <w:rFonts w:hint="eastAsia" w:ascii="宋体" w:hAnsi="宋体"/>
          <w:szCs w:val="21"/>
        </w:rPr>
        <w:t>日内签订采购合同。同时，采购代理机构对合同内容进行审查，如发现与采购结果和投标承诺内容不一致的，应予以纠正。</w:t>
      </w:r>
    </w:p>
    <w:p>
      <w:pPr>
        <w:spacing w:line="360" w:lineRule="auto"/>
        <w:ind w:firstLine="420" w:firstLineChars="200"/>
        <w:rPr>
          <w:rFonts w:ascii="宋体"/>
          <w:sz w:val="24"/>
        </w:rPr>
      </w:pPr>
      <w:r>
        <w:rPr>
          <w:rFonts w:ascii="宋体" w:hAnsi="宋体"/>
          <w:szCs w:val="21"/>
        </w:rPr>
        <w:t>7.2</w:t>
      </w:r>
      <w:r>
        <w:rPr>
          <w:rFonts w:hint="eastAsia" w:ascii="宋体" w:hAnsi="宋体"/>
          <w:szCs w:val="21"/>
        </w:rPr>
        <w:t>中标人拖延、拒签合同的，将被取消中标资格。中标供应商在接到《中标通知书》后，违反采购文件有关规定和要求，不履行投标承诺，在规定时间内拒交履约保证金、拒签合同或放弃中标的，则取消该投标人的中标资格，采购人重新组织采购。</w:t>
      </w:r>
    </w:p>
    <w:p>
      <w:pPr>
        <w:spacing w:line="360" w:lineRule="auto"/>
        <w:jc w:val="center"/>
        <w:rPr>
          <w:rFonts w:ascii="宋体"/>
          <w:b/>
          <w:sz w:val="28"/>
          <w:szCs w:val="28"/>
        </w:rPr>
      </w:pPr>
      <w:bookmarkStart w:id="23" w:name="_Toc170792807"/>
      <w:bookmarkStart w:id="24" w:name="_Toc177870559"/>
    </w:p>
    <w:p>
      <w:pPr>
        <w:spacing w:line="360" w:lineRule="auto"/>
        <w:jc w:val="center"/>
        <w:outlineLvl w:val="0"/>
        <w:rPr>
          <w:rFonts w:ascii="宋体"/>
          <w:b/>
          <w:sz w:val="28"/>
          <w:szCs w:val="28"/>
        </w:rPr>
      </w:pPr>
      <w:r>
        <w:rPr>
          <w:rFonts w:ascii="宋体"/>
          <w:b/>
          <w:sz w:val="28"/>
          <w:szCs w:val="28"/>
          <w:highlight w:val="yellow"/>
        </w:rPr>
        <w:br w:type="page"/>
      </w:r>
      <w:bookmarkStart w:id="25" w:name="_Toc32737"/>
      <w:r>
        <w:rPr>
          <w:rFonts w:hint="eastAsia" w:ascii="宋体"/>
          <w:b/>
          <w:sz w:val="28"/>
          <w:szCs w:val="28"/>
        </w:rPr>
        <w:t>第三章招标项目需求</w:t>
      </w:r>
      <w:bookmarkEnd w:id="25"/>
    </w:p>
    <w:p>
      <w:pPr>
        <w:spacing w:line="360" w:lineRule="auto"/>
        <w:jc w:val="center"/>
        <w:rPr>
          <w:rFonts w:ascii="宋体"/>
          <w:b/>
          <w:sz w:val="28"/>
          <w:szCs w:val="28"/>
        </w:rPr>
      </w:pPr>
    </w:p>
    <w:p>
      <w:pPr>
        <w:snapToGrid w:val="0"/>
        <w:spacing w:line="360" w:lineRule="auto"/>
        <w:ind w:firstLine="422" w:firstLineChars="200"/>
        <w:rPr>
          <w:rFonts w:ascii="宋体"/>
          <w:szCs w:val="21"/>
          <w:highlight w:val="none"/>
        </w:rPr>
      </w:pPr>
      <w:bookmarkStart w:id="26" w:name="_Toc467702152"/>
      <w:bookmarkStart w:id="27" w:name="_Toc380389647"/>
      <w:r>
        <w:rPr>
          <w:rFonts w:hint="eastAsia" w:ascii="宋体" w:hAnsi="宋体"/>
          <w:b/>
          <w:bCs/>
          <w:szCs w:val="21"/>
          <w:highlight w:val="none"/>
        </w:rPr>
        <w:t>一、项目概况：</w:t>
      </w:r>
      <w:r>
        <w:rPr>
          <w:rFonts w:hint="eastAsia" w:ascii="宋体" w:hAnsi="宋体"/>
          <w:szCs w:val="21"/>
          <w:highlight w:val="none"/>
        </w:rPr>
        <w:t>本次采购项目为嘉兴港区综合公共服务项目。</w:t>
      </w:r>
    </w:p>
    <w:p>
      <w:pPr>
        <w:snapToGrid w:val="0"/>
        <w:spacing w:line="360" w:lineRule="auto"/>
        <w:ind w:firstLine="422" w:firstLineChars="200"/>
        <w:rPr>
          <w:rFonts w:ascii="宋体"/>
          <w:b/>
          <w:bCs/>
          <w:szCs w:val="21"/>
          <w:highlight w:val="none"/>
        </w:rPr>
      </w:pPr>
      <w:r>
        <w:rPr>
          <w:rFonts w:hint="eastAsia" w:ascii="宋体" w:hAnsi="宋体"/>
          <w:b/>
          <w:bCs/>
          <w:szCs w:val="21"/>
          <w:highlight w:val="none"/>
        </w:rPr>
        <w:t>二、服务期限：</w:t>
      </w:r>
    </w:p>
    <w:p>
      <w:pPr>
        <w:snapToGrid w:val="0"/>
        <w:spacing w:line="360" w:lineRule="auto"/>
        <w:ind w:firstLine="420" w:firstLineChars="200"/>
        <w:rPr>
          <w:rFonts w:ascii="宋体"/>
          <w:szCs w:val="21"/>
          <w:highlight w:val="none"/>
        </w:rPr>
      </w:pPr>
      <w:r>
        <w:rPr>
          <w:rFonts w:hint="eastAsia" w:ascii="宋体" w:hAnsi="宋体"/>
          <w:szCs w:val="21"/>
          <w:highlight w:val="none"/>
        </w:rPr>
        <w:t>一年。招标单位有权制订相应考核办法，对投标单位的工作进行考核，投标单位必须无条件予以接受。在第一年合同期满前一个月，采购单位将对中标人在合同期内的工作表现做出综合评价以决定是否续约。如中标人达到采购单位各项考核标准，双方协商，经财政部门批准后，合同承包期限可顺延一年（费用与上一年一致，不作调整），续签最长不超过</w:t>
      </w:r>
      <w:r>
        <w:rPr>
          <w:rFonts w:ascii="宋体" w:hAnsi="宋体"/>
          <w:szCs w:val="21"/>
          <w:highlight w:val="none"/>
        </w:rPr>
        <w:t>2</w:t>
      </w:r>
      <w:r>
        <w:rPr>
          <w:rFonts w:hint="eastAsia" w:ascii="宋体" w:hAnsi="宋体"/>
          <w:szCs w:val="21"/>
          <w:highlight w:val="none"/>
        </w:rPr>
        <w:t>次。</w:t>
      </w:r>
    </w:p>
    <w:p>
      <w:pPr>
        <w:snapToGrid w:val="0"/>
        <w:spacing w:line="360" w:lineRule="auto"/>
        <w:ind w:firstLine="422" w:firstLineChars="200"/>
        <w:rPr>
          <w:rFonts w:ascii="宋体"/>
          <w:b/>
          <w:bCs/>
          <w:szCs w:val="21"/>
          <w:highlight w:val="none"/>
        </w:rPr>
      </w:pPr>
      <w:r>
        <w:rPr>
          <w:rFonts w:hint="eastAsia" w:ascii="宋体" w:hAnsi="宋体"/>
          <w:b/>
          <w:bCs/>
          <w:szCs w:val="21"/>
          <w:highlight w:val="none"/>
        </w:rPr>
        <w:t>三、服务内容：</w:t>
      </w:r>
    </w:p>
    <w:p>
      <w:pPr>
        <w:spacing w:line="360" w:lineRule="auto"/>
        <w:ind w:firstLine="420" w:firstLineChars="200"/>
        <w:rPr>
          <w:rFonts w:ascii="微软雅黑" w:hAnsi="微软雅黑" w:eastAsia="微软雅黑"/>
          <w:szCs w:val="21"/>
          <w:highlight w:val="none"/>
        </w:rPr>
      </w:pPr>
      <w:r>
        <w:rPr>
          <w:rFonts w:hint="eastAsia"/>
          <w:highlight w:val="none"/>
        </w:rPr>
        <w:t>根据综合公共服务工作要求，中标人需做好嘉兴港区行政管辖区域内街面市容秩序维护、设施巡查管理等工作，并由采购人对其进行日常考核，根据考核拨付经费。</w:t>
      </w:r>
    </w:p>
    <w:p>
      <w:pPr>
        <w:spacing w:line="360" w:lineRule="auto"/>
        <w:ind w:firstLine="422" w:firstLineChars="200"/>
        <w:rPr>
          <w:rFonts w:hint="eastAsia" w:ascii="宋体" w:eastAsia="宋体"/>
          <w:b/>
          <w:bCs/>
          <w:color w:val="000000"/>
          <w:szCs w:val="21"/>
          <w:highlight w:val="none"/>
          <w:lang w:eastAsia="zh-CN"/>
        </w:rPr>
      </w:pPr>
      <w:r>
        <w:rPr>
          <w:rFonts w:ascii="宋体" w:hAnsi="宋体"/>
          <w:b/>
          <w:bCs/>
          <w:color w:val="000000"/>
          <w:szCs w:val="21"/>
          <w:highlight w:val="none"/>
        </w:rPr>
        <w:t>1</w:t>
      </w:r>
      <w:r>
        <w:rPr>
          <w:rFonts w:hint="eastAsia" w:ascii="宋体" w:hAnsi="宋体"/>
          <w:b/>
          <w:bCs/>
          <w:color w:val="000000"/>
          <w:szCs w:val="21"/>
          <w:highlight w:val="none"/>
        </w:rPr>
        <w:t>、市容秩序</w:t>
      </w:r>
      <w:r>
        <w:rPr>
          <w:rFonts w:hint="eastAsia" w:ascii="宋体" w:hAnsi="宋体"/>
          <w:b/>
          <w:bCs/>
          <w:color w:val="000000"/>
          <w:szCs w:val="21"/>
          <w:highlight w:val="none"/>
          <w:lang w:val="en-US" w:eastAsia="zh-CN"/>
        </w:rPr>
        <w:t>维护</w:t>
      </w:r>
    </w:p>
    <w:p>
      <w:pPr>
        <w:spacing w:line="360" w:lineRule="auto"/>
        <w:ind w:firstLine="420" w:firstLineChars="200"/>
        <w:rPr>
          <w:rFonts w:ascii="宋体"/>
          <w:color w:val="000000"/>
          <w:szCs w:val="21"/>
          <w:highlight w:val="none"/>
        </w:rPr>
      </w:pPr>
      <w:r>
        <w:rPr>
          <w:rFonts w:hint="eastAsia" w:ascii="宋体" w:hAnsi="宋体"/>
          <w:color w:val="000000"/>
          <w:szCs w:val="21"/>
          <w:highlight w:val="none"/>
        </w:rPr>
        <w:t>协助劝导制止无证流动摊贩、排档、沿街店面占道经营，协助劝导制止清理乱张贴、乱悬挂、乱堆放、乱搭建等城市“十乱”行为，对门店生活污水及乱堆装潢建筑垃圾加强劝导管理；劝导管理服务区机动车停放入“位”，规范非机动车停放有序（白天），协助开展文明创建、处理各类投诉，以及招标单位、上级要求、招标文件承诺的其他任务等。</w:t>
      </w:r>
    </w:p>
    <w:p>
      <w:pPr>
        <w:spacing w:line="360" w:lineRule="auto"/>
        <w:ind w:firstLine="422" w:firstLineChars="200"/>
        <w:rPr>
          <w:rFonts w:ascii="宋体"/>
          <w:b/>
          <w:bCs/>
          <w:color w:val="000000"/>
          <w:szCs w:val="21"/>
          <w:highlight w:val="none"/>
        </w:rPr>
      </w:pPr>
      <w:r>
        <w:rPr>
          <w:rFonts w:ascii="宋体" w:hAnsi="宋体"/>
          <w:b/>
          <w:bCs/>
          <w:color w:val="000000"/>
          <w:szCs w:val="21"/>
          <w:highlight w:val="none"/>
        </w:rPr>
        <w:t>2</w:t>
      </w:r>
      <w:r>
        <w:rPr>
          <w:rFonts w:hint="eastAsia" w:ascii="宋体" w:hAnsi="宋体"/>
          <w:b/>
          <w:bCs/>
          <w:color w:val="000000"/>
          <w:szCs w:val="21"/>
          <w:highlight w:val="none"/>
        </w:rPr>
        <w:t>、设施巡查管理</w:t>
      </w:r>
    </w:p>
    <w:p>
      <w:pPr>
        <w:spacing w:line="360" w:lineRule="auto"/>
        <w:ind w:firstLine="420" w:firstLineChars="20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1</w:t>
      </w:r>
      <w:r>
        <w:rPr>
          <w:rFonts w:hint="eastAsia" w:ascii="宋体" w:hAnsi="宋体"/>
          <w:color w:val="000000"/>
          <w:szCs w:val="21"/>
          <w:highlight w:val="none"/>
        </w:rPr>
        <w:t>）对沿街店牌店招、户外广告设施进行巡查，及时发现“一店多招”、设施损坏和安全隐患，劝导责任人进行维修整改，确保道路两侧门店无越门经营现象，无乱挂横幅、乱设置广告牌等现象；</w:t>
      </w:r>
    </w:p>
    <w:p>
      <w:pPr>
        <w:spacing w:line="360" w:lineRule="auto"/>
        <w:ind w:firstLine="420" w:firstLineChars="20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2</w:t>
      </w:r>
      <w:r>
        <w:rPr>
          <w:rFonts w:hint="eastAsia" w:ascii="宋体" w:hAnsi="宋体"/>
          <w:color w:val="000000"/>
          <w:szCs w:val="21"/>
          <w:highlight w:val="none"/>
        </w:rPr>
        <w:t>）对新设置和改造设施的行为，查看相关许可，对违法违规行为进行劝阻，必要时告知当事人相关申请受理途径；</w:t>
      </w:r>
    </w:p>
    <w:p>
      <w:pPr>
        <w:spacing w:line="360" w:lineRule="auto"/>
        <w:ind w:firstLine="420" w:firstLineChars="200"/>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）对责任人不履行整改或设施存在重大安全隐患的，及时向主管部门报告。</w:t>
      </w:r>
    </w:p>
    <w:p>
      <w:pPr>
        <w:snapToGrid w:val="0"/>
        <w:spacing w:line="360" w:lineRule="auto"/>
        <w:ind w:firstLine="422" w:firstLineChars="200"/>
        <w:rPr>
          <w:rFonts w:ascii="宋体"/>
          <w:b/>
          <w:bCs/>
          <w:szCs w:val="21"/>
          <w:highlight w:val="none"/>
        </w:rPr>
      </w:pPr>
      <w:r>
        <w:rPr>
          <w:rFonts w:hint="eastAsia" w:ascii="宋体" w:hAnsi="宋体"/>
          <w:b/>
          <w:bCs/>
          <w:szCs w:val="21"/>
          <w:highlight w:val="none"/>
        </w:rPr>
        <w:t>四、服务要求：</w:t>
      </w:r>
    </w:p>
    <w:p>
      <w:pPr>
        <w:snapToGrid w:val="0"/>
        <w:spacing w:line="360" w:lineRule="auto"/>
        <w:ind w:firstLine="420" w:firstLineChars="200"/>
        <w:rPr>
          <w:rFonts w:ascii="宋体"/>
          <w:szCs w:val="21"/>
          <w:highlight w:val="none"/>
        </w:rPr>
      </w:pPr>
      <w:r>
        <w:rPr>
          <w:rFonts w:ascii="宋体" w:hAnsi="宋体"/>
          <w:szCs w:val="21"/>
          <w:highlight w:val="none"/>
        </w:rPr>
        <w:t>1</w:t>
      </w:r>
      <w:r>
        <w:rPr>
          <w:rFonts w:hint="eastAsia" w:ascii="宋体" w:hAnsi="宋体"/>
          <w:szCs w:val="21"/>
          <w:highlight w:val="none"/>
        </w:rPr>
        <w:t>、为拓展</w:t>
      </w:r>
      <w:r>
        <w:rPr>
          <w:rFonts w:ascii="宋体" w:hAnsi="宋体"/>
          <w:szCs w:val="21"/>
          <w:highlight w:val="none"/>
        </w:rPr>
        <w:t>4050</w:t>
      </w:r>
      <w:r>
        <w:rPr>
          <w:rFonts w:hint="eastAsia" w:ascii="宋体" w:hAnsi="宋体"/>
          <w:szCs w:val="21"/>
          <w:highlight w:val="none"/>
        </w:rPr>
        <w:t>人员就业渠道，同时为强化队伍战斗力，进一步提升管理服务能力，投标单位应根据采购单位服务岗位的要求提供综合公共服务人员，要求</w:t>
      </w:r>
      <w:r>
        <w:rPr>
          <w:rFonts w:ascii="宋体" w:hAnsi="宋体"/>
          <w:szCs w:val="21"/>
          <w:highlight w:val="none"/>
        </w:rPr>
        <w:t>60%</w:t>
      </w:r>
      <w:r>
        <w:rPr>
          <w:rFonts w:hint="eastAsia" w:ascii="宋体" w:hAnsi="宋体"/>
          <w:szCs w:val="21"/>
          <w:highlight w:val="none"/>
        </w:rPr>
        <w:t>人员年龄在</w:t>
      </w:r>
      <w:r>
        <w:rPr>
          <w:rFonts w:ascii="宋体" w:hAnsi="宋体"/>
          <w:szCs w:val="21"/>
          <w:highlight w:val="none"/>
        </w:rPr>
        <w:t>50</w:t>
      </w:r>
      <w:r>
        <w:rPr>
          <w:rFonts w:hint="eastAsia" w:ascii="宋体" w:hAnsi="宋体"/>
          <w:szCs w:val="21"/>
          <w:highlight w:val="none"/>
        </w:rPr>
        <w:t>周岁以下，优先考虑中共党员、退伍军人及</w:t>
      </w:r>
      <w:r>
        <w:rPr>
          <w:rFonts w:hint="eastAsia" w:ascii="宋体" w:hAnsi="宋体"/>
          <w:szCs w:val="21"/>
          <w:highlight w:val="none"/>
          <w:lang w:val="en-US" w:eastAsia="zh-CN"/>
        </w:rPr>
        <w:t>乍浦</w:t>
      </w:r>
      <w:r>
        <w:rPr>
          <w:rFonts w:hint="eastAsia" w:ascii="宋体" w:hAnsi="宋体"/>
          <w:szCs w:val="21"/>
          <w:highlight w:val="none"/>
        </w:rPr>
        <w:t>户籍人员。</w:t>
      </w:r>
    </w:p>
    <w:p>
      <w:pPr>
        <w:pStyle w:val="4"/>
        <w:ind w:firstLine="420" w:firstLineChars="200"/>
        <w:jc w:val="both"/>
        <w:rPr>
          <w:rFonts w:ascii="宋体" w:hAnsi="宋体" w:eastAsia="宋体"/>
          <w:b w:val="0"/>
          <w:kern w:val="2"/>
          <w:sz w:val="21"/>
          <w:szCs w:val="21"/>
          <w:highlight w:val="none"/>
        </w:rPr>
      </w:pPr>
      <w:r>
        <w:rPr>
          <w:rFonts w:ascii="宋体" w:hAnsi="宋体" w:eastAsia="宋体"/>
          <w:b w:val="0"/>
          <w:kern w:val="2"/>
          <w:sz w:val="21"/>
          <w:szCs w:val="21"/>
          <w:highlight w:val="none"/>
        </w:rPr>
        <w:t>2</w:t>
      </w:r>
      <w:r>
        <w:rPr>
          <w:rFonts w:hint="eastAsia" w:ascii="宋体" w:hAnsi="宋体" w:eastAsia="宋体"/>
          <w:b w:val="0"/>
          <w:kern w:val="2"/>
          <w:sz w:val="21"/>
          <w:szCs w:val="21"/>
          <w:highlight w:val="none"/>
        </w:rPr>
        <w:t>、男性，具有初中以上学历，具有健康证，身高：</w:t>
      </w:r>
      <w:r>
        <w:rPr>
          <w:rFonts w:ascii="宋体" w:hAnsi="宋体" w:eastAsia="宋体"/>
          <w:b w:val="0"/>
          <w:kern w:val="2"/>
          <w:sz w:val="21"/>
          <w:szCs w:val="21"/>
          <w:highlight w:val="none"/>
        </w:rPr>
        <w:t>1.65</w:t>
      </w:r>
      <w:r>
        <w:rPr>
          <w:rFonts w:hint="eastAsia" w:ascii="宋体" w:hAnsi="宋体" w:eastAsia="宋体"/>
          <w:b w:val="0"/>
          <w:kern w:val="2"/>
          <w:sz w:val="21"/>
          <w:szCs w:val="21"/>
          <w:highlight w:val="none"/>
        </w:rPr>
        <w:t>米以上</w:t>
      </w:r>
      <w:r>
        <w:rPr>
          <w:rFonts w:ascii="宋体" w:hAnsi="宋体" w:eastAsia="宋体"/>
          <w:b w:val="0"/>
          <w:kern w:val="2"/>
          <w:sz w:val="21"/>
          <w:szCs w:val="21"/>
          <w:highlight w:val="none"/>
        </w:rPr>
        <w:t>(</w:t>
      </w:r>
      <w:r>
        <w:rPr>
          <w:rFonts w:hint="eastAsia" w:ascii="宋体" w:hAnsi="宋体" w:eastAsia="宋体"/>
          <w:b w:val="0"/>
          <w:kern w:val="2"/>
          <w:sz w:val="21"/>
          <w:szCs w:val="21"/>
          <w:highlight w:val="none"/>
        </w:rPr>
        <w:t>赤足</w:t>
      </w:r>
      <w:r>
        <w:rPr>
          <w:rFonts w:ascii="宋体" w:hAnsi="宋体" w:eastAsia="宋体"/>
          <w:b w:val="0"/>
          <w:kern w:val="2"/>
          <w:sz w:val="21"/>
          <w:szCs w:val="21"/>
          <w:highlight w:val="none"/>
        </w:rPr>
        <w:t>)</w:t>
      </w:r>
      <w:r>
        <w:rPr>
          <w:rFonts w:hint="eastAsia" w:ascii="宋体" w:hAnsi="宋体" w:eastAsia="宋体"/>
          <w:b w:val="0"/>
          <w:kern w:val="2"/>
          <w:sz w:val="21"/>
          <w:szCs w:val="21"/>
          <w:highlight w:val="none"/>
        </w:rPr>
        <w:t>；身材匀称、五官端正、双眼裸视</w:t>
      </w:r>
      <w:r>
        <w:rPr>
          <w:rFonts w:ascii="宋体" w:hAnsi="宋体" w:eastAsia="宋体"/>
          <w:b w:val="0"/>
          <w:kern w:val="2"/>
          <w:sz w:val="21"/>
          <w:szCs w:val="21"/>
          <w:highlight w:val="none"/>
        </w:rPr>
        <w:t xml:space="preserve"> 0.8</w:t>
      </w:r>
      <w:r>
        <w:rPr>
          <w:rFonts w:hint="eastAsia" w:ascii="宋体" w:hAnsi="宋体" w:eastAsia="宋体"/>
          <w:b w:val="0"/>
          <w:kern w:val="2"/>
          <w:sz w:val="21"/>
          <w:szCs w:val="21"/>
          <w:highlight w:val="none"/>
        </w:rPr>
        <w:t>以上（无纹身、无</w:t>
      </w:r>
      <w:r>
        <w:rPr>
          <w:rFonts w:ascii="宋体" w:hAnsi="宋体" w:eastAsia="宋体"/>
          <w:b w:val="0"/>
          <w:kern w:val="2"/>
          <w:sz w:val="21"/>
          <w:szCs w:val="21"/>
          <w:highlight w:val="none"/>
        </w:rPr>
        <w:t>O</w:t>
      </w:r>
      <w:r>
        <w:rPr>
          <w:rFonts w:hint="eastAsia" w:ascii="宋体" w:hAnsi="宋体" w:eastAsia="宋体"/>
          <w:b w:val="0"/>
          <w:kern w:val="2"/>
          <w:sz w:val="21"/>
          <w:szCs w:val="21"/>
          <w:highlight w:val="none"/>
        </w:rPr>
        <w:t>型腿、无口吃等）。</w:t>
      </w:r>
    </w:p>
    <w:p>
      <w:pPr>
        <w:pStyle w:val="4"/>
        <w:ind w:firstLine="420" w:firstLineChars="200"/>
        <w:jc w:val="both"/>
        <w:rPr>
          <w:rFonts w:ascii="宋体" w:hAnsi="宋体" w:eastAsia="宋体"/>
          <w:b w:val="0"/>
          <w:kern w:val="2"/>
          <w:sz w:val="21"/>
          <w:szCs w:val="21"/>
          <w:highlight w:val="none"/>
        </w:rPr>
      </w:pPr>
      <w:r>
        <w:rPr>
          <w:rFonts w:ascii="宋体" w:hAnsi="宋体" w:eastAsia="宋体"/>
          <w:b w:val="0"/>
          <w:kern w:val="2"/>
          <w:sz w:val="21"/>
          <w:szCs w:val="21"/>
          <w:highlight w:val="none"/>
        </w:rPr>
        <w:t>3</w:t>
      </w:r>
      <w:r>
        <w:rPr>
          <w:rFonts w:hint="eastAsia" w:ascii="宋体" w:hAnsi="宋体" w:eastAsia="宋体"/>
          <w:b w:val="0"/>
          <w:kern w:val="2"/>
          <w:sz w:val="21"/>
          <w:szCs w:val="21"/>
          <w:highlight w:val="none"/>
        </w:rPr>
        <w:t>、无违法、犯罪及其他不良记录。</w:t>
      </w:r>
    </w:p>
    <w:p>
      <w:pPr>
        <w:pStyle w:val="4"/>
        <w:ind w:firstLine="420" w:firstLineChars="200"/>
        <w:jc w:val="both"/>
        <w:rPr>
          <w:rFonts w:ascii="宋体" w:hAnsi="宋体" w:eastAsia="宋体"/>
          <w:b w:val="0"/>
          <w:kern w:val="2"/>
          <w:sz w:val="21"/>
          <w:szCs w:val="21"/>
          <w:highlight w:val="none"/>
        </w:rPr>
      </w:pPr>
      <w:r>
        <w:rPr>
          <w:rFonts w:ascii="宋体" w:hAnsi="宋体" w:eastAsia="宋体"/>
          <w:b w:val="0"/>
          <w:kern w:val="2"/>
          <w:sz w:val="21"/>
          <w:szCs w:val="21"/>
          <w:highlight w:val="none"/>
        </w:rPr>
        <w:t>4</w:t>
      </w:r>
      <w:r>
        <w:rPr>
          <w:rFonts w:hint="eastAsia" w:ascii="宋体" w:hAnsi="宋体" w:eastAsia="宋体"/>
          <w:b w:val="0"/>
          <w:kern w:val="2"/>
          <w:sz w:val="21"/>
          <w:szCs w:val="21"/>
          <w:highlight w:val="none"/>
        </w:rPr>
        <w:t>、市容秩序维护人员工作期间着装事项由中标单位统一安排。采购单位提供人员服务必备的装备。须适应夜间管理工作；工作细致、有耐心，服务态度亲切，服务意识强，有责任心，善于沟通，服从管理，具有良好的团队合作精神。服务人员基本培训、上岗培训、任中培训由投标单位负责实施，业务培训由采购单位协助一并实施；其中任中培训每年至少二天以上，可分期、分批实施。</w:t>
      </w:r>
    </w:p>
    <w:p>
      <w:pPr>
        <w:spacing w:line="360" w:lineRule="auto"/>
        <w:ind w:firstLine="420" w:firstLineChars="200"/>
        <w:rPr>
          <w:rFonts w:ascii="宋体"/>
          <w:color w:val="3366FF"/>
          <w:szCs w:val="21"/>
          <w:highlight w:val="none"/>
        </w:rPr>
      </w:pPr>
      <w:r>
        <w:rPr>
          <w:rFonts w:ascii="宋体" w:hAnsi="宋体"/>
          <w:color w:val="3366FF"/>
          <w:szCs w:val="21"/>
          <w:highlight w:val="none"/>
        </w:rPr>
        <w:t>5</w:t>
      </w:r>
      <w:r>
        <w:rPr>
          <w:rFonts w:hint="eastAsia" w:ascii="宋体" w:hAnsi="宋体"/>
          <w:color w:val="3366FF"/>
          <w:szCs w:val="21"/>
          <w:highlight w:val="none"/>
        </w:rPr>
        <w:t>、</w:t>
      </w:r>
      <w:r>
        <w:rPr>
          <w:rFonts w:hint="eastAsia" w:ascii="宋体" w:hAnsi="宋体"/>
          <w:color w:val="000000"/>
          <w:szCs w:val="21"/>
          <w:highlight w:val="none"/>
        </w:rPr>
        <w:t>在服务期内实施单位遇到各类检查（如上级部门检查等）出现需要乙方加班的情况时，合同履行期间</w:t>
      </w:r>
      <w:r>
        <w:rPr>
          <w:rFonts w:ascii="宋体" w:hAnsi="宋体"/>
          <w:color w:val="000000"/>
          <w:szCs w:val="21"/>
          <w:highlight w:val="none"/>
        </w:rPr>
        <w:t>3</w:t>
      </w:r>
      <w:r>
        <w:rPr>
          <w:rFonts w:hint="eastAsia" w:ascii="宋体" w:hAnsi="宋体"/>
          <w:color w:val="000000"/>
          <w:szCs w:val="21"/>
          <w:highlight w:val="none"/>
        </w:rPr>
        <w:t>日内（含</w:t>
      </w:r>
      <w:r>
        <w:rPr>
          <w:rFonts w:ascii="宋体" w:hAnsi="宋体"/>
          <w:color w:val="000000"/>
          <w:szCs w:val="21"/>
          <w:highlight w:val="none"/>
        </w:rPr>
        <w:t>3</w:t>
      </w:r>
      <w:r>
        <w:rPr>
          <w:rFonts w:hint="eastAsia" w:ascii="宋体" w:hAnsi="宋体"/>
          <w:color w:val="000000"/>
          <w:szCs w:val="21"/>
          <w:highlight w:val="none"/>
        </w:rPr>
        <w:t>日）乙方要无条件加班，甲方不另行支付加班费。</w:t>
      </w:r>
    </w:p>
    <w:p>
      <w:pPr>
        <w:spacing w:line="360" w:lineRule="auto"/>
        <w:ind w:firstLine="420" w:firstLineChars="200"/>
        <w:rPr>
          <w:rFonts w:ascii="宋体"/>
          <w:szCs w:val="21"/>
          <w:highlight w:val="none"/>
        </w:rPr>
      </w:pPr>
      <w:r>
        <w:rPr>
          <w:rFonts w:ascii="宋体" w:hAnsi="宋体"/>
          <w:szCs w:val="21"/>
          <w:highlight w:val="none"/>
        </w:rPr>
        <w:t>6</w:t>
      </w:r>
      <w:r>
        <w:rPr>
          <w:rFonts w:hint="eastAsia" w:ascii="宋体" w:hAnsi="宋体"/>
          <w:szCs w:val="21"/>
          <w:highlight w:val="none"/>
        </w:rPr>
        <w:t>、甲方可根据实际管理情况调整管理区域。</w:t>
      </w:r>
    </w:p>
    <w:p>
      <w:pPr>
        <w:snapToGrid w:val="0"/>
        <w:spacing w:line="360" w:lineRule="auto"/>
        <w:ind w:firstLine="422" w:firstLineChars="200"/>
        <w:rPr>
          <w:rFonts w:ascii="宋体"/>
          <w:b/>
          <w:bCs/>
          <w:szCs w:val="21"/>
          <w:highlight w:val="none"/>
        </w:rPr>
      </w:pPr>
      <w:r>
        <w:rPr>
          <w:rFonts w:hint="eastAsia" w:ascii="宋体" w:hAnsi="宋体"/>
          <w:b/>
          <w:bCs/>
          <w:szCs w:val="21"/>
          <w:highlight w:val="none"/>
        </w:rPr>
        <w:t>五、其他要求：</w:t>
      </w:r>
    </w:p>
    <w:p>
      <w:pPr>
        <w:snapToGrid w:val="0"/>
        <w:spacing w:line="360" w:lineRule="auto"/>
        <w:ind w:firstLine="420" w:firstLineChars="200"/>
        <w:rPr>
          <w:rFonts w:ascii="宋体"/>
          <w:szCs w:val="21"/>
          <w:highlight w:val="none"/>
        </w:rPr>
      </w:pPr>
      <w:r>
        <w:rPr>
          <w:rFonts w:hint="eastAsia" w:ascii="宋体" w:hAnsi="宋体"/>
          <w:szCs w:val="21"/>
          <w:highlight w:val="none"/>
        </w:rPr>
        <w:t>服务人员待遇，中标单位按《中华人民共和国劳动法》等相关规定与派遣人员签订劳动合同并且按规定交纳五险一金，另需购买团体意外伤害保险（主险：意外身故、残疾给付，保额为叁拾万元；附加险：意外医疗费用补偿，保额伍万元；按月发放工资，工资标准不低于嘉兴市最低工资标准。</w:t>
      </w:r>
    </w:p>
    <w:p>
      <w:pPr>
        <w:pStyle w:val="4"/>
        <w:ind w:firstLine="420" w:firstLineChars="200"/>
        <w:jc w:val="both"/>
        <w:rPr>
          <w:rFonts w:ascii="宋体" w:hAnsi="宋体" w:eastAsia="宋体"/>
          <w:b w:val="0"/>
          <w:kern w:val="2"/>
          <w:sz w:val="21"/>
          <w:szCs w:val="21"/>
          <w:highlight w:val="none"/>
        </w:rPr>
      </w:pPr>
      <w:r>
        <w:rPr>
          <w:rFonts w:hint="eastAsia" w:ascii="宋体" w:hAnsi="宋体" w:eastAsia="宋体"/>
          <w:b w:val="0"/>
          <w:kern w:val="2"/>
          <w:sz w:val="21"/>
          <w:szCs w:val="21"/>
          <w:highlight w:val="none"/>
        </w:rPr>
        <w:t>中标单位服务人员在实施单位服务期间的劳动管理、劳动争议等事项由中标单位依据《劳动法》和《劳动合同法》处理。中标单位服务人员与中标单位发生的劳动争议一律与采购单位无关。</w:t>
      </w:r>
    </w:p>
    <w:p>
      <w:pPr>
        <w:snapToGrid w:val="0"/>
        <w:spacing w:line="360" w:lineRule="auto"/>
        <w:ind w:firstLine="422" w:firstLineChars="200"/>
        <w:rPr>
          <w:rFonts w:ascii="宋体"/>
          <w:b/>
          <w:bCs/>
          <w:color w:val="auto"/>
          <w:szCs w:val="21"/>
          <w:highlight w:val="none"/>
        </w:rPr>
      </w:pPr>
      <w:r>
        <w:rPr>
          <w:rFonts w:hint="eastAsia" w:ascii="宋体" w:hAnsi="宋体"/>
          <w:b/>
          <w:bCs/>
          <w:szCs w:val="21"/>
          <w:highlight w:val="none"/>
        </w:rPr>
        <w:t>六、履约保证金</w:t>
      </w:r>
      <w:r>
        <w:rPr>
          <w:rFonts w:hint="eastAsia" w:ascii="宋体" w:hAnsi="宋体"/>
          <w:b/>
          <w:bCs/>
          <w:color w:val="auto"/>
          <w:szCs w:val="21"/>
          <w:highlight w:val="none"/>
        </w:rPr>
        <w:t>：</w:t>
      </w:r>
    </w:p>
    <w:p>
      <w:pPr>
        <w:snapToGrid w:val="0"/>
        <w:spacing w:line="360" w:lineRule="auto"/>
        <w:ind w:firstLine="420" w:firstLineChars="200"/>
        <w:rPr>
          <w:rFonts w:ascii="宋体"/>
          <w:color w:val="auto"/>
          <w:szCs w:val="21"/>
          <w:highlight w:val="none"/>
        </w:rPr>
      </w:pPr>
      <w:r>
        <w:rPr>
          <w:rFonts w:hint="eastAsia" w:hAnsi="宋体"/>
          <w:color w:val="auto"/>
          <w:szCs w:val="21"/>
          <w:highlight w:val="none"/>
        </w:rPr>
        <w:t>本项目不设履约保证金。</w:t>
      </w:r>
    </w:p>
    <w:p>
      <w:pPr>
        <w:snapToGrid w:val="0"/>
        <w:spacing w:line="360" w:lineRule="auto"/>
        <w:ind w:firstLine="422" w:firstLineChars="200"/>
        <w:rPr>
          <w:rFonts w:ascii="宋体"/>
          <w:b/>
          <w:bCs/>
          <w:color w:val="auto"/>
          <w:szCs w:val="21"/>
          <w:highlight w:val="none"/>
        </w:rPr>
      </w:pPr>
      <w:r>
        <w:rPr>
          <w:rFonts w:hint="eastAsia" w:ascii="宋体" w:hAnsi="宋体"/>
          <w:b/>
          <w:bCs/>
          <w:color w:val="auto"/>
          <w:szCs w:val="21"/>
          <w:highlight w:val="none"/>
        </w:rPr>
        <w:t>七、项目费用支付方式：</w:t>
      </w:r>
    </w:p>
    <w:p>
      <w:pPr>
        <w:spacing w:line="430" w:lineRule="exact"/>
        <w:ind w:firstLine="420" w:firstLineChars="200"/>
        <w:jc w:val="left"/>
        <w:rPr>
          <w:rFonts w:ascii="宋体"/>
          <w:color w:val="auto"/>
          <w:szCs w:val="21"/>
          <w:highlight w:val="none"/>
        </w:rPr>
      </w:pPr>
      <w:r>
        <w:rPr>
          <w:rFonts w:hint="eastAsia" w:ascii="宋体" w:hAnsi="宋体"/>
          <w:color w:val="auto"/>
          <w:szCs w:val="21"/>
          <w:highlight w:val="none"/>
        </w:rPr>
        <w:t>合同签订生效具备实施条件后</w:t>
      </w:r>
      <w:r>
        <w:rPr>
          <w:rFonts w:ascii="宋体" w:hAnsi="宋体"/>
          <w:color w:val="auto"/>
          <w:szCs w:val="21"/>
          <w:highlight w:val="none"/>
        </w:rPr>
        <w:t>15</w:t>
      </w:r>
      <w:r>
        <w:rPr>
          <w:rFonts w:hint="eastAsia" w:ascii="宋体" w:hAnsi="宋体"/>
          <w:color w:val="auto"/>
          <w:szCs w:val="21"/>
          <w:highlight w:val="none"/>
        </w:rPr>
        <w:t>天内支付合同价的</w:t>
      </w:r>
      <w:r>
        <w:rPr>
          <w:rFonts w:ascii="宋体" w:hAnsi="宋体"/>
          <w:color w:val="auto"/>
          <w:szCs w:val="21"/>
          <w:highlight w:val="none"/>
        </w:rPr>
        <w:t>20%</w:t>
      </w:r>
      <w:r>
        <w:rPr>
          <w:rFonts w:hint="eastAsia" w:ascii="宋体" w:hAnsi="宋体"/>
          <w:color w:val="auto"/>
          <w:szCs w:val="21"/>
          <w:highlight w:val="none"/>
        </w:rPr>
        <w:t>，其余招标单位根据月度考核结果及实际人数每季度结束后按季度支付一次中标方服务费用。</w:t>
      </w:r>
    </w:p>
    <w:p>
      <w:pPr>
        <w:numPr>
          <w:ilvl w:val="0"/>
          <w:numId w:val="3"/>
        </w:numPr>
        <w:snapToGrid w:val="0"/>
        <w:spacing w:line="360" w:lineRule="auto"/>
        <w:ind w:firstLine="422" w:firstLineChars="200"/>
        <w:rPr>
          <w:rFonts w:ascii="宋体"/>
          <w:b/>
          <w:bCs/>
          <w:color w:val="auto"/>
          <w:szCs w:val="21"/>
          <w:highlight w:val="none"/>
        </w:rPr>
      </w:pPr>
      <w:r>
        <w:rPr>
          <w:rFonts w:hint="eastAsia" w:ascii="宋体" w:hAnsi="宋体"/>
          <w:b/>
          <w:bCs/>
          <w:color w:val="auto"/>
          <w:szCs w:val="21"/>
          <w:highlight w:val="none"/>
        </w:rPr>
        <w:t>投标报价</w:t>
      </w:r>
    </w:p>
    <w:p>
      <w:pPr>
        <w:snapToGrid w:val="0"/>
        <w:spacing w:line="360" w:lineRule="auto"/>
        <w:ind w:firstLine="420" w:firstLineChars="200"/>
        <w:rPr>
          <w:rFonts w:ascii="宋体"/>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本项目投标报</w:t>
      </w:r>
      <w:r>
        <w:rPr>
          <w:rFonts w:hint="eastAsia" w:ascii="宋体" w:hAnsi="宋体"/>
          <w:szCs w:val="21"/>
          <w:highlight w:val="none"/>
        </w:rPr>
        <w:t>价为一年的承包费用报价。</w:t>
      </w:r>
    </w:p>
    <w:p>
      <w:pPr>
        <w:snapToGrid w:val="0"/>
        <w:spacing w:line="360" w:lineRule="auto"/>
        <w:ind w:firstLine="420" w:firstLineChars="200"/>
        <w:rPr>
          <w:rFonts w:asci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投标总价必须包括在承包区域内提供综合公共服务所需的一切人员工资、奖金、各种加班费、夜餐费、各种社会保险（基本养老保险、基本医疗保险、工伤保险、失业保险）、食宿与交通、高温补偿费、设备及工具、器材、消耗材料、服装、安全、仓储、运输、维修、管理费用、税费、利润、完成合同所需的一切本身和不可或缺的所有工作开支、政策性文件规定及合同包含的所有风险、责任、招标代理费用等各项全部费用并承担一切风险责任。在综合公共服务合同服务期间内不得违反国家相关政策规定。</w:t>
      </w:r>
    </w:p>
    <w:bookmarkEnd w:id="26"/>
    <w:bookmarkEnd w:id="27"/>
    <w:p>
      <w:pPr>
        <w:spacing w:line="400" w:lineRule="exact"/>
        <w:ind w:firstLine="422" w:firstLineChars="200"/>
        <w:rPr>
          <w:rFonts w:ascii="宋体"/>
          <w:szCs w:val="21"/>
          <w:highlight w:val="none"/>
        </w:rPr>
      </w:pPr>
      <w:r>
        <w:rPr>
          <w:rFonts w:hint="eastAsia" w:ascii="宋体" w:hAnsi="宋体"/>
          <w:b/>
          <w:bCs/>
          <w:szCs w:val="21"/>
          <w:highlight w:val="none"/>
        </w:rPr>
        <w:t>九、质量监督检查和考核</w:t>
      </w:r>
      <w:r>
        <w:rPr>
          <w:rFonts w:ascii="宋体" w:hAnsi="宋体"/>
          <w:b/>
          <w:bCs/>
          <w:szCs w:val="21"/>
          <w:highlight w:val="none"/>
        </w:rPr>
        <w:t>:</w:t>
      </w:r>
    </w:p>
    <w:p>
      <w:pPr>
        <w:spacing w:line="400" w:lineRule="exact"/>
        <w:ind w:firstLine="420" w:firstLineChars="200"/>
        <w:rPr>
          <w:rFonts w:ascii="宋体"/>
          <w:szCs w:val="21"/>
          <w:highlight w:val="none"/>
        </w:rPr>
      </w:pPr>
      <w:r>
        <w:rPr>
          <w:rFonts w:hint="eastAsia" w:ascii="宋体" w:hAnsi="宋体"/>
          <w:szCs w:val="21"/>
          <w:highlight w:val="none"/>
        </w:rPr>
        <w:t>招标人每月对投标人综合公共服务采用《嘉兴港区综合公共服务项目考核办法》进行考核，每月考核采取</w:t>
      </w:r>
      <w:r>
        <w:rPr>
          <w:rFonts w:ascii="宋体" w:hAnsi="宋体"/>
          <w:szCs w:val="21"/>
          <w:highlight w:val="none"/>
        </w:rPr>
        <w:t>100</w:t>
      </w:r>
      <w:r>
        <w:rPr>
          <w:rFonts w:hint="eastAsia" w:ascii="宋体" w:hAnsi="宋体"/>
          <w:szCs w:val="21"/>
          <w:highlight w:val="none"/>
        </w:rPr>
        <w:t>分制，每扣</w:t>
      </w:r>
      <w:r>
        <w:rPr>
          <w:rFonts w:ascii="宋体" w:hAnsi="宋体"/>
          <w:szCs w:val="21"/>
          <w:highlight w:val="none"/>
        </w:rPr>
        <w:t>1</w:t>
      </w:r>
      <w:r>
        <w:rPr>
          <w:rFonts w:hint="eastAsia" w:ascii="宋体" w:hAnsi="宋体"/>
          <w:szCs w:val="21"/>
          <w:highlight w:val="none"/>
        </w:rPr>
        <w:t>分从每月应付合同金额中扣除人民币</w:t>
      </w:r>
      <w:r>
        <w:rPr>
          <w:rFonts w:ascii="宋体" w:hAnsi="宋体"/>
          <w:szCs w:val="21"/>
          <w:highlight w:val="none"/>
        </w:rPr>
        <w:t>500</w:t>
      </w:r>
      <w:r>
        <w:rPr>
          <w:rFonts w:hint="eastAsia" w:ascii="宋体" w:hAnsi="宋体"/>
          <w:szCs w:val="21"/>
          <w:highlight w:val="none"/>
        </w:rPr>
        <w:t>元，根据每月考核结果，按季度支付。考核小组由相关人员组成，每月采取定时或抽查形式进行考核，考核采用量化计分的方式，定期或不定期对综合公共服务的各个环节进行检查，发现问题及时登记并作为考核的依据。投标人在考核期限内发生重大责任事故、安全事故、重大舆情以及在社会面造成重大社会影响的，招标人可要求投标人进行整改或终止服务合同。</w:t>
      </w:r>
    </w:p>
    <w:p>
      <w:pPr>
        <w:spacing w:line="400" w:lineRule="exact"/>
        <w:ind w:firstLine="420" w:firstLineChars="200"/>
        <w:rPr>
          <w:rFonts w:hint="eastAsia"/>
          <w:highlight w:val="none"/>
        </w:rPr>
      </w:pPr>
      <w:r>
        <w:rPr>
          <w:rFonts w:hint="eastAsia"/>
          <w:highlight w:val="none"/>
          <w:lang w:val="en-US" w:eastAsia="zh-CN"/>
        </w:rPr>
        <w:t>每个标段中标单位应设立市容秩序维护服务片区队长1人，片区班长2人，全面负责日常综合公共服务队伍的规范化管理工作。</w:t>
      </w:r>
      <w:r>
        <w:rPr>
          <w:rFonts w:hint="eastAsia"/>
          <w:highlight w:val="none"/>
        </w:rPr>
        <w:t>招标人对综合公共服务队员不开展个人单独考核，如对不适合综合公共服务项目要求的队员提出调离要求，</w:t>
      </w:r>
      <w:r>
        <w:rPr>
          <w:rFonts w:hint="eastAsia"/>
          <w:highlight w:val="none"/>
          <w:lang w:val="en-US" w:eastAsia="zh-CN"/>
        </w:rPr>
        <w:t>中标单位</w:t>
      </w:r>
      <w:r>
        <w:rPr>
          <w:rFonts w:hint="eastAsia"/>
          <w:highlight w:val="none"/>
        </w:rPr>
        <w:t>应当在一周内完成调离工作，并派遣符合要求的新队员。</w:t>
      </w:r>
    </w:p>
    <w:p>
      <w:pPr>
        <w:pStyle w:val="2"/>
      </w:pPr>
    </w:p>
    <w:p>
      <w:pPr>
        <w:pStyle w:val="4"/>
        <w:ind w:firstLine="413" w:firstLineChars="196"/>
        <w:jc w:val="both"/>
        <w:rPr>
          <w:rFonts w:ascii="宋体" w:hAnsi="宋体" w:eastAsia="宋体"/>
          <w:bCs/>
          <w:kern w:val="2"/>
          <w:sz w:val="21"/>
          <w:szCs w:val="21"/>
          <w:highlight w:val="none"/>
        </w:rPr>
      </w:pPr>
      <w:r>
        <w:rPr>
          <w:rFonts w:hint="eastAsia" w:ascii="宋体" w:hAnsi="宋体" w:eastAsia="宋体"/>
          <w:bCs/>
          <w:kern w:val="2"/>
          <w:sz w:val="21"/>
          <w:szCs w:val="21"/>
          <w:highlight w:val="none"/>
        </w:rPr>
        <w:t>十、考核办法</w:t>
      </w:r>
    </w:p>
    <w:p>
      <w:pPr>
        <w:pStyle w:val="17"/>
        <w:spacing w:line="440" w:lineRule="exact"/>
        <w:ind w:left="199" w:leftChars="95"/>
        <w:jc w:val="center"/>
        <w:outlineLvl w:val="0"/>
        <w:rPr>
          <w:rFonts w:ascii="宋体"/>
          <w:b/>
          <w:bCs/>
          <w:kern w:val="2"/>
          <w:sz w:val="28"/>
          <w:szCs w:val="28"/>
          <w:highlight w:val="none"/>
        </w:rPr>
      </w:pPr>
      <w:r>
        <w:rPr>
          <w:rFonts w:hint="eastAsia" w:ascii="宋体" w:hAnsi="宋体"/>
          <w:b/>
          <w:bCs/>
          <w:kern w:val="2"/>
          <w:sz w:val="28"/>
          <w:szCs w:val="28"/>
          <w:highlight w:val="none"/>
        </w:rPr>
        <w:t>嘉兴港区综合公共服务项目考核办法</w:t>
      </w:r>
    </w:p>
    <w:p>
      <w:pPr>
        <w:pStyle w:val="17"/>
        <w:spacing w:line="440" w:lineRule="exact"/>
        <w:ind w:left="199" w:leftChars="95"/>
        <w:jc w:val="center"/>
        <w:outlineLvl w:val="0"/>
        <w:rPr>
          <w:rFonts w:ascii="宋体"/>
          <w:kern w:val="2"/>
          <w:sz w:val="21"/>
          <w:szCs w:val="21"/>
          <w:highlight w:val="none"/>
        </w:rPr>
      </w:pPr>
      <w:r>
        <w:rPr>
          <w:rFonts w:hint="eastAsia" w:ascii="宋体" w:hAnsi="宋体"/>
          <w:kern w:val="2"/>
          <w:sz w:val="21"/>
          <w:szCs w:val="21"/>
          <w:highlight w:val="none"/>
        </w:rPr>
        <w:t>第一章</w:t>
      </w:r>
      <w:r>
        <w:rPr>
          <w:rFonts w:ascii="宋体"/>
          <w:kern w:val="2"/>
          <w:sz w:val="21"/>
          <w:szCs w:val="21"/>
          <w:highlight w:val="none"/>
        </w:rPr>
        <w:tab/>
      </w:r>
      <w:r>
        <w:rPr>
          <w:rFonts w:ascii="宋体" w:hAnsi="宋体"/>
          <w:kern w:val="2"/>
          <w:sz w:val="21"/>
          <w:szCs w:val="21"/>
          <w:highlight w:val="none"/>
        </w:rPr>
        <w:t xml:space="preserve">  </w:t>
      </w:r>
      <w:r>
        <w:rPr>
          <w:rFonts w:hint="eastAsia" w:ascii="宋体" w:hAnsi="宋体"/>
          <w:kern w:val="2"/>
          <w:sz w:val="21"/>
          <w:szCs w:val="21"/>
          <w:highlight w:val="none"/>
        </w:rPr>
        <w:t>总</w:t>
      </w:r>
      <w:r>
        <w:rPr>
          <w:rFonts w:ascii="宋体" w:hAnsi="宋体"/>
          <w:kern w:val="2"/>
          <w:sz w:val="21"/>
          <w:szCs w:val="21"/>
          <w:highlight w:val="none"/>
        </w:rPr>
        <w:t xml:space="preserve"> </w:t>
      </w:r>
      <w:r>
        <w:rPr>
          <w:rFonts w:hint="eastAsia" w:ascii="宋体" w:hAnsi="宋体"/>
          <w:kern w:val="2"/>
          <w:sz w:val="21"/>
          <w:szCs w:val="21"/>
          <w:highlight w:val="none"/>
        </w:rPr>
        <w:t>则</w:t>
      </w:r>
    </w:p>
    <w:p>
      <w:pPr>
        <w:pStyle w:val="17"/>
        <w:spacing w:line="440" w:lineRule="exact"/>
        <w:ind w:left="0" w:leftChars="0" w:firstLine="420" w:firstLineChars="200"/>
        <w:outlineLvl w:val="0"/>
        <w:rPr>
          <w:rFonts w:ascii="宋体"/>
          <w:kern w:val="2"/>
          <w:sz w:val="21"/>
          <w:szCs w:val="21"/>
          <w:highlight w:val="none"/>
        </w:rPr>
      </w:pPr>
      <w:r>
        <w:rPr>
          <w:rFonts w:hint="eastAsia" w:ascii="宋体" w:hAnsi="宋体"/>
          <w:kern w:val="2"/>
          <w:sz w:val="21"/>
          <w:szCs w:val="21"/>
          <w:highlight w:val="none"/>
        </w:rPr>
        <w:t>第一条</w:t>
      </w:r>
      <w:r>
        <w:rPr>
          <w:rFonts w:ascii="宋体" w:hAnsi="宋体"/>
          <w:kern w:val="2"/>
          <w:sz w:val="21"/>
          <w:szCs w:val="21"/>
          <w:highlight w:val="none"/>
        </w:rPr>
        <w:t xml:space="preserve">  </w:t>
      </w:r>
      <w:r>
        <w:rPr>
          <w:rFonts w:hint="eastAsia" w:ascii="宋体" w:hAnsi="宋体"/>
          <w:kern w:val="2"/>
          <w:sz w:val="21"/>
          <w:szCs w:val="21"/>
          <w:highlight w:val="none"/>
        </w:rPr>
        <w:t>为落实城市市容管理市场化，全面提升港区城市精细化管理水平，加强政府购买服务合同的履行，确保服务项目目标达成度、社会效益、群众满意度全面提升，确保港区综合公共服务项目资金用在实处，激励社会化服务公司全面提升城市精细化管理水平，特制定本办法。</w:t>
      </w:r>
    </w:p>
    <w:p>
      <w:pPr>
        <w:pStyle w:val="17"/>
        <w:spacing w:line="440" w:lineRule="exact"/>
        <w:ind w:left="0" w:leftChars="0" w:firstLine="420" w:firstLineChars="200"/>
        <w:outlineLvl w:val="0"/>
        <w:rPr>
          <w:rFonts w:ascii="宋体"/>
          <w:kern w:val="2"/>
          <w:sz w:val="21"/>
          <w:szCs w:val="21"/>
          <w:highlight w:val="none"/>
        </w:rPr>
      </w:pPr>
      <w:r>
        <w:rPr>
          <w:rFonts w:hint="eastAsia" w:ascii="宋体" w:hAnsi="宋体"/>
          <w:kern w:val="2"/>
          <w:sz w:val="21"/>
          <w:szCs w:val="21"/>
          <w:highlight w:val="none"/>
        </w:rPr>
        <w:t>第二条</w:t>
      </w:r>
      <w:r>
        <w:rPr>
          <w:rFonts w:ascii="宋体" w:hAnsi="宋体"/>
          <w:kern w:val="2"/>
          <w:sz w:val="21"/>
          <w:szCs w:val="21"/>
          <w:highlight w:val="none"/>
        </w:rPr>
        <w:t xml:space="preserve">  </w:t>
      </w:r>
      <w:r>
        <w:rPr>
          <w:rFonts w:hint="eastAsia" w:ascii="宋体" w:hAnsi="宋体"/>
          <w:kern w:val="2"/>
          <w:sz w:val="21"/>
          <w:szCs w:val="21"/>
          <w:highlight w:val="none"/>
        </w:rPr>
        <w:t>本办法所称的考核是指嘉兴港区（综合保税区）综合行政执法队依据科学、客观、公正、专业的原则，对承担公共服务工作的公司</w:t>
      </w:r>
      <w:r>
        <w:rPr>
          <w:rFonts w:ascii="宋体" w:hAnsi="宋体"/>
          <w:kern w:val="2"/>
          <w:sz w:val="21"/>
          <w:szCs w:val="21"/>
          <w:highlight w:val="none"/>
        </w:rPr>
        <w:t>(</w:t>
      </w:r>
      <w:r>
        <w:rPr>
          <w:rFonts w:hint="eastAsia" w:ascii="宋体" w:hAnsi="宋体"/>
          <w:kern w:val="2"/>
          <w:sz w:val="21"/>
          <w:szCs w:val="21"/>
          <w:highlight w:val="none"/>
        </w:rPr>
        <w:t>下称公司</w:t>
      </w:r>
      <w:r>
        <w:rPr>
          <w:rFonts w:ascii="宋体" w:hAnsi="宋体"/>
          <w:kern w:val="2"/>
          <w:sz w:val="21"/>
          <w:szCs w:val="21"/>
          <w:highlight w:val="none"/>
        </w:rPr>
        <w:t>)</w:t>
      </w:r>
      <w:r>
        <w:rPr>
          <w:rFonts w:hint="eastAsia" w:ascii="宋体" w:hAnsi="宋体"/>
          <w:kern w:val="2"/>
          <w:sz w:val="21"/>
          <w:szCs w:val="21"/>
          <w:highlight w:val="none"/>
        </w:rPr>
        <w:t>，在日常管理、文明劝导、工作绩效、规范化建设、文明创建等方面进行的监督、检查和考核。</w:t>
      </w:r>
    </w:p>
    <w:p>
      <w:pPr>
        <w:pStyle w:val="17"/>
        <w:spacing w:line="440" w:lineRule="exact"/>
        <w:ind w:left="0" w:leftChars="0" w:firstLine="420" w:firstLineChars="200"/>
        <w:outlineLvl w:val="0"/>
        <w:rPr>
          <w:rFonts w:ascii="宋体"/>
          <w:kern w:val="2"/>
          <w:sz w:val="21"/>
          <w:szCs w:val="21"/>
          <w:highlight w:val="none"/>
        </w:rPr>
      </w:pPr>
      <w:r>
        <w:rPr>
          <w:rFonts w:hint="eastAsia" w:ascii="宋体" w:hAnsi="宋体"/>
          <w:kern w:val="2"/>
          <w:sz w:val="21"/>
          <w:szCs w:val="21"/>
          <w:highlight w:val="none"/>
        </w:rPr>
        <w:t>第三条</w:t>
      </w:r>
      <w:r>
        <w:rPr>
          <w:rFonts w:ascii="宋体" w:hAnsi="宋体"/>
          <w:kern w:val="2"/>
          <w:sz w:val="21"/>
          <w:szCs w:val="21"/>
          <w:highlight w:val="none"/>
        </w:rPr>
        <w:t xml:space="preserve">  </w:t>
      </w:r>
      <w:r>
        <w:rPr>
          <w:rFonts w:hint="eastAsia" w:ascii="宋体" w:hAnsi="宋体"/>
          <w:kern w:val="2"/>
          <w:sz w:val="21"/>
          <w:szCs w:val="21"/>
          <w:highlight w:val="none"/>
        </w:rPr>
        <w:t>考核分为一般考核、日常考核、专项考核。一般考核是指对公司规范化建设、组织管理及从业人员行为规范的考核。日常考核是指对日常城市综合公共服务工作、文明创建等工作的考核。专项考核是指对公司完成临时性、阶段性、突击性重点工作和协助城市管理部门办理领导批示、部门转办、新闻曝光、群众投诉等重点事项以及有无出现因公司原因被曝光造成不良影响等的考核。</w:t>
      </w:r>
    </w:p>
    <w:p>
      <w:pPr>
        <w:pStyle w:val="17"/>
        <w:spacing w:line="440" w:lineRule="exact"/>
        <w:ind w:left="0" w:leftChars="0" w:firstLine="420" w:firstLineChars="200"/>
        <w:outlineLvl w:val="0"/>
        <w:rPr>
          <w:rFonts w:ascii="宋体"/>
          <w:kern w:val="2"/>
          <w:sz w:val="21"/>
          <w:szCs w:val="21"/>
          <w:highlight w:val="none"/>
        </w:rPr>
      </w:pPr>
      <w:r>
        <w:rPr>
          <w:rFonts w:hint="eastAsia" w:ascii="宋体" w:hAnsi="宋体"/>
          <w:kern w:val="2"/>
          <w:sz w:val="21"/>
          <w:szCs w:val="21"/>
          <w:highlight w:val="none"/>
        </w:rPr>
        <w:t>第四条</w:t>
      </w:r>
      <w:r>
        <w:rPr>
          <w:rFonts w:ascii="宋体" w:hAnsi="宋体"/>
          <w:kern w:val="2"/>
          <w:sz w:val="21"/>
          <w:szCs w:val="21"/>
          <w:highlight w:val="none"/>
        </w:rPr>
        <w:t xml:space="preserve">  </w:t>
      </w:r>
      <w:r>
        <w:rPr>
          <w:rFonts w:hint="eastAsia" w:ascii="宋体" w:hAnsi="宋体"/>
          <w:kern w:val="2"/>
          <w:sz w:val="21"/>
          <w:szCs w:val="21"/>
          <w:highlight w:val="none"/>
        </w:rPr>
        <w:t>嘉兴港区（综合保税区）综合行政执法队可以根据实际情况，对公司的考核项目进行适当调整，调整的情况应提前书面通知考核对象。</w:t>
      </w:r>
    </w:p>
    <w:p>
      <w:pPr>
        <w:pStyle w:val="17"/>
        <w:spacing w:line="440" w:lineRule="exact"/>
        <w:ind w:left="0" w:leftChars="0" w:firstLine="420" w:firstLineChars="200"/>
        <w:outlineLvl w:val="0"/>
        <w:rPr>
          <w:rFonts w:ascii="宋体"/>
          <w:kern w:val="2"/>
          <w:sz w:val="21"/>
          <w:szCs w:val="21"/>
          <w:highlight w:val="none"/>
        </w:rPr>
      </w:pPr>
    </w:p>
    <w:p>
      <w:pPr>
        <w:pStyle w:val="17"/>
        <w:spacing w:line="440" w:lineRule="exact"/>
        <w:ind w:left="199" w:leftChars="95"/>
        <w:jc w:val="center"/>
        <w:outlineLvl w:val="0"/>
        <w:rPr>
          <w:rFonts w:ascii="宋体"/>
          <w:kern w:val="2"/>
          <w:sz w:val="21"/>
          <w:szCs w:val="21"/>
          <w:highlight w:val="none"/>
        </w:rPr>
      </w:pPr>
      <w:r>
        <w:rPr>
          <w:rFonts w:hint="eastAsia" w:ascii="宋体" w:hAnsi="宋体"/>
          <w:kern w:val="2"/>
          <w:sz w:val="21"/>
          <w:szCs w:val="21"/>
          <w:highlight w:val="none"/>
        </w:rPr>
        <w:t>第二章</w:t>
      </w:r>
      <w:r>
        <w:rPr>
          <w:rFonts w:ascii="宋体"/>
          <w:kern w:val="2"/>
          <w:sz w:val="21"/>
          <w:szCs w:val="21"/>
          <w:highlight w:val="none"/>
        </w:rPr>
        <w:tab/>
      </w:r>
      <w:r>
        <w:rPr>
          <w:rFonts w:ascii="宋体" w:hAnsi="宋体"/>
          <w:kern w:val="2"/>
          <w:sz w:val="21"/>
          <w:szCs w:val="21"/>
          <w:highlight w:val="none"/>
        </w:rPr>
        <w:t xml:space="preserve">  </w:t>
      </w:r>
      <w:r>
        <w:rPr>
          <w:rFonts w:hint="eastAsia" w:ascii="宋体" w:hAnsi="宋体"/>
          <w:kern w:val="2"/>
          <w:sz w:val="21"/>
          <w:szCs w:val="21"/>
          <w:highlight w:val="none"/>
        </w:rPr>
        <w:t>一般考核</w:t>
      </w:r>
    </w:p>
    <w:p>
      <w:pPr>
        <w:pStyle w:val="17"/>
        <w:spacing w:line="440" w:lineRule="exact"/>
        <w:ind w:left="0" w:leftChars="0" w:firstLine="420" w:firstLineChars="200"/>
        <w:outlineLvl w:val="0"/>
        <w:rPr>
          <w:rFonts w:ascii="宋体"/>
          <w:kern w:val="2"/>
          <w:sz w:val="21"/>
          <w:szCs w:val="21"/>
          <w:highlight w:val="none"/>
        </w:rPr>
      </w:pPr>
      <w:r>
        <w:rPr>
          <w:rFonts w:hint="eastAsia" w:ascii="宋体" w:hAnsi="宋体"/>
          <w:kern w:val="2"/>
          <w:sz w:val="21"/>
          <w:szCs w:val="21"/>
          <w:highlight w:val="none"/>
        </w:rPr>
        <w:t>第五条</w:t>
      </w:r>
      <w:r>
        <w:rPr>
          <w:rFonts w:ascii="宋体" w:hAnsi="宋体"/>
          <w:kern w:val="2"/>
          <w:sz w:val="21"/>
          <w:szCs w:val="21"/>
          <w:highlight w:val="none"/>
        </w:rPr>
        <w:t xml:space="preserve">  </w:t>
      </w:r>
      <w:r>
        <w:rPr>
          <w:rFonts w:hint="eastAsia" w:ascii="宋体" w:hAnsi="宋体"/>
          <w:kern w:val="2"/>
          <w:sz w:val="21"/>
          <w:szCs w:val="21"/>
          <w:highlight w:val="none"/>
        </w:rPr>
        <w:t>一般考核主要包括以下内容：</w:t>
      </w:r>
    </w:p>
    <w:p>
      <w:pPr>
        <w:pStyle w:val="17"/>
        <w:spacing w:line="440" w:lineRule="exact"/>
        <w:ind w:left="0" w:leftChars="0" w:firstLine="420" w:firstLineChars="200"/>
        <w:outlineLvl w:val="0"/>
        <w:rPr>
          <w:rFonts w:ascii="宋体"/>
          <w:kern w:val="2"/>
          <w:sz w:val="21"/>
          <w:szCs w:val="21"/>
          <w:highlight w:val="none"/>
        </w:rPr>
      </w:pPr>
      <w:r>
        <w:rPr>
          <w:rFonts w:hint="eastAsia" w:ascii="宋体" w:hAnsi="宋体"/>
          <w:kern w:val="2"/>
          <w:sz w:val="21"/>
          <w:szCs w:val="21"/>
          <w:highlight w:val="none"/>
        </w:rPr>
        <w:t>（一）公司建设。主要包括公司的组织架构、制度建立、职责分工、学习培训、安全生产等。</w:t>
      </w:r>
    </w:p>
    <w:p>
      <w:pPr>
        <w:pStyle w:val="17"/>
        <w:spacing w:line="440" w:lineRule="exact"/>
        <w:ind w:left="0" w:leftChars="0" w:firstLine="420" w:firstLineChars="200"/>
        <w:outlineLvl w:val="0"/>
        <w:rPr>
          <w:rFonts w:ascii="宋体"/>
          <w:kern w:val="2"/>
          <w:sz w:val="21"/>
          <w:szCs w:val="21"/>
          <w:highlight w:val="none"/>
        </w:rPr>
      </w:pPr>
      <w:r>
        <w:rPr>
          <w:rFonts w:hint="eastAsia" w:ascii="宋体" w:hAnsi="宋体"/>
          <w:kern w:val="2"/>
          <w:sz w:val="21"/>
          <w:szCs w:val="21"/>
          <w:highlight w:val="none"/>
        </w:rPr>
        <w:t>（二）工作机制。建立部门联动机制，对市容管理相关问题及时处置，工作台账和各类资料完整规范。</w:t>
      </w:r>
    </w:p>
    <w:p>
      <w:pPr>
        <w:pStyle w:val="17"/>
        <w:spacing w:line="440" w:lineRule="exact"/>
        <w:ind w:left="0" w:leftChars="0" w:firstLine="420" w:firstLineChars="200"/>
        <w:outlineLvl w:val="0"/>
        <w:rPr>
          <w:rFonts w:ascii="宋体"/>
          <w:kern w:val="2"/>
          <w:sz w:val="21"/>
          <w:szCs w:val="21"/>
          <w:highlight w:val="none"/>
        </w:rPr>
      </w:pPr>
      <w:r>
        <w:rPr>
          <w:rFonts w:hint="eastAsia" w:ascii="宋体" w:hAnsi="宋体"/>
          <w:kern w:val="2"/>
          <w:sz w:val="21"/>
          <w:szCs w:val="21"/>
          <w:highlight w:val="none"/>
        </w:rPr>
        <w:t>（三）人员管理。主要包括到岗到位、人员着装、行为举止、文明用语等情况。</w:t>
      </w:r>
    </w:p>
    <w:p>
      <w:pPr>
        <w:pStyle w:val="17"/>
        <w:spacing w:line="440" w:lineRule="exact"/>
        <w:ind w:left="0" w:leftChars="0" w:firstLine="420" w:firstLineChars="200"/>
        <w:outlineLvl w:val="0"/>
        <w:rPr>
          <w:rFonts w:ascii="宋体"/>
          <w:kern w:val="2"/>
          <w:sz w:val="21"/>
          <w:szCs w:val="21"/>
          <w:highlight w:val="none"/>
        </w:rPr>
      </w:pPr>
      <w:r>
        <w:rPr>
          <w:rFonts w:hint="eastAsia" w:ascii="宋体" w:hAnsi="宋体"/>
          <w:kern w:val="2"/>
          <w:sz w:val="21"/>
          <w:szCs w:val="21"/>
          <w:highlight w:val="none"/>
        </w:rPr>
        <w:t>第六条</w:t>
      </w:r>
      <w:r>
        <w:rPr>
          <w:rFonts w:ascii="宋体" w:hAnsi="宋体"/>
          <w:kern w:val="2"/>
          <w:sz w:val="21"/>
          <w:szCs w:val="21"/>
          <w:highlight w:val="none"/>
        </w:rPr>
        <w:t xml:space="preserve">  </w:t>
      </w:r>
      <w:r>
        <w:rPr>
          <w:rFonts w:hint="eastAsia" w:ascii="宋体" w:hAnsi="宋体"/>
          <w:kern w:val="2"/>
          <w:sz w:val="21"/>
          <w:szCs w:val="21"/>
          <w:highlight w:val="none"/>
        </w:rPr>
        <w:t>一般考核采取定期检查与随机暗访相结合的方式进行。</w:t>
      </w:r>
    </w:p>
    <w:p>
      <w:pPr>
        <w:pStyle w:val="17"/>
        <w:spacing w:line="440" w:lineRule="exact"/>
        <w:ind w:left="0" w:leftChars="0"/>
        <w:jc w:val="center"/>
        <w:outlineLvl w:val="0"/>
        <w:rPr>
          <w:rFonts w:ascii="宋体"/>
          <w:kern w:val="2"/>
          <w:sz w:val="21"/>
          <w:szCs w:val="21"/>
          <w:highlight w:val="none"/>
        </w:rPr>
      </w:pPr>
      <w:r>
        <w:rPr>
          <w:rFonts w:hint="eastAsia" w:ascii="宋体" w:hAnsi="宋体"/>
          <w:kern w:val="2"/>
          <w:sz w:val="21"/>
          <w:szCs w:val="21"/>
          <w:highlight w:val="none"/>
        </w:rPr>
        <w:t>第三章</w:t>
      </w:r>
      <w:r>
        <w:rPr>
          <w:rFonts w:ascii="宋体"/>
          <w:kern w:val="2"/>
          <w:sz w:val="21"/>
          <w:szCs w:val="21"/>
          <w:highlight w:val="none"/>
        </w:rPr>
        <w:tab/>
      </w:r>
      <w:r>
        <w:rPr>
          <w:rFonts w:ascii="宋体" w:hAnsi="宋体"/>
          <w:kern w:val="2"/>
          <w:sz w:val="21"/>
          <w:szCs w:val="21"/>
          <w:highlight w:val="none"/>
        </w:rPr>
        <w:t xml:space="preserve">  </w:t>
      </w:r>
      <w:r>
        <w:rPr>
          <w:rFonts w:hint="eastAsia" w:ascii="宋体" w:hAnsi="宋体"/>
          <w:kern w:val="2"/>
          <w:sz w:val="21"/>
          <w:szCs w:val="21"/>
          <w:highlight w:val="none"/>
        </w:rPr>
        <w:t>日常考核</w:t>
      </w:r>
    </w:p>
    <w:p>
      <w:pPr>
        <w:pStyle w:val="17"/>
        <w:spacing w:line="440" w:lineRule="exact"/>
        <w:ind w:left="0" w:leftChars="0" w:firstLine="420" w:firstLineChars="200"/>
        <w:outlineLvl w:val="0"/>
        <w:rPr>
          <w:rFonts w:ascii="宋体"/>
          <w:kern w:val="2"/>
          <w:sz w:val="21"/>
          <w:szCs w:val="21"/>
          <w:highlight w:val="none"/>
        </w:rPr>
      </w:pPr>
      <w:r>
        <w:rPr>
          <w:rFonts w:hint="eastAsia" w:ascii="宋体" w:hAnsi="宋体"/>
          <w:kern w:val="2"/>
          <w:sz w:val="21"/>
          <w:szCs w:val="21"/>
          <w:highlight w:val="none"/>
        </w:rPr>
        <w:t>第七条</w:t>
      </w:r>
      <w:r>
        <w:rPr>
          <w:rFonts w:ascii="宋体" w:hAnsi="宋体"/>
          <w:kern w:val="2"/>
          <w:sz w:val="21"/>
          <w:szCs w:val="21"/>
          <w:highlight w:val="none"/>
        </w:rPr>
        <w:t xml:space="preserve">  </w:t>
      </w:r>
      <w:r>
        <w:rPr>
          <w:rFonts w:hint="eastAsia" w:ascii="宋体" w:hAnsi="宋体"/>
          <w:kern w:val="2"/>
          <w:sz w:val="21"/>
          <w:szCs w:val="21"/>
          <w:highlight w:val="none"/>
        </w:rPr>
        <w:t>日常考核是指公司遵照城市管理部门规定，在岗人数和工作时间符合标准，认真履行工作职责，依照路段管理标准开展流动摊、沿街店铺、车辆管理、安全管理等工作，主要包括以下内容：</w:t>
      </w:r>
    </w:p>
    <w:p>
      <w:pPr>
        <w:pStyle w:val="17"/>
        <w:spacing w:line="440" w:lineRule="exact"/>
        <w:ind w:left="0" w:leftChars="0" w:firstLine="420" w:firstLineChars="200"/>
        <w:outlineLvl w:val="0"/>
        <w:rPr>
          <w:rFonts w:ascii="宋体"/>
          <w:kern w:val="2"/>
          <w:sz w:val="21"/>
          <w:szCs w:val="21"/>
          <w:highlight w:val="none"/>
        </w:rPr>
      </w:pPr>
      <w:r>
        <w:rPr>
          <w:rFonts w:hint="eastAsia" w:ascii="宋体" w:hAnsi="宋体"/>
          <w:kern w:val="2"/>
          <w:sz w:val="21"/>
          <w:szCs w:val="21"/>
          <w:highlight w:val="none"/>
        </w:rPr>
        <w:t>（一）对管理服务区域内的占道经营、店外作业、乱扔乱倒、乱拉乱挂、乱晾乱晒、乱贴乱写、乱堆乱放、乱搭乱建等影响市容环境卫生的“十乱”不良行为，要及时发现与劝阻。</w:t>
      </w:r>
      <w:r>
        <w:rPr>
          <w:rFonts w:ascii="宋体"/>
          <w:kern w:val="2"/>
          <w:sz w:val="21"/>
          <w:szCs w:val="21"/>
          <w:highlight w:val="none"/>
        </w:rPr>
        <w:t xml:space="preserve">     </w:t>
      </w:r>
    </w:p>
    <w:p>
      <w:pPr>
        <w:pStyle w:val="17"/>
        <w:spacing w:line="440" w:lineRule="exact"/>
        <w:ind w:left="0" w:leftChars="0" w:firstLine="420" w:firstLineChars="200"/>
        <w:outlineLvl w:val="0"/>
        <w:rPr>
          <w:rFonts w:ascii="宋体"/>
          <w:kern w:val="2"/>
          <w:sz w:val="21"/>
          <w:szCs w:val="21"/>
          <w:highlight w:val="none"/>
        </w:rPr>
      </w:pPr>
      <w:r>
        <w:rPr>
          <w:rFonts w:hint="eastAsia" w:ascii="宋体" w:hAnsi="宋体"/>
          <w:kern w:val="2"/>
          <w:sz w:val="21"/>
          <w:szCs w:val="21"/>
          <w:highlight w:val="none"/>
        </w:rPr>
        <w:t>（二）对管理服务区域内出现的流动摊点及时劝阻，引导流动摊贩到指定的疏导点规范经营或入店、入市经营。</w:t>
      </w:r>
    </w:p>
    <w:p>
      <w:pPr>
        <w:pStyle w:val="17"/>
        <w:spacing w:line="440" w:lineRule="exact"/>
        <w:ind w:left="420"/>
        <w:outlineLvl w:val="0"/>
        <w:rPr>
          <w:rFonts w:ascii="宋体"/>
          <w:kern w:val="2"/>
          <w:sz w:val="21"/>
          <w:szCs w:val="21"/>
          <w:highlight w:val="none"/>
        </w:rPr>
      </w:pPr>
      <w:r>
        <w:rPr>
          <w:rFonts w:hint="eastAsia" w:ascii="宋体" w:hAnsi="宋体"/>
          <w:kern w:val="2"/>
          <w:sz w:val="21"/>
          <w:szCs w:val="21"/>
          <w:highlight w:val="none"/>
        </w:rPr>
        <w:t>（三）对经批准设立的摊点进行巡查管理，督促经营业主认真落实摊点自治管理规定，保持摊位摆放整齐有序，周边环境干净卫生。</w:t>
      </w:r>
    </w:p>
    <w:p>
      <w:pPr>
        <w:pStyle w:val="17"/>
        <w:spacing w:line="440" w:lineRule="exact"/>
        <w:ind w:left="420"/>
        <w:outlineLvl w:val="0"/>
        <w:rPr>
          <w:rFonts w:ascii="宋体"/>
          <w:kern w:val="2"/>
          <w:sz w:val="21"/>
          <w:szCs w:val="21"/>
          <w:highlight w:val="none"/>
        </w:rPr>
      </w:pPr>
      <w:r>
        <w:rPr>
          <w:rFonts w:hint="eastAsia" w:ascii="宋体" w:hAnsi="宋体"/>
          <w:kern w:val="2"/>
          <w:sz w:val="21"/>
          <w:szCs w:val="21"/>
          <w:highlight w:val="none"/>
        </w:rPr>
        <w:t>（四）劝导管理服务区域内，人行道上的机动车停放入“位”，人行道非机动车停放有序（白天）。</w:t>
      </w:r>
    </w:p>
    <w:p>
      <w:pPr>
        <w:pStyle w:val="17"/>
        <w:spacing w:line="440" w:lineRule="exact"/>
        <w:ind w:left="420"/>
        <w:outlineLvl w:val="0"/>
        <w:rPr>
          <w:rFonts w:ascii="宋体"/>
          <w:kern w:val="2"/>
          <w:sz w:val="21"/>
          <w:szCs w:val="21"/>
          <w:highlight w:val="none"/>
        </w:rPr>
      </w:pPr>
      <w:r>
        <w:rPr>
          <w:rFonts w:hint="eastAsia" w:ascii="宋体" w:hAnsi="宋体"/>
          <w:kern w:val="2"/>
          <w:sz w:val="21"/>
          <w:szCs w:val="21"/>
          <w:highlight w:val="none"/>
        </w:rPr>
        <w:t>（五）对沿街户外广告、门头店招、宣传咨询点进行巡查，发现破旧损坏、未批先设或不按审批要求设置的灯箱、招牌、条幅、宣传点等现象时，立即劝阻，并及时报告城市管理部门。</w:t>
      </w:r>
    </w:p>
    <w:p>
      <w:pPr>
        <w:pStyle w:val="17"/>
        <w:spacing w:line="440" w:lineRule="exact"/>
        <w:ind w:left="420"/>
        <w:outlineLvl w:val="0"/>
        <w:rPr>
          <w:rFonts w:ascii="宋体"/>
          <w:kern w:val="2"/>
          <w:sz w:val="21"/>
          <w:szCs w:val="21"/>
          <w:highlight w:val="none"/>
        </w:rPr>
      </w:pPr>
      <w:r>
        <w:rPr>
          <w:rFonts w:hint="eastAsia" w:ascii="宋体" w:hAnsi="宋体"/>
          <w:kern w:val="2"/>
          <w:sz w:val="21"/>
          <w:szCs w:val="21"/>
          <w:highlight w:val="none"/>
        </w:rPr>
        <w:t>（六）发现管理服务区域内存在车辆抛洒、开墙破路、占道施工、焚烧垃圾、破坏绿化等违法违章现象，以及城市公共设备、设施存在安全隐患时，立即劝阻或采取安全防护措施，并及时报告城市管理部门。</w:t>
      </w:r>
    </w:p>
    <w:p>
      <w:pPr>
        <w:pStyle w:val="17"/>
        <w:spacing w:line="440" w:lineRule="exact"/>
        <w:ind w:left="420"/>
        <w:outlineLvl w:val="0"/>
        <w:rPr>
          <w:rFonts w:ascii="宋体"/>
          <w:kern w:val="2"/>
          <w:sz w:val="21"/>
          <w:szCs w:val="21"/>
          <w:highlight w:val="none"/>
        </w:rPr>
      </w:pPr>
      <w:r>
        <w:rPr>
          <w:rFonts w:hint="eastAsia" w:ascii="宋体" w:hAnsi="宋体"/>
          <w:kern w:val="2"/>
          <w:sz w:val="21"/>
          <w:szCs w:val="21"/>
          <w:highlight w:val="none"/>
        </w:rPr>
        <w:t>（七）发现需要依法查处的违反城市管理规定的行为，及时报告城市管理部门，并协助城市管理部门依法查处。</w:t>
      </w:r>
    </w:p>
    <w:p>
      <w:pPr>
        <w:pStyle w:val="17"/>
        <w:spacing w:line="440" w:lineRule="exact"/>
        <w:ind w:left="0" w:leftChars="0" w:firstLine="420" w:firstLineChars="200"/>
        <w:outlineLvl w:val="0"/>
        <w:rPr>
          <w:rFonts w:ascii="宋体"/>
          <w:kern w:val="2"/>
          <w:sz w:val="21"/>
          <w:szCs w:val="21"/>
          <w:highlight w:val="none"/>
        </w:rPr>
      </w:pPr>
      <w:r>
        <w:rPr>
          <w:rFonts w:hint="eastAsia" w:ascii="宋体" w:hAnsi="宋体"/>
          <w:kern w:val="2"/>
          <w:sz w:val="21"/>
          <w:szCs w:val="21"/>
          <w:highlight w:val="none"/>
        </w:rPr>
        <w:t>第八条</w:t>
      </w:r>
      <w:r>
        <w:rPr>
          <w:rFonts w:ascii="宋体" w:hAnsi="宋体"/>
          <w:kern w:val="2"/>
          <w:sz w:val="21"/>
          <w:szCs w:val="21"/>
          <w:highlight w:val="none"/>
        </w:rPr>
        <w:t xml:space="preserve">  </w:t>
      </w:r>
      <w:r>
        <w:rPr>
          <w:rFonts w:hint="eastAsia" w:ascii="宋体" w:hAnsi="宋体"/>
          <w:kern w:val="2"/>
          <w:sz w:val="21"/>
          <w:szCs w:val="21"/>
          <w:highlight w:val="none"/>
        </w:rPr>
        <w:t>日常考核采取现场检查的方式，辖区分队每日对实施市容管理市场化的路段进行全面检查，对发现的问题拍照取证。</w:t>
      </w:r>
    </w:p>
    <w:p>
      <w:pPr>
        <w:pStyle w:val="17"/>
        <w:spacing w:line="440" w:lineRule="exact"/>
        <w:ind w:left="0" w:leftChars="0"/>
        <w:jc w:val="center"/>
        <w:outlineLvl w:val="0"/>
        <w:rPr>
          <w:rFonts w:ascii="宋体"/>
          <w:kern w:val="2"/>
          <w:sz w:val="21"/>
          <w:szCs w:val="21"/>
          <w:highlight w:val="none"/>
        </w:rPr>
      </w:pPr>
      <w:r>
        <w:rPr>
          <w:rFonts w:hint="eastAsia" w:ascii="宋体" w:hAnsi="宋体"/>
          <w:kern w:val="2"/>
          <w:sz w:val="21"/>
          <w:szCs w:val="21"/>
          <w:highlight w:val="none"/>
        </w:rPr>
        <w:t>第四章</w:t>
      </w:r>
      <w:r>
        <w:rPr>
          <w:rFonts w:ascii="宋体"/>
          <w:kern w:val="2"/>
          <w:sz w:val="21"/>
          <w:szCs w:val="21"/>
          <w:highlight w:val="none"/>
        </w:rPr>
        <w:tab/>
      </w:r>
      <w:r>
        <w:rPr>
          <w:rFonts w:ascii="宋体" w:hAnsi="宋体"/>
          <w:kern w:val="2"/>
          <w:sz w:val="21"/>
          <w:szCs w:val="21"/>
          <w:highlight w:val="none"/>
        </w:rPr>
        <w:t xml:space="preserve">  </w:t>
      </w:r>
      <w:r>
        <w:rPr>
          <w:rFonts w:hint="eastAsia" w:ascii="宋体" w:hAnsi="宋体"/>
          <w:kern w:val="2"/>
          <w:sz w:val="21"/>
          <w:szCs w:val="21"/>
          <w:highlight w:val="none"/>
        </w:rPr>
        <w:t>专项考核</w:t>
      </w:r>
    </w:p>
    <w:p>
      <w:pPr>
        <w:pStyle w:val="17"/>
        <w:spacing w:line="440" w:lineRule="exact"/>
        <w:ind w:left="0" w:leftChars="0" w:firstLine="420" w:firstLineChars="200"/>
        <w:outlineLvl w:val="0"/>
        <w:rPr>
          <w:rFonts w:ascii="宋体"/>
          <w:kern w:val="2"/>
          <w:sz w:val="21"/>
          <w:szCs w:val="21"/>
          <w:highlight w:val="none"/>
        </w:rPr>
      </w:pPr>
      <w:r>
        <w:rPr>
          <w:rFonts w:hint="eastAsia" w:ascii="宋体" w:hAnsi="宋体"/>
          <w:kern w:val="2"/>
          <w:sz w:val="21"/>
          <w:szCs w:val="21"/>
          <w:highlight w:val="none"/>
        </w:rPr>
        <w:t>第九条</w:t>
      </w:r>
      <w:r>
        <w:rPr>
          <w:rFonts w:ascii="宋体" w:hAnsi="宋体"/>
          <w:kern w:val="2"/>
          <w:sz w:val="21"/>
          <w:szCs w:val="21"/>
          <w:highlight w:val="none"/>
        </w:rPr>
        <w:t xml:space="preserve">  </w:t>
      </w:r>
      <w:r>
        <w:rPr>
          <w:rFonts w:hint="eastAsia" w:ascii="宋体" w:hAnsi="宋体"/>
          <w:kern w:val="2"/>
          <w:sz w:val="21"/>
          <w:szCs w:val="21"/>
          <w:highlight w:val="none"/>
        </w:rPr>
        <w:t>专项考核包括以下内容：</w:t>
      </w:r>
    </w:p>
    <w:p>
      <w:pPr>
        <w:pStyle w:val="17"/>
        <w:spacing w:line="440" w:lineRule="exact"/>
        <w:ind w:left="0" w:leftChars="0" w:firstLine="420" w:firstLineChars="200"/>
        <w:outlineLvl w:val="0"/>
        <w:rPr>
          <w:rFonts w:ascii="宋体"/>
          <w:kern w:val="2"/>
          <w:sz w:val="21"/>
          <w:szCs w:val="21"/>
          <w:highlight w:val="none"/>
        </w:rPr>
      </w:pPr>
      <w:r>
        <w:rPr>
          <w:rFonts w:hint="eastAsia" w:ascii="宋体" w:hAnsi="宋体"/>
          <w:kern w:val="2"/>
          <w:sz w:val="21"/>
          <w:szCs w:val="21"/>
          <w:highlight w:val="none"/>
        </w:rPr>
        <w:t>（一）</w:t>
      </w:r>
      <w:r>
        <w:rPr>
          <w:rFonts w:ascii="宋体" w:hAnsi="宋体"/>
          <w:kern w:val="2"/>
          <w:sz w:val="21"/>
          <w:szCs w:val="21"/>
          <w:highlight w:val="none"/>
        </w:rPr>
        <w:t xml:space="preserve"> </w:t>
      </w:r>
      <w:r>
        <w:rPr>
          <w:rFonts w:hint="eastAsia" w:ascii="宋体" w:hAnsi="宋体"/>
          <w:kern w:val="2"/>
          <w:sz w:val="21"/>
          <w:szCs w:val="21"/>
          <w:highlight w:val="none"/>
        </w:rPr>
        <w:t>城市管理部门安排的重点工作，包括各类临时性、季节性和阶段性工作以及其他突击性活动，如疫情防控、集中整治、各类考核、重要活动安保等。</w:t>
      </w:r>
    </w:p>
    <w:p>
      <w:pPr>
        <w:pStyle w:val="17"/>
        <w:spacing w:line="440" w:lineRule="exact"/>
        <w:ind w:left="420"/>
        <w:outlineLvl w:val="0"/>
        <w:rPr>
          <w:rFonts w:ascii="宋体"/>
          <w:kern w:val="2"/>
          <w:sz w:val="21"/>
          <w:szCs w:val="21"/>
          <w:highlight w:val="none"/>
        </w:rPr>
      </w:pPr>
      <w:r>
        <w:rPr>
          <w:rFonts w:hint="eastAsia" w:ascii="宋体" w:hAnsi="宋体"/>
          <w:kern w:val="2"/>
          <w:sz w:val="21"/>
          <w:szCs w:val="21"/>
          <w:highlight w:val="none"/>
        </w:rPr>
        <w:t>（二）协助城市管理部门办理人大建议、政协提案、上级批办、媒体曝光、群众投诉等事项的情况。</w:t>
      </w:r>
    </w:p>
    <w:p>
      <w:pPr>
        <w:pStyle w:val="17"/>
        <w:spacing w:line="440" w:lineRule="exact"/>
        <w:ind w:left="420"/>
        <w:outlineLvl w:val="0"/>
        <w:rPr>
          <w:rFonts w:ascii="宋体"/>
          <w:kern w:val="2"/>
          <w:sz w:val="21"/>
          <w:szCs w:val="21"/>
          <w:highlight w:val="none"/>
        </w:rPr>
      </w:pPr>
      <w:r>
        <w:rPr>
          <w:rFonts w:hint="eastAsia" w:ascii="宋体" w:hAnsi="宋体"/>
          <w:kern w:val="2"/>
          <w:sz w:val="21"/>
          <w:szCs w:val="21"/>
          <w:highlight w:val="none"/>
        </w:rPr>
        <w:t>（三）受到反映、投诉或曝光情况或因公司工作原因被检查曝光的每项扣</w:t>
      </w:r>
      <w:r>
        <w:rPr>
          <w:rFonts w:ascii="宋体" w:hAnsi="宋体"/>
          <w:kern w:val="2"/>
          <w:sz w:val="21"/>
          <w:szCs w:val="21"/>
          <w:highlight w:val="none"/>
        </w:rPr>
        <w:t>2</w:t>
      </w:r>
      <w:r>
        <w:rPr>
          <w:rFonts w:hint="eastAsia" w:ascii="宋体" w:hAnsi="宋体"/>
          <w:kern w:val="2"/>
          <w:sz w:val="21"/>
          <w:szCs w:val="21"/>
          <w:highlight w:val="none"/>
        </w:rPr>
        <w:t>分。</w:t>
      </w:r>
    </w:p>
    <w:p>
      <w:pPr>
        <w:pStyle w:val="17"/>
        <w:spacing w:line="440" w:lineRule="exact"/>
        <w:ind w:left="420"/>
        <w:outlineLvl w:val="0"/>
        <w:rPr>
          <w:rFonts w:ascii="宋体"/>
          <w:kern w:val="2"/>
          <w:sz w:val="21"/>
          <w:szCs w:val="21"/>
          <w:highlight w:val="none"/>
        </w:rPr>
      </w:pPr>
      <w:r>
        <w:rPr>
          <w:rFonts w:hint="eastAsia" w:ascii="宋体" w:hAnsi="宋体"/>
          <w:kern w:val="2"/>
          <w:sz w:val="21"/>
          <w:szCs w:val="21"/>
          <w:highlight w:val="none"/>
        </w:rPr>
        <w:t>（四）其他按要求列入专项考核的事项。</w:t>
      </w:r>
    </w:p>
    <w:p>
      <w:pPr>
        <w:pStyle w:val="17"/>
        <w:spacing w:line="440" w:lineRule="exact"/>
        <w:ind w:left="199" w:leftChars="95"/>
        <w:jc w:val="center"/>
        <w:outlineLvl w:val="0"/>
        <w:rPr>
          <w:rFonts w:ascii="宋体"/>
          <w:kern w:val="2"/>
          <w:sz w:val="21"/>
          <w:szCs w:val="21"/>
          <w:highlight w:val="none"/>
        </w:rPr>
      </w:pPr>
      <w:r>
        <w:rPr>
          <w:rFonts w:hint="eastAsia" w:ascii="宋体" w:hAnsi="宋体"/>
          <w:kern w:val="2"/>
          <w:sz w:val="21"/>
          <w:szCs w:val="21"/>
          <w:highlight w:val="none"/>
        </w:rPr>
        <w:t>第五章</w:t>
      </w:r>
      <w:r>
        <w:rPr>
          <w:rFonts w:ascii="宋体"/>
          <w:kern w:val="2"/>
          <w:sz w:val="21"/>
          <w:szCs w:val="21"/>
          <w:highlight w:val="none"/>
        </w:rPr>
        <w:tab/>
      </w:r>
      <w:r>
        <w:rPr>
          <w:rFonts w:ascii="宋体" w:hAnsi="宋体"/>
          <w:kern w:val="2"/>
          <w:sz w:val="21"/>
          <w:szCs w:val="21"/>
          <w:highlight w:val="none"/>
        </w:rPr>
        <w:t xml:space="preserve">  </w:t>
      </w:r>
      <w:r>
        <w:rPr>
          <w:rFonts w:hint="eastAsia" w:ascii="宋体" w:hAnsi="宋体"/>
          <w:kern w:val="2"/>
          <w:sz w:val="21"/>
          <w:szCs w:val="21"/>
          <w:highlight w:val="none"/>
        </w:rPr>
        <w:t>考核加分</w:t>
      </w:r>
    </w:p>
    <w:p>
      <w:pPr>
        <w:pStyle w:val="17"/>
        <w:spacing w:line="440" w:lineRule="exact"/>
        <w:ind w:left="420"/>
        <w:outlineLvl w:val="0"/>
        <w:rPr>
          <w:rFonts w:ascii="宋体"/>
          <w:kern w:val="2"/>
          <w:sz w:val="21"/>
          <w:szCs w:val="21"/>
          <w:highlight w:val="none"/>
        </w:rPr>
      </w:pPr>
      <w:r>
        <w:rPr>
          <w:rFonts w:hint="eastAsia" w:ascii="宋体" w:hAnsi="宋体"/>
          <w:kern w:val="2"/>
          <w:sz w:val="21"/>
          <w:szCs w:val="21"/>
          <w:highlight w:val="none"/>
        </w:rPr>
        <w:t>第十条</w:t>
      </w:r>
      <w:r>
        <w:rPr>
          <w:rFonts w:ascii="宋体" w:hAnsi="宋体"/>
          <w:kern w:val="2"/>
          <w:sz w:val="21"/>
          <w:szCs w:val="21"/>
          <w:highlight w:val="none"/>
        </w:rPr>
        <w:t xml:space="preserve">   </w:t>
      </w:r>
      <w:r>
        <w:rPr>
          <w:rFonts w:hint="eastAsia" w:ascii="宋体" w:hAnsi="宋体"/>
          <w:kern w:val="2"/>
          <w:sz w:val="21"/>
          <w:szCs w:val="21"/>
          <w:highlight w:val="none"/>
        </w:rPr>
        <w:t>公司在以下几个方面取得成绩可以加分，原则上每月累计加分不超过</w:t>
      </w:r>
      <w:r>
        <w:rPr>
          <w:rFonts w:ascii="宋体" w:hAnsi="宋体"/>
          <w:kern w:val="2"/>
          <w:sz w:val="21"/>
          <w:szCs w:val="21"/>
          <w:highlight w:val="none"/>
        </w:rPr>
        <w:t>5</w:t>
      </w:r>
      <w:r>
        <w:rPr>
          <w:rFonts w:hint="eastAsia" w:ascii="宋体" w:hAnsi="宋体"/>
          <w:kern w:val="2"/>
          <w:sz w:val="21"/>
          <w:szCs w:val="21"/>
          <w:highlight w:val="none"/>
        </w:rPr>
        <w:t>分：（一）服务成绩突出，受到港区或嘉兴市级以上通报表彰的，加</w:t>
      </w:r>
      <w:r>
        <w:rPr>
          <w:rFonts w:ascii="宋体" w:hAnsi="宋体"/>
          <w:kern w:val="2"/>
          <w:sz w:val="21"/>
          <w:szCs w:val="21"/>
          <w:highlight w:val="none"/>
        </w:rPr>
        <w:t>1—2</w:t>
      </w:r>
      <w:r>
        <w:rPr>
          <w:rFonts w:hint="eastAsia" w:ascii="宋体" w:hAnsi="宋体"/>
          <w:kern w:val="2"/>
          <w:sz w:val="21"/>
          <w:szCs w:val="21"/>
          <w:highlight w:val="none"/>
        </w:rPr>
        <w:t>分。</w:t>
      </w:r>
    </w:p>
    <w:p>
      <w:pPr>
        <w:pStyle w:val="17"/>
        <w:spacing w:line="440" w:lineRule="exact"/>
        <w:ind w:left="420"/>
        <w:outlineLvl w:val="0"/>
        <w:rPr>
          <w:rFonts w:ascii="宋体"/>
          <w:kern w:val="2"/>
          <w:sz w:val="21"/>
          <w:szCs w:val="21"/>
          <w:highlight w:val="none"/>
        </w:rPr>
      </w:pPr>
      <w:r>
        <w:rPr>
          <w:rFonts w:hint="eastAsia" w:ascii="宋体" w:hAnsi="宋体"/>
          <w:kern w:val="2"/>
          <w:sz w:val="21"/>
          <w:szCs w:val="21"/>
          <w:highlight w:val="none"/>
        </w:rPr>
        <w:t>（二）好人好事受到群众、管委会领导表扬的，视情加</w:t>
      </w:r>
      <w:r>
        <w:rPr>
          <w:rFonts w:ascii="宋体" w:hAnsi="宋体"/>
          <w:kern w:val="2"/>
          <w:sz w:val="21"/>
          <w:szCs w:val="21"/>
          <w:highlight w:val="none"/>
        </w:rPr>
        <w:t>1—2</w:t>
      </w:r>
      <w:r>
        <w:rPr>
          <w:rFonts w:hint="eastAsia" w:ascii="宋体" w:hAnsi="宋体"/>
          <w:kern w:val="2"/>
          <w:sz w:val="21"/>
          <w:szCs w:val="21"/>
          <w:highlight w:val="none"/>
        </w:rPr>
        <w:t>分。</w:t>
      </w:r>
    </w:p>
    <w:p>
      <w:pPr>
        <w:pStyle w:val="17"/>
        <w:spacing w:line="440" w:lineRule="exact"/>
        <w:ind w:left="420"/>
        <w:outlineLvl w:val="0"/>
        <w:rPr>
          <w:rFonts w:ascii="宋体"/>
          <w:kern w:val="2"/>
          <w:sz w:val="21"/>
          <w:szCs w:val="21"/>
          <w:highlight w:val="none"/>
        </w:rPr>
      </w:pPr>
      <w:r>
        <w:rPr>
          <w:rFonts w:hint="eastAsia" w:ascii="宋体" w:hAnsi="宋体"/>
          <w:kern w:val="2"/>
          <w:sz w:val="21"/>
          <w:szCs w:val="21"/>
          <w:highlight w:val="none"/>
        </w:rPr>
        <w:t>（三）执行重大安保活动、专项行动，表现突出，受到表扬的，加</w:t>
      </w:r>
      <w:r>
        <w:rPr>
          <w:rFonts w:ascii="宋体" w:hAnsi="宋体"/>
          <w:kern w:val="2"/>
          <w:sz w:val="21"/>
          <w:szCs w:val="21"/>
          <w:highlight w:val="none"/>
        </w:rPr>
        <w:t>1—2</w:t>
      </w:r>
      <w:r>
        <w:rPr>
          <w:rFonts w:hint="eastAsia" w:ascii="宋体" w:hAnsi="宋体"/>
          <w:kern w:val="2"/>
          <w:sz w:val="21"/>
          <w:szCs w:val="21"/>
          <w:highlight w:val="none"/>
        </w:rPr>
        <w:t>分。</w:t>
      </w:r>
    </w:p>
    <w:p>
      <w:pPr>
        <w:pStyle w:val="17"/>
        <w:spacing w:line="440" w:lineRule="exact"/>
        <w:ind w:left="420"/>
        <w:outlineLvl w:val="0"/>
        <w:rPr>
          <w:rFonts w:ascii="宋体"/>
          <w:kern w:val="2"/>
          <w:sz w:val="21"/>
          <w:szCs w:val="21"/>
          <w:highlight w:val="none"/>
        </w:rPr>
      </w:pPr>
      <w:r>
        <w:rPr>
          <w:rFonts w:hint="eastAsia" w:ascii="宋体" w:hAnsi="宋体"/>
          <w:kern w:val="2"/>
          <w:sz w:val="21"/>
          <w:szCs w:val="21"/>
          <w:highlight w:val="none"/>
        </w:rPr>
        <w:t>（四）其他取得的重要成绩，视情加分。</w:t>
      </w:r>
    </w:p>
    <w:p>
      <w:pPr>
        <w:pStyle w:val="17"/>
        <w:spacing w:line="440" w:lineRule="exact"/>
        <w:ind w:left="0" w:leftChars="0"/>
        <w:jc w:val="center"/>
        <w:outlineLvl w:val="0"/>
        <w:rPr>
          <w:rFonts w:ascii="宋体"/>
          <w:kern w:val="2"/>
          <w:sz w:val="21"/>
          <w:szCs w:val="21"/>
          <w:highlight w:val="none"/>
        </w:rPr>
      </w:pPr>
      <w:r>
        <w:rPr>
          <w:rFonts w:hint="eastAsia" w:ascii="宋体" w:hAnsi="宋体"/>
          <w:kern w:val="2"/>
          <w:sz w:val="21"/>
          <w:szCs w:val="21"/>
          <w:highlight w:val="none"/>
        </w:rPr>
        <w:t>第六章</w:t>
      </w:r>
      <w:r>
        <w:rPr>
          <w:rFonts w:ascii="宋体"/>
          <w:kern w:val="2"/>
          <w:sz w:val="21"/>
          <w:szCs w:val="21"/>
          <w:highlight w:val="none"/>
        </w:rPr>
        <w:tab/>
      </w:r>
      <w:r>
        <w:rPr>
          <w:rFonts w:ascii="宋体" w:hAnsi="宋体"/>
          <w:kern w:val="2"/>
          <w:sz w:val="21"/>
          <w:szCs w:val="21"/>
          <w:highlight w:val="none"/>
        </w:rPr>
        <w:t xml:space="preserve">   </w:t>
      </w:r>
      <w:r>
        <w:rPr>
          <w:rFonts w:hint="eastAsia" w:ascii="宋体" w:hAnsi="宋体"/>
          <w:kern w:val="2"/>
          <w:sz w:val="21"/>
          <w:szCs w:val="21"/>
          <w:highlight w:val="none"/>
        </w:rPr>
        <w:t>考核计分</w:t>
      </w:r>
    </w:p>
    <w:p>
      <w:pPr>
        <w:pStyle w:val="17"/>
        <w:spacing w:line="440" w:lineRule="exact"/>
        <w:ind w:left="0" w:leftChars="0"/>
        <w:outlineLvl w:val="0"/>
        <w:rPr>
          <w:rFonts w:ascii="宋体"/>
          <w:kern w:val="2"/>
          <w:sz w:val="21"/>
          <w:szCs w:val="21"/>
          <w:highlight w:val="none"/>
        </w:rPr>
      </w:pPr>
      <w:r>
        <w:rPr>
          <w:rFonts w:ascii="宋体"/>
          <w:kern w:val="2"/>
          <w:sz w:val="21"/>
          <w:szCs w:val="21"/>
          <w:highlight w:val="none"/>
        </w:rPr>
        <w:t xml:space="preserve">    </w:t>
      </w:r>
      <w:r>
        <w:rPr>
          <w:rFonts w:hint="eastAsia" w:ascii="宋体" w:hAnsi="宋体"/>
          <w:kern w:val="2"/>
          <w:sz w:val="21"/>
          <w:szCs w:val="21"/>
          <w:highlight w:val="none"/>
        </w:rPr>
        <w:t>第十一条</w:t>
      </w:r>
      <w:r>
        <w:rPr>
          <w:rFonts w:ascii="宋体" w:hAnsi="宋体"/>
          <w:kern w:val="2"/>
          <w:sz w:val="21"/>
          <w:szCs w:val="21"/>
          <w:highlight w:val="none"/>
        </w:rPr>
        <w:t xml:space="preserve">  </w:t>
      </w:r>
      <w:r>
        <w:rPr>
          <w:rFonts w:hint="eastAsia" w:ascii="宋体" w:hAnsi="宋体"/>
          <w:kern w:val="2"/>
          <w:sz w:val="21"/>
          <w:szCs w:val="21"/>
          <w:highlight w:val="none"/>
        </w:rPr>
        <w:t>月度考核实行百分制计分，采取项目累加计分的方式进行，其中日常考核项目计分</w:t>
      </w:r>
      <w:r>
        <w:rPr>
          <w:rFonts w:ascii="宋体" w:hAnsi="宋体"/>
          <w:kern w:val="2"/>
          <w:sz w:val="21"/>
          <w:szCs w:val="21"/>
          <w:highlight w:val="none"/>
        </w:rPr>
        <w:t>60</w:t>
      </w:r>
      <w:r>
        <w:rPr>
          <w:rFonts w:hint="eastAsia" w:ascii="宋体" w:hAnsi="宋体"/>
          <w:kern w:val="2"/>
          <w:sz w:val="21"/>
          <w:szCs w:val="21"/>
          <w:highlight w:val="none"/>
        </w:rPr>
        <w:t>分，一般考核计分</w:t>
      </w:r>
      <w:r>
        <w:rPr>
          <w:rFonts w:ascii="宋体" w:hAnsi="宋体"/>
          <w:kern w:val="2"/>
          <w:sz w:val="21"/>
          <w:szCs w:val="21"/>
          <w:highlight w:val="none"/>
        </w:rPr>
        <w:t>20</w:t>
      </w:r>
      <w:r>
        <w:rPr>
          <w:rFonts w:hint="eastAsia" w:ascii="宋体" w:hAnsi="宋体"/>
          <w:kern w:val="2"/>
          <w:sz w:val="21"/>
          <w:szCs w:val="21"/>
          <w:highlight w:val="none"/>
        </w:rPr>
        <w:t>分，专项考核计分</w:t>
      </w:r>
      <w:r>
        <w:rPr>
          <w:rFonts w:ascii="宋体" w:hAnsi="宋体"/>
          <w:kern w:val="2"/>
          <w:sz w:val="21"/>
          <w:szCs w:val="21"/>
          <w:highlight w:val="none"/>
        </w:rPr>
        <w:t>20</w:t>
      </w:r>
      <w:r>
        <w:rPr>
          <w:rFonts w:hint="eastAsia" w:ascii="宋体" w:hAnsi="宋体"/>
          <w:kern w:val="2"/>
          <w:sz w:val="21"/>
          <w:szCs w:val="21"/>
          <w:highlight w:val="none"/>
        </w:rPr>
        <w:t>分</w:t>
      </w:r>
      <w:r>
        <w:rPr>
          <w:rFonts w:ascii="宋体"/>
          <w:kern w:val="2"/>
          <w:sz w:val="21"/>
          <w:szCs w:val="21"/>
          <w:highlight w:val="none"/>
        </w:rPr>
        <w:t>,</w:t>
      </w:r>
      <w:r>
        <w:rPr>
          <w:rFonts w:hint="eastAsia" w:ascii="宋体" w:hAnsi="宋体"/>
          <w:kern w:val="2"/>
          <w:sz w:val="21"/>
          <w:szCs w:val="21"/>
          <w:highlight w:val="none"/>
        </w:rPr>
        <w:t>各项目分值扣完为止。公司月度总分（精确到小数点后</w:t>
      </w:r>
      <w:r>
        <w:rPr>
          <w:rFonts w:ascii="宋体" w:hAnsi="宋体"/>
          <w:kern w:val="2"/>
          <w:sz w:val="21"/>
          <w:szCs w:val="21"/>
          <w:highlight w:val="none"/>
        </w:rPr>
        <w:t>1</w:t>
      </w:r>
      <w:r>
        <w:rPr>
          <w:rFonts w:hint="eastAsia" w:ascii="宋体" w:hAnsi="宋体"/>
          <w:kern w:val="2"/>
          <w:sz w:val="21"/>
          <w:szCs w:val="21"/>
          <w:highlight w:val="none"/>
        </w:rPr>
        <w:t>位）</w:t>
      </w:r>
      <w:r>
        <w:rPr>
          <w:rFonts w:ascii="宋体" w:hAnsi="宋体"/>
          <w:kern w:val="2"/>
          <w:sz w:val="21"/>
          <w:szCs w:val="21"/>
          <w:highlight w:val="none"/>
        </w:rPr>
        <w:t>=</w:t>
      </w:r>
      <w:r>
        <w:rPr>
          <w:rFonts w:hint="eastAsia" w:ascii="宋体" w:hAnsi="宋体"/>
          <w:kern w:val="2"/>
          <w:sz w:val="21"/>
          <w:szCs w:val="21"/>
          <w:highlight w:val="none"/>
        </w:rPr>
        <w:t>执法队考核组月度评分×</w:t>
      </w:r>
      <w:r>
        <w:rPr>
          <w:rFonts w:ascii="宋体" w:hAnsi="宋体"/>
          <w:kern w:val="2"/>
          <w:sz w:val="21"/>
          <w:szCs w:val="21"/>
          <w:highlight w:val="none"/>
        </w:rPr>
        <w:t>40%+</w:t>
      </w:r>
      <w:r>
        <w:rPr>
          <w:rFonts w:hint="eastAsia" w:ascii="宋体" w:hAnsi="宋体"/>
          <w:kern w:val="2"/>
          <w:sz w:val="21"/>
          <w:szCs w:val="21"/>
          <w:highlight w:val="none"/>
        </w:rPr>
        <w:t>分队月度评分×</w:t>
      </w:r>
      <w:r>
        <w:rPr>
          <w:rFonts w:ascii="宋体" w:hAnsi="宋体"/>
          <w:kern w:val="2"/>
          <w:sz w:val="21"/>
          <w:szCs w:val="21"/>
          <w:highlight w:val="none"/>
        </w:rPr>
        <w:t>60%</w:t>
      </w:r>
      <w:r>
        <w:rPr>
          <w:rFonts w:hint="eastAsia" w:ascii="宋体" w:hAnsi="宋体"/>
          <w:kern w:val="2"/>
          <w:sz w:val="21"/>
          <w:szCs w:val="21"/>
          <w:highlight w:val="none"/>
        </w:rPr>
        <w:t>。执法队考核组评分由分管领导牵头，负责城市管理科室、分队各抽调一人组成，每月开展检查进行评分。</w:t>
      </w:r>
    </w:p>
    <w:p>
      <w:pPr>
        <w:pStyle w:val="17"/>
        <w:spacing w:line="440" w:lineRule="exact"/>
        <w:ind w:left="0" w:leftChars="0" w:firstLine="420" w:firstLineChars="200"/>
        <w:outlineLvl w:val="0"/>
        <w:rPr>
          <w:rFonts w:ascii="宋体"/>
          <w:kern w:val="2"/>
          <w:sz w:val="21"/>
          <w:szCs w:val="21"/>
          <w:highlight w:val="none"/>
        </w:rPr>
      </w:pPr>
      <w:r>
        <w:rPr>
          <w:rFonts w:hint="eastAsia" w:ascii="宋体" w:hAnsi="宋体"/>
          <w:kern w:val="2"/>
          <w:sz w:val="21"/>
          <w:szCs w:val="21"/>
          <w:highlight w:val="none"/>
        </w:rPr>
        <w:t>第十二条</w:t>
      </w:r>
      <w:r>
        <w:rPr>
          <w:rFonts w:ascii="宋体" w:hAnsi="宋体"/>
          <w:kern w:val="2"/>
          <w:sz w:val="21"/>
          <w:szCs w:val="21"/>
          <w:highlight w:val="none"/>
        </w:rPr>
        <w:t xml:space="preserve">  </w:t>
      </w:r>
      <w:r>
        <w:rPr>
          <w:rFonts w:hint="eastAsia" w:ascii="宋体" w:hAnsi="宋体"/>
          <w:kern w:val="2"/>
          <w:sz w:val="21"/>
          <w:szCs w:val="21"/>
          <w:highlight w:val="none"/>
        </w:rPr>
        <w:t>执法队月度评分应以当月或季度文明创建、市城管委暗访结果排名以及每月局领导、政治处督查结果作为参考，分队应建立相应的内部考核机制，原则上根据各分队每月上报分数进行评分。</w:t>
      </w:r>
    </w:p>
    <w:p>
      <w:pPr>
        <w:pStyle w:val="17"/>
        <w:spacing w:line="440" w:lineRule="exact"/>
        <w:ind w:left="0" w:leftChars="0"/>
        <w:jc w:val="center"/>
        <w:outlineLvl w:val="0"/>
        <w:rPr>
          <w:rFonts w:ascii="宋体"/>
          <w:kern w:val="2"/>
          <w:sz w:val="21"/>
          <w:szCs w:val="21"/>
          <w:highlight w:val="none"/>
        </w:rPr>
      </w:pPr>
      <w:r>
        <w:rPr>
          <w:rFonts w:hint="eastAsia" w:ascii="宋体" w:hAnsi="宋体"/>
          <w:kern w:val="2"/>
          <w:sz w:val="21"/>
          <w:szCs w:val="21"/>
          <w:highlight w:val="none"/>
        </w:rPr>
        <w:t>第七章</w:t>
      </w:r>
      <w:r>
        <w:rPr>
          <w:rFonts w:ascii="宋体"/>
          <w:kern w:val="2"/>
          <w:sz w:val="21"/>
          <w:szCs w:val="21"/>
          <w:highlight w:val="none"/>
        </w:rPr>
        <w:tab/>
      </w:r>
      <w:r>
        <w:rPr>
          <w:rFonts w:ascii="宋体" w:hAnsi="宋体"/>
          <w:kern w:val="2"/>
          <w:sz w:val="21"/>
          <w:szCs w:val="21"/>
          <w:highlight w:val="none"/>
        </w:rPr>
        <w:t xml:space="preserve">  </w:t>
      </w:r>
      <w:r>
        <w:rPr>
          <w:rFonts w:hint="eastAsia" w:ascii="宋体" w:hAnsi="宋体"/>
          <w:kern w:val="2"/>
          <w:sz w:val="21"/>
          <w:szCs w:val="21"/>
          <w:highlight w:val="none"/>
        </w:rPr>
        <w:t>附则</w:t>
      </w:r>
    </w:p>
    <w:p>
      <w:pPr>
        <w:pStyle w:val="17"/>
        <w:spacing w:line="440" w:lineRule="exact"/>
        <w:ind w:left="0" w:leftChars="0" w:firstLine="400" w:firstLineChars="200"/>
        <w:outlineLvl w:val="0"/>
        <w:rPr>
          <w:kern w:val="2"/>
          <w:highlight w:val="none"/>
        </w:rPr>
      </w:pPr>
      <w:r>
        <w:rPr>
          <w:rFonts w:hint="eastAsia"/>
          <w:kern w:val="2"/>
          <w:highlight w:val="none"/>
        </w:rPr>
        <w:t>第十三条</w:t>
      </w:r>
      <w:r>
        <w:rPr>
          <w:kern w:val="2"/>
          <w:highlight w:val="none"/>
        </w:rPr>
        <w:t xml:space="preserve">  </w:t>
      </w:r>
      <w:r>
        <w:rPr>
          <w:rFonts w:hint="eastAsia"/>
          <w:kern w:val="2"/>
          <w:highlight w:val="none"/>
        </w:rPr>
        <w:t>本办法由嘉兴港区（综合保税区）综合行政执法队负责解释。</w:t>
      </w:r>
    </w:p>
    <w:p>
      <w:pPr>
        <w:pStyle w:val="11"/>
        <w:spacing w:line="460" w:lineRule="exact"/>
        <w:ind w:right="1202" w:firstLine="400" w:firstLineChars="200"/>
        <w:rPr>
          <w:rFonts w:ascii="宋体"/>
          <w:b/>
          <w:bCs/>
          <w:szCs w:val="21"/>
          <w:highlight w:val="none"/>
        </w:rPr>
      </w:pPr>
      <w:r>
        <w:rPr>
          <w:rFonts w:hint="eastAsia"/>
          <w:highlight w:val="none"/>
        </w:rPr>
        <w:t>附表</w:t>
      </w:r>
      <w:r>
        <w:rPr>
          <w:highlight w:val="none"/>
        </w:rPr>
        <w:t xml:space="preserve"> 1</w:t>
      </w:r>
      <w:r>
        <w:rPr>
          <w:rFonts w:hint="eastAsia"/>
          <w:highlight w:val="none"/>
        </w:rPr>
        <w:t>：</w:t>
      </w:r>
      <w:r>
        <w:rPr>
          <w:rFonts w:hint="eastAsia" w:ascii="宋体" w:hAnsi="宋体"/>
          <w:szCs w:val="21"/>
          <w:highlight w:val="none"/>
        </w:rPr>
        <w:t>嘉兴港区综合公共服务项目月度</w:t>
      </w:r>
      <w:r>
        <w:rPr>
          <w:rFonts w:hint="eastAsia"/>
          <w:highlight w:val="none"/>
        </w:rPr>
        <w:t>考评表</w:t>
      </w:r>
    </w:p>
    <w:p>
      <w:pPr>
        <w:rPr>
          <w:rFonts w:hint="eastAsia" w:ascii="宋体" w:hAnsi="宋体"/>
          <w:b/>
          <w:bCs/>
          <w:szCs w:val="21"/>
          <w:highlight w:val="none"/>
        </w:rPr>
      </w:pPr>
      <w:r>
        <w:rPr>
          <w:rFonts w:hint="eastAsia" w:ascii="宋体" w:hAnsi="宋体"/>
          <w:b/>
          <w:bCs/>
          <w:szCs w:val="21"/>
          <w:highlight w:val="none"/>
        </w:rPr>
        <w:br w:type="page"/>
      </w:r>
    </w:p>
    <w:p>
      <w:pPr>
        <w:spacing w:line="320" w:lineRule="exact"/>
        <w:jc w:val="center"/>
        <w:rPr>
          <w:rFonts w:ascii="仿宋_GB2312" w:hAnsi="宋体" w:eastAsia="仿宋_GB2312"/>
          <w:b/>
          <w:spacing w:val="-20"/>
          <w:w w:val="90"/>
          <w:szCs w:val="32"/>
          <w:highlight w:val="none"/>
        </w:rPr>
      </w:pPr>
      <w:r>
        <w:rPr>
          <w:rFonts w:hint="eastAsia" w:ascii="宋体" w:hAnsi="宋体"/>
          <w:b/>
          <w:bCs/>
          <w:szCs w:val="21"/>
          <w:highlight w:val="none"/>
        </w:rPr>
        <w:t>嘉兴港区综合公共服务项目月度</w:t>
      </w:r>
      <w:r>
        <w:rPr>
          <w:rFonts w:hint="eastAsia"/>
          <w:b/>
          <w:bCs/>
          <w:highlight w:val="none"/>
        </w:rPr>
        <w:t>考评表</w:t>
      </w:r>
      <w:r>
        <w:rPr>
          <w:rFonts w:hint="eastAsia" w:ascii="仿宋_GB2312" w:hAnsi="宋体" w:eastAsia="仿宋_GB2312"/>
          <w:b/>
          <w:spacing w:val="-20"/>
          <w:w w:val="90"/>
          <w:szCs w:val="32"/>
          <w:highlight w:val="none"/>
        </w:rPr>
        <w:t>（</w:t>
      </w:r>
      <w:r>
        <w:rPr>
          <w:rFonts w:ascii="仿宋_GB2312" w:hAnsi="宋体" w:eastAsia="仿宋_GB2312"/>
          <w:b/>
          <w:spacing w:val="-20"/>
          <w:w w:val="90"/>
          <w:szCs w:val="32"/>
          <w:highlight w:val="none"/>
        </w:rPr>
        <w:t xml:space="preserve">        </w:t>
      </w:r>
      <w:r>
        <w:rPr>
          <w:rFonts w:hint="eastAsia" w:ascii="仿宋_GB2312" w:hAnsi="宋体" w:eastAsia="仿宋_GB2312"/>
          <w:b/>
          <w:spacing w:val="-20"/>
          <w:w w:val="90"/>
          <w:szCs w:val="32"/>
          <w:highlight w:val="none"/>
        </w:rPr>
        <w:t>年</w:t>
      </w:r>
      <w:r>
        <w:rPr>
          <w:rFonts w:ascii="仿宋_GB2312" w:hAnsi="宋体" w:eastAsia="仿宋_GB2312"/>
          <w:b/>
          <w:spacing w:val="-20"/>
          <w:w w:val="90"/>
          <w:szCs w:val="32"/>
          <w:highlight w:val="none"/>
        </w:rPr>
        <w:t xml:space="preserve">    </w:t>
      </w:r>
      <w:r>
        <w:rPr>
          <w:rFonts w:hint="eastAsia" w:ascii="仿宋_GB2312" w:hAnsi="宋体" w:eastAsia="仿宋_GB2312"/>
          <w:b/>
          <w:spacing w:val="-20"/>
          <w:w w:val="90"/>
          <w:szCs w:val="32"/>
          <w:highlight w:val="none"/>
        </w:rPr>
        <w:t>月</w:t>
      </w:r>
      <w:r>
        <w:rPr>
          <w:rFonts w:ascii="仿宋_GB2312" w:hAnsi="宋体" w:eastAsia="仿宋_GB2312"/>
          <w:b/>
          <w:spacing w:val="-20"/>
          <w:w w:val="90"/>
          <w:szCs w:val="32"/>
          <w:highlight w:val="none"/>
        </w:rPr>
        <w:t xml:space="preserve"> </w:t>
      </w:r>
      <w:r>
        <w:rPr>
          <w:rFonts w:hint="eastAsia" w:ascii="仿宋_GB2312" w:hAnsi="宋体" w:eastAsia="仿宋_GB2312"/>
          <w:b/>
          <w:spacing w:val="-20"/>
          <w:w w:val="90"/>
          <w:szCs w:val="32"/>
          <w:highlight w:val="none"/>
        </w:rPr>
        <w:t>）</w:t>
      </w:r>
    </w:p>
    <w:p>
      <w:pPr>
        <w:spacing w:line="320" w:lineRule="exact"/>
        <w:jc w:val="center"/>
        <w:rPr>
          <w:rFonts w:ascii="仿宋_GB2312" w:hAnsi="宋体" w:eastAsia="仿宋_GB2312"/>
          <w:b/>
          <w:spacing w:val="-20"/>
          <w:w w:val="90"/>
          <w:sz w:val="24"/>
          <w:highlight w:val="none"/>
        </w:rPr>
      </w:pPr>
    </w:p>
    <w:tbl>
      <w:tblPr>
        <w:tblStyle w:val="29"/>
        <w:tblW w:w="10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997"/>
        <w:gridCol w:w="299"/>
        <w:gridCol w:w="329"/>
        <w:gridCol w:w="4171"/>
        <w:gridCol w:w="1080"/>
        <w:gridCol w:w="1370"/>
        <w:gridCol w:w="602"/>
        <w:gridCol w:w="601"/>
        <w:gridCol w:w="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954" w:type="dxa"/>
            <w:gridSpan w:val="3"/>
            <w:vAlign w:val="center"/>
          </w:tcPr>
          <w:p>
            <w:pPr>
              <w:spacing w:line="280" w:lineRule="exact"/>
              <w:jc w:val="center"/>
              <w:rPr>
                <w:rFonts w:ascii="仿宋_GB2312" w:hAnsi="宋体" w:eastAsia="仿宋_GB2312"/>
                <w:b/>
                <w:sz w:val="18"/>
                <w:szCs w:val="18"/>
                <w:highlight w:val="none"/>
              </w:rPr>
            </w:pPr>
            <w:r>
              <w:rPr>
                <w:rFonts w:hint="eastAsia" w:ascii="仿宋_GB2312" w:hAnsi="宋体" w:eastAsia="仿宋_GB2312"/>
                <w:b/>
                <w:sz w:val="18"/>
                <w:szCs w:val="18"/>
                <w:highlight w:val="none"/>
              </w:rPr>
              <w:t>项目名称</w:t>
            </w:r>
          </w:p>
        </w:tc>
        <w:tc>
          <w:tcPr>
            <w:tcW w:w="4500" w:type="dxa"/>
            <w:gridSpan w:val="2"/>
            <w:vAlign w:val="center"/>
          </w:tcPr>
          <w:p>
            <w:pPr>
              <w:spacing w:line="280" w:lineRule="exact"/>
              <w:jc w:val="center"/>
              <w:rPr>
                <w:rFonts w:ascii="仿宋_GB2312" w:hAnsi="宋体" w:eastAsia="仿宋_GB2312"/>
                <w:sz w:val="22"/>
                <w:szCs w:val="22"/>
                <w:highlight w:val="none"/>
              </w:rPr>
            </w:pPr>
          </w:p>
        </w:tc>
        <w:tc>
          <w:tcPr>
            <w:tcW w:w="1080" w:type="dxa"/>
            <w:vAlign w:val="center"/>
          </w:tcPr>
          <w:p>
            <w:pPr>
              <w:spacing w:line="280" w:lineRule="exact"/>
              <w:ind w:left="117"/>
              <w:jc w:val="center"/>
              <w:rPr>
                <w:rFonts w:ascii="仿宋_GB2312" w:hAnsi="宋体" w:eastAsia="仿宋_GB2312"/>
                <w:b/>
                <w:sz w:val="18"/>
                <w:szCs w:val="18"/>
                <w:highlight w:val="none"/>
              </w:rPr>
            </w:pPr>
            <w:r>
              <w:rPr>
                <w:rFonts w:hint="eastAsia" w:ascii="仿宋_GB2312" w:hAnsi="宋体" w:eastAsia="仿宋_GB2312"/>
                <w:b/>
                <w:sz w:val="18"/>
                <w:szCs w:val="18"/>
                <w:highlight w:val="none"/>
              </w:rPr>
              <w:t>考评人员</w:t>
            </w:r>
          </w:p>
        </w:tc>
        <w:tc>
          <w:tcPr>
            <w:tcW w:w="3167" w:type="dxa"/>
            <w:gridSpan w:val="4"/>
            <w:vAlign w:val="center"/>
          </w:tcPr>
          <w:p>
            <w:pPr>
              <w:spacing w:line="280" w:lineRule="exact"/>
              <w:jc w:val="center"/>
              <w:rPr>
                <w:rFonts w:ascii="仿宋_GB2312" w:hAnsi="宋体" w:eastAsia="仿宋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954" w:type="dxa"/>
            <w:gridSpan w:val="3"/>
            <w:vAlign w:val="center"/>
          </w:tcPr>
          <w:p>
            <w:pPr>
              <w:spacing w:line="280" w:lineRule="exact"/>
              <w:jc w:val="center"/>
              <w:rPr>
                <w:rFonts w:ascii="仿宋_GB2312" w:hAnsi="宋体" w:eastAsia="仿宋_GB2312"/>
                <w:b/>
                <w:sz w:val="18"/>
                <w:szCs w:val="18"/>
                <w:highlight w:val="none"/>
              </w:rPr>
            </w:pPr>
            <w:r>
              <w:rPr>
                <w:rFonts w:hint="eastAsia" w:ascii="仿宋_GB2312" w:hAnsi="宋体" w:eastAsia="仿宋_GB2312"/>
                <w:b/>
                <w:sz w:val="18"/>
                <w:szCs w:val="18"/>
                <w:highlight w:val="none"/>
              </w:rPr>
              <w:t>考核单位</w:t>
            </w:r>
          </w:p>
        </w:tc>
        <w:tc>
          <w:tcPr>
            <w:tcW w:w="4500" w:type="dxa"/>
            <w:gridSpan w:val="2"/>
            <w:vAlign w:val="center"/>
          </w:tcPr>
          <w:p>
            <w:pPr>
              <w:spacing w:line="280" w:lineRule="exact"/>
              <w:jc w:val="center"/>
              <w:rPr>
                <w:rFonts w:ascii="仿宋_GB2312" w:hAnsi="宋体" w:eastAsia="仿宋_GB2312"/>
                <w:b/>
                <w:sz w:val="18"/>
                <w:szCs w:val="18"/>
                <w:highlight w:val="none"/>
              </w:rPr>
            </w:pPr>
          </w:p>
        </w:tc>
        <w:tc>
          <w:tcPr>
            <w:tcW w:w="1080" w:type="dxa"/>
            <w:vAlign w:val="center"/>
          </w:tcPr>
          <w:p>
            <w:pPr>
              <w:spacing w:line="280" w:lineRule="exact"/>
              <w:ind w:left="117"/>
              <w:jc w:val="center"/>
              <w:rPr>
                <w:rFonts w:ascii="仿宋_GB2312" w:hAnsi="宋体" w:eastAsia="仿宋_GB2312"/>
                <w:b/>
                <w:sz w:val="18"/>
                <w:szCs w:val="18"/>
                <w:highlight w:val="none"/>
              </w:rPr>
            </w:pPr>
            <w:r>
              <w:rPr>
                <w:rFonts w:hint="eastAsia" w:ascii="仿宋_GB2312" w:hAnsi="宋体" w:eastAsia="仿宋_GB2312"/>
                <w:b/>
                <w:sz w:val="18"/>
                <w:szCs w:val="18"/>
                <w:highlight w:val="none"/>
              </w:rPr>
              <w:t>考评日期</w:t>
            </w:r>
          </w:p>
        </w:tc>
        <w:tc>
          <w:tcPr>
            <w:tcW w:w="3167" w:type="dxa"/>
            <w:gridSpan w:val="4"/>
            <w:vAlign w:val="center"/>
          </w:tcPr>
          <w:p>
            <w:pPr>
              <w:spacing w:line="280" w:lineRule="exact"/>
              <w:jc w:val="center"/>
              <w:rPr>
                <w:rFonts w:ascii="仿宋_GB2312" w:hAnsi="宋体" w:eastAsia="仿宋_GB231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55" w:type="dxa"/>
            <w:gridSpan w:val="2"/>
            <w:vAlign w:val="center"/>
          </w:tcPr>
          <w:p>
            <w:pPr>
              <w:spacing w:line="280" w:lineRule="exact"/>
              <w:jc w:val="center"/>
              <w:rPr>
                <w:rFonts w:ascii="仿宋_GB2312" w:hAnsi="宋体" w:eastAsia="仿宋_GB2312"/>
                <w:b/>
                <w:sz w:val="18"/>
                <w:szCs w:val="18"/>
                <w:highlight w:val="none"/>
              </w:rPr>
            </w:pPr>
            <w:r>
              <w:rPr>
                <w:rFonts w:hint="eastAsia" w:ascii="仿宋_GB2312" w:hAnsi="宋体" w:eastAsia="仿宋_GB2312"/>
                <w:b/>
                <w:sz w:val="18"/>
                <w:szCs w:val="18"/>
                <w:highlight w:val="none"/>
              </w:rPr>
              <w:t>项目</w:t>
            </w:r>
          </w:p>
        </w:tc>
        <w:tc>
          <w:tcPr>
            <w:tcW w:w="7249" w:type="dxa"/>
            <w:gridSpan w:val="5"/>
            <w:vAlign w:val="center"/>
          </w:tcPr>
          <w:p>
            <w:pPr>
              <w:spacing w:line="280" w:lineRule="exact"/>
              <w:jc w:val="center"/>
              <w:rPr>
                <w:rFonts w:ascii="仿宋_GB2312" w:hAnsi="宋体" w:eastAsia="仿宋_GB2312"/>
                <w:b/>
                <w:sz w:val="18"/>
                <w:szCs w:val="18"/>
                <w:highlight w:val="none"/>
              </w:rPr>
            </w:pPr>
            <w:r>
              <w:rPr>
                <w:rFonts w:hint="eastAsia" w:ascii="仿宋_GB2312" w:hAnsi="宋体" w:eastAsia="仿宋_GB2312"/>
                <w:b/>
                <w:sz w:val="18"/>
                <w:szCs w:val="18"/>
                <w:highlight w:val="none"/>
              </w:rPr>
              <w:t>考核标准</w:t>
            </w:r>
          </w:p>
        </w:tc>
        <w:tc>
          <w:tcPr>
            <w:tcW w:w="602" w:type="dxa"/>
            <w:vAlign w:val="center"/>
          </w:tcPr>
          <w:p>
            <w:pPr>
              <w:spacing w:line="280" w:lineRule="exact"/>
              <w:jc w:val="center"/>
              <w:rPr>
                <w:rFonts w:ascii="仿宋_GB2312" w:hAnsi="宋体" w:eastAsia="仿宋_GB2312"/>
                <w:b/>
                <w:sz w:val="18"/>
                <w:szCs w:val="18"/>
                <w:highlight w:val="none"/>
              </w:rPr>
            </w:pPr>
            <w:r>
              <w:rPr>
                <w:rFonts w:hint="eastAsia" w:ascii="仿宋_GB2312" w:hAnsi="宋体" w:eastAsia="仿宋_GB2312"/>
                <w:b/>
                <w:sz w:val="18"/>
                <w:szCs w:val="18"/>
                <w:highlight w:val="none"/>
              </w:rPr>
              <w:t>分值</w:t>
            </w:r>
          </w:p>
        </w:tc>
        <w:tc>
          <w:tcPr>
            <w:tcW w:w="601" w:type="dxa"/>
            <w:vAlign w:val="center"/>
          </w:tcPr>
          <w:p>
            <w:pPr>
              <w:spacing w:line="200" w:lineRule="exact"/>
              <w:jc w:val="center"/>
              <w:rPr>
                <w:rFonts w:ascii="仿宋_GB2312" w:hAnsi="宋体" w:eastAsia="仿宋_GB2312"/>
                <w:b/>
                <w:sz w:val="18"/>
                <w:szCs w:val="18"/>
                <w:highlight w:val="none"/>
              </w:rPr>
            </w:pPr>
            <w:r>
              <w:rPr>
                <w:rFonts w:hint="eastAsia" w:ascii="仿宋_GB2312" w:hAnsi="宋体" w:eastAsia="仿宋_GB2312"/>
                <w:b/>
                <w:sz w:val="18"/>
                <w:szCs w:val="18"/>
                <w:highlight w:val="none"/>
              </w:rPr>
              <w:t>扣分情况</w:t>
            </w:r>
          </w:p>
        </w:tc>
        <w:tc>
          <w:tcPr>
            <w:tcW w:w="594" w:type="dxa"/>
            <w:vAlign w:val="center"/>
          </w:tcPr>
          <w:p>
            <w:pPr>
              <w:spacing w:line="200" w:lineRule="exact"/>
              <w:jc w:val="center"/>
              <w:rPr>
                <w:rFonts w:ascii="仿宋_GB2312" w:hAnsi="宋体" w:eastAsia="仿宋_GB2312"/>
                <w:b/>
                <w:sz w:val="18"/>
                <w:szCs w:val="18"/>
                <w:highlight w:val="none"/>
              </w:rPr>
            </w:pPr>
            <w:r>
              <w:rPr>
                <w:rFonts w:hint="eastAsia" w:ascii="仿宋_GB2312" w:hAnsi="宋体" w:eastAsia="仿宋_GB2312"/>
                <w:b/>
                <w:sz w:val="18"/>
                <w:szCs w:val="18"/>
                <w:highlight w:val="none"/>
              </w:rPr>
              <w:t>实际</w:t>
            </w:r>
          </w:p>
          <w:p>
            <w:pPr>
              <w:spacing w:line="200" w:lineRule="exact"/>
              <w:jc w:val="center"/>
              <w:rPr>
                <w:rFonts w:ascii="仿宋_GB2312" w:hAnsi="宋体" w:eastAsia="仿宋_GB2312"/>
                <w:b/>
                <w:sz w:val="18"/>
                <w:szCs w:val="18"/>
                <w:highlight w:val="none"/>
              </w:rPr>
            </w:pPr>
            <w:r>
              <w:rPr>
                <w:rFonts w:hint="eastAsia" w:ascii="仿宋_GB2312" w:hAnsi="宋体" w:eastAsia="仿宋_GB2312"/>
                <w:b/>
                <w:sz w:val="18"/>
                <w:szCs w:val="18"/>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Merge w:val="restart"/>
            <w:vAlign w:val="center"/>
          </w:tcPr>
          <w:p>
            <w:pPr>
              <w:spacing w:line="280" w:lineRule="exact"/>
              <w:jc w:val="center"/>
              <w:rPr>
                <w:rFonts w:ascii="仿宋_GB2312" w:hAnsi="宋体" w:eastAsia="仿宋_GB2312"/>
                <w:b/>
                <w:sz w:val="18"/>
                <w:szCs w:val="18"/>
                <w:highlight w:val="none"/>
              </w:rPr>
            </w:pPr>
            <w:r>
              <w:rPr>
                <w:rFonts w:hint="eastAsia" w:ascii="仿宋_GB2312" w:hAnsi="宋体" w:eastAsia="仿宋_GB2312"/>
                <w:b/>
                <w:sz w:val="18"/>
                <w:szCs w:val="18"/>
                <w:highlight w:val="none"/>
              </w:rPr>
              <w:t>一般考核</w:t>
            </w:r>
          </w:p>
        </w:tc>
        <w:tc>
          <w:tcPr>
            <w:tcW w:w="997" w:type="dxa"/>
            <w:vMerge w:val="restart"/>
            <w:vAlign w:val="center"/>
          </w:tcPr>
          <w:p>
            <w:pPr>
              <w:spacing w:line="280" w:lineRule="exact"/>
              <w:jc w:val="center"/>
              <w:rPr>
                <w:rFonts w:ascii="仿宋_GB2312" w:hAnsi="宋体" w:eastAsia="仿宋_GB2312"/>
                <w:b/>
                <w:sz w:val="18"/>
                <w:szCs w:val="18"/>
                <w:highlight w:val="none"/>
              </w:rPr>
            </w:pPr>
            <w:r>
              <w:rPr>
                <w:rFonts w:hint="eastAsia" w:ascii="仿宋_GB2312" w:hAnsi="宋体" w:eastAsia="仿宋_GB2312"/>
                <w:b/>
                <w:sz w:val="18"/>
                <w:szCs w:val="18"/>
                <w:highlight w:val="none"/>
              </w:rPr>
              <w:t>一、</w:t>
            </w:r>
          </w:p>
          <w:p>
            <w:pPr>
              <w:spacing w:line="280" w:lineRule="exact"/>
              <w:jc w:val="center"/>
              <w:rPr>
                <w:rFonts w:ascii="仿宋_GB2312" w:hAnsi="宋体" w:eastAsia="仿宋_GB2312"/>
                <w:b/>
                <w:sz w:val="18"/>
                <w:szCs w:val="18"/>
                <w:highlight w:val="none"/>
              </w:rPr>
            </w:pPr>
            <w:r>
              <w:rPr>
                <w:rFonts w:hint="eastAsia" w:ascii="仿宋_GB2312" w:hAnsi="宋体" w:eastAsia="仿宋_GB2312"/>
                <w:b/>
                <w:sz w:val="18"/>
                <w:szCs w:val="18"/>
                <w:highlight w:val="none"/>
              </w:rPr>
              <w:t>管理制度</w:t>
            </w:r>
          </w:p>
        </w:tc>
        <w:tc>
          <w:tcPr>
            <w:tcW w:w="7249" w:type="dxa"/>
            <w:gridSpan w:val="5"/>
            <w:vAlign w:val="center"/>
          </w:tcPr>
          <w:p>
            <w:pPr>
              <w:spacing w:line="280" w:lineRule="exact"/>
              <w:rPr>
                <w:rFonts w:ascii="仿宋_GB2312" w:hAnsi="宋体" w:eastAsia="仿宋_GB2312"/>
                <w:color w:val="000000"/>
                <w:sz w:val="18"/>
                <w:szCs w:val="18"/>
                <w:highlight w:val="none"/>
              </w:rPr>
            </w:pPr>
            <w:r>
              <w:rPr>
                <w:rFonts w:ascii="仿宋_GB2312" w:hAnsi="宋体" w:eastAsia="仿宋_GB2312"/>
                <w:color w:val="000000"/>
                <w:sz w:val="18"/>
                <w:szCs w:val="18"/>
                <w:highlight w:val="none"/>
              </w:rPr>
              <w:t>1.</w:t>
            </w:r>
            <w:r>
              <w:rPr>
                <w:rFonts w:hint="eastAsia" w:ascii="仿宋_GB2312" w:hAnsi="宋体" w:eastAsia="仿宋_GB2312"/>
                <w:color w:val="000000"/>
                <w:sz w:val="18"/>
                <w:szCs w:val="18"/>
                <w:highlight w:val="none"/>
              </w:rPr>
              <w:t>工作时间内擅自脱岗或出现违规行为的</w:t>
            </w:r>
            <w:r>
              <w:rPr>
                <w:rFonts w:hint="eastAsia" w:ascii="仿宋_GB2312" w:hAnsi="宋体" w:eastAsia="仿宋_GB2312" w:cs="宋体"/>
                <w:color w:val="000000"/>
                <w:kern w:val="0"/>
                <w:sz w:val="18"/>
                <w:szCs w:val="18"/>
                <w:highlight w:val="none"/>
              </w:rPr>
              <w:t>，每次扣</w:t>
            </w:r>
            <w:r>
              <w:rPr>
                <w:rFonts w:ascii="仿宋_GB2312" w:hAnsi="宋体" w:eastAsia="仿宋_GB2312" w:cs="宋体"/>
                <w:color w:val="000000"/>
                <w:kern w:val="0"/>
                <w:sz w:val="18"/>
                <w:szCs w:val="18"/>
                <w:highlight w:val="none"/>
              </w:rPr>
              <w:t>5</w:t>
            </w:r>
            <w:r>
              <w:rPr>
                <w:rFonts w:hint="eastAsia" w:ascii="仿宋_GB2312" w:hAnsi="宋体" w:eastAsia="仿宋_GB2312" w:cs="宋体"/>
                <w:color w:val="000000"/>
                <w:kern w:val="0"/>
                <w:sz w:val="18"/>
                <w:szCs w:val="18"/>
                <w:highlight w:val="none"/>
              </w:rPr>
              <w:t>分。</w:t>
            </w:r>
          </w:p>
        </w:tc>
        <w:tc>
          <w:tcPr>
            <w:tcW w:w="602" w:type="dxa"/>
            <w:vMerge w:val="restart"/>
            <w:vAlign w:val="center"/>
          </w:tcPr>
          <w:p>
            <w:pPr>
              <w:spacing w:line="280" w:lineRule="exact"/>
              <w:jc w:val="center"/>
              <w:rPr>
                <w:rFonts w:ascii="仿宋_GB2312" w:hAnsi="宋体" w:eastAsia="仿宋_GB2312"/>
                <w:b/>
                <w:color w:val="000000"/>
                <w:sz w:val="18"/>
                <w:szCs w:val="18"/>
                <w:highlight w:val="none"/>
              </w:rPr>
            </w:pPr>
            <w:r>
              <w:rPr>
                <w:rFonts w:ascii="仿宋_GB2312" w:hAnsi="宋体" w:eastAsia="仿宋_GB2312"/>
                <w:b/>
                <w:color w:val="000000"/>
                <w:sz w:val="18"/>
                <w:szCs w:val="18"/>
                <w:highlight w:val="none"/>
              </w:rPr>
              <w:t>20</w:t>
            </w:r>
          </w:p>
          <w:p>
            <w:pPr>
              <w:spacing w:line="280" w:lineRule="exact"/>
              <w:jc w:val="center"/>
              <w:rPr>
                <w:rFonts w:ascii="仿宋_GB2312" w:hAnsi="宋体" w:eastAsia="仿宋_GB2312"/>
                <w:b/>
                <w:color w:val="000000"/>
                <w:sz w:val="18"/>
                <w:szCs w:val="18"/>
                <w:highlight w:val="none"/>
              </w:rPr>
            </w:pPr>
            <w:r>
              <w:rPr>
                <w:rFonts w:hint="eastAsia" w:ascii="仿宋_GB2312" w:hAnsi="宋体" w:eastAsia="仿宋_GB2312"/>
                <w:b/>
                <w:color w:val="000000"/>
                <w:sz w:val="18"/>
                <w:szCs w:val="18"/>
                <w:highlight w:val="none"/>
              </w:rPr>
              <w:t>分</w:t>
            </w:r>
          </w:p>
        </w:tc>
        <w:tc>
          <w:tcPr>
            <w:tcW w:w="601" w:type="dxa"/>
            <w:vMerge w:val="restart"/>
            <w:vAlign w:val="center"/>
          </w:tcPr>
          <w:p>
            <w:pPr>
              <w:spacing w:line="280" w:lineRule="exact"/>
              <w:jc w:val="center"/>
              <w:rPr>
                <w:rFonts w:ascii="仿宋_GB2312" w:hAnsi="宋体" w:eastAsia="仿宋_GB2312"/>
                <w:b/>
                <w:color w:val="000000"/>
                <w:sz w:val="18"/>
                <w:szCs w:val="18"/>
                <w:highlight w:val="none"/>
              </w:rPr>
            </w:pPr>
          </w:p>
        </w:tc>
        <w:tc>
          <w:tcPr>
            <w:tcW w:w="594" w:type="dxa"/>
            <w:vMerge w:val="restart"/>
            <w:vAlign w:val="center"/>
          </w:tcPr>
          <w:p>
            <w:pPr>
              <w:spacing w:line="280" w:lineRule="exact"/>
              <w:jc w:val="center"/>
              <w:rPr>
                <w:rFonts w:ascii="仿宋_GB2312" w:hAnsi="宋体" w:eastAsia="仿宋_GB2312"/>
                <w:b/>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Merge w:val="continue"/>
            <w:vAlign w:val="center"/>
          </w:tcPr>
          <w:p>
            <w:pPr>
              <w:widowControl/>
              <w:jc w:val="left"/>
              <w:rPr>
                <w:rFonts w:ascii="仿宋_GB2312" w:hAnsi="宋体" w:eastAsia="仿宋_GB2312"/>
                <w:b/>
                <w:sz w:val="18"/>
                <w:szCs w:val="18"/>
                <w:highlight w:val="none"/>
              </w:rPr>
            </w:pPr>
          </w:p>
        </w:tc>
        <w:tc>
          <w:tcPr>
            <w:tcW w:w="997" w:type="dxa"/>
            <w:vMerge w:val="continue"/>
            <w:vAlign w:val="center"/>
          </w:tcPr>
          <w:p>
            <w:pPr>
              <w:widowControl/>
              <w:jc w:val="left"/>
              <w:rPr>
                <w:rFonts w:ascii="仿宋_GB2312" w:hAnsi="宋体" w:eastAsia="仿宋_GB2312"/>
                <w:b/>
                <w:sz w:val="18"/>
                <w:szCs w:val="18"/>
                <w:highlight w:val="none"/>
              </w:rPr>
            </w:pPr>
          </w:p>
        </w:tc>
        <w:tc>
          <w:tcPr>
            <w:tcW w:w="7249" w:type="dxa"/>
            <w:gridSpan w:val="5"/>
            <w:vAlign w:val="center"/>
          </w:tcPr>
          <w:p>
            <w:pPr>
              <w:spacing w:line="280" w:lineRule="exact"/>
              <w:rPr>
                <w:rFonts w:ascii="仿宋_GB2312" w:hAnsi="宋体" w:eastAsia="仿宋_GB2312"/>
                <w:color w:val="000000"/>
                <w:sz w:val="18"/>
                <w:szCs w:val="18"/>
                <w:highlight w:val="none"/>
              </w:rPr>
            </w:pPr>
            <w:r>
              <w:rPr>
                <w:rFonts w:ascii="仿宋_GB2312" w:hAnsi="宋体" w:eastAsia="仿宋_GB2312" w:cs="宋体"/>
                <w:color w:val="000000"/>
                <w:kern w:val="0"/>
                <w:sz w:val="18"/>
                <w:szCs w:val="18"/>
                <w:highlight w:val="none"/>
              </w:rPr>
              <w:t>2.</w:t>
            </w:r>
            <w:r>
              <w:rPr>
                <w:rFonts w:hint="eastAsia" w:ascii="仿宋_GB2312" w:hAnsi="宋体" w:eastAsia="仿宋_GB2312" w:cs="宋体"/>
                <w:color w:val="000000"/>
                <w:kern w:val="0"/>
                <w:sz w:val="18"/>
                <w:szCs w:val="18"/>
                <w:highlight w:val="none"/>
              </w:rPr>
              <w:t>日常管理日记、计划和总结未及时上交的，每次</w:t>
            </w:r>
            <w:r>
              <w:rPr>
                <w:rFonts w:ascii="仿宋_GB2312" w:hAnsi="宋体" w:eastAsia="仿宋_GB2312" w:cs="宋体"/>
                <w:color w:val="000000"/>
                <w:kern w:val="0"/>
                <w:sz w:val="18"/>
                <w:szCs w:val="18"/>
                <w:highlight w:val="none"/>
              </w:rPr>
              <w:t>1</w:t>
            </w:r>
            <w:r>
              <w:rPr>
                <w:rFonts w:hint="eastAsia" w:ascii="仿宋_GB2312" w:hAnsi="宋体" w:eastAsia="仿宋_GB2312" w:cs="宋体"/>
                <w:color w:val="000000"/>
                <w:kern w:val="0"/>
                <w:sz w:val="18"/>
                <w:szCs w:val="18"/>
                <w:highlight w:val="none"/>
              </w:rPr>
              <w:t>分；例会缺席的，每次</w:t>
            </w:r>
            <w:r>
              <w:rPr>
                <w:rFonts w:ascii="仿宋_GB2312" w:hAnsi="宋体" w:eastAsia="仿宋_GB2312" w:cs="宋体"/>
                <w:color w:val="000000"/>
                <w:kern w:val="0"/>
                <w:sz w:val="18"/>
                <w:szCs w:val="18"/>
                <w:highlight w:val="none"/>
              </w:rPr>
              <w:t>2</w:t>
            </w:r>
            <w:r>
              <w:rPr>
                <w:rFonts w:hint="eastAsia" w:ascii="仿宋_GB2312" w:hAnsi="宋体" w:eastAsia="仿宋_GB2312" w:cs="宋体"/>
                <w:color w:val="000000"/>
                <w:kern w:val="0"/>
                <w:sz w:val="18"/>
                <w:szCs w:val="18"/>
                <w:highlight w:val="none"/>
              </w:rPr>
              <w:t>分。</w:t>
            </w:r>
          </w:p>
        </w:tc>
        <w:tc>
          <w:tcPr>
            <w:tcW w:w="602" w:type="dxa"/>
            <w:vMerge w:val="continue"/>
            <w:vAlign w:val="center"/>
          </w:tcPr>
          <w:p>
            <w:pPr>
              <w:widowControl/>
              <w:jc w:val="left"/>
              <w:rPr>
                <w:rFonts w:ascii="仿宋_GB2312" w:hAnsi="宋体" w:eastAsia="仿宋_GB2312"/>
                <w:b/>
                <w:color w:val="000000"/>
                <w:sz w:val="18"/>
                <w:szCs w:val="18"/>
                <w:highlight w:val="none"/>
              </w:rPr>
            </w:pPr>
          </w:p>
        </w:tc>
        <w:tc>
          <w:tcPr>
            <w:tcW w:w="601" w:type="dxa"/>
            <w:vMerge w:val="continue"/>
            <w:vAlign w:val="center"/>
          </w:tcPr>
          <w:p>
            <w:pPr>
              <w:widowControl/>
              <w:jc w:val="center"/>
              <w:rPr>
                <w:rFonts w:ascii="仿宋_GB2312" w:hAnsi="宋体" w:eastAsia="仿宋_GB2312"/>
                <w:b/>
                <w:color w:val="000000"/>
                <w:sz w:val="18"/>
                <w:szCs w:val="18"/>
                <w:highlight w:val="none"/>
              </w:rPr>
            </w:pPr>
          </w:p>
        </w:tc>
        <w:tc>
          <w:tcPr>
            <w:tcW w:w="594" w:type="dxa"/>
            <w:vMerge w:val="continue"/>
            <w:vAlign w:val="center"/>
          </w:tcPr>
          <w:p>
            <w:pPr>
              <w:widowControl/>
              <w:jc w:val="center"/>
              <w:rPr>
                <w:rFonts w:ascii="仿宋_GB2312" w:hAnsi="宋体" w:eastAsia="仿宋_GB2312"/>
                <w:b/>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Merge w:val="continue"/>
            <w:vAlign w:val="center"/>
          </w:tcPr>
          <w:p>
            <w:pPr>
              <w:widowControl/>
              <w:jc w:val="left"/>
              <w:rPr>
                <w:rFonts w:ascii="仿宋_GB2312" w:hAnsi="宋体" w:eastAsia="仿宋_GB2312"/>
                <w:b/>
                <w:sz w:val="18"/>
                <w:szCs w:val="18"/>
                <w:highlight w:val="none"/>
              </w:rPr>
            </w:pPr>
          </w:p>
        </w:tc>
        <w:tc>
          <w:tcPr>
            <w:tcW w:w="997" w:type="dxa"/>
            <w:vMerge w:val="continue"/>
            <w:vAlign w:val="center"/>
          </w:tcPr>
          <w:p>
            <w:pPr>
              <w:widowControl/>
              <w:jc w:val="left"/>
              <w:rPr>
                <w:rFonts w:ascii="仿宋_GB2312" w:hAnsi="宋体" w:eastAsia="仿宋_GB2312"/>
                <w:b/>
                <w:sz w:val="18"/>
                <w:szCs w:val="18"/>
                <w:highlight w:val="none"/>
              </w:rPr>
            </w:pPr>
          </w:p>
        </w:tc>
        <w:tc>
          <w:tcPr>
            <w:tcW w:w="7249" w:type="dxa"/>
            <w:gridSpan w:val="5"/>
            <w:vAlign w:val="center"/>
          </w:tcPr>
          <w:p>
            <w:pPr>
              <w:spacing w:line="280" w:lineRule="exact"/>
              <w:rPr>
                <w:rFonts w:ascii="仿宋_GB2312" w:hAnsi="宋体" w:eastAsia="仿宋_GB2312"/>
                <w:color w:val="000000"/>
                <w:sz w:val="18"/>
                <w:szCs w:val="18"/>
                <w:highlight w:val="none"/>
              </w:rPr>
            </w:pPr>
            <w:r>
              <w:rPr>
                <w:rFonts w:ascii="仿宋_GB2312" w:hAnsi="宋体" w:eastAsia="仿宋_GB2312" w:cs="宋体"/>
                <w:color w:val="000000"/>
                <w:kern w:val="0"/>
                <w:sz w:val="18"/>
                <w:szCs w:val="18"/>
                <w:highlight w:val="none"/>
              </w:rPr>
              <w:t>3.</w:t>
            </w:r>
            <w:r>
              <w:rPr>
                <w:rFonts w:hint="eastAsia" w:ascii="仿宋_GB2312" w:hAnsi="宋体" w:eastAsia="仿宋_GB2312" w:cs="宋体"/>
                <w:color w:val="000000"/>
                <w:kern w:val="0"/>
                <w:sz w:val="18"/>
                <w:szCs w:val="18"/>
                <w:highlight w:val="none"/>
              </w:rPr>
              <w:t>未着工作服上岗的或出现不文明用语的每人每次扣</w:t>
            </w:r>
            <w:r>
              <w:rPr>
                <w:rFonts w:ascii="仿宋_GB2312" w:hAnsi="宋体" w:eastAsia="仿宋_GB2312" w:cs="宋体"/>
                <w:color w:val="000000"/>
                <w:kern w:val="0"/>
                <w:sz w:val="18"/>
                <w:szCs w:val="18"/>
                <w:highlight w:val="none"/>
              </w:rPr>
              <w:t>1</w:t>
            </w:r>
            <w:r>
              <w:rPr>
                <w:rFonts w:hint="eastAsia" w:ascii="仿宋_GB2312" w:hAnsi="宋体" w:eastAsia="仿宋_GB2312" w:cs="宋体"/>
                <w:color w:val="000000"/>
                <w:kern w:val="0"/>
                <w:sz w:val="18"/>
                <w:szCs w:val="18"/>
                <w:highlight w:val="none"/>
              </w:rPr>
              <w:t>分。</w:t>
            </w:r>
          </w:p>
        </w:tc>
        <w:tc>
          <w:tcPr>
            <w:tcW w:w="602" w:type="dxa"/>
            <w:vMerge w:val="continue"/>
            <w:vAlign w:val="center"/>
          </w:tcPr>
          <w:p>
            <w:pPr>
              <w:widowControl/>
              <w:jc w:val="left"/>
              <w:rPr>
                <w:rFonts w:ascii="仿宋_GB2312" w:hAnsi="宋体" w:eastAsia="仿宋_GB2312"/>
                <w:b/>
                <w:color w:val="000000"/>
                <w:sz w:val="18"/>
                <w:szCs w:val="18"/>
                <w:highlight w:val="none"/>
              </w:rPr>
            </w:pPr>
          </w:p>
        </w:tc>
        <w:tc>
          <w:tcPr>
            <w:tcW w:w="601" w:type="dxa"/>
            <w:vMerge w:val="continue"/>
            <w:vAlign w:val="center"/>
          </w:tcPr>
          <w:p>
            <w:pPr>
              <w:widowControl/>
              <w:jc w:val="center"/>
              <w:rPr>
                <w:rFonts w:ascii="仿宋_GB2312" w:hAnsi="宋体" w:eastAsia="仿宋_GB2312"/>
                <w:b/>
                <w:color w:val="000000"/>
                <w:sz w:val="18"/>
                <w:szCs w:val="18"/>
                <w:highlight w:val="none"/>
              </w:rPr>
            </w:pPr>
          </w:p>
        </w:tc>
        <w:tc>
          <w:tcPr>
            <w:tcW w:w="594" w:type="dxa"/>
            <w:vMerge w:val="continue"/>
            <w:vAlign w:val="center"/>
          </w:tcPr>
          <w:p>
            <w:pPr>
              <w:widowControl/>
              <w:jc w:val="center"/>
              <w:rPr>
                <w:rFonts w:ascii="仿宋_GB2312" w:hAnsi="宋体" w:eastAsia="仿宋_GB2312"/>
                <w:b/>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Merge w:val="continue"/>
            <w:vAlign w:val="center"/>
          </w:tcPr>
          <w:p>
            <w:pPr>
              <w:widowControl/>
              <w:jc w:val="left"/>
              <w:rPr>
                <w:rFonts w:ascii="仿宋_GB2312" w:hAnsi="宋体" w:eastAsia="仿宋_GB2312"/>
                <w:b/>
                <w:sz w:val="18"/>
                <w:szCs w:val="18"/>
                <w:highlight w:val="none"/>
              </w:rPr>
            </w:pPr>
          </w:p>
        </w:tc>
        <w:tc>
          <w:tcPr>
            <w:tcW w:w="997" w:type="dxa"/>
            <w:vMerge w:val="continue"/>
            <w:vAlign w:val="center"/>
          </w:tcPr>
          <w:p>
            <w:pPr>
              <w:widowControl/>
              <w:jc w:val="left"/>
              <w:rPr>
                <w:rFonts w:ascii="仿宋_GB2312" w:hAnsi="宋体" w:eastAsia="仿宋_GB2312"/>
                <w:b/>
                <w:sz w:val="18"/>
                <w:szCs w:val="18"/>
                <w:highlight w:val="none"/>
              </w:rPr>
            </w:pPr>
          </w:p>
        </w:tc>
        <w:tc>
          <w:tcPr>
            <w:tcW w:w="7249" w:type="dxa"/>
            <w:gridSpan w:val="5"/>
            <w:vAlign w:val="center"/>
          </w:tcPr>
          <w:p>
            <w:pPr>
              <w:spacing w:line="280" w:lineRule="exact"/>
              <w:rPr>
                <w:rFonts w:ascii="仿宋_GB2312" w:hAnsi="宋体" w:eastAsia="仿宋_GB2312" w:cs="宋体"/>
                <w:color w:val="000000"/>
                <w:kern w:val="0"/>
                <w:sz w:val="18"/>
                <w:szCs w:val="18"/>
                <w:highlight w:val="none"/>
              </w:rPr>
            </w:pPr>
            <w:r>
              <w:rPr>
                <w:rFonts w:ascii="仿宋_GB2312" w:hAnsi="宋体" w:eastAsia="仿宋_GB2312" w:cs="宋体"/>
                <w:color w:val="000000"/>
                <w:kern w:val="0"/>
                <w:sz w:val="18"/>
                <w:szCs w:val="18"/>
                <w:highlight w:val="none"/>
              </w:rPr>
              <w:t>4.</w:t>
            </w:r>
            <w:r>
              <w:rPr>
                <w:rFonts w:hint="eastAsia" w:ascii="仿宋_GB2312" w:hAnsi="宋体" w:eastAsia="仿宋_GB2312" w:cs="宋体"/>
                <w:color w:val="000000"/>
                <w:kern w:val="0"/>
                <w:sz w:val="18"/>
                <w:szCs w:val="18"/>
                <w:highlight w:val="none"/>
              </w:rPr>
              <w:t>未定期开展业务、安全培训的，每次扣</w:t>
            </w:r>
            <w:r>
              <w:rPr>
                <w:rFonts w:ascii="仿宋_GB2312" w:hAnsi="宋体" w:eastAsia="仿宋_GB2312" w:cs="宋体"/>
                <w:color w:val="000000"/>
                <w:kern w:val="0"/>
                <w:sz w:val="18"/>
                <w:szCs w:val="18"/>
                <w:highlight w:val="none"/>
              </w:rPr>
              <w:t>2</w:t>
            </w:r>
            <w:r>
              <w:rPr>
                <w:rFonts w:hint="eastAsia" w:ascii="仿宋_GB2312" w:hAnsi="宋体" w:eastAsia="仿宋_GB2312" w:cs="宋体"/>
                <w:color w:val="000000"/>
                <w:kern w:val="0"/>
                <w:sz w:val="18"/>
                <w:szCs w:val="18"/>
                <w:highlight w:val="none"/>
              </w:rPr>
              <w:t>分。</w:t>
            </w:r>
          </w:p>
        </w:tc>
        <w:tc>
          <w:tcPr>
            <w:tcW w:w="602" w:type="dxa"/>
            <w:vMerge w:val="continue"/>
            <w:vAlign w:val="center"/>
          </w:tcPr>
          <w:p>
            <w:pPr>
              <w:widowControl/>
              <w:jc w:val="left"/>
              <w:rPr>
                <w:rFonts w:ascii="仿宋_GB2312" w:hAnsi="宋体" w:eastAsia="仿宋_GB2312"/>
                <w:b/>
                <w:color w:val="000000"/>
                <w:sz w:val="18"/>
                <w:szCs w:val="18"/>
                <w:highlight w:val="none"/>
              </w:rPr>
            </w:pPr>
          </w:p>
        </w:tc>
        <w:tc>
          <w:tcPr>
            <w:tcW w:w="601" w:type="dxa"/>
            <w:vMerge w:val="continue"/>
            <w:vAlign w:val="center"/>
          </w:tcPr>
          <w:p>
            <w:pPr>
              <w:widowControl/>
              <w:jc w:val="center"/>
              <w:rPr>
                <w:rFonts w:ascii="仿宋_GB2312" w:hAnsi="宋体" w:eastAsia="仿宋_GB2312"/>
                <w:b/>
                <w:color w:val="000000"/>
                <w:sz w:val="18"/>
                <w:szCs w:val="18"/>
                <w:highlight w:val="none"/>
              </w:rPr>
            </w:pPr>
          </w:p>
        </w:tc>
        <w:tc>
          <w:tcPr>
            <w:tcW w:w="594" w:type="dxa"/>
            <w:vMerge w:val="continue"/>
            <w:vAlign w:val="center"/>
          </w:tcPr>
          <w:p>
            <w:pPr>
              <w:widowControl/>
              <w:jc w:val="center"/>
              <w:rPr>
                <w:rFonts w:ascii="仿宋_GB2312" w:hAnsi="宋体" w:eastAsia="仿宋_GB2312"/>
                <w:b/>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Merge w:val="continue"/>
            <w:vAlign w:val="center"/>
          </w:tcPr>
          <w:p>
            <w:pPr>
              <w:widowControl/>
              <w:jc w:val="left"/>
              <w:rPr>
                <w:rFonts w:ascii="仿宋_GB2312" w:hAnsi="宋体" w:eastAsia="仿宋_GB2312"/>
                <w:b/>
                <w:sz w:val="18"/>
                <w:szCs w:val="18"/>
                <w:highlight w:val="none"/>
              </w:rPr>
            </w:pPr>
          </w:p>
        </w:tc>
        <w:tc>
          <w:tcPr>
            <w:tcW w:w="997" w:type="dxa"/>
            <w:vMerge w:val="continue"/>
            <w:vAlign w:val="center"/>
          </w:tcPr>
          <w:p>
            <w:pPr>
              <w:widowControl/>
              <w:jc w:val="left"/>
              <w:rPr>
                <w:rFonts w:ascii="仿宋_GB2312" w:hAnsi="宋体" w:eastAsia="仿宋_GB2312"/>
                <w:b/>
                <w:sz w:val="18"/>
                <w:szCs w:val="18"/>
                <w:highlight w:val="none"/>
              </w:rPr>
            </w:pPr>
          </w:p>
        </w:tc>
        <w:tc>
          <w:tcPr>
            <w:tcW w:w="7249" w:type="dxa"/>
            <w:gridSpan w:val="5"/>
            <w:vAlign w:val="center"/>
          </w:tcPr>
          <w:p>
            <w:pPr>
              <w:spacing w:line="280" w:lineRule="exact"/>
              <w:rPr>
                <w:rFonts w:ascii="仿宋_GB2312" w:hAnsi="宋体" w:eastAsia="仿宋_GB2312" w:cs="宋体"/>
                <w:color w:val="000000"/>
                <w:kern w:val="0"/>
                <w:sz w:val="18"/>
                <w:szCs w:val="18"/>
                <w:highlight w:val="none"/>
              </w:rPr>
            </w:pPr>
            <w:r>
              <w:rPr>
                <w:rFonts w:ascii="仿宋_GB2312" w:hAnsi="宋体" w:eastAsia="仿宋_GB2312" w:cs="宋体"/>
                <w:color w:val="000000"/>
                <w:kern w:val="0"/>
                <w:sz w:val="18"/>
                <w:szCs w:val="18"/>
                <w:highlight w:val="none"/>
              </w:rPr>
              <w:t>5.</w:t>
            </w:r>
            <w:r>
              <w:rPr>
                <w:rFonts w:hint="eastAsia" w:ascii="仿宋_GB2312" w:hAnsi="宋体" w:eastAsia="仿宋_GB2312" w:cs="宋体"/>
                <w:color w:val="000000"/>
                <w:kern w:val="0"/>
                <w:sz w:val="18"/>
                <w:szCs w:val="18"/>
                <w:highlight w:val="none"/>
              </w:rPr>
              <w:t>综合公共服务人员不服从城市管理部门管理的，每次扣</w:t>
            </w:r>
            <w:r>
              <w:rPr>
                <w:rFonts w:ascii="仿宋_GB2312" w:hAnsi="宋体" w:eastAsia="仿宋_GB2312" w:cs="宋体"/>
                <w:color w:val="000000"/>
                <w:kern w:val="0"/>
                <w:sz w:val="18"/>
                <w:szCs w:val="18"/>
                <w:highlight w:val="none"/>
              </w:rPr>
              <w:t>5</w:t>
            </w:r>
            <w:r>
              <w:rPr>
                <w:rFonts w:hint="eastAsia" w:ascii="仿宋_GB2312" w:hAnsi="宋体" w:eastAsia="仿宋_GB2312" w:cs="宋体"/>
                <w:color w:val="000000"/>
                <w:kern w:val="0"/>
                <w:sz w:val="18"/>
                <w:szCs w:val="18"/>
                <w:highlight w:val="none"/>
              </w:rPr>
              <w:t>分。</w:t>
            </w:r>
          </w:p>
        </w:tc>
        <w:tc>
          <w:tcPr>
            <w:tcW w:w="602" w:type="dxa"/>
            <w:vMerge w:val="continue"/>
            <w:vAlign w:val="center"/>
          </w:tcPr>
          <w:p>
            <w:pPr>
              <w:widowControl/>
              <w:jc w:val="left"/>
              <w:rPr>
                <w:rFonts w:ascii="仿宋_GB2312" w:hAnsi="宋体" w:eastAsia="仿宋_GB2312"/>
                <w:b/>
                <w:color w:val="000000"/>
                <w:sz w:val="18"/>
                <w:szCs w:val="18"/>
                <w:highlight w:val="none"/>
              </w:rPr>
            </w:pPr>
          </w:p>
        </w:tc>
        <w:tc>
          <w:tcPr>
            <w:tcW w:w="601" w:type="dxa"/>
            <w:vMerge w:val="continue"/>
            <w:vAlign w:val="center"/>
          </w:tcPr>
          <w:p>
            <w:pPr>
              <w:widowControl/>
              <w:jc w:val="center"/>
              <w:rPr>
                <w:rFonts w:ascii="仿宋_GB2312" w:hAnsi="宋体" w:eastAsia="仿宋_GB2312"/>
                <w:b/>
                <w:color w:val="000000"/>
                <w:sz w:val="18"/>
                <w:szCs w:val="18"/>
                <w:highlight w:val="none"/>
              </w:rPr>
            </w:pPr>
          </w:p>
        </w:tc>
        <w:tc>
          <w:tcPr>
            <w:tcW w:w="594" w:type="dxa"/>
            <w:vMerge w:val="continue"/>
            <w:vAlign w:val="center"/>
          </w:tcPr>
          <w:p>
            <w:pPr>
              <w:widowControl/>
              <w:jc w:val="center"/>
              <w:rPr>
                <w:rFonts w:ascii="仿宋_GB2312" w:hAnsi="宋体" w:eastAsia="仿宋_GB2312"/>
                <w:b/>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Merge w:val="continue"/>
            <w:vAlign w:val="center"/>
          </w:tcPr>
          <w:p>
            <w:pPr>
              <w:widowControl/>
              <w:jc w:val="left"/>
              <w:rPr>
                <w:rFonts w:ascii="仿宋_GB2312" w:hAnsi="宋体" w:eastAsia="仿宋_GB2312"/>
                <w:b/>
                <w:sz w:val="18"/>
                <w:szCs w:val="18"/>
                <w:highlight w:val="none"/>
              </w:rPr>
            </w:pPr>
          </w:p>
        </w:tc>
        <w:tc>
          <w:tcPr>
            <w:tcW w:w="997" w:type="dxa"/>
            <w:vMerge w:val="continue"/>
            <w:vAlign w:val="center"/>
          </w:tcPr>
          <w:p>
            <w:pPr>
              <w:widowControl/>
              <w:jc w:val="left"/>
              <w:rPr>
                <w:rFonts w:ascii="仿宋_GB2312" w:hAnsi="宋体" w:eastAsia="仿宋_GB2312"/>
                <w:b/>
                <w:sz w:val="18"/>
                <w:szCs w:val="18"/>
                <w:highlight w:val="none"/>
              </w:rPr>
            </w:pPr>
          </w:p>
        </w:tc>
        <w:tc>
          <w:tcPr>
            <w:tcW w:w="7249" w:type="dxa"/>
            <w:gridSpan w:val="5"/>
            <w:vAlign w:val="center"/>
          </w:tcPr>
          <w:p>
            <w:pPr>
              <w:spacing w:line="280" w:lineRule="exact"/>
              <w:rPr>
                <w:rFonts w:ascii="仿宋_GB2312" w:hAnsi="宋体" w:eastAsia="仿宋_GB2312" w:cs="宋体"/>
                <w:color w:val="000000"/>
                <w:kern w:val="0"/>
                <w:sz w:val="18"/>
                <w:szCs w:val="18"/>
                <w:highlight w:val="none"/>
              </w:rPr>
            </w:pPr>
            <w:r>
              <w:rPr>
                <w:rFonts w:ascii="仿宋_GB2312" w:hAnsi="宋体" w:eastAsia="仿宋_GB2312" w:cs="宋体"/>
                <w:color w:val="000000"/>
                <w:kern w:val="0"/>
                <w:sz w:val="18"/>
                <w:szCs w:val="18"/>
                <w:highlight w:val="none"/>
              </w:rPr>
              <w:t>6.</w:t>
            </w:r>
            <w:r>
              <w:rPr>
                <w:rFonts w:hint="eastAsia" w:ascii="仿宋_GB2312" w:hAnsi="宋体" w:eastAsia="仿宋_GB2312" w:cs="宋体"/>
                <w:color w:val="000000"/>
                <w:kern w:val="0"/>
                <w:sz w:val="18"/>
                <w:szCs w:val="18"/>
                <w:highlight w:val="none"/>
              </w:rPr>
              <w:t>出现安全事故，由公司自行负责，并视事故大小每次扣</w:t>
            </w:r>
            <w:r>
              <w:rPr>
                <w:rFonts w:ascii="仿宋_GB2312" w:hAnsi="宋体" w:eastAsia="仿宋_GB2312" w:cs="宋体"/>
                <w:color w:val="000000"/>
                <w:kern w:val="0"/>
                <w:sz w:val="18"/>
                <w:szCs w:val="18"/>
                <w:highlight w:val="none"/>
              </w:rPr>
              <w:t>1-10</w:t>
            </w:r>
            <w:r>
              <w:rPr>
                <w:rFonts w:hint="eastAsia" w:ascii="仿宋_GB2312" w:hAnsi="宋体" w:eastAsia="仿宋_GB2312" w:cs="宋体"/>
                <w:color w:val="000000"/>
                <w:kern w:val="0"/>
                <w:sz w:val="18"/>
                <w:szCs w:val="18"/>
                <w:highlight w:val="none"/>
              </w:rPr>
              <w:t>分。</w:t>
            </w:r>
          </w:p>
        </w:tc>
        <w:tc>
          <w:tcPr>
            <w:tcW w:w="602" w:type="dxa"/>
            <w:vMerge w:val="continue"/>
            <w:vAlign w:val="center"/>
          </w:tcPr>
          <w:p>
            <w:pPr>
              <w:widowControl/>
              <w:jc w:val="left"/>
              <w:rPr>
                <w:rFonts w:ascii="仿宋_GB2312" w:hAnsi="宋体" w:eastAsia="仿宋_GB2312"/>
                <w:b/>
                <w:color w:val="000000"/>
                <w:sz w:val="18"/>
                <w:szCs w:val="18"/>
                <w:highlight w:val="none"/>
              </w:rPr>
            </w:pPr>
          </w:p>
        </w:tc>
        <w:tc>
          <w:tcPr>
            <w:tcW w:w="601" w:type="dxa"/>
            <w:vMerge w:val="continue"/>
            <w:vAlign w:val="center"/>
          </w:tcPr>
          <w:p>
            <w:pPr>
              <w:widowControl/>
              <w:jc w:val="center"/>
              <w:rPr>
                <w:rFonts w:ascii="仿宋_GB2312" w:hAnsi="宋体" w:eastAsia="仿宋_GB2312"/>
                <w:b/>
                <w:color w:val="000000"/>
                <w:sz w:val="18"/>
                <w:szCs w:val="18"/>
                <w:highlight w:val="none"/>
              </w:rPr>
            </w:pPr>
          </w:p>
        </w:tc>
        <w:tc>
          <w:tcPr>
            <w:tcW w:w="594" w:type="dxa"/>
            <w:vMerge w:val="continue"/>
            <w:vAlign w:val="center"/>
          </w:tcPr>
          <w:p>
            <w:pPr>
              <w:widowControl/>
              <w:jc w:val="center"/>
              <w:rPr>
                <w:rFonts w:ascii="仿宋_GB2312" w:hAnsi="宋体" w:eastAsia="仿宋_GB2312"/>
                <w:b/>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658" w:type="dxa"/>
            <w:vMerge w:val="restart"/>
            <w:vAlign w:val="center"/>
          </w:tcPr>
          <w:p>
            <w:pPr>
              <w:spacing w:line="280" w:lineRule="exact"/>
              <w:jc w:val="center"/>
              <w:rPr>
                <w:rFonts w:ascii="仿宋_GB2312" w:hAnsi="宋体" w:eastAsia="仿宋_GB2312"/>
                <w:b/>
                <w:sz w:val="18"/>
                <w:szCs w:val="18"/>
                <w:highlight w:val="none"/>
              </w:rPr>
            </w:pPr>
            <w:r>
              <w:rPr>
                <w:rFonts w:hint="eastAsia" w:ascii="仿宋_GB2312" w:hAnsi="宋体" w:eastAsia="仿宋_GB2312"/>
                <w:b/>
                <w:sz w:val="18"/>
                <w:szCs w:val="18"/>
                <w:highlight w:val="none"/>
              </w:rPr>
              <w:t>日常考核</w:t>
            </w:r>
          </w:p>
        </w:tc>
        <w:tc>
          <w:tcPr>
            <w:tcW w:w="997" w:type="dxa"/>
            <w:vMerge w:val="restart"/>
            <w:vAlign w:val="center"/>
          </w:tcPr>
          <w:p>
            <w:pPr>
              <w:spacing w:line="280" w:lineRule="exact"/>
              <w:jc w:val="center"/>
              <w:rPr>
                <w:rFonts w:ascii="仿宋_GB2312" w:hAnsi="宋体" w:eastAsia="仿宋_GB2312"/>
                <w:b/>
                <w:sz w:val="18"/>
                <w:szCs w:val="18"/>
                <w:highlight w:val="none"/>
              </w:rPr>
            </w:pPr>
            <w:r>
              <w:rPr>
                <w:rFonts w:hint="eastAsia" w:ascii="仿宋_GB2312" w:hAnsi="宋体" w:eastAsia="仿宋_GB2312"/>
                <w:b/>
                <w:sz w:val="18"/>
                <w:szCs w:val="18"/>
                <w:highlight w:val="none"/>
              </w:rPr>
              <w:t>二、</w:t>
            </w:r>
          </w:p>
          <w:p>
            <w:pPr>
              <w:spacing w:line="280" w:lineRule="exact"/>
              <w:jc w:val="center"/>
              <w:rPr>
                <w:rFonts w:ascii="仿宋_GB2312" w:hAnsi="宋体" w:eastAsia="仿宋_GB2312"/>
                <w:b/>
                <w:sz w:val="18"/>
                <w:szCs w:val="18"/>
                <w:highlight w:val="none"/>
              </w:rPr>
            </w:pPr>
            <w:r>
              <w:rPr>
                <w:rFonts w:hint="eastAsia" w:ascii="仿宋_GB2312" w:hAnsi="宋体" w:eastAsia="仿宋_GB2312"/>
                <w:b/>
                <w:sz w:val="18"/>
                <w:szCs w:val="18"/>
                <w:highlight w:val="none"/>
              </w:rPr>
              <w:t>日常管理</w:t>
            </w:r>
          </w:p>
        </w:tc>
        <w:tc>
          <w:tcPr>
            <w:tcW w:w="628" w:type="dxa"/>
            <w:gridSpan w:val="2"/>
            <w:vMerge w:val="restart"/>
            <w:vAlign w:val="center"/>
          </w:tcPr>
          <w:p>
            <w:pPr>
              <w:spacing w:line="280" w:lineRule="exact"/>
              <w:jc w:val="center"/>
              <w:rPr>
                <w:rFonts w:ascii="仿宋_GB2312" w:hAnsi="宋体" w:eastAsia="仿宋_GB2312"/>
                <w:b/>
                <w:color w:val="000000"/>
                <w:sz w:val="18"/>
                <w:szCs w:val="18"/>
                <w:highlight w:val="none"/>
              </w:rPr>
            </w:pPr>
            <w:r>
              <w:rPr>
                <w:rFonts w:hint="eastAsia" w:ascii="仿宋_GB2312" w:hAnsi="宋体" w:eastAsia="仿宋_GB2312"/>
                <w:b/>
                <w:color w:val="000000"/>
                <w:sz w:val="18"/>
                <w:szCs w:val="18"/>
                <w:highlight w:val="none"/>
              </w:rPr>
              <w:t>摊位管理</w:t>
            </w:r>
          </w:p>
        </w:tc>
        <w:tc>
          <w:tcPr>
            <w:tcW w:w="6621" w:type="dxa"/>
            <w:gridSpan w:val="3"/>
          </w:tcPr>
          <w:p>
            <w:pPr>
              <w:spacing w:line="280" w:lineRule="exact"/>
              <w:rPr>
                <w:rFonts w:ascii="仿宋_GB2312" w:hAnsi="宋体" w:eastAsia="仿宋_GB2312"/>
                <w:color w:val="000000"/>
                <w:sz w:val="18"/>
                <w:szCs w:val="18"/>
                <w:highlight w:val="none"/>
              </w:rPr>
            </w:pPr>
            <w:r>
              <w:rPr>
                <w:rFonts w:ascii="仿宋_GB2312" w:hAnsi="宋体" w:eastAsia="仿宋_GB2312" w:cs="宋体"/>
                <w:color w:val="000000"/>
                <w:kern w:val="0"/>
                <w:sz w:val="18"/>
                <w:szCs w:val="18"/>
                <w:highlight w:val="none"/>
              </w:rPr>
              <w:t>1.</w:t>
            </w:r>
            <w:r>
              <w:rPr>
                <w:rFonts w:hint="eastAsia" w:ascii="仿宋_GB2312" w:eastAsia="仿宋_GB2312"/>
                <w:color w:val="000000"/>
                <w:sz w:val="18"/>
                <w:szCs w:val="18"/>
                <w:highlight w:val="none"/>
              </w:rPr>
              <w:t>管理服务区域内出现的流动摊点未及时劝阻，每发现一次扣</w:t>
            </w:r>
            <w:r>
              <w:rPr>
                <w:rFonts w:ascii="仿宋_GB2312" w:eastAsia="仿宋_GB2312"/>
                <w:color w:val="000000"/>
                <w:sz w:val="18"/>
                <w:szCs w:val="18"/>
                <w:highlight w:val="none"/>
              </w:rPr>
              <w:t>1</w:t>
            </w:r>
            <w:r>
              <w:rPr>
                <w:rFonts w:hint="eastAsia" w:ascii="仿宋_GB2312" w:eastAsia="仿宋_GB2312"/>
                <w:color w:val="000000"/>
                <w:sz w:val="18"/>
                <w:szCs w:val="18"/>
                <w:highlight w:val="none"/>
              </w:rPr>
              <w:t>分，未引导流动摊贩到指定的疏导点规范经营或入店、入市经营，每次发现一起扣</w:t>
            </w:r>
            <w:r>
              <w:rPr>
                <w:rFonts w:ascii="仿宋_GB2312" w:eastAsia="仿宋_GB2312"/>
                <w:color w:val="000000"/>
                <w:sz w:val="18"/>
                <w:szCs w:val="18"/>
                <w:highlight w:val="none"/>
              </w:rPr>
              <w:t>1</w:t>
            </w:r>
            <w:r>
              <w:rPr>
                <w:rFonts w:hint="eastAsia" w:ascii="仿宋_GB2312" w:eastAsia="仿宋_GB2312"/>
                <w:color w:val="000000"/>
                <w:sz w:val="18"/>
                <w:szCs w:val="18"/>
                <w:highlight w:val="none"/>
              </w:rPr>
              <w:t>分。</w:t>
            </w:r>
          </w:p>
        </w:tc>
        <w:tc>
          <w:tcPr>
            <w:tcW w:w="602" w:type="dxa"/>
            <w:vMerge w:val="restart"/>
            <w:vAlign w:val="center"/>
          </w:tcPr>
          <w:p>
            <w:pPr>
              <w:spacing w:line="280" w:lineRule="exact"/>
              <w:jc w:val="center"/>
              <w:rPr>
                <w:rFonts w:ascii="仿宋_GB2312" w:hAnsi="宋体" w:eastAsia="仿宋_GB2312"/>
                <w:color w:val="000000"/>
                <w:sz w:val="18"/>
                <w:szCs w:val="18"/>
                <w:highlight w:val="none"/>
              </w:rPr>
            </w:pPr>
            <w:r>
              <w:rPr>
                <w:rFonts w:ascii="仿宋_GB2312" w:hAnsi="宋体" w:eastAsia="仿宋_GB2312"/>
                <w:b/>
                <w:bCs/>
                <w:color w:val="000000"/>
                <w:sz w:val="18"/>
                <w:szCs w:val="18"/>
                <w:highlight w:val="none"/>
              </w:rPr>
              <w:t>40</w:t>
            </w:r>
            <w:r>
              <w:rPr>
                <w:rFonts w:hint="eastAsia" w:ascii="仿宋_GB2312" w:hAnsi="宋体" w:eastAsia="仿宋_GB2312"/>
                <w:b/>
                <w:bCs/>
                <w:color w:val="000000"/>
                <w:sz w:val="18"/>
                <w:szCs w:val="18"/>
                <w:highlight w:val="none"/>
              </w:rPr>
              <w:t>分</w:t>
            </w:r>
          </w:p>
        </w:tc>
        <w:tc>
          <w:tcPr>
            <w:tcW w:w="601" w:type="dxa"/>
            <w:vMerge w:val="restart"/>
            <w:vAlign w:val="center"/>
          </w:tcPr>
          <w:p>
            <w:pPr>
              <w:spacing w:line="280" w:lineRule="exact"/>
              <w:jc w:val="center"/>
              <w:rPr>
                <w:rFonts w:ascii="仿宋_GB2312" w:hAnsi="宋体" w:eastAsia="仿宋_GB2312"/>
                <w:b/>
                <w:color w:val="000000"/>
                <w:sz w:val="18"/>
                <w:szCs w:val="18"/>
                <w:highlight w:val="none"/>
              </w:rPr>
            </w:pPr>
          </w:p>
        </w:tc>
        <w:tc>
          <w:tcPr>
            <w:tcW w:w="594" w:type="dxa"/>
            <w:vMerge w:val="restart"/>
            <w:vAlign w:val="center"/>
          </w:tcPr>
          <w:p>
            <w:pPr>
              <w:spacing w:line="280" w:lineRule="exact"/>
              <w:jc w:val="center"/>
              <w:rPr>
                <w:rFonts w:ascii="仿宋_GB2312" w:hAnsi="宋体" w:eastAsia="仿宋_GB2312"/>
                <w:b/>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658" w:type="dxa"/>
            <w:vMerge w:val="continue"/>
            <w:vAlign w:val="center"/>
          </w:tcPr>
          <w:p>
            <w:pPr>
              <w:widowControl/>
              <w:jc w:val="left"/>
              <w:rPr>
                <w:rFonts w:ascii="仿宋_GB2312" w:hAnsi="宋体" w:eastAsia="仿宋_GB2312"/>
                <w:b/>
                <w:sz w:val="18"/>
                <w:szCs w:val="18"/>
                <w:highlight w:val="none"/>
              </w:rPr>
            </w:pPr>
          </w:p>
        </w:tc>
        <w:tc>
          <w:tcPr>
            <w:tcW w:w="997" w:type="dxa"/>
            <w:vMerge w:val="continue"/>
            <w:vAlign w:val="center"/>
          </w:tcPr>
          <w:p>
            <w:pPr>
              <w:widowControl/>
              <w:jc w:val="left"/>
              <w:rPr>
                <w:rFonts w:ascii="仿宋_GB2312" w:hAnsi="宋体" w:eastAsia="仿宋_GB2312"/>
                <w:b/>
                <w:sz w:val="18"/>
                <w:szCs w:val="18"/>
                <w:highlight w:val="none"/>
              </w:rPr>
            </w:pPr>
          </w:p>
        </w:tc>
        <w:tc>
          <w:tcPr>
            <w:tcW w:w="628" w:type="dxa"/>
            <w:gridSpan w:val="2"/>
            <w:vMerge w:val="continue"/>
            <w:vAlign w:val="center"/>
          </w:tcPr>
          <w:p>
            <w:pPr>
              <w:widowControl/>
              <w:jc w:val="left"/>
              <w:rPr>
                <w:rFonts w:ascii="仿宋_GB2312" w:hAnsi="宋体" w:eastAsia="仿宋_GB2312"/>
                <w:b/>
                <w:color w:val="000000"/>
                <w:sz w:val="18"/>
                <w:szCs w:val="18"/>
                <w:highlight w:val="none"/>
              </w:rPr>
            </w:pPr>
          </w:p>
        </w:tc>
        <w:tc>
          <w:tcPr>
            <w:tcW w:w="6621" w:type="dxa"/>
            <w:gridSpan w:val="3"/>
          </w:tcPr>
          <w:p>
            <w:pPr>
              <w:spacing w:line="280" w:lineRule="exact"/>
              <w:rPr>
                <w:rFonts w:ascii="仿宋_GB2312" w:hAnsi="宋体" w:eastAsia="仿宋_GB2312" w:cs="宋体"/>
                <w:color w:val="000000"/>
                <w:kern w:val="0"/>
                <w:sz w:val="18"/>
                <w:szCs w:val="18"/>
                <w:highlight w:val="none"/>
              </w:rPr>
            </w:pPr>
            <w:r>
              <w:rPr>
                <w:rFonts w:ascii="仿宋_GB2312" w:hAnsi="宋体" w:eastAsia="仿宋_GB2312" w:cs="宋体"/>
                <w:color w:val="000000"/>
                <w:kern w:val="0"/>
                <w:sz w:val="18"/>
                <w:szCs w:val="18"/>
                <w:highlight w:val="none"/>
              </w:rPr>
              <w:t>2.</w:t>
            </w:r>
            <w:r>
              <w:rPr>
                <w:rFonts w:hint="eastAsia" w:ascii="仿宋_GB2312" w:eastAsia="仿宋_GB2312"/>
                <w:color w:val="000000"/>
                <w:sz w:val="18"/>
                <w:szCs w:val="18"/>
                <w:highlight w:val="none"/>
              </w:rPr>
              <w:t>未对经批准设立的便民早点摊进行巡查管理，劝导经营业主认真落实摊点自治管理规定，每次扣</w:t>
            </w:r>
            <w:r>
              <w:rPr>
                <w:rFonts w:ascii="仿宋_GB2312" w:eastAsia="仿宋_GB2312"/>
                <w:color w:val="000000"/>
                <w:sz w:val="18"/>
                <w:szCs w:val="18"/>
                <w:highlight w:val="none"/>
              </w:rPr>
              <w:t>1</w:t>
            </w:r>
            <w:r>
              <w:rPr>
                <w:rFonts w:hint="eastAsia" w:ascii="仿宋_GB2312" w:eastAsia="仿宋_GB2312"/>
                <w:color w:val="000000"/>
                <w:sz w:val="18"/>
                <w:szCs w:val="18"/>
                <w:highlight w:val="none"/>
              </w:rPr>
              <w:t>分，摊位摆放无序，周边环境脏乱，每次扣</w:t>
            </w:r>
            <w:r>
              <w:rPr>
                <w:rFonts w:ascii="仿宋_GB2312" w:eastAsia="仿宋_GB2312"/>
                <w:color w:val="000000"/>
                <w:sz w:val="18"/>
                <w:szCs w:val="18"/>
                <w:highlight w:val="none"/>
              </w:rPr>
              <w:t>2</w:t>
            </w:r>
            <w:r>
              <w:rPr>
                <w:rFonts w:hint="eastAsia" w:ascii="仿宋_GB2312" w:eastAsia="仿宋_GB2312"/>
                <w:color w:val="000000"/>
                <w:sz w:val="18"/>
                <w:szCs w:val="18"/>
                <w:highlight w:val="none"/>
              </w:rPr>
              <w:t>分。</w:t>
            </w:r>
          </w:p>
        </w:tc>
        <w:tc>
          <w:tcPr>
            <w:tcW w:w="602" w:type="dxa"/>
            <w:vMerge w:val="continue"/>
            <w:vAlign w:val="center"/>
          </w:tcPr>
          <w:p>
            <w:pPr>
              <w:widowControl/>
              <w:jc w:val="left"/>
              <w:rPr>
                <w:rFonts w:ascii="仿宋_GB2312" w:hAnsi="宋体" w:eastAsia="仿宋_GB2312"/>
                <w:color w:val="000000"/>
                <w:sz w:val="18"/>
                <w:szCs w:val="18"/>
                <w:highlight w:val="none"/>
              </w:rPr>
            </w:pPr>
          </w:p>
        </w:tc>
        <w:tc>
          <w:tcPr>
            <w:tcW w:w="601" w:type="dxa"/>
            <w:vMerge w:val="continue"/>
            <w:vAlign w:val="center"/>
          </w:tcPr>
          <w:p>
            <w:pPr>
              <w:widowControl/>
              <w:jc w:val="center"/>
              <w:rPr>
                <w:rFonts w:ascii="仿宋_GB2312" w:hAnsi="宋体" w:eastAsia="仿宋_GB2312"/>
                <w:b/>
                <w:color w:val="000000"/>
                <w:sz w:val="18"/>
                <w:szCs w:val="18"/>
                <w:highlight w:val="none"/>
              </w:rPr>
            </w:pPr>
          </w:p>
        </w:tc>
        <w:tc>
          <w:tcPr>
            <w:tcW w:w="594" w:type="dxa"/>
            <w:vMerge w:val="continue"/>
            <w:vAlign w:val="center"/>
          </w:tcPr>
          <w:p>
            <w:pPr>
              <w:widowControl/>
              <w:jc w:val="center"/>
              <w:rPr>
                <w:rFonts w:ascii="仿宋_GB2312" w:hAnsi="宋体" w:eastAsia="仿宋_GB2312"/>
                <w:b/>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658" w:type="dxa"/>
            <w:vMerge w:val="continue"/>
            <w:vAlign w:val="center"/>
          </w:tcPr>
          <w:p>
            <w:pPr>
              <w:widowControl/>
              <w:jc w:val="left"/>
              <w:rPr>
                <w:rFonts w:ascii="仿宋_GB2312" w:hAnsi="宋体" w:eastAsia="仿宋_GB2312"/>
                <w:b/>
                <w:sz w:val="18"/>
                <w:szCs w:val="18"/>
                <w:highlight w:val="none"/>
              </w:rPr>
            </w:pPr>
          </w:p>
        </w:tc>
        <w:tc>
          <w:tcPr>
            <w:tcW w:w="997" w:type="dxa"/>
            <w:vMerge w:val="continue"/>
            <w:vAlign w:val="center"/>
          </w:tcPr>
          <w:p>
            <w:pPr>
              <w:widowControl/>
              <w:jc w:val="left"/>
              <w:rPr>
                <w:rFonts w:ascii="仿宋_GB2312" w:hAnsi="宋体" w:eastAsia="仿宋_GB2312"/>
                <w:b/>
                <w:sz w:val="18"/>
                <w:szCs w:val="18"/>
                <w:highlight w:val="none"/>
              </w:rPr>
            </w:pPr>
          </w:p>
        </w:tc>
        <w:tc>
          <w:tcPr>
            <w:tcW w:w="628" w:type="dxa"/>
            <w:gridSpan w:val="2"/>
            <w:vMerge w:val="restart"/>
            <w:vAlign w:val="center"/>
          </w:tcPr>
          <w:p>
            <w:pPr>
              <w:spacing w:line="280" w:lineRule="exact"/>
              <w:jc w:val="center"/>
              <w:rPr>
                <w:rFonts w:ascii="仿宋_GB2312" w:hAnsi="宋体" w:eastAsia="仿宋_GB2312"/>
                <w:b/>
                <w:color w:val="000000"/>
                <w:sz w:val="18"/>
                <w:szCs w:val="18"/>
                <w:highlight w:val="none"/>
              </w:rPr>
            </w:pPr>
            <w:r>
              <w:rPr>
                <w:rFonts w:hint="eastAsia" w:ascii="仿宋_GB2312" w:hAnsi="宋体" w:eastAsia="仿宋_GB2312"/>
                <w:b/>
                <w:color w:val="000000"/>
                <w:sz w:val="18"/>
                <w:szCs w:val="18"/>
                <w:highlight w:val="none"/>
              </w:rPr>
              <w:t>店铺管理</w:t>
            </w:r>
          </w:p>
        </w:tc>
        <w:tc>
          <w:tcPr>
            <w:tcW w:w="6621" w:type="dxa"/>
            <w:gridSpan w:val="3"/>
          </w:tcPr>
          <w:p>
            <w:pPr>
              <w:spacing w:line="280" w:lineRule="exact"/>
              <w:rPr>
                <w:rFonts w:ascii="仿宋_GB2312" w:hAnsi="宋体" w:eastAsia="仿宋_GB2312" w:cs="宋体"/>
                <w:color w:val="000000"/>
                <w:kern w:val="0"/>
                <w:sz w:val="18"/>
                <w:szCs w:val="18"/>
                <w:highlight w:val="none"/>
              </w:rPr>
            </w:pPr>
            <w:r>
              <w:rPr>
                <w:rFonts w:ascii="仿宋_GB2312" w:hAnsi="宋体" w:eastAsia="仿宋_GB2312" w:cs="宋体"/>
                <w:color w:val="000000"/>
                <w:kern w:val="0"/>
                <w:sz w:val="18"/>
                <w:szCs w:val="18"/>
                <w:highlight w:val="none"/>
              </w:rPr>
              <w:t>1.</w:t>
            </w:r>
            <w:r>
              <w:rPr>
                <w:rFonts w:hint="eastAsia" w:ascii="仿宋_GB2312" w:eastAsia="仿宋_GB2312"/>
                <w:color w:val="000000"/>
                <w:sz w:val="18"/>
                <w:szCs w:val="18"/>
                <w:highlight w:val="none"/>
              </w:rPr>
              <w:t>管理服务区域内的存在占道经营、店外作业的一次扣</w:t>
            </w:r>
            <w:r>
              <w:rPr>
                <w:rFonts w:ascii="仿宋_GB2312" w:eastAsia="仿宋_GB2312"/>
                <w:color w:val="000000"/>
                <w:sz w:val="18"/>
                <w:szCs w:val="18"/>
                <w:highlight w:val="none"/>
              </w:rPr>
              <w:t>2</w:t>
            </w:r>
            <w:r>
              <w:rPr>
                <w:rFonts w:hint="eastAsia" w:ascii="仿宋_GB2312" w:eastAsia="仿宋_GB2312"/>
                <w:color w:val="000000"/>
                <w:sz w:val="18"/>
                <w:szCs w:val="18"/>
                <w:highlight w:val="none"/>
              </w:rPr>
              <w:t>分</w:t>
            </w:r>
            <w:r>
              <w:rPr>
                <w:rFonts w:hint="eastAsia" w:ascii="仿宋_GB2312" w:hAnsi="宋体" w:eastAsia="仿宋_GB2312" w:cs="宋体"/>
                <w:color w:val="000000"/>
                <w:kern w:val="0"/>
                <w:sz w:val="18"/>
                <w:szCs w:val="18"/>
                <w:highlight w:val="none"/>
              </w:rPr>
              <w:t>。</w:t>
            </w:r>
          </w:p>
        </w:tc>
        <w:tc>
          <w:tcPr>
            <w:tcW w:w="602" w:type="dxa"/>
            <w:vMerge w:val="continue"/>
            <w:vAlign w:val="center"/>
          </w:tcPr>
          <w:p>
            <w:pPr>
              <w:widowControl/>
              <w:jc w:val="left"/>
              <w:rPr>
                <w:rFonts w:ascii="仿宋_GB2312" w:hAnsi="宋体" w:eastAsia="仿宋_GB2312"/>
                <w:color w:val="000000"/>
                <w:sz w:val="18"/>
                <w:szCs w:val="18"/>
                <w:highlight w:val="none"/>
              </w:rPr>
            </w:pPr>
          </w:p>
        </w:tc>
        <w:tc>
          <w:tcPr>
            <w:tcW w:w="601" w:type="dxa"/>
            <w:vMerge w:val="continue"/>
            <w:vAlign w:val="center"/>
          </w:tcPr>
          <w:p>
            <w:pPr>
              <w:widowControl/>
              <w:jc w:val="center"/>
              <w:rPr>
                <w:rFonts w:ascii="仿宋_GB2312" w:hAnsi="宋体" w:eastAsia="仿宋_GB2312"/>
                <w:b/>
                <w:color w:val="000000"/>
                <w:sz w:val="18"/>
                <w:szCs w:val="18"/>
                <w:highlight w:val="none"/>
              </w:rPr>
            </w:pPr>
          </w:p>
        </w:tc>
        <w:tc>
          <w:tcPr>
            <w:tcW w:w="594" w:type="dxa"/>
            <w:vMerge w:val="continue"/>
            <w:vAlign w:val="center"/>
          </w:tcPr>
          <w:p>
            <w:pPr>
              <w:widowControl/>
              <w:jc w:val="center"/>
              <w:rPr>
                <w:rFonts w:ascii="仿宋_GB2312" w:hAnsi="宋体" w:eastAsia="仿宋_GB2312"/>
                <w:b/>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58" w:type="dxa"/>
            <w:vMerge w:val="continue"/>
            <w:vAlign w:val="center"/>
          </w:tcPr>
          <w:p>
            <w:pPr>
              <w:widowControl/>
              <w:jc w:val="left"/>
              <w:rPr>
                <w:rFonts w:ascii="仿宋_GB2312" w:hAnsi="宋体" w:eastAsia="仿宋_GB2312"/>
                <w:b/>
                <w:sz w:val="18"/>
                <w:szCs w:val="18"/>
                <w:highlight w:val="none"/>
              </w:rPr>
            </w:pPr>
          </w:p>
        </w:tc>
        <w:tc>
          <w:tcPr>
            <w:tcW w:w="997" w:type="dxa"/>
            <w:vMerge w:val="continue"/>
            <w:vAlign w:val="center"/>
          </w:tcPr>
          <w:p>
            <w:pPr>
              <w:widowControl/>
              <w:jc w:val="left"/>
              <w:rPr>
                <w:rFonts w:ascii="仿宋_GB2312" w:hAnsi="宋体" w:eastAsia="仿宋_GB2312"/>
                <w:b/>
                <w:sz w:val="18"/>
                <w:szCs w:val="18"/>
                <w:highlight w:val="none"/>
              </w:rPr>
            </w:pPr>
          </w:p>
        </w:tc>
        <w:tc>
          <w:tcPr>
            <w:tcW w:w="628" w:type="dxa"/>
            <w:gridSpan w:val="2"/>
            <w:vMerge w:val="continue"/>
            <w:vAlign w:val="center"/>
          </w:tcPr>
          <w:p>
            <w:pPr>
              <w:widowControl/>
              <w:jc w:val="left"/>
              <w:rPr>
                <w:rFonts w:ascii="仿宋_GB2312" w:hAnsi="宋体" w:eastAsia="仿宋_GB2312"/>
                <w:b/>
                <w:color w:val="000000"/>
                <w:sz w:val="18"/>
                <w:szCs w:val="18"/>
                <w:highlight w:val="none"/>
              </w:rPr>
            </w:pPr>
          </w:p>
        </w:tc>
        <w:tc>
          <w:tcPr>
            <w:tcW w:w="6621" w:type="dxa"/>
            <w:gridSpan w:val="3"/>
          </w:tcPr>
          <w:p>
            <w:pPr>
              <w:spacing w:line="280" w:lineRule="exact"/>
              <w:rPr>
                <w:rFonts w:ascii="仿宋_GB2312" w:hAnsi="宋体" w:eastAsia="仿宋_GB2312" w:cs="宋体"/>
                <w:color w:val="000000"/>
                <w:kern w:val="0"/>
                <w:sz w:val="18"/>
                <w:szCs w:val="18"/>
                <w:highlight w:val="none"/>
              </w:rPr>
            </w:pPr>
            <w:r>
              <w:rPr>
                <w:rFonts w:ascii="仿宋_GB2312" w:hAnsi="宋体" w:eastAsia="仿宋_GB2312" w:cs="宋体"/>
                <w:color w:val="000000"/>
                <w:kern w:val="0"/>
                <w:sz w:val="18"/>
                <w:szCs w:val="18"/>
                <w:highlight w:val="none"/>
              </w:rPr>
              <w:t>2.</w:t>
            </w:r>
            <w:r>
              <w:rPr>
                <w:rFonts w:hint="eastAsia" w:ascii="仿宋_GB2312" w:eastAsia="仿宋_GB2312"/>
                <w:color w:val="000000"/>
                <w:sz w:val="18"/>
                <w:szCs w:val="18"/>
                <w:highlight w:val="none"/>
              </w:rPr>
              <w:t>管理区域存在乱堆乱放、乱搭乱建、乱扔乱倒、乱拉乱挂、乱晾乱晒、乱贴乱写等影响市容环境卫生的“十乱”不良行为</w:t>
            </w:r>
            <w:r>
              <w:rPr>
                <w:rFonts w:hint="eastAsia" w:ascii="仿宋_GB2312" w:hAnsi="宋体" w:eastAsia="仿宋_GB2312" w:cs="宋体"/>
                <w:color w:val="000000"/>
                <w:kern w:val="0"/>
                <w:sz w:val="18"/>
                <w:szCs w:val="18"/>
                <w:highlight w:val="none"/>
              </w:rPr>
              <w:t>，每次扣</w:t>
            </w:r>
            <w:r>
              <w:rPr>
                <w:rFonts w:ascii="仿宋_GB2312" w:hAnsi="宋体" w:eastAsia="仿宋_GB2312" w:cs="宋体"/>
                <w:color w:val="000000"/>
                <w:kern w:val="0"/>
                <w:sz w:val="18"/>
                <w:szCs w:val="18"/>
                <w:highlight w:val="none"/>
              </w:rPr>
              <w:t>1</w:t>
            </w:r>
            <w:r>
              <w:rPr>
                <w:rFonts w:hint="eastAsia" w:ascii="仿宋_GB2312" w:hAnsi="宋体" w:eastAsia="仿宋_GB2312" w:cs="宋体"/>
                <w:color w:val="000000"/>
                <w:kern w:val="0"/>
                <w:sz w:val="18"/>
                <w:szCs w:val="18"/>
                <w:highlight w:val="none"/>
              </w:rPr>
              <w:t>分。</w:t>
            </w:r>
          </w:p>
        </w:tc>
        <w:tc>
          <w:tcPr>
            <w:tcW w:w="602" w:type="dxa"/>
            <w:vMerge w:val="continue"/>
            <w:vAlign w:val="center"/>
          </w:tcPr>
          <w:p>
            <w:pPr>
              <w:widowControl/>
              <w:jc w:val="left"/>
              <w:rPr>
                <w:rFonts w:ascii="仿宋_GB2312" w:hAnsi="宋体" w:eastAsia="仿宋_GB2312"/>
                <w:color w:val="000000"/>
                <w:sz w:val="18"/>
                <w:szCs w:val="18"/>
                <w:highlight w:val="none"/>
              </w:rPr>
            </w:pPr>
          </w:p>
        </w:tc>
        <w:tc>
          <w:tcPr>
            <w:tcW w:w="601" w:type="dxa"/>
            <w:vMerge w:val="continue"/>
            <w:vAlign w:val="center"/>
          </w:tcPr>
          <w:p>
            <w:pPr>
              <w:widowControl/>
              <w:jc w:val="center"/>
              <w:rPr>
                <w:rFonts w:ascii="仿宋_GB2312" w:hAnsi="宋体" w:eastAsia="仿宋_GB2312"/>
                <w:b/>
                <w:color w:val="000000"/>
                <w:sz w:val="18"/>
                <w:szCs w:val="18"/>
                <w:highlight w:val="none"/>
              </w:rPr>
            </w:pPr>
          </w:p>
        </w:tc>
        <w:tc>
          <w:tcPr>
            <w:tcW w:w="594" w:type="dxa"/>
            <w:vMerge w:val="continue"/>
            <w:vAlign w:val="center"/>
          </w:tcPr>
          <w:p>
            <w:pPr>
              <w:widowControl/>
              <w:jc w:val="center"/>
              <w:rPr>
                <w:rFonts w:ascii="仿宋_GB2312" w:hAnsi="宋体" w:eastAsia="仿宋_GB2312"/>
                <w:b/>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58" w:type="dxa"/>
            <w:vMerge w:val="continue"/>
            <w:vAlign w:val="center"/>
          </w:tcPr>
          <w:p>
            <w:pPr>
              <w:widowControl/>
              <w:jc w:val="left"/>
              <w:rPr>
                <w:rFonts w:ascii="仿宋_GB2312" w:hAnsi="宋体" w:eastAsia="仿宋_GB2312"/>
                <w:b/>
                <w:sz w:val="18"/>
                <w:szCs w:val="18"/>
                <w:highlight w:val="none"/>
              </w:rPr>
            </w:pPr>
          </w:p>
        </w:tc>
        <w:tc>
          <w:tcPr>
            <w:tcW w:w="997" w:type="dxa"/>
            <w:vMerge w:val="continue"/>
            <w:vAlign w:val="center"/>
          </w:tcPr>
          <w:p>
            <w:pPr>
              <w:widowControl/>
              <w:jc w:val="left"/>
              <w:rPr>
                <w:rFonts w:ascii="仿宋_GB2312" w:hAnsi="宋体" w:eastAsia="仿宋_GB2312"/>
                <w:b/>
                <w:sz w:val="18"/>
                <w:szCs w:val="18"/>
                <w:highlight w:val="none"/>
              </w:rPr>
            </w:pPr>
          </w:p>
        </w:tc>
        <w:tc>
          <w:tcPr>
            <w:tcW w:w="628" w:type="dxa"/>
            <w:gridSpan w:val="2"/>
            <w:vMerge w:val="continue"/>
            <w:vAlign w:val="center"/>
          </w:tcPr>
          <w:p>
            <w:pPr>
              <w:widowControl/>
              <w:jc w:val="left"/>
              <w:rPr>
                <w:rFonts w:ascii="仿宋_GB2312" w:hAnsi="宋体" w:eastAsia="仿宋_GB2312"/>
                <w:b/>
                <w:color w:val="000000"/>
                <w:sz w:val="18"/>
                <w:szCs w:val="18"/>
                <w:highlight w:val="none"/>
              </w:rPr>
            </w:pPr>
          </w:p>
        </w:tc>
        <w:tc>
          <w:tcPr>
            <w:tcW w:w="6621" w:type="dxa"/>
            <w:gridSpan w:val="3"/>
          </w:tcPr>
          <w:p>
            <w:pPr>
              <w:spacing w:line="280" w:lineRule="exact"/>
              <w:rPr>
                <w:rFonts w:ascii="仿宋_GB2312" w:hAnsi="宋体" w:eastAsia="仿宋_GB2312" w:cs="宋体"/>
                <w:color w:val="000000"/>
                <w:kern w:val="0"/>
                <w:sz w:val="18"/>
                <w:szCs w:val="18"/>
                <w:highlight w:val="none"/>
              </w:rPr>
            </w:pPr>
            <w:r>
              <w:rPr>
                <w:rFonts w:ascii="仿宋_GB2312" w:hAnsi="宋体" w:eastAsia="仿宋_GB2312" w:cs="宋体"/>
                <w:color w:val="000000"/>
                <w:kern w:val="0"/>
                <w:sz w:val="18"/>
                <w:szCs w:val="18"/>
                <w:highlight w:val="none"/>
              </w:rPr>
              <w:t>3.</w:t>
            </w:r>
            <w:r>
              <w:rPr>
                <w:rFonts w:hint="eastAsia" w:ascii="仿宋_GB2312" w:eastAsia="仿宋_GB2312"/>
                <w:color w:val="000000"/>
                <w:sz w:val="18"/>
                <w:szCs w:val="18"/>
                <w:highlight w:val="none"/>
              </w:rPr>
              <w:t>未对沿街户外广告、招牌、宣传咨询店进行巡查，出现破旧损坏、未批先设或不按审批要求设置的灯箱、招牌、条幅、宣传点等现象时，每次扣</w:t>
            </w:r>
            <w:r>
              <w:rPr>
                <w:rFonts w:ascii="仿宋_GB2312" w:eastAsia="仿宋_GB2312"/>
                <w:color w:val="000000"/>
                <w:sz w:val="18"/>
                <w:szCs w:val="18"/>
                <w:highlight w:val="none"/>
              </w:rPr>
              <w:t>1</w:t>
            </w:r>
            <w:r>
              <w:rPr>
                <w:rFonts w:hint="eastAsia" w:ascii="仿宋_GB2312" w:eastAsia="仿宋_GB2312"/>
                <w:color w:val="000000"/>
                <w:sz w:val="18"/>
                <w:szCs w:val="18"/>
                <w:highlight w:val="none"/>
              </w:rPr>
              <w:t>分。未立即劝阻，并没有及时报告城市管理部门的，每次扣</w:t>
            </w:r>
            <w:r>
              <w:rPr>
                <w:rFonts w:ascii="仿宋_GB2312" w:eastAsia="仿宋_GB2312"/>
                <w:color w:val="000000"/>
                <w:sz w:val="18"/>
                <w:szCs w:val="18"/>
                <w:highlight w:val="none"/>
              </w:rPr>
              <w:t>2</w:t>
            </w:r>
            <w:r>
              <w:rPr>
                <w:rFonts w:hint="eastAsia" w:ascii="仿宋_GB2312" w:eastAsia="仿宋_GB2312"/>
                <w:color w:val="000000"/>
                <w:sz w:val="18"/>
                <w:szCs w:val="18"/>
                <w:highlight w:val="none"/>
              </w:rPr>
              <w:t>分。</w:t>
            </w:r>
          </w:p>
        </w:tc>
        <w:tc>
          <w:tcPr>
            <w:tcW w:w="602" w:type="dxa"/>
            <w:vMerge w:val="continue"/>
            <w:vAlign w:val="center"/>
          </w:tcPr>
          <w:p>
            <w:pPr>
              <w:widowControl/>
              <w:jc w:val="left"/>
              <w:rPr>
                <w:rFonts w:ascii="仿宋_GB2312" w:hAnsi="宋体" w:eastAsia="仿宋_GB2312"/>
                <w:color w:val="000000"/>
                <w:sz w:val="18"/>
                <w:szCs w:val="18"/>
                <w:highlight w:val="none"/>
              </w:rPr>
            </w:pPr>
          </w:p>
        </w:tc>
        <w:tc>
          <w:tcPr>
            <w:tcW w:w="601" w:type="dxa"/>
            <w:vMerge w:val="continue"/>
            <w:vAlign w:val="center"/>
          </w:tcPr>
          <w:p>
            <w:pPr>
              <w:widowControl/>
              <w:jc w:val="center"/>
              <w:rPr>
                <w:rFonts w:ascii="仿宋_GB2312" w:hAnsi="宋体" w:eastAsia="仿宋_GB2312"/>
                <w:b/>
                <w:color w:val="000000"/>
                <w:sz w:val="18"/>
                <w:szCs w:val="18"/>
                <w:highlight w:val="none"/>
              </w:rPr>
            </w:pPr>
          </w:p>
        </w:tc>
        <w:tc>
          <w:tcPr>
            <w:tcW w:w="594" w:type="dxa"/>
            <w:vMerge w:val="continue"/>
            <w:vAlign w:val="center"/>
          </w:tcPr>
          <w:p>
            <w:pPr>
              <w:widowControl/>
              <w:jc w:val="center"/>
              <w:rPr>
                <w:rFonts w:ascii="仿宋_GB2312" w:hAnsi="宋体" w:eastAsia="仿宋_GB2312"/>
                <w:b/>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 w:hRule="atLeast"/>
          <w:jc w:val="center"/>
        </w:trPr>
        <w:tc>
          <w:tcPr>
            <w:tcW w:w="658" w:type="dxa"/>
            <w:vMerge w:val="continue"/>
            <w:vAlign w:val="center"/>
          </w:tcPr>
          <w:p>
            <w:pPr>
              <w:widowControl/>
              <w:jc w:val="left"/>
              <w:rPr>
                <w:rFonts w:ascii="仿宋_GB2312" w:hAnsi="宋体" w:eastAsia="仿宋_GB2312"/>
                <w:b/>
                <w:sz w:val="18"/>
                <w:szCs w:val="18"/>
                <w:highlight w:val="none"/>
              </w:rPr>
            </w:pPr>
          </w:p>
        </w:tc>
        <w:tc>
          <w:tcPr>
            <w:tcW w:w="997" w:type="dxa"/>
            <w:vMerge w:val="continue"/>
            <w:vAlign w:val="center"/>
          </w:tcPr>
          <w:p>
            <w:pPr>
              <w:widowControl/>
              <w:jc w:val="left"/>
              <w:rPr>
                <w:rFonts w:ascii="仿宋_GB2312" w:hAnsi="宋体" w:eastAsia="仿宋_GB2312"/>
                <w:b/>
                <w:sz w:val="18"/>
                <w:szCs w:val="18"/>
                <w:highlight w:val="none"/>
              </w:rPr>
            </w:pPr>
          </w:p>
        </w:tc>
        <w:tc>
          <w:tcPr>
            <w:tcW w:w="628" w:type="dxa"/>
            <w:gridSpan w:val="2"/>
            <w:vMerge w:val="restart"/>
            <w:vAlign w:val="center"/>
          </w:tcPr>
          <w:p>
            <w:pPr>
              <w:spacing w:line="280" w:lineRule="exact"/>
              <w:jc w:val="center"/>
              <w:rPr>
                <w:rFonts w:ascii="仿宋_GB2312" w:hAnsi="宋体" w:eastAsia="仿宋_GB2312"/>
                <w:b/>
                <w:color w:val="000000"/>
                <w:sz w:val="18"/>
                <w:szCs w:val="18"/>
                <w:highlight w:val="none"/>
              </w:rPr>
            </w:pPr>
            <w:r>
              <w:rPr>
                <w:rFonts w:hint="eastAsia" w:ascii="仿宋_GB2312" w:hAnsi="宋体" w:eastAsia="仿宋_GB2312"/>
                <w:b/>
                <w:color w:val="000000"/>
                <w:sz w:val="18"/>
                <w:szCs w:val="18"/>
                <w:highlight w:val="none"/>
              </w:rPr>
              <w:t>停车管理</w:t>
            </w:r>
          </w:p>
        </w:tc>
        <w:tc>
          <w:tcPr>
            <w:tcW w:w="6621" w:type="dxa"/>
            <w:gridSpan w:val="3"/>
          </w:tcPr>
          <w:p>
            <w:pPr>
              <w:spacing w:line="280" w:lineRule="exact"/>
              <w:rPr>
                <w:rFonts w:ascii="仿宋_GB2312" w:hAnsi="宋体" w:eastAsia="仿宋_GB2312" w:cs="宋体"/>
                <w:color w:val="000000"/>
                <w:kern w:val="0"/>
                <w:sz w:val="18"/>
                <w:szCs w:val="18"/>
                <w:highlight w:val="none"/>
              </w:rPr>
            </w:pPr>
            <w:r>
              <w:rPr>
                <w:rFonts w:ascii="仿宋_GB2312" w:hAnsi="宋体" w:eastAsia="仿宋_GB2312" w:cs="宋体"/>
                <w:color w:val="000000"/>
                <w:kern w:val="0"/>
                <w:sz w:val="18"/>
                <w:szCs w:val="18"/>
                <w:highlight w:val="none"/>
              </w:rPr>
              <w:t>1.</w:t>
            </w:r>
            <w:r>
              <w:rPr>
                <w:rFonts w:hint="eastAsia" w:ascii="仿宋_GB2312" w:eastAsia="仿宋_GB2312"/>
                <w:color w:val="000000"/>
                <w:sz w:val="18"/>
                <w:szCs w:val="18"/>
                <w:highlight w:val="none"/>
              </w:rPr>
              <w:t>管理时间内，服务区域，人行道机动车未停放入“位”，每次扣</w:t>
            </w:r>
            <w:r>
              <w:rPr>
                <w:rFonts w:ascii="仿宋_GB2312" w:eastAsia="仿宋_GB2312"/>
                <w:color w:val="000000"/>
                <w:sz w:val="18"/>
                <w:szCs w:val="18"/>
                <w:highlight w:val="none"/>
              </w:rPr>
              <w:t>1</w:t>
            </w:r>
            <w:r>
              <w:rPr>
                <w:rFonts w:hint="eastAsia" w:ascii="仿宋_GB2312" w:eastAsia="仿宋_GB2312"/>
                <w:color w:val="000000"/>
                <w:sz w:val="18"/>
                <w:szCs w:val="18"/>
                <w:highlight w:val="none"/>
              </w:rPr>
              <w:t>分</w:t>
            </w:r>
          </w:p>
        </w:tc>
        <w:tc>
          <w:tcPr>
            <w:tcW w:w="602" w:type="dxa"/>
            <w:vMerge w:val="continue"/>
            <w:vAlign w:val="center"/>
          </w:tcPr>
          <w:p>
            <w:pPr>
              <w:widowControl/>
              <w:jc w:val="left"/>
              <w:rPr>
                <w:rFonts w:ascii="仿宋_GB2312" w:hAnsi="宋体" w:eastAsia="仿宋_GB2312"/>
                <w:color w:val="000000"/>
                <w:sz w:val="18"/>
                <w:szCs w:val="18"/>
                <w:highlight w:val="none"/>
              </w:rPr>
            </w:pPr>
          </w:p>
        </w:tc>
        <w:tc>
          <w:tcPr>
            <w:tcW w:w="601" w:type="dxa"/>
            <w:vMerge w:val="continue"/>
            <w:vAlign w:val="center"/>
          </w:tcPr>
          <w:p>
            <w:pPr>
              <w:widowControl/>
              <w:jc w:val="center"/>
              <w:rPr>
                <w:rFonts w:ascii="仿宋_GB2312" w:hAnsi="宋体" w:eastAsia="仿宋_GB2312"/>
                <w:b/>
                <w:color w:val="000000"/>
                <w:sz w:val="18"/>
                <w:szCs w:val="18"/>
                <w:highlight w:val="none"/>
              </w:rPr>
            </w:pPr>
          </w:p>
        </w:tc>
        <w:tc>
          <w:tcPr>
            <w:tcW w:w="594" w:type="dxa"/>
            <w:vMerge w:val="continue"/>
            <w:vAlign w:val="center"/>
          </w:tcPr>
          <w:p>
            <w:pPr>
              <w:widowControl/>
              <w:jc w:val="center"/>
              <w:rPr>
                <w:rFonts w:ascii="仿宋_GB2312" w:hAnsi="宋体" w:eastAsia="仿宋_GB2312"/>
                <w:b/>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658" w:type="dxa"/>
            <w:vMerge w:val="continue"/>
            <w:vAlign w:val="center"/>
          </w:tcPr>
          <w:p>
            <w:pPr>
              <w:widowControl/>
              <w:jc w:val="left"/>
              <w:rPr>
                <w:rFonts w:ascii="仿宋_GB2312" w:hAnsi="宋体" w:eastAsia="仿宋_GB2312"/>
                <w:b/>
                <w:sz w:val="18"/>
                <w:szCs w:val="18"/>
                <w:highlight w:val="none"/>
              </w:rPr>
            </w:pPr>
          </w:p>
        </w:tc>
        <w:tc>
          <w:tcPr>
            <w:tcW w:w="997" w:type="dxa"/>
            <w:vMerge w:val="continue"/>
            <w:vAlign w:val="center"/>
          </w:tcPr>
          <w:p>
            <w:pPr>
              <w:widowControl/>
              <w:jc w:val="left"/>
              <w:rPr>
                <w:rFonts w:ascii="仿宋_GB2312" w:hAnsi="宋体" w:eastAsia="仿宋_GB2312"/>
                <w:b/>
                <w:sz w:val="18"/>
                <w:szCs w:val="18"/>
                <w:highlight w:val="none"/>
              </w:rPr>
            </w:pPr>
          </w:p>
        </w:tc>
        <w:tc>
          <w:tcPr>
            <w:tcW w:w="628" w:type="dxa"/>
            <w:gridSpan w:val="2"/>
            <w:vMerge w:val="continue"/>
            <w:vAlign w:val="center"/>
          </w:tcPr>
          <w:p>
            <w:pPr>
              <w:widowControl/>
              <w:jc w:val="left"/>
              <w:rPr>
                <w:rFonts w:ascii="仿宋_GB2312" w:hAnsi="宋体" w:eastAsia="仿宋_GB2312"/>
                <w:b/>
                <w:color w:val="000000"/>
                <w:sz w:val="18"/>
                <w:szCs w:val="18"/>
                <w:highlight w:val="none"/>
              </w:rPr>
            </w:pPr>
          </w:p>
        </w:tc>
        <w:tc>
          <w:tcPr>
            <w:tcW w:w="6621" w:type="dxa"/>
            <w:gridSpan w:val="3"/>
          </w:tcPr>
          <w:p>
            <w:pPr>
              <w:spacing w:line="280" w:lineRule="exact"/>
              <w:rPr>
                <w:rFonts w:ascii="仿宋_GB2312" w:hAnsi="宋体" w:eastAsia="仿宋_GB2312" w:cs="宋体"/>
                <w:color w:val="000000"/>
                <w:kern w:val="0"/>
                <w:sz w:val="18"/>
                <w:szCs w:val="18"/>
                <w:highlight w:val="none"/>
              </w:rPr>
            </w:pPr>
            <w:r>
              <w:rPr>
                <w:rFonts w:ascii="仿宋_GB2312" w:hAnsi="宋体" w:eastAsia="仿宋_GB2312" w:cs="宋体"/>
                <w:color w:val="000000"/>
                <w:kern w:val="0"/>
                <w:sz w:val="18"/>
                <w:szCs w:val="18"/>
                <w:highlight w:val="none"/>
              </w:rPr>
              <w:t>2.</w:t>
            </w:r>
            <w:r>
              <w:rPr>
                <w:rFonts w:hint="eastAsia" w:ascii="仿宋_GB2312" w:eastAsia="仿宋_GB2312"/>
                <w:color w:val="000000"/>
                <w:sz w:val="18"/>
                <w:szCs w:val="18"/>
                <w:highlight w:val="none"/>
              </w:rPr>
              <w:t>管理时间内，服务区域，人行道非机动车停放无序，每次扣</w:t>
            </w:r>
            <w:r>
              <w:rPr>
                <w:rFonts w:ascii="仿宋_GB2312" w:eastAsia="仿宋_GB2312"/>
                <w:color w:val="000000"/>
                <w:sz w:val="18"/>
                <w:szCs w:val="18"/>
                <w:highlight w:val="none"/>
              </w:rPr>
              <w:t>1</w:t>
            </w:r>
            <w:r>
              <w:rPr>
                <w:rFonts w:hint="eastAsia" w:ascii="仿宋_GB2312" w:eastAsia="仿宋_GB2312"/>
                <w:color w:val="000000"/>
                <w:sz w:val="18"/>
                <w:szCs w:val="18"/>
                <w:highlight w:val="none"/>
              </w:rPr>
              <w:t>分。</w:t>
            </w:r>
          </w:p>
        </w:tc>
        <w:tc>
          <w:tcPr>
            <w:tcW w:w="602" w:type="dxa"/>
            <w:vMerge w:val="continue"/>
            <w:vAlign w:val="center"/>
          </w:tcPr>
          <w:p>
            <w:pPr>
              <w:widowControl/>
              <w:jc w:val="left"/>
              <w:rPr>
                <w:rFonts w:ascii="仿宋_GB2312" w:hAnsi="宋体" w:eastAsia="仿宋_GB2312"/>
                <w:color w:val="000000"/>
                <w:sz w:val="18"/>
                <w:szCs w:val="18"/>
                <w:highlight w:val="none"/>
              </w:rPr>
            </w:pPr>
          </w:p>
        </w:tc>
        <w:tc>
          <w:tcPr>
            <w:tcW w:w="601" w:type="dxa"/>
            <w:vMerge w:val="continue"/>
            <w:vAlign w:val="center"/>
          </w:tcPr>
          <w:p>
            <w:pPr>
              <w:widowControl/>
              <w:jc w:val="center"/>
              <w:rPr>
                <w:rFonts w:ascii="仿宋_GB2312" w:hAnsi="宋体" w:eastAsia="仿宋_GB2312"/>
                <w:b/>
                <w:color w:val="000000"/>
                <w:sz w:val="18"/>
                <w:szCs w:val="18"/>
                <w:highlight w:val="none"/>
              </w:rPr>
            </w:pPr>
          </w:p>
        </w:tc>
        <w:tc>
          <w:tcPr>
            <w:tcW w:w="594" w:type="dxa"/>
            <w:vMerge w:val="continue"/>
            <w:vAlign w:val="center"/>
          </w:tcPr>
          <w:p>
            <w:pPr>
              <w:widowControl/>
              <w:jc w:val="center"/>
              <w:rPr>
                <w:rFonts w:ascii="仿宋_GB2312" w:hAnsi="宋体" w:eastAsia="仿宋_GB2312"/>
                <w:b/>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58" w:type="dxa"/>
            <w:vMerge w:val="continue"/>
            <w:vAlign w:val="center"/>
          </w:tcPr>
          <w:p>
            <w:pPr>
              <w:widowControl/>
              <w:jc w:val="left"/>
              <w:rPr>
                <w:rFonts w:ascii="仿宋_GB2312" w:hAnsi="宋体" w:eastAsia="仿宋_GB2312"/>
                <w:b/>
                <w:sz w:val="18"/>
                <w:szCs w:val="18"/>
                <w:highlight w:val="none"/>
              </w:rPr>
            </w:pPr>
          </w:p>
        </w:tc>
        <w:tc>
          <w:tcPr>
            <w:tcW w:w="997" w:type="dxa"/>
            <w:vMerge w:val="continue"/>
            <w:vAlign w:val="center"/>
          </w:tcPr>
          <w:p>
            <w:pPr>
              <w:widowControl/>
              <w:jc w:val="left"/>
              <w:rPr>
                <w:rFonts w:ascii="仿宋_GB2312" w:hAnsi="宋体" w:eastAsia="仿宋_GB2312"/>
                <w:b/>
                <w:sz w:val="18"/>
                <w:szCs w:val="18"/>
                <w:highlight w:val="none"/>
              </w:rPr>
            </w:pPr>
          </w:p>
        </w:tc>
        <w:tc>
          <w:tcPr>
            <w:tcW w:w="628" w:type="dxa"/>
            <w:gridSpan w:val="2"/>
            <w:vMerge w:val="restart"/>
            <w:vAlign w:val="center"/>
          </w:tcPr>
          <w:p>
            <w:pPr>
              <w:spacing w:line="280" w:lineRule="exact"/>
              <w:jc w:val="center"/>
              <w:rPr>
                <w:rFonts w:ascii="仿宋_GB2312" w:hAnsi="宋体" w:eastAsia="仿宋_GB2312"/>
                <w:b/>
                <w:color w:val="000000"/>
                <w:sz w:val="18"/>
                <w:szCs w:val="18"/>
                <w:highlight w:val="none"/>
              </w:rPr>
            </w:pPr>
            <w:r>
              <w:rPr>
                <w:rFonts w:hint="eastAsia" w:ascii="仿宋_GB2312" w:hAnsi="宋体" w:eastAsia="仿宋_GB2312"/>
                <w:b/>
                <w:color w:val="000000"/>
                <w:sz w:val="18"/>
                <w:szCs w:val="18"/>
                <w:highlight w:val="none"/>
              </w:rPr>
              <w:t>安全管理</w:t>
            </w:r>
          </w:p>
        </w:tc>
        <w:tc>
          <w:tcPr>
            <w:tcW w:w="6621" w:type="dxa"/>
            <w:gridSpan w:val="3"/>
            <w:vAlign w:val="top"/>
          </w:tcPr>
          <w:p>
            <w:pPr>
              <w:spacing w:line="280" w:lineRule="exact"/>
              <w:rPr>
                <w:rFonts w:ascii="仿宋_GB2312" w:hAnsi="宋体" w:eastAsia="仿宋_GB2312" w:cs="宋体"/>
                <w:color w:val="000000"/>
                <w:kern w:val="0"/>
                <w:sz w:val="18"/>
                <w:szCs w:val="18"/>
                <w:highlight w:val="none"/>
              </w:rPr>
            </w:pPr>
            <w:r>
              <w:rPr>
                <w:rFonts w:ascii="仿宋_GB2312" w:hAnsi="宋体" w:eastAsia="仿宋_GB2312" w:cs="宋体"/>
                <w:color w:val="000000"/>
                <w:kern w:val="0"/>
                <w:sz w:val="18"/>
                <w:szCs w:val="18"/>
                <w:highlight w:val="none"/>
              </w:rPr>
              <w:t>1.</w:t>
            </w:r>
            <w:r>
              <w:rPr>
                <w:rFonts w:hint="eastAsia" w:ascii="仿宋_GB2312" w:eastAsia="仿宋_GB2312"/>
                <w:color w:val="000000"/>
                <w:sz w:val="18"/>
                <w:szCs w:val="18"/>
                <w:highlight w:val="none"/>
              </w:rPr>
              <w:t>管理服务区域内存在车辆抛洒、开墙破路、占道施工，焚烧垃圾，破坏绿化等违法违章现象，未及时劝导、制止、上报的每次扣</w:t>
            </w:r>
            <w:r>
              <w:rPr>
                <w:rFonts w:ascii="仿宋_GB2312" w:eastAsia="仿宋_GB2312"/>
                <w:color w:val="000000"/>
                <w:sz w:val="18"/>
                <w:szCs w:val="18"/>
                <w:highlight w:val="none"/>
              </w:rPr>
              <w:t>2</w:t>
            </w:r>
            <w:r>
              <w:rPr>
                <w:rFonts w:hint="eastAsia" w:ascii="仿宋_GB2312" w:eastAsia="仿宋_GB2312"/>
                <w:color w:val="000000"/>
                <w:sz w:val="18"/>
                <w:szCs w:val="18"/>
                <w:highlight w:val="none"/>
              </w:rPr>
              <w:t>分。</w:t>
            </w:r>
          </w:p>
        </w:tc>
        <w:tc>
          <w:tcPr>
            <w:tcW w:w="602" w:type="dxa"/>
            <w:vMerge w:val="continue"/>
            <w:vAlign w:val="center"/>
          </w:tcPr>
          <w:p>
            <w:pPr>
              <w:widowControl/>
              <w:jc w:val="left"/>
              <w:rPr>
                <w:rFonts w:ascii="仿宋_GB2312" w:hAnsi="宋体" w:eastAsia="仿宋_GB2312"/>
                <w:color w:val="000000"/>
                <w:sz w:val="18"/>
                <w:szCs w:val="18"/>
                <w:highlight w:val="none"/>
              </w:rPr>
            </w:pPr>
          </w:p>
        </w:tc>
        <w:tc>
          <w:tcPr>
            <w:tcW w:w="601" w:type="dxa"/>
            <w:vMerge w:val="continue"/>
            <w:vAlign w:val="center"/>
          </w:tcPr>
          <w:p>
            <w:pPr>
              <w:widowControl/>
              <w:jc w:val="center"/>
              <w:rPr>
                <w:rFonts w:ascii="仿宋_GB2312" w:hAnsi="宋体" w:eastAsia="仿宋_GB2312"/>
                <w:b/>
                <w:color w:val="000000"/>
                <w:sz w:val="18"/>
                <w:szCs w:val="18"/>
                <w:highlight w:val="none"/>
              </w:rPr>
            </w:pPr>
          </w:p>
        </w:tc>
        <w:tc>
          <w:tcPr>
            <w:tcW w:w="594" w:type="dxa"/>
            <w:vMerge w:val="continue"/>
            <w:vAlign w:val="center"/>
          </w:tcPr>
          <w:p>
            <w:pPr>
              <w:widowControl/>
              <w:jc w:val="center"/>
              <w:rPr>
                <w:rFonts w:ascii="仿宋_GB2312" w:hAnsi="宋体" w:eastAsia="仿宋_GB2312"/>
                <w:b/>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658" w:type="dxa"/>
            <w:vMerge w:val="continue"/>
            <w:vAlign w:val="center"/>
          </w:tcPr>
          <w:p>
            <w:pPr>
              <w:widowControl/>
              <w:jc w:val="left"/>
              <w:rPr>
                <w:rFonts w:ascii="仿宋_GB2312" w:hAnsi="宋体" w:eastAsia="仿宋_GB2312"/>
                <w:b/>
                <w:sz w:val="18"/>
                <w:szCs w:val="18"/>
                <w:highlight w:val="none"/>
              </w:rPr>
            </w:pPr>
          </w:p>
        </w:tc>
        <w:tc>
          <w:tcPr>
            <w:tcW w:w="997" w:type="dxa"/>
            <w:vMerge w:val="continue"/>
            <w:vAlign w:val="center"/>
          </w:tcPr>
          <w:p>
            <w:pPr>
              <w:widowControl/>
              <w:jc w:val="left"/>
              <w:rPr>
                <w:rFonts w:ascii="仿宋_GB2312" w:hAnsi="宋体" w:eastAsia="仿宋_GB2312"/>
                <w:b/>
                <w:sz w:val="18"/>
                <w:szCs w:val="18"/>
                <w:highlight w:val="none"/>
              </w:rPr>
            </w:pPr>
          </w:p>
        </w:tc>
        <w:tc>
          <w:tcPr>
            <w:tcW w:w="628" w:type="dxa"/>
            <w:gridSpan w:val="2"/>
            <w:vMerge w:val="continue"/>
            <w:vAlign w:val="center"/>
          </w:tcPr>
          <w:p>
            <w:pPr>
              <w:widowControl/>
              <w:jc w:val="left"/>
              <w:rPr>
                <w:rFonts w:ascii="仿宋_GB2312" w:hAnsi="宋体" w:eastAsia="仿宋_GB2312"/>
                <w:b/>
                <w:color w:val="000000"/>
                <w:sz w:val="18"/>
                <w:szCs w:val="18"/>
                <w:highlight w:val="none"/>
              </w:rPr>
            </w:pPr>
          </w:p>
        </w:tc>
        <w:tc>
          <w:tcPr>
            <w:tcW w:w="6621" w:type="dxa"/>
            <w:gridSpan w:val="3"/>
            <w:vAlign w:val="top"/>
          </w:tcPr>
          <w:p>
            <w:pPr>
              <w:spacing w:line="280" w:lineRule="exact"/>
              <w:rPr>
                <w:rFonts w:ascii="仿宋_GB2312" w:hAnsi="宋体" w:eastAsia="仿宋_GB2312" w:cs="宋体"/>
                <w:color w:val="000000"/>
                <w:kern w:val="0"/>
                <w:sz w:val="18"/>
                <w:szCs w:val="18"/>
                <w:highlight w:val="none"/>
              </w:rPr>
            </w:pPr>
            <w:r>
              <w:rPr>
                <w:rFonts w:ascii="仿宋_GB2312" w:hAnsi="宋体" w:eastAsia="仿宋_GB2312" w:cs="宋体"/>
                <w:color w:val="000000"/>
                <w:kern w:val="0"/>
                <w:sz w:val="18"/>
                <w:szCs w:val="18"/>
                <w:highlight w:val="none"/>
              </w:rPr>
              <w:t>2.</w:t>
            </w:r>
            <w:r>
              <w:rPr>
                <w:rFonts w:hint="eastAsia" w:ascii="仿宋_GB2312" w:eastAsia="仿宋_GB2312"/>
                <w:color w:val="000000"/>
                <w:sz w:val="18"/>
                <w:szCs w:val="18"/>
                <w:highlight w:val="none"/>
              </w:rPr>
              <w:t>对城市公共设备、设施存在安全隐患时，未及时上报每次扣</w:t>
            </w:r>
            <w:r>
              <w:rPr>
                <w:rFonts w:ascii="仿宋_GB2312" w:eastAsia="仿宋_GB2312"/>
                <w:color w:val="000000"/>
                <w:sz w:val="18"/>
                <w:szCs w:val="18"/>
                <w:highlight w:val="none"/>
              </w:rPr>
              <w:t>2</w:t>
            </w:r>
            <w:r>
              <w:rPr>
                <w:rFonts w:hint="eastAsia" w:ascii="仿宋_GB2312" w:eastAsia="仿宋_GB2312"/>
                <w:color w:val="000000"/>
                <w:sz w:val="18"/>
                <w:szCs w:val="18"/>
                <w:highlight w:val="none"/>
              </w:rPr>
              <w:t>分。</w:t>
            </w:r>
          </w:p>
        </w:tc>
        <w:tc>
          <w:tcPr>
            <w:tcW w:w="602" w:type="dxa"/>
            <w:vMerge w:val="continue"/>
            <w:vAlign w:val="center"/>
          </w:tcPr>
          <w:p>
            <w:pPr>
              <w:widowControl/>
              <w:jc w:val="left"/>
              <w:rPr>
                <w:rFonts w:ascii="仿宋_GB2312" w:hAnsi="宋体" w:eastAsia="仿宋_GB2312"/>
                <w:color w:val="000000"/>
                <w:sz w:val="18"/>
                <w:szCs w:val="18"/>
                <w:highlight w:val="none"/>
              </w:rPr>
            </w:pPr>
          </w:p>
        </w:tc>
        <w:tc>
          <w:tcPr>
            <w:tcW w:w="601" w:type="dxa"/>
            <w:vMerge w:val="continue"/>
            <w:vAlign w:val="center"/>
          </w:tcPr>
          <w:p>
            <w:pPr>
              <w:widowControl/>
              <w:jc w:val="center"/>
              <w:rPr>
                <w:rFonts w:ascii="仿宋_GB2312" w:hAnsi="宋体" w:eastAsia="仿宋_GB2312"/>
                <w:b/>
                <w:color w:val="000000"/>
                <w:sz w:val="18"/>
                <w:szCs w:val="18"/>
                <w:highlight w:val="none"/>
              </w:rPr>
            </w:pPr>
          </w:p>
        </w:tc>
        <w:tc>
          <w:tcPr>
            <w:tcW w:w="594" w:type="dxa"/>
            <w:vMerge w:val="continue"/>
            <w:vAlign w:val="center"/>
          </w:tcPr>
          <w:p>
            <w:pPr>
              <w:widowControl/>
              <w:jc w:val="center"/>
              <w:rPr>
                <w:rFonts w:ascii="仿宋_GB2312" w:hAnsi="宋体" w:eastAsia="仿宋_GB2312"/>
                <w:b/>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658" w:type="dxa"/>
            <w:vMerge w:val="continue"/>
            <w:vAlign w:val="center"/>
          </w:tcPr>
          <w:p>
            <w:pPr>
              <w:widowControl/>
              <w:jc w:val="left"/>
              <w:rPr>
                <w:rFonts w:ascii="仿宋_GB2312" w:hAnsi="宋体" w:eastAsia="仿宋_GB2312"/>
                <w:b/>
                <w:sz w:val="18"/>
                <w:szCs w:val="18"/>
                <w:highlight w:val="none"/>
              </w:rPr>
            </w:pPr>
          </w:p>
        </w:tc>
        <w:tc>
          <w:tcPr>
            <w:tcW w:w="997" w:type="dxa"/>
            <w:vMerge w:val="continue"/>
            <w:vAlign w:val="center"/>
          </w:tcPr>
          <w:p>
            <w:pPr>
              <w:widowControl/>
              <w:jc w:val="left"/>
              <w:rPr>
                <w:rFonts w:ascii="仿宋_GB2312" w:hAnsi="宋体" w:eastAsia="仿宋_GB2312"/>
                <w:b/>
                <w:sz w:val="18"/>
                <w:szCs w:val="18"/>
                <w:highlight w:val="none"/>
              </w:rPr>
            </w:pPr>
          </w:p>
        </w:tc>
        <w:tc>
          <w:tcPr>
            <w:tcW w:w="628" w:type="dxa"/>
            <w:gridSpan w:val="2"/>
            <w:vMerge w:val="continue"/>
            <w:vAlign w:val="center"/>
          </w:tcPr>
          <w:p>
            <w:pPr>
              <w:widowControl/>
              <w:jc w:val="left"/>
              <w:rPr>
                <w:rFonts w:ascii="仿宋_GB2312" w:hAnsi="宋体" w:eastAsia="仿宋_GB2312"/>
                <w:b/>
                <w:color w:val="000000"/>
                <w:sz w:val="18"/>
                <w:szCs w:val="18"/>
                <w:highlight w:val="none"/>
              </w:rPr>
            </w:pPr>
          </w:p>
        </w:tc>
        <w:tc>
          <w:tcPr>
            <w:tcW w:w="6621" w:type="dxa"/>
            <w:gridSpan w:val="3"/>
            <w:vAlign w:val="top"/>
          </w:tcPr>
          <w:p>
            <w:pPr>
              <w:spacing w:line="280" w:lineRule="exact"/>
              <w:rPr>
                <w:rFonts w:ascii="仿宋_GB2312" w:hAnsi="宋体" w:eastAsia="仿宋_GB2312" w:cs="宋体"/>
                <w:color w:val="000000"/>
                <w:kern w:val="0"/>
                <w:sz w:val="18"/>
                <w:szCs w:val="18"/>
                <w:highlight w:val="none"/>
              </w:rPr>
            </w:pPr>
            <w:r>
              <w:rPr>
                <w:rFonts w:ascii="仿宋_GB2312" w:eastAsia="仿宋_GB2312"/>
                <w:color w:val="000000"/>
                <w:sz w:val="18"/>
                <w:szCs w:val="18"/>
                <w:highlight w:val="none"/>
              </w:rPr>
              <w:t>3.</w:t>
            </w:r>
            <w:r>
              <w:rPr>
                <w:rFonts w:hint="eastAsia" w:ascii="仿宋_GB2312" w:eastAsia="仿宋_GB2312"/>
                <w:color w:val="000000"/>
                <w:sz w:val="18"/>
                <w:szCs w:val="18"/>
                <w:highlight w:val="none"/>
              </w:rPr>
              <w:t>对存在安全隐患区域未采取安全防护措施，未及时报告城市管理部门的</w:t>
            </w:r>
            <w:r>
              <w:rPr>
                <w:rFonts w:ascii="仿宋_GB2312" w:eastAsia="仿宋_GB2312"/>
                <w:color w:val="000000"/>
                <w:sz w:val="18"/>
                <w:szCs w:val="18"/>
                <w:highlight w:val="none"/>
              </w:rPr>
              <w:t>，</w:t>
            </w:r>
            <w:r>
              <w:rPr>
                <w:rFonts w:hint="eastAsia" w:ascii="仿宋_GB2312" w:eastAsia="仿宋_GB2312"/>
                <w:color w:val="000000"/>
                <w:sz w:val="18"/>
                <w:szCs w:val="18"/>
                <w:highlight w:val="none"/>
              </w:rPr>
              <w:t>每次扣</w:t>
            </w:r>
            <w:r>
              <w:rPr>
                <w:rFonts w:ascii="仿宋_GB2312" w:eastAsia="仿宋_GB2312"/>
                <w:color w:val="000000"/>
                <w:sz w:val="18"/>
                <w:szCs w:val="18"/>
                <w:highlight w:val="none"/>
              </w:rPr>
              <w:t>2</w:t>
            </w:r>
            <w:r>
              <w:rPr>
                <w:rFonts w:hint="eastAsia" w:ascii="仿宋_GB2312" w:eastAsia="仿宋_GB2312"/>
                <w:color w:val="000000"/>
                <w:sz w:val="18"/>
                <w:szCs w:val="18"/>
                <w:highlight w:val="none"/>
              </w:rPr>
              <w:t>分。</w:t>
            </w:r>
          </w:p>
        </w:tc>
        <w:tc>
          <w:tcPr>
            <w:tcW w:w="602" w:type="dxa"/>
            <w:vMerge w:val="continue"/>
            <w:vAlign w:val="center"/>
          </w:tcPr>
          <w:p>
            <w:pPr>
              <w:widowControl/>
              <w:jc w:val="left"/>
              <w:rPr>
                <w:rFonts w:ascii="仿宋_GB2312" w:hAnsi="宋体" w:eastAsia="仿宋_GB2312"/>
                <w:color w:val="000000"/>
                <w:sz w:val="18"/>
                <w:szCs w:val="18"/>
                <w:highlight w:val="none"/>
              </w:rPr>
            </w:pPr>
          </w:p>
        </w:tc>
        <w:tc>
          <w:tcPr>
            <w:tcW w:w="601" w:type="dxa"/>
            <w:vMerge w:val="continue"/>
            <w:vAlign w:val="center"/>
          </w:tcPr>
          <w:p>
            <w:pPr>
              <w:widowControl/>
              <w:jc w:val="center"/>
              <w:rPr>
                <w:rFonts w:ascii="仿宋_GB2312" w:hAnsi="宋体" w:eastAsia="仿宋_GB2312"/>
                <w:b/>
                <w:color w:val="000000"/>
                <w:sz w:val="18"/>
                <w:szCs w:val="18"/>
                <w:highlight w:val="none"/>
              </w:rPr>
            </w:pPr>
          </w:p>
        </w:tc>
        <w:tc>
          <w:tcPr>
            <w:tcW w:w="594" w:type="dxa"/>
            <w:vMerge w:val="continue"/>
            <w:vAlign w:val="center"/>
          </w:tcPr>
          <w:p>
            <w:pPr>
              <w:widowControl/>
              <w:jc w:val="center"/>
              <w:rPr>
                <w:rFonts w:ascii="仿宋_GB2312" w:hAnsi="宋体" w:eastAsia="仿宋_GB2312"/>
                <w:b/>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658" w:type="dxa"/>
            <w:vMerge w:val="continue"/>
            <w:vAlign w:val="center"/>
          </w:tcPr>
          <w:p>
            <w:pPr>
              <w:widowControl/>
              <w:jc w:val="left"/>
              <w:rPr>
                <w:rFonts w:ascii="仿宋_GB2312" w:hAnsi="宋体" w:eastAsia="仿宋_GB2312"/>
                <w:b/>
                <w:sz w:val="18"/>
                <w:szCs w:val="18"/>
                <w:highlight w:val="none"/>
              </w:rPr>
            </w:pPr>
          </w:p>
        </w:tc>
        <w:tc>
          <w:tcPr>
            <w:tcW w:w="997" w:type="dxa"/>
            <w:vMerge w:val="continue"/>
            <w:vAlign w:val="center"/>
          </w:tcPr>
          <w:p>
            <w:pPr>
              <w:widowControl/>
              <w:jc w:val="left"/>
              <w:rPr>
                <w:rFonts w:ascii="仿宋_GB2312" w:hAnsi="宋体" w:eastAsia="仿宋_GB2312"/>
                <w:b/>
                <w:sz w:val="18"/>
                <w:szCs w:val="18"/>
                <w:highlight w:val="none"/>
              </w:rPr>
            </w:pPr>
          </w:p>
        </w:tc>
        <w:tc>
          <w:tcPr>
            <w:tcW w:w="628" w:type="dxa"/>
            <w:gridSpan w:val="2"/>
            <w:vMerge w:val="continue"/>
            <w:vAlign w:val="center"/>
          </w:tcPr>
          <w:p>
            <w:pPr>
              <w:widowControl/>
              <w:jc w:val="left"/>
              <w:rPr>
                <w:rFonts w:ascii="仿宋_GB2312" w:hAnsi="宋体" w:eastAsia="仿宋_GB2312"/>
                <w:b/>
                <w:color w:val="000000"/>
                <w:sz w:val="18"/>
                <w:szCs w:val="18"/>
                <w:highlight w:val="none"/>
              </w:rPr>
            </w:pPr>
          </w:p>
        </w:tc>
        <w:tc>
          <w:tcPr>
            <w:tcW w:w="6621" w:type="dxa"/>
            <w:gridSpan w:val="3"/>
            <w:vAlign w:val="top"/>
          </w:tcPr>
          <w:p>
            <w:pPr>
              <w:spacing w:line="280" w:lineRule="exact"/>
              <w:rPr>
                <w:rFonts w:ascii="仿宋_GB2312" w:hAnsi="宋体" w:eastAsia="仿宋_GB2312" w:cs="宋体"/>
                <w:color w:val="000000"/>
                <w:kern w:val="0"/>
                <w:sz w:val="18"/>
                <w:szCs w:val="18"/>
                <w:highlight w:val="none"/>
              </w:rPr>
            </w:pPr>
            <w:r>
              <w:rPr>
                <w:rFonts w:ascii="仿宋_GB2312" w:eastAsia="仿宋_GB2312"/>
                <w:color w:val="000000"/>
                <w:sz w:val="18"/>
                <w:szCs w:val="18"/>
                <w:highlight w:val="none"/>
              </w:rPr>
              <w:t>4.</w:t>
            </w:r>
            <w:r>
              <w:rPr>
                <w:rFonts w:hint="eastAsia" w:ascii="仿宋_GB2312" w:eastAsia="仿宋_GB2312"/>
                <w:color w:val="000000"/>
                <w:sz w:val="18"/>
                <w:szCs w:val="18"/>
                <w:highlight w:val="none"/>
              </w:rPr>
              <w:t>发现需要依法查处的违反城市管理规定行为，未及时报告城市管理部门的，每次扣</w:t>
            </w:r>
            <w:r>
              <w:rPr>
                <w:rFonts w:ascii="仿宋_GB2312" w:eastAsia="仿宋_GB2312"/>
                <w:color w:val="000000"/>
                <w:sz w:val="18"/>
                <w:szCs w:val="18"/>
                <w:highlight w:val="none"/>
              </w:rPr>
              <w:t>2</w:t>
            </w:r>
            <w:r>
              <w:rPr>
                <w:rFonts w:hint="eastAsia" w:ascii="仿宋_GB2312" w:eastAsia="仿宋_GB2312"/>
                <w:color w:val="000000"/>
                <w:sz w:val="18"/>
                <w:szCs w:val="18"/>
                <w:highlight w:val="none"/>
              </w:rPr>
              <w:t>分，不配合、协助城市管理部门依法查处的，每次扣</w:t>
            </w:r>
            <w:r>
              <w:rPr>
                <w:rFonts w:ascii="仿宋_GB2312" w:eastAsia="仿宋_GB2312"/>
                <w:color w:val="000000"/>
                <w:sz w:val="18"/>
                <w:szCs w:val="18"/>
                <w:highlight w:val="none"/>
              </w:rPr>
              <w:t>5</w:t>
            </w:r>
            <w:r>
              <w:rPr>
                <w:rFonts w:hint="eastAsia" w:ascii="仿宋_GB2312" w:eastAsia="仿宋_GB2312"/>
                <w:color w:val="000000"/>
                <w:sz w:val="18"/>
                <w:szCs w:val="18"/>
                <w:highlight w:val="none"/>
              </w:rPr>
              <w:t>分。</w:t>
            </w:r>
          </w:p>
        </w:tc>
        <w:tc>
          <w:tcPr>
            <w:tcW w:w="602" w:type="dxa"/>
            <w:vMerge w:val="continue"/>
            <w:vAlign w:val="center"/>
          </w:tcPr>
          <w:p>
            <w:pPr>
              <w:widowControl/>
              <w:jc w:val="left"/>
              <w:rPr>
                <w:rFonts w:ascii="仿宋_GB2312" w:hAnsi="宋体" w:eastAsia="仿宋_GB2312"/>
                <w:color w:val="000000"/>
                <w:sz w:val="18"/>
                <w:szCs w:val="18"/>
                <w:highlight w:val="none"/>
              </w:rPr>
            </w:pPr>
          </w:p>
        </w:tc>
        <w:tc>
          <w:tcPr>
            <w:tcW w:w="601" w:type="dxa"/>
            <w:vMerge w:val="continue"/>
            <w:vAlign w:val="center"/>
          </w:tcPr>
          <w:p>
            <w:pPr>
              <w:widowControl/>
              <w:jc w:val="center"/>
              <w:rPr>
                <w:rFonts w:ascii="仿宋_GB2312" w:hAnsi="宋体" w:eastAsia="仿宋_GB2312"/>
                <w:b/>
                <w:color w:val="000000"/>
                <w:sz w:val="18"/>
                <w:szCs w:val="18"/>
                <w:highlight w:val="none"/>
              </w:rPr>
            </w:pPr>
          </w:p>
        </w:tc>
        <w:tc>
          <w:tcPr>
            <w:tcW w:w="594" w:type="dxa"/>
            <w:vMerge w:val="continue"/>
            <w:vAlign w:val="center"/>
          </w:tcPr>
          <w:p>
            <w:pPr>
              <w:widowControl/>
              <w:jc w:val="center"/>
              <w:rPr>
                <w:rFonts w:ascii="仿宋_GB2312" w:hAnsi="宋体" w:eastAsia="仿宋_GB2312"/>
                <w:b/>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658" w:type="dxa"/>
            <w:vMerge w:val="continue"/>
            <w:vAlign w:val="center"/>
          </w:tcPr>
          <w:p>
            <w:pPr>
              <w:widowControl/>
              <w:jc w:val="left"/>
              <w:rPr>
                <w:rFonts w:ascii="仿宋_GB2312" w:hAnsi="宋体" w:eastAsia="仿宋_GB2312"/>
                <w:b/>
                <w:sz w:val="18"/>
                <w:szCs w:val="18"/>
                <w:highlight w:val="none"/>
              </w:rPr>
            </w:pPr>
          </w:p>
        </w:tc>
        <w:tc>
          <w:tcPr>
            <w:tcW w:w="997" w:type="dxa"/>
            <w:vMerge w:val="continue"/>
            <w:vAlign w:val="center"/>
          </w:tcPr>
          <w:p>
            <w:pPr>
              <w:widowControl/>
              <w:jc w:val="left"/>
              <w:rPr>
                <w:rFonts w:ascii="仿宋_GB2312" w:hAnsi="宋体" w:eastAsia="仿宋_GB2312"/>
                <w:b/>
                <w:sz w:val="18"/>
                <w:szCs w:val="18"/>
                <w:highlight w:val="none"/>
              </w:rPr>
            </w:pPr>
          </w:p>
        </w:tc>
        <w:tc>
          <w:tcPr>
            <w:tcW w:w="628" w:type="dxa"/>
            <w:gridSpan w:val="2"/>
            <w:vMerge w:val="continue"/>
            <w:vAlign w:val="center"/>
          </w:tcPr>
          <w:p>
            <w:pPr>
              <w:widowControl/>
              <w:jc w:val="left"/>
              <w:rPr>
                <w:rFonts w:ascii="仿宋_GB2312" w:hAnsi="宋体" w:eastAsia="仿宋_GB2312"/>
                <w:b/>
                <w:color w:val="000000"/>
                <w:sz w:val="18"/>
                <w:szCs w:val="18"/>
                <w:highlight w:val="none"/>
              </w:rPr>
            </w:pPr>
          </w:p>
        </w:tc>
        <w:tc>
          <w:tcPr>
            <w:tcW w:w="6621" w:type="dxa"/>
            <w:gridSpan w:val="3"/>
            <w:vAlign w:val="top"/>
          </w:tcPr>
          <w:p>
            <w:pPr>
              <w:spacing w:line="280" w:lineRule="exact"/>
              <w:rPr>
                <w:rFonts w:ascii="仿宋_GB2312" w:hAnsi="宋体" w:eastAsia="仿宋_GB2312" w:cs="宋体"/>
                <w:color w:val="000000"/>
                <w:kern w:val="0"/>
                <w:sz w:val="18"/>
                <w:szCs w:val="18"/>
                <w:highlight w:val="none"/>
              </w:rPr>
            </w:pPr>
            <w:r>
              <w:rPr>
                <w:rFonts w:ascii="仿宋_GB2312" w:hAnsi="宋体" w:eastAsia="仿宋_GB2312" w:cs="宋体"/>
                <w:color w:val="000000"/>
                <w:kern w:val="0"/>
                <w:sz w:val="18"/>
                <w:szCs w:val="18"/>
                <w:highlight w:val="none"/>
              </w:rPr>
              <w:t>5.</w:t>
            </w:r>
            <w:r>
              <w:rPr>
                <w:rFonts w:hint="eastAsia" w:ascii="仿宋_GB2312" w:eastAsia="仿宋_GB2312"/>
                <w:color w:val="000000"/>
                <w:sz w:val="18"/>
                <w:szCs w:val="18"/>
                <w:highlight w:val="none"/>
              </w:rPr>
              <w:t>未做好城市管理部门安排的重点工作，包括各类临时性、季节性和阶段性工作，以及其他突击性工作的，每次扣</w:t>
            </w:r>
            <w:r>
              <w:rPr>
                <w:rFonts w:ascii="仿宋_GB2312" w:eastAsia="仿宋_GB2312"/>
                <w:color w:val="000000"/>
                <w:sz w:val="18"/>
                <w:szCs w:val="18"/>
                <w:highlight w:val="none"/>
              </w:rPr>
              <w:t>5</w:t>
            </w:r>
            <w:r>
              <w:rPr>
                <w:rFonts w:hint="eastAsia" w:ascii="仿宋_GB2312" w:eastAsia="仿宋_GB2312"/>
                <w:color w:val="000000"/>
                <w:sz w:val="18"/>
                <w:szCs w:val="18"/>
                <w:highlight w:val="none"/>
              </w:rPr>
              <w:t>分。</w:t>
            </w:r>
          </w:p>
        </w:tc>
        <w:tc>
          <w:tcPr>
            <w:tcW w:w="602" w:type="dxa"/>
            <w:vMerge w:val="continue"/>
            <w:vAlign w:val="center"/>
          </w:tcPr>
          <w:p>
            <w:pPr>
              <w:widowControl/>
              <w:jc w:val="left"/>
              <w:rPr>
                <w:rFonts w:ascii="仿宋_GB2312" w:hAnsi="宋体" w:eastAsia="仿宋_GB2312"/>
                <w:color w:val="000000"/>
                <w:sz w:val="18"/>
                <w:szCs w:val="18"/>
                <w:highlight w:val="none"/>
              </w:rPr>
            </w:pPr>
          </w:p>
        </w:tc>
        <w:tc>
          <w:tcPr>
            <w:tcW w:w="601" w:type="dxa"/>
            <w:vMerge w:val="continue"/>
            <w:vAlign w:val="center"/>
          </w:tcPr>
          <w:p>
            <w:pPr>
              <w:widowControl/>
              <w:jc w:val="center"/>
              <w:rPr>
                <w:rFonts w:ascii="仿宋_GB2312" w:hAnsi="宋体" w:eastAsia="仿宋_GB2312"/>
                <w:b/>
                <w:color w:val="000000"/>
                <w:sz w:val="18"/>
                <w:szCs w:val="18"/>
                <w:highlight w:val="none"/>
              </w:rPr>
            </w:pPr>
          </w:p>
        </w:tc>
        <w:tc>
          <w:tcPr>
            <w:tcW w:w="594" w:type="dxa"/>
            <w:vMerge w:val="continue"/>
            <w:vAlign w:val="center"/>
          </w:tcPr>
          <w:p>
            <w:pPr>
              <w:widowControl/>
              <w:jc w:val="center"/>
              <w:rPr>
                <w:rFonts w:ascii="仿宋_GB2312" w:hAnsi="宋体" w:eastAsia="仿宋_GB2312"/>
                <w:b/>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8" w:type="dxa"/>
            <w:vMerge w:val="continue"/>
            <w:vAlign w:val="center"/>
          </w:tcPr>
          <w:p>
            <w:pPr>
              <w:spacing w:line="280" w:lineRule="exact"/>
              <w:jc w:val="center"/>
              <w:rPr>
                <w:rFonts w:ascii="仿宋_GB2312" w:hAnsi="宋体" w:eastAsia="仿宋_GB2312"/>
                <w:b/>
                <w:sz w:val="18"/>
                <w:szCs w:val="18"/>
                <w:highlight w:val="none"/>
              </w:rPr>
            </w:pPr>
          </w:p>
        </w:tc>
        <w:tc>
          <w:tcPr>
            <w:tcW w:w="997" w:type="dxa"/>
            <w:vMerge w:val="restart"/>
            <w:vAlign w:val="center"/>
          </w:tcPr>
          <w:p>
            <w:pPr>
              <w:spacing w:line="280" w:lineRule="exact"/>
              <w:jc w:val="center"/>
              <w:rPr>
                <w:rFonts w:ascii="仿宋_GB2312" w:hAnsi="宋体" w:eastAsia="仿宋_GB2312"/>
                <w:b/>
                <w:sz w:val="18"/>
                <w:szCs w:val="18"/>
                <w:highlight w:val="none"/>
              </w:rPr>
            </w:pPr>
            <w:r>
              <w:rPr>
                <w:rFonts w:hint="eastAsia" w:ascii="仿宋_GB2312" w:hAnsi="宋体" w:eastAsia="仿宋_GB2312"/>
                <w:b/>
                <w:sz w:val="18"/>
                <w:szCs w:val="18"/>
                <w:highlight w:val="none"/>
              </w:rPr>
              <w:t>三</w:t>
            </w:r>
            <w:r>
              <w:rPr>
                <w:rFonts w:ascii="仿宋_GB2312" w:hAnsi="宋体" w:eastAsia="仿宋_GB2312"/>
                <w:b/>
                <w:sz w:val="18"/>
                <w:szCs w:val="18"/>
                <w:highlight w:val="none"/>
              </w:rPr>
              <w:t xml:space="preserve"> </w:t>
            </w:r>
            <w:r>
              <w:rPr>
                <w:rFonts w:hint="eastAsia" w:ascii="仿宋_GB2312" w:hAnsi="宋体" w:eastAsia="仿宋_GB2312"/>
                <w:b/>
                <w:sz w:val="18"/>
                <w:szCs w:val="18"/>
                <w:highlight w:val="none"/>
              </w:rPr>
              <w:t>、文明创建</w:t>
            </w:r>
          </w:p>
        </w:tc>
        <w:tc>
          <w:tcPr>
            <w:tcW w:w="7249" w:type="dxa"/>
            <w:gridSpan w:val="5"/>
            <w:vAlign w:val="center"/>
          </w:tcPr>
          <w:p>
            <w:pPr>
              <w:spacing w:line="280" w:lineRule="exact"/>
              <w:rPr>
                <w:rFonts w:ascii="仿宋_GB2312" w:hAnsi="宋体" w:eastAsia="仿宋_GB2312"/>
                <w:color w:val="000000"/>
                <w:sz w:val="18"/>
                <w:szCs w:val="18"/>
                <w:highlight w:val="none"/>
              </w:rPr>
            </w:pPr>
            <w:r>
              <w:rPr>
                <w:rFonts w:ascii="仿宋_GB2312" w:eastAsia="仿宋_GB2312"/>
                <w:color w:val="000000"/>
                <w:sz w:val="18"/>
                <w:szCs w:val="18"/>
                <w:highlight w:val="none"/>
              </w:rPr>
              <w:t>1.</w:t>
            </w:r>
            <w:r>
              <w:rPr>
                <w:rFonts w:hint="eastAsia" w:ascii="仿宋_GB2312" w:eastAsia="仿宋_GB2312"/>
                <w:color w:val="000000"/>
                <w:sz w:val="18"/>
                <w:szCs w:val="18"/>
                <w:highlight w:val="none"/>
              </w:rPr>
              <w:t>根据文明创建创建要求，综合</w:t>
            </w:r>
            <w:r>
              <w:rPr>
                <w:rFonts w:ascii="仿宋_GB2312" w:eastAsia="仿宋_GB2312"/>
                <w:color w:val="000000"/>
                <w:sz w:val="18"/>
                <w:szCs w:val="18"/>
                <w:highlight w:val="none"/>
              </w:rPr>
              <w:t>公共服务人员</w:t>
            </w:r>
            <w:r>
              <w:rPr>
                <w:rFonts w:hint="eastAsia" w:ascii="仿宋_GB2312" w:eastAsia="仿宋_GB2312"/>
                <w:color w:val="000000"/>
                <w:sz w:val="18"/>
                <w:szCs w:val="18"/>
                <w:highlight w:val="none"/>
              </w:rPr>
              <w:t>管理不到位，出现人员配置和管理需求不相符的根据情况扣</w:t>
            </w:r>
            <w:r>
              <w:rPr>
                <w:rFonts w:ascii="仿宋_GB2312" w:eastAsia="仿宋_GB2312"/>
                <w:color w:val="000000"/>
                <w:sz w:val="18"/>
                <w:szCs w:val="18"/>
                <w:highlight w:val="none"/>
              </w:rPr>
              <w:t>1-6</w:t>
            </w:r>
            <w:r>
              <w:rPr>
                <w:rFonts w:hint="eastAsia" w:ascii="仿宋_GB2312" w:eastAsia="仿宋_GB2312"/>
                <w:color w:val="000000"/>
                <w:sz w:val="18"/>
                <w:szCs w:val="18"/>
                <w:highlight w:val="none"/>
              </w:rPr>
              <w:t>分。</w:t>
            </w:r>
          </w:p>
        </w:tc>
        <w:tc>
          <w:tcPr>
            <w:tcW w:w="602" w:type="dxa"/>
            <w:vMerge w:val="restart"/>
            <w:vAlign w:val="center"/>
          </w:tcPr>
          <w:p>
            <w:pPr>
              <w:spacing w:line="280" w:lineRule="exact"/>
              <w:jc w:val="center"/>
              <w:rPr>
                <w:rFonts w:ascii="仿宋_GB2312" w:hAnsi="宋体" w:eastAsia="仿宋_GB2312"/>
                <w:color w:val="000000"/>
                <w:sz w:val="18"/>
                <w:szCs w:val="18"/>
                <w:highlight w:val="none"/>
              </w:rPr>
            </w:pPr>
            <w:r>
              <w:rPr>
                <w:rFonts w:ascii="仿宋_GB2312" w:hAnsi="宋体" w:eastAsia="仿宋_GB2312"/>
                <w:b/>
                <w:bCs/>
                <w:color w:val="000000"/>
                <w:sz w:val="18"/>
                <w:szCs w:val="18"/>
                <w:highlight w:val="none"/>
              </w:rPr>
              <w:t>20</w:t>
            </w:r>
            <w:r>
              <w:rPr>
                <w:rFonts w:hint="eastAsia" w:ascii="仿宋_GB2312" w:hAnsi="宋体" w:eastAsia="仿宋_GB2312"/>
                <w:b/>
                <w:bCs/>
                <w:color w:val="000000"/>
                <w:sz w:val="18"/>
                <w:szCs w:val="18"/>
                <w:highlight w:val="none"/>
              </w:rPr>
              <w:t>分</w:t>
            </w:r>
          </w:p>
        </w:tc>
        <w:tc>
          <w:tcPr>
            <w:tcW w:w="601" w:type="dxa"/>
            <w:vMerge w:val="restart"/>
            <w:vAlign w:val="center"/>
          </w:tcPr>
          <w:p>
            <w:pPr>
              <w:spacing w:line="280" w:lineRule="exact"/>
              <w:jc w:val="center"/>
              <w:rPr>
                <w:rFonts w:ascii="仿宋_GB2312" w:hAnsi="宋体" w:eastAsia="仿宋_GB2312"/>
                <w:b/>
                <w:color w:val="000000"/>
                <w:sz w:val="18"/>
                <w:szCs w:val="18"/>
                <w:highlight w:val="none"/>
              </w:rPr>
            </w:pPr>
          </w:p>
        </w:tc>
        <w:tc>
          <w:tcPr>
            <w:tcW w:w="594" w:type="dxa"/>
            <w:vMerge w:val="restart"/>
            <w:vAlign w:val="center"/>
          </w:tcPr>
          <w:p>
            <w:pPr>
              <w:spacing w:line="280" w:lineRule="exact"/>
              <w:jc w:val="center"/>
              <w:rPr>
                <w:rFonts w:ascii="仿宋_GB2312" w:hAnsi="宋体" w:eastAsia="仿宋_GB2312"/>
                <w:b/>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658" w:type="dxa"/>
            <w:vMerge w:val="continue"/>
            <w:vAlign w:val="center"/>
          </w:tcPr>
          <w:p>
            <w:pPr>
              <w:widowControl/>
              <w:jc w:val="left"/>
              <w:rPr>
                <w:rFonts w:ascii="仿宋_GB2312" w:hAnsi="宋体" w:eastAsia="仿宋_GB2312"/>
                <w:b/>
                <w:sz w:val="18"/>
                <w:szCs w:val="18"/>
                <w:highlight w:val="none"/>
              </w:rPr>
            </w:pPr>
          </w:p>
        </w:tc>
        <w:tc>
          <w:tcPr>
            <w:tcW w:w="997" w:type="dxa"/>
            <w:vMerge w:val="continue"/>
            <w:vAlign w:val="center"/>
          </w:tcPr>
          <w:p>
            <w:pPr>
              <w:widowControl/>
              <w:jc w:val="left"/>
              <w:rPr>
                <w:rFonts w:ascii="仿宋_GB2312" w:hAnsi="宋体" w:eastAsia="仿宋_GB2312"/>
                <w:b/>
                <w:sz w:val="18"/>
                <w:szCs w:val="18"/>
                <w:highlight w:val="none"/>
              </w:rPr>
            </w:pPr>
          </w:p>
        </w:tc>
        <w:tc>
          <w:tcPr>
            <w:tcW w:w="7249" w:type="dxa"/>
            <w:gridSpan w:val="5"/>
            <w:vAlign w:val="center"/>
          </w:tcPr>
          <w:p>
            <w:pPr>
              <w:spacing w:line="280" w:lineRule="exact"/>
              <w:rPr>
                <w:rFonts w:ascii="仿宋_GB2312" w:hAnsi="宋体" w:eastAsia="仿宋_GB2312" w:cs="宋体"/>
                <w:color w:val="000000"/>
                <w:kern w:val="0"/>
                <w:sz w:val="18"/>
                <w:szCs w:val="18"/>
                <w:highlight w:val="none"/>
              </w:rPr>
            </w:pPr>
            <w:r>
              <w:rPr>
                <w:rFonts w:ascii="仿宋_GB2312" w:hAnsi="宋体" w:eastAsia="仿宋_GB2312" w:cs="宋体"/>
                <w:color w:val="000000"/>
                <w:kern w:val="0"/>
                <w:sz w:val="18"/>
                <w:szCs w:val="18"/>
                <w:highlight w:val="none"/>
              </w:rPr>
              <w:t>2.</w:t>
            </w:r>
            <w:r>
              <w:rPr>
                <w:rFonts w:hint="eastAsia" w:ascii="仿宋_GB2312" w:eastAsia="仿宋_GB2312"/>
                <w:color w:val="000000"/>
                <w:sz w:val="18"/>
                <w:szCs w:val="18"/>
                <w:highlight w:val="none"/>
              </w:rPr>
              <w:t>对文明创建相关的城市市容市貌的劝导、处理不到位、不及时的</w:t>
            </w:r>
            <w:r>
              <w:rPr>
                <w:rFonts w:ascii="仿宋_GB2312" w:eastAsia="仿宋_GB2312"/>
                <w:color w:val="000000"/>
                <w:sz w:val="18"/>
                <w:szCs w:val="18"/>
                <w:highlight w:val="none"/>
              </w:rPr>
              <w:t>，</w:t>
            </w:r>
            <w:r>
              <w:rPr>
                <w:rFonts w:hint="eastAsia" w:ascii="仿宋_GB2312" w:eastAsia="仿宋_GB2312"/>
                <w:color w:val="000000"/>
                <w:sz w:val="18"/>
                <w:szCs w:val="18"/>
                <w:highlight w:val="none"/>
              </w:rPr>
              <w:t>根据情况扣</w:t>
            </w:r>
            <w:r>
              <w:rPr>
                <w:rFonts w:ascii="仿宋_GB2312" w:eastAsia="仿宋_GB2312"/>
                <w:color w:val="000000"/>
                <w:sz w:val="18"/>
                <w:szCs w:val="18"/>
                <w:highlight w:val="none"/>
              </w:rPr>
              <w:t>1—10</w:t>
            </w:r>
            <w:r>
              <w:rPr>
                <w:rFonts w:hint="eastAsia" w:ascii="仿宋_GB2312" w:eastAsia="仿宋_GB2312"/>
                <w:color w:val="000000"/>
                <w:sz w:val="18"/>
                <w:szCs w:val="18"/>
                <w:highlight w:val="none"/>
              </w:rPr>
              <w:t>分。</w:t>
            </w:r>
          </w:p>
        </w:tc>
        <w:tc>
          <w:tcPr>
            <w:tcW w:w="602" w:type="dxa"/>
            <w:vMerge w:val="continue"/>
            <w:vAlign w:val="center"/>
          </w:tcPr>
          <w:p>
            <w:pPr>
              <w:widowControl/>
              <w:jc w:val="left"/>
              <w:rPr>
                <w:rFonts w:ascii="仿宋_GB2312" w:hAnsi="宋体" w:eastAsia="仿宋_GB2312"/>
                <w:color w:val="000000"/>
                <w:sz w:val="18"/>
                <w:szCs w:val="18"/>
                <w:highlight w:val="none"/>
              </w:rPr>
            </w:pPr>
          </w:p>
        </w:tc>
        <w:tc>
          <w:tcPr>
            <w:tcW w:w="601" w:type="dxa"/>
            <w:vMerge w:val="continue"/>
            <w:vAlign w:val="center"/>
          </w:tcPr>
          <w:p>
            <w:pPr>
              <w:widowControl/>
              <w:jc w:val="center"/>
              <w:rPr>
                <w:rFonts w:ascii="仿宋_GB2312" w:hAnsi="宋体" w:eastAsia="仿宋_GB2312"/>
                <w:b/>
                <w:color w:val="000000"/>
                <w:sz w:val="18"/>
                <w:szCs w:val="18"/>
                <w:highlight w:val="none"/>
              </w:rPr>
            </w:pPr>
          </w:p>
        </w:tc>
        <w:tc>
          <w:tcPr>
            <w:tcW w:w="594" w:type="dxa"/>
            <w:vMerge w:val="continue"/>
            <w:vAlign w:val="center"/>
          </w:tcPr>
          <w:p>
            <w:pPr>
              <w:widowControl/>
              <w:jc w:val="center"/>
              <w:rPr>
                <w:rFonts w:ascii="仿宋_GB2312" w:hAnsi="宋体" w:eastAsia="仿宋_GB2312"/>
                <w:b/>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658" w:type="dxa"/>
            <w:vMerge w:val="continue"/>
            <w:vAlign w:val="center"/>
          </w:tcPr>
          <w:p>
            <w:pPr>
              <w:widowControl/>
              <w:jc w:val="left"/>
              <w:rPr>
                <w:rFonts w:ascii="仿宋_GB2312" w:hAnsi="宋体" w:eastAsia="仿宋_GB2312"/>
                <w:b/>
                <w:sz w:val="18"/>
                <w:szCs w:val="18"/>
                <w:highlight w:val="none"/>
              </w:rPr>
            </w:pPr>
          </w:p>
        </w:tc>
        <w:tc>
          <w:tcPr>
            <w:tcW w:w="997" w:type="dxa"/>
            <w:vMerge w:val="continue"/>
            <w:vAlign w:val="center"/>
          </w:tcPr>
          <w:p>
            <w:pPr>
              <w:widowControl/>
              <w:jc w:val="left"/>
              <w:rPr>
                <w:rFonts w:ascii="仿宋_GB2312" w:hAnsi="宋体" w:eastAsia="仿宋_GB2312"/>
                <w:b/>
                <w:sz w:val="18"/>
                <w:szCs w:val="18"/>
                <w:highlight w:val="none"/>
              </w:rPr>
            </w:pPr>
          </w:p>
        </w:tc>
        <w:tc>
          <w:tcPr>
            <w:tcW w:w="7249" w:type="dxa"/>
            <w:gridSpan w:val="5"/>
            <w:vAlign w:val="center"/>
          </w:tcPr>
          <w:p>
            <w:pPr>
              <w:spacing w:line="280" w:lineRule="exact"/>
              <w:rPr>
                <w:rFonts w:ascii="仿宋_GB2312" w:hAnsi="宋体" w:eastAsia="仿宋_GB2312" w:cs="宋体"/>
                <w:color w:val="000000"/>
                <w:kern w:val="0"/>
                <w:sz w:val="18"/>
                <w:szCs w:val="18"/>
                <w:highlight w:val="none"/>
              </w:rPr>
            </w:pPr>
            <w:r>
              <w:rPr>
                <w:rFonts w:ascii="仿宋_GB2312" w:hAnsi="宋体" w:eastAsia="仿宋_GB2312" w:cs="宋体"/>
                <w:color w:val="000000"/>
                <w:kern w:val="0"/>
                <w:sz w:val="18"/>
                <w:szCs w:val="18"/>
                <w:highlight w:val="none"/>
              </w:rPr>
              <w:t>3.</w:t>
            </w:r>
            <w:r>
              <w:rPr>
                <w:rFonts w:hint="eastAsia" w:ascii="仿宋_GB2312" w:hAnsi="宋体" w:eastAsia="仿宋_GB2312" w:cs="宋体"/>
                <w:color w:val="000000"/>
                <w:kern w:val="0"/>
                <w:sz w:val="18"/>
                <w:szCs w:val="18"/>
                <w:highlight w:val="none"/>
              </w:rPr>
              <w:t>对破坏</w:t>
            </w:r>
            <w:r>
              <w:rPr>
                <w:rFonts w:hint="eastAsia" w:ascii="仿宋_GB2312" w:eastAsia="仿宋_GB2312"/>
                <w:color w:val="000000"/>
                <w:sz w:val="18"/>
                <w:szCs w:val="18"/>
                <w:highlight w:val="none"/>
              </w:rPr>
              <w:t>文明创建成果的行为不予以及时制止的，一次扣</w:t>
            </w:r>
            <w:r>
              <w:rPr>
                <w:rFonts w:ascii="仿宋_GB2312" w:eastAsia="仿宋_GB2312"/>
                <w:color w:val="000000"/>
                <w:sz w:val="18"/>
                <w:szCs w:val="18"/>
                <w:highlight w:val="none"/>
              </w:rPr>
              <w:t>3</w:t>
            </w:r>
            <w:r>
              <w:rPr>
                <w:rFonts w:hint="eastAsia" w:ascii="仿宋_GB2312" w:eastAsia="仿宋_GB2312"/>
                <w:color w:val="000000"/>
                <w:sz w:val="18"/>
                <w:szCs w:val="18"/>
                <w:highlight w:val="none"/>
              </w:rPr>
              <w:t>分。</w:t>
            </w:r>
          </w:p>
        </w:tc>
        <w:tc>
          <w:tcPr>
            <w:tcW w:w="602" w:type="dxa"/>
            <w:vMerge w:val="continue"/>
            <w:vAlign w:val="center"/>
          </w:tcPr>
          <w:p>
            <w:pPr>
              <w:widowControl/>
              <w:jc w:val="left"/>
              <w:rPr>
                <w:rFonts w:ascii="仿宋_GB2312" w:hAnsi="宋体" w:eastAsia="仿宋_GB2312"/>
                <w:color w:val="000000"/>
                <w:sz w:val="18"/>
                <w:szCs w:val="18"/>
                <w:highlight w:val="none"/>
              </w:rPr>
            </w:pPr>
          </w:p>
        </w:tc>
        <w:tc>
          <w:tcPr>
            <w:tcW w:w="601" w:type="dxa"/>
            <w:vMerge w:val="continue"/>
            <w:vAlign w:val="center"/>
          </w:tcPr>
          <w:p>
            <w:pPr>
              <w:widowControl/>
              <w:jc w:val="center"/>
              <w:rPr>
                <w:rFonts w:ascii="仿宋_GB2312" w:hAnsi="宋体" w:eastAsia="仿宋_GB2312"/>
                <w:b/>
                <w:color w:val="000000"/>
                <w:sz w:val="18"/>
                <w:szCs w:val="18"/>
                <w:highlight w:val="none"/>
              </w:rPr>
            </w:pPr>
          </w:p>
        </w:tc>
        <w:tc>
          <w:tcPr>
            <w:tcW w:w="594" w:type="dxa"/>
            <w:vMerge w:val="continue"/>
            <w:vAlign w:val="center"/>
          </w:tcPr>
          <w:p>
            <w:pPr>
              <w:widowControl/>
              <w:jc w:val="center"/>
              <w:rPr>
                <w:rFonts w:ascii="仿宋_GB2312" w:hAnsi="宋体" w:eastAsia="仿宋_GB2312"/>
                <w:b/>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58" w:type="dxa"/>
            <w:vMerge w:val="restart"/>
            <w:vAlign w:val="center"/>
          </w:tcPr>
          <w:p>
            <w:pPr>
              <w:spacing w:line="240" w:lineRule="exact"/>
              <w:jc w:val="center"/>
              <w:rPr>
                <w:rFonts w:ascii="仿宋_GB2312" w:hAnsi="宋体" w:eastAsia="仿宋_GB2312"/>
                <w:b/>
                <w:sz w:val="18"/>
                <w:szCs w:val="18"/>
                <w:highlight w:val="none"/>
              </w:rPr>
            </w:pPr>
            <w:r>
              <w:rPr>
                <w:rFonts w:hint="eastAsia" w:ascii="仿宋_GB2312" w:hAnsi="宋体" w:eastAsia="仿宋_GB2312"/>
                <w:b/>
                <w:sz w:val="18"/>
                <w:szCs w:val="18"/>
                <w:highlight w:val="none"/>
              </w:rPr>
              <w:t>专项考核</w:t>
            </w:r>
          </w:p>
        </w:tc>
        <w:tc>
          <w:tcPr>
            <w:tcW w:w="997" w:type="dxa"/>
            <w:vMerge w:val="restart"/>
            <w:vAlign w:val="center"/>
          </w:tcPr>
          <w:p>
            <w:pPr>
              <w:spacing w:line="240" w:lineRule="exact"/>
              <w:jc w:val="center"/>
              <w:rPr>
                <w:rFonts w:ascii="仿宋_GB2312" w:hAnsi="宋体" w:eastAsia="仿宋_GB2312"/>
                <w:b/>
                <w:sz w:val="18"/>
                <w:szCs w:val="18"/>
                <w:highlight w:val="none"/>
              </w:rPr>
            </w:pPr>
            <w:r>
              <w:rPr>
                <w:rFonts w:hint="eastAsia" w:ascii="仿宋_GB2312" w:hAnsi="宋体" w:eastAsia="仿宋_GB2312"/>
                <w:b/>
                <w:sz w:val="18"/>
                <w:szCs w:val="18"/>
                <w:highlight w:val="none"/>
              </w:rPr>
              <w:t>四、事项办理</w:t>
            </w:r>
          </w:p>
        </w:tc>
        <w:tc>
          <w:tcPr>
            <w:tcW w:w="7249" w:type="dxa"/>
            <w:gridSpan w:val="5"/>
            <w:vAlign w:val="center"/>
          </w:tcPr>
          <w:p>
            <w:pPr>
              <w:spacing w:line="280" w:lineRule="exact"/>
              <w:rPr>
                <w:rFonts w:ascii="仿宋_GB2312" w:hAnsi="宋体" w:eastAsia="仿宋_GB2312"/>
                <w:color w:val="000000"/>
                <w:sz w:val="18"/>
                <w:szCs w:val="18"/>
                <w:highlight w:val="none"/>
              </w:rPr>
            </w:pPr>
            <w:r>
              <w:rPr>
                <w:rFonts w:ascii="仿宋_GB2312" w:hAnsi="宋体" w:eastAsia="仿宋_GB2312"/>
                <w:color w:val="000000"/>
                <w:sz w:val="18"/>
                <w:szCs w:val="18"/>
                <w:highlight w:val="none"/>
              </w:rPr>
              <w:t>1.</w:t>
            </w:r>
            <w:r>
              <w:rPr>
                <w:rFonts w:hint="eastAsia" w:ascii="仿宋_GB2312" w:eastAsia="仿宋_GB2312"/>
                <w:color w:val="000000"/>
                <w:sz w:val="18"/>
                <w:szCs w:val="18"/>
                <w:highlight w:val="none"/>
              </w:rPr>
              <w:t>未及时协助城市管理部门办理人大建议、政协提案、上级批办、媒体曝光、群众投诉等事项的，每次扣</w:t>
            </w:r>
            <w:r>
              <w:rPr>
                <w:rFonts w:ascii="仿宋_GB2312" w:eastAsia="仿宋_GB2312"/>
                <w:color w:val="000000"/>
                <w:sz w:val="18"/>
                <w:szCs w:val="18"/>
                <w:highlight w:val="none"/>
              </w:rPr>
              <w:t>3</w:t>
            </w:r>
            <w:r>
              <w:rPr>
                <w:rFonts w:hint="eastAsia" w:ascii="仿宋_GB2312" w:eastAsia="仿宋_GB2312"/>
                <w:color w:val="000000"/>
                <w:sz w:val="18"/>
                <w:szCs w:val="18"/>
                <w:highlight w:val="none"/>
              </w:rPr>
              <w:t>分。</w:t>
            </w:r>
          </w:p>
        </w:tc>
        <w:tc>
          <w:tcPr>
            <w:tcW w:w="602" w:type="dxa"/>
            <w:vMerge w:val="restart"/>
            <w:vAlign w:val="center"/>
          </w:tcPr>
          <w:p>
            <w:pPr>
              <w:spacing w:line="280" w:lineRule="exact"/>
              <w:jc w:val="center"/>
              <w:rPr>
                <w:rFonts w:ascii="仿宋_GB2312" w:hAnsi="宋体" w:eastAsia="仿宋_GB2312"/>
                <w:color w:val="000000"/>
                <w:sz w:val="18"/>
                <w:szCs w:val="18"/>
                <w:highlight w:val="none"/>
              </w:rPr>
            </w:pPr>
            <w:r>
              <w:rPr>
                <w:rFonts w:ascii="仿宋_GB2312" w:hAnsi="宋体" w:eastAsia="仿宋_GB2312"/>
                <w:b/>
                <w:bCs/>
                <w:color w:val="000000"/>
                <w:sz w:val="18"/>
                <w:szCs w:val="18"/>
                <w:highlight w:val="none"/>
              </w:rPr>
              <w:t>20</w:t>
            </w:r>
            <w:r>
              <w:rPr>
                <w:rFonts w:hint="eastAsia" w:ascii="仿宋_GB2312" w:hAnsi="宋体" w:eastAsia="仿宋_GB2312"/>
                <w:b/>
                <w:bCs/>
                <w:color w:val="000000"/>
                <w:sz w:val="18"/>
                <w:szCs w:val="18"/>
                <w:highlight w:val="none"/>
              </w:rPr>
              <w:t>分</w:t>
            </w:r>
          </w:p>
        </w:tc>
        <w:tc>
          <w:tcPr>
            <w:tcW w:w="601" w:type="dxa"/>
            <w:vMerge w:val="restart"/>
            <w:vAlign w:val="center"/>
          </w:tcPr>
          <w:p>
            <w:pPr>
              <w:spacing w:line="280" w:lineRule="exact"/>
              <w:jc w:val="center"/>
              <w:rPr>
                <w:rFonts w:ascii="仿宋_GB2312" w:hAnsi="宋体" w:eastAsia="仿宋_GB2312"/>
                <w:b/>
                <w:color w:val="000000"/>
                <w:sz w:val="18"/>
                <w:szCs w:val="18"/>
                <w:highlight w:val="none"/>
              </w:rPr>
            </w:pPr>
          </w:p>
        </w:tc>
        <w:tc>
          <w:tcPr>
            <w:tcW w:w="594" w:type="dxa"/>
            <w:vMerge w:val="restart"/>
            <w:vAlign w:val="center"/>
          </w:tcPr>
          <w:p>
            <w:pPr>
              <w:spacing w:line="280" w:lineRule="exact"/>
              <w:jc w:val="center"/>
              <w:rPr>
                <w:rFonts w:ascii="仿宋_GB2312" w:hAnsi="宋体" w:eastAsia="仿宋_GB2312"/>
                <w:b/>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58" w:type="dxa"/>
            <w:vMerge w:val="continue"/>
            <w:vAlign w:val="center"/>
          </w:tcPr>
          <w:p>
            <w:pPr>
              <w:spacing w:line="240" w:lineRule="exact"/>
              <w:jc w:val="center"/>
              <w:rPr>
                <w:rFonts w:ascii="仿宋_GB2312" w:hAnsi="宋体" w:eastAsia="仿宋_GB2312"/>
                <w:b/>
                <w:sz w:val="18"/>
                <w:szCs w:val="18"/>
                <w:highlight w:val="none"/>
              </w:rPr>
            </w:pPr>
          </w:p>
        </w:tc>
        <w:tc>
          <w:tcPr>
            <w:tcW w:w="997" w:type="dxa"/>
            <w:vMerge w:val="continue"/>
            <w:vAlign w:val="center"/>
          </w:tcPr>
          <w:p>
            <w:pPr>
              <w:spacing w:line="240" w:lineRule="exact"/>
              <w:jc w:val="center"/>
              <w:rPr>
                <w:rFonts w:ascii="仿宋_GB2312" w:hAnsi="宋体" w:eastAsia="仿宋_GB2312"/>
                <w:b/>
                <w:sz w:val="18"/>
                <w:szCs w:val="18"/>
                <w:highlight w:val="none"/>
              </w:rPr>
            </w:pPr>
          </w:p>
        </w:tc>
        <w:tc>
          <w:tcPr>
            <w:tcW w:w="7249" w:type="dxa"/>
            <w:gridSpan w:val="5"/>
            <w:vAlign w:val="center"/>
          </w:tcPr>
          <w:p>
            <w:pPr>
              <w:spacing w:line="280" w:lineRule="exact"/>
              <w:rPr>
                <w:rFonts w:ascii="仿宋_GB2312" w:hAnsi="宋体" w:eastAsia="仿宋_GB2312"/>
                <w:color w:val="000000"/>
                <w:sz w:val="18"/>
                <w:szCs w:val="18"/>
                <w:highlight w:val="none"/>
              </w:rPr>
            </w:pPr>
            <w:r>
              <w:rPr>
                <w:rFonts w:ascii="仿宋_GB2312" w:hAnsi="宋体" w:eastAsia="仿宋_GB2312"/>
                <w:color w:val="000000"/>
                <w:sz w:val="18"/>
                <w:szCs w:val="18"/>
                <w:highlight w:val="none"/>
              </w:rPr>
              <w:t>2.</w:t>
            </w:r>
            <w:r>
              <w:rPr>
                <w:highlight w:val="none"/>
              </w:rPr>
              <w:t xml:space="preserve"> </w:t>
            </w:r>
            <w:r>
              <w:rPr>
                <w:rFonts w:hint="eastAsia" w:ascii="仿宋_GB2312" w:hAnsi="宋体" w:eastAsia="仿宋_GB2312"/>
                <w:color w:val="000000"/>
                <w:sz w:val="18"/>
                <w:szCs w:val="18"/>
                <w:highlight w:val="none"/>
              </w:rPr>
              <w:t>疫情防控、集中整治、各类考核、重要活动安保等临时性、阶段性、突击性重点工作完成不力的，每次扣</w:t>
            </w:r>
            <w:r>
              <w:rPr>
                <w:rFonts w:ascii="仿宋_GB2312" w:hAnsi="宋体" w:eastAsia="仿宋_GB2312"/>
                <w:color w:val="000000"/>
                <w:sz w:val="18"/>
                <w:szCs w:val="18"/>
                <w:highlight w:val="none"/>
              </w:rPr>
              <w:t>5</w:t>
            </w:r>
            <w:r>
              <w:rPr>
                <w:rFonts w:hint="eastAsia" w:ascii="仿宋_GB2312" w:hAnsi="宋体" w:eastAsia="仿宋_GB2312"/>
                <w:color w:val="000000"/>
                <w:sz w:val="18"/>
                <w:szCs w:val="18"/>
                <w:highlight w:val="none"/>
              </w:rPr>
              <w:t>分。</w:t>
            </w:r>
          </w:p>
        </w:tc>
        <w:tc>
          <w:tcPr>
            <w:tcW w:w="602" w:type="dxa"/>
            <w:vMerge w:val="continue"/>
            <w:vAlign w:val="center"/>
          </w:tcPr>
          <w:p>
            <w:pPr>
              <w:spacing w:line="280" w:lineRule="exact"/>
              <w:jc w:val="center"/>
              <w:rPr>
                <w:rFonts w:ascii="仿宋_GB2312" w:hAnsi="宋体" w:eastAsia="仿宋_GB2312"/>
                <w:b/>
                <w:bCs/>
                <w:color w:val="000000"/>
                <w:sz w:val="18"/>
                <w:szCs w:val="18"/>
                <w:highlight w:val="none"/>
              </w:rPr>
            </w:pPr>
          </w:p>
        </w:tc>
        <w:tc>
          <w:tcPr>
            <w:tcW w:w="601" w:type="dxa"/>
            <w:vMerge w:val="continue"/>
            <w:vAlign w:val="center"/>
          </w:tcPr>
          <w:p>
            <w:pPr>
              <w:spacing w:line="280" w:lineRule="exact"/>
              <w:jc w:val="center"/>
              <w:rPr>
                <w:rFonts w:ascii="仿宋_GB2312" w:hAnsi="宋体" w:eastAsia="仿宋_GB2312"/>
                <w:b/>
                <w:color w:val="000000"/>
                <w:sz w:val="18"/>
                <w:szCs w:val="18"/>
                <w:highlight w:val="none"/>
              </w:rPr>
            </w:pPr>
          </w:p>
        </w:tc>
        <w:tc>
          <w:tcPr>
            <w:tcW w:w="594" w:type="dxa"/>
            <w:vMerge w:val="continue"/>
            <w:vAlign w:val="center"/>
          </w:tcPr>
          <w:p>
            <w:pPr>
              <w:spacing w:line="280" w:lineRule="exact"/>
              <w:jc w:val="center"/>
              <w:rPr>
                <w:rFonts w:ascii="仿宋_GB2312" w:hAnsi="宋体" w:eastAsia="仿宋_GB2312"/>
                <w:b/>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58" w:type="dxa"/>
            <w:vMerge w:val="continue"/>
            <w:vAlign w:val="center"/>
          </w:tcPr>
          <w:p>
            <w:pPr>
              <w:spacing w:line="240" w:lineRule="exact"/>
              <w:jc w:val="center"/>
              <w:rPr>
                <w:rFonts w:ascii="仿宋_GB2312" w:hAnsi="宋体" w:eastAsia="仿宋_GB2312"/>
                <w:b/>
                <w:sz w:val="18"/>
                <w:szCs w:val="18"/>
                <w:highlight w:val="none"/>
              </w:rPr>
            </w:pPr>
          </w:p>
        </w:tc>
        <w:tc>
          <w:tcPr>
            <w:tcW w:w="997" w:type="dxa"/>
            <w:vAlign w:val="center"/>
          </w:tcPr>
          <w:p>
            <w:pPr>
              <w:spacing w:line="240" w:lineRule="exact"/>
              <w:jc w:val="center"/>
              <w:rPr>
                <w:rFonts w:ascii="仿宋_GB2312" w:hAnsi="宋体" w:eastAsia="仿宋_GB2312"/>
                <w:b/>
                <w:sz w:val="18"/>
                <w:szCs w:val="18"/>
                <w:highlight w:val="none"/>
              </w:rPr>
            </w:pPr>
            <w:r>
              <w:rPr>
                <w:rFonts w:hint="eastAsia" w:ascii="仿宋_GB2312" w:hAnsi="宋体" w:eastAsia="仿宋_GB2312"/>
                <w:b/>
                <w:sz w:val="18"/>
                <w:szCs w:val="18"/>
                <w:highlight w:val="none"/>
              </w:rPr>
              <w:t>五、</w:t>
            </w:r>
          </w:p>
          <w:p>
            <w:pPr>
              <w:spacing w:line="240" w:lineRule="exact"/>
              <w:jc w:val="center"/>
              <w:rPr>
                <w:rFonts w:ascii="仿宋_GB2312" w:hAnsi="宋体" w:eastAsia="仿宋_GB2312"/>
                <w:b/>
                <w:sz w:val="18"/>
                <w:szCs w:val="18"/>
                <w:highlight w:val="none"/>
              </w:rPr>
            </w:pPr>
            <w:r>
              <w:rPr>
                <w:rFonts w:hint="eastAsia" w:ascii="仿宋_GB2312" w:hAnsi="宋体" w:eastAsia="仿宋_GB2312"/>
                <w:b/>
                <w:sz w:val="18"/>
                <w:szCs w:val="18"/>
                <w:highlight w:val="none"/>
              </w:rPr>
              <w:t>社会反映</w:t>
            </w:r>
          </w:p>
        </w:tc>
        <w:tc>
          <w:tcPr>
            <w:tcW w:w="7249" w:type="dxa"/>
            <w:gridSpan w:val="5"/>
            <w:vAlign w:val="center"/>
          </w:tcPr>
          <w:p>
            <w:pPr>
              <w:spacing w:line="280" w:lineRule="exact"/>
              <w:rPr>
                <w:rFonts w:ascii="仿宋_GB2312" w:hAnsi="宋体" w:eastAsia="仿宋_GB2312"/>
                <w:sz w:val="18"/>
                <w:szCs w:val="18"/>
                <w:highlight w:val="none"/>
              </w:rPr>
            </w:pPr>
            <w:r>
              <w:rPr>
                <w:rFonts w:ascii="仿宋_GB2312" w:hAnsi="宋体" w:eastAsia="仿宋_GB2312"/>
                <w:sz w:val="18"/>
                <w:szCs w:val="18"/>
                <w:highlight w:val="none"/>
              </w:rPr>
              <w:t>1.</w:t>
            </w:r>
            <w:r>
              <w:rPr>
                <w:rFonts w:hint="eastAsia" w:ascii="仿宋_GB2312" w:hAnsi="宋体" w:eastAsia="仿宋_GB2312"/>
                <w:sz w:val="18"/>
                <w:szCs w:val="18"/>
                <w:highlight w:val="none"/>
              </w:rPr>
              <w:t>受到反映、投诉或曝光情况属实或因公司工作原因被检查曝光的每项扣</w:t>
            </w:r>
            <w:r>
              <w:rPr>
                <w:rFonts w:ascii="仿宋_GB2312" w:hAnsi="宋体" w:eastAsia="仿宋_GB2312"/>
                <w:sz w:val="18"/>
                <w:szCs w:val="18"/>
                <w:highlight w:val="none"/>
              </w:rPr>
              <w:t>2</w:t>
            </w:r>
            <w:r>
              <w:rPr>
                <w:rFonts w:hint="eastAsia" w:ascii="仿宋_GB2312" w:hAnsi="宋体" w:eastAsia="仿宋_GB2312"/>
                <w:sz w:val="18"/>
                <w:szCs w:val="18"/>
                <w:highlight w:val="none"/>
              </w:rPr>
              <w:t>分。</w:t>
            </w:r>
          </w:p>
        </w:tc>
        <w:tc>
          <w:tcPr>
            <w:tcW w:w="602" w:type="dxa"/>
            <w:vMerge w:val="continue"/>
            <w:vAlign w:val="center"/>
          </w:tcPr>
          <w:p>
            <w:pPr>
              <w:spacing w:line="280" w:lineRule="exact"/>
              <w:jc w:val="center"/>
              <w:rPr>
                <w:rFonts w:ascii="仿宋_GB2312" w:hAnsi="宋体" w:eastAsia="仿宋_GB2312"/>
                <w:b/>
                <w:bCs/>
                <w:sz w:val="18"/>
                <w:szCs w:val="18"/>
                <w:highlight w:val="none"/>
              </w:rPr>
            </w:pPr>
          </w:p>
        </w:tc>
        <w:tc>
          <w:tcPr>
            <w:tcW w:w="601" w:type="dxa"/>
            <w:vMerge w:val="continue"/>
            <w:vAlign w:val="center"/>
          </w:tcPr>
          <w:p>
            <w:pPr>
              <w:spacing w:line="280" w:lineRule="exact"/>
              <w:jc w:val="center"/>
              <w:rPr>
                <w:rFonts w:ascii="仿宋_GB2312" w:hAnsi="宋体" w:eastAsia="仿宋_GB2312"/>
                <w:b/>
                <w:sz w:val="18"/>
                <w:szCs w:val="18"/>
                <w:highlight w:val="none"/>
              </w:rPr>
            </w:pPr>
          </w:p>
        </w:tc>
        <w:tc>
          <w:tcPr>
            <w:tcW w:w="594" w:type="dxa"/>
            <w:vMerge w:val="continue"/>
            <w:vAlign w:val="center"/>
          </w:tcPr>
          <w:p>
            <w:pPr>
              <w:spacing w:line="280" w:lineRule="exact"/>
              <w:jc w:val="center"/>
              <w:rPr>
                <w:rFonts w:ascii="仿宋_GB2312" w:hAnsi="宋体" w:eastAsia="仿宋_GB2312"/>
                <w:b/>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658" w:type="dxa"/>
          </w:tcPr>
          <w:p>
            <w:pPr>
              <w:spacing w:line="280" w:lineRule="exact"/>
              <w:rPr>
                <w:rFonts w:ascii="仿宋_GB2312" w:hAnsi="宋体" w:eastAsia="仿宋_GB2312"/>
                <w:b/>
                <w:sz w:val="18"/>
                <w:szCs w:val="18"/>
                <w:highlight w:val="none"/>
              </w:rPr>
            </w:pPr>
          </w:p>
        </w:tc>
        <w:tc>
          <w:tcPr>
            <w:tcW w:w="997" w:type="dxa"/>
          </w:tcPr>
          <w:p>
            <w:pPr>
              <w:spacing w:line="280" w:lineRule="exact"/>
              <w:rPr>
                <w:rFonts w:ascii="仿宋_GB2312" w:hAnsi="宋体" w:eastAsia="仿宋_GB2312"/>
                <w:b/>
                <w:sz w:val="18"/>
                <w:szCs w:val="18"/>
                <w:highlight w:val="none"/>
              </w:rPr>
            </w:pPr>
          </w:p>
        </w:tc>
        <w:tc>
          <w:tcPr>
            <w:tcW w:w="7249" w:type="dxa"/>
            <w:gridSpan w:val="5"/>
          </w:tcPr>
          <w:p>
            <w:pPr>
              <w:spacing w:line="280" w:lineRule="exact"/>
              <w:ind w:firstLine="2519" w:firstLineChars="1394"/>
              <w:rPr>
                <w:rFonts w:ascii="仿宋_GB2312" w:hAnsi="宋体" w:eastAsia="仿宋_GB2312"/>
                <w:b/>
                <w:sz w:val="18"/>
                <w:szCs w:val="18"/>
                <w:highlight w:val="none"/>
              </w:rPr>
            </w:pPr>
            <w:r>
              <w:rPr>
                <w:rFonts w:hint="eastAsia" w:ascii="仿宋_GB2312" w:hAnsi="宋体" w:eastAsia="仿宋_GB2312"/>
                <w:b/>
                <w:sz w:val="18"/>
                <w:szCs w:val="18"/>
                <w:highlight w:val="none"/>
              </w:rPr>
              <w:t>总评分</w:t>
            </w:r>
          </w:p>
        </w:tc>
        <w:tc>
          <w:tcPr>
            <w:tcW w:w="602" w:type="dxa"/>
          </w:tcPr>
          <w:p>
            <w:pPr>
              <w:spacing w:line="280" w:lineRule="exact"/>
              <w:rPr>
                <w:rFonts w:ascii="仿宋_GB2312" w:hAnsi="宋体" w:eastAsia="仿宋_GB2312"/>
                <w:b/>
                <w:sz w:val="18"/>
                <w:szCs w:val="18"/>
                <w:highlight w:val="none"/>
              </w:rPr>
            </w:pPr>
            <w:r>
              <w:rPr>
                <w:rFonts w:ascii="仿宋_GB2312" w:hAnsi="宋体" w:eastAsia="仿宋_GB2312"/>
                <w:b/>
                <w:sz w:val="18"/>
                <w:szCs w:val="18"/>
                <w:highlight w:val="none"/>
              </w:rPr>
              <w:t>100</w:t>
            </w:r>
          </w:p>
        </w:tc>
        <w:tc>
          <w:tcPr>
            <w:tcW w:w="601" w:type="dxa"/>
            <w:vAlign w:val="center"/>
          </w:tcPr>
          <w:p>
            <w:pPr>
              <w:spacing w:line="280" w:lineRule="exact"/>
              <w:jc w:val="center"/>
              <w:rPr>
                <w:rFonts w:ascii="仿宋_GB2312" w:hAnsi="宋体" w:eastAsia="仿宋_GB2312"/>
                <w:b/>
                <w:sz w:val="18"/>
                <w:szCs w:val="18"/>
                <w:highlight w:val="none"/>
              </w:rPr>
            </w:pPr>
          </w:p>
        </w:tc>
        <w:tc>
          <w:tcPr>
            <w:tcW w:w="594" w:type="dxa"/>
            <w:vAlign w:val="center"/>
          </w:tcPr>
          <w:p>
            <w:pPr>
              <w:spacing w:line="280" w:lineRule="exact"/>
              <w:jc w:val="center"/>
              <w:rPr>
                <w:rFonts w:ascii="仿宋_GB2312" w:hAnsi="宋体" w:eastAsia="仿宋_GB2312"/>
                <w:b/>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0701" w:type="dxa"/>
            <w:gridSpan w:val="10"/>
            <w:vAlign w:val="center"/>
          </w:tcPr>
          <w:p>
            <w:pPr>
              <w:spacing w:line="280" w:lineRule="exact"/>
              <w:ind w:firstLine="1661" w:firstLineChars="591"/>
              <w:rPr>
                <w:rFonts w:ascii="仿宋_GB2312" w:hAnsi="宋体" w:eastAsia="仿宋_GB2312"/>
                <w:b/>
                <w:sz w:val="28"/>
                <w:szCs w:val="28"/>
                <w:highlight w:val="none"/>
              </w:rPr>
            </w:pPr>
            <w:r>
              <w:rPr>
                <w:rFonts w:hint="eastAsia" w:ascii="仿宋_GB2312" w:hAnsi="宋体" w:eastAsia="仿宋_GB2312"/>
                <w:b/>
                <w:sz w:val="28"/>
                <w:szCs w:val="28"/>
                <w:highlight w:val="none"/>
              </w:rPr>
              <w:t>月最终得分</w:t>
            </w:r>
            <w:r>
              <w:rPr>
                <w:rFonts w:ascii="仿宋_GB2312" w:hAnsi="宋体" w:eastAsia="仿宋_GB2312"/>
                <w:b/>
                <w:sz w:val="28"/>
                <w:szCs w:val="28"/>
                <w:highlight w:val="none"/>
              </w:rPr>
              <w:t>=</w:t>
            </w:r>
            <w:r>
              <w:rPr>
                <w:rFonts w:hint="eastAsia" w:ascii="仿宋_GB2312" w:hAnsi="宋体" w:eastAsia="仿宋_GB2312"/>
                <w:b/>
                <w:sz w:val="28"/>
                <w:szCs w:val="28"/>
                <w:highlight w:val="none"/>
              </w:rPr>
              <w:t>执法队考核组月度评分×</w:t>
            </w:r>
            <w:r>
              <w:rPr>
                <w:rFonts w:ascii="仿宋_GB2312" w:hAnsi="宋体" w:eastAsia="仿宋_GB2312"/>
                <w:b/>
                <w:sz w:val="28"/>
                <w:szCs w:val="28"/>
                <w:highlight w:val="none"/>
              </w:rPr>
              <w:t>40%+</w:t>
            </w:r>
            <w:r>
              <w:rPr>
                <w:rFonts w:hint="eastAsia" w:ascii="仿宋_GB2312" w:hAnsi="宋体" w:eastAsia="仿宋_GB2312"/>
                <w:b/>
                <w:sz w:val="28"/>
                <w:szCs w:val="28"/>
                <w:highlight w:val="none"/>
              </w:rPr>
              <w:t>分队月度评分×</w:t>
            </w:r>
            <w:r>
              <w:rPr>
                <w:rFonts w:ascii="仿宋_GB2312" w:hAnsi="宋体" w:eastAsia="仿宋_GB2312"/>
                <w:b/>
                <w:sz w:val="28"/>
                <w:szCs w:val="28"/>
                <w:highlight w:val="none"/>
              </w:rPr>
              <w:t>60%</w:t>
            </w:r>
          </w:p>
        </w:tc>
      </w:tr>
    </w:tbl>
    <w:p>
      <w:pPr>
        <w:pStyle w:val="17"/>
        <w:spacing w:after="0" w:line="360" w:lineRule="auto"/>
        <w:ind w:left="0" w:leftChars="0" w:firstLine="562" w:firstLineChars="200"/>
        <w:jc w:val="center"/>
        <w:outlineLvl w:val="0"/>
        <w:rPr>
          <w:rFonts w:ascii="宋体"/>
          <w:b/>
          <w:sz w:val="28"/>
          <w:szCs w:val="28"/>
        </w:rPr>
      </w:pPr>
      <w:bookmarkStart w:id="28" w:name="_Toc18793"/>
      <w:r>
        <w:rPr>
          <w:rFonts w:hint="eastAsia" w:ascii="宋体"/>
          <w:b/>
          <w:sz w:val="28"/>
          <w:szCs w:val="28"/>
          <w:highlight w:val="none"/>
        </w:rPr>
        <w:t>第四章</w:t>
      </w:r>
      <w:r>
        <w:rPr>
          <w:rFonts w:ascii="宋体"/>
          <w:b/>
          <w:sz w:val="28"/>
          <w:szCs w:val="28"/>
          <w:highlight w:val="none"/>
        </w:rPr>
        <w:t xml:space="preserve">  </w:t>
      </w:r>
      <w:r>
        <w:rPr>
          <w:rFonts w:hint="eastAsia" w:ascii="宋体"/>
          <w:b/>
          <w:sz w:val="28"/>
          <w:szCs w:val="28"/>
          <w:highlight w:val="none"/>
        </w:rPr>
        <w:t>采</w:t>
      </w:r>
      <w:r>
        <w:rPr>
          <w:rFonts w:hint="eastAsia" w:ascii="宋体"/>
          <w:b/>
          <w:sz w:val="28"/>
          <w:szCs w:val="28"/>
        </w:rPr>
        <w:t>购合同主要条款</w:t>
      </w:r>
      <w:bookmarkEnd w:id="28"/>
    </w:p>
    <w:p>
      <w:pPr>
        <w:pStyle w:val="15"/>
        <w:spacing w:line="360" w:lineRule="auto"/>
        <w:ind w:left="321" w:hanging="321" w:hangingChars="100"/>
        <w:jc w:val="center"/>
        <w:outlineLvl w:val="0"/>
        <w:rPr>
          <w:b/>
          <w:sz w:val="32"/>
          <w:szCs w:val="32"/>
        </w:rPr>
      </w:pPr>
      <w:bookmarkStart w:id="29" w:name="_Toc32684"/>
      <w:r>
        <w:rPr>
          <w:rFonts w:hint="eastAsia"/>
          <w:b/>
          <w:sz w:val="32"/>
          <w:szCs w:val="32"/>
        </w:rPr>
        <w:t>（样稿，以实际签订为准）</w:t>
      </w:r>
      <w:bookmarkEnd w:id="29"/>
    </w:p>
    <w:p>
      <w:pPr>
        <w:spacing w:line="360" w:lineRule="auto"/>
        <w:ind w:firstLine="1470" w:firstLineChars="700"/>
        <w:jc w:val="center"/>
        <w:rPr>
          <w:rFonts w:ascii="黑体" w:eastAsia="黑体" w:cs="Arial"/>
          <w:kern w:val="0"/>
          <w:szCs w:val="21"/>
        </w:rPr>
      </w:pPr>
      <w:r>
        <w:rPr>
          <w:rFonts w:hint="eastAsia" w:ascii="黑体" w:eastAsia="黑体" w:cs="Arial"/>
          <w:kern w:val="0"/>
          <w:szCs w:val="21"/>
        </w:rPr>
        <w:t>一、通用必备条款部分</w:t>
      </w:r>
    </w:p>
    <w:p>
      <w:pPr>
        <w:pStyle w:val="15"/>
        <w:spacing w:line="430" w:lineRule="exact"/>
        <w:ind w:firstLine="420" w:firstLineChars="200"/>
        <w:rPr>
          <w:rFonts w:hAnsi="宋体"/>
          <w:sz w:val="21"/>
          <w:szCs w:val="21"/>
        </w:rPr>
      </w:pPr>
      <w:r>
        <w:rPr>
          <w:rFonts w:hint="eastAsia" w:hAnsi="宋体"/>
          <w:sz w:val="21"/>
          <w:szCs w:val="21"/>
        </w:rPr>
        <w:t>项目编号：</w:t>
      </w:r>
    </w:p>
    <w:p>
      <w:pPr>
        <w:pStyle w:val="15"/>
        <w:spacing w:line="430" w:lineRule="exact"/>
        <w:ind w:firstLine="420" w:firstLineChars="200"/>
        <w:rPr>
          <w:rFonts w:hAnsi="宋体"/>
          <w:sz w:val="21"/>
          <w:szCs w:val="21"/>
        </w:rPr>
      </w:pPr>
      <w:r>
        <w:rPr>
          <w:rFonts w:hint="eastAsia" w:hAnsi="宋体"/>
          <w:sz w:val="21"/>
          <w:szCs w:val="21"/>
        </w:rPr>
        <w:t>项目名称：</w:t>
      </w:r>
    </w:p>
    <w:p>
      <w:pPr>
        <w:pStyle w:val="15"/>
        <w:spacing w:line="430" w:lineRule="exact"/>
        <w:ind w:firstLine="420" w:firstLineChars="200"/>
        <w:rPr>
          <w:rFonts w:cs="Arial"/>
          <w:szCs w:val="21"/>
        </w:rPr>
      </w:pPr>
      <w:r>
        <w:rPr>
          <w:rFonts w:hint="eastAsia" w:hAnsi="宋体"/>
          <w:sz w:val="21"/>
          <w:szCs w:val="21"/>
        </w:rPr>
        <w:t>甲方：</w:t>
      </w:r>
      <w:r>
        <w:rPr>
          <w:rFonts w:ascii="Verdana" w:hAnsi="Verdana"/>
          <w:sz w:val="21"/>
          <w:szCs w:val="21"/>
        </w:rPr>
        <w:t xml:space="preserve">  </w:t>
      </w:r>
      <w:r>
        <w:rPr>
          <w:rFonts w:hint="eastAsia" w:cs="Arial"/>
          <w:szCs w:val="21"/>
        </w:rPr>
        <w:t>嘉兴港区（综合保税区）综合行政执法队</w:t>
      </w:r>
    </w:p>
    <w:p>
      <w:pPr>
        <w:pStyle w:val="15"/>
        <w:spacing w:line="430" w:lineRule="exact"/>
        <w:ind w:firstLine="420" w:firstLineChars="200"/>
        <w:rPr>
          <w:rFonts w:hAnsi="宋体"/>
          <w:sz w:val="21"/>
          <w:szCs w:val="21"/>
        </w:rPr>
      </w:pPr>
      <w:r>
        <w:rPr>
          <w:rFonts w:hint="eastAsia" w:hAnsi="宋体"/>
          <w:sz w:val="21"/>
          <w:szCs w:val="21"/>
        </w:rPr>
        <w:t>乙方：</w:t>
      </w:r>
    </w:p>
    <w:p>
      <w:pPr>
        <w:pStyle w:val="15"/>
        <w:spacing w:line="430" w:lineRule="exact"/>
        <w:ind w:firstLine="420" w:firstLineChars="200"/>
        <w:rPr>
          <w:rFonts w:hAnsi="宋体"/>
          <w:b/>
          <w:sz w:val="21"/>
          <w:szCs w:val="21"/>
        </w:rPr>
      </w:pPr>
      <w:r>
        <w:rPr>
          <w:rFonts w:hint="eastAsia" w:hAnsi="宋体"/>
          <w:sz w:val="21"/>
          <w:szCs w:val="21"/>
        </w:rPr>
        <w:t>甲、乙双方根据</w:t>
      </w:r>
      <w:r>
        <w:rPr>
          <w:rFonts w:hAnsi="宋体"/>
          <w:sz w:val="21"/>
          <w:szCs w:val="21"/>
          <w:u w:val="single"/>
        </w:rPr>
        <w:t xml:space="preserve">                   </w:t>
      </w:r>
      <w:r>
        <w:rPr>
          <w:rFonts w:hint="eastAsia" w:hAnsi="宋体"/>
          <w:sz w:val="21"/>
          <w:szCs w:val="21"/>
        </w:rPr>
        <w:t>政府采购预算执行确认书，签订本合同。</w:t>
      </w:r>
    </w:p>
    <w:p>
      <w:pPr>
        <w:spacing w:line="430" w:lineRule="exact"/>
        <w:ind w:firstLine="422" w:firstLineChars="200"/>
        <w:rPr>
          <w:rFonts w:ascii="宋体"/>
          <w:b/>
          <w:szCs w:val="21"/>
        </w:rPr>
      </w:pPr>
    </w:p>
    <w:p>
      <w:pPr>
        <w:spacing w:line="430" w:lineRule="exact"/>
        <w:ind w:firstLine="422" w:firstLineChars="200"/>
        <w:rPr>
          <w:rFonts w:ascii="宋体"/>
          <w:b/>
          <w:szCs w:val="21"/>
        </w:rPr>
      </w:pPr>
      <w:r>
        <w:rPr>
          <w:rFonts w:hint="eastAsia" w:ascii="宋体" w:hAnsi="宋体"/>
          <w:b/>
          <w:szCs w:val="21"/>
        </w:rPr>
        <w:t>一、主要内容：</w:t>
      </w:r>
    </w:p>
    <w:p>
      <w:pPr>
        <w:snapToGrid w:val="0"/>
        <w:spacing w:line="430" w:lineRule="exact"/>
        <w:ind w:firstLine="422" w:firstLineChars="200"/>
        <w:rPr>
          <w:rFonts w:ascii="宋体"/>
          <w:b/>
          <w:szCs w:val="21"/>
        </w:rPr>
      </w:pPr>
    </w:p>
    <w:p>
      <w:pPr>
        <w:snapToGrid w:val="0"/>
        <w:spacing w:line="430" w:lineRule="exact"/>
        <w:ind w:firstLine="422" w:firstLineChars="200"/>
        <w:rPr>
          <w:rFonts w:ascii="宋体"/>
          <w:b/>
          <w:szCs w:val="21"/>
        </w:rPr>
      </w:pPr>
      <w:r>
        <w:rPr>
          <w:rFonts w:hint="eastAsia" w:ascii="宋体" w:hAnsi="宋体"/>
          <w:b/>
          <w:szCs w:val="21"/>
        </w:rPr>
        <w:t>二、合同期限及金额：</w:t>
      </w:r>
    </w:p>
    <w:p>
      <w:pPr>
        <w:spacing w:line="430" w:lineRule="exact"/>
        <w:ind w:firstLine="525" w:firstLineChars="250"/>
        <w:jc w:val="left"/>
        <w:rPr>
          <w:rFonts w:ascii="宋体" w:cs="宋体"/>
          <w:kern w:val="0"/>
          <w:szCs w:val="21"/>
        </w:rPr>
      </w:pPr>
      <w:r>
        <w:rPr>
          <w:rFonts w:hint="eastAsia" w:ascii="宋体" w:hAnsi="宋体" w:cs="宋体"/>
          <w:kern w:val="0"/>
          <w:szCs w:val="21"/>
        </w:rPr>
        <w:t>一年（</w:t>
      </w:r>
      <w:r>
        <w:rPr>
          <w:rFonts w:ascii="宋体" w:hAnsi="宋体" w:cs="宋体"/>
          <w:kern w:val="0"/>
          <w:szCs w:val="21"/>
          <w:u w:val="single"/>
        </w:rPr>
        <w:t xml:space="preserve">   </w:t>
      </w:r>
      <w:r>
        <w:rPr>
          <w:rFonts w:hint="eastAsia" w:ascii="宋体" w:hAnsi="宋体" w:cs="宋体"/>
          <w:kern w:val="0"/>
          <w:szCs w:val="21"/>
        </w:rPr>
        <w:t>年</w:t>
      </w:r>
      <w:r>
        <w:rPr>
          <w:rFonts w:ascii="宋体" w:hAnsi="宋体" w:cs="宋体"/>
          <w:kern w:val="0"/>
          <w:szCs w:val="21"/>
          <w:u w:val="single"/>
        </w:rPr>
        <w:t xml:space="preserve">   </w:t>
      </w:r>
      <w:r>
        <w:rPr>
          <w:rFonts w:hint="eastAsia" w:ascii="宋体" w:hAnsi="宋体" w:cs="宋体"/>
          <w:kern w:val="0"/>
          <w:szCs w:val="21"/>
        </w:rPr>
        <w:t>月</w:t>
      </w:r>
      <w:r>
        <w:rPr>
          <w:rFonts w:ascii="宋体" w:hAnsi="宋体" w:cs="宋体"/>
          <w:kern w:val="0"/>
          <w:szCs w:val="21"/>
        </w:rPr>
        <w:t xml:space="preserve"> </w:t>
      </w:r>
      <w:r>
        <w:rPr>
          <w:rFonts w:ascii="宋体" w:hAnsi="宋体" w:cs="宋体"/>
          <w:kern w:val="0"/>
          <w:szCs w:val="21"/>
          <w:u w:val="single"/>
        </w:rPr>
        <w:t xml:space="preserve">   </w:t>
      </w:r>
      <w:r>
        <w:rPr>
          <w:rFonts w:hint="eastAsia" w:ascii="宋体" w:hAnsi="宋体" w:cs="宋体"/>
          <w:kern w:val="0"/>
          <w:szCs w:val="21"/>
        </w:rPr>
        <w:t>日</w:t>
      </w:r>
      <w:r>
        <w:rPr>
          <w:rFonts w:ascii="宋体" w:hAnsi="宋体" w:cs="宋体"/>
          <w:kern w:val="0"/>
          <w:szCs w:val="21"/>
        </w:rPr>
        <w:t xml:space="preserve">- </w:t>
      </w:r>
      <w:r>
        <w:rPr>
          <w:rFonts w:ascii="宋体" w:hAnsi="宋体" w:cs="宋体"/>
          <w:kern w:val="0"/>
          <w:szCs w:val="21"/>
          <w:u w:val="single"/>
        </w:rPr>
        <w:t xml:space="preserve">  </w:t>
      </w:r>
      <w:r>
        <w:rPr>
          <w:rFonts w:hint="eastAsia" w:ascii="宋体" w:hAnsi="宋体" w:cs="宋体"/>
          <w:kern w:val="0"/>
          <w:szCs w:val="21"/>
        </w:rPr>
        <w:t>年</w:t>
      </w:r>
      <w:r>
        <w:rPr>
          <w:rFonts w:ascii="宋体" w:hAnsi="宋体" w:cs="宋体"/>
          <w:kern w:val="0"/>
          <w:szCs w:val="21"/>
          <w:u w:val="single"/>
        </w:rPr>
        <w:t xml:space="preserve">   </w:t>
      </w:r>
      <w:r>
        <w:rPr>
          <w:rFonts w:hint="eastAsia" w:ascii="宋体" w:hAnsi="宋体" w:cs="宋体"/>
          <w:kern w:val="0"/>
          <w:szCs w:val="21"/>
        </w:rPr>
        <w:t>月</w:t>
      </w:r>
      <w:r>
        <w:rPr>
          <w:rFonts w:ascii="宋体" w:hAnsi="宋体" w:cs="宋体"/>
          <w:kern w:val="0"/>
          <w:szCs w:val="21"/>
        </w:rPr>
        <w:t xml:space="preserve"> </w:t>
      </w:r>
      <w:r>
        <w:rPr>
          <w:rFonts w:ascii="宋体" w:hAnsi="宋体" w:cs="宋体"/>
          <w:kern w:val="0"/>
          <w:szCs w:val="21"/>
          <w:u w:val="single"/>
        </w:rPr>
        <w:t xml:space="preserve">   </w:t>
      </w:r>
      <w:r>
        <w:rPr>
          <w:rFonts w:hint="eastAsia" w:ascii="宋体" w:hAnsi="宋体" w:cs="宋体"/>
          <w:kern w:val="0"/>
          <w:szCs w:val="21"/>
        </w:rPr>
        <w:t>日）</w:t>
      </w:r>
    </w:p>
    <w:p>
      <w:pPr>
        <w:spacing w:line="430" w:lineRule="exact"/>
        <w:ind w:firstLine="525" w:firstLineChars="250"/>
        <w:jc w:val="left"/>
        <w:rPr>
          <w:rFonts w:ascii="宋体" w:cs="宋体"/>
          <w:kern w:val="0"/>
          <w:szCs w:val="21"/>
        </w:rPr>
      </w:pPr>
      <w:r>
        <w:rPr>
          <w:rFonts w:hint="eastAsia" w:ascii="宋体" w:hAnsi="宋体" w:cs="宋体"/>
          <w:kern w:val="0"/>
          <w:szCs w:val="21"/>
        </w:rPr>
        <w:t>在合同期满前一个月，采购单位将对中标人在合同期内的工作表现做出评价以决定是否续约。如中标人达到采购单位各项考核标准，双方协商，经财政部门批准后，合同承包期限可顺延一年（费用与上一年一致，不作调整），</w:t>
      </w:r>
      <w:r>
        <w:rPr>
          <w:rFonts w:hint="eastAsia"/>
          <w:szCs w:val="21"/>
        </w:rPr>
        <w:t>续签最长不超过</w:t>
      </w:r>
      <w:r>
        <w:rPr>
          <w:szCs w:val="21"/>
        </w:rPr>
        <w:t>2</w:t>
      </w:r>
      <w:r>
        <w:rPr>
          <w:rFonts w:hint="eastAsia"/>
          <w:szCs w:val="21"/>
        </w:rPr>
        <w:t>次</w:t>
      </w:r>
      <w:r>
        <w:rPr>
          <w:rFonts w:hint="eastAsia" w:ascii="宋体" w:hAnsi="宋体" w:cs="宋体"/>
          <w:kern w:val="0"/>
          <w:szCs w:val="21"/>
        </w:rPr>
        <w:t>。</w:t>
      </w:r>
    </w:p>
    <w:p>
      <w:pPr>
        <w:pStyle w:val="15"/>
        <w:spacing w:line="430" w:lineRule="exact"/>
        <w:ind w:firstLine="422" w:firstLineChars="200"/>
        <w:rPr>
          <w:rFonts w:hAnsi="宋体"/>
          <w:b/>
          <w:sz w:val="21"/>
          <w:szCs w:val="21"/>
        </w:rPr>
      </w:pPr>
    </w:p>
    <w:p>
      <w:pPr>
        <w:pStyle w:val="15"/>
        <w:spacing w:line="430" w:lineRule="exact"/>
        <w:ind w:firstLine="422" w:firstLineChars="200"/>
        <w:rPr>
          <w:rFonts w:hAnsi="宋体"/>
          <w:b/>
          <w:sz w:val="21"/>
          <w:szCs w:val="21"/>
        </w:rPr>
      </w:pPr>
      <w:r>
        <w:rPr>
          <w:rFonts w:hint="eastAsia" w:hAnsi="宋体"/>
          <w:b/>
          <w:sz w:val="21"/>
          <w:szCs w:val="21"/>
        </w:rPr>
        <w:t>三、技术资料</w:t>
      </w:r>
    </w:p>
    <w:p>
      <w:pPr>
        <w:pStyle w:val="15"/>
        <w:spacing w:line="430" w:lineRule="exact"/>
        <w:ind w:firstLine="420" w:firstLineChars="200"/>
        <w:rPr>
          <w:rFonts w:hAnsi="宋体"/>
          <w:sz w:val="21"/>
          <w:szCs w:val="21"/>
        </w:rPr>
      </w:pPr>
      <w:r>
        <w:rPr>
          <w:rFonts w:hAnsi="宋体"/>
          <w:sz w:val="21"/>
          <w:szCs w:val="21"/>
        </w:rPr>
        <w:t>1</w:t>
      </w:r>
      <w:r>
        <w:rPr>
          <w:rFonts w:hint="eastAsia" w:hAnsi="宋体"/>
          <w:sz w:val="21"/>
          <w:szCs w:val="21"/>
        </w:rPr>
        <w:t>、乙方应按招标文件规定的时间向甲方提供有关技术资料。</w:t>
      </w:r>
    </w:p>
    <w:p>
      <w:pPr>
        <w:pStyle w:val="15"/>
        <w:spacing w:line="430" w:lineRule="exact"/>
        <w:ind w:firstLine="420" w:firstLineChars="200"/>
        <w:rPr>
          <w:rFonts w:hAnsi="宋体"/>
          <w:sz w:val="21"/>
          <w:szCs w:val="21"/>
        </w:rPr>
      </w:pPr>
      <w:r>
        <w:rPr>
          <w:rFonts w:hAnsi="宋体"/>
          <w:sz w:val="21"/>
          <w:szCs w:val="21"/>
        </w:rPr>
        <w:t>2</w:t>
      </w:r>
      <w:r>
        <w:rPr>
          <w:rFonts w:hint="eastAsia" w:hAnsi="宋体"/>
          <w:sz w:val="21"/>
          <w:szCs w:val="21"/>
        </w:rPr>
        <w:t>、没有甲方事先书面同意，乙方不得将甲方提供的有关合同或任何合同条文、规格、计划、图纸、样品或资料提供给与履行本合同无关的任何其他人。即使向履行本合同有关的人员提供，也应注意保密并限于履行合同的必需范围。</w:t>
      </w:r>
    </w:p>
    <w:p>
      <w:pPr>
        <w:pStyle w:val="15"/>
        <w:spacing w:line="430" w:lineRule="exact"/>
        <w:ind w:firstLine="422" w:firstLineChars="200"/>
        <w:rPr>
          <w:rFonts w:hAnsi="宋体"/>
          <w:b/>
          <w:sz w:val="21"/>
          <w:szCs w:val="21"/>
        </w:rPr>
      </w:pPr>
    </w:p>
    <w:p>
      <w:pPr>
        <w:pStyle w:val="15"/>
        <w:spacing w:line="430" w:lineRule="exact"/>
        <w:ind w:firstLine="422" w:firstLineChars="200"/>
        <w:rPr>
          <w:rFonts w:hAnsi="宋体"/>
          <w:b/>
          <w:sz w:val="21"/>
          <w:szCs w:val="21"/>
        </w:rPr>
      </w:pPr>
      <w:r>
        <w:rPr>
          <w:rFonts w:hint="eastAsia" w:hAnsi="宋体"/>
          <w:b/>
          <w:sz w:val="21"/>
          <w:szCs w:val="21"/>
        </w:rPr>
        <w:t>四、知识产权</w:t>
      </w:r>
    </w:p>
    <w:p>
      <w:pPr>
        <w:pStyle w:val="15"/>
        <w:spacing w:line="430" w:lineRule="exact"/>
        <w:ind w:firstLine="420" w:firstLineChars="200"/>
        <w:rPr>
          <w:rFonts w:hAnsi="宋体"/>
          <w:b/>
          <w:bCs/>
          <w:sz w:val="21"/>
          <w:szCs w:val="21"/>
        </w:rPr>
      </w:pPr>
      <w:r>
        <w:rPr>
          <w:rFonts w:hint="eastAsia" w:hAnsi="宋体"/>
          <w:sz w:val="21"/>
          <w:szCs w:val="21"/>
        </w:rPr>
        <w:t>乙方应保证提供服务过程中不会侵犯任何第三方的知识产权</w:t>
      </w:r>
      <w:r>
        <w:rPr>
          <w:rFonts w:hint="eastAsia" w:hAnsi="宋体"/>
          <w:bCs/>
          <w:sz w:val="21"/>
          <w:szCs w:val="21"/>
        </w:rPr>
        <w:t>。</w:t>
      </w:r>
    </w:p>
    <w:p>
      <w:pPr>
        <w:pStyle w:val="15"/>
        <w:spacing w:line="430" w:lineRule="exact"/>
        <w:ind w:firstLine="422" w:firstLineChars="200"/>
        <w:rPr>
          <w:rFonts w:hAnsi="宋体"/>
          <w:b/>
          <w:sz w:val="21"/>
          <w:szCs w:val="21"/>
        </w:rPr>
      </w:pPr>
    </w:p>
    <w:p>
      <w:pPr>
        <w:pStyle w:val="15"/>
        <w:spacing w:line="430" w:lineRule="exact"/>
        <w:ind w:firstLine="422" w:firstLineChars="200"/>
        <w:rPr>
          <w:rFonts w:hAnsi="宋体"/>
          <w:b/>
          <w:sz w:val="21"/>
          <w:szCs w:val="21"/>
        </w:rPr>
      </w:pPr>
      <w:r>
        <w:rPr>
          <w:rFonts w:hint="eastAsia" w:hAnsi="宋体"/>
          <w:b/>
          <w:sz w:val="21"/>
          <w:szCs w:val="21"/>
        </w:rPr>
        <w:t>五、履约保证金</w:t>
      </w:r>
    </w:p>
    <w:p>
      <w:pPr>
        <w:tabs>
          <w:tab w:val="left" w:pos="420"/>
          <w:tab w:val="left" w:pos="540"/>
        </w:tabs>
        <w:spacing w:line="430" w:lineRule="exact"/>
        <w:ind w:firstLine="420" w:firstLineChars="200"/>
        <w:rPr>
          <w:rFonts w:ascii="宋体"/>
          <w:szCs w:val="21"/>
        </w:rPr>
      </w:pPr>
      <w:r>
        <w:rPr>
          <w:rFonts w:hint="eastAsia" w:ascii="宋体" w:hAnsi="宋体"/>
          <w:szCs w:val="21"/>
        </w:rPr>
        <w:t>乙方交纳人民币</w:t>
      </w:r>
      <w:r>
        <w:rPr>
          <w:rFonts w:ascii="宋体" w:hAnsi="宋体"/>
          <w:szCs w:val="21"/>
          <w:u w:val="single"/>
        </w:rPr>
        <w:t xml:space="preserve">       </w:t>
      </w:r>
      <w:r>
        <w:rPr>
          <w:rFonts w:hint="eastAsia" w:ascii="宋体" w:hAnsi="宋体"/>
          <w:szCs w:val="21"/>
          <w:u w:val="single"/>
        </w:rPr>
        <w:t>元</w:t>
      </w:r>
      <w:r>
        <w:rPr>
          <w:rFonts w:hint="eastAsia" w:ascii="宋体" w:hAnsi="宋体"/>
          <w:szCs w:val="21"/>
        </w:rPr>
        <w:t>整作为本合同履约保证金，</w:t>
      </w:r>
      <w:r>
        <w:rPr>
          <w:rFonts w:hint="eastAsia" w:hAnsi="宋体"/>
          <w:szCs w:val="21"/>
        </w:rPr>
        <w:t>服务期满后退还</w:t>
      </w:r>
      <w:r>
        <w:rPr>
          <w:rFonts w:hint="eastAsia" w:ascii="宋体" w:hAnsi="宋体"/>
          <w:szCs w:val="21"/>
        </w:rPr>
        <w:t>，甲方退乙方合同履约金（不计息）。</w:t>
      </w:r>
    </w:p>
    <w:p>
      <w:pPr>
        <w:tabs>
          <w:tab w:val="left" w:pos="420"/>
          <w:tab w:val="left" w:pos="540"/>
        </w:tabs>
        <w:spacing w:line="430" w:lineRule="exact"/>
        <w:ind w:firstLine="420" w:firstLineChars="200"/>
        <w:rPr>
          <w:rFonts w:ascii="宋体"/>
          <w:szCs w:val="21"/>
        </w:rPr>
      </w:pPr>
    </w:p>
    <w:p>
      <w:pPr>
        <w:pStyle w:val="15"/>
        <w:spacing w:line="430" w:lineRule="exact"/>
        <w:ind w:firstLine="422" w:firstLineChars="200"/>
        <w:rPr>
          <w:rFonts w:hAnsi="宋体"/>
          <w:b/>
          <w:sz w:val="21"/>
          <w:szCs w:val="21"/>
        </w:rPr>
      </w:pPr>
      <w:r>
        <w:rPr>
          <w:rFonts w:hint="eastAsia" w:hAnsi="宋体"/>
          <w:b/>
          <w:sz w:val="21"/>
          <w:szCs w:val="21"/>
        </w:rPr>
        <w:t>六、转包或分包</w:t>
      </w:r>
    </w:p>
    <w:p>
      <w:pPr>
        <w:spacing w:line="430" w:lineRule="exact"/>
        <w:ind w:firstLine="420" w:firstLineChars="200"/>
        <w:rPr>
          <w:rFonts w:ascii="宋体"/>
          <w:szCs w:val="21"/>
        </w:rPr>
      </w:pPr>
      <w:r>
        <w:rPr>
          <w:rFonts w:ascii="宋体" w:hAnsi="宋体"/>
          <w:szCs w:val="21"/>
        </w:rPr>
        <w:t>1</w:t>
      </w:r>
      <w:r>
        <w:rPr>
          <w:rFonts w:hint="eastAsia" w:ascii="宋体" w:hAnsi="宋体"/>
          <w:szCs w:val="21"/>
        </w:rPr>
        <w:t>、除非得到需方的书面同意，供方不得部分分包给他人供应。需方有绝对权力阻止分包。</w:t>
      </w:r>
    </w:p>
    <w:p>
      <w:pPr>
        <w:spacing w:line="430" w:lineRule="exact"/>
        <w:ind w:firstLine="420" w:firstLineChars="200"/>
        <w:rPr>
          <w:rFonts w:ascii="宋体"/>
          <w:szCs w:val="21"/>
        </w:rPr>
      </w:pPr>
      <w:r>
        <w:rPr>
          <w:rFonts w:ascii="宋体" w:hAnsi="宋体"/>
          <w:szCs w:val="21"/>
        </w:rPr>
        <w:t>2</w:t>
      </w:r>
      <w:r>
        <w:rPr>
          <w:rFonts w:hint="eastAsia" w:ascii="宋体" w:hAnsi="宋体"/>
          <w:szCs w:val="21"/>
        </w:rPr>
        <w:t>、如有转让和未经需方同意的分包行为，需方有权给予终止合同。</w:t>
      </w:r>
    </w:p>
    <w:p>
      <w:pPr>
        <w:pStyle w:val="15"/>
        <w:spacing w:line="430" w:lineRule="exact"/>
        <w:ind w:firstLine="422" w:firstLineChars="200"/>
        <w:rPr>
          <w:rFonts w:hAnsi="宋体"/>
          <w:b/>
          <w:sz w:val="21"/>
          <w:szCs w:val="21"/>
        </w:rPr>
      </w:pPr>
    </w:p>
    <w:p>
      <w:pPr>
        <w:pStyle w:val="15"/>
        <w:spacing w:line="430" w:lineRule="exact"/>
        <w:ind w:firstLine="422" w:firstLineChars="200"/>
        <w:rPr>
          <w:rFonts w:hAnsi="宋体"/>
          <w:b/>
          <w:sz w:val="21"/>
          <w:szCs w:val="21"/>
        </w:rPr>
      </w:pPr>
      <w:r>
        <w:rPr>
          <w:rFonts w:hint="eastAsia" w:hAnsi="宋体"/>
          <w:b/>
          <w:sz w:val="21"/>
          <w:szCs w:val="21"/>
        </w:rPr>
        <w:t>七、款项支付</w:t>
      </w:r>
    </w:p>
    <w:p>
      <w:pPr>
        <w:spacing w:line="430" w:lineRule="exact"/>
        <w:ind w:firstLine="420" w:firstLineChars="200"/>
        <w:jc w:val="left"/>
        <w:rPr>
          <w:rFonts w:ascii="宋体"/>
          <w:szCs w:val="21"/>
        </w:rPr>
      </w:pPr>
      <w:r>
        <w:rPr>
          <w:rFonts w:hint="eastAsia" w:ascii="宋体" w:hAnsi="宋体"/>
          <w:szCs w:val="21"/>
        </w:rPr>
        <w:t>合同签订生效具备实施条件后</w:t>
      </w:r>
      <w:r>
        <w:rPr>
          <w:rFonts w:ascii="宋体" w:hAnsi="宋体"/>
          <w:szCs w:val="21"/>
        </w:rPr>
        <w:t>7</w:t>
      </w:r>
      <w:r>
        <w:rPr>
          <w:rFonts w:hint="eastAsia" w:ascii="宋体" w:hAnsi="宋体"/>
          <w:szCs w:val="21"/>
        </w:rPr>
        <w:t>个工作日内支付合同价的</w:t>
      </w:r>
      <w:r>
        <w:rPr>
          <w:rFonts w:ascii="宋体" w:hAnsi="宋体"/>
          <w:szCs w:val="21"/>
        </w:rPr>
        <w:t>20%</w:t>
      </w:r>
      <w:r>
        <w:rPr>
          <w:rFonts w:hint="eastAsia" w:ascii="宋体" w:hAnsi="宋体"/>
          <w:szCs w:val="21"/>
        </w:rPr>
        <w:t>，其余招标单位根据月度考核结果及实际人数每季度支付一次中标方服务费用。（人数有增减的，按实际人数另行商定支付）</w:t>
      </w:r>
    </w:p>
    <w:p>
      <w:pPr>
        <w:spacing w:line="430" w:lineRule="exact"/>
        <w:ind w:firstLine="422" w:firstLineChars="200"/>
        <w:rPr>
          <w:rFonts w:ascii="宋体"/>
          <w:b/>
          <w:szCs w:val="21"/>
        </w:rPr>
      </w:pPr>
    </w:p>
    <w:p>
      <w:pPr>
        <w:spacing w:line="430" w:lineRule="exact"/>
        <w:ind w:firstLine="422" w:firstLineChars="200"/>
        <w:rPr>
          <w:rFonts w:ascii="宋体"/>
          <w:szCs w:val="21"/>
        </w:rPr>
      </w:pPr>
      <w:r>
        <w:rPr>
          <w:rFonts w:hint="eastAsia" w:ascii="宋体" w:hAnsi="宋体"/>
          <w:b/>
          <w:szCs w:val="21"/>
        </w:rPr>
        <w:t>八、</w:t>
      </w:r>
      <w:r>
        <w:rPr>
          <w:rFonts w:hint="eastAsia" w:ascii="宋体" w:hAnsi="宋体"/>
          <w:szCs w:val="21"/>
        </w:rPr>
        <w:t>本合同执行中相关的一切税费均由乙方负担。</w:t>
      </w:r>
    </w:p>
    <w:p>
      <w:pPr>
        <w:pStyle w:val="15"/>
        <w:spacing w:line="430" w:lineRule="exact"/>
        <w:ind w:firstLine="422" w:firstLineChars="200"/>
        <w:rPr>
          <w:rFonts w:hAnsi="宋体"/>
          <w:b/>
          <w:sz w:val="21"/>
          <w:szCs w:val="21"/>
        </w:rPr>
      </w:pPr>
    </w:p>
    <w:p>
      <w:pPr>
        <w:pStyle w:val="15"/>
        <w:spacing w:line="430" w:lineRule="exact"/>
        <w:ind w:firstLine="422" w:firstLineChars="200"/>
        <w:rPr>
          <w:rFonts w:hAnsi="宋体"/>
          <w:b/>
          <w:sz w:val="21"/>
          <w:szCs w:val="21"/>
        </w:rPr>
      </w:pPr>
      <w:r>
        <w:rPr>
          <w:rFonts w:hint="eastAsia" w:hAnsi="宋体"/>
          <w:b/>
          <w:sz w:val="21"/>
          <w:szCs w:val="21"/>
        </w:rPr>
        <w:t>九、违约责任</w:t>
      </w:r>
    </w:p>
    <w:p>
      <w:pPr>
        <w:pStyle w:val="15"/>
        <w:spacing w:line="430" w:lineRule="exact"/>
        <w:ind w:firstLine="420" w:firstLineChars="200"/>
        <w:rPr>
          <w:rFonts w:hAnsi="宋体"/>
          <w:sz w:val="21"/>
          <w:szCs w:val="21"/>
        </w:rPr>
      </w:pPr>
      <w:r>
        <w:rPr>
          <w:rFonts w:hAnsi="宋体"/>
          <w:sz w:val="21"/>
          <w:szCs w:val="21"/>
        </w:rPr>
        <w:t>1</w:t>
      </w:r>
      <w:r>
        <w:rPr>
          <w:rFonts w:hint="eastAsia" w:hAnsi="宋体"/>
          <w:sz w:val="21"/>
          <w:szCs w:val="21"/>
        </w:rPr>
        <w:t>、甲方无正当理由拒绝接受服务的，甲方向乙方偿付合同款项百分之五的违约金。</w:t>
      </w:r>
    </w:p>
    <w:p>
      <w:pPr>
        <w:pStyle w:val="15"/>
        <w:spacing w:line="430" w:lineRule="exact"/>
        <w:ind w:firstLine="420" w:firstLineChars="200"/>
        <w:rPr>
          <w:rFonts w:hAnsi="宋体"/>
          <w:sz w:val="21"/>
          <w:szCs w:val="21"/>
        </w:rPr>
      </w:pPr>
      <w:r>
        <w:rPr>
          <w:rFonts w:hAnsi="宋体"/>
          <w:sz w:val="21"/>
          <w:szCs w:val="21"/>
        </w:rPr>
        <w:t>2</w:t>
      </w:r>
      <w:r>
        <w:rPr>
          <w:rFonts w:hint="eastAsia" w:hAnsi="宋体"/>
          <w:sz w:val="21"/>
          <w:szCs w:val="21"/>
        </w:rPr>
        <w:t>、甲方无故逾期验收和办理款项支付手续的</w:t>
      </w:r>
      <w:r>
        <w:rPr>
          <w:rFonts w:hAnsi="宋体"/>
          <w:sz w:val="21"/>
          <w:szCs w:val="21"/>
        </w:rPr>
        <w:t>,</w:t>
      </w:r>
      <w:r>
        <w:rPr>
          <w:rFonts w:hint="eastAsia" w:hAnsi="宋体"/>
          <w:sz w:val="21"/>
          <w:szCs w:val="21"/>
        </w:rPr>
        <w:t>甲方应按逾期付款总额每日万分之五向乙方支付违约金。</w:t>
      </w:r>
    </w:p>
    <w:p>
      <w:pPr>
        <w:pStyle w:val="15"/>
        <w:spacing w:line="430" w:lineRule="exact"/>
        <w:ind w:firstLine="420" w:firstLineChars="200"/>
        <w:rPr>
          <w:rFonts w:hAnsi="宋体"/>
          <w:sz w:val="21"/>
          <w:szCs w:val="21"/>
        </w:rPr>
      </w:pPr>
      <w:r>
        <w:rPr>
          <w:rFonts w:hAnsi="宋体"/>
          <w:sz w:val="21"/>
          <w:szCs w:val="21"/>
        </w:rPr>
        <w:t>3</w:t>
      </w:r>
      <w:r>
        <w:rPr>
          <w:rFonts w:hint="eastAsia" w:hAnsi="宋体"/>
          <w:sz w:val="21"/>
          <w:szCs w:val="21"/>
        </w:rPr>
        <w:t>、乙方逾期提供服务的，每日向甲方支付千分之六违约金。逾期超过约定日期</w:t>
      </w:r>
      <w:r>
        <w:rPr>
          <w:rFonts w:hAnsi="宋体"/>
          <w:sz w:val="21"/>
          <w:szCs w:val="21"/>
        </w:rPr>
        <w:t>10</w:t>
      </w:r>
      <w:r>
        <w:rPr>
          <w:rFonts w:hint="eastAsia" w:hAnsi="宋体"/>
          <w:sz w:val="21"/>
          <w:szCs w:val="21"/>
        </w:rPr>
        <w:t>个工作日不能交货的，甲方可解除本合同。乙方因逾期交货或因其他违约行为导致甲方解除合同的，乙方应向甲方支付合同总值</w:t>
      </w:r>
      <w:r>
        <w:rPr>
          <w:rFonts w:hAnsi="宋体"/>
          <w:sz w:val="21"/>
          <w:szCs w:val="21"/>
        </w:rPr>
        <w:t>5%</w:t>
      </w:r>
      <w:r>
        <w:rPr>
          <w:rFonts w:hint="eastAsia" w:hAnsi="宋体"/>
          <w:sz w:val="21"/>
          <w:szCs w:val="21"/>
        </w:rPr>
        <w:t>的违约金，如造成甲方损失超过违约金的，超出部分由乙方继续承担赔偿责任。</w:t>
      </w:r>
      <w:r>
        <w:rPr>
          <w:rFonts w:hAnsi="宋体"/>
          <w:sz w:val="21"/>
          <w:szCs w:val="21"/>
        </w:rPr>
        <w:t xml:space="preserve"> </w:t>
      </w:r>
    </w:p>
    <w:p>
      <w:pPr>
        <w:pStyle w:val="15"/>
        <w:spacing w:line="430" w:lineRule="exact"/>
        <w:ind w:firstLine="420" w:firstLineChars="200"/>
        <w:rPr>
          <w:rFonts w:hAnsi="宋体"/>
          <w:sz w:val="21"/>
          <w:szCs w:val="21"/>
        </w:rPr>
      </w:pPr>
      <w:r>
        <w:rPr>
          <w:rFonts w:hAnsi="宋体"/>
          <w:sz w:val="21"/>
          <w:szCs w:val="21"/>
        </w:rPr>
        <w:t>4</w:t>
      </w:r>
      <w:r>
        <w:rPr>
          <w:rFonts w:hint="eastAsia" w:hAnsi="宋体"/>
          <w:sz w:val="21"/>
          <w:szCs w:val="21"/>
        </w:rPr>
        <w:t>、有如下情形，一经查实采购方有权提前终止合同：</w:t>
      </w:r>
    </w:p>
    <w:p>
      <w:pPr>
        <w:pStyle w:val="15"/>
        <w:spacing w:line="430" w:lineRule="exact"/>
        <w:ind w:firstLine="420" w:firstLineChars="200"/>
        <w:rPr>
          <w:rFonts w:hAnsi="宋体"/>
          <w:sz w:val="21"/>
          <w:szCs w:val="21"/>
        </w:rPr>
      </w:pPr>
      <w:r>
        <w:rPr>
          <w:rFonts w:hAnsi="宋体"/>
          <w:sz w:val="21"/>
          <w:szCs w:val="21"/>
        </w:rPr>
        <w:t xml:space="preserve">  a</w:t>
      </w:r>
      <w:r>
        <w:rPr>
          <w:rFonts w:hint="eastAsia" w:hAnsi="宋体"/>
          <w:sz w:val="21"/>
          <w:szCs w:val="21"/>
        </w:rPr>
        <w:t>、连续</w:t>
      </w:r>
      <w:r>
        <w:rPr>
          <w:rFonts w:hAnsi="宋体"/>
          <w:sz w:val="21"/>
          <w:szCs w:val="21"/>
        </w:rPr>
        <w:t>3</w:t>
      </w:r>
      <w:r>
        <w:rPr>
          <w:rFonts w:hint="eastAsia" w:hAnsi="宋体"/>
          <w:sz w:val="21"/>
          <w:szCs w:val="21"/>
        </w:rPr>
        <w:t>个月及以上未按招标文件规定人数和比例配置人员的；</w:t>
      </w:r>
    </w:p>
    <w:p>
      <w:pPr>
        <w:pStyle w:val="15"/>
        <w:spacing w:line="430" w:lineRule="exact"/>
        <w:ind w:firstLine="630" w:firstLineChars="300"/>
        <w:rPr>
          <w:rFonts w:hAnsi="宋体"/>
          <w:sz w:val="21"/>
          <w:szCs w:val="21"/>
        </w:rPr>
      </w:pPr>
      <w:r>
        <w:rPr>
          <w:rFonts w:hAnsi="宋体"/>
          <w:sz w:val="21"/>
          <w:szCs w:val="21"/>
        </w:rPr>
        <w:t>b</w:t>
      </w:r>
      <w:r>
        <w:rPr>
          <w:rFonts w:hint="eastAsia" w:hAnsi="宋体"/>
          <w:sz w:val="21"/>
          <w:szCs w:val="21"/>
        </w:rPr>
        <w:t>、工作中出现违法乱纪行为或其他造成社会不良影响的；</w:t>
      </w:r>
    </w:p>
    <w:p>
      <w:pPr>
        <w:pStyle w:val="15"/>
        <w:spacing w:line="430" w:lineRule="exact"/>
        <w:ind w:firstLine="630" w:firstLineChars="300"/>
        <w:rPr>
          <w:rFonts w:hAnsi="宋体"/>
          <w:sz w:val="21"/>
          <w:szCs w:val="21"/>
        </w:rPr>
      </w:pPr>
      <w:r>
        <w:rPr>
          <w:rFonts w:hAnsi="宋体"/>
          <w:sz w:val="21"/>
          <w:szCs w:val="21"/>
        </w:rPr>
        <w:t>c</w:t>
      </w:r>
      <w:r>
        <w:rPr>
          <w:rFonts w:hint="eastAsia" w:hAnsi="宋体"/>
          <w:sz w:val="21"/>
          <w:szCs w:val="21"/>
        </w:rPr>
        <w:t>、重大活动及突发性事件等有特殊任务的，不服从采购方具体安排的；</w:t>
      </w:r>
    </w:p>
    <w:p>
      <w:pPr>
        <w:pStyle w:val="15"/>
        <w:spacing w:line="430" w:lineRule="exact"/>
        <w:ind w:firstLine="630" w:firstLineChars="300"/>
        <w:rPr>
          <w:rFonts w:hAnsi="宋体"/>
          <w:sz w:val="21"/>
          <w:szCs w:val="21"/>
        </w:rPr>
      </w:pPr>
      <w:r>
        <w:rPr>
          <w:rFonts w:hAnsi="宋体"/>
          <w:sz w:val="21"/>
          <w:szCs w:val="21"/>
        </w:rPr>
        <w:t>d</w:t>
      </w:r>
      <w:r>
        <w:rPr>
          <w:rFonts w:hint="eastAsia" w:hAnsi="宋体"/>
          <w:sz w:val="21"/>
          <w:szCs w:val="21"/>
        </w:rPr>
        <w:t>、其他无法履行合同的情形。</w:t>
      </w:r>
    </w:p>
    <w:p>
      <w:pPr>
        <w:pStyle w:val="15"/>
        <w:spacing w:line="430" w:lineRule="exact"/>
        <w:ind w:firstLine="422" w:firstLineChars="200"/>
        <w:rPr>
          <w:rFonts w:hAnsi="宋体"/>
          <w:b/>
          <w:sz w:val="21"/>
          <w:szCs w:val="21"/>
        </w:rPr>
      </w:pPr>
    </w:p>
    <w:p>
      <w:pPr>
        <w:pStyle w:val="15"/>
        <w:spacing w:line="430" w:lineRule="exact"/>
        <w:ind w:firstLine="422" w:firstLineChars="200"/>
        <w:rPr>
          <w:rFonts w:hAnsi="宋体"/>
          <w:b/>
          <w:sz w:val="21"/>
          <w:szCs w:val="21"/>
        </w:rPr>
      </w:pPr>
      <w:r>
        <w:rPr>
          <w:rFonts w:hint="eastAsia" w:hAnsi="宋体"/>
          <w:b/>
          <w:sz w:val="21"/>
          <w:szCs w:val="21"/>
        </w:rPr>
        <w:t>十、不可抗力事件处理</w:t>
      </w:r>
    </w:p>
    <w:p>
      <w:pPr>
        <w:pStyle w:val="15"/>
        <w:spacing w:line="430" w:lineRule="exact"/>
        <w:ind w:firstLine="420" w:firstLineChars="200"/>
        <w:rPr>
          <w:rFonts w:hAnsi="宋体"/>
          <w:sz w:val="21"/>
          <w:szCs w:val="21"/>
        </w:rPr>
      </w:pPr>
      <w:r>
        <w:rPr>
          <w:rFonts w:hAnsi="宋体"/>
          <w:sz w:val="21"/>
          <w:szCs w:val="21"/>
        </w:rPr>
        <w:t>1</w:t>
      </w:r>
      <w:r>
        <w:rPr>
          <w:rFonts w:hint="eastAsia" w:hAnsi="宋体"/>
          <w:sz w:val="21"/>
          <w:szCs w:val="21"/>
        </w:rPr>
        <w:t>、在合同有效期内，任何一方因不可抗力事件导致不能履行合同，则合同履行期可延长，其延长期与不可抗力影响期相同。</w:t>
      </w:r>
    </w:p>
    <w:p>
      <w:pPr>
        <w:pStyle w:val="15"/>
        <w:spacing w:line="430" w:lineRule="exact"/>
        <w:ind w:firstLine="420" w:firstLineChars="200"/>
        <w:rPr>
          <w:rFonts w:hAnsi="宋体"/>
          <w:sz w:val="21"/>
          <w:szCs w:val="21"/>
        </w:rPr>
      </w:pPr>
      <w:r>
        <w:rPr>
          <w:rFonts w:hAnsi="宋体"/>
          <w:sz w:val="21"/>
          <w:szCs w:val="21"/>
        </w:rPr>
        <w:t>2</w:t>
      </w:r>
      <w:r>
        <w:rPr>
          <w:rFonts w:hint="eastAsia" w:hAnsi="宋体"/>
          <w:sz w:val="21"/>
          <w:szCs w:val="21"/>
        </w:rPr>
        <w:t>、不可抗力事件发生后，应立即通知对方，并寄送有关权威机构出具的证明。</w:t>
      </w:r>
    </w:p>
    <w:p>
      <w:pPr>
        <w:pStyle w:val="15"/>
        <w:spacing w:line="430" w:lineRule="exact"/>
        <w:ind w:firstLine="420" w:firstLineChars="200"/>
        <w:rPr>
          <w:rFonts w:hAnsi="宋体"/>
          <w:sz w:val="21"/>
          <w:szCs w:val="21"/>
        </w:rPr>
      </w:pPr>
      <w:r>
        <w:rPr>
          <w:rFonts w:hAnsi="宋体"/>
          <w:sz w:val="21"/>
          <w:szCs w:val="21"/>
        </w:rPr>
        <w:t>3</w:t>
      </w:r>
      <w:r>
        <w:rPr>
          <w:rFonts w:hint="eastAsia" w:hAnsi="宋体"/>
          <w:sz w:val="21"/>
          <w:szCs w:val="21"/>
        </w:rPr>
        <w:t>、不可抗力事件延续</w:t>
      </w:r>
      <w:r>
        <w:rPr>
          <w:rFonts w:hAnsi="宋体"/>
          <w:sz w:val="21"/>
          <w:szCs w:val="21"/>
        </w:rPr>
        <w:t>120</w:t>
      </w:r>
      <w:r>
        <w:rPr>
          <w:rFonts w:hint="eastAsia" w:hAnsi="宋体"/>
          <w:sz w:val="21"/>
          <w:szCs w:val="21"/>
        </w:rPr>
        <w:t>天以上，双方应通过友好协商，确定是否继续履行合同。</w:t>
      </w:r>
    </w:p>
    <w:p>
      <w:pPr>
        <w:pStyle w:val="15"/>
        <w:spacing w:line="430" w:lineRule="exact"/>
        <w:ind w:firstLine="422" w:firstLineChars="200"/>
        <w:rPr>
          <w:rFonts w:hAnsi="宋体"/>
          <w:b/>
          <w:sz w:val="21"/>
          <w:szCs w:val="21"/>
        </w:rPr>
      </w:pPr>
    </w:p>
    <w:p>
      <w:pPr>
        <w:pStyle w:val="15"/>
        <w:spacing w:line="430" w:lineRule="exact"/>
        <w:ind w:firstLine="422" w:firstLineChars="200"/>
        <w:rPr>
          <w:rFonts w:hAnsi="宋体"/>
          <w:b/>
          <w:sz w:val="21"/>
          <w:szCs w:val="21"/>
        </w:rPr>
      </w:pPr>
      <w:r>
        <w:rPr>
          <w:rFonts w:hint="eastAsia" w:hAnsi="宋体"/>
          <w:b/>
          <w:sz w:val="21"/>
          <w:szCs w:val="21"/>
        </w:rPr>
        <w:t>十一、诉讼</w:t>
      </w:r>
    </w:p>
    <w:p>
      <w:pPr>
        <w:pStyle w:val="15"/>
        <w:spacing w:line="430" w:lineRule="exact"/>
        <w:ind w:firstLine="420" w:firstLineChars="200"/>
        <w:rPr>
          <w:rFonts w:hAnsi="宋体"/>
          <w:sz w:val="21"/>
          <w:szCs w:val="21"/>
        </w:rPr>
      </w:pPr>
      <w:r>
        <w:rPr>
          <w:rFonts w:hint="eastAsia" w:hAnsi="宋体"/>
          <w:sz w:val="21"/>
          <w:szCs w:val="21"/>
        </w:rPr>
        <w:t>双方在执行合同中所发生的一切争议，应通过协商解决。如协商不成，可向合同签订地法院起诉。</w:t>
      </w:r>
    </w:p>
    <w:p>
      <w:pPr>
        <w:pStyle w:val="15"/>
        <w:spacing w:line="430" w:lineRule="exact"/>
        <w:ind w:firstLine="422" w:firstLineChars="200"/>
        <w:rPr>
          <w:rFonts w:hAnsi="宋体"/>
          <w:b/>
          <w:sz w:val="21"/>
          <w:szCs w:val="21"/>
        </w:rPr>
      </w:pPr>
    </w:p>
    <w:p>
      <w:pPr>
        <w:pStyle w:val="15"/>
        <w:spacing w:line="430" w:lineRule="exact"/>
        <w:ind w:firstLine="422" w:firstLineChars="200"/>
        <w:rPr>
          <w:rFonts w:hAnsi="宋体"/>
          <w:b/>
          <w:sz w:val="21"/>
          <w:szCs w:val="21"/>
        </w:rPr>
      </w:pPr>
      <w:r>
        <w:rPr>
          <w:rFonts w:hint="eastAsia" w:hAnsi="宋体"/>
          <w:b/>
          <w:sz w:val="21"/>
          <w:szCs w:val="21"/>
        </w:rPr>
        <w:t>十二、合同生效及其它</w:t>
      </w:r>
    </w:p>
    <w:p>
      <w:pPr>
        <w:pStyle w:val="15"/>
        <w:spacing w:line="430" w:lineRule="exact"/>
        <w:ind w:firstLine="420" w:firstLineChars="200"/>
        <w:rPr>
          <w:rFonts w:hAnsi="宋体"/>
          <w:b/>
          <w:sz w:val="21"/>
          <w:szCs w:val="21"/>
        </w:rPr>
      </w:pPr>
      <w:r>
        <w:rPr>
          <w:rFonts w:hAnsi="宋体"/>
          <w:sz w:val="21"/>
          <w:szCs w:val="21"/>
        </w:rPr>
        <w:t>1</w:t>
      </w:r>
      <w:r>
        <w:rPr>
          <w:rFonts w:hint="eastAsia" w:hAnsi="宋体"/>
          <w:sz w:val="21"/>
          <w:szCs w:val="21"/>
        </w:rPr>
        <w:t>、合同经双方法定代表人或授权委托代理人签字并加盖单位公章后生效。本次采购的采购文件、供应商响应文件及相关资料均作为本合同不可分割的一部分，具有法律效力。</w:t>
      </w:r>
    </w:p>
    <w:p>
      <w:pPr>
        <w:pStyle w:val="15"/>
        <w:spacing w:line="430" w:lineRule="exact"/>
        <w:ind w:firstLine="420" w:firstLineChars="200"/>
        <w:rPr>
          <w:rFonts w:hAnsi="宋体"/>
          <w:sz w:val="21"/>
          <w:szCs w:val="21"/>
        </w:rPr>
      </w:pPr>
      <w:r>
        <w:rPr>
          <w:rFonts w:hAnsi="宋体"/>
          <w:sz w:val="21"/>
          <w:szCs w:val="21"/>
        </w:rPr>
        <w:t>2</w:t>
      </w:r>
      <w:r>
        <w:rPr>
          <w:rFonts w:hint="eastAsia" w:hAnsi="宋体"/>
          <w:sz w:val="21"/>
          <w:szCs w:val="21"/>
        </w:rPr>
        <w:t>、合同执行中涉及采购资金和采购内容修改或补充的，须经财政部门审批，并签书面补充协议报财政部门政府采购监督管理部门备案，方可作为主合同不可分割的一部分。</w:t>
      </w:r>
    </w:p>
    <w:p>
      <w:pPr>
        <w:pStyle w:val="15"/>
        <w:spacing w:line="430" w:lineRule="exact"/>
        <w:ind w:firstLine="420" w:firstLineChars="200"/>
        <w:rPr>
          <w:rFonts w:hAnsi="宋体"/>
          <w:sz w:val="21"/>
          <w:szCs w:val="21"/>
        </w:rPr>
      </w:pPr>
      <w:r>
        <w:rPr>
          <w:rFonts w:hAnsi="宋体"/>
          <w:sz w:val="21"/>
          <w:szCs w:val="21"/>
        </w:rPr>
        <w:t>4</w:t>
      </w:r>
      <w:r>
        <w:rPr>
          <w:rFonts w:hint="eastAsia" w:hAnsi="宋体"/>
          <w:sz w:val="21"/>
          <w:szCs w:val="21"/>
        </w:rPr>
        <w:t>、本合同未尽事宜，遵照《民法典》有关条文执行。</w:t>
      </w:r>
    </w:p>
    <w:p>
      <w:pPr>
        <w:pStyle w:val="15"/>
        <w:spacing w:line="430" w:lineRule="exact"/>
        <w:ind w:firstLine="420" w:firstLineChars="200"/>
        <w:rPr>
          <w:rFonts w:hAnsi="宋体"/>
          <w:sz w:val="21"/>
          <w:szCs w:val="21"/>
        </w:rPr>
      </w:pPr>
      <w:r>
        <w:rPr>
          <w:rFonts w:hAnsi="宋体"/>
          <w:sz w:val="21"/>
          <w:szCs w:val="21"/>
        </w:rPr>
        <w:t>5</w:t>
      </w:r>
      <w:r>
        <w:rPr>
          <w:rFonts w:hint="eastAsia" w:hAnsi="宋体"/>
          <w:sz w:val="21"/>
          <w:szCs w:val="21"/>
        </w:rPr>
        <w:t>、本合同正本一式四份，具有同等法律效力，甲乙双方各执一份，代理机构一份，一份作为付款凭证。</w:t>
      </w:r>
    </w:p>
    <w:p>
      <w:pPr>
        <w:spacing w:line="430" w:lineRule="exact"/>
        <w:ind w:firstLine="422" w:firstLineChars="200"/>
        <w:rPr>
          <w:rFonts w:ascii="宋体"/>
          <w:b/>
          <w:szCs w:val="21"/>
        </w:rPr>
      </w:pPr>
    </w:p>
    <w:p>
      <w:pPr>
        <w:spacing w:line="430" w:lineRule="exact"/>
        <w:ind w:firstLine="422" w:firstLineChars="200"/>
        <w:rPr>
          <w:rFonts w:ascii="宋体"/>
          <w:b/>
          <w:szCs w:val="21"/>
        </w:rPr>
      </w:pPr>
      <w:r>
        <w:rPr>
          <w:rFonts w:hint="eastAsia" w:ascii="宋体" w:hAnsi="宋体"/>
          <w:b/>
          <w:szCs w:val="21"/>
        </w:rPr>
        <w:t>十三、双方主要约定</w:t>
      </w:r>
    </w:p>
    <w:p>
      <w:pPr>
        <w:spacing w:line="430" w:lineRule="exact"/>
        <w:ind w:firstLine="420" w:firstLineChars="200"/>
        <w:rPr>
          <w:rFonts w:ascii="宋体"/>
          <w:szCs w:val="21"/>
        </w:rPr>
      </w:pPr>
      <w:r>
        <w:rPr>
          <w:rFonts w:ascii="宋体" w:hAnsi="宋体"/>
          <w:szCs w:val="21"/>
        </w:rPr>
        <w:t>1</w:t>
      </w:r>
      <w:r>
        <w:rPr>
          <w:rFonts w:hint="eastAsia" w:ascii="宋体" w:hAnsi="宋体"/>
          <w:szCs w:val="21"/>
        </w:rPr>
        <w:t>、乙方须为安保人员按法律规定办理社会保险，严格遵守作业时间，具体根据甲方要求安排。</w:t>
      </w:r>
    </w:p>
    <w:p>
      <w:pPr>
        <w:spacing w:line="430" w:lineRule="exact"/>
        <w:ind w:firstLine="420" w:firstLineChars="200"/>
        <w:rPr>
          <w:rFonts w:ascii="宋体"/>
          <w:szCs w:val="21"/>
        </w:rPr>
      </w:pPr>
      <w:r>
        <w:rPr>
          <w:rFonts w:ascii="宋体" w:hAnsi="宋体"/>
          <w:szCs w:val="21"/>
        </w:rPr>
        <w:t>2</w:t>
      </w:r>
      <w:r>
        <w:rPr>
          <w:rFonts w:hint="eastAsia" w:ascii="宋体" w:hAnsi="宋体"/>
          <w:szCs w:val="21"/>
        </w:rPr>
        <w:t>、乙方所聘用的安保人员须达到采购文件的要求，能胜任相应的管理工作。</w:t>
      </w:r>
    </w:p>
    <w:p>
      <w:pPr>
        <w:spacing w:line="430" w:lineRule="exact"/>
        <w:ind w:firstLine="420" w:firstLineChars="200"/>
        <w:rPr>
          <w:rFonts w:ascii="宋体"/>
          <w:szCs w:val="21"/>
        </w:rPr>
      </w:pPr>
      <w:r>
        <w:rPr>
          <w:rFonts w:ascii="宋体" w:hAnsi="宋体"/>
          <w:szCs w:val="21"/>
        </w:rPr>
        <w:t>3</w:t>
      </w:r>
      <w:r>
        <w:rPr>
          <w:rFonts w:hint="eastAsia" w:ascii="宋体" w:hAnsi="宋体"/>
          <w:szCs w:val="21"/>
        </w:rPr>
        <w:t>、乙方负责安保人员的安全教育、安全指导、安全检查考核。合同签订后，必须为所有聘用职工办理人身意外伤害保险。各种伤亡事故的发生，由乙方根据有关法律法规处理，并承担赔偿责任。</w:t>
      </w:r>
    </w:p>
    <w:p>
      <w:pPr>
        <w:spacing w:line="430" w:lineRule="exact"/>
        <w:ind w:firstLine="420" w:firstLineChars="200"/>
        <w:rPr>
          <w:rFonts w:ascii="宋体"/>
          <w:szCs w:val="21"/>
        </w:rPr>
      </w:pPr>
      <w:r>
        <w:rPr>
          <w:rFonts w:ascii="宋体" w:hAnsi="宋体"/>
          <w:szCs w:val="21"/>
        </w:rPr>
        <w:t>4</w:t>
      </w:r>
      <w:r>
        <w:rPr>
          <w:rFonts w:hint="eastAsia" w:ascii="宋体" w:hAnsi="宋体"/>
          <w:szCs w:val="21"/>
        </w:rPr>
        <w:t>、乙方应切实保障职工的合法权益，及时按规定发放工资、福利等有关费用、不得无故克扣、拖延或违反本市最低工资标准等相关法律规定。</w:t>
      </w:r>
    </w:p>
    <w:p>
      <w:pPr>
        <w:spacing w:line="430" w:lineRule="exact"/>
        <w:ind w:firstLine="420" w:firstLineChars="200"/>
        <w:rPr>
          <w:rFonts w:ascii="宋体"/>
          <w:szCs w:val="21"/>
        </w:rPr>
      </w:pPr>
      <w:r>
        <w:rPr>
          <w:rFonts w:ascii="宋体" w:hAnsi="宋体"/>
          <w:szCs w:val="21"/>
        </w:rPr>
        <w:t>5</w:t>
      </w:r>
      <w:r>
        <w:rPr>
          <w:rFonts w:hint="eastAsia" w:ascii="宋体" w:hAnsi="宋体"/>
          <w:szCs w:val="21"/>
        </w:rPr>
        <w:t>、乙方负责人及管理人员的通讯工具必须</w:t>
      </w:r>
      <w:r>
        <w:rPr>
          <w:rFonts w:ascii="宋体" w:hAnsi="宋体"/>
          <w:szCs w:val="21"/>
        </w:rPr>
        <w:t>24</w:t>
      </w:r>
      <w:r>
        <w:rPr>
          <w:rFonts w:hint="eastAsia" w:ascii="宋体" w:hAnsi="宋体"/>
          <w:szCs w:val="21"/>
        </w:rPr>
        <w:t>小时开通。</w:t>
      </w:r>
    </w:p>
    <w:p>
      <w:pPr>
        <w:spacing w:line="430" w:lineRule="exact"/>
        <w:ind w:firstLine="420" w:firstLineChars="200"/>
        <w:rPr>
          <w:rFonts w:ascii="宋体"/>
          <w:szCs w:val="21"/>
        </w:rPr>
      </w:pPr>
      <w:r>
        <w:rPr>
          <w:rFonts w:ascii="宋体" w:hAnsi="宋体"/>
          <w:szCs w:val="21"/>
        </w:rPr>
        <w:t>6</w:t>
      </w:r>
      <w:r>
        <w:rPr>
          <w:rFonts w:hint="eastAsia" w:ascii="宋体" w:hAnsi="宋体"/>
          <w:szCs w:val="21"/>
        </w:rPr>
        <w:t>、乙方必须及时完成甲方布置的临时或突击任务，包括非工作时间（夜间），乙方对此无异议。</w:t>
      </w:r>
    </w:p>
    <w:p>
      <w:pPr>
        <w:spacing w:line="430" w:lineRule="exact"/>
        <w:ind w:firstLine="422" w:firstLineChars="200"/>
        <w:rPr>
          <w:rFonts w:ascii="宋体"/>
          <w:b/>
          <w:szCs w:val="21"/>
        </w:rPr>
      </w:pPr>
    </w:p>
    <w:p>
      <w:pPr>
        <w:spacing w:line="430" w:lineRule="exact"/>
        <w:ind w:firstLine="422" w:firstLineChars="200"/>
        <w:rPr>
          <w:rFonts w:ascii="宋体"/>
          <w:b/>
          <w:szCs w:val="21"/>
        </w:rPr>
      </w:pPr>
      <w:r>
        <w:rPr>
          <w:rFonts w:hint="eastAsia" w:ascii="宋体" w:hAnsi="宋体"/>
          <w:b/>
          <w:szCs w:val="21"/>
        </w:rPr>
        <w:t>十四、双方职责</w:t>
      </w:r>
    </w:p>
    <w:p>
      <w:pPr>
        <w:spacing w:line="430" w:lineRule="exact"/>
        <w:ind w:firstLine="420" w:firstLineChars="200"/>
        <w:rPr>
          <w:rFonts w:ascii="宋体"/>
          <w:szCs w:val="21"/>
        </w:rPr>
      </w:pPr>
      <w:r>
        <w:rPr>
          <w:rFonts w:ascii="宋体" w:hAnsi="宋体"/>
          <w:szCs w:val="21"/>
        </w:rPr>
        <w:t>1</w:t>
      </w:r>
      <w:r>
        <w:rPr>
          <w:rFonts w:hint="eastAsia" w:ascii="宋体" w:hAnsi="宋体"/>
          <w:szCs w:val="21"/>
        </w:rPr>
        <w:t>、甲方职责</w:t>
      </w:r>
    </w:p>
    <w:p>
      <w:pPr>
        <w:spacing w:line="430" w:lineRule="exact"/>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）甲方有权对乙方的工作进行监督指导，检查乙方工作人员的配置及到位情况；</w:t>
      </w:r>
    </w:p>
    <w:p>
      <w:pPr>
        <w:spacing w:line="430" w:lineRule="exact"/>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）按照《采购文件》对乙方服务工作进行定期与不定期检查考核；</w:t>
      </w:r>
    </w:p>
    <w:p>
      <w:pPr>
        <w:spacing w:line="430" w:lineRule="exact"/>
        <w:ind w:firstLine="420" w:firstLineChars="200"/>
        <w:rPr>
          <w:rFonts w:ascii="宋体"/>
          <w:szCs w:val="21"/>
        </w:rPr>
      </w:pPr>
      <w:r>
        <w:rPr>
          <w:rFonts w:ascii="宋体" w:hAnsi="宋体"/>
          <w:szCs w:val="21"/>
        </w:rPr>
        <w:t>2</w:t>
      </w:r>
      <w:r>
        <w:rPr>
          <w:rFonts w:hint="eastAsia" w:ascii="宋体" w:hAnsi="宋体"/>
          <w:szCs w:val="21"/>
        </w:rPr>
        <w:t>、乙方职责</w:t>
      </w:r>
    </w:p>
    <w:p>
      <w:pPr>
        <w:spacing w:line="430" w:lineRule="exact"/>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）接受甲方和上级主管部门的检查考核，每月有计划和总结；</w:t>
      </w:r>
    </w:p>
    <w:p>
      <w:pPr>
        <w:numPr>
          <w:ilvl w:val="0"/>
          <w:numId w:val="4"/>
        </w:numPr>
        <w:spacing w:line="430" w:lineRule="exact"/>
        <w:ind w:firstLine="420" w:firstLineChars="200"/>
        <w:rPr>
          <w:rFonts w:ascii="宋体"/>
          <w:szCs w:val="21"/>
        </w:rPr>
      </w:pPr>
      <w:r>
        <w:rPr>
          <w:rFonts w:hint="eastAsia" w:ascii="宋体" w:hAnsi="宋体"/>
          <w:szCs w:val="21"/>
        </w:rPr>
        <w:t>遇省、市等举行大型活动或其他创建突击活动时，乙方必须服从甲方的统一调配；</w:t>
      </w:r>
    </w:p>
    <w:p>
      <w:pPr>
        <w:numPr>
          <w:ilvl w:val="0"/>
          <w:numId w:val="4"/>
        </w:numPr>
        <w:spacing w:line="430" w:lineRule="exact"/>
        <w:ind w:firstLine="420" w:firstLineChars="200"/>
        <w:rPr>
          <w:rFonts w:ascii="宋体"/>
          <w:szCs w:val="21"/>
        </w:rPr>
      </w:pPr>
      <w:r>
        <w:rPr>
          <w:rFonts w:hint="eastAsia" w:ascii="宋体" w:hAnsi="宋体"/>
          <w:szCs w:val="21"/>
        </w:rPr>
        <w:t>严格遵守国家法律、法规及有关规定，遵守甲方制订的安全生产、优质服务等相关规章制度。</w:t>
      </w:r>
    </w:p>
    <w:p>
      <w:pPr>
        <w:pStyle w:val="15"/>
        <w:spacing w:line="430" w:lineRule="exact"/>
        <w:ind w:firstLine="420" w:firstLineChars="200"/>
        <w:rPr>
          <w:rFonts w:hAnsi="宋体"/>
          <w:sz w:val="21"/>
          <w:szCs w:val="21"/>
        </w:rPr>
      </w:pPr>
    </w:p>
    <w:p>
      <w:pPr>
        <w:pStyle w:val="15"/>
        <w:spacing w:line="430" w:lineRule="exact"/>
        <w:ind w:firstLine="420" w:firstLineChars="200"/>
        <w:rPr>
          <w:rFonts w:hAnsi="宋体"/>
          <w:sz w:val="21"/>
          <w:szCs w:val="21"/>
        </w:rPr>
      </w:pPr>
      <w:r>
        <w:rPr>
          <w:rFonts w:hint="eastAsia" w:hAnsi="宋体"/>
          <w:sz w:val="21"/>
          <w:szCs w:val="21"/>
        </w:rPr>
        <w:t>甲方：</w:t>
      </w:r>
    </w:p>
    <w:p>
      <w:pPr>
        <w:pStyle w:val="15"/>
        <w:spacing w:line="430" w:lineRule="exact"/>
        <w:ind w:firstLine="420" w:firstLineChars="200"/>
        <w:rPr>
          <w:rFonts w:hAnsi="宋体"/>
          <w:sz w:val="21"/>
          <w:szCs w:val="21"/>
        </w:rPr>
      </w:pPr>
      <w:r>
        <w:rPr>
          <w:rFonts w:hint="eastAsia" w:hAnsi="宋体"/>
          <w:sz w:val="21"/>
          <w:szCs w:val="21"/>
        </w:rPr>
        <w:t>地址：</w:t>
      </w:r>
      <w:r>
        <w:rPr>
          <w:rFonts w:hAnsi="宋体"/>
          <w:sz w:val="21"/>
          <w:szCs w:val="21"/>
        </w:rPr>
        <w:t xml:space="preserve">                                       </w:t>
      </w:r>
    </w:p>
    <w:p>
      <w:pPr>
        <w:pStyle w:val="15"/>
        <w:spacing w:line="430" w:lineRule="exact"/>
        <w:ind w:firstLine="420" w:firstLineChars="200"/>
        <w:rPr>
          <w:rFonts w:hAnsi="宋体"/>
          <w:sz w:val="21"/>
          <w:szCs w:val="21"/>
        </w:rPr>
      </w:pPr>
      <w:r>
        <w:rPr>
          <w:rFonts w:hint="eastAsia" w:hAnsi="宋体"/>
          <w:sz w:val="21"/>
          <w:szCs w:val="21"/>
        </w:rPr>
        <w:t>法定代表人：</w:t>
      </w:r>
      <w:r>
        <w:rPr>
          <w:rFonts w:hAnsi="宋体"/>
          <w:sz w:val="21"/>
          <w:szCs w:val="21"/>
        </w:rPr>
        <w:t xml:space="preserve">                               </w:t>
      </w:r>
      <w:r>
        <w:rPr>
          <w:rFonts w:hint="eastAsia" w:hAnsi="宋体"/>
          <w:sz w:val="21"/>
          <w:szCs w:val="21"/>
        </w:rPr>
        <w:t>联系电话：</w:t>
      </w:r>
    </w:p>
    <w:p>
      <w:pPr>
        <w:pStyle w:val="15"/>
        <w:spacing w:line="430" w:lineRule="exact"/>
        <w:ind w:firstLine="420" w:firstLineChars="200"/>
        <w:rPr>
          <w:rFonts w:hAnsi="宋体"/>
          <w:sz w:val="21"/>
          <w:szCs w:val="21"/>
        </w:rPr>
      </w:pPr>
      <w:r>
        <w:rPr>
          <w:rFonts w:hint="eastAsia" w:hAnsi="宋体"/>
          <w:sz w:val="21"/>
          <w:szCs w:val="21"/>
        </w:rPr>
        <w:t>授权委托人：</w:t>
      </w:r>
      <w:r>
        <w:rPr>
          <w:rFonts w:hAnsi="宋体"/>
          <w:sz w:val="21"/>
          <w:szCs w:val="21"/>
        </w:rPr>
        <w:t xml:space="preserve">                               </w:t>
      </w:r>
      <w:r>
        <w:rPr>
          <w:rFonts w:hint="eastAsia" w:hAnsi="宋体"/>
          <w:sz w:val="21"/>
          <w:szCs w:val="21"/>
        </w:rPr>
        <w:t>联系电话：</w:t>
      </w:r>
    </w:p>
    <w:p>
      <w:pPr>
        <w:pStyle w:val="15"/>
        <w:spacing w:line="430" w:lineRule="exact"/>
        <w:ind w:firstLine="420" w:firstLineChars="200"/>
        <w:rPr>
          <w:rFonts w:hAnsi="宋体"/>
          <w:sz w:val="21"/>
          <w:szCs w:val="21"/>
        </w:rPr>
      </w:pPr>
    </w:p>
    <w:p/>
    <w:p>
      <w:pPr>
        <w:pStyle w:val="15"/>
        <w:spacing w:line="430" w:lineRule="exact"/>
        <w:ind w:firstLine="420" w:firstLineChars="200"/>
        <w:rPr>
          <w:rFonts w:hAnsi="宋体"/>
          <w:sz w:val="21"/>
          <w:szCs w:val="21"/>
        </w:rPr>
      </w:pPr>
      <w:r>
        <w:rPr>
          <w:rFonts w:hint="eastAsia" w:hAnsi="宋体"/>
          <w:sz w:val="21"/>
          <w:szCs w:val="21"/>
        </w:rPr>
        <w:t>乙方：</w:t>
      </w:r>
      <w:r>
        <w:rPr>
          <w:rFonts w:ascii="Verdana" w:hAnsi="Verdana"/>
          <w:sz w:val="21"/>
          <w:szCs w:val="21"/>
        </w:rPr>
        <w:t xml:space="preserve"> </w:t>
      </w:r>
    </w:p>
    <w:p>
      <w:pPr>
        <w:pStyle w:val="15"/>
        <w:spacing w:line="430" w:lineRule="exact"/>
        <w:ind w:firstLine="420" w:firstLineChars="200"/>
        <w:rPr>
          <w:rFonts w:hAnsi="宋体"/>
          <w:sz w:val="21"/>
          <w:szCs w:val="21"/>
        </w:rPr>
      </w:pPr>
      <w:r>
        <w:rPr>
          <w:rFonts w:hint="eastAsia" w:hAnsi="宋体"/>
          <w:sz w:val="21"/>
          <w:szCs w:val="21"/>
        </w:rPr>
        <w:t>地址：</w:t>
      </w:r>
      <w:r>
        <w:rPr>
          <w:rFonts w:hAnsi="宋体"/>
          <w:sz w:val="21"/>
          <w:szCs w:val="21"/>
        </w:rPr>
        <w:t xml:space="preserve"> </w:t>
      </w:r>
    </w:p>
    <w:p>
      <w:pPr>
        <w:pStyle w:val="15"/>
        <w:spacing w:line="430" w:lineRule="exact"/>
        <w:ind w:firstLine="420" w:firstLineChars="200"/>
        <w:rPr>
          <w:rFonts w:hAnsi="宋体"/>
          <w:sz w:val="21"/>
          <w:szCs w:val="21"/>
        </w:rPr>
      </w:pPr>
      <w:r>
        <w:rPr>
          <w:rFonts w:hint="eastAsia" w:hAnsi="宋体"/>
          <w:sz w:val="21"/>
          <w:szCs w:val="21"/>
        </w:rPr>
        <w:t>开户银行及账号：</w:t>
      </w:r>
    </w:p>
    <w:p>
      <w:pPr>
        <w:pStyle w:val="15"/>
        <w:spacing w:line="430" w:lineRule="exact"/>
        <w:ind w:firstLine="420" w:firstLineChars="200"/>
        <w:rPr>
          <w:rFonts w:hAnsi="宋体"/>
          <w:sz w:val="21"/>
          <w:szCs w:val="21"/>
        </w:rPr>
      </w:pPr>
      <w:r>
        <w:rPr>
          <w:rFonts w:hint="eastAsia" w:hAnsi="宋体"/>
          <w:sz w:val="21"/>
          <w:szCs w:val="21"/>
        </w:rPr>
        <w:t>法定代表人：</w:t>
      </w:r>
      <w:r>
        <w:rPr>
          <w:rFonts w:hAnsi="宋体"/>
          <w:sz w:val="21"/>
          <w:szCs w:val="21"/>
        </w:rPr>
        <w:t xml:space="preserve">                               </w:t>
      </w:r>
      <w:r>
        <w:rPr>
          <w:rFonts w:hint="eastAsia" w:hAnsi="宋体"/>
          <w:sz w:val="21"/>
          <w:szCs w:val="21"/>
        </w:rPr>
        <w:t>联系电话：</w:t>
      </w:r>
    </w:p>
    <w:p>
      <w:pPr>
        <w:pStyle w:val="15"/>
        <w:spacing w:line="430" w:lineRule="exact"/>
        <w:ind w:firstLine="420" w:firstLineChars="200"/>
        <w:rPr>
          <w:rFonts w:hAnsi="宋体"/>
          <w:sz w:val="21"/>
          <w:szCs w:val="21"/>
        </w:rPr>
      </w:pPr>
      <w:r>
        <w:rPr>
          <w:rFonts w:hint="eastAsia" w:hAnsi="宋体"/>
          <w:sz w:val="21"/>
          <w:szCs w:val="21"/>
        </w:rPr>
        <w:t>授权委托人：</w:t>
      </w:r>
      <w:r>
        <w:rPr>
          <w:rFonts w:hAnsi="宋体"/>
          <w:sz w:val="21"/>
          <w:szCs w:val="21"/>
        </w:rPr>
        <w:t xml:space="preserve">                               </w:t>
      </w:r>
      <w:r>
        <w:rPr>
          <w:rFonts w:hint="eastAsia" w:hAnsi="宋体"/>
          <w:sz w:val="21"/>
          <w:szCs w:val="21"/>
        </w:rPr>
        <w:t>联系电话：</w:t>
      </w:r>
    </w:p>
    <w:p>
      <w:pPr>
        <w:pStyle w:val="15"/>
        <w:spacing w:line="430" w:lineRule="exact"/>
        <w:ind w:firstLine="420" w:firstLineChars="200"/>
        <w:rPr>
          <w:sz w:val="21"/>
          <w:szCs w:val="21"/>
        </w:rPr>
      </w:pPr>
    </w:p>
    <w:p>
      <w:pPr>
        <w:pStyle w:val="15"/>
        <w:spacing w:line="430" w:lineRule="exact"/>
        <w:ind w:firstLine="420" w:firstLineChars="200"/>
        <w:rPr>
          <w:sz w:val="21"/>
          <w:szCs w:val="21"/>
        </w:rPr>
      </w:pPr>
    </w:p>
    <w:p>
      <w:pPr>
        <w:pStyle w:val="15"/>
        <w:spacing w:line="430" w:lineRule="exact"/>
        <w:ind w:firstLine="420" w:firstLineChars="200"/>
        <w:rPr>
          <w:sz w:val="21"/>
          <w:szCs w:val="21"/>
        </w:rPr>
      </w:pPr>
      <w:r>
        <w:rPr>
          <w:rFonts w:hint="eastAsia"/>
          <w:sz w:val="21"/>
          <w:szCs w:val="21"/>
        </w:rPr>
        <w:t>签订地点：浙江嘉兴港区</w:t>
      </w:r>
      <w:r>
        <w:rPr>
          <w:sz w:val="21"/>
          <w:szCs w:val="21"/>
        </w:rPr>
        <w:t xml:space="preserve">                     </w:t>
      </w:r>
      <w:r>
        <w:rPr>
          <w:rFonts w:hint="eastAsia"/>
          <w:sz w:val="21"/>
          <w:szCs w:val="21"/>
        </w:rPr>
        <w:t>签订日期：</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pPr>
        <w:adjustRightInd w:val="0"/>
        <w:snapToGrid w:val="0"/>
        <w:spacing w:line="430" w:lineRule="exact"/>
        <w:ind w:firstLine="420" w:firstLineChars="200"/>
        <w:rPr>
          <w:rFonts w:ascii="宋体"/>
          <w:szCs w:val="21"/>
        </w:rPr>
      </w:pPr>
    </w:p>
    <w:p>
      <w:pPr>
        <w:adjustRightInd w:val="0"/>
        <w:snapToGrid w:val="0"/>
        <w:spacing w:line="430" w:lineRule="exact"/>
        <w:ind w:firstLine="420" w:firstLineChars="200"/>
        <w:rPr>
          <w:rFonts w:ascii="宋体"/>
          <w:szCs w:val="21"/>
        </w:rPr>
      </w:pPr>
      <w:r>
        <w:rPr>
          <w:rFonts w:hint="eastAsia" w:ascii="宋体" w:hAnsi="宋体"/>
          <w:szCs w:val="21"/>
        </w:rPr>
        <w:t>代理机构：</w:t>
      </w:r>
      <w:r>
        <w:rPr>
          <w:rFonts w:ascii="宋体" w:hAnsi="宋体"/>
          <w:szCs w:val="21"/>
          <w:u w:val="single"/>
        </w:rPr>
        <w:t xml:space="preserve">                                       </w:t>
      </w:r>
      <w:r>
        <w:rPr>
          <w:rFonts w:hint="eastAsia" w:ascii="宋体" w:hAnsi="宋体"/>
          <w:szCs w:val="21"/>
        </w:rPr>
        <w:t>（盖章）</w:t>
      </w:r>
    </w:p>
    <w:p>
      <w:pPr>
        <w:adjustRightInd w:val="0"/>
        <w:snapToGrid w:val="0"/>
        <w:spacing w:line="440" w:lineRule="exact"/>
        <w:ind w:firstLine="6090" w:firstLineChars="2900"/>
      </w:pPr>
    </w:p>
    <w:p>
      <w:pPr>
        <w:adjustRightInd w:val="0"/>
        <w:snapToGrid w:val="0"/>
        <w:spacing w:line="440" w:lineRule="exact"/>
        <w:ind w:firstLine="6090" w:firstLineChars="2900"/>
        <w:rPr>
          <w:rFonts w:hAnsi="宋体"/>
          <w:szCs w:val="21"/>
        </w:rPr>
      </w:pPr>
      <w:r>
        <w:rPr>
          <w:rFonts w:hint="eastAsia"/>
        </w:rPr>
        <w:t>年</w:t>
      </w:r>
      <w:r>
        <w:t xml:space="preserve">    </w:t>
      </w:r>
      <w:r>
        <w:rPr>
          <w:rFonts w:hint="eastAsia"/>
        </w:rPr>
        <w:t>月</w:t>
      </w:r>
      <w:r>
        <w:t xml:space="preserve">    </w:t>
      </w:r>
      <w:r>
        <w:rPr>
          <w:rFonts w:hint="eastAsia"/>
        </w:rPr>
        <w:t>日</w:t>
      </w:r>
    </w:p>
    <w:p>
      <w:pPr>
        <w:pStyle w:val="15"/>
        <w:spacing w:line="360" w:lineRule="auto"/>
        <w:ind w:left="321" w:hanging="321" w:hangingChars="100"/>
        <w:jc w:val="center"/>
        <w:rPr>
          <w:b/>
          <w:sz w:val="32"/>
          <w:szCs w:val="32"/>
        </w:rPr>
        <w:sectPr>
          <w:footerReference r:id="rId4" w:type="default"/>
          <w:footerReference r:id="rId5" w:type="even"/>
          <w:pgSz w:w="11906" w:h="16838"/>
          <w:pgMar w:top="1440" w:right="1797" w:bottom="1202" w:left="1797" w:header="851" w:footer="992" w:gutter="0"/>
          <w:cols w:space="720" w:num="1"/>
          <w:docGrid w:type="lines" w:linePitch="312" w:charSpace="0"/>
        </w:sectPr>
      </w:pPr>
    </w:p>
    <w:tbl>
      <w:tblPr>
        <w:tblStyle w:val="29"/>
        <w:tblW w:w="0" w:type="auto"/>
        <w:tblInd w:w="93" w:type="dxa"/>
        <w:tblLayout w:type="fixed"/>
        <w:tblCellMar>
          <w:top w:w="0" w:type="dxa"/>
          <w:left w:w="108" w:type="dxa"/>
          <w:bottom w:w="0" w:type="dxa"/>
          <w:right w:w="108" w:type="dxa"/>
        </w:tblCellMar>
      </w:tblPr>
      <w:tblGrid>
        <w:gridCol w:w="4620"/>
        <w:gridCol w:w="4840"/>
        <w:gridCol w:w="1280"/>
        <w:gridCol w:w="1600"/>
        <w:gridCol w:w="1740"/>
      </w:tblGrid>
      <w:tr>
        <w:tblPrEx>
          <w:tblCellMar>
            <w:top w:w="0" w:type="dxa"/>
            <w:left w:w="108" w:type="dxa"/>
            <w:bottom w:w="0" w:type="dxa"/>
            <w:right w:w="108" w:type="dxa"/>
          </w:tblCellMar>
        </w:tblPrEx>
        <w:trPr>
          <w:trHeight w:val="735" w:hRule="atLeast"/>
        </w:trPr>
        <w:tc>
          <w:tcPr>
            <w:tcW w:w="14080" w:type="dxa"/>
            <w:gridSpan w:val="5"/>
            <w:tcBorders>
              <w:top w:val="nil"/>
              <w:left w:val="nil"/>
              <w:bottom w:val="nil"/>
              <w:right w:val="nil"/>
            </w:tcBorders>
            <w:noWrap/>
            <w:vAlign w:val="center"/>
          </w:tcPr>
          <w:p>
            <w:pPr>
              <w:widowControl/>
              <w:jc w:val="center"/>
              <w:rPr>
                <w:rFonts w:ascii="宋体" w:cs="宋体"/>
                <w:b/>
                <w:bCs/>
                <w:kern w:val="0"/>
                <w:sz w:val="48"/>
                <w:szCs w:val="48"/>
              </w:rPr>
            </w:pPr>
            <w:r>
              <w:rPr>
                <w:rFonts w:hint="eastAsia" w:ascii="宋体" w:cs="宋体"/>
                <w:b/>
                <w:bCs/>
                <w:kern w:val="0"/>
                <w:sz w:val="48"/>
                <w:szCs w:val="48"/>
              </w:rPr>
              <w:t>政</w:t>
            </w:r>
            <w:r>
              <w:rPr>
                <w:rFonts w:ascii="宋体" w:cs="宋体"/>
                <w:b/>
                <w:bCs/>
                <w:kern w:val="0"/>
                <w:sz w:val="48"/>
                <w:szCs w:val="48"/>
              </w:rPr>
              <w:t xml:space="preserve"> </w:t>
            </w:r>
            <w:r>
              <w:rPr>
                <w:rFonts w:hint="eastAsia" w:ascii="宋体" w:cs="宋体"/>
                <w:b/>
                <w:bCs/>
                <w:kern w:val="0"/>
                <w:sz w:val="48"/>
                <w:szCs w:val="48"/>
              </w:rPr>
              <w:t>府</w:t>
            </w:r>
            <w:r>
              <w:rPr>
                <w:rFonts w:ascii="宋体" w:cs="宋体"/>
                <w:b/>
                <w:bCs/>
                <w:kern w:val="0"/>
                <w:sz w:val="48"/>
                <w:szCs w:val="48"/>
              </w:rPr>
              <w:t xml:space="preserve"> </w:t>
            </w:r>
            <w:r>
              <w:rPr>
                <w:rFonts w:hint="eastAsia" w:ascii="宋体" w:cs="宋体"/>
                <w:b/>
                <w:bCs/>
                <w:kern w:val="0"/>
                <w:sz w:val="48"/>
                <w:szCs w:val="48"/>
              </w:rPr>
              <w:t>采</w:t>
            </w:r>
            <w:r>
              <w:rPr>
                <w:rFonts w:ascii="宋体" w:cs="宋体"/>
                <w:b/>
                <w:bCs/>
                <w:kern w:val="0"/>
                <w:sz w:val="48"/>
                <w:szCs w:val="48"/>
              </w:rPr>
              <w:t xml:space="preserve"> </w:t>
            </w:r>
            <w:r>
              <w:rPr>
                <w:rFonts w:hint="eastAsia" w:ascii="宋体" w:cs="宋体"/>
                <w:b/>
                <w:bCs/>
                <w:kern w:val="0"/>
                <w:sz w:val="48"/>
                <w:szCs w:val="48"/>
              </w:rPr>
              <w:t>购</w:t>
            </w:r>
            <w:r>
              <w:rPr>
                <w:rFonts w:ascii="宋体" w:cs="宋体"/>
                <w:b/>
                <w:bCs/>
                <w:kern w:val="0"/>
                <w:sz w:val="48"/>
                <w:szCs w:val="48"/>
              </w:rPr>
              <w:t xml:space="preserve"> </w:t>
            </w:r>
            <w:r>
              <w:rPr>
                <w:rFonts w:hint="eastAsia" w:ascii="宋体" w:cs="宋体"/>
                <w:b/>
                <w:bCs/>
                <w:kern w:val="0"/>
                <w:sz w:val="48"/>
                <w:szCs w:val="48"/>
              </w:rPr>
              <w:t>项</w:t>
            </w:r>
            <w:r>
              <w:rPr>
                <w:rFonts w:ascii="宋体" w:cs="宋体"/>
                <w:b/>
                <w:bCs/>
                <w:kern w:val="0"/>
                <w:sz w:val="48"/>
                <w:szCs w:val="48"/>
              </w:rPr>
              <w:t xml:space="preserve"> </w:t>
            </w:r>
            <w:r>
              <w:rPr>
                <w:rFonts w:hint="eastAsia" w:ascii="宋体" w:cs="宋体"/>
                <w:b/>
                <w:bCs/>
                <w:kern w:val="0"/>
                <w:sz w:val="48"/>
                <w:szCs w:val="48"/>
              </w:rPr>
              <w:t>目</w:t>
            </w:r>
            <w:r>
              <w:rPr>
                <w:rFonts w:ascii="宋体" w:cs="宋体"/>
                <w:b/>
                <w:bCs/>
                <w:kern w:val="0"/>
                <w:sz w:val="48"/>
                <w:szCs w:val="48"/>
              </w:rPr>
              <w:t xml:space="preserve"> </w:t>
            </w:r>
            <w:r>
              <w:rPr>
                <w:rFonts w:hint="eastAsia" w:ascii="宋体" w:cs="宋体"/>
                <w:b/>
                <w:bCs/>
                <w:kern w:val="0"/>
                <w:sz w:val="48"/>
                <w:szCs w:val="48"/>
              </w:rPr>
              <w:t>验</w:t>
            </w:r>
            <w:r>
              <w:rPr>
                <w:rFonts w:ascii="宋体" w:cs="宋体"/>
                <w:b/>
                <w:bCs/>
                <w:kern w:val="0"/>
                <w:sz w:val="48"/>
                <w:szCs w:val="48"/>
              </w:rPr>
              <w:t xml:space="preserve"> </w:t>
            </w:r>
            <w:r>
              <w:rPr>
                <w:rFonts w:hint="eastAsia" w:ascii="宋体" w:cs="宋体"/>
                <w:b/>
                <w:bCs/>
                <w:kern w:val="0"/>
                <w:sz w:val="48"/>
                <w:szCs w:val="48"/>
              </w:rPr>
              <w:t>收</w:t>
            </w:r>
            <w:r>
              <w:rPr>
                <w:rFonts w:ascii="宋体" w:cs="宋体"/>
                <w:b/>
                <w:bCs/>
                <w:kern w:val="0"/>
                <w:sz w:val="48"/>
                <w:szCs w:val="48"/>
              </w:rPr>
              <w:t xml:space="preserve"> </w:t>
            </w:r>
            <w:r>
              <w:rPr>
                <w:rFonts w:hint="eastAsia" w:ascii="宋体" w:cs="宋体"/>
                <w:b/>
                <w:bCs/>
                <w:kern w:val="0"/>
                <w:sz w:val="48"/>
                <w:szCs w:val="48"/>
              </w:rPr>
              <w:t>单</w:t>
            </w:r>
          </w:p>
        </w:tc>
      </w:tr>
      <w:tr>
        <w:tblPrEx>
          <w:tblCellMar>
            <w:top w:w="0" w:type="dxa"/>
            <w:left w:w="108" w:type="dxa"/>
            <w:bottom w:w="0" w:type="dxa"/>
            <w:right w:w="108" w:type="dxa"/>
          </w:tblCellMar>
        </w:tblPrEx>
        <w:trPr>
          <w:trHeight w:val="570" w:hRule="atLeast"/>
        </w:trPr>
        <w:tc>
          <w:tcPr>
            <w:tcW w:w="14080" w:type="dxa"/>
            <w:gridSpan w:val="5"/>
            <w:tcBorders>
              <w:top w:val="nil"/>
              <w:left w:val="nil"/>
              <w:bottom w:val="nil"/>
              <w:right w:val="nil"/>
            </w:tcBorders>
            <w:noWrap/>
            <w:vAlign w:val="center"/>
          </w:tcPr>
          <w:p>
            <w:pPr>
              <w:widowControl/>
              <w:jc w:val="left"/>
              <w:rPr>
                <w:rFonts w:ascii="宋体" w:cs="宋体"/>
                <w:kern w:val="0"/>
                <w:sz w:val="24"/>
              </w:rPr>
            </w:pPr>
            <w:r>
              <w:rPr>
                <w:rFonts w:hint="eastAsia" w:ascii="宋体" w:cs="宋体"/>
                <w:kern w:val="0"/>
                <w:sz w:val="24"/>
              </w:rPr>
              <w:t>按照《政府采购委托汇总确认书》</w:t>
            </w:r>
            <w:r>
              <w:rPr>
                <w:rFonts w:ascii="宋体" w:cs="宋体"/>
                <w:kern w:val="0"/>
                <w:sz w:val="24"/>
              </w:rPr>
              <w:t xml:space="preserve">                </w:t>
            </w:r>
            <w:r>
              <w:rPr>
                <w:rFonts w:hint="eastAsia" w:ascii="宋体" w:cs="宋体"/>
                <w:kern w:val="0"/>
                <w:sz w:val="24"/>
              </w:rPr>
              <w:t>号，采购编号：</w:t>
            </w:r>
            <w:r>
              <w:rPr>
                <w:rFonts w:hint="eastAsia" w:ascii="宋体" w:cs="Arial"/>
                <w:bCs/>
                <w:sz w:val="24"/>
                <w:lang w:eastAsia="zh-CN"/>
              </w:rPr>
              <w:t>2022005-ZJJY</w:t>
            </w:r>
            <w:r>
              <w:rPr>
                <w:rFonts w:ascii="宋体" w:cs="Arial"/>
                <w:bCs/>
                <w:sz w:val="24"/>
              </w:rPr>
              <w:t xml:space="preserve"> </w:t>
            </w:r>
            <w:r>
              <w:rPr>
                <w:rFonts w:ascii="宋体" w:cs="宋体"/>
                <w:kern w:val="0"/>
                <w:sz w:val="24"/>
              </w:rPr>
              <w:t xml:space="preserve"> ,</w:t>
            </w:r>
            <w:r>
              <w:rPr>
                <w:rFonts w:hint="eastAsia" w:ascii="宋体" w:cs="宋体"/>
                <w:kern w:val="0"/>
                <w:sz w:val="24"/>
              </w:rPr>
              <w:t>合同号：</w:t>
            </w:r>
          </w:p>
        </w:tc>
      </w:tr>
      <w:tr>
        <w:tblPrEx>
          <w:tblCellMar>
            <w:top w:w="0" w:type="dxa"/>
            <w:left w:w="108" w:type="dxa"/>
            <w:bottom w:w="0" w:type="dxa"/>
            <w:right w:w="108" w:type="dxa"/>
          </w:tblCellMar>
        </w:tblPrEx>
        <w:trPr>
          <w:trHeight w:val="570" w:hRule="atLeast"/>
        </w:trPr>
        <w:tc>
          <w:tcPr>
            <w:tcW w:w="14080" w:type="dxa"/>
            <w:gridSpan w:val="5"/>
            <w:tcBorders>
              <w:top w:val="nil"/>
              <w:left w:val="nil"/>
              <w:bottom w:val="nil"/>
              <w:right w:val="nil"/>
            </w:tcBorders>
            <w:noWrap/>
            <w:vAlign w:val="center"/>
          </w:tcPr>
          <w:p>
            <w:pPr>
              <w:widowControl/>
              <w:jc w:val="left"/>
              <w:rPr>
                <w:rFonts w:ascii="宋体" w:cs="宋体"/>
                <w:kern w:val="0"/>
                <w:sz w:val="26"/>
                <w:szCs w:val="26"/>
              </w:rPr>
            </w:pPr>
            <w:r>
              <w:rPr>
                <w:rFonts w:hint="eastAsia" w:ascii="宋体" w:cs="宋体"/>
                <w:kern w:val="0"/>
                <w:sz w:val="26"/>
                <w:szCs w:val="26"/>
              </w:rPr>
              <w:t>以下项目已采购到位并验收合格。</w:t>
            </w:r>
          </w:p>
        </w:tc>
      </w:tr>
      <w:tr>
        <w:tblPrEx>
          <w:tblCellMar>
            <w:top w:w="0" w:type="dxa"/>
            <w:left w:w="108" w:type="dxa"/>
            <w:bottom w:w="0" w:type="dxa"/>
            <w:right w:w="108" w:type="dxa"/>
          </w:tblCellMar>
        </w:tblPrEx>
        <w:trPr>
          <w:trHeight w:val="870" w:hRule="atLeast"/>
        </w:trPr>
        <w:tc>
          <w:tcPr>
            <w:tcW w:w="4620" w:type="dxa"/>
            <w:tcBorders>
              <w:top w:val="single" w:color="auto" w:sz="4" w:space="0"/>
              <w:left w:val="single" w:color="auto" w:sz="4" w:space="0"/>
              <w:bottom w:val="nil"/>
              <w:right w:val="single" w:color="auto" w:sz="4" w:space="0"/>
            </w:tcBorders>
            <w:noWrap/>
            <w:vAlign w:val="center"/>
          </w:tcPr>
          <w:p>
            <w:pPr>
              <w:widowControl/>
              <w:jc w:val="center"/>
              <w:rPr>
                <w:rFonts w:ascii="宋体" w:cs="宋体"/>
                <w:kern w:val="0"/>
                <w:sz w:val="28"/>
                <w:szCs w:val="28"/>
              </w:rPr>
            </w:pPr>
            <w:r>
              <w:rPr>
                <w:rFonts w:hint="eastAsia" w:ascii="宋体" w:cs="宋体"/>
                <w:kern w:val="0"/>
                <w:sz w:val="28"/>
                <w:szCs w:val="28"/>
              </w:rPr>
              <w:t>采购货物（服务，工程）名称</w:t>
            </w:r>
          </w:p>
        </w:tc>
        <w:tc>
          <w:tcPr>
            <w:tcW w:w="4840" w:type="dxa"/>
            <w:tcBorders>
              <w:top w:val="single" w:color="auto" w:sz="4" w:space="0"/>
              <w:left w:val="nil"/>
              <w:bottom w:val="nil"/>
              <w:right w:val="single" w:color="auto" w:sz="4" w:space="0"/>
            </w:tcBorders>
            <w:noWrap/>
            <w:vAlign w:val="center"/>
          </w:tcPr>
          <w:p>
            <w:pPr>
              <w:widowControl/>
              <w:jc w:val="center"/>
              <w:rPr>
                <w:rFonts w:ascii="宋体" w:cs="宋体"/>
                <w:kern w:val="0"/>
                <w:sz w:val="28"/>
                <w:szCs w:val="28"/>
              </w:rPr>
            </w:pPr>
            <w:r>
              <w:rPr>
                <w:rFonts w:hint="eastAsia" w:ascii="宋体" w:cs="宋体"/>
                <w:kern w:val="0"/>
                <w:sz w:val="28"/>
                <w:szCs w:val="28"/>
              </w:rPr>
              <w:t>规格、型号</w:t>
            </w:r>
          </w:p>
        </w:tc>
        <w:tc>
          <w:tcPr>
            <w:tcW w:w="1280" w:type="dxa"/>
            <w:tcBorders>
              <w:top w:val="single" w:color="auto" w:sz="4" w:space="0"/>
              <w:left w:val="nil"/>
              <w:bottom w:val="nil"/>
              <w:right w:val="single" w:color="auto" w:sz="4" w:space="0"/>
            </w:tcBorders>
            <w:noWrap/>
            <w:vAlign w:val="center"/>
          </w:tcPr>
          <w:p>
            <w:pPr>
              <w:widowControl/>
              <w:jc w:val="center"/>
              <w:rPr>
                <w:rFonts w:ascii="宋体" w:cs="宋体"/>
                <w:kern w:val="0"/>
                <w:sz w:val="28"/>
                <w:szCs w:val="28"/>
              </w:rPr>
            </w:pPr>
            <w:r>
              <w:rPr>
                <w:rFonts w:hint="eastAsia" w:ascii="宋体" w:cs="宋体"/>
                <w:kern w:val="0"/>
                <w:sz w:val="28"/>
                <w:szCs w:val="28"/>
              </w:rPr>
              <w:t>数量</w:t>
            </w:r>
          </w:p>
        </w:tc>
        <w:tc>
          <w:tcPr>
            <w:tcW w:w="1600" w:type="dxa"/>
            <w:tcBorders>
              <w:top w:val="single" w:color="auto" w:sz="4" w:space="0"/>
              <w:left w:val="nil"/>
              <w:bottom w:val="nil"/>
              <w:right w:val="single" w:color="auto" w:sz="4" w:space="0"/>
            </w:tcBorders>
            <w:noWrap/>
            <w:vAlign w:val="center"/>
          </w:tcPr>
          <w:p>
            <w:pPr>
              <w:widowControl/>
              <w:jc w:val="center"/>
              <w:rPr>
                <w:rFonts w:ascii="宋体" w:cs="宋体"/>
                <w:kern w:val="0"/>
                <w:sz w:val="28"/>
                <w:szCs w:val="28"/>
              </w:rPr>
            </w:pPr>
            <w:r>
              <w:rPr>
                <w:rFonts w:hint="eastAsia" w:ascii="宋体" w:cs="宋体"/>
                <w:kern w:val="0"/>
                <w:sz w:val="28"/>
                <w:szCs w:val="28"/>
              </w:rPr>
              <w:t>核定总价</w:t>
            </w:r>
          </w:p>
        </w:tc>
        <w:tc>
          <w:tcPr>
            <w:tcW w:w="1740" w:type="dxa"/>
            <w:tcBorders>
              <w:top w:val="single" w:color="auto" w:sz="4" w:space="0"/>
              <w:left w:val="nil"/>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cs="宋体"/>
                <w:kern w:val="0"/>
                <w:sz w:val="28"/>
                <w:szCs w:val="28"/>
              </w:rPr>
              <w:t>采购人</w:t>
            </w:r>
            <w:r>
              <w:rPr>
                <w:rFonts w:ascii="宋体" w:cs="宋体"/>
                <w:kern w:val="0"/>
                <w:sz w:val="28"/>
                <w:szCs w:val="28"/>
              </w:rPr>
              <w:br w:type="textWrapping"/>
            </w:r>
            <w:r>
              <w:rPr>
                <w:rFonts w:hint="eastAsia" w:ascii="宋体" w:cs="宋体"/>
                <w:kern w:val="0"/>
                <w:sz w:val="28"/>
                <w:szCs w:val="28"/>
              </w:rPr>
              <w:t>验收意见</w:t>
            </w:r>
          </w:p>
        </w:tc>
      </w:tr>
      <w:tr>
        <w:trPr>
          <w:trHeight w:val="746" w:hRule="atLeast"/>
        </w:trPr>
        <w:tc>
          <w:tcPr>
            <w:tcW w:w="46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 w:val="28"/>
                <w:szCs w:val="28"/>
              </w:rPr>
            </w:pPr>
            <w:r>
              <w:rPr>
                <w:rFonts w:hint="eastAsia" w:ascii="宋体" w:cs="宋体"/>
                <w:kern w:val="0"/>
                <w:sz w:val="28"/>
                <w:szCs w:val="28"/>
              </w:rPr>
              <w:t>　</w:t>
            </w:r>
          </w:p>
        </w:tc>
        <w:tc>
          <w:tcPr>
            <w:tcW w:w="4840" w:type="dxa"/>
            <w:tcBorders>
              <w:top w:val="single" w:color="auto" w:sz="4" w:space="0"/>
              <w:left w:val="nil"/>
              <w:bottom w:val="single" w:color="auto" w:sz="4" w:space="0"/>
              <w:right w:val="single" w:color="auto" w:sz="4" w:space="0"/>
            </w:tcBorders>
            <w:noWrap/>
            <w:vAlign w:val="center"/>
          </w:tcPr>
          <w:p>
            <w:pPr>
              <w:widowControl/>
              <w:jc w:val="center"/>
              <w:rPr>
                <w:rFonts w:ascii="宋体" w:cs="宋体"/>
                <w:kern w:val="0"/>
                <w:sz w:val="26"/>
                <w:szCs w:val="26"/>
              </w:rPr>
            </w:pPr>
            <w:r>
              <w:rPr>
                <w:rFonts w:hint="eastAsia" w:ascii="宋体" w:cs="宋体"/>
                <w:kern w:val="0"/>
                <w:sz w:val="26"/>
                <w:szCs w:val="26"/>
              </w:rPr>
              <w:t>　</w:t>
            </w:r>
          </w:p>
        </w:tc>
        <w:tc>
          <w:tcPr>
            <w:tcW w:w="1280" w:type="dxa"/>
            <w:tcBorders>
              <w:top w:val="single" w:color="auto" w:sz="4" w:space="0"/>
              <w:left w:val="nil"/>
              <w:bottom w:val="single" w:color="auto" w:sz="4" w:space="0"/>
              <w:right w:val="single" w:color="auto" w:sz="4" w:space="0"/>
            </w:tcBorders>
            <w:noWrap/>
            <w:vAlign w:val="center"/>
          </w:tcPr>
          <w:p>
            <w:pPr>
              <w:widowControl/>
              <w:jc w:val="center"/>
              <w:rPr>
                <w:rFonts w:ascii="宋体" w:cs="宋体"/>
                <w:kern w:val="0"/>
                <w:sz w:val="26"/>
                <w:szCs w:val="26"/>
              </w:rPr>
            </w:pPr>
            <w:r>
              <w:rPr>
                <w:rFonts w:hint="eastAsia" w:ascii="宋体" w:cs="宋体"/>
                <w:kern w:val="0"/>
                <w:sz w:val="26"/>
                <w:szCs w:val="26"/>
              </w:rPr>
              <w:t>　</w:t>
            </w:r>
          </w:p>
        </w:tc>
        <w:tc>
          <w:tcPr>
            <w:tcW w:w="1600" w:type="dxa"/>
            <w:tcBorders>
              <w:top w:val="single" w:color="auto" w:sz="4" w:space="0"/>
              <w:left w:val="nil"/>
              <w:bottom w:val="single" w:color="auto" w:sz="4" w:space="0"/>
              <w:right w:val="single" w:color="auto" w:sz="4" w:space="0"/>
            </w:tcBorders>
            <w:noWrap/>
            <w:vAlign w:val="center"/>
          </w:tcPr>
          <w:p>
            <w:pPr>
              <w:widowControl/>
              <w:jc w:val="center"/>
              <w:rPr>
                <w:rFonts w:ascii="宋体" w:cs="宋体"/>
                <w:kern w:val="0"/>
                <w:sz w:val="26"/>
                <w:szCs w:val="26"/>
              </w:rPr>
            </w:pPr>
            <w:r>
              <w:rPr>
                <w:rFonts w:hint="eastAsia" w:ascii="宋体" w:cs="宋体"/>
                <w:kern w:val="0"/>
                <w:sz w:val="26"/>
                <w:szCs w:val="26"/>
              </w:rPr>
              <w:t>　</w:t>
            </w:r>
          </w:p>
        </w:tc>
        <w:tc>
          <w:tcPr>
            <w:tcW w:w="1740" w:type="dxa"/>
            <w:tcBorders>
              <w:top w:val="nil"/>
              <w:left w:val="nil"/>
              <w:bottom w:val="single" w:color="auto" w:sz="4" w:space="0"/>
              <w:right w:val="single" w:color="auto" w:sz="4" w:space="0"/>
            </w:tcBorders>
            <w:noWrap/>
            <w:vAlign w:val="bottom"/>
          </w:tcPr>
          <w:p>
            <w:pPr>
              <w:widowControl/>
              <w:jc w:val="left"/>
              <w:rPr>
                <w:rFonts w:ascii="宋体" w:cs="宋体"/>
                <w:kern w:val="0"/>
                <w:sz w:val="26"/>
                <w:szCs w:val="26"/>
              </w:rPr>
            </w:pPr>
            <w:r>
              <w:rPr>
                <w:rFonts w:hint="eastAsia" w:ascii="宋体" w:cs="宋体"/>
                <w:kern w:val="0"/>
                <w:sz w:val="26"/>
                <w:szCs w:val="26"/>
              </w:rPr>
              <w:t>　</w:t>
            </w:r>
          </w:p>
        </w:tc>
      </w:tr>
      <w:tr>
        <w:trPr>
          <w:trHeight w:val="750" w:hRule="atLeast"/>
        </w:trPr>
        <w:tc>
          <w:tcPr>
            <w:tcW w:w="462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6"/>
                <w:szCs w:val="26"/>
              </w:rPr>
            </w:pPr>
            <w:r>
              <w:rPr>
                <w:rFonts w:hint="eastAsia" w:ascii="宋体" w:cs="宋体"/>
                <w:kern w:val="0"/>
                <w:sz w:val="26"/>
                <w:szCs w:val="26"/>
              </w:rPr>
              <w:t>合计总价款（人民币）</w:t>
            </w:r>
          </w:p>
        </w:tc>
        <w:tc>
          <w:tcPr>
            <w:tcW w:w="9460" w:type="dxa"/>
            <w:gridSpan w:val="4"/>
            <w:tcBorders>
              <w:top w:val="nil"/>
              <w:left w:val="nil"/>
              <w:bottom w:val="single" w:color="auto" w:sz="4" w:space="0"/>
              <w:right w:val="single" w:color="000000" w:sz="4" w:space="0"/>
            </w:tcBorders>
            <w:noWrap/>
            <w:vAlign w:val="center"/>
          </w:tcPr>
          <w:p>
            <w:pPr>
              <w:widowControl/>
              <w:jc w:val="left"/>
              <w:rPr>
                <w:rFonts w:ascii="宋体" w:cs="宋体"/>
                <w:kern w:val="0"/>
                <w:sz w:val="26"/>
                <w:szCs w:val="26"/>
              </w:rPr>
            </w:pPr>
            <w:r>
              <w:rPr>
                <w:rFonts w:hint="eastAsia" w:ascii="宋体" w:cs="宋体"/>
                <w:kern w:val="0"/>
                <w:sz w:val="26"/>
                <w:szCs w:val="26"/>
              </w:rPr>
              <w:t>人民币元整。</w:t>
            </w:r>
            <w:r>
              <w:rPr>
                <w:rFonts w:ascii="宋体" w:cs="宋体"/>
                <w:kern w:val="0"/>
                <w:sz w:val="26"/>
                <w:szCs w:val="26"/>
              </w:rPr>
              <w:t xml:space="preserve">       </w:t>
            </w:r>
            <w:r>
              <w:rPr>
                <w:rFonts w:hint="eastAsia" w:ascii="宋体" w:cs="宋体"/>
                <w:kern w:val="0"/>
                <w:sz w:val="26"/>
                <w:szCs w:val="26"/>
              </w:rPr>
              <w:t>￥</w:t>
            </w:r>
            <w:r>
              <w:rPr>
                <w:rFonts w:ascii="宋体" w:cs="宋体"/>
                <w:kern w:val="0"/>
                <w:sz w:val="26"/>
                <w:szCs w:val="26"/>
              </w:rPr>
              <w:t xml:space="preserve">: </w:t>
            </w:r>
          </w:p>
        </w:tc>
      </w:tr>
      <w:tr>
        <w:trPr>
          <w:trHeight w:val="690" w:hRule="atLeast"/>
        </w:trPr>
        <w:tc>
          <w:tcPr>
            <w:tcW w:w="4620" w:type="dxa"/>
            <w:tcBorders>
              <w:top w:val="nil"/>
              <w:left w:val="single" w:color="auto" w:sz="4" w:space="0"/>
              <w:bottom w:val="nil"/>
              <w:right w:val="nil"/>
            </w:tcBorders>
            <w:noWrap/>
            <w:vAlign w:val="bottom"/>
          </w:tcPr>
          <w:p>
            <w:pPr>
              <w:widowControl/>
              <w:jc w:val="left"/>
              <w:rPr>
                <w:rFonts w:ascii="宋体" w:cs="宋体"/>
                <w:kern w:val="0"/>
                <w:sz w:val="24"/>
              </w:rPr>
            </w:pPr>
            <w:r>
              <w:rPr>
                <w:rFonts w:hint="eastAsia" w:ascii="宋体" w:cs="宋体"/>
                <w:kern w:val="0"/>
                <w:sz w:val="24"/>
              </w:rPr>
              <w:t>供货单位（盖章）：</w:t>
            </w:r>
          </w:p>
        </w:tc>
        <w:tc>
          <w:tcPr>
            <w:tcW w:w="4840" w:type="dxa"/>
            <w:tcBorders>
              <w:top w:val="nil"/>
              <w:left w:val="nil"/>
              <w:bottom w:val="nil"/>
              <w:right w:val="nil"/>
            </w:tcBorders>
            <w:noWrap/>
            <w:vAlign w:val="bottom"/>
          </w:tcPr>
          <w:p>
            <w:pPr>
              <w:widowControl/>
              <w:jc w:val="left"/>
              <w:rPr>
                <w:rFonts w:ascii="宋体" w:cs="宋体"/>
                <w:kern w:val="0"/>
                <w:sz w:val="24"/>
              </w:rPr>
            </w:pPr>
            <w:r>
              <w:rPr>
                <w:rFonts w:hint="eastAsia" w:ascii="宋体" w:cs="宋体"/>
                <w:kern w:val="0"/>
                <w:sz w:val="24"/>
              </w:rPr>
              <w:t>采购人（盖章）</w:t>
            </w:r>
            <w:r>
              <w:rPr>
                <w:rFonts w:ascii="宋体" w:cs="宋体"/>
                <w:kern w:val="0"/>
                <w:sz w:val="24"/>
              </w:rPr>
              <w:t>:</w:t>
            </w:r>
          </w:p>
        </w:tc>
        <w:tc>
          <w:tcPr>
            <w:tcW w:w="2880" w:type="dxa"/>
            <w:gridSpan w:val="2"/>
            <w:tcBorders>
              <w:top w:val="nil"/>
              <w:left w:val="nil"/>
              <w:bottom w:val="nil"/>
              <w:right w:val="nil"/>
            </w:tcBorders>
            <w:noWrap/>
            <w:vAlign w:val="bottom"/>
          </w:tcPr>
          <w:p>
            <w:pPr>
              <w:widowControl/>
              <w:jc w:val="left"/>
              <w:rPr>
                <w:rFonts w:ascii="宋体" w:cs="宋体"/>
                <w:kern w:val="0"/>
                <w:sz w:val="24"/>
              </w:rPr>
            </w:pPr>
          </w:p>
        </w:tc>
        <w:tc>
          <w:tcPr>
            <w:tcW w:w="1740" w:type="dxa"/>
            <w:tcBorders>
              <w:top w:val="nil"/>
              <w:left w:val="nil"/>
              <w:bottom w:val="nil"/>
              <w:right w:val="single" w:color="auto" w:sz="4" w:space="0"/>
            </w:tcBorders>
            <w:noWrap/>
            <w:vAlign w:val="bottom"/>
          </w:tcPr>
          <w:p>
            <w:pPr>
              <w:widowControl/>
              <w:jc w:val="left"/>
              <w:rPr>
                <w:rFonts w:ascii="宋体" w:cs="宋体"/>
                <w:kern w:val="0"/>
                <w:sz w:val="24"/>
              </w:rPr>
            </w:pPr>
            <w:r>
              <w:rPr>
                <w:rFonts w:hint="eastAsia" w:ascii="宋体" w:cs="宋体"/>
                <w:kern w:val="0"/>
                <w:sz w:val="24"/>
              </w:rPr>
              <w:t>　</w:t>
            </w:r>
          </w:p>
        </w:tc>
      </w:tr>
      <w:tr>
        <w:trPr>
          <w:trHeight w:val="525" w:hRule="atLeast"/>
        </w:trPr>
        <w:tc>
          <w:tcPr>
            <w:tcW w:w="4620" w:type="dxa"/>
            <w:tcBorders>
              <w:top w:val="nil"/>
              <w:left w:val="single" w:color="auto" w:sz="4" w:space="0"/>
              <w:bottom w:val="nil"/>
              <w:right w:val="nil"/>
            </w:tcBorders>
            <w:noWrap/>
            <w:vAlign w:val="bottom"/>
          </w:tcPr>
          <w:p>
            <w:pPr>
              <w:widowControl/>
              <w:jc w:val="left"/>
              <w:rPr>
                <w:rFonts w:ascii="宋体" w:cs="宋体"/>
                <w:kern w:val="0"/>
                <w:sz w:val="24"/>
              </w:rPr>
            </w:pPr>
            <w:r>
              <w:rPr>
                <w:rFonts w:hint="eastAsia" w:ascii="宋体" w:cs="宋体"/>
                <w:kern w:val="0"/>
                <w:sz w:val="24"/>
              </w:rPr>
              <w:t>经办项目负责人：</w:t>
            </w:r>
          </w:p>
        </w:tc>
        <w:tc>
          <w:tcPr>
            <w:tcW w:w="4840" w:type="dxa"/>
            <w:tcBorders>
              <w:top w:val="nil"/>
              <w:left w:val="nil"/>
              <w:bottom w:val="nil"/>
              <w:right w:val="nil"/>
            </w:tcBorders>
            <w:noWrap/>
            <w:vAlign w:val="bottom"/>
          </w:tcPr>
          <w:p>
            <w:pPr>
              <w:widowControl/>
              <w:jc w:val="left"/>
              <w:rPr>
                <w:rFonts w:ascii="宋体" w:cs="宋体"/>
                <w:kern w:val="0"/>
                <w:sz w:val="24"/>
              </w:rPr>
            </w:pPr>
            <w:r>
              <w:rPr>
                <w:rFonts w:hint="eastAsia" w:ascii="宋体" w:cs="宋体"/>
                <w:kern w:val="0"/>
                <w:sz w:val="24"/>
              </w:rPr>
              <w:t>项目验收组组长：</w:t>
            </w:r>
          </w:p>
        </w:tc>
        <w:tc>
          <w:tcPr>
            <w:tcW w:w="2880" w:type="dxa"/>
            <w:gridSpan w:val="2"/>
            <w:tcBorders>
              <w:top w:val="nil"/>
              <w:left w:val="nil"/>
              <w:bottom w:val="nil"/>
              <w:right w:val="nil"/>
            </w:tcBorders>
            <w:noWrap/>
            <w:vAlign w:val="bottom"/>
          </w:tcPr>
          <w:p>
            <w:pPr>
              <w:widowControl/>
              <w:jc w:val="left"/>
              <w:rPr>
                <w:rFonts w:ascii="宋体" w:cs="宋体"/>
                <w:kern w:val="0"/>
                <w:sz w:val="24"/>
              </w:rPr>
            </w:pPr>
          </w:p>
        </w:tc>
        <w:tc>
          <w:tcPr>
            <w:tcW w:w="1740" w:type="dxa"/>
            <w:tcBorders>
              <w:top w:val="nil"/>
              <w:left w:val="nil"/>
              <w:bottom w:val="nil"/>
              <w:right w:val="single" w:color="auto" w:sz="4" w:space="0"/>
            </w:tcBorders>
            <w:noWrap/>
            <w:vAlign w:val="bottom"/>
          </w:tcPr>
          <w:p>
            <w:pPr>
              <w:widowControl/>
              <w:jc w:val="left"/>
              <w:rPr>
                <w:rFonts w:ascii="宋体" w:cs="宋体"/>
                <w:kern w:val="0"/>
                <w:sz w:val="24"/>
              </w:rPr>
            </w:pPr>
            <w:r>
              <w:rPr>
                <w:rFonts w:hint="eastAsia" w:ascii="宋体" w:cs="宋体"/>
                <w:kern w:val="0"/>
                <w:sz w:val="24"/>
              </w:rPr>
              <w:t>　</w:t>
            </w:r>
          </w:p>
        </w:tc>
      </w:tr>
      <w:tr>
        <w:tblPrEx>
          <w:tblCellMar>
            <w:top w:w="0" w:type="dxa"/>
            <w:left w:w="108" w:type="dxa"/>
            <w:bottom w:w="0" w:type="dxa"/>
            <w:right w:w="108" w:type="dxa"/>
          </w:tblCellMar>
        </w:tblPrEx>
        <w:trPr>
          <w:trHeight w:val="525" w:hRule="atLeast"/>
        </w:trPr>
        <w:tc>
          <w:tcPr>
            <w:tcW w:w="4620" w:type="dxa"/>
            <w:tcBorders>
              <w:top w:val="nil"/>
              <w:left w:val="single" w:color="auto" w:sz="4" w:space="0"/>
              <w:bottom w:val="nil"/>
              <w:right w:val="nil"/>
            </w:tcBorders>
            <w:noWrap/>
            <w:vAlign w:val="bottom"/>
          </w:tcPr>
          <w:p>
            <w:pPr>
              <w:widowControl/>
              <w:jc w:val="left"/>
              <w:rPr>
                <w:rFonts w:ascii="宋体" w:cs="宋体"/>
                <w:kern w:val="0"/>
                <w:sz w:val="24"/>
              </w:rPr>
            </w:pPr>
            <w:r>
              <w:rPr>
                <w:rFonts w:hint="eastAsia" w:ascii="宋体" w:cs="宋体"/>
                <w:kern w:val="0"/>
                <w:sz w:val="24"/>
              </w:rPr>
              <w:t>联系电话：</w:t>
            </w:r>
          </w:p>
        </w:tc>
        <w:tc>
          <w:tcPr>
            <w:tcW w:w="4840" w:type="dxa"/>
            <w:tcBorders>
              <w:top w:val="nil"/>
              <w:left w:val="nil"/>
              <w:bottom w:val="nil"/>
              <w:right w:val="nil"/>
            </w:tcBorders>
            <w:noWrap/>
            <w:vAlign w:val="bottom"/>
          </w:tcPr>
          <w:p>
            <w:pPr>
              <w:widowControl/>
              <w:jc w:val="left"/>
              <w:rPr>
                <w:rFonts w:ascii="宋体" w:cs="宋体"/>
                <w:kern w:val="0"/>
                <w:sz w:val="24"/>
              </w:rPr>
            </w:pPr>
            <w:r>
              <w:rPr>
                <w:rFonts w:hint="eastAsia" w:ascii="宋体" w:cs="宋体"/>
                <w:kern w:val="0"/>
                <w:sz w:val="24"/>
              </w:rPr>
              <w:t>联系电话：</w:t>
            </w:r>
          </w:p>
        </w:tc>
        <w:tc>
          <w:tcPr>
            <w:tcW w:w="1280" w:type="dxa"/>
            <w:tcBorders>
              <w:top w:val="nil"/>
              <w:left w:val="nil"/>
              <w:bottom w:val="nil"/>
              <w:right w:val="nil"/>
            </w:tcBorders>
            <w:noWrap/>
            <w:vAlign w:val="bottom"/>
          </w:tcPr>
          <w:p>
            <w:pPr>
              <w:widowControl/>
              <w:jc w:val="left"/>
              <w:rPr>
                <w:rFonts w:ascii="宋体" w:cs="宋体"/>
                <w:kern w:val="0"/>
                <w:sz w:val="24"/>
              </w:rPr>
            </w:pPr>
          </w:p>
        </w:tc>
        <w:tc>
          <w:tcPr>
            <w:tcW w:w="1600" w:type="dxa"/>
            <w:tcBorders>
              <w:top w:val="nil"/>
              <w:left w:val="nil"/>
              <w:bottom w:val="nil"/>
              <w:right w:val="nil"/>
            </w:tcBorders>
            <w:noWrap/>
            <w:vAlign w:val="bottom"/>
          </w:tcPr>
          <w:p>
            <w:pPr>
              <w:widowControl/>
              <w:jc w:val="left"/>
              <w:rPr>
                <w:rFonts w:ascii="宋体" w:cs="宋体"/>
                <w:kern w:val="0"/>
                <w:sz w:val="24"/>
              </w:rPr>
            </w:pPr>
          </w:p>
        </w:tc>
        <w:tc>
          <w:tcPr>
            <w:tcW w:w="1740" w:type="dxa"/>
            <w:tcBorders>
              <w:top w:val="nil"/>
              <w:left w:val="nil"/>
              <w:bottom w:val="nil"/>
              <w:right w:val="single" w:color="auto" w:sz="4" w:space="0"/>
            </w:tcBorders>
            <w:noWrap/>
            <w:vAlign w:val="bottom"/>
          </w:tcPr>
          <w:p>
            <w:pPr>
              <w:widowControl/>
              <w:jc w:val="left"/>
              <w:rPr>
                <w:rFonts w:ascii="宋体" w:cs="宋体"/>
                <w:kern w:val="0"/>
                <w:sz w:val="24"/>
              </w:rPr>
            </w:pPr>
            <w:r>
              <w:rPr>
                <w:rFonts w:hint="eastAsia" w:ascii="宋体" w:cs="宋体"/>
                <w:kern w:val="0"/>
                <w:sz w:val="24"/>
              </w:rPr>
              <w:t>　</w:t>
            </w:r>
          </w:p>
        </w:tc>
      </w:tr>
      <w:tr>
        <w:trPr>
          <w:trHeight w:val="540" w:hRule="atLeast"/>
        </w:trPr>
        <w:tc>
          <w:tcPr>
            <w:tcW w:w="4620" w:type="dxa"/>
            <w:tcBorders>
              <w:top w:val="nil"/>
              <w:left w:val="single" w:color="auto" w:sz="4" w:space="0"/>
              <w:bottom w:val="nil"/>
              <w:right w:val="nil"/>
            </w:tcBorders>
            <w:noWrap/>
            <w:vAlign w:val="bottom"/>
          </w:tcPr>
          <w:p>
            <w:pPr>
              <w:widowControl/>
              <w:jc w:val="left"/>
              <w:rPr>
                <w:rFonts w:ascii="宋体" w:cs="宋体"/>
                <w:kern w:val="0"/>
                <w:sz w:val="24"/>
              </w:rPr>
            </w:pPr>
            <w:r>
              <w:rPr>
                <w:rFonts w:hint="eastAsia" w:ascii="宋体" w:cs="宋体"/>
                <w:kern w:val="0"/>
                <w:sz w:val="24"/>
              </w:rPr>
              <w:t>开户银行：</w:t>
            </w:r>
          </w:p>
        </w:tc>
        <w:tc>
          <w:tcPr>
            <w:tcW w:w="4840" w:type="dxa"/>
            <w:tcBorders>
              <w:top w:val="nil"/>
              <w:left w:val="nil"/>
              <w:bottom w:val="nil"/>
              <w:right w:val="nil"/>
            </w:tcBorders>
            <w:noWrap/>
            <w:vAlign w:val="bottom"/>
          </w:tcPr>
          <w:p>
            <w:pPr>
              <w:widowControl/>
              <w:jc w:val="left"/>
              <w:rPr>
                <w:rFonts w:ascii="宋体" w:cs="宋体"/>
                <w:kern w:val="0"/>
                <w:sz w:val="24"/>
              </w:rPr>
            </w:pPr>
            <w:r>
              <w:rPr>
                <w:rFonts w:hint="eastAsia" w:ascii="宋体" w:cs="宋体"/>
                <w:kern w:val="0"/>
                <w:sz w:val="24"/>
              </w:rPr>
              <w:t>项目验收组成员（签名）：</w:t>
            </w:r>
          </w:p>
        </w:tc>
        <w:tc>
          <w:tcPr>
            <w:tcW w:w="1280" w:type="dxa"/>
            <w:tcBorders>
              <w:top w:val="nil"/>
              <w:left w:val="nil"/>
              <w:bottom w:val="nil"/>
              <w:right w:val="nil"/>
            </w:tcBorders>
            <w:noWrap/>
            <w:vAlign w:val="bottom"/>
          </w:tcPr>
          <w:p>
            <w:pPr>
              <w:widowControl/>
              <w:jc w:val="left"/>
              <w:rPr>
                <w:rFonts w:ascii="宋体" w:cs="宋体"/>
                <w:kern w:val="0"/>
                <w:sz w:val="24"/>
              </w:rPr>
            </w:pPr>
          </w:p>
        </w:tc>
        <w:tc>
          <w:tcPr>
            <w:tcW w:w="1600" w:type="dxa"/>
            <w:tcBorders>
              <w:top w:val="nil"/>
              <w:left w:val="nil"/>
              <w:bottom w:val="nil"/>
              <w:right w:val="nil"/>
            </w:tcBorders>
            <w:noWrap/>
            <w:vAlign w:val="bottom"/>
          </w:tcPr>
          <w:p>
            <w:pPr>
              <w:widowControl/>
              <w:jc w:val="left"/>
              <w:rPr>
                <w:rFonts w:ascii="宋体" w:cs="宋体"/>
                <w:kern w:val="0"/>
                <w:sz w:val="24"/>
              </w:rPr>
            </w:pPr>
          </w:p>
        </w:tc>
        <w:tc>
          <w:tcPr>
            <w:tcW w:w="1740" w:type="dxa"/>
            <w:tcBorders>
              <w:top w:val="nil"/>
              <w:left w:val="nil"/>
              <w:bottom w:val="nil"/>
              <w:right w:val="single" w:color="auto" w:sz="4" w:space="0"/>
            </w:tcBorders>
            <w:noWrap/>
            <w:vAlign w:val="bottom"/>
          </w:tcPr>
          <w:p>
            <w:pPr>
              <w:widowControl/>
              <w:jc w:val="left"/>
              <w:rPr>
                <w:rFonts w:ascii="宋体" w:cs="宋体"/>
                <w:kern w:val="0"/>
                <w:sz w:val="24"/>
              </w:rPr>
            </w:pPr>
            <w:r>
              <w:rPr>
                <w:rFonts w:hint="eastAsia" w:ascii="宋体" w:cs="宋体"/>
                <w:kern w:val="0"/>
                <w:sz w:val="24"/>
              </w:rPr>
              <w:t>　</w:t>
            </w:r>
          </w:p>
        </w:tc>
      </w:tr>
      <w:tr>
        <w:tblPrEx>
          <w:tblCellMar>
            <w:top w:w="0" w:type="dxa"/>
            <w:left w:w="108" w:type="dxa"/>
            <w:bottom w:w="0" w:type="dxa"/>
            <w:right w:w="108" w:type="dxa"/>
          </w:tblCellMar>
        </w:tblPrEx>
        <w:trPr>
          <w:trHeight w:val="675" w:hRule="atLeast"/>
        </w:trPr>
        <w:tc>
          <w:tcPr>
            <w:tcW w:w="4620" w:type="dxa"/>
            <w:tcBorders>
              <w:top w:val="nil"/>
              <w:left w:val="single" w:color="auto" w:sz="4" w:space="0"/>
              <w:bottom w:val="single" w:color="auto" w:sz="4" w:space="0"/>
              <w:right w:val="nil"/>
            </w:tcBorders>
            <w:noWrap/>
            <w:vAlign w:val="center"/>
          </w:tcPr>
          <w:p>
            <w:pPr>
              <w:widowControl/>
              <w:rPr>
                <w:rFonts w:ascii="宋体" w:cs="宋体"/>
                <w:kern w:val="0"/>
                <w:sz w:val="24"/>
              </w:rPr>
            </w:pPr>
            <w:r>
              <w:rPr>
                <w:rFonts w:hint="eastAsia" w:ascii="宋体" w:cs="宋体"/>
                <w:kern w:val="0"/>
                <w:sz w:val="24"/>
              </w:rPr>
              <w:t>银行帐号：</w:t>
            </w:r>
          </w:p>
        </w:tc>
        <w:tc>
          <w:tcPr>
            <w:tcW w:w="4840" w:type="dxa"/>
            <w:tcBorders>
              <w:top w:val="nil"/>
              <w:left w:val="nil"/>
              <w:bottom w:val="single" w:color="auto" w:sz="4" w:space="0"/>
              <w:right w:val="nil"/>
            </w:tcBorders>
            <w:noWrap/>
            <w:vAlign w:val="bottom"/>
          </w:tcPr>
          <w:p>
            <w:pPr>
              <w:widowControl/>
              <w:jc w:val="left"/>
              <w:rPr>
                <w:rFonts w:ascii="宋体" w:cs="宋体"/>
                <w:kern w:val="0"/>
                <w:sz w:val="24"/>
              </w:rPr>
            </w:pPr>
            <w:r>
              <w:rPr>
                <w:rFonts w:hint="eastAsia" w:ascii="宋体" w:cs="宋体"/>
                <w:kern w:val="0"/>
                <w:sz w:val="24"/>
              </w:rPr>
              <w:t>　</w:t>
            </w:r>
          </w:p>
        </w:tc>
        <w:tc>
          <w:tcPr>
            <w:tcW w:w="4620" w:type="dxa"/>
            <w:gridSpan w:val="3"/>
            <w:tcBorders>
              <w:top w:val="nil"/>
              <w:left w:val="nil"/>
              <w:bottom w:val="single" w:color="auto" w:sz="4" w:space="0"/>
              <w:right w:val="single" w:color="000000" w:sz="4" w:space="0"/>
            </w:tcBorders>
            <w:noWrap/>
            <w:vAlign w:val="center"/>
          </w:tcPr>
          <w:p>
            <w:pPr>
              <w:widowControl/>
              <w:rPr>
                <w:rFonts w:ascii="宋体" w:cs="宋体"/>
                <w:kern w:val="0"/>
                <w:sz w:val="24"/>
              </w:rPr>
            </w:pPr>
            <w:r>
              <w:rPr>
                <w:rFonts w:hint="eastAsia" w:ascii="宋体" w:cs="宋体"/>
                <w:kern w:val="0"/>
                <w:sz w:val="24"/>
              </w:rPr>
              <w:t>验收时间：</w:t>
            </w:r>
            <w:r>
              <w:rPr>
                <w:rFonts w:ascii="宋体" w:cs="宋体"/>
                <w:kern w:val="0"/>
                <w:sz w:val="24"/>
              </w:rPr>
              <w:t xml:space="preserve">       </w:t>
            </w:r>
            <w:r>
              <w:rPr>
                <w:rFonts w:hint="eastAsia" w:ascii="宋体" w:cs="宋体"/>
                <w:kern w:val="0"/>
                <w:sz w:val="24"/>
              </w:rPr>
              <w:t>年</w:t>
            </w:r>
            <w:r>
              <w:rPr>
                <w:rFonts w:ascii="宋体" w:cs="宋体"/>
                <w:kern w:val="0"/>
                <w:sz w:val="24"/>
              </w:rPr>
              <w:t xml:space="preserve">     </w:t>
            </w:r>
            <w:r>
              <w:rPr>
                <w:rFonts w:hint="eastAsia" w:ascii="宋体" w:cs="宋体"/>
                <w:kern w:val="0"/>
                <w:sz w:val="24"/>
              </w:rPr>
              <w:t>月</w:t>
            </w:r>
            <w:r>
              <w:rPr>
                <w:rFonts w:ascii="宋体" w:cs="宋体"/>
                <w:kern w:val="0"/>
                <w:sz w:val="24"/>
              </w:rPr>
              <w:t xml:space="preserve">     </w:t>
            </w:r>
            <w:r>
              <w:rPr>
                <w:rFonts w:hint="eastAsia" w:ascii="宋体" w:cs="宋体"/>
                <w:kern w:val="0"/>
                <w:sz w:val="24"/>
              </w:rPr>
              <w:t>日</w:t>
            </w:r>
          </w:p>
        </w:tc>
      </w:tr>
      <w:tr>
        <w:tblPrEx>
          <w:tblCellMar>
            <w:top w:w="0" w:type="dxa"/>
            <w:left w:w="108" w:type="dxa"/>
            <w:bottom w:w="0" w:type="dxa"/>
            <w:right w:w="108" w:type="dxa"/>
          </w:tblCellMar>
        </w:tblPrEx>
        <w:trPr>
          <w:trHeight w:val="345" w:hRule="atLeast"/>
        </w:trPr>
        <w:tc>
          <w:tcPr>
            <w:tcW w:w="14080" w:type="dxa"/>
            <w:gridSpan w:val="5"/>
            <w:tcBorders>
              <w:top w:val="single" w:color="auto" w:sz="4" w:space="0"/>
              <w:left w:val="nil"/>
              <w:bottom w:val="nil"/>
              <w:right w:val="nil"/>
            </w:tcBorders>
            <w:noWrap/>
            <w:vAlign w:val="center"/>
          </w:tcPr>
          <w:p>
            <w:pPr>
              <w:widowControl/>
              <w:jc w:val="center"/>
              <w:rPr>
                <w:rFonts w:ascii="宋体" w:cs="宋体"/>
                <w:kern w:val="0"/>
                <w:sz w:val="22"/>
                <w:szCs w:val="22"/>
              </w:rPr>
            </w:pPr>
            <w:r>
              <w:rPr>
                <w:rFonts w:hint="eastAsia" w:ascii="宋体" w:cs="宋体"/>
                <w:kern w:val="0"/>
                <w:sz w:val="22"/>
                <w:szCs w:val="22"/>
              </w:rPr>
              <w:t>本单一式四联：第一联采购人留存，第二联作为财政支付凭证，第三联供货单位留存，第四联采购办存档备查。</w:t>
            </w:r>
          </w:p>
        </w:tc>
      </w:tr>
    </w:tbl>
    <w:p>
      <w:pPr>
        <w:pStyle w:val="15"/>
        <w:spacing w:line="360" w:lineRule="auto"/>
        <w:ind w:left="281" w:hanging="281" w:hangingChars="100"/>
        <w:jc w:val="center"/>
        <w:rPr>
          <w:b/>
          <w:sz w:val="28"/>
          <w:szCs w:val="28"/>
        </w:rPr>
      </w:pPr>
    </w:p>
    <w:p>
      <w:pPr>
        <w:pStyle w:val="15"/>
        <w:spacing w:line="360" w:lineRule="auto"/>
        <w:ind w:left="281" w:hanging="281" w:hangingChars="100"/>
        <w:jc w:val="center"/>
        <w:rPr>
          <w:b/>
          <w:sz w:val="28"/>
          <w:szCs w:val="28"/>
        </w:rPr>
        <w:sectPr>
          <w:pgSz w:w="16838" w:h="11906" w:orient="landscape"/>
          <w:pgMar w:top="1797" w:right="1440" w:bottom="1797" w:left="1440" w:header="851" w:footer="851" w:gutter="0"/>
          <w:cols w:space="720" w:num="1"/>
          <w:docGrid w:linePitch="312" w:charSpace="0"/>
        </w:sectPr>
      </w:pPr>
    </w:p>
    <w:p>
      <w:pPr>
        <w:pStyle w:val="15"/>
        <w:spacing w:line="360" w:lineRule="auto"/>
        <w:ind w:left="281" w:hanging="281" w:hangingChars="100"/>
        <w:jc w:val="center"/>
        <w:outlineLvl w:val="0"/>
        <w:rPr>
          <w:b/>
          <w:sz w:val="28"/>
          <w:szCs w:val="28"/>
        </w:rPr>
      </w:pPr>
      <w:bookmarkStart w:id="30" w:name="_Toc11901"/>
      <w:r>
        <w:rPr>
          <w:rFonts w:hint="eastAsia"/>
          <w:b/>
          <w:sz w:val="28"/>
          <w:szCs w:val="28"/>
        </w:rPr>
        <w:t>第五章评标</w:t>
      </w:r>
      <w:bookmarkEnd w:id="23"/>
      <w:r>
        <w:rPr>
          <w:rFonts w:hint="eastAsia"/>
          <w:b/>
          <w:sz w:val="28"/>
          <w:szCs w:val="28"/>
        </w:rPr>
        <w:t>办法</w:t>
      </w:r>
      <w:bookmarkEnd w:id="24"/>
      <w:bookmarkEnd w:id="30"/>
    </w:p>
    <w:p>
      <w:pPr>
        <w:spacing w:line="440" w:lineRule="exact"/>
        <w:ind w:firstLine="420" w:firstLineChars="200"/>
        <w:rPr>
          <w:rFonts w:ascii="宋体"/>
          <w:szCs w:val="21"/>
          <w:highlight w:val="none"/>
        </w:rPr>
      </w:pPr>
      <w:bookmarkStart w:id="31" w:name="_Toc170792802"/>
      <w:bookmarkStart w:id="32" w:name="_Toc177870560"/>
      <w:r>
        <w:rPr>
          <w:rFonts w:hint="eastAsia" w:ascii="宋体" w:hAnsi="宋体"/>
          <w:szCs w:val="21"/>
        </w:rPr>
        <w:t>为公正、公平、科学地选择中标人，根据《中华人民共和国政府采购法》等有关法律法规的规定，并结合本项目的实际，制定本办法。</w:t>
      </w:r>
    </w:p>
    <w:p>
      <w:pPr>
        <w:spacing w:line="440" w:lineRule="exact"/>
        <w:ind w:firstLine="420" w:firstLineChars="200"/>
        <w:rPr>
          <w:rFonts w:ascii="宋体"/>
          <w:szCs w:val="21"/>
          <w:highlight w:val="none"/>
        </w:rPr>
      </w:pPr>
      <w:r>
        <w:rPr>
          <w:rFonts w:hint="eastAsia" w:ascii="宋体" w:hAnsi="宋体"/>
          <w:szCs w:val="21"/>
          <w:highlight w:val="none"/>
        </w:rPr>
        <w:t>本办法适用于嘉兴港区综合公共服务项目的评标。</w:t>
      </w:r>
    </w:p>
    <w:p>
      <w:pPr>
        <w:spacing w:line="440" w:lineRule="exact"/>
        <w:ind w:firstLine="413" w:firstLineChars="196"/>
        <w:rPr>
          <w:rFonts w:ascii="宋体"/>
          <w:b/>
          <w:szCs w:val="21"/>
          <w:highlight w:val="none"/>
        </w:rPr>
      </w:pPr>
      <w:r>
        <w:rPr>
          <w:rFonts w:hint="eastAsia" w:ascii="宋体" w:hAnsi="宋体"/>
          <w:b/>
          <w:szCs w:val="21"/>
          <w:highlight w:val="none"/>
        </w:rPr>
        <w:t>一、总则</w:t>
      </w:r>
    </w:p>
    <w:p>
      <w:pPr>
        <w:spacing w:line="360" w:lineRule="auto"/>
        <w:ind w:firstLine="420" w:firstLineChars="200"/>
        <w:rPr>
          <w:rFonts w:ascii="宋体"/>
          <w:szCs w:val="21"/>
          <w:highlight w:val="none"/>
        </w:rPr>
      </w:pPr>
      <w:r>
        <w:rPr>
          <w:rFonts w:ascii="宋体" w:hAnsi="宋体"/>
          <w:szCs w:val="21"/>
          <w:highlight w:val="none"/>
        </w:rPr>
        <w:t>1.</w:t>
      </w:r>
      <w:r>
        <w:rPr>
          <w:rFonts w:ascii="宋体" w:hAnsi="宋体"/>
          <w:bCs/>
          <w:szCs w:val="21"/>
          <w:highlight w:val="none"/>
        </w:rPr>
        <w:t xml:space="preserve"> </w:t>
      </w:r>
      <w:r>
        <w:rPr>
          <w:rFonts w:hint="eastAsia" w:ascii="宋体" w:hAnsi="宋体"/>
          <w:bCs/>
          <w:szCs w:val="21"/>
          <w:highlight w:val="none"/>
        </w:rPr>
        <w:t>本次评标采用综合评分法，总分为</w:t>
      </w:r>
      <w:r>
        <w:rPr>
          <w:rFonts w:ascii="宋体" w:hAnsi="宋体"/>
          <w:bCs/>
          <w:szCs w:val="21"/>
          <w:highlight w:val="none"/>
        </w:rPr>
        <w:t>100</w:t>
      </w:r>
      <w:r>
        <w:rPr>
          <w:rFonts w:hint="eastAsia" w:ascii="宋体" w:hAnsi="宋体"/>
          <w:bCs/>
          <w:szCs w:val="21"/>
          <w:highlight w:val="none"/>
        </w:rPr>
        <w:t>分，其中价格分</w:t>
      </w:r>
      <w:r>
        <w:rPr>
          <w:rFonts w:ascii="宋体" w:hAnsi="宋体"/>
          <w:bCs/>
          <w:szCs w:val="21"/>
          <w:highlight w:val="none"/>
        </w:rPr>
        <w:t>15</w:t>
      </w:r>
      <w:r>
        <w:rPr>
          <w:rFonts w:hint="eastAsia" w:ascii="宋体" w:hAnsi="宋体"/>
          <w:bCs/>
          <w:szCs w:val="21"/>
          <w:highlight w:val="none"/>
        </w:rPr>
        <w:t>分，资信商务及技术分</w:t>
      </w:r>
      <w:r>
        <w:rPr>
          <w:rFonts w:ascii="宋体" w:hAnsi="宋体"/>
          <w:szCs w:val="21"/>
          <w:highlight w:val="none"/>
        </w:rPr>
        <w:t>85</w:t>
      </w:r>
      <w:r>
        <w:rPr>
          <w:rFonts w:hint="eastAsia" w:ascii="宋体" w:hAnsi="宋体"/>
          <w:szCs w:val="21"/>
          <w:highlight w:val="none"/>
        </w:rPr>
        <w:t>分组成。合格投标人的评标得分为各项目汇总得分，中标候选资格按评标得分由高到低顺序排列，得分相同的，按投标报价由低到高顺序排列；得分且投标报价相同的，按资信及商务技术得分由高到低顺序排列；如按照上述条件依然无法确定投标人排序先后的，则由获取采购文件的时间先后顺序决定排名。排名第一的投标人为中标候选人，排名第二的投标人为候补中标候选人，其他供应商中成交候选资格依此类推，并提交评标报告。评分过程中采用四舍五入法，并保留小数</w:t>
      </w:r>
      <w:r>
        <w:rPr>
          <w:rFonts w:ascii="宋体" w:hAnsi="宋体"/>
          <w:szCs w:val="21"/>
          <w:highlight w:val="none"/>
        </w:rPr>
        <w:t>2</w:t>
      </w:r>
      <w:r>
        <w:rPr>
          <w:rFonts w:hint="eastAsia" w:ascii="宋体" w:hAnsi="宋体"/>
          <w:szCs w:val="21"/>
          <w:highlight w:val="none"/>
        </w:rPr>
        <w:t>位。</w:t>
      </w:r>
    </w:p>
    <w:p>
      <w:pPr>
        <w:spacing w:line="360" w:lineRule="auto"/>
        <w:ind w:firstLine="420" w:firstLineChars="200"/>
        <w:rPr>
          <w:rFonts w:ascii="宋体"/>
          <w:szCs w:val="21"/>
          <w:highlight w:val="none"/>
        </w:rPr>
      </w:pPr>
      <w:r>
        <w:rPr>
          <w:rFonts w:hint="eastAsia" w:ascii="宋体" w:hAnsi="宋体"/>
          <w:szCs w:val="21"/>
          <w:highlight w:val="none"/>
        </w:rPr>
        <w:t>排名第一的中标候选人放弃中标、因不可抗力不能履行合同、不按照招标文件要求提交履约保证金，或者被查实存在影响中标结果的违法行为等情形，不符合中标条件的，采购人可以按照评审报告推荐的成交候选人名单顺序，确定下一候选人为成交供应商，也可以重新开展政府采购活动。</w:t>
      </w:r>
    </w:p>
    <w:p>
      <w:pPr>
        <w:spacing w:line="440" w:lineRule="exact"/>
        <w:ind w:firstLine="420" w:firstLineChars="200"/>
        <w:rPr>
          <w:rFonts w:ascii="宋体"/>
          <w:b/>
          <w:bCs/>
          <w:szCs w:val="21"/>
          <w:highlight w:val="none"/>
        </w:rPr>
      </w:pPr>
      <w:r>
        <w:rPr>
          <w:rFonts w:ascii="宋体" w:hAnsi="宋体"/>
          <w:szCs w:val="21"/>
          <w:highlight w:val="none"/>
        </w:rPr>
        <w:t>2.</w:t>
      </w:r>
      <w:r>
        <w:rPr>
          <w:rFonts w:hint="eastAsia" w:ascii="宋体" w:hAnsi="宋体"/>
          <w:szCs w:val="21"/>
          <w:highlight w:val="none"/>
        </w:rPr>
        <w:t>投标人的投标报价不得超过采购人设定的上限价。价格是评标的重要因素之一，但最低报价不是中标的唯一依据</w:t>
      </w:r>
      <w:r>
        <w:rPr>
          <w:rFonts w:hint="eastAsia" w:ascii="宋体" w:hAnsi="宋体"/>
          <w:b/>
          <w:bCs/>
          <w:szCs w:val="21"/>
          <w:highlight w:val="none"/>
        </w:rPr>
        <w:t>。</w:t>
      </w:r>
      <w:r>
        <w:rPr>
          <w:rFonts w:hint="eastAsia" w:hAnsi="宋体"/>
          <w:b/>
          <w:bCs/>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Ansi="宋体"/>
          <w:b/>
          <w:bCs/>
          <w:szCs w:val="21"/>
          <w:highlight w:val="none"/>
        </w:rPr>
        <w:t>;</w:t>
      </w:r>
      <w:r>
        <w:rPr>
          <w:rFonts w:hint="eastAsia" w:hAnsi="宋体"/>
          <w:b/>
          <w:bCs/>
          <w:szCs w:val="21"/>
          <w:highlight w:val="none"/>
        </w:rPr>
        <w:t>投标人不能证明其报价合理性的，评标委员会应当将其作为无效投标处理。</w:t>
      </w:r>
    </w:p>
    <w:p>
      <w:pPr>
        <w:spacing w:line="440" w:lineRule="exact"/>
        <w:ind w:firstLine="420" w:firstLineChars="200"/>
        <w:rPr>
          <w:rFonts w:ascii="宋体"/>
          <w:szCs w:val="21"/>
          <w:highlight w:val="none"/>
        </w:rPr>
      </w:pPr>
      <w:r>
        <w:rPr>
          <w:rFonts w:ascii="宋体" w:hAnsi="宋体"/>
          <w:szCs w:val="21"/>
          <w:highlight w:val="none"/>
        </w:rPr>
        <w:t>3.</w:t>
      </w:r>
      <w:r>
        <w:rPr>
          <w:rFonts w:hint="eastAsia" w:ascii="宋体" w:hAnsi="宋体"/>
          <w:szCs w:val="21"/>
          <w:highlight w:val="none"/>
        </w:rPr>
        <w:t>投标人评标综合得分</w:t>
      </w:r>
      <w:r>
        <w:rPr>
          <w:rFonts w:ascii="宋体" w:hAnsi="宋体"/>
          <w:szCs w:val="21"/>
          <w:highlight w:val="none"/>
        </w:rPr>
        <w:t>=</w:t>
      </w:r>
      <w:r>
        <w:rPr>
          <w:rFonts w:hint="eastAsia" w:ascii="宋体" w:hAnsi="宋体"/>
          <w:szCs w:val="21"/>
          <w:highlight w:val="none"/>
        </w:rPr>
        <w:t>价格分</w:t>
      </w:r>
      <w:r>
        <w:rPr>
          <w:rFonts w:ascii="宋体" w:hAnsi="宋体"/>
          <w:szCs w:val="21"/>
          <w:highlight w:val="none"/>
        </w:rPr>
        <w:t>+</w:t>
      </w:r>
      <w:r>
        <w:rPr>
          <w:rFonts w:hint="eastAsia" w:ascii="宋体" w:hAnsi="宋体"/>
          <w:szCs w:val="21"/>
          <w:highlight w:val="none"/>
        </w:rPr>
        <w:t>资信商务及技术分。</w:t>
      </w:r>
    </w:p>
    <w:p>
      <w:pPr>
        <w:spacing w:line="440" w:lineRule="exact"/>
        <w:ind w:firstLine="422" w:firstLineChars="200"/>
        <w:rPr>
          <w:rFonts w:ascii="宋体"/>
          <w:b/>
          <w:szCs w:val="21"/>
          <w:highlight w:val="none"/>
        </w:rPr>
      </w:pPr>
      <w:r>
        <w:rPr>
          <w:rFonts w:hint="eastAsia" w:ascii="宋体" w:hAnsi="宋体"/>
          <w:b/>
          <w:szCs w:val="21"/>
          <w:highlight w:val="none"/>
        </w:rPr>
        <w:t>二、评标内容及标准</w:t>
      </w:r>
    </w:p>
    <w:p>
      <w:pPr>
        <w:pStyle w:val="12"/>
        <w:spacing w:beforeLines="50" w:afterLines="50" w:line="440" w:lineRule="exact"/>
        <w:ind w:firstLine="406" w:firstLineChars="200"/>
        <w:rPr>
          <w:rFonts w:hAnsi="宋体"/>
          <w:b/>
          <w:bCs/>
          <w:sz w:val="21"/>
          <w:szCs w:val="21"/>
          <w:highlight w:val="none"/>
        </w:rPr>
      </w:pPr>
      <w:r>
        <w:rPr>
          <w:rFonts w:hint="eastAsia" w:hAnsi="宋体"/>
          <w:b/>
          <w:bCs/>
          <w:sz w:val="21"/>
          <w:szCs w:val="21"/>
          <w:highlight w:val="none"/>
        </w:rPr>
        <w:t>（一）价格分（</w:t>
      </w:r>
      <w:r>
        <w:rPr>
          <w:rFonts w:hAnsi="宋体"/>
          <w:b/>
          <w:bCs/>
          <w:sz w:val="21"/>
          <w:szCs w:val="21"/>
          <w:highlight w:val="none"/>
        </w:rPr>
        <w:t>15</w:t>
      </w:r>
      <w:r>
        <w:rPr>
          <w:rFonts w:hint="eastAsia" w:hAnsi="宋体"/>
          <w:b/>
          <w:bCs/>
          <w:sz w:val="21"/>
          <w:szCs w:val="21"/>
          <w:highlight w:val="none"/>
        </w:rPr>
        <w:t>分）</w:t>
      </w:r>
    </w:p>
    <w:p>
      <w:pPr>
        <w:tabs>
          <w:tab w:val="left" w:pos="0"/>
        </w:tabs>
        <w:adjustRightInd w:val="0"/>
        <w:snapToGrid w:val="0"/>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1、投标报价在各阶段评审中未被定为无效响应文件或废标，其投标人的投标报价为有效投标报价。</w:t>
      </w:r>
    </w:p>
    <w:p>
      <w:pPr>
        <w:pStyle w:val="15"/>
        <w:tabs>
          <w:tab w:val="left" w:pos="630"/>
        </w:tabs>
        <w:spacing w:line="400" w:lineRule="exact"/>
        <w:ind w:firstLine="400" w:firstLineChars="200"/>
        <w:rPr>
          <w:rFonts w:hint="eastAsia" w:ascii="宋体" w:hAnsi="宋体" w:eastAsia="宋体" w:cs="宋体"/>
          <w:szCs w:val="21"/>
          <w:highlight w:val="none"/>
        </w:rPr>
      </w:pPr>
      <w:r>
        <w:rPr>
          <w:rFonts w:hint="eastAsia" w:ascii="宋体" w:hAnsi="宋体" w:eastAsia="宋体" w:cs="宋体"/>
          <w:szCs w:val="21"/>
          <w:highlight w:val="none"/>
        </w:rPr>
        <w:t>价格分采用低价优先法计算，即满足招标文件要求且投标价格最低的投标报价为评标基准价</w:t>
      </w:r>
      <w:r>
        <w:rPr>
          <w:rFonts w:hint="eastAsia" w:ascii="宋体" w:hAnsi="宋体" w:eastAsia="宋体" w:cs="宋体"/>
          <w:kern w:val="0"/>
          <w:szCs w:val="21"/>
          <w:highlight w:val="none"/>
        </w:rPr>
        <w:t>，其价格分为满分。</w:t>
      </w:r>
      <w:r>
        <w:rPr>
          <w:rFonts w:hint="eastAsia" w:ascii="宋体" w:hAnsi="宋体" w:eastAsia="宋体" w:cs="宋体"/>
          <w:szCs w:val="21"/>
          <w:highlight w:val="none"/>
        </w:rPr>
        <w:t>其他投标人的价格分按照下列公式计算：</w:t>
      </w:r>
    </w:p>
    <w:p>
      <w:pPr>
        <w:widowControl/>
        <w:adjustRightInd w:val="0"/>
        <w:snapToGrid w:val="0"/>
        <w:spacing w:line="420" w:lineRule="atLeast"/>
        <w:ind w:firstLine="420" w:firstLineChars="200"/>
        <w:rPr>
          <w:rFonts w:hint="eastAsia" w:ascii="宋体" w:hAnsi="宋体" w:eastAsia="宋体" w:cs="宋体"/>
          <w:kern w:val="0"/>
          <w:sz w:val="20"/>
          <w:szCs w:val="21"/>
          <w:highlight w:val="none"/>
          <w:lang w:val="en-US" w:eastAsia="zh-CN" w:bidi="ar-SA"/>
        </w:rPr>
      </w:pPr>
      <w:r>
        <w:rPr>
          <w:rFonts w:hint="eastAsia" w:ascii="宋体" w:hAnsi="宋体" w:eastAsia="宋体" w:cs="宋体"/>
          <w:szCs w:val="21"/>
          <w:highlight w:val="none"/>
        </w:rPr>
        <w:t>价格分=</w:t>
      </w:r>
      <w:r>
        <w:rPr>
          <w:rFonts w:hint="eastAsia" w:ascii="宋体" w:hAnsi="宋体" w:eastAsia="宋体" w:cs="宋体"/>
          <w:color w:val="000000"/>
          <w:kern w:val="0"/>
          <w:szCs w:val="21"/>
          <w:highlight w:val="none"/>
        </w:rPr>
        <w:t>（评标基准价/投标报价）</w:t>
      </w:r>
      <w:r>
        <w:rPr>
          <w:rFonts w:hint="eastAsia" w:ascii="宋体" w:hAnsi="宋体" w:eastAsia="宋体" w:cs="宋体"/>
          <w:kern w:val="0"/>
          <w:sz w:val="20"/>
          <w:szCs w:val="21"/>
          <w:highlight w:val="none"/>
          <w:lang w:val="en-US" w:eastAsia="zh-CN" w:bidi="ar-SA"/>
        </w:rPr>
        <w:t>×15%×100分</w:t>
      </w:r>
    </w:p>
    <w:p>
      <w:pPr>
        <w:pStyle w:val="15"/>
        <w:tabs>
          <w:tab w:val="left" w:pos="630"/>
        </w:tabs>
        <w:spacing w:line="400" w:lineRule="exact"/>
        <w:ind w:firstLine="400" w:firstLineChars="200"/>
        <w:rPr>
          <w:rFonts w:hint="eastAsia" w:ascii="宋体" w:hAnsi="宋体" w:eastAsia="宋体" w:cs="宋体"/>
          <w:kern w:val="0"/>
          <w:sz w:val="20"/>
          <w:szCs w:val="21"/>
          <w:highlight w:val="none"/>
          <w:lang w:val="en-US" w:eastAsia="zh-CN" w:bidi="ar-SA"/>
        </w:rPr>
      </w:pPr>
      <w:r>
        <w:rPr>
          <w:rFonts w:hint="eastAsia" w:ascii="宋体" w:hAnsi="宋体" w:eastAsia="宋体" w:cs="宋体"/>
          <w:kern w:val="0"/>
          <w:sz w:val="20"/>
          <w:szCs w:val="21"/>
          <w:highlight w:val="none"/>
          <w:lang w:val="en-US" w:eastAsia="zh-CN" w:bidi="ar-SA"/>
        </w:rPr>
        <w:t>2、本项目属于预留份额专门面向中小企业采购的项目。</w:t>
      </w:r>
    </w:p>
    <w:p>
      <w:pPr>
        <w:pStyle w:val="15"/>
        <w:tabs>
          <w:tab w:val="left" w:pos="630"/>
        </w:tabs>
        <w:spacing w:line="400" w:lineRule="exact"/>
        <w:ind w:firstLine="400" w:firstLineChars="200"/>
        <w:rPr>
          <w:rFonts w:hint="eastAsia" w:ascii="宋体" w:hAnsi="宋体" w:eastAsia="宋体" w:cs="宋体"/>
          <w:szCs w:val="21"/>
          <w:highlight w:val="none"/>
        </w:rPr>
      </w:pPr>
      <w:r>
        <w:rPr>
          <w:rFonts w:hint="eastAsia" w:ascii="宋体" w:hAnsi="宋体" w:eastAsia="宋体" w:cs="宋体"/>
          <w:kern w:val="0"/>
          <w:sz w:val="20"/>
          <w:szCs w:val="21"/>
          <w:highlight w:val="none"/>
          <w:lang w:val="en-US" w:eastAsia="zh-CN" w:bidi="ar-SA"/>
        </w:rPr>
        <w:t>3、根据财库〔2017〕141号的相关规</w:t>
      </w:r>
      <w:r>
        <w:rPr>
          <w:rFonts w:hint="eastAsia" w:ascii="宋体" w:hAnsi="宋体" w:eastAsia="宋体" w:cs="宋体"/>
          <w:szCs w:val="21"/>
          <w:highlight w:val="none"/>
        </w:rPr>
        <w:t>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pStyle w:val="15"/>
        <w:tabs>
          <w:tab w:val="left" w:pos="630"/>
        </w:tabs>
        <w:spacing w:line="400" w:lineRule="exact"/>
        <w:ind w:firstLine="400" w:firstLineChars="200"/>
        <w:rPr>
          <w:rFonts w:hint="eastAsia" w:ascii="宋体" w:hAnsi="宋体" w:eastAsia="宋体" w:cs="宋体"/>
          <w:szCs w:val="21"/>
          <w:highlight w:val="none"/>
        </w:rPr>
      </w:pPr>
      <w:r>
        <w:rPr>
          <w:rFonts w:hint="eastAsia" w:ascii="宋体" w:hAnsi="宋体" w:eastAsia="宋体" w:cs="宋体"/>
          <w:szCs w:val="21"/>
          <w:highlight w:val="none"/>
        </w:rPr>
        <w:t>4、根据财库〔2014〕68号的相关规定，在政府采购活动中，监狱企业视同小型、微型企业，享受评审中价格扣除政策。属于享受政府采购支持政策的监狱企业，应满足财库〔2014〕68号文件第一条的规定，并在投标文件中提供监狱企业声明函（见附件）。</w:t>
      </w:r>
    </w:p>
    <w:p>
      <w:pPr>
        <w:spacing w:line="440" w:lineRule="exact"/>
        <w:ind w:firstLine="422" w:firstLineChars="200"/>
        <w:rPr>
          <w:rFonts w:hint="eastAsia" w:ascii="宋体" w:hAnsi="宋体" w:eastAsia="宋体" w:cs="宋体"/>
          <w:b/>
          <w:bCs/>
          <w:szCs w:val="21"/>
          <w:highlight w:val="none"/>
          <w:lang w:eastAsia="zh-CN"/>
        </w:rPr>
      </w:pPr>
      <w:r>
        <w:rPr>
          <w:rFonts w:hint="eastAsia" w:ascii="宋体" w:hAnsi="宋体" w:eastAsia="宋体" w:cs="宋体"/>
          <w:b/>
          <w:bCs/>
          <w:szCs w:val="21"/>
          <w:highlight w:val="none"/>
        </w:rPr>
        <w:t>5、投标人的投标报价超过采购人设定的最高限价，将作为无效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cs="宋体"/>
          <w:b/>
          <w:bCs/>
          <w:szCs w:val="21"/>
          <w:highlight w:val="none"/>
          <w:lang w:eastAsia="zh-CN"/>
        </w:rPr>
        <w:t>。</w:t>
      </w:r>
    </w:p>
    <w:p>
      <w:pPr>
        <w:spacing w:line="440" w:lineRule="exact"/>
        <w:ind w:firstLine="420" w:firstLineChars="200"/>
        <w:rPr>
          <w:rFonts w:hint="eastAsia" w:ascii="宋体" w:hAnsi="宋体" w:eastAsia="宋体" w:cs="宋体"/>
          <w:szCs w:val="21"/>
          <w:highlight w:val="none"/>
        </w:rPr>
      </w:pPr>
    </w:p>
    <w:p>
      <w:pPr>
        <w:spacing w:line="440" w:lineRule="exact"/>
        <w:ind w:firstLine="422" w:firstLineChars="200"/>
        <w:jc w:val="left"/>
        <w:rPr>
          <w:rFonts w:ascii="宋体"/>
          <w:b/>
          <w:szCs w:val="21"/>
          <w:highlight w:val="none"/>
        </w:rPr>
      </w:pPr>
      <w:r>
        <w:rPr>
          <w:rFonts w:hint="eastAsia" w:ascii="宋体" w:hAnsi="宋体"/>
          <w:b/>
          <w:bCs/>
          <w:highlight w:val="none"/>
        </w:rPr>
        <w:t>（二）</w:t>
      </w:r>
      <w:r>
        <w:rPr>
          <w:rFonts w:hint="eastAsia" w:ascii="宋体" w:hAnsi="宋体"/>
          <w:b/>
          <w:szCs w:val="21"/>
          <w:highlight w:val="none"/>
        </w:rPr>
        <w:t>资信商务及技术分（</w:t>
      </w:r>
      <w:r>
        <w:rPr>
          <w:rFonts w:ascii="宋体" w:hAnsi="宋体"/>
          <w:b/>
          <w:szCs w:val="21"/>
          <w:highlight w:val="none"/>
        </w:rPr>
        <w:t>85</w:t>
      </w:r>
      <w:r>
        <w:rPr>
          <w:rFonts w:hint="eastAsia" w:ascii="宋体" w:hAnsi="宋体"/>
          <w:b/>
          <w:szCs w:val="21"/>
          <w:highlight w:val="none"/>
        </w:rPr>
        <w:t>分）</w:t>
      </w:r>
    </w:p>
    <w:tbl>
      <w:tblPr>
        <w:tblStyle w:val="29"/>
        <w:tblW w:w="8911" w:type="dxa"/>
        <w:jc w:val="center"/>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
      <w:tblGrid>
        <w:gridCol w:w="1644"/>
        <w:gridCol w:w="6251"/>
        <w:gridCol w:w="1016"/>
      </w:tblGrid>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16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105" w:firstLineChars="50"/>
              <w:rPr>
                <w:rFonts w:ascii="宋体" w:cs="宋体"/>
                <w:highlight w:val="none"/>
              </w:rPr>
            </w:pPr>
            <w:r>
              <w:rPr>
                <w:rFonts w:hint="eastAsia" w:ascii="宋体" w:hAnsi="宋体" w:cs="宋体"/>
                <w:highlight w:val="none"/>
              </w:rPr>
              <w:t>评分内容</w:t>
            </w:r>
          </w:p>
        </w:tc>
        <w:tc>
          <w:tcPr>
            <w:tcW w:w="62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105" w:firstLineChars="50"/>
              <w:rPr>
                <w:rFonts w:ascii="宋体" w:cs="宋体"/>
                <w:highlight w:val="none"/>
              </w:rPr>
            </w:pPr>
            <w:r>
              <w:rPr>
                <w:rFonts w:hint="eastAsia" w:ascii="宋体" w:hAnsi="宋体" w:cs="宋体"/>
                <w:highlight w:val="none"/>
              </w:rPr>
              <w:t>评分细则</w:t>
            </w:r>
          </w:p>
        </w:tc>
        <w:tc>
          <w:tcPr>
            <w:tcW w:w="10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105" w:firstLineChars="50"/>
              <w:rPr>
                <w:rFonts w:ascii="宋体" w:cs="宋体"/>
                <w:highlight w:val="none"/>
              </w:rPr>
            </w:pPr>
            <w:r>
              <w:rPr>
                <w:rFonts w:hint="eastAsia" w:ascii="宋体" w:hAnsi="宋体" w:cs="宋体"/>
                <w:highlight w:val="none"/>
              </w:rPr>
              <w:t>分值</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947" w:hRule="atLeast"/>
          <w:jc w:val="center"/>
        </w:trPr>
        <w:tc>
          <w:tcPr>
            <w:tcW w:w="1644" w:type="dxa"/>
            <w:vMerge w:val="restart"/>
            <w:tcBorders>
              <w:left w:val="single" w:color="auto" w:sz="4" w:space="0"/>
              <w:right w:val="single" w:color="auto" w:sz="4" w:space="0"/>
            </w:tcBorders>
            <w:vAlign w:val="center"/>
          </w:tcPr>
          <w:p>
            <w:pPr>
              <w:adjustRightInd w:val="0"/>
              <w:snapToGrid w:val="0"/>
              <w:spacing w:line="240" w:lineRule="auto"/>
              <w:ind w:firstLine="105" w:firstLineChars="50"/>
              <w:rPr>
                <w:rFonts w:ascii="宋体" w:cs="宋体"/>
                <w:highlight w:val="none"/>
              </w:rPr>
            </w:pPr>
            <w:r>
              <w:rPr>
                <w:rFonts w:hint="eastAsia" w:ascii="宋体" w:hAnsi="宋体" w:cs="宋体"/>
                <w:highlight w:val="none"/>
              </w:rPr>
              <w:t>企业综合实力</w:t>
            </w:r>
          </w:p>
        </w:tc>
        <w:tc>
          <w:tcPr>
            <w:tcW w:w="62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420" w:firstLineChars="200"/>
              <w:rPr>
                <w:rFonts w:ascii="宋体" w:cs="宋体"/>
                <w:highlight w:val="none"/>
              </w:rPr>
            </w:pPr>
            <w:r>
              <w:rPr>
                <w:rFonts w:hint="eastAsia" w:ascii="宋体" w:hAnsi="宋体" w:cs="宋体"/>
                <w:highlight w:val="none"/>
              </w:rPr>
              <w:t>企业体系认证：投标人具有有效期内的质量管理体系认证证书、环境管理体系认证证书、职业健康安全管理认证证书，每个得</w:t>
            </w:r>
            <w:r>
              <w:rPr>
                <w:rFonts w:ascii="宋体" w:hAnsi="宋体" w:cs="宋体"/>
                <w:highlight w:val="none"/>
              </w:rPr>
              <w:t>1</w:t>
            </w:r>
            <w:r>
              <w:rPr>
                <w:rFonts w:hint="eastAsia" w:ascii="宋体" w:hAnsi="宋体" w:cs="宋体"/>
                <w:highlight w:val="none"/>
              </w:rPr>
              <w:t>分，最高得</w:t>
            </w:r>
            <w:r>
              <w:rPr>
                <w:rFonts w:ascii="宋体" w:hAnsi="宋体" w:cs="宋体"/>
                <w:highlight w:val="none"/>
              </w:rPr>
              <w:t>3</w:t>
            </w:r>
            <w:r>
              <w:rPr>
                <w:rFonts w:hint="eastAsia" w:ascii="宋体" w:hAnsi="宋体" w:cs="宋体"/>
                <w:highlight w:val="none"/>
              </w:rPr>
              <w:t>分。（投标文件中提供认证证书扫描件）。</w:t>
            </w:r>
          </w:p>
        </w:tc>
        <w:tc>
          <w:tcPr>
            <w:tcW w:w="10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cs="宋体"/>
                <w:highlight w:val="none"/>
              </w:rPr>
            </w:pPr>
            <w:r>
              <w:rPr>
                <w:rFonts w:ascii="宋体" w:hAnsi="宋体" w:cs="宋体"/>
                <w:highlight w:val="none"/>
              </w:rPr>
              <w:t>3</w:t>
            </w:r>
            <w:r>
              <w:rPr>
                <w:rFonts w:hint="eastAsia" w:ascii="宋体" w:hAnsi="宋体" w:cs="宋体"/>
                <w:highlight w:val="none"/>
              </w:rPr>
              <w:t>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957" w:hRule="atLeast"/>
          <w:jc w:val="center"/>
        </w:trPr>
        <w:tc>
          <w:tcPr>
            <w:tcW w:w="1644" w:type="dxa"/>
            <w:vMerge w:val="continue"/>
            <w:tcBorders>
              <w:left w:val="single" w:color="auto" w:sz="4" w:space="0"/>
              <w:right w:val="single" w:color="auto" w:sz="4" w:space="0"/>
            </w:tcBorders>
            <w:vAlign w:val="center"/>
          </w:tcPr>
          <w:p>
            <w:pPr>
              <w:adjustRightInd w:val="0"/>
              <w:snapToGrid w:val="0"/>
              <w:spacing w:line="240" w:lineRule="auto"/>
              <w:ind w:firstLine="105" w:firstLineChars="50"/>
              <w:rPr>
                <w:rFonts w:ascii="宋体" w:cs="宋体"/>
                <w:highlight w:val="none"/>
              </w:rPr>
            </w:pPr>
          </w:p>
        </w:tc>
        <w:tc>
          <w:tcPr>
            <w:tcW w:w="62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420" w:firstLineChars="200"/>
              <w:rPr>
                <w:rFonts w:ascii="宋体" w:cs="宋体"/>
                <w:highlight w:val="none"/>
              </w:rPr>
            </w:pPr>
            <w:r>
              <w:rPr>
                <w:rFonts w:hint="eastAsia" w:ascii="宋体" w:hAnsi="宋体" w:cs="宋体"/>
                <w:highlight w:val="none"/>
              </w:rPr>
              <w:t>业绩：投标人自</w:t>
            </w:r>
            <w:r>
              <w:rPr>
                <w:rFonts w:ascii="宋体" w:hAnsi="宋体" w:cs="宋体"/>
                <w:highlight w:val="none"/>
              </w:rPr>
              <w:t>2019</w:t>
            </w:r>
            <w:r>
              <w:rPr>
                <w:rFonts w:hint="eastAsia" w:ascii="宋体" w:hAnsi="宋体" w:cs="宋体"/>
                <w:highlight w:val="none"/>
              </w:rPr>
              <w:t>年</w:t>
            </w:r>
            <w:r>
              <w:rPr>
                <w:rFonts w:ascii="宋体" w:hAnsi="宋体" w:cs="宋体"/>
                <w:highlight w:val="none"/>
              </w:rPr>
              <w:t>1</w:t>
            </w:r>
            <w:r>
              <w:rPr>
                <w:rFonts w:hint="eastAsia" w:ascii="宋体" w:hAnsi="宋体" w:cs="宋体"/>
                <w:highlight w:val="none"/>
              </w:rPr>
              <w:t>月</w:t>
            </w:r>
            <w:r>
              <w:rPr>
                <w:rFonts w:ascii="宋体" w:hAnsi="宋体" w:cs="宋体"/>
                <w:highlight w:val="none"/>
              </w:rPr>
              <w:t>1</w:t>
            </w:r>
            <w:r>
              <w:rPr>
                <w:rFonts w:hint="eastAsia" w:ascii="宋体" w:hAnsi="宋体" w:cs="宋体"/>
                <w:highlight w:val="none"/>
              </w:rPr>
              <w:t>日以来承接过同类综合公共服务或</w:t>
            </w:r>
            <w:r>
              <w:rPr>
                <w:rFonts w:ascii="宋体" w:hAnsi="宋体" w:cs="宋体"/>
                <w:highlight w:val="none"/>
              </w:rPr>
              <w:t>类似</w:t>
            </w:r>
            <w:r>
              <w:rPr>
                <w:rFonts w:hint="eastAsia" w:ascii="宋体" w:hAnsi="宋体" w:cs="宋体"/>
                <w:highlight w:val="none"/>
              </w:rPr>
              <w:t>业绩，每个得</w:t>
            </w:r>
            <w:r>
              <w:rPr>
                <w:rFonts w:ascii="宋体" w:hAnsi="宋体" w:cs="宋体"/>
                <w:highlight w:val="none"/>
              </w:rPr>
              <w:t>1</w:t>
            </w:r>
            <w:r>
              <w:rPr>
                <w:rFonts w:hint="eastAsia" w:ascii="宋体" w:hAnsi="宋体" w:cs="宋体"/>
                <w:highlight w:val="none"/>
              </w:rPr>
              <w:t>分，最高</w:t>
            </w:r>
            <w:r>
              <w:rPr>
                <w:rFonts w:ascii="宋体" w:hAnsi="宋体" w:cs="宋体"/>
                <w:highlight w:val="none"/>
              </w:rPr>
              <w:t>2</w:t>
            </w:r>
            <w:r>
              <w:rPr>
                <w:rFonts w:hint="eastAsia" w:ascii="宋体" w:hAnsi="宋体" w:cs="宋体"/>
                <w:highlight w:val="none"/>
              </w:rPr>
              <w:t>分。（须同时提供中标成交结果公告、中标通知书及合同扫描件，三者缺一不可，否则不得分）</w:t>
            </w:r>
          </w:p>
        </w:tc>
        <w:tc>
          <w:tcPr>
            <w:tcW w:w="10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cs="宋体"/>
                <w:highlight w:val="none"/>
              </w:rPr>
            </w:pPr>
            <w:r>
              <w:rPr>
                <w:rFonts w:ascii="宋体" w:hAnsi="宋体" w:cs="宋体"/>
                <w:highlight w:val="none"/>
              </w:rPr>
              <w:t>2</w:t>
            </w:r>
            <w:r>
              <w:rPr>
                <w:rFonts w:hint="eastAsia" w:ascii="宋体" w:hAnsi="宋体" w:cs="宋体"/>
                <w:highlight w:val="none"/>
              </w:rPr>
              <w:t>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957" w:hRule="atLeast"/>
          <w:jc w:val="center"/>
        </w:trPr>
        <w:tc>
          <w:tcPr>
            <w:tcW w:w="1644" w:type="dxa"/>
            <w:vMerge w:val="continue"/>
            <w:tcBorders>
              <w:left w:val="single" w:color="auto" w:sz="4" w:space="0"/>
              <w:bottom w:val="single" w:color="auto" w:sz="4" w:space="0"/>
              <w:right w:val="single" w:color="auto" w:sz="4" w:space="0"/>
            </w:tcBorders>
            <w:vAlign w:val="center"/>
          </w:tcPr>
          <w:p>
            <w:pPr>
              <w:adjustRightInd w:val="0"/>
              <w:snapToGrid w:val="0"/>
              <w:spacing w:line="240" w:lineRule="auto"/>
              <w:ind w:firstLine="105" w:firstLineChars="50"/>
              <w:rPr>
                <w:rFonts w:ascii="宋体" w:cs="宋体"/>
                <w:highlight w:val="none"/>
              </w:rPr>
            </w:pPr>
          </w:p>
        </w:tc>
        <w:tc>
          <w:tcPr>
            <w:tcW w:w="62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420" w:firstLineChars="200"/>
              <w:rPr>
                <w:rFonts w:ascii="宋体" w:cs="宋体"/>
                <w:highlight w:val="none"/>
              </w:rPr>
            </w:pPr>
            <w:r>
              <w:rPr>
                <w:rFonts w:hint="eastAsia" w:ascii="宋体" w:hAnsi="宋体" w:cs="宋体"/>
                <w:highlight w:val="none"/>
              </w:rPr>
              <w:t>企业荣誉：投标人自</w:t>
            </w:r>
            <w:r>
              <w:rPr>
                <w:rFonts w:ascii="宋体" w:hAnsi="宋体" w:cs="宋体"/>
                <w:highlight w:val="none"/>
              </w:rPr>
              <w:t>2019</w:t>
            </w:r>
            <w:r>
              <w:rPr>
                <w:rFonts w:hint="eastAsia" w:ascii="宋体" w:hAnsi="宋体" w:cs="宋体"/>
                <w:highlight w:val="none"/>
              </w:rPr>
              <w:t>年</w:t>
            </w:r>
            <w:r>
              <w:rPr>
                <w:rFonts w:ascii="宋体" w:hAnsi="宋体" w:cs="宋体"/>
                <w:highlight w:val="none"/>
              </w:rPr>
              <w:t>1</w:t>
            </w:r>
            <w:r>
              <w:rPr>
                <w:rFonts w:hint="eastAsia" w:ascii="宋体" w:hAnsi="宋体" w:cs="宋体"/>
                <w:highlight w:val="none"/>
              </w:rPr>
              <w:t>月</w:t>
            </w:r>
            <w:r>
              <w:rPr>
                <w:rFonts w:ascii="宋体" w:hAnsi="宋体" w:cs="宋体"/>
                <w:highlight w:val="none"/>
              </w:rPr>
              <w:t>1</w:t>
            </w:r>
            <w:r>
              <w:rPr>
                <w:rFonts w:hint="eastAsia" w:ascii="宋体" w:hAnsi="宋体" w:cs="宋体"/>
                <w:highlight w:val="none"/>
              </w:rPr>
              <w:t>日以来获得过省级及以上荣誉的得</w:t>
            </w:r>
            <w:r>
              <w:rPr>
                <w:rFonts w:hint="eastAsia" w:ascii="宋体" w:hAnsi="宋体" w:cs="宋体"/>
                <w:highlight w:val="none"/>
                <w:lang w:val="en-US" w:eastAsia="zh-CN"/>
              </w:rPr>
              <w:t>3</w:t>
            </w:r>
            <w:r>
              <w:rPr>
                <w:rFonts w:hint="eastAsia" w:ascii="宋体" w:hAnsi="宋体" w:cs="宋体"/>
                <w:highlight w:val="none"/>
              </w:rPr>
              <w:t>分，本项最高得</w:t>
            </w:r>
            <w:r>
              <w:rPr>
                <w:rFonts w:hint="eastAsia" w:ascii="宋体" w:hAnsi="宋体" w:cs="宋体"/>
                <w:highlight w:val="none"/>
                <w:lang w:val="en-US" w:eastAsia="zh-CN"/>
              </w:rPr>
              <w:t>3</w:t>
            </w:r>
            <w:r>
              <w:rPr>
                <w:rFonts w:hint="eastAsia" w:ascii="宋体" w:hAnsi="宋体" w:cs="宋体"/>
                <w:highlight w:val="none"/>
              </w:rPr>
              <w:t>分（投标文件中提供荣誉证书及相关证明材料）</w:t>
            </w:r>
          </w:p>
        </w:tc>
        <w:tc>
          <w:tcPr>
            <w:tcW w:w="10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cs="宋体"/>
                <w:highlight w:val="none"/>
              </w:rPr>
            </w:pPr>
            <w:r>
              <w:rPr>
                <w:rFonts w:hint="eastAsia" w:ascii="宋体" w:hAnsi="宋体" w:cs="宋体"/>
                <w:highlight w:val="none"/>
                <w:lang w:val="en-US" w:eastAsia="zh-CN"/>
              </w:rPr>
              <w:t>3</w:t>
            </w:r>
            <w:r>
              <w:rPr>
                <w:rFonts w:hint="eastAsia" w:ascii="宋体" w:hAnsi="宋体" w:cs="宋体"/>
                <w:highlight w:val="none"/>
              </w:rPr>
              <w:t>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967" w:hRule="atLeast"/>
          <w:jc w:val="center"/>
        </w:trPr>
        <w:tc>
          <w:tcPr>
            <w:tcW w:w="1644" w:type="dxa"/>
            <w:tcBorders>
              <w:left w:val="single" w:color="auto" w:sz="4" w:space="0"/>
              <w:bottom w:val="single" w:color="auto" w:sz="4" w:space="0"/>
              <w:right w:val="single" w:color="auto" w:sz="4" w:space="0"/>
            </w:tcBorders>
            <w:vAlign w:val="center"/>
          </w:tcPr>
          <w:p>
            <w:pPr>
              <w:adjustRightInd w:val="0"/>
              <w:snapToGrid w:val="0"/>
              <w:spacing w:line="240" w:lineRule="auto"/>
              <w:ind w:firstLine="105" w:firstLineChars="50"/>
              <w:rPr>
                <w:rFonts w:ascii="宋体" w:cs="宋体"/>
                <w:highlight w:val="none"/>
              </w:rPr>
            </w:pPr>
            <w:r>
              <w:rPr>
                <w:rFonts w:hint="eastAsia" w:ascii="宋体" w:hAnsi="宋体" w:cs="宋体"/>
                <w:highlight w:val="none"/>
              </w:rPr>
              <w:t>对本项目总体管理要求的理解</w:t>
            </w:r>
          </w:p>
        </w:tc>
        <w:tc>
          <w:tcPr>
            <w:tcW w:w="62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420" w:firstLineChars="200"/>
              <w:rPr>
                <w:rFonts w:ascii="宋体" w:cs="宋体"/>
                <w:highlight w:val="none"/>
              </w:rPr>
            </w:pPr>
            <w:r>
              <w:rPr>
                <w:rFonts w:hint="eastAsia" w:ascii="宋体" w:hAnsi="宋体" w:cs="宋体"/>
                <w:highlight w:val="none"/>
              </w:rPr>
              <w:t>根据投标人提供的对本项目总体管理要求的了解程度、针对街面市容秩序维持方案、街面设施巡查管理方案、治安维稳方案等进行评审（</w:t>
            </w:r>
            <w:r>
              <w:rPr>
                <w:rFonts w:ascii="宋体" w:hAnsi="宋体" w:cs="宋体"/>
                <w:highlight w:val="none"/>
              </w:rPr>
              <w:t>4-10</w:t>
            </w:r>
            <w:r>
              <w:rPr>
                <w:rFonts w:hint="eastAsia" w:ascii="宋体" w:hAnsi="宋体" w:cs="宋体"/>
                <w:highlight w:val="none"/>
              </w:rPr>
              <w:t>分）</w:t>
            </w:r>
          </w:p>
        </w:tc>
        <w:tc>
          <w:tcPr>
            <w:tcW w:w="10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cs="宋体"/>
                <w:highlight w:val="none"/>
              </w:rPr>
            </w:pPr>
            <w:r>
              <w:rPr>
                <w:rFonts w:ascii="宋体" w:hAnsi="宋体" w:cs="宋体"/>
                <w:highlight w:val="none"/>
              </w:rPr>
              <w:t>10</w:t>
            </w:r>
            <w:r>
              <w:rPr>
                <w:rFonts w:hint="eastAsia" w:ascii="宋体" w:hAnsi="宋体" w:cs="宋体"/>
                <w:highlight w:val="none"/>
              </w:rPr>
              <w:t>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889" w:hRule="atLeast"/>
          <w:jc w:val="center"/>
        </w:trPr>
        <w:tc>
          <w:tcPr>
            <w:tcW w:w="1644" w:type="dxa"/>
            <w:tcBorders>
              <w:left w:val="single" w:color="auto" w:sz="4" w:space="0"/>
              <w:bottom w:val="single" w:color="auto" w:sz="4" w:space="0"/>
              <w:right w:val="single" w:color="auto" w:sz="4" w:space="0"/>
            </w:tcBorders>
            <w:vAlign w:val="center"/>
          </w:tcPr>
          <w:p>
            <w:pPr>
              <w:adjustRightInd w:val="0"/>
              <w:snapToGrid w:val="0"/>
              <w:spacing w:line="240" w:lineRule="auto"/>
              <w:ind w:firstLine="105" w:firstLineChars="50"/>
              <w:rPr>
                <w:rFonts w:ascii="宋体" w:cs="宋体"/>
                <w:highlight w:val="none"/>
              </w:rPr>
            </w:pPr>
            <w:r>
              <w:rPr>
                <w:rFonts w:hint="eastAsia" w:ascii="宋体" w:hAnsi="宋体" w:cs="宋体"/>
                <w:highlight w:val="none"/>
              </w:rPr>
              <w:t>对本项目工作重点难点分析</w:t>
            </w:r>
          </w:p>
        </w:tc>
        <w:tc>
          <w:tcPr>
            <w:tcW w:w="62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420" w:firstLineChars="200"/>
              <w:rPr>
                <w:rFonts w:ascii="宋体" w:cs="宋体"/>
                <w:highlight w:val="none"/>
              </w:rPr>
            </w:pPr>
            <w:r>
              <w:rPr>
                <w:rFonts w:hint="eastAsia" w:ascii="宋体" w:hAnsi="宋体" w:cs="宋体"/>
                <w:highlight w:val="none"/>
              </w:rPr>
              <w:t>根据投标人对本项目工作重点难点分析、</w:t>
            </w:r>
            <w:r>
              <w:rPr>
                <w:rStyle w:val="117"/>
                <w:rFonts w:hint="eastAsia" w:ascii="宋体" w:hAnsi="宋体"/>
                <w:sz w:val="20"/>
                <w:szCs w:val="20"/>
                <w:highlight w:val="none"/>
              </w:rPr>
              <w:t>重点区域管理措施、服务质量保障措施</w:t>
            </w:r>
            <w:r>
              <w:rPr>
                <w:rFonts w:hint="eastAsia" w:ascii="宋体" w:hAnsi="宋体" w:cs="宋体"/>
                <w:highlight w:val="none"/>
              </w:rPr>
              <w:t>等进行综合评审（</w:t>
            </w:r>
            <w:r>
              <w:rPr>
                <w:rFonts w:ascii="宋体" w:hAnsi="宋体" w:cs="宋体"/>
                <w:highlight w:val="none"/>
              </w:rPr>
              <w:t>4-10</w:t>
            </w:r>
            <w:r>
              <w:rPr>
                <w:rFonts w:hint="eastAsia" w:ascii="宋体" w:hAnsi="宋体" w:cs="宋体"/>
                <w:highlight w:val="none"/>
              </w:rPr>
              <w:t>分）</w:t>
            </w:r>
          </w:p>
        </w:tc>
        <w:tc>
          <w:tcPr>
            <w:tcW w:w="10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cs="宋体"/>
                <w:highlight w:val="none"/>
              </w:rPr>
            </w:pPr>
            <w:r>
              <w:rPr>
                <w:rFonts w:ascii="宋体" w:hAnsi="宋体" w:cs="宋体"/>
                <w:highlight w:val="none"/>
              </w:rPr>
              <w:t>10</w:t>
            </w:r>
            <w:r>
              <w:rPr>
                <w:rFonts w:hint="eastAsia" w:ascii="宋体" w:hAnsi="宋体" w:cs="宋体"/>
                <w:highlight w:val="none"/>
              </w:rPr>
              <w:t>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759" w:hRule="atLeast"/>
          <w:jc w:val="center"/>
        </w:trPr>
        <w:tc>
          <w:tcPr>
            <w:tcW w:w="164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105" w:firstLineChars="50"/>
              <w:rPr>
                <w:rFonts w:ascii="宋体" w:cs="宋体"/>
                <w:highlight w:val="none"/>
              </w:rPr>
            </w:pPr>
            <w:r>
              <w:rPr>
                <w:rFonts w:hint="eastAsia" w:ascii="宋体" w:hAnsi="宋体" w:cs="宋体"/>
                <w:highlight w:val="none"/>
              </w:rPr>
              <w:t>人员配备及培训、招录方案</w:t>
            </w:r>
          </w:p>
        </w:tc>
        <w:tc>
          <w:tcPr>
            <w:tcW w:w="62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420" w:firstLineChars="200"/>
              <w:rPr>
                <w:rFonts w:ascii="宋体" w:cs="宋体"/>
                <w:highlight w:val="none"/>
              </w:rPr>
            </w:pPr>
            <w:r>
              <w:rPr>
                <w:rFonts w:hint="eastAsia" w:ascii="宋体" w:hAnsi="宋体" w:cs="宋体"/>
                <w:highlight w:val="none"/>
              </w:rPr>
              <w:t>根据投标人拟投入本项目人员配备情况、人员数量、岗位设置、员工比例及年龄分布等酌情打分（</w:t>
            </w:r>
            <w:r>
              <w:rPr>
                <w:rFonts w:ascii="宋体" w:hAnsi="宋体" w:cs="宋体"/>
                <w:highlight w:val="none"/>
              </w:rPr>
              <w:t>4-10</w:t>
            </w:r>
            <w:r>
              <w:rPr>
                <w:rFonts w:hint="eastAsia" w:ascii="宋体" w:hAnsi="宋体" w:cs="宋体"/>
                <w:highlight w:val="none"/>
              </w:rPr>
              <w:t>分）</w:t>
            </w:r>
          </w:p>
        </w:tc>
        <w:tc>
          <w:tcPr>
            <w:tcW w:w="10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cs="宋体"/>
                <w:highlight w:val="none"/>
              </w:rPr>
            </w:pPr>
            <w:r>
              <w:rPr>
                <w:rFonts w:ascii="宋体" w:hAnsi="宋体" w:cs="宋体"/>
                <w:highlight w:val="none"/>
              </w:rPr>
              <w:t>10</w:t>
            </w:r>
            <w:r>
              <w:rPr>
                <w:rFonts w:hint="eastAsia" w:ascii="宋体" w:hAnsi="宋体" w:cs="宋体"/>
                <w:highlight w:val="none"/>
              </w:rPr>
              <w:t>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44" w:type="dxa"/>
            <w:vMerge w:val="continue"/>
            <w:tcBorders>
              <w:top w:val="single" w:color="auto" w:sz="4" w:space="0"/>
              <w:left w:val="single" w:color="auto" w:sz="4" w:space="0"/>
              <w:right w:val="single" w:color="auto" w:sz="4" w:space="0"/>
            </w:tcBorders>
            <w:vAlign w:val="center"/>
          </w:tcPr>
          <w:p>
            <w:pPr>
              <w:adjustRightInd w:val="0"/>
              <w:snapToGrid w:val="0"/>
              <w:spacing w:line="240" w:lineRule="auto"/>
              <w:ind w:firstLine="105" w:firstLineChars="50"/>
              <w:rPr>
                <w:rFonts w:ascii="宋体" w:cs="宋体"/>
                <w:highlight w:val="yellow"/>
              </w:rPr>
            </w:pPr>
          </w:p>
        </w:tc>
        <w:tc>
          <w:tcPr>
            <w:tcW w:w="62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420" w:firstLineChars="200"/>
              <w:rPr>
                <w:rFonts w:ascii="宋体" w:cs="宋体"/>
                <w:color w:val="auto"/>
                <w:highlight w:val="none"/>
              </w:rPr>
            </w:pPr>
            <w:r>
              <w:rPr>
                <w:rFonts w:hint="eastAsia" w:ascii="宋体" w:hAnsi="宋体" w:cs="宋体"/>
                <w:color w:val="auto"/>
                <w:highlight w:val="none"/>
              </w:rPr>
              <w:t>针对本项目，投标单位对从业人员的考核方案、日常管理、业务培训等内容和措施，酌情打分（</w:t>
            </w:r>
            <w:r>
              <w:rPr>
                <w:rFonts w:ascii="宋体" w:hAnsi="宋体" w:cs="宋体"/>
                <w:color w:val="auto"/>
                <w:highlight w:val="none"/>
              </w:rPr>
              <w:t>4-10</w:t>
            </w:r>
            <w:r>
              <w:rPr>
                <w:rFonts w:hint="eastAsia" w:ascii="宋体" w:hAnsi="宋体" w:cs="宋体"/>
                <w:color w:val="auto"/>
                <w:highlight w:val="none"/>
              </w:rPr>
              <w:t>分）</w:t>
            </w:r>
          </w:p>
        </w:tc>
        <w:tc>
          <w:tcPr>
            <w:tcW w:w="10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cs="宋体"/>
                <w:highlight w:val="none"/>
              </w:rPr>
            </w:pPr>
            <w:r>
              <w:rPr>
                <w:rFonts w:ascii="宋体" w:hAnsi="宋体" w:cs="宋体"/>
                <w:highlight w:val="none"/>
              </w:rPr>
              <w:t>10</w:t>
            </w:r>
            <w:r>
              <w:rPr>
                <w:rFonts w:hint="eastAsia" w:ascii="宋体" w:hAnsi="宋体" w:cs="宋体"/>
                <w:highlight w:val="none"/>
              </w:rPr>
              <w:t>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1001" w:hRule="atLeast"/>
          <w:jc w:val="center"/>
        </w:trPr>
        <w:tc>
          <w:tcPr>
            <w:tcW w:w="1644" w:type="dxa"/>
            <w:vMerge w:val="continue"/>
            <w:tcBorders>
              <w:left w:val="single" w:color="auto" w:sz="4" w:space="0"/>
              <w:right w:val="single" w:color="auto" w:sz="4" w:space="0"/>
            </w:tcBorders>
            <w:vAlign w:val="center"/>
          </w:tcPr>
          <w:p>
            <w:pPr>
              <w:adjustRightInd w:val="0"/>
              <w:snapToGrid w:val="0"/>
              <w:spacing w:line="240" w:lineRule="auto"/>
              <w:ind w:firstLine="105" w:firstLineChars="50"/>
              <w:rPr>
                <w:rFonts w:ascii="宋体" w:cs="宋体"/>
                <w:highlight w:val="yellow"/>
              </w:rPr>
            </w:pPr>
          </w:p>
        </w:tc>
        <w:tc>
          <w:tcPr>
            <w:tcW w:w="62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420" w:firstLineChars="200"/>
              <w:rPr>
                <w:rFonts w:ascii="宋体" w:cs="宋体"/>
                <w:color w:val="auto"/>
                <w:highlight w:val="none"/>
              </w:rPr>
            </w:pPr>
            <w:r>
              <w:rPr>
                <w:rFonts w:hint="eastAsia" w:ascii="宋体" w:hAnsi="宋体" w:cs="宋体"/>
                <w:color w:val="auto"/>
                <w:highlight w:val="none"/>
              </w:rPr>
              <w:t>片区队长具有二级及以上保安员职业资格证书</w:t>
            </w:r>
            <w:r>
              <w:rPr>
                <w:rFonts w:hint="eastAsia" w:ascii="宋体" w:hAnsi="宋体" w:cs="宋体"/>
                <w:color w:val="auto"/>
                <w:highlight w:val="none"/>
                <w:lang w:eastAsia="zh-CN"/>
              </w:rPr>
              <w:t>、</w:t>
            </w:r>
            <w:r>
              <w:rPr>
                <w:rFonts w:hint="eastAsia" w:ascii="宋体" w:hAnsi="宋体" w:cs="宋体"/>
                <w:color w:val="auto"/>
                <w:highlight w:val="none"/>
              </w:rPr>
              <w:t>《退伍军人证》的，每</w:t>
            </w:r>
            <w:r>
              <w:rPr>
                <w:rFonts w:hint="eastAsia" w:ascii="宋体" w:hAnsi="宋体" w:cs="宋体"/>
                <w:color w:val="auto"/>
                <w:highlight w:val="none"/>
                <w:lang w:val="en-US" w:eastAsia="zh-CN"/>
              </w:rPr>
              <w:t>个证书</w:t>
            </w:r>
            <w:r>
              <w:rPr>
                <w:rFonts w:hint="eastAsia" w:ascii="宋体" w:hAnsi="宋体" w:cs="宋体"/>
                <w:color w:val="auto"/>
                <w:highlight w:val="none"/>
              </w:rPr>
              <w:t>得</w:t>
            </w:r>
            <w:r>
              <w:rPr>
                <w:rFonts w:ascii="宋体" w:hAnsi="宋体" w:cs="宋体"/>
                <w:color w:val="auto"/>
                <w:highlight w:val="none"/>
              </w:rPr>
              <w:t>1</w:t>
            </w:r>
            <w:r>
              <w:rPr>
                <w:rFonts w:hint="eastAsia" w:ascii="宋体" w:hAnsi="宋体" w:cs="宋体"/>
                <w:color w:val="auto"/>
                <w:highlight w:val="none"/>
              </w:rPr>
              <w:t>分，最高得</w:t>
            </w:r>
            <w:r>
              <w:rPr>
                <w:rFonts w:hint="eastAsia" w:ascii="宋体" w:hAnsi="宋体" w:cs="宋体"/>
                <w:color w:val="auto"/>
                <w:highlight w:val="none"/>
                <w:lang w:val="en-US" w:eastAsia="zh-CN"/>
              </w:rPr>
              <w:t>2</w:t>
            </w:r>
            <w:r>
              <w:rPr>
                <w:rFonts w:hint="eastAsia" w:ascii="宋体" w:hAnsi="宋体" w:cs="宋体"/>
                <w:color w:val="auto"/>
                <w:highlight w:val="none"/>
              </w:rPr>
              <w:t>分（投标文件中提供资格证书及在册社保证明）</w:t>
            </w:r>
          </w:p>
        </w:tc>
        <w:tc>
          <w:tcPr>
            <w:tcW w:w="10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cs="宋体"/>
                <w:highlight w:val="none"/>
              </w:rPr>
            </w:pPr>
            <w:r>
              <w:rPr>
                <w:rFonts w:hint="eastAsia" w:ascii="宋体" w:hAnsi="宋体" w:cs="宋体"/>
                <w:highlight w:val="none"/>
                <w:lang w:val="en-US" w:eastAsia="zh-CN"/>
              </w:rPr>
              <w:t>2</w:t>
            </w:r>
            <w:r>
              <w:rPr>
                <w:rFonts w:hint="eastAsia" w:ascii="宋体" w:hAnsi="宋体" w:cs="宋体"/>
                <w:highlight w:val="none"/>
              </w:rPr>
              <w:t>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944" w:hRule="atLeast"/>
          <w:jc w:val="center"/>
        </w:trPr>
        <w:tc>
          <w:tcPr>
            <w:tcW w:w="1644" w:type="dxa"/>
            <w:vMerge w:val="continue"/>
            <w:tcBorders>
              <w:left w:val="single" w:color="auto" w:sz="4" w:space="0"/>
              <w:right w:val="single" w:color="auto" w:sz="4" w:space="0"/>
            </w:tcBorders>
            <w:vAlign w:val="center"/>
          </w:tcPr>
          <w:p>
            <w:pPr>
              <w:adjustRightInd w:val="0"/>
              <w:snapToGrid w:val="0"/>
              <w:spacing w:line="240" w:lineRule="auto"/>
              <w:ind w:firstLine="105" w:firstLineChars="50"/>
              <w:rPr>
                <w:rFonts w:ascii="宋体" w:cs="宋体"/>
                <w:highlight w:val="yellow"/>
              </w:rPr>
            </w:pPr>
          </w:p>
        </w:tc>
        <w:tc>
          <w:tcPr>
            <w:tcW w:w="62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420" w:firstLineChars="200"/>
              <w:rPr>
                <w:rFonts w:ascii="宋体" w:cs="宋体"/>
                <w:color w:val="auto"/>
                <w:highlight w:val="none"/>
              </w:rPr>
            </w:pPr>
            <w:r>
              <w:rPr>
                <w:rFonts w:hint="eastAsia" w:ascii="宋体" w:hAnsi="宋体" w:cs="宋体"/>
                <w:color w:val="auto"/>
                <w:highlight w:val="none"/>
              </w:rPr>
              <w:t>片区</w:t>
            </w:r>
            <w:r>
              <w:rPr>
                <w:rFonts w:hint="eastAsia" w:ascii="宋体" w:hAnsi="宋体" w:cs="宋体"/>
                <w:color w:val="auto"/>
                <w:highlight w:val="none"/>
                <w:lang w:val="en-US" w:eastAsia="zh-CN"/>
              </w:rPr>
              <w:t>班长（两人）</w:t>
            </w:r>
            <w:r>
              <w:rPr>
                <w:rFonts w:hint="eastAsia" w:ascii="宋体" w:hAnsi="宋体" w:cs="宋体"/>
                <w:color w:val="auto"/>
                <w:highlight w:val="none"/>
              </w:rPr>
              <w:t>具有</w:t>
            </w:r>
            <w:r>
              <w:rPr>
                <w:rFonts w:hint="eastAsia" w:ascii="宋体" w:hAnsi="宋体" w:cs="宋体"/>
                <w:color w:val="auto"/>
                <w:highlight w:val="none"/>
                <w:lang w:val="en-US" w:eastAsia="zh-CN"/>
              </w:rPr>
              <w:t>三</w:t>
            </w:r>
            <w:r>
              <w:rPr>
                <w:rFonts w:hint="eastAsia" w:ascii="宋体" w:hAnsi="宋体" w:cs="宋体"/>
                <w:color w:val="auto"/>
                <w:highlight w:val="none"/>
              </w:rPr>
              <w:t>级及以上保安员职业资格证书</w:t>
            </w:r>
            <w:r>
              <w:rPr>
                <w:rFonts w:hint="eastAsia" w:ascii="宋体" w:hAnsi="宋体" w:cs="宋体"/>
                <w:color w:val="auto"/>
                <w:highlight w:val="none"/>
                <w:lang w:eastAsia="zh-CN"/>
              </w:rPr>
              <w:t>、</w:t>
            </w:r>
            <w:r>
              <w:rPr>
                <w:rFonts w:hint="eastAsia" w:ascii="宋体" w:hAnsi="宋体" w:cs="宋体"/>
                <w:color w:val="auto"/>
                <w:highlight w:val="none"/>
              </w:rPr>
              <w:t>《退伍军人证》的，每</w:t>
            </w:r>
            <w:r>
              <w:rPr>
                <w:rFonts w:hint="eastAsia" w:ascii="宋体" w:hAnsi="宋体" w:cs="宋体"/>
                <w:color w:val="auto"/>
                <w:highlight w:val="none"/>
                <w:lang w:val="en-US" w:eastAsia="zh-CN"/>
              </w:rPr>
              <w:t>个证书</w:t>
            </w:r>
            <w:r>
              <w:rPr>
                <w:rFonts w:hint="eastAsia" w:ascii="宋体" w:hAnsi="宋体" w:cs="宋体"/>
                <w:color w:val="auto"/>
                <w:highlight w:val="none"/>
              </w:rPr>
              <w:t>得</w:t>
            </w:r>
            <w:r>
              <w:rPr>
                <w:rFonts w:ascii="宋体" w:hAnsi="宋体" w:cs="宋体"/>
                <w:color w:val="auto"/>
                <w:highlight w:val="none"/>
              </w:rPr>
              <w:t>1</w:t>
            </w:r>
            <w:r>
              <w:rPr>
                <w:rFonts w:hint="eastAsia" w:ascii="宋体" w:hAnsi="宋体" w:cs="宋体"/>
                <w:color w:val="auto"/>
                <w:highlight w:val="none"/>
              </w:rPr>
              <w:t>分，最高得</w:t>
            </w:r>
            <w:r>
              <w:rPr>
                <w:rFonts w:hint="eastAsia" w:ascii="宋体" w:hAnsi="宋体" w:cs="宋体"/>
                <w:color w:val="auto"/>
                <w:highlight w:val="none"/>
                <w:lang w:val="en-US" w:eastAsia="zh-CN"/>
              </w:rPr>
              <w:t>4</w:t>
            </w:r>
            <w:r>
              <w:rPr>
                <w:rFonts w:hint="eastAsia" w:ascii="宋体" w:hAnsi="宋体" w:cs="宋体"/>
                <w:color w:val="auto"/>
                <w:highlight w:val="none"/>
              </w:rPr>
              <w:t>分（投标文件中提供资格证书及在册社保证明）</w:t>
            </w:r>
          </w:p>
        </w:tc>
        <w:tc>
          <w:tcPr>
            <w:tcW w:w="10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cs="宋体"/>
                <w:highlight w:val="none"/>
              </w:rPr>
            </w:pPr>
            <w:r>
              <w:rPr>
                <w:rFonts w:hint="eastAsia" w:ascii="宋体" w:hAnsi="宋体" w:cs="宋体"/>
                <w:highlight w:val="none"/>
                <w:lang w:val="en-US" w:eastAsia="zh-CN"/>
              </w:rPr>
              <w:t>4</w:t>
            </w:r>
            <w:r>
              <w:rPr>
                <w:rFonts w:hint="eastAsia" w:ascii="宋体" w:hAnsi="宋体" w:cs="宋体"/>
                <w:highlight w:val="none"/>
              </w:rPr>
              <w:t>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1644" w:type="dxa"/>
            <w:vMerge w:val="continue"/>
            <w:tcBorders>
              <w:left w:val="single" w:color="auto" w:sz="4" w:space="0"/>
              <w:bottom w:val="single" w:color="auto" w:sz="4" w:space="0"/>
              <w:right w:val="single" w:color="auto" w:sz="4" w:space="0"/>
            </w:tcBorders>
            <w:vAlign w:val="center"/>
          </w:tcPr>
          <w:p>
            <w:pPr>
              <w:adjustRightInd w:val="0"/>
              <w:snapToGrid w:val="0"/>
              <w:spacing w:line="240" w:lineRule="auto"/>
              <w:ind w:firstLine="105" w:firstLineChars="50"/>
              <w:rPr>
                <w:rFonts w:ascii="宋体" w:cs="宋体"/>
                <w:highlight w:val="yellow"/>
              </w:rPr>
            </w:pPr>
          </w:p>
        </w:tc>
        <w:tc>
          <w:tcPr>
            <w:tcW w:w="62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420" w:firstLineChars="200"/>
              <w:rPr>
                <w:rFonts w:ascii="宋体" w:cs="宋体"/>
                <w:color w:val="auto"/>
                <w:highlight w:val="none"/>
              </w:rPr>
            </w:pPr>
            <w:r>
              <w:rPr>
                <w:rFonts w:hint="eastAsia" w:ascii="宋体" w:hAnsi="宋体" w:cs="宋体"/>
                <w:color w:val="auto"/>
                <w:highlight w:val="none"/>
              </w:rPr>
              <w:t>根据投标人针对本项目的人员招录方案进行综合打分（</w:t>
            </w:r>
            <w:r>
              <w:rPr>
                <w:rFonts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分）</w:t>
            </w:r>
          </w:p>
        </w:tc>
        <w:tc>
          <w:tcPr>
            <w:tcW w:w="10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cs="宋体"/>
                <w:highlight w:val="none"/>
              </w:rPr>
            </w:pPr>
            <w:r>
              <w:rPr>
                <w:rFonts w:hint="eastAsia" w:ascii="宋体" w:hAnsi="宋体" w:cs="宋体"/>
                <w:highlight w:val="none"/>
                <w:lang w:val="en-US" w:eastAsia="zh-CN"/>
              </w:rPr>
              <w:t>6</w:t>
            </w:r>
            <w:r>
              <w:rPr>
                <w:rFonts w:hint="eastAsia" w:ascii="宋体" w:hAnsi="宋体" w:cs="宋体"/>
                <w:highlight w:val="none"/>
              </w:rPr>
              <w:t>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16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105" w:firstLineChars="50"/>
              <w:rPr>
                <w:rFonts w:ascii="宋体" w:cs="宋体"/>
                <w:highlight w:val="none"/>
              </w:rPr>
            </w:pPr>
            <w:r>
              <w:rPr>
                <w:rFonts w:hint="eastAsia" w:ascii="宋体" w:hAnsi="宋体" w:cs="宋体"/>
                <w:highlight w:val="none"/>
              </w:rPr>
              <w:t>秩序管理及响应时间</w:t>
            </w:r>
          </w:p>
        </w:tc>
        <w:tc>
          <w:tcPr>
            <w:tcW w:w="62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420" w:firstLineChars="200"/>
              <w:rPr>
                <w:rFonts w:ascii="宋体" w:cs="宋体"/>
                <w:highlight w:val="none"/>
              </w:rPr>
            </w:pPr>
            <w:r>
              <w:rPr>
                <w:rFonts w:hint="eastAsia" w:ascii="宋体" w:hAnsi="宋体" w:cs="宋体"/>
                <w:highlight w:val="none"/>
              </w:rPr>
              <w:t>根据投标单位突发情况临时应急响应承诺、服务网点、响应时间进行综合打分。（</w:t>
            </w:r>
            <w:r>
              <w:rPr>
                <w:rFonts w:ascii="宋体" w:hAnsi="宋体" w:cs="宋体"/>
                <w:highlight w:val="none"/>
              </w:rPr>
              <w:t>2-7</w:t>
            </w:r>
            <w:r>
              <w:rPr>
                <w:rFonts w:hint="eastAsia" w:ascii="宋体" w:hAnsi="宋体" w:cs="宋体"/>
                <w:highlight w:val="none"/>
              </w:rPr>
              <w:t>分）</w:t>
            </w:r>
          </w:p>
        </w:tc>
        <w:tc>
          <w:tcPr>
            <w:tcW w:w="10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cs="宋体"/>
                <w:highlight w:val="none"/>
              </w:rPr>
            </w:pPr>
            <w:r>
              <w:rPr>
                <w:rFonts w:ascii="宋体" w:hAnsi="宋体" w:cs="宋体"/>
                <w:highlight w:val="none"/>
              </w:rPr>
              <w:t>7</w:t>
            </w:r>
            <w:r>
              <w:rPr>
                <w:rFonts w:hint="eastAsia" w:ascii="宋体" w:hAnsi="宋体" w:cs="宋体"/>
                <w:highlight w:val="none"/>
              </w:rPr>
              <w:t>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1194" w:hRule="atLeast"/>
          <w:jc w:val="center"/>
        </w:trPr>
        <w:tc>
          <w:tcPr>
            <w:tcW w:w="16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105" w:firstLineChars="50"/>
              <w:rPr>
                <w:rFonts w:ascii="宋体" w:cs="宋体"/>
                <w:highlight w:val="none"/>
              </w:rPr>
            </w:pPr>
            <w:r>
              <w:rPr>
                <w:rFonts w:hint="eastAsia" w:ascii="宋体" w:hAnsi="宋体" w:cs="宋体"/>
                <w:highlight w:val="none"/>
              </w:rPr>
              <w:t>特殊时期的应急保障措施</w:t>
            </w:r>
          </w:p>
        </w:tc>
        <w:tc>
          <w:tcPr>
            <w:tcW w:w="62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420" w:firstLineChars="200"/>
              <w:rPr>
                <w:rFonts w:ascii="宋体" w:cs="宋体"/>
                <w:highlight w:val="none"/>
              </w:rPr>
            </w:pPr>
            <w:r>
              <w:rPr>
                <w:rFonts w:hint="eastAsia" w:ascii="宋体" w:hAnsi="宋体" w:cs="宋体"/>
                <w:highlight w:val="none"/>
              </w:rPr>
              <w:t>评委根据投标人提供的针对大型活动、重大事件、节庆假日、防台防汛期间、创优评优和突击检查等特殊时期的应急保障措施进行综合打分。（</w:t>
            </w:r>
            <w:r>
              <w:rPr>
                <w:rFonts w:ascii="宋体" w:hAnsi="宋体" w:cs="宋体"/>
                <w:highlight w:val="none"/>
              </w:rPr>
              <w:t>4-10</w:t>
            </w:r>
            <w:r>
              <w:rPr>
                <w:rFonts w:hint="eastAsia" w:ascii="宋体" w:hAnsi="宋体" w:cs="宋体"/>
                <w:highlight w:val="none"/>
              </w:rPr>
              <w:t>分）</w:t>
            </w:r>
          </w:p>
        </w:tc>
        <w:tc>
          <w:tcPr>
            <w:tcW w:w="10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cs="宋体"/>
                <w:highlight w:val="none"/>
              </w:rPr>
            </w:pPr>
            <w:r>
              <w:rPr>
                <w:rFonts w:ascii="宋体" w:hAnsi="宋体" w:cs="宋体"/>
                <w:highlight w:val="none"/>
              </w:rPr>
              <w:t>10</w:t>
            </w:r>
            <w:r>
              <w:rPr>
                <w:rFonts w:hint="eastAsia" w:ascii="宋体" w:hAnsi="宋体" w:cs="宋体"/>
                <w:highlight w:val="none"/>
              </w:rPr>
              <w:t>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806" w:hRule="atLeast"/>
          <w:jc w:val="center"/>
        </w:trPr>
        <w:tc>
          <w:tcPr>
            <w:tcW w:w="16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cs="宋体"/>
                <w:highlight w:val="none"/>
              </w:rPr>
            </w:pPr>
            <w:r>
              <w:rPr>
                <w:rFonts w:hint="eastAsia" w:ascii="宋体" w:hAnsi="宋体" w:cs="宋体"/>
                <w:highlight w:val="none"/>
              </w:rPr>
              <w:t>文明管理承诺及措施</w:t>
            </w:r>
          </w:p>
        </w:tc>
        <w:tc>
          <w:tcPr>
            <w:tcW w:w="62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200"/>
              <w:rPr>
                <w:rFonts w:ascii="宋体" w:cs="宋体"/>
                <w:highlight w:val="none"/>
              </w:rPr>
            </w:pPr>
            <w:r>
              <w:rPr>
                <w:rFonts w:hint="eastAsia" w:ascii="宋体" w:hAnsi="宋体" w:cs="宋体"/>
                <w:highlight w:val="none"/>
              </w:rPr>
              <w:t>根据投标人文明管理承诺及措施方案进行打分，得</w:t>
            </w:r>
            <w:r>
              <w:rPr>
                <w:rFonts w:ascii="宋体" w:cs="宋体"/>
                <w:highlight w:val="none"/>
              </w:rPr>
              <w:t>0-</w:t>
            </w:r>
            <w:r>
              <w:rPr>
                <w:rFonts w:ascii="宋体" w:hAnsi="宋体" w:cs="宋体"/>
                <w:highlight w:val="none"/>
              </w:rPr>
              <w:t>3</w:t>
            </w:r>
            <w:r>
              <w:rPr>
                <w:rFonts w:hint="eastAsia" w:ascii="宋体" w:hAnsi="宋体" w:cs="宋体"/>
                <w:highlight w:val="none"/>
              </w:rPr>
              <w:t>分。</w:t>
            </w:r>
          </w:p>
        </w:tc>
        <w:tc>
          <w:tcPr>
            <w:tcW w:w="10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cs="宋体"/>
                <w:highlight w:val="none"/>
              </w:rPr>
            </w:pPr>
            <w:r>
              <w:rPr>
                <w:rFonts w:ascii="宋体" w:hAnsi="宋体" w:cs="宋体"/>
                <w:highlight w:val="none"/>
              </w:rPr>
              <w:t>3</w:t>
            </w:r>
            <w:r>
              <w:rPr>
                <w:rFonts w:hint="eastAsia" w:ascii="宋体" w:hAnsi="宋体" w:cs="宋体"/>
                <w:highlight w:val="none"/>
              </w:rPr>
              <w:t>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987" w:hRule="atLeast"/>
          <w:jc w:val="center"/>
        </w:trPr>
        <w:tc>
          <w:tcPr>
            <w:tcW w:w="16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cs="宋体"/>
                <w:highlight w:val="none"/>
              </w:rPr>
            </w:pPr>
            <w:r>
              <w:rPr>
                <w:rFonts w:hint="eastAsia" w:ascii="宋体" w:hAnsi="宋体" w:cs="宋体"/>
                <w:highlight w:val="none"/>
              </w:rPr>
              <w:t>重点区域管理措施</w:t>
            </w:r>
          </w:p>
        </w:tc>
        <w:tc>
          <w:tcPr>
            <w:tcW w:w="6251"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highlight w:val="none"/>
              </w:rPr>
            </w:pPr>
            <w:r>
              <w:rPr>
                <w:rFonts w:hint="eastAsia" w:ascii="宋体" w:hAnsi="宋体" w:cs="宋体"/>
                <w:highlight w:val="none"/>
              </w:rPr>
              <w:t>根据投标人针对本项目所涵盖的区域范围内重点区域（包括学校、菜场、商圈等）管理措施方案进行打分，</w:t>
            </w:r>
            <w:r>
              <w:rPr>
                <w:rFonts w:ascii="宋体" w:cs="宋体"/>
                <w:highlight w:val="none"/>
              </w:rPr>
              <w:t>0-</w:t>
            </w:r>
            <w:r>
              <w:rPr>
                <w:rFonts w:ascii="宋体" w:hAnsi="宋体" w:cs="宋体"/>
                <w:highlight w:val="none"/>
              </w:rPr>
              <w:t>2</w:t>
            </w:r>
            <w:r>
              <w:rPr>
                <w:rFonts w:hint="eastAsia" w:ascii="宋体" w:hAnsi="宋体" w:cs="宋体"/>
                <w:highlight w:val="none"/>
              </w:rPr>
              <w:t>分。</w:t>
            </w:r>
            <w:r>
              <w:rPr>
                <w:rFonts w:ascii="宋体" w:hAnsi="宋体" w:cs="宋体"/>
                <w:highlight w:val="none"/>
              </w:rPr>
              <w:t xml:space="preserve"> </w:t>
            </w:r>
          </w:p>
        </w:tc>
        <w:tc>
          <w:tcPr>
            <w:tcW w:w="10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cs="宋体"/>
                <w:b/>
                <w:bCs/>
                <w:highlight w:val="none"/>
              </w:rPr>
            </w:pPr>
            <w:r>
              <w:rPr>
                <w:rFonts w:ascii="宋体" w:hAnsi="宋体" w:cs="宋体"/>
                <w:highlight w:val="none"/>
              </w:rPr>
              <w:t>2</w:t>
            </w:r>
            <w:r>
              <w:rPr>
                <w:rFonts w:hint="eastAsia" w:ascii="宋体" w:hAnsi="宋体" w:cs="宋体"/>
                <w:highlight w:val="none"/>
              </w:rPr>
              <w:t>分</w:t>
            </w:r>
          </w:p>
        </w:tc>
      </w:tr>
      <w:tr>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2018" w:hRule="atLeast"/>
          <w:jc w:val="center"/>
        </w:trPr>
        <w:tc>
          <w:tcPr>
            <w:tcW w:w="16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cs="宋体"/>
                <w:highlight w:val="none"/>
              </w:rPr>
            </w:pPr>
            <w:r>
              <w:rPr>
                <w:rFonts w:hint="eastAsia" w:ascii="宋体" w:hAnsi="宋体" w:cs="宋体"/>
                <w:szCs w:val="21"/>
                <w:highlight w:val="none"/>
              </w:rPr>
              <w:t>投标文件制作</w:t>
            </w:r>
          </w:p>
        </w:tc>
        <w:tc>
          <w:tcPr>
            <w:tcW w:w="62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420" w:firstLineChars="200"/>
              <w:rPr>
                <w:rFonts w:ascii="宋体" w:cs="宋体"/>
                <w:highlight w:val="none"/>
              </w:rPr>
            </w:pPr>
            <w:r>
              <w:rPr>
                <w:rFonts w:hint="eastAsia" w:ascii="宋体" w:hAnsi="宋体" w:cs="宋体"/>
                <w:szCs w:val="21"/>
                <w:highlight w:val="none"/>
              </w:rPr>
              <w:t>投标文件编制完整、格式规范，合格供应商资格要求、投标文件的编制及评分标准等内容关联到位，得</w:t>
            </w:r>
            <w:r>
              <w:rPr>
                <w:rFonts w:ascii="宋体" w:hAnsi="宋体" w:cs="宋体"/>
                <w:szCs w:val="21"/>
                <w:highlight w:val="none"/>
              </w:rPr>
              <w:t>3</w:t>
            </w:r>
            <w:r>
              <w:rPr>
                <w:rFonts w:hint="eastAsia" w:ascii="宋体" w:hAnsi="宋体" w:cs="宋体"/>
                <w:szCs w:val="21"/>
                <w:highlight w:val="none"/>
              </w:rPr>
              <w:t>分；投标文件有关内容前后矛盾、与招标文件要求不一致等，评标委员会允许且需要通过询标等程序进行澄清的，该项不得分；投标文件存在其他错漏的，每项（次）扣</w:t>
            </w:r>
            <w:r>
              <w:rPr>
                <w:rFonts w:ascii="宋体" w:hAnsi="宋体" w:cs="宋体"/>
                <w:szCs w:val="21"/>
                <w:highlight w:val="none"/>
              </w:rPr>
              <w:t>1</w:t>
            </w:r>
            <w:r>
              <w:rPr>
                <w:rFonts w:hint="eastAsia" w:ascii="宋体" w:hAnsi="宋体" w:cs="宋体"/>
                <w:szCs w:val="21"/>
                <w:highlight w:val="none"/>
              </w:rPr>
              <w:t>分，扣完该项得分为止；合格供应商资格要求、投标文件的编制及评分标准等内容未进行一一关联，得</w:t>
            </w:r>
            <w:r>
              <w:rPr>
                <w:rFonts w:ascii="宋体" w:cs="宋体"/>
                <w:szCs w:val="21"/>
                <w:highlight w:val="none"/>
              </w:rPr>
              <w:t>0</w:t>
            </w:r>
            <w:r>
              <w:rPr>
                <w:rFonts w:hint="eastAsia" w:ascii="宋体" w:hAnsi="宋体" w:cs="宋体"/>
                <w:szCs w:val="21"/>
                <w:highlight w:val="none"/>
              </w:rPr>
              <w:t>分。</w:t>
            </w:r>
          </w:p>
        </w:tc>
        <w:tc>
          <w:tcPr>
            <w:tcW w:w="10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ascii="宋体" w:cs="宋体"/>
                <w:highlight w:val="none"/>
              </w:rPr>
            </w:pPr>
            <w:r>
              <w:rPr>
                <w:rFonts w:ascii="宋体" w:hAnsi="宋体" w:cs="宋体"/>
                <w:highlight w:val="none"/>
              </w:rPr>
              <w:t>3</w:t>
            </w:r>
            <w:r>
              <w:rPr>
                <w:rFonts w:hint="eastAsia" w:ascii="宋体" w:hAnsi="宋体" w:cs="宋体"/>
                <w:highlight w:val="none"/>
              </w:rPr>
              <w:t>分</w:t>
            </w:r>
          </w:p>
        </w:tc>
      </w:tr>
    </w:tbl>
    <w:p>
      <w:pPr>
        <w:keepNext/>
        <w:adjustRightInd w:val="0"/>
        <w:snapToGrid w:val="0"/>
        <w:spacing w:before="120" w:after="120" w:line="440" w:lineRule="exact"/>
        <w:ind w:firstLine="413" w:firstLineChars="196"/>
        <w:textAlignment w:val="baseline"/>
        <w:outlineLvl w:val="1"/>
        <w:rPr>
          <w:rFonts w:ascii="宋体" w:cs="宋体"/>
          <w:b/>
          <w:kern w:val="0"/>
          <w:szCs w:val="21"/>
        </w:rPr>
      </w:pPr>
      <w:r>
        <w:rPr>
          <w:rFonts w:hint="eastAsia" w:ascii="宋体" w:hAnsi="宋体" w:cs="宋体"/>
          <w:b/>
          <w:kern w:val="0"/>
          <w:szCs w:val="21"/>
        </w:rPr>
        <w:t>备注：（</w:t>
      </w:r>
      <w:r>
        <w:rPr>
          <w:rFonts w:ascii="宋体" w:hAnsi="宋体" w:cs="宋体"/>
          <w:b/>
          <w:kern w:val="0"/>
          <w:szCs w:val="21"/>
        </w:rPr>
        <w:t>1</w:t>
      </w:r>
      <w:r>
        <w:rPr>
          <w:rFonts w:hint="eastAsia" w:ascii="宋体" w:hAnsi="宋体" w:cs="宋体"/>
          <w:b/>
          <w:kern w:val="0"/>
          <w:szCs w:val="21"/>
        </w:rPr>
        <w:t>）以上评审内容若缺项则为</w:t>
      </w:r>
      <w:r>
        <w:rPr>
          <w:rFonts w:ascii="宋体" w:cs="宋体"/>
          <w:b/>
          <w:kern w:val="0"/>
          <w:szCs w:val="21"/>
        </w:rPr>
        <w:t>0</w:t>
      </w:r>
      <w:r>
        <w:rPr>
          <w:rFonts w:hint="eastAsia" w:ascii="宋体" w:hAnsi="宋体" w:cs="宋体"/>
          <w:b/>
          <w:kern w:val="0"/>
          <w:szCs w:val="21"/>
        </w:rPr>
        <w:t>分。</w:t>
      </w:r>
    </w:p>
    <w:p>
      <w:pPr>
        <w:spacing w:line="360" w:lineRule="auto"/>
        <w:ind w:firstLine="1050" w:firstLineChars="500"/>
        <w:rPr>
          <w:b/>
          <w:sz w:val="24"/>
        </w:rPr>
      </w:pPr>
      <w:r>
        <w:rPr>
          <w:rFonts w:hint="eastAsia" w:ascii="宋体"/>
          <w:kern w:val="0"/>
          <w:szCs w:val="21"/>
        </w:rPr>
        <w:t>（</w:t>
      </w:r>
      <w:r>
        <w:rPr>
          <w:rFonts w:ascii="宋体"/>
          <w:kern w:val="0"/>
          <w:szCs w:val="21"/>
        </w:rPr>
        <w:t>2</w:t>
      </w:r>
      <w:r>
        <w:rPr>
          <w:rFonts w:hint="eastAsia" w:ascii="宋体"/>
          <w:kern w:val="0"/>
          <w:szCs w:val="21"/>
        </w:rPr>
        <w:t>）以上所涉及项目，若附件格式未提供，请自行设计格式装订于投标文件中。</w:t>
      </w:r>
    </w:p>
    <w:p>
      <w:pPr>
        <w:pStyle w:val="15"/>
        <w:tabs>
          <w:tab w:val="left" w:pos="2472"/>
        </w:tabs>
        <w:spacing w:line="360" w:lineRule="auto"/>
        <w:jc w:val="center"/>
        <w:outlineLvl w:val="0"/>
        <w:rPr>
          <w:b/>
          <w:sz w:val="48"/>
          <w:szCs w:val="48"/>
        </w:rPr>
      </w:pPr>
      <w:r>
        <w:rPr>
          <w:b/>
          <w:sz w:val="48"/>
          <w:szCs w:val="48"/>
        </w:rPr>
        <w:br w:type="page"/>
      </w:r>
      <w:bookmarkStart w:id="33" w:name="_Toc20142"/>
      <w:r>
        <w:rPr>
          <w:rFonts w:hint="eastAsia"/>
          <w:b/>
          <w:sz w:val="48"/>
          <w:szCs w:val="48"/>
        </w:rPr>
        <w:t>第六章</w:t>
      </w:r>
      <w:r>
        <w:rPr>
          <w:b/>
          <w:sz w:val="48"/>
          <w:szCs w:val="48"/>
        </w:rPr>
        <w:t xml:space="preserve">  </w:t>
      </w:r>
      <w:r>
        <w:rPr>
          <w:rFonts w:hint="eastAsia"/>
          <w:b/>
          <w:sz w:val="48"/>
          <w:szCs w:val="48"/>
        </w:rPr>
        <w:t>投标相关文件格式</w:t>
      </w:r>
      <w:bookmarkEnd w:id="31"/>
      <w:bookmarkEnd w:id="32"/>
      <w:bookmarkEnd w:id="33"/>
      <w:bookmarkStart w:id="34" w:name="_Toc15805942"/>
      <w:bookmarkStart w:id="35" w:name="_Toc47756041"/>
      <w:bookmarkStart w:id="36" w:name="_Toc15813259"/>
      <w:bookmarkStart w:id="37" w:name="_Toc45506740"/>
    </w:p>
    <w:p>
      <w:pPr>
        <w:spacing w:line="360" w:lineRule="auto"/>
      </w:pPr>
    </w:p>
    <w:p>
      <w:pPr>
        <w:spacing w:line="360" w:lineRule="auto"/>
      </w:pPr>
    </w:p>
    <w:p>
      <w:pPr>
        <w:autoSpaceDE w:val="0"/>
        <w:autoSpaceDN w:val="0"/>
        <w:adjustRightInd w:val="0"/>
        <w:snapToGrid w:val="0"/>
        <w:spacing w:line="360" w:lineRule="auto"/>
        <w:outlineLvl w:val="1"/>
        <w:rPr>
          <w:rFonts w:ascii="宋体"/>
          <w:b/>
          <w:bCs/>
          <w:szCs w:val="21"/>
        </w:rPr>
      </w:pPr>
      <w:r>
        <w:rPr>
          <w:rFonts w:hint="eastAsia" w:ascii="宋体" w:hAnsi="宋体"/>
          <w:b/>
          <w:bCs/>
          <w:szCs w:val="21"/>
        </w:rPr>
        <w:t>投标文件封面</w:t>
      </w:r>
      <w:r>
        <w:rPr>
          <w:rFonts w:ascii="宋体" w:hAnsi="宋体"/>
          <w:b/>
          <w:bCs/>
          <w:szCs w:val="21"/>
        </w:rPr>
        <w:t xml:space="preserve"> </w:t>
      </w:r>
    </w:p>
    <w:p>
      <w:pPr>
        <w:autoSpaceDE w:val="0"/>
        <w:autoSpaceDN w:val="0"/>
        <w:adjustRightInd w:val="0"/>
        <w:rPr>
          <w:rFonts w:ascii="宋体"/>
          <w:bCs/>
        </w:rPr>
      </w:pPr>
    </w:p>
    <w:p>
      <w:pPr>
        <w:autoSpaceDE w:val="0"/>
        <w:autoSpaceDN w:val="0"/>
        <w:adjustRightInd w:val="0"/>
        <w:spacing w:line="360" w:lineRule="auto"/>
        <w:jc w:val="center"/>
        <w:outlineLvl w:val="0"/>
        <w:rPr>
          <w:rFonts w:ascii="宋体" w:cs="Angsana New"/>
          <w:w w:val="90"/>
          <w:sz w:val="44"/>
          <w:szCs w:val="44"/>
          <w:u w:val="single"/>
          <w:lang w:bidi="th-TH"/>
        </w:rPr>
      </w:pPr>
      <w:r>
        <w:rPr>
          <w:rFonts w:ascii="宋体" w:hAnsi="宋体" w:cs="Angsana New"/>
          <w:w w:val="90"/>
          <w:sz w:val="44"/>
          <w:szCs w:val="44"/>
          <w:u w:val="single"/>
          <w:lang w:bidi="th-TH"/>
        </w:rPr>
        <w:t xml:space="preserve">                     </w:t>
      </w:r>
      <w:bookmarkStart w:id="38" w:name="_Toc17376"/>
      <w:r>
        <w:rPr>
          <w:rFonts w:hint="eastAsia" w:ascii="宋体" w:hAnsi="宋体" w:cs="Angsana New"/>
          <w:w w:val="90"/>
          <w:sz w:val="44"/>
          <w:szCs w:val="44"/>
          <w:u w:val="single"/>
          <w:lang w:bidi="th-TH"/>
        </w:rPr>
        <w:t>（项目名称）</w:t>
      </w:r>
      <w:bookmarkEnd w:id="38"/>
    </w:p>
    <w:p>
      <w:pPr>
        <w:autoSpaceDE w:val="0"/>
        <w:autoSpaceDN w:val="0"/>
        <w:adjustRightInd w:val="0"/>
        <w:spacing w:line="360" w:lineRule="auto"/>
        <w:jc w:val="center"/>
        <w:rPr>
          <w:rFonts w:ascii="宋体"/>
          <w:b/>
          <w:sz w:val="32"/>
          <w:szCs w:val="32"/>
        </w:rPr>
      </w:pPr>
    </w:p>
    <w:p>
      <w:pPr>
        <w:spacing w:line="360" w:lineRule="auto"/>
        <w:jc w:val="center"/>
        <w:rPr>
          <w:rFonts w:ascii="宋体" w:cs="Angsana New"/>
          <w:spacing w:val="40"/>
          <w:w w:val="90"/>
          <w:sz w:val="72"/>
          <w:szCs w:val="72"/>
          <w:lang w:bidi="th-TH"/>
        </w:rPr>
      </w:pPr>
    </w:p>
    <w:p>
      <w:pPr>
        <w:autoSpaceDE w:val="0"/>
        <w:autoSpaceDN w:val="0"/>
        <w:adjustRightInd w:val="0"/>
        <w:spacing w:line="360" w:lineRule="auto"/>
        <w:jc w:val="center"/>
        <w:outlineLvl w:val="0"/>
        <w:rPr>
          <w:rFonts w:ascii="宋体"/>
          <w:b/>
          <w:sz w:val="36"/>
          <w:szCs w:val="36"/>
        </w:rPr>
      </w:pPr>
      <w:bookmarkStart w:id="39" w:name="_Toc4070"/>
      <w:r>
        <w:rPr>
          <w:rFonts w:hint="eastAsia" w:ascii="宋体" w:hAnsi="宋体"/>
          <w:b/>
          <w:sz w:val="36"/>
          <w:szCs w:val="36"/>
        </w:rPr>
        <w:t>（资格文件</w:t>
      </w:r>
      <w:r>
        <w:rPr>
          <w:rFonts w:ascii="宋体" w:hAnsi="宋体"/>
          <w:b/>
          <w:sz w:val="36"/>
          <w:szCs w:val="36"/>
        </w:rPr>
        <w:t>/</w:t>
      </w:r>
      <w:r>
        <w:rPr>
          <w:rFonts w:hint="eastAsia" w:ascii="宋体" w:hAnsi="宋体"/>
          <w:b/>
          <w:sz w:val="36"/>
          <w:szCs w:val="36"/>
        </w:rPr>
        <w:t>资信商务及技术文件</w:t>
      </w:r>
      <w:r>
        <w:rPr>
          <w:rFonts w:ascii="宋体" w:hAnsi="宋体"/>
          <w:b/>
          <w:sz w:val="36"/>
          <w:szCs w:val="36"/>
        </w:rPr>
        <w:t>/</w:t>
      </w:r>
      <w:r>
        <w:rPr>
          <w:rFonts w:hint="eastAsia" w:ascii="宋体" w:hAnsi="宋体"/>
          <w:b/>
          <w:sz w:val="36"/>
          <w:szCs w:val="36"/>
        </w:rPr>
        <w:t>报价文件）</w:t>
      </w:r>
      <w:bookmarkEnd w:id="39"/>
    </w:p>
    <w:p>
      <w:pPr>
        <w:autoSpaceDE w:val="0"/>
        <w:autoSpaceDN w:val="0"/>
        <w:adjustRightInd w:val="0"/>
        <w:spacing w:line="360" w:lineRule="auto"/>
        <w:ind w:firstLine="708" w:firstLineChars="196"/>
        <w:rPr>
          <w:rFonts w:ascii="宋体"/>
          <w:b/>
          <w:sz w:val="36"/>
          <w:szCs w:val="36"/>
        </w:rPr>
      </w:pPr>
      <w:r>
        <w:rPr>
          <w:rFonts w:hint="eastAsia" w:ascii="宋体" w:hAnsi="宋体"/>
          <w:b/>
          <w:sz w:val="36"/>
          <w:szCs w:val="36"/>
        </w:rPr>
        <w:t>项目编号：</w:t>
      </w:r>
      <w:r>
        <w:rPr>
          <w:rFonts w:ascii="宋体" w:hAnsi="宋体"/>
          <w:b/>
          <w:sz w:val="36"/>
          <w:szCs w:val="36"/>
        </w:rPr>
        <w:t xml:space="preserve">  </w:t>
      </w:r>
    </w:p>
    <w:p>
      <w:pPr>
        <w:autoSpaceDE w:val="0"/>
        <w:autoSpaceDN w:val="0"/>
        <w:adjustRightInd w:val="0"/>
        <w:spacing w:line="360" w:lineRule="auto"/>
        <w:rPr>
          <w:rFonts w:ascii="宋体"/>
          <w:b/>
          <w:sz w:val="32"/>
          <w:szCs w:val="32"/>
        </w:rPr>
      </w:pPr>
    </w:p>
    <w:p>
      <w:pPr>
        <w:autoSpaceDE w:val="0"/>
        <w:autoSpaceDN w:val="0"/>
        <w:adjustRightInd w:val="0"/>
        <w:spacing w:line="360" w:lineRule="auto"/>
        <w:rPr>
          <w:rFonts w:ascii="宋体"/>
          <w:b/>
          <w:sz w:val="32"/>
          <w:szCs w:val="32"/>
        </w:rPr>
      </w:pPr>
    </w:p>
    <w:p>
      <w:pPr>
        <w:autoSpaceDE w:val="0"/>
        <w:autoSpaceDN w:val="0"/>
        <w:adjustRightInd w:val="0"/>
        <w:spacing w:line="360" w:lineRule="auto"/>
        <w:rPr>
          <w:rFonts w:ascii="宋体"/>
          <w:b/>
          <w:sz w:val="32"/>
          <w:szCs w:val="32"/>
        </w:rPr>
      </w:pPr>
    </w:p>
    <w:p>
      <w:pPr>
        <w:autoSpaceDE w:val="0"/>
        <w:autoSpaceDN w:val="0"/>
        <w:adjustRightInd w:val="0"/>
        <w:spacing w:line="360" w:lineRule="auto"/>
        <w:rPr>
          <w:rFonts w:ascii="宋体"/>
          <w:b/>
          <w:sz w:val="32"/>
          <w:szCs w:val="32"/>
        </w:rPr>
      </w:pPr>
      <w:r>
        <w:rPr>
          <w:rFonts w:hint="eastAsia" w:ascii="宋体" w:hAnsi="宋体"/>
          <w:b/>
          <w:sz w:val="32"/>
          <w:szCs w:val="32"/>
        </w:rPr>
        <w:t>供应商名称（盖章）：</w:t>
      </w:r>
    </w:p>
    <w:p>
      <w:pPr>
        <w:autoSpaceDE w:val="0"/>
        <w:autoSpaceDN w:val="0"/>
        <w:adjustRightInd w:val="0"/>
        <w:spacing w:line="360" w:lineRule="auto"/>
        <w:rPr>
          <w:rFonts w:ascii="宋体"/>
          <w:b/>
          <w:sz w:val="32"/>
          <w:szCs w:val="32"/>
        </w:rPr>
      </w:pPr>
    </w:p>
    <w:p>
      <w:pPr>
        <w:autoSpaceDE w:val="0"/>
        <w:autoSpaceDN w:val="0"/>
        <w:adjustRightInd w:val="0"/>
        <w:spacing w:line="360" w:lineRule="auto"/>
        <w:rPr>
          <w:rFonts w:ascii="宋体"/>
          <w:b/>
          <w:sz w:val="32"/>
          <w:szCs w:val="32"/>
        </w:rPr>
      </w:pPr>
      <w:r>
        <w:rPr>
          <w:rFonts w:hint="eastAsia" w:ascii="宋体" w:hAnsi="宋体"/>
          <w:b/>
          <w:sz w:val="32"/>
          <w:szCs w:val="32"/>
        </w:rPr>
        <w:t>法定代表人或授权代表</w:t>
      </w:r>
      <w:r>
        <w:rPr>
          <w:rFonts w:ascii="宋体" w:hAnsi="宋体"/>
          <w:b/>
          <w:sz w:val="32"/>
          <w:szCs w:val="32"/>
        </w:rPr>
        <w:t>(</w:t>
      </w:r>
      <w:r>
        <w:rPr>
          <w:rFonts w:hint="eastAsia" w:ascii="宋体" w:hAnsi="宋体"/>
          <w:b/>
          <w:sz w:val="32"/>
          <w:szCs w:val="32"/>
        </w:rPr>
        <w:t>签字或盖章</w:t>
      </w:r>
      <w:r>
        <w:rPr>
          <w:rFonts w:ascii="宋体" w:hAnsi="宋体"/>
          <w:b/>
          <w:sz w:val="32"/>
          <w:szCs w:val="32"/>
        </w:rPr>
        <w:t>)</w:t>
      </w:r>
      <w:r>
        <w:rPr>
          <w:rFonts w:hint="eastAsia" w:ascii="宋体" w:hAnsi="宋体"/>
          <w:b/>
          <w:sz w:val="32"/>
          <w:szCs w:val="32"/>
        </w:rPr>
        <w:t>：</w:t>
      </w:r>
      <w:r>
        <w:rPr>
          <w:rFonts w:ascii="宋体" w:hAnsi="宋体"/>
          <w:b/>
          <w:sz w:val="32"/>
          <w:szCs w:val="32"/>
        </w:rPr>
        <w:t xml:space="preserve"> </w:t>
      </w:r>
    </w:p>
    <w:p>
      <w:pPr>
        <w:autoSpaceDE w:val="0"/>
        <w:autoSpaceDN w:val="0"/>
        <w:adjustRightInd w:val="0"/>
        <w:spacing w:line="360" w:lineRule="auto"/>
        <w:rPr>
          <w:rFonts w:ascii="宋体"/>
          <w:b/>
          <w:sz w:val="32"/>
          <w:szCs w:val="32"/>
        </w:rPr>
      </w:pPr>
    </w:p>
    <w:p>
      <w:pPr>
        <w:autoSpaceDE w:val="0"/>
        <w:autoSpaceDN w:val="0"/>
        <w:adjustRightInd w:val="0"/>
        <w:spacing w:line="360" w:lineRule="auto"/>
        <w:jc w:val="center"/>
        <w:rPr>
          <w:rFonts w:ascii="宋体"/>
          <w:b/>
          <w:sz w:val="32"/>
          <w:szCs w:val="32"/>
        </w:rPr>
      </w:pPr>
      <w:r>
        <w:rPr>
          <w:rFonts w:hint="eastAsia" w:ascii="宋体" w:hAnsi="宋体"/>
          <w:b/>
          <w:sz w:val="32"/>
          <w:szCs w:val="32"/>
        </w:rPr>
        <w:t>时间：</w:t>
      </w:r>
      <w:r>
        <w:rPr>
          <w:rFonts w:ascii="宋体" w:hAnsi="宋体"/>
          <w:b/>
          <w:sz w:val="32"/>
          <w:szCs w:val="32"/>
        </w:rPr>
        <w:t xml:space="preserve">    </w:t>
      </w:r>
      <w:r>
        <w:rPr>
          <w:rFonts w:hint="eastAsia" w:ascii="宋体" w:hAnsi="宋体"/>
          <w:b/>
          <w:sz w:val="32"/>
          <w:szCs w:val="32"/>
        </w:rPr>
        <w:t>年</w:t>
      </w:r>
      <w:r>
        <w:rPr>
          <w:rFonts w:ascii="宋体" w:hAnsi="宋体"/>
          <w:b/>
          <w:sz w:val="32"/>
          <w:szCs w:val="32"/>
        </w:rPr>
        <w:t xml:space="preserve">   </w:t>
      </w:r>
      <w:r>
        <w:rPr>
          <w:rFonts w:hint="eastAsia" w:ascii="宋体" w:hAnsi="宋体"/>
          <w:b/>
          <w:sz w:val="32"/>
          <w:szCs w:val="32"/>
        </w:rPr>
        <w:t>月</w:t>
      </w:r>
      <w:r>
        <w:rPr>
          <w:rFonts w:ascii="宋体" w:hAnsi="宋体"/>
          <w:b/>
          <w:sz w:val="32"/>
          <w:szCs w:val="32"/>
        </w:rPr>
        <w:t xml:space="preserve">   </w:t>
      </w:r>
      <w:r>
        <w:rPr>
          <w:rFonts w:hint="eastAsia" w:ascii="宋体" w:hAnsi="宋体"/>
          <w:b/>
          <w:sz w:val="32"/>
          <w:szCs w:val="32"/>
        </w:rPr>
        <w:t>日</w:t>
      </w:r>
    </w:p>
    <w:p>
      <w:pPr>
        <w:autoSpaceDE w:val="0"/>
        <w:autoSpaceDN w:val="0"/>
        <w:adjustRightInd w:val="0"/>
        <w:snapToGrid w:val="0"/>
        <w:spacing w:line="360" w:lineRule="auto"/>
        <w:rPr>
          <w:rFonts w:ascii="宋体"/>
          <w:b/>
          <w:bCs/>
          <w:szCs w:val="21"/>
        </w:rPr>
      </w:pPr>
    </w:p>
    <w:p>
      <w:pPr>
        <w:autoSpaceDE w:val="0"/>
        <w:autoSpaceDN w:val="0"/>
        <w:adjustRightInd w:val="0"/>
        <w:snapToGrid w:val="0"/>
        <w:spacing w:line="360" w:lineRule="auto"/>
        <w:rPr>
          <w:rFonts w:ascii="宋体"/>
          <w:b/>
          <w:bCs/>
          <w:szCs w:val="21"/>
        </w:rPr>
      </w:pPr>
    </w:p>
    <w:p>
      <w:pPr>
        <w:autoSpaceDE w:val="0"/>
        <w:autoSpaceDN w:val="0"/>
        <w:adjustRightInd w:val="0"/>
        <w:snapToGrid w:val="0"/>
        <w:spacing w:line="360" w:lineRule="auto"/>
        <w:rPr>
          <w:rFonts w:ascii="宋体"/>
          <w:b/>
          <w:bCs/>
          <w:szCs w:val="21"/>
        </w:rPr>
      </w:pPr>
    </w:p>
    <w:p>
      <w:pPr>
        <w:autoSpaceDE w:val="0"/>
        <w:autoSpaceDN w:val="0"/>
        <w:adjustRightInd w:val="0"/>
        <w:snapToGrid w:val="0"/>
        <w:spacing w:line="360" w:lineRule="auto"/>
        <w:rPr>
          <w:rFonts w:ascii="宋体"/>
          <w:b/>
          <w:bCs/>
          <w:szCs w:val="21"/>
        </w:rPr>
      </w:pPr>
    </w:p>
    <w:p>
      <w:pPr>
        <w:autoSpaceDE w:val="0"/>
        <w:autoSpaceDN w:val="0"/>
        <w:adjustRightInd w:val="0"/>
        <w:snapToGrid w:val="0"/>
        <w:spacing w:line="360" w:lineRule="auto"/>
        <w:rPr>
          <w:rFonts w:ascii="宋体"/>
          <w:b/>
          <w:bCs/>
          <w:szCs w:val="21"/>
        </w:rPr>
      </w:pPr>
    </w:p>
    <w:p>
      <w:pPr>
        <w:autoSpaceDE w:val="0"/>
        <w:autoSpaceDN w:val="0"/>
        <w:adjustRightInd w:val="0"/>
        <w:snapToGrid w:val="0"/>
        <w:spacing w:line="360" w:lineRule="auto"/>
        <w:rPr>
          <w:rFonts w:ascii="宋体"/>
          <w:b/>
          <w:bCs/>
          <w:szCs w:val="21"/>
        </w:rPr>
      </w:pPr>
    </w:p>
    <w:p>
      <w:pPr>
        <w:autoSpaceDE w:val="0"/>
        <w:autoSpaceDN w:val="0"/>
        <w:adjustRightInd w:val="0"/>
        <w:snapToGrid w:val="0"/>
        <w:spacing w:line="360" w:lineRule="auto"/>
        <w:outlineLvl w:val="1"/>
        <w:rPr>
          <w:rFonts w:ascii="宋体"/>
          <w:b/>
          <w:bCs/>
          <w:szCs w:val="21"/>
        </w:rPr>
      </w:pPr>
      <w:r>
        <w:rPr>
          <w:rFonts w:ascii="宋体" w:hAnsi="宋体"/>
          <w:b/>
          <w:bCs/>
          <w:szCs w:val="21"/>
        </w:rPr>
        <w:t>1.</w:t>
      </w:r>
      <w:r>
        <w:rPr>
          <w:rFonts w:hint="eastAsia" w:ascii="宋体" w:hAnsi="宋体"/>
          <w:b/>
          <w:bCs/>
          <w:szCs w:val="21"/>
        </w:rPr>
        <w:t>资格文件部分格式</w:t>
      </w:r>
    </w:p>
    <w:p>
      <w:pPr>
        <w:adjustRightInd w:val="0"/>
        <w:spacing w:line="360" w:lineRule="auto"/>
        <w:jc w:val="center"/>
        <w:rPr>
          <w:rFonts w:ascii="宋体"/>
          <w:b/>
          <w:sz w:val="32"/>
          <w:szCs w:val="32"/>
        </w:rPr>
      </w:pPr>
      <w:r>
        <w:rPr>
          <w:rFonts w:hint="eastAsia" w:ascii="宋体" w:hAnsi="宋体"/>
          <w:b/>
          <w:sz w:val="32"/>
          <w:szCs w:val="32"/>
        </w:rPr>
        <w:t>资格文件</w:t>
      </w:r>
    </w:p>
    <w:p>
      <w:pPr>
        <w:snapToGrid w:val="0"/>
        <w:spacing w:line="440" w:lineRule="exact"/>
        <w:ind w:firstLine="1240" w:firstLineChars="588"/>
        <w:rPr>
          <w:rFonts w:ascii="宋体"/>
          <w:b/>
          <w:szCs w:val="21"/>
        </w:rPr>
      </w:pPr>
      <w:r>
        <w:rPr>
          <w:rFonts w:ascii="宋体" w:cs="宋体"/>
          <w:b/>
          <w:bCs/>
          <w:szCs w:val="21"/>
        </w:rPr>
        <w:t xml:space="preserve"> </w:t>
      </w:r>
      <w:r>
        <w:rPr>
          <w:rFonts w:hint="eastAsia" w:ascii="宋体" w:cs="宋体"/>
          <w:b/>
          <w:bCs/>
          <w:szCs w:val="21"/>
        </w:rPr>
        <w:t>各供应商须按投标人须知要求出具全部资格证明材料。</w:t>
      </w:r>
    </w:p>
    <w:p>
      <w:pPr>
        <w:snapToGrid w:val="0"/>
        <w:spacing w:line="440" w:lineRule="exact"/>
        <w:rPr>
          <w:rFonts w:ascii="宋体"/>
          <w:b/>
          <w:szCs w:val="21"/>
        </w:rPr>
      </w:pPr>
    </w:p>
    <w:p>
      <w:pPr>
        <w:pStyle w:val="15"/>
        <w:snapToGrid w:val="0"/>
        <w:spacing w:beforeLines="10" w:afterLines="10"/>
        <w:rPr>
          <w:rFonts w:hAnsi="宋体"/>
          <w:b/>
          <w:kern w:val="2"/>
          <w:sz w:val="24"/>
          <w:szCs w:val="24"/>
        </w:rPr>
      </w:pPr>
      <w:r>
        <w:rPr>
          <w:rFonts w:hint="eastAsia" w:hAnsi="宋体"/>
          <w:b/>
          <w:kern w:val="2"/>
          <w:sz w:val="24"/>
          <w:szCs w:val="24"/>
        </w:rPr>
        <w:t>中小企业声明函</w:t>
      </w:r>
    </w:p>
    <w:p>
      <w:pPr>
        <w:pStyle w:val="108"/>
        <w:spacing w:beforeLines="200" w:afterLines="200"/>
        <w:jc w:val="center"/>
        <w:outlineLvl w:val="0"/>
        <w:rPr>
          <w:rFonts w:ascii="宋体" w:eastAsia="宋体"/>
          <w:b/>
          <w:color w:val="auto"/>
          <w:sz w:val="36"/>
        </w:rPr>
      </w:pPr>
      <w:bookmarkStart w:id="40" w:name="_Toc25135"/>
      <w:r>
        <w:rPr>
          <w:rFonts w:hint="eastAsia" w:ascii="宋体" w:eastAsia="宋体"/>
          <w:b/>
          <w:color w:val="auto"/>
          <w:sz w:val="36"/>
        </w:rPr>
        <w:t>中小企业声明函（服务）</w:t>
      </w:r>
      <w:bookmarkEnd w:id="40"/>
    </w:p>
    <w:p>
      <w:pPr>
        <w:pStyle w:val="107"/>
        <w:spacing w:line="360" w:lineRule="auto"/>
        <w:ind w:right="157" w:firstLine="642"/>
        <w:rPr>
          <w:rFonts w:ascii="宋体" w:hAnsi="宋体" w:eastAsia="宋体"/>
          <w:color w:val="auto"/>
          <w:sz w:val="21"/>
          <w:szCs w:val="21"/>
        </w:rPr>
      </w:pPr>
      <w:r>
        <w:rPr>
          <w:rFonts w:hint="eastAsia" w:ascii="宋体" w:hAnsi="宋体" w:eastAsia="宋体"/>
          <w:color w:val="auto"/>
          <w:sz w:val="21"/>
          <w:szCs w:val="21"/>
        </w:rPr>
        <w:t>本公司郑重声明，根据《政府采购促进中小企业发展管理办法》（财库</w:t>
      </w:r>
      <w:r>
        <w:rPr>
          <w:rFonts w:ascii="宋体" w:hAnsi="宋体" w:eastAsia="宋体"/>
          <w:color w:val="auto"/>
          <w:sz w:val="21"/>
          <w:szCs w:val="21"/>
        </w:rPr>
        <w:t xml:space="preserve"> </w:t>
      </w:r>
      <w:r>
        <w:rPr>
          <w:rFonts w:hint="eastAsia" w:ascii="宋体" w:hAnsi="宋体" w:eastAsia="宋体"/>
          <w:color w:val="auto"/>
          <w:sz w:val="21"/>
          <w:szCs w:val="21"/>
        </w:rPr>
        <w:t>﹝</w:t>
      </w:r>
      <w:r>
        <w:rPr>
          <w:rFonts w:ascii="宋体" w:hAnsi="宋体" w:eastAsia="宋体"/>
          <w:color w:val="auto"/>
          <w:sz w:val="21"/>
          <w:szCs w:val="21"/>
        </w:rPr>
        <w:t>2020</w:t>
      </w:r>
      <w:r>
        <w:rPr>
          <w:rFonts w:hint="eastAsia" w:ascii="宋体" w:hAnsi="宋体" w:eastAsia="宋体"/>
          <w:color w:val="auto"/>
          <w:sz w:val="21"/>
          <w:szCs w:val="21"/>
        </w:rPr>
        <w:t>﹞</w:t>
      </w:r>
      <w:r>
        <w:rPr>
          <w:rFonts w:ascii="宋体" w:hAnsi="宋体" w:eastAsia="宋体"/>
          <w:color w:val="auto"/>
          <w:sz w:val="21"/>
          <w:szCs w:val="21"/>
        </w:rPr>
        <w:t>46</w:t>
      </w:r>
      <w:r>
        <w:rPr>
          <w:rFonts w:hint="eastAsia" w:ascii="宋体" w:hAnsi="宋体" w:eastAsia="宋体"/>
          <w:color w:val="auto"/>
          <w:sz w:val="21"/>
          <w:szCs w:val="21"/>
        </w:rPr>
        <w:t>号）的规定，本公司参加</w:t>
      </w:r>
      <w:r>
        <w:rPr>
          <w:rFonts w:hint="eastAsia" w:ascii="宋体" w:hAnsi="宋体" w:eastAsia="宋体"/>
          <w:color w:val="auto"/>
          <w:sz w:val="21"/>
          <w:szCs w:val="21"/>
          <w:u w:val="single"/>
        </w:rPr>
        <w:t>（单位名称）</w:t>
      </w:r>
      <w:r>
        <w:rPr>
          <w:rFonts w:hint="eastAsia" w:ascii="宋体" w:hAnsi="宋体" w:eastAsia="宋体"/>
          <w:color w:val="auto"/>
          <w:sz w:val="21"/>
          <w:szCs w:val="21"/>
        </w:rPr>
        <w:t>的</w:t>
      </w:r>
      <w:r>
        <w:rPr>
          <w:rFonts w:hint="eastAsia" w:ascii="宋体" w:hAnsi="宋体" w:eastAsia="宋体"/>
          <w:color w:val="auto"/>
          <w:sz w:val="21"/>
          <w:szCs w:val="21"/>
          <w:u w:val="single"/>
        </w:rPr>
        <w:t>（项目名称）</w:t>
      </w:r>
      <w:r>
        <w:rPr>
          <w:rFonts w:hint="eastAsia" w:ascii="宋体" w:hAnsi="宋体" w:eastAsia="宋体"/>
          <w:color w:val="auto"/>
          <w:sz w:val="21"/>
          <w:szCs w:val="21"/>
        </w:rPr>
        <w:t>采购活动，服务全部由符合政策要求的中小企业承接。相关企业的具体情况如下：</w:t>
      </w:r>
      <w:r>
        <w:rPr>
          <w:rFonts w:ascii="宋体" w:hAnsi="宋体" w:eastAsia="宋体"/>
          <w:color w:val="auto"/>
          <w:sz w:val="21"/>
          <w:szCs w:val="21"/>
        </w:rPr>
        <w:t xml:space="preserve"> </w:t>
      </w:r>
    </w:p>
    <w:p>
      <w:pPr>
        <w:pStyle w:val="89"/>
        <w:spacing w:line="360" w:lineRule="auto"/>
        <w:ind w:firstLine="420" w:firstLineChars="200"/>
        <w:rPr>
          <w:rFonts w:hAnsi="宋体"/>
          <w:color w:val="auto"/>
          <w:sz w:val="21"/>
          <w:szCs w:val="21"/>
        </w:rPr>
      </w:pPr>
      <w:r>
        <w:rPr>
          <w:rFonts w:hAnsi="宋体"/>
          <w:color w:val="auto"/>
          <w:sz w:val="21"/>
          <w:szCs w:val="21"/>
        </w:rPr>
        <w:t>1.</w:t>
      </w:r>
      <w:r>
        <w:rPr>
          <w:rFonts w:hint="eastAsia" w:hAnsi="宋体"/>
          <w:color w:val="auto"/>
          <w:sz w:val="21"/>
          <w:szCs w:val="21"/>
          <w:u w:val="single"/>
        </w:rPr>
        <w:t>（标的名称）</w:t>
      </w:r>
      <w:r>
        <w:rPr>
          <w:rFonts w:hint="eastAsia" w:hAnsi="宋体"/>
          <w:color w:val="auto"/>
          <w:sz w:val="21"/>
          <w:szCs w:val="21"/>
        </w:rPr>
        <w:t>，属于</w:t>
      </w:r>
      <w:r>
        <w:rPr>
          <w:rFonts w:hint="eastAsia" w:hAnsi="宋体"/>
          <w:color w:val="auto"/>
          <w:sz w:val="21"/>
          <w:szCs w:val="21"/>
          <w:u w:val="single"/>
        </w:rPr>
        <w:t>（采购文件中明确的所属行业）</w:t>
      </w:r>
      <w:r>
        <w:rPr>
          <w:rFonts w:hint="eastAsia" w:hAnsi="宋体"/>
          <w:color w:val="auto"/>
          <w:sz w:val="21"/>
          <w:szCs w:val="21"/>
        </w:rPr>
        <w:t>；承接企业为</w:t>
      </w:r>
      <w:r>
        <w:rPr>
          <w:rFonts w:hint="eastAsia" w:hAnsi="宋体"/>
          <w:color w:val="auto"/>
          <w:sz w:val="21"/>
          <w:szCs w:val="21"/>
          <w:u w:val="single"/>
        </w:rPr>
        <w:t>（企业名称）</w:t>
      </w:r>
      <w:r>
        <w:rPr>
          <w:rFonts w:hint="eastAsia" w:hAnsi="宋体"/>
          <w:color w:val="auto"/>
          <w:sz w:val="21"/>
          <w:szCs w:val="21"/>
        </w:rPr>
        <w:t>，从业人员人，营业收入为万元，资产总额为万元</w:t>
      </w:r>
      <w:r>
        <w:rPr>
          <w:rStyle w:val="44"/>
          <w:rFonts w:hAnsi="宋体" w:cs="宋体"/>
          <w:color w:val="auto"/>
          <w:sz w:val="21"/>
          <w:szCs w:val="21"/>
        </w:rPr>
        <w:footnoteReference w:id="0"/>
      </w:r>
      <w:r>
        <w:rPr>
          <w:rFonts w:hint="eastAsia" w:hAnsi="宋体"/>
          <w:color w:val="auto"/>
          <w:sz w:val="21"/>
          <w:szCs w:val="21"/>
        </w:rPr>
        <w:t>，属于</w:t>
      </w:r>
      <w:r>
        <w:rPr>
          <w:rFonts w:hint="eastAsia" w:hAnsi="宋体"/>
          <w:color w:val="auto"/>
          <w:sz w:val="21"/>
          <w:szCs w:val="21"/>
          <w:u w:val="single"/>
        </w:rPr>
        <w:t>（中型企业、小型企业、微型企业）</w:t>
      </w:r>
      <w:r>
        <w:rPr>
          <w:rFonts w:hint="eastAsia" w:hAnsi="宋体"/>
          <w:color w:val="auto"/>
          <w:sz w:val="21"/>
          <w:szCs w:val="21"/>
        </w:rPr>
        <w:t>；</w:t>
      </w:r>
      <w:r>
        <w:rPr>
          <w:rFonts w:hAnsi="宋体"/>
          <w:color w:val="auto"/>
          <w:sz w:val="21"/>
          <w:szCs w:val="21"/>
        </w:rPr>
        <w:t xml:space="preserve"> </w:t>
      </w:r>
    </w:p>
    <w:p>
      <w:pPr>
        <w:pStyle w:val="89"/>
        <w:spacing w:line="360" w:lineRule="auto"/>
        <w:ind w:firstLine="420" w:firstLineChars="200"/>
        <w:rPr>
          <w:rFonts w:hAnsi="宋体"/>
          <w:color w:val="auto"/>
          <w:sz w:val="21"/>
          <w:szCs w:val="21"/>
        </w:rPr>
      </w:pPr>
      <w:r>
        <w:rPr>
          <w:rFonts w:hAnsi="宋体"/>
          <w:color w:val="auto"/>
          <w:sz w:val="21"/>
          <w:szCs w:val="21"/>
        </w:rPr>
        <w:t>2.</w:t>
      </w:r>
      <w:r>
        <w:rPr>
          <w:rFonts w:hint="eastAsia" w:hAnsi="宋体"/>
          <w:color w:val="auto"/>
          <w:sz w:val="21"/>
          <w:szCs w:val="21"/>
          <w:u w:val="single"/>
        </w:rPr>
        <w:t>（标的名称）</w:t>
      </w:r>
      <w:r>
        <w:rPr>
          <w:rFonts w:hint="eastAsia" w:hAnsi="宋体"/>
          <w:color w:val="auto"/>
          <w:sz w:val="21"/>
          <w:szCs w:val="21"/>
        </w:rPr>
        <w:t>，属于</w:t>
      </w:r>
      <w:r>
        <w:rPr>
          <w:rFonts w:hint="eastAsia" w:hAnsi="宋体"/>
          <w:color w:val="auto"/>
          <w:sz w:val="21"/>
          <w:szCs w:val="21"/>
          <w:u w:val="single"/>
        </w:rPr>
        <w:t>（采购文件中明确的所属行业）</w:t>
      </w:r>
      <w:r>
        <w:rPr>
          <w:rFonts w:hint="eastAsia" w:hAnsi="宋体"/>
          <w:color w:val="auto"/>
          <w:sz w:val="21"/>
          <w:szCs w:val="21"/>
        </w:rPr>
        <w:t>；承建（承接）企业为</w:t>
      </w:r>
      <w:r>
        <w:rPr>
          <w:rFonts w:hint="eastAsia" w:hAnsi="宋体"/>
          <w:color w:val="auto"/>
          <w:sz w:val="21"/>
          <w:szCs w:val="21"/>
          <w:u w:val="single"/>
        </w:rPr>
        <w:t>（企业名称）</w:t>
      </w:r>
      <w:r>
        <w:rPr>
          <w:rFonts w:hint="eastAsia" w:hAnsi="宋体"/>
          <w:color w:val="auto"/>
          <w:sz w:val="21"/>
          <w:szCs w:val="21"/>
        </w:rPr>
        <w:t>，从业人员人，营业收入为万元，资产总额为万元，属于</w:t>
      </w:r>
      <w:r>
        <w:rPr>
          <w:rFonts w:hint="eastAsia" w:hAnsi="宋体"/>
          <w:color w:val="auto"/>
          <w:sz w:val="21"/>
          <w:szCs w:val="21"/>
          <w:u w:val="single"/>
        </w:rPr>
        <w:t>（中型企业、小型企业、微型企业）</w:t>
      </w:r>
      <w:r>
        <w:rPr>
          <w:rFonts w:hint="eastAsia" w:hAnsi="宋体"/>
          <w:color w:val="auto"/>
          <w:sz w:val="21"/>
          <w:szCs w:val="21"/>
        </w:rPr>
        <w:t>；</w:t>
      </w:r>
      <w:r>
        <w:rPr>
          <w:rFonts w:hAnsi="宋体"/>
          <w:color w:val="auto"/>
          <w:sz w:val="21"/>
          <w:szCs w:val="21"/>
        </w:rPr>
        <w:t xml:space="preserve"> </w:t>
      </w:r>
    </w:p>
    <w:p>
      <w:pPr>
        <w:pStyle w:val="110"/>
        <w:spacing w:line="360" w:lineRule="auto"/>
        <w:ind w:left="642"/>
        <w:rPr>
          <w:rFonts w:ascii="宋体" w:hAnsi="宋体" w:eastAsia="宋体"/>
          <w:color w:val="auto"/>
          <w:sz w:val="21"/>
          <w:szCs w:val="21"/>
        </w:rPr>
      </w:pPr>
      <w:r>
        <w:rPr>
          <w:rFonts w:hint="eastAsia" w:ascii="宋体" w:hAnsi="宋体" w:eastAsia="宋体"/>
          <w:color w:val="auto"/>
          <w:sz w:val="21"/>
          <w:szCs w:val="21"/>
        </w:rPr>
        <w:t>……</w:t>
      </w:r>
    </w:p>
    <w:p>
      <w:pPr>
        <w:pStyle w:val="107"/>
        <w:spacing w:line="360" w:lineRule="auto"/>
        <w:ind w:right="157" w:firstLine="642"/>
        <w:rPr>
          <w:rFonts w:ascii="宋体" w:hAnsi="宋体" w:eastAsia="宋体"/>
          <w:color w:val="auto"/>
          <w:sz w:val="21"/>
          <w:szCs w:val="21"/>
        </w:rPr>
      </w:pPr>
      <w:r>
        <w:rPr>
          <w:rFonts w:hint="eastAsia" w:ascii="宋体" w:hAnsi="宋体" w:eastAsia="宋体"/>
          <w:color w:val="auto"/>
          <w:sz w:val="21"/>
          <w:szCs w:val="21"/>
        </w:rPr>
        <w:t>以上企业，不属于大企业的分支机构，不存在控股股东为大企业的情形，也不存在与大企业的负责人为同一人的情形。</w:t>
      </w:r>
    </w:p>
    <w:p>
      <w:pPr>
        <w:pStyle w:val="110"/>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rPr>
        <w:t>本企业对上述声明内容的真实性负责。如有虚假，</w:t>
      </w:r>
      <w:r>
        <w:rPr>
          <w:rFonts w:hint="eastAsia" w:ascii="宋体" w:hAnsi="宋体" w:eastAsia="宋体"/>
          <w:color w:val="auto"/>
          <w:sz w:val="21"/>
          <w:szCs w:val="21"/>
          <w:highlight w:val="none"/>
        </w:rPr>
        <w:t>将依法承担相应责任。</w:t>
      </w:r>
    </w:p>
    <w:p>
      <w:pPr>
        <w:pStyle w:val="109"/>
        <w:spacing w:line="360" w:lineRule="auto"/>
        <w:rPr>
          <w:color w:val="auto"/>
          <w:sz w:val="21"/>
          <w:szCs w:val="21"/>
          <w:highlight w:val="none"/>
        </w:rPr>
      </w:pPr>
    </w:p>
    <w:p>
      <w:pPr>
        <w:pStyle w:val="109"/>
        <w:spacing w:line="360" w:lineRule="auto"/>
        <w:ind w:left="3136" w:firstLine="720"/>
        <w:rPr>
          <w:rFonts w:ascii="宋体" w:hAnsi="宋体" w:eastAsia="宋体"/>
          <w:color w:val="auto"/>
          <w:sz w:val="21"/>
          <w:szCs w:val="21"/>
          <w:highlight w:val="none"/>
        </w:rPr>
      </w:pPr>
      <w:r>
        <w:rPr>
          <w:rFonts w:hint="eastAsia" w:ascii="宋体" w:hAnsi="宋体" w:eastAsia="宋体"/>
          <w:color w:val="auto"/>
          <w:sz w:val="21"/>
          <w:szCs w:val="21"/>
          <w:highlight w:val="none"/>
        </w:rPr>
        <w:t>企业名称（盖章）：</w:t>
      </w:r>
    </w:p>
    <w:p>
      <w:pPr>
        <w:pStyle w:val="109"/>
        <w:spacing w:line="360" w:lineRule="auto"/>
        <w:ind w:left="5250" w:firstLine="720"/>
        <w:rPr>
          <w:rFonts w:ascii="宋体" w:hAnsi="宋体" w:eastAsia="宋体"/>
          <w:color w:val="auto"/>
          <w:sz w:val="21"/>
          <w:szCs w:val="21"/>
          <w:highlight w:val="none"/>
        </w:rPr>
      </w:pPr>
      <w:r>
        <w:rPr>
          <w:rFonts w:hint="eastAsia" w:ascii="宋体" w:hAnsi="宋体" w:eastAsia="宋体"/>
          <w:color w:val="auto"/>
          <w:sz w:val="21"/>
          <w:szCs w:val="21"/>
          <w:highlight w:val="none"/>
        </w:rPr>
        <w:t>日期：</w:t>
      </w:r>
    </w:p>
    <w:p>
      <w:pPr>
        <w:spacing w:line="360" w:lineRule="auto"/>
        <w:rPr>
          <w:rFonts w:ascii="宋体" w:hAnsi="宋体"/>
          <w:sz w:val="22"/>
          <w:szCs w:val="22"/>
          <w:highlight w:val="none"/>
        </w:rPr>
      </w:pPr>
      <w:r>
        <w:rPr>
          <w:rFonts w:hint="eastAsia" w:ascii="宋体" w:hAnsi="宋体"/>
          <w:sz w:val="22"/>
          <w:szCs w:val="22"/>
          <w:highlight w:val="none"/>
        </w:rPr>
        <w:t>说明：</w:t>
      </w:r>
    </w:p>
    <w:p>
      <w:pPr>
        <w:spacing w:line="360" w:lineRule="auto"/>
        <w:ind w:firstLine="440" w:firstLineChars="200"/>
        <w:rPr>
          <w:rFonts w:ascii="宋体" w:hAnsi="宋体"/>
          <w:sz w:val="22"/>
          <w:szCs w:val="22"/>
          <w:highlight w:val="none"/>
        </w:rPr>
      </w:pPr>
      <w:r>
        <w:rPr>
          <w:rFonts w:hint="eastAsia" w:ascii="宋体" w:hAnsi="宋体"/>
          <w:sz w:val="22"/>
          <w:szCs w:val="22"/>
          <w:highlight w:val="none"/>
        </w:rPr>
        <w:t>1、从业人员、营业收入、资产总额填报上一年度数据，无上一年度数据的新成立企业可不填报。</w:t>
      </w:r>
    </w:p>
    <w:p>
      <w:pPr>
        <w:spacing w:line="360" w:lineRule="auto"/>
        <w:ind w:firstLine="440" w:firstLineChars="200"/>
        <w:rPr>
          <w:rFonts w:ascii="宋体" w:hAnsi="宋体"/>
          <w:sz w:val="22"/>
          <w:szCs w:val="22"/>
          <w:highlight w:val="none"/>
        </w:rPr>
      </w:pPr>
    </w:p>
    <w:p>
      <w:pPr>
        <w:snapToGrid w:val="0"/>
        <w:spacing w:before="50" w:after="50" w:line="440" w:lineRule="exact"/>
        <w:rPr>
          <w:szCs w:val="21"/>
          <w:highlight w:val="none"/>
        </w:rPr>
      </w:pPr>
    </w:p>
    <w:p>
      <w:pPr>
        <w:pStyle w:val="2"/>
        <w:rPr>
          <w:szCs w:val="21"/>
        </w:rPr>
      </w:pPr>
    </w:p>
    <w:p>
      <w:pPr>
        <w:rPr>
          <w:szCs w:val="21"/>
        </w:rPr>
      </w:pPr>
    </w:p>
    <w:p>
      <w:pPr>
        <w:pStyle w:val="2"/>
      </w:pPr>
    </w:p>
    <w:p>
      <w:pPr>
        <w:pStyle w:val="15"/>
        <w:snapToGrid w:val="0"/>
        <w:spacing w:beforeLines="10" w:afterLines="10"/>
        <w:rPr>
          <w:rFonts w:hAnsi="宋体"/>
          <w:b/>
          <w:kern w:val="2"/>
          <w:sz w:val="24"/>
          <w:szCs w:val="24"/>
        </w:rPr>
      </w:pPr>
    </w:p>
    <w:p>
      <w:pPr>
        <w:pStyle w:val="15"/>
        <w:snapToGrid w:val="0"/>
        <w:spacing w:beforeLines="10" w:afterLines="10"/>
        <w:rPr>
          <w:rFonts w:hAnsi="宋体"/>
          <w:b/>
          <w:kern w:val="2"/>
          <w:sz w:val="24"/>
          <w:szCs w:val="24"/>
        </w:rPr>
      </w:pPr>
      <w:r>
        <w:rPr>
          <w:rFonts w:hAnsi="宋体"/>
          <w:b/>
          <w:kern w:val="2"/>
          <w:sz w:val="24"/>
          <w:szCs w:val="24"/>
        </w:rPr>
        <w:t>2.</w:t>
      </w:r>
      <w:r>
        <w:rPr>
          <w:rFonts w:hint="eastAsia" w:hAnsi="宋体"/>
          <w:b/>
          <w:kern w:val="2"/>
          <w:sz w:val="24"/>
          <w:szCs w:val="24"/>
        </w:rPr>
        <w:t>残疾人福利性单位声明函</w:t>
      </w:r>
    </w:p>
    <w:p>
      <w:pPr>
        <w:widowControl/>
        <w:wordWrap w:val="0"/>
        <w:spacing w:line="23" w:lineRule="atLeast"/>
        <w:jc w:val="left"/>
        <w:textAlignment w:val="top"/>
        <w:rPr>
          <w:sz w:val="24"/>
        </w:rPr>
      </w:pPr>
    </w:p>
    <w:p>
      <w:pPr>
        <w:widowControl/>
        <w:spacing w:line="460" w:lineRule="exact"/>
        <w:jc w:val="center"/>
        <w:textAlignment w:val="top"/>
        <w:outlineLvl w:val="0"/>
        <w:rPr>
          <w:rFonts w:ascii="宋体"/>
          <w:b/>
          <w:kern w:val="0"/>
          <w:szCs w:val="21"/>
        </w:rPr>
      </w:pPr>
      <w:bookmarkStart w:id="41" w:name="_Toc23733"/>
      <w:r>
        <w:rPr>
          <w:rFonts w:hint="eastAsia" w:ascii="宋体" w:hAnsi="宋体"/>
          <w:bCs/>
          <w:szCs w:val="21"/>
        </w:rPr>
        <w:t>残疾人福利性单位声明函</w:t>
      </w:r>
      <w:bookmarkEnd w:id="41"/>
    </w:p>
    <w:p>
      <w:pPr>
        <w:widowControl/>
        <w:spacing w:line="460" w:lineRule="exact"/>
        <w:jc w:val="left"/>
        <w:textAlignment w:val="top"/>
        <w:rPr>
          <w:rFonts w:ascii="宋体"/>
          <w:kern w:val="0"/>
          <w:szCs w:val="21"/>
        </w:rPr>
      </w:pPr>
      <w:r>
        <w:rPr>
          <w:rFonts w:ascii="微软雅黑" w:hAnsi="微软雅黑" w:eastAsia="微软雅黑" w:cs="微软雅黑"/>
          <w:kern w:val="0"/>
          <w:szCs w:val="21"/>
        </w:rPr>
        <w:t xml:space="preserve">    </w:t>
      </w:r>
      <w:r>
        <w:rPr>
          <w:rFonts w:hint="eastAsia" w:ascii="宋体" w:hAnsi="宋体"/>
          <w:kern w:val="0"/>
          <w:szCs w:val="21"/>
        </w:rPr>
        <w:t>本单位郑重声明，根据《财政部</w:t>
      </w:r>
      <w:r>
        <w:rPr>
          <w:rFonts w:ascii="宋体" w:hAnsi="宋体"/>
          <w:kern w:val="0"/>
          <w:szCs w:val="21"/>
        </w:rPr>
        <w:t xml:space="preserve"> </w:t>
      </w:r>
      <w:r>
        <w:rPr>
          <w:rFonts w:hint="eastAsia" w:ascii="宋体" w:hAnsi="宋体"/>
          <w:kern w:val="0"/>
          <w:szCs w:val="21"/>
        </w:rPr>
        <w:t>民政部</w:t>
      </w:r>
      <w:r>
        <w:rPr>
          <w:rFonts w:ascii="宋体" w:hAnsi="宋体"/>
          <w:kern w:val="0"/>
          <w:szCs w:val="21"/>
        </w:rPr>
        <w:t xml:space="preserve"> </w:t>
      </w:r>
      <w:r>
        <w:rPr>
          <w:rFonts w:hint="eastAsia" w:ascii="宋体" w:hAnsi="宋体"/>
          <w:kern w:val="0"/>
          <w:szCs w:val="21"/>
        </w:rPr>
        <w:t>中国残疾人联合会关于促进残疾人就业政府采购政策的通知》（财库〔</w:t>
      </w:r>
      <w:r>
        <w:rPr>
          <w:rFonts w:ascii="宋体" w:hAnsi="宋体"/>
          <w:kern w:val="0"/>
          <w:szCs w:val="21"/>
        </w:rPr>
        <w:t>2017</w:t>
      </w:r>
      <w:r>
        <w:rPr>
          <w:rFonts w:hint="eastAsia" w:ascii="宋体" w:hAnsi="宋体"/>
          <w:kern w:val="0"/>
          <w:szCs w:val="21"/>
        </w:rPr>
        <w:t>〕</w:t>
      </w:r>
      <w:r>
        <w:rPr>
          <w:rFonts w:ascii="宋体" w:hAnsi="宋体"/>
          <w:kern w:val="0"/>
          <w:szCs w:val="21"/>
        </w:rPr>
        <w:t xml:space="preserve"> 141</w:t>
      </w:r>
      <w:r>
        <w:rPr>
          <w:rFonts w:hint="eastAsia" w:ascii="宋体" w:hAnsi="宋体"/>
          <w:kern w:val="0"/>
          <w:szCs w:val="21"/>
        </w:rPr>
        <w:t>号）的规定，本单位为符合条件的残疾人福利性单位，且本单位参加</w:t>
      </w:r>
      <w:r>
        <w:rPr>
          <w:rFonts w:ascii="宋体" w:hAnsi="宋体"/>
          <w:kern w:val="0"/>
          <w:szCs w:val="21"/>
        </w:rPr>
        <w:t>______</w:t>
      </w:r>
      <w:r>
        <w:rPr>
          <w:rFonts w:hint="eastAsia" w:ascii="宋体" w:hAnsi="宋体"/>
          <w:kern w:val="0"/>
          <w:szCs w:val="21"/>
        </w:rPr>
        <w:t>单位的</w:t>
      </w:r>
      <w:r>
        <w:rPr>
          <w:rFonts w:ascii="宋体" w:hAnsi="宋体"/>
          <w:kern w:val="0"/>
          <w:szCs w:val="21"/>
        </w:rPr>
        <w:t>______</w:t>
      </w:r>
      <w:r>
        <w:rPr>
          <w:rFonts w:hint="eastAsia" w:ascii="宋体" w:hAnsi="宋体"/>
          <w:kern w:val="0"/>
          <w:szCs w:val="21"/>
        </w:rPr>
        <w:t>项目采购活动提供本单位制造的货物（由本单位承担工程</w:t>
      </w:r>
      <w:r>
        <w:rPr>
          <w:rFonts w:ascii="宋体" w:hAnsi="宋体"/>
          <w:kern w:val="0"/>
          <w:szCs w:val="21"/>
        </w:rPr>
        <w:t>/</w:t>
      </w:r>
      <w:r>
        <w:rPr>
          <w:rFonts w:hint="eastAsia" w:ascii="宋体" w:hAnsi="宋体"/>
          <w:kern w:val="0"/>
          <w:szCs w:val="21"/>
        </w:rPr>
        <w:t>提供服务），或者提供其他残疾人福利性单位制造的货物（不包括使用非残疾人福利性单位注册商标的货物）。</w:t>
      </w:r>
      <w:r>
        <w:rPr>
          <w:rFonts w:ascii="宋体"/>
          <w:kern w:val="0"/>
          <w:szCs w:val="21"/>
        </w:rPr>
        <w:br w:type="textWrapping"/>
      </w:r>
      <w:r>
        <w:rPr>
          <w:rFonts w:ascii="宋体"/>
          <w:kern w:val="0"/>
          <w:szCs w:val="21"/>
        </w:rPr>
        <w:t> </w:t>
      </w:r>
      <w:r>
        <w:rPr>
          <w:rFonts w:ascii="宋体" w:hAnsi="宋体"/>
          <w:kern w:val="0"/>
          <w:szCs w:val="21"/>
        </w:rPr>
        <w:t xml:space="preserve">       </w:t>
      </w:r>
      <w:r>
        <w:rPr>
          <w:rFonts w:hint="eastAsia" w:ascii="宋体" w:hAnsi="宋体"/>
          <w:kern w:val="0"/>
          <w:szCs w:val="21"/>
        </w:rPr>
        <w:t>本单位对上述声明的真实性负责。如有虚假，将依法承担相应责任。</w:t>
      </w:r>
    </w:p>
    <w:p>
      <w:pPr>
        <w:widowControl/>
        <w:spacing w:line="460" w:lineRule="exact"/>
        <w:jc w:val="right"/>
        <w:textAlignment w:val="top"/>
        <w:rPr>
          <w:rFonts w:ascii="宋体"/>
          <w:kern w:val="0"/>
          <w:szCs w:val="21"/>
        </w:rPr>
      </w:pPr>
      <w:r>
        <w:rPr>
          <w:rFonts w:ascii="宋体"/>
          <w:kern w:val="0"/>
          <w:szCs w:val="21"/>
        </w:rPr>
        <w:br w:type="textWrapping"/>
      </w:r>
      <w:r>
        <w:rPr>
          <w:rFonts w:hint="eastAsia" w:ascii="宋体" w:hAnsi="宋体"/>
          <w:kern w:val="0"/>
          <w:szCs w:val="21"/>
        </w:rPr>
        <w:t>单位名称（盖公章）：</w:t>
      </w:r>
    </w:p>
    <w:p>
      <w:pPr>
        <w:widowControl/>
        <w:spacing w:line="460" w:lineRule="exact"/>
        <w:jc w:val="right"/>
        <w:textAlignment w:val="top"/>
        <w:rPr>
          <w:rFonts w:ascii="宋体"/>
          <w:kern w:val="0"/>
          <w:szCs w:val="21"/>
        </w:rPr>
      </w:pPr>
      <w:r>
        <w:rPr>
          <w:rFonts w:hint="eastAsia" w:ascii="宋体" w:hAnsi="宋体"/>
          <w:kern w:val="0"/>
          <w:szCs w:val="21"/>
        </w:rPr>
        <w:t>日</w:t>
      </w:r>
      <w:r>
        <w:rPr>
          <w:rFonts w:ascii="宋体" w:hAnsi="宋体"/>
          <w:kern w:val="0"/>
          <w:szCs w:val="21"/>
        </w:rPr>
        <w:t xml:space="preserve"> </w:t>
      </w:r>
      <w:r>
        <w:rPr>
          <w:rFonts w:hint="eastAsia" w:ascii="宋体" w:hAnsi="宋体"/>
          <w:kern w:val="0"/>
          <w:szCs w:val="21"/>
        </w:rPr>
        <w:t>期：</w:t>
      </w:r>
    </w:p>
    <w:p>
      <w:pPr>
        <w:pStyle w:val="28"/>
        <w:rPr>
          <w:rFonts w:hAnsi="宋体"/>
          <w:szCs w:val="21"/>
        </w:rPr>
      </w:pPr>
    </w:p>
    <w:p>
      <w:pPr>
        <w:rPr>
          <w:rFonts w:ascii="宋体"/>
          <w:kern w:val="0"/>
          <w:szCs w:val="21"/>
        </w:rPr>
      </w:pPr>
    </w:p>
    <w:p>
      <w:pPr>
        <w:pStyle w:val="28"/>
        <w:rPr>
          <w:rFonts w:hAnsi="宋体"/>
          <w:szCs w:val="21"/>
        </w:rPr>
      </w:pPr>
    </w:p>
    <w:p>
      <w:r>
        <w:rPr>
          <w:rFonts w:hAnsi="宋体"/>
          <w:b/>
          <w:sz w:val="24"/>
        </w:rPr>
        <w:t>3.</w:t>
      </w:r>
      <w:r>
        <w:rPr>
          <w:rFonts w:hint="eastAsia" w:hAnsi="宋体"/>
          <w:b/>
          <w:sz w:val="24"/>
        </w:rPr>
        <w:t>供应商为监狱企业的证明文件：省级以上监狱管理局、戒毒管理局（含新疆生产建设兵团）出具。（如有）</w:t>
      </w:r>
    </w:p>
    <w:p>
      <w:pPr>
        <w:snapToGrid w:val="0"/>
        <w:spacing w:line="460" w:lineRule="exact"/>
        <w:rPr>
          <w:rFonts w:ascii="宋体"/>
          <w:kern w:val="0"/>
          <w:szCs w:val="21"/>
        </w:rPr>
        <w:sectPr>
          <w:pgSz w:w="11906" w:h="16838"/>
          <w:pgMar w:top="1440" w:right="1797" w:bottom="1440" w:left="1797" w:header="851" w:footer="851" w:gutter="0"/>
          <w:cols w:space="720" w:num="1"/>
          <w:docGrid w:linePitch="312" w:charSpace="0"/>
        </w:sectPr>
      </w:pPr>
    </w:p>
    <w:p>
      <w:pPr>
        <w:spacing w:line="360" w:lineRule="auto"/>
      </w:pPr>
    </w:p>
    <w:p>
      <w:pPr>
        <w:snapToGrid w:val="0"/>
        <w:spacing w:line="440" w:lineRule="exact"/>
        <w:rPr>
          <w:rFonts w:ascii="宋体"/>
          <w:szCs w:val="21"/>
        </w:rPr>
      </w:pPr>
      <w:r>
        <w:rPr>
          <w:rFonts w:ascii="宋体" w:hAnsi="宋体"/>
          <w:b/>
          <w:szCs w:val="21"/>
        </w:rPr>
        <w:t>2</w:t>
      </w:r>
      <w:r>
        <w:rPr>
          <w:rFonts w:ascii="宋体"/>
          <w:b/>
          <w:szCs w:val="21"/>
        </w:rPr>
        <w:t>.</w:t>
      </w:r>
      <w:r>
        <w:rPr>
          <w:rFonts w:hint="eastAsia" w:ascii="宋体" w:hAnsi="宋体"/>
          <w:b/>
          <w:szCs w:val="21"/>
        </w:rPr>
        <w:t>资信商务及技术文件、报价文件目录</w:t>
      </w:r>
      <w:r>
        <w:rPr>
          <w:rFonts w:hint="eastAsia" w:ascii="宋体" w:hAnsi="宋体"/>
          <w:b/>
          <w:bCs/>
          <w:szCs w:val="21"/>
        </w:rPr>
        <w:t>（请按照“第二章投标人须知，三、投标文件的编制”的顺序，结合评标办法自行编制目录）</w:t>
      </w:r>
    </w:p>
    <w:p>
      <w:pPr>
        <w:snapToGrid w:val="0"/>
        <w:spacing w:line="440" w:lineRule="exact"/>
        <w:rPr>
          <w:rFonts w:ascii="宋体"/>
          <w:b/>
          <w:bCs/>
          <w:szCs w:val="21"/>
        </w:rPr>
      </w:pPr>
      <w:r>
        <w:rPr>
          <w:rFonts w:hint="eastAsia" w:ascii="宋体" w:hAnsi="宋体"/>
          <w:b/>
          <w:bCs/>
          <w:szCs w:val="21"/>
        </w:rPr>
        <w:t>例如：</w:t>
      </w:r>
    </w:p>
    <w:p>
      <w:pPr>
        <w:snapToGrid w:val="0"/>
        <w:spacing w:before="50" w:after="50"/>
        <w:outlineLvl w:val="0"/>
        <w:rPr>
          <w:rFonts w:ascii="宋体"/>
          <w:sz w:val="24"/>
          <w:szCs w:val="20"/>
        </w:rPr>
      </w:pPr>
      <w:bookmarkStart w:id="42" w:name="_Toc7090"/>
      <w:r>
        <w:rPr>
          <w:rFonts w:hint="eastAsia" w:ascii="宋体" w:hAnsi="宋体"/>
          <w:b/>
          <w:bCs/>
          <w:sz w:val="24"/>
        </w:rPr>
        <w:t>资信商务及技术文件：</w:t>
      </w:r>
      <w:bookmarkEnd w:id="42"/>
    </w:p>
    <w:p>
      <w:pPr>
        <w:snapToGrid w:val="0"/>
        <w:spacing w:line="440" w:lineRule="exact"/>
        <w:jc w:val="left"/>
        <w:outlineLvl w:val="0"/>
        <w:rPr>
          <w:rFonts w:ascii="宋体"/>
          <w:szCs w:val="21"/>
        </w:rPr>
      </w:pPr>
      <w:bookmarkStart w:id="43" w:name="_Toc2819"/>
      <w:r>
        <w:rPr>
          <w:rFonts w:hint="eastAsia" w:ascii="宋体" w:hAnsi="宋体"/>
          <w:szCs w:val="21"/>
        </w:rPr>
        <w:t>（</w:t>
      </w:r>
      <w:r>
        <w:rPr>
          <w:rFonts w:ascii="宋体" w:hAnsi="宋体"/>
          <w:szCs w:val="21"/>
        </w:rPr>
        <w:t>1</w:t>
      </w:r>
      <w:r>
        <w:rPr>
          <w:rFonts w:hint="eastAsia" w:ascii="宋体" w:hAnsi="宋体"/>
          <w:szCs w:val="21"/>
        </w:rPr>
        <w:t>）投标声明书</w:t>
      </w:r>
      <w:r>
        <w:rPr>
          <w:rFonts w:ascii="宋体" w:hAnsi="宋体"/>
          <w:szCs w:val="21"/>
        </w:rPr>
        <w:t xml:space="preserve"> (</w:t>
      </w:r>
      <w:r>
        <w:rPr>
          <w:rFonts w:hint="eastAsia" w:ascii="宋体" w:hAnsi="宋体"/>
          <w:szCs w:val="21"/>
        </w:rPr>
        <w:t>格式见附件</w:t>
      </w:r>
      <w:r>
        <w:rPr>
          <w:rFonts w:ascii="宋体" w:hAnsi="宋体"/>
          <w:szCs w:val="21"/>
        </w:rPr>
        <w:t>) ————————————————</w:t>
      </w:r>
      <w:r>
        <w:rPr>
          <w:rFonts w:hint="eastAsia" w:ascii="宋体" w:hAnsi="宋体"/>
          <w:szCs w:val="21"/>
        </w:rPr>
        <w:t>（页码）</w:t>
      </w:r>
      <w:bookmarkEnd w:id="43"/>
    </w:p>
    <w:p>
      <w:pPr>
        <w:snapToGrid w:val="0"/>
        <w:spacing w:line="440" w:lineRule="exact"/>
        <w:jc w:val="left"/>
        <w:outlineLvl w:val="0"/>
        <w:rPr>
          <w:rFonts w:ascii="宋体"/>
          <w:szCs w:val="21"/>
        </w:rPr>
      </w:pPr>
      <w:bookmarkStart w:id="44" w:name="_Toc20582"/>
      <w:r>
        <w:rPr>
          <w:rFonts w:hint="eastAsia" w:ascii="宋体" w:hAnsi="宋体"/>
          <w:szCs w:val="21"/>
        </w:rPr>
        <w:t>（</w:t>
      </w:r>
      <w:r>
        <w:rPr>
          <w:rFonts w:ascii="宋体" w:hAnsi="宋体"/>
          <w:szCs w:val="21"/>
        </w:rPr>
        <w:t>2</w:t>
      </w:r>
      <w:r>
        <w:rPr>
          <w:rFonts w:hint="eastAsia" w:ascii="宋体" w:hAnsi="宋体"/>
          <w:szCs w:val="21"/>
        </w:rPr>
        <w:t>）法定代表人授权委托书</w:t>
      </w:r>
      <w:r>
        <w:rPr>
          <w:rFonts w:ascii="宋体" w:hAnsi="宋体"/>
          <w:szCs w:val="21"/>
        </w:rPr>
        <w:t>(</w:t>
      </w:r>
      <w:r>
        <w:rPr>
          <w:rFonts w:hint="eastAsia" w:ascii="宋体" w:hAnsi="宋体"/>
          <w:szCs w:val="21"/>
        </w:rPr>
        <w:t>格式见附件</w:t>
      </w:r>
      <w:r>
        <w:rPr>
          <w:rFonts w:ascii="宋体" w:hAnsi="宋体"/>
          <w:szCs w:val="21"/>
        </w:rPr>
        <w:t>) ————————————</w:t>
      </w:r>
      <w:r>
        <w:rPr>
          <w:rFonts w:hint="eastAsia" w:ascii="宋体" w:hAnsi="宋体"/>
          <w:szCs w:val="21"/>
        </w:rPr>
        <w:t>（页码）</w:t>
      </w:r>
      <w:bookmarkEnd w:id="44"/>
    </w:p>
    <w:p>
      <w:pPr>
        <w:spacing w:line="360" w:lineRule="auto"/>
        <w:rPr>
          <w:kern w:val="0"/>
          <w:sz w:val="20"/>
          <w:szCs w:val="20"/>
        </w:rPr>
      </w:pPr>
    </w:p>
    <w:p>
      <w:pPr>
        <w:spacing w:line="360" w:lineRule="auto"/>
        <w:rPr>
          <w:kern w:val="0"/>
          <w:sz w:val="20"/>
          <w:szCs w:val="20"/>
        </w:rPr>
      </w:pPr>
    </w:p>
    <w:p>
      <w:pPr>
        <w:spacing w:line="360" w:lineRule="auto"/>
        <w:rPr>
          <w:kern w:val="0"/>
          <w:sz w:val="20"/>
          <w:szCs w:val="20"/>
        </w:rPr>
      </w:pPr>
    </w:p>
    <w:p>
      <w:pPr>
        <w:spacing w:line="360" w:lineRule="auto"/>
        <w:rPr>
          <w:kern w:val="0"/>
          <w:sz w:val="20"/>
          <w:szCs w:val="20"/>
        </w:rPr>
      </w:pPr>
    </w:p>
    <w:p>
      <w:pPr>
        <w:spacing w:line="360" w:lineRule="auto"/>
        <w:rPr>
          <w:kern w:val="0"/>
          <w:sz w:val="20"/>
          <w:szCs w:val="20"/>
        </w:rPr>
      </w:pPr>
    </w:p>
    <w:p>
      <w:pPr>
        <w:spacing w:line="360" w:lineRule="auto"/>
        <w:rPr>
          <w:kern w:val="0"/>
          <w:sz w:val="20"/>
          <w:szCs w:val="20"/>
        </w:rPr>
      </w:pPr>
    </w:p>
    <w:p>
      <w:pPr>
        <w:spacing w:line="360" w:lineRule="auto"/>
        <w:rPr>
          <w:kern w:val="0"/>
          <w:sz w:val="20"/>
          <w:szCs w:val="20"/>
        </w:rPr>
      </w:pPr>
    </w:p>
    <w:p>
      <w:pPr>
        <w:spacing w:line="360" w:lineRule="auto"/>
        <w:rPr>
          <w:kern w:val="0"/>
          <w:sz w:val="20"/>
          <w:szCs w:val="20"/>
        </w:rPr>
      </w:pPr>
    </w:p>
    <w:p>
      <w:pPr>
        <w:spacing w:line="360" w:lineRule="auto"/>
        <w:rPr>
          <w:kern w:val="0"/>
          <w:sz w:val="20"/>
          <w:szCs w:val="20"/>
        </w:rPr>
      </w:pPr>
    </w:p>
    <w:p>
      <w:pPr>
        <w:spacing w:line="360" w:lineRule="auto"/>
        <w:rPr>
          <w:kern w:val="0"/>
          <w:sz w:val="20"/>
          <w:szCs w:val="20"/>
        </w:rPr>
      </w:pPr>
    </w:p>
    <w:p>
      <w:pPr>
        <w:spacing w:line="360" w:lineRule="auto"/>
        <w:rPr>
          <w:kern w:val="0"/>
          <w:sz w:val="20"/>
          <w:szCs w:val="20"/>
        </w:rPr>
      </w:pPr>
    </w:p>
    <w:p>
      <w:pPr>
        <w:spacing w:line="360" w:lineRule="auto"/>
        <w:rPr>
          <w:kern w:val="0"/>
          <w:sz w:val="20"/>
          <w:szCs w:val="20"/>
        </w:rPr>
      </w:pPr>
    </w:p>
    <w:p>
      <w:pPr>
        <w:spacing w:line="360" w:lineRule="auto"/>
        <w:rPr>
          <w:kern w:val="0"/>
          <w:sz w:val="20"/>
          <w:szCs w:val="20"/>
        </w:rPr>
      </w:pPr>
    </w:p>
    <w:p>
      <w:pPr>
        <w:spacing w:line="360" w:lineRule="auto"/>
        <w:rPr>
          <w:kern w:val="0"/>
          <w:sz w:val="20"/>
          <w:szCs w:val="20"/>
        </w:rPr>
      </w:pPr>
    </w:p>
    <w:p>
      <w:pPr>
        <w:spacing w:line="360" w:lineRule="auto"/>
        <w:rPr>
          <w:kern w:val="0"/>
          <w:sz w:val="20"/>
          <w:szCs w:val="20"/>
        </w:rPr>
      </w:pPr>
    </w:p>
    <w:p>
      <w:pPr>
        <w:spacing w:line="360" w:lineRule="auto"/>
        <w:rPr>
          <w:kern w:val="0"/>
          <w:sz w:val="20"/>
          <w:szCs w:val="20"/>
        </w:rPr>
      </w:pPr>
    </w:p>
    <w:p>
      <w:pPr>
        <w:spacing w:line="360" w:lineRule="auto"/>
        <w:rPr>
          <w:kern w:val="0"/>
          <w:sz w:val="20"/>
          <w:szCs w:val="20"/>
        </w:rPr>
      </w:pPr>
    </w:p>
    <w:p>
      <w:pPr>
        <w:spacing w:line="360" w:lineRule="auto"/>
        <w:rPr>
          <w:kern w:val="0"/>
          <w:sz w:val="20"/>
          <w:szCs w:val="20"/>
        </w:rPr>
      </w:pPr>
    </w:p>
    <w:p>
      <w:pPr>
        <w:spacing w:line="360" w:lineRule="auto"/>
        <w:rPr>
          <w:kern w:val="0"/>
          <w:sz w:val="20"/>
          <w:szCs w:val="20"/>
        </w:rPr>
      </w:pPr>
    </w:p>
    <w:p>
      <w:pPr>
        <w:spacing w:line="360" w:lineRule="auto"/>
        <w:rPr>
          <w:kern w:val="0"/>
          <w:sz w:val="20"/>
          <w:szCs w:val="20"/>
        </w:rPr>
      </w:pPr>
    </w:p>
    <w:p>
      <w:pPr>
        <w:spacing w:line="360" w:lineRule="auto"/>
        <w:rPr>
          <w:kern w:val="0"/>
          <w:sz w:val="20"/>
          <w:szCs w:val="20"/>
        </w:rPr>
      </w:pPr>
    </w:p>
    <w:p>
      <w:pPr>
        <w:spacing w:line="360" w:lineRule="auto"/>
        <w:rPr>
          <w:kern w:val="0"/>
          <w:sz w:val="20"/>
          <w:szCs w:val="20"/>
        </w:rPr>
      </w:pPr>
    </w:p>
    <w:p>
      <w:pPr>
        <w:spacing w:line="360" w:lineRule="auto"/>
        <w:rPr>
          <w:kern w:val="0"/>
          <w:sz w:val="20"/>
          <w:szCs w:val="20"/>
        </w:rPr>
      </w:pPr>
    </w:p>
    <w:p>
      <w:pPr>
        <w:spacing w:line="360" w:lineRule="auto"/>
        <w:rPr>
          <w:kern w:val="0"/>
          <w:sz w:val="20"/>
          <w:szCs w:val="20"/>
        </w:rPr>
      </w:pPr>
    </w:p>
    <w:p>
      <w:pPr>
        <w:spacing w:line="360" w:lineRule="auto"/>
      </w:pPr>
    </w:p>
    <w:p>
      <w:pPr>
        <w:pStyle w:val="6"/>
        <w:spacing w:line="360" w:lineRule="auto"/>
        <w:ind w:firstLine="0"/>
        <w:rPr>
          <w:b/>
          <w:kern w:val="2"/>
          <w:sz w:val="21"/>
          <w:szCs w:val="21"/>
        </w:rPr>
      </w:pPr>
      <w:r>
        <w:rPr>
          <w:b/>
          <w:kern w:val="2"/>
          <w:sz w:val="21"/>
          <w:szCs w:val="21"/>
        </w:rPr>
        <w:t>3.</w:t>
      </w:r>
      <w:r>
        <w:rPr>
          <w:rFonts w:hint="eastAsia"/>
          <w:b/>
          <w:kern w:val="2"/>
          <w:sz w:val="21"/>
          <w:szCs w:val="21"/>
        </w:rPr>
        <w:t>投标声明书</w:t>
      </w:r>
    </w:p>
    <w:p>
      <w:pPr>
        <w:adjustRightInd w:val="0"/>
        <w:snapToGrid w:val="0"/>
        <w:spacing w:line="360" w:lineRule="auto"/>
        <w:rPr>
          <w:sz w:val="24"/>
        </w:rPr>
      </w:pPr>
    </w:p>
    <w:p>
      <w:pPr>
        <w:adjustRightInd w:val="0"/>
        <w:snapToGrid w:val="0"/>
        <w:spacing w:line="440" w:lineRule="exact"/>
        <w:ind w:firstLine="420" w:firstLineChars="200"/>
        <w:rPr>
          <w:szCs w:val="21"/>
        </w:rPr>
      </w:pPr>
      <w:r>
        <w:rPr>
          <w:rFonts w:hint="eastAsia"/>
          <w:szCs w:val="21"/>
        </w:rPr>
        <w:t>致：</w:t>
      </w:r>
      <w:r>
        <w:rPr>
          <w:rFonts w:hint="eastAsia"/>
          <w:b/>
          <w:szCs w:val="21"/>
          <w:u w:val="single"/>
        </w:rPr>
        <w:t>嘉兴港区（综合保税区）综合行政执法队</w:t>
      </w:r>
      <w:r>
        <w:rPr>
          <w:rFonts w:hint="eastAsia"/>
          <w:b/>
          <w:szCs w:val="21"/>
        </w:rPr>
        <w:t>（采购方）</w:t>
      </w:r>
      <w:r>
        <w:rPr>
          <w:rFonts w:hint="eastAsia"/>
          <w:szCs w:val="21"/>
        </w:rPr>
        <w:t>：</w:t>
      </w:r>
    </w:p>
    <w:p>
      <w:pPr>
        <w:tabs>
          <w:tab w:val="left" w:pos="1418"/>
        </w:tabs>
        <w:snapToGrid w:val="0"/>
        <w:spacing w:line="440" w:lineRule="exact"/>
        <w:ind w:firstLine="420" w:firstLineChars="200"/>
        <w:rPr>
          <w:szCs w:val="21"/>
        </w:rPr>
      </w:pPr>
      <w:r>
        <w:rPr>
          <w:rFonts w:hint="eastAsia"/>
          <w:szCs w:val="21"/>
        </w:rPr>
        <w:t>（投标人名称）系中华人民共和国合法单位，经营地址</w:t>
      </w:r>
      <w:r>
        <w:rPr>
          <w:szCs w:val="21"/>
          <w:u w:val="single"/>
        </w:rPr>
        <w:t xml:space="preserve">              </w:t>
      </w:r>
      <w:r>
        <w:rPr>
          <w:rFonts w:hint="eastAsia"/>
          <w:szCs w:val="21"/>
        </w:rPr>
        <w:t>。</w:t>
      </w:r>
    </w:p>
    <w:p>
      <w:pPr>
        <w:tabs>
          <w:tab w:val="left" w:pos="1418"/>
        </w:tabs>
        <w:snapToGrid w:val="0"/>
        <w:spacing w:line="440" w:lineRule="exact"/>
        <w:ind w:firstLine="420" w:firstLineChars="200"/>
        <w:rPr>
          <w:szCs w:val="21"/>
        </w:rPr>
      </w:pPr>
      <w:r>
        <w:rPr>
          <w:rFonts w:hint="eastAsia"/>
          <w:szCs w:val="21"/>
        </w:rPr>
        <w:t>我（姓名）系（投标人名称）的法定代表人，我方愿意参加贵方组织的的投标，为便于贵方公正、择优地确定中标人及其投标项目的服务，我方就本次投标有关事项郑重声明如下：</w:t>
      </w:r>
    </w:p>
    <w:p>
      <w:pPr>
        <w:adjustRightInd w:val="0"/>
        <w:snapToGrid w:val="0"/>
        <w:spacing w:line="440" w:lineRule="exact"/>
        <w:ind w:firstLine="420" w:firstLineChars="200"/>
        <w:rPr>
          <w:szCs w:val="21"/>
        </w:rPr>
      </w:pPr>
      <w:r>
        <w:rPr>
          <w:szCs w:val="21"/>
        </w:rPr>
        <w:t>1</w:t>
      </w:r>
      <w:r>
        <w:rPr>
          <w:rFonts w:hint="eastAsia"/>
          <w:szCs w:val="21"/>
        </w:rPr>
        <w:t>、我方向贵方提交的所有投标文件、资料都是准确的和真实的；</w:t>
      </w:r>
    </w:p>
    <w:p>
      <w:pPr>
        <w:adjustRightInd w:val="0"/>
        <w:snapToGrid w:val="0"/>
        <w:spacing w:line="440" w:lineRule="exact"/>
        <w:ind w:firstLine="420" w:firstLineChars="200"/>
        <w:rPr>
          <w:szCs w:val="21"/>
        </w:rPr>
      </w:pPr>
      <w:r>
        <w:rPr>
          <w:szCs w:val="21"/>
        </w:rPr>
        <w:t>2</w:t>
      </w:r>
      <w:r>
        <w:rPr>
          <w:rFonts w:hint="eastAsia"/>
          <w:szCs w:val="21"/>
        </w:rPr>
        <w:t>、我方不是采购人的附属机构；在获知本项目采购信息后，与采购人聘请的为此项目提供咨询服务的公司及其附属机构没有任何联系。</w:t>
      </w:r>
    </w:p>
    <w:p>
      <w:pPr>
        <w:adjustRightInd w:val="0"/>
        <w:snapToGrid w:val="0"/>
        <w:spacing w:line="440" w:lineRule="exact"/>
        <w:ind w:firstLine="420" w:firstLineChars="200"/>
        <w:rPr>
          <w:szCs w:val="21"/>
        </w:rPr>
      </w:pPr>
      <w:r>
        <w:rPr>
          <w:szCs w:val="21"/>
        </w:rPr>
        <w:t>3</w:t>
      </w:r>
      <w:r>
        <w:rPr>
          <w:rFonts w:hint="eastAsia"/>
          <w:szCs w:val="21"/>
        </w:rPr>
        <w:t>、我方此次向贵方提供的项目名称为：</w:t>
      </w:r>
      <w:r>
        <w:rPr>
          <w:szCs w:val="21"/>
          <w:u w:val="single"/>
        </w:rPr>
        <w:t xml:space="preserve">              </w:t>
      </w:r>
      <w:r>
        <w:rPr>
          <w:rFonts w:hint="eastAsia"/>
          <w:szCs w:val="21"/>
        </w:rPr>
        <w:t>；项目内容：</w:t>
      </w:r>
      <w:r>
        <w:rPr>
          <w:rFonts w:hint="eastAsia"/>
          <w:szCs w:val="21"/>
          <w:u w:val="single"/>
        </w:rPr>
        <w:t>详见投标报价明细表</w:t>
      </w:r>
      <w:r>
        <w:rPr>
          <w:rFonts w:hint="eastAsia"/>
          <w:szCs w:val="21"/>
        </w:rPr>
        <w:t>；</w:t>
      </w:r>
    </w:p>
    <w:p>
      <w:pPr>
        <w:adjustRightInd w:val="0"/>
        <w:snapToGrid w:val="0"/>
        <w:spacing w:line="440" w:lineRule="exact"/>
        <w:ind w:firstLine="420" w:firstLineChars="200"/>
        <w:rPr>
          <w:szCs w:val="21"/>
          <w:u w:val="single"/>
        </w:rPr>
      </w:pPr>
      <w:r>
        <w:rPr>
          <w:szCs w:val="21"/>
        </w:rPr>
        <w:t>4</w:t>
      </w:r>
      <w:r>
        <w:rPr>
          <w:rFonts w:hint="eastAsia"/>
          <w:szCs w:val="21"/>
        </w:rPr>
        <w:t>、我方最近三年内的被公开披露或查处的违法违规行为有：</w:t>
      </w:r>
      <w:r>
        <w:rPr>
          <w:rFonts w:hint="eastAsia"/>
          <w:szCs w:val="21"/>
          <w:u w:val="single"/>
        </w:rPr>
        <w:t>　</w:t>
      </w:r>
      <w:r>
        <w:rPr>
          <w:szCs w:val="21"/>
          <w:u w:val="single"/>
        </w:rPr>
        <w:t xml:space="preserve">             </w:t>
      </w:r>
    </w:p>
    <w:p>
      <w:pPr>
        <w:adjustRightInd w:val="0"/>
        <w:snapToGrid w:val="0"/>
        <w:spacing w:line="440" w:lineRule="exact"/>
        <w:ind w:firstLine="420" w:firstLineChars="200"/>
        <w:rPr>
          <w:szCs w:val="21"/>
          <w:u w:val="single"/>
        </w:rPr>
      </w:pPr>
    </w:p>
    <w:p>
      <w:pPr>
        <w:adjustRightInd w:val="0"/>
        <w:snapToGrid w:val="0"/>
        <w:spacing w:line="440" w:lineRule="exact"/>
        <w:ind w:firstLine="420" w:firstLineChars="200"/>
        <w:rPr>
          <w:szCs w:val="21"/>
          <w:u w:val="single"/>
        </w:rPr>
      </w:pPr>
      <w:r>
        <w:rPr>
          <w:szCs w:val="21"/>
        </w:rPr>
        <w:t>5</w:t>
      </w:r>
      <w:r>
        <w:rPr>
          <w:rFonts w:hint="eastAsia"/>
          <w:szCs w:val="21"/>
        </w:rPr>
        <w:t>、以上事项如有虚假或隐瞒，我方愿意承担一切后果和责任。</w:t>
      </w:r>
    </w:p>
    <w:p>
      <w:pPr>
        <w:adjustRightInd w:val="0"/>
        <w:snapToGrid w:val="0"/>
        <w:spacing w:line="440" w:lineRule="exact"/>
        <w:ind w:firstLine="420" w:firstLineChars="200"/>
        <w:rPr>
          <w:szCs w:val="21"/>
          <w:u w:val="single"/>
        </w:rPr>
      </w:pPr>
      <w:r>
        <w:rPr>
          <w:rFonts w:hint="eastAsia"/>
          <w:szCs w:val="21"/>
        </w:rPr>
        <w:t>法定代表人（签字或盖章）：</w:t>
      </w:r>
    </w:p>
    <w:p>
      <w:pPr>
        <w:adjustRightInd w:val="0"/>
        <w:snapToGrid w:val="0"/>
        <w:spacing w:line="440" w:lineRule="exact"/>
        <w:ind w:firstLine="420" w:firstLineChars="200"/>
        <w:rPr>
          <w:szCs w:val="21"/>
          <w:u w:val="single"/>
        </w:rPr>
      </w:pPr>
      <w:r>
        <w:rPr>
          <w:rFonts w:hint="eastAsia"/>
          <w:szCs w:val="21"/>
        </w:rPr>
        <w:t>投标人盖公章：</w:t>
      </w:r>
    </w:p>
    <w:p>
      <w:pPr>
        <w:adjustRightInd w:val="0"/>
        <w:snapToGrid w:val="0"/>
        <w:spacing w:line="440" w:lineRule="exact"/>
        <w:ind w:firstLine="420" w:firstLineChars="200"/>
        <w:jc w:val="right"/>
        <w:rPr>
          <w:szCs w:val="21"/>
        </w:rPr>
      </w:pP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p>
      <w:pPr>
        <w:spacing w:line="440" w:lineRule="exact"/>
        <w:ind w:firstLine="422" w:firstLineChars="200"/>
        <w:jc w:val="left"/>
        <w:rPr>
          <w:b/>
          <w:szCs w:val="21"/>
        </w:rPr>
      </w:pPr>
      <w:r>
        <w:rPr>
          <w:rFonts w:ascii="宋体"/>
          <w:b/>
          <w:szCs w:val="21"/>
        </w:rPr>
        <w:br w:type="page"/>
      </w:r>
      <w:r>
        <w:rPr>
          <w:rFonts w:ascii="宋体"/>
          <w:b/>
          <w:szCs w:val="21"/>
        </w:rPr>
        <w:t>4.</w:t>
      </w:r>
      <w:r>
        <w:rPr>
          <w:rFonts w:hint="eastAsia" w:ascii="宋体"/>
          <w:b/>
          <w:bCs/>
          <w:szCs w:val="21"/>
        </w:rPr>
        <w:t>法定代表人授权委托书</w:t>
      </w:r>
    </w:p>
    <w:p>
      <w:pPr>
        <w:pStyle w:val="6"/>
        <w:spacing w:line="440" w:lineRule="exact"/>
        <w:ind w:firstLine="417" w:firstLineChars="199"/>
        <w:rPr>
          <w:rFonts w:ascii="宋体"/>
          <w:sz w:val="21"/>
          <w:szCs w:val="21"/>
        </w:rPr>
      </w:pPr>
    </w:p>
    <w:p>
      <w:pPr>
        <w:pStyle w:val="6"/>
        <w:spacing w:line="440" w:lineRule="exact"/>
        <w:ind w:firstLine="417" w:firstLineChars="199"/>
        <w:rPr>
          <w:rFonts w:ascii="宋体"/>
          <w:sz w:val="21"/>
          <w:szCs w:val="21"/>
        </w:rPr>
      </w:pPr>
      <w:r>
        <w:rPr>
          <w:rFonts w:hint="eastAsia" w:ascii="宋体"/>
          <w:sz w:val="21"/>
          <w:szCs w:val="21"/>
        </w:rPr>
        <w:t>本授权委托书声明：我</w:t>
      </w:r>
      <w:r>
        <w:rPr>
          <w:rFonts w:ascii="宋体"/>
          <w:sz w:val="21"/>
          <w:szCs w:val="21"/>
          <w:u w:val="single"/>
        </w:rPr>
        <w:t xml:space="preserve">   </w:t>
      </w:r>
      <w:r>
        <w:rPr>
          <w:rFonts w:hint="eastAsia" w:ascii="宋体"/>
          <w:sz w:val="21"/>
          <w:szCs w:val="21"/>
          <w:u w:val="single"/>
        </w:rPr>
        <w:t>（姓名）</w:t>
      </w:r>
      <w:r>
        <w:rPr>
          <w:rFonts w:ascii="宋体"/>
          <w:sz w:val="21"/>
          <w:szCs w:val="21"/>
          <w:u w:val="single"/>
        </w:rPr>
        <w:t xml:space="preserve">   </w:t>
      </w:r>
      <w:r>
        <w:rPr>
          <w:rFonts w:hint="eastAsia" w:ascii="宋体"/>
          <w:sz w:val="21"/>
          <w:szCs w:val="21"/>
        </w:rPr>
        <w:t>系</w:t>
      </w:r>
      <w:r>
        <w:rPr>
          <w:rFonts w:ascii="宋体"/>
          <w:sz w:val="21"/>
          <w:szCs w:val="21"/>
          <w:u w:val="single"/>
        </w:rPr>
        <w:t xml:space="preserve">   </w:t>
      </w:r>
      <w:r>
        <w:rPr>
          <w:rFonts w:hint="eastAsia" w:ascii="宋体"/>
          <w:sz w:val="21"/>
          <w:szCs w:val="21"/>
          <w:u w:val="single"/>
        </w:rPr>
        <w:t>（投标人名称）</w:t>
      </w:r>
      <w:r>
        <w:rPr>
          <w:rFonts w:ascii="宋体"/>
          <w:sz w:val="21"/>
          <w:szCs w:val="21"/>
          <w:u w:val="single"/>
        </w:rPr>
        <w:t xml:space="preserve">   </w:t>
      </w:r>
      <w:r>
        <w:rPr>
          <w:rFonts w:hint="eastAsia" w:ascii="宋体"/>
          <w:sz w:val="21"/>
          <w:szCs w:val="21"/>
        </w:rPr>
        <w:t>的法定代表人，现授权委托我单位</w:t>
      </w:r>
      <w:r>
        <w:rPr>
          <w:rFonts w:ascii="宋体"/>
          <w:sz w:val="21"/>
          <w:szCs w:val="21"/>
          <w:u w:val="single"/>
        </w:rPr>
        <w:t xml:space="preserve">  </w:t>
      </w:r>
      <w:r>
        <w:rPr>
          <w:rFonts w:hint="eastAsia" w:ascii="宋体"/>
          <w:sz w:val="21"/>
          <w:szCs w:val="21"/>
          <w:u w:val="single"/>
        </w:rPr>
        <w:t>（姓名）</w:t>
      </w:r>
      <w:r>
        <w:rPr>
          <w:rFonts w:ascii="宋体"/>
          <w:sz w:val="21"/>
          <w:szCs w:val="21"/>
          <w:u w:val="single"/>
        </w:rPr>
        <w:t xml:space="preserve">  </w:t>
      </w:r>
      <w:r>
        <w:rPr>
          <w:rFonts w:hint="eastAsia" w:ascii="宋体"/>
          <w:sz w:val="21"/>
          <w:szCs w:val="21"/>
        </w:rPr>
        <w:t>为我公司全权代表，以本公司的名义参加项采购招标（招标编号：</w:t>
      </w:r>
      <w:r>
        <w:rPr>
          <w:rFonts w:ascii="宋体"/>
          <w:sz w:val="21"/>
          <w:szCs w:val="21"/>
          <w:u w:val="single"/>
        </w:rPr>
        <w:t xml:space="preserve">     </w:t>
      </w:r>
      <w:r>
        <w:rPr>
          <w:rFonts w:hint="eastAsia" w:ascii="宋体"/>
          <w:sz w:val="21"/>
          <w:szCs w:val="21"/>
        </w:rPr>
        <w:t>）的投标活动。全权代表所提供、签署的一切文书和处理与之有关的一切事务，我均予以承认并为其投标行为承担全部责任。</w:t>
      </w:r>
    </w:p>
    <w:p>
      <w:pPr>
        <w:autoSpaceDE w:val="0"/>
        <w:autoSpaceDN w:val="0"/>
        <w:adjustRightInd w:val="0"/>
        <w:spacing w:line="440" w:lineRule="exact"/>
        <w:ind w:firstLine="420" w:firstLineChars="200"/>
        <w:rPr>
          <w:rFonts w:ascii="宋体"/>
          <w:kern w:val="0"/>
          <w:szCs w:val="21"/>
        </w:rPr>
      </w:pPr>
      <w:r>
        <w:rPr>
          <w:rFonts w:hint="eastAsia" w:ascii="宋体"/>
          <w:kern w:val="0"/>
          <w:szCs w:val="21"/>
        </w:rPr>
        <w:t>全权代表无转委权。</w:t>
      </w:r>
    </w:p>
    <w:p>
      <w:pPr>
        <w:autoSpaceDE w:val="0"/>
        <w:autoSpaceDN w:val="0"/>
        <w:adjustRightInd w:val="0"/>
        <w:spacing w:line="440" w:lineRule="exact"/>
        <w:ind w:firstLine="420" w:firstLineChars="200"/>
        <w:rPr>
          <w:rFonts w:ascii="宋体"/>
          <w:kern w:val="0"/>
          <w:szCs w:val="21"/>
        </w:rPr>
      </w:pPr>
      <w:r>
        <w:rPr>
          <w:rFonts w:hint="eastAsia" w:ascii="宋体"/>
          <w:kern w:val="0"/>
          <w:szCs w:val="21"/>
        </w:rPr>
        <w:t>特此委托。</w:t>
      </w:r>
    </w:p>
    <w:p>
      <w:pPr>
        <w:autoSpaceDE w:val="0"/>
        <w:autoSpaceDN w:val="0"/>
        <w:adjustRightInd w:val="0"/>
        <w:spacing w:line="440" w:lineRule="exact"/>
        <w:ind w:firstLine="420" w:firstLineChars="200"/>
        <w:rPr>
          <w:rFonts w:ascii="宋体"/>
          <w:kern w:val="0"/>
          <w:szCs w:val="21"/>
          <w:u w:val="single"/>
        </w:rPr>
      </w:pPr>
      <w:r>
        <w:rPr>
          <w:rFonts w:hint="eastAsia" w:ascii="宋体"/>
          <w:szCs w:val="21"/>
        </w:rPr>
        <w:t>全权代表</w:t>
      </w:r>
      <w:r>
        <w:rPr>
          <w:rFonts w:hint="eastAsia" w:ascii="宋体"/>
          <w:kern w:val="0"/>
          <w:szCs w:val="21"/>
        </w:rPr>
        <w:t>：性别：年龄：</w:t>
      </w:r>
    </w:p>
    <w:p>
      <w:pPr>
        <w:autoSpaceDE w:val="0"/>
        <w:autoSpaceDN w:val="0"/>
        <w:adjustRightInd w:val="0"/>
        <w:spacing w:line="440" w:lineRule="exact"/>
        <w:ind w:firstLine="420" w:firstLineChars="200"/>
        <w:rPr>
          <w:rFonts w:ascii="宋体"/>
          <w:kern w:val="0"/>
          <w:szCs w:val="21"/>
          <w:u w:val="single"/>
        </w:rPr>
      </w:pPr>
      <w:r>
        <w:rPr>
          <w:rFonts w:hint="eastAsia" w:ascii="宋体"/>
          <w:kern w:val="0"/>
          <w:szCs w:val="21"/>
        </w:rPr>
        <w:t>单位：部门：职务：</w:t>
      </w:r>
    </w:p>
    <w:p>
      <w:pPr>
        <w:autoSpaceDE w:val="0"/>
        <w:autoSpaceDN w:val="0"/>
        <w:adjustRightInd w:val="0"/>
        <w:spacing w:line="440" w:lineRule="exact"/>
        <w:ind w:firstLine="420" w:firstLineChars="200"/>
        <w:rPr>
          <w:rFonts w:ascii="宋体"/>
          <w:kern w:val="0"/>
          <w:szCs w:val="21"/>
          <w:u w:val="single"/>
        </w:rPr>
      </w:pPr>
      <w:r>
        <w:rPr>
          <w:rFonts w:hint="eastAsia" w:ascii="宋体"/>
          <w:kern w:val="0"/>
          <w:szCs w:val="21"/>
        </w:rPr>
        <w:t>联系电话：</w:t>
      </w:r>
    </w:p>
    <w:p>
      <w:pPr>
        <w:autoSpaceDE w:val="0"/>
        <w:autoSpaceDN w:val="0"/>
        <w:adjustRightInd w:val="0"/>
        <w:spacing w:line="440" w:lineRule="exact"/>
        <w:ind w:firstLine="200"/>
        <w:rPr>
          <w:rFonts w:ascii="宋体"/>
          <w:kern w:val="0"/>
          <w:szCs w:val="21"/>
        </w:rPr>
      </w:pPr>
    </w:p>
    <w:p>
      <w:pPr>
        <w:autoSpaceDE w:val="0"/>
        <w:autoSpaceDN w:val="0"/>
        <w:adjustRightInd w:val="0"/>
        <w:spacing w:line="440" w:lineRule="exact"/>
        <w:ind w:firstLine="420" w:firstLineChars="200"/>
        <w:rPr>
          <w:rFonts w:ascii="宋体"/>
          <w:kern w:val="0"/>
          <w:szCs w:val="21"/>
          <w:u w:val="single"/>
        </w:rPr>
      </w:pPr>
      <w:r>
        <w:rPr>
          <w:rFonts w:hint="eastAsia" w:ascii="宋体"/>
          <w:kern w:val="0"/>
          <w:szCs w:val="21"/>
        </w:rPr>
        <w:t>投标人：</w:t>
      </w:r>
      <w:r>
        <w:rPr>
          <w:rFonts w:ascii="宋体"/>
          <w:kern w:val="0"/>
          <w:szCs w:val="21"/>
          <w:u w:val="single"/>
        </w:rPr>
        <w:t xml:space="preserve">     </w:t>
      </w:r>
      <w:r>
        <w:rPr>
          <w:rFonts w:hint="eastAsia" w:ascii="宋体"/>
          <w:kern w:val="0"/>
          <w:szCs w:val="21"/>
          <w:u w:val="single"/>
        </w:rPr>
        <w:t>（</w:t>
      </w:r>
      <w:r>
        <w:rPr>
          <w:rFonts w:hint="eastAsia" w:ascii="宋体"/>
          <w:szCs w:val="21"/>
          <w:u w:val="single"/>
        </w:rPr>
        <w:t>加盖公章</w:t>
      </w:r>
      <w:r>
        <w:rPr>
          <w:rFonts w:hint="eastAsia" w:ascii="宋体"/>
          <w:kern w:val="0"/>
          <w:szCs w:val="21"/>
          <w:u w:val="single"/>
        </w:rPr>
        <w:t>）</w:t>
      </w:r>
      <w:r>
        <w:rPr>
          <w:rFonts w:ascii="宋体"/>
          <w:kern w:val="0"/>
          <w:szCs w:val="21"/>
          <w:u w:val="single"/>
        </w:rPr>
        <w:t xml:space="preserve">               </w:t>
      </w:r>
    </w:p>
    <w:p>
      <w:pPr>
        <w:autoSpaceDE w:val="0"/>
        <w:autoSpaceDN w:val="0"/>
        <w:adjustRightInd w:val="0"/>
        <w:spacing w:line="440" w:lineRule="exact"/>
        <w:ind w:firstLine="420" w:firstLineChars="200"/>
        <w:rPr>
          <w:rFonts w:ascii="宋体"/>
          <w:kern w:val="0"/>
          <w:szCs w:val="21"/>
          <w:u w:val="single"/>
        </w:rPr>
      </w:pPr>
      <w:r>
        <w:rPr>
          <w:rFonts w:hint="eastAsia" w:ascii="宋体"/>
          <w:kern w:val="0"/>
          <w:szCs w:val="21"/>
        </w:rPr>
        <w:t>法定代表人（签字）：</w:t>
      </w:r>
    </w:p>
    <w:p>
      <w:pPr>
        <w:autoSpaceDE w:val="0"/>
        <w:autoSpaceDN w:val="0"/>
        <w:adjustRightInd w:val="0"/>
        <w:spacing w:line="440" w:lineRule="exact"/>
        <w:ind w:firstLine="420" w:firstLineChars="200"/>
        <w:rPr>
          <w:rFonts w:ascii="宋体"/>
          <w:kern w:val="0"/>
          <w:szCs w:val="21"/>
          <w:u w:val="single"/>
        </w:rPr>
      </w:pPr>
      <w:r>
        <w:rPr>
          <w:rFonts w:hint="eastAsia" w:ascii="宋体"/>
          <w:kern w:val="0"/>
          <w:szCs w:val="21"/>
        </w:rPr>
        <w:t>全权代表（签字）：</w:t>
      </w:r>
    </w:p>
    <w:p>
      <w:pPr>
        <w:autoSpaceDE w:val="0"/>
        <w:autoSpaceDN w:val="0"/>
        <w:adjustRightInd w:val="0"/>
        <w:spacing w:line="440" w:lineRule="exact"/>
        <w:ind w:firstLine="420" w:firstLineChars="200"/>
        <w:rPr>
          <w:rFonts w:ascii="宋体"/>
          <w:szCs w:val="21"/>
        </w:rPr>
      </w:pPr>
      <w:r>
        <w:rPr>
          <w:rFonts w:hint="eastAsia" w:ascii="宋体"/>
          <w:szCs w:val="21"/>
        </w:rPr>
        <w:t>本授权书于年月日签字生效。</w:t>
      </w:r>
    </w:p>
    <w:p>
      <w:pPr>
        <w:autoSpaceDE w:val="0"/>
        <w:autoSpaceDN w:val="0"/>
        <w:adjustRightInd w:val="0"/>
        <w:spacing w:line="360" w:lineRule="auto"/>
        <w:ind w:firstLine="600"/>
        <w:rPr>
          <w:rFonts w:ascii="宋体"/>
          <w:sz w:val="24"/>
        </w:rPr>
      </w:pPr>
    </w:p>
    <w:p>
      <w:pPr>
        <w:autoSpaceDE w:val="0"/>
        <w:autoSpaceDN w:val="0"/>
        <w:adjustRightInd w:val="0"/>
        <w:spacing w:line="360" w:lineRule="auto"/>
        <w:ind w:firstLine="600"/>
        <w:rPr>
          <w:rFonts w:ascii="宋体"/>
          <w:sz w:val="24"/>
        </w:rPr>
      </w:pPr>
    </w:p>
    <w:p>
      <w:pPr>
        <w:autoSpaceDE w:val="0"/>
        <w:autoSpaceDN w:val="0"/>
        <w:adjustRightInd w:val="0"/>
        <w:spacing w:line="360" w:lineRule="auto"/>
        <w:ind w:firstLine="600"/>
        <w:rPr>
          <w:rFonts w:ascii="宋体"/>
          <w:sz w:val="24"/>
        </w:rPr>
      </w:pPr>
    </w:p>
    <w:p>
      <w:pPr>
        <w:autoSpaceDE w:val="0"/>
        <w:autoSpaceDN w:val="0"/>
        <w:adjustRightInd w:val="0"/>
        <w:spacing w:line="360" w:lineRule="auto"/>
        <w:ind w:firstLine="600"/>
        <w:rPr>
          <w:rFonts w:ascii="宋体"/>
          <w:sz w:val="24"/>
        </w:rPr>
      </w:pPr>
    </w:p>
    <w:p>
      <w:pPr>
        <w:autoSpaceDE w:val="0"/>
        <w:autoSpaceDN w:val="0"/>
        <w:adjustRightInd w:val="0"/>
        <w:spacing w:line="360" w:lineRule="auto"/>
        <w:ind w:firstLine="600"/>
        <w:rPr>
          <w:rFonts w:ascii="宋体"/>
          <w:sz w:val="24"/>
        </w:rPr>
      </w:pPr>
    </w:p>
    <w:p>
      <w:pPr>
        <w:autoSpaceDE w:val="0"/>
        <w:autoSpaceDN w:val="0"/>
        <w:adjustRightInd w:val="0"/>
        <w:spacing w:line="360" w:lineRule="auto"/>
        <w:ind w:firstLine="600"/>
        <w:rPr>
          <w:rFonts w:ascii="宋体"/>
          <w:sz w:val="24"/>
        </w:rPr>
      </w:pPr>
    </w:p>
    <w:p>
      <w:pPr>
        <w:autoSpaceDE w:val="0"/>
        <w:autoSpaceDN w:val="0"/>
        <w:adjustRightInd w:val="0"/>
        <w:spacing w:line="360" w:lineRule="auto"/>
        <w:ind w:firstLine="600"/>
        <w:rPr>
          <w:rFonts w:ascii="宋体"/>
          <w:sz w:val="24"/>
        </w:rPr>
      </w:pPr>
    </w:p>
    <w:p>
      <w:pPr>
        <w:autoSpaceDE w:val="0"/>
        <w:autoSpaceDN w:val="0"/>
        <w:adjustRightInd w:val="0"/>
        <w:spacing w:line="360" w:lineRule="auto"/>
        <w:ind w:firstLine="600"/>
        <w:rPr>
          <w:rFonts w:ascii="宋体"/>
          <w:sz w:val="24"/>
        </w:rPr>
      </w:pPr>
    </w:p>
    <w:p>
      <w:pPr>
        <w:autoSpaceDE w:val="0"/>
        <w:autoSpaceDN w:val="0"/>
        <w:adjustRightInd w:val="0"/>
        <w:spacing w:line="360" w:lineRule="auto"/>
        <w:ind w:firstLine="600"/>
        <w:rPr>
          <w:rFonts w:ascii="宋体"/>
          <w:sz w:val="24"/>
        </w:rPr>
      </w:pPr>
    </w:p>
    <w:p>
      <w:pPr>
        <w:autoSpaceDE w:val="0"/>
        <w:autoSpaceDN w:val="0"/>
        <w:adjustRightInd w:val="0"/>
        <w:spacing w:line="360" w:lineRule="auto"/>
        <w:ind w:firstLine="600"/>
        <w:rPr>
          <w:rFonts w:ascii="宋体"/>
          <w:sz w:val="24"/>
        </w:rPr>
      </w:pPr>
    </w:p>
    <w:p>
      <w:pPr>
        <w:autoSpaceDE w:val="0"/>
        <w:autoSpaceDN w:val="0"/>
        <w:adjustRightInd w:val="0"/>
        <w:spacing w:line="360" w:lineRule="auto"/>
        <w:ind w:firstLine="600"/>
        <w:rPr>
          <w:rFonts w:ascii="宋体"/>
          <w:sz w:val="24"/>
        </w:rPr>
      </w:pPr>
    </w:p>
    <w:p>
      <w:pPr>
        <w:autoSpaceDE w:val="0"/>
        <w:autoSpaceDN w:val="0"/>
        <w:adjustRightInd w:val="0"/>
        <w:spacing w:line="360" w:lineRule="auto"/>
        <w:ind w:firstLine="600"/>
        <w:rPr>
          <w:rFonts w:ascii="宋体"/>
          <w:sz w:val="24"/>
        </w:rPr>
      </w:pPr>
    </w:p>
    <w:p>
      <w:pPr>
        <w:autoSpaceDE w:val="0"/>
        <w:autoSpaceDN w:val="0"/>
        <w:adjustRightInd w:val="0"/>
        <w:spacing w:line="360" w:lineRule="auto"/>
        <w:ind w:firstLine="600"/>
        <w:rPr>
          <w:rFonts w:ascii="宋体"/>
          <w:sz w:val="24"/>
        </w:rPr>
      </w:pPr>
    </w:p>
    <w:p>
      <w:pPr>
        <w:autoSpaceDE w:val="0"/>
        <w:autoSpaceDN w:val="0"/>
        <w:adjustRightInd w:val="0"/>
        <w:spacing w:line="360" w:lineRule="auto"/>
        <w:ind w:firstLine="600"/>
        <w:rPr>
          <w:rFonts w:ascii="宋体"/>
          <w:sz w:val="24"/>
        </w:rPr>
      </w:pPr>
    </w:p>
    <w:p>
      <w:pPr>
        <w:autoSpaceDE w:val="0"/>
        <w:autoSpaceDN w:val="0"/>
        <w:adjustRightInd w:val="0"/>
        <w:spacing w:line="360" w:lineRule="auto"/>
        <w:ind w:firstLine="600"/>
        <w:rPr>
          <w:rFonts w:ascii="宋体"/>
          <w:sz w:val="24"/>
        </w:rPr>
      </w:pPr>
    </w:p>
    <w:p/>
    <w:p>
      <w:pPr>
        <w:pStyle w:val="6"/>
        <w:spacing w:line="360" w:lineRule="auto"/>
        <w:ind w:firstLine="0"/>
        <w:rPr>
          <w:rFonts w:ascii="宋体"/>
          <w:b/>
          <w:bCs/>
          <w:kern w:val="2"/>
          <w:sz w:val="21"/>
          <w:szCs w:val="21"/>
        </w:rPr>
      </w:pPr>
      <w:r>
        <w:rPr>
          <w:rFonts w:ascii="宋体"/>
          <w:b/>
          <w:bCs/>
          <w:kern w:val="2"/>
          <w:sz w:val="21"/>
          <w:szCs w:val="21"/>
        </w:rPr>
        <w:t>5.</w:t>
      </w:r>
      <w:r>
        <w:rPr>
          <w:rFonts w:hint="eastAsia" w:ascii="宋体"/>
          <w:b/>
          <w:bCs/>
          <w:kern w:val="2"/>
          <w:sz w:val="21"/>
          <w:szCs w:val="21"/>
        </w:rPr>
        <w:t>关于资格的声明函</w:t>
      </w:r>
    </w:p>
    <w:p>
      <w:pPr>
        <w:spacing w:line="360" w:lineRule="auto"/>
        <w:rPr>
          <w:rFonts w:ascii="宋体"/>
          <w:sz w:val="24"/>
        </w:rPr>
      </w:pPr>
    </w:p>
    <w:p>
      <w:pPr>
        <w:spacing w:line="440" w:lineRule="exact"/>
        <w:ind w:firstLine="420" w:firstLineChars="200"/>
        <w:rPr>
          <w:rFonts w:ascii="宋体"/>
          <w:szCs w:val="21"/>
        </w:rPr>
      </w:pPr>
      <w:r>
        <w:rPr>
          <w:rFonts w:hint="eastAsia" w:ascii="宋体"/>
          <w:szCs w:val="21"/>
        </w:rPr>
        <w:t>致：</w:t>
      </w:r>
      <w:r>
        <w:rPr>
          <w:rFonts w:ascii="宋体"/>
          <w:szCs w:val="21"/>
        </w:rPr>
        <w:t>______</w:t>
      </w:r>
      <w:r>
        <w:rPr>
          <w:rFonts w:ascii="宋体"/>
          <w:szCs w:val="21"/>
          <w:u w:val="single"/>
        </w:rPr>
        <w:t>_     _</w:t>
      </w:r>
      <w:r>
        <w:rPr>
          <w:rFonts w:ascii="宋体"/>
          <w:szCs w:val="21"/>
        </w:rPr>
        <w:t>_</w:t>
      </w:r>
      <w:r>
        <w:rPr>
          <w:rFonts w:hint="eastAsia" w:ascii="宋体"/>
          <w:szCs w:val="21"/>
        </w:rPr>
        <w:t>：</w:t>
      </w:r>
      <w:r>
        <w:rPr>
          <w:rFonts w:hint="eastAsia"/>
          <w:b/>
          <w:szCs w:val="21"/>
        </w:rPr>
        <w:t>（采购方）</w:t>
      </w:r>
    </w:p>
    <w:p>
      <w:pPr>
        <w:spacing w:line="440" w:lineRule="exact"/>
        <w:ind w:firstLine="420" w:firstLineChars="200"/>
        <w:rPr>
          <w:rFonts w:ascii="宋体"/>
          <w:szCs w:val="21"/>
        </w:rPr>
      </w:pPr>
      <w:r>
        <w:rPr>
          <w:rFonts w:hint="eastAsia" w:ascii="宋体"/>
          <w:szCs w:val="21"/>
        </w:rPr>
        <w:t>关于贵方</w:t>
      </w:r>
      <w:r>
        <w:rPr>
          <w:rFonts w:ascii="宋体"/>
          <w:szCs w:val="21"/>
        </w:rPr>
        <w:t>______</w:t>
      </w:r>
      <w:r>
        <w:rPr>
          <w:rFonts w:ascii="宋体"/>
          <w:szCs w:val="21"/>
          <w:u w:val="single"/>
        </w:rPr>
        <w:t>_     _</w:t>
      </w:r>
      <w:r>
        <w:rPr>
          <w:rFonts w:ascii="宋体"/>
          <w:szCs w:val="21"/>
        </w:rPr>
        <w:t>_</w:t>
      </w:r>
      <w:r>
        <w:rPr>
          <w:rFonts w:hint="eastAsia" w:ascii="宋体"/>
          <w:szCs w:val="21"/>
        </w:rPr>
        <w:t>招标项目，本签字人愿意参加投标，提供招标文件规定的要求及服务，并证实提交的下列文件和说明是准确的和真实的：</w:t>
      </w:r>
    </w:p>
    <w:p>
      <w:pPr>
        <w:spacing w:line="440" w:lineRule="exact"/>
        <w:ind w:firstLine="420" w:firstLineChars="200"/>
        <w:rPr>
          <w:rFonts w:ascii="宋体"/>
          <w:szCs w:val="21"/>
        </w:rPr>
      </w:pPr>
      <w:r>
        <w:rPr>
          <w:rFonts w:ascii="宋体"/>
          <w:szCs w:val="21"/>
        </w:rPr>
        <w:t>1</w:t>
      </w:r>
      <w:r>
        <w:rPr>
          <w:rFonts w:hint="eastAsia" w:ascii="宋体"/>
          <w:szCs w:val="21"/>
        </w:rPr>
        <w:t>、投标人概况。</w:t>
      </w:r>
    </w:p>
    <w:p>
      <w:pPr>
        <w:spacing w:line="440" w:lineRule="exact"/>
        <w:ind w:firstLine="420" w:firstLineChars="200"/>
        <w:rPr>
          <w:rFonts w:ascii="宋体"/>
          <w:szCs w:val="21"/>
        </w:rPr>
      </w:pPr>
      <w:r>
        <w:rPr>
          <w:rFonts w:ascii="宋体"/>
          <w:szCs w:val="21"/>
        </w:rPr>
        <w:t>2</w:t>
      </w:r>
      <w:r>
        <w:rPr>
          <w:rFonts w:hint="eastAsia" w:ascii="宋体"/>
          <w:szCs w:val="21"/>
        </w:rPr>
        <w:t>、有效期内的事业单位法人证书副本复印件或企业法人营业执照副本复印件（加盖公章）。</w:t>
      </w:r>
    </w:p>
    <w:p>
      <w:pPr>
        <w:spacing w:line="440" w:lineRule="exact"/>
        <w:ind w:firstLine="420" w:firstLineChars="200"/>
        <w:rPr>
          <w:rFonts w:ascii="宋体"/>
          <w:szCs w:val="21"/>
        </w:rPr>
      </w:pPr>
      <w:r>
        <w:rPr>
          <w:rFonts w:ascii="宋体"/>
          <w:szCs w:val="21"/>
        </w:rPr>
        <w:t>4</w:t>
      </w:r>
      <w:r>
        <w:rPr>
          <w:rFonts w:hint="eastAsia" w:ascii="宋体"/>
          <w:szCs w:val="21"/>
        </w:rPr>
        <w:t>、招标文件要求的相关资格资质证明文件及附件资料复印件（加盖公章）。</w:t>
      </w:r>
    </w:p>
    <w:p>
      <w:pPr>
        <w:spacing w:line="440" w:lineRule="exact"/>
        <w:ind w:firstLine="420" w:firstLineChars="200"/>
        <w:rPr>
          <w:rFonts w:ascii="宋体"/>
          <w:szCs w:val="21"/>
        </w:rPr>
      </w:pPr>
      <w:r>
        <w:rPr>
          <w:rFonts w:ascii="宋体"/>
          <w:szCs w:val="21"/>
        </w:rPr>
        <w:t>5</w:t>
      </w:r>
      <w:r>
        <w:rPr>
          <w:rFonts w:hint="eastAsia" w:ascii="宋体"/>
          <w:szCs w:val="21"/>
        </w:rPr>
        <w:t>、投标人认为有必要提供的声明及文件资料。</w:t>
      </w:r>
    </w:p>
    <w:p>
      <w:pPr>
        <w:spacing w:line="440" w:lineRule="exact"/>
        <w:ind w:firstLine="420" w:firstLineChars="200"/>
        <w:rPr>
          <w:rFonts w:ascii="宋体"/>
          <w:szCs w:val="21"/>
        </w:rPr>
      </w:pPr>
      <w:r>
        <w:rPr>
          <w:rFonts w:ascii="宋体"/>
          <w:szCs w:val="21"/>
        </w:rPr>
        <w:t>N</w:t>
      </w:r>
      <w:r>
        <w:rPr>
          <w:rFonts w:hint="eastAsia" w:ascii="宋体"/>
          <w:szCs w:val="21"/>
        </w:rPr>
        <w:t>、……</w:t>
      </w:r>
    </w:p>
    <w:p>
      <w:pPr>
        <w:spacing w:line="440" w:lineRule="exact"/>
        <w:ind w:firstLine="422" w:firstLineChars="200"/>
        <w:rPr>
          <w:rFonts w:ascii="宋体"/>
          <w:b/>
          <w:bCs/>
          <w:szCs w:val="21"/>
        </w:rPr>
      </w:pPr>
    </w:p>
    <w:p>
      <w:pPr>
        <w:spacing w:line="440" w:lineRule="exact"/>
        <w:ind w:firstLine="422" w:firstLineChars="200"/>
        <w:rPr>
          <w:rFonts w:ascii="宋体"/>
          <w:b/>
          <w:szCs w:val="21"/>
        </w:rPr>
      </w:pPr>
    </w:p>
    <w:p>
      <w:pPr>
        <w:pStyle w:val="6"/>
        <w:spacing w:line="440" w:lineRule="exact"/>
        <w:ind w:firstLine="3150" w:firstLineChars="1500"/>
        <w:rPr>
          <w:rFonts w:ascii="宋体"/>
          <w:sz w:val="21"/>
          <w:szCs w:val="21"/>
        </w:rPr>
      </w:pPr>
      <w:r>
        <w:rPr>
          <w:rFonts w:hint="eastAsia" w:ascii="宋体"/>
          <w:sz w:val="21"/>
          <w:szCs w:val="21"/>
        </w:rPr>
        <w:t>投标人（盖公章）：</w:t>
      </w:r>
    </w:p>
    <w:p>
      <w:pPr>
        <w:pStyle w:val="6"/>
        <w:spacing w:line="440" w:lineRule="exact"/>
        <w:ind w:firstLineChars="200"/>
        <w:rPr>
          <w:rFonts w:ascii="宋体"/>
          <w:sz w:val="21"/>
          <w:szCs w:val="21"/>
        </w:rPr>
      </w:pPr>
    </w:p>
    <w:p>
      <w:pPr>
        <w:pStyle w:val="6"/>
        <w:spacing w:line="440" w:lineRule="exact"/>
        <w:ind w:firstLineChars="200"/>
        <w:rPr>
          <w:rFonts w:ascii="宋体"/>
          <w:sz w:val="21"/>
          <w:szCs w:val="21"/>
        </w:rPr>
      </w:pPr>
      <w:r>
        <w:rPr>
          <w:rFonts w:ascii="宋体"/>
          <w:sz w:val="21"/>
          <w:szCs w:val="21"/>
        </w:rPr>
        <w:t xml:space="preserve">                           </w:t>
      </w:r>
      <w:r>
        <w:rPr>
          <w:rFonts w:hint="eastAsia" w:ascii="宋体"/>
          <w:sz w:val="21"/>
          <w:szCs w:val="21"/>
        </w:rPr>
        <w:t>法定代表人</w:t>
      </w:r>
      <w:r>
        <w:rPr>
          <w:rFonts w:hint="eastAsia" w:ascii="宋体"/>
          <w:bCs/>
          <w:sz w:val="21"/>
          <w:szCs w:val="21"/>
        </w:rPr>
        <w:t>（或委托代理人）</w:t>
      </w:r>
      <w:r>
        <w:rPr>
          <w:rFonts w:hint="eastAsia" w:ascii="宋体"/>
          <w:sz w:val="21"/>
          <w:szCs w:val="21"/>
        </w:rPr>
        <w:t>（签字或盖章）：</w:t>
      </w:r>
    </w:p>
    <w:p>
      <w:pPr>
        <w:pStyle w:val="6"/>
        <w:spacing w:line="440" w:lineRule="exact"/>
        <w:ind w:firstLineChars="200"/>
        <w:rPr>
          <w:rFonts w:ascii="宋体"/>
          <w:sz w:val="21"/>
          <w:szCs w:val="21"/>
        </w:rPr>
      </w:pPr>
    </w:p>
    <w:p>
      <w:pPr>
        <w:pStyle w:val="6"/>
        <w:spacing w:line="440" w:lineRule="exact"/>
        <w:ind w:firstLineChars="200"/>
        <w:rPr>
          <w:rFonts w:ascii="宋体"/>
          <w:sz w:val="21"/>
          <w:szCs w:val="21"/>
        </w:rPr>
      </w:pPr>
      <w:r>
        <w:rPr>
          <w:rFonts w:ascii="宋体"/>
          <w:sz w:val="21"/>
          <w:szCs w:val="21"/>
        </w:rPr>
        <w:t xml:space="preserve">                                         </w:t>
      </w:r>
      <w:r>
        <w:rPr>
          <w:rFonts w:hint="eastAsia" w:ascii="宋体"/>
          <w:sz w:val="21"/>
          <w:szCs w:val="21"/>
        </w:rPr>
        <w:t>年</w:t>
      </w:r>
      <w:r>
        <w:rPr>
          <w:rFonts w:ascii="宋体"/>
          <w:sz w:val="21"/>
          <w:szCs w:val="21"/>
        </w:rPr>
        <w:t xml:space="preserve">   </w:t>
      </w:r>
      <w:r>
        <w:rPr>
          <w:rFonts w:hint="eastAsia" w:ascii="宋体"/>
          <w:sz w:val="21"/>
          <w:szCs w:val="21"/>
        </w:rPr>
        <w:t>月</w:t>
      </w:r>
      <w:r>
        <w:rPr>
          <w:rFonts w:ascii="宋体"/>
          <w:sz w:val="21"/>
          <w:szCs w:val="21"/>
        </w:rPr>
        <w:t xml:space="preserve">    </w:t>
      </w:r>
      <w:r>
        <w:rPr>
          <w:rFonts w:hint="eastAsia" w:ascii="宋体"/>
          <w:sz w:val="21"/>
          <w:szCs w:val="21"/>
        </w:rPr>
        <w:t>日</w:t>
      </w:r>
    </w:p>
    <w:p>
      <w:pPr>
        <w:pStyle w:val="6"/>
        <w:spacing w:line="360" w:lineRule="auto"/>
        <w:rPr>
          <w:rFonts w:ascii="宋体"/>
          <w:sz w:val="24"/>
          <w:szCs w:val="24"/>
        </w:rPr>
      </w:pPr>
    </w:p>
    <w:p>
      <w:pPr>
        <w:pStyle w:val="6"/>
        <w:spacing w:line="360" w:lineRule="auto"/>
        <w:rPr>
          <w:rFonts w:ascii="宋体"/>
          <w:sz w:val="24"/>
          <w:szCs w:val="24"/>
        </w:rPr>
      </w:pPr>
    </w:p>
    <w:p>
      <w:pPr>
        <w:pStyle w:val="6"/>
        <w:spacing w:line="360" w:lineRule="auto"/>
        <w:rPr>
          <w:rFonts w:ascii="宋体"/>
          <w:sz w:val="24"/>
          <w:szCs w:val="24"/>
        </w:rPr>
      </w:pPr>
    </w:p>
    <w:p>
      <w:pPr>
        <w:pStyle w:val="6"/>
        <w:spacing w:line="360" w:lineRule="auto"/>
        <w:rPr>
          <w:rFonts w:ascii="宋体"/>
          <w:sz w:val="24"/>
          <w:szCs w:val="24"/>
        </w:rPr>
      </w:pPr>
    </w:p>
    <w:p>
      <w:pPr>
        <w:pStyle w:val="6"/>
        <w:spacing w:line="360" w:lineRule="auto"/>
        <w:rPr>
          <w:rFonts w:ascii="宋体"/>
          <w:sz w:val="24"/>
          <w:szCs w:val="24"/>
        </w:rPr>
      </w:pPr>
    </w:p>
    <w:p>
      <w:pPr>
        <w:pStyle w:val="6"/>
        <w:spacing w:line="360" w:lineRule="auto"/>
        <w:rPr>
          <w:rFonts w:ascii="宋体"/>
          <w:sz w:val="24"/>
          <w:szCs w:val="24"/>
        </w:rPr>
      </w:pPr>
    </w:p>
    <w:p>
      <w:pPr>
        <w:pStyle w:val="6"/>
        <w:spacing w:line="360" w:lineRule="auto"/>
        <w:rPr>
          <w:rFonts w:ascii="宋体"/>
          <w:sz w:val="24"/>
          <w:szCs w:val="24"/>
        </w:rPr>
      </w:pPr>
    </w:p>
    <w:p>
      <w:pPr>
        <w:pStyle w:val="6"/>
        <w:spacing w:line="360" w:lineRule="auto"/>
        <w:rPr>
          <w:rFonts w:ascii="宋体"/>
          <w:sz w:val="24"/>
          <w:szCs w:val="24"/>
        </w:rPr>
      </w:pPr>
    </w:p>
    <w:p>
      <w:pPr>
        <w:pStyle w:val="6"/>
        <w:spacing w:line="360" w:lineRule="auto"/>
        <w:rPr>
          <w:rFonts w:ascii="宋体"/>
          <w:sz w:val="24"/>
          <w:szCs w:val="24"/>
        </w:rPr>
      </w:pPr>
    </w:p>
    <w:p>
      <w:pPr>
        <w:pStyle w:val="6"/>
        <w:spacing w:line="360" w:lineRule="auto"/>
        <w:rPr>
          <w:rFonts w:ascii="宋体"/>
          <w:sz w:val="24"/>
          <w:szCs w:val="24"/>
        </w:rPr>
      </w:pPr>
    </w:p>
    <w:p>
      <w:pPr>
        <w:pStyle w:val="6"/>
        <w:spacing w:line="360" w:lineRule="auto"/>
        <w:rPr>
          <w:rFonts w:ascii="宋体"/>
          <w:sz w:val="24"/>
          <w:szCs w:val="24"/>
        </w:rPr>
      </w:pPr>
    </w:p>
    <w:p>
      <w:pPr>
        <w:pStyle w:val="6"/>
        <w:spacing w:line="360" w:lineRule="auto"/>
        <w:rPr>
          <w:rFonts w:ascii="宋体"/>
          <w:sz w:val="24"/>
          <w:szCs w:val="24"/>
        </w:rPr>
      </w:pPr>
    </w:p>
    <w:p>
      <w:pPr>
        <w:pStyle w:val="6"/>
        <w:spacing w:line="360" w:lineRule="auto"/>
        <w:rPr>
          <w:rFonts w:ascii="宋体"/>
          <w:sz w:val="24"/>
          <w:szCs w:val="24"/>
        </w:rPr>
      </w:pPr>
    </w:p>
    <w:p>
      <w:pPr>
        <w:spacing w:line="360" w:lineRule="auto"/>
        <w:rPr>
          <w:rFonts w:ascii="宋体"/>
          <w:b/>
          <w:bCs/>
          <w:szCs w:val="21"/>
        </w:rPr>
      </w:pPr>
      <w:r>
        <w:rPr>
          <w:rFonts w:ascii="宋体"/>
          <w:b/>
          <w:bCs/>
          <w:szCs w:val="21"/>
        </w:rPr>
        <w:t xml:space="preserve">6. </w:t>
      </w:r>
      <w:r>
        <w:rPr>
          <w:rFonts w:hint="eastAsia" w:ascii="宋体"/>
          <w:b/>
          <w:bCs/>
          <w:szCs w:val="21"/>
        </w:rPr>
        <w:t>类似案例成功的业绩一览表</w:t>
      </w:r>
    </w:p>
    <w:p>
      <w:pPr>
        <w:pStyle w:val="71"/>
        <w:spacing w:line="360" w:lineRule="auto"/>
        <w:jc w:val="center"/>
        <w:rPr>
          <w:rFonts w:hAnsi="宋体" w:eastAsia="宋体"/>
          <w:b/>
          <w:sz w:val="24"/>
          <w:szCs w:val="24"/>
        </w:rPr>
      </w:pPr>
    </w:p>
    <w:p>
      <w:pPr>
        <w:pStyle w:val="71"/>
        <w:spacing w:line="360" w:lineRule="auto"/>
        <w:jc w:val="center"/>
        <w:outlineLvl w:val="0"/>
        <w:rPr>
          <w:rFonts w:hAnsi="宋体" w:eastAsia="宋体"/>
          <w:b/>
          <w:sz w:val="24"/>
          <w:szCs w:val="24"/>
        </w:rPr>
      </w:pPr>
      <w:bookmarkStart w:id="45" w:name="_Toc15783"/>
      <w:r>
        <w:rPr>
          <w:rFonts w:hint="eastAsia" w:hAnsi="宋体" w:eastAsia="宋体"/>
          <w:b/>
          <w:sz w:val="24"/>
          <w:szCs w:val="24"/>
        </w:rPr>
        <w:t>成功案例业绩一览表</w:t>
      </w:r>
      <w:bookmarkEnd w:id="45"/>
    </w:p>
    <w:tbl>
      <w:tblPr>
        <w:tblStyle w:val="29"/>
        <w:tblW w:w="9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330"/>
        <w:gridCol w:w="1511"/>
        <w:gridCol w:w="1259"/>
        <w:gridCol w:w="943"/>
        <w:gridCol w:w="818"/>
        <w:gridCol w:w="1331"/>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noWrap/>
            <w:vAlign w:val="center"/>
          </w:tcPr>
          <w:p>
            <w:pPr>
              <w:jc w:val="center"/>
              <w:rPr>
                <w:rFonts w:ascii="宋体"/>
                <w:b/>
                <w:szCs w:val="21"/>
              </w:rPr>
            </w:pPr>
            <w:r>
              <w:rPr>
                <w:rFonts w:hint="eastAsia" w:ascii="宋体" w:hAnsi="宋体"/>
                <w:b/>
                <w:szCs w:val="21"/>
              </w:rPr>
              <w:t>序号</w:t>
            </w:r>
          </w:p>
        </w:tc>
        <w:tc>
          <w:tcPr>
            <w:tcW w:w="1330" w:type="dxa"/>
            <w:noWrap/>
            <w:vAlign w:val="center"/>
          </w:tcPr>
          <w:p>
            <w:pPr>
              <w:jc w:val="center"/>
              <w:rPr>
                <w:rFonts w:ascii="宋体"/>
                <w:b/>
                <w:szCs w:val="21"/>
              </w:rPr>
            </w:pPr>
            <w:r>
              <w:rPr>
                <w:rFonts w:hint="eastAsia" w:ascii="宋体" w:hAnsi="宋体"/>
                <w:b/>
                <w:szCs w:val="21"/>
              </w:rPr>
              <w:t>采购人</w:t>
            </w:r>
            <w:r>
              <w:rPr>
                <w:rFonts w:ascii="宋体"/>
                <w:b/>
                <w:szCs w:val="21"/>
              </w:rPr>
              <w:br w:type="textWrapping"/>
            </w:r>
            <w:r>
              <w:rPr>
                <w:rFonts w:hint="eastAsia" w:ascii="宋体" w:hAnsi="宋体"/>
                <w:b/>
                <w:szCs w:val="21"/>
              </w:rPr>
              <w:t>名</w:t>
            </w:r>
            <w:r>
              <w:rPr>
                <w:rFonts w:ascii="宋体" w:hAnsi="宋体"/>
                <w:b/>
                <w:szCs w:val="21"/>
              </w:rPr>
              <w:t xml:space="preserve">   </w:t>
            </w:r>
            <w:r>
              <w:rPr>
                <w:rFonts w:hint="eastAsia" w:ascii="宋体" w:hAnsi="宋体"/>
                <w:b/>
                <w:szCs w:val="21"/>
              </w:rPr>
              <w:t>称</w:t>
            </w:r>
          </w:p>
        </w:tc>
        <w:tc>
          <w:tcPr>
            <w:tcW w:w="1511" w:type="dxa"/>
            <w:noWrap/>
            <w:vAlign w:val="center"/>
          </w:tcPr>
          <w:p>
            <w:pPr>
              <w:tabs>
                <w:tab w:val="left" w:pos="6252"/>
              </w:tabs>
              <w:spacing w:line="360" w:lineRule="auto"/>
              <w:jc w:val="center"/>
              <w:rPr>
                <w:rFonts w:ascii="宋体"/>
                <w:b/>
                <w:szCs w:val="21"/>
              </w:rPr>
            </w:pPr>
            <w:r>
              <w:rPr>
                <w:rFonts w:hint="eastAsia" w:ascii="宋体" w:hAnsi="宋体"/>
                <w:b/>
                <w:szCs w:val="21"/>
              </w:rPr>
              <w:t>项目起止时间</w:t>
            </w:r>
          </w:p>
        </w:tc>
        <w:tc>
          <w:tcPr>
            <w:tcW w:w="1259" w:type="dxa"/>
            <w:noWrap/>
            <w:vAlign w:val="center"/>
          </w:tcPr>
          <w:p>
            <w:pPr>
              <w:tabs>
                <w:tab w:val="left" w:pos="6252"/>
              </w:tabs>
              <w:spacing w:line="360" w:lineRule="auto"/>
              <w:jc w:val="center"/>
              <w:rPr>
                <w:rFonts w:ascii="宋体"/>
                <w:b/>
                <w:szCs w:val="21"/>
              </w:rPr>
            </w:pPr>
            <w:r>
              <w:rPr>
                <w:rFonts w:hint="eastAsia" w:ascii="宋体" w:hAnsi="宋体"/>
                <w:b/>
                <w:szCs w:val="21"/>
              </w:rPr>
              <w:t>项目名称</w:t>
            </w:r>
          </w:p>
        </w:tc>
        <w:tc>
          <w:tcPr>
            <w:tcW w:w="943" w:type="dxa"/>
            <w:noWrap/>
            <w:vAlign w:val="center"/>
          </w:tcPr>
          <w:p>
            <w:pPr>
              <w:tabs>
                <w:tab w:val="left" w:pos="6252"/>
              </w:tabs>
              <w:spacing w:line="360" w:lineRule="auto"/>
              <w:jc w:val="center"/>
              <w:rPr>
                <w:rFonts w:ascii="宋体"/>
                <w:b/>
                <w:szCs w:val="21"/>
              </w:rPr>
            </w:pPr>
            <w:r>
              <w:rPr>
                <w:rFonts w:hint="eastAsia" w:ascii="宋体" w:hAnsi="宋体"/>
                <w:b/>
                <w:szCs w:val="21"/>
              </w:rPr>
              <w:t>采购</w:t>
            </w:r>
            <w:r>
              <w:rPr>
                <w:rFonts w:ascii="宋体"/>
                <w:b/>
                <w:szCs w:val="21"/>
              </w:rPr>
              <w:br w:type="textWrapping"/>
            </w:r>
            <w:r>
              <w:rPr>
                <w:rFonts w:hint="eastAsia" w:ascii="宋体" w:hAnsi="宋体"/>
                <w:b/>
                <w:szCs w:val="21"/>
              </w:rPr>
              <w:t>数量</w:t>
            </w:r>
          </w:p>
        </w:tc>
        <w:tc>
          <w:tcPr>
            <w:tcW w:w="818" w:type="dxa"/>
            <w:noWrap/>
            <w:vAlign w:val="center"/>
          </w:tcPr>
          <w:p>
            <w:pPr>
              <w:tabs>
                <w:tab w:val="left" w:pos="6252"/>
              </w:tabs>
              <w:spacing w:line="360" w:lineRule="auto"/>
              <w:jc w:val="center"/>
              <w:rPr>
                <w:rFonts w:ascii="宋体"/>
                <w:b/>
                <w:szCs w:val="21"/>
              </w:rPr>
            </w:pPr>
            <w:r>
              <w:rPr>
                <w:rFonts w:hint="eastAsia" w:ascii="宋体" w:hAnsi="宋体"/>
                <w:b/>
                <w:szCs w:val="21"/>
              </w:rPr>
              <w:t>单价</w:t>
            </w:r>
          </w:p>
        </w:tc>
        <w:tc>
          <w:tcPr>
            <w:tcW w:w="1331" w:type="dxa"/>
            <w:noWrap/>
            <w:vAlign w:val="center"/>
          </w:tcPr>
          <w:p>
            <w:pPr>
              <w:tabs>
                <w:tab w:val="left" w:pos="6252"/>
              </w:tabs>
              <w:spacing w:line="360" w:lineRule="auto"/>
              <w:jc w:val="center"/>
              <w:rPr>
                <w:rFonts w:ascii="宋体"/>
                <w:b/>
                <w:szCs w:val="21"/>
              </w:rPr>
            </w:pPr>
            <w:r>
              <w:rPr>
                <w:rFonts w:hint="eastAsia" w:ascii="宋体" w:hAnsi="宋体"/>
                <w:b/>
                <w:szCs w:val="21"/>
              </w:rPr>
              <w:t>合同金额</w:t>
            </w:r>
          </w:p>
          <w:p>
            <w:pPr>
              <w:tabs>
                <w:tab w:val="left" w:pos="6252"/>
              </w:tabs>
              <w:spacing w:line="360" w:lineRule="auto"/>
              <w:jc w:val="center"/>
              <w:rPr>
                <w:rFonts w:ascii="宋体"/>
                <w:b/>
                <w:szCs w:val="21"/>
              </w:rPr>
            </w:pPr>
            <w:r>
              <w:rPr>
                <w:rFonts w:hint="eastAsia" w:ascii="宋体" w:hAnsi="宋体"/>
                <w:b/>
                <w:szCs w:val="21"/>
              </w:rPr>
              <w:t>（万元）</w:t>
            </w:r>
          </w:p>
        </w:tc>
        <w:tc>
          <w:tcPr>
            <w:tcW w:w="1563" w:type="dxa"/>
            <w:noWrap/>
            <w:vAlign w:val="center"/>
          </w:tcPr>
          <w:p>
            <w:pPr>
              <w:tabs>
                <w:tab w:val="left" w:pos="6252"/>
              </w:tabs>
              <w:spacing w:line="360" w:lineRule="auto"/>
              <w:jc w:val="center"/>
              <w:rPr>
                <w:rFonts w:ascii="宋体"/>
                <w:b/>
                <w:szCs w:val="21"/>
              </w:rPr>
            </w:pPr>
            <w:r>
              <w:rPr>
                <w:rFonts w:hint="eastAsia" w:ascii="宋体" w:hAnsi="宋体"/>
                <w:b/>
                <w:szCs w:val="21"/>
              </w:rPr>
              <w:t>采购人联系人及联系电话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41" w:type="dxa"/>
            <w:noWrap/>
            <w:vAlign w:val="center"/>
          </w:tcPr>
          <w:p>
            <w:pPr>
              <w:jc w:val="center"/>
              <w:rPr>
                <w:rFonts w:ascii="宋体"/>
                <w:szCs w:val="21"/>
              </w:rPr>
            </w:pPr>
            <w:r>
              <w:rPr>
                <w:rFonts w:ascii="宋体" w:hAnsi="宋体"/>
                <w:szCs w:val="21"/>
              </w:rPr>
              <w:t>1</w:t>
            </w:r>
          </w:p>
        </w:tc>
        <w:tc>
          <w:tcPr>
            <w:tcW w:w="1330" w:type="dxa"/>
            <w:noWrap/>
            <w:vAlign w:val="center"/>
          </w:tcPr>
          <w:p>
            <w:pPr>
              <w:jc w:val="center"/>
              <w:rPr>
                <w:rFonts w:ascii="宋体"/>
                <w:szCs w:val="21"/>
              </w:rPr>
            </w:pPr>
          </w:p>
        </w:tc>
        <w:tc>
          <w:tcPr>
            <w:tcW w:w="1511" w:type="dxa"/>
            <w:noWrap/>
          </w:tcPr>
          <w:p>
            <w:pPr>
              <w:jc w:val="center"/>
              <w:rPr>
                <w:rFonts w:ascii="宋体"/>
                <w:szCs w:val="21"/>
              </w:rPr>
            </w:pPr>
          </w:p>
        </w:tc>
        <w:tc>
          <w:tcPr>
            <w:tcW w:w="1259" w:type="dxa"/>
            <w:noWrap/>
          </w:tcPr>
          <w:p>
            <w:pPr>
              <w:jc w:val="center"/>
              <w:rPr>
                <w:rFonts w:ascii="宋体"/>
                <w:szCs w:val="21"/>
              </w:rPr>
            </w:pPr>
          </w:p>
        </w:tc>
        <w:tc>
          <w:tcPr>
            <w:tcW w:w="943" w:type="dxa"/>
            <w:noWrap/>
          </w:tcPr>
          <w:p>
            <w:pPr>
              <w:jc w:val="center"/>
              <w:rPr>
                <w:rFonts w:ascii="宋体"/>
                <w:szCs w:val="21"/>
              </w:rPr>
            </w:pPr>
          </w:p>
        </w:tc>
        <w:tc>
          <w:tcPr>
            <w:tcW w:w="818" w:type="dxa"/>
            <w:noWrap/>
          </w:tcPr>
          <w:p>
            <w:pPr>
              <w:jc w:val="center"/>
              <w:rPr>
                <w:rFonts w:ascii="宋体"/>
                <w:szCs w:val="21"/>
              </w:rPr>
            </w:pPr>
          </w:p>
        </w:tc>
        <w:tc>
          <w:tcPr>
            <w:tcW w:w="1331" w:type="dxa"/>
            <w:noWrap/>
            <w:vAlign w:val="center"/>
          </w:tcPr>
          <w:p>
            <w:pPr>
              <w:jc w:val="center"/>
              <w:rPr>
                <w:rFonts w:ascii="宋体"/>
                <w:szCs w:val="21"/>
              </w:rPr>
            </w:pPr>
          </w:p>
        </w:tc>
        <w:tc>
          <w:tcPr>
            <w:tcW w:w="1563" w:type="dxa"/>
            <w:noWrap/>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41" w:type="dxa"/>
            <w:noWrap/>
            <w:vAlign w:val="center"/>
          </w:tcPr>
          <w:p>
            <w:pPr>
              <w:jc w:val="center"/>
              <w:rPr>
                <w:rFonts w:ascii="宋体"/>
                <w:szCs w:val="21"/>
              </w:rPr>
            </w:pPr>
            <w:r>
              <w:rPr>
                <w:rFonts w:ascii="宋体" w:hAnsi="宋体"/>
                <w:szCs w:val="21"/>
              </w:rPr>
              <w:t>2</w:t>
            </w:r>
          </w:p>
        </w:tc>
        <w:tc>
          <w:tcPr>
            <w:tcW w:w="1330" w:type="dxa"/>
            <w:noWrap/>
            <w:vAlign w:val="center"/>
          </w:tcPr>
          <w:p>
            <w:pPr>
              <w:jc w:val="center"/>
              <w:rPr>
                <w:rFonts w:ascii="宋体"/>
                <w:szCs w:val="21"/>
              </w:rPr>
            </w:pPr>
          </w:p>
        </w:tc>
        <w:tc>
          <w:tcPr>
            <w:tcW w:w="1511" w:type="dxa"/>
            <w:noWrap/>
          </w:tcPr>
          <w:p>
            <w:pPr>
              <w:jc w:val="center"/>
              <w:rPr>
                <w:rFonts w:ascii="宋体"/>
                <w:szCs w:val="21"/>
              </w:rPr>
            </w:pPr>
          </w:p>
        </w:tc>
        <w:tc>
          <w:tcPr>
            <w:tcW w:w="1259" w:type="dxa"/>
            <w:noWrap/>
          </w:tcPr>
          <w:p>
            <w:pPr>
              <w:jc w:val="center"/>
              <w:rPr>
                <w:rFonts w:ascii="宋体"/>
                <w:szCs w:val="21"/>
              </w:rPr>
            </w:pPr>
          </w:p>
        </w:tc>
        <w:tc>
          <w:tcPr>
            <w:tcW w:w="943" w:type="dxa"/>
            <w:noWrap/>
          </w:tcPr>
          <w:p>
            <w:pPr>
              <w:jc w:val="center"/>
              <w:rPr>
                <w:rFonts w:ascii="宋体"/>
                <w:szCs w:val="21"/>
              </w:rPr>
            </w:pPr>
          </w:p>
        </w:tc>
        <w:tc>
          <w:tcPr>
            <w:tcW w:w="818" w:type="dxa"/>
            <w:noWrap/>
          </w:tcPr>
          <w:p>
            <w:pPr>
              <w:jc w:val="center"/>
              <w:rPr>
                <w:rFonts w:ascii="宋体"/>
                <w:szCs w:val="21"/>
              </w:rPr>
            </w:pPr>
          </w:p>
        </w:tc>
        <w:tc>
          <w:tcPr>
            <w:tcW w:w="1331" w:type="dxa"/>
            <w:noWrap/>
            <w:vAlign w:val="center"/>
          </w:tcPr>
          <w:p>
            <w:pPr>
              <w:jc w:val="center"/>
              <w:rPr>
                <w:rFonts w:ascii="宋体"/>
                <w:szCs w:val="21"/>
              </w:rPr>
            </w:pPr>
          </w:p>
        </w:tc>
        <w:tc>
          <w:tcPr>
            <w:tcW w:w="1563" w:type="dxa"/>
            <w:noWrap/>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noWrap/>
            <w:vAlign w:val="center"/>
          </w:tcPr>
          <w:p>
            <w:pPr>
              <w:jc w:val="center"/>
              <w:rPr>
                <w:rFonts w:ascii="宋体"/>
                <w:szCs w:val="21"/>
              </w:rPr>
            </w:pPr>
            <w:r>
              <w:rPr>
                <w:rFonts w:ascii="宋体" w:hAnsi="宋体"/>
                <w:szCs w:val="21"/>
              </w:rPr>
              <w:t>3</w:t>
            </w:r>
          </w:p>
        </w:tc>
        <w:tc>
          <w:tcPr>
            <w:tcW w:w="1330" w:type="dxa"/>
            <w:noWrap/>
            <w:vAlign w:val="center"/>
          </w:tcPr>
          <w:p>
            <w:pPr>
              <w:jc w:val="center"/>
              <w:rPr>
                <w:rFonts w:ascii="宋体"/>
                <w:szCs w:val="21"/>
              </w:rPr>
            </w:pPr>
          </w:p>
        </w:tc>
        <w:tc>
          <w:tcPr>
            <w:tcW w:w="1511" w:type="dxa"/>
            <w:noWrap/>
          </w:tcPr>
          <w:p>
            <w:pPr>
              <w:jc w:val="center"/>
              <w:rPr>
                <w:rFonts w:ascii="宋体"/>
                <w:szCs w:val="21"/>
              </w:rPr>
            </w:pPr>
          </w:p>
        </w:tc>
        <w:tc>
          <w:tcPr>
            <w:tcW w:w="1259" w:type="dxa"/>
            <w:noWrap/>
          </w:tcPr>
          <w:p>
            <w:pPr>
              <w:jc w:val="center"/>
              <w:rPr>
                <w:rFonts w:ascii="宋体"/>
                <w:szCs w:val="21"/>
              </w:rPr>
            </w:pPr>
          </w:p>
        </w:tc>
        <w:tc>
          <w:tcPr>
            <w:tcW w:w="943" w:type="dxa"/>
            <w:noWrap/>
          </w:tcPr>
          <w:p>
            <w:pPr>
              <w:jc w:val="center"/>
              <w:rPr>
                <w:rFonts w:ascii="宋体"/>
                <w:szCs w:val="21"/>
              </w:rPr>
            </w:pPr>
          </w:p>
        </w:tc>
        <w:tc>
          <w:tcPr>
            <w:tcW w:w="818" w:type="dxa"/>
            <w:noWrap/>
          </w:tcPr>
          <w:p>
            <w:pPr>
              <w:jc w:val="center"/>
              <w:rPr>
                <w:rFonts w:ascii="宋体"/>
                <w:szCs w:val="21"/>
              </w:rPr>
            </w:pPr>
          </w:p>
        </w:tc>
        <w:tc>
          <w:tcPr>
            <w:tcW w:w="1331" w:type="dxa"/>
            <w:noWrap/>
            <w:vAlign w:val="center"/>
          </w:tcPr>
          <w:p>
            <w:pPr>
              <w:jc w:val="center"/>
              <w:rPr>
                <w:rFonts w:ascii="宋体"/>
                <w:szCs w:val="21"/>
              </w:rPr>
            </w:pPr>
          </w:p>
        </w:tc>
        <w:tc>
          <w:tcPr>
            <w:tcW w:w="1563" w:type="dxa"/>
            <w:noWrap/>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41" w:type="dxa"/>
            <w:noWrap/>
            <w:vAlign w:val="center"/>
          </w:tcPr>
          <w:p>
            <w:pPr>
              <w:jc w:val="center"/>
              <w:rPr>
                <w:rFonts w:ascii="宋体"/>
                <w:szCs w:val="21"/>
              </w:rPr>
            </w:pPr>
            <w:r>
              <w:rPr>
                <w:rFonts w:hint="eastAsia" w:ascii="宋体" w:hAnsi="宋体"/>
                <w:szCs w:val="21"/>
              </w:rPr>
              <w:t>……</w:t>
            </w:r>
          </w:p>
        </w:tc>
        <w:tc>
          <w:tcPr>
            <w:tcW w:w="1330" w:type="dxa"/>
            <w:noWrap/>
            <w:vAlign w:val="center"/>
          </w:tcPr>
          <w:p>
            <w:pPr>
              <w:jc w:val="center"/>
              <w:rPr>
                <w:rFonts w:ascii="宋体"/>
                <w:szCs w:val="21"/>
              </w:rPr>
            </w:pPr>
          </w:p>
        </w:tc>
        <w:tc>
          <w:tcPr>
            <w:tcW w:w="1511" w:type="dxa"/>
            <w:noWrap/>
          </w:tcPr>
          <w:p>
            <w:pPr>
              <w:jc w:val="center"/>
              <w:rPr>
                <w:rFonts w:ascii="宋体"/>
                <w:szCs w:val="21"/>
              </w:rPr>
            </w:pPr>
          </w:p>
        </w:tc>
        <w:tc>
          <w:tcPr>
            <w:tcW w:w="1259" w:type="dxa"/>
            <w:noWrap/>
          </w:tcPr>
          <w:p>
            <w:pPr>
              <w:jc w:val="center"/>
              <w:rPr>
                <w:rFonts w:ascii="宋体"/>
                <w:szCs w:val="21"/>
              </w:rPr>
            </w:pPr>
          </w:p>
        </w:tc>
        <w:tc>
          <w:tcPr>
            <w:tcW w:w="943" w:type="dxa"/>
            <w:noWrap/>
          </w:tcPr>
          <w:p>
            <w:pPr>
              <w:jc w:val="center"/>
              <w:rPr>
                <w:rFonts w:ascii="宋体"/>
                <w:szCs w:val="21"/>
              </w:rPr>
            </w:pPr>
          </w:p>
        </w:tc>
        <w:tc>
          <w:tcPr>
            <w:tcW w:w="818" w:type="dxa"/>
            <w:noWrap/>
          </w:tcPr>
          <w:p>
            <w:pPr>
              <w:jc w:val="center"/>
              <w:rPr>
                <w:rFonts w:ascii="宋体"/>
                <w:szCs w:val="21"/>
              </w:rPr>
            </w:pPr>
          </w:p>
        </w:tc>
        <w:tc>
          <w:tcPr>
            <w:tcW w:w="1331" w:type="dxa"/>
            <w:noWrap/>
            <w:vAlign w:val="center"/>
          </w:tcPr>
          <w:p>
            <w:pPr>
              <w:jc w:val="center"/>
              <w:rPr>
                <w:rFonts w:ascii="宋体"/>
                <w:szCs w:val="21"/>
              </w:rPr>
            </w:pPr>
          </w:p>
        </w:tc>
        <w:tc>
          <w:tcPr>
            <w:tcW w:w="1563" w:type="dxa"/>
            <w:noWrap/>
            <w:vAlign w:val="center"/>
          </w:tcPr>
          <w:p>
            <w:pPr>
              <w:jc w:val="center"/>
              <w:rPr>
                <w:rFonts w:ascii="宋体"/>
                <w:szCs w:val="21"/>
              </w:rPr>
            </w:pPr>
          </w:p>
        </w:tc>
      </w:tr>
    </w:tbl>
    <w:p>
      <w:pPr>
        <w:spacing w:line="360" w:lineRule="auto"/>
        <w:ind w:left="168" w:leftChars="80" w:firstLine="420" w:firstLineChars="200"/>
        <w:rPr>
          <w:rFonts w:ascii="宋体"/>
          <w:szCs w:val="21"/>
        </w:rPr>
      </w:pPr>
    </w:p>
    <w:p>
      <w:pPr>
        <w:spacing w:line="360" w:lineRule="auto"/>
        <w:ind w:firstLine="703" w:firstLineChars="335"/>
        <w:rPr>
          <w:rFonts w:ascii="宋体"/>
          <w:szCs w:val="21"/>
        </w:rPr>
      </w:pPr>
      <w:r>
        <w:rPr>
          <w:rFonts w:hint="eastAsia" w:ascii="宋体"/>
          <w:szCs w:val="21"/>
        </w:rPr>
        <w:t>注：需提供</w:t>
      </w:r>
      <w:r>
        <w:rPr>
          <w:rFonts w:hint="eastAsia" w:ascii="宋体" w:hAnsi="宋体" w:cs="宋体"/>
        </w:rPr>
        <w:t>中标成交结果公告、中标通知书及合同扫描件</w:t>
      </w:r>
      <w:r>
        <w:rPr>
          <w:rFonts w:hint="eastAsia" w:ascii="宋体"/>
          <w:szCs w:val="21"/>
        </w:rPr>
        <w:t>（加盖公章）。</w:t>
      </w:r>
    </w:p>
    <w:p>
      <w:pPr>
        <w:spacing w:line="360" w:lineRule="auto"/>
        <w:ind w:firstLine="600"/>
        <w:rPr>
          <w:rFonts w:ascii="宋体"/>
          <w:szCs w:val="21"/>
        </w:rPr>
      </w:pPr>
    </w:p>
    <w:p>
      <w:pPr>
        <w:pStyle w:val="6"/>
        <w:spacing w:line="360" w:lineRule="auto"/>
        <w:ind w:firstLine="3990" w:firstLineChars="1900"/>
        <w:rPr>
          <w:rFonts w:ascii="宋体"/>
          <w:sz w:val="21"/>
          <w:szCs w:val="21"/>
        </w:rPr>
      </w:pPr>
    </w:p>
    <w:p>
      <w:pPr>
        <w:pStyle w:val="6"/>
        <w:spacing w:line="360" w:lineRule="auto"/>
        <w:ind w:firstLine="3990" w:firstLineChars="1900"/>
        <w:rPr>
          <w:rFonts w:ascii="宋体"/>
          <w:sz w:val="21"/>
          <w:szCs w:val="21"/>
        </w:rPr>
      </w:pPr>
    </w:p>
    <w:p>
      <w:pPr>
        <w:pStyle w:val="6"/>
        <w:spacing w:line="360" w:lineRule="auto"/>
        <w:ind w:firstLine="3990" w:firstLineChars="1900"/>
        <w:rPr>
          <w:rFonts w:ascii="宋体"/>
          <w:sz w:val="21"/>
          <w:szCs w:val="21"/>
        </w:rPr>
      </w:pPr>
    </w:p>
    <w:p>
      <w:pPr>
        <w:pStyle w:val="6"/>
        <w:spacing w:line="360" w:lineRule="auto"/>
        <w:ind w:firstLine="5145" w:firstLineChars="2450"/>
        <w:rPr>
          <w:rFonts w:ascii="宋体"/>
          <w:sz w:val="21"/>
          <w:szCs w:val="21"/>
        </w:rPr>
      </w:pPr>
      <w:r>
        <w:rPr>
          <w:rFonts w:hint="eastAsia" w:ascii="宋体"/>
          <w:sz w:val="21"/>
          <w:szCs w:val="21"/>
        </w:rPr>
        <w:t>投标人（加盖公章）：</w:t>
      </w:r>
    </w:p>
    <w:p>
      <w:pPr>
        <w:pStyle w:val="6"/>
        <w:spacing w:line="360" w:lineRule="auto"/>
        <w:rPr>
          <w:rFonts w:ascii="宋体"/>
          <w:sz w:val="21"/>
          <w:szCs w:val="21"/>
        </w:rPr>
      </w:pPr>
    </w:p>
    <w:p>
      <w:pPr>
        <w:spacing w:line="360" w:lineRule="auto"/>
        <w:jc w:val="right"/>
        <w:rPr>
          <w:rFonts w:ascii="宋体"/>
          <w:szCs w:val="21"/>
        </w:rPr>
      </w:pPr>
      <w:r>
        <w:rPr>
          <w:rFonts w:ascii="宋体"/>
          <w:szCs w:val="21"/>
        </w:rPr>
        <w:t xml:space="preserve"> </w:t>
      </w:r>
      <w:r>
        <w:rPr>
          <w:rFonts w:hint="eastAsia" w:ascii="宋体"/>
          <w:szCs w:val="21"/>
        </w:rPr>
        <w:t>法定代表人或全权代表（签字或盖章）：</w:t>
      </w:r>
    </w:p>
    <w:p>
      <w:pPr>
        <w:pStyle w:val="6"/>
        <w:spacing w:line="360" w:lineRule="auto"/>
        <w:rPr>
          <w:rFonts w:ascii="宋体"/>
          <w:sz w:val="21"/>
          <w:szCs w:val="21"/>
        </w:rPr>
      </w:pPr>
    </w:p>
    <w:p>
      <w:pPr>
        <w:pStyle w:val="6"/>
        <w:spacing w:line="360" w:lineRule="auto"/>
        <w:rPr>
          <w:rFonts w:ascii="宋体"/>
          <w:sz w:val="21"/>
          <w:szCs w:val="21"/>
        </w:rPr>
      </w:pPr>
      <w:r>
        <w:rPr>
          <w:rFonts w:ascii="宋体"/>
          <w:sz w:val="21"/>
          <w:szCs w:val="21"/>
        </w:rPr>
        <w:t xml:space="preserve">                                                </w:t>
      </w:r>
      <w:r>
        <w:rPr>
          <w:rFonts w:hint="eastAsia" w:ascii="宋体"/>
          <w:sz w:val="21"/>
          <w:szCs w:val="21"/>
        </w:rPr>
        <w:t>年</w:t>
      </w:r>
      <w:r>
        <w:rPr>
          <w:rFonts w:ascii="宋体"/>
          <w:sz w:val="21"/>
          <w:szCs w:val="21"/>
        </w:rPr>
        <w:t xml:space="preserve">   </w:t>
      </w:r>
      <w:r>
        <w:rPr>
          <w:rFonts w:hint="eastAsia" w:ascii="宋体"/>
          <w:sz w:val="21"/>
          <w:szCs w:val="21"/>
        </w:rPr>
        <w:t>月</w:t>
      </w:r>
      <w:r>
        <w:rPr>
          <w:rFonts w:ascii="宋体"/>
          <w:sz w:val="21"/>
          <w:szCs w:val="21"/>
        </w:rPr>
        <w:t xml:space="preserve">    </w:t>
      </w:r>
      <w:r>
        <w:rPr>
          <w:rFonts w:hint="eastAsia" w:ascii="宋体"/>
          <w:sz w:val="21"/>
          <w:szCs w:val="21"/>
        </w:rPr>
        <w:t>日</w:t>
      </w:r>
      <w:r>
        <w:rPr>
          <w:rFonts w:ascii="宋体"/>
          <w:sz w:val="21"/>
          <w:szCs w:val="21"/>
        </w:rPr>
        <w:t xml:space="preserve">      </w:t>
      </w:r>
    </w:p>
    <w:p>
      <w:pPr>
        <w:pStyle w:val="6"/>
        <w:spacing w:line="360" w:lineRule="auto"/>
        <w:rPr>
          <w:rFonts w:ascii="宋体"/>
          <w:sz w:val="24"/>
          <w:szCs w:val="24"/>
        </w:rPr>
      </w:pPr>
    </w:p>
    <w:p>
      <w:pPr>
        <w:pStyle w:val="6"/>
        <w:spacing w:line="360" w:lineRule="auto"/>
        <w:rPr>
          <w:rFonts w:ascii="宋体"/>
          <w:sz w:val="24"/>
          <w:szCs w:val="24"/>
        </w:rPr>
      </w:pPr>
    </w:p>
    <w:p>
      <w:pPr>
        <w:pStyle w:val="6"/>
        <w:spacing w:line="360" w:lineRule="auto"/>
        <w:rPr>
          <w:rFonts w:ascii="宋体"/>
          <w:sz w:val="24"/>
          <w:szCs w:val="24"/>
        </w:rPr>
      </w:pPr>
    </w:p>
    <w:p>
      <w:pPr>
        <w:pStyle w:val="6"/>
        <w:spacing w:line="360" w:lineRule="auto"/>
        <w:rPr>
          <w:rFonts w:ascii="宋体"/>
          <w:sz w:val="24"/>
          <w:szCs w:val="24"/>
        </w:rPr>
      </w:pPr>
    </w:p>
    <w:p>
      <w:pPr>
        <w:pStyle w:val="6"/>
        <w:spacing w:line="360" w:lineRule="auto"/>
        <w:rPr>
          <w:rFonts w:ascii="宋体"/>
          <w:sz w:val="24"/>
          <w:szCs w:val="24"/>
        </w:rPr>
      </w:pPr>
    </w:p>
    <w:p>
      <w:pPr>
        <w:pStyle w:val="6"/>
        <w:spacing w:line="360" w:lineRule="auto"/>
        <w:rPr>
          <w:rFonts w:ascii="宋体"/>
          <w:sz w:val="24"/>
          <w:szCs w:val="24"/>
        </w:rPr>
      </w:pPr>
    </w:p>
    <w:p>
      <w:pPr>
        <w:pStyle w:val="6"/>
        <w:spacing w:line="360" w:lineRule="auto"/>
        <w:rPr>
          <w:rFonts w:ascii="宋体"/>
          <w:sz w:val="24"/>
          <w:szCs w:val="24"/>
        </w:rPr>
      </w:pPr>
    </w:p>
    <w:p>
      <w:pPr>
        <w:pStyle w:val="6"/>
        <w:spacing w:line="360" w:lineRule="auto"/>
        <w:rPr>
          <w:rFonts w:ascii="宋体"/>
          <w:sz w:val="24"/>
          <w:szCs w:val="24"/>
        </w:rPr>
      </w:pPr>
    </w:p>
    <w:p>
      <w:pPr>
        <w:pStyle w:val="6"/>
        <w:spacing w:line="360" w:lineRule="auto"/>
        <w:rPr>
          <w:rFonts w:ascii="宋体"/>
          <w:sz w:val="24"/>
          <w:szCs w:val="24"/>
        </w:rPr>
      </w:pPr>
    </w:p>
    <w:p>
      <w:pPr>
        <w:pStyle w:val="71"/>
        <w:spacing w:line="360" w:lineRule="auto"/>
        <w:rPr>
          <w:rFonts w:hAnsi="宋体" w:eastAsia="宋体"/>
          <w:b/>
          <w:sz w:val="24"/>
          <w:szCs w:val="24"/>
        </w:rPr>
      </w:pPr>
      <w:r>
        <w:rPr>
          <w:rFonts w:hAnsi="宋体" w:eastAsia="宋体"/>
          <w:b/>
          <w:sz w:val="24"/>
          <w:szCs w:val="24"/>
        </w:rPr>
        <w:t>7.</w:t>
      </w:r>
      <w:r>
        <w:rPr>
          <w:rFonts w:hint="eastAsia" w:hAnsi="宋体" w:eastAsia="宋体"/>
          <w:b/>
          <w:sz w:val="24"/>
          <w:szCs w:val="24"/>
        </w:rPr>
        <w:t>商务响应表</w:t>
      </w:r>
    </w:p>
    <w:p>
      <w:pPr>
        <w:pStyle w:val="71"/>
        <w:spacing w:line="360" w:lineRule="auto"/>
        <w:jc w:val="center"/>
        <w:rPr>
          <w:rFonts w:hAnsi="宋体" w:eastAsia="宋体"/>
          <w:b/>
          <w:sz w:val="28"/>
          <w:szCs w:val="28"/>
        </w:rPr>
      </w:pPr>
      <w:r>
        <w:rPr>
          <w:rFonts w:hint="eastAsia" w:hAnsi="宋体" w:eastAsia="宋体"/>
          <w:b/>
          <w:sz w:val="28"/>
          <w:szCs w:val="28"/>
        </w:rPr>
        <w:t>商务响应表</w:t>
      </w:r>
    </w:p>
    <w:p>
      <w:pPr>
        <w:ind w:firstLine="210" w:firstLineChars="100"/>
        <w:rPr>
          <w:rFonts w:ascii="宋体"/>
          <w:szCs w:val="21"/>
        </w:rPr>
      </w:pPr>
      <w:r>
        <w:rPr>
          <w:rFonts w:hint="eastAsia" w:ascii="宋体" w:hAnsi="宋体"/>
          <w:szCs w:val="21"/>
        </w:rPr>
        <w:t>单位名称（盖章）：</w:t>
      </w:r>
    </w:p>
    <w:tbl>
      <w:tblPr>
        <w:tblStyle w:val="29"/>
        <w:tblW w:w="8022" w:type="dxa"/>
        <w:tblInd w:w="27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0"/>
        <w:gridCol w:w="3086"/>
        <w:gridCol w:w="2376"/>
        <w:gridCol w:w="16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tcBorders>
              <w:top w:val="single" w:color="auto" w:sz="12" w:space="0"/>
            </w:tcBorders>
            <w:noWrap/>
          </w:tcPr>
          <w:p>
            <w:pPr>
              <w:spacing w:before="240" w:after="240"/>
              <w:jc w:val="center"/>
              <w:rPr>
                <w:rFonts w:ascii="宋体"/>
                <w:szCs w:val="21"/>
              </w:rPr>
            </w:pPr>
            <w:r>
              <w:rPr>
                <w:rFonts w:hint="eastAsia" w:ascii="宋体" w:hAnsi="宋体"/>
                <w:szCs w:val="21"/>
              </w:rPr>
              <w:t>序号</w:t>
            </w:r>
          </w:p>
        </w:tc>
        <w:tc>
          <w:tcPr>
            <w:tcW w:w="3086" w:type="dxa"/>
            <w:tcBorders>
              <w:top w:val="single" w:color="auto" w:sz="12" w:space="0"/>
            </w:tcBorders>
            <w:noWrap/>
          </w:tcPr>
          <w:p>
            <w:pPr>
              <w:spacing w:before="240" w:after="240"/>
              <w:jc w:val="center"/>
              <w:rPr>
                <w:rFonts w:ascii="宋体"/>
                <w:szCs w:val="21"/>
              </w:rPr>
            </w:pPr>
            <w:r>
              <w:rPr>
                <w:rFonts w:hint="eastAsia" w:ascii="宋体" w:hAnsi="宋体"/>
                <w:szCs w:val="21"/>
              </w:rPr>
              <w:t>招标文件的规定</w:t>
            </w:r>
          </w:p>
        </w:tc>
        <w:tc>
          <w:tcPr>
            <w:tcW w:w="2376" w:type="dxa"/>
            <w:tcBorders>
              <w:top w:val="single" w:color="auto" w:sz="12" w:space="0"/>
            </w:tcBorders>
            <w:noWrap/>
          </w:tcPr>
          <w:p>
            <w:pPr>
              <w:spacing w:before="240" w:after="240"/>
              <w:jc w:val="center"/>
              <w:rPr>
                <w:rFonts w:ascii="宋体"/>
                <w:szCs w:val="21"/>
              </w:rPr>
            </w:pPr>
            <w:r>
              <w:rPr>
                <w:rFonts w:hint="eastAsia" w:ascii="宋体" w:hAnsi="宋体"/>
                <w:szCs w:val="21"/>
              </w:rPr>
              <w:t>投标文件的相应</w:t>
            </w:r>
          </w:p>
        </w:tc>
        <w:tc>
          <w:tcPr>
            <w:tcW w:w="1650" w:type="dxa"/>
            <w:tcBorders>
              <w:top w:val="single" w:color="auto" w:sz="12" w:space="0"/>
            </w:tcBorders>
            <w:noWrap/>
          </w:tcPr>
          <w:p>
            <w:pPr>
              <w:spacing w:before="240" w:after="240"/>
              <w:jc w:val="center"/>
              <w:rPr>
                <w:rFonts w:ascii="宋体"/>
                <w:szCs w:val="21"/>
              </w:rPr>
            </w:pPr>
            <w:r>
              <w:rPr>
                <w:rFonts w:hint="eastAsia" w:ascii="宋体" w:hAnsi="宋体"/>
                <w:szCs w:val="21"/>
              </w:rPr>
              <w:t>偏离说明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tcPr>
          <w:p>
            <w:pPr>
              <w:spacing w:before="240" w:after="240"/>
              <w:jc w:val="center"/>
              <w:rPr>
                <w:rFonts w:ascii="宋体"/>
                <w:szCs w:val="21"/>
              </w:rPr>
            </w:pPr>
          </w:p>
        </w:tc>
        <w:tc>
          <w:tcPr>
            <w:tcW w:w="3086" w:type="dxa"/>
            <w:noWrap/>
          </w:tcPr>
          <w:p>
            <w:pPr>
              <w:snapToGrid w:val="0"/>
              <w:spacing w:line="500" w:lineRule="atLeast"/>
              <w:jc w:val="center"/>
              <w:rPr>
                <w:szCs w:val="21"/>
              </w:rPr>
            </w:pPr>
          </w:p>
        </w:tc>
        <w:tc>
          <w:tcPr>
            <w:tcW w:w="2376" w:type="dxa"/>
            <w:noWrap/>
          </w:tcPr>
          <w:p>
            <w:pPr>
              <w:spacing w:before="240" w:after="240"/>
              <w:rPr>
                <w:rFonts w:ascii="宋体"/>
                <w:szCs w:val="21"/>
              </w:rPr>
            </w:pPr>
          </w:p>
        </w:tc>
        <w:tc>
          <w:tcPr>
            <w:tcW w:w="1650" w:type="dxa"/>
            <w:noWrap/>
          </w:tcPr>
          <w:p>
            <w:pPr>
              <w:spacing w:before="240" w:after="240"/>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tcPr>
          <w:p>
            <w:pPr>
              <w:spacing w:before="240" w:after="240"/>
              <w:rPr>
                <w:rFonts w:ascii="宋体"/>
                <w:szCs w:val="21"/>
              </w:rPr>
            </w:pPr>
          </w:p>
        </w:tc>
        <w:tc>
          <w:tcPr>
            <w:tcW w:w="3086" w:type="dxa"/>
            <w:noWrap/>
          </w:tcPr>
          <w:p>
            <w:pPr>
              <w:snapToGrid w:val="0"/>
              <w:spacing w:line="500" w:lineRule="atLeast"/>
              <w:jc w:val="center"/>
              <w:rPr>
                <w:szCs w:val="21"/>
              </w:rPr>
            </w:pPr>
          </w:p>
        </w:tc>
        <w:tc>
          <w:tcPr>
            <w:tcW w:w="2376" w:type="dxa"/>
            <w:noWrap/>
          </w:tcPr>
          <w:p>
            <w:pPr>
              <w:spacing w:before="240" w:after="240"/>
              <w:rPr>
                <w:rFonts w:ascii="宋体"/>
                <w:szCs w:val="21"/>
              </w:rPr>
            </w:pPr>
          </w:p>
        </w:tc>
        <w:tc>
          <w:tcPr>
            <w:tcW w:w="1650" w:type="dxa"/>
            <w:noWrap/>
          </w:tcPr>
          <w:p>
            <w:pPr>
              <w:spacing w:before="240" w:after="240"/>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tcBorders>
              <w:bottom w:val="single" w:color="auto" w:sz="12" w:space="0"/>
            </w:tcBorders>
            <w:noWrap/>
          </w:tcPr>
          <w:p>
            <w:pPr>
              <w:spacing w:before="240" w:after="240"/>
              <w:rPr>
                <w:rFonts w:ascii="宋体"/>
                <w:szCs w:val="21"/>
              </w:rPr>
            </w:pPr>
          </w:p>
        </w:tc>
        <w:tc>
          <w:tcPr>
            <w:tcW w:w="3086" w:type="dxa"/>
            <w:tcBorders>
              <w:bottom w:val="single" w:color="auto" w:sz="12" w:space="0"/>
            </w:tcBorders>
            <w:noWrap/>
          </w:tcPr>
          <w:p>
            <w:pPr>
              <w:spacing w:before="240" w:after="240"/>
              <w:rPr>
                <w:rFonts w:ascii="宋体"/>
                <w:szCs w:val="21"/>
              </w:rPr>
            </w:pPr>
          </w:p>
        </w:tc>
        <w:tc>
          <w:tcPr>
            <w:tcW w:w="2376" w:type="dxa"/>
            <w:tcBorders>
              <w:bottom w:val="single" w:color="auto" w:sz="12" w:space="0"/>
            </w:tcBorders>
            <w:noWrap/>
          </w:tcPr>
          <w:p>
            <w:pPr>
              <w:spacing w:before="240" w:after="240"/>
              <w:rPr>
                <w:rFonts w:ascii="宋体"/>
                <w:szCs w:val="21"/>
              </w:rPr>
            </w:pPr>
          </w:p>
        </w:tc>
        <w:tc>
          <w:tcPr>
            <w:tcW w:w="1650" w:type="dxa"/>
            <w:tcBorders>
              <w:bottom w:val="single" w:color="auto" w:sz="12" w:space="0"/>
            </w:tcBorders>
            <w:noWrap/>
          </w:tcPr>
          <w:p>
            <w:pPr>
              <w:spacing w:before="240" w:after="240"/>
              <w:rPr>
                <w:rFonts w:ascii="宋体"/>
                <w:szCs w:val="21"/>
              </w:rPr>
            </w:pPr>
          </w:p>
        </w:tc>
      </w:tr>
    </w:tbl>
    <w:p>
      <w:pPr>
        <w:spacing w:line="360" w:lineRule="auto"/>
        <w:rPr>
          <w:rFonts w:ascii="宋体"/>
          <w:b/>
          <w:szCs w:val="21"/>
        </w:rPr>
      </w:pPr>
      <w:r>
        <w:rPr>
          <w:rFonts w:hint="eastAsia" w:ascii="宋体" w:hAnsi="宋体"/>
          <w:b/>
          <w:szCs w:val="21"/>
        </w:rPr>
        <w:t>注：投标人的投标文件与招标文件之规定存在偏离的，应在此表中如实说明。未在上表中说明的，将被认为完全响应招标文件的规定。</w:t>
      </w:r>
    </w:p>
    <w:p>
      <w:pPr>
        <w:pStyle w:val="6"/>
        <w:spacing w:line="360" w:lineRule="auto"/>
        <w:ind w:firstLine="4830" w:firstLineChars="2300"/>
        <w:rPr>
          <w:rFonts w:ascii="宋体"/>
          <w:sz w:val="21"/>
          <w:szCs w:val="21"/>
        </w:rPr>
      </w:pPr>
    </w:p>
    <w:p>
      <w:pPr>
        <w:pStyle w:val="6"/>
        <w:spacing w:line="360" w:lineRule="auto"/>
        <w:ind w:firstLine="4830" w:firstLineChars="2300"/>
        <w:rPr>
          <w:rFonts w:ascii="宋体"/>
          <w:sz w:val="21"/>
          <w:szCs w:val="21"/>
        </w:rPr>
      </w:pPr>
    </w:p>
    <w:p>
      <w:pPr>
        <w:pStyle w:val="6"/>
        <w:spacing w:line="360" w:lineRule="auto"/>
        <w:ind w:firstLine="4830" w:firstLineChars="2300"/>
        <w:rPr>
          <w:rFonts w:ascii="宋体"/>
          <w:sz w:val="21"/>
          <w:szCs w:val="21"/>
        </w:rPr>
      </w:pPr>
      <w:r>
        <w:rPr>
          <w:rFonts w:hint="eastAsia" w:ascii="宋体"/>
          <w:sz w:val="21"/>
          <w:szCs w:val="21"/>
        </w:rPr>
        <w:t>投标人（盖公章）：</w:t>
      </w:r>
    </w:p>
    <w:p>
      <w:pPr>
        <w:pStyle w:val="6"/>
        <w:spacing w:line="360" w:lineRule="auto"/>
        <w:rPr>
          <w:rFonts w:ascii="宋体"/>
          <w:sz w:val="21"/>
          <w:szCs w:val="21"/>
        </w:rPr>
      </w:pPr>
      <w:r>
        <w:rPr>
          <w:rFonts w:ascii="宋体"/>
          <w:sz w:val="21"/>
          <w:szCs w:val="21"/>
        </w:rPr>
        <w:t xml:space="preserve">                                     </w:t>
      </w:r>
      <w:r>
        <w:rPr>
          <w:rFonts w:hint="eastAsia" w:ascii="宋体"/>
          <w:sz w:val="21"/>
          <w:szCs w:val="21"/>
        </w:rPr>
        <w:t>法定代表人</w:t>
      </w:r>
      <w:r>
        <w:rPr>
          <w:rFonts w:hint="eastAsia" w:ascii="宋体"/>
          <w:bCs/>
          <w:sz w:val="21"/>
          <w:szCs w:val="21"/>
        </w:rPr>
        <w:t>（或委托代理人）</w:t>
      </w:r>
      <w:r>
        <w:rPr>
          <w:rFonts w:hint="eastAsia" w:ascii="宋体"/>
          <w:sz w:val="21"/>
          <w:szCs w:val="21"/>
        </w:rPr>
        <w:t>（签字或盖章）：</w:t>
      </w:r>
    </w:p>
    <w:p>
      <w:pPr>
        <w:pStyle w:val="6"/>
        <w:spacing w:line="360" w:lineRule="auto"/>
        <w:rPr>
          <w:rFonts w:ascii="宋体"/>
          <w:sz w:val="21"/>
          <w:szCs w:val="21"/>
        </w:rPr>
      </w:pPr>
      <w:r>
        <w:rPr>
          <w:rFonts w:ascii="宋体"/>
          <w:sz w:val="21"/>
          <w:szCs w:val="21"/>
        </w:rPr>
        <w:t xml:space="preserve">                                          </w:t>
      </w:r>
      <w:r>
        <w:rPr>
          <w:rFonts w:hint="eastAsia" w:ascii="宋体"/>
          <w:sz w:val="21"/>
          <w:szCs w:val="21"/>
        </w:rPr>
        <w:t>年</w:t>
      </w:r>
      <w:r>
        <w:rPr>
          <w:rFonts w:ascii="宋体"/>
          <w:sz w:val="21"/>
          <w:szCs w:val="21"/>
        </w:rPr>
        <w:t xml:space="preserve">   </w:t>
      </w:r>
      <w:r>
        <w:rPr>
          <w:rFonts w:hint="eastAsia" w:ascii="宋体"/>
          <w:sz w:val="21"/>
          <w:szCs w:val="21"/>
        </w:rPr>
        <w:t>月</w:t>
      </w:r>
      <w:r>
        <w:rPr>
          <w:rFonts w:ascii="宋体"/>
          <w:sz w:val="21"/>
          <w:szCs w:val="21"/>
        </w:rPr>
        <w:t xml:space="preserve">    </w:t>
      </w:r>
      <w:r>
        <w:rPr>
          <w:rFonts w:hint="eastAsia" w:ascii="宋体"/>
          <w:sz w:val="21"/>
          <w:szCs w:val="21"/>
        </w:rPr>
        <w:t>日</w:t>
      </w:r>
    </w:p>
    <w:p>
      <w:pPr>
        <w:pStyle w:val="6"/>
        <w:spacing w:line="360" w:lineRule="auto"/>
        <w:rPr>
          <w:rFonts w:ascii="宋体"/>
          <w:sz w:val="24"/>
          <w:szCs w:val="24"/>
        </w:rPr>
      </w:pPr>
    </w:p>
    <w:p>
      <w:pPr>
        <w:pStyle w:val="15"/>
        <w:snapToGrid w:val="0"/>
        <w:spacing w:beforeLines="10" w:afterLines="10"/>
        <w:rPr>
          <w:sz w:val="24"/>
          <w:szCs w:val="24"/>
        </w:rPr>
      </w:pPr>
      <w:r>
        <w:rPr>
          <w:sz w:val="24"/>
          <w:szCs w:val="24"/>
        </w:rPr>
        <w:br w:type="page"/>
      </w:r>
    </w:p>
    <w:p>
      <w:pPr>
        <w:pStyle w:val="71"/>
        <w:spacing w:line="360" w:lineRule="auto"/>
        <w:rPr>
          <w:rFonts w:hAnsi="宋体" w:eastAsia="宋体"/>
          <w:sz w:val="24"/>
          <w:szCs w:val="24"/>
        </w:rPr>
      </w:pPr>
    </w:p>
    <w:p>
      <w:pPr>
        <w:pStyle w:val="6"/>
        <w:spacing w:line="360" w:lineRule="auto"/>
        <w:ind w:firstLine="0"/>
        <w:rPr>
          <w:rFonts w:ascii="宋体"/>
          <w:b/>
          <w:kern w:val="2"/>
          <w:sz w:val="24"/>
          <w:szCs w:val="24"/>
        </w:rPr>
      </w:pPr>
      <w:r>
        <w:rPr>
          <w:rFonts w:ascii="宋体" w:hAnsi="宋体"/>
          <w:b/>
          <w:kern w:val="2"/>
          <w:sz w:val="24"/>
          <w:szCs w:val="24"/>
        </w:rPr>
        <w:t>11.</w:t>
      </w:r>
      <w:r>
        <w:rPr>
          <w:rFonts w:hint="eastAsia" w:ascii="宋体" w:hAnsi="宋体"/>
          <w:b/>
          <w:kern w:val="2"/>
          <w:sz w:val="24"/>
          <w:szCs w:val="24"/>
        </w:rPr>
        <w:t>项目实施人员一览表</w:t>
      </w:r>
    </w:p>
    <w:p>
      <w:pPr>
        <w:spacing w:line="360" w:lineRule="auto"/>
        <w:rPr>
          <w:rFonts w:ascii="宋体"/>
          <w:b/>
          <w:sz w:val="32"/>
          <w:szCs w:val="32"/>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556"/>
        <w:gridCol w:w="1272"/>
        <w:gridCol w:w="1828"/>
        <w:gridCol w:w="1424"/>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tcPr>
          <w:p>
            <w:pPr>
              <w:spacing w:line="360" w:lineRule="auto"/>
              <w:jc w:val="center"/>
              <w:rPr>
                <w:rFonts w:ascii="宋体"/>
                <w:bCs/>
                <w:szCs w:val="21"/>
              </w:rPr>
            </w:pPr>
            <w:r>
              <w:rPr>
                <w:rFonts w:hint="eastAsia" w:ascii="宋体"/>
                <w:bCs/>
                <w:szCs w:val="21"/>
              </w:rPr>
              <w:t>序号</w:t>
            </w:r>
          </w:p>
        </w:tc>
        <w:tc>
          <w:tcPr>
            <w:tcW w:w="1556" w:type="dxa"/>
            <w:noWrap/>
          </w:tcPr>
          <w:p>
            <w:pPr>
              <w:spacing w:line="360" w:lineRule="auto"/>
              <w:jc w:val="center"/>
              <w:rPr>
                <w:rFonts w:ascii="宋体"/>
                <w:bCs/>
                <w:szCs w:val="21"/>
              </w:rPr>
            </w:pPr>
            <w:r>
              <w:rPr>
                <w:rFonts w:hint="eastAsia" w:ascii="宋体"/>
                <w:bCs/>
                <w:szCs w:val="21"/>
              </w:rPr>
              <w:t>项目职务</w:t>
            </w:r>
          </w:p>
        </w:tc>
        <w:tc>
          <w:tcPr>
            <w:tcW w:w="1272" w:type="dxa"/>
            <w:noWrap/>
          </w:tcPr>
          <w:p>
            <w:pPr>
              <w:spacing w:line="360" w:lineRule="auto"/>
              <w:jc w:val="center"/>
              <w:rPr>
                <w:rFonts w:ascii="宋体"/>
                <w:bCs/>
                <w:szCs w:val="21"/>
              </w:rPr>
            </w:pPr>
            <w:r>
              <w:rPr>
                <w:rFonts w:hint="eastAsia" w:ascii="宋体"/>
                <w:bCs/>
                <w:szCs w:val="21"/>
              </w:rPr>
              <w:t>姓名</w:t>
            </w:r>
          </w:p>
        </w:tc>
        <w:tc>
          <w:tcPr>
            <w:tcW w:w="1828" w:type="dxa"/>
            <w:noWrap/>
          </w:tcPr>
          <w:p>
            <w:pPr>
              <w:spacing w:line="360" w:lineRule="auto"/>
              <w:jc w:val="center"/>
              <w:rPr>
                <w:rFonts w:ascii="宋体"/>
                <w:bCs/>
                <w:szCs w:val="21"/>
              </w:rPr>
            </w:pPr>
            <w:r>
              <w:rPr>
                <w:rFonts w:hint="eastAsia" w:ascii="宋体"/>
                <w:bCs/>
                <w:szCs w:val="21"/>
              </w:rPr>
              <w:t>年龄</w:t>
            </w:r>
          </w:p>
        </w:tc>
        <w:tc>
          <w:tcPr>
            <w:tcW w:w="1424" w:type="dxa"/>
            <w:noWrap/>
          </w:tcPr>
          <w:p>
            <w:pPr>
              <w:spacing w:line="360" w:lineRule="auto"/>
              <w:jc w:val="center"/>
              <w:rPr>
                <w:rFonts w:ascii="宋体"/>
                <w:bCs/>
                <w:szCs w:val="21"/>
              </w:rPr>
            </w:pPr>
            <w:r>
              <w:rPr>
                <w:rFonts w:hint="eastAsia" w:ascii="宋体"/>
                <w:bCs/>
                <w:szCs w:val="21"/>
              </w:rPr>
              <w:t>专业</w:t>
            </w:r>
          </w:p>
        </w:tc>
        <w:tc>
          <w:tcPr>
            <w:tcW w:w="1506" w:type="dxa"/>
            <w:noWrap/>
          </w:tcPr>
          <w:p>
            <w:pPr>
              <w:spacing w:line="360" w:lineRule="auto"/>
              <w:jc w:val="center"/>
              <w:rPr>
                <w:rFonts w:ascii="宋体"/>
                <w:bCs/>
                <w:szCs w:val="21"/>
              </w:rPr>
            </w:pPr>
            <w:r>
              <w:rPr>
                <w:rFonts w:hint="eastAsia" w:ascii="宋体"/>
                <w:bCs/>
                <w:szCs w:val="21"/>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tcPr>
          <w:p>
            <w:pPr>
              <w:spacing w:line="360" w:lineRule="auto"/>
              <w:jc w:val="center"/>
              <w:rPr>
                <w:rFonts w:ascii="宋体"/>
                <w:bCs/>
                <w:szCs w:val="21"/>
              </w:rPr>
            </w:pPr>
            <w:r>
              <w:rPr>
                <w:rFonts w:ascii="宋体"/>
                <w:bCs/>
                <w:szCs w:val="21"/>
              </w:rPr>
              <w:t>1</w:t>
            </w:r>
          </w:p>
        </w:tc>
        <w:tc>
          <w:tcPr>
            <w:tcW w:w="1556" w:type="dxa"/>
            <w:noWrap/>
          </w:tcPr>
          <w:p>
            <w:pPr>
              <w:spacing w:line="360" w:lineRule="auto"/>
              <w:rPr>
                <w:rFonts w:ascii="宋体"/>
                <w:bCs/>
                <w:szCs w:val="21"/>
              </w:rPr>
            </w:pPr>
          </w:p>
        </w:tc>
        <w:tc>
          <w:tcPr>
            <w:tcW w:w="1272" w:type="dxa"/>
            <w:noWrap/>
          </w:tcPr>
          <w:p>
            <w:pPr>
              <w:spacing w:line="360" w:lineRule="auto"/>
              <w:rPr>
                <w:rFonts w:ascii="宋体"/>
                <w:bCs/>
                <w:szCs w:val="21"/>
              </w:rPr>
            </w:pPr>
          </w:p>
        </w:tc>
        <w:tc>
          <w:tcPr>
            <w:tcW w:w="1828" w:type="dxa"/>
            <w:noWrap/>
          </w:tcPr>
          <w:p>
            <w:pPr>
              <w:spacing w:line="360" w:lineRule="auto"/>
              <w:rPr>
                <w:rFonts w:ascii="宋体"/>
                <w:bCs/>
                <w:szCs w:val="21"/>
              </w:rPr>
            </w:pPr>
          </w:p>
        </w:tc>
        <w:tc>
          <w:tcPr>
            <w:tcW w:w="1424" w:type="dxa"/>
            <w:noWrap/>
          </w:tcPr>
          <w:p>
            <w:pPr>
              <w:spacing w:line="360" w:lineRule="auto"/>
              <w:rPr>
                <w:rFonts w:ascii="宋体"/>
                <w:bCs/>
                <w:szCs w:val="21"/>
              </w:rPr>
            </w:pPr>
          </w:p>
        </w:tc>
        <w:tc>
          <w:tcPr>
            <w:tcW w:w="1506" w:type="dxa"/>
            <w:noWrap/>
          </w:tcPr>
          <w:p>
            <w:pPr>
              <w:spacing w:line="360" w:lineRule="auto"/>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tcPr>
          <w:p>
            <w:pPr>
              <w:spacing w:line="360" w:lineRule="auto"/>
              <w:jc w:val="center"/>
              <w:rPr>
                <w:rFonts w:ascii="宋体"/>
                <w:bCs/>
                <w:szCs w:val="21"/>
              </w:rPr>
            </w:pPr>
            <w:r>
              <w:rPr>
                <w:rFonts w:ascii="宋体"/>
                <w:bCs/>
                <w:szCs w:val="21"/>
              </w:rPr>
              <w:t>2</w:t>
            </w:r>
          </w:p>
        </w:tc>
        <w:tc>
          <w:tcPr>
            <w:tcW w:w="1556" w:type="dxa"/>
            <w:noWrap/>
          </w:tcPr>
          <w:p>
            <w:pPr>
              <w:spacing w:line="360" w:lineRule="auto"/>
              <w:rPr>
                <w:rFonts w:ascii="宋体"/>
                <w:bCs/>
                <w:szCs w:val="21"/>
              </w:rPr>
            </w:pPr>
          </w:p>
        </w:tc>
        <w:tc>
          <w:tcPr>
            <w:tcW w:w="1272" w:type="dxa"/>
            <w:noWrap/>
          </w:tcPr>
          <w:p>
            <w:pPr>
              <w:spacing w:line="360" w:lineRule="auto"/>
              <w:rPr>
                <w:rFonts w:ascii="宋体"/>
                <w:bCs/>
                <w:szCs w:val="21"/>
              </w:rPr>
            </w:pPr>
          </w:p>
        </w:tc>
        <w:tc>
          <w:tcPr>
            <w:tcW w:w="1828" w:type="dxa"/>
            <w:noWrap/>
          </w:tcPr>
          <w:p>
            <w:pPr>
              <w:spacing w:line="360" w:lineRule="auto"/>
              <w:rPr>
                <w:rFonts w:ascii="宋体"/>
                <w:bCs/>
                <w:szCs w:val="21"/>
              </w:rPr>
            </w:pPr>
          </w:p>
        </w:tc>
        <w:tc>
          <w:tcPr>
            <w:tcW w:w="1424" w:type="dxa"/>
            <w:noWrap/>
          </w:tcPr>
          <w:p>
            <w:pPr>
              <w:spacing w:line="360" w:lineRule="auto"/>
              <w:rPr>
                <w:rFonts w:ascii="宋体"/>
                <w:bCs/>
                <w:szCs w:val="21"/>
              </w:rPr>
            </w:pPr>
          </w:p>
        </w:tc>
        <w:tc>
          <w:tcPr>
            <w:tcW w:w="1506" w:type="dxa"/>
            <w:noWrap/>
          </w:tcPr>
          <w:p>
            <w:pPr>
              <w:spacing w:line="360" w:lineRule="auto"/>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tcPr>
          <w:p>
            <w:pPr>
              <w:spacing w:line="360" w:lineRule="auto"/>
              <w:jc w:val="center"/>
              <w:rPr>
                <w:rFonts w:ascii="宋体"/>
                <w:bCs/>
                <w:szCs w:val="21"/>
              </w:rPr>
            </w:pPr>
            <w:r>
              <w:rPr>
                <w:rFonts w:hint="eastAsia" w:ascii="宋体"/>
                <w:bCs/>
                <w:szCs w:val="21"/>
              </w:rPr>
              <w:t>……</w:t>
            </w:r>
          </w:p>
        </w:tc>
        <w:tc>
          <w:tcPr>
            <w:tcW w:w="1556" w:type="dxa"/>
            <w:noWrap/>
          </w:tcPr>
          <w:p>
            <w:pPr>
              <w:spacing w:line="360" w:lineRule="auto"/>
              <w:jc w:val="center"/>
              <w:rPr>
                <w:rFonts w:ascii="宋体"/>
                <w:bCs/>
                <w:szCs w:val="21"/>
              </w:rPr>
            </w:pPr>
          </w:p>
        </w:tc>
        <w:tc>
          <w:tcPr>
            <w:tcW w:w="1272" w:type="dxa"/>
            <w:noWrap/>
          </w:tcPr>
          <w:p>
            <w:pPr>
              <w:spacing w:line="360" w:lineRule="auto"/>
              <w:jc w:val="center"/>
              <w:rPr>
                <w:rFonts w:ascii="宋体"/>
                <w:bCs/>
                <w:szCs w:val="21"/>
              </w:rPr>
            </w:pPr>
          </w:p>
        </w:tc>
        <w:tc>
          <w:tcPr>
            <w:tcW w:w="1828" w:type="dxa"/>
            <w:noWrap/>
          </w:tcPr>
          <w:p>
            <w:pPr>
              <w:spacing w:line="360" w:lineRule="auto"/>
              <w:jc w:val="center"/>
              <w:rPr>
                <w:rFonts w:ascii="宋体"/>
                <w:bCs/>
                <w:szCs w:val="21"/>
              </w:rPr>
            </w:pPr>
          </w:p>
        </w:tc>
        <w:tc>
          <w:tcPr>
            <w:tcW w:w="1424" w:type="dxa"/>
            <w:noWrap/>
          </w:tcPr>
          <w:p>
            <w:pPr>
              <w:spacing w:line="360" w:lineRule="auto"/>
              <w:jc w:val="center"/>
              <w:rPr>
                <w:rFonts w:ascii="宋体"/>
                <w:bCs/>
                <w:szCs w:val="21"/>
              </w:rPr>
            </w:pPr>
          </w:p>
        </w:tc>
        <w:tc>
          <w:tcPr>
            <w:tcW w:w="1506" w:type="dxa"/>
            <w:noWrap/>
          </w:tcPr>
          <w:p>
            <w:pPr>
              <w:spacing w:line="360" w:lineRule="auto"/>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tcPr>
          <w:p>
            <w:pPr>
              <w:spacing w:line="360" w:lineRule="auto"/>
              <w:rPr>
                <w:rFonts w:ascii="宋体"/>
                <w:b/>
                <w:bCs/>
                <w:szCs w:val="21"/>
              </w:rPr>
            </w:pPr>
          </w:p>
        </w:tc>
        <w:tc>
          <w:tcPr>
            <w:tcW w:w="1556" w:type="dxa"/>
            <w:noWrap/>
          </w:tcPr>
          <w:p>
            <w:pPr>
              <w:spacing w:line="360" w:lineRule="auto"/>
              <w:rPr>
                <w:rFonts w:ascii="宋体"/>
                <w:b/>
                <w:bCs/>
                <w:szCs w:val="21"/>
              </w:rPr>
            </w:pPr>
          </w:p>
        </w:tc>
        <w:tc>
          <w:tcPr>
            <w:tcW w:w="1272" w:type="dxa"/>
            <w:noWrap/>
          </w:tcPr>
          <w:p>
            <w:pPr>
              <w:spacing w:line="360" w:lineRule="auto"/>
              <w:rPr>
                <w:rFonts w:ascii="宋体"/>
                <w:b/>
                <w:bCs/>
                <w:szCs w:val="21"/>
              </w:rPr>
            </w:pPr>
          </w:p>
        </w:tc>
        <w:tc>
          <w:tcPr>
            <w:tcW w:w="1828" w:type="dxa"/>
            <w:noWrap/>
          </w:tcPr>
          <w:p>
            <w:pPr>
              <w:spacing w:line="360" w:lineRule="auto"/>
              <w:rPr>
                <w:rFonts w:ascii="宋体"/>
                <w:b/>
                <w:bCs/>
                <w:szCs w:val="21"/>
              </w:rPr>
            </w:pPr>
          </w:p>
        </w:tc>
        <w:tc>
          <w:tcPr>
            <w:tcW w:w="1424" w:type="dxa"/>
            <w:noWrap/>
          </w:tcPr>
          <w:p>
            <w:pPr>
              <w:spacing w:line="360" w:lineRule="auto"/>
              <w:rPr>
                <w:rFonts w:ascii="宋体"/>
                <w:b/>
                <w:bCs/>
                <w:szCs w:val="21"/>
              </w:rPr>
            </w:pPr>
          </w:p>
        </w:tc>
        <w:tc>
          <w:tcPr>
            <w:tcW w:w="1506" w:type="dxa"/>
            <w:noWrap/>
          </w:tcPr>
          <w:p>
            <w:pPr>
              <w:spacing w:line="360" w:lineRule="auto"/>
              <w:rPr>
                <w:rFonts w:asci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tcPr>
          <w:p>
            <w:pPr>
              <w:spacing w:line="360" w:lineRule="auto"/>
              <w:rPr>
                <w:rFonts w:ascii="宋体"/>
                <w:b/>
                <w:bCs/>
                <w:szCs w:val="21"/>
              </w:rPr>
            </w:pPr>
          </w:p>
        </w:tc>
        <w:tc>
          <w:tcPr>
            <w:tcW w:w="1556" w:type="dxa"/>
            <w:noWrap/>
          </w:tcPr>
          <w:p>
            <w:pPr>
              <w:spacing w:line="360" w:lineRule="auto"/>
              <w:rPr>
                <w:rFonts w:ascii="宋体"/>
                <w:b/>
                <w:bCs/>
                <w:szCs w:val="21"/>
              </w:rPr>
            </w:pPr>
          </w:p>
        </w:tc>
        <w:tc>
          <w:tcPr>
            <w:tcW w:w="1272" w:type="dxa"/>
            <w:noWrap/>
          </w:tcPr>
          <w:p>
            <w:pPr>
              <w:spacing w:line="360" w:lineRule="auto"/>
              <w:rPr>
                <w:rFonts w:ascii="宋体"/>
                <w:b/>
                <w:bCs/>
                <w:szCs w:val="21"/>
              </w:rPr>
            </w:pPr>
          </w:p>
        </w:tc>
        <w:tc>
          <w:tcPr>
            <w:tcW w:w="1828" w:type="dxa"/>
            <w:noWrap/>
          </w:tcPr>
          <w:p>
            <w:pPr>
              <w:spacing w:line="360" w:lineRule="auto"/>
              <w:rPr>
                <w:rFonts w:ascii="宋体"/>
                <w:b/>
                <w:bCs/>
                <w:szCs w:val="21"/>
              </w:rPr>
            </w:pPr>
          </w:p>
        </w:tc>
        <w:tc>
          <w:tcPr>
            <w:tcW w:w="1424" w:type="dxa"/>
            <w:noWrap/>
          </w:tcPr>
          <w:p>
            <w:pPr>
              <w:spacing w:line="360" w:lineRule="auto"/>
              <w:rPr>
                <w:rFonts w:ascii="宋体"/>
                <w:b/>
                <w:bCs/>
                <w:szCs w:val="21"/>
              </w:rPr>
            </w:pPr>
          </w:p>
        </w:tc>
        <w:tc>
          <w:tcPr>
            <w:tcW w:w="1506" w:type="dxa"/>
            <w:noWrap/>
          </w:tcPr>
          <w:p>
            <w:pPr>
              <w:spacing w:line="360" w:lineRule="auto"/>
              <w:rPr>
                <w:rFonts w:ascii="宋体"/>
                <w:b/>
                <w:bCs/>
                <w:szCs w:val="21"/>
              </w:rPr>
            </w:pPr>
          </w:p>
        </w:tc>
      </w:tr>
    </w:tbl>
    <w:p>
      <w:pPr>
        <w:spacing w:line="400" w:lineRule="exact"/>
        <w:rPr>
          <w:rFonts w:ascii="宋体"/>
          <w:szCs w:val="21"/>
        </w:rPr>
      </w:pPr>
      <w:r>
        <w:rPr>
          <w:rFonts w:hint="eastAsia" w:ascii="宋体" w:hAnsi="宋体"/>
          <w:szCs w:val="21"/>
        </w:rPr>
        <w:t>注：</w:t>
      </w:r>
      <w:r>
        <w:rPr>
          <w:rFonts w:ascii="宋体" w:hAnsi="宋体"/>
          <w:szCs w:val="21"/>
        </w:rPr>
        <w:t>1</w:t>
      </w:r>
      <w:r>
        <w:rPr>
          <w:rFonts w:hint="eastAsia" w:ascii="宋体" w:hAnsi="宋体"/>
          <w:szCs w:val="21"/>
        </w:rPr>
        <w:t>、“项目实施人员”指投标人针对该项目的施工、培训、售后服务等完成本项目所配备的人员。</w:t>
      </w:r>
    </w:p>
    <w:p>
      <w:pPr>
        <w:spacing w:line="400" w:lineRule="exact"/>
        <w:ind w:firstLine="420" w:firstLineChars="200"/>
        <w:rPr>
          <w:rFonts w:ascii="宋体"/>
          <w:szCs w:val="21"/>
        </w:rPr>
      </w:pPr>
      <w:r>
        <w:rPr>
          <w:rFonts w:ascii="宋体" w:hAnsi="宋体"/>
          <w:szCs w:val="21"/>
        </w:rPr>
        <w:t>2</w:t>
      </w:r>
      <w:r>
        <w:rPr>
          <w:rFonts w:hint="eastAsia" w:ascii="宋体" w:hAnsi="宋体"/>
          <w:szCs w:val="21"/>
        </w:rPr>
        <w:t>、附各专业人员简历及相关证明材料复印件或扫描件；</w:t>
      </w:r>
    </w:p>
    <w:p>
      <w:pPr>
        <w:spacing w:line="400" w:lineRule="exact"/>
        <w:ind w:firstLine="420" w:firstLineChars="200"/>
        <w:rPr>
          <w:rFonts w:ascii="宋体"/>
          <w:szCs w:val="21"/>
        </w:rPr>
      </w:pPr>
      <w:r>
        <w:rPr>
          <w:rFonts w:ascii="宋体" w:hAnsi="宋体"/>
          <w:szCs w:val="21"/>
        </w:rPr>
        <w:t>3</w:t>
      </w:r>
      <w:r>
        <w:rPr>
          <w:rFonts w:hint="eastAsia" w:ascii="宋体" w:hAnsi="宋体"/>
          <w:szCs w:val="21"/>
        </w:rPr>
        <w:t>、表格不够填写可添加。</w:t>
      </w:r>
    </w:p>
    <w:p>
      <w:pPr>
        <w:spacing w:line="360" w:lineRule="auto"/>
        <w:ind w:firstLine="420" w:firstLineChars="200"/>
        <w:jc w:val="left"/>
        <w:rPr>
          <w:rFonts w:ascii="宋体" w:cs="Arial"/>
          <w:szCs w:val="21"/>
        </w:rPr>
      </w:pPr>
    </w:p>
    <w:p>
      <w:pPr>
        <w:spacing w:line="360" w:lineRule="auto"/>
        <w:ind w:firstLine="1254" w:firstLineChars="595"/>
        <w:rPr>
          <w:rFonts w:ascii="宋体"/>
          <w:b/>
          <w:szCs w:val="21"/>
        </w:rPr>
      </w:pPr>
    </w:p>
    <w:p>
      <w:pPr>
        <w:spacing w:line="360" w:lineRule="auto"/>
        <w:ind w:firstLine="1254" w:firstLineChars="595"/>
        <w:rPr>
          <w:rFonts w:ascii="宋体"/>
          <w:b/>
          <w:szCs w:val="21"/>
        </w:rPr>
      </w:pPr>
    </w:p>
    <w:p>
      <w:pPr>
        <w:spacing w:line="360" w:lineRule="auto"/>
        <w:ind w:firstLine="1254" w:firstLineChars="595"/>
        <w:rPr>
          <w:rFonts w:ascii="宋体"/>
          <w:b/>
          <w:szCs w:val="21"/>
        </w:rPr>
      </w:pPr>
    </w:p>
    <w:p>
      <w:pPr>
        <w:pStyle w:val="6"/>
        <w:spacing w:line="360" w:lineRule="auto"/>
        <w:ind w:firstLine="4830" w:firstLineChars="2300"/>
        <w:rPr>
          <w:rFonts w:ascii="宋体"/>
          <w:sz w:val="21"/>
          <w:szCs w:val="21"/>
        </w:rPr>
      </w:pPr>
      <w:r>
        <w:rPr>
          <w:rFonts w:hint="eastAsia" w:ascii="宋体"/>
          <w:sz w:val="21"/>
          <w:szCs w:val="21"/>
        </w:rPr>
        <w:t>投标人（盖公章）：</w:t>
      </w:r>
    </w:p>
    <w:p>
      <w:pPr>
        <w:pStyle w:val="6"/>
        <w:spacing w:line="360" w:lineRule="auto"/>
        <w:rPr>
          <w:rFonts w:ascii="宋体"/>
          <w:sz w:val="21"/>
          <w:szCs w:val="21"/>
        </w:rPr>
      </w:pPr>
      <w:r>
        <w:rPr>
          <w:rFonts w:ascii="宋体"/>
          <w:sz w:val="21"/>
          <w:szCs w:val="21"/>
        </w:rPr>
        <w:t xml:space="preserve">                                     </w:t>
      </w:r>
      <w:r>
        <w:rPr>
          <w:rFonts w:hint="eastAsia" w:ascii="宋体"/>
          <w:sz w:val="21"/>
          <w:szCs w:val="21"/>
        </w:rPr>
        <w:t>法定代表人</w:t>
      </w:r>
      <w:r>
        <w:rPr>
          <w:rFonts w:hint="eastAsia" w:ascii="宋体"/>
          <w:bCs/>
          <w:sz w:val="21"/>
          <w:szCs w:val="21"/>
        </w:rPr>
        <w:t>（或委托代理人）</w:t>
      </w:r>
      <w:r>
        <w:rPr>
          <w:rFonts w:hint="eastAsia" w:ascii="宋体"/>
          <w:sz w:val="21"/>
          <w:szCs w:val="21"/>
        </w:rPr>
        <w:t>（签字或盖章）：</w:t>
      </w:r>
    </w:p>
    <w:p>
      <w:pPr>
        <w:pStyle w:val="6"/>
        <w:spacing w:line="360" w:lineRule="auto"/>
        <w:rPr>
          <w:rFonts w:ascii="宋体"/>
          <w:sz w:val="21"/>
          <w:szCs w:val="21"/>
        </w:rPr>
      </w:pPr>
      <w:r>
        <w:rPr>
          <w:rFonts w:ascii="宋体"/>
          <w:sz w:val="21"/>
          <w:szCs w:val="21"/>
        </w:rPr>
        <w:t xml:space="preserve">                                          </w:t>
      </w:r>
      <w:r>
        <w:rPr>
          <w:rFonts w:hint="eastAsia" w:ascii="宋体"/>
          <w:sz w:val="21"/>
          <w:szCs w:val="21"/>
        </w:rPr>
        <w:t>年</w:t>
      </w:r>
      <w:r>
        <w:rPr>
          <w:rFonts w:ascii="宋体"/>
          <w:sz w:val="21"/>
          <w:szCs w:val="21"/>
        </w:rPr>
        <w:t xml:space="preserve">   </w:t>
      </w:r>
      <w:r>
        <w:rPr>
          <w:rFonts w:hint="eastAsia" w:ascii="宋体"/>
          <w:sz w:val="21"/>
          <w:szCs w:val="21"/>
        </w:rPr>
        <w:t>月</w:t>
      </w:r>
      <w:r>
        <w:rPr>
          <w:rFonts w:ascii="宋体"/>
          <w:sz w:val="21"/>
          <w:szCs w:val="21"/>
        </w:rPr>
        <w:t xml:space="preserve">    </w:t>
      </w:r>
      <w:r>
        <w:rPr>
          <w:rFonts w:hint="eastAsia" w:ascii="宋体"/>
          <w:sz w:val="21"/>
          <w:szCs w:val="21"/>
        </w:rPr>
        <w:t>日</w:t>
      </w:r>
    </w:p>
    <w:p>
      <w:pPr>
        <w:spacing w:line="360" w:lineRule="auto"/>
        <w:rPr>
          <w:b/>
          <w:sz w:val="32"/>
          <w:szCs w:val="32"/>
        </w:rPr>
      </w:pPr>
    </w:p>
    <w:p>
      <w:pPr>
        <w:spacing w:line="360" w:lineRule="auto"/>
        <w:rPr>
          <w:b/>
          <w:sz w:val="32"/>
          <w:szCs w:val="32"/>
        </w:rPr>
      </w:pPr>
    </w:p>
    <w:p>
      <w:pPr>
        <w:spacing w:line="360" w:lineRule="auto"/>
        <w:rPr>
          <w:b/>
          <w:sz w:val="32"/>
          <w:szCs w:val="32"/>
        </w:rPr>
      </w:pPr>
    </w:p>
    <w:p>
      <w:pPr>
        <w:spacing w:line="360" w:lineRule="auto"/>
        <w:rPr>
          <w:b/>
          <w:sz w:val="32"/>
          <w:szCs w:val="32"/>
        </w:rPr>
      </w:pPr>
    </w:p>
    <w:p>
      <w:pPr>
        <w:spacing w:line="360" w:lineRule="auto"/>
        <w:rPr>
          <w:b/>
          <w:sz w:val="32"/>
          <w:szCs w:val="32"/>
        </w:rPr>
      </w:pPr>
    </w:p>
    <w:p>
      <w:pPr>
        <w:spacing w:line="360" w:lineRule="auto"/>
        <w:rPr>
          <w:b/>
          <w:sz w:val="32"/>
          <w:szCs w:val="32"/>
        </w:rPr>
      </w:pPr>
    </w:p>
    <w:p>
      <w:pPr>
        <w:spacing w:line="360" w:lineRule="auto"/>
        <w:rPr>
          <w:b/>
          <w:sz w:val="32"/>
          <w:szCs w:val="32"/>
        </w:rPr>
      </w:pPr>
    </w:p>
    <w:p>
      <w:pPr>
        <w:spacing w:line="360" w:lineRule="auto"/>
        <w:rPr>
          <w:b/>
          <w:sz w:val="32"/>
          <w:szCs w:val="32"/>
        </w:rPr>
      </w:pPr>
    </w:p>
    <w:p>
      <w:pPr>
        <w:spacing w:line="360" w:lineRule="auto"/>
        <w:rPr>
          <w:rFonts w:ascii="宋体"/>
          <w:b/>
          <w:bCs/>
          <w:sz w:val="28"/>
          <w:szCs w:val="28"/>
        </w:rPr>
      </w:pPr>
      <w:r>
        <w:rPr>
          <w:rFonts w:ascii="宋体"/>
          <w:b/>
          <w:bCs/>
          <w:sz w:val="28"/>
          <w:szCs w:val="28"/>
        </w:rPr>
        <w:t>12.</w:t>
      </w:r>
      <w:r>
        <w:rPr>
          <w:rFonts w:hint="eastAsia" w:ascii="宋体"/>
          <w:b/>
          <w:sz w:val="28"/>
          <w:szCs w:val="28"/>
        </w:rPr>
        <w:t>项目负责人情况介绍</w:t>
      </w:r>
    </w:p>
    <w:p>
      <w:pPr>
        <w:pStyle w:val="6"/>
        <w:spacing w:line="360" w:lineRule="auto"/>
        <w:ind w:firstLine="3800" w:firstLineChars="1900"/>
        <w:rPr>
          <w:rFonts w:ascii="宋体"/>
          <w:szCs w:val="21"/>
        </w:rPr>
      </w:pPr>
    </w:p>
    <w:p>
      <w:pPr>
        <w:pStyle w:val="6"/>
        <w:spacing w:line="360" w:lineRule="auto"/>
        <w:ind w:firstLine="0"/>
        <w:rPr>
          <w:rFonts w:ascii="宋体"/>
          <w:sz w:val="24"/>
          <w:szCs w:val="24"/>
        </w:rPr>
      </w:pPr>
      <w:r>
        <w:rPr>
          <w:rFonts w:hint="eastAsia" w:ascii="宋体"/>
          <w:sz w:val="24"/>
          <w:szCs w:val="24"/>
        </w:rPr>
        <w:t>本项目负责人……</w:t>
      </w:r>
      <w:r>
        <w:rPr>
          <w:rFonts w:ascii="宋体"/>
          <w:sz w:val="24"/>
          <w:szCs w:val="24"/>
        </w:rPr>
        <w:t>.</w:t>
      </w:r>
    </w:p>
    <w:p>
      <w:pPr>
        <w:tabs>
          <w:tab w:val="left" w:pos="1418"/>
        </w:tabs>
        <w:spacing w:line="400" w:lineRule="exact"/>
        <w:rPr>
          <w:rFonts w:ascii="宋体"/>
          <w:szCs w:val="21"/>
        </w:rPr>
      </w:pPr>
    </w:p>
    <w:p>
      <w:pPr>
        <w:tabs>
          <w:tab w:val="left" w:pos="1418"/>
        </w:tabs>
        <w:spacing w:line="400" w:lineRule="exact"/>
        <w:rPr>
          <w:rFonts w:ascii="宋体"/>
          <w:szCs w:val="21"/>
        </w:rPr>
      </w:pPr>
    </w:p>
    <w:p>
      <w:pPr>
        <w:tabs>
          <w:tab w:val="left" w:pos="1418"/>
        </w:tabs>
        <w:spacing w:line="400" w:lineRule="exact"/>
        <w:rPr>
          <w:rFonts w:ascii="宋体"/>
          <w:szCs w:val="21"/>
        </w:rPr>
      </w:pPr>
    </w:p>
    <w:p>
      <w:pPr>
        <w:tabs>
          <w:tab w:val="left" w:pos="1418"/>
        </w:tabs>
        <w:spacing w:line="400" w:lineRule="exact"/>
        <w:rPr>
          <w:rFonts w:ascii="宋体"/>
          <w:szCs w:val="21"/>
        </w:rPr>
      </w:pPr>
    </w:p>
    <w:p>
      <w:pPr>
        <w:pStyle w:val="6"/>
        <w:spacing w:line="360" w:lineRule="auto"/>
        <w:ind w:firstLine="4830" w:firstLineChars="2300"/>
        <w:rPr>
          <w:rFonts w:ascii="宋体"/>
          <w:sz w:val="21"/>
          <w:szCs w:val="21"/>
        </w:rPr>
      </w:pPr>
      <w:r>
        <w:rPr>
          <w:rFonts w:hint="eastAsia" w:ascii="宋体"/>
          <w:sz w:val="21"/>
          <w:szCs w:val="21"/>
        </w:rPr>
        <w:t>投标人（盖公章）：</w:t>
      </w:r>
    </w:p>
    <w:p>
      <w:pPr>
        <w:pStyle w:val="6"/>
        <w:spacing w:line="360" w:lineRule="auto"/>
        <w:rPr>
          <w:rFonts w:ascii="宋体"/>
          <w:sz w:val="21"/>
          <w:szCs w:val="21"/>
        </w:rPr>
      </w:pPr>
      <w:r>
        <w:rPr>
          <w:rFonts w:ascii="宋体"/>
          <w:sz w:val="21"/>
          <w:szCs w:val="21"/>
        </w:rPr>
        <w:t xml:space="preserve">                                     </w:t>
      </w:r>
      <w:r>
        <w:rPr>
          <w:rFonts w:hint="eastAsia" w:ascii="宋体"/>
          <w:sz w:val="21"/>
          <w:szCs w:val="21"/>
        </w:rPr>
        <w:t>法定代表人</w:t>
      </w:r>
      <w:r>
        <w:rPr>
          <w:rFonts w:hint="eastAsia" w:ascii="宋体"/>
          <w:bCs/>
          <w:sz w:val="21"/>
          <w:szCs w:val="21"/>
        </w:rPr>
        <w:t>（或委托代理人）</w:t>
      </w:r>
      <w:r>
        <w:rPr>
          <w:rFonts w:hint="eastAsia" w:ascii="宋体"/>
          <w:sz w:val="21"/>
          <w:szCs w:val="21"/>
        </w:rPr>
        <w:t>（签字或盖章）：</w:t>
      </w:r>
    </w:p>
    <w:p>
      <w:pPr>
        <w:pStyle w:val="6"/>
        <w:spacing w:line="360" w:lineRule="auto"/>
        <w:rPr>
          <w:rFonts w:ascii="宋体"/>
          <w:sz w:val="21"/>
          <w:szCs w:val="21"/>
        </w:rPr>
      </w:pPr>
      <w:r>
        <w:rPr>
          <w:rFonts w:ascii="宋体"/>
          <w:sz w:val="21"/>
          <w:szCs w:val="21"/>
        </w:rPr>
        <w:t xml:space="preserve">                                          </w:t>
      </w:r>
      <w:r>
        <w:rPr>
          <w:rFonts w:hint="eastAsia" w:ascii="宋体"/>
          <w:sz w:val="21"/>
          <w:szCs w:val="21"/>
        </w:rPr>
        <w:t>年</w:t>
      </w:r>
      <w:r>
        <w:rPr>
          <w:rFonts w:ascii="宋体"/>
          <w:sz w:val="21"/>
          <w:szCs w:val="21"/>
        </w:rPr>
        <w:t xml:space="preserve">   </w:t>
      </w:r>
      <w:r>
        <w:rPr>
          <w:rFonts w:hint="eastAsia" w:ascii="宋体"/>
          <w:sz w:val="21"/>
          <w:szCs w:val="21"/>
        </w:rPr>
        <w:t>月</w:t>
      </w:r>
      <w:r>
        <w:rPr>
          <w:rFonts w:ascii="宋体"/>
          <w:sz w:val="21"/>
          <w:szCs w:val="21"/>
        </w:rPr>
        <w:t xml:space="preserve">    </w:t>
      </w:r>
      <w:r>
        <w:rPr>
          <w:rFonts w:hint="eastAsia" w:ascii="宋体"/>
          <w:sz w:val="21"/>
          <w:szCs w:val="21"/>
        </w:rPr>
        <w:t>日</w:t>
      </w: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napToGrid w:val="0"/>
        <w:spacing w:before="50" w:afterLines="50" w:line="400" w:lineRule="exact"/>
        <w:jc w:val="left"/>
        <w:rPr>
          <w:rFonts w:ascii="宋体"/>
          <w:b/>
          <w:sz w:val="24"/>
        </w:rPr>
      </w:pPr>
      <w:r>
        <w:rPr>
          <w:rFonts w:ascii="宋体" w:hAnsi="宋体"/>
          <w:b/>
          <w:sz w:val="24"/>
        </w:rPr>
        <w:t>13.</w:t>
      </w:r>
      <w:r>
        <w:rPr>
          <w:rFonts w:hint="eastAsia" w:ascii="宋体" w:hAnsi="宋体"/>
          <w:b/>
          <w:sz w:val="24"/>
        </w:rPr>
        <w:t>拟投入设备一览表</w:t>
      </w:r>
    </w:p>
    <w:p>
      <w:pPr>
        <w:pStyle w:val="6"/>
        <w:overflowPunct w:val="0"/>
        <w:spacing w:line="400" w:lineRule="exact"/>
        <w:ind w:firstLine="0"/>
        <w:jc w:val="center"/>
        <w:outlineLvl w:val="0"/>
        <w:rPr>
          <w:rFonts w:ascii="宋体"/>
          <w:b/>
          <w:sz w:val="24"/>
          <w:szCs w:val="24"/>
        </w:rPr>
      </w:pPr>
      <w:bookmarkStart w:id="46" w:name="_Toc5972"/>
      <w:r>
        <w:rPr>
          <w:rFonts w:hint="eastAsia" w:ascii="宋体" w:hAnsi="宋体"/>
          <w:b/>
          <w:sz w:val="24"/>
          <w:szCs w:val="24"/>
        </w:rPr>
        <w:t>拟投入设备一览表</w:t>
      </w:r>
      <w:bookmarkEnd w:id="46"/>
    </w:p>
    <w:p>
      <w:pPr>
        <w:pStyle w:val="6"/>
        <w:overflowPunct w:val="0"/>
        <w:spacing w:line="400" w:lineRule="exact"/>
        <w:ind w:firstLine="0"/>
        <w:rPr>
          <w:rFonts w:ascii="宋体"/>
          <w:b/>
          <w:szCs w:val="21"/>
        </w:rPr>
      </w:pPr>
    </w:p>
    <w:tbl>
      <w:tblPr>
        <w:tblStyle w:val="29"/>
        <w:tblW w:w="888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38"/>
        <w:gridCol w:w="2022"/>
        <w:gridCol w:w="1348"/>
        <w:gridCol w:w="1348"/>
        <w:gridCol w:w="756"/>
        <w:gridCol w:w="756"/>
        <w:gridCol w:w="181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838" w:type="dxa"/>
            <w:vAlign w:val="center"/>
          </w:tcPr>
          <w:p>
            <w:pPr>
              <w:pStyle w:val="15"/>
              <w:spacing w:before="120" w:after="120"/>
              <w:jc w:val="center"/>
              <w:rPr>
                <w:rFonts w:hAnsi="宋体"/>
                <w:sz w:val="21"/>
                <w:szCs w:val="21"/>
              </w:rPr>
            </w:pPr>
            <w:r>
              <w:rPr>
                <w:rFonts w:hint="eastAsia" w:hAnsi="宋体"/>
                <w:sz w:val="21"/>
                <w:szCs w:val="21"/>
              </w:rPr>
              <w:t>序号</w:t>
            </w:r>
          </w:p>
        </w:tc>
        <w:tc>
          <w:tcPr>
            <w:tcW w:w="2022" w:type="dxa"/>
            <w:vAlign w:val="center"/>
          </w:tcPr>
          <w:p>
            <w:pPr>
              <w:pStyle w:val="15"/>
              <w:spacing w:before="120" w:after="120"/>
              <w:jc w:val="center"/>
              <w:rPr>
                <w:rFonts w:hAnsi="宋体"/>
                <w:sz w:val="21"/>
                <w:szCs w:val="21"/>
              </w:rPr>
            </w:pPr>
            <w:r>
              <w:rPr>
                <w:rFonts w:hint="eastAsia" w:hAnsi="宋体"/>
                <w:sz w:val="21"/>
                <w:szCs w:val="21"/>
              </w:rPr>
              <w:t>名称</w:t>
            </w:r>
          </w:p>
        </w:tc>
        <w:tc>
          <w:tcPr>
            <w:tcW w:w="1348" w:type="dxa"/>
            <w:vAlign w:val="center"/>
          </w:tcPr>
          <w:p>
            <w:pPr>
              <w:pStyle w:val="15"/>
              <w:spacing w:before="120" w:after="120"/>
              <w:jc w:val="center"/>
              <w:rPr>
                <w:rFonts w:hAnsi="宋体"/>
                <w:sz w:val="21"/>
                <w:szCs w:val="21"/>
              </w:rPr>
            </w:pPr>
            <w:r>
              <w:rPr>
                <w:rFonts w:hint="eastAsia" w:hAnsi="宋体"/>
                <w:sz w:val="21"/>
                <w:szCs w:val="21"/>
              </w:rPr>
              <w:t>品牌</w:t>
            </w:r>
          </w:p>
        </w:tc>
        <w:tc>
          <w:tcPr>
            <w:tcW w:w="1348" w:type="dxa"/>
            <w:tcBorders>
              <w:bottom w:val="single" w:color="auto" w:sz="4" w:space="0"/>
            </w:tcBorders>
            <w:vAlign w:val="center"/>
          </w:tcPr>
          <w:p>
            <w:pPr>
              <w:pStyle w:val="15"/>
              <w:spacing w:before="120" w:after="120"/>
              <w:jc w:val="center"/>
              <w:rPr>
                <w:rFonts w:hAnsi="宋体"/>
                <w:sz w:val="21"/>
                <w:szCs w:val="21"/>
              </w:rPr>
            </w:pPr>
            <w:r>
              <w:rPr>
                <w:rFonts w:hint="eastAsia" w:hAnsi="宋体"/>
                <w:sz w:val="21"/>
                <w:szCs w:val="21"/>
              </w:rPr>
              <w:t>型号、规格</w:t>
            </w:r>
          </w:p>
        </w:tc>
        <w:tc>
          <w:tcPr>
            <w:tcW w:w="756" w:type="dxa"/>
            <w:tcBorders>
              <w:right w:val="single" w:color="auto" w:sz="4" w:space="0"/>
            </w:tcBorders>
            <w:vAlign w:val="center"/>
          </w:tcPr>
          <w:p>
            <w:pPr>
              <w:pStyle w:val="15"/>
              <w:spacing w:before="120" w:after="120"/>
              <w:jc w:val="center"/>
              <w:rPr>
                <w:rFonts w:hAnsi="宋体"/>
                <w:sz w:val="21"/>
                <w:szCs w:val="21"/>
              </w:rPr>
            </w:pPr>
            <w:r>
              <w:rPr>
                <w:rFonts w:hint="eastAsia" w:hAnsi="宋体"/>
                <w:sz w:val="21"/>
                <w:szCs w:val="21"/>
              </w:rPr>
              <w:t>单位</w:t>
            </w:r>
          </w:p>
        </w:tc>
        <w:tc>
          <w:tcPr>
            <w:tcW w:w="756" w:type="dxa"/>
            <w:tcBorders>
              <w:left w:val="single" w:color="auto" w:sz="4" w:space="0"/>
            </w:tcBorders>
            <w:vAlign w:val="center"/>
          </w:tcPr>
          <w:p>
            <w:pPr>
              <w:pStyle w:val="15"/>
              <w:spacing w:before="120" w:after="120"/>
              <w:jc w:val="center"/>
              <w:rPr>
                <w:rFonts w:hAnsi="宋体"/>
                <w:sz w:val="21"/>
                <w:szCs w:val="21"/>
              </w:rPr>
            </w:pPr>
            <w:r>
              <w:rPr>
                <w:rFonts w:hint="eastAsia" w:hAnsi="宋体"/>
                <w:sz w:val="21"/>
                <w:szCs w:val="21"/>
              </w:rPr>
              <w:t>数量</w:t>
            </w:r>
          </w:p>
        </w:tc>
        <w:tc>
          <w:tcPr>
            <w:tcW w:w="1812" w:type="dxa"/>
            <w:vAlign w:val="center"/>
          </w:tcPr>
          <w:p>
            <w:pPr>
              <w:pStyle w:val="15"/>
              <w:spacing w:before="120" w:after="120"/>
              <w:jc w:val="center"/>
              <w:rPr>
                <w:rFonts w:hAnsi="宋体"/>
                <w:sz w:val="21"/>
                <w:szCs w:val="21"/>
              </w:rPr>
            </w:pPr>
            <w:r>
              <w:rPr>
                <w:rFonts w:hint="eastAsia" w:hAnsi="宋体"/>
                <w:sz w:val="21"/>
                <w:szCs w:val="21"/>
              </w:rPr>
              <w:t>设备性质</w:t>
            </w:r>
          </w:p>
          <w:p>
            <w:pPr>
              <w:pStyle w:val="15"/>
              <w:spacing w:before="120" w:after="120"/>
              <w:jc w:val="center"/>
              <w:rPr>
                <w:rFonts w:hAnsi="宋体"/>
                <w:sz w:val="21"/>
                <w:szCs w:val="21"/>
              </w:rPr>
            </w:pPr>
            <w:r>
              <w:rPr>
                <w:rFonts w:hint="eastAsia" w:hAnsi="宋体"/>
                <w:sz w:val="21"/>
                <w:szCs w:val="21"/>
              </w:rPr>
              <w:t>（自有</w:t>
            </w:r>
            <w:r>
              <w:rPr>
                <w:rFonts w:hAnsi="宋体"/>
                <w:sz w:val="21"/>
                <w:szCs w:val="21"/>
              </w:rPr>
              <w:t>/</w:t>
            </w:r>
            <w:r>
              <w:rPr>
                <w:rFonts w:hint="eastAsia" w:hAnsi="宋体"/>
                <w:sz w:val="21"/>
                <w:szCs w:val="21"/>
              </w:rPr>
              <w:t>租赁）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838" w:type="dxa"/>
            <w:vAlign w:val="center"/>
          </w:tcPr>
          <w:p>
            <w:pPr>
              <w:pStyle w:val="15"/>
              <w:spacing w:before="120" w:after="120"/>
              <w:jc w:val="center"/>
              <w:rPr>
                <w:rFonts w:hAnsi="宋体"/>
                <w:sz w:val="21"/>
                <w:szCs w:val="21"/>
              </w:rPr>
            </w:pPr>
          </w:p>
        </w:tc>
        <w:tc>
          <w:tcPr>
            <w:tcW w:w="2022" w:type="dxa"/>
            <w:vAlign w:val="center"/>
          </w:tcPr>
          <w:p>
            <w:pPr>
              <w:pStyle w:val="15"/>
              <w:spacing w:before="120" w:after="120"/>
              <w:jc w:val="center"/>
              <w:rPr>
                <w:rFonts w:hAnsi="宋体"/>
                <w:sz w:val="21"/>
                <w:szCs w:val="21"/>
              </w:rPr>
            </w:pPr>
          </w:p>
        </w:tc>
        <w:tc>
          <w:tcPr>
            <w:tcW w:w="1348" w:type="dxa"/>
          </w:tcPr>
          <w:p>
            <w:pPr>
              <w:pStyle w:val="15"/>
              <w:spacing w:before="120" w:after="120"/>
              <w:jc w:val="center"/>
              <w:rPr>
                <w:rFonts w:hAnsi="宋体"/>
                <w:sz w:val="21"/>
                <w:szCs w:val="21"/>
              </w:rPr>
            </w:pPr>
          </w:p>
        </w:tc>
        <w:tc>
          <w:tcPr>
            <w:tcW w:w="1348" w:type="dxa"/>
            <w:tcBorders>
              <w:top w:val="single" w:color="auto" w:sz="4" w:space="0"/>
            </w:tcBorders>
            <w:vAlign w:val="center"/>
          </w:tcPr>
          <w:p>
            <w:pPr>
              <w:pStyle w:val="15"/>
              <w:spacing w:before="120" w:after="120"/>
              <w:jc w:val="center"/>
              <w:rPr>
                <w:rFonts w:hAnsi="宋体"/>
                <w:sz w:val="21"/>
                <w:szCs w:val="21"/>
              </w:rPr>
            </w:pPr>
          </w:p>
        </w:tc>
        <w:tc>
          <w:tcPr>
            <w:tcW w:w="756" w:type="dxa"/>
            <w:tcBorders>
              <w:right w:val="single" w:color="auto" w:sz="4" w:space="0"/>
            </w:tcBorders>
            <w:vAlign w:val="center"/>
          </w:tcPr>
          <w:p>
            <w:pPr>
              <w:pStyle w:val="15"/>
              <w:spacing w:before="120" w:after="120"/>
              <w:jc w:val="center"/>
              <w:rPr>
                <w:rFonts w:hAnsi="宋体"/>
                <w:sz w:val="21"/>
                <w:szCs w:val="21"/>
              </w:rPr>
            </w:pPr>
          </w:p>
        </w:tc>
        <w:tc>
          <w:tcPr>
            <w:tcW w:w="756" w:type="dxa"/>
            <w:tcBorders>
              <w:left w:val="single" w:color="auto" w:sz="4" w:space="0"/>
            </w:tcBorders>
            <w:vAlign w:val="center"/>
          </w:tcPr>
          <w:p>
            <w:pPr>
              <w:pStyle w:val="15"/>
              <w:spacing w:before="120" w:after="120"/>
              <w:jc w:val="center"/>
              <w:rPr>
                <w:rFonts w:hAnsi="宋体"/>
                <w:sz w:val="21"/>
                <w:szCs w:val="21"/>
              </w:rPr>
            </w:pPr>
          </w:p>
        </w:tc>
        <w:tc>
          <w:tcPr>
            <w:tcW w:w="1812" w:type="dxa"/>
            <w:vAlign w:val="center"/>
          </w:tcPr>
          <w:p>
            <w:pPr>
              <w:pStyle w:val="15"/>
              <w:spacing w:before="120" w:after="120"/>
              <w:jc w:val="center"/>
              <w:rPr>
                <w:rFonts w:hAnsi="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838" w:type="dxa"/>
            <w:vAlign w:val="center"/>
          </w:tcPr>
          <w:p>
            <w:pPr>
              <w:pStyle w:val="15"/>
              <w:spacing w:before="120" w:after="120"/>
              <w:jc w:val="center"/>
              <w:rPr>
                <w:rFonts w:hAnsi="宋体"/>
                <w:sz w:val="21"/>
                <w:szCs w:val="21"/>
              </w:rPr>
            </w:pPr>
          </w:p>
        </w:tc>
        <w:tc>
          <w:tcPr>
            <w:tcW w:w="2022" w:type="dxa"/>
            <w:vAlign w:val="center"/>
          </w:tcPr>
          <w:p>
            <w:pPr>
              <w:pStyle w:val="15"/>
              <w:spacing w:before="120" w:after="120"/>
              <w:jc w:val="center"/>
              <w:rPr>
                <w:rFonts w:hAnsi="宋体"/>
                <w:sz w:val="21"/>
                <w:szCs w:val="21"/>
              </w:rPr>
            </w:pPr>
          </w:p>
        </w:tc>
        <w:tc>
          <w:tcPr>
            <w:tcW w:w="1348" w:type="dxa"/>
          </w:tcPr>
          <w:p>
            <w:pPr>
              <w:pStyle w:val="15"/>
              <w:spacing w:before="120" w:after="120"/>
              <w:jc w:val="center"/>
              <w:rPr>
                <w:rFonts w:hAnsi="宋体"/>
                <w:sz w:val="21"/>
                <w:szCs w:val="21"/>
              </w:rPr>
            </w:pPr>
          </w:p>
        </w:tc>
        <w:tc>
          <w:tcPr>
            <w:tcW w:w="1348" w:type="dxa"/>
            <w:vAlign w:val="center"/>
          </w:tcPr>
          <w:p>
            <w:pPr>
              <w:pStyle w:val="15"/>
              <w:spacing w:before="120" w:after="120"/>
              <w:jc w:val="center"/>
              <w:rPr>
                <w:rFonts w:hAnsi="宋体"/>
                <w:sz w:val="21"/>
                <w:szCs w:val="21"/>
              </w:rPr>
            </w:pPr>
          </w:p>
        </w:tc>
        <w:tc>
          <w:tcPr>
            <w:tcW w:w="756" w:type="dxa"/>
            <w:tcBorders>
              <w:right w:val="single" w:color="auto" w:sz="4" w:space="0"/>
            </w:tcBorders>
            <w:vAlign w:val="center"/>
          </w:tcPr>
          <w:p>
            <w:pPr>
              <w:pStyle w:val="15"/>
              <w:spacing w:before="120" w:after="120"/>
              <w:jc w:val="center"/>
              <w:rPr>
                <w:rFonts w:hAnsi="宋体"/>
                <w:sz w:val="21"/>
                <w:szCs w:val="21"/>
              </w:rPr>
            </w:pPr>
          </w:p>
        </w:tc>
        <w:tc>
          <w:tcPr>
            <w:tcW w:w="756" w:type="dxa"/>
            <w:tcBorders>
              <w:left w:val="single" w:color="auto" w:sz="4" w:space="0"/>
            </w:tcBorders>
            <w:vAlign w:val="center"/>
          </w:tcPr>
          <w:p>
            <w:pPr>
              <w:pStyle w:val="15"/>
              <w:spacing w:before="120" w:after="120"/>
              <w:jc w:val="center"/>
              <w:rPr>
                <w:rFonts w:hAnsi="宋体"/>
                <w:sz w:val="21"/>
                <w:szCs w:val="21"/>
              </w:rPr>
            </w:pPr>
          </w:p>
        </w:tc>
        <w:tc>
          <w:tcPr>
            <w:tcW w:w="1812" w:type="dxa"/>
            <w:vAlign w:val="center"/>
          </w:tcPr>
          <w:p>
            <w:pPr>
              <w:pStyle w:val="15"/>
              <w:spacing w:before="120" w:after="120"/>
              <w:jc w:val="center"/>
              <w:rPr>
                <w:rFonts w:hAnsi="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838" w:type="dxa"/>
            <w:vAlign w:val="center"/>
          </w:tcPr>
          <w:p>
            <w:pPr>
              <w:pStyle w:val="15"/>
              <w:spacing w:before="120" w:after="120"/>
              <w:jc w:val="center"/>
              <w:rPr>
                <w:rFonts w:hAnsi="宋体"/>
                <w:sz w:val="21"/>
                <w:szCs w:val="21"/>
              </w:rPr>
            </w:pPr>
          </w:p>
        </w:tc>
        <w:tc>
          <w:tcPr>
            <w:tcW w:w="2022" w:type="dxa"/>
            <w:vAlign w:val="center"/>
          </w:tcPr>
          <w:p>
            <w:pPr>
              <w:pStyle w:val="15"/>
              <w:spacing w:before="120" w:after="120"/>
              <w:jc w:val="center"/>
              <w:rPr>
                <w:rFonts w:hAnsi="宋体"/>
                <w:sz w:val="21"/>
                <w:szCs w:val="21"/>
              </w:rPr>
            </w:pPr>
          </w:p>
        </w:tc>
        <w:tc>
          <w:tcPr>
            <w:tcW w:w="1348" w:type="dxa"/>
          </w:tcPr>
          <w:p>
            <w:pPr>
              <w:pStyle w:val="15"/>
              <w:spacing w:before="120" w:after="120"/>
              <w:jc w:val="center"/>
              <w:rPr>
                <w:rFonts w:hAnsi="宋体"/>
                <w:sz w:val="21"/>
                <w:szCs w:val="21"/>
              </w:rPr>
            </w:pPr>
          </w:p>
        </w:tc>
        <w:tc>
          <w:tcPr>
            <w:tcW w:w="1348" w:type="dxa"/>
            <w:vAlign w:val="center"/>
          </w:tcPr>
          <w:p>
            <w:pPr>
              <w:pStyle w:val="15"/>
              <w:spacing w:before="120" w:after="120"/>
              <w:jc w:val="center"/>
              <w:rPr>
                <w:rFonts w:hAnsi="宋体"/>
                <w:sz w:val="21"/>
                <w:szCs w:val="21"/>
              </w:rPr>
            </w:pPr>
          </w:p>
        </w:tc>
        <w:tc>
          <w:tcPr>
            <w:tcW w:w="756" w:type="dxa"/>
            <w:tcBorders>
              <w:right w:val="single" w:color="auto" w:sz="4" w:space="0"/>
            </w:tcBorders>
            <w:vAlign w:val="center"/>
          </w:tcPr>
          <w:p>
            <w:pPr>
              <w:pStyle w:val="15"/>
              <w:spacing w:before="120" w:after="120"/>
              <w:jc w:val="center"/>
              <w:rPr>
                <w:rFonts w:hAnsi="宋体"/>
                <w:sz w:val="21"/>
                <w:szCs w:val="21"/>
              </w:rPr>
            </w:pPr>
          </w:p>
        </w:tc>
        <w:tc>
          <w:tcPr>
            <w:tcW w:w="756" w:type="dxa"/>
            <w:tcBorders>
              <w:left w:val="single" w:color="auto" w:sz="4" w:space="0"/>
            </w:tcBorders>
            <w:vAlign w:val="center"/>
          </w:tcPr>
          <w:p>
            <w:pPr>
              <w:pStyle w:val="15"/>
              <w:spacing w:before="120" w:after="120"/>
              <w:jc w:val="center"/>
              <w:rPr>
                <w:rFonts w:hAnsi="宋体"/>
                <w:sz w:val="21"/>
                <w:szCs w:val="21"/>
              </w:rPr>
            </w:pPr>
          </w:p>
        </w:tc>
        <w:tc>
          <w:tcPr>
            <w:tcW w:w="1812" w:type="dxa"/>
            <w:vAlign w:val="center"/>
          </w:tcPr>
          <w:p>
            <w:pPr>
              <w:pStyle w:val="15"/>
              <w:spacing w:before="120" w:after="120"/>
              <w:jc w:val="center"/>
              <w:rPr>
                <w:rFonts w:hAnsi="宋体"/>
                <w:sz w:val="21"/>
                <w:szCs w:val="21"/>
              </w:rPr>
            </w:pPr>
          </w:p>
        </w:tc>
      </w:tr>
    </w:tbl>
    <w:p>
      <w:pPr>
        <w:tabs>
          <w:tab w:val="left" w:pos="1418"/>
        </w:tabs>
        <w:spacing w:line="400" w:lineRule="exact"/>
        <w:rPr>
          <w:rFonts w:ascii="宋体"/>
          <w:bCs/>
          <w:szCs w:val="21"/>
        </w:rPr>
      </w:pPr>
      <w:r>
        <w:rPr>
          <w:rFonts w:hint="eastAsia" w:ascii="宋体" w:hAnsi="宋体"/>
          <w:bCs/>
          <w:szCs w:val="21"/>
        </w:rPr>
        <w:t>法定代表人或全权代表（签字或盖章）：</w:t>
      </w:r>
      <w:r>
        <w:rPr>
          <w:rFonts w:ascii="宋体" w:hAnsi="宋体"/>
          <w:bCs/>
          <w:szCs w:val="21"/>
        </w:rPr>
        <w:t xml:space="preserve">  </w:t>
      </w:r>
    </w:p>
    <w:p>
      <w:pPr>
        <w:tabs>
          <w:tab w:val="left" w:pos="1418"/>
        </w:tabs>
        <w:spacing w:line="400" w:lineRule="exact"/>
        <w:rPr>
          <w:rFonts w:ascii="宋体"/>
          <w:bCs/>
          <w:szCs w:val="21"/>
        </w:rPr>
      </w:pPr>
      <w:r>
        <w:rPr>
          <w:rFonts w:hint="eastAsia" w:ascii="宋体" w:hAnsi="宋体"/>
          <w:bCs/>
          <w:szCs w:val="21"/>
        </w:rPr>
        <w:t>投</w:t>
      </w:r>
      <w:r>
        <w:rPr>
          <w:rFonts w:ascii="宋体" w:hAnsi="宋体"/>
          <w:bCs/>
          <w:szCs w:val="21"/>
        </w:rPr>
        <w:t xml:space="preserve"> </w:t>
      </w:r>
      <w:r>
        <w:rPr>
          <w:rFonts w:hint="eastAsia" w:ascii="宋体" w:hAnsi="宋体"/>
          <w:bCs/>
          <w:szCs w:val="21"/>
        </w:rPr>
        <w:t>标</w:t>
      </w:r>
      <w:r>
        <w:rPr>
          <w:rFonts w:ascii="宋体" w:hAnsi="宋体"/>
          <w:bCs/>
          <w:szCs w:val="21"/>
        </w:rPr>
        <w:t xml:space="preserve"> </w:t>
      </w:r>
      <w:r>
        <w:rPr>
          <w:rFonts w:hint="eastAsia" w:ascii="宋体" w:hAnsi="宋体"/>
          <w:bCs/>
          <w:szCs w:val="21"/>
        </w:rPr>
        <w:t>人（盖章）：</w:t>
      </w:r>
      <w:r>
        <w:rPr>
          <w:rFonts w:ascii="宋体" w:hAnsi="宋体"/>
          <w:bCs/>
          <w:szCs w:val="21"/>
        </w:rPr>
        <w:t xml:space="preserve">                              </w:t>
      </w:r>
    </w:p>
    <w:p>
      <w:pPr>
        <w:tabs>
          <w:tab w:val="left" w:pos="1418"/>
        </w:tabs>
        <w:spacing w:line="400" w:lineRule="exact"/>
        <w:rPr>
          <w:rFonts w:ascii="宋体"/>
          <w:bCs/>
          <w:szCs w:val="21"/>
        </w:rPr>
      </w:pPr>
    </w:p>
    <w:p>
      <w:pPr>
        <w:tabs>
          <w:tab w:val="left" w:pos="1418"/>
        </w:tabs>
        <w:spacing w:line="400" w:lineRule="exact"/>
        <w:ind w:firstLine="6825" w:firstLineChars="3250"/>
        <w:rPr>
          <w:rFonts w:ascii="宋体"/>
          <w:bCs/>
          <w:szCs w:val="21"/>
        </w:rPr>
      </w:pPr>
      <w:r>
        <w:rPr>
          <w:rFonts w:hint="eastAsia" w:ascii="宋体" w:hAnsi="宋体"/>
          <w:bCs/>
          <w:szCs w:val="21"/>
        </w:rPr>
        <w:t>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p>
    <w:p>
      <w:pPr>
        <w:tabs>
          <w:tab w:val="left" w:pos="1418"/>
        </w:tabs>
        <w:spacing w:line="400" w:lineRule="exact"/>
        <w:ind w:firstLine="6825" w:firstLineChars="3250"/>
        <w:rPr>
          <w:rFonts w:ascii="宋体"/>
          <w:bCs/>
          <w:szCs w:val="21"/>
        </w:rPr>
      </w:pPr>
    </w:p>
    <w:p>
      <w:pPr>
        <w:tabs>
          <w:tab w:val="left" w:pos="1418"/>
        </w:tabs>
        <w:spacing w:line="400" w:lineRule="exact"/>
        <w:ind w:firstLine="6825" w:firstLineChars="3250"/>
        <w:rPr>
          <w:rFonts w:ascii="宋体"/>
          <w:bCs/>
          <w:szCs w:val="21"/>
        </w:rPr>
      </w:pPr>
    </w:p>
    <w:p>
      <w:pPr>
        <w:spacing w:line="360" w:lineRule="auto"/>
        <w:rPr>
          <w:rFonts w:ascii="宋体"/>
          <w:b/>
          <w:bCs/>
          <w:sz w:val="28"/>
        </w:rPr>
      </w:pPr>
      <w:r>
        <w:rPr>
          <w:rFonts w:ascii="宋体"/>
          <w:b/>
          <w:sz w:val="24"/>
        </w:rPr>
        <w:t>14.</w:t>
      </w:r>
      <w:r>
        <w:rPr>
          <w:rFonts w:hint="eastAsia" w:ascii="宋体"/>
          <w:b/>
          <w:sz w:val="24"/>
        </w:rPr>
        <w:t>投标函</w:t>
      </w:r>
    </w:p>
    <w:bookmarkEnd w:id="34"/>
    <w:bookmarkEnd w:id="35"/>
    <w:bookmarkEnd w:id="36"/>
    <w:bookmarkEnd w:id="37"/>
    <w:p>
      <w:pPr>
        <w:pStyle w:val="6"/>
        <w:spacing w:line="360" w:lineRule="auto"/>
        <w:ind w:firstLine="0"/>
        <w:jc w:val="center"/>
        <w:rPr>
          <w:rFonts w:ascii="宋体"/>
          <w:bCs/>
          <w:sz w:val="28"/>
          <w:szCs w:val="28"/>
        </w:rPr>
      </w:pPr>
      <w:r>
        <w:rPr>
          <w:rFonts w:hint="eastAsia" w:ascii="宋体"/>
          <w:sz w:val="28"/>
          <w:szCs w:val="28"/>
        </w:rPr>
        <w:t>投标函</w:t>
      </w:r>
    </w:p>
    <w:p>
      <w:pPr>
        <w:pStyle w:val="6"/>
        <w:spacing w:line="440" w:lineRule="exact"/>
        <w:ind w:firstLine="0"/>
        <w:rPr>
          <w:rFonts w:ascii="宋体"/>
          <w:kern w:val="2"/>
          <w:sz w:val="21"/>
          <w:szCs w:val="21"/>
          <w:u w:val="single"/>
        </w:rPr>
      </w:pPr>
      <w:r>
        <w:rPr>
          <w:rFonts w:hint="eastAsia" w:ascii="宋体"/>
          <w:kern w:val="2"/>
          <w:sz w:val="21"/>
          <w:szCs w:val="21"/>
        </w:rPr>
        <w:t>致：</w:t>
      </w:r>
      <w:r>
        <w:rPr>
          <w:rFonts w:ascii="宋体"/>
          <w:kern w:val="2"/>
          <w:sz w:val="21"/>
          <w:szCs w:val="21"/>
        </w:rPr>
        <w:t xml:space="preserve"> </w:t>
      </w:r>
      <w:r>
        <w:rPr>
          <w:rFonts w:hint="eastAsia" w:ascii="宋体"/>
          <w:b/>
          <w:kern w:val="2"/>
          <w:sz w:val="21"/>
          <w:szCs w:val="21"/>
          <w:u w:val="single"/>
        </w:rPr>
        <w:t>嘉兴港区（综合保税区）综合行政执法队</w:t>
      </w:r>
      <w:r>
        <w:rPr>
          <w:rFonts w:hint="eastAsia" w:ascii="宋体"/>
          <w:kern w:val="2"/>
          <w:sz w:val="21"/>
          <w:szCs w:val="21"/>
        </w:rPr>
        <w:t>（采购方）</w:t>
      </w:r>
    </w:p>
    <w:p>
      <w:pPr>
        <w:snapToGrid w:val="0"/>
        <w:spacing w:line="440" w:lineRule="exact"/>
        <w:ind w:firstLine="315" w:firstLineChars="150"/>
        <w:rPr>
          <w:rFonts w:ascii="宋体"/>
          <w:szCs w:val="21"/>
        </w:rPr>
      </w:pPr>
      <w:r>
        <w:rPr>
          <w:rFonts w:hint="eastAsia" w:ascii="宋体"/>
          <w:szCs w:val="21"/>
        </w:rPr>
        <w:t>根据贵方对项目招标（招标编号：</w:t>
      </w:r>
      <w:r>
        <w:rPr>
          <w:rFonts w:ascii="宋体"/>
          <w:szCs w:val="21"/>
          <w:u w:val="single"/>
        </w:rPr>
        <w:t xml:space="preserve">      </w:t>
      </w:r>
      <w:r>
        <w:rPr>
          <w:rFonts w:hint="eastAsia" w:ascii="宋体"/>
          <w:szCs w:val="21"/>
        </w:rPr>
        <w:t>，</w:t>
      </w:r>
      <w:r>
        <w:rPr>
          <w:rFonts w:hint="eastAsia" w:ascii="宋体"/>
          <w:spacing w:val="-8"/>
          <w:szCs w:val="21"/>
        </w:rPr>
        <w:t>正式授权下述签字人</w:t>
      </w:r>
      <w:r>
        <w:rPr>
          <w:rFonts w:hint="eastAsia" w:ascii="宋体"/>
          <w:szCs w:val="21"/>
        </w:rPr>
        <w:t>代表</w:t>
      </w:r>
      <w:r>
        <w:rPr>
          <w:rFonts w:ascii="宋体"/>
          <w:szCs w:val="21"/>
          <w:u w:val="single"/>
        </w:rPr>
        <w:t xml:space="preserve">             </w:t>
      </w:r>
      <w:r>
        <w:rPr>
          <w:rFonts w:hint="eastAsia" w:ascii="宋体"/>
          <w:szCs w:val="21"/>
          <w:u w:val="single"/>
        </w:rPr>
        <w:t>（投标单位全称）</w:t>
      </w:r>
      <w:r>
        <w:rPr>
          <w:rFonts w:ascii="宋体"/>
          <w:szCs w:val="21"/>
          <w:u w:val="single"/>
        </w:rPr>
        <w:t xml:space="preserve"> </w:t>
      </w:r>
      <w:r>
        <w:rPr>
          <w:rFonts w:hint="eastAsia" w:ascii="宋体"/>
          <w:szCs w:val="21"/>
        </w:rPr>
        <w:t>，向贵方</w:t>
      </w:r>
      <w:r>
        <w:rPr>
          <w:rFonts w:hint="eastAsia" w:ascii="宋体"/>
          <w:spacing w:val="-8"/>
          <w:szCs w:val="21"/>
        </w:rPr>
        <w:t>提交资格文件、资信商务及技术文件及投标报价文件电子投标各一份，</w:t>
      </w:r>
      <w:r>
        <w:rPr>
          <w:rFonts w:hint="eastAsia" w:ascii="宋体"/>
          <w:szCs w:val="21"/>
        </w:rPr>
        <w:t>并保证所提交的资料是真实的、准确的，并为我方的一切投标行为作郑重承诺及声明如下：</w:t>
      </w:r>
    </w:p>
    <w:p>
      <w:pPr>
        <w:pStyle w:val="6"/>
        <w:spacing w:line="440" w:lineRule="exact"/>
        <w:rPr>
          <w:rFonts w:ascii="宋体"/>
          <w:sz w:val="21"/>
          <w:szCs w:val="21"/>
        </w:rPr>
      </w:pPr>
      <w:r>
        <w:rPr>
          <w:rFonts w:ascii="宋体"/>
          <w:sz w:val="21"/>
          <w:szCs w:val="21"/>
        </w:rPr>
        <w:t>1</w:t>
      </w:r>
      <w:r>
        <w:rPr>
          <w:rFonts w:hint="eastAsia" w:ascii="宋体"/>
          <w:sz w:val="21"/>
          <w:szCs w:val="21"/>
        </w:rPr>
        <w:t>、我方已认真阅读了全部招标文件及其相关文件，完全清楚理解其内容要求及规约，对文件的合理性、公正性和程序安排均没有任何异议、质疑和误解之处。</w:t>
      </w:r>
    </w:p>
    <w:p>
      <w:pPr>
        <w:pStyle w:val="6"/>
        <w:spacing w:line="440" w:lineRule="exact"/>
        <w:rPr>
          <w:rFonts w:ascii="宋体"/>
          <w:sz w:val="21"/>
          <w:szCs w:val="21"/>
        </w:rPr>
      </w:pPr>
      <w:r>
        <w:rPr>
          <w:rFonts w:ascii="宋体"/>
          <w:sz w:val="21"/>
          <w:szCs w:val="21"/>
        </w:rPr>
        <w:t>2</w:t>
      </w:r>
      <w:r>
        <w:rPr>
          <w:rFonts w:hint="eastAsia" w:ascii="宋体"/>
          <w:sz w:val="21"/>
          <w:szCs w:val="21"/>
        </w:rPr>
        <w:t>、我方所提供的一切文件均已经过认真、严格的审核，其内容已充分表达了我方的真实意愿，没有任何遗漏、虚假、侵权之处，若出现违背诚实信用和商业道德之行为，愿独自承担相应的法律责任。</w:t>
      </w:r>
    </w:p>
    <w:p>
      <w:pPr>
        <w:pStyle w:val="6"/>
        <w:spacing w:line="440" w:lineRule="exact"/>
        <w:rPr>
          <w:rFonts w:ascii="宋体"/>
          <w:sz w:val="21"/>
          <w:szCs w:val="21"/>
        </w:rPr>
      </w:pPr>
      <w:r>
        <w:rPr>
          <w:rFonts w:ascii="宋体"/>
          <w:sz w:val="21"/>
          <w:szCs w:val="21"/>
        </w:rPr>
        <w:t>3</w:t>
      </w:r>
      <w:r>
        <w:rPr>
          <w:rFonts w:hint="eastAsia" w:ascii="宋体"/>
          <w:sz w:val="21"/>
          <w:szCs w:val="21"/>
        </w:rPr>
        <w:t>、投标自开标日起有效期为</w:t>
      </w:r>
      <w:r>
        <w:rPr>
          <w:rFonts w:ascii="宋体"/>
          <w:sz w:val="21"/>
          <w:szCs w:val="21"/>
          <w:u w:val="single"/>
        </w:rPr>
        <w:t>90</w:t>
      </w:r>
      <w:r>
        <w:rPr>
          <w:rFonts w:hint="eastAsia" w:ascii="宋体"/>
          <w:sz w:val="21"/>
          <w:szCs w:val="21"/>
          <w:u w:val="single"/>
        </w:rPr>
        <w:t>个日历天</w:t>
      </w:r>
      <w:r>
        <w:rPr>
          <w:rFonts w:hint="eastAsia" w:ascii="宋体"/>
          <w:sz w:val="21"/>
          <w:szCs w:val="21"/>
        </w:rPr>
        <w:t>。若我方中标，投标有效期相应延长至到项目验收通过之日。不论在任何时候，定将按贵方的要求在规定时间内如实提供一切补充材料。</w:t>
      </w:r>
    </w:p>
    <w:p>
      <w:pPr>
        <w:pStyle w:val="6"/>
        <w:spacing w:line="440" w:lineRule="exact"/>
        <w:rPr>
          <w:rFonts w:ascii="宋体"/>
          <w:sz w:val="21"/>
          <w:szCs w:val="21"/>
        </w:rPr>
      </w:pPr>
      <w:r>
        <w:rPr>
          <w:rFonts w:ascii="宋体"/>
          <w:sz w:val="21"/>
          <w:szCs w:val="21"/>
        </w:rPr>
        <w:t>4</w:t>
      </w:r>
      <w:r>
        <w:rPr>
          <w:rFonts w:hint="eastAsia" w:ascii="宋体"/>
          <w:sz w:val="21"/>
          <w:szCs w:val="21"/>
        </w:rPr>
        <w:t>、完全服从和尊重评委会所作的评审结果，同时清楚理解到仅凭投标报价并非是决定中标资格的唯一重要依据。</w:t>
      </w:r>
    </w:p>
    <w:p>
      <w:pPr>
        <w:pStyle w:val="6"/>
        <w:spacing w:line="440" w:lineRule="exact"/>
        <w:rPr>
          <w:rFonts w:ascii="宋体"/>
          <w:sz w:val="21"/>
          <w:szCs w:val="21"/>
        </w:rPr>
      </w:pPr>
      <w:r>
        <w:rPr>
          <w:rFonts w:ascii="宋体"/>
          <w:sz w:val="21"/>
          <w:szCs w:val="21"/>
        </w:rPr>
        <w:t>5</w:t>
      </w:r>
      <w:r>
        <w:rPr>
          <w:rFonts w:hint="eastAsia" w:ascii="宋体"/>
          <w:sz w:val="21"/>
          <w:szCs w:val="21"/>
        </w:rPr>
        <w:t>、同意按招标文件的要求认真履行中标人的义务，若我方行为不当而损害了采购人的合法权益，我方愿在任何时候无条件承担相应的缔约过失责任和经济赔偿。</w:t>
      </w:r>
    </w:p>
    <w:p>
      <w:pPr>
        <w:pStyle w:val="6"/>
        <w:spacing w:line="440" w:lineRule="exact"/>
        <w:rPr>
          <w:rFonts w:ascii="宋体"/>
          <w:sz w:val="21"/>
          <w:szCs w:val="21"/>
        </w:rPr>
      </w:pPr>
      <w:r>
        <w:rPr>
          <w:rFonts w:ascii="宋体"/>
          <w:sz w:val="21"/>
          <w:szCs w:val="21"/>
        </w:rPr>
        <w:t>6</w:t>
      </w:r>
      <w:r>
        <w:rPr>
          <w:rFonts w:hint="eastAsia" w:ascii="宋体"/>
          <w:sz w:val="21"/>
          <w:szCs w:val="21"/>
        </w:rPr>
        <w:t>、我方声明：我方在参与本次政府采购活动的近三年来未曾有出现重大违法记录。</w:t>
      </w:r>
    </w:p>
    <w:p>
      <w:pPr>
        <w:pStyle w:val="6"/>
        <w:spacing w:line="440" w:lineRule="exact"/>
        <w:ind w:firstLine="525" w:firstLineChars="250"/>
        <w:rPr>
          <w:rFonts w:ascii="宋体"/>
          <w:sz w:val="21"/>
          <w:szCs w:val="21"/>
        </w:rPr>
      </w:pPr>
      <w:r>
        <w:rPr>
          <w:rFonts w:hint="eastAsia" w:ascii="宋体"/>
          <w:sz w:val="21"/>
          <w:szCs w:val="21"/>
        </w:rPr>
        <w:t>与本投标有关的正式通讯地址为：</w:t>
      </w:r>
    </w:p>
    <w:p>
      <w:pPr>
        <w:pStyle w:val="6"/>
        <w:spacing w:line="440" w:lineRule="exact"/>
        <w:ind w:firstLine="525" w:firstLineChars="250"/>
        <w:rPr>
          <w:rFonts w:ascii="宋体"/>
          <w:sz w:val="21"/>
          <w:szCs w:val="21"/>
        </w:rPr>
      </w:pPr>
      <w:r>
        <w:rPr>
          <w:rFonts w:hint="eastAsia" w:ascii="宋体"/>
          <w:sz w:val="21"/>
          <w:szCs w:val="21"/>
        </w:rPr>
        <w:t>地址：</w:t>
      </w:r>
    </w:p>
    <w:p>
      <w:pPr>
        <w:pStyle w:val="6"/>
        <w:spacing w:line="440" w:lineRule="exact"/>
        <w:ind w:firstLine="525" w:firstLineChars="250"/>
        <w:rPr>
          <w:rFonts w:ascii="宋体"/>
          <w:sz w:val="21"/>
          <w:szCs w:val="21"/>
          <w:u w:val="single"/>
        </w:rPr>
      </w:pPr>
      <w:r>
        <w:rPr>
          <w:rFonts w:hint="eastAsia" w:ascii="宋体"/>
          <w:sz w:val="21"/>
          <w:szCs w:val="21"/>
        </w:rPr>
        <w:t>邮政编码：</w:t>
      </w:r>
    </w:p>
    <w:p>
      <w:pPr>
        <w:pStyle w:val="6"/>
        <w:spacing w:line="440" w:lineRule="exact"/>
        <w:ind w:firstLine="525" w:firstLineChars="250"/>
        <w:rPr>
          <w:rFonts w:ascii="宋体"/>
          <w:sz w:val="21"/>
          <w:szCs w:val="21"/>
        </w:rPr>
      </w:pPr>
      <w:r>
        <w:rPr>
          <w:rFonts w:hint="eastAsia" w:ascii="宋体"/>
          <w:sz w:val="21"/>
          <w:szCs w:val="21"/>
        </w:rPr>
        <w:t>电话：</w:t>
      </w:r>
    </w:p>
    <w:p>
      <w:pPr>
        <w:pStyle w:val="6"/>
        <w:spacing w:line="440" w:lineRule="exact"/>
        <w:ind w:firstLine="525" w:firstLineChars="250"/>
        <w:rPr>
          <w:rFonts w:ascii="宋体"/>
          <w:sz w:val="21"/>
          <w:szCs w:val="21"/>
          <w:u w:val="single"/>
        </w:rPr>
      </w:pPr>
      <w:r>
        <w:rPr>
          <w:rFonts w:hint="eastAsia" w:ascii="宋体"/>
          <w:sz w:val="21"/>
          <w:szCs w:val="21"/>
        </w:rPr>
        <w:t>传真：</w:t>
      </w:r>
    </w:p>
    <w:p>
      <w:pPr>
        <w:pStyle w:val="6"/>
        <w:spacing w:line="440" w:lineRule="exact"/>
        <w:ind w:firstLine="525" w:firstLineChars="250"/>
        <w:rPr>
          <w:rFonts w:ascii="宋体"/>
          <w:sz w:val="21"/>
          <w:szCs w:val="21"/>
        </w:rPr>
      </w:pPr>
      <w:r>
        <w:rPr>
          <w:rFonts w:hint="eastAsia" w:ascii="宋体"/>
          <w:sz w:val="21"/>
          <w:szCs w:val="21"/>
        </w:rPr>
        <w:t>投标人法定代表人姓名：</w:t>
      </w:r>
    </w:p>
    <w:p>
      <w:pPr>
        <w:pStyle w:val="6"/>
        <w:spacing w:line="440" w:lineRule="exact"/>
        <w:ind w:firstLine="525" w:firstLineChars="250"/>
        <w:rPr>
          <w:rFonts w:ascii="宋体"/>
          <w:sz w:val="21"/>
          <w:szCs w:val="21"/>
        </w:rPr>
      </w:pPr>
      <w:r>
        <w:rPr>
          <w:rFonts w:hint="eastAsia" w:ascii="宋体"/>
          <w:sz w:val="21"/>
          <w:szCs w:val="21"/>
        </w:rPr>
        <w:t>地址：</w:t>
      </w:r>
      <w:r>
        <w:rPr>
          <w:rFonts w:ascii="宋体"/>
          <w:sz w:val="21"/>
          <w:szCs w:val="21"/>
        </w:rPr>
        <w:t xml:space="preserve">                       </w:t>
      </w:r>
    </w:p>
    <w:p>
      <w:pPr>
        <w:pStyle w:val="6"/>
        <w:spacing w:line="440" w:lineRule="exact"/>
        <w:ind w:firstLine="525" w:firstLineChars="250"/>
        <w:rPr>
          <w:rFonts w:ascii="宋体"/>
          <w:sz w:val="21"/>
          <w:szCs w:val="21"/>
        </w:rPr>
      </w:pPr>
      <w:r>
        <w:rPr>
          <w:rFonts w:hint="eastAsia" w:ascii="宋体"/>
          <w:sz w:val="21"/>
          <w:szCs w:val="21"/>
        </w:rPr>
        <w:t>投标人全权代表姓名、职务：</w:t>
      </w:r>
    </w:p>
    <w:p>
      <w:pPr>
        <w:pStyle w:val="6"/>
        <w:spacing w:line="440" w:lineRule="exact"/>
        <w:ind w:firstLine="525" w:firstLineChars="250"/>
        <w:rPr>
          <w:rFonts w:ascii="宋体"/>
          <w:sz w:val="21"/>
          <w:szCs w:val="21"/>
        </w:rPr>
      </w:pPr>
      <w:r>
        <w:rPr>
          <w:rFonts w:hint="eastAsia" w:ascii="宋体"/>
          <w:sz w:val="21"/>
          <w:szCs w:val="21"/>
        </w:rPr>
        <w:t>投标人名称：</w:t>
      </w:r>
    </w:p>
    <w:p>
      <w:pPr>
        <w:pStyle w:val="6"/>
        <w:spacing w:line="440" w:lineRule="exact"/>
        <w:rPr>
          <w:rFonts w:ascii="宋体"/>
          <w:sz w:val="21"/>
          <w:szCs w:val="21"/>
        </w:rPr>
      </w:pPr>
      <w:r>
        <w:rPr>
          <w:rFonts w:hint="eastAsia" w:ascii="宋体"/>
          <w:sz w:val="21"/>
          <w:szCs w:val="21"/>
        </w:rPr>
        <w:t>（公章）：</w:t>
      </w:r>
    </w:p>
    <w:p>
      <w:pPr>
        <w:pStyle w:val="6"/>
        <w:spacing w:line="440" w:lineRule="exact"/>
        <w:ind w:firstLine="525" w:firstLineChars="250"/>
        <w:rPr>
          <w:rFonts w:ascii="宋体"/>
          <w:sz w:val="21"/>
          <w:szCs w:val="21"/>
        </w:rPr>
      </w:pPr>
      <w:r>
        <w:rPr>
          <w:rFonts w:hint="eastAsia" w:ascii="宋体"/>
          <w:sz w:val="21"/>
          <w:szCs w:val="21"/>
        </w:rPr>
        <w:t>全权代表（签字或盖章）：</w:t>
      </w:r>
    </w:p>
    <w:p>
      <w:pPr>
        <w:pStyle w:val="6"/>
        <w:spacing w:line="440" w:lineRule="exact"/>
        <w:ind w:firstLine="525" w:firstLineChars="250"/>
        <w:rPr>
          <w:rFonts w:ascii="宋体"/>
          <w:sz w:val="21"/>
          <w:szCs w:val="21"/>
        </w:rPr>
      </w:pPr>
      <w:r>
        <w:rPr>
          <w:rFonts w:hint="eastAsia" w:ascii="宋体"/>
          <w:sz w:val="21"/>
          <w:szCs w:val="21"/>
        </w:rPr>
        <w:t>日期：</w:t>
      </w:r>
      <w:r>
        <w:rPr>
          <w:rFonts w:ascii="宋体"/>
          <w:sz w:val="21"/>
          <w:szCs w:val="21"/>
        </w:rPr>
        <w:t xml:space="preserve"> </w:t>
      </w:r>
      <w:r>
        <w:rPr>
          <w:rFonts w:hint="eastAsia" w:ascii="宋体"/>
          <w:sz w:val="21"/>
          <w:szCs w:val="21"/>
        </w:rPr>
        <w:t>年月</w:t>
      </w:r>
      <w:r>
        <w:rPr>
          <w:rFonts w:ascii="宋体"/>
          <w:sz w:val="21"/>
          <w:szCs w:val="21"/>
        </w:rPr>
        <w:t xml:space="preserve"> </w:t>
      </w:r>
      <w:r>
        <w:rPr>
          <w:rFonts w:hint="eastAsia" w:ascii="宋体"/>
          <w:sz w:val="21"/>
          <w:szCs w:val="21"/>
        </w:rPr>
        <w:t>日</w:t>
      </w:r>
    </w:p>
    <w:p>
      <w:pPr>
        <w:pStyle w:val="4"/>
        <w:spacing w:before="0" w:after="0" w:line="400" w:lineRule="exact"/>
        <w:jc w:val="both"/>
        <w:rPr>
          <w:rFonts w:ascii="宋体" w:eastAsia="宋体"/>
          <w:b w:val="0"/>
          <w:bCs/>
          <w:sz w:val="21"/>
          <w:szCs w:val="21"/>
        </w:rPr>
        <w:sectPr>
          <w:pgSz w:w="11906" w:h="16838"/>
          <w:pgMar w:top="1202" w:right="1797" w:bottom="1440" w:left="1797" w:header="851" w:footer="992" w:gutter="0"/>
          <w:cols w:space="720" w:num="1"/>
          <w:docGrid w:type="lines" w:linePitch="312" w:charSpace="0"/>
        </w:sectPr>
      </w:pPr>
    </w:p>
    <w:p>
      <w:pPr>
        <w:spacing w:line="360" w:lineRule="auto"/>
        <w:rPr>
          <w:rFonts w:ascii="宋体"/>
          <w:b/>
          <w:sz w:val="24"/>
        </w:rPr>
      </w:pPr>
      <w:r>
        <w:rPr>
          <w:rFonts w:ascii="宋体"/>
          <w:b/>
          <w:sz w:val="24"/>
        </w:rPr>
        <w:t>15.</w:t>
      </w:r>
      <w:r>
        <w:rPr>
          <w:rFonts w:hint="eastAsia" w:ascii="宋体"/>
          <w:b/>
          <w:sz w:val="24"/>
        </w:rPr>
        <w:t>开标一览表</w:t>
      </w:r>
    </w:p>
    <w:p>
      <w:pPr>
        <w:pStyle w:val="15"/>
        <w:spacing w:before="120" w:after="120"/>
        <w:ind w:firstLine="498"/>
        <w:jc w:val="center"/>
        <w:outlineLvl w:val="0"/>
        <w:rPr>
          <w:b/>
          <w:kern w:val="2"/>
          <w:sz w:val="24"/>
          <w:szCs w:val="24"/>
        </w:rPr>
      </w:pPr>
      <w:bookmarkStart w:id="47" w:name="_Toc22767"/>
      <w:r>
        <w:rPr>
          <w:rFonts w:hint="eastAsia"/>
          <w:b/>
          <w:kern w:val="2"/>
          <w:sz w:val="24"/>
          <w:szCs w:val="24"/>
        </w:rPr>
        <w:t>开标一览表</w:t>
      </w:r>
      <w:bookmarkEnd w:id="47"/>
    </w:p>
    <w:p>
      <w:pPr>
        <w:snapToGrid w:val="0"/>
        <w:spacing w:line="440" w:lineRule="exact"/>
        <w:ind w:firstLine="90" w:firstLineChars="43"/>
        <w:rPr>
          <w:rFonts w:ascii="宋体"/>
          <w:szCs w:val="21"/>
        </w:rPr>
      </w:pPr>
      <w:r>
        <w:rPr>
          <w:rFonts w:hint="eastAsia" w:ascii="宋体" w:hAnsi="宋体"/>
          <w:szCs w:val="21"/>
        </w:rPr>
        <w:t>招标编号：</w:t>
      </w:r>
    </w:p>
    <w:p>
      <w:pPr>
        <w:snapToGrid w:val="0"/>
        <w:spacing w:line="440" w:lineRule="exact"/>
        <w:ind w:right="480" w:firstLine="90" w:firstLineChars="43"/>
        <w:rPr>
          <w:rFonts w:ascii="宋体"/>
          <w:szCs w:val="21"/>
        </w:rPr>
      </w:pPr>
      <w:r>
        <w:rPr>
          <w:rFonts w:hint="eastAsia" w:ascii="宋体" w:hAnsi="宋体"/>
          <w:szCs w:val="21"/>
        </w:rPr>
        <w:t>投标人名称：</w:t>
      </w:r>
    </w:p>
    <w:p>
      <w:pPr>
        <w:spacing w:beforeLines="50" w:afterLines="50" w:line="400" w:lineRule="exact"/>
        <w:rPr>
          <w:rFonts w:hAnsi="宋体" w:cs="仿宋_GB2312"/>
          <w:szCs w:val="21"/>
          <w:lang w:val="zh-CN"/>
        </w:rPr>
      </w:pPr>
    </w:p>
    <w:tbl>
      <w:tblPr>
        <w:tblStyle w:val="29"/>
        <w:tblW w:w="847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9"/>
        <w:gridCol w:w="3083"/>
        <w:gridCol w:w="2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2959" w:type="dxa"/>
            <w:noWrap/>
            <w:vAlign w:val="center"/>
          </w:tcPr>
          <w:p>
            <w:pPr>
              <w:adjustRightInd w:val="0"/>
              <w:spacing w:line="400" w:lineRule="exact"/>
              <w:jc w:val="center"/>
              <w:rPr>
                <w:rFonts w:hint="eastAsia"/>
                <w:lang w:val="zh-CN"/>
              </w:rPr>
            </w:pPr>
            <w:r>
              <w:rPr>
                <w:rFonts w:hint="eastAsia"/>
                <w:lang w:val="zh-CN"/>
              </w:rPr>
              <w:t>项目名称</w:t>
            </w:r>
          </w:p>
        </w:tc>
        <w:tc>
          <w:tcPr>
            <w:tcW w:w="3083" w:type="dxa"/>
            <w:noWrap/>
            <w:vAlign w:val="center"/>
          </w:tcPr>
          <w:p>
            <w:pPr>
              <w:adjustRightInd w:val="0"/>
              <w:spacing w:line="400" w:lineRule="exact"/>
              <w:jc w:val="center"/>
              <w:rPr>
                <w:rFonts w:hint="eastAsia"/>
                <w:lang w:val="zh-CN"/>
              </w:rPr>
            </w:pPr>
            <w:r>
              <w:rPr>
                <w:rFonts w:hint="eastAsia"/>
                <w:lang w:val="zh-CN"/>
              </w:rPr>
              <w:t>投标报价（元）</w:t>
            </w:r>
          </w:p>
        </w:tc>
        <w:tc>
          <w:tcPr>
            <w:tcW w:w="2429" w:type="dxa"/>
            <w:noWrap/>
            <w:vAlign w:val="center"/>
          </w:tcPr>
          <w:p>
            <w:pPr>
              <w:adjustRightInd w:val="0"/>
              <w:spacing w:line="400" w:lineRule="exact"/>
              <w:jc w:val="center"/>
              <w:rPr>
                <w:rFonts w:ascii="宋体" w:cs="Arial"/>
                <w:szCs w:val="21"/>
              </w:rPr>
            </w:pPr>
            <w:r>
              <w:rPr>
                <w:rFonts w:hint="eastAsia" w:ascii="宋体" w:hAnsi="宋体" w:cs="Arial"/>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959" w:type="dxa"/>
            <w:noWrap/>
            <w:vAlign w:val="center"/>
          </w:tcPr>
          <w:p>
            <w:pPr>
              <w:adjustRightInd w:val="0"/>
              <w:spacing w:line="400" w:lineRule="exact"/>
              <w:jc w:val="center"/>
              <w:rPr>
                <w:rFonts w:ascii="宋体" w:cs="Arial"/>
                <w:szCs w:val="21"/>
              </w:rPr>
            </w:pPr>
          </w:p>
        </w:tc>
        <w:tc>
          <w:tcPr>
            <w:tcW w:w="3083" w:type="dxa"/>
            <w:noWrap/>
            <w:vAlign w:val="center"/>
          </w:tcPr>
          <w:p>
            <w:pPr>
              <w:adjustRightInd w:val="0"/>
              <w:spacing w:line="400" w:lineRule="exact"/>
              <w:jc w:val="center"/>
              <w:rPr>
                <w:rFonts w:ascii="宋体" w:cs="Arial"/>
                <w:szCs w:val="21"/>
              </w:rPr>
            </w:pPr>
          </w:p>
        </w:tc>
        <w:tc>
          <w:tcPr>
            <w:tcW w:w="2429" w:type="dxa"/>
            <w:noWrap/>
            <w:vAlign w:val="center"/>
          </w:tcPr>
          <w:p>
            <w:pPr>
              <w:adjustRightInd w:val="0"/>
              <w:spacing w:line="400" w:lineRule="exact"/>
              <w:jc w:val="center"/>
              <w:rPr>
                <w:rFonts w:ascii="宋体" w:cs="Arial"/>
                <w:szCs w:val="21"/>
              </w:rPr>
            </w:pPr>
            <w:r>
              <w:rPr>
                <w:rFonts w:hint="eastAsia"/>
                <w:lang w:val="zh-CN"/>
              </w:rPr>
              <w:t>（</w:t>
            </w:r>
            <w:r>
              <w:rPr>
                <w:rFonts w:hint="eastAsia"/>
                <w:lang w:val="en-US" w:eastAsia="zh-CN"/>
              </w:rPr>
              <w:t>标项一/标项二</w:t>
            </w:r>
            <w:r>
              <w:rPr>
                <w:rFonts w:hint="eastAsia"/>
                <w:lang w:val="zh-CN"/>
              </w:rPr>
              <w:t>）</w:t>
            </w:r>
          </w:p>
        </w:tc>
      </w:tr>
    </w:tbl>
    <w:p>
      <w:pPr>
        <w:spacing w:line="360" w:lineRule="auto"/>
        <w:ind w:firstLine="732" w:firstLineChars="347"/>
        <w:rPr>
          <w:rFonts w:ascii="宋体"/>
          <w:b/>
          <w:szCs w:val="21"/>
        </w:rPr>
      </w:pPr>
    </w:p>
    <w:p>
      <w:pPr>
        <w:pStyle w:val="6"/>
        <w:spacing w:line="360" w:lineRule="auto"/>
        <w:ind w:firstLine="4830" w:firstLineChars="2300"/>
        <w:rPr>
          <w:rFonts w:ascii="宋体"/>
          <w:sz w:val="21"/>
          <w:szCs w:val="21"/>
        </w:rPr>
      </w:pPr>
      <w:r>
        <w:rPr>
          <w:rFonts w:hint="eastAsia" w:ascii="宋体"/>
          <w:sz w:val="21"/>
          <w:szCs w:val="21"/>
        </w:rPr>
        <w:t>投标人（盖公章）：</w:t>
      </w:r>
    </w:p>
    <w:p>
      <w:pPr>
        <w:pStyle w:val="6"/>
        <w:spacing w:line="360" w:lineRule="auto"/>
        <w:rPr>
          <w:rFonts w:ascii="宋体"/>
          <w:sz w:val="21"/>
          <w:szCs w:val="21"/>
        </w:rPr>
      </w:pPr>
      <w:r>
        <w:rPr>
          <w:rFonts w:ascii="宋体"/>
          <w:sz w:val="21"/>
          <w:szCs w:val="21"/>
        </w:rPr>
        <w:t xml:space="preserve">                                     </w:t>
      </w:r>
      <w:r>
        <w:rPr>
          <w:rFonts w:hint="eastAsia" w:ascii="宋体"/>
          <w:sz w:val="21"/>
          <w:szCs w:val="21"/>
        </w:rPr>
        <w:t>法定代表人</w:t>
      </w:r>
      <w:r>
        <w:rPr>
          <w:rFonts w:hint="eastAsia" w:ascii="宋体"/>
          <w:bCs/>
          <w:sz w:val="21"/>
          <w:szCs w:val="21"/>
        </w:rPr>
        <w:t>（或委托代理人）</w:t>
      </w:r>
      <w:r>
        <w:rPr>
          <w:rFonts w:hint="eastAsia" w:ascii="宋体"/>
          <w:sz w:val="21"/>
          <w:szCs w:val="21"/>
        </w:rPr>
        <w:t>（签字或盖章）：</w:t>
      </w:r>
    </w:p>
    <w:p>
      <w:pPr>
        <w:pStyle w:val="6"/>
        <w:spacing w:line="360" w:lineRule="auto"/>
        <w:rPr>
          <w:rFonts w:ascii="宋体"/>
          <w:sz w:val="21"/>
          <w:szCs w:val="21"/>
        </w:rPr>
      </w:pPr>
      <w:r>
        <w:rPr>
          <w:rFonts w:ascii="宋体"/>
          <w:sz w:val="21"/>
          <w:szCs w:val="21"/>
        </w:rPr>
        <w:t xml:space="preserve">                                          </w:t>
      </w:r>
      <w:r>
        <w:rPr>
          <w:rFonts w:hint="eastAsia" w:ascii="宋体"/>
          <w:sz w:val="21"/>
          <w:szCs w:val="21"/>
        </w:rPr>
        <w:t>年</w:t>
      </w:r>
      <w:r>
        <w:rPr>
          <w:rFonts w:ascii="宋体"/>
          <w:sz w:val="21"/>
          <w:szCs w:val="21"/>
        </w:rPr>
        <w:t xml:space="preserve">   </w:t>
      </w:r>
      <w:r>
        <w:rPr>
          <w:rFonts w:hint="eastAsia" w:ascii="宋体"/>
          <w:sz w:val="21"/>
          <w:szCs w:val="21"/>
        </w:rPr>
        <w:t>月</w:t>
      </w:r>
      <w:r>
        <w:rPr>
          <w:rFonts w:ascii="宋体"/>
          <w:sz w:val="21"/>
          <w:szCs w:val="21"/>
        </w:rPr>
        <w:t xml:space="preserve">    </w:t>
      </w:r>
      <w:r>
        <w:rPr>
          <w:rFonts w:hint="eastAsia" w:ascii="宋体"/>
          <w:sz w:val="21"/>
          <w:szCs w:val="21"/>
        </w:rPr>
        <w:t>日</w:t>
      </w:r>
    </w:p>
    <w:p>
      <w:pPr>
        <w:spacing w:line="400" w:lineRule="exact"/>
        <w:rPr>
          <w:rFonts w:ascii="宋体"/>
          <w:b/>
          <w:iCs/>
          <w:spacing w:val="20"/>
          <w:szCs w:val="21"/>
        </w:rPr>
      </w:pPr>
      <w:r>
        <w:rPr>
          <w:rFonts w:ascii="宋体"/>
          <w:szCs w:val="21"/>
        </w:rPr>
        <w:br w:type="page"/>
      </w:r>
      <w:r>
        <w:rPr>
          <w:rFonts w:ascii="宋体"/>
          <w:b/>
          <w:bCs/>
          <w:sz w:val="28"/>
          <w:szCs w:val="21"/>
        </w:rPr>
        <w:t>16.</w:t>
      </w:r>
      <w:r>
        <w:rPr>
          <w:rFonts w:hint="eastAsia" w:ascii="宋体"/>
          <w:b/>
          <w:bCs/>
          <w:sz w:val="28"/>
          <w:szCs w:val="21"/>
        </w:rPr>
        <w:t>报价明细表</w:t>
      </w:r>
      <w:r>
        <w:rPr>
          <w:rFonts w:hint="eastAsia" w:ascii="宋体" w:hAnsi="宋体"/>
          <w:b/>
          <w:iCs/>
          <w:spacing w:val="20"/>
          <w:szCs w:val="21"/>
        </w:rPr>
        <w:t>（格式可自拟）</w:t>
      </w:r>
    </w:p>
    <w:p>
      <w:pPr>
        <w:spacing w:line="400" w:lineRule="exact"/>
        <w:rPr>
          <w:rFonts w:ascii="宋体"/>
          <w:b/>
          <w:iCs/>
          <w:spacing w:val="20"/>
          <w:szCs w:val="21"/>
        </w:rPr>
      </w:pPr>
    </w:p>
    <w:p>
      <w:pPr>
        <w:spacing w:line="400" w:lineRule="exact"/>
        <w:jc w:val="center"/>
        <w:rPr>
          <w:rFonts w:ascii="宋体"/>
          <w:b/>
          <w:iCs/>
          <w:spacing w:val="20"/>
          <w:szCs w:val="21"/>
        </w:rPr>
      </w:pPr>
      <w:r>
        <w:rPr>
          <w:rFonts w:hint="eastAsia" w:ascii="宋体" w:hAnsi="宋体"/>
          <w:b/>
          <w:iCs/>
          <w:spacing w:val="20"/>
          <w:szCs w:val="21"/>
        </w:rPr>
        <w:t>报价明细表</w:t>
      </w:r>
    </w:p>
    <w:p>
      <w:pPr>
        <w:jc w:val="center"/>
        <w:rPr>
          <w:rFonts w:ascii="宋体"/>
          <w:b/>
          <w:iCs/>
          <w:spacing w:val="20"/>
          <w:szCs w:val="21"/>
        </w:rPr>
      </w:pPr>
    </w:p>
    <w:p>
      <w:pPr>
        <w:spacing w:line="400" w:lineRule="exact"/>
        <w:ind w:firstLine="514" w:firstLineChars="245"/>
      </w:pPr>
    </w:p>
    <w:tbl>
      <w:tblPr>
        <w:tblStyle w:val="29"/>
        <w:tblW w:w="1026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2520"/>
        <w:gridCol w:w="2160"/>
        <w:gridCol w:w="1246"/>
        <w:gridCol w:w="1274"/>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adjustRightInd w:val="0"/>
              <w:snapToGrid w:val="0"/>
              <w:spacing w:line="440" w:lineRule="exact"/>
              <w:jc w:val="center"/>
            </w:pPr>
            <w:r>
              <w:rPr>
                <w:rFonts w:hint="eastAsia"/>
              </w:rPr>
              <w:t>序号</w:t>
            </w:r>
          </w:p>
        </w:tc>
        <w:tc>
          <w:tcPr>
            <w:tcW w:w="1440" w:type="dxa"/>
            <w:vAlign w:val="center"/>
          </w:tcPr>
          <w:p>
            <w:pPr>
              <w:adjustRightInd w:val="0"/>
              <w:snapToGrid w:val="0"/>
              <w:spacing w:line="440" w:lineRule="exact"/>
              <w:jc w:val="center"/>
            </w:pPr>
            <w:r>
              <w:rPr>
                <w:rFonts w:hint="eastAsia"/>
              </w:rPr>
              <w:t>名称</w:t>
            </w:r>
          </w:p>
        </w:tc>
        <w:tc>
          <w:tcPr>
            <w:tcW w:w="2520" w:type="dxa"/>
            <w:vAlign w:val="center"/>
          </w:tcPr>
          <w:p>
            <w:pPr>
              <w:adjustRightInd w:val="0"/>
              <w:snapToGrid w:val="0"/>
              <w:spacing w:line="440" w:lineRule="exact"/>
              <w:jc w:val="center"/>
            </w:pPr>
            <w:r>
              <w:rPr>
                <w:rFonts w:hint="eastAsia"/>
              </w:rPr>
              <w:t>数量</w:t>
            </w:r>
          </w:p>
        </w:tc>
        <w:tc>
          <w:tcPr>
            <w:tcW w:w="2160" w:type="dxa"/>
            <w:vAlign w:val="center"/>
          </w:tcPr>
          <w:p>
            <w:pPr>
              <w:adjustRightInd w:val="0"/>
              <w:snapToGrid w:val="0"/>
              <w:spacing w:line="440" w:lineRule="exact"/>
              <w:jc w:val="center"/>
            </w:pPr>
            <w:r>
              <w:rPr>
                <w:rFonts w:hint="eastAsia"/>
              </w:rPr>
              <w:t>计量单位</w:t>
            </w:r>
          </w:p>
        </w:tc>
        <w:tc>
          <w:tcPr>
            <w:tcW w:w="1246" w:type="dxa"/>
            <w:vAlign w:val="center"/>
          </w:tcPr>
          <w:p>
            <w:pPr>
              <w:adjustRightInd w:val="0"/>
              <w:snapToGrid w:val="0"/>
              <w:spacing w:line="440" w:lineRule="exact"/>
              <w:jc w:val="center"/>
            </w:pPr>
            <w:r>
              <w:rPr>
                <w:rFonts w:hint="eastAsia"/>
              </w:rPr>
              <w:t>综合单价（元）</w:t>
            </w:r>
          </w:p>
        </w:tc>
        <w:tc>
          <w:tcPr>
            <w:tcW w:w="1274" w:type="dxa"/>
            <w:vAlign w:val="center"/>
          </w:tcPr>
          <w:p>
            <w:pPr>
              <w:adjustRightInd w:val="0"/>
              <w:snapToGrid w:val="0"/>
              <w:spacing w:line="440" w:lineRule="exact"/>
              <w:jc w:val="center"/>
            </w:pPr>
            <w:r>
              <w:rPr>
                <w:rFonts w:hint="eastAsia"/>
              </w:rPr>
              <w:t>合价（元）</w:t>
            </w:r>
          </w:p>
        </w:tc>
        <w:tc>
          <w:tcPr>
            <w:tcW w:w="900" w:type="dxa"/>
            <w:vAlign w:val="center"/>
          </w:tcPr>
          <w:p>
            <w:pPr>
              <w:widowControl/>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 w:type="dxa"/>
            <w:vAlign w:val="center"/>
          </w:tcPr>
          <w:p>
            <w:pPr>
              <w:adjustRightInd w:val="0"/>
              <w:snapToGrid w:val="0"/>
              <w:spacing w:line="440" w:lineRule="exact"/>
              <w:jc w:val="center"/>
            </w:pPr>
            <w:r>
              <w:t>1</w:t>
            </w:r>
          </w:p>
        </w:tc>
        <w:tc>
          <w:tcPr>
            <w:tcW w:w="1440" w:type="dxa"/>
            <w:vAlign w:val="center"/>
          </w:tcPr>
          <w:p>
            <w:pPr>
              <w:adjustRightInd w:val="0"/>
              <w:snapToGrid w:val="0"/>
              <w:spacing w:line="360" w:lineRule="exact"/>
              <w:jc w:val="center"/>
            </w:pPr>
          </w:p>
        </w:tc>
        <w:tc>
          <w:tcPr>
            <w:tcW w:w="2520" w:type="dxa"/>
            <w:vAlign w:val="center"/>
          </w:tcPr>
          <w:p>
            <w:pPr>
              <w:adjustRightInd w:val="0"/>
              <w:snapToGrid w:val="0"/>
              <w:spacing w:line="360" w:lineRule="exact"/>
              <w:jc w:val="center"/>
            </w:pPr>
          </w:p>
        </w:tc>
        <w:tc>
          <w:tcPr>
            <w:tcW w:w="2160" w:type="dxa"/>
            <w:vAlign w:val="center"/>
          </w:tcPr>
          <w:p>
            <w:pPr>
              <w:adjustRightInd w:val="0"/>
              <w:snapToGrid w:val="0"/>
              <w:spacing w:line="360" w:lineRule="exact"/>
              <w:jc w:val="center"/>
            </w:pPr>
          </w:p>
        </w:tc>
        <w:tc>
          <w:tcPr>
            <w:tcW w:w="1246" w:type="dxa"/>
            <w:vAlign w:val="center"/>
          </w:tcPr>
          <w:p>
            <w:pPr>
              <w:adjustRightInd w:val="0"/>
              <w:snapToGrid w:val="0"/>
              <w:spacing w:line="360" w:lineRule="exact"/>
              <w:jc w:val="center"/>
            </w:pPr>
          </w:p>
        </w:tc>
        <w:tc>
          <w:tcPr>
            <w:tcW w:w="1274" w:type="dxa"/>
            <w:vAlign w:val="center"/>
          </w:tcPr>
          <w:p>
            <w:pPr>
              <w:adjustRightInd w:val="0"/>
              <w:snapToGrid w:val="0"/>
              <w:spacing w:line="360" w:lineRule="exact"/>
              <w:jc w:val="center"/>
            </w:pPr>
          </w:p>
        </w:tc>
        <w:tc>
          <w:tcPr>
            <w:tcW w:w="900" w:type="dxa"/>
            <w:vMerge w:val="restart"/>
            <w:vAlign w:val="center"/>
          </w:tcPr>
          <w:p>
            <w:pPr>
              <w:widowControl/>
              <w:spacing w:line="3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 w:type="dxa"/>
            <w:vAlign w:val="center"/>
          </w:tcPr>
          <w:p>
            <w:pPr>
              <w:adjustRightInd w:val="0"/>
              <w:snapToGrid w:val="0"/>
              <w:spacing w:line="440" w:lineRule="exact"/>
              <w:jc w:val="center"/>
            </w:pPr>
            <w:r>
              <w:t>2</w:t>
            </w:r>
          </w:p>
        </w:tc>
        <w:tc>
          <w:tcPr>
            <w:tcW w:w="1440" w:type="dxa"/>
            <w:vAlign w:val="center"/>
          </w:tcPr>
          <w:p>
            <w:pPr>
              <w:adjustRightInd w:val="0"/>
              <w:snapToGrid w:val="0"/>
              <w:spacing w:line="440" w:lineRule="exact"/>
              <w:jc w:val="center"/>
            </w:pPr>
          </w:p>
        </w:tc>
        <w:tc>
          <w:tcPr>
            <w:tcW w:w="2520" w:type="dxa"/>
            <w:vAlign w:val="center"/>
          </w:tcPr>
          <w:p>
            <w:pPr>
              <w:adjustRightInd w:val="0"/>
              <w:snapToGrid w:val="0"/>
              <w:spacing w:line="440" w:lineRule="exact"/>
              <w:jc w:val="center"/>
              <w:rPr>
                <w:rFonts w:ascii="宋体" w:cs="Arial"/>
                <w:kern w:val="0"/>
                <w:szCs w:val="21"/>
              </w:rPr>
            </w:pPr>
          </w:p>
        </w:tc>
        <w:tc>
          <w:tcPr>
            <w:tcW w:w="2160" w:type="dxa"/>
            <w:vAlign w:val="center"/>
          </w:tcPr>
          <w:p>
            <w:pPr>
              <w:adjustRightInd w:val="0"/>
              <w:snapToGrid w:val="0"/>
              <w:spacing w:line="360" w:lineRule="exact"/>
              <w:jc w:val="center"/>
              <w:rPr>
                <w:rFonts w:ascii="宋体" w:cs="Arial"/>
                <w:kern w:val="0"/>
                <w:szCs w:val="21"/>
              </w:rPr>
            </w:pPr>
          </w:p>
        </w:tc>
        <w:tc>
          <w:tcPr>
            <w:tcW w:w="1246" w:type="dxa"/>
            <w:vAlign w:val="center"/>
          </w:tcPr>
          <w:p>
            <w:pPr>
              <w:adjustRightInd w:val="0"/>
              <w:snapToGrid w:val="0"/>
              <w:spacing w:line="440" w:lineRule="exact"/>
              <w:jc w:val="center"/>
            </w:pPr>
          </w:p>
        </w:tc>
        <w:tc>
          <w:tcPr>
            <w:tcW w:w="1274" w:type="dxa"/>
            <w:vAlign w:val="center"/>
          </w:tcPr>
          <w:p>
            <w:pPr>
              <w:adjustRightInd w:val="0"/>
              <w:snapToGrid w:val="0"/>
              <w:spacing w:line="440" w:lineRule="exact"/>
              <w:jc w:val="center"/>
            </w:pPr>
          </w:p>
        </w:tc>
        <w:tc>
          <w:tcPr>
            <w:tcW w:w="900" w:type="dxa"/>
            <w:vMerge w:val="continue"/>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adjustRightInd w:val="0"/>
              <w:snapToGrid w:val="0"/>
              <w:spacing w:line="440" w:lineRule="exact"/>
              <w:jc w:val="center"/>
            </w:pPr>
            <w:r>
              <w:t>…</w:t>
            </w:r>
          </w:p>
        </w:tc>
        <w:tc>
          <w:tcPr>
            <w:tcW w:w="9540" w:type="dxa"/>
            <w:gridSpan w:val="6"/>
            <w:vAlign w:val="center"/>
          </w:tcPr>
          <w:p>
            <w:pPr>
              <w:widowControl/>
              <w:ind w:firstLine="1785" w:firstLineChars="850"/>
              <w:jc w:val="left"/>
            </w:pPr>
            <w:r>
              <w:rPr>
                <w:rFonts w:hint="eastAsia"/>
              </w:rPr>
              <w:t>合计：</w:t>
            </w:r>
            <w:r>
              <w:t xml:space="preserve">               </w:t>
            </w:r>
            <w:r>
              <w:rPr>
                <w:rFonts w:hint="eastAsia"/>
              </w:rPr>
              <w:t>元</w:t>
            </w:r>
          </w:p>
        </w:tc>
      </w:tr>
    </w:tbl>
    <w:p>
      <w:pPr>
        <w:adjustRightInd w:val="0"/>
        <w:snapToGrid w:val="0"/>
        <w:spacing w:line="440" w:lineRule="exact"/>
      </w:pPr>
    </w:p>
    <w:p>
      <w:pPr>
        <w:pStyle w:val="6"/>
        <w:spacing w:line="360" w:lineRule="auto"/>
        <w:ind w:firstLine="4830" w:firstLineChars="2300"/>
        <w:rPr>
          <w:rFonts w:ascii="宋体"/>
          <w:sz w:val="21"/>
          <w:szCs w:val="21"/>
        </w:rPr>
      </w:pPr>
    </w:p>
    <w:p>
      <w:pPr>
        <w:pStyle w:val="6"/>
        <w:spacing w:line="360" w:lineRule="auto"/>
        <w:ind w:firstLine="4830" w:firstLineChars="2300"/>
        <w:rPr>
          <w:rFonts w:ascii="宋体"/>
          <w:sz w:val="21"/>
          <w:szCs w:val="21"/>
        </w:rPr>
      </w:pPr>
      <w:r>
        <w:rPr>
          <w:rFonts w:hint="eastAsia" w:ascii="宋体"/>
          <w:sz w:val="21"/>
          <w:szCs w:val="21"/>
        </w:rPr>
        <w:t>投标人（盖公章）：</w:t>
      </w:r>
    </w:p>
    <w:p>
      <w:pPr>
        <w:pStyle w:val="6"/>
        <w:spacing w:line="360" w:lineRule="auto"/>
        <w:rPr>
          <w:rFonts w:ascii="宋体"/>
          <w:sz w:val="21"/>
          <w:szCs w:val="21"/>
        </w:rPr>
      </w:pPr>
      <w:r>
        <w:rPr>
          <w:rFonts w:ascii="宋体"/>
          <w:sz w:val="21"/>
          <w:szCs w:val="21"/>
        </w:rPr>
        <w:t xml:space="preserve">                                     </w:t>
      </w:r>
      <w:r>
        <w:rPr>
          <w:rFonts w:hint="eastAsia" w:ascii="宋体"/>
          <w:sz w:val="21"/>
          <w:szCs w:val="21"/>
        </w:rPr>
        <w:t>法定代表人</w:t>
      </w:r>
      <w:r>
        <w:rPr>
          <w:rFonts w:hint="eastAsia" w:ascii="宋体"/>
          <w:bCs/>
          <w:sz w:val="21"/>
          <w:szCs w:val="21"/>
        </w:rPr>
        <w:t>（或委托代理人）</w:t>
      </w:r>
      <w:r>
        <w:rPr>
          <w:rFonts w:hint="eastAsia" w:ascii="宋体"/>
          <w:sz w:val="21"/>
          <w:szCs w:val="21"/>
        </w:rPr>
        <w:t>（签字或盖章）：</w:t>
      </w:r>
    </w:p>
    <w:p>
      <w:pPr>
        <w:pStyle w:val="6"/>
        <w:spacing w:line="360" w:lineRule="auto"/>
        <w:rPr>
          <w:rFonts w:ascii="宋体"/>
          <w:sz w:val="21"/>
          <w:szCs w:val="21"/>
        </w:rPr>
      </w:pPr>
      <w:r>
        <w:rPr>
          <w:rFonts w:ascii="宋体"/>
          <w:sz w:val="21"/>
          <w:szCs w:val="21"/>
        </w:rPr>
        <w:t xml:space="preserve">                                          </w:t>
      </w:r>
      <w:r>
        <w:rPr>
          <w:rFonts w:hint="eastAsia" w:ascii="宋体"/>
          <w:sz w:val="21"/>
          <w:szCs w:val="21"/>
        </w:rPr>
        <w:t>年</w:t>
      </w:r>
      <w:r>
        <w:rPr>
          <w:rFonts w:ascii="宋体"/>
          <w:sz w:val="21"/>
          <w:szCs w:val="21"/>
        </w:rPr>
        <w:t xml:space="preserve">   </w:t>
      </w:r>
      <w:r>
        <w:rPr>
          <w:rFonts w:hint="eastAsia" w:ascii="宋体"/>
          <w:sz w:val="21"/>
          <w:szCs w:val="21"/>
        </w:rPr>
        <w:t>月</w:t>
      </w:r>
      <w:r>
        <w:rPr>
          <w:rFonts w:ascii="宋体"/>
          <w:sz w:val="21"/>
          <w:szCs w:val="21"/>
        </w:rPr>
        <w:t xml:space="preserve">    </w:t>
      </w:r>
      <w:r>
        <w:rPr>
          <w:rFonts w:hint="eastAsia" w:ascii="宋体"/>
          <w:sz w:val="21"/>
          <w:szCs w:val="21"/>
        </w:rPr>
        <w:t>日</w:t>
      </w:r>
    </w:p>
    <w:p>
      <w:pPr>
        <w:spacing w:line="360" w:lineRule="auto"/>
        <w:ind w:firstLine="480" w:firstLineChars="200"/>
        <w:jc w:val="right"/>
        <w:rPr>
          <w:rFonts w:ascii="宋体"/>
          <w:bCs/>
          <w:sz w:val="24"/>
        </w:rPr>
      </w:pPr>
    </w:p>
    <w:p>
      <w:pPr>
        <w:pStyle w:val="71"/>
        <w:snapToGrid w:val="0"/>
        <w:spacing w:line="400" w:lineRule="exact"/>
        <w:jc w:val="center"/>
        <w:rPr>
          <w:rFonts w:ascii="方正小标宋简体" w:hAnsi="方正小标宋简体" w:eastAsia="方正小标宋简体" w:cs="方正小标宋简体"/>
          <w:b/>
          <w:sz w:val="32"/>
          <w:szCs w:val="32"/>
        </w:rPr>
      </w:pPr>
    </w:p>
    <w:p>
      <w:pPr>
        <w:pStyle w:val="71"/>
        <w:snapToGrid w:val="0"/>
        <w:spacing w:line="400" w:lineRule="exact"/>
        <w:jc w:val="center"/>
        <w:rPr>
          <w:rFonts w:ascii="方正小标宋简体" w:hAnsi="方正小标宋简体" w:eastAsia="方正小标宋简体" w:cs="方正小标宋简体"/>
          <w:b/>
          <w:sz w:val="32"/>
          <w:szCs w:val="32"/>
        </w:rPr>
      </w:pPr>
    </w:p>
    <w:p>
      <w:pPr>
        <w:pStyle w:val="71"/>
        <w:snapToGrid w:val="0"/>
        <w:spacing w:line="400" w:lineRule="exact"/>
        <w:jc w:val="center"/>
        <w:rPr>
          <w:rFonts w:ascii="方正小标宋简体" w:hAnsi="方正小标宋简体" w:eastAsia="方正小标宋简体" w:cs="方正小标宋简体"/>
          <w:b/>
          <w:sz w:val="32"/>
          <w:szCs w:val="32"/>
        </w:rPr>
      </w:pPr>
    </w:p>
    <w:p>
      <w:pPr>
        <w:pStyle w:val="71"/>
        <w:snapToGrid w:val="0"/>
        <w:spacing w:line="400" w:lineRule="exact"/>
        <w:jc w:val="center"/>
        <w:rPr>
          <w:rFonts w:ascii="方正小标宋简体" w:hAnsi="方正小标宋简体" w:eastAsia="方正小标宋简体" w:cs="方正小标宋简体"/>
          <w:b/>
          <w:sz w:val="32"/>
          <w:szCs w:val="32"/>
        </w:rPr>
      </w:pPr>
    </w:p>
    <w:p>
      <w:pPr>
        <w:pStyle w:val="71"/>
        <w:snapToGrid w:val="0"/>
        <w:spacing w:line="400" w:lineRule="exact"/>
        <w:jc w:val="center"/>
        <w:rPr>
          <w:rFonts w:ascii="方正小标宋简体" w:hAnsi="方正小标宋简体" w:eastAsia="方正小标宋简体" w:cs="方正小标宋简体"/>
          <w:b/>
          <w:sz w:val="32"/>
          <w:szCs w:val="32"/>
        </w:rPr>
      </w:pPr>
    </w:p>
    <w:p>
      <w:pPr>
        <w:pStyle w:val="71"/>
        <w:snapToGrid w:val="0"/>
        <w:spacing w:line="400" w:lineRule="exact"/>
        <w:jc w:val="center"/>
        <w:rPr>
          <w:rFonts w:ascii="方正小标宋简体" w:hAnsi="方正小标宋简体" w:eastAsia="方正小标宋简体" w:cs="方正小标宋简体"/>
          <w:b/>
          <w:sz w:val="32"/>
          <w:szCs w:val="32"/>
        </w:rPr>
      </w:pPr>
    </w:p>
    <w:p>
      <w:pPr>
        <w:pStyle w:val="71"/>
        <w:snapToGrid w:val="0"/>
        <w:spacing w:line="400" w:lineRule="exact"/>
        <w:jc w:val="center"/>
        <w:rPr>
          <w:rFonts w:ascii="方正小标宋简体" w:hAnsi="方正小标宋简体" w:eastAsia="方正小标宋简体" w:cs="方正小标宋简体"/>
          <w:b/>
          <w:sz w:val="32"/>
          <w:szCs w:val="32"/>
        </w:rPr>
      </w:pPr>
    </w:p>
    <w:p>
      <w:pPr>
        <w:pStyle w:val="71"/>
        <w:snapToGrid w:val="0"/>
        <w:spacing w:line="400" w:lineRule="exact"/>
        <w:jc w:val="center"/>
        <w:rPr>
          <w:rFonts w:ascii="方正小标宋简体" w:hAnsi="方正小标宋简体" w:eastAsia="方正小标宋简体" w:cs="方正小标宋简体"/>
          <w:b/>
          <w:sz w:val="32"/>
          <w:szCs w:val="32"/>
        </w:rPr>
      </w:pPr>
    </w:p>
    <w:p>
      <w:pPr>
        <w:pStyle w:val="71"/>
        <w:snapToGrid w:val="0"/>
        <w:spacing w:line="400" w:lineRule="exact"/>
        <w:jc w:val="center"/>
        <w:rPr>
          <w:rFonts w:ascii="方正小标宋简体" w:hAnsi="方正小标宋简体" w:eastAsia="方正小标宋简体" w:cs="方正小标宋简体"/>
          <w:b/>
          <w:sz w:val="32"/>
          <w:szCs w:val="32"/>
        </w:rPr>
      </w:pPr>
    </w:p>
    <w:p>
      <w:pPr>
        <w:pStyle w:val="71"/>
        <w:snapToGrid w:val="0"/>
        <w:spacing w:line="400" w:lineRule="exact"/>
        <w:jc w:val="center"/>
        <w:rPr>
          <w:rFonts w:ascii="方正小标宋简体" w:hAnsi="方正小标宋简体" w:eastAsia="方正小标宋简体" w:cs="方正小标宋简体"/>
          <w:b/>
          <w:sz w:val="32"/>
          <w:szCs w:val="32"/>
        </w:rPr>
      </w:pPr>
    </w:p>
    <w:p>
      <w:pPr>
        <w:pStyle w:val="71"/>
        <w:snapToGrid w:val="0"/>
        <w:spacing w:line="400" w:lineRule="exact"/>
        <w:jc w:val="center"/>
        <w:rPr>
          <w:rFonts w:ascii="方正小标宋简体" w:hAnsi="方正小标宋简体" w:eastAsia="方正小标宋简体" w:cs="方正小标宋简体"/>
          <w:b/>
          <w:sz w:val="32"/>
          <w:szCs w:val="32"/>
        </w:rPr>
      </w:pPr>
    </w:p>
    <w:p>
      <w:pPr>
        <w:pStyle w:val="71"/>
        <w:snapToGrid w:val="0"/>
        <w:spacing w:line="400" w:lineRule="exact"/>
        <w:jc w:val="center"/>
        <w:rPr>
          <w:rFonts w:ascii="方正小标宋简体" w:hAnsi="方正小标宋简体" w:eastAsia="方正小标宋简体" w:cs="方正小标宋简体"/>
          <w:b/>
          <w:sz w:val="32"/>
          <w:szCs w:val="32"/>
        </w:rPr>
      </w:pPr>
    </w:p>
    <w:p>
      <w:pPr>
        <w:pStyle w:val="71"/>
        <w:snapToGrid w:val="0"/>
        <w:spacing w:line="400" w:lineRule="exact"/>
        <w:jc w:val="center"/>
        <w:rPr>
          <w:rFonts w:ascii="方正小标宋简体" w:hAnsi="方正小标宋简体" w:eastAsia="方正小标宋简体" w:cs="方正小标宋简体"/>
          <w:b/>
          <w:sz w:val="32"/>
          <w:szCs w:val="32"/>
        </w:rPr>
      </w:pPr>
    </w:p>
    <w:p>
      <w:pPr>
        <w:pStyle w:val="71"/>
        <w:snapToGrid w:val="0"/>
        <w:spacing w:line="400" w:lineRule="exact"/>
        <w:jc w:val="center"/>
        <w:rPr>
          <w:rFonts w:ascii="方正小标宋简体" w:hAnsi="方正小标宋简体" w:eastAsia="方正小标宋简体" w:cs="方正小标宋简体"/>
          <w:b/>
          <w:sz w:val="32"/>
          <w:szCs w:val="32"/>
        </w:rPr>
      </w:pPr>
    </w:p>
    <w:p>
      <w:pPr>
        <w:pStyle w:val="71"/>
        <w:snapToGrid w:val="0"/>
        <w:spacing w:line="400" w:lineRule="exact"/>
        <w:jc w:val="center"/>
        <w:rPr>
          <w:rFonts w:ascii="方正小标宋简体" w:hAnsi="方正小标宋简体" w:eastAsia="方正小标宋简体" w:cs="方正小标宋简体"/>
          <w:b/>
          <w:sz w:val="32"/>
          <w:szCs w:val="32"/>
        </w:rPr>
      </w:pPr>
    </w:p>
    <w:p>
      <w:pPr>
        <w:pStyle w:val="71"/>
        <w:snapToGrid w:val="0"/>
        <w:spacing w:line="400" w:lineRule="exact"/>
        <w:jc w:val="center"/>
        <w:rPr>
          <w:rFonts w:ascii="方正小标宋简体" w:hAnsi="方正小标宋简体" w:eastAsia="方正小标宋简体" w:cs="方正小标宋简体"/>
          <w:b/>
          <w:sz w:val="32"/>
          <w:szCs w:val="32"/>
        </w:rPr>
      </w:pPr>
    </w:p>
    <w:p>
      <w:pPr>
        <w:pStyle w:val="71"/>
        <w:snapToGrid w:val="0"/>
        <w:spacing w:line="400" w:lineRule="exact"/>
        <w:jc w:val="center"/>
        <w:rPr>
          <w:rFonts w:ascii="方正小标宋简体" w:hAnsi="方正小标宋简体" w:eastAsia="方正小标宋简体" w:cs="方正小标宋简体"/>
          <w:b/>
          <w:sz w:val="32"/>
          <w:szCs w:val="32"/>
        </w:rPr>
      </w:pPr>
    </w:p>
    <w:p>
      <w:pPr>
        <w:pStyle w:val="71"/>
        <w:snapToGrid w:val="0"/>
        <w:spacing w:line="400" w:lineRule="exact"/>
        <w:jc w:val="center"/>
        <w:rPr>
          <w:rFonts w:ascii="方正小标宋简体" w:hAnsi="方正小标宋简体" w:eastAsia="方正小标宋简体" w:cs="方正小标宋简体"/>
          <w:b/>
          <w:sz w:val="32"/>
          <w:szCs w:val="32"/>
        </w:rPr>
      </w:pPr>
    </w:p>
    <w:p>
      <w:pPr>
        <w:pStyle w:val="71"/>
        <w:snapToGrid w:val="0"/>
        <w:spacing w:line="400" w:lineRule="exact"/>
        <w:jc w:val="center"/>
        <w:rPr>
          <w:rFonts w:ascii="方正小标宋简体" w:hAnsi="方正小标宋简体" w:eastAsia="方正小标宋简体" w:cs="方正小标宋简体"/>
          <w:b/>
          <w:sz w:val="32"/>
          <w:szCs w:val="32"/>
        </w:rPr>
      </w:pPr>
      <w:r>
        <w:rPr>
          <w:rFonts w:hint="eastAsia" w:ascii="方正小标宋简体" w:hAnsi="方正小标宋简体" w:eastAsia="方正小标宋简体" w:cs="方正小标宋简体"/>
          <w:b/>
          <w:sz w:val="32"/>
          <w:szCs w:val="32"/>
        </w:rPr>
        <w:t>政府采购活动现场确认声明书</w:t>
      </w:r>
    </w:p>
    <w:p>
      <w:pPr>
        <w:pStyle w:val="71"/>
        <w:snapToGrid w:val="0"/>
        <w:spacing w:line="400" w:lineRule="exact"/>
        <w:jc w:val="center"/>
        <w:outlineLvl w:val="0"/>
        <w:rPr>
          <w:rFonts w:hAnsi="宋体" w:cs="宋体"/>
          <w:b/>
          <w:sz w:val="22"/>
          <w:szCs w:val="22"/>
        </w:rPr>
      </w:pPr>
      <w:bookmarkStart w:id="48" w:name="_Toc20332"/>
      <w:r>
        <w:rPr>
          <w:rFonts w:hint="eastAsia" w:hAnsi="宋体" w:cs="宋体"/>
          <w:b/>
          <w:sz w:val="22"/>
          <w:szCs w:val="22"/>
        </w:rPr>
        <w:t>（要求在电子投标文件解密后，将以下表格填写完成后，在通过邮件方式将照片传</w:t>
      </w:r>
      <w:bookmarkEnd w:id="48"/>
    </w:p>
    <w:p>
      <w:pPr>
        <w:pStyle w:val="71"/>
        <w:snapToGrid w:val="0"/>
        <w:spacing w:line="400" w:lineRule="exact"/>
        <w:outlineLvl w:val="0"/>
        <w:rPr>
          <w:rFonts w:hAnsi="宋体" w:cs="宋体"/>
          <w:b/>
          <w:sz w:val="24"/>
          <w:szCs w:val="24"/>
        </w:rPr>
      </w:pPr>
      <w:bookmarkStart w:id="49" w:name="_Toc1141"/>
      <w:r>
        <w:rPr>
          <w:rFonts w:hint="eastAsia" w:hAnsi="宋体" w:cs="宋体"/>
          <w:b/>
          <w:sz w:val="24"/>
          <w:szCs w:val="24"/>
        </w:rPr>
        <w:t>给代理公司（邮箱：</w:t>
      </w:r>
      <w:r>
        <w:fldChar w:fldCharType="begin"/>
      </w:r>
      <w:r>
        <w:instrText xml:space="preserve"> HYPERLINK "mailto:513279454@qq.com" </w:instrText>
      </w:r>
      <w:r>
        <w:fldChar w:fldCharType="separate"/>
      </w:r>
      <w:r>
        <w:rPr>
          <w:rFonts w:hAnsi="宋体" w:cs="宋体"/>
          <w:b/>
          <w:sz w:val="24"/>
          <w:szCs w:val="24"/>
        </w:rPr>
        <w:t>313067765@qq.com</w:t>
      </w:r>
      <w:r>
        <w:rPr>
          <w:rFonts w:hAnsi="宋体" w:cs="宋体"/>
          <w:b/>
          <w:sz w:val="24"/>
          <w:szCs w:val="24"/>
        </w:rPr>
        <w:fldChar w:fldCharType="end"/>
      </w:r>
      <w:r>
        <w:rPr>
          <w:rFonts w:hint="eastAsia" w:hAnsi="宋体" w:cs="宋体"/>
          <w:b/>
          <w:sz w:val="24"/>
          <w:szCs w:val="24"/>
        </w:rPr>
        <w:t>）</w:t>
      </w:r>
      <w:bookmarkEnd w:id="49"/>
    </w:p>
    <w:p>
      <w:pPr>
        <w:pStyle w:val="71"/>
        <w:snapToGrid w:val="0"/>
        <w:spacing w:line="400" w:lineRule="exact"/>
        <w:rPr>
          <w:rFonts w:ascii="微软雅黑" w:hAnsi="微软雅黑" w:eastAsia="微软雅黑"/>
          <w:kern w:val="0"/>
          <w:sz w:val="21"/>
          <w:szCs w:val="21"/>
        </w:rPr>
      </w:pPr>
      <w:r>
        <w:rPr>
          <w:rFonts w:ascii="微软雅黑" w:hAnsi="微软雅黑" w:eastAsia="微软雅黑"/>
          <w:kern w:val="0"/>
          <w:sz w:val="21"/>
          <w:szCs w:val="21"/>
        </w:rPr>
        <w:t>:</w:t>
      </w:r>
      <w:r>
        <w:rPr>
          <w:rFonts w:hint="eastAsia" w:ascii="微软雅黑" w:hAnsi="微软雅黑" w:eastAsia="微软雅黑"/>
          <w:kern w:val="0"/>
          <w:sz w:val="21"/>
          <w:szCs w:val="21"/>
        </w:rPr>
        <w:t>（采购人）</w:t>
      </w:r>
    </w:p>
    <w:p>
      <w:pPr>
        <w:pStyle w:val="71"/>
        <w:snapToGrid w:val="0"/>
        <w:spacing w:line="400" w:lineRule="exact"/>
        <w:ind w:firstLine="444" w:firstLineChars="200"/>
        <w:rPr>
          <w:rFonts w:ascii="微软雅黑" w:hAnsi="微软雅黑" w:eastAsia="微软雅黑"/>
          <w:spacing w:val="6"/>
          <w:sz w:val="21"/>
          <w:szCs w:val="21"/>
        </w:rPr>
      </w:pPr>
      <w:r>
        <w:rPr>
          <w:rFonts w:hint="eastAsia" w:ascii="微软雅黑" w:hAnsi="微软雅黑" w:eastAsia="微软雅黑"/>
          <w:spacing w:val="6"/>
          <w:sz w:val="21"/>
          <w:szCs w:val="21"/>
        </w:rPr>
        <w:t>本人经由</w:t>
      </w:r>
      <w:r>
        <w:rPr>
          <w:rFonts w:ascii="微软雅黑" w:hAnsi="微软雅黑" w:eastAsia="微软雅黑"/>
          <w:spacing w:val="6"/>
          <w:sz w:val="21"/>
          <w:szCs w:val="21"/>
          <w:u w:val="single"/>
        </w:rPr>
        <w:t xml:space="preserve">                  </w:t>
      </w:r>
      <w:r>
        <w:rPr>
          <w:rFonts w:hint="eastAsia" w:ascii="微软雅黑" w:hAnsi="微软雅黑" w:eastAsia="微软雅黑"/>
          <w:spacing w:val="6"/>
          <w:sz w:val="21"/>
          <w:szCs w:val="21"/>
          <w:u w:val="single"/>
        </w:rPr>
        <w:t>（单位）</w:t>
      </w:r>
      <w:r>
        <w:rPr>
          <w:rFonts w:hint="eastAsia" w:ascii="微软雅黑" w:hAnsi="微软雅黑" w:eastAsia="微软雅黑"/>
          <w:spacing w:val="6"/>
          <w:sz w:val="21"/>
          <w:szCs w:val="21"/>
        </w:rPr>
        <w:t>负责人</w:t>
      </w:r>
      <w:r>
        <w:rPr>
          <w:rFonts w:ascii="微软雅黑" w:hAnsi="微软雅黑" w:eastAsia="微软雅黑"/>
          <w:spacing w:val="6"/>
          <w:sz w:val="21"/>
          <w:szCs w:val="21"/>
          <w:u w:val="single"/>
        </w:rPr>
        <w:t xml:space="preserve">        </w:t>
      </w:r>
      <w:r>
        <w:rPr>
          <w:rFonts w:hint="eastAsia" w:ascii="微软雅黑" w:hAnsi="微软雅黑" w:eastAsia="微软雅黑"/>
          <w:spacing w:val="6"/>
          <w:sz w:val="21"/>
          <w:szCs w:val="21"/>
          <w:u w:val="single"/>
        </w:rPr>
        <w:t>（姓名）</w:t>
      </w:r>
      <w:r>
        <w:rPr>
          <w:rFonts w:hint="eastAsia" w:ascii="微软雅黑" w:hAnsi="微软雅黑" w:eastAsia="微软雅黑"/>
          <w:spacing w:val="6"/>
          <w:sz w:val="21"/>
          <w:szCs w:val="21"/>
        </w:rPr>
        <w:t>合法授权参加项目（编号：）政府采购活动，经与本单位法人代表（负责人）联系确认，现就有关公平竞争事项郑重声明如下：</w:t>
      </w:r>
      <w:r>
        <w:rPr>
          <w:rFonts w:ascii="微软雅黑" w:hAnsi="微软雅黑" w:eastAsia="微软雅黑"/>
          <w:spacing w:val="6"/>
          <w:sz w:val="21"/>
          <w:szCs w:val="21"/>
        </w:rPr>
        <w:t xml:space="preserve"> </w:t>
      </w:r>
    </w:p>
    <w:p>
      <w:pPr>
        <w:pStyle w:val="73"/>
        <w:widowControl/>
        <w:numPr>
          <w:ilvl w:val="0"/>
          <w:numId w:val="5"/>
        </w:numPr>
        <w:snapToGrid w:val="0"/>
        <w:spacing w:line="400" w:lineRule="exact"/>
        <w:ind w:firstLine="396" w:firstLineChars="189"/>
        <w:rPr>
          <w:rFonts w:ascii="微软雅黑" w:hAnsi="微软雅黑" w:eastAsia="微软雅黑"/>
          <w:kern w:val="0"/>
          <w:szCs w:val="21"/>
        </w:rPr>
      </w:pPr>
      <w:r>
        <w:rPr>
          <w:rFonts w:hint="eastAsia" w:ascii="微软雅黑" w:hAnsi="微软雅黑" w:eastAsia="微软雅黑"/>
          <w:kern w:val="0"/>
          <w:szCs w:val="21"/>
        </w:rPr>
        <w:t>本单位与采购人之间</w:t>
      </w:r>
      <w:r>
        <w:rPr>
          <w:rFonts w:ascii="微软雅黑" w:hAnsi="微软雅黑" w:eastAsia="微软雅黑"/>
          <w:kern w:val="0"/>
          <w:szCs w:val="21"/>
        </w:rPr>
        <w:t xml:space="preserve"> </w:t>
      </w:r>
      <w:r>
        <w:rPr>
          <w:rFonts w:ascii="微软雅黑" w:hAnsi="微软雅黑" w:eastAsia="微软雅黑" w:cs="宋体"/>
          <w:kern w:val="0"/>
          <w:szCs w:val="21"/>
        </w:rPr>
        <w:t>?</w:t>
      </w:r>
      <w:r>
        <w:rPr>
          <w:rFonts w:hint="eastAsia" w:ascii="微软雅黑" w:hAnsi="微软雅黑" w:eastAsia="微软雅黑"/>
          <w:kern w:val="0"/>
          <w:szCs w:val="21"/>
        </w:rPr>
        <w:t>不存在利害关系</w:t>
      </w:r>
      <w:r>
        <w:rPr>
          <w:rFonts w:ascii="微软雅黑" w:hAnsi="微软雅黑" w:eastAsia="微软雅黑"/>
          <w:kern w:val="0"/>
          <w:szCs w:val="21"/>
        </w:rPr>
        <w:t xml:space="preserve"> </w:t>
      </w:r>
      <w:r>
        <w:rPr>
          <w:rFonts w:ascii="微软雅黑" w:hAnsi="微软雅黑" w:eastAsia="微软雅黑" w:cs="宋体"/>
          <w:kern w:val="0"/>
          <w:szCs w:val="21"/>
        </w:rPr>
        <w:t>?</w:t>
      </w:r>
      <w:r>
        <w:rPr>
          <w:rFonts w:hint="eastAsia" w:ascii="微软雅黑" w:hAnsi="微软雅黑" w:eastAsia="微软雅黑"/>
          <w:kern w:val="0"/>
          <w:szCs w:val="21"/>
        </w:rPr>
        <w:t>存在下列利害关系：</w:t>
      </w:r>
    </w:p>
    <w:p>
      <w:pPr>
        <w:pStyle w:val="73"/>
        <w:widowControl/>
        <w:snapToGrid w:val="0"/>
        <w:spacing w:line="400" w:lineRule="exact"/>
        <w:rPr>
          <w:rFonts w:ascii="微软雅黑" w:hAnsi="微软雅黑" w:eastAsia="微软雅黑"/>
          <w:kern w:val="0"/>
          <w:szCs w:val="21"/>
        </w:rPr>
      </w:pPr>
      <w:r>
        <w:rPr>
          <w:rFonts w:ascii="微软雅黑" w:hAnsi="微软雅黑" w:eastAsia="微软雅黑"/>
          <w:kern w:val="0"/>
          <w:szCs w:val="21"/>
        </w:rPr>
        <w:t xml:space="preserve">  A.</w:t>
      </w:r>
      <w:r>
        <w:rPr>
          <w:rFonts w:hint="eastAsia" w:ascii="微软雅黑" w:hAnsi="微软雅黑" w:eastAsia="微软雅黑"/>
          <w:kern w:val="0"/>
          <w:szCs w:val="21"/>
        </w:rPr>
        <w:t>投资关系</w:t>
      </w:r>
      <w:r>
        <w:rPr>
          <w:rFonts w:ascii="微软雅黑" w:hAnsi="微软雅黑" w:eastAsia="微软雅黑"/>
          <w:kern w:val="0"/>
          <w:szCs w:val="21"/>
        </w:rPr>
        <w:t xml:space="preserve">    B.</w:t>
      </w:r>
      <w:r>
        <w:rPr>
          <w:rFonts w:hint="eastAsia" w:ascii="微软雅黑" w:hAnsi="微软雅黑" w:eastAsia="微软雅黑"/>
          <w:kern w:val="0"/>
          <w:szCs w:val="21"/>
        </w:rPr>
        <w:t>行政隶属关系</w:t>
      </w:r>
      <w:r>
        <w:rPr>
          <w:rFonts w:ascii="微软雅黑" w:hAnsi="微软雅黑" w:eastAsia="微软雅黑"/>
          <w:kern w:val="0"/>
          <w:szCs w:val="21"/>
        </w:rPr>
        <w:t xml:space="preserve">    C.</w:t>
      </w:r>
      <w:r>
        <w:rPr>
          <w:rFonts w:hint="eastAsia" w:ascii="微软雅黑" w:hAnsi="微软雅黑" w:eastAsia="微软雅黑"/>
          <w:kern w:val="0"/>
          <w:szCs w:val="21"/>
        </w:rPr>
        <w:t>业务指导关系</w:t>
      </w:r>
    </w:p>
    <w:p>
      <w:pPr>
        <w:pStyle w:val="73"/>
        <w:widowControl/>
        <w:snapToGrid w:val="0"/>
        <w:spacing w:line="400" w:lineRule="exact"/>
        <w:rPr>
          <w:rFonts w:ascii="微软雅黑" w:hAnsi="微软雅黑" w:eastAsia="微软雅黑"/>
          <w:kern w:val="0"/>
          <w:szCs w:val="21"/>
        </w:rPr>
      </w:pPr>
      <w:r>
        <w:rPr>
          <w:rFonts w:ascii="微软雅黑" w:hAnsi="微软雅黑" w:eastAsia="微软雅黑"/>
          <w:kern w:val="0"/>
          <w:szCs w:val="21"/>
        </w:rPr>
        <w:t xml:space="preserve">  D.</w:t>
      </w:r>
      <w:r>
        <w:rPr>
          <w:rFonts w:hint="eastAsia" w:ascii="微软雅黑" w:hAnsi="微软雅黑" w:eastAsia="微软雅黑"/>
          <w:kern w:val="0"/>
          <w:szCs w:val="21"/>
        </w:rPr>
        <w:t>其他可能</w:t>
      </w:r>
      <w:r>
        <w:rPr>
          <w:rFonts w:hint="eastAsia" w:ascii="微软雅黑" w:hAnsi="微软雅黑" w:eastAsia="微软雅黑"/>
          <w:szCs w:val="21"/>
        </w:rPr>
        <w:t>影响采购公正的</w:t>
      </w:r>
      <w:r>
        <w:rPr>
          <w:rFonts w:hint="eastAsia" w:ascii="微软雅黑" w:hAnsi="微软雅黑" w:eastAsia="微软雅黑"/>
          <w:kern w:val="0"/>
          <w:szCs w:val="21"/>
        </w:rPr>
        <w:t>利害关系</w:t>
      </w:r>
      <w:r>
        <w:rPr>
          <w:rFonts w:hint="eastAsia" w:ascii="微软雅黑" w:hAnsi="微软雅黑" w:eastAsia="微软雅黑"/>
          <w:kern w:val="0"/>
          <w:szCs w:val="21"/>
          <w:u w:val="single"/>
        </w:rPr>
        <w:t>（如有，请如实说明）</w:t>
      </w:r>
      <w:r>
        <w:rPr>
          <w:rFonts w:ascii="微软雅黑" w:hAnsi="微软雅黑" w:eastAsia="微软雅黑"/>
          <w:kern w:val="0"/>
          <w:szCs w:val="21"/>
          <w:u w:val="single"/>
        </w:rPr>
        <w:t xml:space="preserve">                 </w:t>
      </w:r>
      <w:r>
        <w:rPr>
          <w:rFonts w:hint="eastAsia" w:ascii="微软雅黑" w:hAnsi="微软雅黑" w:eastAsia="微软雅黑"/>
          <w:kern w:val="0"/>
          <w:szCs w:val="21"/>
        </w:rPr>
        <w:t>。</w:t>
      </w:r>
    </w:p>
    <w:p>
      <w:pPr>
        <w:pStyle w:val="73"/>
        <w:widowControl/>
        <w:snapToGrid w:val="0"/>
        <w:spacing w:line="400" w:lineRule="exact"/>
        <w:rPr>
          <w:rFonts w:ascii="微软雅黑" w:hAnsi="微软雅黑" w:eastAsia="微软雅黑"/>
          <w:kern w:val="0"/>
          <w:szCs w:val="21"/>
        </w:rPr>
      </w:pPr>
      <w:r>
        <w:rPr>
          <w:rFonts w:ascii="微软雅黑" w:hAnsi="微软雅黑" w:eastAsia="微软雅黑"/>
          <w:spacing w:val="6"/>
          <w:szCs w:val="21"/>
        </w:rPr>
        <w:t xml:space="preserve">  </w:t>
      </w:r>
      <w:r>
        <w:rPr>
          <w:rFonts w:hint="eastAsia" w:ascii="微软雅黑" w:hAnsi="微软雅黑" w:eastAsia="微软雅黑"/>
          <w:spacing w:val="6"/>
          <w:szCs w:val="21"/>
        </w:rPr>
        <w:t>二、</w:t>
      </w:r>
      <w:r>
        <w:rPr>
          <w:rFonts w:hint="eastAsia" w:ascii="微软雅黑" w:hAnsi="微软雅黑" w:eastAsia="微软雅黑"/>
          <w:kern w:val="0"/>
          <w:szCs w:val="21"/>
        </w:rPr>
        <w:t>现已清楚知道参加本项目采购活动的其他所有供应商名称，本单位</w:t>
      </w:r>
      <w:r>
        <w:rPr>
          <w:rFonts w:ascii="微软雅黑" w:hAnsi="微软雅黑" w:eastAsia="微软雅黑"/>
          <w:kern w:val="0"/>
          <w:szCs w:val="21"/>
        </w:rPr>
        <w:t xml:space="preserve"> </w:t>
      </w:r>
      <w:r>
        <w:rPr>
          <w:rFonts w:ascii="微软雅黑" w:hAnsi="微软雅黑" w:eastAsia="微软雅黑" w:cs="宋体"/>
          <w:kern w:val="0"/>
          <w:szCs w:val="21"/>
        </w:rPr>
        <w:t>?</w:t>
      </w:r>
      <w:r>
        <w:rPr>
          <w:rFonts w:hint="eastAsia" w:ascii="微软雅黑" w:hAnsi="微软雅黑" w:eastAsia="微软雅黑" w:cs="宋体"/>
          <w:kern w:val="0"/>
          <w:szCs w:val="21"/>
        </w:rPr>
        <w:t>与其他所有供应商之间均</w:t>
      </w:r>
      <w:r>
        <w:rPr>
          <w:rFonts w:hint="eastAsia" w:ascii="微软雅黑" w:hAnsi="微软雅黑" w:eastAsia="微软雅黑"/>
          <w:kern w:val="0"/>
          <w:szCs w:val="21"/>
        </w:rPr>
        <w:t>不存在利害关系</w:t>
      </w:r>
      <w:r>
        <w:rPr>
          <w:rFonts w:ascii="微软雅黑" w:hAnsi="微软雅黑" w:eastAsia="微软雅黑"/>
          <w:kern w:val="0"/>
          <w:szCs w:val="21"/>
        </w:rPr>
        <w:t xml:space="preserve"> </w:t>
      </w:r>
      <w:r>
        <w:rPr>
          <w:rFonts w:ascii="微软雅黑" w:hAnsi="微软雅黑" w:eastAsia="微软雅黑" w:cs="宋体"/>
          <w:kern w:val="0"/>
          <w:szCs w:val="21"/>
        </w:rPr>
        <w:t>?</w:t>
      </w:r>
      <w:r>
        <w:rPr>
          <w:rFonts w:hint="eastAsia" w:ascii="微软雅黑" w:hAnsi="微软雅黑" w:eastAsia="微软雅黑" w:cs="宋体"/>
          <w:kern w:val="0"/>
          <w:szCs w:val="21"/>
        </w:rPr>
        <w:t>与</w:t>
      </w:r>
      <w:r>
        <w:rPr>
          <w:rFonts w:ascii="微软雅黑" w:hAnsi="微软雅黑" w:eastAsia="微软雅黑" w:cs="宋体"/>
          <w:kern w:val="0"/>
          <w:szCs w:val="21"/>
          <w:u w:val="single"/>
        </w:rPr>
        <w:t xml:space="preserve">           </w:t>
      </w:r>
      <w:r>
        <w:rPr>
          <w:rFonts w:hint="eastAsia" w:ascii="微软雅黑" w:hAnsi="微软雅黑" w:eastAsia="微软雅黑" w:cs="宋体"/>
          <w:kern w:val="0"/>
          <w:szCs w:val="21"/>
          <w:u w:val="single"/>
        </w:rPr>
        <w:t>（供应商名称）</w:t>
      </w:r>
      <w:r>
        <w:rPr>
          <w:rFonts w:hint="eastAsia" w:ascii="微软雅黑" w:hAnsi="微软雅黑" w:eastAsia="微软雅黑" w:cs="宋体"/>
          <w:kern w:val="0"/>
          <w:szCs w:val="21"/>
        </w:rPr>
        <w:t>之间</w:t>
      </w:r>
      <w:r>
        <w:rPr>
          <w:rFonts w:hint="eastAsia" w:ascii="微软雅黑" w:hAnsi="微软雅黑" w:eastAsia="微软雅黑"/>
          <w:kern w:val="0"/>
          <w:szCs w:val="21"/>
        </w:rPr>
        <w:t>存在下列利害关系：</w:t>
      </w:r>
    </w:p>
    <w:p>
      <w:pPr>
        <w:pStyle w:val="71"/>
        <w:snapToGrid w:val="0"/>
        <w:spacing w:line="400" w:lineRule="exact"/>
        <w:rPr>
          <w:rFonts w:ascii="微软雅黑" w:hAnsi="微软雅黑" w:eastAsia="微软雅黑"/>
          <w:kern w:val="0"/>
          <w:sz w:val="21"/>
          <w:szCs w:val="21"/>
        </w:rPr>
      </w:pPr>
      <w:r>
        <w:rPr>
          <w:rFonts w:ascii="微软雅黑" w:hAnsi="微软雅黑" w:eastAsia="微软雅黑"/>
          <w:kern w:val="0"/>
          <w:sz w:val="21"/>
          <w:szCs w:val="21"/>
        </w:rPr>
        <w:t xml:space="preserve">  A.</w:t>
      </w:r>
      <w:r>
        <w:rPr>
          <w:rFonts w:hint="eastAsia" w:ascii="微软雅黑" w:hAnsi="微软雅黑" w:eastAsia="微软雅黑"/>
          <w:kern w:val="0"/>
          <w:sz w:val="21"/>
          <w:szCs w:val="21"/>
        </w:rPr>
        <w:t>法定代表人或负责人或实际控制人是同一人</w:t>
      </w:r>
    </w:p>
    <w:p>
      <w:pPr>
        <w:pStyle w:val="71"/>
        <w:snapToGrid w:val="0"/>
        <w:spacing w:line="400" w:lineRule="exact"/>
        <w:rPr>
          <w:rFonts w:ascii="微软雅黑" w:hAnsi="微软雅黑" w:eastAsia="微软雅黑"/>
          <w:spacing w:val="6"/>
          <w:sz w:val="21"/>
          <w:szCs w:val="21"/>
        </w:rPr>
      </w:pPr>
      <w:r>
        <w:rPr>
          <w:rFonts w:ascii="微软雅黑" w:hAnsi="微软雅黑" w:eastAsia="微软雅黑"/>
          <w:kern w:val="0"/>
          <w:sz w:val="21"/>
          <w:szCs w:val="21"/>
        </w:rPr>
        <w:t xml:space="preserve">  B.</w:t>
      </w:r>
      <w:r>
        <w:rPr>
          <w:rFonts w:hint="eastAsia" w:ascii="微软雅黑" w:hAnsi="微软雅黑" w:eastAsia="微软雅黑"/>
          <w:kern w:val="0"/>
          <w:sz w:val="21"/>
          <w:szCs w:val="21"/>
        </w:rPr>
        <w:t>法定代表人或负责人或实际控制人是夫妻关系</w:t>
      </w:r>
    </w:p>
    <w:p>
      <w:pPr>
        <w:pStyle w:val="71"/>
        <w:snapToGrid w:val="0"/>
        <w:spacing w:line="400" w:lineRule="exact"/>
        <w:rPr>
          <w:rFonts w:ascii="微软雅黑" w:hAnsi="微软雅黑" w:eastAsia="微软雅黑"/>
          <w:spacing w:val="6"/>
          <w:sz w:val="21"/>
          <w:szCs w:val="21"/>
        </w:rPr>
      </w:pPr>
      <w:r>
        <w:rPr>
          <w:rFonts w:ascii="微软雅黑" w:hAnsi="微软雅黑" w:eastAsia="微软雅黑"/>
          <w:kern w:val="0"/>
          <w:sz w:val="21"/>
          <w:szCs w:val="21"/>
        </w:rPr>
        <w:t xml:space="preserve">  C.</w:t>
      </w:r>
      <w:r>
        <w:rPr>
          <w:rFonts w:hint="eastAsia" w:ascii="微软雅黑" w:hAnsi="微软雅黑" w:eastAsia="微软雅黑"/>
          <w:kern w:val="0"/>
          <w:sz w:val="21"/>
          <w:szCs w:val="21"/>
        </w:rPr>
        <w:t>法定代表人或负责人或实际控制人是直系血亲关系</w:t>
      </w:r>
    </w:p>
    <w:p>
      <w:pPr>
        <w:pStyle w:val="71"/>
        <w:snapToGrid w:val="0"/>
        <w:spacing w:line="400" w:lineRule="exact"/>
        <w:rPr>
          <w:rFonts w:ascii="微软雅黑" w:hAnsi="微软雅黑" w:eastAsia="微软雅黑"/>
          <w:spacing w:val="6"/>
          <w:sz w:val="21"/>
          <w:szCs w:val="21"/>
        </w:rPr>
      </w:pPr>
      <w:r>
        <w:rPr>
          <w:rFonts w:ascii="微软雅黑" w:hAnsi="微软雅黑" w:eastAsia="微软雅黑"/>
          <w:kern w:val="0"/>
          <w:sz w:val="21"/>
          <w:szCs w:val="21"/>
        </w:rPr>
        <w:t xml:space="preserve">  D.</w:t>
      </w:r>
      <w:r>
        <w:rPr>
          <w:rFonts w:hint="eastAsia" w:ascii="微软雅黑" w:hAnsi="微软雅黑" w:eastAsia="微软雅黑"/>
          <w:kern w:val="0"/>
          <w:sz w:val="21"/>
          <w:szCs w:val="21"/>
        </w:rPr>
        <w:t>法定代表人或负责人或实际控制人存在三代以内旁系血亲关系</w:t>
      </w:r>
    </w:p>
    <w:p>
      <w:pPr>
        <w:pStyle w:val="71"/>
        <w:snapToGrid w:val="0"/>
        <w:spacing w:line="400" w:lineRule="exact"/>
        <w:rPr>
          <w:rFonts w:ascii="微软雅黑" w:hAnsi="微软雅黑" w:eastAsia="微软雅黑"/>
          <w:kern w:val="0"/>
          <w:sz w:val="21"/>
          <w:szCs w:val="21"/>
        </w:rPr>
      </w:pPr>
      <w:r>
        <w:rPr>
          <w:rFonts w:ascii="微软雅黑" w:hAnsi="微软雅黑" w:eastAsia="微软雅黑"/>
          <w:kern w:val="0"/>
          <w:sz w:val="21"/>
          <w:szCs w:val="21"/>
        </w:rPr>
        <w:t xml:space="preserve">  E.</w:t>
      </w:r>
      <w:r>
        <w:rPr>
          <w:rFonts w:hint="eastAsia" w:ascii="微软雅黑" w:hAnsi="微软雅黑" w:eastAsia="微软雅黑"/>
          <w:kern w:val="0"/>
          <w:sz w:val="21"/>
          <w:szCs w:val="21"/>
        </w:rPr>
        <w:t>法定代表人或负责人或实际控制人存在近姻亲关系</w:t>
      </w:r>
    </w:p>
    <w:p>
      <w:pPr>
        <w:pStyle w:val="71"/>
        <w:snapToGrid w:val="0"/>
        <w:spacing w:line="400" w:lineRule="exact"/>
        <w:rPr>
          <w:rFonts w:ascii="微软雅黑" w:hAnsi="微软雅黑" w:eastAsia="微软雅黑"/>
          <w:kern w:val="0"/>
          <w:sz w:val="21"/>
          <w:szCs w:val="21"/>
        </w:rPr>
      </w:pPr>
      <w:r>
        <w:rPr>
          <w:rFonts w:ascii="微软雅黑" w:hAnsi="微软雅黑" w:eastAsia="微软雅黑"/>
          <w:kern w:val="0"/>
          <w:sz w:val="21"/>
          <w:szCs w:val="21"/>
        </w:rPr>
        <w:t xml:space="preserve">  F.</w:t>
      </w:r>
      <w:r>
        <w:rPr>
          <w:rFonts w:hint="eastAsia" w:ascii="微软雅黑" w:hAnsi="微软雅黑" w:eastAsia="微软雅黑"/>
          <w:kern w:val="0"/>
          <w:sz w:val="21"/>
          <w:szCs w:val="21"/>
        </w:rPr>
        <w:t>法定代表人或负责人或实际控制人存在股份控制或实际控制关系</w:t>
      </w:r>
    </w:p>
    <w:p>
      <w:pPr>
        <w:pStyle w:val="71"/>
        <w:snapToGrid w:val="0"/>
        <w:spacing w:line="400" w:lineRule="exact"/>
        <w:rPr>
          <w:rFonts w:ascii="微软雅黑" w:hAnsi="微软雅黑" w:eastAsia="微软雅黑"/>
          <w:kern w:val="0"/>
          <w:sz w:val="21"/>
          <w:szCs w:val="21"/>
        </w:rPr>
      </w:pPr>
      <w:r>
        <w:rPr>
          <w:rFonts w:ascii="微软雅黑" w:hAnsi="微软雅黑" w:eastAsia="微软雅黑"/>
          <w:kern w:val="0"/>
          <w:sz w:val="21"/>
          <w:szCs w:val="21"/>
        </w:rPr>
        <w:t xml:space="preserve">  G.</w:t>
      </w:r>
      <w:r>
        <w:rPr>
          <w:rFonts w:hint="eastAsia" w:ascii="微软雅黑" w:hAnsi="微软雅黑" w:eastAsia="微软雅黑"/>
          <w:kern w:val="0"/>
          <w:sz w:val="21"/>
          <w:szCs w:val="21"/>
        </w:rPr>
        <w:t>存在共同直接或间接投资设立子公司、联营企业和合营企业情况</w:t>
      </w:r>
    </w:p>
    <w:p>
      <w:pPr>
        <w:pStyle w:val="71"/>
        <w:snapToGrid w:val="0"/>
        <w:spacing w:line="400" w:lineRule="exact"/>
        <w:rPr>
          <w:rFonts w:ascii="微软雅黑" w:hAnsi="微软雅黑" w:eastAsia="微软雅黑"/>
          <w:sz w:val="21"/>
          <w:szCs w:val="21"/>
        </w:rPr>
      </w:pPr>
      <w:r>
        <w:rPr>
          <w:rFonts w:ascii="微软雅黑" w:hAnsi="微软雅黑" w:eastAsia="微软雅黑"/>
          <w:kern w:val="0"/>
          <w:sz w:val="21"/>
          <w:szCs w:val="21"/>
        </w:rPr>
        <w:t xml:space="preserve">  H.</w:t>
      </w:r>
      <w:r>
        <w:rPr>
          <w:rFonts w:hint="eastAsia" w:ascii="微软雅黑" w:hAnsi="微软雅黑" w:eastAsia="微软雅黑"/>
          <w:kern w:val="0"/>
          <w:sz w:val="21"/>
          <w:szCs w:val="21"/>
        </w:rPr>
        <w:t>存在分级代理或代销关系、同一生产制造商关系、</w:t>
      </w:r>
      <w:r>
        <w:rPr>
          <w:rFonts w:hint="eastAsia" w:ascii="微软雅黑" w:hAnsi="微软雅黑" w:eastAsia="微软雅黑"/>
          <w:sz w:val="21"/>
          <w:szCs w:val="21"/>
        </w:rPr>
        <w:t>管理关系、重要业务（占主营业务收入</w:t>
      </w:r>
      <w:r>
        <w:rPr>
          <w:rFonts w:ascii="微软雅黑" w:hAnsi="微软雅黑" w:eastAsia="微软雅黑"/>
          <w:sz w:val="21"/>
          <w:szCs w:val="21"/>
        </w:rPr>
        <w:t>50%</w:t>
      </w:r>
      <w:r>
        <w:rPr>
          <w:rFonts w:hint="eastAsia" w:ascii="微软雅黑" w:hAnsi="微软雅黑" w:eastAsia="微软雅黑"/>
          <w:sz w:val="21"/>
          <w:szCs w:val="21"/>
        </w:rPr>
        <w:t>以上）或重要财务往来关系（如融资）等其他实质性控制关系</w:t>
      </w:r>
    </w:p>
    <w:p>
      <w:pPr>
        <w:pStyle w:val="71"/>
        <w:snapToGrid w:val="0"/>
        <w:spacing w:line="400" w:lineRule="exact"/>
        <w:outlineLvl w:val="0"/>
        <w:rPr>
          <w:rFonts w:ascii="微软雅黑" w:hAnsi="微软雅黑" w:eastAsia="微软雅黑"/>
          <w:spacing w:val="6"/>
          <w:sz w:val="21"/>
          <w:szCs w:val="21"/>
        </w:rPr>
      </w:pPr>
      <w:r>
        <w:rPr>
          <w:rFonts w:ascii="微软雅黑" w:hAnsi="微软雅黑" w:eastAsia="微软雅黑"/>
          <w:sz w:val="21"/>
          <w:szCs w:val="21"/>
        </w:rPr>
        <w:t xml:space="preserve">    </w:t>
      </w:r>
      <w:bookmarkStart w:id="50" w:name="_Toc31883"/>
      <w:r>
        <w:rPr>
          <w:rFonts w:ascii="微软雅黑" w:hAnsi="微软雅黑" w:eastAsia="微软雅黑"/>
          <w:sz w:val="21"/>
          <w:szCs w:val="21"/>
        </w:rPr>
        <w:t>I</w:t>
      </w:r>
      <w:r>
        <w:rPr>
          <w:rFonts w:ascii="微软雅黑" w:hAnsi="微软雅黑" w:eastAsia="微软雅黑"/>
          <w:kern w:val="0"/>
          <w:sz w:val="21"/>
          <w:szCs w:val="21"/>
        </w:rPr>
        <w:t>.</w:t>
      </w:r>
      <w:r>
        <w:rPr>
          <w:rFonts w:hint="eastAsia" w:ascii="微软雅黑" w:hAnsi="微软雅黑" w:eastAsia="微软雅黑"/>
          <w:sz w:val="21"/>
          <w:szCs w:val="21"/>
        </w:rPr>
        <w:t>其他利害关系情况</w:t>
      </w:r>
      <w:r>
        <w:rPr>
          <w:rFonts w:hint="eastAsia" w:ascii="微软雅黑" w:hAnsi="微软雅黑" w:eastAsia="微软雅黑"/>
          <w:kern w:val="0"/>
          <w:sz w:val="21"/>
          <w:szCs w:val="21"/>
        </w:rPr>
        <w:t>。</w:t>
      </w:r>
      <w:bookmarkEnd w:id="50"/>
    </w:p>
    <w:p>
      <w:pPr>
        <w:pStyle w:val="73"/>
        <w:widowControl/>
        <w:numPr>
          <w:ilvl w:val="0"/>
          <w:numId w:val="6"/>
        </w:numPr>
        <w:snapToGrid w:val="0"/>
        <w:spacing w:line="400" w:lineRule="exact"/>
        <w:ind w:firstLine="396" w:firstLineChars="189"/>
        <w:rPr>
          <w:rFonts w:ascii="微软雅黑" w:hAnsi="微软雅黑" w:eastAsia="微软雅黑"/>
          <w:kern w:val="0"/>
          <w:szCs w:val="21"/>
        </w:rPr>
      </w:pPr>
      <w:r>
        <w:rPr>
          <w:rFonts w:hint="eastAsia" w:ascii="微软雅黑" w:hAnsi="微软雅黑" w:eastAsia="微软雅黑"/>
          <w:szCs w:val="21"/>
        </w:rPr>
        <w:t>现已清楚知道并</w:t>
      </w:r>
      <w:r>
        <w:rPr>
          <w:rFonts w:hint="eastAsia" w:ascii="微软雅黑" w:hAnsi="微软雅黑" w:eastAsia="微软雅黑"/>
          <w:kern w:val="0"/>
          <w:szCs w:val="21"/>
        </w:rPr>
        <w:t>严格遵守政府采购法律法规和现场纪律。</w:t>
      </w:r>
    </w:p>
    <w:p>
      <w:pPr>
        <w:pStyle w:val="73"/>
        <w:widowControl/>
        <w:numPr>
          <w:ilvl w:val="0"/>
          <w:numId w:val="6"/>
        </w:numPr>
        <w:snapToGrid w:val="0"/>
        <w:spacing w:line="400" w:lineRule="exact"/>
        <w:ind w:firstLine="396" w:firstLineChars="189"/>
        <w:rPr>
          <w:rFonts w:ascii="微软雅黑" w:hAnsi="微软雅黑" w:eastAsia="微软雅黑"/>
          <w:kern w:val="0"/>
          <w:szCs w:val="21"/>
        </w:rPr>
      </w:pPr>
      <w:r>
        <w:rPr>
          <w:rFonts w:hint="eastAsia" w:ascii="微软雅黑" w:hAnsi="微软雅黑" w:eastAsia="微软雅黑"/>
          <w:kern w:val="0"/>
          <w:szCs w:val="21"/>
        </w:rPr>
        <w:t>我发现供应商之间存在或可能存在上述第二条第项利害关系。</w:t>
      </w:r>
    </w:p>
    <w:p>
      <w:pPr>
        <w:pStyle w:val="71"/>
        <w:snapToGrid w:val="0"/>
        <w:spacing w:line="400" w:lineRule="exact"/>
        <w:ind w:firstLine="420" w:firstLineChars="200"/>
        <w:rPr>
          <w:rFonts w:ascii="微软雅黑" w:hAnsi="微软雅黑" w:eastAsia="微软雅黑"/>
          <w:sz w:val="21"/>
          <w:szCs w:val="21"/>
        </w:rPr>
      </w:pPr>
    </w:p>
    <w:p>
      <w:pPr>
        <w:pStyle w:val="71"/>
        <w:snapToGrid w:val="0"/>
        <w:spacing w:line="400" w:lineRule="exact"/>
        <w:ind w:firstLine="420" w:firstLineChars="200"/>
        <w:rPr>
          <w:rFonts w:ascii="微软雅黑" w:hAnsi="微软雅黑" w:eastAsia="微软雅黑"/>
          <w:sz w:val="21"/>
          <w:szCs w:val="21"/>
        </w:rPr>
      </w:pPr>
    </w:p>
    <w:p>
      <w:pPr>
        <w:pStyle w:val="71"/>
        <w:snapToGrid w:val="0"/>
        <w:spacing w:line="400" w:lineRule="exact"/>
        <w:ind w:firstLine="420" w:firstLineChars="200"/>
        <w:rPr>
          <w:rFonts w:ascii="微软雅黑" w:hAnsi="微软雅黑" w:eastAsia="微软雅黑"/>
          <w:sz w:val="21"/>
          <w:szCs w:val="21"/>
        </w:rPr>
      </w:pPr>
      <w:r>
        <w:rPr>
          <w:rFonts w:ascii="微软雅黑" w:hAnsi="微软雅黑" w:eastAsia="微软雅黑"/>
          <w:sz w:val="21"/>
          <w:szCs w:val="21"/>
        </w:rPr>
        <w:t xml:space="preserve"> </w:t>
      </w:r>
      <w:r>
        <w:rPr>
          <w:rFonts w:hint="eastAsia" w:ascii="微软雅黑" w:hAnsi="微软雅黑" w:eastAsia="微软雅黑"/>
          <w:sz w:val="21"/>
          <w:szCs w:val="21"/>
        </w:rPr>
        <w:t>供应商代表签名：</w:t>
      </w:r>
    </w:p>
    <w:p>
      <w:pPr>
        <w:snapToGrid w:val="0"/>
        <w:spacing w:line="360" w:lineRule="auto"/>
        <w:ind w:firstLine="3780" w:firstLineChars="1800"/>
        <w:jc w:val="left"/>
        <w:rPr>
          <w:rFonts w:ascii="微软雅黑" w:hAnsi="微软雅黑" w:eastAsia="微软雅黑"/>
          <w:b/>
          <w:szCs w:val="21"/>
        </w:rPr>
      </w:pPr>
      <w:r>
        <w:rPr>
          <w:rFonts w:ascii="微软雅黑" w:hAnsi="微软雅黑" w:eastAsia="微软雅黑"/>
          <w:szCs w:val="21"/>
        </w:rPr>
        <w:t xml:space="preserve"> </w:t>
      </w:r>
      <w:r>
        <w:rPr>
          <w:rFonts w:hint="eastAsia" w:ascii="微软雅黑" w:hAnsi="微软雅黑" w:eastAsia="微软雅黑"/>
          <w:szCs w:val="21"/>
        </w:rPr>
        <w:t>年</w:t>
      </w:r>
      <w:r>
        <w:rPr>
          <w:rFonts w:ascii="微软雅黑" w:hAnsi="微软雅黑" w:eastAsia="微软雅黑"/>
          <w:szCs w:val="21"/>
        </w:rPr>
        <w:t xml:space="preserve">  </w:t>
      </w:r>
      <w:r>
        <w:rPr>
          <w:rFonts w:hint="eastAsia" w:ascii="微软雅黑" w:hAnsi="微软雅黑" w:eastAsia="微软雅黑"/>
          <w:szCs w:val="21"/>
        </w:rPr>
        <w:t>月</w:t>
      </w:r>
      <w:r>
        <w:rPr>
          <w:rFonts w:ascii="微软雅黑" w:hAnsi="微软雅黑" w:eastAsia="微软雅黑"/>
          <w:szCs w:val="21"/>
        </w:rPr>
        <w:t xml:space="preserve">  </w:t>
      </w:r>
      <w:r>
        <w:rPr>
          <w:rFonts w:hint="eastAsia" w:ascii="微软雅黑" w:hAnsi="微软雅黑" w:eastAsia="微软雅黑"/>
          <w:szCs w:val="21"/>
        </w:rPr>
        <w:t>日</w:t>
      </w:r>
    </w:p>
    <w:p/>
    <w:sectPr>
      <w:footerReference r:id="rId6" w:type="default"/>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ì.">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Verdana">
    <w:panose1 w:val="020B0604030504040204"/>
    <w:charset w:val="00"/>
    <w:family w:val="swiss"/>
    <w:pitch w:val="default"/>
    <w:sig w:usb0="A00006FF" w:usb1="4000205B" w:usb2="00000010" w:usb3="00000000" w:csb0="2000019F" w:csb1="00000000"/>
  </w:font>
  <w:font w:name="Angsana New">
    <w:altName w:val="Times New Roman"/>
    <w:panose1 w:val="02020603050405020304"/>
    <w:charset w:val="00"/>
    <w:family w:val="roman"/>
    <w:pitch w:val="default"/>
    <w:sig w:usb0="00000000" w:usb1="00000000" w:usb2="00000000" w:usb3="00000000" w:csb0="00010001" w:csb1="00000000"/>
  </w:font>
  <w:font w:name="方正小标宋简体">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pPr>
                          <w:r>
                            <w:fldChar w:fldCharType="begin"/>
                          </w:r>
                          <w:r>
                            <w:instrText xml:space="preserve"> PAGE  \* MERGEFORMAT </w:instrText>
                          </w:r>
                          <w:r>
                            <w:fldChar w:fldCharType="separate"/>
                          </w:r>
                          <w:r>
                            <w:t>9</w:t>
                          </w:r>
                          <w: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Qbg0ckBAACZ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NBuDRyQEAAJkDAAAOAAAAAAAAAAEAIAAAAB4BAABkcnMvZTJvRG9j&#10;LnhtbFBLBQYAAAAABgAGAFkBAABZBQ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3"/>
      </w:rPr>
    </w:pPr>
    <w:r>
      <w:rPr>
        <w:rStyle w:val="33"/>
      </w:rPr>
      <w:fldChar w:fldCharType="begin"/>
    </w:r>
    <w:r>
      <w:rPr>
        <w:rStyle w:val="33"/>
      </w:rPr>
      <w:instrText xml:space="preserve">PAGE  </w:instrText>
    </w:r>
    <w:r>
      <w:rPr>
        <w:rStyle w:val="33"/>
      </w:rPr>
      <w:fldChar w:fldCharType="end"/>
    </w:r>
  </w:p>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pPr>
                          <w:r>
                            <w:fldChar w:fldCharType="begin"/>
                          </w:r>
                          <w:r>
                            <w:instrText xml:space="preserve"> PAGE  \* MERGEFORMAT </w:instrText>
                          </w:r>
                          <w:r>
                            <w:fldChar w:fldCharType="separate"/>
                          </w:r>
                          <w:r>
                            <w:t>54</w:t>
                          </w:r>
                          <w: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x0MkBAACZAwAADgAAAGRycy9lMm9Eb2MueG1srVPNjtMwEL4j8Q6W&#10;79Rpk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vHQyQEAAJkDAAAOAAAAAAAAAAEAIAAAAB4BAABkcnMvZTJvRG9j&#10;LnhtbFBLBQYAAAAABgAGAFkBAABZBQ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3"/>
      </w:rPr>
    </w:pPr>
    <w:r>
      <w:rPr>
        <w:rStyle w:val="33"/>
      </w:rPr>
      <w:fldChar w:fldCharType="begin"/>
    </w:r>
    <w:r>
      <w:rPr>
        <w:rStyle w:val="33"/>
      </w:rPr>
      <w:instrText xml:space="preserve">PAGE  </w:instrText>
    </w:r>
    <w:r>
      <w:rPr>
        <w:rStyle w:val="33"/>
      </w:rPr>
      <w:fldChar w:fldCharType="end"/>
    </w:r>
  </w:p>
  <w:p>
    <w:pPr>
      <w:pStyle w:val="1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7D02E"/>
    <w:multiLevelType w:val="singleLevel"/>
    <w:tmpl w:val="86F7D02E"/>
    <w:lvl w:ilvl="0" w:tentative="0">
      <w:start w:val="8"/>
      <w:numFmt w:val="chineseCounting"/>
      <w:suff w:val="nothing"/>
      <w:lvlText w:val="%1、"/>
      <w:lvlJc w:val="left"/>
      <w:rPr>
        <w:rFonts w:hint="eastAsia" w:cs="Times New Roman"/>
      </w:rPr>
    </w:lvl>
  </w:abstractNum>
  <w:abstractNum w:abstractNumId="1">
    <w:nsid w:val="D7B6565D"/>
    <w:multiLevelType w:val="singleLevel"/>
    <w:tmpl w:val="D7B6565D"/>
    <w:lvl w:ilvl="0" w:tentative="0">
      <w:start w:val="2"/>
      <w:numFmt w:val="decimal"/>
      <w:suff w:val="nothing"/>
      <w:lvlText w:val="（%1）"/>
      <w:lvlJc w:val="left"/>
      <w:rPr>
        <w:rFonts w:cs="Times New Roman"/>
      </w:rPr>
    </w:lvl>
  </w:abstractNum>
  <w:abstractNum w:abstractNumId="2">
    <w:nsid w:val="2A1615A5"/>
    <w:multiLevelType w:val="multilevel"/>
    <w:tmpl w:val="2A1615A5"/>
    <w:lvl w:ilvl="0" w:tentative="0">
      <w:start w:val="1"/>
      <w:numFmt w:val="decimal"/>
      <w:pStyle w:val="76"/>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cs="Times New Roman"/>
      </w:rPr>
    </w:lvl>
    <w:lvl w:ilvl="2" w:tentative="0">
      <w:start w:val="1"/>
      <w:numFmt w:val="decimal"/>
      <w:lvlText w:val="%1.%2.%3."/>
      <w:lvlJc w:val="left"/>
      <w:pPr>
        <w:tabs>
          <w:tab w:val="left" w:pos="425"/>
        </w:tabs>
        <w:ind w:left="425" w:hanging="425"/>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3">
    <w:nsid w:val="4A530D5E"/>
    <w:multiLevelType w:val="singleLevel"/>
    <w:tmpl w:val="4A530D5E"/>
    <w:lvl w:ilvl="0" w:tentative="0">
      <w:start w:val="1"/>
      <w:numFmt w:val="decimal"/>
      <w:pStyle w:val="13"/>
      <w:lvlText w:val="%1."/>
      <w:lvlJc w:val="left"/>
      <w:pPr>
        <w:tabs>
          <w:tab w:val="left" w:pos="1200"/>
        </w:tabs>
        <w:ind w:left="1200" w:hanging="360"/>
      </w:pPr>
      <w:rPr>
        <w:rFonts w:cs="Times New Roman"/>
      </w:rPr>
    </w:lvl>
  </w:abstractNum>
  <w:abstractNum w:abstractNumId="4">
    <w:nsid w:val="54F403B5"/>
    <w:multiLevelType w:val="singleLevel"/>
    <w:tmpl w:val="54F403B5"/>
    <w:lvl w:ilvl="0" w:tentative="0">
      <w:start w:val="1"/>
      <w:numFmt w:val="chineseCounting"/>
      <w:suff w:val="nothing"/>
      <w:lvlText w:val="%1、"/>
      <w:lvlJc w:val="left"/>
      <w:rPr>
        <w:rFonts w:cs="Times New Roman"/>
      </w:rPr>
    </w:lvl>
  </w:abstractNum>
  <w:abstractNum w:abstractNumId="5">
    <w:nsid w:val="557FD3DA"/>
    <w:multiLevelType w:val="singleLevel"/>
    <w:tmpl w:val="557FD3DA"/>
    <w:lvl w:ilvl="0" w:tentative="0">
      <w:start w:val="3"/>
      <w:numFmt w:val="chineseCounting"/>
      <w:suff w:val="nothing"/>
      <w:lvlText w:val="%1、"/>
      <w:lvlJc w:val="left"/>
      <w:rPr>
        <w:rFonts w:cs="Times New Roman"/>
      </w:r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9"/>
  <w:noPunctuationKerning w:val="1"/>
  <w:characterSpacingControl w:val="compressPunctuation"/>
  <w:noLineBreaksAfter w:lang="zh-CN" w:val="$([{£¥·‘“〈《「『【〔〖〝﹙﹛﹝＄（．［｛￡￥"/>
  <w:noLineBreaksBefore w:lang="zh-CN" w:val="!%),.:;&gt;?]}¢¨°·ˇˉ―‖’”…‰′″›℃∶、。〃〉》」』】〕〗〞︶︺︾﹀﹄﹚﹜﹞！＂％＇），．：；？］｀｜｝～￠"/>
  <w:doNotValidateAgainstSchema/>
  <w:doNotDemarcateInvalidXml/>
  <w:footnotePr>
    <w:footnote w:id="2"/>
    <w:footnote w:id="3"/>
  </w:foot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D80E62"/>
    <w:rsid w:val="00000C3A"/>
    <w:rsid w:val="00001C4B"/>
    <w:rsid w:val="00003AF7"/>
    <w:rsid w:val="000047BE"/>
    <w:rsid w:val="0000539B"/>
    <w:rsid w:val="0000618B"/>
    <w:rsid w:val="0000745D"/>
    <w:rsid w:val="000105C3"/>
    <w:rsid w:val="00010C00"/>
    <w:rsid w:val="0001221D"/>
    <w:rsid w:val="00013274"/>
    <w:rsid w:val="00014747"/>
    <w:rsid w:val="0002395F"/>
    <w:rsid w:val="00025CD5"/>
    <w:rsid w:val="00026D60"/>
    <w:rsid w:val="00027E27"/>
    <w:rsid w:val="00031F02"/>
    <w:rsid w:val="00032D45"/>
    <w:rsid w:val="00032FAC"/>
    <w:rsid w:val="00035300"/>
    <w:rsid w:val="000356BC"/>
    <w:rsid w:val="00036D97"/>
    <w:rsid w:val="0004164C"/>
    <w:rsid w:val="00041DF9"/>
    <w:rsid w:val="000422C8"/>
    <w:rsid w:val="000437D7"/>
    <w:rsid w:val="00045929"/>
    <w:rsid w:val="00047892"/>
    <w:rsid w:val="00051461"/>
    <w:rsid w:val="00056149"/>
    <w:rsid w:val="00056430"/>
    <w:rsid w:val="00056F71"/>
    <w:rsid w:val="00057B44"/>
    <w:rsid w:val="00060DA7"/>
    <w:rsid w:val="0006718D"/>
    <w:rsid w:val="00067ED0"/>
    <w:rsid w:val="00071941"/>
    <w:rsid w:val="00072C60"/>
    <w:rsid w:val="00073026"/>
    <w:rsid w:val="00073B64"/>
    <w:rsid w:val="000913C7"/>
    <w:rsid w:val="000937CE"/>
    <w:rsid w:val="00095381"/>
    <w:rsid w:val="00096296"/>
    <w:rsid w:val="00096F68"/>
    <w:rsid w:val="000A05C8"/>
    <w:rsid w:val="000A332B"/>
    <w:rsid w:val="000A389C"/>
    <w:rsid w:val="000A6E09"/>
    <w:rsid w:val="000A6F05"/>
    <w:rsid w:val="000B0A8D"/>
    <w:rsid w:val="000B123F"/>
    <w:rsid w:val="000B2154"/>
    <w:rsid w:val="000B2222"/>
    <w:rsid w:val="000B3B07"/>
    <w:rsid w:val="000B61AD"/>
    <w:rsid w:val="000C06A4"/>
    <w:rsid w:val="000C1A33"/>
    <w:rsid w:val="000C1C37"/>
    <w:rsid w:val="000C35B3"/>
    <w:rsid w:val="000D00EF"/>
    <w:rsid w:val="000D0294"/>
    <w:rsid w:val="000D18C6"/>
    <w:rsid w:val="000D20EF"/>
    <w:rsid w:val="000D2337"/>
    <w:rsid w:val="000E5B7F"/>
    <w:rsid w:val="000F106F"/>
    <w:rsid w:val="000F185D"/>
    <w:rsid w:val="000F25BF"/>
    <w:rsid w:val="000F3FED"/>
    <w:rsid w:val="000F5EEE"/>
    <w:rsid w:val="00100D4B"/>
    <w:rsid w:val="001026CB"/>
    <w:rsid w:val="001033C2"/>
    <w:rsid w:val="0010343B"/>
    <w:rsid w:val="00106B77"/>
    <w:rsid w:val="0011124F"/>
    <w:rsid w:val="0011390D"/>
    <w:rsid w:val="001142AD"/>
    <w:rsid w:val="00117E93"/>
    <w:rsid w:val="00123733"/>
    <w:rsid w:val="00124EBC"/>
    <w:rsid w:val="00126D4F"/>
    <w:rsid w:val="00127A1F"/>
    <w:rsid w:val="001303EB"/>
    <w:rsid w:val="0013123C"/>
    <w:rsid w:val="00132C72"/>
    <w:rsid w:val="00134004"/>
    <w:rsid w:val="00134D89"/>
    <w:rsid w:val="0013556F"/>
    <w:rsid w:val="00136525"/>
    <w:rsid w:val="00136609"/>
    <w:rsid w:val="00136C6E"/>
    <w:rsid w:val="00137790"/>
    <w:rsid w:val="00137C5D"/>
    <w:rsid w:val="00140983"/>
    <w:rsid w:val="001413EE"/>
    <w:rsid w:val="00144573"/>
    <w:rsid w:val="00146EFC"/>
    <w:rsid w:val="001472E4"/>
    <w:rsid w:val="001472F0"/>
    <w:rsid w:val="00151034"/>
    <w:rsid w:val="00151D5A"/>
    <w:rsid w:val="001543DE"/>
    <w:rsid w:val="001569B3"/>
    <w:rsid w:val="00161AAE"/>
    <w:rsid w:val="00162610"/>
    <w:rsid w:val="00162901"/>
    <w:rsid w:val="00162FD9"/>
    <w:rsid w:val="00165732"/>
    <w:rsid w:val="001665EC"/>
    <w:rsid w:val="0017013A"/>
    <w:rsid w:val="00170B0C"/>
    <w:rsid w:val="001715F2"/>
    <w:rsid w:val="00174C6F"/>
    <w:rsid w:val="001762D3"/>
    <w:rsid w:val="001773CC"/>
    <w:rsid w:val="00177B43"/>
    <w:rsid w:val="001803CD"/>
    <w:rsid w:val="0018098E"/>
    <w:rsid w:val="001824A8"/>
    <w:rsid w:val="00183223"/>
    <w:rsid w:val="00183B64"/>
    <w:rsid w:val="00184B54"/>
    <w:rsid w:val="00184F2E"/>
    <w:rsid w:val="001863E0"/>
    <w:rsid w:val="001866DB"/>
    <w:rsid w:val="00187D93"/>
    <w:rsid w:val="001900F5"/>
    <w:rsid w:val="001943DC"/>
    <w:rsid w:val="001968F0"/>
    <w:rsid w:val="001972E9"/>
    <w:rsid w:val="001A11E4"/>
    <w:rsid w:val="001A3437"/>
    <w:rsid w:val="001A4DF3"/>
    <w:rsid w:val="001A782B"/>
    <w:rsid w:val="001B0CDF"/>
    <w:rsid w:val="001B3501"/>
    <w:rsid w:val="001B361E"/>
    <w:rsid w:val="001B3F6E"/>
    <w:rsid w:val="001B7CC4"/>
    <w:rsid w:val="001C08A7"/>
    <w:rsid w:val="001C1E92"/>
    <w:rsid w:val="001C26EB"/>
    <w:rsid w:val="001C3EA6"/>
    <w:rsid w:val="001C7520"/>
    <w:rsid w:val="001D4636"/>
    <w:rsid w:val="001D6E13"/>
    <w:rsid w:val="001D7C56"/>
    <w:rsid w:val="001D7DD6"/>
    <w:rsid w:val="001E0C96"/>
    <w:rsid w:val="001E2642"/>
    <w:rsid w:val="001E43E6"/>
    <w:rsid w:val="001E6381"/>
    <w:rsid w:val="001E7187"/>
    <w:rsid w:val="001E7545"/>
    <w:rsid w:val="001F376F"/>
    <w:rsid w:val="001F58F2"/>
    <w:rsid w:val="002024B0"/>
    <w:rsid w:val="00204447"/>
    <w:rsid w:val="00204950"/>
    <w:rsid w:val="002059A1"/>
    <w:rsid w:val="00206AA5"/>
    <w:rsid w:val="00212BF7"/>
    <w:rsid w:val="00216D44"/>
    <w:rsid w:val="00217E42"/>
    <w:rsid w:val="00220BC9"/>
    <w:rsid w:val="00221407"/>
    <w:rsid w:val="00222356"/>
    <w:rsid w:val="0022541A"/>
    <w:rsid w:val="00226858"/>
    <w:rsid w:val="00232531"/>
    <w:rsid w:val="00235D91"/>
    <w:rsid w:val="00244603"/>
    <w:rsid w:val="002449FB"/>
    <w:rsid w:val="0024650B"/>
    <w:rsid w:val="00246A42"/>
    <w:rsid w:val="00246CA9"/>
    <w:rsid w:val="0024727A"/>
    <w:rsid w:val="00261076"/>
    <w:rsid w:val="00262E76"/>
    <w:rsid w:val="0026636C"/>
    <w:rsid w:val="00267E6E"/>
    <w:rsid w:val="00270FFB"/>
    <w:rsid w:val="002713E4"/>
    <w:rsid w:val="00273D4C"/>
    <w:rsid w:val="0027601F"/>
    <w:rsid w:val="002764A9"/>
    <w:rsid w:val="002826CC"/>
    <w:rsid w:val="00283E9F"/>
    <w:rsid w:val="002852D7"/>
    <w:rsid w:val="002902FD"/>
    <w:rsid w:val="002914CF"/>
    <w:rsid w:val="0029397C"/>
    <w:rsid w:val="00293DD0"/>
    <w:rsid w:val="00293EAE"/>
    <w:rsid w:val="0029457C"/>
    <w:rsid w:val="002A03A2"/>
    <w:rsid w:val="002A12D1"/>
    <w:rsid w:val="002A16CE"/>
    <w:rsid w:val="002A567B"/>
    <w:rsid w:val="002A5E44"/>
    <w:rsid w:val="002A6EC7"/>
    <w:rsid w:val="002B0638"/>
    <w:rsid w:val="002B13A5"/>
    <w:rsid w:val="002B3F3A"/>
    <w:rsid w:val="002C1EC4"/>
    <w:rsid w:val="002C474F"/>
    <w:rsid w:val="002C580F"/>
    <w:rsid w:val="002C60A0"/>
    <w:rsid w:val="002D07BD"/>
    <w:rsid w:val="002D1E08"/>
    <w:rsid w:val="002D2C17"/>
    <w:rsid w:val="002D6AA1"/>
    <w:rsid w:val="002E0AF8"/>
    <w:rsid w:val="002E1F00"/>
    <w:rsid w:val="002E302A"/>
    <w:rsid w:val="002E37CD"/>
    <w:rsid w:val="002E409F"/>
    <w:rsid w:val="002E60A5"/>
    <w:rsid w:val="002E710D"/>
    <w:rsid w:val="002F0B17"/>
    <w:rsid w:val="002F0BC6"/>
    <w:rsid w:val="002F1129"/>
    <w:rsid w:val="002F1935"/>
    <w:rsid w:val="002F3730"/>
    <w:rsid w:val="002F5B50"/>
    <w:rsid w:val="00300241"/>
    <w:rsid w:val="00304568"/>
    <w:rsid w:val="0030607E"/>
    <w:rsid w:val="00307EBE"/>
    <w:rsid w:val="003130F1"/>
    <w:rsid w:val="00314F96"/>
    <w:rsid w:val="003156E0"/>
    <w:rsid w:val="00315ABB"/>
    <w:rsid w:val="0031615B"/>
    <w:rsid w:val="00316E24"/>
    <w:rsid w:val="00317471"/>
    <w:rsid w:val="003179A4"/>
    <w:rsid w:val="003216AC"/>
    <w:rsid w:val="003261C0"/>
    <w:rsid w:val="003263C7"/>
    <w:rsid w:val="0032705B"/>
    <w:rsid w:val="003273F0"/>
    <w:rsid w:val="00334921"/>
    <w:rsid w:val="00336D5D"/>
    <w:rsid w:val="00340A98"/>
    <w:rsid w:val="0034154B"/>
    <w:rsid w:val="00341B6F"/>
    <w:rsid w:val="00342299"/>
    <w:rsid w:val="00342F79"/>
    <w:rsid w:val="003462A1"/>
    <w:rsid w:val="003472A9"/>
    <w:rsid w:val="00353B46"/>
    <w:rsid w:val="00353DE2"/>
    <w:rsid w:val="003557BA"/>
    <w:rsid w:val="00360521"/>
    <w:rsid w:val="003630B2"/>
    <w:rsid w:val="00363290"/>
    <w:rsid w:val="00365D2A"/>
    <w:rsid w:val="003701BD"/>
    <w:rsid w:val="00370313"/>
    <w:rsid w:val="003720C7"/>
    <w:rsid w:val="00372DC7"/>
    <w:rsid w:val="00373455"/>
    <w:rsid w:val="003752A9"/>
    <w:rsid w:val="003858E5"/>
    <w:rsid w:val="003875BC"/>
    <w:rsid w:val="00394143"/>
    <w:rsid w:val="00394218"/>
    <w:rsid w:val="0039574B"/>
    <w:rsid w:val="00397686"/>
    <w:rsid w:val="003A0914"/>
    <w:rsid w:val="003A1F1A"/>
    <w:rsid w:val="003A2CC1"/>
    <w:rsid w:val="003A5637"/>
    <w:rsid w:val="003A5AAE"/>
    <w:rsid w:val="003A65D2"/>
    <w:rsid w:val="003B4330"/>
    <w:rsid w:val="003B472A"/>
    <w:rsid w:val="003B6994"/>
    <w:rsid w:val="003B7187"/>
    <w:rsid w:val="003C023D"/>
    <w:rsid w:val="003C0E48"/>
    <w:rsid w:val="003C12A6"/>
    <w:rsid w:val="003C1595"/>
    <w:rsid w:val="003C4662"/>
    <w:rsid w:val="003C5804"/>
    <w:rsid w:val="003C5A28"/>
    <w:rsid w:val="003C7ACB"/>
    <w:rsid w:val="003C7CF8"/>
    <w:rsid w:val="003D03F4"/>
    <w:rsid w:val="003D201D"/>
    <w:rsid w:val="003D2774"/>
    <w:rsid w:val="003D3641"/>
    <w:rsid w:val="003D4B0B"/>
    <w:rsid w:val="003D7071"/>
    <w:rsid w:val="003E02D2"/>
    <w:rsid w:val="003E045A"/>
    <w:rsid w:val="003E5C43"/>
    <w:rsid w:val="003E5C87"/>
    <w:rsid w:val="003E5D42"/>
    <w:rsid w:val="003F1849"/>
    <w:rsid w:val="003F2FA4"/>
    <w:rsid w:val="003F6D77"/>
    <w:rsid w:val="003F7A98"/>
    <w:rsid w:val="00401171"/>
    <w:rsid w:val="00402001"/>
    <w:rsid w:val="004022AC"/>
    <w:rsid w:val="00404568"/>
    <w:rsid w:val="004049A2"/>
    <w:rsid w:val="0040643F"/>
    <w:rsid w:val="00406B37"/>
    <w:rsid w:val="00406EE4"/>
    <w:rsid w:val="00411F53"/>
    <w:rsid w:val="00415069"/>
    <w:rsid w:val="004153F3"/>
    <w:rsid w:val="00420618"/>
    <w:rsid w:val="004269CE"/>
    <w:rsid w:val="0042700A"/>
    <w:rsid w:val="0043043E"/>
    <w:rsid w:val="004317F0"/>
    <w:rsid w:val="00434212"/>
    <w:rsid w:val="00435769"/>
    <w:rsid w:val="00442222"/>
    <w:rsid w:val="00443CE3"/>
    <w:rsid w:val="00445382"/>
    <w:rsid w:val="00445DFE"/>
    <w:rsid w:val="00452A9C"/>
    <w:rsid w:val="004532ED"/>
    <w:rsid w:val="004548E8"/>
    <w:rsid w:val="00454C9B"/>
    <w:rsid w:val="00455538"/>
    <w:rsid w:val="00455B13"/>
    <w:rsid w:val="00456C41"/>
    <w:rsid w:val="004570C8"/>
    <w:rsid w:val="004575D2"/>
    <w:rsid w:val="00461182"/>
    <w:rsid w:val="00463CB3"/>
    <w:rsid w:val="00470882"/>
    <w:rsid w:val="00471D11"/>
    <w:rsid w:val="00472314"/>
    <w:rsid w:val="00473C61"/>
    <w:rsid w:val="004854CE"/>
    <w:rsid w:val="004862DF"/>
    <w:rsid w:val="00487026"/>
    <w:rsid w:val="00497764"/>
    <w:rsid w:val="004A2369"/>
    <w:rsid w:val="004A28FE"/>
    <w:rsid w:val="004A5552"/>
    <w:rsid w:val="004B1719"/>
    <w:rsid w:val="004B25D5"/>
    <w:rsid w:val="004B39F6"/>
    <w:rsid w:val="004B45DC"/>
    <w:rsid w:val="004B59A6"/>
    <w:rsid w:val="004C0519"/>
    <w:rsid w:val="004C48CC"/>
    <w:rsid w:val="004C506A"/>
    <w:rsid w:val="004C752C"/>
    <w:rsid w:val="004C7F8A"/>
    <w:rsid w:val="004D01BF"/>
    <w:rsid w:val="004D283E"/>
    <w:rsid w:val="004D4AA4"/>
    <w:rsid w:val="004D732B"/>
    <w:rsid w:val="004E25FB"/>
    <w:rsid w:val="004E45B9"/>
    <w:rsid w:val="004E6E17"/>
    <w:rsid w:val="004E72DB"/>
    <w:rsid w:val="004F1472"/>
    <w:rsid w:val="004F18CD"/>
    <w:rsid w:val="004F41CA"/>
    <w:rsid w:val="004F4383"/>
    <w:rsid w:val="004F5666"/>
    <w:rsid w:val="004F7C34"/>
    <w:rsid w:val="00500040"/>
    <w:rsid w:val="00500227"/>
    <w:rsid w:val="00500826"/>
    <w:rsid w:val="0050241C"/>
    <w:rsid w:val="0051508C"/>
    <w:rsid w:val="00516A1C"/>
    <w:rsid w:val="005256D5"/>
    <w:rsid w:val="00525EB4"/>
    <w:rsid w:val="00526F3C"/>
    <w:rsid w:val="005278CC"/>
    <w:rsid w:val="00540331"/>
    <w:rsid w:val="005416F9"/>
    <w:rsid w:val="00542273"/>
    <w:rsid w:val="00543EC4"/>
    <w:rsid w:val="00545D33"/>
    <w:rsid w:val="00552073"/>
    <w:rsid w:val="00552870"/>
    <w:rsid w:val="005529AE"/>
    <w:rsid w:val="005572A1"/>
    <w:rsid w:val="00560186"/>
    <w:rsid w:val="005608BA"/>
    <w:rsid w:val="00560AB6"/>
    <w:rsid w:val="00562A6A"/>
    <w:rsid w:val="00563E40"/>
    <w:rsid w:val="005672B6"/>
    <w:rsid w:val="005742F1"/>
    <w:rsid w:val="00574E4B"/>
    <w:rsid w:val="005758FA"/>
    <w:rsid w:val="005842FC"/>
    <w:rsid w:val="0059011F"/>
    <w:rsid w:val="00593D95"/>
    <w:rsid w:val="00594502"/>
    <w:rsid w:val="00594B56"/>
    <w:rsid w:val="00596F14"/>
    <w:rsid w:val="005A004F"/>
    <w:rsid w:val="005A0FFE"/>
    <w:rsid w:val="005A5DAA"/>
    <w:rsid w:val="005B2B7E"/>
    <w:rsid w:val="005B4FA9"/>
    <w:rsid w:val="005B6315"/>
    <w:rsid w:val="005C2BE1"/>
    <w:rsid w:val="005C743D"/>
    <w:rsid w:val="005D3FCD"/>
    <w:rsid w:val="005D42A6"/>
    <w:rsid w:val="005D44A5"/>
    <w:rsid w:val="005D53CA"/>
    <w:rsid w:val="005D53D1"/>
    <w:rsid w:val="005D5FE0"/>
    <w:rsid w:val="005D7FF5"/>
    <w:rsid w:val="005E2602"/>
    <w:rsid w:val="005E3392"/>
    <w:rsid w:val="005E4310"/>
    <w:rsid w:val="005E7620"/>
    <w:rsid w:val="005F2C9C"/>
    <w:rsid w:val="005F631B"/>
    <w:rsid w:val="005F65E1"/>
    <w:rsid w:val="00601D23"/>
    <w:rsid w:val="00601F1B"/>
    <w:rsid w:val="006028BF"/>
    <w:rsid w:val="00604A67"/>
    <w:rsid w:val="00607317"/>
    <w:rsid w:val="0061098F"/>
    <w:rsid w:val="00611A22"/>
    <w:rsid w:val="006122C0"/>
    <w:rsid w:val="00612733"/>
    <w:rsid w:val="006140A6"/>
    <w:rsid w:val="00616942"/>
    <w:rsid w:val="006177FC"/>
    <w:rsid w:val="0062055C"/>
    <w:rsid w:val="00621540"/>
    <w:rsid w:val="006217FB"/>
    <w:rsid w:val="0062356F"/>
    <w:rsid w:val="00627352"/>
    <w:rsid w:val="006303AA"/>
    <w:rsid w:val="006365E2"/>
    <w:rsid w:val="00636836"/>
    <w:rsid w:val="0063686C"/>
    <w:rsid w:val="00637043"/>
    <w:rsid w:val="00640967"/>
    <w:rsid w:val="00646BD8"/>
    <w:rsid w:val="0065186A"/>
    <w:rsid w:val="00652DF5"/>
    <w:rsid w:val="00660B59"/>
    <w:rsid w:val="0066119A"/>
    <w:rsid w:val="00666872"/>
    <w:rsid w:val="00670AC4"/>
    <w:rsid w:val="00674172"/>
    <w:rsid w:val="00681152"/>
    <w:rsid w:val="00681F32"/>
    <w:rsid w:val="006832C8"/>
    <w:rsid w:val="00683C0E"/>
    <w:rsid w:val="00687DC6"/>
    <w:rsid w:val="00687E09"/>
    <w:rsid w:val="006906F7"/>
    <w:rsid w:val="0069161B"/>
    <w:rsid w:val="006921F5"/>
    <w:rsid w:val="0069290F"/>
    <w:rsid w:val="006950E3"/>
    <w:rsid w:val="0069653E"/>
    <w:rsid w:val="006974EE"/>
    <w:rsid w:val="006A7838"/>
    <w:rsid w:val="006B4AE5"/>
    <w:rsid w:val="006B4D57"/>
    <w:rsid w:val="006B57AB"/>
    <w:rsid w:val="006B79F4"/>
    <w:rsid w:val="006C05A9"/>
    <w:rsid w:val="006C089E"/>
    <w:rsid w:val="006C0FC4"/>
    <w:rsid w:val="006C0FE2"/>
    <w:rsid w:val="006C1CBF"/>
    <w:rsid w:val="006C4170"/>
    <w:rsid w:val="006C4A6A"/>
    <w:rsid w:val="006C4C12"/>
    <w:rsid w:val="006C5273"/>
    <w:rsid w:val="006D14F1"/>
    <w:rsid w:val="006D447C"/>
    <w:rsid w:val="006D7E93"/>
    <w:rsid w:val="006E0F03"/>
    <w:rsid w:val="006E0F70"/>
    <w:rsid w:val="006E118E"/>
    <w:rsid w:val="006E1F45"/>
    <w:rsid w:val="006E3538"/>
    <w:rsid w:val="006E46AE"/>
    <w:rsid w:val="006E73CD"/>
    <w:rsid w:val="006F0C48"/>
    <w:rsid w:val="006F3EFA"/>
    <w:rsid w:val="006F5FAA"/>
    <w:rsid w:val="007027CF"/>
    <w:rsid w:val="00702C47"/>
    <w:rsid w:val="0070372C"/>
    <w:rsid w:val="0070781B"/>
    <w:rsid w:val="00707BA6"/>
    <w:rsid w:val="00714DFD"/>
    <w:rsid w:val="007170D1"/>
    <w:rsid w:val="00717F50"/>
    <w:rsid w:val="00721764"/>
    <w:rsid w:val="00721AA9"/>
    <w:rsid w:val="00722551"/>
    <w:rsid w:val="0072625C"/>
    <w:rsid w:val="00727A0F"/>
    <w:rsid w:val="007303A4"/>
    <w:rsid w:val="007304F6"/>
    <w:rsid w:val="00731DEB"/>
    <w:rsid w:val="00734DD2"/>
    <w:rsid w:val="0073599E"/>
    <w:rsid w:val="007420FA"/>
    <w:rsid w:val="00744DF8"/>
    <w:rsid w:val="00745735"/>
    <w:rsid w:val="00745E27"/>
    <w:rsid w:val="00746BF0"/>
    <w:rsid w:val="00750FF2"/>
    <w:rsid w:val="0075280F"/>
    <w:rsid w:val="00752AB6"/>
    <w:rsid w:val="00754190"/>
    <w:rsid w:val="0075419B"/>
    <w:rsid w:val="007554C4"/>
    <w:rsid w:val="00755A22"/>
    <w:rsid w:val="00756448"/>
    <w:rsid w:val="00762B9E"/>
    <w:rsid w:val="00766CB3"/>
    <w:rsid w:val="00772270"/>
    <w:rsid w:val="007728EF"/>
    <w:rsid w:val="00772EF0"/>
    <w:rsid w:val="00773615"/>
    <w:rsid w:val="00775A76"/>
    <w:rsid w:val="00776F26"/>
    <w:rsid w:val="00780854"/>
    <w:rsid w:val="00781764"/>
    <w:rsid w:val="00781ABB"/>
    <w:rsid w:val="00784B55"/>
    <w:rsid w:val="007860C5"/>
    <w:rsid w:val="00786A18"/>
    <w:rsid w:val="00786B3C"/>
    <w:rsid w:val="00787578"/>
    <w:rsid w:val="00790EC5"/>
    <w:rsid w:val="00793598"/>
    <w:rsid w:val="00794020"/>
    <w:rsid w:val="00795F47"/>
    <w:rsid w:val="0079609F"/>
    <w:rsid w:val="007964AE"/>
    <w:rsid w:val="007A1033"/>
    <w:rsid w:val="007A11EE"/>
    <w:rsid w:val="007A3E60"/>
    <w:rsid w:val="007A48C9"/>
    <w:rsid w:val="007A5501"/>
    <w:rsid w:val="007A74EB"/>
    <w:rsid w:val="007B1491"/>
    <w:rsid w:val="007B1A5C"/>
    <w:rsid w:val="007B2530"/>
    <w:rsid w:val="007B3184"/>
    <w:rsid w:val="007B4A7F"/>
    <w:rsid w:val="007B5807"/>
    <w:rsid w:val="007B6167"/>
    <w:rsid w:val="007C02BA"/>
    <w:rsid w:val="007C1525"/>
    <w:rsid w:val="007C1D45"/>
    <w:rsid w:val="007C3488"/>
    <w:rsid w:val="007C3C66"/>
    <w:rsid w:val="007C679A"/>
    <w:rsid w:val="007D1C38"/>
    <w:rsid w:val="007D3777"/>
    <w:rsid w:val="007D4A00"/>
    <w:rsid w:val="007D637E"/>
    <w:rsid w:val="007D687E"/>
    <w:rsid w:val="007E182B"/>
    <w:rsid w:val="00800277"/>
    <w:rsid w:val="0080100B"/>
    <w:rsid w:val="008017E6"/>
    <w:rsid w:val="00801D9B"/>
    <w:rsid w:val="00801E22"/>
    <w:rsid w:val="008034B2"/>
    <w:rsid w:val="00804E89"/>
    <w:rsid w:val="00806284"/>
    <w:rsid w:val="00807A92"/>
    <w:rsid w:val="00810F8C"/>
    <w:rsid w:val="00814DEA"/>
    <w:rsid w:val="00815898"/>
    <w:rsid w:val="008162AA"/>
    <w:rsid w:val="00820829"/>
    <w:rsid w:val="00822634"/>
    <w:rsid w:val="008235BC"/>
    <w:rsid w:val="00826B7E"/>
    <w:rsid w:val="0083033C"/>
    <w:rsid w:val="008365EC"/>
    <w:rsid w:val="00842112"/>
    <w:rsid w:val="00842BA9"/>
    <w:rsid w:val="008440D5"/>
    <w:rsid w:val="00845E5F"/>
    <w:rsid w:val="00857EB0"/>
    <w:rsid w:val="00860F2F"/>
    <w:rsid w:val="00863552"/>
    <w:rsid w:val="00864440"/>
    <w:rsid w:val="0086522F"/>
    <w:rsid w:val="00870D99"/>
    <w:rsid w:val="00873FE7"/>
    <w:rsid w:val="00874886"/>
    <w:rsid w:val="00880B87"/>
    <w:rsid w:val="00880FA1"/>
    <w:rsid w:val="008815C5"/>
    <w:rsid w:val="008820B9"/>
    <w:rsid w:val="00886D18"/>
    <w:rsid w:val="00890442"/>
    <w:rsid w:val="0089272B"/>
    <w:rsid w:val="00894104"/>
    <w:rsid w:val="00894A8C"/>
    <w:rsid w:val="008965E5"/>
    <w:rsid w:val="00897A59"/>
    <w:rsid w:val="008A1BD1"/>
    <w:rsid w:val="008B0A82"/>
    <w:rsid w:val="008B11EF"/>
    <w:rsid w:val="008B58F0"/>
    <w:rsid w:val="008B5ECF"/>
    <w:rsid w:val="008B7F1B"/>
    <w:rsid w:val="008C03D1"/>
    <w:rsid w:val="008C0A89"/>
    <w:rsid w:val="008C18B8"/>
    <w:rsid w:val="008C3069"/>
    <w:rsid w:val="008C73A6"/>
    <w:rsid w:val="008D0D30"/>
    <w:rsid w:val="008D1812"/>
    <w:rsid w:val="008D3604"/>
    <w:rsid w:val="008D604F"/>
    <w:rsid w:val="008D70F7"/>
    <w:rsid w:val="008E04D0"/>
    <w:rsid w:val="008E27FF"/>
    <w:rsid w:val="008E5D7F"/>
    <w:rsid w:val="008F2531"/>
    <w:rsid w:val="008F2E03"/>
    <w:rsid w:val="00900E77"/>
    <w:rsid w:val="00901723"/>
    <w:rsid w:val="00902092"/>
    <w:rsid w:val="009042F7"/>
    <w:rsid w:val="00904FE3"/>
    <w:rsid w:val="009070A5"/>
    <w:rsid w:val="009070DC"/>
    <w:rsid w:val="009110A6"/>
    <w:rsid w:val="009116F8"/>
    <w:rsid w:val="009136C0"/>
    <w:rsid w:val="009212A7"/>
    <w:rsid w:val="009223D8"/>
    <w:rsid w:val="00923CA5"/>
    <w:rsid w:val="00923CE5"/>
    <w:rsid w:val="00923D8D"/>
    <w:rsid w:val="00923DDA"/>
    <w:rsid w:val="009276F5"/>
    <w:rsid w:val="00927A52"/>
    <w:rsid w:val="00932921"/>
    <w:rsid w:val="00933A31"/>
    <w:rsid w:val="0093486E"/>
    <w:rsid w:val="00936A82"/>
    <w:rsid w:val="00936F70"/>
    <w:rsid w:val="00940398"/>
    <w:rsid w:val="00940F69"/>
    <w:rsid w:val="0094166A"/>
    <w:rsid w:val="0094184A"/>
    <w:rsid w:val="00942384"/>
    <w:rsid w:val="009474E5"/>
    <w:rsid w:val="00953D8C"/>
    <w:rsid w:val="00954A63"/>
    <w:rsid w:val="00954CE4"/>
    <w:rsid w:val="00956E93"/>
    <w:rsid w:val="00962994"/>
    <w:rsid w:val="0096747A"/>
    <w:rsid w:val="00974048"/>
    <w:rsid w:val="00976810"/>
    <w:rsid w:val="00981123"/>
    <w:rsid w:val="00981605"/>
    <w:rsid w:val="0098238C"/>
    <w:rsid w:val="00983B25"/>
    <w:rsid w:val="009851E0"/>
    <w:rsid w:val="00985241"/>
    <w:rsid w:val="00986D74"/>
    <w:rsid w:val="009911B7"/>
    <w:rsid w:val="00992732"/>
    <w:rsid w:val="00995558"/>
    <w:rsid w:val="00995953"/>
    <w:rsid w:val="0099606A"/>
    <w:rsid w:val="00996BD0"/>
    <w:rsid w:val="00997745"/>
    <w:rsid w:val="009A077D"/>
    <w:rsid w:val="009A0C1E"/>
    <w:rsid w:val="009A0DDF"/>
    <w:rsid w:val="009A13FA"/>
    <w:rsid w:val="009A6D2C"/>
    <w:rsid w:val="009A7A4E"/>
    <w:rsid w:val="009B020C"/>
    <w:rsid w:val="009B0A4F"/>
    <w:rsid w:val="009B15BE"/>
    <w:rsid w:val="009B30EB"/>
    <w:rsid w:val="009B361F"/>
    <w:rsid w:val="009B700F"/>
    <w:rsid w:val="009B7389"/>
    <w:rsid w:val="009C1A34"/>
    <w:rsid w:val="009C380D"/>
    <w:rsid w:val="009C3C18"/>
    <w:rsid w:val="009C705A"/>
    <w:rsid w:val="009D08BD"/>
    <w:rsid w:val="009D35C7"/>
    <w:rsid w:val="009D495B"/>
    <w:rsid w:val="009D7F15"/>
    <w:rsid w:val="009D7F92"/>
    <w:rsid w:val="009E0BB3"/>
    <w:rsid w:val="009E3200"/>
    <w:rsid w:val="009E48F1"/>
    <w:rsid w:val="009E60DC"/>
    <w:rsid w:val="009E708F"/>
    <w:rsid w:val="009F0288"/>
    <w:rsid w:val="009F2B40"/>
    <w:rsid w:val="009F32B6"/>
    <w:rsid w:val="009F4118"/>
    <w:rsid w:val="009F42E0"/>
    <w:rsid w:val="009F478F"/>
    <w:rsid w:val="009F4EA5"/>
    <w:rsid w:val="009F4FBD"/>
    <w:rsid w:val="009F5D9C"/>
    <w:rsid w:val="009F71EA"/>
    <w:rsid w:val="009F739E"/>
    <w:rsid w:val="00A0029D"/>
    <w:rsid w:val="00A012DF"/>
    <w:rsid w:val="00A031F9"/>
    <w:rsid w:val="00A04463"/>
    <w:rsid w:val="00A05FCE"/>
    <w:rsid w:val="00A10370"/>
    <w:rsid w:val="00A13CB0"/>
    <w:rsid w:val="00A13DFD"/>
    <w:rsid w:val="00A140C3"/>
    <w:rsid w:val="00A22213"/>
    <w:rsid w:val="00A258B4"/>
    <w:rsid w:val="00A26FBA"/>
    <w:rsid w:val="00A277BC"/>
    <w:rsid w:val="00A31275"/>
    <w:rsid w:val="00A33413"/>
    <w:rsid w:val="00A34455"/>
    <w:rsid w:val="00A34EB8"/>
    <w:rsid w:val="00A37A7E"/>
    <w:rsid w:val="00A37EAC"/>
    <w:rsid w:val="00A418EA"/>
    <w:rsid w:val="00A45313"/>
    <w:rsid w:val="00A46212"/>
    <w:rsid w:val="00A506B4"/>
    <w:rsid w:val="00A540A6"/>
    <w:rsid w:val="00A55358"/>
    <w:rsid w:val="00A62B62"/>
    <w:rsid w:val="00A63D69"/>
    <w:rsid w:val="00A64716"/>
    <w:rsid w:val="00A6508A"/>
    <w:rsid w:val="00A65755"/>
    <w:rsid w:val="00A66596"/>
    <w:rsid w:val="00A706EE"/>
    <w:rsid w:val="00A71E29"/>
    <w:rsid w:val="00A734A7"/>
    <w:rsid w:val="00A74E0E"/>
    <w:rsid w:val="00A77894"/>
    <w:rsid w:val="00A81FBD"/>
    <w:rsid w:val="00A827FA"/>
    <w:rsid w:val="00A852C9"/>
    <w:rsid w:val="00A936AD"/>
    <w:rsid w:val="00A946B5"/>
    <w:rsid w:val="00A94B60"/>
    <w:rsid w:val="00A97D44"/>
    <w:rsid w:val="00AA0513"/>
    <w:rsid w:val="00AA0DE5"/>
    <w:rsid w:val="00AA4AB1"/>
    <w:rsid w:val="00AA7AB5"/>
    <w:rsid w:val="00AB14D3"/>
    <w:rsid w:val="00AB4DA6"/>
    <w:rsid w:val="00AB5337"/>
    <w:rsid w:val="00AB6FFE"/>
    <w:rsid w:val="00AB725D"/>
    <w:rsid w:val="00AC73B0"/>
    <w:rsid w:val="00AD0B38"/>
    <w:rsid w:val="00AD1D13"/>
    <w:rsid w:val="00AD27E5"/>
    <w:rsid w:val="00AD2A2D"/>
    <w:rsid w:val="00AD2E72"/>
    <w:rsid w:val="00AD3051"/>
    <w:rsid w:val="00AD59AE"/>
    <w:rsid w:val="00AE0636"/>
    <w:rsid w:val="00AE2401"/>
    <w:rsid w:val="00AE3B9B"/>
    <w:rsid w:val="00AE43F9"/>
    <w:rsid w:val="00AE59C2"/>
    <w:rsid w:val="00AE75B2"/>
    <w:rsid w:val="00AE7AE1"/>
    <w:rsid w:val="00AF209B"/>
    <w:rsid w:val="00AF2760"/>
    <w:rsid w:val="00AF3131"/>
    <w:rsid w:val="00AF33E3"/>
    <w:rsid w:val="00AF5C6C"/>
    <w:rsid w:val="00AF716B"/>
    <w:rsid w:val="00B06B87"/>
    <w:rsid w:val="00B06E02"/>
    <w:rsid w:val="00B06E16"/>
    <w:rsid w:val="00B07ACD"/>
    <w:rsid w:val="00B1065E"/>
    <w:rsid w:val="00B1096E"/>
    <w:rsid w:val="00B13D25"/>
    <w:rsid w:val="00B1682F"/>
    <w:rsid w:val="00B16C60"/>
    <w:rsid w:val="00B17535"/>
    <w:rsid w:val="00B17947"/>
    <w:rsid w:val="00B207BD"/>
    <w:rsid w:val="00B216C2"/>
    <w:rsid w:val="00B237EE"/>
    <w:rsid w:val="00B31C97"/>
    <w:rsid w:val="00B33471"/>
    <w:rsid w:val="00B34CB7"/>
    <w:rsid w:val="00B360CC"/>
    <w:rsid w:val="00B372C2"/>
    <w:rsid w:val="00B419D0"/>
    <w:rsid w:val="00B42C3A"/>
    <w:rsid w:val="00B470E3"/>
    <w:rsid w:val="00B5001F"/>
    <w:rsid w:val="00B51768"/>
    <w:rsid w:val="00B56BF8"/>
    <w:rsid w:val="00B60300"/>
    <w:rsid w:val="00B62AB8"/>
    <w:rsid w:val="00B67750"/>
    <w:rsid w:val="00B7072C"/>
    <w:rsid w:val="00B71ECD"/>
    <w:rsid w:val="00B76E48"/>
    <w:rsid w:val="00B7736E"/>
    <w:rsid w:val="00B83767"/>
    <w:rsid w:val="00B8408D"/>
    <w:rsid w:val="00B87AC2"/>
    <w:rsid w:val="00B93D49"/>
    <w:rsid w:val="00B95805"/>
    <w:rsid w:val="00B97C8C"/>
    <w:rsid w:val="00BA59EF"/>
    <w:rsid w:val="00BB0580"/>
    <w:rsid w:val="00BB2FE1"/>
    <w:rsid w:val="00BB306E"/>
    <w:rsid w:val="00BC0509"/>
    <w:rsid w:val="00BC1879"/>
    <w:rsid w:val="00BC2D46"/>
    <w:rsid w:val="00BC6405"/>
    <w:rsid w:val="00BC6894"/>
    <w:rsid w:val="00BC7994"/>
    <w:rsid w:val="00BD2AB4"/>
    <w:rsid w:val="00BD3121"/>
    <w:rsid w:val="00BD385A"/>
    <w:rsid w:val="00BD7433"/>
    <w:rsid w:val="00BE34FF"/>
    <w:rsid w:val="00BF047C"/>
    <w:rsid w:val="00BF3C4F"/>
    <w:rsid w:val="00BF70B4"/>
    <w:rsid w:val="00C01DA4"/>
    <w:rsid w:val="00C04498"/>
    <w:rsid w:val="00C04D1F"/>
    <w:rsid w:val="00C0612F"/>
    <w:rsid w:val="00C07251"/>
    <w:rsid w:val="00C077B1"/>
    <w:rsid w:val="00C100D8"/>
    <w:rsid w:val="00C1185D"/>
    <w:rsid w:val="00C11BB4"/>
    <w:rsid w:val="00C152CD"/>
    <w:rsid w:val="00C177E3"/>
    <w:rsid w:val="00C17DA0"/>
    <w:rsid w:val="00C21C64"/>
    <w:rsid w:val="00C21E2F"/>
    <w:rsid w:val="00C3000A"/>
    <w:rsid w:val="00C309FB"/>
    <w:rsid w:val="00C3140B"/>
    <w:rsid w:val="00C3297E"/>
    <w:rsid w:val="00C32F8B"/>
    <w:rsid w:val="00C338EA"/>
    <w:rsid w:val="00C33AFD"/>
    <w:rsid w:val="00C33CA0"/>
    <w:rsid w:val="00C34FF6"/>
    <w:rsid w:val="00C42A3B"/>
    <w:rsid w:val="00C42B3E"/>
    <w:rsid w:val="00C43FEB"/>
    <w:rsid w:val="00C44F31"/>
    <w:rsid w:val="00C46607"/>
    <w:rsid w:val="00C47207"/>
    <w:rsid w:val="00C535EE"/>
    <w:rsid w:val="00C549CF"/>
    <w:rsid w:val="00C56C99"/>
    <w:rsid w:val="00C57C49"/>
    <w:rsid w:val="00C61B9F"/>
    <w:rsid w:val="00C62569"/>
    <w:rsid w:val="00C6369D"/>
    <w:rsid w:val="00C63B38"/>
    <w:rsid w:val="00C64F89"/>
    <w:rsid w:val="00C776C9"/>
    <w:rsid w:val="00C84808"/>
    <w:rsid w:val="00C85644"/>
    <w:rsid w:val="00C85EF8"/>
    <w:rsid w:val="00C87193"/>
    <w:rsid w:val="00C877DA"/>
    <w:rsid w:val="00C968A8"/>
    <w:rsid w:val="00C96A87"/>
    <w:rsid w:val="00CA0F17"/>
    <w:rsid w:val="00CA3946"/>
    <w:rsid w:val="00CA40B5"/>
    <w:rsid w:val="00CA7AB9"/>
    <w:rsid w:val="00CA7DB4"/>
    <w:rsid w:val="00CB118F"/>
    <w:rsid w:val="00CC0E72"/>
    <w:rsid w:val="00CC3EDE"/>
    <w:rsid w:val="00CC4748"/>
    <w:rsid w:val="00CC4CD0"/>
    <w:rsid w:val="00CC78F0"/>
    <w:rsid w:val="00CD7806"/>
    <w:rsid w:val="00CE02CF"/>
    <w:rsid w:val="00CE05BE"/>
    <w:rsid w:val="00CE082E"/>
    <w:rsid w:val="00CE09FC"/>
    <w:rsid w:val="00CE4672"/>
    <w:rsid w:val="00CE5A61"/>
    <w:rsid w:val="00CE68B9"/>
    <w:rsid w:val="00CE7BC5"/>
    <w:rsid w:val="00CF1703"/>
    <w:rsid w:val="00CF232B"/>
    <w:rsid w:val="00CF40A2"/>
    <w:rsid w:val="00CF5421"/>
    <w:rsid w:val="00CF74F4"/>
    <w:rsid w:val="00D00542"/>
    <w:rsid w:val="00D060C1"/>
    <w:rsid w:val="00D061BF"/>
    <w:rsid w:val="00D104C3"/>
    <w:rsid w:val="00D126E1"/>
    <w:rsid w:val="00D138E0"/>
    <w:rsid w:val="00D13F92"/>
    <w:rsid w:val="00D15028"/>
    <w:rsid w:val="00D169C0"/>
    <w:rsid w:val="00D16C8B"/>
    <w:rsid w:val="00D17AC4"/>
    <w:rsid w:val="00D200C6"/>
    <w:rsid w:val="00D23930"/>
    <w:rsid w:val="00D239B5"/>
    <w:rsid w:val="00D24657"/>
    <w:rsid w:val="00D25C1F"/>
    <w:rsid w:val="00D3612B"/>
    <w:rsid w:val="00D407FF"/>
    <w:rsid w:val="00D40B19"/>
    <w:rsid w:val="00D41621"/>
    <w:rsid w:val="00D439AB"/>
    <w:rsid w:val="00D446CE"/>
    <w:rsid w:val="00D450FB"/>
    <w:rsid w:val="00D455D9"/>
    <w:rsid w:val="00D4618B"/>
    <w:rsid w:val="00D511E8"/>
    <w:rsid w:val="00D54BB4"/>
    <w:rsid w:val="00D614DD"/>
    <w:rsid w:val="00D63438"/>
    <w:rsid w:val="00D64277"/>
    <w:rsid w:val="00D70261"/>
    <w:rsid w:val="00D71426"/>
    <w:rsid w:val="00D722EC"/>
    <w:rsid w:val="00D726E7"/>
    <w:rsid w:val="00D72F8E"/>
    <w:rsid w:val="00D73E93"/>
    <w:rsid w:val="00D74231"/>
    <w:rsid w:val="00D761B1"/>
    <w:rsid w:val="00D80E62"/>
    <w:rsid w:val="00D82797"/>
    <w:rsid w:val="00D90616"/>
    <w:rsid w:val="00D917F3"/>
    <w:rsid w:val="00D94542"/>
    <w:rsid w:val="00D94CB7"/>
    <w:rsid w:val="00D96703"/>
    <w:rsid w:val="00DA06C9"/>
    <w:rsid w:val="00DA118E"/>
    <w:rsid w:val="00DA197B"/>
    <w:rsid w:val="00DA20BC"/>
    <w:rsid w:val="00DA6C94"/>
    <w:rsid w:val="00DB2E93"/>
    <w:rsid w:val="00DB40D1"/>
    <w:rsid w:val="00DB5C2E"/>
    <w:rsid w:val="00DB67DC"/>
    <w:rsid w:val="00DB752B"/>
    <w:rsid w:val="00DB796C"/>
    <w:rsid w:val="00DC28D6"/>
    <w:rsid w:val="00DC3FA8"/>
    <w:rsid w:val="00DC5E11"/>
    <w:rsid w:val="00DD0024"/>
    <w:rsid w:val="00DD2078"/>
    <w:rsid w:val="00DD2602"/>
    <w:rsid w:val="00DD352E"/>
    <w:rsid w:val="00DD3FF9"/>
    <w:rsid w:val="00DE0630"/>
    <w:rsid w:val="00DE0CEE"/>
    <w:rsid w:val="00DE2608"/>
    <w:rsid w:val="00DE5169"/>
    <w:rsid w:val="00DF0AB1"/>
    <w:rsid w:val="00DF1D9E"/>
    <w:rsid w:val="00DF1F92"/>
    <w:rsid w:val="00DF243F"/>
    <w:rsid w:val="00E067BA"/>
    <w:rsid w:val="00E10E18"/>
    <w:rsid w:val="00E11BA9"/>
    <w:rsid w:val="00E14036"/>
    <w:rsid w:val="00E1626E"/>
    <w:rsid w:val="00E172D1"/>
    <w:rsid w:val="00E1781A"/>
    <w:rsid w:val="00E21011"/>
    <w:rsid w:val="00E23248"/>
    <w:rsid w:val="00E257C6"/>
    <w:rsid w:val="00E2766C"/>
    <w:rsid w:val="00E27813"/>
    <w:rsid w:val="00E44E6B"/>
    <w:rsid w:val="00E44F7F"/>
    <w:rsid w:val="00E45663"/>
    <w:rsid w:val="00E50F6A"/>
    <w:rsid w:val="00E512A3"/>
    <w:rsid w:val="00E51811"/>
    <w:rsid w:val="00E52EE5"/>
    <w:rsid w:val="00E53116"/>
    <w:rsid w:val="00E54050"/>
    <w:rsid w:val="00E55EFA"/>
    <w:rsid w:val="00E67094"/>
    <w:rsid w:val="00E74B84"/>
    <w:rsid w:val="00E75A7F"/>
    <w:rsid w:val="00E76686"/>
    <w:rsid w:val="00E76939"/>
    <w:rsid w:val="00E7799D"/>
    <w:rsid w:val="00E85E9A"/>
    <w:rsid w:val="00E8784A"/>
    <w:rsid w:val="00E8793D"/>
    <w:rsid w:val="00E87EAC"/>
    <w:rsid w:val="00E87FD2"/>
    <w:rsid w:val="00E904C3"/>
    <w:rsid w:val="00E91F2F"/>
    <w:rsid w:val="00E95A0B"/>
    <w:rsid w:val="00E97365"/>
    <w:rsid w:val="00EA3E27"/>
    <w:rsid w:val="00EA4F56"/>
    <w:rsid w:val="00EA6692"/>
    <w:rsid w:val="00EA6E24"/>
    <w:rsid w:val="00EA6F3C"/>
    <w:rsid w:val="00EA746F"/>
    <w:rsid w:val="00EB3486"/>
    <w:rsid w:val="00EB4193"/>
    <w:rsid w:val="00EB4AEB"/>
    <w:rsid w:val="00EB5A02"/>
    <w:rsid w:val="00EC1717"/>
    <w:rsid w:val="00EC374C"/>
    <w:rsid w:val="00EC3FD3"/>
    <w:rsid w:val="00EC7854"/>
    <w:rsid w:val="00ED297C"/>
    <w:rsid w:val="00ED4F7E"/>
    <w:rsid w:val="00ED5D1A"/>
    <w:rsid w:val="00ED74E9"/>
    <w:rsid w:val="00ED7D20"/>
    <w:rsid w:val="00ED7DD6"/>
    <w:rsid w:val="00EE09B4"/>
    <w:rsid w:val="00EE13EC"/>
    <w:rsid w:val="00EE2BC4"/>
    <w:rsid w:val="00EE5F54"/>
    <w:rsid w:val="00EE5F57"/>
    <w:rsid w:val="00EE789F"/>
    <w:rsid w:val="00EE7AF9"/>
    <w:rsid w:val="00EF0460"/>
    <w:rsid w:val="00EF172F"/>
    <w:rsid w:val="00EF212D"/>
    <w:rsid w:val="00EF2724"/>
    <w:rsid w:val="00EF2F02"/>
    <w:rsid w:val="00F00ADA"/>
    <w:rsid w:val="00F02D5B"/>
    <w:rsid w:val="00F046DA"/>
    <w:rsid w:val="00F10FDE"/>
    <w:rsid w:val="00F12940"/>
    <w:rsid w:val="00F12D62"/>
    <w:rsid w:val="00F134A0"/>
    <w:rsid w:val="00F2067F"/>
    <w:rsid w:val="00F21757"/>
    <w:rsid w:val="00F233C6"/>
    <w:rsid w:val="00F347A6"/>
    <w:rsid w:val="00F355DB"/>
    <w:rsid w:val="00F372CE"/>
    <w:rsid w:val="00F43C4C"/>
    <w:rsid w:val="00F44B80"/>
    <w:rsid w:val="00F46A24"/>
    <w:rsid w:val="00F47895"/>
    <w:rsid w:val="00F50071"/>
    <w:rsid w:val="00F51018"/>
    <w:rsid w:val="00F527CE"/>
    <w:rsid w:val="00F54ADE"/>
    <w:rsid w:val="00F55574"/>
    <w:rsid w:val="00F57CA0"/>
    <w:rsid w:val="00F6273A"/>
    <w:rsid w:val="00F64EB6"/>
    <w:rsid w:val="00F66410"/>
    <w:rsid w:val="00F671F1"/>
    <w:rsid w:val="00F67BD7"/>
    <w:rsid w:val="00F7036B"/>
    <w:rsid w:val="00F7191E"/>
    <w:rsid w:val="00F72B71"/>
    <w:rsid w:val="00F75F57"/>
    <w:rsid w:val="00F771C1"/>
    <w:rsid w:val="00F82198"/>
    <w:rsid w:val="00F8362E"/>
    <w:rsid w:val="00F8454B"/>
    <w:rsid w:val="00F8585D"/>
    <w:rsid w:val="00F941BB"/>
    <w:rsid w:val="00F971F3"/>
    <w:rsid w:val="00F97B8C"/>
    <w:rsid w:val="00FA2ABA"/>
    <w:rsid w:val="00FA2EE0"/>
    <w:rsid w:val="00FB22CC"/>
    <w:rsid w:val="00FB2AA0"/>
    <w:rsid w:val="00FB3672"/>
    <w:rsid w:val="00FB5C62"/>
    <w:rsid w:val="00FB7C70"/>
    <w:rsid w:val="00FC2784"/>
    <w:rsid w:val="00FC6060"/>
    <w:rsid w:val="00FC6DDD"/>
    <w:rsid w:val="00FD168E"/>
    <w:rsid w:val="00FD2B6B"/>
    <w:rsid w:val="00FD3111"/>
    <w:rsid w:val="00FD3DCD"/>
    <w:rsid w:val="00FD5013"/>
    <w:rsid w:val="00FD7D6B"/>
    <w:rsid w:val="00FE109B"/>
    <w:rsid w:val="00FE1231"/>
    <w:rsid w:val="00FE40DD"/>
    <w:rsid w:val="00FE5A2C"/>
    <w:rsid w:val="00FE6A7E"/>
    <w:rsid w:val="00FE7471"/>
    <w:rsid w:val="00FF557B"/>
    <w:rsid w:val="00FF5F05"/>
    <w:rsid w:val="00FF6B79"/>
    <w:rsid w:val="010D5F84"/>
    <w:rsid w:val="014F7A3E"/>
    <w:rsid w:val="02E516A7"/>
    <w:rsid w:val="0414147C"/>
    <w:rsid w:val="0655186C"/>
    <w:rsid w:val="06651A73"/>
    <w:rsid w:val="07C24C42"/>
    <w:rsid w:val="08F54B88"/>
    <w:rsid w:val="0CCE1A6D"/>
    <w:rsid w:val="0E37665D"/>
    <w:rsid w:val="111B1490"/>
    <w:rsid w:val="14C97BF2"/>
    <w:rsid w:val="14EC58AF"/>
    <w:rsid w:val="180014E6"/>
    <w:rsid w:val="18BC5E51"/>
    <w:rsid w:val="196102D3"/>
    <w:rsid w:val="1B1F76BC"/>
    <w:rsid w:val="1B5964FD"/>
    <w:rsid w:val="1BAD66F0"/>
    <w:rsid w:val="1C05316C"/>
    <w:rsid w:val="1FBA20ED"/>
    <w:rsid w:val="20CB3FD5"/>
    <w:rsid w:val="22721B7F"/>
    <w:rsid w:val="22CD20B2"/>
    <w:rsid w:val="22EF3FAC"/>
    <w:rsid w:val="23776874"/>
    <w:rsid w:val="24E721CC"/>
    <w:rsid w:val="25250EEF"/>
    <w:rsid w:val="25AF55B6"/>
    <w:rsid w:val="28DB5270"/>
    <w:rsid w:val="2A7F2BCE"/>
    <w:rsid w:val="2AC316B0"/>
    <w:rsid w:val="2C74704D"/>
    <w:rsid w:val="2E0F708E"/>
    <w:rsid w:val="2F1648FE"/>
    <w:rsid w:val="2F647E55"/>
    <w:rsid w:val="312A6CE3"/>
    <w:rsid w:val="34F374E8"/>
    <w:rsid w:val="35763767"/>
    <w:rsid w:val="35C329AC"/>
    <w:rsid w:val="37040D59"/>
    <w:rsid w:val="379B7FFE"/>
    <w:rsid w:val="37B87E0B"/>
    <w:rsid w:val="37D00255"/>
    <w:rsid w:val="394933D7"/>
    <w:rsid w:val="394B4E8C"/>
    <w:rsid w:val="3B8D241F"/>
    <w:rsid w:val="3BFE45C9"/>
    <w:rsid w:val="3D512D53"/>
    <w:rsid w:val="3E095EFB"/>
    <w:rsid w:val="4186255E"/>
    <w:rsid w:val="43731CD0"/>
    <w:rsid w:val="43773557"/>
    <w:rsid w:val="45307BD2"/>
    <w:rsid w:val="45BE05DE"/>
    <w:rsid w:val="48785F5D"/>
    <w:rsid w:val="489B5DDA"/>
    <w:rsid w:val="4B044AFF"/>
    <w:rsid w:val="4B0D6A7E"/>
    <w:rsid w:val="4B526EE1"/>
    <w:rsid w:val="4CFD1E56"/>
    <w:rsid w:val="4F152D6A"/>
    <w:rsid w:val="4F3C79FA"/>
    <w:rsid w:val="51507ED1"/>
    <w:rsid w:val="51610ED9"/>
    <w:rsid w:val="51625CF2"/>
    <w:rsid w:val="53F34B19"/>
    <w:rsid w:val="55997CB0"/>
    <w:rsid w:val="5649088E"/>
    <w:rsid w:val="57D87CAA"/>
    <w:rsid w:val="58122F50"/>
    <w:rsid w:val="58EF7065"/>
    <w:rsid w:val="59D503FD"/>
    <w:rsid w:val="5BEE1C7C"/>
    <w:rsid w:val="5DD66746"/>
    <w:rsid w:val="5DFB174B"/>
    <w:rsid w:val="5EC81793"/>
    <w:rsid w:val="5F7B068E"/>
    <w:rsid w:val="602813CA"/>
    <w:rsid w:val="607336E6"/>
    <w:rsid w:val="637308D8"/>
    <w:rsid w:val="63AB5793"/>
    <w:rsid w:val="659D3815"/>
    <w:rsid w:val="65A92067"/>
    <w:rsid w:val="66426F3D"/>
    <w:rsid w:val="668A2B2A"/>
    <w:rsid w:val="66C30AF0"/>
    <w:rsid w:val="67B62331"/>
    <w:rsid w:val="67CC00EE"/>
    <w:rsid w:val="69F00BD8"/>
    <w:rsid w:val="6ACA30A0"/>
    <w:rsid w:val="6BAF3046"/>
    <w:rsid w:val="6BEC02C1"/>
    <w:rsid w:val="6E775CD9"/>
    <w:rsid w:val="6E817995"/>
    <w:rsid w:val="6F5A63D5"/>
    <w:rsid w:val="6F6251D6"/>
    <w:rsid w:val="6FFB2EA7"/>
    <w:rsid w:val="72AE4C8E"/>
    <w:rsid w:val="735A337E"/>
    <w:rsid w:val="73746B46"/>
    <w:rsid w:val="745B7E37"/>
    <w:rsid w:val="779B2290"/>
    <w:rsid w:val="77A2304F"/>
    <w:rsid w:val="78595A9D"/>
    <w:rsid w:val="796D5398"/>
    <w:rsid w:val="7ADE368E"/>
    <w:rsid w:val="7C0C0974"/>
    <w:rsid w:val="7C5178D9"/>
    <w:rsid w:val="7D0C252B"/>
    <w:rsid w:val="7E802E9B"/>
    <w:rsid w:val="7F450507"/>
    <w:rsid w:val="7F9E579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name="HTML Acronym"/>
    <w:lsdException w:uiPriority="99" w:name="HTML Address" w:locked="1"/>
    <w:lsdException w:qFormat="1" w:unhideWhenUsed="0" w:uiPriority="99" w:name="HTML Cite"/>
    <w:lsdException w:qFormat="1" w:unhideWhenUsed="0" w:uiPriority="99" w:name="HTML Code"/>
    <w:lsdException w:qFormat="1" w:unhideWhenUsed="0" w:uiPriority="99" w:name="HTML Definition"/>
    <w:lsdException w:qFormat="1" w:unhideWhenUsed="0" w:uiPriority="99" w:name="HTML Keyboard"/>
    <w:lsdException w:uiPriority="99" w:name="HTML Preformatted" w:locked="1"/>
    <w:lsdException w:qFormat="1" w:unhideWhenUsed="0" w:uiPriority="99" w:name="HTML Sample"/>
    <w:lsdException w:qFormat="1" w:unhideWhenUsed="0" w:uiPriority="99" w:name="HTML Typewriter"/>
    <w:lsdException w:qFormat="1" w:unhideWhenUsed="0" w:uiPriority="99" w:name="HTML Variable"/>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7"/>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48"/>
    <w:qFormat/>
    <w:uiPriority w:val="99"/>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5">
    <w:name w:val="heading 3"/>
    <w:basedOn w:val="1"/>
    <w:next w:val="6"/>
    <w:link w:val="49"/>
    <w:qFormat/>
    <w:uiPriority w:val="99"/>
    <w:pPr>
      <w:keepNext/>
      <w:keepLines/>
      <w:spacing w:before="260" w:after="260" w:line="360" w:lineRule="auto"/>
      <w:ind w:firstLine="200" w:firstLineChars="200"/>
      <w:outlineLvl w:val="2"/>
    </w:pPr>
    <w:rPr>
      <w:rFonts w:ascii="仿宋_GB2312" w:eastAsia="仿宋_GB2312"/>
      <w:b/>
      <w:bCs/>
      <w:kern w:val="0"/>
      <w:sz w:val="30"/>
      <w:szCs w:val="20"/>
    </w:rPr>
  </w:style>
  <w:style w:type="character" w:default="1" w:styleId="31">
    <w:name w:val="Default Paragraph Font"/>
    <w:semiHidden/>
    <w:qFormat/>
    <w:uiPriority w:val="99"/>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99"/>
    <w:pPr>
      <w:tabs>
        <w:tab w:val="right" w:leader="dot" w:pos="8302"/>
      </w:tabs>
      <w:ind w:left="200" w:leftChars="200"/>
    </w:pPr>
    <w:rPr>
      <w:b/>
      <w:sz w:val="28"/>
      <w:szCs w:val="28"/>
    </w:rPr>
  </w:style>
  <w:style w:type="paragraph" w:styleId="6">
    <w:name w:val="Normal Indent"/>
    <w:basedOn w:val="1"/>
    <w:link w:val="101"/>
    <w:qFormat/>
    <w:uiPriority w:val="99"/>
    <w:pPr>
      <w:ind w:firstLine="420"/>
    </w:pPr>
    <w:rPr>
      <w:kern w:val="0"/>
      <w:sz w:val="20"/>
      <w:szCs w:val="20"/>
    </w:rPr>
  </w:style>
  <w:style w:type="paragraph" w:styleId="7">
    <w:name w:val="List Number"/>
    <w:basedOn w:val="1"/>
    <w:qFormat/>
    <w:uiPriority w:val="99"/>
    <w:pPr>
      <w:widowControl/>
      <w:tabs>
        <w:tab w:val="left" w:pos="454"/>
        <w:tab w:val="left" w:pos="720"/>
      </w:tabs>
      <w:spacing w:afterLines="50"/>
      <w:ind w:left="454" w:hanging="284"/>
      <w:jc w:val="left"/>
    </w:pPr>
    <w:rPr>
      <w:kern w:val="0"/>
      <w:sz w:val="24"/>
      <w:szCs w:val="20"/>
    </w:rPr>
  </w:style>
  <w:style w:type="paragraph" w:styleId="8">
    <w:name w:val="Document Map"/>
    <w:basedOn w:val="1"/>
    <w:link w:val="50"/>
    <w:qFormat/>
    <w:uiPriority w:val="99"/>
    <w:pPr>
      <w:shd w:val="clear" w:color="auto" w:fill="000080"/>
    </w:pPr>
  </w:style>
  <w:style w:type="paragraph" w:styleId="9">
    <w:name w:val="annotation text"/>
    <w:basedOn w:val="1"/>
    <w:link w:val="51"/>
    <w:qFormat/>
    <w:uiPriority w:val="99"/>
    <w:pPr>
      <w:jc w:val="left"/>
    </w:pPr>
    <w:rPr>
      <w:kern w:val="0"/>
      <w:sz w:val="20"/>
    </w:rPr>
  </w:style>
  <w:style w:type="paragraph" w:styleId="10">
    <w:name w:val="Body Text 3"/>
    <w:basedOn w:val="1"/>
    <w:link w:val="52"/>
    <w:qFormat/>
    <w:uiPriority w:val="99"/>
    <w:pPr>
      <w:spacing w:after="120"/>
    </w:pPr>
    <w:rPr>
      <w:sz w:val="16"/>
      <w:szCs w:val="16"/>
    </w:rPr>
  </w:style>
  <w:style w:type="paragraph" w:styleId="11">
    <w:name w:val="Body Text"/>
    <w:basedOn w:val="1"/>
    <w:next w:val="1"/>
    <w:link w:val="53"/>
    <w:qFormat/>
    <w:uiPriority w:val="99"/>
    <w:pPr>
      <w:spacing w:after="120"/>
    </w:pPr>
    <w:rPr>
      <w:kern w:val="0"/>
      <w:sz w:val="20"/>
    </w:rPr>
  </w:style>
  <w:style w:type="paragraph" w:styleId="12">
    <w:name w:val="Body Text Indent"/>
    <w:basedOn w:val="1"/>
    <w:link w:val="54"/>
    <w:qFormat/>
    <w:uiPriority w:val="99"/>
    <w:pPr>
      <w:spacing w:line="200" w:lineRule="exact"/>
      <w:ind w:firstLine="301"/>
    </w:pPr>
    <w:rPr>
      <w:rFonts w:ascii="宋体"/>
      <w:spacing w:val="-4"/>
      <w:kern w:val="0"/>
      <w:sz w:val="18"/>
      <w:szCs w:val="20"/>
    </w:rPr>
  </w:style>
  <w:style w:type="paragraph" w:styleId="13">
    <w:name w:val="List Number 3"/>
    <w:basedOn w:val="1"/>
    <w:qFormat/>
    <w:uiPriority w:val="99"/>
    <w:pPr>
      <w:numPr>
        <w:ilvl w:val="0"/>
        <w:numId w:val="1"/>
      </w:numPr>
    </w:pPr>
  </w:style>
  <w:style w:type="paragraph" w:styleId="14">
    <w:name w:val="toc 3"/>
    <w:basedOn w:val="1"/>
    <w:next w:val="1"/>
    <w:qFormat/>
    <w:uiPriority w:val="99"/>
    <w:pPr>
      <w:ind w:left="400" w:leftChars="400"/>
    </w:pPr>
  </w:style>
  <w:style w:type="paragraph" w:styleId="15">
    <w:name w:val="Plain Text"/>
    <w:basedOn w:val="1"/>
    <w:next w:val="6"/>
    <w:link w:val="55"/>
    <w:qFormat/>
    <w:uiPriority w:val="99"/>
    <w:rPr>
      <w:rFonts w:ascii="宋体"/>
      <w:kern w:val="0"/>
      <w:sz w:val="20"/>
      <w:szCs w:val="20"/>
    </w:rPr>
  </w:style>
  <w:style w:type="paragraph" w:styleId="16">
    <w:name w:val="Date"/>
    <w:basedOn w:val="1"/>
    <w:next w:val="1"/>
    <w:link w:val="56"/>
    <w:qFormat/>
    <w:uiPriority w:val="99"/>
    <w:pPr>
      <w:ind w:left="2500" w:leftChars="2500"/>
    </w:pPr>
    <w:rPr>
      <w:rFonts w:eastAsia="楷体_GB2312"/>
      <w:kern w:val="0"/>
      <w:sz w:val="32"/>
      <w:szCs w:val="20"/>
    </w:rPr>
  </w:style>
  <w:style w:type="paragraph" w:styleId="17">
    <w:name w:val="Body Text Indent 2"/>
    <w:basedOn w:val="1"/>
    <w:link w:val="57"/>
    <w:qFormat/>
    <w:uiPriority w:val="99"/>
    <w:pPr>
      <w:spacing w:after="120" w:line="480" w:lineRule="auto"/>
      <w:ind w:left="200" w:leftChars="200"/>
    </w:pPr>
    <w:rPr>
      <w:kern w:val="0"/>
      <w:sz w:val="20"/>
    </w:rPr>
  </w:style>
  <w:style w:type="paragraph" w:styleId="18">
    <w:name w:val="Balloon Text"/>
    <w:basedOn w:val="1"/>
    <w:link w:val="58"/>
    <w:qFormat/>
    <w:uiPriority w:val="99"/>
    <w:rPr>
      <w:kern w:val="0"/>
      <w:sz w:val="18"/>
      <w:szCs w:val="18"/>
    </w:rPr>
  </w:style>
  <w:style w:type="paragraph" w:styleId="19">
    <w:name w:val="footer"/>
    <w:basedOn w:val="1"/>
    <w:link w:val="59"/>
    <w:qFormat/>
    <w:uiPriority w:val="99"/>
    <w:pPr>
      <w:tabs>
        <w:tab w:val="center" w:pos="4153"/>
        <w:tab w:val="right" w:pos="8306"/>
      </w:tabs>
      <w:snapToGrid w:val="0"/>
      <w:jc w:val="left"/>
    </w:pPr>
    <w:rPr>
      <w:kern w:val="0"/>
      <w:sz w:val="18"/>
      <w:szCs w:val="18"/>
    </w:rPr>
  </w:style>
  <w:style w:type="paragraph" w:styleId="20">
    <w:name w:val="header"/>
    <w:basedOn w:val="1"/>
    <w:link w:val="60"/>
    <w:qFormat/>
    <w:uiPriority w:val="99"/>
    <w:pPr>
      <w:pBdr>
        <w:bottom w:val="single" w:color="auto" w:sz="6" w:space="1"/>
      </w:pBdr>
      <w:tabs>
        <w:tab w:val="center" w:pos="4153"/>
        <w:tab w:val="right" w:pos="8306"/>
      </w:tabs>
      <w:snapToGrid w:val="0"/>
      <w:jc w:val="center"/>
    </w:pPr>
    <w:rPr>
      <w:kern w:val="0"/>
      <w:sz w:val="18"/>
      <w:szCs w:val="18"/>
    </w:rPr>
  </w:style>
  <w:style w:type="paragraph" w:styleId="21">
    <w:name w:val="toc 1"/>
    <w:basedOn w:val="1"/>
    <w:next w:val="1"/>
    <w:qFormat/>
    <w:uiPriority w:val="99"/>
    <w:pPr>
      <w:tabs>
        <w:tab w:val="right" w:leader="dot" w:pos="8302"/>
      </w:tabs>
    </w:pPr>
    <w:rPr>
      <w:b/>
      <w:sz w:val="28"/>
      <w:szCs w:val="28"/>
    </w:rPr>
  </w:style>
  <w:style w:type="paragraph" w:styleId="22">
    <w:name w:val="List"/>
    <w:basedOn w:val="1"/>
    <w:qFormat/>
    <w:uiPriority w:val="99"/>
    <w:pPr>
      <w:ind w:left="200" w:hanging="200" w:hangingChars="200"/>
      <w:contextualSpacing/>
    </w:pPr>
  </w:style>
  <w:style w:type="paragraph" w:styleId="23">
    <w:name w:val="footnote text"/>
    <w:basedOn w:val="1"/>
    <w:link w:val="61"/>
    <w:qFormat/>
    <w:uiPriority w:val="99"/>
    <w:pPr>
      <w:snapToGrid w:val="0"/>
      <w:jc w:val="left"/>
    </w:pPr>
    <w:rPr>
      <w:sz w:val="18"/>
      <w:szCs w:val="20"/>
    </w:rPr>
  </w:style>
  <w:style w:type="paragraph" w:styleId="24">
    <w:name w:val="Normal (Web)"/>
    <w:basedOn w:val="1"/>
    <w:qFormat/>
    <w:uiPriority w:val="99"/>
    <w:pPr>
      <w:widowControl/>
      <w:spacing w:before="100" w:beforeAutospacing="1" w:after="100" w:afterAutospacing="1"/>
      <w:jc w:val="left"/>
    </w:pPr>
    <w:rPr>
      <w:rFonts w:ascii="宋体" w:cs="宋体"/>
      <w:kern w:val="0"/>
      <w:sz w:val="24"/>
    </w:rPr>
  </w:style>
  <w:style w:type="paragraph" w:styleId="25">
    <w:name w:val="Title"/>
    <w:basedOn w:val="1"/>
    <w:next w:val="1"/>
    <w:link w:val="62"/>
    <w:qFormat/>
    <w:uiPriority w:val="99"/>
    <w:pPr>
      <w:spacing w:before="240" w:after="60" w:line="380" w:lineRule="exact"/>
      <w:jc w:val="center"/>
      <w:outlineLvl w:val="0"/>
    </w:pPr>
    <w:rPr>
      <w:rFonts w:ascii="Cambria" w:hAnsi="Cambria"/>
      <w:b/>
      <w:bCs/>
      <w:sz w:val="32"/>
      <w:szCs w:val="32"/>
    </w:rPr>
  </w:style>
  <w:style w:type="paragraph" w:styleId="26">
    <w:name w:val="annotation subject"/>
    <w:basedOn w:val="9"/>
    <w:next w:val="9"/>
    <w:link w:val="63"/>
    <w:qFormat/>
    <w:uiPriority w:val="99"/>
    <w:rPr>
      <w:b/>
      <w:bCs/>
    </w:rPr>
  </w:style>
  <w:style w:type="paragraph" w:styleId="27">
    <w:name w:val="Body Text First Indent"/>
    <w:basedOn w:val="11"/>
    <w:link w:val="64"/>
    <w:qFormat/>
    <w:uiPriority w:val="99"/>
    <w:pPr>
      <w:ind w:firstLine="420" w:firstLineChars="100"/>
    </w:pPr>
    <w:rPr>
      <w:kern w:val="2"/>
      <w:sz w:val="21"/>
    </w:rPr>
  </w:style>
  <w:style w:type="paragraph" w:styleId="28">
    <w:name w:val="Body Text First Indent 2"/>
    <w:basedOn w:val="12"/>
    <w:next w:val="1"/>
    <w:link w:val="65"/>
    <w:qFormat/>
    <w:uiPriority w:val="99"/>
    <w:pPr>
      <w:spacing w:after="120" w:line="240" w:lineRule="auto"/>
      <w:ind w:left="420" w:leftChars="200" w:firstLine="420"/>
    </w:pPr>
  </w:style>
  <w:style w:type="table" w:styleId="30">
    <w:name w:val="Table Grid"/>
    <w:basedOn w:val="29"/>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99"/>
    <w:rPr>
      <w:rFonts w:cs="Times New Roman"/>
      <w:b/>
    </w:rPr>
  </w:style>
  <w:style w:type="character" w:styleId="33">
    <w:name w:val="page number"/>
    <w:basedOn w:val="31"/>
    <w:qFormat/>
    <w:uiPriority w:val="99"/>
    <w:rPr>
      <w:rFonts w:cs="Times New Roman"/>
    </w:rPr>
  </w:style>
  <w:style w:type="character" w:styleId="34">
    <w:name w:val="FollowedHyperlink"/>
    <w:basedOn w:val="31"/>
    <w:qFormat/>
    <w:uiPriority w:val="99"/>
    <w:rPr>
      <w:rFonts w:cs="Times New Roman"/>
      <w:color w:val="0088CC"/>
      <w:u w:val="none"/>
    </w:rPr>
  </w:style>
  <w:style w:type="character" w:styleId="35">
    <w:name w:val="Emphasis"/>
    <w:basedOn w:val="31"/>
    <w:qFormat/>
    <w:uiPriority w:val="99"/>
    <w:rPr>
      <w:rFonts w:cs="Times New Roman"/>
    </w:rPr>
  </w:style>
  <w:style w:type="character" w:styleId="36">
    <w:name w:val="HTML Definition"/>
    <w:basedOn w:val="31"/>
    <w:semiHidden/>
    <w:qFormat/>
    <w:uiPriority w:val="99"/>
    <w:rPr>
      <w:rFonts w:cs="Times New Roman"/>
    </w:rPr>
  </w:style>
  <w:style w:type="character" w:styleId="37">
    <w:name w:val="HTML Typewriter"/>
    <w:basedOn w:val="31"/>
    <w:semiHidden/>
    <w:qFormat/>
    <w:uiPriority w:val="99"/>
    <w:rPr>
      <w:rFonts w:ascii="monospace" w:hAnsi="monospace" w:cs="monospace"/>
      <w:sz w:val="20"/>
    </w:rPr>
  </w:style>
  <w:style w:type="character" w:styleId="38">
    <w:name w:val="HTML Acronym"/>
    <w:basedOn w:val="31"/>
    <w:semiHidden/>
    <w:qFormat/>
    <w:uiPriority w:val="99"/>
    <w:rPr>
      <w:rFonts w:cs="Times New Roman"/>
    </w:rPr>
  </w:style>
  <w:style w:type="character" w:styleId="39">
    <w:name w:val="HTML Variable"/>
    <w:basedOn w:val="31"/>
    <w:semiHidden/>
    <w:qFormat/>
    <w:uiPriority w:val="99"/>
    <w:rPr>
      <w:rFonts w:cs="Times New Roman"/>
    </w:rPr>
  </w:style>
  <w:style w:type="character" w:styleId="40">
    <w:name w:val="Hyperlink"/>
    <w:basedOn w:val="31"/>
    <w:qFormat/>
    <w:uiPriority w:val="99"/>
    <w:rPr>
      <w:rFonts w:cs="Times New Roman"/>
      <w:color w:val="0088CC"/>
      <w:u w:val="none"/>
    </w:rPr>
  </w:style>
  <w:style w:type="character" w:styleId="41">
    <w:name w:val="HTML Code"/>
    <w:basedOn w:val="31"/>
    <w:semiHidden/>
    <w:qFormat/>
    <w:uiPriority w:val="99"/>
    <w:rPr>
      <w:rFonts w:ascii="monospace" w:hAnsi="monospace" w:cs="monospace"/>
      <w:sz w:val="20"/>
    </w:rPr>
  </w:style>
  <w:style w:type="character" w:styleId="42">
    <w:name w:val="annotation reference"/>
    <w:basedOn w:val="31"/>
    <w:qFormat/>
    <w:uiPriority w:val="99"/>
    <w:rPr>
      <w:rFonts w:cs="Times New Roman"/>
      <w:sz w:val="21"/>
    </w:rPr>
  </w:style>
  <w:style w:type="character" w:styleId="43">
    <w:name w:val="HTML Cite"/>
    <w:basedOn w:val="31"/>
    <w:semiHidden/>
    <w:qFormat/>
    <w:uiPriority w:val="99"/>
    <w:rPr>
      <w:rFonts w:cs="Times New Roman"/>
    </w:rPr>
  </w:style>
  <w:style w:type="character" w:styleId="44">
    <w:name w:val="footnote reference"/>
    <w:basedOn w:val="31"/>
    <w:qFormat/>
    <w:uiPriority w:val="99"/>
    <w:rPr>
      <w:rFonts w:ascii="Times New Roman" w:cs="Times New Roman"/>
      <w:sz w:val="24"/>
      <w:vertAlign w:val="superscript"/>
    </w:rPr>
  </w:style>
  <w:style w:type="character" w:styleId="45">
    <w:name w:val="HTML Keyboard"/>
    <w:basedOn w:val="31"/>
    <w:semiHidden/>
    <w:qFormat/>
    <w:uiPriority w:val="99"/>
    <w:rPr>
      <w:rFonts w:ascii="monospace" w:hAnsi="monospace" w:cs="monospace"/>
      <w:sz w:val="20"/>
    </w:rPr>
  </w:style>
  <w:style w:type="character" w:styleId="46">
    <w:name w:val="HTML Sample"/>
    <w:basedOn w:val="31"/>
    <w:semiHidden/>
    <w:qFormat/>
    <w:uiPriority w:val="99"/>
    <w:rPr>
      <w:rFonts w:ascii="monospace" w:hAnsi="monospace" w:cs="monospace"/>
    </w:rPr>
  </w:style>
  <w:style w:type="character" w:customStyle="1" w:styleId="47">
    <w:name w:val="Heading 1 Char"/>
    <w:basedOn w:val="31"/>
    <w:link w:val="3"/>
    <w:qFormat/>
    <w:locked/>
    <w:uiPriority w:val="99"/>
    <w:rPr>
      <w:rFonts w:cs="Times New Roman"/>
      <w:b/>
      <w:bCs/>
      <w:kern w:val="44"/>
      <w:sz w:val="44"/>
      <w:szCs w:val="44"/>
    </w:rPr>
  </w:style>
  <w:style w:type="character" w:customStyle="1" w:styleId="48">
    <w:name w:val="Heading 2 Char"/>
    <w:basedOn w:val="31"/>
    <w:link w:val="4"/>
    <w:semiHidden/>
    <w:qFormat/>
    <w:locked/>
    <w:uiPriority w:val="99"/>
    <w:rPr>
      <w:rFonts w:ascii="Cambria" w:hAnsi="Cambria" w:eastAsia="宋体" w:cs="Times New Roman"/>
      <w:b/>
      <w:bCs/>
      <w:sz w:val="32"/>
      <w:szCs w:val="32"/>
    </w:rPr>
  </w:style>
  <w:style w:type="character" w:customStyle="1" w:styleId="49">
    <w:name w:val="Heading 3 Char"/>
    <w:basedOn w:val="31"/>
    <w:link w:val="5"/>
    <w:qFormat/>
    <w:locked/>
    <w:uiPriority w:val="99"/>
    <w:rPr>
      <w:rFonts w:ascii="仿宋_GB2312" w:eastAsia="仿宋_GB2312" w:cs="Times New Roman"/>
      <w:b/>
      <w:sz w:val="30"/>
      <w:lang w:val="en-US" w:eastAsia="zh-CN"/>
    </w:rPr>
  </w:style>
  <w:style w:type="character" w:customStyle="1" w:styleId="50">
    <w:name w:val="Document Map Char"/>
    <w:basedOn w:val="31"/>
    <w:link w:val="8"/>
    <w:semiHidden/>
    <w:qFormat/>
    <w:locked/>
    <w:uiPriority w:val="99"/>
    <w:rPr>
      <w:rFonts w:cs="Times New Roman"/>
      <w:sz w:val="2"/>
    </w:rPr>
  </w:style>
  <w:style w:type="character" w:customStyle="1" w:styleId="51">
    <w:name w:val="Comment Text Char"/>
    <w:basedOn w:val="31"/>
    <w:link w:val="9"/>
    <w:semiHidden/>
    <w:qFormat/>
    <w:locked/>
    <w:uiPriority w:val="99"/>
    <w:rPr>
      <w:rFonts w:cs="Times New Roman"/>
      <w:sz w:val="24"/>
      <w:szCs w:val="24"/>
    </w:rPr>
  </w:style>
  <w:style w:type="character" w:customStyle="1" w:styleId="52">
    <w:name w:val="Body Text 3 Char"/>
    <w:basedOn w:val="31"/>
    <w:link w:val="10"/>
    <w:semiHidden/>
    <w:qFormat/>
    <w:locked/>
    <w:uiPriority w:val="99"/>
    <w:rPr>
      <w:rFonts w:cs="Times New Roman"/>
      <w:kern w:val="2"/>
      <w:sz w:val="16"/>
    </w:rPr>
  </w:style>
  <w:style w:type="character" w:customStyle="1" w:styleId="53">
    <w:name w:val="Body Text Char"/>
    <w:basedOn w:val="31"/>
    <w:link w:val="11"/>
    <w:qFormat/>
    <w:locked/>
    <w:uiPriority w:val="99"/>
    <w:rPr>
      <w:rFonts w:cs="Times New Roman"/>
      <w:sz w:val="24"/>
    </w:rPr>
  </w:style>
  <w:style w:type="character" w:customStyle="1" w:styleId="54">
    <w:name w:val="Body Text Indent Char"/>
    <w:basedOn w:val="31"/>
    <w:link w:val="12"/>
    <w:qFormat/>
    <w:locked/>
    <w:uiPriority w:val="99"/>
    <w:rPr>
      <w:rFonts w:ascii="宋体" w:cs="Times New Roman"/>
      <w:spacing w:val="-4"/>
      <w:sz w:val="18"/>
    </w:rPr>
  </w:style>
  <w:style w:type="character" w:customStyle="1" w:styleId="55">
    <w:name w:val="Plain Text Char"/>
    <w:basedOn w:val="31"/>
    <w:link w:val="15"/>
    <w:qFormat/>
    <w:locked/>
    <w:uiPriority w:val="99"/>
    <w:rPr>
      <w:rFonts w:ascii="宋体" w:eastAsia="宋体" w:cs="Times New Roman"/>
    </w:rPr>
  </w:style>
  <w:style w:type="character" w:customStyle="1" w:styleId="56">
    <w:name w:val="Date Char"/>
    <w:basedOn w:val="31"/>
    <w:link w:val="16"/>
    <w:semiHidden/>
    <w:qFormat/>
    <w:locked/>
    <w:uiPriority w:val="99"/>
    <w:rPr>
      <w:rFonts w:cs="Times New Roman"/>
      <w:sz w:val="24"/>
      <w:szCs w:val="24"/>
    </w:rPr>
  </w:style>
  <w:style w:type="character" w:customStyle="1" w:styleId="57">
    <w:name w:val="Body Text Indent 2 Char"/>
    <w:basedOn w:val="31"/>
    <w:link w:val="17"/>
    <w:semiHidden/>
    <w:qFormat/>
    <w:locked/>
    <w:uiPriority w:val="99"/>
    <w:rPr>
      <w:rFonts w:cs="Times New Roman"/>
      <w:sz w:val="24"/>
      <w:szCs w:val="24"/>
    </w:rPr>
  </w:style>
  <w:style w:type="character" w:customStyle="1" w:styleId="58">
    <w:name w:val="Balloon Text Char"/>
    <w:basedOn w:val="31"/>
    <w:link w:val="18"/>
    <w:semiHidden/>
    <w:qFormat/>
    <w:locked/>
    <w:uiPriority w:val="99"/>
    <w:rPr>
      <w:rFonts w:cs="Times New Roman"/>
      <w:sz w:val="2"/>
    </w:rPr>
  </w:style>
  <w:style w:type="character" w:customStyle="1" w:styleId="59">
    <w:name w:val="Footer Char"/>
    <w:basedOn w:val="31"/>
    <w:link w:val="19"/>
    <w:qFormat/>
    <w:locked/>
    <w:uiPriority w:val="99"/>
    <w:rPr>
      <w:rFonts w:eastAsia="宋体" w:cs="Times New Roman"/>
      <w:sz w:val="18"/>
    </w:rPr>
  </w:style>
  <w:style w:type="character" w:customStyle="1" w:styleId="60">
    <w:name w:val="Header Char"/>
    <w:basedOn w:val="31"/>
    <w:link w:val="20"/>
    <w:qFormat/>
    <w:locked/>
    <w:uiPriority w:val="99"/>
    <w:rPr>
      <w:rFonts w:cs="Times New Roman"/>
      <w:sz w:val="18"/>
    </w:rPr>
  </w:style>
  <w:style w:type="character" w:customStyle="1" w:styleId="61">
    <w:name w:val="Footnote Text Char"/>
    <w:basedOn w:val="31"/>
    <w:link w:val="23"/>
    <w:qFormat/>
    <w:locked/>
    <w:uiPriority w:val="99"/>
    <w:rPr>
      <w:rFonts w:cs="Times New Roman"/>
      <w:kern w:val="2"/>
      <w:sz w:val="18"/>
    </w:rPr>
  </w:style>
  <w:style w:type="character" w:customStyle="1" w:styleId="62">
    <w:name w:val="Title Char"/>
    <w:basedOn w:val="31"/>
    <w:link w:val="25"/>
    <w:qFormat/>
    <w:locked/>
    <w:uiPriority w:val="99"/>
    <w:rPr>
      <w:rFonts w:ascii="Cambria" w:hAnsi="Cambria" w:cs="Times New Roman"/>
      <w:b/>
      <w:kern w:val="2"/>
      <w:sz w:val="32"/>
    </w:rPr>
  </w:style>
  <w:style w:type="character" w:customStyle="1" w:styleId="63">
    <w:name w:val="Comment Subject Char"/>
    <w:basedOn w:val="51"/>
    <w:link w:val="26"/>
    <w:semiHidden/>
    <w:qFormat/>
    <w:locked/>
    <w:uiPriority w:val="99"/>
    <w:rPr>
      <w:b/>
      <w:bCs/>
    </w:rPr>
  </w:style>
  <w:style w:type="character" w:customStyle="1" w:styleId="64">
    <w:name w:val="Body Text First Indent Char"/>
    <w:basedOn w:val="53"/>
    <w:link w:val="27"/>
    <w:qFormat/>
    <w:locked/>
    <w:uiPriority w:val="99"/>
    <w:rPr>
      <w:szCs w:val="24"/>
    </w:rPr>
  </w:style>
  <w:style w:type="character" w:customStyle="1" w:styleId="65">
    <w:name w:val="Body Text First Indent 2 Char"/>
    <w:basedOn w:val="54"/>
    <w:link w:val="28"/>
    <w:semiHidden/>
    <w:qFormat/>
    <w:locked/>
    <w:uiPriority w:val="99"/>
    <w:rPr>
      <w:sz w:val="24"/>
      <w:szCs w:val="24"/>
    </w:rPr>
  </w:style>
  <w:style w:type="paragraph" w:customStyle="1" w:styleId="66">
    <w:name w:val="章正文"/>
    <w:basedOn w:val="1"/>
    <w:qFormat/>
    <w:uiPriority w:val="99"/>
    <w:pPr>
      <w:spacing w:beforeLines="50" w:after="120" w:line="300" w:lineRule="auto"/>
      <w:ind w:firstLine="480"/>
    </w:pPr>
    <w:rPr>
      <w:rFonts w:ascii="Helvetica" w:hAnsi="Helvetica"/>
      <w:kern w:val="0"/>
      <w:sz w:val="24"/>
    </w:rPr>
  </w:style>
  <w:style w:type="paragraph" w:customStyle="1" w:styleId="67">
    <w:name w:val="样式 标题 2 + 段前: 40.55 磅"/>
    <w:basedOn w:val="4"/>
    <w:qFormat/>
    <w:uiPriority w:val="99"/>
    <w:pPr>
      <w:keepLines/>
      <w:adjustRightInd/>
      <w:snapToGrid/>
      <w:spacing w:before="60" w:after="0" w:line="415" w:lineRule="auto"/>
      <w:jc w:val="both"/>
      <w:textAlignment w:val="auto"/>
    </w:pPr>
    <w:rPr>
      <w:rFonts w:ascii="Arial" w:hAnsi="Arial" w:eastAsia="黑体" w:cs="宋体"/>
      <w:bCs/>
      <w:kern w:val="2"/>
      <w:sz w:val="32"/>
    </w:rPr>
  </w:style>
  <w:style w:type="paragraph" w:customStyle="1" w:styleId="68">
    <w:name w:val="Char Char Char Char"/>
    <w:basedOn w:val="1"/>
    <w:qFormat/>
    <w:uiPriority w:val="99"/>
    <w:pPr>
      <w:spacing w:line="360" w:lineRule="auto"/>
      <w:ind w:firstLine="200" w:firstLineChars="200"/>
    </w:pPr>
    <w:rPr>
      <w:rFonts w:ascii="宋体" w:cs="宋体"/>
      <w:sz w:val="24"/>
    </w:rPr>
  </w:style>
  <w:style w:type="paragraph" w:customStyle="1" w:styleId="69">
    <w:name w:val="Char Char3 Char Char"/>
    <w:basedOn w:val="1"/>
    <w:qFormat/>
    <w:uiPriority w:val="99"/>
  </w:style>
  <w:style w:type="paragraph" w:customStyle="1" w:styleId="70">
    <w:name w:val="Char Char Char Char Char Char"/>
    <w:basedOn w:val="1"/>
    <w:qFormat/>
    <w:uiPriority w:val="99"/>
    <w:pPr>
      <w:ind w:firstLine="200" w:firstLineChars="200"/>
    </w:pPr>
    <w:rPr>
      <w:sz w:val="28"/>
    </w:rPr>
  </w:style>
  <w:style w:type="paragraph" w:customStyle="1" w:styleId="71">
    <w:name w:val="纯文本1"/>
    <w:basedOn w:val="1"/>
    <w:qFormat/>
    <w:uiPriority w:val="99"/>
    <w:pPr>
      <w:adjustRightInd w:val="0"/>
      <w:textAlignment w:val="baseline"/>
    </w:pPr>
    <w:rPr>
      <w:rFonts w:ascii="宋体" w:hAnsi="Courier New" w:eastAsia="楷体_GB2312"/>
      <w:sz w:val="26"/>
      <w:szCs w:val="20"/>
    </w:rPr>
  </w:style>
  <w:style w:type="paragraph" w:customStyle="1" w:styleId="72">
    <w:name w:val="表格"/>
    <w:basedOn w:val="1"/>
    <w:qFormat/>
    <w:uiPriority w:val="99"/>
    <w:pPr>
      <w:spacing w:line="400" w:lineRule="exact"/>
    </w:pPr>
    <w:rPr>
      <w:sz w:val="24"/>
    </w:rPr>
  </w:style>
  <w:style w:type="paragraph" w:customStyle="1" w:styleId="73">
    <w:name w:val="正文1"/>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74">
    <w:name w:val="字元 字元"/>
    <w:basedOn w:val="1"/>
    <w:qFormat/>
    <w:uiPriority w:val="99"/>
    <w:pPr>
      <w:widowControl/>
      <w:spacing w:after="160" w:line="240" w:lineRule="exact"/>
      <w:jc w:val="left"/>
    </w:pPr>
    <w:rPr>
      <w:sz w:val="28"/>
      <w:szCs w:val="20"/>
    </w:rPr>
  </w:style>
  <w:style w:type="paragraph" w:customStyle="1" w:styleId="75">
    <w:name w:val="默认段落字体 Para Char Char Char Char Char Char Char Char Char1 Char Char Char Char"/>
    <w:basedOn w:val="1"/>
    <w:qFormat/>
    <w:uiPriority w:val="99"/>
    <w:rPr>
      <w:rFonts w:ascii="Tahoma" w:hAnsi="Tahoma"/>
      <w:sz w:val="24"/>
      <w:szCs w:val="20"/>
    </w:rPr>
  </w:style>
  <w:style w:type="paragraph" w:customStyle="1" w:styleId="76">
    <w:name w:val="样式1"/>
    <w:basedOn w:val="1"/>
    <w:qFormat/>
    <w:uiPriority w:val="99"/>
    <w:pPr>
      <w:numPr>
        <w:ilvl w:val="0"/>
        <w:numId w:val="2"/>
      </w:numPr>
      <w:adjustRightInd w:val="0"/>
      <w:textAlignment w:val="baseline"/>
    </w:pPr>
    <w:rPr>
      <w:rFonts w:ascii="宋体"/>
      <w:kern w:val="0"/>
      <w:szCs w:val="21"/>
    </w:rPr>
  </w:style>
  <w:style w:type="paragraph" w:customStyle="1" w:styleId="77">
    <w:name w:val="Char Char Char Char Char Char Char Char Char Char Char Char Char Char Char Char"/>
    <w:basedOn w:val="1"/>
    <w:qFormat/>
    <w:uiPriority w:val="99"/>
    <w:pPr>
      <w:widowControl/>
      <w:spacing w:after="160" w:line="240" w:lineRule="exact"/>
      <w:jc w:val="left"/>
    </w:pPr>
    <w:rPr>
      <w:szCs w:val="20"/>
    </w:rPr>
  </w:style>
  <w:style w:type="paragraph" w:customStyle="1" w:styleId="78">
    <w:name w:val="默认段落字体 Para Char Char Char Char"/>
    <w:basedOn w:val="1"/>
    <w:qFormat/>
    <w:uiPriority w:val="99"/>
    <w:rPr>
      <w:rFonts w:ascii="Arial" w:hAnsi="Arial" w:cs="Arial"/>
      <w:szCs w:val="21"/>
    </w:rPr>
  </w:style>
  <w:style w:type="paragraph" w:customStyle="1" w:styleId="79">
    <w:name w:val="正文段"/>
    <w:basedOn w:val="1"/>
    <w:qFormat/>
    <w:uiPriority w:val="99"/>
    <w:pPr>
      <w:widowControl/>
      <w:snapToGrid w:val="0"/>
      <w:spacing w:afterLines="50"/>
      <w:ind w:firstLine="200" w:firstLineChars="200"/>
    </w:pPr>
    <w:rPr>
      <w:kern w:val="0"/>
      <w:sz w:val="24"/>
      <w:szCs w:val="20"/>
    </w:rPr>
  </w:style>
  <w:style w:type="paragraph" w:customStyle="1" w:styleId="80">
    <w:name w:val="_Style 4"/>
    <w:basedOn w:val="1"/>
    <w:qFormat/>
    <w:uiPriority w:val="99"/>
    <w:pPr>
      <w:widowControl/>
      <w:spacing w:after="160" w:line="240" w:lineRule="exact"/>
      <w:jc w:val="left"/>
    </w:pPr>
    <w:rPr>
      <w:szCs w:val="21"/>
    </w:rPr>
  </w:style>
  <w:style w:type="paragraph" w:customStyle="1" w:styleId="81">
    <w:name w:val="Char"/>
    <w:basedOn w:val="1"/>
    <w:qFormat/>
    <w:uiPriority w:val="99"/>
    <w:rPr>
      <w:rFonts w:ascii="仿宋_GB2312" w:eastAsia="仿宋_GB2312"/>
      <w:b/>
      <w:sz w:val="32"/>
      <w:szCs w:val="32"/>
    </w:rPr>
  </w:style>
  <w:style w:type="paragraph" w:customStyle="1" w:styleId="82">
    <w:name w:val="表内文字"/>
    <w:basedOn w:val="1"/>
    <w:qFormat/>
    <w:uiPriority w:val="99"/>
    <w:pPr>
      <w:jc w:val="center"/>
    </w:pPr>
    <w:rPr>
      <w:rFonts w:ascii="仿宋_GB2312" w:eastAsia="仿宋_GB2312"/>
      <w:sz w:val="24"/>
    </w:rPr>
  </w:style>
  <w:style w:type="paragraph" w:customStyle="1" w:styleId="83">
    <w:name w:val="Char Char1"/>
    <w:basedOn w:val="1"/>
    <w:qFormat/>
    <w:uiPriority w:val="99"/>
    <w:rPr>
      <w:rFonts w:ascii="Tahoma" w:hAnsi="Tahoma"/>
      <w:kern w:val="0"/>
      <w:sz w:val="24"/>
      <w:szCs w:val="20"/>
    </w:rPr>
  </w:style>
  <w:style w:type="paragraph" w:customStyle="1" w:styleId="84">
    <w:name w:val="Char1"/>
    <w:basedOn w:val="1"/>
    <w:qFormat/>
    <w:uiPriority w:val="99"/>
    <w:pPr>
      <w:widowControl/>
      <w:spacing w:after="160" w:line="240" w:lineRule="exact"/>
      <w:jc w:val="left"/>
    </w:pPr>
    <w:rPr>
      <w:rFonts w:ascii="Tahoma" w:hAnsi="Tahoma"/>
      <w:kern w:val="0"/>
      <w:sz w:val="24"/>
      <w:lang w:eastAsia="en-US"/>
    </w:rPr>
  </w:style>
  <w:style w:type="paragraph" w:styleId="85">
    <w:name w:val="List Paragraph"/>
    <w:basedOn w:val="1"/>
    <w:qFormat/>
    <w:uiPriority w:val="99"/>
    <w:pPr>
      <w:ind w:firstLine="200" w:firstLineChars="200"/>
    </w:pPr>
  </w:style>
  <w:style w:type="paragraph" w:customStyle="1" w:styleId="86">
    <w:name w:val="Char Char Char Char Char Char Char"/>
    <w:basedOn w:val="1"/>
    <w:qFormat/>
    <w:uiPriority w:val="99"/>
    <w:rPr>
      <w:rFonts w:ascii="Arial" w:hAnsi="Arial" w:cs="Arial"/>
      <w:szCs w:val="21"/>
    </w:rPr>
  </w:style>
  <w:style w:type="paragraph" w:customStyle="1" w:styleId="87">
    <w:name w:val="Char Char7 Char"/>
    <w:basedOn w:val="1"/>
    <w:qFormat/>
    <w:uiPriority w:val="99"/>
    <w:pPr>
      <w:tabs>
        <w:tab w:val="left" w:pos="425"/>
      </w:tabs>
      <w:ind w:left="200" w:leftChars="200" w:firstLine="150" w:firstLineChars="150"/>
    </w:pPr>
    <w:rPr>
      <w:rFonts w:ascii="宋体" w:cs="Arial"/>
      <w:color w:val="5E5E5E"/>
      <w:kern w:val="0"/>
      <w:szCs w:val="21"/>
    </w:rPr>
  </w:style>
  <w:style w:type="paragraph" w:customStyle="1" w:styleId="88">
    <w:name w:val="缺省文本"/>
    <w:basedOn w:val="1"/>
    <w:qFormat/>
    <w:uiPriority w:val="99"/>
    <w:pPr>
      <w:autoSpaceDE w:val="0"/>
      <w:autoSpaceDN w:val="0"/>
      <w:jc w:val="left"/>
    </w:pPr>
    <w:rPr>
      <w:rFonts w:ascii="宋体"/>
      <w:kern w:val="0"/>
      <w:sz w:val="24"/>
      <w:szCs w:val="20"/>
    </w:rPr>
  </w:style>
  <w:style w:type="paragraph" w:customStyle="1" w:styleId="89">
    <w:name w:val="Default"/>
    <w:qFormat/>
    <w:uiPriority w:val="99"/>
    <w:pPr>
      <w:widowControl w:val="0"/>
      <w:autoSpaceDE w:val="0"/>
      <w:autoSpaceDN w:val="0"/>
      <w:adjustRightInd w:val="0"/>
      <w:spacing w:before="120" w:after="120"/>
    </w:pPr>
    <w:rPr>
      <w:rFonts w:ascii="宋体" w:hAnsi="Times New Roman" w:eastAsia="宋体" w:cs="宋体"/>
      <w:color w:val="000000"/>
      <w:kern w:val="0"/>
      <w:sz w:val="24"/>
      <w:szCs w:val="24"/>
      <w:lang w:val="en-US" w:eastAsia="zh-CN" w:bidi="ar-SA"/>
    </w:rPr>
  </w:style>
  <w:style w:type="paragraph" w:customStyle="1" w:styleId="90">
    <w:name w:val="_Style 37"/>
    <w:basedOn w:val="1"/>
    <w:qFormat/>
    <w:uiPriority w:val="99"/>
    <w:pPr>
      <w:widowControl/>
      <w:spacing w:after="160" w:line="240" w:lineRule="exact"/>
      <w:jc w:val="left"/>
    </w:pPr>
  </w:style>
  <w:style w:type="character" w:customStyle="1" w:styleId="91">
    <w:name w:val="style1"/>
    <w:basedOn w:val="31"/>
    <w:qFormat/>
    <w:uiPriority w:val="99"/>
    <w:rPr>
      <w:rFonts w:cs="Times New Roman"/>
    </w:rPr>
  </w:style>
  <w:style w:type="character" w:customStyle="1" w:styleId="92">
    <w:name w:val="font01"/>
    <w:qFormat/>
    <w:uiPriority w:val="99"/>
    <w:rPr>
      <w:rFonts w:ascii="宋体" w:hAnsi="宋体" w:eastAsia="宋体"/>
      <w:b/>
      <w:color w:val="000000"/>
      <w:sz w:val="16"/>
      <w:u w:val="none"/>
    </w:rPr>
  </w:style>
  <w:style w:type="character" w:customStyle="1" w:styleId="93">
    <w:name w:val="font21"/>
    <w:qFormat/>
    <w:uiPriority w:val="99"/>
    <w:rPr>
      <w:rFonts w:ascii="宋体" w:hAnsi="宋体" w:eastAsia="宋体"/>
      <w:color w:val="000000"/>
      <w:sz w:val="22"/>
      <w:u w:val="none"/>
    </w:rPr>
  </w:style>
  <w:style w:type="character" w:customStyle="1" w:styleId="94">
    <w:name w:val="标题 1 Char Char"/>
    <w:qFormat/>
    <w:uiPriority w:val="99"/>
    <w:rPr>
      <w:rFonts w:eastAsia="宋体"/>
      <w:b/>
      <w:spacing w:val="-2"/>
      <w:sz w:val="24"/>
      <w:lang w:val="en-US" w:eastAsia="zh-CN"/>
    </w:rPr>
  </w:style>
  <w:style w:type="character" w:customStyle="1" w:styleId="95">
    <w:name w:val="font11"/>
    <w:qFormat/>
    <w:uiPriority w:val="99"/>
    <w:rPr>
      <w:rFonts w:ascii="宋体" w:hAnsi="宋体" w:eastAsia="宋体"/>
      <w:color w:val="000000"/>
      <w:sz w:val="16"/>
      <w:u w:val="none"/>
    </w:rPr>
  </w:style>
  <w:style w:type="character" w:customStyle="1" w:styleId="96">
    <w:name w:val="纯文本 Char Char Char"/>
    <w:qFormat/>
    <w:uiPriority w:val="99"/>
    <w:rPr>
      <w:rFonts w:ascii="宋体" w:eastAsia="宋体"/>
      <w:kern w:val="2"/>
      <w:sz w:val="21"/>
      <w:lang w:val="en-US" w:eastAsia="zh-CN"/>
    </w:rPr>
  </w:style>
  <w:style w:type="character" w:customStyle="1" w:styleId="97">
    <w:name w:val="标题 Char"/>
    <w:qFormat/>
    <w:uiPriority w:val="99"/>
    <w:rPr>
      <w:rFonts w:ascii="Cambria" w:hAnsi="Cambria"/>
      <w:b/>
      <w:kern w:val="2"/>
      <w:sz w:val="32"/>
    </w:rPr>
  </w:style>
  <w:style w:type="character" w:customStyle="1" w:styleId="98">
    <w:name w:val="普通文字 Char Char4"/>
    <w:qFormat/>
    <w:uiPriority w:val="99"/>
    <w:rPr>
      <w:rFonts w:ascii="宋体" w:hAnsi="Courier New" w:eastAsia="宋体"/>
      <w:kern w:val="2"/>
      <w:sz w:val="24"/>
      <w:lang w:val="en-US" w:eastAsia="zh-CN"/>
    </w:rPr>
  </w:style>
  <w:style w:type="character" w:customStyle="1" w:styleId="99">
    <w:name w:val="Balloon Text Char1"/>
    <w:qFormat/>
    <w:uiPriority w:val="99"/>
    <w:rPr>
      <w:sz w:val="2"/>
    </w:rPr>
  </w:style>
  <w:style w:type="character" w:customStyle="1" w:styleId="100">
    <w:name w:val="divtxt1"/>
    <w:qFormat/>
    <w:uiPriority w:val="99"/>
    <w:rPr>
      <w:rFonts w:eastAsia="黑体"/>
      <w:color w:val="000000"/>
      <w:spacing w:val="15"/>
      <w:sz w:val="28"/>
    </w:rPr>
  </w:style>
  <w:style w:type="character" w:customStyle="1" w:styleId="101">
    <w:name w:val="Normal Indent Char"/>
    <w:link w:val="6"/>
    <w:qFormat/>
    <w:locked/>
    <w:uiPriority w:val="99"/>
  </w:style>
  <w:style w:type="character" w:customStyle="1" w:styleId="102">
    <w:name w:val="纯文本 字符"/>
    <w:qFormat/>
    <w:uiPriority w:val="99"/>
    <w:rPr>
      <w:rFonts w:ascii="宋体" w:hAnsi="Courier New" w:eastAsia="宋体"/>
      <w:kern w:val="2"/>
      <w:sz w:val="24"/>
      <w:lang w:val="en-US" w:eastAsia="zh-CN"/>
    </w:rPr>
  </w:style>
  <w:style w:type="character" w:customStyle="1" w:styleId="103">
    <w:name w:val="纯文本 Char3"/>
    <w:qFormat/>
    <w:uiPriority w:val="99"/>
    <w:rPr>
      <w:rFonts w:ascii="宋体" w:hAnsi="Courier New" w:eastAsia="宋体"/>
      <w:kern w:val="2"/>
      <w:sz w:val="24"/>
      <w:lang w:val="en-US" w:eastAsia="zh-CN"/>
    </w:rPr>
  </w:style>
  <w:style w:type="character" w:customStyle="1" w:styleId="104">
    <w:name w:val="Char Char"/>
    <w:qFormat/>
    <w:uiPriority w:val="99"/>
    <w:rPr>
      <w:rFonts w:ascii="宋体" w:eastAsia="宋体"/>
      <w:kern w:val="2"/>
      <w:sz w:val="21"/>
      <w:lang w:val="en-US" w:eastAsia="zh-CN"/>
    </w:rPr>
  </w:style>
  <w:style w:type="character" w:customStyle="1" w:styleId="105">
    <w:name w:val="纯文本 Char"/>
    <w:qFormat/>
    <w:uiPriority w:val="99"/>
    <w:rPr>
      <w:rFonts w:ascii="宋体" w:eastAsia="宋体"/>
      <w:sz w:val="21"/>
    </w:rPr>
  </w:style>
  <w:style w:type="character" w:customStyle="1" w:styleId="106">
    <w:name w:val="Char Char12"/>
    <w:qFormat/>
    <w:uiPriority w:val="99"/>
    <w:rPr>
      <w:rFonts w:eastAsia="宋体"/>
      <w:kern w:val="2"/>
      <w:sz w:val="21"/>
      <w:lang w:val="en-US" w:eastAsia="zh-CN"/>
    </w:rPr>
  </w:style>
  <w:style w:type="paragraph" w:customStyle="1" w:styleId="107">
    <w:name w:val="CM11"/>
    <w:basedOn w:val="89"/>
    <w:next w:val="89"/>
    <w:qFormat/>
    <w:uiPriority w:val="99"/>
    <w:pPr>
      <w:spacing w:before="0" w:after="0" w:line="520" w:lineRule="atLeast"/>
    </w:pPr>
    <w:rPr>
      <w:rFonts w:ascii="..ì." w:eastAsia="..ì." w:cs="..ì."/>
    </w:rPr>
  </w:style>
  <w:style w:type="paragraph" w:customStyle="1" w:styleId="108">
    <w:name w:val="CM19"/>
    <w:basedOn w:val="89"/>
    <w:next w:val="89"/>
    <w:qFormat/>
    <w:uiPriority w:val="99"/>
    <w:pPr>
      <w:spacing w:before="0" w:after="0"/>
    </w:pPr>
    <w:rPr>
      <w:rFonts w:ascii="..ì." w:eastAsia="..ì." w:cs="..ì."/>
    </w:rPr>
  </w:style>
  <w:style w:type="paragraph" w:customStyle="1" w:styleId="109">
    <w:name w:val="CM14"/>
    <w:basedOn w:val="89"/>
    <w:next w:val="89"/>
    <w:qFormat/>
    <w:uiPriority w:val="99"/>
    <w:pPr>
      <w:spacing w:before="0" w:after="0" w:line="546" w:lineRule="atLeast"/>
    </w:pPr>
    <w:rPr>
      <w:rFonts w:ascii="..ì." w:eastAsia="..ì." w:cs="..ì."/>
    </w:rPr>
  </w:style>
  <w:style w:type="paragraph" w:customStyle="1" w:styleId="110">
    <w:name w:val="CM13"/>
    <w:basedOn w:val="89"/>
    <w:next w:val="89"/>
    <w:qFormat/>
    <w:uiPriority w:val="99"/>
    <w:pPr>
      <w:spacing w:before="0" w:after="0" w:line="520" w:lineRule="atLeast"/>
    </w:pPr>
    <w:rPr>
      <w:rFonts w:ascii="..ì." w:eastAsia="..ì." w:cs="..ì."/>
    </w:rPr>
  </w:style>
  <w:style w:type="character" w:customStyle="1" w:styleId="111">
    <w:name w:val="纯文本 Char4"/>
    <w:qFormat/>
    <w:uiPriority w:val="99"/>
    <w:rPr>
      <w:rFonts w:ascii="宋体" w:eastAsia="宋体"/>
    </w:rPr>
  </w:style>
  <w:style w:type="table" w:customStyle="1" w:styleId="112">
    <w:name w:val="Table Normal1"/>
    <w:semiHidden/>
    <w:qFormat/>
    <w:uiPriority w:val="99"/>
    <w:pPr>
      <w:widowControl w:val="0"/>
      <w:autoSpaceDE w:val="0"/>
      <w:autoSpaceDN w:val="0"/>
    </w:pPr>
    <w:rPr>
      <w:rFonts w:ascii="Calibri" w:hAnsi="Calibri"/>
      <w:kern w:val="0"/>
      <w:sz w:val="22"/>
      <w:lang w:eastAsia="en-US"/>
    </w:rPr>
    <w:tblPr>
      <w:tblCellMar>
        <w:top w:w="0" w:type="dxa"/>
        <w:left w:w="0" w:type="dxa"/>
        <w:bottom w:w="0" w:type="dxa"/>
        <w:right w:w="0" w:type="dxa"/>
      </w:tblCellMar>
    </w:tblPr>
  </w:style>
  <w:style w:type="paragraph" w:customStyle="1" w:styleId="113">
    <w:name w:val="Heading 11"/>
    <w:basedOn w:val="1"/>
    <w:qFormat/>
    <w:uiPriority w:val="99"/>
    <w:pPr>
      <w:autoSpaceDE w:val="0"/>
      <w:autoSpaceDN w:val="0"/>
      <w:spacing w:before="161"/>
      <w:ind w:left="620"/>
      <w:jc w:val="left"/>
      <w:outlineLvl w:val="1"/>
    </w:pPr>
    <w:rPr>
      <w:rFonts w:ascii="宋体" w:hAnsi="宋体" w:cs="宋体"/>
      <w:b/>
      <w:bCs/>
      <w:kern w:val="0"/>
      <w:sz w:val="24"/>
      <w:lang w:val="zh-CN"/>
    </w:rPr>
  </w:style>
  <w:style w:type="paragraph" w:customStyle="1" w:styleId="114">
    <w:name w:val="Table Paragraph"/>
    <w:basedOn w:val="1"/>
    <w:qFormat/>
    <w:uiPriority w:val="99"/>
    <w:pPr>
      <w:autoSpaceDE w:val="0"/>
      <w:autoSpaceDN w:val="0"/>
      <w:jc w:val="left"/>
    </w:pPr>
    <w:rPr>
      <w:rFonts w:ascii="宋体" w:hAnsi="宋体" w:cs="宋体"/>
      <w:kern w:val="0"/>
      <w:sz w:val="22"/>
      <w:szCs w:val="22"/>
      <w:lang w:val="zh-CN"/>
    </w:rPr>
  </w:style>
  <w:style w:type="paragraph" w:customStyle="1" w:styleId="115">
    <w:name w:val="正文2"/>
    <w:basedOn w:val="1"/>
    <w:qFormat/>
    <w:uiPriority w:val="99"/>
    <w:pPr>
      <w:spacing w:before="156" w:line="360" w:lineRule="auto"/>
      <w:ind w:firstLine="510" w:firstLineChars="200"/>
    </w:pPr>
    <w:rPr>
      <w:sz w:val="24"/>
      <w:szCs w:val="20"/>
    </w:rPr>
  </w:style>
  <w:style w:type="paragraph" w:customStyle="1" w:styleId="116">
    <w:name w:val="Plain Text1"/>
    <w:basedOn w:val="1"/>
    <w:qFormat/>
    <w:uiPriority w:val="99"/>
    <w:pPr>
      <w:adjustRightInd w:val="0"/>
      <w:textAlignment w:val="baseline"/>
    </w:pPr>
    <w:rPr>
      <w:rFonts w:ascii="宋体" w:hAnsi="Courier New" w:eastAsia="楷体_GB2312"/>
      <w:sz w:val="26"/>
      <w:szCs w:val="20"/>
    </w:rPr>
  </w:style>
  <w:style w:type="character" w:customStyle="1" w:styleId="117">
    <w:name w:val="NormalCharacter"/>
    <w:qFormat/>
    <w:uiPriority w:val="99"/>
    <w:rPr>
      <w:rFonts w:ascii="Times New Roman" w:hAnsi="Times New Roman" w:eastAsia="宋体"/>
    </w:rPr>
  </w:style>
  <w:style w:type="paragraph" w:customStyle="1" w:styleId="118">
    <w:name w:val="WPSOffice手动目录 1"/>
    <w:qFormat/>
    <w:uiPriority w:val="99"/>
    <w:rPr>
      <w:rFonts w:ascii="Times New Roman" w:hAnsi="Times New Roman" w:eastAsia="宋体"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54</Pages>
  <Words>5167</Words>
  <Characters>29452</Characters>
  <Lines>0</Lines>
  <Paragraphs>0</Paragraphs>
  <TotalTime>33</TotalTime>
  <ScaleCrop>false</ScaleCrop>
  <LinksUpToDate>false</LinksUpToDate>
  <CharactersWithSpaces>0</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2020-07-27T03:50:00Z</dcterms:created>
  <dc:creator>1</dc:creator>
  <cp:lastModifiedBy>WPS_1613569740</cp:lastModifiedBy>
  <cp:lastPrinted>2022-08-16T08:39:00Z</cp:lastPrinted>
  <dcterms:modified xsi:type="dcterms:W3CDTF">2022-09-26T06:41:11Z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316ADE9EA7B549D29D057A22FF48845C</vt:lpwstr>
  </property>
  <property fmtid="{D5CDD505-2E9C-101B-9397-08002B2CF9AE}" pid="4" name="commondata">
    <vt:lpwstr>eyJoZGlkIjoiNTRjMjhlOGQzMWQ0ZmE2YzZkZDBlZTU2MTk0MDg4NzEifQ==</vt:lpwstr>
  </property>
</Properties>
</file>